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colors4.xml" ContentType="application/vnd.ms-office.chartcolorstyle+xml"/>
  <Override PartName="/word/charts/colors5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style5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auto"/>
          <w:sz w:val="72"/>
          <w:szCs w:val="72"/>
          <w:highlight w:val="none"/>
        </w:rPr>
      </w:pPr>
      <w:bookmarkStart w:id="0" w:name="_Toc15377425"/>
      <w:bookmarkStart w:id="1" w:name="_Toc15378441"/>
      <w:bookmarkStart w:id="2" w:name="_Toc15396597"/>
      <w:bookmarkStart w:id="3" w:name="_Toc15377193"/>
      <w:bookmarkStart w:id="4" w:name="_Toc15396475"/>
      <w:bookmarkStart w:id="5" w:name="_Toc15306267"/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auto"/>
          <w:sz w:val="72"/>
          <w:szCs w:val="72"/>
          <w:highlight w:val="none"/>
        </w:rPr>
      </w:pPr>
    </w:p>
    <w:p>
      <w:pPr>
        <w:spacing w:line="600" w:lineRule="exact"/>
        <w:jc w:val="center"/>
        <w:outlineLvl w:val="0"/>
        <w:rPr>
          <w:rFonts w:ascii="方正小标宋简体" w:hAnsi="宋体" w:eastAsia="方正小标宋简体"/>
          <w:color w:val="auto"/>
          <w:sz w:val="72"/>
          <w:szCs w:val="72"/>
          <w:highlight w:val="none"/>
        </w:rPr>
      </w:pPr>
    </w:p>
    <w:p>
      <w:pPr>
        <w:adjustRightInd w:val="0"/>
        <w:snapToGrid w:val="0"/>
        <w:spacing w:line="36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color w:val="auto"/>
          <w:sz w:val="72"/>
          <w:szCs w:val="7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72"/>
          <w:szCs w:val="72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color w:val="auto"/>
          <w:sz w:val="72"/>
          <w:szCs w:val="72"/>
          <w:highlight w:val="none"/>
          <w:lang w:val="en-US" w:eastAsia="zh-CN"/>
        </w:rPr>
        <w:t>22</w:t>
      </w:r>
      <w:r>
        <w:rPr>
          <w:rFonts w:hint="eastAsia" w:ascii="方正小标宋简体" w:hAnsi="方正小标宋简体" w:eastAsia="方正小标宋简体" w:cs="方正小标宋简体"/>
          <w:color w:val="auto"/>
          <w:sz w:val="72"/>
          <w:szCs w:val="72"/>
          <w:highlight w:val="none"/>
        </w:rPr>
        <w:t>年度</w:t>
      </w:r>
      <w:bookmarkEnd w:id="0"/>
      <w:bookmarkEnd w:id="1"/>
      <w:bookmarkEnd w:id="2"/>
      <w:bookmarkEnd w:id="3"/>
      <w:bookmarkEnd w:id="4"/>
    </w:p>
    <w:bookmarkEnd w:id="5"/>
    <w:p>
      <w:pPr>
        <w:jc w:val="center"/>
        <w:rPr>
          <w:rFonts w:hint="eastAsia" w:ascii="方正小标宋简体" w:eastAsia="方正小标宋简体"/>
          <w:sz w:val="72"/>
          <w:szCs w:val="72"/>
          <w:lang w:eastAsia="zh-CN"/>
        </w:rPr>
      </w:pPr>
      <w:bookmarkStart w:id="6" w:name="_Toc15396476"/>
      <w:bookmarkStart w:id="7" w:name="_Toc15396598"/>
      <w:bookmarkStart w:id="8" w:name="_Toc15377426"/>
      <w:bookmarkStart w:id="9" w:name="_Toc15377194"/>
      <w:bookmarkStart w:id="10" w:name="_Toc15378442"/>
      <w:r>
        <w:rPr>
          <w:rFonts w:hint="eastAsia" w:ascii="方正小标宋简体" w:eastAsia="方正小标宋简体"/>
          <w:sz w:val="72"/>
          <w:szCs w:val="72"/>
        </w:rPr>
        <w:t>四川省阿坝州</w:t>
      </w:r>
      <w:bookmarkStart w:id="11" w:name="_Toc15306268"/>
      <w:r>
        <w:rPr>
          <w:rFonts w:hint="eastAsia" w:ascii="方正小标宋简体" w:eastAsia="方正小标宋简体"/>
          <w:sz w:val="72"/>
          <w:szCs w:val="72"/>
        </w:rPr>
        <w:t>壤塘县农业畜牧和水务局科教站部门决算</w:t>
      </w:r>
      <w:bookmarkEnd w:id="6"/>
      <w:bookmarkEnd w:id="7"/>
      <w:bookmarkEnd w:id="8"/>
      <w:bookmarkEnd w:id="9"/>
      <w:bookmarkEnd w:id="10"/>
      <w:bookmarkEnd w:id="11"/>
      <w:r>
        <w:rPr>
          <w:rFonts w:hint="eastAsia" w:ascii="方正小标宋简体" w:eastAsia="方正小标宋简体"/>
          <w:sz w:val="72"/>
          <w:szCs w:val="72"/>
          <w:lang w:eastAsia="zh-CN"/>
        </w:rPr>
        <w:t>公开</w:t>
      </w: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hint="eastAsia" w:ascii="宋体" w:hAnsi="宋体" w:cs="仿宋_GB2312"/>
          <w:sz w:val="32"/>
          <w:szCs w:val="32"/>
        </w:rPr>
      </w:pPr>
    </w:p>
    <w:p>
      <w:pPr>
        <w:autoSpaceDE w:val="0"/>
        <w:autoSpaceDN w:val="0"/>
        <w:adjustRightInd w:val="0"/>
        <w:ind w:left="420" w:left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保密审查情况：已审查，内容审定</w:t>
      </w:r>
    </w:p>
    <w:p>
      <w:pPr>
        <w:autoSpaceDE w:val="0"/>
        <w:autoSpaceDN w:val="0"/>
        <w:adjustRightInd w:val="0"/>
        <w:ind w:left="420" w:left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 w:cs="仿宋_GB2312"/>
          <w:sz w:val="32"/>
          <w:szCs w:val="32"/>
        </w:rPr>
        <w:t>部门主要负责人审签情况：已审签，同意对外公开</w:t>
      </w:r>
    </w:p>
    <w:p>
      <w:pPr>
        <w:rPr>
          <w:rFonts w:ascii="方正小标宋简体" w:hAnsi="宋体" w:eastAsia="方正小标宋简体"/>
          <w:color w:val="auto"/>
          <w:sz w:val="36"/>
          <w:szCs w:val="36"/>
          <w:highlight w:val="none"/>
        </w:rPr>
      </w:pPr>
      <w:r>
        <w:rPr>
          <w:rFonts w:ascii="方正小标宋简体" w:hAnsi="宋体" w:eastAsia="方正小标宋简体"/>
          <w:color w:val="auto"/>
          <w:sz w:val="36"/>
          <w:szCs w:val="36"/>
          <w:highlight w:val="none"/>
        </w:rPr>
        <w:br w:type="page"/>
      </w:r>
      <w:bookmarkStart w:id="12" w:name="_Toc15396599"/>
      <w:bookmarkStart w:id="13" w:name="_Toc15377196"/>
    </w:p>
    <w:p>
      <w:pPr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bookmarkStart w:id="79" w:name="_GoBack"/>
      <w:bookmarkEnd w:id="79"/>
    </w:p>
    <w:p>
      <w:pPr>
        <w:widowControl/>
        <w:jc w:val="center"/>
        <w:rPr>
          <w:rFonts w:ascii="黑体" w:hAnsi="黑体" w:eastAsia="黑体"/>
          <w:color w:val="000000"/>
          <w:sz w:val="48"/>
          <w:szCs w:val="48"/>
        </w:rPr>
      </w:pPr>
      <w:r>
        <w:rPr>
          <w:rFonts w:hint="eastAsia" w:ascii="黑体" w:hAnsi="黑体" w:eastAsia="黑体"/>
          <w:color w:val="000000"/>
          <w:sz w:val="48"/>
          <w:szCs w:val="48"/>
        </w:rPr>
        <w:t>目录</w:t>
      </w:r>
    </w:p>
    <w:p>
      <w:pPr>
        <w:pStyle w:val="12"/>
        <w:jc w:val="center"/>
        <w:rPr>
          <w:rFonts w:hAnsiTheme="minorHAnsi"/>
          <w:b w:val="0"/>
          <w:bCs w:val="0"/>
          <w:sz w:val="24"/>
          <w:szCs w:val="24"/>
        </w:rPr>
      </w:pPr>
      <w:r>
        <w:rPr>
          <w:rFonts w:hint="eastAsia" w:hAnsiTheme="minorHAnsi"/>
          <w:b w:val="0"/>
          <w:bCs w:val="0"/>
          <w:sz w:val="24"/>
          <w:szCs w:val="24"/>
        </w:rPr>
        <w:t>公开时间：202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hAnsiTheme="minorHAnsi"/>
          <w:b w:val="0"/>
          <w:bCs w:val="0"/>
          <w:sz w:val="24"/>
          <w:szCs w:val="24"/>
        </w:rPr>
        <w:t xml:space="preserve">年 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10</w:t>
      </w:r>
      <w:r>
        <w:rPr>
          <w:rFonts w:hint="eastAsia" w:hAnsiTheme="minorHAnsi"/>
          <w:b w:val="0"/>
          <w:bCs w:val="0"/>
          <w:sz w:val="24"/>
          <w:szCs w:val="24"/>
        </w:rPr>
        <w:t>月</w:t>
      </w:r>
      <w:r>
        <w:rPr>
          <w:rFonts w:hint="eastAsia" w:hAnsiTheme="minorHAnsi"/>
          <w:b w:val="0"/>
          <w:bCs w:val="0"/>
          <w:sz w:val="24"/>
          <w:szCs w:val="24"/>
          <w:lang w:val="en-US" w:eastAsia="zh-CN"/>
        </w:rPr>
        <w:t>17</w:t>
      </w:r>
      <w:r>
        <w:rPr>
          <w:rFonts w:hint="eastAsia" w:hAnsiTheme="minorHAnsi"/>
          <w:b w:val="0"/>
          <w:bCs w:val="0"/>
          <w:sz w:val="24"/>
          <w:szCs w:val="24"/>
        </w:rPr>
        <w:t>日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000000" w:themeColor="text1"/>
          <w:sz w:val="20"/>
          <w:szCs w:val="20"/>
          <w:highlight w:val="none"/>
          <w:shd w:val="clear" w:color="auto" w:fill="auto"/>
          <w:lang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</w:rPr>
        <w:fldChar w:fldCharType="begin"/>
      </w:r>
      <w:r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</w:rPr>
        <w:instrText xml:space="preserve"> TOC \o \u </w:instrText>
      </w:r>
      <w:r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</w:rPr>
        <w:fldChar w:fldCharType="separate"/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 w:themeColor="text1"/>
          <w:sz w:val="20"/>
          <w:szCs w:val="20"/>
          <w:highlight w:val="none"/>
          <w:shd w:val="clear" w:color="auto" w:fill="auto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第一部分 部门概况</w:t>
      </w:r>
      <w:r>
        <w:rPr>
          <w:rFonts w:hint="eastAsia" w:ascii="黑体" w:hAnsi="黑体" w:eastAsia="黑体" w:cs="黑体"/>
          <w:color w:val="000000" w:themeColor="text1"/>
          <w:sz w:val="20"/>
          <w:szCs w:val="20"/>
          <w:highlight w:val="none"/>
          <w:shd w:val="clear" w:color="auto" w:fill="auto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ab/>
      </w:r>
      <w:r>
        <w:rPr>
          <w:rFonts w:hint="eastAsia" w:ascii="黑体" w:hAnsi="黑体" w:eastAsia="黑体" w:cs="黑体"/>
          <w:b w:val="0"/>
          <w:bCs w:val="0"/>
          <w:color w:val="000000" w:themeColor="text1"/>
          <w:sz w:val="20"/>
          <w:szCs w:val="20"/>
          <w:highlight w:val="none"/>
          <w:shd w:val="clear" w:color="auto" w:fill="auto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tx1"/>
            </w14:solidFill>
          </w14:textFill>
          <w14:props3d w14:extrusionH="0" w14:contourW="0" w14:prstMaterial="clear"/>
        </w:rPr>
        <w:t>4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一、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部门职责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4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二、机构设置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5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20"/>
          <w:szCs w:val="20"/>
          <w:highlight w:val="none"/>
          <w:shd w:val="clear" w:color="auto" w:fill="auto"/>
        </w:rPr>
        <w:t>第二部分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 xml:space="preserve"> </w:t>
      </w:r>
      <w:r>
        <w:rPr>
          <w:rFonts w:hint="eastAsia" w:ascii="黑体" w:hAnsi="黑体" w:eastAsia="黑体" w:cs="黑体"/>
          <w:b w:val="0"/>
          <w:bCs w:val="0"/>
          <w:color w:val="auto"/>
          <w:sz w:val="20"/>
          <w:szCs w:val="20"/>
          <w:highlight w:val="none"/>
          <w:shd w:val="clear" w:color="auto" w:fill="auto"/>
        </w:rPr>
        <w:t>2021年度部门决算情况说明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6</w:t>
      </w:r>
    </w:p>
    <w:p>
      <w:pPr>
        <w:pStyle w:val="13"/>
        <w:tabs>
          <w:tab w:val="left" w:pos="840"/>
        </w:tabs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一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  <w:lang w:eastAsia="zh-CN"/>
        </w:rPr>
        <w:t>、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收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入支出决算总体情况说明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6</w:t>
      </w:r>
    </w:p>
    <w:p>
      <w:pPr>
        <w:pStyle w:val="13"/>
        <w:tabs>
          <w:tab w:val="left" w:pos="840"/>
        </w:tabs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二、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收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入决算情况说明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6</w:t>
      </w:r>
    </w:p>
    <w:p>
      <w:pPr>
        <w:pStyle w:val="13"/>
        <w:tabs>
          <w:tab w:val="left" w:pos="840"/>
        </w:tabs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三、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支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7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四、财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政拨款收入支出决算总体情况说明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7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五、</w:t>
      </w:r>
      <w:r>
        <w:rPr>
          <w:rFonts w:hint="eastAsia" w:ascii="黑体" w:hAnsi="黑体" w:eastAsia="黑体" w:cs="黑体"/>
          <w:b/>
          <w:color w:val="auto"/>
          <w:sz w:val="20"/>
          <w:szCs w:val="20"/>
          <w:highlight w:val="none"/>
          <w:shd w:val="clear" w:color="auto" w:fill="auto"/>
        </w:rPr>
        <w:t>一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般公共预算财政拨款支出决算情况说明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8</w:t>
      </w:r>
    </w:p>
    <w:p>
      <w:pPr>
        <w:pStyle w:val="8"/>
        <w:ind w:left="0" w:leftChars="0" w:firstLine="201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eastAsia="zh-CN"/>
        </w:rPr>
      </w:pPr>
      <w:r>
        <w:rPr>
          <w:rFonts w:hint="eastAsia" w:ascii="黑体" w:hAnsi="黑体" w:eastAsia="黑体" w:cs="黑体"/>
          <w:b/>
          <w:color w:val="auto"/>
          <w:sz w:val="20"/>
          <w:szCs w:val="20"/>
          <w:highlight w:val="none"/>
          <w:shd w:val="clear" w:color="auto" w:fill="auto"/>
        </w:rPr>
        <w:t>（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一）一般公共预算财政拨款支出决算总体情况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8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（二）一般公共预算财政拨款支出决算结构情况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9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（三）一般公共预算财政拨款支出决算具体情况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9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六</w:t>
      </w:r>
      <w:r>
        <w:rPr>
          <w:rFonts w:hint="eastAsia" w:ascii="黑体" w:hAnsi="黑体" w:eastAsia="黑体" w:cs="黑体"/>
          <w:b/>
          <w:color w:val="auto"/>
          <w:sz w:val="20"/>
          <w:szCs w:val="20"/>
          <w:highlight w:val="none"/>
          <w:shd w:val="clear" w:color="auto" w:fill="auto"/>
        </w:rPr>
        <w:t>、一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般公共预算财政拨款基本支出决算情况说明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10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七、</w:t>
      </w:r>
      <w:r>
        <w:rPr>
          <w:rFonts w:hint="eastAsia" w:ascii="黑体" w:hAnsi="黑体" w:eastAsia="黑体" w:cs="黑体"/>
          <w:b/>
          <w:bCs/>
          <w:color w:val="auto"/>
          <w:sz w:val="20"/>
          <w:szCs w:val="20"/>
          <w:highlight w:val="none"/>
          <w:shd w:val="clear" w:color="auto" w:fill="auto"/>
        </w:rPr>
        <w:t>“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三公”经费财政拨款支出决算情况说明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10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（一）“三公”经费财政拨款支出决算总体情况说明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10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（二）“三公”经费财政拨款支出决算具体情况说明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10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八、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政府性基金预算支出决算情况说明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九、 国有资本经营预算支出决算情况说明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</w:t>
      </w:r>
      <w:r>
        <w:rPr>
          <w:rFonts w:hint="eastAsia" w:ascii="黑体" w:hAnsi="黑体" w:eastAsia="黑体" w:cs="黑体"/>
          <w:b/>
          <w:bCs/>
          <w:color w:val="auto"/>
          <w:sz w:val="20"/>
          <w:szCs w:val="20"/>
          <w:highlight w:val="none"/>
          <w:shd w:val="clear" w:color="auto" w:fill="auto"/>
        </w:rPr>
        <w:t>、</w:t>
      </w:r>
      <w:r>
        <w:rPr>
          <w:rFonts w:hint="eastAsia" w:ascii="黑体" w:hAnsi="黑体" w:eastAsia="黑体" w:cs="黑体"/>
          <w:bCs/>
          <w:color w:val="auto"/>
          <w:sz w:val="20"/>
          <w:szCs w:val="20"/>
          <w:highlight w:val="none"/>
          <w:shd w:val="clear" w:color="auto" w:fill="auto"/>
        </w:rPr>
        <w:t>其他重要事项的情况说明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（一）机关运行经费支出情况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（二）政府采购支出情况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b w:val="0"/>
          <w:bCs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（三）国有资产占有使用情况</w:t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8"/>
        <w:ind w:left="0" w:leftChars="0" w:firstLine="200" w:firstLineChars="100"/>
        <w:rPr>
          <w:rFonts w:hint="eastAsia" w:ascii="黑体" w:hAnsi="黑体" w:eastAsia="黑体" w:cs="黑体"/>
          <w:i w:val="0"/>
          <w:iC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20"/>
          <w:szCs w:val="20"/>
          <w:highlight w:val="none"/>
          <w:shd w:val="clear" w:color="auto" w:fill="auto"/>
        </w:rPr>
        <w:t>（四）预算绩效管理情况。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11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44"/>
          <w:sz w:val="20"/>
          <w:szCs w:val="20"/>
          <w:highlight w:val="none"/>
          <w:shd w:val="clear" w:color="auto" w:fill="auto"/>
        </w:rPr>
        <w:t>第三部分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 xml:space="preserve"> 名</w:t>
      </w:r>
      <w:r>
        <w:rPr>
          <w:rFonts w:hint="eastAsia" w:ascii="黑体" w:hAnsi="黑体" w:eastAsia="黑体" w:cs="黑体"/>
          <w:color w:val="auto"/>
          <w:kern w:val="44"/>
          <w:sz w:val="20"/>
          <w:szCs w:val="20"/>
          <w:highlight w:val="none"/>
          <w:shd w:val="clear" w:color="auto" w:fill="auto"/>
        </w:rPr>
        <w:t>词解释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12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第</w:t>
      </w:r>
      <w:r>
        <w:rPr>
          <w:rFonts w:hint="eastAsia" w:ascii="黑体" w:hAnsi="黑体" w:eastAsia="黑体" w:cs="黑体"/>
          <w:color w:val="auto"/>
          <w:kern w:val="44"/>
          <w:sz w:val="20"/>
          <w:szCs w:val="20"/>
          <w:highlight w:val="none"/>
          <w:shd w:val="clear" w:color="auto" w:fill="auto"/>
        </w:rPr>
        <w:t>四部分 附件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13</w:t>
      </w:r>
    </w:p>
    <w:p>
      <w:pPr>
        <w:pStyle w:val="12"/>
        <w:rPr>
          <w:rFonts w:hint="default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附件1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14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XX部门2021年部门整体支出绩效评价报告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15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附件2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16</w:t>
      </w:r>
    </w:p>
    <w:p>
      <w:pPr>
        <w:pStyle w:val="12"/>
        <w:rPr>
          <w:rFonts w:hint="eastAsia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XXX项目2021年绩效评价报告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17</w:t>
      </w:r>
    </w:p>
    <w:p>
      <w:pPr>
        <w:pStyle w:val="12"/>
        <w:rPr>
          <w:rFonts w:hint="default" w:ascii="黑体" w:hAnsi="黑体" w:eastAsia="黑体" w:cs="黑体"/>
          <w:b w:val="0"/>
          <w:bCs w:val="0"/>
          <w: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第</w:t>
      </w:r>
      <w:r>
        <w:rPr>
          <w:rFonts w:hint="eastAsia" w:ascii="黑体" w:hAnsi="黑体" w:eastAsia="黑体" w:cs="黑体"/>
          <w:color w:val="auto"/>
          <w:kern w:val="44"/>
          <w:sz w:val="20"/>
          <w:szCs w:val="20"/>
          <w:highlight w:val="none"/>
          <w:shd w:val="clear" w:color="auto" w:fill="auto"/>
        </w:rPr>
        <w:t>五部分 附表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一、收入支出决算总表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二、收入决算表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三、支出决算表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四、财政拨款收入支出决算总表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五、财政拨款支出决算明细表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六、一般公共预算财政拨款支出决算表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七、一般公共预算财政拨款支出决算明细表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default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八、一般公共预算财政拨款基本支出决算表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九、一般公共预算财政拨款项目支出决算表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十、一般公共预算财政拨款“三公”经费支出决算表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十一、政府性基金预算财政拨款收入支出决算表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十二、政府性基金预算财政拨款“三公”经费支出决算表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十三、国有资本经营预算财政拨款收入支出决算表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pStyle w:val="13"/>
        <w:ind w:left="0" w:leftChars="0" w:firstLine="0" w:firstLineChars="0"/>
        <w:rPr>
          <w:rFonts w:hint="eastAsia" w:ascii="黑体" w:hAnsi="黑体" w:eastAsia="黑体" w:cs="黑体"/>
          <w:smallCaps w:val="0"/>
          <w:color w:val="auto"/>
          <w:sz w:val="20"/>
          <w:szCs w:val="2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>十四、国有资本经营预算财政拨款支出决算表</w:t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</w:rPr>
        <w:tab/>
      </w:r>
      <w:r>
        <w:rPr>
          <w:rFonts w:hint="eastAsia" w:ascii="黑体" w:hAnsi="黑体" w:eastAsia="黑体" w:cs="黑体"/>
          <w:color w:val="auto"/>
          <w:sz w:val="20"/>
          <w:szCs w:val="20"/>
          <w:highlight w:val="none"/>
          <w:shd w:val="clear" w:color="auto" w:fill="auto"/>
          <w:lang w:val="en-US" w:eastAsia="zh-CN"/>
        </w:rPr>
        <w:t>18</w:t>
      </w:r>
    </w:p>
    <w:p>
      <w:pPr>
        <w:widowControl/>
        <w:spacing w:line="440" w:lineRule="exact"/>
        <w:jc w:val="left"/>
        <w:rPr>
          <w:rFonts w:hint="eastAsia" w:ascii="黑体" w:hAnsi="黑体" w:eastAsia="黑体" w:cs="黑体"/>
          <w:bCs/>
          <w:color w:val="auto"/>
          <w:kern w:val="44"/>
          <w:sz w:val="20"/>
          <w:szCs w:val="20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/>
          <w:bCs/>
          <w:caps/>
          <w:color w:val="auto"/>
          <w:sz w:val="20"/>
          <w:szCs w:val="20"/>
          <w:highlight w:val="none"/>
          <w:shd w:val="clear" w:color="auto" w:fill="auto"/>
        </w:rPr>
        <w:fldChar w:fldCharType="end"/>
      </w:r>
      <w:r>
        <w:rPr>
          <w:rFonts w:hint="eastAsia" w:ascii="黑体" w:hAnsi="黑体" w:eastAsia="黑体" w:cs="黑体"/>
          <w:b/>
          <w:color w:val="auto"/>
          <w:sz w:val="20"/>
          <w:szCs w:val="20"/>
          <w:highlight w:val="none"/>
          <w:shd w:val="clear" w:color="auto" w:fill="auto"/>
        </w:rPr>
        <w:br w:type="page"/>
      </w:r>
    </w:p>
    <w:p>
      <w:pPr>
        <w:pStyle w:val="3"/>
        <w:jc w:val="center"/>
        <w:rPr>
          <w:rStyle w:val="28"/>
          <w:rFonts w:ascii="黑体" w:hAnsi="黑体" w:eastAsia="黑体"/>
          <w:b/>
          <w:bCs w:val="0"/>
          <w:color w:val="auto"/>
          <w:highlight w:val="none"/>
        </w:rPr>
      </w:pPr>
      <w:r>
        <w:rPr>
          <w:rFonts w:hint="eastAsia" w:ascii="黑体" w:hAnsi="黑体" w:eastAsia="黑体"/>
          <w:b w:val="0"/>
          <w:color w:val="auto"/>
          <w:highlight w:val="none"/>
        </w:rPr>
        <w:t xml:space="preserve">第一部分 </w:t>
      </w:r>
      <w:r>
        <w:rPr>
          <w:rStyle w:val="28"/>
          <w:rFonts w:hint="eastAsia" w:ascii="黑体" w:hAnsi="黑体" w:eastAsia="黑体"/>
          <w:b w:val="0"/>
          <w:bCs w:val="0"/>
          <w:color w:val="auto"/>
          <w:highlight w:val="none"/>
        </w:rPr>
        <w:t>部门概况</w:t>
      </w:r>
      <w:bookmarkEnd w:id="12"/>
      <w:bookmarkEnd w:id="13"/>
    </w:p>
    <w:p>
      <w:pPr>
        <w:widowControl/>
        <w:jc w:val="left"/>
        <w:rPr>
          <w:rFonts w:ascii="黑体" w:eastAsia="黑体"/>
          <w:color w:val="auto"/>
          <w:sz w:val="32"/>
          <w:szCs w:val="32"/>
          <w:highlight w:val="none"/>
        </w:rPr>
      </w:pPr>
    </w:p>
    <w:p>
      <w:pPr>
        <w:pStyle w:val="4"/>
        <w:numPr>
          <w:ilvl w:val="0"/>
          <w:numId w:val="1"/>
        </w:numPr>
        <w:rPr>
          <w:rFonts w:hint="eastAsia" w:ascii="黑体" w:hAnsi="黑体" w:eastAsia="黑体"/>
          <w:b w:val="0"/>
          <w:color w:val="auto"/>
          <w:highlight w:val="none"/>
          <w:lang w:eastAsia="zh-CN"/>
        </w:rPr>
      </w:pPr>
      <w:r>
        <w:rPr>
          <w:rFonts w:hint="eastAsia" w:ascii="黑体" w:hAnsi="黑体" w:eastAsia="黑体"/>
          <w:b w:val="0"/>
          <w:color w:val="auto"/>
          <w:highlight w:val="none"/>
          <w:lang w:eastAsia="zh-CN"/>
        </w:rPr>
        <w:t>部门职责</w:t>
      </w:r>
    </w:p>
    <w:p>
      <w:pPr>
        <w:pStyle w:val="6"/>
        <w:adjustRightInd w:val="0"/>
        <w:snapToGrid w:val="0"/>
        <w:spacing w:before="93" w:line="600" w:lineRule="exact"/>
        <w:ind w:firstLine="640" w:firstLineChars="20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14" w:name="_Toc79163853"/>
      <w:bookmarkStart w:id="15" w:name="_Toc79163603"/>
      <w:bookmarkStart w:id="16" w:name="_Toc15378445"/>
      <w:bookmarkStart w:id="17" w:name="_Toc15377198"/>
      <w:r>
        <w:rPr>
          <w:rFonts w:hint="eastAsia" w:ascii="仿宋" w:hAnsi="仿宋" w:eastAsia="仿宋"/>
          <w:bCs/>
          <w:color w:val="000000"/>
          <w:sz w:val="32"/>
          <w:szCs w:val="32"/>
        </w:rPr>
        <w:t>（一）主要职能。</w:t>
      </w:r>
      <w:bookmarkEnd w:id="14"/>
      <w:bookmarkEnd w:id="15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640" w:firstLineChars="200"/>
        <w:textAlignment w:val="auto"/>
        <w:outlineLvl w:val="9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bookmarkEnd w:id="16"/>
    <w:bookmarkEnd w:id="17"/>
    <w:p>
      <w:pPr>
        <w:pStyle w:val="6"/>
        <w:adjustRightInd w:val="0"/>
        <w:snapToGrid w:val="0"/>
        <w:spacing w:before="93" w:line="600" w:lineRule="exact"/>
        <w:ind w:firstLine="672" w:firstLineChars="210"/>
        <w:outlineLvl w:val="2"/>
        <w:rPr>
          <w:rFonts w:hint="eastAsia" w:ascii="仿宋" w:hAnsi="仿宋" w:eastAsia="仿宋"/>
          <w:bCs/>
          <w:color w:val="000000"/>
          <w:sz w:val="32"/>
          <w:szCs w:val="32"/>
        </w:rPr>
      </w:pPr>
      <w:bookmarkStart w:id="18" w:name="_Toc79163854"/>
      <w:bookmarkStart w:id="19" w:name="_Toc15378446"/>
      <w:bookmarkStart w:id="20" w:name="_Toc79163604"/>
      <w:bookmarkStart w:id="21" w:name="_Toc15377199"/>
      <w:r>
        <w:rPr>
          <w:rFonts w:hint="eastAsia" w:ascii="仿宋" w:hAnsi="仿宋" w:eastAsia="仿宋"/>
          <w:bCs/>
          <w:color w:val="000000"/>
          <w:sz w:val="32"/>
          <w:szCs w:val="32"/>
        </w:rPr>
        <w:t>（二）</w:t>
      </w:r>
      <w:r>
        <w:rPr>
          <w:rFonts w:ascii="仿宋" w:hAnsi="仿宋" w:eastAsia="仿宋"/>
          <w:bCs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年重点工作完成情况。</w:t>
      </w:r>
      <w:bookmarkEnd w:id="18"/>
      <w:bookmarkEnd w:id="19"/>
      <w:bookmarkEnd w:id="20"/>
      <w:bookmarkEnd w:id="21"/>
    </w:p>
    <w:p>
      <w:pPr>
        <w:numPr>
          <w:ilvl w:val="0"/>
          <w:numId w:val="0"/>
        </w:numPr>
        <w:snapToGrid w:val="0"/>
        <w:spacing w:line="520" w:lineRule="exact"/>
        <w:ind w:firstLine="640" w:firstLineChars="200"/>
        <w:rPr>
          <w:rFonts w:hint="eastAsia" w:ascii="仿宋" w:hAnsi="仿宋" w:eastAsia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完成了各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重点工作和目标任务，全力推进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水利项目建设、河长制工作落实，狠抓防汛减灾和安全生产，加大水行政执法工作力度，各项工作稳步推进。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4"/>
        <w:rPr>
          <w:rStyle w:val="29"/>
          <w:b w:val="0"/>
          <w:bCs w:val="0"/>
          <w:color w:val="auto"/>
          <w:highlight w:val="none"/>
        </w:rPr>
      </w:pPr>
      <w:bookmarkStart w:id="22" w:name="_Toc15377200"/>
      <w:bookmarkStart w:id="23" w:name="_Toc15396601"/>
      <w:r>
        <w:rPr>
          <w:rFonts w:hint="eastAsia" w:ascii="黑体" w:eastAsia="黑体"/>
          <w:b w:val="0"/>
          <w:color w:val="auto"/>
          <w:highlight w:val="none"/>
        </w:rPr>
        <w:t>二、</w:t>
      </w:r>
      <w:r>
        <w:rPr>
          <w:rFonts w:hint="eastAsia" w:ascii="黑体" w:hAnsi="黑体" w:eastAsia="黑体"/>
          <w:b w:val="0"/>
          <w:color w:val="auto"/>
          <w:highlight w:val="none"/>
        </w:rPr>
        <w:t>机</w:t>
      </w:r>
      <w:r>
        <w:rPr>
          <w:rStyle w:val="29"/>
          <w:rFonts w:hint="eastAsia" w:ascii="黑体" w:hAnsi="黑体" w:eastAsia="黑体"/>
          <w:b w:val="0"/>
          <w:bCs w:val="0"/>
          <w:color w:val="auto"/>
          <w:highlight w:val="none"/>
        </w:rPr>
        <w:t>构设置</w:t>
      </w:r>
      <w:bookmarkEnd w:id="22"/>
      <w:bookmarkEnd w:id="23"/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壤塘县农业畜牧和水务局科教站，内设事业股室：水资源股、水利股、质量监督站、水保股、建管股、规计股。</w:t>
      </w:r>
    </w:p>
    <w:p>
      <w:pPr>
        <w:widowControl/>
        <w:jc w:val="left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kern w:val="0"/>
          <w:sz w:val="32"/>
          <w:szCs w:val="32"/>
          <w:highlight w:val="none"/>
        </w:rPr>
      </w:pPr>
    </w:p>
    <w:p>
      <w:pPr>
        <w:pStyle w:val="3"/>
        <w:ind w:right="440"/>
        <w:jc w:val="center"/>
        <w:rPr>
          <w:rStyle w:val="28"/>
          <w:rFonts w:ascii="黑体" w:hAnsi="黑体" w:eastAsia="黑体"/>
          <w:b w:val="0"/>
          <w:bCs/>
          <w:color w:val="auto"/>
          <w:highlight w:val="none"/>
        </w:rPr>
      </w:pPr>
      <w:bookmarkStart w:id="24" w:name="_Toc15396602"/>
      <w:bookmarkStart w:id="25" w:name="_Toc15377204"/>
      <w:r>
        <w:rPr>
          <w:rFonts w:hint="eastAsia" w:ascii="黑体" w:hAnsi="黑体" w:eastAsia="黑体"/>
          <w:b w:val="0"/>
          <w:bCs/>
          <w:color w:val="auto"/>
          <w:highlight w:val="none"/>
        </w:rPr>
        <w:t xml:space="preserve">第二部分 </w:t>
      </w:r>
      <w:r>
        <w:rPr>
          <w:rFonts w:hint="eastAsia" w:ascii="黑体" w:hAnsi="黑体" w:eastAsia="黑体"/>
          <w:b w:val="0"/>
          <w:bCs/>
          <w:color w:val="auto"/>
          <w:highlight w:val="none"/>
          <w:lang w:val="en-US" w:eastAsia="zh-CN"/>
        </w:rPr>
        <w:t>2022年度</w:t>
      </w:r>
      <w:r>
        <w:rPr>
          <w:rStyle w:val="28"/>
          <w:rFonts w:hint="eastAsia" w:ascii="黑体" w:hAnsi="黑体" w:eastAsia="黑体"/>
          <w:b w:val="0"/>
          <w:bCs/>
          <w:color w:val="auto"/>
          <w:highlight w:val="none"/>
        </w:rPr>
        <w:t>部门决算情况说明</w:t>
      </w:r>
      <w:bookmarkEnd w:id="24"/>
      <w:bookmarkEnd w:id="25"/>
    </w:p>
    <w:p>
      <w:pPr>
        <w:rPr>
          <w:color w:val="auto"/>
          <w:highlight w:val="none"/>
        </w:rPr>
      </w:pPr>
    </w:p>
    <w:p>
      <w:pPr>
        <w:pStyle w:val="27"/>
        <w:numPr>
          <w:ilvl w:val="0"/>
          <w:numId w:val="2"/>
        </w:numPr>
        <w:spacing w:line="600" w:lineRule="exact"/>
        <w:ind w:firstLineChars="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26" w:name="_Toc15377205"/>
      <w:bookmarkStart w:id="27" w:name="_Toc15396603"/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收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入支出决算总体情况说明</w:t>
      </w:r>
      <w:bookmarkEnd w:id="26"/>
      <w:bookmarkEnd w:id="27"/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年度收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51.59万元，增长17%；主要变动原因工资变动。2022年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51.59万元，增长17%；主要变动原因是工资变动。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1</w:t>
      </w:r>
      <w:r>
        <w:rPr>
          <w:rFonts w:hint="eastAsia" w:ascii="仿宋" w:hAnsi="仿宋" w:eastAsia="仿宋"/>
          <w:color w:val="000000"/>
          <w:sz w:val="32"/>
          <w:szCs w:val="32"/>
        </w:rPr>
        <w:t>：收、支决算总计变动情况图）（柱状图）</w:t>
      </w:r>
    </w:p>
    <w:p>
      <w:pPr>
        <w:spacing w:line="600" w:lineRule="exact"/>
        <w:ind w:firstLine="640" w:firstLineChars="200"/>
        <w:jc w:val="left"/>
        <w:rPr>
          <w:rFonts w:ascii="仿宋_GB2312" w:eastAsia="仿宋_GB2312"/>
          <w:color w:val="auto"/>
          <w:sz w:val="32"/>
          <w:szCs w:val="32"/>
          <w:highlight w:val="none"/>
        </w:rPr>
      </w:pPr>
    </w:p>
    <w:p>
      <w:pPr>
        <w:pStyle w:val="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drawing>
          <wp:inline distT="0" distB="0" distL="114300" distR="114300">
            <wp:extent cx="4572000" cy="2884805"/>
            <wp:effectExtent l="4445" t="4445" r="14605" b="6350"/>
            <wp:docPr id="1066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27"/>
        <w:numPr>
          <w:ilvl w:val="0"/>
          <w:numId w:val="0"/>
        </w:numPr>
        <w:spacing w:line="600" w:lineRule="exact"/>
        <w:ind w:left="640" w:leftChars="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28" w:name="_Toc15396604"/>
      <w:bookmarkStart w:id="29" w:name="_Toc15377206"/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收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入决算情况说明</w:t>
      </w:r>
      <w:bookmarkEnd w:id="28"/>
      <w:bookmarkEnd w:id="29"/>
    </w:p>
    <w:p>
      <w:pPr>
        <w:spacing w:line="600" w:lineRule="exact"/>
        <w:ind w:firstLine="640" w:firstLineChars="200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202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年本年收入合计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</w:t>
      </w:r>
      <w:r>
        <w:rPr>
          <w:rFonts w:hint="eastAsia" w:ascii="仿宋" w:hAnsi="仿宋" w:eastAsia="仿宋"/>
          <w:color w:val="000000"/>
          <w:sz w:val="32"/>
          <w:szCs w:val="32"/>
        </w:rPr>
        <w:t>万元，其中：一般公共预算财政拨款收入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：收入决算结构图）（饼状图）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</w:p>
    <w:p>
      <w:pPr>
        <w:pStyle w:val="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drawing>
          <wp:inline distT="0" distB="0" distL="114300" distR="114300">
            <wp:extent cx="4547870" cy="2679065"/>
            <wp:effectExtent l="4445" t="4445" r="19685" b="21590"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27"/>
        <w:numPr>
          <w:ilvl w:val="0"/>
          <w:numId w:val="0"/>
        </w:numPr>
        <w:spacing w:line="600" w:lineRule="exact"/>
        <w:ind w:left="640" w:leftChars="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30" w:name="_Toc15396605"/>
      <w:bookmarkStart w:id="31" w:name="_Toc15377207"/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三、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支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出决算情况说明</w:t>
      </w:r>
      <w:bookmarkEnd w:id="30"/>
      <w:bookmarkEnd w:id="31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  <w:shd w:val="pct10" w:color="auto" w:fill="FFFFFF"/>
        </w:rPr>
      </w:pP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年本年支出合计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353.76</w:t>
      </w:r>
      <w:r>
        <w:rPr>
          <w:rFonts w:hint="eastAsia" w:ascii="仿宋_GB2312" w:eastAsia="仿宋_GB2312"/>
          <w:sz w:val="32"/>
          <w:szCs w:val="32"/>
        </w:rPr>
        <w:t>万元，其中：基本支出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353.76</w:t>
      </w:r>
      <w:r>
        <w:rPr>
          <w:rFonts w:hint="eastAsia" w:ascii="仿宋_GB2312" w:eastAsia="仿宋_GB2312"/>
          <w:sz w:val="32"/>
          <w:szCs w:val="32"/>
        </w:rPr>
        <w:t>万元，占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ascii="仿宋_GB2312" w:eastAsia="仿宋_GB2312"/>
          <w:sz w:val="32"/>
          <w:szCs w:val="32"/>
        </w:rPr>
        <w:t>%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3</w:t>
      </w:r>
      <w:r>
        <w:rPr>
          <w:rFonts w:hint="eastAsia" w:ascii="仿宋" w:hAnsi="仿宋" w:eastAsia="仿宋"/>
          <w:color w:val="000000"/>
          <w:sz w:val="32"/>
          <w:szCs w:val="32"/>
        </w:rPr>
        <w:t>：支出决算结构图）（饼状图）</w:t>
      </w:r>
    </w:p>
    <w:p>
      <w:pPr>
        <w:spacing w:line="600" w:lineRule="exact"/>
        <w:ind w:firstLine="640"/>
        <w:rPr>
          <w:rFonts w:ascii="仿宋" w:hAnsi="仿宋" w:eastAsia="仿宋"/>
          <w:color w:val="auto"/>
          <w:sz w:val="32"/>
          <w:szCs w:val="32"/>
          <w:highlight w:val="none"/>
          <w:shd w:val="pct10" w:color="auto" w:fill="FFFFFF"/>
        </w:rPr>
      </w:pPr>
    </w:p>
    <w:p>
      <w:pPr>
        <w:pStyle w:val="2"/>
        <w:rPr>
          <w:rFonts w:ascii="仿宋_GB2312" w:eastAsia="仿宋_GB2312"/>
          <w:color w:val="auto"/>
          <w:sz w:val="32"/>
          <w:szCs w:val="32"/>
          <w:highlight w:val="none"/>
        </w:rPr>
      </w:pPr>
      <w:r>
        <w:drawing>
          <wp:inline distT="0" distB="0" distL="114300" distR="114300">
            <wp:extent cx="5069840" cy="2581275"/>
            <wp:effectExtent l="4445" t="4445" r="12065" b="5080"/>
            <wp:docPr id="1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spacing w:line="600" w:lineRule="exact"/>
        <w:ind w:firstLine="640" w:firstLineChars="20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32" w:name="_Toc15377208"/>
      <w:bookmarkStart w:id="33" w:name="_Toc15396606"/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四、财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政拨款收入支出决算总体情况说明</w:t>
      </w:r>
      <w:bookmarkEnd w:id="32"/>
      <w:bookmarkEnd w:id="33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财政拨款</w:t>
      </w:r>
      <w:r>
        <w:rPr>
          <w:rFonts w:hint="eastAsia" w:ascii="仿宋" w:hAnsi="仿宋" w:eastAsia="仿宋"/>
          <w:color w:val="000000"/>
          <w:sz w:val="32"/>
          <w:szCs w:val="32"/>
        </w:rPr>
        <w:t>收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入</w:t>
      </w:r>
      <w:r>
        <w:rPr>
          <w:rFonts w:hint="eastAsia" w:ascii="仿宋" w:hAnsi="仿宋" w:eastAsia="仿宋"/>
          <w:color w:val="000000"/>
          <w:sz w:val="32"/>
          <w:szCs w:val="32"/>
        </w:rPr>
        <w:t>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</w:t>
      </w:r>
      <w:r>
        <w:rPr>
          <w:rFonts w:hint="eastAsia" w:ascii="仿宋" w:hAnsi="仿宋" w:eastAsia="仿宋"/>
          <w:color w:val="000000"/>
          <w:sz w:val="32"/>
          <w:szCs w:val="32"/>
        </w:rPr>
        <w:t>万元。与20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收入增加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51.59万元，增长17%；主要变动原因工资变动。2022年财政拨款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支出总计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353.76万元，</w:t>
      </w:r>
      <w:r>
        <w:rPr>
          <w:rFonts w:hint="eastAsia" w:ascii="仿宋" w:hAnsi="仿宋" w:eastAsia="仿宋"/>
          <w:color w:val="000000"/>
          <w:sz w:val="32"/>
          <w:szCs w:val="32"/>
        </w:rPr>
        <w:t>与20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年相比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，支出增加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51.59万元，增长17%；主要变动原因是工资变动。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4</w:t>
      </w:r>
      <w:r>
        <w:rPr>
          <w:rFonts w:hint="eastAsia" w:ascii="仿宋" w:hAnsi="仿宋" w:eastAsia="仿宋"/>
          <w:color w:val="000000"/>
          <w:sz w:val="32"/>
          <w:szCs w:val="32"/>
        </w:rPr>
        <w:t>：财政拨款收、支决算总计变动情况）（柱状图）</w:t>
      </w:r>
    </w:p>
    <w:p>
      <w:pPr>
        <w:spacing w:line="600" w:lineRule="exact"/>
        <w:ind w:firstLine="640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drawing>
          <wp:inline distT="0" distB="0" distL="114300" distR="114300">
            <wp:extent cx="4572000" cy="2884805"/>
            <wp:effectExtent l="4445" t="4445" r="14605" b="6350"/>
            <wp:docPr id="1072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spacing w:line="600" w:lineRule="exact"/>
        <w:ind w:firstLine="640" w:firstLineChars="20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34" w:name="_Toc15377209"/>
      <w:bookmarkStart w:id="35" w:name="_Toc15396607"/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五、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一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般公共预算财政拨款支出决算情况说明</w:t>
      </w:r>
      <w:bookmarkEnd w:id="34"/>
      <w:bookmarkEnd w:id="35"/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36" w:name="_Toc15377210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（一）一般公共预算财政拨款支出决算总体情况</w:t>
      </w:r>
      <w:bookmarkEnd w:id="36"/>
    </w:p>
    <w:p>
      <w:pPr>
        <w:spacing w:line="60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年一般公共预算财政拨款支出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353.76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万元，占本年支出合计的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。与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/>
          <w:color w:val="000000"/>
          <w:sz w:val="32"/>
          <w:szCs w:val="32"/>
        </w:rPr>
        <w:t>年相比，一般公共预算财政拨款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51.59</w:t>
      </w:r>
      <w:r>
        <w:rPr>
          <w:rFonts w:hint="eastAsia" w:ascii="仿宋" w:hAnsi="仿宋" w:eastAsia="仿宋"/>
          <w:color w:val="000000"/>
          <w:sz w:val="32"/>
          <w:szCs w:val="32"/>
        </w:rPr>
        <w:t>万元，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增长17%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。主要变动原因是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工资变动。</w:t>
      </w:r>
    </w:p>
    <w:p>
      <w:pPr>
        <w:spacing w:line="600" w:lineRule="exact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608330</wp:posOffset>
            </wp:positionV>
            <wp:extent cx="4897755" cy="2285365"/>
            <wp:effectExtent l="4445" t="4445" r="12700" b="15240"/>
            <wp:wrapSquare wrapText="bothSides"/>
            <wp:docPr id="2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5</w:t>
      </w:r>
      <w:r>
        <w:rPr>
          <w:rFonts w:hint="eastAsia" w:ascii="仿宋" w:hAnsi="仿宋" w:eastAsia="仿宋"/>
          <w:color w:val="000000"/>
          <w:sz w:val="32"/>
          <w:szCs w:val="32"/>
        </w:rPr>
        <w:t>：一般公共预算财政拨款支出决算变动情况）（柱状图）</w:t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37" w:name="_Toc15377211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（二）一般公共预算财政拨款支出决算结构情况</w:t>
      </w:r>
      <w:bookmarkEnd w:id="37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  <w:highlight w:val="none"/>
        </w:rPr>
      </w:pPr>
      <w:r>
        <w:rPr>
          <w:rFonts w:ascii="仿宋" w:hAnsi="仿宋" w:eastAsia="仿宋"/>
          <w:color w:val="000000"/>
          <w:sz w:val="32"/>
          <w:szCs w:val="32"/>
          <w:highlight w:val="none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年一般公共预算财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353.76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43.55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17.23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267.48万元，占75%；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25.5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（图</w:t>
      </w:r>
      <w:r>
        <w:rPr>
          <w:rFonts w:ascii="仿宋" w:hAnsi="仿宋" w:eastAsia="仿宋"/>
          <w:color w:val="000000"/>
          <w:sz w:val="32"/>
          <w:szCs w:val="32"/>
          <w:highlight w:val="none"/>
        </w:rPr>
        <w:t>6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>：一般公共预算财政拨款支出决算结构）（饼状图）</w:t>
      </w:r>
    </w:p>
    <w:p>
      <w:pPr>
        <w:spacing w:line="600" w:lineRule="exact"/>
        <w:ind w:firstLine="640" w:firstLineChars="200"/>
        <w:rPr>
          <w:rFonts w:ascii="仿宋" w:hAnsi="仿宋" w:eastAsia="仿宋"/>
          <w:color w:val="auto"/>
          <w:sz w:val="32"/>
          <w:szCs w:val="32"/>
          <w:highlight w:val="none"/>
        </w:rPr>
      </w:pPr>
    </w:p>
    <w:p>
      <w:pPr>
        <w:pStyle w:val="2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drawing>
          <wp:inline distT="0" distB="0" distL="114300" distR="114300">
            <wp:extent cx="4769485" cy="2304415"/>
            <wp:effectExtent l="5080" t="5080" r="6985" b="14605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spacing w:line="600" w:lineRule="exact"/>
        <w:ind w:firstLine="643" w:firstLineChars="200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38" w:name="_Toc15377212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（三）一般公共预算财政拨款支出决算具体情况</w:t>
      </w:r>
      <w:bookmarkEnd w:id="38"/>
    </w:p>
    <w:p>
      <w:pPr>
        <w:spacing w:line="600" w:lineRule="exact"/>
        <w:ind w:firstLine="643" w:firstLineChars="200"/>
        <w:rPr>
          <w:rFonts w:ascii="仿宋_GB2312" w:eastAsia="仿宋_GB2312"/>
          <w:b/>
          <w:bCs/>
          <w:sz w:val="32"/>
          <w:szCs w:val="32"/>
        </w:rPr>
      </w:pPr>
      <w:bookmarkStart w:id="39" w:name="_Toc15377213"/>
      <w:bookmarkStart w:id="40" w:name="_Toc15378460"/>
      <w:bookmarkStart w:id="41" w:name="_Toc15377444"/>
      <w:r>
        <w:rPr>
          <w:rFonts w:ascii="仿宋_GB2312" w:eastAsia="仿宋_GB2312"/>
          <w:b/>
          <w:bCs/>
          <w:sz w:val="32"/>
          <w:szCs w:val="32"/>
        </w:rPr>
        <w:t>202</w:t>
      </w:r>
      <w:r>
        <w:rPr>
          <w:rFonts w:hint="eastAsia" w:ascii="仿宋_GB2312" w:eastAsia="仿宋_GB2312"/>
          <w:b/>
          <w:bCs/>
          <w:sz w:val="32"/>
          <w:szCs w:val="32"/>
        </w:rPr>
        <w:t>1年一般公共预算支出决算数为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353.76万元</w:t>
      </w:r>
      <w:r>
        <w:rPr>
          <w:rFonts w:hint="eastAsia" w:ascii="仿宋_GB2312" w:eastAsia="仿宋_GB2312"/>
          <w:b/>
          <w:bCs/>
          <w:sz w:val="32"/>
          <w:szCs w:val="32"/>
        </w:rPr>
        <w:t>，完成预算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100</w:t>
      </w:r>
      <w:r>
        <w:rPr>
          <w:rFonts w:ascii="仿宋_GB2312" w:eastAsia="仿宋_GB2312"/>
          <w:b/>
          <w:bCs/>
          <w:sz w:val="32"/>
          <w:szCs w:val="32"/>
        </w:rPr>
        <w:t>%</w:t>
      </w:r>
      <w:r>
        <w:rPr>
          <w:rFonts w:hint="eastAsia" w:ascii="仿宋_GB2312" w:eastAsia="仿宋_GB2312"/>
          <w:b/>
          <w:bCs/>
          <w:sz w:val="32"/>
          <w:szCs w:val="32"/>
        </w:rPr>
        <w:t>。其中：</w:t>
      </w:r>
      <w:bookmarkEnd w:id="39"/>
      <w:bookmarkEnd w:id="40"/>
      <w:bookmarkEnd w:id="41"/>
    </w:p>
    <w:p>
      <w:pPr>
        <w:numPr>
          <w:ilvl w:val="0"/>
          <w:numId w:val="0"/>
        </w:numPr>
        <w:spacing w:line="600" w:lineRule="exact"/>
        <w:ind w:firstLine="643" w:firstLineChars="200"/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1.</w:t>
      </w:r>
      <w:r>
        <w:rPr>
          <w:rStyle w:val="17"/>
          <w:rFonts w:hint="eastAsia" w:ascii="仿宋" w:hAnsi="仿宋" w:eastAsia="仿宋"/>
          <w:bCs/>
          <w:color w:val="000000"/>
          <w:sz w:val="32"/>
          <w:szCs w:val="32"/>
        </w:rPr>
        <w:t>社会保障和就业</w:t>
      </w:r>
      <w:r>
        <w:rPr>
          <w:rStyle w:val="17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支出</w:t>
      </w: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 xml:space="preserve"> 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43.55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</w:pP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2.</w:t>
      </w:r>
      <w:r>
        <w:rPr>
          <w:rStyle w:val="17"/>
          <w:rFonts w:hint="eastAsia" w:ascii="仿宋" w:hAnsi="仿宋" w:eastAsia="仿宋"/>
          <w:bCs/>
          <w:color w:val="000000"/>
          <w:sz w:val="32"/>
          <w:szCs w:val="32"/>
          <w:lang w:eastAsia="zh-CN"/>
        </w:rPr>
        <w:t>卫生健康支出</w:t>
      </w: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: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17.23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万元，完成预算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spacing w:line="600" w:lineRule="exact"/>
        <w:ind w:firstLine="643" w:firstLineChars="200"/>
        <w:rPr>
          <w:rFonts w:ascii="仿宋" w:hAnsi="仿宋" w:eastAsia="仿宋"/>
          <w:b/>
          <w:color w:val="000000"/>
          <w:sz w:val="32"/>
          <w:szCs w:val="32"/>
        </w:rPr>
      </w:pP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3.</w:t>
      </w:r>
      <w:r>
        <w:rPr>
          <w:rStyle w:val="17"/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农林水支出：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267.48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spacing w:line="600" w:lineRule="exact"/>
        <w:ind w:firstLine="643" w:firstLineChars="200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rPr>
          <w:rStyle w:val="17"/>
          <w:rFonts w:ascii="仿宋" w:hAnsi="仿宋" w:eastAsia="仿宋"/>
          <w:bCs/>
          <w:color w:val="000000"/>
          <w:sz w:val="32"/>
          <w:szCs w:val="32"/>
        </w:rPr>
        <w:t>4.</w:t>
      </w:r>
      <w:r>
        <w:rPr>
          <w:rFonts w:hint="eastAsia" w:ascii="仿宋" w:hAnsi="仿宋" w:eastAsia="仿宋"/>
          <w:b/>
          <w:bCs w:val="0"/>
          <w:color w:val="000000"/>
          <w:sz w:val="32"/>
          <w:szCs w:val="32"/>
          <w:lang w:eastAsia="zh-CN"/>
        </w:rPr>
        <w:t>住房保障支出：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支出决算为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23.47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万元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，决算数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与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预算数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eastAsia="zh-CN"/>
        </w:rPr>
        <w:t>持平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</w:p>
    <w:p>
      <w:pPr>
        <w:tabs>
          <w:tab w:val="right" w:pos="8306"/>
        </w:tabs>
        <w:spacing w:line="600" w:lineRule="exact"/>
        <w:ind w:firstLine="640"/>
        <w:outlineLvl w:val="1"/>
        <w:rPr>
          <w:rStyle w:val="29"/>
          <w:color w:val="auto"/>
          <w:highlight w:val="none"/>
        </w:rPr>
      </w:pPr>
      <w:bookmarkStart w:id="42" w:name="_Toc15396608"/>
      <w:bookmarkStart w:id="43" w:name="_Toc15377214"/>
      <w:r>
        <w:rPr>
          <w:rFonts w:hint="eastAsia" w:ascii="黑体" w:eastAsia="黑体"/>
          <w:color w:val="auto"/>
          <w:sz w:val="32"/>
          <w:szCs w:val="32"/>
          <w:highlight w:val="none"/>
        </w:rPr>
        <w:t>六</w:t>
      </w:r>
      <w:r>
        <w:rPr>
          <w:rFonts w:hint="eastAsia" w:ascii="黑体" w:eastAsia="黑体"/>
          <w:b/>
          <w:color w:val="auto"/>
          <w:sz w:val="32"/>
          <w:szCs w:val="32"/>
          <w:highlight w:val="none"/>
        </w:rPr>
        <w:t>、</w:t>
      </w:r>
      <w:r>
        <w:rPr>
          <w:rFonts w:hint="eastAsia" w:ascii="黑体" w:hAnsi="黑体" w:eastAsia="黑体"/>
          <w:b/>
          <w:color w:val="auto"/>
          <w:sz w:val="32"/>
          <w:szCs w:val="32"/>
          <w:highlight w:val="none"/>
        </w:rPr>
        <w:t>一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般公共预算财政拨款基本支出决算情况说明</w:t>
      </w:r>
      <w:bookmarkEnd w:id="42"/>
      <w:bookmarkEnd w:id="43"/>
      <w:r>
        <w:rPr>
          <w:rStyle w:val="29"/>
          <w:rFonts w:ascii="黑体" w:hAnsi="黑体" w:eastAsia="黑体"/>
          <w:b w:val="0"/>
          <w:color w:val="auto"/>
          <w:highlight w:val="none"/>
        </w:rPr>
        <w:tab/>
      </w:r>
    </w:p>
    <w:p>
      <w:pPr>
        <w:spacing w:line="600" w:lineRule="exact"/>
        <w:ind w:firstLine="645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color w:val="auto"/>
          <w:sz w:val="32"/>
          <w:szCs w:val="32"/>
          <w:highlight w:val="none"/>
        </w:rPr>
        <w:t>20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年一般公共预算财政拨款基本支出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353.76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万元，其中：</w:t>
      </w:r>
    </w:p>
    <w:p>
      <w:pPr>
        <w:spacing w:line="600" w:lineRule="exact"/>
        <w:ind w:firstLine="645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人员经费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334.61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万元，主要包括：</w:t>
      </w:r>
      <w:r>
        <w:rPr>
          <w:rFonts w:hint="eastAsia" w:ascii="仿宋" w:hAnsi="仿宋" w:eastAsia="仿宋"/>
          <w:color w:val="000000"/>
          <w:sz w:val="32"/>
          <w:szCs w:val="32"/>
        </w:rPr>
        <w:t>基本工资、津贴补贴、奖金、绩效工资、机关事业单位基本养老保险缴费、职业年金缴费、其他社会保障缴费、其他工资福利支出、离休费、退休费、生活补助、医疗费补助、奖励金、住房公积金、其他对个人和家庭的补助支出等。</w:t>
      </w:r>
      <w:r>
        <w:rPr>
          <w:rFonts w:ascii="仿宋" w:hAnsi="仿宋" w:eastAsia="仿宋"/>
          <w:color w:val="000000"/>
          <w:sz w:val="32"/>
          <w:szCs w:val="32"/>
        </w:rPr>
        <w:br w:type="textWrapping"/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　　公用经费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  <w:t>19.15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万元，主要包括：</w:t>
      </w:r>
      <w:r>
        <w:rPr>
          <w:rFonts w:hint="eastAsia" w:ascii="仿宋" w:hAnsi="仿宋" w:eastAsia="仿宋"/>
          <w:color w:val="000000"/>
          <w:sz w:val="32"/>
          <w:szCs w:val="32"/>
        </w:rPr>
        <w:t>办公费、印刷费、手续费、水费、电费、邮电费</w:t>
      </w:r>
      <w:r>
        <w:rPr>
          <w:rFonts w:hint="eastAsia" w:ascii="仿宋" w:hAnsi="仿宋" w:eastAsia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color w:val="000000"/>
          <w:sz w:val="32"/>
          <w:szCs w:val="32"/>
        </w:rPr>
        <w:t>差旅费、维修（护）费、租赁费、培训费、公务接待费、劳务费、委托业务费、工会经费、公务用车运行维护费、其他商品和服务支出等。</w:t>
      </w:r>
    </w:p>
    <w:p>
      <w:pPr>
        <w:spacing w:line="600" w:lineRule="exact"/>
        <w:ind w:firstLine="64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44" w:name="_Toc15377215"/>
      <w:bookmarkStart w:id="45" w:name="_Toc15396609"/>
      <w:r>
        <w:rPr>
          <w:rFonts w:hint="eastAsia" w:ascii="黑体" w:eastAsia="黑体"/>
          <w:color w:val="auto"/>
          <w:sz w:val="32"/>
          <w:szCs w:val="32"/>
          <w:highlight w:val="none"/>
        </w:rPr>
        <w:t>七、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财政拨款</w:t>
      </w:r>
      <w:r>
        <w:rPr>
          <w:rStyle w:val="29"/>
          <w:rFonts w:hint="eastAsia" w:ascii="黑体" w:hAnsi="黑体" w:eastAsia="黑体"/>
          <w:color w:val="auto"/>
          <w:highlight w:val="none"/>
        </w:rPr>
        <w:t>“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三公”经费支出决算情况说明</w:t>
      </w:r>
      <w:bookmarkEnd w:id="44"/>
      <w:bookmarkEnd w:id="45"/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46" w:name="_Toc15377216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（一）“三公”经费财政拨款支出决算总体情况说明</w:t>
      </w:r>
      <w:bookmarkEnd w:id="46"/>
    </w:p>
    <w:p>
      <w:pPr>
        <w:spacing w:line="600" w:lineRule="exact"/>
        <w:ind w:firstLine="640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bookmarkStart w:id="47" w:name="_Toc15377217"/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年“三公”经费财政拨款支出决算为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5.6</w:t>
      </w:r>
      <w:r>
        <w:rPr>
          <w:rFonts w:hint="eastAsia" w:ascii="仿宋" w:hAnsi="仿宋" w:eastAsia="仿宋"/>
          <w:color w:val="000000"/>
          <w:sz w:val="32"/>
          <w:szCs w:val="32"/>
        </w:rPr>
        <w:t>万元，完成预算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决算数与预算数持平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>
      <w:pPr>
        <w:spacing w:line="600" w:lineRule="exact"/>
        <w:ind w:firstLine="640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（二）“三公”经费财政拨款支出决算具体情况说明</w:t>
      </w:r>
      <w:bookmarkEnd w:id="47"/>
    </w:p>
    <w:p>
      <w:pPr>
        <w:spacing w:line="600" w:lineRule="exact"/>
        <w:ind w:firstLine="640"/>
        <w:rPr>
          <w:rFonts w:ascii="仿宋" w:hAnsi="仿宋" w:eastAsia="仿宋"/>
          <w:color w:val="000000"/>
          <w:sz w:val="32"/>
          <w:szCs w:val="32"/>
        </w:rPr>
      </w:pPr>
      <w:bookmarkStart w:id="48" w:name="_Toc15396610"/>
      <w:bookmarkStart w:id="49" w:name="_Toc15377218"/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年“三公”经费财政拨款支出决算中，因公出国（境）费支出决算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；公务用车购置及运行维护费支出决算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5.6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100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；公务接待费支出决算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color w:val="000000"/>
          <w:sz w:val="32"/>
          <w:szCs w:val="32"/>
        </w:rPr>
        <w:t>万元，占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0</w:t>
      </w:r>
      <w:r>
        <w:rPr>
          <w:rFonts w:ascii="仿宋" w:hAnsi="仿宋" w:eastAsia="仿宋"/>
          <w:color w:val="000000"/>
          <w:sz w:val="32"/>
          <w:szCs w:val="32"/>
        </w:rPr>
        <w:t>%</w:t>
      </w:r>
      <w:r>
        <w:rPr>
          <w:rFonts w:hint="eastAsia" w:ascii="仿宋" w:hAnsi="仿宋" w:eastAsia="仿宋"/>
          <w:color w:val="000000"/>
          <w:sz w:val="32"/>
          <w:szCs w:val="32"/>
        </w:rPr>
        <w:t>。具体情况如下：</w:t>
      </w:r>
    </w:p>
    <w:p>
      <w:pPr>
        <w:spacing w:line="600" w:lineRule="exact"/>
        <w:ind w:firstLine="640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（图</w:t>
      </w:r>
      <w:r>
        <w:rPr>
          <w:rFonts w:ascii="仿宋" w:hAnsi="仿宋" w:eastAsia="仿宋"/>
          <w:color w:val="000000"/>
          <w:sz w:val="32"/>
          <w:szCs w:val="32"/>
        </w:rPr>
        <w:t>7</w:t>
      </w:r>
      <w:r>
        <w:rPr>
          <w:rFonts w:hint="eastAsia" w:ascii="仿宋" w:hAnsi="仿宋" w:eastAsia="仿宋"/>
          <w:color w:val="000000"/>
          <w:sz w:val="32"/>
          <w:szCs w:val="32"/>
        </w:rPr>
        <w:t>：“三公”经费财政拨款支出结构）（饼状图）</w:t>
      </w:r>
    </w:p>
    <w:p>
      <w:pPr>
        <w:pStyle w:val="2"/>
        <w:rPr>
          <w:rFonts w:hint="eastAsia" w:ascii="仿宋" w:hAnsi="仿宋" w:eastAsia="仿宋"/>
          <w:color w:val="000000"/>
          <w:sz w:val="32"/>
          <w:szCs w:val="32"/>
        </w:rPr>
      </w:pPr>
      <w:r>
        <w:drawing>
          <wp:inline distT="0" distB="0" distL="114300" distR="114300">
            <wp:extent cx="4635500" cy="1889760"/>
            <wp:effectExtent l="4445" t="4445" r="8255" b="10795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spacing w:line="600" w:lineRule="exact"/>
        <w:ind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ascii="仿宋_GB2312" w:eastAsia="仿宋_GB2312"/>
          <w:b/>
          <w:color w:val="000000"/>
          <w:sz w:val="32"/>
          <w:szCs w:val="32"/>
        </w:rPr>
        <w:t>1.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公务用车购置及运行维护费支出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5.6</w:t>
      </w:r>
      <w:r>
        <w:rPr>
          <w:rFonts w:hint="eastAsia" w:ascii="仿宋_GB2312" w:eastAsia="仿宋_GB2312"/>
          <w:color w:val="000000"/>
          <w:sz w:val="32"/>
          <w:szCs w:val="32"/>
        </w:rPr>
        <w:t>万元,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完成预算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  <w:lang w:val="en-US" w:eastAsia="zh-CN"/>
        </w:rPr>
        <w:t>100</w:t>
      </w:r>
      <w:r>
        <w:rPr>
          <w:rStyle w:val="17"/>
          <w:rFonts w:ascii="仿宋" w:hAnsi="仿宋" w:eastAsia="仿宋"/>
          <w:b w:val="0"/>
          <w:bCs/>
          <w:color w:val="000000"/>
          <w:sz w:val="32"/>
          <w:szCs w:val="32"/>
        </w:rPr>
        <w:t>%</w:t>
      </w:r>
      <w:r>
        <w:rPr>
          <w:rStyle w:val="17"/>
          <w:rFonts w:hint="eastAsia" w:ascii="仿宋" w:hAnsi="仿宋" w:eastAsia="仿宋"/>
          <w:b w:val="0"/>
          <w:bCs/>
          <w:color w:val="000000"/>
          <w:sz w:val="32"/>
          <w:szCs w:val="32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>公务用车购置及运行维护费支出决算比</w:t>
      </w:r>
      <w:r>
        <w:rPr>
          <w:rFonts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增加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2.63</w:t>
      </w:r>
      <w:r>
        <w:rPr>
          <w:rFonts w:hint="eastAsia" w:ascii="仿宋_GB2312" w:eastAsia="仿宋_GB2312"/>
          <w:color w:val="000000"/>
          <w:sz w:val="32"/>
          <w:szCs w:val="32"/>
        </w:rPr>
        <w:t>万元，主要原因是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出差增加。</w:t>
      </w:r>
    </w:p>
    <w:p>
      <w:pPr>
        <w:spacing w:line="600" w:lineRule="exact"/>
        <w:ind w:firstLine="640"/>
        <w:rPr>
          <w:rFonts w:ascii="黑体" w:eastAsia="黑体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公务用车运行维护费支出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5.6</w:t>
      </w:r>
      <w:r>
        <w:rPr>
          <w:rFonts w:hint="eastAsia" w:ascii="仿宋_GB2312" w:eastAsia="仿宋_GB2312"/>
          <w:color w:val="000000"/>
          <w:sz w:val="32"/>
          <w:szCs w:val="32"/>
        </w:rPr>
        <w:t>万元。主要用于公务用车燃料费、维修费、过路过桥费、保险费等支出。</w:t>
      </w:r>
    </w:p>
    <w:p>
      <w:pPr>
        <w:spacing w:line="600" w:lineRule="exact"/>
        <w:ind w:firstLine="640"/>
        <w:outlineLvl w:val="1"/>
        <w:rPr>
          <w:rStyle w:val="29"/>
          <w:rFonts w:ascii="黑体" w:hAnsi="黑体" w:eastAsia="黑体"/>
          <w:color w:val="auto"/>
          <w:highlight w:val="none"/>
        </w:rPr>
      </w:pPr>
      <w:r>
        <w:rPr>
          <w:rFonts w:hint="eastAsia" w:ascii="黑体" w:eastAsia="黑体"/>
          <w:color w:val="auto"/>
          <w:sz w:val="32"/>
          <w:szCs w:val="32"/>
          <w:highlight w:val="none"/>
        </w:rPr>
        <w:t>八、</w:t>
      </w:r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政府性基金预算支出决算情况说明</w:t>
      </w:r>
      <w:bookmarkEnd w:id="48"/>
      <w:bookmarkEnd w:id="49"/>
    </w:p>
    <w:p>
      <w:pPr>
        <w:spacing w:line="600" w:lineRule="exact"/>
        <w:ind w:firstLine="640"/>
        <w:rPr>
          <w:rFonts w:hint="default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9"/>
          <w:rFonts w:ascii="黑体" w:hAnsi="黑体" w:eastAsia="黑体"/>
          <w:b w:val="0"/>
          <w:color w:val="auto"/>
          <w:highlight w:val="none"/>
        </w:rPr>
      </w:pPr>
      <w:bookmarkStart w:id="50" w:name="_Toc15396611"/>
      <w:bookmarkStart w:id="51" w:name="_Toc15377219"/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国有资本经营预算支出决算情况说明</w:t>
      </w:r>
      <w:bookmarkEnd w:id="50"/>
      <w:bookmarkEnd w:id="51"/>
    </w:p>
    <w:p>
      <w:pPr>
        <w:spacing w:line="580" w:lineRule="exact"/>
        <w:ind w:firstLine="640" w:firstLineChars="20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numPr>
          <w:ilvl w:val="0"/>
          <w:numId w:val="3"/>
        </w:numPr>
        <w:spacing w:line="600" w:lineRule="exact"/>
        <w:ind w:firstLine="640"/>
        <w:outlineLvl w:val="1"/>
        <w:rPr>
          <w:rStyle w:val="29"/>
          <w:rFonts w:hint="eastAsia" w:ascii="黑体" w:hAnsi="黑体" w:eastAsia="黑体"/>
          <w:b w:val="0"/>
          <w:color w:val="auto"/>
          <w:highlight w:val="none"/>
        </w:rPr>
      </w:pPr>
      <w:bookmarkStart w:id="52" w:name="_Toc15396612"/>
      <w:bookmarkStart w:id="53" w:name="_Toc15377221"/>
      <w:r>
        <w:rPr>
          <w:rStyle w:val="29"/>
          <w:rFonts w:hint="eastAsia" w:ascii="黑体" w:hAnsi="黑体" w:eastAsia="黑体"/>
          <w:b w:val="0"/>
          <w:color w:val="auto"/>
          <w:highlight w:val="none"/>
        </w:rPr>
        <w:t>其他重要事项的情况说明</w:t>
      </w:r>
      <w:bookmarkEnd w:id="52"/>
      <w:bookmarkEnd w:id="53"/>
    </w:p>
    <w:p>
      <w:pPr>
        <w:numPr>
          <w:ilvl w:val="0"/>
          <w:numId w:val="4"/>
        </w:numPr>
        <w:spacing w:line="600" w:lineRule="exact"/>
        <w:ind w:firstLine="643" w:firstLineChars="200"/>
        <w:outlineLvl w:val="2"/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</w:pPr>
      <w:bookmarkStart w:id="54" w:name="_Toc15377222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机关运行经费支出情况</w:t>
      </w:r>
      <w:bookmarkEnd w:id="54"/>
    </w:p>
    <w:p>
      <w:pPr>
        <w:pStyle w:val="2"/>
        <w:numPr>
          <w:ilvl w:val="0"/>
          <w:numId w:val="0"/>
        </w:num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55" w:name="_Toc15377223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（二）政府采购支出情况</w:t>
      </w:r>
      <w:bookmarkEnd w:id="55"/>
    </w:p>
    <w:p>
      <w:pPr>
        <w:spacing w:line="600" w:lineRule="exact"/>
        <w:ind w:firstLine="640" w:firstLineChars="200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bookmarkStart w:id="56" w:name="_Toc15377224"/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（三）国有资产占有使用情况</w:t>
      </w:r>
      <w:bookmarkEnd w:id="56"/>
    </w:p>
    <w:p>
      <w:pPr>
        <w:autoSpaceDE w:val="0"/>
        <w:autoSpaceDN w:val="0"/>
        <w:adjustRightInd w:val="0"/>
        <w:spacing w:line="600" w:lineRule="exact"/>
        <w:ind w:firstLine="640" w:firstLineChars="200"/>
        <w:jc w:val="left"/>
        <w:outlineLvl w:val="2"/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autoSpaceDE w:val="0"/>
        <w:autoSpaceDN w:val="0"/>
        <w:adjustRightInd w:val="0"/>
        <w:spacing w:line="600" w:lineRule="exact"/>
        <w:ind w:firstLine="643" w:firstLineChars="200"/>
        <w:jc w:val="left"/>
        <w:outlineLvl w:val="2"/>
        <w:rPr>
          <w:rFonts w:ascii="仿宋" w:hAnsi="仿宋" w:eastAsia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b/>
          <w:color w:val="auto"/>
          <w:sz w:val="32"/>
          <w:szCs w:val="32"/>
          <w:highlight w:val="none"/>
        </w:rPr>
        <w:t>（四）预算绩效管理情况</w:t>
      </w:r>
    </w:p>
    <w:p>
      <w:pPr>
        <w:widowControl/>
        <w:ind w:firstLine="640" w:firstLineChars="200"/>
        <w:jc w:val="left"/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无</w:t>
      </w:r>
    </w:p>
    <w:p>
      <w:pPr>
        <w:numPr>
          <w:ilvl w:val="0"/>
          <w:numId w:val="5"/>
        </w:numPr>
        <w:spacing w:line="600" w:lineRule="exact"/>
        <w:ind w:firstLine="660" w:firstLineChars="150"/>
        <w:jc w:val="center"/>
        <w:outlineLvl w:val="0"/>
        <w:rPr>
          <w:rStyle w:val="28"/>
          <w:rFonts w:ascii="黑体" w:hAnsi="黑体" w:eastAsia="黑体"/>
          <w:b w:val="0"/>
          <w:color w:val="auto"/>
          <w:highlight w:val="none"/>
        </w:rPr>
      </w:pPr>
      <w:bookmarkStart w:id="57" w:name="_Toc15396613"/>
      <w:bookmarkStart w:id="58" w:name="_Toc15377225"/>
      <w:r>
        <w:rPr>
          <w:rFonts w:hint="eastAsia" w:ascii="黑体" w:hAnsi="黑体" w:eastAsia="黑体"/>
          <w:color w:val="auto"/>
          <w:sz w:val="44"/>
          <w:szCs w:val="44"/>
          <w:highlight w:val="none"/>
        </w:rPr>
        <w:t>名</w:t>
      </w:r>
      <w:r>
        <w:rPr>
          <w:rStyle w:val="28"/>
          <w:rFonts w:hint="eastAsia" w:ascii="黑体" w:hAnsi="黑体" w:eastAsia="黑体"/>
          <w:b w:val="0"/>
          <w:color w:val="auto"/>
          <w:highlight w:val="none"/>
        </w:rPr>
        <w:t>词解释</w:t>
      </w:r>
      <w:bookmarkEnd w:id="57"/>
      <w:bookmarkEnd w:id="58"/>
    </w:p>
    <w:p>
      <w:pPr>
        <w:spacing w:line="600" w:lineRule="exact"/>
        <w:jc w:val="left"/>
        <w:rPr>
          <w:rFonts w:ascii="宋体"/>
          <w:b/>
          <w:color w:val="auto"/>
          <w:sz w:val="44"/>
          <w:szCs w:val="44"/>
          <w:highlight w:val="none"/>
        </w:rPr>
      </w:pPr>
    </w:p>
    <w:p>
      <w:pPr>
        <w:pStyle w:val="26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bookmarkStart w:id="59" w:name="_Toc15396614"/>
      <w:bookmarkStart w:id="60" w:name="_Toc15377226"/>
      <w:r>
        <w:rPr>
          <w:rFonts w:ascii="仿宋_GB2312"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</w:rPr>
        <w:t>财政拨款收入：指单位从同级财政部门取得的财政预算资金。</w:t>
      </w:r>
    </w:p>
    <w:p>
      <w:pPr>
        <w:pStyle w:val="26"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ascii="仿宋_GB2312" w:eastAsia="仿宋_GB2312"/>
          <w:sz w:val="32"/>
          <w:szCs w:val="32"/>
        </w:rPr>
        <w:t>2.</w:t>
      </w:r>
      <w:r>
        <w:rPr>
          <w:rFonts w:hint="eastAsia" w:ascii="仿宋_GB2312" w:eastAsia="仿宋_GB2312"/>
          <w:sz w:val="32"/>
          <w:szCs w:val="32"/>
          <w:lang w:eastAsia="zh-CN"/>
        </w:rPr>
        <w:t>社会保障和就业。</w:t>
      </w:r>
    </w:p>
    <w:p>
      <w:pPr>
        <w:pStyle w:val="26"/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3.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卫生健康。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农林水。</w:t>
      </w:r>
    </w:p>
    <w:p>
      <w:pPr>
        <w:pStyle w:val="26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5.</w:t>
      </w:r>
      <w:r>
        <w:rPr>
          <w:rFonts w:hint="eastAsia" w:ascii="仿宋_GB2312" w:eastAsia="仿宋_GB2312"/>
          <w:color w:val="000000"/>
          <w:sz w:val="32"/>
          <w:szCs w:val="32"/>
        </w:rPr>
        <w:t>住房保障。</w:t>
      </w:r>
      <w:r>
        <w:rPr>
          <w:rFonts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6.</w:t>
      </w:r>
      <w:r>
        <w:rPr>
          <w:rFonts w:hint="eastAsia" w:ascii="仿宋_GB2312" w:eastAsia="仿宋_GB2312"/>
          <w:color w:val="000000"/>
          <w:sz w:val="32"/>
          <w:szCs w:val="32"/>
        </w:rPr>
        <w:t>基本支出：指为保障机构正常运转、完成日常工作任务而发生的人员支出和公用支出。</w:t>
      </w:r>
    </w:p>
    <w:p>
      <w:pPr>
        <w:pStyle w:val="26"/>
        <w:spacing w:line="560" w:lineRule="exact"/>
        <w:ind w:firstLine="640" w:firstLineChars="200"/>
        <w:rPr>
          <w:rFonts w:ascii="仿宋_GB2312" w:eastAsia="仿宋_GB2312" w:cs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“三公”经费：指部门用财政拨款安排的因公出国（境）费、公务用车购置及运行费和公务接待费。其中，因公出国（境）费反映单位公务出国（境）的国际旅费、国外城市间交通费、住宿费、伙食费、培训费、公杂费等支出；公务用车购置及运行费反映单位公务用车车辆购置支出（含车辆购置税）及租用费、燃料费、维修费、过路过桥费、保险费等支出；公务接待费反映单位按规定开支的各类公务接待（含外宾接待）支出。</w:t>
      </w:r>
    </w:p>
    <w:p>
      <w:pPr>
        <w:spacing w:line="600" w:lineRule="exact"/>
        <w:jc w:val="center"/>
        <w:outlineLvl w:val="0"/>
        <w:rPr>
          <w:rStyle w:val="28"/>
          <w:rFonts w:hint="eastAsia" w:ascii="黑体" w:hAnsi="黑体" w:eastAsia="黑体"/>
          <w:b w:val="0"/>
          <w:color w:val="auto"/>
          <w:highlight w:val="none"/>
          <w:lang w:eastAsia="zh-CN"/>
        </w:rPr>
      </w:pPr>
      <w:r>
        <w:rPr>
          <w:rFonts w:ascii="宋体"/>
          <w:b/>
          <w:color w:val="000000"/>
          <w:sz w:val="44"/>
          <w:szCs w:val="44"/>
        </w:rPr>
        <w:br w:type="page"/>
      </w:r>
      <w:r>
        <w:rPr>
          <w:rFonts w:hint="eastAsia" w:ascii="黑体" w:hAnsi="黑体" w:eastAsia="黑体"/>
          <w:color w:val="auto"/>
          <w:sz w:val="44"/>
          <w:szCs w:val="44"/>
          <w:highlight w:val="none"/>
        </w:rPr>
        <w:t>第</w:t>
      </w:r>
      <w:r>
        <w:rPr>
          <w:rStyle w:val="28"/>
          <w:rFonts w:hint="eastAsia" w:ascii="黑体" w:hAnsi="黑体" w:eastAsia="黑体"/>
          <w:b w:val="0"/>
          <w:color w:val="auto"/>
          <w:highlight w:val="none"/>
        </w:rPr>
        <w:t>四部分 附件</w:t>
      </w:r>
      <w:bookmarkEnd w:id="5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2" w:lineRule="exact"/>
        <w:jc w:val="left"/>
        <w:textAlignment w:val="auto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</w:p>
    <w:p>
      <w:pPr>
        <w:spacing w:line="600" w:lineRule="exact"/>
        <w:jc w:val="center"/>
        <w:outlineLvl w:val="0"/>
        <w:rPr>
          <w:rFonts w:ascii="方正小标宋简体" w:hAnsi="黑体" w:eastAsia="方正小标宋简体" w:cs="黑体"/>
          <w:sz w:val="44"/>
          <w:szCs w:val="44"/>
        </w:rPr>
      </w:pPr>
      <w:bookmarkStart w:id="61" w:name="_Toc79163632"/>
      <w:bookmarkStart w:id="62" w:name="_Toc79163882"/>
      <w:r>
        <w:rPr>
          <w:rFonts w:hint="eastAsia" w:ascii="方正小标宋简体" w:hAnsi="黑体" w:eastAsia="方正小标宋简体" w:cs="黑体"/>
          <w:sz w:val="44"/>
          <w:szCs w:val="44"/>
        </w:rPr>
        <w:t>壤塘县农业畜牧和水务局科教站</w:t>
      </w:r>
      <w:r>
        <w:rPr>
          <w:rFonts w:ascii="方正小标宋简体" w:hAnsi="黑体" w:eastAsia="方正小标宋简体" w:cs="黑体"/>
          <w:sz w:val="44"/>
          <w:szCs w:val="44"/>
        </w:rPr>
        <w:t>202</w:t>
      </w: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2</w:t>
      </w:r>
      <w:r>
        <w:rPr>
          <w:rFonts w:hint="eastAsia" w:ascii="方正小标宋简体" w:hAnsi="黑体" w:eastAsia="方正小标宋简体" w:cs="黑体"/>
          <w:sz w:val="44"/>
          <w:szCs w:val="44"/>
        </w:rPr>
        <w:t>年部门整体支出绩效评价报告</w:t>
      </w:r>
      <w:bookmarkEnd w:id="61"/>
      <w:bookmarkEnd w:id="62"/>
    </w:p>
    <w:p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  <w:t>部门（单位）基本情况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-13" w:leftChars="0" w:firstLine="643" w:firstLineChars="0"/>
        <w:contextualSpacing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  <w:t>机构组成。</w:t>
      </w:r>
    </w:p>
    <w:p>
      <w:pPr>
        <w:ind w:firstLine="42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壤塘县水务局为一级预算单位(行政单位），内设股室（事业）：水务执法中队、水利水保股、水利工程质量监督站、水利规划与建管股、防汛抗旱中心、河长制办公室。</w:t>
      </w:r>
    </w:p>
    <w:p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-13" w:leftChars="0" w:firstLine="643" w:firstLineChars="0"/>
        <w:contextualSpacing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shd w:val="clear" w:color="auto" w:fill="FFFFFF"/>
          <w:lang w:val="zh-CN"/>
        </w:rPr>
        <w:t>机构职能和人员概况。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right="0" w:rightChars="0" w:firstLine="420" w:firstLineChars="200"/>
        <w:textAlignment w:val="auto"/>
        <w:outlineLvl w:val="9"/>
        <w:rPr>
          <w:rFonts w:hint="eastAsia"/>
          <w:lang w:val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①</w:t>
      </w:r>
      <w:r>
        <w:rPr>
          <w:rFonts w:hint="eastAsia" w:ascii="仿宋_GB2312" w:eastAsia="仿宋_GB2312"/>
          <w:sz w:val="32"/>
          <w:szCs w:val="32"/>
        </w:rPr>
        <w:t>统一管理全县水资源（含空中水、地表水、地下水）。组织制定全县水资源总体规划、流域规划和专业规划；②拟定全县城乡中长期供水计划，水量分配方案并监督实施，负责全县水价格核算的组织工作；③按照《中华人民共和国环境保护法》、《中华人民共和国水污染防治法》等法律、法规和标准，拟定水资源保护规划、组织水功能区划分，监测县境内河流、溪沟的水质，审定水域纳污能力，提出限制排污总量的意见。审查水域、河道排污口的设置和扩大。④负责全县水务工程建设项目的规划、建设书、可行性研究报告和初步设计方案的编制审批工作；负责组织指导全县水务基础设施建设；负责水利工程管理范围内新建、扩建、改建种类建设项目审批；负责对水务基础设施工程质量监督管理；组织指导县内河流及溪沟的治理和开发；组织建设和管理具有控制性的或跨乡镇的重要水利工程。负责管理和指导全县水利工程设施；负责指导全县农田灌溉、农业节水和抗旱工作。⑤负责县内河道的行政管理及管护范围内砂石资源的开发、利用和保护；负责对河道管理范围内建设项目报批；负责河道采砂许可，防汛等安全生产工作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leftChars="200" w:firstLine="320" w:firstLineChars="100"/>
        <w:contextualSpacing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/>
        </w:rPr>
        <w:t>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/>
        </w:rPr>
        <w:t>三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zh-CN"/>
        </w:rPr>
        <w:t>）人员概况。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编制22人，年末实有职工22人（事业工勤2人，事业15人，行政5人）。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</w:rPr>
        <w:t>二、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  <w:lang w:eastAsia="zh-CN"/>
        </w:rPr>
        <w:t>部门</w:t>
      </w: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</w:rPr>
        <w:t>资金收支情况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（一）部门财政资金收入情况。</w:t>
      </w:r>
    </w:p>
    <w:p>
      <w:pPr>
        <w:pStyle w:val="2"/>
        <w:rPr>
          <w:lang w:val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2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022</w:t>
      </w:r>
      <w:r>
        <w:rPr>
          <w:rFonts w:eastAsia="仿宋"/>
          <w:color w:val="000000"/>
          <w:sz w:val="32"/>
          <w:szCs w:val="32"/>
        </w:rPr>
        <w:t>年财政拨款收入总计</w:t>
      </w:r>
      <w:r>
        <w:rPr>
          <w:rFonts w:hint="eastAsia" w:ascii="仿宋" w:hAnsi="仿宋" w:eastAsia="仿宋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353.76</w:t>
      </w:r>
      <w:r>
        <w:rPr>
          <w:rFonts w:eastAsia="仿宋"/>
          <w:color w:val="000000"/>
          <w:sz w:val="32"/>
          <w:szCs w:val="32"/>
        </w:rPr>
        <w:t>万元。</w:t>
      </w:r>
    </w:p>
    <w:p>
      <w:pPr>
        <w:widowControl/>
        <w:numPr>
          <w:ilvl w:val="0"/>
          <w:numId w:val="8"/>
        </w:numPr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部门财政资金支出情况。</w:t>
      </w:r>
    </w:p>
    <w:p>
      <w:pPr>
        <w:spacing w:line="600" w:lineRule="exact"/>
        <w:ind w:firstLine="630" w:firstLineChars="300"/>
        <w:rPr>
          <w:lang w:val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ascii="仿宋" w:hAnsi="仿宋" w:eastAsia="仿宋"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/>
          <w:color w:val="000000"/>
          <w:sz w:val="32"/>
          <w:szCs w:val="32"/>
        </w:rPr>
        <w:t>年财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政拨款支出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353.76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万元，主要用于以下方面</w:t>
      </w:r>
      <w:r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社会保障和就业支出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43.55</w:t>
      </w:r>
      <w:r>
        <w:rPr>
          <w:rFonts w:hint="eastAsia" w:ascii="仿宋" w:hAnsi="仿宋" w:eastAsia="仿宋"/>
          <w:b w:val="0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11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卫生健康支出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17.23</w:t>
      </w:r>
      <w:r>
        <w:rPr>
          <w:rFonts w:hint="eastAsia" w:ascii="仿宋" w:hAnsi="仿宋" w:eastAsia="仿宋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农林水支出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267.48万元，占75%；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住房保障支出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23.47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万元，占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</w:t>
      </w:r>
      <w:r>
        <w:rPr>
          <w:rFonts w:hint="eastAsia" w:ascii="仿宋" w:hAnsi="仿宋" w:eastAsia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80" w:lineRule="exact"/>
        <w:ind w:leftChars="200" w:firstLine="320" w:firstLineChars="100"/>
        <w:contextualSpacing/>
        <w:jc w:val="left"/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</w:pP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三、</w:t>
      </w:r>
      <w:r>
        <w:rPr>
          <w:rFonts w:hint="eastAsia" w:ascii="黑体" w:hAnsi="宋体" w:eastAsia="黑体" w:cs="宋体"/>
          <w:color w:val="000000"/>
          <w:kern w:val="0"/>
          <w:sz w:val="32"/>
          <w:szCs w:val="32"/>
          <w:shd w:val="clear" w:color="auto" w:fill="FFFFFF"/>
        </w:rPr>
        <w:t>部门整体预算绩效管理情况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（一）部门预算管理。</w:t>
      </w:r>
    </w:p>
    <w:p>
      <w:pPr>
        <w:spacing w:line="580" w:lineRule="exact"/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根据20</w:t>
      </w:r>
      <w:r>
        <w:rPr>
          <w:rFonts w:hint="eastAsia" w:eastAsia="仿宋_GB2312"/>
          <w:sz w:val="32"/>
          <w:szCs w:val="32"/>
          <w:lang w:val="en-US" w:eastAsia="zh-CN"/>
        </w:rPr>
        <w:t>22</w:t>
      </w:r>
      <w:r>
        <w:rPr>
          <w:rFonts w:eastAsia="仿宋_GB2312"/>
          <w:sz w:val="32"/>
          <w:szCs w:val="32"/>
        </w:rPr>
        <w:t>年度预算编制工作会议精神，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结合单位具体情况及20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年编制中出现的问题专门召开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预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算编制工作会，提出2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022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年预算编制要求及注意事项：加强综合预算管理，严格执行财经纪律，控制行政运行支出，优化项目支出结构，强化项目支出绩效目标，着力提高预算管理科学化精细化水平，提高预算编制质量执行管理情况</w:t>
      </w:r>
      <w:r>
        <w:rPr>
          <w:rFonts w:eastAsia="仿宋_GB2312"/>
          <w:sz w:val="32"/>
          <w:szCs w:val="32"/>
        </w:rPr>
        <w:t>。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（二）结果应用情况。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认真组织局机关开展绩效评价自评工作。并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对</w:t>
      </w:r>
      <w:r>
        <w:rPr>
          <w:rFonts w:hint="eastAsia" w:ascii="仿宋_GB2312" w:eastAsia="仿宋_GB2312"/>
          <w:color w:val="000000"/>
          <w:sz w:val="32"/>
          <w:szCs w:val="32"/>
        </w:rPr>
        <w:t>20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/>
          <w:color w:val="000000"/>
          <w:sz w:val="32"/>
          <w:szCs w:val="32"/>
        </w:rPr>
        <w:t>年整体支出开展绩效自评，自评得分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93</w:t>
      </w:r>
      <w:r>
        <w:rPr>
          <w:rFonts w:hint="eastAsia" w:ascii="仿宋_GB2312" w:eastAsia="仿宋_GB2312"/>
          <w:color w:val="000000"/>
          <w:sz w:val="32"/>
          <w:szCs w:val="32"/>
        </w:rPr>
        <w:t>分。</w:t>
      </w: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20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/>
          <w:color w:val="000000"/>
          <w:sz w:val="32"/>
          <w:szCs w:val="32"/>
        </w:rPr>
        <w:t>年部门整体支出绩效评价得分表</w:t>
      </w:r>
    </w:p>
    <w:tbl>
      <w:tblPr>
        <w:tblStyle w:val="15"/>
        <w:tblW w:w="9498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268"/>
        <w:gridCol w:w="3402"/>
        <w:gridCol w:w="21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34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得分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部门决策（25分）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目标任务（15分）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相关性（5分）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明确性（5分）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合理性（5分）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预算编制（10分）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测算依据（5分）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目标管理（5分）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综合管理（30分）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专项资金分配时限（2分）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省级财力专项预算分配时限（1分）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中央专款分配合规率（1分）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中期评估（2分）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执行中期评估（2分）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绩效监控（5分）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预算执行进度监控（2分）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绩效目标动态监控（3分）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非税收入执收情况（2分）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非税收入征收情况（1分）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非税收入上缴情况（1分）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资产管理信息化情况（2分）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行政事业单位资产报告情况（2分）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资产管理与预算管理相结合（2分）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内控制度管理（2分）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内部控制度健全完整（2分）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信息公开（6分）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预算公开（2分）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决算公开（2分）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绩效信息公开（2分）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绩效评价（5分）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绩效评价开展（2分）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评价结果应用（3分）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0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部门绩效情况（45分）</w:t>
            </w: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履职成效（20分）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部门特性指标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18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可持续发展能力（15分）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重点改革（重点工作）完成情况（5分）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科技（制度、方法、机制等）创新（5分）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人才培养（5分）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满意度（10分）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协作部门满意度（3分）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70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管理对象满意度（3分）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社会公众满意度（4分）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</w:p>
        </w:tc>
      </w:tr>
    </w:tbl>
    <w:p>
      <w:pPr>
        <w:numPr>
          <w:ilvl w:val="0"/>
          <w:numId w:val="0"/>
        </w:numPr>
        <w:spacing w:line="580" w:lineRule="exact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contextualSpacing/>
        <w:jc w:val="left"/>
        <w:textAlignment w:val="auto"/>
        <w:rPr>
          <w:rFonts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宋体" w:eastAsia="黑体" w:cs="宋体"/>
          <w:color w:val="auto"/>
          <w:kern w:val="0"/>
          <w:sz w:val="32"/>
          <w:szCs w:val="32"/>
          <w:highlight w:val="none"/>
          <w:shd w:val="clear" w:color="auto" w:fill="FFFFFF"/>
        </w:rPr>
        <w:t>四、评价结论及建议</w:t>
      </w: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（一）评价结论。</w:t>
      </w:r>
    </w:p>
    <w:p>
      <w:pPr>
        <w:spacing w:line="580" w:lineRule="exact"/>
        <w:ind w:firstLine="640" w:firstLineChars="200"/>
        <w:rPr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单位20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val="en-US" w:eastAsia="zh-CN"/>
        </w:rPr>
        <w:t>22</w:t>
      </w:r>
      <w:r>
        <w:rPr>
          <w:rFonts w:eastAsia="仿宋_GB2312"/>
          <w:color w:val="333333"/>
          <w:sz w:val="32"/>
          <w:szCs w:val="32"/>
          <w:shd w:val="clear" w:color="auto" w:fill="FFFFFF"/>
        </w:rPr>
        <w:t>年部门预算支出在预算编制、预算执行、综合管理、整体效益等方面均按要求按规定执行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。</w:t>
      </w:r>
    </w:p>
    <w:p>
      <w:pPr>
        <w:pStyle w:val="2"/>
        <w:rPr>
          <w:lang w:val="zh-CN"/>
        </w:rPr>
      </w:pPr>
    </w:p>
    <w:p>
      <w:pPr>
        <w:widowControl/>
        <w:adjustRightInd w:val="0"/>
        <w:snapToGrid w:val="0"/>
        <w:spacing w:line="580" w:lineRule="exact"/>
        <w:ind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（二）存在问题。</w:t>
      </w:r>
    </w:p>
    <w:p>
      <w:pPr>
        <w:spacing w:line="580" w:lineRule="exact"/>
        <w:ind w:firstLine="640" w:firstLineChars="200"/>
        <w:rPr>
          <w:rFonts w:hint="eastAsia"/>
          <w:lang w:val="zh-CN"/>
        </w:rPr>
      </w:pPr>
      <w:r>
        <w:rPr>
          <w:rFonts w:eastAsia="仿宋_GB2312"/>
          <w:color w:val="333333"/>
          <w:sz w:val="32"/>
          <w:szCs w:val="32"/>
          <w:shd w:val="clear" w:color="auto" w:fill="FFFFFF"/>
        </w:rPr>
        <w:t>单位在预算编制上精细化和科学化不够</w:t>
      </w:r>
      <w:r>
        <w:rPr>
          <w:rFonts w:hint="eastAsia" w:eastAsia="仿宋_GB2312"/>
          <w:color w:val="333333"/>
          <w:sz w:val="32"/>
          <w:szCs w:val="32"/>
          <w:shd w:val="clear" w:color="auto" w:fill="FFFFFF"/>
          <w:lang w:eastAsia="zh-CN"/>
        </w:rPr>
        <w:t>，相关制度不够健全。</w:t>
      </w:r>
    </w:p>
    <w:p>
      <w:pPr>
        <w:pStyle w:val="2"/>
        <w:rPr>
          <w:lang w:val="zh-CN"/>
        </w:rPr>
      </w:pPr>
    </w:p>
    <w:p>
      <w:pPr>
        <w:widowControl/>
        <w:numPr>
          <w:ilvl w:val="0"/>
          <w:numId w:val="8"/>
        </w:numPr>
        <w:adjustRightInd w:val="0"/>
        <w:snapToGrid w:val="0"/>
        <w:spacing w:line="580" w:lineRule="exact"/>
        <w:ind w:left="0" w:leftChars="0" w:firstLine="640" w:firstLineChars="200"/>
        <w:contextualSpacing/>
        <w:jc w:val="left"/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shd w:val="clear" w:color="auto" w:fill="FFFFFF"/>
          <w:lang w:val="zh-CN"/>
        </w:rPr>
        <w:t>改进建议。</w:t>
      </w:r>
    </w:p>
    <w:p>
      <w:pPr>
        <w:pStyle w:val="2"/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细化预算编制工作，认真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做好预算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的编制；加强各项制度的建立健全；</w:t>
      </w:r>
      <w:r>
        <w:rPr>
          <w:rStyle w:val="17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加大宣传力度，树立绩效管理理念</w:t>
      </w:r>
      <w:r>
        <w:rPr>
          <w:rStyle w:val="17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；</w:t>
      </w:r>
      <w:r>
        <w:rPr>
          <w:rStyle w:val="17"/>
          <w:rFonts w:hint="eastAsia" w:ascii="仿宋" w:hAnsi="仿宋" w:eastAsia="仿宋" w:cs="仿宋"/>
          <w:b w:val="0"/>
          <w:bCs w:val="0"/>
          <w:color w:val="4E4C4C"/>
          <w:sz w:val="32"/>
          <w:szCs w:val="32"/>
        </w:rPr>
        <w:t>加强学习培训，提升业务能力</w:t>
      </w:r>
      <w:r>
        <w:rPr>
          <w:rStyle w:val="17"/>
          <w:rFonts w:hint="eastAsia" w:ascii="仿宋" w:hAnsi="仿宋" w:eastAsia="仿宋" w:cs="仿宋"/>
          <w:b w:val="0"/>
          <w:bCs w:val="0"/>
          <w:color w:val="4E4C4C"/>
          <w:sz w:val="32"/>
          <w:szCs w:val="32"/>
          <w:lang w:eastAsia="zh-CN"/>
        </w:rPr>
        <w:t>。</w:t>
      </w:r>
    </w:p>
    <w:p>
      <w:pPr>
        <w:pStyle w:val="2"/>
        <w:numPr>
          <w:ilvl w:val="0"/>
          <w:numId w:val="0"/>
        </w:numPr>
        <w:ind w:leftChars="200"/>
        <w:rPr>
          <w:lang w:val="zh-CN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jc w:val="center"/>
        <w:outlineLvl w:val="0"/>
        <w:rPr>
          <w:rFonts w:hint="eastAsia" w:ascii="仿宋" w:hAnsi="仿宋" w:eastAsia="仿宋"/>
          <w:b w:val="0"/>
          <w:color w:val="auto"/>
          <w:highlight w:val="none"/>
        </w:rPr>
      </w:pPr>
      <w:bookmarkStart w:id="63" w:name="_Toc15396618"/>
      <w:r>
        <w:rPr>
          <w:rFonts w:hint="eastAsia" w:ascii="黑体" w:hAnsi="黑体" w:eastAsia="黑体"/>
          <w:color w:val="auto"/>
          <w:sz w:val="44"/>
          <w:szCs w:val="44"/>
          <w:highlight w:val="none"/>
        </w:rPr>
        <w:t>第</w:t>
      </w:r>
      <w:r>
        <w:rPr>
          <w:rStyle w:val="28"/>
          <w:rFonts w:hint="eastAsia" w:ascii="黑体" w:hAnsi="黑体" w:eastAsia="黑体"/>
          <w:b w:val="0"/>
          <w:color w:val="auto"/>
          <w:highlight w:val="none"/>
        </w:rPr>
        <w:t>五部分 附表</w:t>
      </w:r>
      <w:bookmarkEnd w:id="60"/>
      <w:bookmarkEnd w:id="63"/>
      <w:bookmarkStart w:id="64" w:name="_Toc15396619"/>
    </w:p>
    <w:p>
      <w:pPr>
        <w:pStyle w:val="4"/>
        <w:rPr>
          <w:rFonts w:ascii="仿宋" w:hAnsi="仿宋" w:eastAsia="仿宋"/>
          <w:color w:val="auto"/>
          <w:highlight w:val="none"/>
        </w:rPr>
      </w:pPr>
      <w:r>
        <w:rPr>
          <w:rFonts w:hint="eastAsia" w:ascii="仿宋" w:hAnsi="仿宋" w:eastAsia="仿宋"/>
          <w:b w:val="0"/>
          <w:color w:val="auto"/>
          <w:highlight w:val="none"/>
        </w:rPr>
        <w:t>一、收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入支出决算总表</w:t>
      </w:r>
      <w:bookmarkEnd w:id="64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65" w:name="_Toc15396620"/>
      <w:r>
        <w:rPr>
          <w:rFonts w:hint="eastAsia" w:ascii="仿宋" w:hAnsi="仿宋" w:eastAsia="仿宋"/>
          <w:b w:val="0"/>
          <w:color w:val="auto"/>
          <w:highlight w:val="none"/>
        </w:rPr>
        <w:t>二、收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入决算表</w:t>
      </w:r>
      <w:bookmarkEnd w:id="65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66" w:name="_Toc15396621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三、</w:t>
      </w:r>
      <w:r>
        <w:rPr>
          <w:rFonts w:hint="eastAsia" w:ascii="仿宋" w:hAnsi="仿宋" w:eastAsia="仿宋"/>
          <w:b w:val="0"/>
          <w:color w:val="auto"/>
          <w:highlight w:val="none"/>
        </w:rPr>
        <w:t>支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出决算表</w:t>
      </w:r>
      <w:bookmarkEnd w:id="66"/>
    </w:p>
    <w:p>
      <w:pPr>
        <w:pStyle w:val="4"/>
        <w:rPr>
          <w:rFonts w:ascii="仿宋" w:hAnsi="仿宋" w:eastAsia="仿宋"/>
          <w:b w:val="0"/>
          <w:color w:val="auto"/>
          <w:highlight w:val="none"/>
        </w:rPr>
      </w:pPr>
      <w:bookmarkStart w:id="67" w:name="_Toc15396622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四、</w:t>
      </w:r>
      <w:r>
        <w:rPr>
          <w:rFonts w:hint="eastAsia" w:ascii="仿宋" w:hAnsi="仿宋" w:eastAsia="仿宋"/>
          <w:b w:val="0"/>
          <w:color w:val="auto"/>
          <w:highlight w:val="none"/>
        </w:rPr>
        <w:t>财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政拨款收入支出决算总表</w:t>
      </w:r>
      <w:bookmarkEnd w:id="67"/>
    </w:p>
    <w:p>
      <w:pPr>
        <w:pStyle w:val="4"/>
        <w:rPr>
          <w:rStyle w:val="29"/>
          <w:rFonts w:ascii="仿宋" w:hAnsi="仿宋" w:eastAsia="仿宋"/>
          <w:b w:val="0"/>
          <w:bCs w:val="0"/>
          <w:color w:val="auto"/>
          <w:highlight w:val="none"/>
        </w:rPr>
      </w:pPr>
      <w:bookmarkStart w:id="68" w:name="_Toc15396623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五、</w:t>
      </w:r>
      <w:r>
        <w:rPr>
          <w:rFonts w:hint="eastAsia" w:ascii="仿宋" w:hAnsi="仿宋" w:eastAsia="仿宋"/>
          <w:b w:val="0"/>
          <w:color w:val="auto"/>
          <w:highlight w:val="none"/>
        </w:rPr>
        <w:t>财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政拨款支出决算明细表</w:t>
      </w:r>
      <w:bookmarkEnd w:id="68"/>
      <w:bookmarkStart w:id="69" w:name="_Toc15396624"/>
    </w:p>
    <w:p>
      <w:pPr>
        <w:pStyle w:val="4"/>
        <w:rPr>
          <w:rFonts w:ascii="仿宋" w:hAnsi="仿宋" w:eastAsia="仿宋"/>
          <w:color w:val="auto"/>
          <w:highlight w:val="none"/>
        </w:rPr>
      </w:pP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六、</w:t>
      </w:r>
      <w:r>
        <w:rPr>
          <w:rFonts w:hint="eastAsia" w:ascii="仿宋" w:hAnsi="仿宋" w:eastAsia="仿宋"/>
          <w:b w:val="0"/>
          <w:color w:val="auto"/>
          <w:highlight w:val="none"/>
        </w:rPr>
        <w:t>一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般公共预算财政拨款支出决算表</w:t>
      </w:r>
      <w:bookmarkEnd w:id="69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0" w:name="_Toc15396625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七、</w:t>
      </w:r>
      <w:r>
        <w:rPr>
          <w:rFonts w:hint="eastAsia" w:ascii="仿宋" w:hAnsi="仿宋" w:eastAsia="仿宋"/>
          <w:b w:val="0"/>
          <w:color w:val="auto"/>
          <w:highlight w:val="none"/>
        </w:rPr>
        <w:t>一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般公共预算财政拨款支出决算明细表</w:t>
      </w:r>
      <w:bookmarkEnd w:id="70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1" w:name="_Toc15396626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八、</w:t>
      </w:r>
      <w:r>
        <w:rPr>
          <w:rFonts w:hint="eastAsia" w:ascii="仿宋" w:hAnsi="仿宋" w:eastAsia="仿宋"/>
          <w:b w:val="0"/>
          <w:color w:val="auto"/>
          <w:highlight w:val="none"/>
        </w:rPr>
        <w:t>一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般公共预算财政拨款基本支出决算表</w:t>
      </w:r>
      <w:bookmarkEnd w:id="71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2" w:name="_Toc15396627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九、</w:t>
      </w:r>
      <w:r>
        <w:rPr>
          <w:rFonts w:hint="eastAsia" w:ascii="仿宋" w:hAnsi="仿宋" w:eastAsia="仿宋"/>
          <w:b w:val="0"/>
          <w:color w:val="auto"/>
          <w:highlight w:val="none"/>
        </w:rPr>
        <w:t>一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般公共预算财政拨款项目支出决算表</w:t>
      </w:r>
      <w:bookmarkEnd w:id="72"/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3" w:name="_Toc15396628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十、</w:t>
      </w:r>
      <w:bookmarkEnd w:id="73"/>
      <w:r>
        <w:rPr>
          <w:rFonts w:hint="eastAsia" w:ascii="仿宋" w:hAnsi="仿宋" w:eastAsia="仿宋"/>
          <w:b w:val="0"/>
          <w:color w:val="auto"/>
          <w:highlight w:val="none"/>
        </w:rPr>
        <w:t>政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府性基金预算财政拨款收入支出决算表</w:t>
      </w:r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4" w:name="_Toc15396629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十一、</w:t>
      </w:r>
      <w:bookmarkEnd w:id="74"/>
      <w:r>
        <w:rPr>
          <w:rFonts w:hint="eastAsia" w:ascii="仿宋" w:hAnsi="仿宋" w:eastAsia="仿宋"/>
          <w:b w:val="0"/>
          <w:color w:val="auto"/>
          <w:highlight w:val="none"/>
        </w:rPr>
        <w:t>国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有资本经营预算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  <w:lang w:eastAsia="zh-CN"/>
        </w:rPr>
        <w:t>财政拨款收入</w:t>
      </w:r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支出决算表</w:t>
      </w:r>
    </w:p>
    <w:p>
      <w:pPr>
        <w:pStyle w:val="4"/>
        <w:rPr>
          <w:rFonts w:ascii="仿宋" w:hAnsi="仿宋" w:eastAsia="仿宋"/>
          <w:color w:val="auto"/>
          <w:highlight w:val="none"/>
        </w:rPr>
      </w:pPr>
      <w:bookmarkStart w:id="75" w:name="_Toc15396630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十二、</w:t>
      </w:r>
      <w:bookmarkEnd w:id="75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  <w:lang w:eastAsia="zh-CN"/>
        </w:rPr>
        <w:t>国有资本经营预算财政拨款支出决算表</w:t>
      </w:r>
    </w:p>
    <w:p>
      <w:pPr>
        <w:pStyle w:val="4"/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  <w:lang w:eastAsia="zh-CN"/>
        </w:rPr>
      </w:pPr>
      <w:bookmarkStart w:id="76" w:name="_Toc15396631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</w:rPr>
        <w:t>十三、</w:t>
      </w:r>
      <w:bookmarkEnd w:id="76"/>
      <w:r>
        <w:rPr>
          <w:rStyle w:val="29"/>
          <w:rFonts w:hint="eastAsia" w:ascii="仿宋" w:hAnsi="仿宋" w:eastAsia="仿宋"/>
          <w:b w:val="0"/>
          <w:bCs w:val="0"/>
          <w:color w:val="auto"/>
          <w:highlight w:val="none"/>
          <w:lang w:eastAsia="zh-CN"/>
        </w:rPr>
        <w:t>财政拨款“三公”经费支出决算表</w:t>
      </w:r>
    </w:p>
    <w:p>
      <w:pPr>
        <w:pStyle w:val="4"/>
        <w:rPr>
          <w:rStyle w:val="29"/>
          <w:rFonts w:ascii="仿宋" w:hAnsi="仿宋" w:eastAsia="仿宋"/>
          <w:b w:val="0"/>
          <w:bCs w:val="0"/>
        </w:rPr>
      </w:pPr>
      <w:bookmarkStart w:id="77" w:name="_Toc79163649"/>
      <w:bookmarkStart w:id="78" w:name="_Toc79163899"/>
      <w:r>
        <w:rPr>
          <w:rStyle w:val="29"/>
          <w:rFonts w:hint="eastAsia" w:ascii="仿宋" w:hAnsi="仿宋" w:eastAsia="仿宋"/>
          <w:b w:val="0"/>
          <w:bCs w:val="0"/>
        </w:rPr>
        <w:t>十四、国有资本经营预算财政拨款支出决算表</w:t>
      </w:r>
      <w:bookmarkEnd w:id="77"/>
      <w:bookmarkEnd w:id="78"/>
    </w:p>
    <w:p>
      <w:pPr>
        <w:rPr>
          <w:rFonts w:hint="eastAsia"/>
          <w:lang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94781956"/>
    </w:sdtPr>
    <w:sdtContent>
      <w:p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C9C605B"/>
    <w:multiLevelType w:val="singleLevel"/>
    <w:tmpl w:val="CC9C605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F652CEC"/>
    <w:multiLevelType w:val="singleLevel"/>
    <w:tmpl w:val="CF652CEC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2FA047D"/>
    <w:multiLevelType w:val="singleLevel"/>
    <w:tmpl w:val="E2FA047D"/>
    <w:lvl w:ilvl="0" w:tentative="0">
      <w:start w:val="3"/>
      <w:numFmt w:val="chineseCounting"/>
      <w:suff w:val="space"/>
      <w:lvlText w:val="第%1部分"/>
      <w:lvlJc w:val="left"/>
      <w:rPr>
        <w:rFonts w:hint="eastAsia"/>
      </w:rPr>
    </w:lvl>
  </w:abstractNum>
  <w:abstractNum w:abstractNumId="3">
    <w:nsid w:val="F2E9AE87"/>
    <w:multiLevelType w:val="singleLevel"/>
    <w:tmpl w:val="F2E9AE87"/>
    <w:lvl w:ilvl="0" w:tentative="0">
      <w:start w:val="1"/>
      <w:numFmt w:val="chineseCounting"/>
      <w:suff w:val="nothing"/>
      <w:lvlText w:val="（%1）"/>
      <w:lvlJc w:val="left"/>
      <w:pPr>
        <w:ind w:left="-13"/>
      </w:pPr>
      <w:rPr>
        <w:rFonts w:hint="eastAsia"/>
      </w:rPr>
    </w:lvl>
  </w:abstractNum>
  <w:abstractNum w:abstractNumId="4">
    <w:nsid w:val="FFF674BC"/>
    <w:multiLevelType w:val="singleLevel"/>
    <w:tmpl w:val="FFF674B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1272550B"/>
    <w:multiLevelType w:val="multilevel"/>
    <w:tmpl w:val="1272550B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6">
    <w:nsid w:val="182135F9"/>
    <w:multiLevelType w:val="singleLevel"/>
    <w:tmpl w:val="182135F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786E6395"/>
    <w:multiLevelType w:val="singleLevel"/>
    <w:tmpl w:val="786E639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61C"/>
    <w:rsid w:val="000222C6"/>
    <w:rsid w:val="0002549F"/>
    <w:rsid w:val="000468DB"/>
    <w:rsid w:val="0006487A"/>
    <w:rsid w:val="00065F8F"/>
    <w:rsid w:val="00070A43"/>
    <w:rsid w:val="000768F2"/>
    <w:rsid w:val="0009184B"/>
    <w:rsid w:val="00094236"/>
    <w:rsid w:val="0009593C"/>
    <w:rsid w:val="00097322"/>
    <w:rsid w:val="000A6A92"/>
    <w:rsid w:val="000B047F"/>
    <w:rsid w:val="000B5923"/>
    <w:rsid w:val="000B5A48"/>
    <w:rsid w:val="000B6FF3"/>
    <w:rsid w:val="000C3467"/>
    <w:rsid w:val="000C3CA6"/>
    <w:rsid w:val="000D1267"/>
    <w:rsid w:val="000D1D50"/>
    <w:rsid w:val="000D5782"/>
    <w:rsid w:val="000E6613"/>
    <w:rsid w:val="000E7119"/>
    <w:rsid w:val="00114E9B"/>
    <w:rsid w:val="00142216"/>
    <w:rsid w:val="00144D6A"/>
    <w:rsid w:val="0014729F"/>
    <w:rsid w:val="00157BAB"/>
    <w:rsid w:val="001654D1"/>
    <w:rsid w:val="00174518"/>
    <w:rsid w:val="0018106D"/>
    <w:rsid w:val="001877A7"/>
    <w:rsid w:val="00191536"/>
    <w:rsid w:val="00196687"/>
    <w:rsid w:val="001C0962"/>
    <w:rsid w:val="001D7531"/>
    <w:rsid w:val="001E737D"/>
    <w:rsid w:val="001F0592"/>
    <w:rsid w:val="001F7506"/>
    <w:rsid w:val="002006CD"/>
    <w:rsid w:val="00202B36"/>
    <w:rsid w:val="00204B7A"/>
    <w:rsid w:val="00204CDE"/>
    <w:rsid w:val="0021101A"/>
    <w:rsid w:val="00220536"/>
    <w:rsid w:val="00235629"/>
    <w:rsid w:val="00260C38"/>
    <w:rsid w:val="002616C0"/>
    <w:rsid w:val="00265372"/>
    <w:rsid w:val="002662AA"/>
    <w:rsid w:val="00280496"/>
    <w:rsid w:val="00294DC9"/>
    <w:rsid w:val="00295495"/>
    <w:rsid w:val="002A31DE"/>
    <w:rsid w:val="002B2613"/>
    <w:rsid w:val="002D6D05"/>
    <w:rsid w:val="002F1818"/>
    <w:rsid w:val="002F567B"/>
    <w:rsid w:val="003216A9"/>
    <w:rsid w:val="00335A74"/>
    <w:rsid w:val="0036561B"/>
    <w:rsid w:val="0037013F"/>
    <w:rsid w:val="00380C92"/>
    <w:rsid w:val="003A484F"/>
    <w:rsid w:val="003A4883"/>
    <w:rsid w:val="003B0BE0"/>
    <w:rsid w:val="003B0C1B"/>
    <w:rsid w:val="003B688C"/>
    <w:rsid w:val="003C0291"/>
    <w:rsid w:val="003C39AE"/>
    <w:rsid w:val="003C7B60"/>
    <w:rsid w:val="003D0C0F"/>
    <w:rsid w:val="003D1FB2"/>
    <w:rsid w:val="003D66DA"/>
    <w:rsid w:val="003E1310"/>
    <w:rsid w:val="003E6F55"/>
    <w:rsid w:val="00406254"/>
    <w:rsid w:val="004223DE"/>
    <w:rsid w:val="00434489"/>
    <w:rsid w:val="00437085"/>
    <w:rsid w:val="00443880"/>
    <w:rsid w:val="004464F4"/>
    <w:rsid w:val="00471401"/>
    <w:rsid w:val="00473F31"/>
    <w:rsid w:val="0048263A"/>
    <w:rsid w:val="00487E5D"/>
    <w:rsid w:val="004A711F"/>
    <w:rsid w:val="004B199D"/>
    <w:rsid w:val="004B4690"/>
    <w:rsid w:val="004E0A2D"/>
    <w:rsid w:val="004E206B"/>
    <w:rsid w:val="004E6DF7"/>
    <w:rsid w:val="004F0FBD"/>
    <w:rsid w:val="00505A47"/>
    <w:rsid w:val="00512FDA"/>
    <w:rsid w:val="00520DA0"/>
    <w:rsid w:val="005664BB"/>
    <w:rsid w:val="00566FFA"/>
    <w:rsid w:val="0057481D"/>
    <w:rsid w:val="0058486E"/>
    <w:rsid w:val="00585B33"/>
    <w:rsid w:val="0059014D"/>
    <w:rsid w:val="005B5C64"/>
    <w:rsid w:val="005C5337"/>
    <w:rsid w:val="005C6BD0"/>
    <w:rsid w:val="005D1C8B"/>
    <w:rsid w:val="005D468D"/>
    <w:rsid w:val="005D5CED"/>
    <w:rsid w:val="005F1A4C"/>
    <w:rsid w:val="00605688"/>
    <w:rsid w:val="006070AF"/>
    <w:rsid w:val="00607E6C"/>
    <w:rsid w:val="006101B1"/>
    <w:rsid w:val="00614E44"/>
    <w:rsid w:val="0062270A"/>
    <w:rsid w:val="00622830"/>
    <w:rsid w:val="00623DA0"/>
    <w:rsid w:val="00630AEF"/>
    <w:rsid w:val="006325F8"/>
    <w:rsid w:val="00633463"/>
    <w:rsid w:val="00634C9A"/>
    <w:rsid w:val="006440E4"/>
    <w:rsid w:val="0066343B"/>
    <w:rsid w:val="00664777"/>
    <w:rsid w:val="006748A4"/>
    <w:rsid w:val="00681A31"/>
    <w:rsid w:val="00683E73"/>
    <w:rsid w:val="006A3141"/>
    <w:rsid w:val="006A5E34"/>
    <w:rsid w:val="006B2422"/>
    <w:rsid w:val="006B2B9A"/>
    <w:rsid w:val="006C1937"/>
    <w:rsid w:val="006F020C"/>
    <w:rsid w:val="007127B7"/>
    <w:rsid w:val="0071798E"/>
    <w:rsid w:val="007416B6"/>
    <w:rsid w:val="00746F48"/>
    <w:rsid w:val="0075404D"/>
    <w:rsid w:val="0076182A"/>
    <w:rsid w:val="00767B7E"/>
    <w:rsid w:val="007770C3"/>
    <w:rsid w:val="00784D24"/>
    <w:rsid w:val="00785FBA"/>
    <w:rsid w:val="00786E4A"/>
    <w:rsid w:val="007875EB"/>
    <w:rsid w:val="0079426B"/>
    <w:rsid w:val="007D1682"/>
    <w:rsid w:val="007D312A"/>
    <w:rsid w:val="007D3F19"/>
    <w:rsid w:val="007E23B0"/>
    <w:rsid w:val="007E23E5"/>
    <w:rsid w:val="007F1991"/>
    <w:rsid w:val="007F2C2F"/>
    <w:rsid w:val="007F55FC"/>
    <w:rsid w:val="007F5665"/>
    <w:rsid w:val="00800112"/>
    <w:rsid w:val="00813348"/>
    <w:rsid w:val="008253BB"/>
    <w:rsid w:val="0083706E"/>
    <w:rsid w:val="008408F6"/>
    <w:rsid w:val="008423A5"/>
    <w:rsid w:val="00850625"/>
    <w:rsid w:val="00853718"/>
    <w:rsid w:val="00855221"/>
    <w:rsid w:val="00860645"/>
    <w:rsid w:val="00871F71"/>
    <w:rsid w:val="00872FD8"/>
    <w:rsid w:val="00885AF4"/>
    <w:rsid w:val="008939CD"/>
    <w:rsid w:val="008B768C"/>
    <w:rsid w:val="008C4DB1"/>
    <w:rsid w:val="008C4EAF"/>
    <w:rsid w:val="008C5176"/>
    <w:rsid w:val="008C7FD0"/>
    <w:rsid w:val="008E1DE7"/>
    <w:rsid w:val="008E707C"/>
    <w:rsid w:val="00900B08"/>
    <w:rsid w:val="00902155"/>
    <w:rsid w:val="00902FA3"/>
    <w:rsid w:val="00923564"/>
    <w:rsid w:val="0092392E"/>
    <w:rsid w:val="009315F9"/>
    <w:rsid w:val="00933499"/>
    <w:rsid w:val="00935C98"/>
    <w:rsid w:val="00946945"/>
    <w:rsid w:val="00951248"/>
    <w:rsid w:val="0095152F"/>
    <w:rsid w:val="00954C49"/>
    <w:rsid w:val="00955E37"/>
    <w:rsid w:val="0097099F"/>
    <w:rsid w:val="00971997"/>
    <w:rsid w:val="00971FFC"/>
    <w:rsid w:val="0098660A"/>
    <w:rsid w:val="009931C3"/>
    <w:rsid w:val="009B2C43"/>
    <w:rsid w:val="009B4EAE"/>
    <w:rsid w:val="009B7573"/>
    <w:rsid w:val="009C22F4"/>
    <w:rsid w:val="009C2A4B"/>
    <w:rsid w:val="009C2E98"/>
    <w:rsid w:val="009D3447"/>
    <w:rsid w:val="009D4711"/>
    <w:rsid w:val="009F1185"/>
    <w:rsid w:val="009F18CD"/>
    <w:rsid w:val="009F2A13"/>
    <w:rsid w:val="009F7527"/>
    <w:rsid w:val="00A04EB0"/>
    <w:rsid w:val="00A13CC1"/>
    <w:rsid w:val="00A16847"/>
    <w:rsid w:val="00A237D8"/>
    <w:rsid w:val="00A268C4"/>
    <w:rsid w:val="00A307CD"/>
    <w:rsid w:val="00A331C8"/>
    <w:rsid w:val="00A40A00"/>
    <w:rsid w:val="00A4142F"/>
    <w:rsid w:val="00A422EB"/>
    <w:rsid w:val="00A45BB7"/>
    <w:rsid w:val="00A56DF2"/>
    <w:rsid w:val="00A56E6E"/>
    <w:rsid w:val="00A67AB5"/>
    <w:rsid w:val="00A733B2"/>
    <w:rsid w:val="00A741C2"/>
    <w:rsid w:val="00A91760"/>
    <w:rsid w:val="00A93B00"/>
    <w:rsid w:val="00A93C21"/>
    <w:rsid w:val="00AB64C9"/>
    <w:rsid w:val="00AC3C6A"/>
    <w:rsid w:val="00AD5620"/>
    <w:rsid w:val="00AD656B"/>
    <w:rsid w:val="00AD7C1B"/>
    <w:rsid w:val="00AE16BA"/>
    <w:rsid w:val="00AE1EBE"/>
    <w:rsid w:val="00B03C9D"/>
    <w:rsid w:val="00B060AE"/>
    <w:rsid w:val="00B10517"/>
    <w:rsid w:val="00B14E76"/>
    <w:rsid w:val="00B161B8"/>
    <w:rsid w:val="00B2048C"/>
    <w:rsid w:val="00B310B9"/>
    <w:rsid w:val="00B35F3F"/>
    <w:rsid w:val="00B36CBB"/>
    <w:rsid w:val="00B425E0"/>
    <w:rsid w:val="00B440AA"/>
    <w:rsid w:val="00B44B70"/>
    <w:rsid w:val="00B53C56"/>
    <w:rsid w:val="00B57DAF"/>
    <w:rsid w:val="00B77EA6"/>
    <w:rsid w:val="00B81598"/>
    <w:rsid w:val="00B841F1"/>
    <w:rsid w:val="00B944D6"/>
    <w:rsid w:val="00BB4DF0"/>
    <w:rsid w:val="00BC289F"/>
    <w:rsid w:val="00BC2D50"/>
    <w:rsid w:val="00BC5361"/>
    <w:rsid w:val="00BC5460"/>
    <w:rsid w:val="00BC6B50"/>
    <w:rsid w:val="00BD0E25"/>
    <w:rsid w:val="00BF5BD6"/>
    <w:rsid w:val="00C03E31"/>
    <w:rsid w:val="00C33E72"/>
    <w:rsid w:val="00C354B2"/>
    <w:rsid w:val="00C35554"/>
    <w:rsid w:val="00C42709"/>
    <w:rsid w:val="00C533CC"/>
    <w:rsid w:val="00C5751C"/>
    <w:rsid w:val="00C61BFC"/>
    <w:rsid w:val="00C62B85"/>
    <w:rsid w:val="00C65438"/>
    <w:rsid w:val="00C87FD8"/>
    <w:rsid w:val="00C91381"/>
    <w:rsid w:val="00C91CBB"/>
    <w:rsid w:val="00CB4E70"/>
    <w:rsid w:val="00CC09B6"/>
    <w:rsid w:val="00CC666F"/>
    <w:rsid w:val="00CD1E3F"/>
    <w:rsid w:val="00CE44F6"/>
    <w:rsid w:val="00CE49DA"/>
    <w:rsid w:val="00CE7B61"/>
    <w:rsid w:val="00D00095"/>
    <w:rsid w:val="00D114F0"/>
    <w:rsid w:val="00D20620"/>
    <w:rsid w:val="00D254F7"/>
    <w:rsid w:val="00D26091"/>
    <w:rsid w:val="00D2685C"/>
    <w:rsid w:val="00D34E7C"/>
    <w:rsid w:val="00D35489"/>
    <w:rsid w:val="00D36AFE"/>
    <w:rsid w:val="00D51276"/>
    <w:rsid w:val="00D7035F"/>
    <w:rsid w:val="00DA634F"/>
    <w:rsid w:val="00DA65AC"/>
    <w:rsid w:val="00DB1913"/>
    <w:rsid w:val="00DC410D"/>
    <w:rsid w:val="00DC5A81"/>
    <w:rsid w:val="00DC68CA"/>
    <w:rsid w:val="00DC7CBA"/>
    <w:rsid w:val="00DD73B7"/>
    <w:rsid w:val="00DF28BC"/>
    <w:rsid w:val="00DF34B9"/>
    <w:rsid w:val="00E01053"/>
    <w:rsid w:val="00E07ACF"/>
    <w:rsid w:val="00E331A1"/>
    <w:rsid w:val="00E33202"/>
    <w:rsid w:val="00E336A9"/>
    <w:rsid w:val="00E472B1"/>
    <w:rsid w:val="00E50624"/>
    <w:rsid w:val="00E568DF"/>
    <w:rsid w:val="00E64269"/>
    <w:rsid w:val="00E82267"/>
    <w:rsid w:val="00E853CE"/>
    <w:rsid w:val="00E867B6"/>
    <w:rsid w:val="00EA010F"/>
    <w:rsid w:val="00ED1B63"/>
    <w:rsid w:val="00ED3C1F"/>
    <w:rsid w:val="00ED4085"/>
    <w:rsid w:val="00ED420E"/>
    <w:rsid w:val="00ED6FBE"/>
    <w:rsid w:val="00EE2F57"/>
    <w:rsid w:val="00EF4C34"/>
    <w:rsid w:val="00EF77C6"/>
    <w:rsid w:val="00F05438"/>
    <w:rsid w:val="00F1361C"/>
    <w:rsid w:val="00F156F0"/>
    <w:rsid w:val="00F160C7"/>
    <w:rsid w:val="00F2408F"/>
    <w:rsid w:val="00F240E9"/>
    <w:rsid w:val="00F36D8F"/>
    <w:rsid w:val="00F417B1"/>
    <w:rsid w:val="00F45853"/>
    <w:rsid w:val="00F602DF"/>
    <w:rsid w:val="00F754A1"/>
    <w:rsid w:val="00F81FD9"/>
    <w:rsid w:val="00F841AA"/>
    <w:rsid w:val="00F84A94"/>
    <w:rsid w:val="00F87E96"/>
    <w:rsid w:val="00FA23E8"/>
    <w:rsid w:val="00FD3CC1"/>
    <w:rsid w:val="00FF1E02"/>
    <w:rsid w:val="00FF30B4"/>
    <w:rsid w:val="015975B8"/>
    <w:rsid w:val="01A90D26"/>
    <w:rsid w:val="02143E91"/>
    <w:rsid w:val="046205D2"/>
    <w:rsid w:val="066E0107"/>
    <w:rsid w:val="06A762E0"/>
    <w:rsid w:val="07996F6E"/>
    <w:rsid w:val="0A2032A3"/>
    <w:rsid w:val="0AEF0E75"/>
    <w:rsid w:val="0F98263C"/>
    <w:rsid w:val="101860EC"/>
    <w:rsid w:val="10C055FF"/>
    <w:rsid w:val="10D7367C"/>
    <w:rsid w:val="118107EC"/>
    <w:rsid w:val="13D50BC4"/>
    <w:rsid w:val="16851221"/>
    <w:rsid w:val="16AD3F73"/>
    <w:rsid w:val="16BB723D"/>
    <w:rsid w:val="178624DC"/>
    <w:rsid w:val="17F22E3D"/>
    <w:rsid w:val="19900D11"/>
    <w:rsid w:val="1BAA2779"/>
    <w:rsid w:val="1BE8440E"/>
    <w:rsid w:val="1D155CEE"/>
    <w:rsid w:val="1EF95861"/>
    <w:rsid w:val="1FF35744"/>
    <w:rsid w:val="215C237D"/>
    <w:rsid w:val="229815DE"/>
    <w:rsid w:val="23860B96"/>
    <w:rsid w:val="240371BF"/>
    <w:rsid w:val="29FD04D3"/>
    <w:rsid w:val="2B48010E"/>
    <w:rsid w:val="2C8A61B5"/>
    <w:rsid w:val="2DF04E50"/>
    <w:rsid w:val="2E960BAA"/>
    <w:rsid w:val="2F040D46"/>
    <w:rsid w:val="300E44B6"/>
    <w:rsid w:val="31960E3B"/>
    <w:rsid w:val="319F7F4E"/>
    <w:rsid w:val="33006305"/>
    <w:rsid w:val="3304709D"/>
    <w:rsid w:val="345111C0"/>
    <w:rsid w:val="34F95077"/>
    <w:rsid w:val="35266DAF"/>
    <w:rsid w:val="363E2594"/>
    <w:rsid w:val="366476C6"/>
    <w:rsid w:val="36AA5135"/>
    <w:rsid w:val="376D39B2"/>
    <w:rsid w:val="37E16F03"/>
    <w:rsid w:val="38087595"/>
    <w:rsid w:val="380F04E9"/>
    <w:rsid w:val="38D469F0"/>
    <w:rsid w:val="390753B7"/>
    <w:rsid w:val="3A787E4A"/>
    <w:rsid w:val="3ADC7EA6"/>
    <w:rsid w:val="3B9957B2"/>
    <w:rsid w:val="3C1643C1"/>
    <w:rsid w:val="3C1A6B8D"/>
    <w:rsid w:val="3C2B5EE1"/>
    <w:rsid w:val="3C32391E"/>
    <w:rsid w:val="3CAA091B"/>
    <w:rsid w:val="3D98207C"/>
    <w:rsid w:val="3E78745D"/>
    <w:rsid w:val="3EA3769A"/>
    <w:rsid w:val="3F356D3C"/>
    <w:rsid w:val="3FA82923"/>
    <w:rsid w:val="42FE5826"/>
    <w:rsid w:val="43E54D05"/>
    <w:rsid w:val="449E3A76"/>
    <w:rsid w:val="44AA4EAA"/>
    <w:rsid w:val="44E268DA"/>
    <w:rsid w:val="45581027"/>
    <w:rsid w:val="46151237"/>
    <w:rsid w:val="47746A32"/>
    <w:rsid w:val="47C54E5D"/>
    <w:rsid w:val="4A627F82"/>
    <w:rsid w:val="4B0E749A"/>
    <w:rsid w:val="4B383B2A"/>
    <w:rsid w:val="4B4F25DA"/>
    <w:rsid w:val="4BC9114B"/>
    <w:rsid w:val="4BE068DB"/>
    <w:rsid w:val="4D577224"/>
    <w:rsid w:val="4EAB630A"/>
    <w:rsid w:val="4ECE2238"/>
    <w:rsid w:val="4FB3346A"/>
    <w:rsid w:val="517D2935"/>
    <w:rsid w:val="51E2496B"/>
    <w:rsid w:val="537E6D0A"/>
    <w:rsid w:val="54202522"/>
    <w:rsid w:val="546E4F90"/>
    <w:rsid w:val="547E58EC"/>
    <w:rsid w:val="58C165B1"/>
    <w:rsid w:val="59D5159F"/>
    <w:rsid w:val="5AF92295"/>
    <w:rsid w:val="5CD71FC4"/>
    <w:rsid w:val="5D617B97"/>
    <w:rsid w:val="5E3034C4"/>
    <w:rsid w:val="5E7C161C"/>
    <w:rsid w:val="607A1C07"/>
    <w:rsid w:val="61ED5215"/>
    <w:rsid w:val="632C5852"/>
    <w:rsid w:val="642B26F9"/>
    <w:rsid w:val="645843CA"/>
    <w:rsid w:val="64776156"/>
    <w:rsid w:val="67222B78"/>
    <w:rsid w:val="68817126"/>
    <w:rsid w:val="6A505FE6"/>
    <w:rsid w:val="6C4A05C8"/>
    <w:rsid w:val="6E7E3605"/>
    <w:rsid w:val="6F8632A0"/>
    <w:rsid w:val="6FA36C40"/>
    <w:rsid w:val="6FF5CC65"/>
    <w:rsid w:val="715C0E4B"/>
    <w:rsid w:val="72734D90"/>
    <w:rsid w:val="73AD73D5"/>
    <w:rsid w:val="73B6EB34"/>
    <w:rsid w:val="744731E5"/>
    <w:rsid w:val="76674A3F"/>
    <w:rsid w:val="76E3355F"/>
    <w:rsid w:val="778769C8"/>
    <w:rsid w:val="782130EB"/>
    <w:rsid w:val="79E4056A"/>
    <w:rsid w:val="79EE5BA4"/>
    <w:rsid w:val="7A894339"/>
    <w:rsid w:val="7C407B5E"/>
    <w:rsid w:val="7C7E5640"/>
    <w:rsid w:val="7DA964CB"/>
    <w:rsid w:val="7EC13057"/>
    <w:rsid w:val="7EEF11D3"/>
    <w:rsid w:val="7FA30C79"/>
    <w:rsid w:val="7FB7269E"/>
    <w:rsid w:val="7FC96657"/>
    <w:rsid w:val="D8D6DB89"/>
    <w:rsid w:val="DB6F4CAB"/>
    <w:rsid w:val="DF6F9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3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Body Text"/>
    <w:basedOn w:val="1"/>
    <w:link w:val="25"/>
    <w:qFormat/>
    <w:uiPriority w:val="99"/>
    <w:pPr>
      <w:spacing w:beforeLines="30"/>
    </w:pPr>
    <w:rPr>
      <w:rFonts w:ascii="仿宋_GB2312" w:eastAsia="仿宋_GB2312"/>
      <w:kern w:val="0"/>
      <w:sz w:val="30"/>
    </w:rPr>
  </w:style>
  <w:style w:type="paragraph" w:styleId="7">
    <w:name w:val="Body Text Indent"/>
    <w:basedOn w:val="1"/>
    <w:qFormat/>
    <w:uiPriority w:val="0"/>
    <w:pPr>
      <w:spacing w:after="120"/>
      <w:ind w:leftChars="200"/>
    </w:pPr>
    <w:rPr>
      <w:rFonts w:ascii="仿宋_GB2312"/>
      <w:szCs w:val="32"/>
    </w:rPr>
  </w:style>
  <w:style w:type="paragraph" w:styleId="8">
    <w:name w:val="toc 3"/>
    <w:basedOn w:val="1"/>
    <w:next w:val="1"/>
    <w:unhideWhenUsed/>
    <w:qFormat/>
    <w:uiPriority w:val="39"/>
    <w:pPr>
      <w:tabs>
        <w:tab w:val="right" w:leader="dot" w:pos="8296"/>
      </w:tabs>
      <w:ind w:left="840" w:leftChars="400"/>
    </w:pPr>
  </w:style>
  <w:style w:type="paragraph" w:styleId="9">
    <w:name w:val="Balloon Text"/>
    <w:basedOn w:val="1"/>
    <w:link w:val="3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11">
    <w:name w:val="header"/>
    <w:basedOn w:val="1"/>
    <w:link w:val="2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93"/>
      <w:jc w:val="center"/>
    </w:pPr>
    <w:rPr>
      <w:rFonts w:ascii="仿宋" w:hAnsi="仿宋" w:eastAsia="仿宋"/>
      <w:sz w:val="28"/>
      <w:szCs w:val="28"/>
    </w:rPr>
  </w:style>
  <w:style w:type="paragraph" w:styleId="13">
    <w:name w:val="toc 2"/>
    <w:basedOn w:val="1"/>
    <w:next w:val="1"/>
    <w:unhideWhenUsed/>
    <w:qFormat/>
    <w:uiPriority w:val="39"/>
    <w:pPr>
      <w:tabs>
        <w:tab w:val="right" w:leader="dot" w:pos="8296"/>
      </w:tabs>
      <w:ind w:left="420" w:leftChars="200"/>
    </w:pPr>
  </w:style>
  <w:style w:type="paragraph" w:styleId="14">
    <w:name w:val="Body Text First Indent 2"/>
    <w:basedOn w:val="7"/>
    <w:unhideWhenUsed/>
    <w:qFormat/>
    <w:uiPriority w:val="99"/>
    <w:pPr>
      <w:ind w:firstLine="420" w:firstLineChars="200"/>
    </w:pPr>
  </w:style>
  <w:style w:type="character" w:styleId="17">
    <w:name w:val="Strong"/>
    <w:basedOn w:val="16"/>
    <w:qFormat/>
    <w:uiPriority w:val="99"/>
    <w:rPr>
      <w:b/>
    </w:rPr>
  </w:style>
  <w:style w:type="character" w:styleId="18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9">
    <w:name w:val="标题 5（有编号）（绿盟科技）"/>
    <w:next w:val="1"/>
    <w:qFormat/>
    <w:uiPriority w:val="99"/>
    <w:pPr>
      <w:keepNext/>
      <w:keepLines/>
      <w:widowControl w:val="0"/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2"/>
      <w:sz w:val="24"/>
      <w:szCs w:val="28"/>
      <w:lang w:val="en-US" w:eastAsia="zh-CN" w:bidi="ar-SA"/>
    </w:rPr>
  </w:style>
  <w:style w:type="character" w:customStyle="1" w:styleId="20">
    <w:name w:val="Header Char"/>
    <w:basedOn w:val="16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1">
    <w:name w:val="页眉 Char"/>
    <w:link w:val="11"/>
    <w:semiHidden/>
    <w:qFormat/>
    <w:locked/>
    <w:uiPriority w:val="99"/>
    <w:rPr>
      <w:sz w:val="18"/>
    </w:rPr>
  </w:style>
  <w:style w:type="character" w:customStyle="1" w:styleId="22">
    <w:name w:val="Footer Char"/>
    <w:basedOn w:val="16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3">
    <w:name w:val="页脚 Char"/>
    <w:link w:val="10"/>
    <w:qFormat/>
    <w:locked/>
    <w:uiPriority w:val="99"/>
    <w:rPr>
      <w:sz w:val="18"/>
    </w:rPr>
  </w:style>
  <w:style w:type="character" w:customStyle="1" w:styleId="24">
    <w:name w:val="Body Text Char"/>
    <w:basedOn w:val="16"/>
    <w:semiHidden/>
    <w:qFormat/>
    <w:uiPriority w:val="99"/>
    <w:rPr>
      <w:rFonts w:ascii="Times New Roman" w:hAnsi="Times New Roman"/>
      <w:szCs w:val="24"/>
    </w:rPr>
  </w:style>
  <w:style w:type="character" w:customStyle="1" w:styleId="25">
    <w:name w:val="正文文本 Char"/>
    <w:link w:val="6"/>
    <w:qFormat/>
    <w:locked/>
    <w:uiPriority w:val="99"/>
    <w:rPr>
      <w:rFonts w:ascii="仿宋_GB2312" w:hAnsi="Times New Roman" w:eastAsia="仿宋_GB2312"/>
      <w:sz w:val="24"/>
    </w:rPr>
  </w:style>
  <w:style w:type="paragraph" w:customStyle="1" w:styleId="26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7">
    <w:name w:val="List Paragraph"/>
    <w:basedOn w:val="1"/>
    <w:qFormat/>
    <w:uiPriority w:val="34"/>
    <w:pPr>
      <w:ind w:firstLine="420" w:firstLineChars="200"/>
    </w:pPr>
  </w:style>
  <w:style w:type="character" w:customStyle="1" w:styleId="28">
    <w:name w:val="标题 1 Char"/>
    <w:basedOn w:val="16"/>
    <w:link w:val="3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29">
    <w:name w:val="标题 2 Char"/>
    <w:basedOn w:val="16"/>
    <w:link w:val="4"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30">
    <w:name w:val="TOC 标题1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1">
    <w:name w:val="批注框文本 Char"/>
    <w:basedOn w:val="16"/>
    <w:link w:val="9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32">
    <w:name w:val="标题 3 Char"/>
    <w:basedOn w:val="16"/>
    <w:link w:val="5"/>
    <w:qFormat/>
    <w:uiPriority w:val="9"/>
    <w:rPr>
      <w:rFonts w:ascii="Times New Roman" w:hAnsi="Times New Roman"/>
      <w:b/>
      <w:bCs/>
      <w:kern w:val="2"/>
      <w:sz w:val="32"/>
      <w:szCs w:val="32"/>
    </w:rPr>
  </w:style>
  <w:style w:type="paragraph" w:customStyle="1" w:styleId="33">
    <w:name w:val="TOC Heading"/>
    <w:basedOn w:val="3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paragraph" w:customStyle="1" w:styleId="34">
    <w:name w:val="四号正文"/>
    <w:basedOn w:val="1"/>
    <w:qFormat/>
    <w:uiPriority w:val="0"/>
    <w:pPr>
      <w:spacing w:line="360" w:lineRule="auto"/>
    </w:pPr>
    <w:rPr>
      <w:rFonts w:ascii="??" w:hAnsi="??" w:eastAsia="宋体"/>
      <w:color w:val="000000"/>
      <w:kern w:val="0"/>
      <w:sz w:val="28"/>
      <w:szCs w:val="21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4.xml"/><Relationship Id="rId8" Type="http://schemas.openxmlformats.org/officeDocument/2006/relationships/chart" Target="charts/chart3.xml"/><Relationship Id="rId7" Type="http://schemas.openxmlformats.org/officeDocument/2006/relationships/chart" Target="charts/chart2.xml"/><Relationship Id="rId6" Type="http://schemas.openxmlformats.org/officeDocument/2006/relationships/chart" Target="charts/chart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chart" Target="charts/chart7.xml"/><Relationship Id="rId11" Type="http://schemas.openxmlformats.org/officeDocument/2006/relationships/chart" Target="charts/chart6.xml"/><Relationship Id="rId10" Type="http://schemas.openxmlformats.org/officeDocument/2006/relationships/chart" Target="charts/chart5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1.xls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sw\Desktop\&#26032;&#24314;&#25991;&#20214;&#22841;\&#22270;&#24418;\2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file:///C:\Users\sw\Desktop\3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w\Desktop\1.xls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file:///C:\Users\sw\Desktop\5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sw\Desktop\6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ColorStyle" Target="colors5.xml"/><Relationship Id="rId2" Type="http://schemas.microsoft.com/office/2011/relationships/chartStyle" Target="style5.xml"/><Relationship Id="rId1" Type="http://schemas.openxmlformats.org/officeDocument/2006/relationships/oleObject" Target="file:///C:\Users\sw\Desktop\7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583333333333333"/>
                  <c:y val="0.075924295774647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5972222222222"/>
                      <c:h val="0.10873871890821"/>
                    </c:manualLayout>
                  </c15:layout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9375"/>
                  <c:y val="0.06602112676056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7147075"/>
        <c:axId val="295396783"/>
      </c:barChart>
      <c:catAx>
        <c:axId val="37147075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5396783"/>
        <c:crosses val="autoZero"/>
        <c:auto val="1"/>
        <c:lblAlgn val="ctr"/>
        <c:lblOffset val="100"/>
        <c:noMultiLvlLbl val="0"/>
      </c:catAx>
      <c:valAx>
        <c:axId val="295396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71470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20</a:t>
            </a:r>
            <a:r>
              <a:rPr lang="en-US" altLang="zh-CN"/>
              <a:t>22</a:t>
            </a:r>
            <a:r>
              <a:t>年收入合计</a:t>
            </a:r>
            <a:r>
              <a:rPr lang="en-US" altLang="zh-CN"/>
              <a:t>353.76</a:t>
            </a:r>
            <a:r>
              <a:t>万元 </a:t>
            </a:r>
          </a:p>
        </c:rich>
      </c:tx>
      <c:layout>
        <c:manualLayout>
          <c:xMode val="edge"/>
          <c:yMode val="edge"/>
          <c:x val="0.307422288980681"/>
          <c:y val="0.043458781362007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layout/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1000" b="1" i="0" u="none" strike="noStrike" kern="1200" spc="0" baseline="0">
                        <a:solidFill>
                          <a:schemeClr val="accent2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一般公共预算财政拨款收入100%</a:t>
                    </a: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spc="0" baseline="0">
                    <a:solidFill>
                      <a:schemeClr val="accent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[2.xlsx]Sheet1!$A$6:$B$7</c:f>
              <c:multiLvlStrCache>
                <c:ptCount val="2"/>
                <c:lvl>
                  <c:pt idx="0">
                    <c:v>353.76万元</c:v>
                  </c:pt>
                  <c:pt idx="1">
                    <c:v>353.76万元</c:v>
                  </c:pt>
                </c:lvl>
                <c:lvl>
                  <c:pt idx="0">
                    <c:v>2022年收入合计</c:v>
                  </c:pt>
                  <c:pt idx="1">
                    <c:v>一般公共预算财政拨款收入</c:v>
                  </c:pt>
                </c:lvl>
              </c:multiLvlStrCache>
            </c:multiLvlStrRef>
          </c:cat>
          <c:val>
            <c:numRef>
              <c:f>[2.xlsx]Sheet1!$C$6:$C$7</c:f>
              <c:numCache>
                <c:formatCode>General</c:formatCode>
                <c:ptCount val="2"/>
                <c:pt idx="1" c:formatCode="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2022</a:t>
            </a:r>
            <a:r>
              <a:rPr altLang="en-US"/>
              <a:t>年</a:t>
            </a:r>
            <a:r>
              <a:t>本年支出 </a:t>
            </a:r>
          </a:p>
        </c:rich>
      </c:tx>
      <c:layout>
        <c:manualLayout>
          <c:xMode val="edge"/>
          <c:yMode val="edge"/>
          <c:x val="0.414444444444444"/>
          <c:y val="0.030555555555555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基本支出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[3.xlsx]Sheet1!$A$6:$B$7</c:f>
              <c:multiLvlStrCache>
                <c:ptCount val="2"/>
                <c:lvl>
                  <c:pt idx="0">
                    <c:v>353.76万元</c:v>
                  </c:pt>
                  <c:pt idx="1">
                    <c:v>353.76万元</c:v>
                  </c:pt>
                </c:lvl>
                <c:lvl>
                  <c:pt idx="0">
                    <c:v>2022年本年支出合计</c:v>
                  </c:pt>
                  <c:pt idx="1">
                    <c:v>基本支出</c:v>
                  </c:pt>
                </c:lvl>
              </c:multiLvlStrCache>
            </c:multiLvlStrRef>
          </c:cat>
          <c:val>
            <c:numRef>
              <c:f>[3.xlsx]Sheet1!$C$6:$C$7</c:f>
              <c:numCache>
                <c:formatCode>General</c:formatCode>
                <c:ptCount val="2"/>
                <c:pt idx="1" c:formatCode="0.00%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收入、支出总计变动情况表</a:t>
            </a:r>
            <a:endParaRPr sz="1400" b="0" i="0" u="none" strike="noStrike" baseline="0">
              <a:solidFill>
                <a:srgbClr val="595959">
                  <a:alpha val="100000"/>
                </a:srgbClr>
              </a:solidFill>
              <a:latin typeface="宋体" panose="02010600030101010101" charset="-122"/>
              <a:ea typeface="宋体" panose="02010600030101010101" charset="-122"/>
              <a:cs typeface="宋体" panose="02010600030101010101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583333333333333"/>
                  <c:y val="0.075924295774647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年度收入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[1.xls]Sheet2!$B$29:$C$29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09375"/>
                  <c:y val="0.0660211267605634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2022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Calibri" panose="020F0502020204030204" pitchFamily="2" charset="0"/>
                        <a:ea typeface="Calibri" panose="020F0502020204030204" pitchFamily="2" charset="0"/>
                        <a:cs typeface="Calibri" panose="020F0502020204030204" pitchFamily="2" charset="0"/>
                      </a:rPr>
                      <a:t>2021</a:t>
                    </a:r>
                    <a:r>
                      <a:rPr altLang="en-US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年度支出</a:t>
                    </a:r>
                    <a:r>
                      <a:rPr lang="en-US" altLang="zh-CN"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353.76</a:t>
                    </a:r>
                    <a:r>
                      <a:rPr sz="900" b="0" i="0" u="none" strike="noStrike" baseline="0">
                        <a:solidFill>
                          <a:srgbClr val="333333"/>
                        </a:solidFill>
                        <a:latin typeface="宋体" panose="02010600030101010101" charset="-122"/>
                        <a:ea typeface="宋体" panose="02010600030101010101" charset="-122"/>
                        <a:cs typeface="宋体" panose="02010600030101010101" charset="-122"/>
                      </a:rPr>
                      <a:t>万元</a:t>
                    </a:r>
                    <a:endParaRPr sz="1100" b="0" i="0" u="none" strike="noStrike" baseline="0">
                      <a:solidFill>
                        <a:srgbClr val="000000"/>
                      </a:solidFill>
                      <a:latin typeface="宋体" panose="02010600030101010101" charset="-122"/>
                      <a:ea typeface="宋体" panose="02010600030101010101" charset="-122"/>
                      <a:cs typeface="宋体" panose="02010600030101010101" charset="-122"/>
                    </a:endParaRPr>
                  </a:p>
                </c:rich>
              </c:tx>
              <c:numFmt formatCode="General" sourceLinked="1"/>
              <c:spPr>
                <a:noFill/>
                <a:ln>
                  <a:noFill/>
                </a:ln>
                <a:effectLst/>
              </c:spPr>
              <c:txPr>
                <a:bodyPr rot="0" spcFirstLastPara="0" vertOverflow="ellipsis" vert="horz" wrap="square" lIns="38100" tIns="19050" rIns="38100" bIns="19050" anchor="ctr" anchorCtr="1"/>
                <a:lstStyle/>
                <a:p>
                  <a:pPr>
                    <a:defRPr lang="zh-CN"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/>
              </c:ext>
            </c:extLst>
          </c:dLbls>
          <c:val>
            <c:numRef>
              <c:f>[1.xls]Sheet2!$B$30:$C$30</c:f>
              <c:numCache>
                <c:formatCode>General</c:formatCode>
                <c:ptCount val="2"/>
                <c:pt idx="0">
                  <c:v>9520.94</c:v>
                </c:pt>
                <c:pt idx="1">
                  <c:v>9320.94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80381269"/>
        <c:axId val="863761106"/>
      </c:barChart>
      <c:catAx>
        <c:axId val="48038126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63761106"/>
        <c:crosses val="autoZero"/>
        <c:auto val="1"/>
        <c:lblAlgn val="ctr"/>
        <c:lblOffset val="100"/>
        <c:noMultiLvlLbl val="0"/>
      </c:catAx>
      <c:valAx>
        <c:axId val="86376110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8038126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 wrap="square"/>
    <a:lstStyle/>
    <a:p>
      <a:pPr>
        <a:defRPr lang="zh-CN"/>
      </a:pPr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一般公共预算财政拨款支出决算变动情况图</a:t>
            </a:r>
          </a:p>
        </c:rich>
      </c:tx>
      <c:layout>
        <c:manualLayout>
          <c:xMode val="edge"/>
          <c:yMode val="edge"/>
          <c:x val="0.189920976564559"/>
          <c:y val="0.033419666467770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invertIfNegative val="0"/>
            <c:bubble3D val="0"/>
            <c:explosion val="1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2022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353.76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00922722029988466"/>
                  <c:y val="0.00212765957446809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zh-CN"/>
                      <a:t>2021</a:t>
                    </a:r>
                    <a:r>
                      <a:rPr altLang="en-US"/>
                      <a:t>年一般公共预算财政拨款支出</a:t>
                    </a:r>
                    <a:r>
                      <a:rPr lang="en-US" altLang="zh-CN"/>
                      <a:t>302.17</a:t>
                    </a:r>
                    <a:r>
                      <a:rPr altLang="en-US"/>
                      <a:t>万元</a:t>
                    </a:r>
                    <a:endParaRPr lang="en-US" altLang="zh-CN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项目支出</a:t>
                    </a:r>
                    <a:r>
                      <a:rPr lang="en-US" altLang="zh-CN"/>
                      <a:t>84</a:t>
                    </a:r>
                    <a:r>
                      <a:t>%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[5.xlsx]Sheet1!$A$6:$B$8</c:f>
              <c:multiLvlStrCache>
                <c:ptCount val="3"/>
                <c:lvl>
                  <c:pt idx="0">
                    <c:v>353.76万元</c:v>
                  </c:pt>
                  <c:pt idx="1">
                    <c:v>302.17万元</c:v>
                  </c:pt>
                </c:lvl>
                <c:lvl>
                  <c:pt idx="0">
                    <c:v>2022年一般公共预算财政拨款支出</c:v>
                  </c:pt>
                  <c:pt idx="1">
                    <c:v>2021年一般公共预算财政拨款支出</c:v>
                  </c:pt>
                </c:lvl>
              </c:multiLvlStrCache>
            </c:multiLvlStrRef>
          </c:cat>
          <c:val>
            <c:numRef>
              <c:f>[5.xlsx]Sheet1!$C$6:$C$8</c:f>
              <c:numCache>
                <c:formatCode>0%</c:formatCode>
                <c:ptCount val="3"/>
                <c:pt idx="0">
                  <c:v>0.55</c:v>
                </c:pt>
                <c:pt idx="1">
                  <c:v>0.45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0"/>
        <c:axId val="770136370"/>
        <c:axId val="837282436"/>
      </c:barChart>
      <c:catAx>
        <c:axId val="770136370"/>
        <c:scaling>
          <c:orientation val="minMax"/>
        </c:scaling>
        <c:delete val="1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37282436"/>
        <c:crosses val="autoZero"/>
        <c:auto val="1"/>
        <c:lblAlgn val="ctr"/>
        <c:lblOffset val="100"/>
        <c:noMultiLvlLbl val="0"/>
      </c:catAx>
      <c:valAx>
        <c:axId val="8372824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7013637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1597222222222"/>
          <c:y val="0.915509259259259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[6.xlsx]Sheet1!$A$6:$B$11</c:f>
              <c:multiLvlStrCache>
                <c:ptCount val="6"/>
                <c:lvl>
                  <c:pt idx="0" c:formatCode="#,##0.00">
                    <c:v>353.76万元</c:v>
                  </c:pt>
                  <c:pt idx="1">
                    <c:v>43.55万元</c:v>
                  </c:pt>
                  <c:pt idx="2">
                    <c:v>17.23万元</c:v>
                  </c:pt>
                  <c:pt idx="3">
                    <c:v>267.48万元</c:v>
                  </c:pt>
                  <c:pt idx="4">
                    <c:v>23.47万元</c:v>
                  </c:pt>
                </c:lvl>
                <c:lvl>
                  <c:pt idx="0">
                    <c:v>2022年一般公共预算财政拨款支出</c:v>
                  </c:pt>
                  <c:pt idx="1">
                    <c:v>社会保障和就业支出</c:v>
                  </c:pt>
                  <c:pt idx="2">
                    <c:v>卫生健康支出</c:v>
                  </c:pt>
                  <c:pt idx="3">
                    <c:v>农林水支出</c:v>
                  </c:pt>
                  <c:pt idx="4">
                    <c:v>住房保障支出</c:v>
                  </c:pt>
                </c:lvl>
              </c:multiLvlStrCache>
            </c:multiLvlStrRef>
          </c:cat>
          <c:val>
            <c:numRef>
              <c:f>[6.xlsx]Sheet1!$C$6:$C$11</c:f>
              <c:numCache>
                <c:formatCode>General</c:formatCode>
                <c:ptCount val="6"/>
                <c:pt idx="1" c:formatCode="0%">
                  <c:v>0.11</c:v>
                </c:pt>
                <c:pt idx="2" c:formatCode="0%">
                  <c:v>0.06</c:v>
                </c:pt>
                <c:pt idx="3" c:formatCode="0%">
                  <c:v>0.75</c:v>
                </c:pt>
                <c:pt idx="4" c:formatCode="0%">
                  <c:v>0.08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/>
              <a:t>“</a:t>
            </a:r>
            <a:r>
              <a:rPr altLang="en-US"/>
              <a:t>三公</a:t>
            </a:r>
            <a:r>
              <a:rPr lang="en-US" altLang="zh-CN"/>
              <a:t>”</a:t>
            </a:r>
            <a:r>
              <a:rPr altLang="en-US"/>
              <a:t>经费财政拨款支出结构</a:t>
            </a:r>
            <a:r>
              <a:t> </a:t>
            </a:r>
          </a:p>
        </c:rich>
      </c:tx>
      <c:layout>
        <c:manualLayout>
          <c:xMode val="edge"/>
          <c:yMode val="edge"/>
          <c:x val="0.317226376840495"/>
          <c:y val="0.0490057400574006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22333333333333"/>
          <c:y val="0.214305555555556"/>
          <c:w val="0.352"/>
          <c:h val="0.586666666666667"/>
        </c:manualLayout>
      </c:layout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0334492415561368"/>
                  <c:y val="-0.188418694785113"/>
                </c:manualLayout>
              </c:layout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公务用车运行维护费支出</a:t>
                    </a:r>
                    <a:r>
                      <a:rPr lang="en-US" altLang="zh-CN"/>
                      <a:t>100</a:t>
                    </a:r>
                    <a:r>
                      <a:t>%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 rot="0" spcFirstLastPara="0" vertOverflow="ellipsis" vert="horz" wrap="square" lIns="38100" tIns="19050" rIns="38100" bIns="19050" anchor="ctr" anchorCtr="1"/>
                  <a:lstStyle/>
                  <a:p>
                    <a:pPr defTabSz="914400">
                      <a:defRPr lang="zh-CN"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t>公务接待费支出</a:t>
                    </a:r>
                    <a:r>
                      <a:rPr lang="en-US" altLang="zh-CN"/>
                      <a:t>0.23%</a:t>
                    </a:r>
                    <a:endParaRPr lang="en-US" altLang="zh-CN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[7.xlsx]Sheet1!$A$6:$B$7</c:f>
              <c:multiLvlStrCache>
                <c:ptCount val="2"/>
                <c:lvl>
                  <c:pt idx="0">
                    <c:v>5.6万元</c:v>
                  </c:pt>
                </c:lvl>
                <c:lvl>
                  <c:pt idx="0">
                    <c:v>公务用车运行维护费支出决算</c:v>
                  </c:pt>
                </c:lvl>
              </c:multiLvlStrCache>
            </c:multiLvlStrRef>
          </c:cat>
          <c:val>
            <c:numRef>
              <c:f>[7.xlsx]Sheet1!$C$6:$C$7</c:f>
              <c:numCache>
                <c:formatCode>0.00%</c:formatCode>
                <c:ptCount val="2"/>
                <c:pt idx="0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四川省财政厅</Company>
  <Pages>24</Pages>
  <Words>1299</Words>
  <Characters>7410</Characters>
  <Lines>61</Lines>
  <Paragraphs>17</Paragraphs>
  <TotalTime>0</TotalTime>
  <ScaleCrop>false</ScaleCrop>
  <LinksUpToDate>false</LinksUpToDate>
  <CharactersWithSpaces>8692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2020-08-05T01:49:00Z</dcterms:created>
  <dc:creator>曹颖</dc:creator>
  <cp:lastModifiedBy>sw</cp:lastModifiedBy>
  <cp:lastPrinted>2023-07-31T02:35:00Z</cp:lastPrinted>
  <dcterms:modified xsi:type="dcterms:W3CDTF">2023-10-16T07:45:13Z</dcterms:modified>
  <dc:title>四川省***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