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auto"/>
          <w:sz w:val="72"/>
          <w:szCs w:val="72"/>
          <w:highlight w:val="none"/>
        </w:rPr>
      </w:pPr>
      <w:bookmarkStart w:id="0" w:name="_Toc15378441"/>
      <w:bookmarkStart w:id="1" w:name="_Toc15396597"/>
      <w:bookmarkStart w:id="2" w:name="_Toc15377193"/>
      <w:bookmarkStart w:id="3" w:name="_Toc15396475"/>
      <w:bookmarkStart w:id="4" w:name="_Toc15377425"/>
      <w:bookmarkStart w:id="5" w:name="_Toc15306267"/>
    </w:p>
    <w:p>
      <w:pPr>
        <w:spacing w:line="600" w:lineRule="exact"/>
        <w:jc w:val="center"/>
        <w:outlineLvl w:val="0"/>
        <w:rPr>
          <w:rFonts w:ascii="方正小标宋简体" w:hAnsi="宋体" w:eastAsia="方正小标宋简体"/>
          <w:color w:val="auto"/>
          <w:sz w:val="72"/>
          <w:szCs w:val="72"/>
          <w:highlight w:val="none"/>
        </w:rPr>
      </w:pPr>
    </w:p>
    <w:p>
      <w:pPr>
        <w:spacing w:line="600" w:lineRule="exact"/>
        <w:jc w:val="center"/>
        <w:outlineLvl w:val="0"/>
        <w:rPr>
          <w:rFonts w:ascii="方正小标宋简体" w:hAnsi="宋体" w:eastAsia="方正小标宋简体"/>
          <w:color w:val="auto"/>
          <w:sz w:val="72"/>
          <w:szCs w:val="72"/>
          <w:highlight w:val="none"/>
        </w:rPr>
      </w:pPr>
    </w:p>
    <w:p>
      <w:pPr>
        <w:adjustRightInd w:val="0"/>
        <w:snapToGrid w:val="0"/>
        <w:spacing w:line="360" w:lineRule="auto"/>
        <w:jc w:val="center"/>
        <w:outlineLvl w:val="0"/>
        <w:rPr>
          <w:rFonts w:hint="eastAsia" w:ascii="方正小标宋简体" w:hAnsi="方正小标宋简体" w:eastAsia="方正小标宋简体" w:cs="方正小标宋简体"/>
          <w:color w:val="auto"/>
          <w:sz w:val="72"/>
          <w:szCs w:val="72"/>
          <w:highlight w:val="none"/>
        </w:rPr>
      </w:pPr>
      <w:r>
        <w:rPr>
          <w:rFonts w:hint="eastAsia" w:ascii="方正小标宋简体" w:hAnsi="方正小标宋简体" w:eastAsia="方正小标宋简体" w:cs="方正小标宋简体"/>
          <w:color w:val="auto"/>
          <w:sz w:val="72"/>
          <w:szCs w:val="72"/>
          <w:highlight w:val="none"/>
        </w:rPr>
        <w:t>20</w:t>
      </w:r>
      <w:r>
        <w:rPr>
          <w:rFonts w:hint="eastAsia" w:ascii="方正小标宋简体" w:hAnsi="方正小标宋简体" w:eastAsia="方正小标宋简体" w:cs="方正小标宋简体"/>
          <w:color w:val="auto"/>
          <w:sz w:val="72"/>
          <w:szCs w:val="72"/>
          <w:highlight w:val="none"/>
          <w:lang w:val="en-US" w:eastAsia="zh-CN"/>
        </w:rPr>
        <w:t>22</w:t>
      </w:r>
      <w:r>
        <w:rPr>
          <w:rFonts w:hint="eastAsia" w:ascii="方正小标宋简体" w:hAnsi="方正小标宋简体" w:eastAsia="方正小标宋简体" w:cs="方正小标宋简体"/>
          <w:color w:val="auto"/>
          <w:sz w:val="72"/>
          <w:szCs w:val="72"/>
          <w:highlight w:val="none"/>
        </w:rPr>
        <w:t>年度</w:t>
      </w:r>
      <w:bookmarkEnd w:id="0"/>
      <w:bookmarkEnd w:id="1"/>
      <w:bookmarkEnd w:id="2"/>
      <w:bookmarkEnd w:id="3"/>
      <w:bookmarkEnd w:id="4"/>
    </w:p>
    <w:bookmarkEnd w:id="5"/>
    <w:p>
      <w:pPr>
        <w:jc w:val="center"/>
        <w:rPr>
          <w:rFonts w:hint="eastAsia" w:ascii="方正小标宋简体" w:eastAsia="方正小标宋简体"/>
          <w:sz w:val="72"/>
          <w:szCs w:val="72"/>
          <w:lang w:eastAsia="zh-CN"/>
        </w:rPr>
      </w:pPr>
      <w:bookmarkStart w:id="6" w:name="_Toc15396476"/>
      <w:bookmarkStart w:id="7" w:name="_Toc15378442"/>
      <w:bookmarkStart w:id="8" w:name="_Toc15396598"/>
      <w:bookmarkStart w:id="9" w:name="_Toc15377426"/>
      <w:bookmarkStart w:id="10" w:name="_Toc15377194"/>
      <w:r>
        <w:rPr>
          <w:rFonts w:hint="eastAsia" w:ascii="方正小标宋简体" w:eastAsia="方正小标宋简体"/>
          <w:sz w:val="72"/>
          <w:szCs w:val="72"/>
        </w:rPr>
        <w:t>四川省阿坝州</w:t>
      </w:r>
      <w:bookmarkStart w:id="11" w:name="_Toc15306268"/>
      <w:r>
        <w:rPr>
          <w:rFonts w:hint="eastAsia" w:ascii="方正小标宋简体" w:eastAsia="方正小标宋简体"/>
          <w:sz w:val="72"/>
          <w:szCs w:val="72"/>
          <w:lang w:eastAsia="zh-CN"/>
        </w:rPr>
        <w:t>壤塘县水务局</w:t>
      </w:r>
      <w:r>
        <w:rPr>
          <w:rFonts w:hint="eastAsia" w:ascii="方正小标宋简体" w:eastAsia="方正小标宋简体"/>
          <w:sz w:val="72"/>
          <w:szCs w:val="72"/>
        </w:rPr>
        <w:t>部门决算</w:t>
      </w:r>
      <w:bookmarkEnd w:id="6"/>
      <w:bookmarkEnd w:id="7"/>
      <w:bookmarkEnd w:id="8"/>
      <w:bookmarkEnd w:id="9"/>
      <w:bookmarkEnd w:id="10"/>
      <w:bookmarkEnd w:id="11"/>
      <w:r>
        <w:rPr>
          <w:rFonts w:hint="eastAsia" w:ascii="方正小标宋简体" w:eastAsia="方正小标宋简体"/>
          <w:sz w:val="72"/>
          <w:szCs w:val="72"/>
          <w:lang w:eastAsia="zh-CN"/>
        </w:rPr>
        <w:t>公开</w:t>
      </w: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hint="eastAsia" w:ascii="宋体" w:hAnsi="宋体" w:cs="仿宋_GB2312"/>
          <w:sz w:val="32"/>
          <w:szCs w:val="32"/>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rPr>
          <w:color w:val="auto"/>
          <w:highlight w:val="none"/>
          <w:shd w:val="clear" w:color="auto" w:fill="auto"/>
        </w:rPr>
      </w:pPr>
      <w:r>
        <w:rPr>
          <w:rFonts w:ascii="方正小标宋简体" w:hAnsi="宋体" w:eastAsia="方正小标宋简体"/>
          <w:color w:val="auto"/>
          <w:sz w:val="36"/>
          <w:szCs w:val="36"/>
          <w:highlight w:val="none"/>
        </w:rPr>
        <w:br w:type="page"/>
      </w:r>
      <w:bookmarkStart w:id="12" w:name="_Toc15377196"/>
      <w:bookmarkStart w:id="13" w:name="_Toc15396599"/>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2"/>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3</w:t>
      </w:r>
      <w:r>
        <w:rPr>
          <w:rFonts w:hint="eastAsia" w:hAnsiTheme="minorHAnsi"/>
          <w:b w:val="0"/>
          <w:bCs w:val="0"/>
          <w:sz w:val="24"/>
          <w:szCs w:val="24"/>
        </w:rPr>
        <w:t xml:space="preserve">年 </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17</w:t>
      </w:r>
      <w:r>
        <w:rPr>
          <w:rFonts w:hint="eastAsia" w:hAnsiTheme="minorHAnsi"/>
          <w:b w:val="0"/>
          <w:bCs w:val="0"/>
          <w:sz w:val="24"/>
          <w:szCs w:val="24"/>
        </w:rPr>
        <w:t>日</w:t>
      </w:r>
    </w:p>
    <w:p>
      <w:pPr>
        <w:pStyle w:val="12"/>
        <w:rPr>
          <w:rFonts w:hint="eastAsia" w:ascii="黑体" w:hAnsi="黑体" w:eastAsia="黑体" w:cs="黑体"/>
          <w:b w:val="0"/>
          <w:bCs w:val="0"/>
          <w:caps w:val="0"/>
          <w:color w:val="000000" w:themeColor="text1"/>
          <w:sz w:val="20"/>
          <w:szCs w:val="20"/>
          <w:highlight w:val="none"/>
          <w:shd w:val="clear" w:color="auto" w:fill="auto"/>
          <w:lang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ascii="黑体" w:hAnsi="黑体" w:eastAsia="黑体" w:cs="黑体"/>
          <w:b w:val="0"/>
          <w:bCs w:val="0"/>
          <w:caps w:val="0"/>
          <w:color w:val="auto"/>
          <w:sz w:val="20"/>
          <w:szCs w:val="20"/>
          <w:highlight w:val="none"/>
          <w:shd w:val="clear" w:color="auto" w:fill="auto"/>
        </w:rPr>
        <w:fldChar w:fldCharType="begin"/>
      </w:r>
      <w:r>
        <w:rPr>
          <w:rFonts w:hint="eastAsia" w:ascii="黑体" w:hAnsi="黑体" w:eastAsia="黑体" w:cs="黑体"/>
          <w:b w:val="0"/>
          <w:bCs w:val="0"/>
          <w:caps w:val="0"/>
          <w:color w:val="auto"/>
          <w:sz w:val="20"/>
          <w:szCs w:val="20"/>
          <w:highlight w:val="none"/>
          <w:shd w:val="clear" w:color="auto" w:fill="auto"/>
        </w:rPr>
        <w:instrText xml:space="preserve"> TOC \o \u </w:instrText>
      </w:r>
      <w:r>
        <w:rPr>
          <w:rFonts w:hint="eastAsia" w:ascii="黑体" w:hAnsi="黑体" w:eastAsia="黑体" w:cs="黑体"/>
          <w:b w:val="0"/>
          <w:bCs w:val="0"/>
          <w:caps w:val="0"/>
          <w:color w:val="auto"/>
          <w:sz w:val="20"/>
          <w:szCs w:val="20"/>
          <w:highlight w:val="none"/>
          <w:shd w:val="clear" w:color="auto" w:fill="auto"/>
        </w:rPr>
        <w:fldChar w:fldCharType="separate"/>
      </w:r>
      <w:r>
        <w:rPr>
          <w:rFonts w:hint="eastAsia" w:ascii="黑体" w:hAnsi="黑体" w:eastAsia="黑体" w:cs="黑体"/>
          <w:b w:val="0"/>
          <w:bCs w:val="0"/>
          <w:i w:val="0"/>
          <w:iCs w:val="0"/>
          <w:color w:val="000000" w:themeColor="text1"/>
          <w:sz w:val="20"/>
          <w:szCs w:val="20"/>
          <w:highlight w:val="none"/>
          <w:shd w:val="clear" w:color="auto" w:fill="auto"/>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第一部分 部门概况</w:t>
      </w:r>
      <w:r>
        <w:rPr>
          <w:rFonts w:hint="eastAsia" w:ascii="黑体" w:hAnsi="黑体" w:eastAsia="黑体" w:cs="黑体"/>
          <w:color w:val="000000" w:themeColor="text1"/>
          <w:sz w:val="20"/>
          <w:szCs w:val="20"/>
          <w:highlight w:val="none"/>
          <w:shd w:val="clear" w:color="auto" w:fill="auto"/>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ab/>
      </w:r>
      <w:r>
        <w:rPr>
          <w:rFonts w:hint="eastAsia" w:ascii="黑体" w:hAnsi="黑体" w:eastAsia="黑体" w:cs="黑体"/>
          <w:b w:val="0"/>
          <w:bCs w:val="0"/>
          <w:color w:val="000000" w:themeColor="text1"/>
          <w:sz w:val="20"/>
          <w:szCs w:val="20"/>
          <w:highlight w:val="none"/>
          <w:shd w:val="clear" w:color="auto" w:fill="auto"/>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4</w:t>
      </w:r>
    </w:p>
    <w:p>
      <w:pPr>
        <w:pStyle w:val="13"/>
        <w:ind w:left="0" w:leftChars="0" w:firstLine="0" w:firstLineChars="0"/>
        <w:rPr>
          <w:rFonts w:hint="eastAsia" w:ascii="黑体" w:hAnsi="黑体" w:eastAsia="黑体" w:cs="黑体"/>
          <w:smallCaps w:val="0"/>
          <w:color w:val="auto"/>
          <w:sz w:val="20"/>
          <w:szCs w:val="20"/>
          <w:highlight w:val="none"/>
          <w:shd w:val="clear" w:color="auto" w:fill="auto"/>
          <w:lang w:eastAsia="zh-CN"/>
        </w:rPr>
      </w:pPr>
      <w:r>
        <w:rPr>
          <w:rFonts w:hint="eastAsia" w:ascii="黑体" w:hAnsi="黑体" w:eastAsia="黑体" w:cs="黑体"/>
          <w:color w:val="auto"/>
          <w:sz w:val="20"/>
          <w:szCs w:val="20"/>
          <w:highlight w:val="none"/>
          <w:shd w:val="clear" w:color="auto" w:fill="auto"/>
        </w:rPr>
        <w:t>一、</w:t>
      </w:r>
      <w:r>
        <w:rPr>
          <w:rFonts w:hint="eastAsia" w:ascii="黑体" w:hAnsi="黑体" w:eastAsia="黑体" w:cs="黑体"/>
          <w:color w:val="auto"/>
          <w:sz w:val="20"/>
          <w:szCs w:val="20"/>
          <w:highlight w:val="none"/>
          <w:shd w:val="clear" w:color="auto" w:fill="auto"/>
          <w:lang w:val="en-US" w:eastAsia="zh-CN"/>
        </w:rPr>
        <w:t>部门职责</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4</w:t>
      </w:r>
    </w:p>
    <w:p>
      <w:pPr>
        <w:pStyle w:val="13"/>
        <w:ind w:left="0" w:leftChars="0" w:firstLine="0" w:firstLineChars="0"/>
        <w:rPr>
          <w:rFonts w:hint="eastAsia" w:ascii="黑体" w:hAnsi="黑体" w:eastAsia="黑体" w:cs="黑体"/>
          <w:smallCaps w:val="0"/>
          <w:color w:val="auto"/>
          <w:sz w:val="20"/>
          <w:szCs w:val="20"/>
          <w:highlight w:val="none"/>
          <w:shd w:val="clear" w:color="auto" w:fill="auto"/>
          <w:lang w:eastAsia="zh-CN"/>
        </w:rPr>
      </w:pPr>
      <w:r>
        <w:rPr>
          <w:rFonts w:hint="eastAsia" w:ascii="黑体" w:hAnsi="黑体" w:eastAsia="黑体" w:cs="黑体"/>
          <w:color w:val="auto"/>
          <w:sz w:val="20"/>
          <w:szCs w:val="20"/>
          <w:highlight w:val="none"/>
          <w:shd w:val="clear" w:color="auto" w:fill="auto"/>
        </w:rPr>
        <w:t>二、机构设置</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5</w:t>
      </w:r>
    </w:p>
    <w:p>
      <w:pPr>
        <w:pStyle w:val="12"/>
        <w:rPr>
          <w:rFonts w:hint="eastAsia" w:ascii="黑体" w:hAnsi="黑体" w:eastAsia="黑体" w:cs="黑体"/>
          <w:b w:val="0"/>
          <w:bCs w:val="0"/>
          <w:caps w:val="0"/>
          <w:color w:val="auto"/>
          <w:sz w:val="20"/>
          <w:szCs w:val="20"/>
          <w:highlight w:val="none"/>
          <w:shd w:val="clear" w:color="auto" w:fill="auto"/>
          <w:lang w:eastAsia="zh-CN"/>
        </w:rPr>
      </w:pPr>
      <w:r>
        <w:rPr>
          <w:rFonts w:hint="eastAsia" w:ascii="黑体" w:hAnsi="黑体" w:eastAsia="黑体" w:cs="黑体"/>
          <w:b w:val="0"/>
          <w:color w:val="auto"/>
          <w:sz w:val="20"/>
          <w:szCs w:val="20"/>
          <w:highlight w:val="none"/>
          <w:shd w:val="clear" w:color="auto" w:fill="auto"/>
        </w:rPr>
        <w:t>第二部分</w:t>
      </w:r>
      <w:r>
        <w:rPr>
          <w:rFonts w:hint="eastAsia" w:ascii="黑体" w:hAnsi="黑体" w:eastAsia="黑体" w:cs="黑体"/>
          <w:color w:val="auto"/>
          <w:sz w:val="20"/>
          <w:szCs w:val="20"/>
          <w:highlight w:val="none"/>
          <w:shd w:val="clear" w:color="auto" w:fill="auto"/>
        </w:rPr>
        <w:t xml:space="preserve"> </w:t>
      </w:r>
      <w:r>
        <w:rPr>
          <w:rFonts w:hint="eastAsia" w:ascii="黑体" w:hAnsi="黑体" w:eastAsia="黑体" w:cs="黑体"/>
          <w:b w:val="0"/>
          <w:bCs w:val="0"/>
          <w:color w:val="auto"/>
          <w:sz w:val="20"/>
          <w:szCs w:val="20"/>
          <w:highlight w:val="none"/>
          <w:shd w:val="clear" w:color="auto" w:fill="auto"/>
        </w:rPr>
        <w:t>2021年度部门决算情况说明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6</w:t>
      </w:r>
    </w:p>
    <w:p>
      <w:pPr>
        <w:pStyle w:val="13"/>
        <w:tabs>
          <w:tab w:val="left" w:pos="840"/>
        </w:tabs>
        <w:ind w:left="0" w:leftChars="0" w:firstLine="0" w:firstLineChars="0"/>
        <w:rPr>
          <w:rFonts w:hint="eastAsia" w:ascii="黑体" w:hAnsi="黑体" w:eastAsia="黑体" w:cs="黑体"/>
          <w:smallCaps w:val="0"/>
          <w:color w:val="auto"/>
          <w:sz w:val="20"/>
          <w:szCs w:val="20"/>
          <w:highlight w:val="none"/>
          <w:shd w:val="clear" w:color="auto" w:fill="auto"/>
          <w:lang w:eastAsia="zh-CN"/>
        </w:rPr>
      </w:pPr>
      <w:r>
        <w:rPr>
          <w:rFonts w:hint="eastAsia" w:ascii="黑体" w:hAnsi="黑体" w:eastAsia="黑体" w:cs="黑体"/>
          <w:bCs/>
          <w:color w:val="auto"/>
          <w:sz w:val="20"/>
          <w:szCs w:val="20"/>
          <w:highlight w:val="none"/>
          <w:shd w:val="clear" w:color="auto" w:fill="auto"/>
        </w:rPr>
        <w:t>一</w:t>
      </w:r>
      <w:r>
        <w:rPr>
          <w:rFonts w:hint="eastAsia" w:ascii="黑体" w:hAnsi="黑体" w:eastAsia="黑体" w:cs="黑体"/>
          <w:bCs/>
          <w:color w:val="auto"/>
          <w:sz w:val="20"/>
          <w:szCs w:val="20"/>
          <w:highlight w:val="none"/>
          <w:shd w:val="clear" w:color="auto" w:fill="auto"/>
          <w:lang w:eastAsia="zh-CN"/>
        </w:rPr>
        <w:t>、</w:t>
      </w:r>
      <w:r>
        <w:rPr>
          <w:rFonts w:hint="eastAsia" w:ascii="黑体" w:hAnsi="黑体" w:eastAsia="黑体" w:cs="黑体"/>
          <w:color w:val="auto"/>
          <w:sz w:val="20"/>
          <w:szCs w:val="20"/>
          <w:highlight w:val="none"/>
          <w:shd w:val="clear" w:color="auto" w:fill="auto"/>
        </w:rPr>
        <w:t>收</w:t>
      </w:r>
      <w:r>
        <w:rPr>
          <w:rFonts w:hint="eastAsia" w:ascii="黑体" w:hAnsi="黑体" w:eastAsia="黑体" w:cs="黑体"/>
          <w:bCs/>
          <w:color w:val="auto"/>
          <w:sz w:val="20"/>
          <w:szCs w:val="20"/>
          <w:highlight w:val="none"/>
          <w:shd w:val="clear" w:color="auto" w:fill="auto"/>
        </w:rPr>
        <w:t>入支出决算总体情况说明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6</w:t>
      </w:r>
    </w:p>
    <w:p>
      <w:pPr>
        <w:pStyle w:val="13"/>
        <w:tabs>
          <w:tab w:val="left" w:pos="840"/>
        </w:tabs>
        <w:ind w:left="0" w:leftChars="0" w:firstLine="0" w:firstLineChars="0"/>
        <w:rPr>
          <w:rFonts w:hint="eastAsia" w:ascii="黑体" w:hAnsi="黑体" w:eastAsia="黑体" w:cs="黑体"/>
          <w:smallCaps w:val="0"/>
          <w:color w:val="auto"/>
          <w:sz w:val="20"/>
          <w:szCs w:val="20"/>
          <w:highlight w:val="none"/>
          <w:shd w:val="clear" w:color="auto" w:fill="auto"/>
          <w:lang w:eastAsia="zh-CN"/>
        </w:rPr>
      </w:pPr>
      <w:r>
        <w:rPr>
          <w:rFonts w:hint="eastAsia" w:ascii="黑体" w:hAnsi="黑体" w:eastAsia="黑体" w:cs="黑体"/>
          <w:bCs/>
          <w:color w:val="auto"/>
          <w:sz w:val="20"/>
          <w:szCs w:val="20"/>
          <w:highlight w:val="none"/>
          <w:shd w:val="clear" w:color="auto" w:fill="auto"/>
        </w:rPr>
        <w:t>二、</w:t>
      </w:r>
      <w:r>
        <w:rPr>
          <w:rFonts w:hint="eastAsia" w:ascii="黑体" w:hAnsi="黑体" w:eastAsia="黑体" w:cs="黑体"/>
          <w:color w:val="auto"/>
          <w:sz w:val="20"/>
          <w:szCs w:val="20"/>
          <w:highlight w:val="none"/>
          <w:shd w:val="clear" w:color="auto" w:fill="auto"/>
        </w:rPr>
        <w:t>收</w:t>
      </w:r>
      <w:r>
        <w:rPr>
          <w:rFonts w:hint="eastAsia" w:ascii="黑体" w:hAnsi="黑体" w:eastAsia="黑体" w:cs="黑体"/>
          <w:bCs/>
          <w:color w:val="auto"/>
          <w:sz w:val="20"/>
          <w:szCs w:val="20"/>
          <w:highlight w:val="none"/>
          <w:shd w:val="clear" w:color="auto" w:fill="auto"/>
        </w:rPr>
        <w:t>入决算情况说明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7</w:t>
      </w:r>
    </w:p>
    <w:p>
      <w:pPr>
        <w:pStyle w:val="13"/>
        <w:tabs>
          <w:tab w:val="left" w:pos="840"/>
        </w:tabs>
        <w:ind w:left="0" w:leftChars="0" w:firstLine="0" w:firstLineChars="0"/>
        <w:rPr>
          <w:rFonts w:hint="eastAsia"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bCs/>
          <w:color w:val="auto"/>
          <w:sz w:val="20"/>
          <w:szCs w:val="20"/>
          <w:highlight w:val="none"/>
          <w:shd w:val="clear" w:color="auto" w:fill="auto"/>
        </w:rPr>
        <w:t>三、</w:t>
      </w:r>
      <w:r>
        <w:rPr>
          <w:rFonts w:hint="eastAsia" w:ascii="黑体" w:hAnsi="黑体" w:eastAsia="黑体" w:cs="黑体"/>
          <w:color w:val="auto"/>
          <w:sz w:val="20"/>
          <w:szCs w:val="20"/>
          <w:highlight w:val="none"/>
          <w:shd w:val="clear" w:color="auto" w:fill="auto"/>
        </w:rPr>
        <w:t>支</w:t>
      </w:r>
      <w:r>
        <w:rPr>
          <w:rFonts w:hint="eastAsia" w:ascii="黑体" w:hAnsi="黑体" w:eastAsia="黑体" w:cs="黑体"/>
          <w:bCs/>
          <w:color w:val="auto"/>
          <w:sz w:val="20"/>
          <w:szCs w:val="20"/>
          <w:highlight w:val="none"/>
          <w:shd w:val="clear" w:color="auto" w:fill="auto"/>
        </w:rPr>
        <w:t>出决算情况说明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7</w:t>
      </w:r>
    </w:p>
    <w:p>
      <w:pPr>
        <w:pStyle w:val="13"/>
        <w:ind w:left="0" w:leftChars="0" w:firstLine="0" w:firstLineChars="0"/>
        <w:rPr>
          <w:rFonts w:hint="eastAsia" w:ascii="黑体" w:hAnsi="黑体" w:eastAsia="黑体" w:cs="黑体"/>
          <w:smallCaps w:val="0"/>
          <w:color w:val="auto"/>
          <w:sz w:val="20"/>
          <w:szCs w:val="20"/>
          <w:highlight w:val="none"/>
          <w:shd w:val="clear" w:color="auto" w:fill="auto"/>
          <w:lang w:eastAsia="zh-CN"/>
        </w:rPr>
      </w:pPr>
      <w:r>
        <w:rPr>
          <w:rFonts w:hint="eastAsia" w:ascii="黑体" w:hAnsi="黑体" w:eastAsia="黑体" w:cs="黑体"/>
          <w:color w:val="auto"/>
          <w:sz w:val="20"/>
          <w:szCs w:val="20"/>
          <w:highlight w:val="none"/>
          <w:shd w:val="clear" w:color="auto" w:fill="auto"/>
        </w:rPr>
        <w:t>四、财</w:t>
      </w:r>
      <w:r>
        <w:rPr>
          <w:rFonts w:hint="eastAsia" w:ascii="黑体" w:hAnsi="黑体" w:eastAsia="黑体" w:cs="黑体"/>
          <w:bCs/>
          <w:color w:val="auto"/>
          <w:sz w:val="20"/>
          <w:szCs w:val="20"/>
          <w:highlight w:val="none"/>
          <w:shd w:val="clear" w:color="auto" w:fill="auto"/>
        </w:rPr>
        <w:t>政拨款收入支出决算总体情况说明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7</w:t>
      </w:r>
    </w:p>
    <w:p>
      <w:pPr>
        <w:pStyle w:val="13"/>
        <w:ind w:left="0" w:leftChars="0" w:firstLine="0" w:firstLineChars="0"/>
        <w:rPr>
          <w:rFonts w:hint="eastAsia" w:ascii="黑体" w:hAnsi="黑体" w:eastAsia="黑体" w:cs="黑体"/>
          <w:smallCaps w:val="0"/>
          <w:color w:val="auto"/>
          <w:sz w:val="20"/>
          <w:szCs w:val="20"/>
          <w:highlight w:val="none"/>
          <w:shd w:val="clear" w:color="auto" w:fill="auto"/>
          <w:lang w:eastAsia="zh-CN"/>
        </w:rPr>
      </w:pPr>
      <w:r>
        <w:rPr>
          <w:rFonts w:hint="eastAsia" w:ascii="黑体" w:hAnsi="黑体" w:eastAsia="黑体" w:cs="黑体"/>
          <w:color w:val="auto"/>
          <w:sz w:val="20"/>
          <w:szCs w:val="20"/>
          <w:highlight w:val="none"/>
          <w:shd w:val="clear" w:color="auto" w:fill="auto"/>
        </w:rPr>
        <w:t>五、</w:t>
      </w:r>
      <w:r>
        <w:rPr>
          <w:rFonts w:hint="eastAsia" w:ascii="黑体" w:hAnsi="黑体" w:eastAsia="黑体" w:cs="黑体"/>
          <w:b/>
          <w:color w:val="auto"/>
          <w:sz w:val="20"/>
          <w:szCs w:val="20"/>
          <w:highlight w:val="none"/>
          <w:shd w:val="clear" w:color="auto" w:fill="auto"/>
        </w:rPr>
        <w:t>一</w:t>
      </w:r>
      <w:r>
        <w:rPr>
          <w:rFonts w:hint="eastAsia" w:ascii="黑体" w:hAnsi="黑体" w:eastAsia="黑体" w:cs="黑体"/>
          <w:bCs/>
          <w:color w:val="auto"/>
          <w:sz w:val="20"/>
          <w:szCs w:val="20"/>
          <w:highlight w:val="none"/>
          <w:shd w:val="clear" w:color="auto" w:fill="auto"/>
        </w:rPr>
        <w:t>般公共预算财政拨款支出决算情况说明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8</w:t>
      </w:r>
    </w:p>
    <w:p>
      <w:pPr>
        <w:pStyle w:val="8"/>
        <w:ind w:left="0" w:leftChars="0" w:firstLine="201" w:firstLineChars="100"/>
        <w:rPr>
          <w:rFonts w:hint="eastAsia" w:ascii="黑体" w:hAnsi="黑体" w:eastAsia="黑体" w:cs="黑体"/>
          <w:b w:val="0"/>
          <w:bCs/>
          <w:i w:val="0"/>
          <w:iCs w:val="0"/>
          <w:color w:val="auto"/>
          <w:sz w:val="20"/>
          <w:szCs w:val="20"/>
          <w:highlight w:val="none"/>
          <w:shd w:val="clear" w:color="auto" w:fill="auto"/>
          <w:lang w:eastAsia="zh-CN"/>
        </w:rPr>
      </w:pPr>
      <w:r>
        <w:rPr>
          <w:rFonts w:hint="eastAsia" w:ascii="黑体" w:hAnsi="黑体" w:eastAsia="黑体" w:cs="黑体"/>
          <w:b/>
          <w:color w:val="auto"/>
          <w:sz w:val="20"/>
          <w:szCs w:val="20"/>
          <w:highlight w:val="none"/>
          <w:shd w:val="clear" w:color="auto" w:fill="auto"/>
        </w:rPr>
        <w:t>（</w:t>
      </w:r>
      <w:r>
        <w:rPr>
          <w:rFonts w:hint="eastAsia" w:ascii="黑体" w:hAnsi="黑体" w:eastAsia="黑体" w:cs="黑体"/>
          <w:b w:val="0"/>
          <w:bCs/>
          <w:color w:val="auto"/>
          <w:sz w:val="20"/>
          <w:szCs w:val="20"/>
          <w:highlight w:val="none"/>
          <w:shd w:val="clear" w:color="auto" w:fill="auto"/>
        </w:rPr>
        <w:t>一）一般公共预算财政拨款支出决算总体情况</w:t>
      </w:r>
      <w:r>
        <w:rPr>
          <w:rFonts w:hint="eastAsia" w:ascii="黑体" w:hAnsi="黑体" w:eastAsia="黑体" w:cs="黑体"/>
          <w:b w:val="0"/>
          <w:bCs/>
          <w:color w:val="auto"/>
          <w:sz w:val="20"/>
          <w:szCs w:val="20"/>
          <w:highlight w:val="none"/>
          <w:shd w:val="clear" w:color="auto" w:fill="auto"/>
        </w:rPr>
        <w:tab/>
      </w:r>
      <w:r>
        <w:rPr>
          <w:rFonts w:hint="eastAsia" w:ascii="黑体" w:hAnsi="黑体" w:eastAsia="黑体" w:cs="黑体"/>
          <w:b w:val="0"/>
          <w:bCs/>
          <w:color w:val="auto"/>
          <w:sz w:val="20"/>
          <w:szCs w:val="20"/>
          <w:highlight w:val="none"/>
          <w:shd w:val="clear" w:color="auto" w:fill="auto"/>
          <w:lang w:val="en-US" w:eastAsia="zh-CN"/>
        </w:rPr>
        <w:t>8</w:t>
      </w:r>
    </w:p>
    <w:p>
      <w:pPr>
        <w:pStyle w:val="8"/>
        <w:ind w:left="0" w:leftChars="0" w:firstLine="200" w:firstLineChars="100"/>
        <w:rPr>
          <w:rFonts w:hint="eastAsia" w:ascii="黑体" w:hAnsi="黑体" w:eastAsia="黑体" w:cs="黑体"/>
          <w:b w:val="0"/>
          <w:bCs/>
          <w:i w:val="0"/>
          <w:iCs w:val="0"/>
          <w:color w:val="auto"/>
          <w:sz w:val="20"/>
          <w:szCs w:val="20"/>
          <w:highlight w:val="none"/>
          <w:shd w:val="clear" w:color="auto" w:fill="auto"/>
          <w:lang w:val="en-US" w:eastAsia="zh-CN"/>
        </w:rPr>
      </w:pPr>
      <w:r>
        <w:rPr>
          <w:rFonts w:hint="eastAsia" w:ascii="黑体" w:hAnsi="黑体" w:eastAsia="黑体" w:cs="黑体"/>
          <w:b w:val="0"/>
          <w:bCs/>
          <w:color w:val="auto"/>
          <w:sz w:val="20"/>
          <w:szCs w:val="20"/>
          <w:highlight w:val="none"/>
          <w:shd w:val="clear" w:color="auto" w:fill="auto"/>
        </w:rPr>
        <w:t>（二）一般公共预算财政拨款支出决算结构情况</w:t>
      </w:r>
      <w:r>
        <w:rPr>
          <w:rFonts w:hint="eastAsia" w:ascii="黑体" w:hAnsi="黑体" w:eastAsia="黑体" w:cs="黑体"/>
          <w:b w:val="0"/>
          <w:bCs/>
          <w:color w:val="auto"/>
          <w:sz w:val="20"/>
          <w:szCs w:val="20"/>
          <w:highlight w:val="none"/>
          <w:shd w:val="clear" w:color="auto" w:fill="auto"/>
        </w:rPr>
        <w:tab/>
      </w:r>
      <w:r>
        <w:rPr>
          <w:rFonts w:hint="eastAsia" w:ascii="黑体" w:hAnsi="黑体" w:eastAsia="黑体" w:cs="黑体"/>
          <w:b w:val="0"/>
          <w:bCs/>
          <w:color w:val="auto"/>
          <w:sz w:val="20"/>
          <w:szCs w:val="20"/>
          <w:highlight w:val="none"/>
          <w:shd w:val="clear" w:color="auto" w:fill="auto"/>
          <w:lang w:val="en-US" w:eastAsia="zh-CN"/>
        </w:rPr>
        <w:t>8</w:t>
      </w:r>
    </w:p>
    <w:p>
      <w:pPr>
        <w:pStyle w:val="8"/>
        <w:ind w:left="0" w:leftChars="0" w:firstLine="200" w:firstLineChars="100"/>
        <w:rPr>
          <w:rFonts w:hint="eastAsia" w:ascii="黑体" w:hAnsi="黑体" w:eastAsia="黑体" w:cs="黑体"/>
          <w:i w:val="0"/>
          <w:iCs w:val="0"/>
          <w:color w:val="auto"/>
          <w:sz w:val="20"/>
          <w:szCs w:val="20"/>
          <w:highlight w:val="none"/>
          <w:shd w:val="clear" w:color="auto" w:fill="auto"/>
          <w:lang w:val="en-US" w:eastAsia="zh-CN"/>
        </w:rPr>
      </w:pPr>
      <w:r>
        <w:rPr>
          <w:rFonts w:hint="eastAsia" w:ascii="黑体" w:hAnsi="黑体" w:eastAsia="黑体" w:cs="黑体"/>
          <w:b w:val="0"/>
          <w:bCs/>
          <w:color w:val="auto"/>
          <w:sz w:val="20"/>
          <w:szCs w:val="20"/>
          <w:highlight w:val="none"/>
          <w:shd w:val="clear" w:color="auto" w:fill="auto"/>
        </w:rPr>
        <w:t>（三）一般公共预算财政拨款支出决算具体情况</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9</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六</w:t>
      </w:r>
      <w:r>
        <w:rPr>
          <w:rFonts w:hint="eastAsia" w:ascii="黑体" w:hAnsi="黑体" w:eastAsia="黑体" w:cs="黑体"/>
          <w:b/>
          <w:color w:val="auto"/>
          <w:sz w:val="20"/>
          <w:szCs w:val="20"/>
          <w:highlight w:val="none"/>
          <w:shd w:val="clear" w:color="auto" w:fill="auto"/>
        </w:rPr>
        <w:t>、一</w:t>
      </w:r>
      <w:r>
        <w:rPr>
          <w:rFonts w:hint="eastAsia" w:ascii="黑体" w:hAnsi="黑体" w:eastAsia="黑体" w:cs="黑体"/>
          <w:bCs/>
          <w:color w:val="auto"/>
          <w:sz w:val="20"/>
          <w:szCs w:val="20"/>
          <w:highlight w:val="none"/>
          <w:shd w:val="clear" w:color="auto" w:fill="auto"/>
        </w:rPr>
        <w:t>般公共预算财政拨款基本支出决算情况说明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10</w:t>
      </w:r>
    </w:p>
    <w:p>
      <w:pPr>
        <w:pStyle w:val="13"/>
        <w:ind w:left="0" w:leftChars="0" w:firstLine="0" w:firstLineChars="0"/>
        <w:rPr>
          <w:rFonts w:hint="eastAsia"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七、</w:t>
      </w:r>
      <w:r>
        <w:rPr>
          <w:rFonts w:hint="eastAsia" w:ascii="黑体" w:hAnsi="黑体" w:eastAsia="黑体" w:cs="黑体"/>
          <w:b/>
          <w:bCs/>
          <w:color w:val="auto"/>
          <w:sz w:val="20"/>
          <w:szCs w:val="20"/>
          <w:highlight w:val="none"/>
          <w:shd w:val="clear" w:color="auto" w:fill="auto"/>
        </w:rPr>
        <w:t>“</w:t>
      </w:r>
      <w:r>
        <w:rPr>
          <w:rFonts w:hint="eastAsia" w:ascii="黑体" w:hAnsi="黑体" w:eastAsia="黑体" w:cs="黑体"/>
          <w:bCs/>
          <w:color w:val="auto"/>
          <w:sz w:val="20"/>
          <w:szCs w:val="20"/>
          <w:highlight w:val="none"/>
          <w:shd w:val="clear" w:color="auto" w:fill="auto"/>
        </w:rPr>
        <w:t>三公”经费财政拨款支出决算情况说明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11</w:t>
      </w:r>
    </w:p>
    <w:p>
      <w:pPr>
        <w:pStyle w:val="8"/>
        <w:ind w:left="0" w:leftChars="0" w:firstLine="200" w:firstLineChars="100"/>
        <w:rPr>
          <w:rFonts w:hint="eastAsia" w:ascii="黑体" w:hAnsi="黑体" w:eastAsia="黑体" w:cs="黑体"/>
          <w:b w:val="0"/>
          <w:bCs/>
          <w:i w:val="0"/>
          <w:iCs w:val="0"/>
          <w:color w:val="auto"/>
          <w:sz w:val="20"/>
          <w:szCs w:val="20"/>
          <w:highlight w:val="none"/>
          <w:shd w:val="clear" w:color="auto" w:fill="auto"/>
          <w:lang w:val="en-US" w:eastAsia="zh-CN"/>
        </w:rPr>
      </w:pPr>
      <w:r>
        <w:rPr>
          <w:rFonts w:hint="eastAsia" w:ascii="黑体" w:hAnsi="黑体" w:eastAsia="黑体" w:cs="黑体"/>
          <w:b w:val="0"/>
          <w:bCs/>
          <w:color w:val="auto"/>
          <w:sz w:val="20"/>
          <w:szCs w:val="20"/>
          <w:highlight w:val="none"/>
          <w:shd w:val="clear" w:color="auto" w:fill="auto"/>
        </w:rPr>
        <w:t>（一）“三公”经费财政拨款支出决算总体情况说明</w:t>
      </w:r>
      <w:r>
        <w:rPr>
          <w:rFonts w:hint="eastAsia" w:ascii="黑体" w:hAnsi="黑体" w:eastAsia="黑体" w:cs="黑体"/>
          <w:b w:val="0"/>
          <w:bCs/>
          <w:color w:val="auto"/>
          <w:sz w:val="20"/>
          <w:szCs w:val="20"/>
          <w:highlight w:val="none"/>
          <w:shd w:val="clear" w:color="auto" w:fill="auto"/>
        </w:rPr>
        <w:tab/>
      </w:r>
      <w:r>
        <w:rPr>
          <w:rFonts w:hint="eastAsia" w:ascii="黑体" w:hAnsi="黑体" w:eastAsia="黑体" w:cs="黑体"/>
          <w:b w:val="0"/>
          <w:bCs/>
          <w:color w:val="auto"/>
          <w:sz w:val="20"/>
          <w:szCs w:val="20"/>
          <w:highlight w:val="none"/>
          <w:shd w:val="clear" w:color="auto" w:fill="auto"/>
          <w:lang w:val="en-US" w:eastAsia="zh-CN"/>
        </w:rPr>
        <w:t>11</w:t>
      </w:r>
    </w:p>
    <w:p>
      <w:pPr>
        <w:pStyle w:val="8"/>
        <w:ind w:left="0" w:leftChars="0" w:firstLine="200" w:firstLineChars="100"/>
        <w:rPr>
          <w:rFonts w:hint="eastAsia" w:ascii="黑体" w:hAnsi="黑体" w:eastAsia="黑体" w:cs="黑体"/>
          <w:i w:val="0"/>
          <w:iCs w:val="0"/>
          <w:color w:val="auto"/>
          <w:sz w:val="20"/>
          <w:szCs w:val="20"/>
          <w:highlight w:val="none"/>
          <w:shd w:val="clear" w:color="auto" w:fill="auto"/>
          <w:lang w:val="en-US" w:eastAsia="zh-CN"/>
        </w:rPr>
      </w:pPr>
      <w:r>
        <w:rPr>
          <w:rFonts w:hint="eastAsia" w:ascii="黑体" w:hAnsi="黑体" w:eastAsia="黑体" w:cs="黑体"/>
          <w:b w:val="0"/>
          <w:bCs/>
          <w:color w:val="auto"/>
          <w:sz w:val="20"/>
          <w:szCs w:val="20"/>
          <w:highlight w:val="none"/>
          <w:shd w:val="clear" w:color="auto" w:fill="auto"/>
        </w:rPr>
        <w:t>（二）“三公”经费财政拨款支出决算具体情况说明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11</w:t>
      </w:r>
    </w:p>
    <w:p>
      <w:pPr>
        <w:pStyle w:val="13"/>
        <w:ind w:left="0" w:leftChars="0" w:firstLine="0" w:firstLineChars="0"/>
        <w:rPr>
          <w:rFonts w:hint="eastAsia"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八、</w:t>
      </w:r>
      <w:r>
        <w:rPr>
          <w:rFonts w:hint="eastAsia" w:ascii="黑体" w:hAnsi="黑体" w:eastAsia="黑体" w:cs="黑体"/>
          <w:bCs/>
          <w:color w:val="auto"/>
          <w:sz w:val="20"/>
          <w:szCs w:val="20"/>
          <w:highlight w:val="none"/>
          <w:shd w:val="clear" w:color="auto" w:fill="auto"/>
        </w:rPr>
        <w:t>政府性基金预算支出决算情况说明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12</w:t>
      </w:r>
    </w:p>
    <w:p>
      <w:pPr>
        <w:pStyle w:val="13"/>
        <w:ind w:left="0" w:leftChars="0" w:firstLine="0" w:firstLineChars="0"/>
        <w:rPr>
          <w:rFonts w:hint="eastAsia"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bCs/>
          <w:color w:val="auto"/>
          <w:sz w:val="20"/>
          <w:szCs w:val="20"/>
          <w:highlight w:val="none"/>
          <w:shd w:val="clear" w:color="auto" w:fill="auto"/>
        </w:rPr>
        <w:t>九、 国有资本经营预算支出决算情况说明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12</w:t>
      </w:r>
    </w:p>
    <w:p>
      <w:pPr>
        <w:pStyle w:val="13"/>
        <w:ind w:left="0" w:leftChars="0" w:firstLine="0" w:firstLineChars="0"/>
        <w:rPr>
          <w:rFonts w:hint="eastAsia"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十</w:t>
      </w:r>
      <w:r>
        <w:rPr>
          <w:rFonts w:hint="eastAsia" w:ascii="黑体" w:hAnsi="黑体" w:eastAsia="黑体" w:cs="黑体"/>
          <w:b/>
          <w:bCs/>
          <w:color w:val="auto"/>
          <w:sz w:val="20"/>
          <w:szCs w:val="20"/>
          <w:highlight w:val="none"/>
          <w:shd w:val="clear" w:color="auto" w:fill="auto"/>
        </w:rPr>
        <w:t>、</w:t>
      </w:r>
      <w:r>
        <w:rPr>
          <w:rFonts w:hint="eastAsia" w:ascii="黑体" w:hAnsi="黑体" w:eastAsia="黑体" w:cs="黑体"/>
          <w:bCs/>
          <w:color w:val="auto"/>
          <w:sz w:val="20"/>
          <w:szCs w:val="20"/>
          <w:highlight w:val="none"/>
          <w:shd w:val="clear" w:color="auto" w:fill="auto"/>
        </w:rPr>
        <w:t>其他重要事项的情况说明</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12</w:t>
      </w:r>
    </w:p>
    <w:p>
      <w:pPr>
        <w:pStyle w:val="8"/>
        <w:ind w:left="0" w:leftChars="0" w:firstLine="200" w:firstLineChars="100"/>
        <w:rPr>
          <w:rFonts w:hint="eastAsia" w:ascii="黑体" w:hAnsi="黑体" w:eastAsia="黑体" w:cs="黑体"/>
          <w:b w:val="0"/>
          <w:bCs/>
          <w:i w:val="0"/>
          <w:iCs w:val="0"/>
          <w:color w:val="auto"/>
          <w:sz w:val="20"/>
          <w:szCs w:val="20"/>
          <w:highlight w:val="none"/>
          <w:shd w:val="clear" w:color="auto" w:fill="auto"/>
          <w:lang w:val="en-US" w:eastAsia="zh-CN"/>
        </w:rPr>
      </w:pPr>
      <w:r>
        <w:rPr>
          <w:rFonts w:hint="eastAsia" w:ascii="黑体" w:hAnsi="黑体" w:eastAsia="黑体" w:cs="黑体"/>
          <w:b w:val="0"/>
          <w:bCs/>
          <w:color w:val="auto"/>
          <w:sz w:val="20"/>
          <w:szCs w:val="20"/>
          <w:highlight w:val="none"/>
          <w:shd w:val="clear" w:color="auto" w:fill="auto"/>
        </w:rPr>
        <w:t>（一）机关运行经费支出情况</w:t>
      </w:r>
      <w:r>
        <w:rPr>
          <w:rFonts w:hint="eastAsia" w:ascii="黑体" w:hAnsi="黑体" w:eastAsia="黑体" w:cs="黑体"/>
          <w:b w:val="0"/>
          <w:bCs/>
          <w:color w:val="auto"/>
          <w:sz w:val="20"/>
          <w:szCs w:val="20"/>
          <w:highlight w:val="none"/>
          <w:shd w:val="clear" w:color="auto" w:fill="auto"/>
        </w:rPr>
        <w:tab/>
      </w:r>
      <w:r>
        <w:rPr>
          <w:rFonts w:hint="eastAsia" w:ascii="黑体" w:hAnsi="黑体" w:eastAsia="黑体" w:cs="黑体"/>
          <w:b w:val="0"/>
          <w:bCs/>
          <w:color w:val="auto"/>
          <w:sz w:val="20"/>
          <w:szCs w:val="20"/>
          <w:highlight w:val="none"/>
          <w:shd w:val="clear" w:color="auto" w:fill="auto"/>
          <w:lang w:val="en-US" w:eastAsia="zh-CN"/>
        </w:rPr>
        <w:t>12</w:t>
      </w:r>
    </w:p>
    <w:p>
      <w:pPr>
        <w:pStyle w:val="8"/>
        <w:ind w:left="0" w:leftChars="0" w:firstLine="200" w:firstLineChars="100"/>
        <w:rPr>
          <w:rFonts w:hint="eastAsia" w:ascii="黑体" w:hAnsi="黑体" w:eastAsia="黑体" w:cs="黑体"/>
          <w:b w:val="0"/>
          <w:bCs/>
          <w:i w:val="0"/>
          <w:iCs w:val="0"/>
          <w:color w:val="auto"/>
          <w:sz w:val="20"/>
          <w:szCs w:val="20"/>
          <w:highlight w:val="none"/>
          <w:shd w:val="clear" w:color="auto" w:fill="auto"/>
          <w:lang w:val="en-US" w:eastAsia="zh-CN"/>
        </w:rPr>
      </w:pPr>
      <w:r>
        <w:rPr>
          <w:rFonts w:hint="eastAsia" w:ascii="黑体" w:hAnsi="黑体" w:eastAsia="黑体" w:cs="黑体"/>
          <w:b w:val="0"/>
          <w:bCs/>
          <w:color w:val="auto"/>
          <w:sz w:val="20"/>
          <w:szCs w:val="20"/>
          <w:highlight w:val="none"/>
          <w:shd w:val="clear" w:color="auto" w:fill="auto"/>
        </w:rPr>
        <w:t>（二）政府采购支出情况</w:t>
      </w:r>
      <w:r>
        <w:rPr>
          <w:rFonts w:hint="eastAsia" w:ascii="黑体" w:hAnsi="黑体" w:eastAsia="黑体" w:cs="黑体"/>
          <w:b w:val="0"/>
          <w:bCs/>
          <w:color w:val="auto"/>
          <w:sz w:val="20"/>
          <w:szCs w:val="20"/>
          <w:highlight w:val="none"/>
          <w:shd w:val="clear" w:color="auto" w:fill="auto"/>
        </w:rPr>
        <w:tab/>
      </w:r>
      <w:r>
        <w:rPr>
          <w:rFonts w:hint="eastAsia" w:ascii="黑体" w:hAnsi="黑体" w:eastAsia="黑体" w:cs="黑体"/>
          <w:b w:val="0"/>
          <w:bCs/>
          <w:color w:val="auto"/>
          <w:sz w:val="20"/>
          <w:szCs w:val="20"/>
          <w:highlight w:val="none"/>
          <w:shd w:val="clear" w:color="auto" w:fill="auto"/>
          <w:lang w:val="en-US" w:eastAsia="zh-CN"/>
        </w:rPr>
        <w:t>12</w:t>
      </w:r>
    </w:p>
    <w:p>
      <w:pPr>
        <w:pStyle w:val="8"/>
        <w:ind w:left="0" w:leftChars="0" w:firstLine="200" w:firstLineChars="100"/>
        <w:rPr>
          <w:rFonts w:hint="default" w:ascii="黑体" w:hAnsi="黑体" w:eastAsia="黑体" w:cs="黑体"/>
          <w:b w:val="0"/>
          <w:bCs/>
          <w:i w:val="0"/>
          <w:iCs w:val="0"/>
          <w:color w:val="auto"/>
          <w:sz w:val="20"/>
          <w:szCs w:val="20"/>
          <w:highlight w:val="none"/>
          <w:shd w:val="clear" w:color="auto" w:fill="auto"/>
          <w:lang w:val="en-US" w:eastAsia="zh-CN"/>
        </w:rPr>
      </w:pPr>
      <w:r>
        <w:rPr>
          <w:rFonts w:hint="eastAsia" w:ascii="黑体" w:hAnsi="黑体" w:eastAsia="黑体" w:cs="黑体"/>
          <w:b w:val="0"/>
          <w:bCs/>
          <w:color w:val="auto"/>
          <w:sz w:val="20"/>
          <w:szCs w:val="20"/>
          <w:highlight w:val="none"/>
          <w:shd w:val="clear" w:color="auto" w:fill="auto"/>
        </w:rPr>
        <w:t>（三）国有资产占有使用情况</w:t>
      </w:r>
      <w:r>
        <w:rPr>
          <w:rFonts w:hint="eastAsia" w:ascii="黑体" w:hAnsi="黑体" w:eastAsia="黑体" w:cs="黑体"/>
          <w:b w:val="0"/>
          <w:bCs/>
          <w:color w:val="auto"/>
          <w:sz w:val="20"/>
          <w:szCs w:val="20"/>
          <w:highlight w:val="none"/>
          <w:shd w:val="clear" w:color="auto" w:fill="auto"/>
        </w:rPr>
        <w:tab/>
      </w:r>
      <w:r>
        <w:rPr>
          <w:rFonts w:hint="eastAsia" w:ascii="黑体" w:hAnsi="黑体" w:eastAsia="黑体" w:cs="黑体"/>
          <w:b w:val="0"/>
          <w:bCs/>
          <w:color w:val="auto"/>
          <w:sz w:val="20"/>
          <w:szCs w:val="20"/>
          <w:highlight w:val="none"/>
          <w:shd w:val="clear" w:color="auto" w:fill="auto"/>
          <w:lang w:val="en-US" w:eastAsia="zh-CN"/>
        </w:rPr>
        <w:t>12</w:t>
      </w:r>
    </w:p>
    <w:p>
      <w:pPr>
        <w:pStyle w:val="8"/>
        <w:ind w:left="0" w:leftChars="0" w:firstLine="200" w:firstLineChars="100"/>
        <w:rPr>
          <w:rFonts w:hint="default" w:ascii="黑体" w:hAnsi="黑体" w:eastAsia="黑体" w:cs="黑体"/>
          <w:i w:val="0"/>
          <w:iCs w:val="0"/>
          <w:color w:val="auto"/>
          <w:sz w:val="20"/>
          <w:szCs w:val="20"/>
          <w:highlight w:val="none"/>
          <w:shd w:val="clear" w:color="auto" w:fill="auto"/>
          <w:lang w:val="en-US" w:eastAsia="zh-CN"/>
        </w:rPr>
      </w:pPr>
      <w:r>
        <w:rPr>
          <w:rFonts w:hint="eastAsia" w:ascii="黑体" w:hAnsi="黑体" w:eastAsia="黑体" w:cs="黑体"/>
          <w:b w:val="0"/>
          <w:bCs/>
          <w:color w:val="auto"/>
          <w:sz w:val="20"/>
          <w:szCs w:val="20"/>
          <w:highlight w:val="none"/>
          <w:shd w:val="clear" w:color="auto" w:fill="auto"/>
        </w:rPr>
        <w:t>（四）预算绩效管理情况。</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12</w:t>
      </w:r>
    </w:p>
    <w:p>
      <w:pPr>
        <w:pStyle w:val="12"/>
        <w:rPr>
          <w:rFonts w:hint="default" w:ascii="黑体" w:hAnsi="黑体" w:eastAsia="黑体" w:cs="黑体"/>
          <w:b w:val="0"/>
          <w:bCs w:val="0"/>
          <w:caps w:val="0"/>
          <w:color w:val="auto"/>
          <w:sz w:val="20"/>
          <w:szCs w:val="20"/>
          <w:highlight w:val="none"/>
          <w:shd w:val="clear" w:color="auto" w:fill="auto"/>
          <w:lang w:val="en-US" w:eastAsia="zh-CN"/>
        </w:rPr>
      </w:pPr>
      <w:r>
        <w:rPr>
          <w:rFonts w:hint="eastAsia" w:ascii="黑体" w:hAnsi="黑体" w:eastAsia="黑体" w:cs="黑体"/>
          <w:color w:val="auto"/>
          <w:kern w:val="44"/>
          <w:sz w:val="20"/>
          <w:szCs w:val="20"/>
          <w:highlight w:val="none"/>
          <w:shd w:val="clear" w:color="auto" w:fill="auto"/>
        </w:rPr>
        <w:t>第三部分</w:t>
      </w:r>
      <w:r>
        <w:rPr>
          <w:rFonts w:hint="eastAsia" w:ascii="黑体" w:hAnsi="黑体" w:eastAsia="黑体" w:cs="黑体"/>
          <w:color w:val="auto"/>
          <w:sz w:val="20"/>
          <w:szCs w:val="20"/>
          <w:highlight w:val="none"/>
          <w:shd w:val="clear" w:color="auto" w:fill="auto"/>
        </w:rPr>
        <w:t xml:space="preserve"> 名</w:t>
      </w:r>
      <w:r>
        <w:rPr>
          <w:rFonts w:hint="eastAsia" w:ascii="黑体" w:hAnsi="黑体" w:eastAsia="黑体" w:cs="黑体"/>
          <w:color w:val="auto"/>
          <w:kern w:val="44"/>
          <w:sz w:val="20"/>
          <w:szCs w:val="20"/>
          <w:highlight w:val="none"/>
          <w:shd w:val="clear" w:color="auto" w:fill="auto"/>
        </w:rPr>
        <w:t>词解释</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23</w:t>
      </w:r>
    </w:p>
    <w:p>
      <w:pPr>
        <w:pStyle w:val="12"/>
        <w:rPr>
          <w:rFonts w:hint="default" w:ascii="黑体" w:hAnsi="黑体" w:eastAsia="黑体" w:cs="黑体"/>
          <w:b w:val="0"/>
          <w:bCs w:val="0"/>
          <w: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第</w:t>
      </w:r>
      <w:r>
        <w:rPr>
          <w:rFonts w:hint="eastAsia" w:ascii="黑体" w:hAnsi="黑体" w:eastAsia="黑体" w:cs="黑体"/>
          <w:color w:val="auto"/>
          <w:kern w:val="44"/>
          <w:sz w:val="20"/>
          <w:szCs w:val="20"/>
          <w:highlight w:val="none"/>
          <w:shd w:val="clear" w:color="auto" w:fill="auto"/>
        </w:rPr>
        <w:t>四部分 附件</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24</w:t>
      </w:r>
    </w:p>
    <w:p>
      <w:pPr>
        <w:pStyle w:val="12"/>
        <w:rPr>
          <w:rFonts w:hint="default" w:ascii="黑体" w:hAnsi="黑体" w:eastAsia="黑体" w:cs="黑体"/>
          <w:b w:val="0"/>
          <w:bCs w:val="0"/>
          <w: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附件1</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25</w:t>
      </w:r>
    </w:p>
    <w:p>
      <w:pPr>
        <w:pStyle w:val="12"/>
        <w:rPr>
          <w:rFonts w:hint="default" w:ascii="黑体" w:hAnsi="黑体" w:eastAsia="黑体" w:cs="黑体"/>
          <w:b w:val="0"/>
          <w:bCs w:val="0"/>
          <w: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XX部门2021年部门整体支出绩效评价报告</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26</w:t>
      </w:r>
    </w:p>
    <w:p>
      <w:pPr>
        <w:pStyle w:val="12"/>
        <w:rPr>
          <w:rFonts w:hint="default" w:ascii="黑体" w:hAnsi="黑体" w:eastAsia="黑体" w:cs="黑体"/>
          <w:b w:val="0"/>
          <w:bCs w:val="0"/>
          <w: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附件2</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27</w:t>
      </w:r>
    </w:p>
    <w:p>
      <w:pPr>
        <w:pStyle w:val="12"/>
        <w:rPr>
          <w:rFonts w:hint="default" w:ascii="黑体" w:hAnsi="黑体" w:eastAsia="黑体" w:cs="黑体"/>
          <w:b w:val="0"/>
          <w:bCs w:val="0"/>
          <w: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XXX项目2021年绩效评价报告</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28</w:t>
      </w:r>
    </w:p>
    <w:p>
      <w:pPr>
        <w:pStyle w:val="12"/>
        <w:rPr>
          <w:rFonts w:hint="default" w:ascii="黑体" w:hAnsi="黑体" w:eastAsia="黑体" w:cs="黑体"/>
          <w:b w:val="0"/>
          <w:bCs w:val="0"/>
          <w: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第</w:t>
      </w:r>
      <w:r>
        <w:rPr>
          <w:rFonts w:hint="eastAsia" w:ascii="黑体" w:hAnsi="黑体" w:eastAsia="黑体" w:cs="黑体"/>
          <w:color w:val="auto"/>
          <w:kern w:val="44"/>
          <w:sz w:val="20"/>
          <w:szCs w:val="20"/>
          <w:highlight w:val="none"/>
          <w:shd w:val="clear" w:color="auto" w:fill="auto"/>
        </w:rPr>
        <w:t>五部分 附表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一、收入支出决算总表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二、收入决算表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三、支出决算表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四、财政拨款收入支出决算总表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五、财政拨款支出决算明细表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六、一般公共预算财政拨款支出决算表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七、一般公共预算财政拨款支出决算明细表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八、一般公共预算财政拨款基本支出决算表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九、一般公共预算财政拨款项目支出决算表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十、一般公共预算财政拨款“三公”经费支出决算表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十一、政府性基金预算财政拨款收入支出决算表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bookmarkStart w:id="105" w:name="_GoBack"/>
      <w:bookmarkEnd w:id="105"/>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十二、政府性基金预算财政拨款“三公”经费支出决算表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十三、国有资本经营预算财政拨款收入支出决算表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pStyle w:val="13"/>
        <w:ind w:left="0" w:leftChars="0" w:firstLine="0" w:firstLineChars="0"/>
        <w:rPr>
          <w:rFonts w:hint="default" w:ascii="黑体" w:hAnsi="黑体" w:eastAsia="黑体" w:cs="黑体"/>
          <w:smallCaps w:val="0"/>
          <w:color w:val="auto"/>
          <w:sz w:val="20"/>
          <w:szCs w:val="20"/>
          <w:highlight w:val="none"/>
          <w:shd w:val="clear" w:color="auto" w:fill="auto"/>
          <w:lang w:val="en-US" w:eastAsia="zh-CN"/>
        </w:rPr>
      </w:pPr>
      <w:r>
        <w:rPr>
          <w:rFonts w:hint="eastAsia" w:ascii="黑体" w:hAnsi="黑体" w:eastAsia="黑体" w:cs="黑体"/>
          <w:color w:val="auto"/>
          <w:sz w:val="20"/>
          <w:szCs w:val="20"/>
          <w:highlight w:val="none"/>
          <w:shd w:val="clear" w:color="auto" w:fill="auto"/>
        </w:rPr>
        <w:t>十四、国有资本经营预算财政拨款支出决算表</w:t>
      </w:r>
      <w:r>
        <w:rPr>
          <w:rFonts w:hint="eastAsia" w:ascii="黑体" w:hAnsi="黑体" w:eastAsia="黑体" w:cs="黑体"/>
          <w:color w:val="auto"/>
          <w:sz w:val="20"/>
          <w:szCs w:val="20"/>
          <w:highlight w:val="none"/>
          <w:shd w:val="clear" w:color="auto" w:fill="auto"/>
        </w:rPr>
        <w:tab/>
      </w:r>
      <w:r>
        <w:rPr>
          <w:rFonts w:hint="eastAsia" w:ascii="黑体" w:hAnsi="黑体" w:eastAsia="黑体" w:cs="黑体"/>
          <w:color w:val="auto"/>
          <w:sz w:val="20"/>
          <w:szCs w:val="20"/>
          <w:highlight w:val="none"/>
          <w:shd w:val="clear" w:color="auto" w:fill="auto"/>
          <w:lang w:val="en-US" w:eastAsia="zh-CN"/>
        </w:rPr>
        <w:t>38</w:t>
      </w:r>
    </w:p>
    <w:p>
      <w:pPr>
        <w:widowControl/>
        <w:spacing w:line="440" w:lineRule="exact"/>
        <w:jc w:val="left"/>
        <w:rPr>
          <w:rFonts w:hint="eastAsia" w:ascii="黑体" w:hAnsi="黑体" w:eastAsia="黑体" w:cs="黑体"/>
          <w:bCs/>
          <w:color w:val="auto"/>
          <w:kern w:val="44"/>
          <w:sz w:val="20"/>
          <w:szCs w:val="20"/>
          <w:highlight w:val="none"/>
          <w:shd w:val="clear" w:color="auto" w:fill="auto"/>
        </w:rPr>
      </w:pPr>
      <w:r>
        <w:rPr>
          <w:rFonts w:hint="eastAsia" w:ascii="黑体" w:hAnsi="黑体" w:eastAsia="黑体" w:cs="黑体"/>
          <w:b/>
          <w:bCs/>
          <w:caps/>
          <w:color w:val="auto"/>
          <w:sz w:val="20"/>
          <w:szCs w:val="20"/>
          <w:highlight w:val="none"/>
          <w:shd w:val="clear" w:color="auto" w:fill="auto"/>
        </w:rPr>
        <w:fldChar w:fldCharType="end"/>
      </w:r>
      <w:r>
        <w:rPr>
          <w:rFonts w:hint="eastAsia" w:ascii="黑体" w:hAnsi="黑体" w:eastAsia="黑体" w:cs="黑体"/>
          <w:b/>
          <w:color w:val="auto"/>
          <w:sz w:val="20"/>
          <w:szCs w:val="20"/>
          <w:highlight w:val="none"/>
          <w:shd w:val="clear" w:color="auto" w:fill="auto"/>
        </w:rPr>
        <w:br w:type="page"/>
      </w:r>
    </w:p>
    <w:p>
      <w:pPr>
        <w:pStyle w:val="3"/>
        <w:jc w:val="center"/>
        <w:rPr>
          <w:rStyle w:val="28"/>
          <w:rFonts w:ascii="黑体" w:hAnsi="黑体" w:eastAsia="黑体"/>
          <w:b/>
          <w:bCs w:val="0"/>
          <w:color w:val="auto"/>
          <w:highlight w:val="none"/>
        </w:rPr>
      </w:pPr>
      <w:r>
        <w:rPr>
          <w:rFonts w:hint="eastAsia" w:ascii="黑体" w:hAnsi="黑体" w:eastAsia="黑体"/>
          <w:b w:val="0"/>
          <w:color w:val="auto"/>
          <w:highlight w:val="none"/>
        </w:rPr>
        <w:t xml:space="preserve">第一部分 </w:t>
      </w:r>
      <w:r>
        <w:rPr>
          <w:rStyle w:val="28"/>
          <w:rFonts w:hint="eastAsia" w:ascii="黑体" w:hAnsi="黑体" w:eastAsia="黑体"/>
          <w:b w:val="0"/>
          <w:bCs w:val="0"/>
          <w:color w:val="auto"/>
          <w:highlight w:val="none"/>
        </w:rPr>
        <w:t>部门概况</w:t>
      </w:r>
      <w:bookmarkEnd w:id="12"/>
      <w:bookmarkEnd w:id="13"/>
    </w:p>
    <w:p>
      <w:pPr>
        <w:widowControl/>
        <w:jc w:val="left"/>
        <w:rPr>
          <w:rFonts w:ascii="黑体" w:eastAsia="黑体"/>
          <w:color w:val="auto"/>
          <w:sz w:val="32"/>
          <w:szCs w:val="32"/>
          <w:highlight w:val="none"/>
        </w:rPr>
      </w:pPr>
    </w:p>
    <w:p>
      <w:pPr>
        <w:pStyle w:val="4"/>
        <w:numPr>
          <w:ilvl w:val="0"/>
          <w:numId w:val="1"/>
        </w:numPr>
        <w:rPr>
          <w:rFonts w:hint="eastAsia" w:ascii="黑体" w:hAnsi="黑体" w:eastAsia="黑体"/>
          <w:b w:val="0"/>
          <w:color w:val="auto"/>
          <w:highlight w:val="none"/>
          <w:lang w:eastAsia="zh-CN"/>
        </w:rPr>
      </w:pPr>
      <w:r>
        <w:rPr>
          <w:rFonts w:hint="eastAsia" w:ascii="黑体" w:hAnsi="黑体" w:eastAsia="黑体"/>
          <w:b w:val="0"/>
          <w:color w:val="auto"/>
          <w:highlight w:val="none"/>
          <w:lang w:eastAsia="zh-CN"/>
        </w:rPr>
        <w:t>部门职责</w:t>
      </w:r>
    </w:p>
    <w:p>
      <w:pPr>
        <w:pStyle w:val="2"/>
        <w:adjustRightInd w:val="0"/>
        <w:snapToGrid w:val="0"/>
        <w:spacing w:before="93" w:line="600" w:lineRule="exact"/>
        <w:outlineLvl w:val="2"/>
        <w:rPr>
          <w:rFonts w:hint="eastAsia" w:ascii="仿宋" w:hAnsi="仿宋" w:eastAsia="仿宋"/>
          <w:bCs/>
          <w:color w:val="000000"/>
          <w:sz w:val="32"/>
          <w:szCs w:val="32"/>
        </w:rPr>
      </w:pPr>
      <w:bookmarkStart w:id="14" w:name="_Toc79163603"/>
      <w:bookmarkStart w:id="15" w:name="_Toc79163853"/>
      <w:bookmarkStart w:id="16" w:name="_Toc15377198"/>
      <w:bookmarkStart w:id="17" w:name="_Toc15378445"/>
      <w:r>
        <w:rPr>
          <w:rFonts w:hint="eastAsia" w:ascii="仿宋" w:hAnsi="仿宋" w:eastAsia="仿宋"/>
          <w:bCs/>
          <w:color w:val="000000"/>
          <w:sz w:val="32"/>
          <w:szCs w:val="32"/>
        </w:rPr>
        <w:t>（一）主要职能。</w:t>
      </w:r>
      <w:bookmarkEnd w:id="14"/>
      <w:bookmarkEnd w:id="15"/>
    </w:p>
    <w:p>
      <w:pPr>
        <w:keepNext w:val="0"/>
        <w:keepLines w:val="0"/>
        <w:pageBreakBefore w:val="0"/>
        <w:kinsoku/>
        <w:wordWrap/>
        <w:overflowPunct/>
        <w:topLinePunct w:val="0"/>
        <w:autoSpaceDE/>
        <w:autoSpaceDN/>
        <w:bidi w:val="0"/>
        <w:spacing w:line="560" w:lineRule="exact"/>
        <w:ind w:right="0" w:rightChars="0" w:firstLine="640" w:firstLineChars="200"/>
        <w:textAlignment w:val="auto"/>
        <w:outlineLvl w:val="9"/>
        <w:rPr>
          <w:rFonts w:hint="eastAsia" w:ascii="仿宋" w:hAnsi="仿宋" w:eastAsia="仿宋"/>
          <w:bCs/>
          <w:color w:val="000000"/>
          <w:sz w:val="32"/>
          <w:szCs w:val="32"/>
        </w:rPr>
      </w:pPr>
      <w:r>
        <w:rPr>
          <w:rFonts w:hint="eastAsia" w:ascii="仿宋" w:hAnsi="仿宋" w:eastAsia="仿宋" w:cs="仿宋"/>
          <w:kern w:val="0"/>
          <w:sz w:val="32"/>
          <w:szCs w:val="32"/>
        </w:rPr>
        <w:t>①</w:t>
      </w:r>
      <w:r>
        <w:rPr>
          <w:rFonts w:hint="eastAsia" w:ascii="仿宋" w:hAnsi="仿宋" w:eastAsia="仿宋" w:cs="仿宋"/>
          <w:sz w:val="32"/>
          <w:szCs w:val="32"/>
        </w:rPr>
        <w:t>统一管理全县水资源（含空中水、地表水、地下水）。组织制定全县水资源总体规划、流域规划和专业规划；②拟定全县城乡中长期供水计划，水量分配方案并监督实施，负责全县水价格核算的组织工作；③按照《中华人民共和国环境保护法》、《中华人民共和国水污染防治法》等法律、法规和标准，拟定水资源保护规划、组织水功能区划分，监测县境内河流、溪沟的水质，审定水域纳污能力，提出限制排污总量的意见。审查水域、河道排污口的设置和扩大。④负责全县水务工程建设项目的规划、建设书、可行性研究报告和初步设计方案的编制审批工作；负责组织指导全县水务基础设施建设；负责水利工程管理范围内新建、扩建、改建种类建设项目审批；负责对水务基础设施工程质量监督管理；组织指导县内河流及溪沟的治理和开发；组织建设和管理具有控制性的或跨乡镇的重要水利工程。负责管理和指导全县水利工程设施；负责指导全县农田灌溉、农业节水和抗旱工作。⑤负责县内河道的行政管理及管护范围内砂石资源的开发、利用和保护；负责对河道管理范围内建设项目报批；负责河道采砂许可，防汛等安全生产工作。</w:t>
      </w:r>
    </w:p>
    <w:bookmarkEnd w:id="16"/>
    <w:bookmarkEnd w:id="17"/>
    <w:p>
      <w:pPr>
        <w:pStyle w:val="2"/>
        <w:adjustRightInd w:val="0"/>
        <w:snapToGrid w:val="0"/>
        <w:spacing w:before="93" w:line="600" w:lineRule="exact"/>
        <w:outlineLvl w:val="2"/>
        <w:rPr>
          <w:rFonts w:hint="eastAsia" w:ascii="仿宋" w:hAnsi="仿宋" w:eastAsia="仿宋"/>
          <w:bCs/>
          <w:color w:val="000000"/>
          <w:sz w:val="32"/>
          <w:szCs w:val="32"/>
        </w:rPr>
      </w:pPr>
      <w:bookmarkStart w:id="18" w:name="_Toc15377199"/>
      <w:bookmarkStart w:id="19" w:name="_Toc79163604"/>
      <w:bookmarkStart w:id="20" w:name="_Toc15378446"/>
      <w:bookmarkStart w:id="21" w:name="_Toc79163854"/>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lang w:val="en-US" w:eastAsia="zh-CN"/>
        </w:rPr>
        <w:t>2</w:t>
      </w:r>
      <w:r>
        <w:rPr>
          <w:rFonts w:hint="eastAsia" w:ascii="仿宋" w:hAnsi="仿宋" w:eastAsia="仿宋"/>
          <w:bCs/>
          <w:color w:val="000000"/>
          <w:sz w:val="32"/>
          <w:szCs w:val="32"/>
        </w:rPr>
        <w:t>年重点工作完成情况。</w:t>
      </w:r>
      <w:bookmarkEnd w:id="18"/>
      <w:bookmarkEnd w:id="19"/>
      <w:bookmarkEnd w:id="20"/>
      <w:bookmarkEnd w:id="21"/>
    </w:p>
    <w:p>
      <w:pPr>
        <w:numPr>
          <w:ilvl w:val="0"/>
          <w:numId w:val="0"/>
        </w:numPr>
        <w:snapToGrid w:val="0"/>
        <w:spacing w:line="520" w:lineRule="exact"/>
        <w:ind w:firstLine="640" w:firstLineChars="200"/>
        <w:rPr>
          <w:rFonts w:hint="eastAsia"/>
          <w:lang w:eastAsia="zh-CN"/>
        </w:rPr>
      </w:pPr>
      <w:r>
        <w:rPr>
          <w:rFonts w:hint="eastAsia" w:ascii="仿宋" w:hAnsi="仿宋" w:eastAsia="仿宋" w:cs="仿宋"/>
          <w:color w:val="auto"/>
          <w:sz w:val="32"/>
          <w:szCs w:val="32"/>
          <w:highlight w:val="none"/>
          <w:lang w:eastAsia="zh-CN"/>
        </w:rPr>
        <w:t>完成了各</w:t>
      </w:r>
      <w:r>
        <w:rPr>
          <w:rFonts w:hint="eastAsia" w:ascii="仿宋" w:hAnsi="仿宋" w:eastAsia="仿宋" w:cs="仿宋"/>
          <w:color w:val="auto"/>
          <w:sz w:val="32"/>
          <w:szCs w:val="32"/>
          <w:highlight w:val="none"/>
        </w:rPr>
        <w:t>重点工作和目标任务，全力推进</w:t>
      </w:r>
      <w:r>
        <w:rPr>
          <w:rFonts w:hint="eastAsia" w:ascii="仿宋" w:hAnsi="仿宋" w:eastAsia="仿宋" w:cs="仿宋"/>
          <w:color w:val="auto"/>
          <w:sz w:val="32"/>
          <w:szCs w:val="32"/>
          <w:highlight w:val="none"/>
          <w:lang w:eastAsia="zh-CN"/>
        </w:rPr>
        <w:t>了</w:t>
      </w:r>
      <w:r>
        <w:rPr>
          <w:rFonts w:hint="eastAsia" w:ascii="仿宋" w:hAnsi="仿宋" w:eastAsia="仿宋" w:cs="仿宋"/>
          <w:color w:val="auto"/>
          <w:sz w:val="32"/>
          <w:szCs w:val="32"/>
          <w:highlight w:val="none"/>
        </w:rPr>
        <w:t>水利项目建设、河长制工作落实，狠抓防汛减灾和安全生产，加大水行政执法工作力度，各项工作稳步推进。</w:t>
      </w:r>
    </w:p>
    <w:p>
      <w:pPr>
        <w:pStyle w:val="4"/>
        <w:rPr>
          <w:rStyle w:val="29"/>
          <w:b w:val="0"/>
          <w:bCs w:val="0"/>
          <w:color w:val="auto"/>
          <w:highlight w:val="none"/>
        </w:rPr>
      </w:pPr>
      <w:bookmarkStart w:id="22" w:name="_Toc15377200"/>
      <w:bookmarkStart w:id="23" w:name="_Toc15396601"/>
      <w:r>
        <w:rPr>
          <w:rFonts w:hint="eastAsia" w:ascii="黑体" w:eastAsia="黑体"/>
          <w:b w:val="0"/>
          <w:color w:val="auto"/>
          <w:highlight w:val="none"/>
        </w:rPr>
        <w:t>二、</w:t>
      </w:r>
      <w:r>
        <w:rPr>
          <w:rFonts w:hint="eastAsia" w:ascii="黑体" w:hAnsi="黑体" w:eastAsia="黑体"/>
          <w:b w:val="0"/>
          <w:color w:val="auto"/>
          <w:highlight w:val="none"/>
        </w:rPr>
        <w:t>机</w:t>
      </w:r>
      <w:r>
        <w:rPr>
          <w:rStyle w:val="29"/>
          <w:rFonts w:hint="eastAsia" w:ascii="黑体" w:hAnsi="黑体" w:eastAsia="黑体"/>
          <w:b w:val="0"/>
          <w:bCs w:val="0"/>
          <w:color w:val="auto"/>
          <w:highlight w:val="none"/>
        </w:rPr>
        <w:t>构设置</w:t>
      </w:r>
      <w:bookmarkEnd w:id="22"/>
      <w:bookmarkEnd w:id="23"/>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壤塘县水务局为一级预算单位(行政单位），内设行政股室：综合办公室、水旱灾害防御与水资源股。</w:t>
      </w:r>
    </w:p>
    <w:p>
      <w:pPr>
        <w:widowControl/>
        <w:jc w:val="left"/>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2"/>
        <w:rPr>
          <w:rFonts w:ascii="仿宋" w:hAnsi="仿宋" w:eastAsia="仿宋"/>
          <w:color w:val="auto"/>
          <w:kern w:val="0"/>
          <w:sz w:val="32"/>
          <w:szCs w:val="32"/>
          <w:highlight w:val="none"/>
        </w:rPr>
      </w:pPr>
    </w:p>
    <w:p>
      <w:pPr>
        <w:pStyle w:val="3"/>
        <w:ind w:right="440"/>
        <w:jc w:val="center"/>
        <w:rPr>
          <w:color w:val="auto"/>
          <w:highlight w:val="none"/>
        </w:rPr>
      </w:pPr>
      <w:bookmarkStart w:id="24" w:name="_Toc15396602"/>
      <w:bookmarkStart w:id="25" w:name="_Toc15377204"/>
      <w:r>
        <w:rPr>
          <w:rFonts w:hint="eastAsia" w:ascii="黑体" w:hAnsi="黑体" w:eastAsia="黑体"/>
          <w:b w:val="0"/>
          <w:bCs/>
          <w:color w:val="auto"/>
          <w:highlight w:val="none"/>
        </w:rPr>
        <w:t xml:space="preserve">第二部分 </w:t>
      </w:r>
      <w:r>
        <w:rPr>
          <w:rFonts w:hint="eastAsia" w:ascii="黑体" w:hAnsi="黑体" w:eastAsia="黑体"/>
          <w:b w:val="0"/>
          <w:bCs/>
          <w:color w:val="auto"/>
          <w:highlight w:val="none"/>
          <w:lang w:val="en-US" w:eastAsia="zh-CN"/>
        </w:rPr>
        <w:t>2022年度</w:t>
      </w:r>
      <w:r>
        <w:rPr>
          <w:rStyle w:val="28"/>
          <w:rFonts w:hint="eastAsia" w:ascii="黑体" w:hAnsi="黑体" w:eastAsia="黑体"/>
          <w:b w:val="0"/>
          <w:bCs/>
          <w:color w:val="auto"/>
          <w:highlight w:val="none"/>
        </w:rPr>
        <w:t>部门决算情况说明</w:t>
      </w:r>
      <w:bookmarkEnd w:id="24"/>
      <w:bookmarkEnd w:id="25"/>
    </w:p>
    <w:p>
      <w:pPr>
        <w:pStyle w:val="27"/>
        <w:numPr>
          <w:ilvl w:val="0"/>
          <w:numId w:val="2"/>
        </w:numPr>
        <w:spacing w:line="600" w:lineRule="exact"/>
        <w:ind w:firstLineChars="0"/>
        <w:outlineLvl w:val="1"/>
        <w:rPr>
          <w:rStyle w:val="29"/>
          <w:rFonts w:ascii="黑体" w:hAnsi="黑体" w:eastAsia="黑体"/>
          <w:b w:val="0"/>
          <w:color w:val="auto"/>
          <w:highlight w:val="none"/>
        </w:rPr>
      </w:pPr>
      <w:bookmarkStart w:id="26" w:name="_Toc15396603"/>
      <w:bookmarkStart w:id="27" w:name="_Toc15377205"/>
      <w:r>
        <w:rPr>
          <w:rFonts w:hint="eastAsia" w:ascii="黑体" w:hAnsi="黑体" w:eastAsia="黑体"/>
          <w:color w:val="auto"/>
          <w:sz w:val="32"/>
          <w:szCs w:val="32"/>
          <w:highlight w:val="none"/>
        </w:rPr>
        <w:t>收</w:t>
      </w:r>
      <w:r>
        <w:rPr>
          <w:rStyle w:val="29"/>
          <w:rFonts w:hint="eastAsia" w:ascii="黑体" w:hAnsi="黑体" w:eastAsia="黑体"/>
          <w:b w:val="0"/>
          <w:color w:val="auto"/>
          <w:highlight w:val="none"/>
        </w:rPr>
        <w:t>入支出决算总体情况说明</w:t>
      </w:r>
      <w:bookmarkEnd w:id="26"/>
      <w:bookmarkEnd w:id="27"/>
    </w:p>
    <w:p>
      <w:pPr>
        <w:spacing w:line="600" w:lineRule="exact"/>
        <w:ind w:firstLine="960" w:firstLineChars="3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7797.36</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收入</w:t>
      </w:r>
      <w:r>
        <w:rPr>
          <w:rFonts w:hint="eastAsia" w:ascii="仿宋" w:hAnsi="仿宋" w:eastAsia="仿宋"/>
          <w:color w:val="000000"/>
          <w:sz w:val="32"/>
          <w:szCs w:val="32"/>
          <w:lang w:val="en-US" w:eastAsia="zh-CN"/>
        </w:rPr>
        <w:t>增加2556.17万元，增加48%；主要变动原因项目增加。2022年</w:t>
      </w:r>
      <w:r>
        <w:rPr>
          <w:rFonts w:hint="eastAsia" w:ascii="仿宋" w:hAnsi="仿宋" w:eastAsia="仿宋"/>
          <w:color w:val="000000"/>
          <w:sz w:val="32"/>
          <w:szCs w:val="32"/>
          <w:lang w:eastAsia="zh-CN"/>
        </w:rPr>
        <w:t>支出总计</w:t>
      </w:r>
      <w:r>
        <w:rPr>
          <w:rFonts w:hint="eastAsia" w:ascii="仿宋" w:hAnsi="仿宋" w:eastAsia="仿宋"/>
          <w:color w:val="000000"/>
          <w:sz w:val="32"/>
          <w:szCs w:val="32"/>
          <w:lang w:val="en-US" w:eastAsia="zh-CN"/>
        </w:rPr>
        <w:t>7797.36万元，</w:t>
      </w:r>
      <w:r>
        <w:rPr>
          <w:rFonts w:hint="eastAsia" w:ascii="仿宋" w:hAnsi="仿宋" w:eastAsia="仿宋"/>
          <w:color w:val="000000"/>
          <w:sz w:val="32"/>
          <w:szCs w:val="32"/>
        </w:rPr>
        <w:t>与20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w:t>
      </w:r>
      <w:r>
        <w:rPr>
          <w:rFonts w:hint="eastAsia" w:ascii="仿宋" w:hAnsi="仿宋" w:eastAsia="仿宋"/>
          <w:color w:val="000000"/>
          <w:sz w:val="32"/>
          <w:szCs w:val="32"/>
          <w:lang w:eastAsia="zh-CN"/>
        </w:rPr>
        <w:t>，支出</w:t>
      </w:r>
      <w:r>
        <w:rPr>
          <w:rFonts w:hint="eastAsia" w:ascii="仿宋" w:hAnsi="仿宋" w:eastAsia="仿宋"/>
          <w:color w:val="000000"/>
          <w:sz w:val="32"/>
          <w:szCs w:val="32"/>
          <w:lang w:val="en-US" w:eastAsia="zh-CN"/>
        </w:rPr>
        <w:t>增加2556.17万元，增加48%；主要变动原因是项目支出增加。</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6"/>
        <w:rPr>
          <w:rFonts w:hint="eastAsia" w:ascii="仿宋" w:hAnsi="仿宋" w:eastAsia="仿宋"/>
          <w:color w:val="000000"/>
          <w:sz w:val="32"/>
          <w:szCs w:val="32"/>
        </w:rPr>
      </w:pPr>
      <w:r>
        <w:drawing>
          <wp:anchor distT="0" distB="0" distL="114300" distR="114300" simplePos="0" relativeHeight="251658240" behindDoc="0" locked="0" layoutInCell="1" allowOverlap="1">
            <wp:simplePos x="0" y="0"/>
            <wp:positionH relativeFrom="column">
              <wp:posOffset>504825</wp:posOffset>
            </wp:positionH>
            <wp:positionV relativeFrom="paragraph">
              <wp:posOffset>57785</wp:posOffset>
            </wp:positionV>
            <wp:extent cx="4451985" cy="2417445"/>
            <wp:effectExtent l="4445" t="5080" r="20320" b="15875"/>
            <wp:wrapSquare wrapText="bothSides"/>
            <wp:docPr id="106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auto"/>
          <w:sz w:val="32"/>
          <w:szCs w:val="32"/>
          <w:highlight w:val="none"/>
        </w:rPr>
      </w:pPr>
    </w:p>
    <w:p>
      <w:pPr>
        <w:pStyle w:val="2"/>
        <w:rPr>
          <w:rFonts w:ascii="仿宋_GB2312" w:eastAsia="仿宋_GB2312"/>
          <w:color w:val="auto"/>
          <w:sz w:val="32"/>
          <w:szCs w:val="32"/>
          <w:highlight w:val="none"/>
        </w:rPr>
      </w:pPr>
    </w:p>
    <w:p>
      <w:pPr>
        <w:pStyle w:val="2"/>
        <w:rPr>
          <w:rFonts w:ascii="仿宋_GB2312" w:eastAsia="仿宋_GB2312"/>
          <w:color w:val="auto"/>
          <w:sz w:val="32"/>
          <w:szCs w:val="32"/>
          <w:highlight w:val="none"/>
        </w:rPr>
      </w:pPr>
    </w:p>
    <w:p>
      <w:pPr>
        <w:pStyle w:val="2"/>
        <w:rPr>
          <w:rFonts w:ascii="仿宋_GB2312" w:eastAsia="仿宋_GB2312"/>
          <w:color w:val="auto"/>
          <w:sz w:val="32"/>
          <w:szCs w:val="32"/>
          <w:highlight w:val="none"/>
        </w:rPr>
      </w:pPr>
    </w:p>
    <w:p>
      <w:pPr>
        <w:pStyle w:val="2"/>
        <w:rPr>
          <w:rFonts w:ascii="仿宋_GB2312" w:eastAsia="仿宋_GB2312"/>
          <w:color w:val="auto"/>
          <w:sz w:val="32"/>
          <w:szCs w:val="32"/>
          <w:highlight w:val="none"/>
        </w:rPr>
      </w:pPr>
    </w:p>
    <w:p>
      <w:pPr>
        <w:pStyle w:val="27"/>
        <w:numPr>
          <w:ilvl w:val="0"/>
          <w:numId w:val="2"/>
        </w:numPr>
        <w:spacing w:line="600" w:lineRule="exact"/>
        <w:ind w:firstLineChars="0"/>
        <w:outlineLvl w:val="1"/>
        <w:rPr>
          <w:rStyle w:val="29"/>
          <w:rFonts w:ascii="黑体" w:hAnsi="黑体" w:eastAsia="黑体"/>
          <w:b w:val="0"/>
          <w:color w:val="auto"/>
          <w:highlight w:val="none"/>
        </w:rPr>
      </w:pPr>
      <w:bookmarkStart w:id="28" w:name="_Toc15377206"/>
      <w:bookmarkStart w:id="29" w:name="_Toc15396604"/>
      <w:r>
        <w:rPr>
          <w:rFonts w:hint="eastAsia" w:ascii="黑体" w:hAnsi="黑体" w:eastAsia="黑体"/>
          <w:color w:val="auto"/>
          <w:sz w:val="32"/>
          <w:szCs w:val="32"/>
          <w:highlight w:val="none"/>
        </w:rPr>
        <w:t>收</w:t>
      </w:r>
      <w:r>
        <w:rPr>
          <w:rStyle w:val="29"/>
          <w:rFonts w:hint="eastAsia" w:ascii="黑体" w:hAnsi="黑体" w:eastAsia="黑体"/>
          <w:b w:val="0"/>
          <w:color w:val="auto"/>
          <w:highlight w:val="none"/>
        </w:rPr>
        <w:t>入决算情况说明</w:t>
      </w:r>
      <w:bookmarkEnd w:id="28"/>
      <w:bookmarkEnd w:id="29"/>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7797.36</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7797.36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pPr>
        <w:pStyle w:val="2"/>
        <w:rPr>
          <w:rFonts w:hint="eastAsia"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506095</wp:posOffset>
            </wp:positionH>
            <wp:positionV relativeFrom="paragraph">
              <wp:posOffset>121920</wp:posOffset>
            </wp:positionV>
            <wp:extent cx="4455795" cy="2192020"/>
            <wp:effectExtent l="5080" t="5080" r="15875" b="12700"/>
            <wp:wrapSquare wrapText="bothSides"/>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spacing w:line="600" w:lineRule="exact"/>
        <w:ind w:firstLine="640" w:firstLineChars="200"/>
        <w:rPr>
          <w:rFonts w:ascii="仿宋_GB2312" w:eastAsia="仿宋_GB2312"/>
          <w:color w:val="auto"/>
          <w:sz w:val="32"/>
          <w:szCs w:val="32"/>
          <w:highlight w:val="none"/>
        </w:rPr>
      </w:pPr>
    </w:p>
    <w:p>
      <w:pPr>
        <w:pStyle w:val="27"/>
        <w:numPr>
          <w:ilvl w:val="0"/>
          <w:numId w:val="2"/>
        </w:numPr>
        <w:spacing w:line="600" w:lineRule="exact"/>
        <w:ind w:firstLineChars="0"/>
        <w:outlineLvl w:val="1"/>
        <w:rPr>
          <w:rStyle w:val="29"/>
          <w:rFonts w:ascii="黑体" w:hAnsi="黑体" w:eastAsia="黑体"/>
          <w:b w:val="0"/>
          <w:color w:val="auto"/>
          <w:highlight w:val="none"/>
        </w:rPr>
      </w:pPr>
      <w:bookmarkStart w:id="30" w:name="_Toc15377207"/>
      <w:bookmarkStart w:id="31" w:name="_Toc15396605"/>
      <w:r>
        <w:rPr>
          <w:rFonts w:hint="eastAsia" w:ascii="黑体" w:hAnsi="黑体" w:eastAsia="黑体"/>
          <w:color w:val="auto"/>
          <w:sz w:val="32"/>
          <w:szCs w:val="32"/>
          <w:highlight w:val="none"/>
        </w:rPr>
        <w:t>支</w:t>
      </w:r>
      <w:r>
        <w:rPr>
          <w:rStyle w:val="29"/>
          <w:rFonts w:hint="eastAsia" w:ascii="黑体" w:hAnsi="黑体" w:eastAsia="黑体"/>
          <w:b w:val="0"/>
          <w:color w:val="auto"/>
          <w:highlight w:val="none"/>
        </w:rPr>
        <w:t>出决算情况说明</w:t>
      </w:r>
      <w:bookmarkEnd w:id="30"/>
      <w:bookmarkEnd w:id="31"/>
    </w:p>
    <w:p>
      <w:pPr>
        <w:spacing w:line="600" w:lineRule="exact"/>
        <w:ind w:firstLine="640" w:firstLineChars="200"/>
        <w:rPr>
          <w:rFonts w:ascii="仿宋" w:hAnsi="仿宋" w:eastAsia="仿宋"/>
          <w:color w:val="000000"/>
          <w:sz w:val="32"/>
          <w:szCs w:val="32"/>
          <w:shd w:val="pct10" w:color="auto" w:fill="FFFFFF"/>
        </w:rPr>
      </w:pPr>
      <w:bookmarkStart w:id="32" w:name="_Toc15396606"/>
      <w:bookmarkStart w:id="33" w:name="_Toc15377208"/>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年本年支出合计</w:t>
      </w:r>
      <w:r>
        <w:rPr>
          <w:rFonts w:hint="eastAsia" w:ascii="仿宋_GB2312" w:eastAsia="仿宋_GB2312"/>
          <w:sz w:val="32"/>
          <w:szCs w:val="32"/>
          <w:lang w:val="en-US" w:eastAsia="zh-CN"/>
        </w:rPr>
        <w:t>7797.36</w:t>
      </w:r>
      <w:r>
        <w:rPr>
          <w:rFonts w:hint="eastAsia" w:ascii="仿宋_GB2312" w:eastAsia="仿宋_GB2312"/>
          <w:sz w:val="32"/>
          <w:szCs w:val="32"/>
        </w:rPr>
        <w:t>万元，其中：基本支出</w:t>
      </w:r>
      <w:r>
        <w:rPr>
          <w:rFonts w:hint="eastAsia" w:ascii="仿宋_GB2312" w:eastAsia="仿宋_GB2312"/>
          <w:sz w:val="32"/>
          <w:szCs w:val="32"/>
          <w:lang w:val="en-US" w:eastAsia="zh-CN"/>
        </w:rPr>
        <w:t>169.24</w:t>
      </w:r>
      <w:r>
        <w:rPr>
          <w:rFonts w:hint="eastAsia" w:ascii="仿宋_GB2312" w:eastAsia="仿宋_GB2312"/>
          <w:sz w:val="32"/>
          <w:szCs w:val="32"/>
        </w:rPr>
        <w:t>万元，占</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7628.12万元，占97%</w:t>
      </w:r>
      <w:r>
        <w:rPr>
          <w:rFonts w:hint="eastAsia" w:ascii="仿宋_GB2312" w:eastAsia="仿宋_GB2312"/>
          <w:sz w:val="32"/>
          <w:szCs w:val="32"/>
          <w:lang w:eastAsia="zh-CN"/>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pPr>
        <w:pStyle w:val="2"/>
        <w:rPr>
          <w:rFonts w:hint="eastAsia"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394970</wp:posOffset>
            </wp:positionH>
            <wp:positionV relativeFrom="paragraph">
              <wp:posOffset>33020</wp:posOffset>
            </wp:positionV>
            <wp:extent cx="4437380" cy="2235835"/>
            <wp:effectExtent l="4445" t="5080" r="15875" b="6985"/>
            <wp:wrapSquare wrapText="bothSides"/>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spacing w:line="600" w:lineRule="exact"/>
        <w:ind w:firstLine="640" w:firstLineChars="200"/>
        <w:outlineLvl w:val="1"/>
        <w:rPr>
          <w:rStyle w:val="29"/>
          <w:rFonts w:ascii="黑体" w:hAnsi="黑体" w:eastAsia="黑体"/>
          <w:b w:val="0"/>
          <w:color w:val="auto"/>
          <w:highlight w:val="none"/>
        </w:rPr>
      </w:pPr>
      <w:r>
        <w:rPr>
          <w:rFonts w:hint="eastAsia" w:ascii="黑体" w:hAnsi="黑体" w:eastAsia="黑体"/>
          <w:color w:val="auto"/>
          <w:sz w:val="32"/>
          <w:szCs w:val="32"/>
          <w:highlight w:val="none"/>
        </w:rPr>
        <w:t>四、财</w:t>
      </w:r>
      <w:r>
        <w:rPr>
          <w:rStyle w:val="29"/>
          <w:rFonts w:hint="eastAsia" w:ascii="黑体" w:hAnsi="黑体" w:eastAsia="黑体"/>
          <w:b w:val="0"/>
          <w:color w:val="auto"/>
          <w:highlight w:val="none"/>
        </w:rPr>
        <w:t>政拨款收入支出决算总体情况说明</w:t>
      </w:r>
      <w:bookmarkEnd w:id="32"/>
      <w:bookmarkEnd w:id="33"/>
    </w:p>
    <w:p>
      <w:pPr>
        <w:spacing w:line="600" w:lineRule="exact"/>
        <w:ind w:firstLine="640" w:firstLineChars="200"/>
        <w:rPr>
          <w:rFonts w:hint="eastAsia" w:ascii="仿宋" w:hAnsi="仿宋" w:eastAsia="仿宋"/>
          <w:color w:val="000000"/>
          <w:sz w:val="32"/>
          <w:szCs w:val="32"/>
          <w:lang w:val="en-US" w:eastAsia="zh-CN"/>
        </w:rPr>
      </w:pPr>
      <w:bookmarkStart w:id="34" w:name="_Toc15396607"/>
      <w:bookmarkStart w:id="35" w:name="_Toc15377209"/>
      <w:r>
        <w:rPr>
          <w:rFonts w:hint="eastAsia" w:ascii="仿宋" w:hAnsi="仿宋" w:eastAsia="仿宋"/>
          <w:color w:val="000000"/>
          <w:sz w:val="32"/>
          <w:szCs w:val="32"/>
          <w:highlight w:val="none"/>
        </w:rPr>
        <w:t>20</w:t>
      </w:r>
      <w:r>
        <w:rPr>
          <w:rFonts w:hint="eastAsia" w:ascii="仿宋" w:hAnsi="仿宋" w:eastAsia="仿宋"/>
          <w:color w:val="000000"/>
          <w:sz w:val="32"/>
          <w:szCs w:val="32"/>
          <w:highlight w:val="none"/>
          <w:lang w:val="en-US" w:eastAsia="zh-CN"/>
        </w:rPr>
        <w:t>22</w:t>
      </w:r>
      <w:r>
        <w:rPr>
          <w:rFonts w:hint="eastAsia" w:ascii="仿宋" w:hAnsi="仿宋" w:eastAsia="仿宋"/>
          <w:color w:val="000000"/>
          <w:sz w:val="32"/>
          <w:szCs w:val="32"/>
          <w:highlight w:val="none"/>
        </w:rPr>
        <w:t>年</w:t>
      </w:r>
      <w:r>
        <w:rPr>
          <w:rFonts w:hint="eastAsia" w:ascii="仿宋" w:hAnsi="仿宋" w:eastAsia="仿宋"/>
          <w:color w:val="000000"/>
          <w:sz w:val="32"/>
          <w:szCs w:val="32"/>
          <w:highlight w:val="none"/>
          <w:lang w:eastAsia="zh-CN"/>
        </w:rPr>
        <w:t>财政拨款</w:t>
      </w:r>
      <w:r>
        <w:rPr>
          <w:rFonts w:hint="eastAsia" w:ascii="仿宋" w:hAnsi="仿宋" w:eastAsia="仿宋"/>
          <w:color w:val="000000"/>
          <w:sz w:val="32"/>
          <w:szCs w:val="32"/>
          <w:highlight w:val="none"/>
        </w:rPr>
        <w:t>收</w:t>
      </w:r>
      <w:r>
        <w:rPr>
          <w:rFonts w:hint="eastAsia" w:ascii="仿宋" w:hAnsi="仿宋" w:eastAsia="仿宋"/>
          <w:color w:val="000000"/>
          <w:sz w:val="32"/>
          <w:szCs w:val="32"/>
          <w:highlight w:val="none"/>
          <w:lang w:eastAsia="zh-CN"/>
        </w:rPr>
        <w:t>入</w:t>
      </w:r>
      <w:r>
        <w:rPr>
          <w:rFonts w:hint="eastAsia" w:ascii="仿宋" w:hAnsi="仿宋" w:eastAsia="仿宋"/>
          <w:color w:val="000000"/>
          <w:sz w:val="32"/>
          <w:szCs w:val="32"/>
          <w:highlight w:val="none"/>
        </w:rPr>
        <w:t>总计</w:t>
      </w:r>
      <w:r>
        <w:rPr>
          <w:rFonts w:hint="eastAsia" w:ascii="仿宋" w:hAnsi="仿宋" w:eastAsia="仿宋"/>
          <w:color w:val="000000"/>
          <w:sz w:val="32"/>
          <w:szCs w:val="32"/>
          <w:highlight w:val="none"/>
          <w:lang w:val="en-US" w:eastAsia="zh-CN"/>
        </w:rPr>
        <w:t>7797.36</w:t>
      </w:r>
      <w:r>
        <w:rPr>
          <w:rFonts w:hint="eastAsia" w:ascii="仿宋" w:hAnsi="仿宋" w:eastAsia="仿宋"/>
          <w:color w:val="000000"/>
          <w:sz w:val="32"/>
          <w:szCs w:val="32"/>
          <w:highlight w:val="none"/>
        </w:rPr>
        <w:t>万元。与20</w:t>
      </w:r>
      <w:r>
        <w:rPr>
          <w:rFonts w:hint="eastAsia" w:ascii="仿宋" w:hAnsi="仿宋" w:eastAsia="仿宋"/>
          <w:color w:val="000000"/>
          <w:sz w:val="32"/>
          <w:szCs w:val="32"/>
          <w:highlight w:val="none"/>
          <w:lang w:val="en-US" w:eastAsia="zh-CN"/>
        </w:rPr>
        <w:t>21</w:t>
      </w:r>
      <w:r>
        <w:rPr>
          <w:rFonts w:hint="eastAsia" w:ascii="仿宋" w:hAnsi="仿宋" w:eastAsia="仿宋"/>
          <w:color w:val="000000"/>
          <w:sz w:val="32"/>
          <w:szCs w:val="32"/>
          <w:highlight w:val="none"/>
        </w:rPr>
        <w:t>年相比，</w:t>
      </w:r>
      <w:r>
        <w:rPr>
          <w:rFonts w:hint="eastAsia" w:ascii="仿宋" w:hAnsi="仿宋" w:eastAsia="仿宋"/>
          <w:color w:val="000000"/>
          <w:sz w:val="32"/>
          <w:szCs w:val="32"/>
          <w:highlight w:val="none"/>
          <w:lang w:eastAsia="zh-CN"/>
        </w:rPr>
        <w:t>收入</w:t>
      </w:r>
      <w:r>
        <w:rPr>
          <w:rFonts w:hint="eastAsia" w:ascii="仿宋" w:hAnsi="仿宋" w:eastAsia="仿宋"/>
          <w:color w:val="000000"/>
          <w:sz w:val="32"/>
          <w:szCs w:val="32"/>
          <w:highlight w:val="none"/>
          <w:lang w:val="en-US" w:eastAsia="zh-CN"/>
        </w:rPr>
        <w:t>增加2556.17万元，增加48%；主要变动原因项目增加。2022年财政拨款</w:t>
      </w:r>
      <w:r>
        <w:rPr>
          <w:rFonts w:hint="eastAsia" w:ascii="仿宋" w:hAnsi="仿宋" w:eastAsia="仿宋"/>
          <w:color w:val="000000"/>
          <w:sz w:val="32"/>
          <w:szCs w:val="32"/>
          <w:highlight w:val="none"/>
          <w:lang w:eastAsia="zh-CN"/>
        </w:rPr>
        <w:t>支出总计</w:t>
      </w:r>
      <w:r>
        <w:rPr>
          <w:rFonts w:hint="eastAsia" w:ascii="仿宋" w:hAnsi="仿宋" w:eastAsia="仿宋"/>
          <w:color w:val="000000"/>
          <w:sz w:val="32"/>
          <w:szCs w:val="32"/>
          <w:highlight w:val="none"/>
          <w:lang w:val="en-US" w:eastAsia="zh-CN"/>
        </w:rPr>
        <w:t>7797.36万元，</w:t>
      </w:r>
      <w:r>
        <w:rPr>
          <w:rFonts w:hint="eastAsia" w:ascii="仿宋" w:hAnsi="仿宋" w:eastAsia="仿宋"/>
          <w:color w:val="000000"/>
          <w:sz w:val="32"/>
          <w:szCs w:val="32"/>
          <w:highlight w:val="none"/>
        </w:rPr>
        <w:t>与20</w:t>
      </w:r>
      <w:r>
        <w:rPr>
          <w:rFonts w:hint="eastAsia" w:ascii="仿宋" w:hAnsi="仿宋" w:eastAsia="仿宋"/>
          <w:color w:val="000000"/>
          <w:sz w:val="32"/>
          <w:szCs w:val="32"/>
          <w:highlight w:val="none"/>
          <w:lang w:val="en-US" w:eastAsia="zh-CN"/>
        </w:rPr>
        <w:t>21</w:t>
      </w:r>
      <w:r>
        <w:rPr>
          <w:rFonts w:hint="eastAsia" w:ascii="仿宋" w:hAnsi="仿宋" w:eastAsia="仿宋"/>
          <w:color w:val="000000"/>
          <w:sz w:val="32"/>
          <w:szCs w:val="32"/>
          <w:highlight w:val="none"/>
        </w:rPr>
        <w:t>年相比</w:t>
      </w:r>
      <w:r>
        <w:rPr>
          <w:rFonts w:hint="eastAsia" w:ascii="仿宋" w:hAnsi="仿宋" w:eastAsia="仿宋"/>
          <w:color w:val="000000"/>
          <w:sz w:val="32"/>
          <w:szCs w:val="32"/>
          <w:highlight w:val="none"/>
          <w:lang w:eastAsia="zh-CN"/>
        </w:rPr>
        <w:t>，</w:t>
      </w:r>
      <w:r>
        <w:rPr>
          <w:rFonts w:hint="eastAsia" w:ascii="仿宋" w:hAnsi="仿宋" w:eastAsia="仿宋"/>
          <w:color w:val="000000"/>
          <w:sz w:val="32"/>
          <w:szCs w:val="32"/>
          <w:highlight w:val="none"/>
          <w:lang w:val="en-US" w:eastAsia="zh-CN"/>
        </w:rPr>
        <w:t>增加2556.17万元，减少48%；主要变动原因是原因项目</w:t>
      </w:r>
      <w:r>
        <w:rPr>
          <w:rFonts w:hint="eastAsia" w:ascii="仿宋" w:hAnsi="仿宋" w:eastAsia="仿宋"/>
          <w:color w:val="000000"/>
          <w:sz w:val="32"/>
          <w:szCs w:val="32"/>
          <w:lang w:val="en-US" w:eastAsia="zh-CN"/>
        </w:rPr>
        <w:t>增加。</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pStyle w:val="6"/>
        <w:rPr>
          <w:rFonts w:hint="eastAsia" w:ascii="仿宋" w:hAnsi="仿宋" w:eastAsia="仿宋"/>
          <w:color w:val="000000"/>
          <w:sz w:val="32"/>
          <w:szCs w:val="32"/>
        </w:rPr>
      </w:pPr>
      <w:r>
        <w:drawing>
          <wp:anchor distT="0" distB="0" distL="114300" distR="114300" simplePos="0" relativeHeight="251661312" behindDoc="0" locked="0" layoutInCell="1" allowOverlap="1">
            <wp:simplePos x="0" y="0"/>
            <wp:positionH relativeFrom="column">
              <wp:posOffset>495300</wp:posOffset>
            </wp:positionH>
            <wp:positionV relativeFrom="paragraph">
              <wp:posOffset>232410</wp:posOffset>
            </wp:positionV>
            <wp:extent cx="4365625" cy="2193290"/>
            <wp:effectExtent l="5080" t="4445" r="10795" b="12065"/>
            <wp:wrapSquare wrapText="bothSides"/>
            <wp:docPr id="1068"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6"/>
        <w:rPr>
          <w:rFonts w:hint="eastAsia" w:ascii="仿宋" w:hAnsi="仿宋" w:eastAsia="仿宋"/>
          <w:color w:val="000000"/>
          <w:sz w:val="32"/>
          <w:szCs w:val="32"/>
        </w:rPr>
      </w:pPr>
    </w:p>
    <w:p>
      <w:pPr>
        <w:pStyle w:val="6"/>
        <w:rPr>
          <w:rFonts w:hint="eastAsia" w:ascii="仿宋" w:hAnsi="仿宋" w:eastAsia="仿宋"/>
          <w:color w:val="000000"/>
          <w:sz w:val="32"/>
          <w:szCs w:val="32"/>
        </w:rPr>
      </w:pPr>
    </w:p>
    <w:p>
      <w:pPr>
        <w:pStyle w:val="6"/>
        <w:rPr>
          <w:rFonts w:hint="eastAsia" w:ascii="仿宋" w:hAnsi="仿宋" w:eastAsia="仿宋"/>
          <w:color w:val="000000"/>
          <w:sz w:val="32"/>
          <w:szCs w:val="32"/>
        </w:rPr>
      </w:pPr>
    </w:p>
    <w:p>
      <w:pPr>
        <w:pStyle w:val="6"/>
        <w:ind w:left="0" w:leftChars="0" w:firstLine="0" w:firstLineChars="0"/>
        <w:rPr>
          <w:rFonts w:hint="eastAsia" w:ascii="仿宋" w:hAnsi="仿宋" w:eastAsia="仿宋"/>
          <w:color w:val="000000"/>
          <w:sz w:val="32"/>
          <w:szCs w:val="32"/>
        </w:rPr>
      </w:pPr>
    </w:p>
    <w:p>
      <w:pPr>
        <w:spacing w:line="600" w:lineRule="exact"/>
        <w:ind w:firstLine="640" w:firstLineChars="200"/>
        <w:outlineLvl w:val="1"/>
        <w:rPr>
          <w:rStyle w:val="29"/>
          <w:rFonts w:ascii="黑体" w:hAnsi="黑体" w:eastAsia="黑体"/>
          <w:b w:val="0"/>
          <w:color w:val="auto"/>
          <w:highlight w:val="none"/>
        </w:rPr>
      </w:pPr>
      <w:r>
        <w:rPr>
          <w:rFonts w:hint="eastAsia" w:ascii="黑体" w:hAnsi="黑体" w:eastAsia="黑体"/>
          <w:color w:val="auto"/>
          <w:sz w:val="32"/>
          <w:szCs w:val="32"/>
          <w:highlight w:val="none"/>
        </w:rPr>
        <w:t>五、</w:t>
      </w:r>
      <w:r>
        <w:rPr>
          <w:rFonts w:hint="eastAsia" w:ascii="黑体" w:hAnsi="黑体" w:eastAsia="黑体"/>
          <w:b/>
          <w:color w:val="auto"/>
          <w:sz w:val="32"/>
          <w:szCs w:val="32"/>
          <w:highlight w:val="none"/>
        </w:rPr>
        <w:t>一</w:t>
      </w:r>
      <w:r>
        <w:rPr>
          <w:rStyle w:val="29"/>
          <w:rFonts w:hint="eastAsia" w:ascii="黑体" w:hAnsi="黑体" w:eastAsia="黑体"/>
          <w:b w:val="0"/>
          <w:color w:val="auto"/>
          <w:highlight w:val="none"/>
        </w:rPr>
        <w:t>般公共预算财政拨款支出决算情况说明</w:t>
      </w:r>
      <w:bookmarkEnd w:id="34"/>
      <w:bookmarkEnd w:id="35"/>
    </w:p>
    <w:p>
      <w:pPr>
        <w:spacing w:line="600" w:lineRule="exact"/>
        <w:ind w:firstLine="643" w:firstLineChars="200"/>
        <w:outlineLvl w:val="2"/>
        <w:rPr>
          <w:rFonts w:ascii="仿宋" w:hAnsi="仿宋" w:eastAsia="仿宋"/>
          <w:b/>
          <w:color w:val="auto"/>
          <w:sz w:val="32"/>
          <w:szCs w:val="32"/>
          <w:highlight w:val="none"/>
        </w:rPr>
      </w:pPr>
      <w:bookmarkStart w:id="36" w:name="_Toc15377210"/>
      <w:r>
        <w:rPr>
          <w:rFonts w:hint="eastAsia" w:ascii="仿宋" w:hAnsi="仿宋" w:eastAsia="仿宋"/>
          <w:b/>
          <w:color w:val="auto"/>
          <w:sz w:val="32"/>
          <w:szCs w:val="32"/>
          <w:highlight w:val="none"/>
        </w:rPr>
        <w:t>（一）一般公共预算财政拨款支出决算总体情况</w:t>
      </w:r>
      <w:bookmarkEnd w:id="36"/>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7797.36</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增加2556.17万元，增加48%；主要变动原因项目增加。</w:t>
      </w:r>
    </w:p>
    <w:p>
      <w:pPr>
        <w:spacing w:line="600" w:lineRule="exact"/>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pPr>
        <w:spacing w:line="600" w:lineRule="exact"/>
        <w:ind w:firstLine="640" w:firstLineChars="200"/>
        <w:rPr>
          <w:rFonts w:ascii="仿宋" w:hAnsi="仿宋" w:eastAsia="仿宋"/>
          <w:color w:val="auto"/>
          <w:sz w:val="32"/>
          <w:szCs w:val="32"/>
          <w:highlight w:val="none"/>
        </w:rPr>
      </w:pPr>
    </w:p>
    <w:p>
      <w:pPr>
        <w:pStyle w:val="2"/>
        <w:rPr>
          <w:rFonts w:ascii="仿宋" w:hAnsi="仿宋" w:eastAsia="仿宋"/>
          <w:color w:val="auto"/>
          <w:sz w:val="32"/>
          <w:szCs w:val="32"/>
          <w:highlight w:val="none"/>
        </w:rPr>
      </w:pPr>
      <w:r>
        <w:drawing>
          <wp:anchor distT="0" distB="0" distL="114300" distR="114300" simplePos="0" relativeHeight="251662336" behindDoc="0" locked="0" layoutInCell="1" allowOverlap="1">
            <wp:simplePos x="0" y="0"/>
            <wp:positionH relativeFrom="column">
              <wp:posOffset>471170</wp:posOffset>
            </wp:positionH>
            <wp:positionV relativeFrom="paragraph">
              <wp:posOffset>114935</wp:posOffset>
            </wp:positionV>
            <wp:extent cx="4352925" cy="2261870"/>
            <wp:effectExtent l="4445" t="4445" r="5080" b="1968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rPr>
          <w:rFonts w:ascii="仿宋" w:hAnsi="仿宋" w:eastAsia="仿宋"/>
          <w:color w:val="auto"/>
          <w:sz w:val="32"/>
          <w:szCs w:val="32"/>
          <w:highlight w:val="none"/>
        </w:rPr>
      </w:pPr>
    </w:p>
    <w:p>
      <w:pPr>
        <w:pStyle w:val="2"/>
        <w:rPr>
          <w:rFonts w:ascii="仿宋" w:hAnsi="仿宋" w:eastAsia="仿宋"/>
          <w:color w:val="auto"/>
          <w:sz w:val="32"/>
          <w:szCs w:val="32"/>
          <w:highlight w:val="none"/>
        </w:rPr>
      </w:pPr>
    </w:p>
    <w:p>
      <w:pPr>
        <w:pStyle w:val="2"/>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37" w:name="_Toc15377211"/>
      <w:r>
        <w:rPr>
          <w:rFonts w:hint="eastAsia" w:ascii="仿宋" w:hAnsi="仿宋" w:eastAsia="仿宋"/>
          <w:b/>
          <w:color w:val="auto"/>
          <w:sz w:val="32"/>
          <w:szCs w:val="32"/>
          <w:highlight w:val="none"/>
        </w:rPr>
        <w:t>（二）一般公共预算财政拨款支出决算结构情况</w:t>
      </w:r>
      <w:bookmarkEnd w:id="37"/>
    </w:p>
    <w:p>
      <w:pPr>
        <w:spacing w:line="600" w:lineRule="exact"/>
        <w:ind w:firstLine="640"/>
        <w:rPr>
          <w:rFonts w:ascii="仿宋" w:hAnsi="仿宋" w:eastAsia="仿宋"/>
          <w:color w:val="000000"/>
          <w:sz w:val="32"/>
          <w:szCs w:val="32"/>
          <w:highlight w:val="none"/>
        </w:rPr>
      </w:pPr>
      <w:r>
        <w:rPr>
          <w:rFonts w:ascii="仿宋" w:hAnsi="仿宋" w:eastAsia="仿宋"/>
          <w:color w:val="000000"/>
          <w:sz w:val="32"/>
          <w:szCs w:val="32"/>
          <w:highlight w:val="none"/>
        </w:rPr>
        <w:t>20</w:t>
      </w:r>
      <w:r>
        <w:rPr>
          <w:rFonts w:hint="eastAsia" w:ascii="仿宋" w:hAnsi="仿宋" w:eastAsia="仿宋"/>
          <w:color w:val="000000"/>
          <w:sz w:val="32"/>
          <w:szCs w:val="32"/>
          <w:highlight w:val="none"/>
          <w:lang w:val="en-US" w:eastAsia="zh-CN"/>
        </w:rPr>
        <w:t>22</w:t>
      </w:r>
      <w:r>
        <w:rPr>
          <w:rFonts w:hint="eastAsia" w:ascii="仿宋" w:hAnsi="仿宋" w:eastAsia="仿宋"/>
          <w:color w:val="000000"/>
          <w:sz w:val="32"/>
          <w:szCs w:val="32"/>
          <w:highlight w:val="none"/>
        </w:rPr>
        <w:t>年一般公共预算财</w:t>
      </w:r>
      <w:r>
        <w:rPr>
          <w:rFonts w:hint="eastAsia" w:ascii="仿宋" w:hAnsi="仿宋" w:eastAsia="仿宋"/>
          <w:color w:val="000000" w:themeColor="text1"/>
          <w:sz w:val="32"/>
          <w:szCs w:val="32"/>
          <w:highlight w:val="none"/>
          <w14:textFill>
            <w14:solidFill>
              <w14:schemeClr w14:val="tx1"/>
            </w14:solidFill>
          </w14:textFill>
        </w:rPr>
        <w:t>政拨款支出</w:t>
      </w:r>
      <w:r>
        <w:rPr>
          <w:rFonts w:hint="eastAsia" w:ascii="仿宋" w:hAnsi="仿宋" w:eastAsia="仿宋"/>
          <w:color w:val="000000" w:themeColor="text1"/>
          <w:sz w:val="32"/>
          <w:szCs w:val="32"/>
          <w:highlight w:val="none"/>
          <w:lang w:val="en-US" w:eastAsia="zh-CN"/>
          <w14:textFill>
            <w14:solidFill>
              <w14:schemeClr w14:val="tx1"/>
            </w14:solidFill>
          </w14:textFill>
        </w:rPr>
        <w:t>7797.36</w:t>
      </w:r>
      <w:r>
        <w:rPr>
          <w:rFonts w:hint="eastAsia" w:ascii="仿宋" w:hAnsi="仿宋" w:eastAsia="仿宋"/>
          <w:color w:val="000000" w:themeColor="text1"/>
          <w:sz w:val="32"/>
          <w:szCs w:val="32"/>
          <w:highlight w:val="none"/>
          <w14:textFill>
            <w14:solidFill>
              <w14:schemeClr w14:val="tx1"/>
            </w14:solidFill>
          </w14:textFill>
        </w:rPr>
        <w:t>万元，主要用于以下方面</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一般公共服务支出30.44万元，占2%；公共安全支出6.8万元，占1%；教育支出1628.97万元，占18%;</w:t>
      </w:r>
      <w:r>
        <w:rPr>
          <w:rFonts w:hint="eastAsia" w:ascii="仿宋" w:hAnsi="仿宋" w:eastAsia="仿宋"/>
          <w:b w:val="0"/>
          <w:bCs/>
          <w:color w:val="000000" w:themeColor="text1"/>
          <w:sz w:val="32"/>
          <w:szCs w:val="32"/>
          <w:highlight w:val="none"/>
          <w14:textFill>
            <w14:solidFill>
              <w14:schemeClr w14:val="tx1"/>
            </w14:solidFill>
          </w14:textFill>
        </w:rPr>
        <w:t>社会保障和就业支出</w:t>
      </w:r>
      <w:r>
        <w:rPr>
          <w:rFonts w:hint="eastAsia" w:ascii="仿宋" w:hAnsi="仿宋" w:eastAsia="仿宋"/>
          <w:b w:val="0"/>
          <w:bCs/>
          <w:color w:val="000000" w:themeColor="text1"/>
          <w:sz w:val="32"/>
          <w:szCs w:val="32"/>
          <w:highlight w:val="none"/>
          <w:lang w:val="en-US" w:eastAsia="zh-CN"/>
          <w14:textFill>
            <w14:solidFill>
              <w14:schemeClr w14:val="tx1"/>
            </w14:solidFill>
          </w14:textFill>
        </w:rPr>
        <w:t>151.78</w:t>
      </w:r>
      <w:r>
        <w:rPr>
          <w:rFonts w:hint="eastAsia" w:ascii="仿宋" w:hAnsi="仿宋" w:eastAsia="仿宋"/>
          <w:b w:val="0"/>
          <w:bCs/>
          <w:color w:val="000000" w:themeColor="text1"/>
          <w:sz w:val="32"/>
          <w:szCs w:val="32"/>
          <w:highlight w:val="none"/>
          <w14:textFill>
            <w14:solidFill>
              <w14:schemeClr w14:val="tx1"/>
            </w14:solidFill>
          </w14:textFill>
        </w:rPr>
        <w:t>万元，</w:t>
      </w:r>
      <w:r>
        <w:rPr>
          <w:rFonts w:hint="eastAsia" w:ascii="仿宋" w:hAnsi="仿宋" w:eastAsia="仿宋"/>
          <w:color w:val="000000" w:themeColor="text1"/>
          <w:sz w:val="32"/>
          <w:szCs w:val="32"/>
          <w:highlight w:val="none"/>
          <w14:textFill>
            <w14:solidFill>
              <w14:schemeClr w14:val="tx1"/>
            </w14:solidFill>
          </w14:textFill>
        </w:rPr>
        <w:t>占</w:t>
      </w:r>
      <w:r>
        <w:rPr>
          <w:rFonts w:hint="eastAsia" w:ascii="仿宋" w:hAnsi="仿宋" w:eastAsia="仿宋"/>
          <w:color w:val="000000" w:themeColor="text1"/>
          <w:sz w:val="32"/>
          <w:szCs w:val="32"/>
          <w:highlight w:val="none"/>
          <w:lang w:val="en-US" w:eastAsia="zh-CN"/>
          <w14:textFill>
            <w14:solidFill>
              <w14:schemeClr w14:val="tx1"/>
            </w14:solidFill>
          </w14:textFill>
        </w:rPr>
        <w:t>3</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val="0"/>
          <w:bCs w:val="0"/>
          <w:color w:val="000000" w:themeColor="text1"/>
          <w:sz w:val="32"/>
          <w:szCs w:val="32"/>
          <w:highlight w:val="none"/>
          <w14:textFill>
            <w14:solidFill>
              <w14:schemeClr w14:val="tx1"/>
            </w14:solidFill>
          </w14:textFill>
        </w:rPr>
        <w:t>卫生健康支出</w:t>
      </w:r>
      <w:r>
        <w:rPr>
          <w:rFonts w:hint="eastAsia" w:ascii="仿宋" w:hAnsi="仿宋" w:eastAsia="仿宋"/>
          <w:b w:val="0"/>
          <w:bCs w:val="0"/>
          <w:color w:val="000000" w:themeColor="text1"/>
          <w:sz w:val="32"/>
          <w:szCs w:val="32"/>
          <w:highlight w:val="none"/>
          <w:lang w:val="en-US" w:eastAsia="zh-CN"/>
          <w14:textFill>
            <w14:solidFill>
              <w14:schemeClr w14:val="tx1"/>
            </w14:solidFill>
          </w14:textFill>
        </w:rPr>
        <w:t>7.52</w:t>
      </w:r>
      <w:r>
        <w:rPr>
          <w:rFonts w:hint="eastAsia" w:ascii="仿宋" w:hAnsi="仿宋" w:eastAsia="仿宋"/>
          <w:b w:val="0"/>
          <w:bCs w:val="0"/>
          <w:color w:val="000000" w:themeColor="text1"/>
          <w:sz w:val="32"/>
          <w:szCs w:val="32"/>
          <w:highlight w:val="none"/>
          <w14:textFill>
            <w14:solidFill>
              <w14:schemeClr w14:val="tx1"/>
            </w14:solidFill>
          </w14:textFill>
        </w:rPr>
        <w:t>万元</w:t>
      </w:r>
      <w:r>
        <w:rPr>
          <w:rFonts w:hint="eastAsia" w:ascii="仿宋" w:hAnsi="仿宋" w:eastAsia="仿宋"/>
          <w:color w:val="000000" w:themeColor="text1"/>
          <w:sz w:val="32"/>
          <w:szCs w:val="32"/>
          <w:highlight w:val="none"/>
          <w14:textFill>
            <w14:solidFill>
              <w14:schemeClr w14:val="tx1"/>
            </w14:solidFill>
          </w14:textFill>
        </w:rPr>
        <w:t>，占</w:t>
      </w:r>
      <w:r>
        <w:rPr>
          <w:rFonts w:hint="eastAsia" w:ascii="仿宋" w:hAnsi="仿宋" w:eastAsia="仿宋"/>
          <w:color w:val="000000" w:themeColor="text1"/>
          <w:sz w:val="32"/>
          <w:szCs w:val="32"/>
          <w:highlight w:val="none"/>
          <w:lang w:val="en-US" w:eastAsia="zh-CN"/>
          <w14:textFill>
            <w14:solidFill>
              <w14:schemeClr w14:val="tx1"/>
            </w14:solidFill>
          </w14:textFill>
        </w:rPr>
        <w:t>1</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val="0"/>
          <w:bCs/>
          <w:color w:val="000000" w:themeColor="text1"/>
          <w:sz w:val="32"/>
          <w:szCs w:val="32"/>
          <w:lang w:eastAsia="zh-CN"/>
          <w14:textFill>
            <w14:solidFill>
              <w14:schemeClr w14:val="tx1"/>
            </w14:solidFill>
          </w14:textFill>
        </w:rPr>
        <w:t>节能环保支出</w:t>
      </w:r>
      <w:r>
        <w:rPr>
          <w:rFonts w:hint="eastAsia" w:ascii="仿宋" w:hAnsi="仿宋" w:eastAsia="仿宋"/>
          <w:b w:val="0"/>
          <w:bCs/>
          <w:color w:val="000000" w:themeColor="text1"/>
          <w:sz w:val="32"/>
          <w:szCs w:val="32"/>
          <w:lang w:val="en-US" w:eastAsia="zh-CN"/>
          <w14:textFill>
            <w14:solidFill>
              <w14:schemeClr w14:val="tx1"/>
            </w14:solidFill>
          </w14:textFill>
        </w:rPr>
        <w:t>1279.40万元，占13%；</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1803.34万元，占23%；</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9.6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；灾害防治及应急管理支出</w:t>
      </w:r>
      <w:r>
        <w:rPr>
          <w:rFonts w:hint="eastAsia" w:ascii="仿宋" w:hAnsi="仿宋" w:eastAsia="仿宋"/>
          <w:color w:val="000000" w:themeColor="text1"/>
          <w:sz w:val="32"/>
          <w:szCs w:val="32"/>
          <w:lang w:val="en-US" w:eastAsia="zh-CN"/>
          <w14:textFill>
            <w14:solidFill>
              <w14:schemeClr w14:val="tx1"/>
            </w14:solidFill>
          </w14:textFill>
        </w:rPr>
        <w:t>1851.63万元，占25%；其他支出1027.88万元，占13%。</w:t>
      </w:r>
    </w:p>
    <w:p>
      <w:pPr>
        <w:spacing w:line="600" w:lineRule="exact"/>
        <w:ind w:firstLine="640" w:firstLineChars="200"/>
        <w:rPr>
          <w:rFonts w:ascii="仿宋" w:hAnsi="仿宋" w:eastAsia="仿宋"/>
          <w:color w:val="000000"/>
          <w:sz w:val="32"/>
          <w:szCs w:val="32"/>
          <w:highlight w:val="none"/>
        </w:rPr>
      </w:pPr>
      <w:r>
        <w:rPr>
          <w:rFonts w:hint="eastAsia" w:ascii="仿宋" w:hAnsi="仿宋" w:eastAsia="仿宋"/>
          <w:color w:val="000000"/>
          <w:sz w:val="32"/>
          <w:szCs w:val="32"/>
          <w:highlight w:val="none"/>
        </w:rPr>
        <w:t>（图</w:t>
      </w:r>
      <w:r>
        <w:rPr>
          <w:rFonts w:ascii="仿宋" w:hAnsi="仿宋" w:eastAsia="仿宋"/>
          <w:color w:val="000000"/>
          <w:sz w:val="32"/>
          <w:szCs w:val="32"/>
          <w:highlight w:val="none"/>
        </w:rPr>
        <w:t>6</w:t>
      </w:r>
      <w:r>
        <w:rPr>
          <w:rFonts w:hint="eastAsia" w:ascii="仿宋" w:hAnsi="仿宋" w:eastAsia="仿宋"/>
          <w:color w:val="000000"/>
          <w:sz w:val="32"/>
          <w:szCs w:val="32"/>
          <w:highlight w:val="none"/>
        </w:rPr>
        <w:t>：一般公共预算财政拨款支出决算结构）（饼状图）</w:t>
      </w:r>
    </w:p>
    <w:p>
      <w:pPr>
        <w:spacing w:line="600" w:lineRule="exact"/>
        <w:ind w:firstLine="640"/>
        <w:rPr>
          <w:rFonts w:ascii="仿宋" w:hAnsi="仿宋" w:eastAsia="仿宋"/>
          <w:color w:val="auto"/>
          <w:sz w:val="32"/>
          <w:szCs w:val="32"/>
          <w:highlight w:val="none"/>
        </w:rPr>
      </w:pPr>
      <w:r>
        <w:drawing>
          <wp:anchor distT="0" distB="0" distL="114300" distR="114300" simplePos="0" relativeHeight="251663360" behindDoc="0" locked="0" layoutInCell="1" allowOverlap="1">
            <wp:simplePos x="0" y="0"/>
            <wp:positionH relativeFrom="column">
              <wp:posOffset>610870</wp:posOffset>
            </wp:positionH>
            <wp:positionV relativeFrom="paragraph">
              <wp:posOffset>248285</wp:posOffset>
            </wp:positionV>
            <wp:extent cx="4114165" cy="2508250"/>
            <wp:effectExtent l="4445" t="5080" r="15240" b="20320"/>
            <wp:wrapSquare wrapText="bothSides"/>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auto"/>
          <w:sz w:val="32"/>
          <w:szCs w:val="32"/>
          <w:highlight w:val="none"/>
        </w:rPr>
      </w:pPr>
    </w:p>
    <w:p>
      <w:pPr>
        <w:pStyle w:val="2"/>
        <w:rPr>
          <w:rFonts w:ascii="仿宋" w:hAnsi="仿宋" w:eastAsia="仿宋"/>
          <w:color w:val="auto"/>
          <w:sz w:val="32"/>
          <w:szCs w:val="32"/>
          <w:highlight w:val="none"/>
        </w:rPr>
      </w:pPr>
    </w:p>
    <w:p>
      <w:pPr>
        <w:pStyle w:val="2"/>
        <w:rPr>
          <w:rFonts w:ascii="仿宋" w:hAnsi="仿宋" w:eastAsia="仿宋"/>
          <w:color w:val="auto"/>
          <w:sz w:val="32"/>
          <w:szCs w:val="32"/>
          <w:highlight w:val="none"/>
        </w:rPr>
      </w:pPr>
    </w:p>
    <w:p>
      <w:pPr>
        <w:pStyle w:val="2"/>
        <w:rPr>
          <w:rFonts w:ascii="仿宋" w:hAnsi="仿宋" w:eastAsia="仿宋"/>
          <w:color w:val="auto"/>
          <w:sz w:val="32"/>
          <w:szCs w:val="32"/>
          <w:highlight w:val="none"/>
        </w:rPr>
      </w:pPr>
    </w:p>
    <w:p>
      <w:pPr>
        <w:spacing w:line="600" w:lineRule="exact"/>
        <w:ind w:firstLine="643" w:firstLineChars="200"/>
        <w:outlineLvl w:val="2"/>
        <w:rPr>
          <w:rFonts w:ascii="仿宋" w:hAnsi="仿宋" w:eastAsia="仿宋"/>
          <w:b/>
          <w:color w:val="auto"/>
          <w:sz w:val="32"/>
          <w:szCs w:val="32"/>
          <w:highlight w:val="none"/>
        </w:rPr>
      </w:pPr>
      <w:bookmarkStart w:id="38" w:name="_Toc15377212"/>
      <w:r>
        <w:rPr>
          <w:rFonts w:hint="eastAsia" w:ascii="仿宋" w:hAnsi="仿宋" w:eastAsia="仿宋"/>
          <w:b/>
          <w:color w:val="auto"/>
          <w:sz w:val="32"/>
          <w:szCs w:val="32"/>
          <w:highlight w:val="none"/>
        </w:rPr>
        <w:t>（三）一般公共预算财政拨款支出决算具体情况</w:t>
      </w:r>
      <w:bookmarkEnd w:id="38"/>
    </w:p>
    <w:p>
      <w:pPr>
        <w:spacing w:line="600" w:lineRule="exact"/>
        <w:ind w:firstLine="643" w:firstLineChars="200"/>
        <w:rPr>
          <w:rFonts w:hint="eastAsia" w:ascii="仿宋_GB2312" w:eastAsia="仿宋_GB2312"/>
          <w:b/>
          <w:bCs/>
          <w:sz w:val="32"/>
          <w:szCs w:val="32"/>
        </w:rPr>
      </w:pPr>
      <w:bookmarkStart w:id="39" w:name="_Toc15378460"/>
      <w:bookmarkStart w:id="40" w:name="_Toc15377444"/>
      <w:bookmarkStart w:id="41" w:name="_Toc15377213"/>
      <w:bookmarkStart w:id="42" w:name="_Toc15377214"/>
      <w:bookmarkStart w:id="43" w:name="_Toc15396608"/>
      <w:r>
        <w:rPr>
          <w:rFonts w:ascii="仿宋_GB2312" w:eastAsia="仿宋_GB2312"/>
          <w:b/>
          <w:bCs/>
          <w:sz w:val="32"/>
          <w:szCs w:val="32"/>
        </w:rPr>
        <w:t>202</w:t>
      </w:r>
      <w:r>
        <w:rPr>
          <w:rFonts w:hint="eastAsia" w:ascii="仿宋_GB2312" w:eastAsia="仿宋_GB2312"/>
          <w:b/>
          <w:bCs/>
          <w:sz w:val="32"/>
          <w:szCs w:val="32"/>
          <w:lang w:val="en-US" w:eastAsia="zh-CN"/>
        </w:rPr>
        <w:t>2</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7797.36万元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39"/>
      <w:bookmarkEnd w:id="40"/>
      <w:bookmarkEnd w:id="41"/>
    </w:p>
    <w:p>
      <w:pPr>
        <w:numPr>
          <w:ilvl w:val="0"/>
          <w:numId w:val="0"/>
        </w:numPr>
        <w:spacing w:line="600" w:lineRule="exact"/>
        <w:ind w:firstLine="643" w:firstLineChars="200"/>
        <w:rPr>
          <w:rStyle w:val="17"/>
          <w:rFonts w:hint="eastAsia" w:ascii="仿宋_GB2312" w:eastAsia="仿宋_GB2312"/>
          <w:b w:val="0"/>
          <w:color w:val="000000"/>
          <w:sz w:val="32"/>
          <w:szCs w:val="32"/>
          <w:lang w:eastAsia="zh-CN"/>
        </w:rPr>
      </w:pPr>
      <w:r>
        <w:rPr>
          <w:rStyle w:val="17"/>
          <w:rFonts w:hint="eastAsia" w:ascii="仿宋" w:hAnsi="仿宋" w:eastAsia="仿宋" w:cs="Times New Roman"/>
          <w:bCs/>
          <w:color w:val="000000"/>
          <w:kern w:val="2"/>
          <w:sz w:val="32"/>
          <w:szCs w:val="32"/>
          <w:lang w:val="en-US" w:eastAsia="zh-CN" w:bidi="ar-SA"/>
        </w:rPr>
        <w:t>1.一般公共服务支出:</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30.44</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pStyle w:val="2"/>
        <w:ind w:firstLine="642"/>
        <w:rPr>
          <w:rStyle w:val="17"/>
          <w:rFonts w:hint="eastAsia" w:ascii="仿宋_GB2312" w:eastAsia="仿宋_GB2312"/>
          <w:b w:val="0"/>
          <w:color w:val="000000"/>
          <w:sz w:val="32"/>
          <w:szCs w:val="32"/>
          <w:lang w:eastAsia="zh-CN"/>
        </w:rPr>
      </w:pPr>
      <w:r>
        <w:rPr>
          <w:rStyle w:val="17"/>
          <w:rFonts w:hint="eastAsia" w:ascii="仿宋" w:hAnsi="仿宋" w:eastAsia="仿宋" w:cs="Times New Roman"/>
          <w:bCs/>
          <w:color w:val="000000"/>
          <w:kern w:val="2"/>
          <w:sz w:val="32"/>
          <w:szCs w:val="32"/>
          <w:lang w:val="en-US" w:eastAsia="zh-CN" w:bidi="ar-SA"/>
        </w:rPr>
        <w:t>2.公共安全支出：</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6.8</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pStyle w:val="2"/>
        <w:ind w:firstLine="642"/>
        <w:rPr>
          <w:rStyle w:val="17"/>
          <w:rFonts w:hint="eastAsia" w:ascii="仿宋_GB2312" w:eastAsia="仿宋_GB2312"/>
          <w:b w:val="0"/>
          <w:color w:val="000000"/>
          <w:sz w:val="32"/>
          <w:szCs w:val="32"/>
          <w:lang w:eastAsia="zh-CN"/>
        </w:rPr>
      </w:pPr>
      <w:r>
        <w:rPr>
          <w:rStyle w:val="17"/>
          <w:rFonts w:hint="eastAsia"/>
          <w:b/>
          <w:bCs/>
          <w:color w:val="000000"/>
          <w:sz w:val="32"/>
          <w:szCs w:val="32"/>
          <w:lang w:val="en-US" w:eastAsia="zh-CN"/>
        </w:rPr>
        <w:t>3.教育支出：</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1628.97</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numPr>
          <w:ilvl w:val="0"/>
          <w:numId w:val="0"/>
        </w:numPr>
        <w:spacing w:line="600" w:lineRule="exact"/>
        <w:ind w:firstLine="643" w:firstLineChars="200"/>
        <w:rPr>
          <w:rStyle w:val="17"/>
          <w:rFonts w:hint="eastAsia" w:ascii="仿宋_GB2312" w:eastAsia="仿宋_GB2312"/>
          <w:b w:val="0"/>
          <w:color w:val="000000"/>
          <w:sz w:val="32"/>
          <w:szCs w:val="32"/>
          <w:lang w:eastAsia="zh-CN"/>
        </w:rPr>
      </w:pPr>
      <w:r>
        <w:rPr>
          <w:rFonts w:hint="eastAsia" w:ascii="仿宋" w:hAnsi="仿宋" w:eastAsia="仿宋"/>
          <w:b/>
          <w:bCs w:val="0"/>
          <w:color w:val="000000" w:themeColor="text1"/>
          <w:sz w:val="32"/>
          <w:szCs w:val="32"/>
          <w:lang w:val="en-US" w:eastAsia="zh-CN"/>
          <w14:textFill>
            <w14:solidFill>
              <w14:schemeClr w14:val="tx1"/>
            </w14:solidFill>
          </w14:textFill>
        </w:rPr>
        <w:t>4.</w:t>
      </w:r>
      <w:r>
        <w:rPr>
          <w:rFonts w:hint="eastAsia" w:ascii="仿宋" w:hAnsi="仿宋" w:eastAsia="仿宋"/>
          <w:b/>
          <w:bCs w:val="0"/>
          <w:color w:val="000000" w:themeColor="text1"/>
          <w:sz w:val="32"/>
          <w:szCs w:val="32"/>
          <w14:textFill>
            <w14:solidFill>
              <w14:schemeClr w14:val="tx1"/>
            </w14:solidFill>
          </w14:textFill>
        </w:rPr>
        <w:t>社会保障和就业支出</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151.78</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spacing w:line="600" w:lineRule="exact"/>
        <w:ind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5.</w:t>
      </w:r>
      <w:r>
        <w:rPr>
          <w:rFonts w:hint="eastAsia" w:ascii="仿宋" w:hAnsi="仿宋" w:eastAsia="仿宋"/>
          <w:b/>
          <w:bCs/>
          <w:color w:val="000000" w:themeColor="text1"/>
          <w:sz w:val="32"/>
          <w:szCs w:val="32"/>
          <w:lang w:eastAsia="zh-CN"/>
          <w14:textFill>
            <w14:solidFill>
              <w14:schemeClr w14:val="tx1"/>
            </w14:solidFill>
          </w14:textFill>
        </w:rPr>
        <w:t>卫生健康支出</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7.52</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spacing w:line="600" w:lineRule="exact"/>
        <w:ind w:firstLine="643" w:firstLineChars="200"/>
        <w:rPr>
          <w:rStyle w:val="17"/>
          <w:rFonts w:hint="eastAsia" w:ascii="仿宋_GB2312" w:eastAsia="仿宋_GB2312"/>
          <w:b w:val="0"/>
          <w:color w:val="000000"/>
          <w:sz w:val="32"/>
          <w:szCs w:val="32"/>
          <w:lang w:eastAsia="zh-CN"/>
        </w:rPr>
      </w:pPr>
      <w:r>
        <w:rPr>
          <w:rFonts w:hint="eastAsia" w:ascii="仿宋" w:hAnsi="仿宋" w:eastAsia="仿宋"/>
          <w:b/>
          <w:bCs w:val="0"/>
          <w:color w:val="000000" w:themeColor="text1"/>
          <w:sz w:val="32"/>
          <w:szCs w:val="32"/>
          <w:lang w:val="en-US" w:eastAsia="zh-CN"/>
          <w14:textFill>
            <w14:solidFill>
              <w14:schemeClr w14:val="tx1"/>
            </w14:solidFill>
          </w14:textFill>
        </w:rPr>
        <w:t>6.</w:t>
      </w:r>
      <w:r>
        <w:rPr>
          <w:rFonts w:hint="eastAsia" w:ascii="仿宋" w:hAnsi="仿宋" w:eastAsia="仿宋"/>
          <w:b/>
          <w:bCs w:val="0"/>
          <w:color w:val="000000" w:themeColor="text1"/>
          <w:sz w:val="32"/>
          <w:szCs w:val="32"/>
          <w:lang w:eastAsia="zh-CN"/>
          <w14:textFill>
            <w14:solidFill>
              <w14:schemeClr w14:val="tx1"/>
            </w14:solidFill>
          </w14:textFill>
        </w:rPr>
        <w:t>节能环保支出</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1279.40</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spacing w:line="600" w:lineRule="exact"/>
        <w:ind w:firstLine="643" w:firstLineChars="200"/>
        <w:rPr>
          <w:rStyle w:val="17"/>
          <w:rFonts w:hint="eastAsia" w:ascii="仿宋_GB2312" w:eastAsia="仿宋_GB2312"/>
          <w:b w:val="0"/>
          <w:color w:val="000000"/>
          <w:sz w:val="32"/>
          <w:szCs w:val="32"/>
          <w:lang w:eastAsia="zh-CN"/>
        </w:rPr>
      </w:pPr>
      <w:r>
        <w:rPr>
          <w:rFonts w:hint="eastAsia" w:ascii="仿宋" w:hAnsi="仿宋" w:eastAsia="仿宋"/>
          <w:b/>
          <w:bCs/>
          <w:color w:val="000000" w:themeColor="text1"/>
          <w:sz w:val="32"/>
          <w:szCs w:val="32"/>
          <w:lang w:val="en-US" w:eastAsia="zh-CN"/>
          <w14:textFill>
            <w14:solidFill>
              <w14:schemeClr w14:val="tx1"/>
            </w14:solidFill>
          </w14:textFill>
        </w:rPr>
        <w:t>7.</w:t>
      </w:r>
      <w:r>
        <w:rPr>
          <w:rFonts w:hint="eastAsia" w:ascii="仿宋" w:hAnsi="仿宋" w:eastAsia="仿宋"/>
          <w:b/>
          <w:bCs/>
          <w:color w:val="000000" w:themeColor="text1"/>
          <w:sz w:val="32"/>
          <w:szCs w:val="32"/>
          <w:lang w:eastAsia="zh-CN"/>
          <w14:textFill>
            <w14:solidFill>
              <w14:schemeClr w14:val="tx1"/>
            </w14:solidFill>
          </w14:textFill>
        </w:rPr>
        <w:t>农林水支出</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1803.34</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spacing w:line="600" w:lineRule="exact"/>
        <w:ind w:firstLine="643" w:firstLineChars="200"/>
        <w:rPr>
          <w:rFonts w:ascii="仿宋" w:hAnsi="仿宋" w:eastAsia="仿宋"/>
          <w:b/>
          <w:color w:val="000000"/>
          <w:sz w:val="32"/>
          <w:szCs w:val="32"/>
        </w:rPr>
      </w:pPr>
      <w:r>
        <w:rPr>
          <w:rFonts w:hint="eastAsia" w:ascii="仿宋" w:hAnsi="仿宋" w:eastAsia="仿宋"/>
          <w:b/>
          <w:bCs/>
          <w:color w:val="000000" w:themeColor="text1"/>
          <w:sz w:val="32"/>
          <w:szCs w:val="32"/>
          <w:lang w:val="en-US" w:eastAsia="zh-CN"/>
          <w14:textFill>
            <w14:solidFill>
              <w14:schemeClr w14:val="tx1"/>
            </w14:solidFill>
          </w14:textFill>
        </w:rPr>
        <w:t>8.</w:t>
      </w:r>
      <w:r>
        <w:rPr>
          <w:rFonts w:hint="eastAsia" w:ascii="仿宋" w:hAnsi="仿宋" w:eastAsia="仿宋"/>
          <w:b/>
          <w:bCs/>
          <w:color w:val="000000" w:themeColor="text1"/>
          <w:sz w:val="32"/>
          <w:szCs w:val="32"/>
          <w14:textFill>
            <w14:solidFill>
              <w14:schemeClr w14:val="tx1"/>
            </w14:solidFill>
          </w14:textFill>
        </w:rPr>
        <w:t>住房保障支出</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9.6</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spacing w:line="600" w:lineRule="exact"/>
        <w:ind w:firstLine="643" w:firstLineChars="200"/>
        <w:rPr>
          <w:rStyle w:val="17"/>
          <w:rFonts w:hint="eastAsia" w:ascii="仿宋_GB2312" w:eastAsia="仿宋_GB2312"/>
          <w:b w:val="0"/>
          <w:color w:val="000000"/>
          <w:sz w:val="32"/>
          <w:szCs w:val="32"/>
          <w:lang w:eastAsia="zh-CN"/>
        </w:rPr>
      </w:pPr>
      <w:r>
        <w:rPr>
          <w:rFonts w:hint="eastAsia" w:ascii="仿宋" w:hAnsi="仿宋" w:eastAsia="仿宋" w:cs="Times New Roman"/>
          <w:b/>
          <w:bCs/>
          <w:color w:val="000000" w:themeColor="text1"/>
          <w:sz w:val="32"/>
          <w:szCs w:val="32"/>
          <w:lang w:val="en-US" w:eastAsia="zh-CN"/>
          <w14:textFill>
            <w14:solidFill>
              <w14:schemeClr w14:val="tx1"/>
            </w14:solidFill>
          </w14:textFill>
        </w:rPr>
        <w:t>9.</w:t>
      </w:r>
      <w:r>
        <w:rPr>
          <w:rFonts w:hint="eastAsia" w:ascii="仿宋" w:hAnsi="仿宋" w:eastAsia="仿宋" w:cs="Times New Roman"/>
          <w:b/>
          <w:bCs/>
          <w:color w:val="000000" w:themeColor="text1"/>
          <w:sz w:val="32"/>
          <w:szCs w:val="32"/>
          <w:lang w:eastAsia="zh-CN"/>
          <w14:textFill>
            <w14:solidFill>
              <w14:schemeClr w14:val="tx1"/>
            </w14:solidFill>
          </w14:textFill>
        </w:rPr>
        <w:t>灾害防治及应急管理支出</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1851.63</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spacing w:line="600" w:lineRule="exact"/>
        <w:ind w:firstLine="643" w:firstLineChars="200"/>
        <w:rPr>
          <w:rStyle w:val="17"/>
          <w:rFonts w:hint="eastAsia" w:ascii="仿宋_GB2312" w:eastAsia="仿宋_GB2312"/>
          <w:b w:val="0"/>
          <w:color w:val="000000"/>
          <w:sz w:val="32"/>
          <w:szCs w:val="32"/>
          <w:lang w:eastAsia="zh-CN"/>
        </w:rPr>
      </w:pPr>
      <w:r>
        <w:rPr>
          <w:rStyle w:val="17"/>
          <w:rFonts w:hint="eastAsia" w:ascii="仿宋" w:hAnsi="仿宋" w:eastAsia="仿宋"/>
          <w:bCs/>
          <w:color w:val="000000"/>
          <w:sz w:val="32"/>
          <w:szCs w:val="32"/>
          <w:lang w:val="en-US" w:eastAsia="zh-CN"/>
        </w:rPr>
        <w:t>10.</w:t>
      </w:r>
      <w:r>
        <w:rPr>
          <w:rStyle w:val="17"/>
          <w:rFonts w:hint="eastAsia" w:ascii="仿宋" w:hAnsi="仿宋" w:eastAsia="仿宋"/>
          <w:bCs/>
          <w:color w:val="000000"/>
          <w:sz w:val="32"/>
          <w:szCs w:val="32"/>
          <w:lang w:eastAsia="zh-CN"/>
        </w:rPr>
        <w:t>其他支出：</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1027.88</w:t>
      </w:r>
      <w:r>
        <w:rPr>
          <w:rStyle w:val="17"/>
          <w:rFonts w:hint="eastAsia" w:ascii="仿宋" w:hAnsi="仿宋" w:eastAsia="仿宋"/>
          <w:b w:val="0"/>
          <w:bCs/>
          <w:color w:val="000000"/>
          <w:sz w:val="32"/>
          <w:szCs w:val="32"/>
        </w:rPr>
        <w:t>万元，完成预算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，决算数</w:t>
      </w:r>
      <w:r>
        <w:rPr>
          <w:rStyle w:val="17"/>
          <w:rFonts w:hint="eastAsia" w:ascii="仿宋_GB2312" w:eastAsia="仿宋_GB2312"/>
          <w:b w:val="0"/>
          <w:color w:val="000000"/>
          <w:sz w:val="32"/>
          <w:szCs w:val="32"/>
          <w:lang w:eastAsia="zh-CN"/>
        </w:rPr>
        <w:t>与预算数持平。</w:t>
      </w:r>
    </w:p>
    <w:p>
      <w:pPr>
        <w:tabs>
          <w:tab w:val="right" w:pos="8306"/>
        </w:tabs>
        <w:spacing w:line="600" w:lineRule="exact"/>
        <w:ind w:firstLine="640"/>
        <w:outlineLvl w:val="1"/>
        <w:rPr>
          <w:rStyle w:val="29"/>
          <w:color w:val="auto"/>
          <w:highlight w:val="none"/>
        </w:rPr>
      </w:pPr>
      <w:r>
        <w:rPr>
          <w:rFonts w:hint="eastAsia" w:ascii="黑体" w:eastAsia="黑体"/>
          <w:color w:val="auto"/>
          <w:sz w:val="32"/>
          <w:szCs w:val="32"/>
          <w:highlight w:val="none"/>
        </w:rPr>
        <w:t>六</w:t>
      </w:r>
      <w:r>
        <w:rPr>
          <w:rFonts w:hint="eastAsia" w:ascii="黑体" w:eastAsia="黑体"/>
          <w:b/>
          <w:color w:val="auto"/>
          <w:sz w:val="32"/>
          <w:szCs w:val="32"/>
          <w:highlight w:val="none"/>
        </w:rPr>
        <w:t>、</w:t>
      </w:r>
      <w:r>
        <w:rPr>
          <w:rFonts w:hint="eastAsia" w:ascii="黑体" w:hAnsi="黑体" w:eastAsia="黑体"/>
          <w:b/>
          <w:color w:val="auto"/>
          <w:sz w:val="32"/>
          <w:szCs w:val="32"/>
          <w:highlight w:val="none"/>
        </w:rPr>
        <w:t>一</w:t>
      </w:r>
      <w:r>
        <w:rPr>
          <w:rStyle w:val="29"/>
          <w:rFonts w:hint="eastAsia" w:ascii="黑体" w:hAnsi="黑体" w:eastAsia="黑体"/>
          <w:b w:val="0"/>
          <w:color w:val="auto"/>
          <w:highlight w:val="none"/>
        </w:rPr>
        <w:t>般公共预算财政拨款基本支出决算情况说明</w:t>
      </w:r>
      <w:bookmarkEnd w:id="42"/>
      <w:bookmarkEnd w:id="43"/>
      <w:r>
        <w:rPr>
          <w:rStyle w:val="29"/>
          <w:rFonts w:ascii="黑体" w:hAnsi="黑体" w:eastAsia="黑体"/>
          <w:b w:val="0"/>
          <w:color w:val="auto"/>
          <w:highlight w:val="none"/>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lang w:val="en-US" w:eastAsia="zh-CN"/>
        </w:rPr>
        <w:t>169.24</w:t>
      </w:r>
      <w:r>
        <w:rPr>
          <w:rFonts w:hint="eastAsia" w:ascii="仿宋" w:hAnsi="仿宋" w:eastAsia="仿宋"/>
          <w:color w:val="000000"/>
          <w:sz w:val="32"/>
          <w:szCs w:val="32"/>
        </w:rPr>
        <w:t>万元，其中：</w:t>
      </w:r>
    </w:p>
    <w:p>
      <w:pPr>
        <w:spacing w:line="600" w:lineRule="exact"/>
        <w:ind w:firstLine="645"/>
        <w:rPr>
          <w:rFonts w:ascii="仿宋" w:hAnsi="仿宋" w:eastAsia="仿宋"/>
          <w:b/>
          <w:color w:val="auto"/>
          <w:sz w:val="32"/>
          <w:szCs w:val="32"/>
          <w:highlight w:val="none"/>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158.12</w:t>
      </w:r>
      <w:r>
        <w:rPr>
          <w:rFonts w:hint="eastAsia" w:ascii="仿宋" w:hAnsi="仿宋" w:eastAsia="仿宋"/>
          <w:color w:val="000000"/>
          <w:sz w:val="32"/>
          <w:szCs w:val="32"/>
        </w:rPr>
        <w:t>万元，主要包括：基本工资、津贴补贴、奖金、绩效工资、机关事业单位基本养老保险缴费、职业年金缴费、其他社会保障缴费、其他工资福利支出、离休费、退休费、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11.12</w:t>
      </w:r>
      <w:r>
        <w:rPr>
          <w:rFonts w:hint="eastAsia" w:ascii="仿宋" w:hAnsi="仿宋" w:eastAsia="仿宋"/>
          <w:color w:val="000000"/>
          <w:sz w:val="32"/>
          <w:szCs w:val="32"/>
        </w:rPr>
        <w:t>万元，主要包括：办公费、印刷费、手续费、水费、电费、邮电费、差旅费、维修（护）费、租赁费、会议费、培训费、公务接待费、劳务费、委托业务费、工会经费、公务用车运行维护费、其他商品和服务支出等。</w:t>
      </w:r>
    </w:p>
    <w:p>
      <w:pPr>
        <w:spacing w:line="600" w:lineRule="exact"/>
        <w:ind w:firstLine="640"/>
        <w:outlineLvl w:val="1"/>
        <w:rPr>
          <w:rStyle w:val="29"/>
          <w:rFonts w:ascii="黑体" w:hAnsi="黑体" w:eastAsia="黑体"/>
          <w:b w:val="0"/>
          <w:color w:val="auto"/>
          <w:highlight w:val="none"/>
        </w:rPr>
      </w:pPr>
      <w:bookmarkStart w:id="44" w:name="_Toc15396609"/>
      <w:bookmarkStart w:id="45" w:name="_Toc15377215"/>
      <w:r>
        <w:rPr>
          <w:rFonts w:hint="eastAsia" w:ascii="黑体" w:eastAsia="黑体"/>
          <w:color w:val="auto"/>
          <w:sz w:val="32"/>
          <w:szCs w:val="32"/>
          <w:highlight w:val="none"/>
        </w:rPr>
        <w:t>七、</w:t>
      </w:r>
      <w:r>
        <w:rPr>
          <w:rStyle w:val="29"/>
          <w:rFonts w:hint="eastAsia" w:ascii="黑体" w:hAnsi="黑体" w:eastAsia="黑体"/>
          <w:b w:val="0"/>
          <w:color w:val="auto"/>
          <w:highlight w:val="none"/>
        </w:rPr>
        <w:t>财政拨款</w:t>
      </w:r>
      <w:r>
        <w:rPr>
          <w:rStyle w:val="29"/>
          <w:rFonts w:hint="eastAsia" w:ascii="黑体" w:hAnsi="黑体" w:eastAsia="黑体"/>
          <w:color w:val="auto"/>
          <w:highlight w:val="none"/>
        </w:rPr>
        <w:t>“</w:t>
      </w:r>
      <w:r>
        <w:rPr>
          <w:rStyle w:val="29"/>
          <w:rFonts w:hint="eastAsia" w:ascii="黑体" w:hAnsi="黑体" w:eastAsia="黑体"/>
          <w:b w:val="0"/>
          <w:color w:val="auto"/>
          <w:highlight w:val="none"/>
        </w:rPr>
        <w:t>三公”经费支出决算情况说明</w:t>
      </w:r>
      <w:bookmarkEnd w:id="44"/>
      <w:bookmarkEnd w:id="45"/>
    </w:p>
    <w:p>
      <w:pPr>
        <w:spacing w:line="600" w:lineRule="exact"/>
        <w:ind w:firstLine="640"/>
        <w:outlineLvl w:val="2"/>
        <w:rPr>
          <w:rFonts w:ascii="仿宋" w:hAnsi="仿宋" w:eastAsia="仿宋"/>
          <w:b/>
          <w:color w:val="auto"/>
          <w:sz w:val="32"/>
          <w:szCs w:val="32"/>
          <w:highlight w:val="none"/>
        </w:rPr>
      </w:pPr>
      <w:bookmarkStart w:id="46" w:name="_Toc15377216"/>
      <w:r>
        <w:rPr>
          <w:rFonts w:hint="eastAsia" w:ascii="仿宋" w:hAnsi="仿宋" w:eastAsia="仿宋"/>
          <w:b/>
          <w:color w:val="auto"/>
          <w:sz w:val="32"/>
          <w:szCs w:val="32"/>
          <w:highlight w:val="none"/>
        </w:rPr>
        <w:t>（一）“三公”经费财政拨款支出决算总体情况说明</w:t>
      </w:r>
      <w:bookmarkEnd w:id="46"/>
    </w:p>
    <w:p>
      <w:pPr>
        <w:spacing w:line="600" w:lineRule="exact"/>
        <w:ind w:firstLine="640"/>
        <w:rPr>
          <w:rFonts w:hint="eastAsia" w:ascii="仿宋_GB2312" w:eastAsia="仿宋_GB2312"/>
          <w:color w:val="000000"/>
          <w:sz w:val="32"/>
          <w:szCs w:val="32"/>
          <w:lang w:eastAsia="zh-CN"/>
        </w:rPr>
      </w:pPr>
      <w:bookmarkStart w:id="47" w:name="_Toc15377217"/>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4.86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_GB2312" w:eastAsia="仿宋_GB2312"/>
          <w:color w:val="000000"/>
          <w:sz w:val="32"/>
          <w:szCs w:val="32"/>
        </w:rPr>
        <w:t>决算数与预算数持平</w:t>
      </w:r>
      <w:r>
        <w:rPr>
          <w:rFonts w:hint="eastAsia" w:ascii="仿宋_GB2312" w:eastAsia="仿宋_GB2312"/>
          <w:color w:val="000000"/>
          <w:sz w:val="32"/>
          <w:szCs w:val="32"/>
          <w:lang w:eastAsia="zh-CN"/>
        </w:rPr>
        <w:t>。</w:t>
      </w:r>
    </w:p>
    <w:p>
      <w:pPr>
        <w:spacing w:line="600" w:lineRule="exact"/>
        <w:ind w:firstLine="640"/>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（二）“三公”经费财政拨款支出决算具体情况说明</w:t>
      </w:r>
      <w:bookmarkEnd w:id="47"/>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4.86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：“三公”经费财政拨款支出结构）（饼状图）</w:t>
      </w:r>
    </w:p>
    <w:p>
      <w:pPr>
        <w:pStyle w:val="2"/>
        <w:rPr>
          <w:rFonts w:hint="eastAsia" w:ascii="仿宋" w:hAnsi="仿宋" w:eastAsia="仿宋"/>
          <w:color w:val="000000"/>
          <w:sz w:val="32"/>
          <w:szCs w:val="32"/>
        </w:rPr>
      </w:pPr>
      <w:r>
        <w:drawing>
          <wp:anchor distT="0" distB="0" distL="114300" distR="114300" simplePos="0" relativeHeight="251664384" behindDoc="0" locked="0" layoutInCell="1" allowOverlap="1">
            <wp:simplePos x="0" y="0"/>
            <wp:positionH relativeFrom="column">
              <wp:posOffset>437515</wp:posOffset>
            </wp:positionH>
            <wp:positionV relativeFrom="paragraph">
              <wp:posOffset>236220</wp:posOffset>
            </wp:positionV>
            <wp:extent cx="4226560" cy="1979930"/>
            <wp:effectExtent l="4445" t="4445" r="17145" b="15875"/>
            <wp:wrapSquare wrapText="bothSides"/>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spacing w:line="600" w:lineRule="exact"/>
        <w:ind w:firstLine="640"/>
        <w:rPr>
          <w:rFonts w:ascii="仿宋_GB2312" w:eastAsia="仿宋_GB2312"/>
          <w:b/>
          <w:color w:val="000000"/>
          <w:sz w:val="32"/>
          <w:szCs w:val="32"/>
        </w:rPr>
      </w:pPr>
      <w:bookmarkStart w:id="48" w:name="_Toc15377218"/>
      <w:bookmarkStart w:id="49" w:name="_Toc15396610"/>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4.86</w:t>
      </w:r>
      <w:r>
        <w:rPr>
          <w:rFonts w:hint="eastAsia" w:ascii="仿宋_GB2312" w:eastAsia="仿宋_GB2312"/>
          <w:color w:val="000000"/>
          <w:sz w:val="32"/>
          <w:szCs w:val="32"/>
        </w:rPr>
        <w:t>万元,</w:t>
      </w:r>
      <w:r>
        <w:rPr>
          <w:rStyle w:val="17"/>
          <w:rFonts w:hint="eastAsia" w:ascii="仿宋" w:hAnsi="仿宋" w:eastAsia="仿宋"/>
          <w:b w:val="0"/>
          <w:bCs/>
          <w:color w:val="000000"/>
          <w:sz w:val="32"/>
          <w:szCs w:val="32"/>
        </w:rPr>
        <w:t>完成预算</w:t>
      </w:r>
      <w:r>
        <w:rPr>
          <w:rStyle w:val="17"/>
          <w:rFonts w:hint="eastAsia" w:ascii="仿宋" w:hAnsi="仿宋" w:eastAsia="仿宋"/>
          <w:b w:val="0"/>
          <w:bCs/>
          <w:color w:val="000000"/>
          <w:sz w:val="32"/>
          <w:szCs w:val="32"/>
          <w:lang w:val="en-US" w:eastAsia="zh-CN"/>
        </w:rPr>
        <w:t>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增加0.74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增加17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出差</w:t>
      </w:r>
      <w:r>
        <w:rPr>
          <w:rFonts w:hint="eastAsia" w:ascii="仿宋_GB2312" w:eastAsia="仿宋_GB2312"/>
          <w:color w:val="000000"/>
          <w:sz w:val="32"/>
          <w:szCs w:val="32"/>
          <w:lang w:val="en-US" w:eastAsia="zh-CN"/>
        </w:rPr>
        <w:t>增加</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4.86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项目前期工作、下乡</w:t>
      </w:r>
      <w:r>
        <w:rPr>
          <w:rFonts w:hint="eastAsia" w:ascii="仿宋_GB2312" w:eastAsia="仿宋_GB2312"/>
          <w:color w:val="000000"/>
          <w:sz w:val="32"/>
          <w:szCs w:val="32"/>
        </w:rPr>
        <w:t>等所需的公务用车燃料费、维修费、过路过桥费、保险费等支出。</w:t>
      </w:r>
    </w:p>
    <w:p>
      <w:pPr>
        <w:spacing w:line="600" w:lineRule="exact"/>
        <w:ind w:firstLine="640"/>
        <w:outlineLvl w:val="1"/>
        <w:rPr>
          <w:rFonts w:ascii="黑体" w:eastAsia="黑体"/>
          <w:color w:val="auto"/>
          <w:sz w:val="32"/>
          <w:szCs w:val="32"/>
          <w:highlight w:val="none"/>
        </w:rPr>
      </w:pPr>
    </w:p>
    <w:p>
      <w:pPr>
        <w:spacing w:line="600" w:lineRule="exact"/>
        <w:ind w:firstLine="640"/>
        <w:outlineLvl w:val="1"/>
        <w:rPr>
          <w:rStyle w:val="29"/>
          <w:rFonts w:ascii="黑体" w:hAnsi="黑体" w:eastAsia="黑体"/>
          <w:color w:val="auto"/>
          <w:highlight w:val="none"/>
        </w:rPr>
      </w:pPr>
      <w:r>
        <w:rPr>
          <w:rFonts w:hint="eastAsia" w:ascii="黑体" w:eastAsia="黑体"/>
          <w:color w:val="auto"/>
          <w:sz w:val="32"/>
          <w:szCs w:val="32"/>
          <w:highlight w:val="none"/>
        </w:rPr>
        <w:t>八、</w:t>
      </w:r>
      <w:r>
        <w:rPr>
          <w:rStyle w:val="29"/>
          <w:rFonts w:hint="eastAsia" w:ascii="黑体" w:hAnsi="黑体" w:eastAsia="黑体"/>
          <w:b w:val="0"/>
          <w:color w:val="auto"/>
          <w:highlight w:val="none"/>
        </w:rPr>
        <w:t>政府性基金预算支出决算情况说明</w:t>
      </w:r>
      <w:bookmarkEnd w:id="48"/>
      <w:bookmarkEnd w:id="49"/>
    </w:p>
    <w:p>
      <w:pPr>
        <w:numPr>
          <w:ilvl w:val="0"/>
          <w:numId w:val="0"/>
        </w:numPr>
        <w:spacing w:line="600" w:lineRule="exact"/>
        <w:ind w:firstLine="640" w:firstLineChars="200"/>
        <w:outlineLvl w:val="1"/>
        <w:rPr>
          <w:rFonts w:ascii="仿宋_GB2312" w:eastAsia="仿宋_GB2312"/>
          <w:color w:val="auto"/>
          <w:sz w:val="32"/>
          <w:szCs w:val="32"/>
          <w:highlight w:val="none"/>
        </w:rPr>
      </w:pPr>
      <w:r>
        <w:rPr>
          <w:rFonts w:hint="eastAsia" w:ascii="仿宋" w:hAnsi="仿宋" w:eastAsia="仿宋" w:cs="仿宋"/>
          <w:b w:val="0"/>
          <w:bCs/>
          <w:sz w:val="32"/>
          <w:szCs w:val="32"/>
          <w:lang w:val="en-US" w:eastAsia="zh-CN"/>
        </w:rPr>
        <w:t>本单位政府性基金预算支出40万元。</w:t>
      </w:r>
    </w:p>
    <w:p>
      <w:pPr>
        <w:numPr>
          <w:ilvl w:val="0"/>
          <w:numId w:val="3"/>
        </w:numPr>
        <w:spacing w:line="600" w:lineRule="exact"/>
        <w:ind w:firstLine="640"/>
        <w:outlineLvl w:val="1"/>
        <w:rPr>
          <w:rStyle w:val="29"/>
          <w:rFonts w:ascii="黑体" w:hAnsi="黑体" w:eastAsia="黑体"/>
          <w:b w:val="0"/>
          <w:color w:val="auto"/>
          <w:highlight w:val="none"/>
        </w:rPr>
      </w:pPr>
      <w:bookmarkStart w:id="50" w:name="_Toc15377219"/>
      <w:bookmarkStart w:id="51" w:name="_Toc15396611"/>
      <w:r>
        <w:rPr>
          <w:rStyle w:val="29"/>
          <w:rFonts w:hint="eastAsia" w:ascii="黑体" w:hAnsi="黑体" w:eastAsia="黑体"/>
          <w:b w:val="0"/>
          <w:color w:val="auto"/>
          <w:highlight w:val="none"/>
        </w:rPr>
        <w:t>国有资本经营预算支出决算情况说明</w:t>
      </w:r>
      <w:bookmarkEnd w:id="50"/>
      <w:bookmarkEnd w:id="51"/>
    </w:p>
    <w:p>
      <w:pPr>
        <w:pStyle w:val="27"/>
        <w:numPr>
          <w:ilvl w:val="0"/>
          <w:numId w:val="0"/>
        </w:numPr>
        <w:spacing w:line="580" w:lineRule="exact"/>
        <w:ind w:firstLine="640" w:firstLineChars="200"/>
        <w:rPr>
          <w:rFonts w:ascii="方正小标宋简体" w:hAnsi="方正小标宋简体" w:eastAsia="方正小标宋简体" w:cs="方正小标宋简体"/>
          <w:sz w:val="44"/>
          <w:szCs w:val="44"/>
        </w:rPr>
      </w:pPr>
      <w:bookmarkStart w:id="52" w:name="_Toc15396612"/>
      <w:bookmarkStart w:id="53" w:name="_Toc15377221"/>
      <w:r>
        <w:rPr>
          <w:rFonts w:hint="eastAsia" w:ascii="仿宋_GB2312" w:eastAsia="仿宋_GB2312"/>
          <w:color w:val="000000"/>
          <w:sz w:val="32"/>
          <w:szCs w:val="32"/>
          <w:lang w:eastAsia="zh-CN"/>
        </w:rPr>
        <w:t>本单位无国有资本经营预算支出。</w:t>
      </w:r>
    </w:p>
    <w:p>
      <w:pPr>
        <w:numPr>
          <w:ilvl w:val="0"/>
          <w:numId w:val="3"/>
        </w:numPr>
        <w:spacing w:line="600" w:lineRule="exact"/>
        <w:ind w:firstLine="640"/>
        <w:outlineLvl w:val="1"/>
        <w:rPr>
          <w:rStyle w:val="29"/>
          <w:rFonts w:hint="eastAsia" w:ascii="黑体" w:hAnsi="黑体" w:eastAsia="黑体"/>
          <w:b w:val="0"/>
          <w:color w:val="auto"/>
          <w:highlight w:val="none"/>
        </w:rPr>
      </w:pPr>
      <w:r>
        <w:rPr>
          <w:rStyle w:val="29"/>
          <w:rFonts w:hint="eastAsia" w:ascii="黑体" w:hAnsi="黑体" w:eastAsia="黑体"/>
          <w:b w:val="0"/>
          <w:color w:val="auto"/>
          <w:highlight w:val="none"/>
        </w:rPr>
        <w:t>其他重要事项的情况说明</w:t>
      </w:r>
      <w:bookmarkEnd w:id="52"/>
      <w:bookmarkEnd w:id="53"/>
    </w:p>
    <w:p>
      <w:pPr>
        <w:spacing w:line="600" w:lineRule="exact"/>
        <w:ind w:firstLine="643" w:firstLineChars="200"/>
        <w:outlineLvl w:val="2"/>
        <w:rPr>
          <w:rFonts w:ascii="仿宋" w:hAnsi="仿宋" w:eastAsia="仿宋"/>
          <w:color w:val="auto"/>
          <w:sz w:val="32"/>
          <w:szCs w:val="32"/>
          <w:highlight w:val="none"/>
        </w:rPr>
      </w:pPr>
      <w:bookmarkStart w:id="54" w:name="_Toc15377222"/>
      <w:r>
        <w:rPr>
          <w:rFonts w:hint="eastAsia" w:ascii="仿宋" w:hAnsi="仿宋" w:eastAsia="仿宋"/>
          <w:b/>
          <w:color w:val="auto"/>
          <w:sz w:val="32"/>
          <w:szCs w:val="32"/>
          <w:highlight w:val="none"/>
        </w:rPr>
        <w:t>（一）机关运行经费支出情况</w:t>
      </w:r>
      <w:bookmarkEnd w:id="54"/>
    </w:p>
    <w:p>
      <w:pPr>
        <w:spacing w:line="600" w:lineRule="exact"/>
        <w:ind w:firstLine="640" w:firstLineChars="200"/>
        <w:rPr>
          <w:rFonts w:hint="eastAsia" w:ascii="仿宋_GB2312" w:eastAsia="仿宋_GB2312"/>
          <w:color w:val="000000"/>
          <w:sz w:val="32"/>
          <w:szCs w:val="32"/>
          <w:lang w:eastAsia="zh-CN"/>
        </w:rPr>
      </w:pPr>
      <w:bookmarkStart w:id="55" w:name="_Toc15377223"/>
      <w:r>
        <w:rPr>
          <w:rFonts w:ascii="仿宋_GB2312" w:eastAsia="仿宋_GB2312"/>
          <w:color w:val="000000"/>
          <w:sz w:val="32"/>
          <w:szCs w:val="32"/>
        </w:rPr>
        <w:t>202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11.12</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w:t>
      </w:r>
      <w:r>
        <w:rPr>
          <w:rFonts w:hint="eastAsia" w:ascii="仿宋_GB2312" w:eastAsia="仿宋_GB2312"/>
          <w:color w:val="000000"/>
          <w:sz w:val="32"/>
          <w:szCs w:val="32"/>
          <w:lang w:val="en-US" w:eastAsia="zh-CN"/>
        </w:rPr>
        <w:t>减少22.66</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减少67</w:t>
      </w:r>
      <w:r>
        <w:rPr>
          <w:rFonts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出差、下乡</w:t>
      </w:r>
      <w:r>
        <w:rPr>
          <w:rFonts w:hint="eastAsia" w:ascii="仿宋_GB2312" w:eastAsia="仿宋_GB2312"/>
          <w:color w:val="000000"/>
          <w:sz w:val="32"/>
          <w:szCs w:val="32"/>
          <w:lang w:val="en-US" w:eastAsia="zh-CN"/>
        </w:rPr>
        <w:t>减少</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（二）政府采购支出情况</w:t>
      </w:r>
      <w:bookmarkEnd w:id="5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414.55</w:t>
      </w:r>
      <w:r>
        <w:rPr>
          <w:rFonts w:hint="eastAsia" w:ascii="仿宋_GB2312" w:eastAsia="仿宋_GB2312"/>
          <w:color w:val="000000"/>
          <w:sz w:val="32"/>
          <w:szCs w:val="32"/>
        </w:rPr>
        <w:t>万元，其中：</w:t>
      </w:r>
      <w:r>
        <w:rPr>
          <w:rFonts w:hint="eastAsia" w:ascii="仿宋_GB2312" w:eastAsia="仿宋_GB2312"/>
          <w:color w:val="000000"/>
          <w:sz w:val="32"/>
          <w:szCs w:val="32"/>
          <w:lang w:eastAsia="zh-CN"/>
        </w:rPr>
        <w:t>政府采购工程支出</w:t>
      </w:r>
      <w:r>
        <w:rPr>
          <w:rFonts w:hint="eastAsia" w:ascii="仿宋_GB2312" w:eastAsia="仿宋_GB2312"/>
          <w:color w:val="000000"/>
          <w:sz w:val="32"/>
          <w:szCs w:val="32"/>
          <w:lang w:val="en-US" w:eastAsia="zh-CN"/>
        </w:rPr>
        <w:t>414.55万元、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防汛物资采购、山洪预警平台运行维护采购、非工程措施项目等</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bookmarkStart w:id="56" w:name="_Toc15377224"/>
      <w:r>
        <w:rPr>
          <w:rFonts w:hint="eastAsia" w:ascii="仿宋" w:hAnsi="仿宋" w:eastAsia="仿宋"/>
          <w:b/>
          <w:color w:val="auto"/>
          <w:sz w:val="32"/>
          <w:szCs w:val="32"/>
          <w:highlight w:val="none"/>
        </w:rPr>
        <w:t>（三）国有资产占有使用情况</w:t>
      </w:r>
      <w:bookmarkEnd w:id="56"/>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水务局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主要是用于</w:t>
      </w:r>
      <w:r>
        <w:rPr>
          <w:rFonts w:hint="eastAsia" w:ascii="仿宋_GB2312" w:eastAsia="仿宋_GB2312"/>
          <w:color w:val="000000" w:themeColor="text1"/>
          <w:sz w:val="32"/>
          <w:szCs w:val="32"/>
          <w:lang w:eastAsia="zh-CN"/>
          <w14:textFill>
            <w14:solidFill>
              <w14:schemeClr w14:val="tx1"/>
            </w14:solidFill>
          </w14:textFill>
        </w:rPr>
        <w:t>下乡等与业务相关的事宜。</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根据预算绩效管理要求，本部门在年初预算编制阶段，组织对</w:t>
      </w:r>
      <w:r>
        <w:rPr>
          <w:rFonts w:hint="eastAsia" w:ascii="仿宋" w:hAnsi="仿宋" w:eastAsia="仿宋" w:cs="仿宋"/>
          <w:b w:val="0"/>
          <w:bCs/>
          <w:sz w:val="32"/>
          <w:szCs w:val="32"/>
        </w:rPr>
        <w:t>壤塘县则曲河水毁修复项目</w:t>
      </w:r>
      <w:r>
        <w:rPr>
          <w:rFonts w:hint="eastAsia" w:ascii="仿宋_GB2312" w:hAnsi="仿宋_GB2312" w:eastAsia="仿宋_GB2312" w:cs="仿宋_GB2312"/>
          <w:sz w:val="32"/>
          <w:szCs w:val="32"/>
          <w:highlight w:val="none"/>
        </w:rPr>
        <w:t>开展了预算事前绩效评估，对</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个项目编制了绩效目标，预算执行过程中，选取</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个项目开展绩效监控，年终执行完毕后，对</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个项目开展了绩效目标完成情况梳理填报。</w:t>
      </w:r>
    </w:p>
    <w:p>
      <w:pPr>
        <w:numPr>
          <w:ilvl w:val="0"/>
          <w:numId w:val="0"/>
        </w:numPr>
        <w:spacing w:line="600" w:lineRule="atLeast"/>
        <w:ind w:firstLine="640" w:firstLineChars="200"/>
        <w:rPr>
          <w:rStyle w:val="17"/>
          <w:rFonts w:hint="eastAsia" w:ascii="仿宋" w:hAnsi="仿宋" w:eastAsia="仿宋" w:cs="仿宋"/>
          <w:b w:val="0"/>
          <w:bCs w:val="0"/>
          <w:color w:val="4E4C4C"/>
          <w:sz w:val="32"/>
          <w:szCs w:val="32"/>
          <w:lang w:eastAsia="zh-CN"/>
        </w:rPr>
      </w:pPr>
      <w:bookmarkStart w:id="57" w:name="_Toc15396613"/>
      <w:bookmarkStart w:id="58" w:name="_Toc15377225"/>
      <w:r>
        <w:rPr>
          <w:rFonts w:hint="eastAsia" w:ascii="仿宋" w:hAnsi="仿宋" w:eastAsia="仿宋" w:cs="仿宋"/>
          <w:sz w:val="32"/>
          <w:szCs w:val="32"/>
        </w:rPr>
        <w:t>本部门按要求对20</w:t>
      </w:r>
      <w:r>
        <w:rPr>
          <w:rFonts w:hint="eastAsia" w:ascii="仿宋" w:hAnsi="仿宋" w:eastAsia="仿宋" w:cs="仿宋"/>
          <w:sz w:val="32"/>
          <w:szCs w:val="32"/>
          <w:lang w:val="en-US" w:eastAsia="zh-CN"/>
        </w:rPr>
        <w:t>22</w:t>
      </w:r>
      <w:r>
        <w:rPr>
          <w:rFonts w:hint="eastAsia" w:ascii="仿宋" w:hAnsi="仿宋" w:eastAsia="仿宋" w:cs="仿宋"/>
          <w:sz w:val="32"/>
          <w:szCs w:val="32"/>
        </w:rPr>
        <w:t>年部门整体支出开展绩效自评，</w:t>
      </w:r>
      <w:r>
        <w:rPr>
          <w:rFonts w:hint="eastAsia" w:ascii="仿宋" w:hAnsi="仿宋" w:eastAsia="仿宋" w:cs="仿宋"/>
          <w:color w:val="000000"/>
          <w:sz w:val="32"/>
          <w:szCs w:val="32"/>
        </w:rPr>
        <w:t>自评得分</w:t>
      </w:r>
      <w:r>
        <w:rPr>
          <w:rFonts w:hint="eastAsia" w:ascii="仿宋" w:hAnsi="仿宋" w:eastAsia="仿宋" w:cs="仿宋"/>
          <w:color w:val="000000"/>
          <w:sz w:val="32"/>
          <w:szCs w:val="32"/>
          <w:lang w:val="en-US" w:eastAsia="zh-CN"/>
        </w:rPr>
        <w:t>93</w:t>
      </w:r>
      <w:r>
        <w:rPr>
          <w:rFonts w:hint="eastAsia" w:ascii="仿宋" w:hAnsi="仿宋" w:eastAsia="仿宋" w:cs="仿宋"/>
          <w:color w:val="000000"/>
          <w:sz w:val="32"/>
          <w:szCs w:val="32"/>
        </w:rPr>
        <w:t>分，</w:t>
      </w:r>
      <w:r>
        <w:rPr>
          <w:rFonts w:hint="eastAsia" w:ascii="仿宋" w:hAnsi="仿宋" w:eastAsia="仿宋" w:cs="仿宋"/>
          <w:color w:val="000000"/>
          <w:sz w:val="32"/>
          <w:szCs w:val="32"/>
          <w:lang w:eastAsia="zh-CN"/>
        </w:rPr>
        <w:t>从整体来看还</w:t>
      </w:r>
      <w:r>
        <w:rPr>
          <w:rFonts w:hint="eastAsia" w:ascii="仿宋" w:hAnsi="仿宋" w:eastAsia="仿宋" w:cs="仿宋"/>
          <w:color w:val="000000"/>
          <w:sz w:val="32"/>
          <w:szCs w:val="32"/>
        </w:rPr>
        <w:t>存在的问题：</w:t>
      </w:r>
      <w:r>
        <w:rPr>
          <w:rFonts w:hint="eastAsia" w:ascii="仿宋" w:hAnsi="仿宋" w:eastAsia="仿宋" w:cs="仿宋"/>
          <w:color w:val="000000"/>
          <w:sz w:val="32"/>
          <w:szCs w:val="32"/>
          <w:lang w:eastAsia="zh-CN"/>
        </w:rPr>
        <w:t>一是</w:t>
      </w:r>
      <w:r>
        <w:rPr>
          <w:rStyle w:val="17"/>
          <w:rFonts w:hint="eastAsia" w:ascii="仿宋" w:hAnsi="仿宋" w:eastAsia="仿宋" w:cs="仿宋"/>
          <w:b w:val="0"/>
          <w:bCs w:val="0"/>
          <w:color w:val="333333"/>
          <w:sz w:val="32"/>
          <w:szCs w:val="32"/>
        </w:rPr>
        <w:t>绩效评价管理制度尚不健全</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二是</w:t>
      </w:r>
      <w:r>
        <w:rPr>
          <w:rStyle w:val="17"/>
          <w:rFonts w:hint="eastAsia" w:ascii="仿宋" w:hAnsi="仿宋" w:eastAsia="仿宋" w:cs="仿宋"/>
          <w:b w:val="0"/>
          <w:bCs w:val="0"/>
          <w:color w:val="4E4C4C"/>
          <w:sz w:val="32"/>
          <w:szCs w:val="32"/>
        </w:rPr>
        <w:t>对绩效评价工作的认识不够</w:t>
      </w:r>
      <w:r>
        <w:rPr>
          <w:rStyle w:val="17"/>
          <w:rFonts w:hint="eastAsia" w:ascii="仿宋" w:hAnsi="仿宋" w:eastAsia="仿宋" w:cs="仿宋"/>
          <w:b w:val="0"/>
          <w:bCs w:val="0"/>
          <w:color w:val="4E4C4C"/>
          <w:sz w:val="32"/>
          <w:szCs w:val="32"/>
          <w:lang w:eastAsia="zh-CN"/>
        </w:rPr>
        <w:t>。三是</w:t>
      </w:r>
      <w:r>
        <w:rPr>
          <w:rStyle w:val="17"/>
          <w:rFonts w:hint="eastAsia" w:ascii="仿宋" w:hAnsi="仿宋" w:eastAsia="仿宋" w:cs="仿宋"/>
          <w:b w:val="0"/>
          <w:bCs w:val="0"/>
          <w:color w:val="4E4C4C"/>
          <w:sz w:val="32"/>
          <w:szCs w:val="32"/>
        </w:rPr>
        <w:t>人员素质有待进一步提高</w:t>
      </w:r>
      <w:r>
        <w:rPr>
          <w:rStyle w:val="17"/>
          <w:rFonts w:hint="eastAsia" w:ascii="仿宋" w:hAnsi="仿宋" w:eastAsia="仿宋" w:cs="仿宋"/>
          <w:b w:val="0"/>
          <w:bCs w:val="0"/>
          <w:color w:val="4E4C4C"/>
          <w:sz w:val="32"/>
          <w:szCs w:val="32"/>
          <w:lang w:eastAsia="zh-CN"/>
        </w:rPr>
        <w:t>。</w:t>
      </w:r>
      <w:r>
        <w:rPr>
          <w:rFonts w:hint="eastAsia" w:ascii="仿宋" w:hAnsi="仿宋" w:eastAsia="仿宋" w:cs="仿宋"/>
          <w:color w:val="000000"/>
          <w:sz w:val="32"/>
          <w:szCs w:val="32"/>
        </w:rPr>
        <w:t>下一步改进措施：一是</w:t>
      </w:r>
      <w:r>
        <w:rPr>
          <w:rStyle w:val="17"/>
          <w:rFonts w:hint="eastAsia" w:ascii="仿宋" w:hAnsi="仿宋" w:eastAsia="仿宋" w:cs="仿宋"/>
          <w:b w:val="0"/>
          <w:bCs w:val="0"/>
          <w:color w:val="4E4C4C"/>
          <w:sz w:val="32"/>
          <w:szCs w:val="32"/>
        </w:rPr>
        <w:t>完善绩效评价工作制度</w:t>
      </w:r>
      <w:r>
        <w:rPr>
          <w:rFonts w:hint="eastAsia" w:ascii="仿宋" w:hAnsi="仿宋" w:eastAsia="仿宋" w:cs="仿宋"/>
          <w:color w:val="000000"/>
          <w:sz w:val="32"/>
          <w:szCs w:val="32"/>
        </w:rPr>
        <w:t>，二是</w:t>
      </w:r>
      <w:r>
        <w:rPr>
          <w:rStyle w:val="17"/>
          <w:rFonts w:hint="eastAsia" w:ascii="仿宋" w:hAnsi="仿宋" w:eastAsia="仿宋" w:cs="仿宋"/>
          <w:b w:val="0"/>
          <w:bCs w:val="0"/>
          <w:color w:val="4E4C4C"/>
          <w:sz w:val="32"/>
          <w:szCs w:val="32"/>
        </w:rPr>
        <w:t>加大宣传力度，树立绩效管理理念</w:t>
      </w:r>
      <w:r>
        <w:rPr>
          <w:rStyle w:val="17"/>
          <w:rFonts w:hint="eastAsia" w:ascii="仿宋" w:hAnsi="仿宋" w:eastAsia="仿宋" w:cs="仿宋"/>
          <w:b w:val="0"/>
          <w:bCs w:val="0"/>
          <w:color w:val="4E4C4C"/>
          <w:sz w:val="32"/>
          <w:szCs w:val="32"/>
          <w:lang w:eastAsia="zh-CN"/>
        </w:rPr>
        <w:t>，三是</w:t>
      </w:r>
      <w:r>
        <w:rPr>
          <w:rStyle w:val="17"/>
          <w:rFonts w:hint="eastAsia" w:ascii="仿宋" w:hAnsi="仿宋" w:eastAsia="仿宋" w:cs="仿宋"/>
          <w:b w:val="0"/>
          <w:bCs w:val="0"/>
          <w:color w:val="4E4C4C"/>
          <w:sz w:val="32"/>
          <w:szCs w:val="32"/>
        </w:rPr>
        <w:t>加强学习培训，提升业务能力</w:t>
      </w:r>
      <w:r>
        <w:rPr>
          <w:rStyle w:val="17"/>
          <w:rFonts w:hint="eastAsia" w:ascii="仿宋" w:hAnsi="仿宋" w:eastAsia="仿宋" w:cs="仿宋"/>
          <w:b w:val="0"/>
          <w:bCs w:val="0"/>
          <w:color w:val="4E4C4C"/>
          <w:sz w:val="32"/>
          <w:szCs w:val="32"/>
          <w:lang w:eastAsia="zh-CN"/>
        </w:rPr>
        <w:t>。</w:t>
      </w:r>
    </w:p>
    <w:p>
      <w:pPr>
        <w:spacing w:line="600" w:lineRule="atLeas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本部门还自行组织了</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个项目绩效评价，从评价情况来看</w:t>
      </w:r>
      <w:r>
        <w:rPr>
          <w:rFonts w:hint="eastAsia" w:ascii="仿宋" w:hAnsi="仿宋" w:eastAsia="仿宋" w:cs="仿宋"/>
          <w:color w:val="000000"/>
          <w:sz w:val="32"/>
          <w:szCs w:val="32"/>
          <w:highlight w:val="none"/>
        </w:rPr>
        <w:t>存在的问题</w:t>
      </w:r>
      <w:r>
        <w:rPr>
          <w:rFonts w:hint="eastAsia" w:ascii="仿宋" w:hAnsi="仿宋" w:eastAsia="仿宋" w:cs="仿宋"/>
          <w:color w:val="000000"/>
          <w:sz w:val="32"/>
          <w:szCs w:val="32"/>
          <w:highlight w:val="none"/>
          <w:lang w:eastAsia="zh-CN"/>
        </w:rPr>
        <w:t>：因气候条件恶劣，施工工期较短</w:t>
      </w:r>
      <w:r>
        <w:rPr>
          <w:rFonts w:hint="eastAsia" w:ascii="仿宋" w:hAnsi="仿宋" w:eastAsia="仿宋" w:cs="仿宋"/>
          <w:color w:val="000000"/>
          <w:sz w:val="32"/>
          <w:szCs w:val="32"/>
          <w:highlight w:val="none"/>
        </w:rPr>
        <w:t>。</w:t>
      </w:r>
    </w:p>
    <w:p>
      <w:pPr>
        <w:numPr>
          <w:ilvl w:val="0"/>
          <w:numId w:val="0"/>
        </w:numPr>
        <w:spacing w:line="580" w:lineRule="exact"/>
        <w:ind w:firstLine="420" w:firstLineChars="200"/>
        <w:rPr>
          <w:rFonts w:hint="eastAsia" w:ascii="仿宋" w:hAnsi="仿宋" w:eastAsia="仿宋" w:cs="仿宋"/>
          <w:b w:val="0"/>
          <w:bCs/>
          <w:sz w:val="32"/>
          <w:szCs w:val="32"/>
        </w:rPr>
      </w:pPr>
      <w:r>
        <w:rPr>
          <w:rFonts w:hint="eastAsia"/>
          <w:lang w:val="en-US" w:eastAsia="zh-CN"/>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1.项目绩效目标完成情况。</w:t>
      </w:r>
      <w:r>
        <w:rPr>
          <w:rFonts w:hint="eastAsia" w:ascii="仿宋" w:hAnsi="仿宋" w:eastAsia="仿宋" w:cs="仿宋"/>
          <w:sz w:val="32"/>
          <w:szCs w:val="32"/>
        </w:rPr>
        <w:br w:type="textWrapping"/>
      </w:r>
      <w:r>
        <w:rPr>
          <w:rFonts w:hint="eastAsia" w:ascii="仿宋" w:hAnsi="仿宋" w:eastAsia="仿宋" w:cs="仿宋"/>
          <w:b w:val="0"/>
          <w:bCs w:val="0"/>
          <w:sz w:val="32"/>
          <w:szCs w:val="32"/>
        </w:rPr>
        <w:t xml:space="preserve">    本部门在2</w:t>
      </w:r>
      <w:r>
        <w:rPr>
          <w:rFonts w:hint="eastAsia" w:ascii="仿宋" w:hAnsi="仿宋" w:eastAsia="仿宋" w:cs="仿宋"/>
          <w:b w:val="0"/>
          <w:bCs w:val="0"/>
          <w:sz w:val="32"/>
          <w:szCs w:val="32"/>
          <w:lang w:val="en-US" w:eastAsia="zh-CN"/>
        </w:rPr>
        <w:t>022</w:t>
      </w:r>
      <w:r>
        <w:rPr>
          <w:rFonts w:hint="eastAsia" w:ascii="仿宋" w:hAnsi="仿宋" w:eastAsia="仿宋" w:cs="仿宋"/>
          <w:b w:val="0"/>
          <w:bCs w:val="0"/>
          <w:sz w:val="32"/>
          <w:szCs w:val="32"/>
        </w:rPr>
        <w:t>年度部门决算中反映“壤塘县则曲河水毁修复项目</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b w:val="0"/>
          <w:bCs/>
          <w:sz w:val="32"/>
          <w:szCs w:val="32"/>
        </w:rPr>
        <w:t>壤塘县则曲河南木达片区水毁修复项目”“</w:t>
      </w:r>
      <w:r>
        <w:rPr>
          <w:rFonts w:hint="eastAsia" w:ascii="仿宋" w:hAnsi="仿宋" w:eastAsia="仿宋" w:cs="仿宋"/>
          <w:b w:val="0"/>
          <w:bCs/>
          <w:sz w:val="32"/>
          <w:szCs w:val="32"/>
          <w:lang w:val="en-US" w:eastAsia="zh-CN"/>
        </w:rPr>
        <w:t>2022年山洪灾害调查评价及群策群防体系建设项目</w:t>
      </w:r>
      <w:r>
        <w:rPr>
          <w:rFonts w:hint="eastAsia" w:ascii="仿宋" w:hAnsi="仿宋" w:eastAsia="仿宋" w:cs="仿宋"/>
          <w:b w:val="0"/>
          <w:bCs/>
          <w:sz w:val="32"/>
          <w:szCs w:val="32"/>
        </w:rPr>
        <w:t>”绩效目标实际完成情况。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sz w:val="32"/>
          <w:szCs w:val="32"/>
          <w:lang w:val="zh-CN"/>
        </w:rPr>
      </w:pPr>
      <w:r>
        <w:rPr>
          <w:rFonts w:hint="eastAsia" w:ascii="仿宋" w:hAnsi="仿宋" w:eastAsia="仿宋" w:cs="仿宋"/>
          <w:sz w:val="32"/>
          <w:szCs w:val="32"/>
        </w:rPr>
        <w:t>（1）</w:t>
      </w:r>
      <w:r>
        <w:rPr>
          <w:rFonts w:hint="eastAsia" w:ascii="仿宋" w:hAnsi="仿宋" w:eastAsia="仿宋" w:cs="仿宋"/>
          <w:b w:val="0"/>
          <w:bCs w:val="0"/>
          <w:sz w:val="32"/>
          <w:szCs w:val="32"/>
        </w:rPr>
        <w:t>壤塘县则曲河水毁修复项目</w:t>
      </w:r>
      <w:r>
        <w:rPr>
          <w:rFonts w:hint="eastAsia" w:ascii="仿宋" w:hAnsi="仿宋" w:eastAsia="仿宋" w:cs="仿宋"/>
          <w:sz w:val="32"/>
          <w:szCs w:val="32"/>
        </w:rPr>
        <w:t>绩效目标完成情况综述。项目全年预算数</w:t>
      </w:r>
      <w:r>
        <w:rPr>
          <w:rFonts w:hint="eastAsia" w:ascii="仿宋" w:hAnsi="仿宋" w:eastAsia="仿宋" w:cs="仿宋"/>
          <w:sz w:val="32"/>
          <w:szCs w:val="32"/>
          <w:lang w:val="en-US" w:eastAsia="zh-CN"/>
        </w:rPr>
        <w:t>69.3</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48.51</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97</w:t>
      </w:r>
      <w:r>
        <w:rPr>
          <w:rFonts w:hint="eastAsia" w:ascii="仿宋" w:hAnsi="仿宋" w:eastAsia="仿宋" w:cs="仿宋"/>
          <w:sz w:val="32"/>
          <w:szCs w:val="32"/>
        </w:rPr>
        <w:t>%。通过项目实施，改善了</w:t>
      </w:r>
      <w:r>
        <w:rPr>
          <w:rFonts w:hint="eastAsia" w:ascii="仿宋" w:hAnsi="仿宋" w:eastAsia="仿宋" w:cs="仿宋"/>
          <w:sz w:val="32"/>
          <w:szCs w:val="32"/>
          <w:lang w:eastAsia="zh-CN"/>
        </w:rPr>
        <w:t>绰斯甲</w:t>
      </w:r>
      <w:r>
        <w:rPr>
          <w:rFonts w:hint="eastAsia" w:ascii="仿宋" w:hAnsi="仿宋" w:eastAsia="仿宋" w:cs="仿宋"/>
          <w:sz w:val="32"/>
          <w:szCs w:val="32"/>
        </w:rPr>
        <w:t>沿河的生态景观，形成了一道亮丽的风景线，为</w:t>
      </w:r>
      <w:r>
        <w:rPr>
          <w:rFonts w:hint="eastAsia" w:ascii="仿宋" w:hAnsi="仿宋" w:eastAsia="仿宋" w:cs="仿宋"/>
          <w:sz w:val="32"/>
          <w:szCs w:val="32"/>
          <w:lang w:eastAsia="zh-CN"/>
        </w:rPr>
        <w:t>项目区</w:t>
      </w:r>
      <w:r>
        <w:rPr>
          <w:rFonts w:hint="eastAsia" w:ascii="仿宋" w:hAnsi="仿宋" w:eastAsia="仿宋" w:cs="仿宋"/>
          <w:sz w:val="32"/>
          <w:szCs w:val="32"/>
        </w:rPr>
        <w:t>创造较好的生态环境效益。发现的主要问题：</w:t>
      </w:r>
      <w:r>
        <w:rPr>
          <w:rFonts w:hint="eastAsia" w:ascii="仿宋" w:hAnsi="仿宋" w:eastAsia="仿宋" w:cs="仿宋"/>
          <w:color w:val="auto"/>
          <w:kern w:val="0"/>
          <w:sz w:val="32"/>
          <w:szCs w:val="32"/>
          <w:lang w:val="en-US" w:eastAsia="zh-CN"/>
        </w:rPr>
        <w:t>由于壤塘县气候恶劣，有效工期短，适合施工作业一般在4～10月期间，正值我县主汛期，施工难度较大。</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宋体" w:eastAsia="楷体_GB2312"/>
          <w:b/>
          <w:szCs w:val="32"/>
          <w:lang w:val="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b w:val="0"/>
          <w:bCs/>
          <w:sz w:val="32"/>
          <w:szCs w:val="32"/>
        </w:rPr>
        <w:t>壤塘县则曲河南木达片区水毁修复项目</w:t>
      </w:r>
      <w:r>
        <w:rPr>
          <w:rFonts w:hint="eastAsia" w:ascii="仿宋" w:hAnsi="仿宋" w:eastAsia="仿宋" w:cs="仿宋"/>
          <w:sz w:val="32"/>
          <w:szCs w:val="32"/>
        </w:rPr>
        <w:t>绩效目标完成情况综述。项目全年预算数</w:t>
      </w:r>
      <w:r>
        <w:rPr>
          <w:rFonts w:hint="eastAsia" w:ascii="仿宋" w:hAnsi="仿宋" w:eastAsia="仿宋" w:cs="仿宋"/>
          <w:sz w:val="32"/>
          <w:szCs w:val="32"/>
          <w:lang w:val="en-US" w:eastAsia="zh-CN"/>
        </w:rPr>
        <w:t>179.06</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125.35</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97</w:t>
      </w:r>
      <w:r>
        <w:rPr>
          <w:rFonts w:hint="eastAsia" w:ascii="仿宋" w:hAnsi="仿宋" w:eastAsia="仿宋" w:cs="仿宋"/>
          <w:sz w:val="32"/>
          <w:szCs w:val="32"/>
        </w:rPr>
        <w:t>%。通过项目实施，随着堤防后绿化措施的逐步施行，改善了</w:t>
      </w:r>
      <w:r>
        <w:rPr>
          <w:rFonts w:hint="eastAsia" w:ascii="仿宋" w:hAnsi="仿宋" w:eastAsia="仿宋" w:cs="仿宋"/>
          <w:sz w:val="32"/>
          <w:szCs w:val="32"/>
          <w:lang w:eastAsia="zh-CN"/>
        </w:rPr>
        <w:t>绰斯甲</w:t>
      </w:r>
      <w:r>
        <w:rPr>
          <w:rFonts w:hint="eastAsia" w:ascii="仿宋" w:hAnsi="仿宋" w:eastAsia="仿宋" w:cs="仿宋"/>
          <w:sz w:val="32"/>
          <w:szCs w:val="32"/>
        </w:rPr>
        <w:t>沿河的生态景观，形成了一道亮丽的风景线，为</w:t>
      </w:r>
      <w:r>
        <w:rPr>
          <w:rFonts w:hint="eastAsia" w:ascii="仿宋" w:hAnsi="仿宋" w:eastAsia="仿宋" w:cs="仿宋"/>
          <w:sz w:val="32"/>
          <w:szCs w:val="32"/>
          <w:lang w:eastAsia="zh-CN"/>
        </w:rPr>
        <w:t>项目区</w:t>
      </w:r>
      <w:r>
        <w:rPr>
          <w:rFonts w:hint="eastAsia" w:ascii="仿宋" w:hAnsi="仿宋" w:eastAsia="仿宋" w:cs="仿宋"/>
          <w:sz w:val="32"/>
          <w:szCs w:val="32"/>
        </w:rPr>
        <w:t>创造较好的生态环境效益。发现的主要问题：</w:t>
      </w:r>
      <w:r>
        <w:rPr>
          <w:rFonts w:hint="eastAsia" w:ascii="仿宋_GB2312" w:hAnsi="仿宋_GB2312" w:eastAsia="仿宋_GB2312" w:cs="仿宋_GB2312"/>
          <w:color w:val="auto"/>
          <w:kern w:val="0"/>
          <w:sz w:val="32"/>
          <w:szCs w:val="32"/>
          <w:lang w:val="en-US" w:eastAsia="zh-CN"/>
        </w:rPr>
        <w:t>由于壤塘县气候恶劣，有效工期短，施工难度较大</w:t>
      </w:r>
      <w:r>
        <w:rPr>
          <w:rFonts w:hint="eastAsia" w:ascii="仿宋_GB2312" w:hAnsi="仿宋_GB2312" w:cs="仿宋_GB2312"/>
          <w:color w:val="auto"/>
          <w:kern w:val="0"/>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sz w:val="32"/>
          <w:szCs w:val="32"/>
          <w:lang w:val="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b w:val="0"/>
          <w:bCs/>
          <w:sz w:val="32"/>
          <w:szCs w:val="32"/>
          <w:lang w:val="en-US" w:eastAsia="zh-CN"/>
        </w:rPr>
        <w:t>2022年山洪灾害调查评价及群策群防体系建设项目</w:t>
      </w:r>
      <w:r>
        <w:rPr>
          <w:rFonts w:hint="eastAsia" w:ascii="仿宋" w:hAnsi="仿宋" w:eastAsia="仿宋" w:cs="仿宋"/>
          <w:sz w:val="32"/>
          <w:szCs w:val="32"/>
        </w:rPr>
        <w:t>绩效目标完成情况综述。项目全年预算数</w:t>
      </w:r>
      <w:r>
        <w:rPr>
          <w:rFonts w:hint="eastAsia" w:ascii="仿宋" w:hAnsi="仿宋" w:eastAsia="仿宋" w:cs="仿宋"/>
          <w:sz w:val="32"/>
          <w:szCs w:val="32"/>
          <w:lang w:val="en-US" w:eastAsia="zh-CN"/>
        </w:rPr>
        <w:t>52</w:t>
      </w:r>
      <w:r>
        <w:rPr>
          <w:rFonts w:hint="eastAsia" w:ascii="仿宋" w:hAnsi="仿宋" w:eastAsia="仿宋" w:cs="仿宋"/>
          <w:sz w:val="32"/>
          <w:szCs w:val="32"/>
        </w:rPr>
        <w:t>万元，执行数为</w:t>
      </w:r>
      <w:r>
        <w:rPr>
          <w:rFonts w:hint="eastAsia" w:ascii="仿宋" w:hAnsi="仿宋" w:eastAsia="仿宋" w:cs="仿宋"/>
          <w:sz w:val="32"/>
          <w:szCs w:val="32"/>
          <w:lang w:val="en-US" w:eastAsia="zh-CN"/>
        </w:rPr>
        <w:t>36.4</w:t>
      </w:r>
      <w:r>
        <w:rPr>
          <w:rFonts w:hint="eastAsia" w:ascii="仿宋" w:hAnsi="仿宋" w:eastAsia="仿宋" w:cs="仿宋"/>
          <w:sz w:val="32"/>
          <w:szCs w:val="32"/>
        </w:rPr>
        <w:t>万元，完成预算的</w:t>
      </w:r>
      <w:r>
        <w:rPr>
          <w:rFonts w:hint="eastAsia" w:ascii="仿宋" w:hAnsi="仿宋" w:eastAsia="仿宋" w:cs="仿宋"/>
          <w:sz w:val="32"/>
          <w:szCs w:val="32"/>
          <w:lang w:val="en-US" w:eastAsia="zh-CN"/>
        </w:rPr>
        <w:t>97</w:t>
      </w:r>
      <w:r>
        <w:rPr>
          <w:rFonts w:hint="eastAsia" w:ascii="仿宋" w:hAnsi="仿宋" w:eastAsia="仿宋" w:cs="仿宋"/>
          <w:sz w:val="32"/>
          <w:szCs w:val="32"/>
        </w:rPr>
        <w:t>%。通过项目实施，</w:t>
      </w:r>
      <w:r>
        <w:rPr>
          <w:rFonts w:hint="eastAsia" w:ascii="仿宋" w:hAnsi="仿宋" w:eastAsia="仿宋"/>
          <w:sz w:val="32"/>
          <w:szCs w:val="32"/>
        </w:rPr>
        <w:t>将</w:t>
      </w:r>
      <w:r>
        <w:rPr>
          <w:rFonts w:ascii="仿宋" w:hAnsi="仿宋" w:eastAsia="仿宋"/>
          <w:sz w:val="32"/>
          <w:szCs w:val="32"/>
        </w:rPr>
        <w:t>成倍</w:t>
      </w:r>
      <w:r>
        <w:rPr>
          <w:rFonts w:hint="eastAsia" w:ascii="仿宋" w:hAnsi="仿宋" w:eastAsia="仿宋"/>
          <w:sz w:val="32"/>
          <w:szCs w:val="32"/>
        </w:rPr>
        <w:t>减少</w:t>
      </w:r>
      <w:r>
        <w:rPr>
          <w:rFonts w:ascii="仿宋" w:hAnsi="仿宋" w:eastAsia="仿宋"/>
          <w:sz w:val="32"/>
          <w:szCs w:val="32"/>
        </w:rPr>
        <w:t>洪水洪灾损失，</w:t>
      </w:r>
      <w:r>
        <w:rPr>
          <w:rFonts w:hint="eastAsia" w:ascii="仿宋" w:hAnsi="仿宋" w:eastAsia="仿宋"/>
          <w:sz w:val="32"/>
          <w:szCs w:val="32"/>
        </w:rPr>
        <w:t>有</w:t>
      </w:r>
      <w:r>
        <w:rPr>
          <w:rFonts w:ascii="仿宋" w:hAnsi="仿宋" w:eastAsia="仿宋"/>
          <w:sz w:val="32"/>
          <w:szCs w:val="32"/>
        </w:rPr>
        <w:t>利于</w:t>
      </w:r>
      <w:r>
        <w:rPr>
          <w:rFonts w:hint="eastAsia" w:ascii="仿宋" w:hAnsi="仿宋" w:eastAsia="仿宋"/>
          <w:sz w:val="32"/>
          <w:szCs w:val="32"/>
          <w:lang w:eastAsia="zh-CN"/>
        </w:rPr>
        <w:t>项目</w:t>
      </w:r>
      <w:r>
        <w:rPr>
          <w:rFonts w:hint="eastAsia" w:ascii="仿宋" w:hAnsi="仿宋" w:eastAsia="仿宋"/>
          <w:sz w:val="32"/>
          <w:szCs w:val="32"/>
        </w:rPr>
        <w:t>区</w:t>
      </w:r>
      <w:r>
        <w:rPr>
          <w:rFonts w:ascii="仿宋" w:hAnsi="仿宋" w:eastAsia="仿宋"/>
          <w:sz w:val="32"/>
          <w:szCs w:val="32"/>
        </w:rPr>
        <w:t>稳定和谐</w:t>
      </w:r>
      <w:r>
        <w:rPr>
          <w:rFonts w:hint="eastAsia" w:ascii="仿宋" w:hAnsi="仿宋" w:eastAsia="仿宋"/>
          <w:sz w:val="32"/>
          <w:szCs w:val="32"/>
        </w:rPr>
        <w:t>及可持续发展</w:t>
      </w:r>
      <w:r>
        <w:rPr>
          <w:rFonts w:ascii="仿宋" w:hAnsi="仿宋" w:eastAsia="仿宋"/>
          <w:sz w:val="32"/>
          <w:szCs w:val="32"/>
        </w:rPr>
        <w:t>。</w:t>
      </w:r>
      <w:r>
        <w:rPr>
          <w:rFonts w:hint="eastAsia" w:ascii="仿宋" w:hAnsi="仿宋" w:eastAsia="仿宋" w:cs="仿宋"/>
          <w:sz w:val="32"/>
          <w:szCs w:val="32"/>
        </w:rPr>
        <w:t>发现的主要问题：</w:t>
      </w:r>
      <w:r>
        <w:rPr>
          <w:rFonts w:hint="eastAsia" w:ascii="仿宋" w:hAnsi="仿宋" w:eastAsia="仿宋" w:cs="仿宋"/>
          <w:color w:val="auto"/>
          <w:kern w:val="0"/>
          <w:sz w:val="32"/>
          <w:szCs w:val="32"/>
          <w:lang w:val="en-US" w:eastAsia="zh-CN"/>
        </w:rPr>
        <w:t>由于壤塘县山洪灾害危险区点多面广，项目覆盖存在较大困难。</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zh-CN"/>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z w:val="32"/>
          <w:szCs w:val="32"/>
          <w:lang w:eastAsia="zh-CN"/>
        </w:rPr>
      </w:pP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eastAsia="zh-CN"/>
        </w:rPr>
      </w:pPr>
    </w:p>
    <w:p>
      <w:pPr>
        <w:keepNext w:val="0"/>
        <w:keepLines w:val="0"/>
        <w:pageBreakBefore w:val="0"/>
        <w:kinsoku/>
        <w:wordWrap/>
        <w:overflowPunct/>
        <w:topLinePunct w:val="0"/>
        <w:autoSpaceDE/>
        <w:autoSpaceDN/>
        <w:bidi w:val="0"/>
        <w:adjustRightInd/>
        <w:spacing w:after="0" w:line="560" w:lineRule="exact"/>
        <w:ind w:firstLine="320" w:firstLineChars="100"/>
        <w:textAlignment w:val="auto"/>
        <w:rPr>
          <w:rFonts w:hint="eastAsia" w:ascii="仿宋" w:hAnsi="仿宋" w:eastAsia="仿宋" w:cs="仿宋"/>
          <w:sz w:val="32"/>
          <w:szCs w:val="32"/>
        </w:rPr>
      </w:pPr>
    </w:p>
    <w:p>
      <w:pPr>
        <w:pStyle w:val="2"/>
        <w:rPr>
          <w:rFonts w:hint="eastAsia" w:ascii="仿宋" w:hAnsi="仿宋" w:eastAsia="仿宋" w:cs="仿宋"/>
          <w:b w:val="0"/>
          <w:bCs/>
          <w:sz w:val="32"/>
          <w:szCs w:val="32"/>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tbl>
      <w:tblPr>
        <w:tblStyle w:val="15"/>
        <w:tblpPr w:leftFromText="180" w:rightFromText="180" w:vertAnchor="text" w:horzAnchor="page" w:tblpX="1094" w:tblpY="69"/>
        <w:tblOverlap w:val="never"/>
        <w:tblW w:w="104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45"/>
        <w:gridCol w:w="1020"/>
        <w:gridCol w:w="1065"/>
        <w:gridCol w:w="1785"/>
        <w:gridCol w:w="900"/>
        <w:gridCol w:w="1620"/>
        <w:gridCol w:w="795"/>
        <w:gridCol w:w="1020"/>
        <w:gridCol w:w="1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0" w:hRule="atLeast"/>
        </w:trPr>
        <w:tc>
          <w:tcPr>
            <w:tcW w:w="10470"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绩效目标自评表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trPr>
        <w:tc>
          <w:tcPr>
            <w:tcW w:w="10470"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eastAsia="zh-CN"/>
              </w:rPr>
            </w:pPr>
            <w:r>
              <w:rPr>
                <w:rFonts w:hint="eastAsia" w:ascii="宋体" w:hAnsi="宋体" w:cs="宋体"/>
                <w:b w:val="0"/>
                <w:bCs/>
                <w:i w:val="0"/>
                <w:color w:val="000000"/>
                <w:sz w:val="24"/>
                <w:szCs w:val="24"/>
                <w:u w:val="none"/>
                <w:lang w:val="en-US" w:eastAsia="zh-CN"/>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82" w:hRule="atLeast"/>
        </w:trPr>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壤塘县则曲河水毁修复项目</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项目负责人    及电话</w:t>
            </w:r>
          </w:p>
        </w:tc>
        <w:tc>
          <w:tcPr>
            <w:tcW w:w="34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者佳芹18100835595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273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68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壤塘县水务局</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3435"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四川贰玖建筑工程有限责任公司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trPr>
        <w:tc>
          <w:tcPr>
            <w:tcW w:w="273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          （万元）</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全年预算数（A)</w:t>
            </w:r>
          </w:p>
        </w:tc>
        <w:tc>
          <w:tcPr>
            <w:tcW w:w="1620"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全年执行数（B)</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70" w:hRule="atLeast"/>
        </w:trPr>
        <w:tc>
          <w:tcPr>
            <w:tcW w:w="27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年度资金总额这:</w:t>
            </w:r>
          </w:p>
        </w:tc>
        <w:tc>
          <w:tcPr>
            <w:tcW w:w="90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69.3</w:t>
            </w:r>
          </w:p>
        </w:tc>
        <w:tc>
          <w:tcPr>
            <w:tcW w:w="162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48.51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70" w:hRule="atLeast"/>
        </w:trPr>
        <w:tc>
          <w:tcPr>
            <w:tcW w:w="27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90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69.3</w:t>
            </w:r>
          </w:p>
        </w:tc>
        <w:tc>
          <w:tcPr>
            <w:tcW w:w="162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48.51</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273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62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40"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77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根据项目实施方案完成水毁修复工作</w:t>
            </w:r>
          </w:p>
        </w:tc>
        <w:tc>
          <w:tcPr>
            <w:tcW w:w="505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62" w:hRule="atLeast"/>
        </w:trPr>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10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全年指标值</w:t>
            </w:r>
          </w:p>
        </w:tc>
        <w:tc>
          <w:tcPr>
            <w:tcW w:w="79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指标1：水毁修复</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指标1：保障群众生命财产安全</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9"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指标1：汛前完成</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指标1：完成投资</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2"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2"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2"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指标1：实现年度经济效益目标的项目比例</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指标1：项目覆盖乡镇个数</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≥2个</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指标1：沿河群众保护</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指标1：工程使用年限</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≥15年</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指标1：工程受益群众满意度</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20" w:hRule="atLeast"/>
        </w:trPr>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0" w:hRule="atLeast"/>
        </w:trPr>
        <w:tc>
          <w:tcPr>
            <w:tcW w:w="4515"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总分</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10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tbl>
      <w:tblPr>
        <w:tblStyle w:val="15"/>
        <w:tblW w:w="9818" w:type="dxa"/>
        <w:tblInd w:w="-18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73"/>
        <w:gridCol w:w="701"/>
        <w:gridCol w:w="413"/>
        <w:gridCol w:w="1545"/>
        <w:gridCol w:w="619"/>
        <w:gridCol w:w="1113"/>
        <w:gridCol w:w="546"/>
        <w:gridCol w:w="1"/>
        <w:gridCol w:w="700"/>
        <w:gridCol w:w="1"/>
        <w:gridCol w:w="3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4" w:hRule="atLeast"/>
        </w:trPr>
        <w:tc>
          <w:tcPr>
            <w:tcW w:w="9818" w:type="dxa"/>
            <w:gridSpan w:val="11"/>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1" w:hRule="atLeast"/>
        </w:trPr>
        <w:tc>
          <w:tcPr>
            <w:tcW w:w="9818"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绩效目标自评表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9818"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rPr>
            </w:pPr>
            <w:r>
              <w:rPr>
                <w:rFonts w:hint="eastAsia" w:ascii="宋体" w:hAnsi="宋体" w:eastAsia="宋体" w:cs="宋体"/>
                <w:b w:val="0"/>
                <w:bCs/>
                <w:i w:val="0"/>
                <w:color w:val="000000"/>
                <w:kern w:val="0"/>
                <w:sz w:val="24"/>
                <w:szCs w:val="24"/>
                <w:u w:val="none"/>
                <w:lang w:val="en-US" w:eastAsia="zh-CN" w:bidi="ar"/>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90" w:hRule="atLeast"/>
        </w:trPr>
        <w:tc>
          <w:tcPr>
            <w:tcW w:w="168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壤塘县则曲河南木达片区水毁修复项目</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项目负责人    及电话</w:t>
            </w:r>
          </w:p>
        </w:tc>
        <w:tc>
          <w:tcPr>
            <w:tcW w:w="485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者佳芹18100835595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13" w:hRule="atLeast"/>
        </w:trPr>
        <w:tc>
          <w:tcPr>
            <w:tcW w:w="1687"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164"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壤塘县水务局</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485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四川鑫泰华建筑工程有限责任公司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73" w:hRule="atLeast"/>
        </w:trPr>
        <w:tc>
          <w:tcPr>
            <w:tcW w:w="168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资金情况（万元）</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全年预算数（A)</w:t>
            </w:r>
          </w:p>
        </w:tc>
        <w:tc>
          <w:tcPr>
            <w:tcW w:w="1113"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全年执行数（B)</w:t>
            </w:r>
          </w:p>
        </w:tc>
        <w:tc>
          <w:tcPr>
            <w:tcW w:w="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36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16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年度资金总额这:</w:t>
            </w:r>
          </w:p>
        </w:tc>
        <w:tc>
          <w:tcPr>
            <w:tcW w:w="61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179.06</w:t>
            </w:r>
          </w:p>
        </w:tc>
        <w:tc>
          <w:tcPr>
            <w:tcW w:w="111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125.35</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97%</w:t>
            </w:r>
          </w:p>
        </w:tc>
        <w:tc>
          <w:tcPr>
            <w:tcW w:w="3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16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61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179.06</w:t>
            </w:r>
          </w:p>
        </w:tc>
        <w:tc>
          <w:tcPr>
            <w:tcW w:w="111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125.35</w:t>
            </w: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6" w:hRule="atLeast"/>
        </w:trPr>
        <w:tc>
          <w:tcPr>
            <w:tcW w:w="16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1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23" w:hRule="atLeast"/>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327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596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4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8"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根据项目实施方案完成水毁修复工作</w:t>
            </w:r>
          </w:p>
        </w:tc>
        <w:tc>
          <w:tcPr>
            <w:tcW w:w="5967"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56" w:hRule="atLeast"/>
        </w:trPr>
        <w:tc>
          <w:tcPr>
            <w:tcW w:w="5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4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全年指标值</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36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指标1：水毁修复</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3"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3"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指标1：保障群众生命财产安全</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3"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3"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3"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指标1：汛前完成</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6"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6"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9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指标1：完成投资</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6"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6"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73"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指标1：实现年度经济效益目标的项目比例</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6"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44"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指标1：项目覆盖乡镇个数</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≥2个</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6"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28"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9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指标1：沿河群众保护</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6"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28"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9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指标1：工程使用年限</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≥15年</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6"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11"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90"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4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指标1：工程受益群众满意度</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983" w:hRule="atLeast"/>
        </w:trPr>
        <w:tc>
          <w:tcPr>
            <w:tcW w:w="5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4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23" w:hRule="atLeast"/>
        </w:trPr>
        <w:tc>
          <w:tcPr>
            <w:tcW w:w="323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总分</w:t>
            </w:r>
          </w:p>
        </w:tc>
        <w:tc>
          <w:tcPr>
            <w:tcW w:w="6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1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47"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0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36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2"/>
        <w:rPr>
          <w:rFonts w:hint="default"/>
          <w:lang w:val="en-US" w:eastAsia="zh-CN"/>
        </w:rPr>
      </w:pPr>
    </w:p>
    <w:tbl>
      <w:tblPr>
        <w:tblStyle w:val="15"/>
        <w:tblW w:w="9969"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15"/>
        <w:gridCol w:w="717"/>
        <w:gridCol w:w="327"/>
        <w:gridCol w:w="1677"/>
        <w:gridCol w:w="632"/>
        <w:gridCol w:w="1"/>
        <w:gridCol w:w="1138"/>
        <w:gridCol w:w="1"/>
        <w:gridCol w:w="559"/>
        <w:gridCol w:w="717"/>
        <w:gridCol w:w="35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520" w:hRule="atLeast"/>
        </w:trPr>
        <w:tc>
          <w:tcPr>
            <w:tcW w:w="9969"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绩效目标自评表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40" w:hRule="atLeast"/>
        </w:trPr>
        <w:tc>
          <w:tcPr>
            <w:tcW w:w="9969"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i w:val="0"/>
                <w:color w:val="000000"/>
                <w:sz w:val="24"/>
                <w:szCs w:val="24"/>
                <w:u w:val="none"/>
                <w:lang w:val="en-US"/>
              </w:rPr>
            </w:pPr>
            <w:r>
              <w:rPr>
                <w:rFonts w:hint="eastAsia" w:ascii="宋体" w:hAnsi="宋体" w:eastAsia="宋体" w:cs="宋体"/>
                <w:b w:val="0"/>
                <w:bCs/>
                <w:i w:val="0"/>
                <w:color w:val="000000"/>
                <w:kern w:val="0"/>
                <w:sz w:val="24"/>
                <w:szCs w:val="24"/>
                <w:u w:val="none"/>
                <w:lang w:val="en-US" w:eastAsia="zh-CN" w:bidi="ar"/>
              </w:rPr>
              <w:t>2022年度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82" w:hRule="atLeast"/>
        </w:trPr>
        <w:tc>
          <w:tcPr>
            <w:tcW w:w="16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项目名称</w:t>
            </w:r>
          </w:p>
        </w:tc>
        <w:tc>
          <w:tcPr>
            <w:tcW w:w="23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2022年山洪灾害调查评价及群测群防体系建设项目</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项目负责人    及电话</w:t>
            </w:r>
          </w:p>
        </w:tc>
        <w:tc>
          <w:tcPr>
            <w:tcW w:w="486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者佳芹18100835595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rPr>
        <w:tc>
          <w:tcPr>
            <w:tcW w:w="165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主管部门</w:t>
            </w:r>
          </w:p>
        </w:tc>
        <w:tc>
          <w:tcPr>
            <w:tcW w:w="23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实施单位</w:t>
            </w:r>
          </w:p>
        </w:tc>
        <w:tc>
          <w:tcPr>
            <w:tcW w:w="4862"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trPr>
        <w:tc>
          <w:tcPr>
            <w:tcW w:w="165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资金情况（万元）</w:t>
            </w: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全年预算数（A)</w:t>
            </w:r>
          </w:p>
        </w:tc>
        <w:tc>
          <w:tcPr>
            <w:tcW w:w="1139"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全年执行数（B)</w:t>
            </w:r>
          </w:p>
        </w:tc>
        <w:tc>
          <w:tcPr>
            <w:tcW w:w="5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执行率(B/A)</w:t>
            </w:r>
          </w:p>
        </w:tc>
        <w:tc>
          <w:tcPr>
            <w:tcW w:w="3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0" w:hRule="atLeast"/>
        </w:trPr>
        <w:tc>
          <w:tcPr>
            <w:tcW w:w="165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年度资金总额这:</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36.4</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97%</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70" w:hRule="atLeast"/>
        </w:trPr>
        <w:tc>
          <w:tcPr>
            <w:tcW w:w="165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其中：本年财政拨款</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36.4</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70" w:hRule="atLeast"/>
        </w:trPr>
        <w:tc>
          <w:tcPr>
            <w:tcW w:w="165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其他资金</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139"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4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w:t>
            </w:r>
          </w:p>
        </w:tc>
        <w:tc>
          <w:tcPr>
            <w:tcW w:w="335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年初设定目标</w:t>
            </w:r>
          </w:p>
        </w:tc>
        <w:tc>
          <w:tcPr>
            <w:tcW w:w="6001"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353"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完成2022年群策群访体系建设</w:t>
            </w:r>
          </w:p>
        </w:tc>
        <w:tc>
          <w:tcPr>
            <w:tcW w:w="6001" w:type="dxa"/>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已完成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62"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绩效指标</w:t>
            </w:r>
          </w:p>
        </w:tc>
        <w:tc>
          <w:tcPr>
            <w:tcW w:w="7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3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分值</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全年指标值</w:t>
            </w:r>
          </w:p>
        </w:tc>
        <w:tc>
          <w:tcPr>
            <w:tcW w:w="5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全年实际值</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得分</w:t>
            </w:r>
          </w:p>
        </w:tc>
        <w:tc>
          <w:tcPr>
            <w:tcW w:w="3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未完成原因及拟采取的改进措施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产出指标（50分）</w:t>
            </w: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数量指标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指标1：预警指示牌、转移路线牌</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1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质量指标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指标1：保障汛期标识标牌充足</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9"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2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时效指标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指标1：保障群众转移时能及时找到预警转移责任人</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成本指标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指标1：完成投资</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2"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2"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2"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效益指标（30分）</w:t>
            </w: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经济效益指标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指标1：实现年度经济效益目标的项目比例</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社会效益指标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指标1：项目覆盖乡镇个数</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≥11个</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生态效益指标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指标1：沿河群众保护</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≥2562</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可持续影响指标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指标1：工程使用年限</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≥1年</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7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满意度指标（10分）</w:t>
            </w:r>
          </w:p>
        </w:tc>
        <w:tc>
          <w:tcPr>
            <w:tcW w:w="3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服务对象满意度指标</w:t>
            </w:r>
          </w:p>
        </w:tc>
        <w:tc>
          <w:tcPr>
            <w:tcW w:w="16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指标1：工程受益群众满意度</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95%</w:t>
            </w: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20" w:hRule="atLeast"/>
        </w:trPr>
        <w:tc>
          <w:tcPr>
            <w:tcW w:w="3336"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总分</w:t>
            </w:r>
          </w:p>
        </w:tc>
        <w:tc>
          <w:tcPr>
            <w:tcW w:w="63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w:t>
            </w:r>
          </w:p>
        </w:tc>
        <w:tc>
          <w:tcPr>
            <w:tcW w:w="113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87</w:t>
            </w:r>
          </w:p>
        </w:tc>
        <w:tc>
          <w:tcPr>
            <w:tcW w:w="35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2"/>
                <w:szCs w:val="22"/>
                <w:u w:val="none"/>
              </w:rPr>
            </w:pPr>
          </w:p>
        </w:tc>
      </w:tr>
    </w:tbl>
    <w:p>
      <w:pPr>
        <w:pStyle w:val="2"/>
        <w:rPr>
          <w:rFonts w:hint="default"/>
          <w:lang w:val="en-US" w:eastAsia="zh-CN"/>
        </w:rPr>
      </w:pPr>
    </w:p>
    <w:p>
      <w:pPr>
        <w:spacing w:line="580" w:lineRule="exact"/>
        <w:ind w:left="630"/>
        <w:rPr>
          <w:rFonts w:hint="eastAsia" w:ascii="仿宋" w:hAnsi="仿宋" w:eastAsia="仿宋" w:cs="仿宋"/>
          <w:sz w:val="32"/>
          <w:szCs w:val="32"/>
        </w:rPr>
      </w:pPr>
      <w:r>
        <w:rPr>
          <w:rFonts w:hint="eastAsia" w:ascii="仿宋" w:hAnsi="仿宋" w:eastAsia="仿宋" w:cs="仿宋"/>
          <w:sz w:val="32"/>
          <w:szCs w:val="32"/>
        </w:rPr>
        <w:t>2.部门绩效评价结果。</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本部门按要求对</w:t>
      </w:r>
      <w:r>
        <w:rPr>
          <w:rFonts w:hint="eastAsia" w:ascii="仿宋" w:hAnsi="仿宋" w:eastAsia="仿宋" w:cs="仿宋"/>
          <w:sz w:val="32"/>
          <w:szCs w:val="32"/>
          <w:lang w:val="en-US" w:eastAsia="zh-CN"/>
        </w:rPr>
        <w:t>2022</w:t>
      </w:r>
      <w:r>
        <w:rPr>
          <w:rFonts w:hint="eastAsia" w:ascii="仿宋" w:hAnsi="仿宋" w:eastAsia="仿宋" w:cs="仿宋"/>
          <w:sz w:val="32"/>
          <w:szCs w:val="32"/>
        </w:rPr>
        <w:t>年部门整体支出绩效评价情况开展自评，《</w:t>
      </w:r>
      <w:r>
        <w:rPr>
          <w:rFonts w:hint="eastAsia" w:ascii="仿宋" w:hAnsi="仿宋" w:eastAsia="仿宋" w:cs="仿宋"/>
          <w:sz w:val="32"/>
          <w:szCs w:val="32"/>
          <w:lang w:eastAsia="zh-CN"/>
        </w:rPr>
        <w:t>壤塘县水务局</w:t>
      </w:r>
      <w:r>
        <w:rPr>
          <w:rFonts w:hint="eastAsia" w:ascii="仿宋" w:hAnsi="仿宋" w:eastAsia="仿宋" w:cs="仿宋"/>
          <w:sz w:val="32"/>
          <w:szCs w:val="32"/>
        </w:rPr>
        <w:t>20</w:t>
      </w:r>
      <w:r>
        <w:rPr>
          <w:rFonts w:hint="eastAsia" w:ascii="仿宋" w:hAnsi="仿宋" w:eastAsia="仿宋" w:cs="仿宋"/>
          <w:sz w:val="32"/>
          <w:szCs w:val="32"/>
          <w:lang w:val="en-US" w:eastAsia="zh-CN"/>
        </w:rPr>
        <w:t>22</w:t>
      </w:r>
      <w:r>
        <w:rPr>
          <w:rFonts w:hint="eastAsia" w:ascii="仿宋" w:hAnsi="仿宋" w:eastAsia="仿宋" w:cs="仿宋"/>
          <w:sz w:val="32"/>
          <w:szCs w:val="32"/>
        </w:rPr>
        <w:t>年部门整体支出绩效评价报告》见附件。</w:t>
      </w:r>
    </w:p>
    <w:p>
      <w:pPr>
        <w:numPr>
          <w:ilvl w:val="0"/>
          <w:numId w:val="0"/>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本部门自行组织对</w:t>
      </w:r>
      <w:r>
        <w:rPr>
          <w:rFonts w:hint="eastAsia" w:ascii="仿宋" w:hAnsi="仿宋" w:eastAsia="仿宋" w:cs="仿宋"/>
          <w:b w:val="0"/>
          <w:bCs w:val="0"/>
          <w:sz w:val="32"/>
          <w:szCs w:val="32"/>
        </w:rPr>
        <w:t>“壤塘县则曲河水毁修复项目</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b w:val="0"/>
          <w:bCs/>
          <w:sz w:val="32"/>
          <w:szCs w:val="32"/>
        </w:rPr>
        <w:t>壤塘县则曲河南木达片区水毁修复项目”“</w:t>
      </w:r>
      <w:r>
        <w:rPr>
          <w:rFonts w:hint="eastAsia" w:ascii="仿宋" w:hAnsi="仿宋" w:eastAsia="仿宋" w:cs="仿宋"/>
          <w:b w:val="0"/>
          <w:bCs/>
          <w:sz w:val="32"/>
          <w:szCs w:val="32"/>
          <w:lang w:val="en-US" w:eastAsia="zh-CN"/>
        </w:rPr>
        <w:t>2022年山洪灾害调查评价及群策群防体系建设项目</w:t>
      </w:r>
      <w:r>
        <w:rPr>
          <w:rFonts w:hint="eastAsia" w:ascii="仿宋" w:hAnsi="仿宋" w:eastAsia="仿宋" w:cs="仿宋"/>
          <w:b w:val="0"/>
          <w:bCs/>
          <w:sz w:val="32"/>
          <w:szCs w:val="32"/>
        </w:rPr>
        <w:t>”</w:t>
      </w:r>
      <w:r>
        <w:rPr>
          <w:rFonts w:hint="eastAsia" w:ascii="仿宋" w:hAnsi="仿宋" w:eastAsia="仿宋" w:cs="仿宋"/>
          <w:sz w:val="32"/>
          <w:szCs w:val="32"/>
        </w:rPr>
        <w:t>开展了绩效评价，</w:t>
      </w:r>
      <w:r>
        <w:rPr>
          <w:rFonts w:hint="eastAsia" w:ascii="仿宋" w:hAnsi="仿宋" w:eastAsia="仿宋" w:cs="仿宋"/>
          <w:sz w:val="32"/>
          <w:szCs w:val="32"/>
          <w:lang w:eastAsia="zh-CN"/>
        </w:rPr>
        <w:t>评价报告</w:t>
      </w:r>
      <w:r>
        <w:rPr>
          <w:rFonts w:hint="eastAsia" w:ascii="仿宋" w:hAnsi="仿宋" w:eastAsia="仿宋" w:cs="仿宋"/>
          <w:sz w:val="32"/>
          <w:szCs w:val="32"/>
        </w:rPr>
        <w:t>见附件。</w:t>
      </w: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numPr>
          <w:ilvl w:val="0"/>
          <w:numId w:val="4"/>
        </w:numPr>
        <w:spacing w:line="600" w:lineRule="exact"/>
        <w:ind w:firstLine="660" w:firstLineChars="150"/>
        <w:jc w:val="center"/>
        <w:outlineLvl w:val="0"/>
        <w:rPr>
          <w:rStyle w:val="28"/>
          <w:rFonts w:ascii="黑体" w:hAnsi="黑体" w:eastAsia="黑体"/>
          <w:b w:val="0"/>
          <w:color w:val="auto"/>
          <w:highlight w:val="none"/>
        </w:rPr>
      </w:pPr>
      <w:r>
        <w:rPr>
          <w:rFonts w:hint="eastAsia" w:ascii="黑体" w:hAnsi="黑体" w:eastAsia="黑体"/>
          <w:color w:val="auto"/>
          <w:sz w:val="44"/>
          <w:szCs w:val="44"/>
          <w:highlight w:val="none"/>
        </w:rPr>
        <w:t>名</w:t>
      </w:r>
      <w:r>
        <w:rPr>
          <w:rStyle w:val="28"/>
          <w:rFonts w:hint="eastAsia" w:ascii="黑体" w:hAnsi="黑体" w:eastAsia="黑体"/>
          <w:b w:val="0"/>
          <w:color w:val="auto"/>
          <w:highlight w:val="none"/>
        </w:rPr>
        <w:t>词解释</w:t>
      </w:r>
      <w:bookmarkEnd w:id="57"/>
      <w:bookmarkEnd w:id="58"/>
    </w:p>
    <w:p>
      <w:pPr>
        <w:spacing w:line="600" w:lineRule="exact"/>
        <w:jc w:val="left"/>
        <w:rPr>
          <w:rFonts w:ascii="宋体"/>
          <w:b/>
          <w:color w:val="auto"/>
          <w:sz w:val="44"/>
          <w:szCs w:val="44"/>
          <w:highlight w:val="none"/>
        </w:rPr>
      </w:pPr>
    </w:p>
    <w:p>
      <w:pPr>
        <w:pStyle w:val="26"/>
        <w:spacing w:line="560" w:lineRule="exact"/>
        <w:ind w:firstLine="640" w:firstLineChars="200"/>
        <w:rPr>
          <w:rFonts w:ascii="仿宋_GB2312" w:eastAsia="仿宋_GB2312"/>
          <w:color w:val="auto"/>
          <w:sz w:val="32"/>
          <w:szCs w:val="32"/>
          <w:highlight w:val="none"/>
        </w:rPr>
      </w:pPr>
      <w:r>
        <w:rPr>
          <w:rFonts w:ascii="仿宋_GB2312" w:eastAsia="仿宋_GB2312"/>
          <w:color w:val="auto"/>
          <w:sz w:val="32"/>
          <w:szCs w:val="32"/>
          <w:highlight w:val="none"/>
        </w:rPr>
        <w:t>1.</w:t>
      </w:r>
      <w:r>
        <w:rPr>
          <w:rFonts w:hint="eastAsia" w:ascii="仿宋_GB2312" w:eastAsia="仿宋_GB2312"/>
          <w:color w:val="auto"/>
          <w:sz w:val="32"/>
          <w:szCs w:val="32"/>
          <w:highlight w:val="none"/>
        </w:rPr>
        <w:t>财政拨款收入：指单位从同级财政部门取得的财政预算资金。</w:t>
      </w:r>
    </w:p>
    <w:p>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2</w:t>
      </w:r>
      <w:r>
        <w:rPr>
          <w:rFonts w:ascii="仿宋_GB2312" w:eastAsia="仿宋_GB2312"/>
          <w:color w:val="auto"/>
          <w:sz w:val="32"/>
          <w:szCs w:val="32"/>
          <w:highlight w:val="none"/>
        </w:rPr>
        <w:t>.</w:t>
      </w:r>
      <w:r>
        <w:rPr>
          <w:rFonts w:hint="eastAsia" w:ascii="仿宋_GB2312" w:eastAsia="仿宋_GB2312"/>
          <w:color w:val="auto"/>
          <w:sz w:val="32"/>
          <w:szCs w:val="32"/>
          <w:highlight w:val="none"/>
        </w:rPr>
        <w:t>年初结转和结余：指以前年度尚未完成、结转到本年按有关规定继续使用的资金。</w:t>
      </w:r>
      <w:r>
        <w:rPr>
          <w:rFonts w:ascii="仿宋_GB2312" w:eastAsia="仿宋_GB2312"/>
          <w:color w:val="auto"/>
          <w:sz w:val="32"/>
          <w:szCs w:val="32"/>
          <w:highlight w:val="none"/>
        </w:rPr>
        <w:t xml:space="preserve"> </w:t>
      </w:r>
    </w:p>
    <w:p>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年末结转和结余：指单位按有关规定结转到下年或以后年度继续使用的资金。</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一般公共服务。</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5</w:t>
      </w:r>
      <w:r>
        <w:rPr>
          <w:rFonts w:ascii="仿宋_GB2312" w:eastAsia="仿宋_GB2312"/>
          <w:color w:val="auto"/>
          <w:sz w:val="32"/>
          <w:szCs w:val="32"/>
          <w:highlight w:val="none"/>
        </w:rPr>
        <w:t>.</w:t>
      </w:r>
      <w:r>
        <w:rPr>
          <w:rFonts w:hint="eastAsia" w:ascii="仿宋_GB2312" w:eastAsia="仿宋_GB2312"/>
          <w:color w:val="auto"/>
          <w:sz w:val="32"/>
          <w:szCs w:val="32"/>
          <w:highlight w:val="none"/>
        </w:rPr>
        <w:t>公共安全。</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教育。</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7</w:t>
      </w:r>
      <w:r>
        <w:rPr>
          <w:rFonts w:ascii="仿宋_GB2312" w:eastAsia="仿宋_GB2312"/>
          <w:color w:val="auto"/>
          <w:sz w:val="32"/>
          <w:szCs w:val="32"/>
          <w:highlight w:val="none"/>
        </w:rPr>
        <w:t>.</w:t>
      </w:r>
      <w:r>
        <w:rPr>
          <w:rFonts w:hint="eastAsia" w:ascii="仿宋_GB2312" w:eastAsia="仿宋_GB2312"/>
          <w:color w:val="auto"/>
          <w:sz w:val="32"/>
          <w:szCs w:val="32"/>
          <w:highlight w:val="none"/>
        </w:rPr>
        <w:t>社会保障和就业。</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8</w:t>
      </w:r>
      <w:r>
        <w:rPr>
          <w:rFonts w:ascii="仿宋_GB2312" w:eastAsia="仿宋_GB2312"/>
          <w:color w:val="auto"/>
          <w:sz w:val="32"/>
          <w:szCs w:val="32"/>
          <w:highlight w:val="none"/>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9</w:t>
      </w:r>
      <w:r>
        <w:rPr>
          <w:rFonts w:ascii="仿宋_GB2312" w:eastAsia="仿宋_GB2312"/>
          <w:color w:val="auto"/>
          <w:sz w:val="32"/>
          <w:szCs w:val="32"/>
          <w:highlight w:val="none"/>
        </w:rPr>
        <w:t>.</w:t>
      </w:r>
      <w:r>
        <w:rPr>
          <w:rFonts w:hint="eastAsia" w:ascii="仿宋_GB2312" w:eastAsia="仿宋_GB2312"/>
          <w:color w:val="auto"/>
          <w:sz w:val="32"/>
          <w:szCs w:val="32"/>
          <w:highlight w:val="none"/>
        </w:rPr>
        <w:t>节能环保。</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10</w:t>
      </w:r>
      <w:r>
        <w:rPr>
          <w:rFonts w:ascii="仿宋_GB2312" w:eastAsia="仿宋_GB2312"/>
          <w:color w:val="auto"/>
          <w:sz w:val="32"/>
          <w:szCs w:val="32"/>
          <w:highlight w:val="none"/>
        </w:rPr>
        <w:t>.</w:t>
      </w:r>
      <w:r>
        <w:rPr>
          <w:rFonts w:hint="eastAsia" w:ascii="仿宋_GB2312" w:eastAsia="仿宋_GB2312"/>
          <w:color w:val="auto"/>
          <w:sz w:val="32"/>
          <w:szCs w:val="32"/>
          <w:highlight w:val="none"/>
        </w:rPr>
        <w:t>农林水。</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11</w:t>
      </w:r>
      <w:r>
        <w:rPr>
          <w:rFonts w:ascii="仿宋_GB2312" w:eastAsia="仿宋_GB2312"/>
          <w:color w:val="auto"/>
          <w:sz w:val="32"/>
          <w:szCs w:val="32"/>
          <w:highlight w:val="none"/>
        </w:rPr>
        <w:t>.</w:t>
      </w:r>
      <w:r>
        <w:rPr>
          <w:rFonts w:hint="eastAsia" w:ascii="仿宋_GB2312" w:eastAsia="仿宋_GB2312"/>
          <w:color w:val="auto"/>
          <w:sz w:val="32"/>
          <w:szCs w:val="32"/>
          <w:highlight w:val="none"/>
        </w:rPr>
        <w:t>住房保障。</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12</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13</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14</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15</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auto"/>
          <w:sz w:val="44"/>
          <w:szCs w:val="44"/>
          <w:highlight w:val="none"/>
        </w:rPr>
      </w:pPr>
      <w:bookmarkStart w:id="59" w:name="_Toc15396614"/>
      <w:bookmarkStart w:id="60" w:name="_Toc15377226"/>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Fonts w:hint="eastAsia" w:ascii="黑体" w:hAnsi="黑体" w:eastAsia="黑体"/>
          <w:color w:val="auto"/>
          <w:sz w:val="44"/>
          <w:szCs w:val="44"/>
          <w:highlight w:val="none"/>
        </w:rPr>
      </w:pPr>
    </w:p>
    <w:p>
      <w:pPr>
        <w:spacing w:line="600" w:lineRule="exact"/>
        <w:jc w:val="center"/>
        <w:outlineLvl w:val="0"/>
        <w:rPr>
          <w:rStyle w:val="28"/>
          <w:rFonts w:hint="eastAsia" w:ascii="黑体" w:hAnsi="黑体" w:eastAsia="黑体"/>
          <w:b w:val="0"/>
          <w:color w:val="auto"/>
          <w:highlight w:val="none"/>
          <w:lang w:eastAsia="zh-CN"/>
        </w:rPr>
      </w:pPr>
      <w:r>
        <w:rPr>
          <w:rFonts w:hint="eastAsia" w:ascii="黑体" w:hAnsi="黑体" w:eastAsia="黑体"/>
          <w:color w:val="auto"/>
          <w:sz w:val="44"/>
          <w:szCs w:val="44"/>
          <w:highlight w:val="none"/>
        </w:rPr>
        <w:t>第</w:t>
      </w:r>
      <w:r>
        <w:rPr>
          <w:rStyle w:val="28"/>
          <w:rFonts w:hint="eastAsia" w:ascii="黑体" w:hAnsi="黑体" w:eastAsia="黑体"/>
          <w:b w:val="0"/>
          <w:color w:val="auto"/>
          <w:highlight w:val="none"/>
        </w:rPr>
        <w:t>四部分 附件</w:t>
      </w:r>
      <w:bookmarkEnd w:id="59"/>
    </w:p>
    <w:p>
      <w:pPr>
        <w:spacing w:line="600" w:lineRule="exact"/>
        <w:jc w:val="center"/>
        <w:outlineLvl w:val="0"/>
        <w:rPr>
          <w:rFonts w:ascii="方正小标宋简体" w:hAnsi="黑体" w:eastAsia="方正小标宋简体" w:cs="黑体"/>
          <w:sz w:val="44"/>
          <w:szCs w:val="44"/>
        </w:rPr>
      </w:pPr>
      <w:bookmarkStart w:id="61" w:name="_Toc79163882"/>
      <w:bookmarkStart w:id="62" w:name="_Toc79163632"/>
      <w:r>
        <w:rPr>
          <w:rFonts w:hint="eastAsia" w:ascii="方正小标宋简体" w:hAnsi="黑体" w:eastAsia="方正小标宋简体" w:cs="黑体"/>
          <w:sz w:val="44"/>
          <w:szCs w:val="44"/>
          <w:lang w:eastAsia="zh-CN"/>
        </w:rPr>
        <w:t>壤塘县水务局</w:t>
      </w:r>
      <w:r>
        <w:rPr>
          <w:rFonts w:ascii="方正小标宋简体" w:hAnsi="黑体" w:eastAsia="方正小标宋简体" w:cs="黑体"/>
          <w:sz w:val="44"/>
          <w:szCs w:val="44"/>
        </w:rPr>
        <w:t>202</w:t>
      </w:r>
      <w:r>
        <w:rPr>
          <w:rFonts w:hint="eastAsia" w:ascii="方正小标宋简体" w:hAnsi="黑体" w:eastAsia="方正小标宋简体" w:cs="黑体"/>
          <w:sz w:val="44"/>
          <w:szCs w:val="44"/>
          <w:lang w:val="en-US" w:eastAsia="zh-CN"/>
        </w:rPr>
        <w:t>1</w:t>
      </w:r>
      <w:r>
        <w:rPr>
          <w:rFonts w:hint="eastAsia" w:ascii="方正小标宋简体" w:hAnsi="黑体" w:eastAsia="方正小标宋简体" w:cs="黑体"/>
          <w:sz w:val="44"/>
          <w:szCs w:val="44"/>
        </w:rPr>
        <w:t>年部门整体支出绩效评价报告</w:t>
      </w:r>
      <w:bookmarkEnd w:id="61"/>
      <w:bookmarkEnd w:id="62"/>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ind w:firstLine="640" w:firstLineChars="200"/>
        <w:rPr>
          <w:lang w:val="zh-CN"/>
        </w:rPr>
      </w:pPr>
      <w:r>
        <w:rPr>
          <w:rFonts w:hint="eastAsia" w:ascii="仿宋" w:hAnsi="仿宋" w:eastAsia="仿宋" w:cs="仿宋"/>
          <w:sz w:val="32"/>
          <w:szCs w:val="32"/>
          <w:lang w:val="en-US" w:eastAsia="zh-CN"/>
        </w:rPr>
        <w:t>壤塘县水务局为一级预算单位(行政单位），内设行政股室：综合办公室、水旱灾害防御与水资源股。</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keepNext w:val="0"/>
        <w:keepLines w:val="0"/>
        <w:pageBreakBefore w:val="0"/>
        <w:kinsoku/>
        <w:wordWrap/>
        <w:overflowPunct/>
        <w:topLinePunct w:val="0"/>
        <w:autoSpaceDE/>
        <w:autoSpaceDN/>
        <w:bidi w:val="0"/>
        <w:spacing w:line="560" w:lineRule="exact"/>
        <w:ind w:right="0" w:rightChars="0" w:firstLine="420" w:firstLineChars="200"/>
        <w:textAlignment w:val="auto"/>
        <w:outlineLvl w:val="9"/>
        <w:rPr>
          <w:rFonts w:hint="default" w:eastAsia="仿宋_GB2312"/>
          <w:lang w:val="en-US" w:eastAsia="zh-CN"/>
        </w:rPr>
      </w:pPr>
      <w:r>
        <w:rPr>
          <w:rFonts w:hint="eastAsia"/>
          <w:lang w:val="en-US" w:eastAsia="zh-CN"/>
        </w:rPr>
        <w:t xml:space="preserve">    </w:t>
      </w:r>
      <w:r>
        <w:rPr>
          <w:rFonts w:hint="eastAsia" w:ascii="仿宋_GB2312" w:hAnsi="宋体" w:eastAsia="仿宋_GB2312" w:cs="宋体"/>
          <w:kern w:val="0"/>
          <w:sz w:val="32"/>
          <w:szCs w:val="32"/>
        </w:rPr>
        <w:t>①</w:t>
      </w:r>
      <w:r>
        <w:rPr>
          <w:rFonts w:hint="eastAsia" w:ascii="仿宋_GB2312" w:eastAsia="仿宋_GB2312"/>
          <w:sz w:val="32"/>
          <w:szCs w:val="32"/>
        </w:rPr>
        <w:t>统一管理全县水资源（含空中水、地表水、地下水）。组织制定全县水资源总体规划、流域规划和专业规划；②拟定全县城乡中长期供水计划，水量分配方案并监督实施，负责全县水价格核算的组织工作；③按照《中华人民共和国环境保护法》、《中华人民共和国水污染防治法》等法律、法规和标准，拟定水资源保护规划、组织水功能区划分，监测县境内河流、溪沟的水质，审定水域纳污能力，提出限制排污总量的意见。审查水域、河道排污口的设置和扩大。④负责全县水务工程建设项目的规划、建设书、可行性研究报告和初步设计方案的编制审批工作；负责组织指导全县水务基础设施建设；负责水利工程管理范围内新建、扩建、改建种类建设项目审批；负责对水务基础设施工程质量监督管理；组织指导县内河流及溪沟的治理和开发；组织建设和管理具有控制性的或跨乡镇的重要水利工程。负责管理和指导全县水利工程设施；负责指导全县农田灌溉、农业节水和抗旱工作。⑤负责县内河道的行政管理及管护范围内砂石资源的开发、利用和保护；负责对河道管理范围内建设项目报批；负责河道采砂许可，防汛等安全生产工作。</w:t>
      </w:r>
    </w:p>
    <w:p>
      <w:pPr>
        <w:widowControl/>
        <w:numPr>
          <w:ilvl w:val="0"/>
          <w:numId w:val="5"/>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numPr>
          <w:ilvl w:val="0"/>
          <w:numId w:val="0"/>
        </w:numPr>
        <w:spacing w:line="580" w:lineRule="exact"/>
        <w:ind w:firstLine="640" w:firstLineChars="200"/>
        <w:rPr>
          <w:rFonts w:hint="eastAsia" w:ascii="楷体_GB2312" w:hAnsi="楷体_GB2312" w:eastAsia="楷体_GB2312" w:cs="楷体_GB2312"/>
          <w:b/>
          <w:bCs/>
          <w:color w:val="auto"/>
          <w:kern w:val="0"/>
          <w:sz w:val="32"/>
          <w:szCs w:val="32"/>
          <w:highlight w:val="none"/>
          <w:shd w:val="clear" w:color="auto" w:fill="FFFFFF"/>
          <w:lang w:val="zh-CN"/>
        </w:rPr>
      </w:pPr>
      <w:r>
        <w:rPr>
          <w:rFonts w:hint="eastAsia" w:ascii="仿宋" w:hAnsi="仿宋" w:eastAsia="仿宋" w:cs="仿宋_GB2312"/>
          <w:sz w:val="32"/>
          <w:szCs w:val="32"/>
          <w:lang w:val="en-US" w:eastAsia="zh-CN"/>
        </w:rPr>
        <w:t xml:space="preserve"> 编制22人，年末实有职工22人（事业工勤2人，事业15人，行政5人）。</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二、</w:t>
      </w:r>
      <w:r>
        <w:rPr>
          <w:rFonts w:hint="eastAsia" w:ascii="黑体" w:hAnsi="宋体" w:eastAsia="黑体" w:cs="宋体"/>
          <w:color w:val="auto"/>
          <w:kern w:val="0"/>
          <w:sz w:val="32"/>
          <w:szCs w:val="32"/>
          <w:highlight w:val="none"/>
          <w:shd w:val="clear" w:color="auto" w:fill="FFFFFF"/>
          <w:lang w:eastAsia="zh-CN"/>
        </w:rPr>
        <w:t>部门</w:t>
      </w:r>
      <w:r>
        <w:rPr>
          <w:rFonts w:hint="eastAsia" w:ascii="黑体" w:hAnsi="宋体" w:eastAsia="黑体" w:cs="宋体"/>
          <w:color w:val="auto"/>
          <w:kern w:val="0"/>
          <w:sz w:val="32"/>
          <w:szCs w:val="32"/>
          <w:highlight w:val="none"/>
          <w:shd w:val="clear" w:color="auto" w:fill="FFFFFF"/>
        </w:rPr>
        <w:t>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楷体_GB2312" w:hAnsi="楷体_GB2312" w:eastAsia="楷体_GB2312" w:cs="楷体_GB2312"/>
          <w:b w:val="0"/>
          <w:bCs w:val="0"/>
          <w:color w:val="auto"/>
          <w:kern w:val="0"/>
          <w:sz w:val="32"/>
          <w:szCs w:val="32"/>
          <w:highlight w:val="none"/>
          <w:shd w:val="clear" w:color="auto" w:fill="FFFFFF"/>
          <w:lang w:val="zh-CN"/>
        </w:rPr>
      </w:pPr>
      <w:r>
        <w:rPr>
          <w:rFonts w:hint="eastAsia" w:ascii="楷体_GB2312" w:hAnsi="楷体_GB2312" w:eastAsia="楷体_GB2312" w:cs="楷体_GB2312"/>
          <w:b w:val="0"/>
          <w:bCs w:val="0"/>
          <w:color w:val="auto"/>
          <w:kern w:val="0"/>
          <w:sz w:val="32"/>
          <w:szCs w:val="32"/>
          <w:highlight w:val="none"/>
          <w:shd w:val="clear" w:color="auto" w:fill="FFFFFF"/>
          <w:lang w:val="zh-CN"/>
        </w:rPr>
        <w:t>（一）部门总体收支情况。</w:t>
      </w:r>
    </w:p>
    <w:p>
      <w:pPr>
        <w:pStyle w:val="6"/>
        <w:rPr>
          <w:rFonts w:eastAsia="仿宋"/>
          <w:b w:val="0"/>
          <w:bCs w:val="0"/>
          <w:color w:val="000000"/>
          <w:sz w:val="32"/>
          <w:szCs w:val="32"/>
        </w:rPr>
      </w:pPr>
      <w:r>
        <w:rPr>
          <w:rFonts w:hint="eastAsia" w:ascii="仿宋" w:hAnsi="仿宋" w:eastAsia="仿宋" w:cs="仿宋"/>
          <w:b w:val="0"/>
          <w:bCs w:val="0"/>
          <w:color w:val="000000"/>
          <w:sz w:val="32"/>
          <w:szCs w:val="32"/>
        </w:rPr>
        <w:t>20</w:t>
      </w:r>
      <w:r>
        <w:rPr>
          <w:rFonts w:hint="eastAsia" w:ascii="仿宋" w:hAnsi="仿宋" w:eastAsia="仿宋" w:cs="仿宋"/>
          <w:b w:val="0"/>
          <w:bCs w:val="0"/>
          <w:color w:val="000000"/>
          <w:sz w:val="32"/>
          <w:szCs w:val="32"/>
          <w:lang w:val="en-US" w:eastAsia="zh-CN"/>
        </w:rPr>
        <w:t>22</w:t>
      </w:r>
      <w:r>
        <w:rPr>
          <w:rFonts w:eastAsia="仿宋"/>
          <w:b w:val="0"/>
          <w:bCs w:val="0"/>
          <w:color w:val="000000"/>
          <w:sz w:val="32"/>
          <w:szCs w:val="32"/>
        </w:rPr>
        <w:t>年财政拨款收入总计</w:t>
      </w:r>
      <w:r>
        <w:rPr>
          <w:rFonts w:hint="eastAsia" w:ascii="仿宋" w:hAnsi="仿宋" w:eastAsia="仿宋" w:cs="仿宋"/>
          <w:b w:val="0"/>
          <w:bCs w:val="0"/>
          <w:color w:val="000000"/>
          <w:sz w:val="32"/>
          <w:szCs w:val="32"/>
          <w:lang w:val="en-US" w:eastAsia="zh-CN"/>
        </w:rPr>
        <w:t>7797.36</w:t>
      </w:r>
      <w:r>
        <w:rPr>
          <w:rFonts w:eastAsia="仿宋"/>
          <w:b w:val="0"/>
          <w:bCs w:val="0"/>
          <w:color w:val="000000"/>
          <w:sz w:val="32"/>
          <w:szCs w:val="32"/>
        </w:rPr>
        <w:t>万元。</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eastAsia="仿宋"/>
          <w:b w:val="0"/>
          <w:bCs w:val="0"/>
          <w:color w:val="000000"/>
          <w:sz w:val="32"/>
          <w:szCs w:val="32"/>
          <w:lang w:val="en-US" w:eastAsia="zh-CN"/>
        </w:rPr>
      </w:pPr>
      <w:r>
        <w:rPr>
          <w:rFonts w:hint="eastAsia" w:ascii="楷体_GB2312" w:hAnsi="楷体_GB2312" w:eastAsia="楷体_GB2312" w:cs="楷体_GB2312"/>
          <w:b w:val="0"/>
          <w:bCs w:val="0"/>
          <w:color w:val="auto"/>
          <w:kern w:val="0"/>
          <w:sz w:val="32"/>
          <w:szCs w:val="32"/>
          <w:highlight w:val="none"/>
          <w:shd w:val="clear" w:color="auto" w:fill="FFFFFF"/>
          <w:lang w:val="zh-CN"/>
        </w:rPr>
        <w:t>（</w:t>
      </w:r>
      <w:r>
        <w:rPr>
          <w:rFonts w:hint="eastAsia" w:ascii="楷体_GB2312" w:hAnsi="楷体_GB2312" w:eastAsia="楷体_GB2312" w:cs="楷体_GB2312"/>
          <w:b w:val="0"/>
          <w:bCs w:val="0"/>
          <w:color w:val="auto"/>
          <w:kern w:val="0"/>
          <w:sz w:val="32"/>
          <w:szCs w:val="32"/>
          <w:highlight w:val="none"/>
          <w:shd w:val="clear" w:color="auto" w:fill="FFFFFF"/>
          <w:lang w:val="en-US" w:eastAsia="zh-CN"/>
        </w:rPr>
        <w:t>二</w:t>
      </w:r>
      <w:r>
        <w:rPr>
          <w:rFonts w:hint="eastAsia" w:ascii="楷体_GB2312" w:hAnsi="楷体_GB2312" w:eastAsia="楷体_GB2312" w:cs="楷体_GB2312"/>
          <w:b w:val="0"/>
          <w:bCs w:val="0"/>
          <w:color w:val="auto"/>
          <w:kern w:val="0"/>
          <w:sz w:val="32"/>
          <w:szCs w:val="32"/>
          <w:highlight w:val="none"/>
          <w:shd w:val="clear" w:color="auto" w:fill="FFFFFF"/>
          <w:lang w:val="zh-CN"/>
        </w:rPr>
        <w:t>）部门财政资金支出情况。</w:t>
      </w:r>
    </w:p>
    <w:p>
      <w:pPr>
        <w:spacing w:line="600" w:lineRule="exact"/>
        <w:ind w:firstLine="640"/>
        <w:rPr>
          <w:rFonts w:ascii="仿宋" w:hAnsi="仿宋" w:eastAsia="仿宋"/>
          <w:color w:val="000000"/>
          <w:sz w:val="32"/>
          <w:szCs w:val="32"/>
          <w:highlight w:val="none"/>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7797.36</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highlight w:val="none"/>
          <w:lang w:val="en-US" w:eastAsia="zh-CN"/>
          <w14:textFill>
            <w14:solidFill>
              <w14:schemeClr w14:val="tx1"/>
            </w14:solidFill>
          </w14:textFill>
        </w:rPr>
        <w:t>一般公共服务支出30.44万元，占2%；公共安全支出6.8万元，占1%；教育支出1628.97万元，占18%;</w:t>
      </w:r>
      <w:r>
        <w:rPr>
          <w:rFonts w:hint="eastAsia" w:ascii="仿宋" w:hAnsi="仿宋" w:eastAsia="仿宋"/>
          <w:b w:val="0"/>
          <w:bCs/>
          <w:color w:val="000000" w:themeColor="text1"/>
          <w:sz w:val="32"/>
          <w:szCs w:val="32"/>
          <w:highlight w:val="none"/>
          <w14:textFill>
            <w14:solidFill>
              <w14:schemeClr w14:val="tx1"/>
            </w14:solidFill>
          </w14:textFill>
        </w:rPr>
        <w:t>社会保障和就业支出</w:t>
      </w:r>
      <w:r>
        <w:rPr>
          <w:rFonts w:hint="eastAsia" w:ascii="仿宋" w:hAnsi="仿宋" w:eastAsia="仿宋"/>
          <w:b w:val="0"/>
          <w:bCs/>
          <w:color w:val="000000" w:themeColor="text1"/>
          <w:sz w:val="32"/>
          <w:szCs w:val="32"/>
          <w:highlight w:val="none"/>
          <w:lang w:val="en-US" w:eastAsia="zh-CN"/>
          <w14:textFill>
            <w14:solidFill>
              <w14:schemeClr w14:val="tx1"/>
            </w14:solidFill>
          </w14:textFill>
        </w:rPr>
        <w:t>151.78</w:t>
      </w:r>
      <w:r>
        <w:rPr>
          <w:rFonts w:hint="eastAsia" w:ascii="仿宋" w:hAnsi="仿宋" w:eastAsia="仿宋"/>
          <w:b w:val="0"/>
          <w:bCs/>
          <w:color w:val="000000" w:themeColor="text1"/>
          <w:sz w:val="32"/>
          <w:szCs w:val="32"/>
          <w:highlight w:val="none"/>
          <w14:textFill>
            <w14:solidFill>
              <w14:schemeClr w14:val="tx1"/>
            </w14:solidFill>
          </w14:textFill>
        </w:rPr>
        <w:t>万元，</w:t>
      </w:r>
      <w:r>
        <w:rPr>
          <w:rFonts w:hint="eastAsia" w:ascii="仿宋" w:hAnsi="仿宋" w:eastAsia="仿宋"/>
          <w:color w:val="000000" w:themeColor="text1"/>
          <w:sz w:val="32"/>
          <w:szCs w:val="32"/>
          <w:highlight w:val="none"/>
          <w14:textFill>
            <w14:solidFill>
              <w14:schemeClr w14:val="tx1"/>
            </w14:solidFill>
          </w14:textFill>
        </w:rPr>
        <w:t>占</w:t>
      </w:r>
      <w:r>
        <w:rPr>
          <w:rFonts w:hint="eastAsia" w:ascii="仿宋" w:hAnsi="仿宋" w:eastAsia="仿宋"/>
          <w:color w:val="000000" w:themeColor="text1"/>
          <w:sz w:val="32"/>
          <w:szCs w:val="32"/>
          <w:highlight w:val="none"/>
          <w:lang w:val="en-US" w:eastAsia="zh-CN"/>
          <w14:textFill>
            <w14:solidFill>
              <w14:schemeClr w14:val="tx1"/>
            </w14:solidFill>
          </w14:textFill>
        </w:rPr>
        <w:t>3</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val="0"/>
          <w:bCs w:val="0"/>
          <w:color w:val="000000" w:themeColor="text1"/>
          <w:sz w:val="32"/>
          <w:szCs w:val="32"/>
          <w:highlight w:val="none"/>
          <w14:textFill>
            <w14:solidFill>
              <w14:schemeClr w14:val="tx1"/>
            </w14:solidFill>
          </w14:textFill>
        </w:rPr>
        <w:t>卫生健康支出</w:t>
      </w:r>
      <w:r>
        <w:rPr>
          <w:rFonts w:hint="eastAsia" w:ascii="仿宋" w:hAnsi="仿宋" w:eastAsia="仿宋"/>
          <w:b w:val="0"/>
          <w:bCs w:val="0"/>
          <w:color w:val="000000" w:themeColor="text1"/>
          <w:sz w:val="32"/>
          <w:szCs w:val="32"/>
          <w:highlight w:val="none"/>
          <w:lang w:val="en-US" w:eastAsia="zh-CN"/>
          <w14:textFill>
            <w14:solidFill>
              <w14:schemeClr w14:val="tx1"/>
            </w14:solidFill>
          </w14:textFill>
        </w:rPr>
        <w:t>7.52</w:t>
      </w:r>
      <w:r>
        <w:rPr>
          <w:rFonts w:hint="eastAsia" w:ascii="仿宋" w:hAnsi="仿宋" w:eastAsia="仿宋"/>
          <w:b w:val="0"/>
          <w:bCs w:val="0"/>
          <w:color w:val="000000" w:themeColor="text1"/>
          <w:sz w:val="32"/>
          <w:szCs w:val="32"/>
          <w:highlight w:val="none"/>
          <w14:textFill>
            <w14:solidFill>
              <w14:schemeClr w14:val="tx1"/>
            </w14:solidFill>
          </w14:textFill>
        </w:rPr>
        <w:t>万元</w:t>
      </w:r>
      <w:r>
        <w:rPr>
          <w:rFonts w:hint="eastAsia" w:ascii="仿宋" w:hAnsi="仿宋" w:eastAsia="仿宋"/>
          <w:color w:val="000000" w:themeColor="text1"/>
          <w:sz w:val="32"/>
          <w:szCs w:val="32"/>
          <w:highlight w:val="none"/>
          <w14:textFill>
            <w14:solidFill>
              <w14:schemeClr w14:val="tx1"/>
            </w14:solidFill>
          </w14:textFill>
        </w:rPr>
        <w:t>，占</w:t>
      </w:r>
      <w:r>
        <w:rPr>
          <w:rFonts w:hint="eastAsia" w:ascii="仿宋" w:hAnsi="仿宋" w:eastAsia="仿宋"/>
          <w:color w:val="000000" w:themeColor="text1"/>
          <w:sz w:val="32"/>
          <w:szCs w:val="32"/>
          <w:highlight w:val="none"/>
          <w:lang w:val="en-US" w:eastAsia="zh-CN"/>
          <w14:textFill>
            <w14:solidFill>
              <w14:schemeClr w14:val="tx1"/>
            </w14:solidFill>
          </w14:textFill>
        </w:rPr>
        <w:t>1</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val="0"/>
          <w:bCs/>
          <w:color w:val="000000" w:themeColor="text1"/>
          <w:sz w:val="32"/>
          <w:szCs w:val="32"/>
          <w:lang w:eastAsia="zh-CN"/>
          <w14:textFill>
            <w14:solidFill>
              <w14:schemeClr w14:val="tx1"/>
            </w14:solidFill>
          </w14:textFill>
        </w:rPr>
        <w:t>节能环保支出</w:t>
      </w:r>
      <w:r>
        <w:rPr>
          <w:rFonts w:hint="eastAsia" w:ascii="仿宋" w:hAnsi="仿宋" w:eastAsia="仿宋"/>
          <w:b w:val="0"/>
          <w:bCs/>
          <w:color w:val="000000" w:themeColor="text1"/>
          <w:sz w:val="32"/>
          <w:szCs w:val="32"/>
          <w:lang w:val="en-US" w:eastAsia="zh-CN"/>
          <w14:textFill>
            <w14:solidFill>
              <w14:schemeClr w14:val="tx1"/>
            </w14:solidFill>
          </w14:textFill>
        </w:rPr>
        <w:t>1279.40万元，占13%；</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1803.34万元，占23%；</w:t>
      </w:r>
      <w:r>
        <w:rPr>
          <w:rFonts w:hint="eastAsia" w:ascii="仿宋" w:hAnsi="仿宋" w:eastAsia="仿宋"/>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lang w:val="en-US" w:eastAsia="zh-CN"/>
          <w14:textFill>
            <w14:solidFill>
              <w14:schemeClr w14:val="tx1"/>
            </w14:solidFill>
          </w14:textFill>
        </w:rPr>
        <w:t>9.6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；灾害防治及应急管理支出</w:t>
      </w:r>
      <w:r>
        <w:rPr>
          <w:rFonts w:hint="eastAsia" w:ascii="仿宋" w:hAnsi="仿宋" w:eastAsia="仿宋"/>
          <w:color w:val="000000" w:themeColor="text1"/>
          <w:sz w:val="32"/>
          <w:szCs w:val="32"/>
          <w:lang w:val="en-US" w:eastAsia="zh-CN"/>
          <w14:textFill>
            <w14:solidFill>
              <w14:schemeClr w14:val="tx1"/>
            </w14:solidFill>
          </w14:textFill>
        </w:rPr>
        <w:t>1851.63万元，占25%；其他支出1027.88万元，占13%。</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auto"/>
          <w:kern w:val="0"/>
          <w:sz w:val="32"/>
          <w:szCs w:val="32"/>
          <w:highlight w:val="none"/>
          <w:shd w:val="clear" w:color="auto" w:fill="FFFFFF"/>
        </w:rPr>
      </w:pPr>
      <w:r>
        <w:rPr>
          <w:rFonts w:hint="eastAsia" w:ascii="黑体" w:hAnsi="宋体" w:eastAsia="黑体" w:cs="宋体"/>
          <w:color w:val="auto"/>
          <w:kern w:val="0"/>
          <w:sz w:val="32"/>
          <w:szCs w:val="32"/>
          <w:highlight w:val="none"/>
          <w:shd w:val="clear" w:color="auto" w:fill="FFFFFF"/>
        </w:rPr>
        <w:t>三、</w:t>
      </w:r>
      <w:r>
        <w:rPr>
          <w:rFonts w:hint="eastAsia" w:ascii="黑体" w:hAnsi="宋体" w:eastAsia="黑体" w:cs="宋体"/>
          <w:color w:val="auto"/>
          <w:kern w:val="0"/>
          <w:sz w:val="32"/>
          <w:szCs w:val="32"/>
          <w:highlight w:val="none"/>
          <w:u w:val="none"/>
          <w:shd w:val="clear" w:color="auto" w:fill="FFFFFF"/>
        </w:rPr>
        <w:t>部门整体绩效</w:t>
      </w:r>
      <w:r>
        <w:rPr>
          <w:rFonts w:hint="eastAsia" w:ascii="黑体" w:hAnsi="宋体" w:eastAsia="黑体" w:cs="宋体"/>
          <w:color w:val="auto"/>
          <w:kern w:val="0"/>
          <w:sz w:val="32"/>
          <w:szCs w:val="32"/>
          <w:highlight w:val="none"/>
          <w:u w:val="none"/>
          <w:shd w:val="clear" w:color="auto" w:fill="FFFFFF"/>
          <w:lang w:eastAsia="zh-CN"/>
        </w:rPr>
        <w:t>分析</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spacing w:line="580" w:lineRule="exact"/>
        <w:ind w:firstLine="640" w:firstLineChars="200"/>
        <w:rPr>
          <w:rFonts w:ascii="仿宋" w:hAnsi="仿宋" w:eastAsia="仿宋" w:cs="仿宋_GB2312"/>
          <w:sz w:val="32"/>
          <w:szCs w:val="32"/>
        </w:rPr>
      </w:pPr>
      <w:r>
        <w:rPr>
          <w:rFonts w:eastAsia="仿宋_GB2312"/>
          <w:sz w:val="32"/>
          <w:szCs w:val="32"/>
        </w:rPr>
        <w:t>根据20</w:t>
      </w:r>
      <w:r>
        <w:rPr>
          <w:rFonts w:hint="eastAsia" w:eastAsia="仿宋_GB2312"/>
          <w:sz w:val="32"/>
          <w:szCs w:val="32"/>
          <w:lang w:val="en-US" w:eastAsia="zh-CN"/>
        </w:rPr>
        <w:t>22</w:t>
      </w:r>
      <w:r>
        <w:rPr>
          <w:rFonts w:eastAsia="仿宋_GB2312"/>
          <w:sz w:val="32"/>
          <w:szCs w:val="32"/>
        </w:rPr>
        <w:t>年度预算编制工作会议精神，</w:t>
      </w:r>
      <w:r>
        <w:rPr>
          <w:rFonts w:eastAsia="仿宋_GB2312"/>
          <w:color w:val="333333"/>
          <w:sz w:val="32"/>
          <w:szCs w:val="32"/>
          <w:shd w:val="clear" w:color="auto" w:fill="FFFFFF"/>
        </w:rPr>
        <w:t>结合单位具体情况及20</w:t>
      </w:r>
      <w:r>
        <w:rPr>
          <w:rFonts w:hint="eastAsia" w:eastAsia="仿宋_GB2312"/>
          <w:color w:val="333333"/>
          <w:sz w:val="32"/>
          <w:szCs w:val="32"/>
          <w:shd w:val="clear" w:color="auto" w:fill="FFFFFF"/>
          <w:lang w:val="en-US" w:eastAsia="zh-CN"/>
        </w:rPr>
        <w:t>21</w:t>
      </w:r>
      <w:r>
        <w:rPr>
          <w:rFonts w:eastAsia="仿宋_GB2312"/>
          <w:color w:val="333333"/>
          <w:sz w:val="32"/>
          <w:szCs w:val="32"/>
          <w:shd w:val="clear" w:color="auto" w:fill="FFFFFF"/>
        </w:rPr>
        <w:t>年编制中出现的问题专门召开</w:t>
      </w:r>
      <w:r>
        <w:rPr>
          <w:rFonts w:hint="eastAsia" w:eastAsia="仿宋_GB2312"/>
          <w:color w:val="333333"/>
          <w:sz w:val="32"/>
          <w:szCs w:val="32"/>
          <w:shd w:val="clear" w:color="auto" w:fill="FFFFFF"/>
          <w:lang w:eastAsia="zh-CN"/>
        </w:rPr>
        <w:t>预</w:t>
      </w:r>
      <w:r>
        <w:rPr>
          <w:rFonts w:eastAsia="仿宋_GB2312"/>
          <w:color w:val="333333"/>
          <w:sz w:val="32"/>
          <w:szCs w:val="32"/>
          <w:shd w:val="clear" w:color="auto" w:fill="FFFFFF"/>
        </w:rPr>
        <w:t>算编制工作会，提出20</w:t>
      </w:r>
      <w:r>
        <w:rPr>
          <w:rFonts w:hint="eastAsia" w:eastAsia="仿宋_GB2312"/>
          <w:color w:val="333333"/>
          <w:sz w:val="32"/>
          <w:szCs w:val="32"/>
          <w:shd w:val="clear" w:color="auto" w:fill="FFFFFF"/>
          <w:lang w:val="en-US" w:eastAsia="zh-CN"/>
        </w:rPr>
        <w:t>22</w:t>
      </w:r>
      <w:r>
        <w:rPr>
          <w:rFonts w:eastAsia="仿宋_GB2312"/>
          <w:color w:val="333333"/>
          <w:sz w:val="32"/>
          <w:szCs w:val="32"/>
          <w:shd w:val="clear" w:color="auto" w:fill="FFFFFF"/>
        </w:rPr>
        <w:t>年预算编制要求及注意事项：加强综合预算管理，严格执行财经纪律，控制行政运行支出，优化项目支出结构，强化项目支出绩效目标，着力提高预算管理科学化精细化水平，提高预算编制质量执行管理情况</w:t>
      </w:r>
      <w:r>
        <w:rPr>
          <w:rFonts w:eastAsia="仿宋_GB2312"/>
          <w:sz w:val="32"/>
          <w:szCs w:val="32"/>
        </w:rPr>
        <w:t>。</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numPr>
          <w:ilvl w:val="0"/>
          <w:numId w:val="0"/>
        </w:numPr>
        <w:spacing w:line="58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认真组织局机关开展绩效评价自评工作。并</w:t>
      </w:r>
      <w:r>
        <w:rPr>
          <w:rFonts w:hint="eastAsia" w:ascii="仿宋_GB2312" w:eastAsia="仿宋_GB2312"/>
          <w:color w:val="000000"/>
          <w:sz w:val="32"/>
          <w:szCs w:val="32"/>
          <w:lang w:eastAsia="zh-CN"/>
        </w:rPr>
        <w:t>对</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年整体支出开展绩效自评，自评得分</w:t>
      </w:r>
      <w:r>
        <w:rPr>
          <w:rFonts w:hint="eastAsia" w:ascii="仿宋_GB2312" w:eastAsia="仿宋_GB2312"/>
          <w:color w:val="000000"/>
          <w:sz w:val="32"/>
          <w:szCs w:val="32"/>
          <w:lang w:val="en-US" w:eastAsia="zh-CN"/>
        </w:rPr>
        <w:t>93</w:t>
      </w:r>
      <w:r>
        <w:rPr>
          <w:rFonts w:hint="eastAsia" w:ascii="仿宋_GB2312" w:eastAsia="仿宋_GB2312"/>
          <w:color w:val="000000"/>
          <w:sz w:val="32"/>
          <w:szCs w:val="32"/>
        </w:rPr>
        <w:t>分。</w:t>
      </w: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jc w:val="center"/>
        <w:rPr>
          <w:rFonts w:hint="eastAsia" w:ascii="黑体" w:hAnsi="黑体" w:eastAsia="黑体"/>
          <w:color w:val="000000"/>
          <w:sz w:val="32"/>
          <w:szCs w:val="32"/>
        </w:rPr>
      </w:pPr>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20</w:t>
      </w:r>
      <w:r>
        <w:rPr>
          <w:rFonts w:hint="eastAsia" w:ascii="黑体" w:hAnsi="黑体" w:eastAsia="黑体"/>
          <w:color w:val="000000"/>
          <w:sz w:val="32"/>
          <w:szCs w:val="32"/>
          <w:lang w:val="en-US" w:eastAsia="zh-CN"/>
        </w:rPr>
        <w:t>22</w:t>
      </w:r>
      <w:r>
        <w:rPr>
          <w:rFonts w:hint="eastAsia" w:ascii="黑体" w:hAnsi="黑体" w:eastAsia="黑体"/>
          <w:color w:val="000000"/>
          <w:sz w:val="32"/>
          <w:szCs w:val="32"/>
        </w:rPr>
        <w:t>年部门整体支出绩效评价得分表</w:t>
      </w:r>
    </w:p>
    <w:tbl>
      <w:tblPr>
        <w:tblStyle w:val="15"/>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Layout w:type="fixed"/>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noWrap w:val="0"/>
            <w:vAlign w:val="top"/>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Layout w:type="fixed"/>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327"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tblPrEx>
          <w:tblLayout w:type="fixed"/>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Layout w:type="fixed"/>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noWrap w:val="0"/>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内部控制度健全完整（2分）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Layout w:type="fixed"/>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18</w:t>
            </w:r>
          </w:p>
        </w:tc>
      </w:tr>
      <w:tr>
        <w:tblPrEx>
          <w:tblLayout w:type="fixed"/>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noWrap w:val="0"/>
            <w:vAlign w:val="top"/>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Layout w:type="fixed"/>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w:t>
            </w:r>
          </w:p>
        </w:tc>
      </w:tr>
      <w:tr>
        <w:tblPrEx>
          <w:tblLayout w:type="fixed"/>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noWrap w:val="0"/>
            <w:vAlign w:val="top"/>
          </w:tcPr>
          <w:p>
            <w:pPr>
              <w:widowControl/>
              <w:jc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w:t>
            </w:r>
          </w:p>
        </w:tc>
      </w:tr>
      <w:tr>
        <w:tblPrEx>
          <w:tblLayout w:type="fixed"/>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tblPrEx>
          <w:tblLayout w:type="fixed"/>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noWrap w:val="0"/>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tblPrEx>
          <w:tblLayout w:type="fixed"/>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noWrap w:val="0"/>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noWrap w:val="0"/>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bl>
    <w:p>
      <w:pPr>
        <w:pStyle w:val="2"/>
        <w:rPr>
          <w:rFonts w:hint="eastAsia" w:ascii="仿宋_GB2312" w:eastAsia="仿宋_GB2312"/>
          <w:color w:val="000000"/>
          <w:sz w:val="32"/>
          <w:szCs w:val="32"/>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pStyle w:val="6"/>
        <w:rPr>
          <w:lang w:val="zh-CN"/>
        </w:rPr>
      </w:pPr>
      <w:r>
        <w:rPr>
          <w:rFonts w:eastAsia="仿宋_GB2312"/>
          <w:color w:val="333333"/>
          <w:sz w:val="32"/>
          <w:szCs w:val="32"/>
          <w:shd w:val="clear" w:color="auto" w:fill="FFFFFF"/>
        </w:rPr>
        <w:t>单位20</w:t>
      </w:r>
      <w:r>
        <w:rPr>
          <w:rFonts w:hint="eastAsia" w:eastAsia="仿宋_GB2312"/>
          <w:color w:val="333333"/>
          <w:sz w:val="32"/>
          <w:szCs w:val="32"/>
          <w:shd w:val="clear" w:color="auto" w:fill="FFFFFF"/>
          <w:lang w:val="en-US" w:eastAsia="zh-CN"/>
        </w:rPr>
        <w:t>22</w:t>
      </w:r>
      <w:r>
        <w:rPr>
          <w:rFonts w:eastAsia="仿宋_GB2312"/>
          <w:color w:val="333333"/>
          <w:sz w:val="32"/>
          <w:szCs w:val="32"/>
          <w:shd w:val="clear" w:color="auto" w:fill="FFFFFF"/>
        </w:rPr>
        <w:t>年部门预算支出在预算编制、预算执行、综合管理、整体效益等方面均按要求按规定执行</w:t>
      </w:r>
      <w:r>
        <w:rPr>
          <w:rFonts w:hint="eastAsia" w:eastAsia="仿宋_GB2312"/>
          <w:color w:val="333333"/>
          <w:sz w:val="32"/>
          <w:szCs w:val="32"/>
          <w:shd w:val="clear" w:color="auto" w:fill="FFFFFF"/>
          <w:lang w:eastAsia="zh-CN"/>
        </w:rPr>
        <w:t>。</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spacing w:line="580" w:lineRule="exact"/>
        <w:ind w:firstLine="640" w:firstLineChars="200"/>
        <w:rPr>
          <w:lang w:val="zh-CN"/>
        </w:rPr>
      </w:pPr>
      <w:r>
        <w:rPr>
          <w:rFonts w:eastAsia="仿宋_GB2312"/>
          <w:color w:val="333333"/>
          <w:sz w:val="32"/>
          <w:szCs w:val="32"/>
          <w:shd w:val="clear" w:color="auto" w:fill="FFFFFF"/>
        </w:rPr>
        <w:t>单位在预算编制上精细化和科学化不够</w:t>
      </w:r>
      <w:r>
        <w:rPr>
          <w:rFonts w:hint="eastAsia" w:eastAsia="仿宋_GB2312"/>
          <w:color w:val="333333"/>
          <w:sz w:val="32"/>
          <w:szCs w:val="32"/>
          <w:shd w:val="clear" w:color="auto" w:fill="FFFFFF"/>
          <w:lang w:eastAsia="zh-CN"/>
        </w:rPr>
        <w:t>，相关制度不够健全。</w:t>
      </w:r>
    </w:p>
    <w:p>
      <w:pPr>
        <w:widowControl/>
        <w:numPr>
          <w:ilvl w:val="0"/>
          <w:numId w:val="6"/>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numPr>
          <w:ilvl w:val="0"/>
          <w:numId w:val="0"/>
        </w:numPr>
        <w:spacing w:line="600" w:lineRule="atLeast"/>
        <w:ind w:firstLine="640" w:firstLineChars="200"/>
        <w:rPr>
          <w:rFonts w:hint="eastAsia" w:ascii="仿宋" w:hAnsi="仿宋" w:eastAsia="仿宋" w:cs="仿宋"/>
          <w:b w:val="0"/>
          <w:bCs w:val="0"/>
          <w:sz w:val="32"/>
          <w:szCs w:val="32"/>
          <w:lang w:eastAsia="zh-CN"/>
        </w:rPr>
      </w:pPr>
      <w:r>
        <w:rPr>
          <w:rFonts w:hint="eastAsia" w:ascii="仿宋_GB2312" w:hAnsi="仿宋_GB2312" w:eastAsia="仿宋_GB2312" w:cs="仿宋_GB2312"/>
          <w:sz w:val="32"/>
          <w:szCs w:val="32"/>
          <w:lang w:val="en-US" w:eastAsia="zh-CN"/>
        </w:rPr>
        <w:t>细化预算编制工作，认真做好预算的编制；加强各项制度的建立健全；</w:t>
      </w:r>
      <w:r>
        <w:rPr>
          <w:rStyle w:val="17"/>
          <w:rFonts w:hint="eastAsia" w:ascii="仿宋" w:hAnsi="仿宋" w:eastAsia="仿宋" w:cs="仿宋"/>
          <w:b w:val="0"/>
          <w:bCs w:val="0"/>
          <w:color w:val="4E4C4C"/>
          <w:sz w:val="32"/>
          <w:szCs w:val="32"/>
        </w:rPr>
        <w:t>加大宣传力度，树立绩效管理理念</w:t>
      </w:r>
      <w:r>
        <w:rPr>
          <w:rStyle w:val="17"/>
          <w:rFonts w:hint="eastAsia" w:ascii="仿宋" w:hAnsi="仿宋" w:eastAsia="仿宋" w:cs="仿宋"/>
          <w:b w:val="0"/>
          <w:bCs w:val="0"/>
          <w:color w:val="4E4C4C"/>
          <w:sz w:val="32"/>
          <w:szCs w:val="32"/>
          <w:lang w:eastAsia="zh-CN"/>
        </w:rPr>
        <w:t>；</w:t>
      </w:r>
      <w:r>
        <w:rPr>
          <w:rStyle w:val="17"/>
          <w:rFonts w:hint="eastAsia" w:ascii="仿宋" w:hAnsi="仿宋" w:eastAsia="仿宋" w:cs="仿宋"/>
          <w:b w:val="0"/>
          <w:bCs w:val="0"/>
          <w:color w:val="4E4C4C"/>
          <w:sz w:val="32"/>
          <w:szCs w:val="32"/>
        </w:rPr>
        <w:t>加强学习培训，提升业务能力</w:t>
      </w:r>
      <w:r>
        <w:rPr>
          <w:rStyle w:val="17"/>
          <w:rFonts w:hint="eastAsia" w:ascii="仿宋" w:hAnsi="仿宋" w:eastAsia="仿宋" w:cs="仿宋"/>
          <w:b w:val="0"/>
          <w:bCs w:val="0"/>
          <w:color w:val="4E4C4C"/>
          <w:sz w:val="32"/>
          <w:szCs w:val="32"/>
          <w:lang w:eastAsia="zh-CN"/>
        </w:rPr>
        <w:t>。</w:t>
      </w:r>
    </w:p>
    <w:p>
      <w:pPr>
        <w:pStyle w:val="2"/>
        <w:numPr>
          <w:ilvl w:val="0"/>
          <w:numId w:val="0"/>
        </w:numPr>
        <w:ind w:leftChars="200"/>
        <w:rPr>
          <w:lang w:val="zh-CN"/>
        </w:rPr>
      </w:pPr>
    </w:p>
    <w:p>
      <w:pPr>
        <w:pStyle w:val="2"/>
        <w:numPr>
          <w:ilvl w:val="0"/>
          <w:numId w:val="0"/>
        </w:numPr>
        <w:ind w:leftChars="200"/>
        <w:rPr>
          <w:lang w:val="zh-CN"/>
        </w:rPr>
      </w:pPr>
    </w:p>
    <w:p>
      <w:pPr>
        <w:pStyle w:val="2"/>
        <w:numPr>
          <w:ilvl w:val="0"/>
          <w:numId w:val="0"/>
        </w:numPr>
        <w:ind w:leftChars="200"/>
        <w:rPr>
          <w:lang w:val="zh-CN"/>
        </w:rPr>
      </w:pPr>
    </w:p>
    <w:p>
      <w:pPr>
        <w:pStyle w:val="2"/>
        <w:numPr>
          <w:ilvl w:val="0"/>
          <w:numId w:val="0"/>
        </w:numPr>
        <w:ind w:leftChars="200"/>
        <w:rPr>
          <w:lang w:val="zh-CN"/>
        </w:rPr>
      </w:pPr>
    </w:p>
    <w:p>
      <w:pPr>
        <w:pStyle w:val="2"/>
        <w:numPr>
          <w:ilvl w:val="0"/>
          <w:numId w:val="0"/>
        </w:numPr>
        <w:ind w:leftChars="200"/>
        <w:rPr>
          <w:lang w:val="zh-CN"/>
        </w:rPr>
      </w:pPr>
    </w:p>
    <w:p>
      <w:pPr>
        <w:pStyle w:val="2"/>
        <w:numPr>
          <w:ilvl w:val="0"/>
          <w:numId w:val="0"/>
        </w:numPr>
        <w:ind w:leftChars="200"/>
        <w:rPr>
          <w:lang w:val="zh-CN"/>
        </w:rPr>
      </w:pPr>
    </w:p>
    <w:p>
      <w:pPr>
        <w:pStyle w:val="2"/>
        <w:numPr>
          <w:ilvl w:val="0"/>
          <w:numId w:val="0"/>
        </w:numPr>
        <w:ind w:leftChars="200"/>
        <w:rPr>
          <w:lang w:val="zh-CN"/>
        </w:rPr>
      </w:pPr>
    </w:p>
    <w:p>
      <w:pPr>
        <w:pStyle w:val="2"/>
        <w:numPr>
          <w:ilvl w:val="0"/>
          <w:numId w:val="0"/>
        </w:numPr>
        <w:ind w:leftChars="200"/>
        <w:rPr>
          <w:lang w:val="zh-CN"/>
        </w:rPr>
      </w:pPr>
    </w:p>
    <w:p>
      <w:pPr>
        <w:spacing w:line="580" w:lineRule="exact"/>
        <w:ind w:firstLine="640" w:firstLineChars="200"/>
        <w:rPr>
          <w:rFonts w:ascii="仿宋_GB2312" w:hAnsi="仿宋_GB2312" w:eastAsia="仿宋_GB2312" w:cs="仿宋_GB2312"/>
          <w:sz w:val="32"/>
          <w:szCs w:val="32"/>
        </w:rPr>
      </w:pPr>
    </w:p>
    <w:p>
      <w:pPr>
        <w:pStyle w:val="2"/>
        <w:rPr>
          <w:rFonts w:hint="eastAsia" w:hAnsi="宋体" w:cs="宋体"/>
          <w:color w:val="auto"/>
          <w:kern w:val="0"/>
          <w:sz w:val="32"/>
          <w:szCs w:val="32"/>
          <w:highlight w:val="none"/>
          <w:shd w:val="clear" w:color="auto" w:fill="FFFFFF"/>
          <w:lang w:val="zh-CN"/>
        </w:rPr>
      </w:pPr>
    </w:p>
    <w:p>
      <w:pPr>
        <w:pStyle w:val="2"/>
        <w:rPr>
          <w:rFonts w:hint="eastAsia" w:eastAsia="仿宋_GB2312"/>
          <w:color w:val="auto"/>
          <w:sz w:val="32"/>
          <w:szCs w:val="32"/>
          <w:highlight w:val="none"/>
          <w:lang w:val="en-US" w:eastAsia="zh-CN"/>
        </w:rPr>
      </w:pPr>
      <w:r>
        <w:rPr>
          <w:rFonts w:hint="eastAsia" w:hAnsi="宋体" w:cs="宋体"/>
          <w:color w:val="auto"/>
          <w:kern w:val="0"/>
          <w:sz w:val="32"/>
          <w:szCs w:val="32"/>
          <w:highlight w:val="none"/>
          <w:shd w:val="clear" w:color="auto" w:fill="FFFFFF"/>
          <w:lang w:val="zh-CN"/>
        </w:rPr>
        <w:t>附件</w:t>
      </w:r>
      <w:r>
        <w:rPr>
          <w:rFonts w:hint="eastAsia" w:hAnsi="宋体" w:cs="宋体"/>
          <w:color w:val="auto"/>
          <w:kern w:val="0"/>
          <w:sz w:val="32"/>
          <w:szCs w:val="32"/>
          <w:highlight w:val="none"/>
          <w:shd w:val="clear" w:color="auto" w:fill="FFFFFF"/>
          <w:lang w:val="en-US" w:eastAsia="zh-CN"/>
        </w:rPr>
        <w:t>2</w:t>
      </w:r>
    </w:p>
    <w:p>
      <w:pPr>
        <w:jc w:val="center"/>
        <w:rPr>
          <w:rFonts w:hint="eastAsia" w:ascii="宋体" w:hAnsi="宋体" w:eastAsia="宋体"/>
          <w:b/>
          <w:sz w:val="44"/>
          <w:szCs w:val="44"/>
        </w:rPr>
      </w:pPr>
      <w:r>
        <w:rPr>
          <w:rFonts w:hint="eastAsia" w:ascii="宋体" w:hAnsi="宋体" w:eastAsia="宋体"/>
          <w:b/>
          <w:sz w:val="44"/>
          <w:szCs w:val="44"/>
        </w:rPr>
        <w:t>壤塘县则曲河水毁修复项目绩效自评报告</w:t>
      </w:r>
    </w:p>
    <w:p>
      <w:pPr>
        <w:pStyle w:val="34"/>
        <w:spacing w:line="240" w:lineRule="auto"/>
        <w:jc w:val="center"/>
        <w:rPr>
          <w:rFonts w:hint="eastAsia" w:ascii="宋体" w:hAnsi="宋体" w:cs="Times New Roman"/>
          <w:color w:val="auto"/>
          <w:kern w:val="2"/>
          <w:sz w:val="32"/>
          <w:szCs w:val="32"/>
        </w:rPr>
      </w:pPr>
    </w:p>
    <w:p>
      <w:pPr>
        <w:adjustRightInd w:val="0"/>
        <w:snapToGrid w:val="0"/>
        <w:spacing w:line="560" w:lineRule="exact"/>
        <w:ind w:firstLine="720"/>
        <w:rPr>
          <w:rFonts w:hint="eastAsia"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color w:val="auto"/>
          <w:sz w:val="32"/>
          <w:szCs w:val="32"/>
          <w:highlight w:val="none"/>
          <w:lang w:val="en-US" w:eastAsia="zh-CN"/>
        </w:rPr>
        <w:t>壤塘县则曲河水毁修复项目位于壤塘县南木达镇、尕多乡，本次工程建设内容为：实施水毁修复共计2处，修复河堤共计111米，其中修复1#河堤50米，修复2#河堤61米。</w:t>
      </w:r>
    </w:p>
    <w:p>
      <w:pPr>
        <w:adjustRightInd w:val="0"/>
        <w:snapToGrid w:val="0"/>
        <w:spacing w:line="560" w:lineRule="exact"/>
        <w:ind w:firstLine="720"/>
        <w:rPr>
          <w:rFonts w:hint="eastAsia" w:ascii="仿宋" w:hAnsi="仿宋" w:eastAsia="仿宋" w:cs="仿宋"/>
          <w:sz w:val="32"/>
          <w:szCs w:val="32"/>
          <w:lang w:val="zh-CN"/>
        </w:rPr>
      </w:pPr>
      <w:r>
        <w:rPr>
          <w:rFonts w:hint="eastAsia" w:ascii="楷体_GB2312" w:hAnsi="宋体" w:eastAsia="楷体_GB2312"/>
          <w:b/>
          <w:sz w:val="32"/>
          <w:szCs w:val="32"/>
          <w:lang w:val="zh-CN"/>
        </w:rPr>
        <w:t>（一）项目资金申报及批复情况。</w:t>
      </w:r>
      <w:r>
        <w:rPr>
          <w:rFonts w:hint="eastAsia" w:ascii="仿宋" w:hAnsi="仿宋" w:eastAsia="仿宋" w:cs="仿宋"/>
          <w:b w:val="0"/>
          <w:bCs w:val="0"/>
          <w:sz w:val="32"/>
          <w:szCs w:val="32"/>
          <w:lang w:val="en-US" w:eastAsia="zh-CN"/>
        </w:rPr>
        <w:t>资金来源为</w:t>
      </w:r>
      <w:r>
        <w:rPr>
          <w:rFonts w:hint="eastAsia" w:ascii="仿宋" w:hAnsi="仿宋" w:eastAsia="仿宋" w:cs="仿宋"/>
          <w:sz w:val="32"/>
          <w:szCs w:val="32"/>
          <w:lang w:val="en-US" w:eastAsia="zh-CN"/>
        </w:rPr>
        <w:t>中央和省级水利救灾专项资金，总投资69.3万元</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val="zh-CN"/>
        </w:rPr>
        <w:t>本项目符合资金管理办法。</w:t>
      </w:r>
    </w:p>
    <w:p>
      <w:pPr>
        <w:spacing w:line="560" w:lineRule="exact"/>
        <w:ind w:firstLine="643" w:firstLineChars="200"/>
        <w:rPr>
          <w:rFonts w:hint="eastAsia" w:ascii="仿宋" w:hAnsi="仿宋" w:eastAsia="仿宋" w:cs="仿宋"/>
          <w:sz w:val="32"/>
          <w:szCs w:val="32"/>
          <w:lang w:val="zh-CN"/>
        </w:rPr>
      </w:pPr>
      <w:r>
        <w:rPr>
          <w:rFonts w:hint="eastAsia" w:ascii="楷体_GB2312" w:hAnsi="宋体" w:eastAsia="楷体_GB2312"/>
          <w:b/>
          <w:sz w:val="32"/>
          <w:szCs w:val="32"/>
          <w:lang w:val="zh-CN"/>
        </w:rPr>
        <w:t>（二）项目绩效目标。</w:t>
      </w:r>
      <w:r>
        <w:rPr>
          <w:rFonts w:hint="eastAsia" w:ascii="仿宋" w:hAnsi="仿宋" w:eastAsia="仿宋" w:cs="仿宋"/>
          <w:color w:val="auto"/>
          <w:sz w:val="32"/>
          <w:szCs w:val="32"/>
          <w:lang w:val="zh-CN" w:eastAsia="zh-CN"/>
        </w:rPr>
        <w:t>项目建设内容为</w:t>
      </w:r>
      <w:r>
        <w:rPr>
          <w:rFonts w:hint="eastAsia" w:ascii="仿宋" w:hAnsi="仿宋" w:eastAsia="仿宋" w:cs="仿宋"/>
          <w:color w:val="auto"/>
          <w:sz w:val="32"/>
          <w:szCs w:val="32"/>
          <w:highlight w:val="none"/>
          <w:lang w:val="en-US" w:eastAsia="zh-CN"/>
        </w:rPr>
        <w:t>水毁修复共计2处，修复河堤共计111米，其中修复1#河堤50米，修复2#河堤61米。</w:t>
      </w:r>
    </w:p>
    <w:p>
      <w:pPr>
        <w:numPr>
          <w:ilvl w:val="0"/>
          <w:numId w:val="0"/>
        </w:numPr>
        <w:adjustRightInd w:val="0"/>
        <w:snapToGrid w:val="0"/>
        <w:spacing w:line="560" w:lineRule="exact"/>
        <w:ind w:firstLine="643" w:firstLineChars="200"/>
        <w:rPr>
          <w:rFonts w:hint="eastAsia" w:ascii="仿宋" w:hAnsi="仿宋" w:eastAsia="仿宋"/>
          <w:sz w:val="32"/>
          <w:szCs w:val="32"/>
          <w:lang w:val="zh-CN"/>
        </w:rPr>
      </w:pPr>
      <w:r>
        <w:rPr>
          <w:rFonts w:hint="eastAsia" w:ascii="楷体_GB2312" w:hAnsi="宋体" w:eastAsia="楷体_GB2312"/>
          <w:b/>
          <w:sz w:val="32"/>
          <w:szCs w:val="32"/>
          <w:lang w:val="zh-CN"/>
        </w:rPr>
        <w:t>（三）项目资金申报相符性。</w:t>
      </w:r>
      <w:r>
        <w:rPr>
          <w:rFonts w:hint="eastAsia" w:ascii="仿宋" w:hAnsi="仿宋" w:eastAsia="仿宋"/>
          <w:sz w:val="32"/>
          <w:szCs w:val="32"/>
          <w:lang w:val="zh-CN"/>
        </w:rPr>
        <w:t>项目申报内容与具体实施的内容相符，申报目标合理可行。</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仿宋_GB2312" w:hAnsi="宋体"/>
          <w:szCs w:val="32"/>
          <w:lang w:val="zh-CN"/>
        </w:rPr>
        <w:tab/>
      </w:r>
      <w:r>
        <w:rPr>
          <w:rFonts w:hint="eastAsia" w:ascii="楷体_GB2312" w:hAnsi="宋体" w:eastAsia="楷体_GB2312"/>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zh-CN"/>
        </w:rPr>
        <w:t>1、资金计划及到位。</w:t>
      </w:r>
      <w:r>
        <w:rPr>
          <w:rFonts w:hint="eastAsia" w:ascii="仿宋" w:hAnsi="仿宋" w:eastAsia="仿宋" w:cs="仿宋"/>
          <w:sz w:val="32"/>
          <w:szCs w:val="32"/>
          <w:lang w:val="en-US" w:eastAsia="zh-CN"/>
        </w:rPr>
        <w:t>2021年9月下达中央和省级水利救灾专项资金70万元。</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2、资金使用。资金支付严格按照合同约定进行支付，合规合法，与预算相符。</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1．建立资金管理责任制。</w:t>
      </w:r>
      <w:r>
        <w:rPr>
          <w:rFonts w:hint="eastAsia" w:ascii="仿宋" w:hAnsi="仿宋" w:eastAsia="仿宋"/>
          <w:sz w:val="32"/>
          <w:szCs w:val="32"/>
          <w:lang w:val="zh-CN"/>
        </w:rPr>
        <w:t>项目</w:t>
      </w:r>
      <w:r>
        <w:rPr>
          <w:rFonts w:ascii="仿宋" w:hAnsi="仿宋" w:eastAsia="仿宋"/>
          <w:sz w:val="32"/>
          <w:szCs w:val="32"/>
          <w:lang w:val="zh-CN"/>
        </w:rPr>
        <w:t>资金安排的建设项目实行</w:t>
      </w:r>
      <w:r>
        <w:rPr>
          <w:rFonts w:hint="eastAsia" w:ascii="仿宋" w:hAnsi="仿宋" w:eastAsia="仿宋"/>
          <w:sz w:val="32"/>
          <w:szCs w:val="32"/>
          <w:lang w:val="zh-CN"/>
        </w:rPr>
        <w:t>部门</w:t>
      </w:r>
      <w:r>
        <w:rPr>
          <w:rFonts w:ascii="仿宋" w:hAnsi="仿宋" w:eastAsia="仿宋"/>
          <w:sz w:val="32"/>
          <w:szCs w:val="32"/>
          <w:lang w:val="zh-CN"/>
        </w:rPr>
        <w:t>管理责任制度，坚持资金跟着项目走，项目跟着规划走，规划跟着贫</w:t>
      </w:r>
      <w:r>
        <w:rPr>
          <w:rFonts w:hint="eastAsia" w:ascii="仿宋" w:hAnsi="仿宋" w:eastAsia="仿宋"/>
          <w:sz w:val="32"/>
          <w:szCs w:val="32"/>
          <w:lang w:val="zh-CN"/>
        </w:rPr>
        <w:t>困</w:t>
      </w:r>
      <w:r>
        <w:rPr>
          <w:rFonts w:ascii="仿宋" w:hAnsi="仿宋" w:eastAsia="仿宋"/>
          <w:sz w:val="32"/>
          <w:szCs w:val="32"/>
          <w:lang w:val="zh-CN"/>
        </w:rPr>
        <w:t>群众走的分配管理原则，统筹兼顾、整合资源、突出重点、分类实施。实行项目、资金管理部门和项目实施单位法人代表责任制。</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2．建立资金使用公示制。按照公开、公平、公正的原则，对专项资金的分配和使用进行公告、公示。在项目实施地对具体项目实行张榜公布，自觉接受社会和群众监督。</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3．建立资金管理专账核算制。严格按照国家和省资金管理办法和有关资金管理规定，对资金实行专帐管理、专帐核算、专款专用，努力提高资金使用效益。</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sz w:val="32"/>
          <w:szCs w:val="32"/>
          <w:lang w:val="zh-CN"/>
        </w:rPr>
      </w:pPr>
      <w:r>
        <w:rPr>
          <w:rFonts w:hint="eastAsia" w:ascii="仿宋" w:hAnsi="仿宋" w:eastAsia="仿宋"/>
          <w:sz w:val="32"/>
          <w:szCs w:val="32"/>
          <w:lang w:val="en-US" w:eastAsia="zh-CN"/>
        </w:rPr>
        <w:t>4</w:t>
      </w:r>
      <w:r>
        <w:rPr>
          <w:rFonts w:ascii="仿宋" w:hAnsi="仿宋" w:eastAsia="仿宋"/>
          <w:sz w:val="32"/>
          <w:szCs w:val="32"/>
          <w:lang w:val="zh-CN"/>
        </w:rPr>
        <w:t>．建立资金管理审计制。</w:t>
      </w:r>
      <w:r>
        <w:rPr>
          <w:rFonts w:hint="eastAsia" w:ascii="仿宋" w:hAnsi="仿宋" w:eastAsia="仿宋"/>
          <w:sz w:val="32"/>
          <w:szCs w:val="32"/>
          <w:lang w:val="zh-CN"/>
        </w:rPr>
        <w:t>项目</w:t>
      </w:r>
      <w:r>
        <w:rPr>
          <w:rFonts w:ascii="仿宋" w:hAnsi="仿宋" w:eastAsia="仿宋"/>
          <w:sz w:val="32"/>
          <w:szCs w:val="32"/>
          <w:lang w:val="zh-CN"/>
        </w:rPr>
        <w:t>工程完工后，相关审计部门应会同财政、纪检、监察部门对资金使用情况进行专项审计。对转移、挪用、拖欠、挤占、贪污等违纪违法行为，要严肃查处，并追究相关责任人的责任。</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sz w:val="32"/>
          <w:szCs w:val="32"/>
          <w:lang w:val="zh-CN"/>
        </w:rPr>
      </w:pPr>
      <w:r>
        <w:rPr>
          <w:rFonts w:hint="eastAsia" w:ascii="仿宋" w:hAnsi="仿宋" w:eastAsia="仿宋"/>
          <w:sz w:val="32"/>
          <w:szCs w:val="32"/>
          <w:lang w:val="zh-CN"/>
        </w:rPr>
        <w:t>该工程设管理架构为：项目经理——技术负责人——工长组、内业预算组长、安装工长组长、质量组、材料组长、测量组、机械组、财务组、后勤组——土方队、运输队、机操队、电工队、水工队、普工队、后勤队；并安排监理1人和现场管理人员1人长期住工地对项目进行监管。</w:t>
      </w:r>
    </w:p>
    <w:p>
      <w:pPr>
        <w:adjustRightInd w:val="0"/>
        <w:snapToGrid w:val="0"/>
        <w:spacing w:line="560" w:lineRule="exact"/>
        <w:ind w:firstLine="720"/>
        <w:rPr>
          <w:rFonts w:hint="eastAsia" w:ascii="仿宋_GB2312" w:hAnsi="宋体"/>
          <w:sz w:val="32"/>
          <w:szCs w:val="32"/>
          <w:lang w:val="zh-CN"/>
        </w:rPr>
      </w:pPr>
      <w:r>
        <w:rPr>
          <w:rFonts w:hint="eastAsia" w:ascii="黑体" w:hAnsi="宋体" w:eastAsia="黑体"/>
          <w:sz w:val="32"/>
          <w:szCs w:val="32"/>
        </w:rPr>
        <w:t>三、目标完成情况</w:t>
      </w:r>
      <w:r>
        <w:rPr>
          <w:rFonts w:hint="eastAsia" w:ascii="仿宋_GB2312" w:hAnsi="宋体"/>
          <w:sz w:val="32"/>
          <w:szCs w:val="32"/>
          <w:lang w:val="zh-CN"/>
        </w:rPr>
        <w:tab/>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（一）目标任务量完成情况。</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项目于2022年4月27日开工建设，在5月20日完成项目建设任务，6月17日完成验收。</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（二）目标质量完成情况。</w:t>
      </w:r>
    </w:p>
    <w:p>
      <w:pPr>
        <w:adjustRightInd w:val="0"/>
        <w:snapToGrid w:val="0"/>
        <w:spacing w:line="560" w:lineRule="exact"/>
        <w:ind w:firstLine="720"/>
        <w:rPr>
          <w:rFonts w:hint="eastAsia" w:ascii="仿宋" w:hAnsi="仿宋" w:eastAsia="仿宋"/>
          <w:sz w:val="32"/>
          <w:szCs w:val="32"/>
          <w:lang w:val="zh-CN"/>
        </w:rPr>
      </w:pPr>
      <w:r>
        <w:rPr>
          <w:rFonts w:hint="eastAsia" w:ascii="仿宋" w:hAnsi="仿宋" w:eastAsia="仿宋"/>
          <w:sz w:val="32"/>
          <w:szCs w:val="32"/>
          <w:lang w:val="zh-CN"/>
        </w:rPr>
        <w:t>严格按照合同约定，确保工程达到合格。</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（三）目标进度完成情况。</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严格按照合同约定，已完成验收。</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四、项目效益情况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zh-CN"/>
        </w:rPr>
        <w:t>1、经济效益、社会效益。</w:t>
      </w:r>
      <w:r>
        <w:rPr>
          <w:rFonts w:hint="eastAsia" w:ascii="仿宋" w:hAnsi="仿宋" w:eastAsia="仿宋"/>
          <w:sz w:val="32"/>
          <w:szCs w:val="32"/>
        </w:rPr>
        <w:t>本工程为社会公益性工程，具有长远的经济和社会效益</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zh-CN"/>
        </w:rPr>
        <w:t>2、生态效益。</w:t>
      </w:r>
      <w:r>
        <w:rPr>
          <w:rFonts w:hint="eastAsia" w:ascii="仿宋" w:hAnsi="仿宋" w:eastAsia="仿宋"/>
          <w:sz w:val="32"/>
          <w:szCs w:val="32"/>
        </w:rPr>
        <w:t>堤防修建后，随着堤防后绿化措施的逐步施行，改善了</w:t>
      </w:r>
      <w:r>
        <w:rPr>
          <w:rFonts w:hint="eastAsia" w:ascii="仿宋" w:hAnsi="仿宋" w:eastAsia="仿宋"/>
          <w:sz w:val="32"/>
          <w:szCs w:val="32"/>
          <w:lang w:eastAsia="zh-CN"/>
        </w:rPr>
        <w:t>绰斯甲</w:t>
      </w:r>
      <w:r>
        <w:rPr>
          <w:rFonts w:hint="eastAsia" w:ascii="仿宋" w:hAnsi="仿宋" w:eastAsia="仿宋"/>
          <w:sz w:val="32"/>
          <w:szCs w:val="32"/>
        </w:rPr>
        <w:t>沿河的生态景观，形成了一道亮丽的风景线，为</w:t>
      </w:r>
      <w:r>
        <w:rPr>
          <w:rFonts w:hint="eastAsia" w:ascii="仿宋" w:hAnsi="仿宋" w:eastAsia="仿宋"/>
          <w:sz w:val="32"/>
          <w:szCs w:val="32"/>
          <w:lang w:eastAsia="zh-CN"/>
        </w:rPr>
        <w:t>项目区</w:t>
      </w:r>
      <w:r>
        <w:rPr>
          <w:rFonts w:hint="eastAsia" w:ascii="仿宋" w:hAnsi="仿宋" w:eastAsia="仿宋"/>
          <w:sz w:val="32"/>
          <w:szCs w:val="32"/>
        </w:rPr>
        <w:t>创造较好的生态环境效益。</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sz w:val="32"/>
          <w:szCs w:val="32"/>
          <w:lang w:val="zh-CN"/>
        </w:rPr>
      </w:pPr>
      <w:r>
        <w:rPr>
          <w:rFonts w:hint="eastAsia" w:ascii="仿宋" w:hAnsi="仿宋" w:eastAsia="仿宋"/>
          <w:sz w:val="32"/>
          <w:szCs w:val="32"/>
          <w:lang w:val="zh-CN"/>
        </w:rPr>
        <w:t>3、可持续效益。</w:t>
      </w:r>
      <w:r>
        <w:rPr>
          <w:rFonts w:ascii="仿宋" w:hAnsi="仿宋" w:eastAsia="仿宋"/>
          <w:sz w:val="32"/>
          <w:szCs w:val="32"/>
        </w:rPr>
        <w:t>随着社会经济的不断发展和人民生活水平的提高，</w:t>
      </w:r>
      <w:r>
        <w:rPr>
          <w:rFonts w:hint="eastAsia" w:ascii="仿宋" w:hAnsi="仿宋" w:eastAsia="仿宋"/>
          <w:sz w:val="32"/>
          <w:szCs w:val="32"/>
        </w:rPr>
        <w:t>本工程修建后</w:t>
      </w:r>
      <w:r>
        <w:rPr>
          <w:rFonts w:ascii="仿宋" w:hAnsi="仿宋" w:eastAsia="仿宋"/>
          <w:sz w:val="32"/>
          <w:szCs w:val="32"/>
        </w:rPr>
        <w:t>，</w:t>
      </w:r>
      <w:r>
        <w:rPr>
          <w:rFonts w:hint="eastAsia" w:ascii="仿宋" w:hAnsi="仿宋" w:eastAsia="仿宋"/>
          <w:sz w:val="32"/>
          <w:szCs w:val="32"/>
        </w:rPr>
        <w:t>将</w:t>
      </w:r>
      <w:r>
        <w:rPr>
          <w:rFonts w:ascii="仿宋" w:hAnsi="仿宋" w:eastAsia="仿宋"/>
          <w:sz w:val="32"/>
          <w:szCs w:val="32"/>
        </w:rPr>
        <w:t>成倍</w:t>
      </w:r>
      <w:r>
        <w:rPr>
          <w:rFonts w:hint="eastAsia" w:ascii="仿宋" w:hAnsi="仿宋" w:eastAsia="仿宋"/>
          <w:sz w:val="32"/>
          <w:szCs w:val="32"/>
        </w:rPr>
        <w:t>减少</w:t>
      </w:r>
      <w:r>
        <w:rPr>
          <w:rFonts w:ascii="仿宋" w:hAnsi="仿宋" w:eastAsia="仿宋"/>
          <w:sz w:val="32"/>
          <w:szCs w:val="32"/>
        </w:rPr>
        <w:t>洪水洪灾损失，</w:t>
      </w:r>
      <w:r>
        <w:rPr>
          <w:rFonts w:hint="eastAsia" w:ascii="仿宋" w:hAnsi="仿宋" w:eastAsia="仿宋"/>
          <w:sz w:val="32"/>
          <w:szCs w:val="32"/>
        </w:rPr>
        <w:t>有</w:t>
      </w:r>
      <w:r>
        <w:rPr>
          <w:rFonts w:ascii="仿宋" w:hAnsi="仿宋" w:eastAsia="仿宋"/>
          <w:sz w:val="32"/>
          <w:szCs w:val="32"/>
        </w:rPr>
        <w:t>利于</w:t>
      </w:r>
      <w:r>
        <w:rPr>
          <w:rFonts w:hint="eastAsia" w:ascii="仿宋" w:hAnsi="仿宋" w:eastAsia="仿宋"/>
          <w:sz w:val="32"/>
          <w:szCs w:val="32"/>
          <w:lang w:eastAsia="zh-CN"/>
        </w:rPr>
        <w:t>项目</w:t>
      </w:r>
      <w:r>
        <w:rPr>
          <w:rFonts w:hint="eastAsia" w:ascii="仿宋" w:hAnsi="仿宋" w:eastAsia="仿宋"/>
          <w:sz w:val="32"/>
          <w:szCs w:val="32"/>
        </w:rPr>
        <w:t>区</w:t>
      </w:r>
      <w:r>
        <w:rPr>
          <w:rFonts w:ascii="仿宋" w:hAnsi="仿宋" w:eastAsia="仿宋"/>
          <w:sz w:val="32"/>
          <w:szCs w:val="32"/>
        </w:rPr>
        <w:t>稳定和谐</w:t>
      </w:r>
      <w:r>
        <w:rPr>
          <w:rFonts w:hint="eastAsia" w:ascii="仿宋" w:hAnsi="仿宋" w:eastAsia="仿宋"/>
          <w:sz w:val="32"/>
          <w:szCs w:val="32"/>
        </w:rPr>
        <w:t>及可持续发展</w:t>
      </w:r>
      <w:r>
        <w:rPr>
          <w:rFonts w:ascii="仿宋" w:hAnsi="仿宋" w:eastAsia="仿宋"/>
          <w:sz w:val="32"/>
          <w:szCs w:val="32"/>
        </w:rPr>
        <w:t>。</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五、问题及建议</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sz w:val="32"/>
          <w:szCs w:val="32"/>
          <w:lang w:val="zh-CN"/>
        </w:rPr>
      </w:pPr>
      <w:r>
        <w:rPr>
          <w:rFonts w:hint="eastAsia" w:ascii="仿宋" w:hAnsi="仿宋" w:eastAsia="仿宋" w:cs="仿宋"/>
          <w:bCs/>
          <w:sz w:val="32"/>
          <w:szCs w:val="32"/>
        </w:rPr>
        <w:t>1、</w:t>
      </w:r>
      <w:r>
        <w:rPr>
          <w:rFonts w:hint="eastAsia" w:ascii="仿宋" w:hAnsi="仿宋" w:eastAsia="仿宋" w:cs="仿宋"/>
          <w:color w:val="auto"/>
          <w:kern w:val="0"/>
          <w:sz w:val="32"/>
          <w:szCs w:val="32"/>
          <w:lang w:val="en-US" w:eastAsia="zh-CN"/>
        </w:rPr>
        <w:t>由于壤塘县气候恶劣，有效工期短，适合施工作业一般在4～10月期间，正值我县主汛期，施工难度较大。</w:t>
      </w:r>
    </w:p>
    <w:p>
      <w:pPr>
        <w:keepNext w:val="0"/>
        <w:keepLines w:val="0"/>
        <w:pageBreakBefore w:val="0"/>
        <w:widowControl w:val="0"/>
        <w:numPr>
          <w:ilvl w:val="0"/>
          <w:numId w:val="0"/>
        </w:numPr>
        <w:kinsoku/>
        <w:wordWrap/>
        <w:overflowPunct/>
        <w:topLinePunct w:val="0"/>
        <w:autoSpaceDE/>
        <w:autoSpaceDN/>
        <w:bidi w:val="0"/>
        <w:spacing w:beforeAutospacing="0" w:afterAutospacing="0" w:line="560" w:lineRule="exact"/>
        <w:ind w:right="0" w:rightChars="0" w:firstLine="643" w:firstLineChars="200"/>
        <w:jc w:val="both"/>
        <w:textAlignment w:val="auto"/>
        <w:outlineLvl w:val="9"/>
        <w:rPr>
          <w:rFonts w:hint="eastAsia" w:ascii="楷体_GB2312" w:hAnsi="宋体" w:eastAsia="楷体_GB2312"/>
          <w:b/>
          <w:sz w:val="32"/>
          <w:szCs w:val="32"/>
          <w:lang w:val="zh-CN"/>
        </w:rPr>
      </w:pPr>
      <w:r>
        <w:rPr>
          <w:rFonts w:hint="eastAsia" w:ascii="楷体_GB2312" w:hAnsi="宋体" w:eastAsia="楷体_GB2312"/>
          <w:b/>
          <w:sz w:val="32"/>
          <w:szCs w:val="32"/>
          <w:lang w:val="zh-CN"/>
        </w:rPr>
        <w:t>（二）相关建议。</w:t>
      </w:r>
    </w:p>
    <w:p>
      <w:pPr>
        <w:keepNext w:val="0"/>
        <w:keepLines w:val="0"/>
        <w:pageBreakBefore w:val="0"/>
        <w:widowControl w:val="0"/>
        <w:numPr>
          <w:ilvl w:val="0"/>
          <w:numId w:val="0"/>
        </w:numPr>
        <w:kinsoku/>
        <w:wordWrap/>
        <w:overflowPunct/>
        <w:topLinePunct w:val="0"/>
        <w:autoSpaceDE/>
        <w:autoSpaceDN/>
        <w:bidi w:val="0"/>
        <w:spacing w:beforeAutospacing="0" w:afterAutospacing="0" w:line="560" w:lineRule="exact"/>
        <w:ind w:right="0" w:rightChars="0" w:firstLine="640" w:firstLineChars="200"/>
        <w:jc w:val="both"/>
        <w:textAlignment w:val="auto"/>
        <w:outlineLvl w:val="9"/>
        <w:rPr>
          <w:rFonts w:hint="eastAsia" w:ascii="仿宋" w:hAnsi="仿宋" w:eastAsia="仿宋" w:cs="仿宋"/>
          <w:b w:val="0"/>
          <w:bCs w:val="0"/>
          <w:color w:val="auto"/>
          <w:sz w:val="32"/>
          <w:szCs w:val="32"/>
          <w:lang w:val="en-US" w:eastAsia="zh-CN"/>
        </w:rPr>
      </w:pPr>
      <w:r>
        <w:rPr>
          <w:rFonts w:hint="eastAsia" w:ascii="仿宋" w:hAnsi="仿宋" w:eastAsia="仿宋" w:cs="仿宋"/>
          <w:bCs/>
          <w:sz w:val="32"/>
          <w:szCs w:val="32"/>
          <w:lang w:val="en-US" w:eastAsia="zh-CN"/>
        </w:rPr>
        <w:t>1、</w:t>
      </w:r>
      <w:r>
        <w:rPr>
          <w:rFonts w:hint="eastAsia" w:ascii="仿宋" w:hAnsi="仿宋" w:eastAsia="仿宋" w:cs="仿宋"/>
          <w:b w:val="0"/>
          <w:bCs w:val="0"/>
          <w:color w:val="auto"/>
          <w:sz w:val="32"/>
          <w:szCs w:val="32"/>
          <w:lang w:val="en-US" w:eastAsia="zh-CN"/>
        </w:rPr>
        <w:t>建议因地制宜，分类施策，针对我县实际情况提前下达项目建设资金计划，便于年前顺利完成项目招投标工作，汛前完成水下部分施工，确保当年任务如期完成。</w:t>
      </w:r>
    </w:p>
    <w:p>
      <w:pPr>
        <w:adjustRightInd w:val="0"/>
        <w:snapToGrid w:val="0"/>
        <w:spacing w:line="560" w:lineRule="exact"/>
        <w:ind w:firstLine="720"/>
        <w:rPr>
          <w:rFonts w:hint="eastAsia" w:ascii="仿宋" w:hAnsi="仿宋" w:eastAsia="仿宋" w:cs="仿宋"/>
          <w:b/>
          <w:sz w:val="32"/>
          <w:szCs w:val="32"/>
          <w:lang w:val="zh-CN"/>
        </w:rPr>
      </w:pPr>
    </w:p>
    <w:p>
      <w:pPr>
        <w:pStyle w:val="2"/>
        <w:rPr>
          <w:rFonts w:hint="eastAsia" w:ascii="仿宋" w:hAnsi="仿宋" w:eastAsia="仿宋" w:cs="仿宋"/>
          <w:b/>
          <w:sz w:val="32"/>
          <w:szCs w:val="32"/>
          <w:lang w:val="zh-CN"/>
        </w:rPr>
      </w:pPr>
    </w:p>
    <w:p>
      <w:pPr>
        <w:pStyle w:val="2"/>
        <w:rPr>
          <w:rFonts w:hint="eastAsia" w:ascii="仿宋" w:hAnsi="仿宋" w:eastAsia="仿宋" w:cs="仿宋"/>
          <w:b/>
          <w:sz w:val="32"/>
          <w:szCs w:val="32"/>
          <w:lang w:val="zh-CN"/>
        </w:rPr>
      </w:pPr>
    </w:p>
    <w:p>
      <w:pPr>
        <w:pStyle w:val="2"/>
        <w:rPr>
          <w:rFonts w:hint="eastAsia" w:ascii="仿宋" w:hAnsi="仿宋" w:eastAsia="仿宋" w:cs="仿宋"/>
          <w:b/>
          <w:sz w:val="32"/>
          <w:szCs w:val="32"/>
          <w:lang w:val="zh-CN"/>
        </w:rPr>
      </w:pPr>
    </w:p>
    <w:p/>
    <w:p>
      <w:pPr>
        <w:jc w:val="center"/>
        <w:rPr>
          <w:rFonts w:hint="eastAsia" w:ascii="宋体" w:hAnsi="宋体" w:eastAsia="宋体"/>
          <w:b/>
          <w:sz w:val="44"/>
          <w:szCs w:val="44"/>
        </w:rPr>
      </w:pPr>
      <w:r>
        <w:rPr>
          <w:rFonts w:hint="eastAsia" w:ascii="宋体" w:hAnsi="宋体" w:eastAsia="宋体"/>
          <w:b/>
          <w:sz w:val="44"/>
          <w:szCs w:val="44"/>
        </w:rPr>
        <w:t>壤塘县则曲河南木达片区水毁修复项目</w:t>
      </w:r>
    </w:p>
    <w:p>
      <w:pPr>
        <w:jc w:val="center"/>
        <w:rPr>
          <w:rFonts w:hint="eastAsia" w:ascii="宋体" w:hAnsi="宋体" w:eastAsia="宋体"/>
          <w:b/>
          <w:sz w:val="44"/>
          <w:szCs w:val="44"/>
        </w:rPr>
      </w:pPr>
      <w:r>
        <w:rPr>
          <w:rFonts w:hint="eastAsia" w:ascii="宋体" w:hAnsi="宋体" w:eastAsia="宋体"/>
          <w:b/>
          <w:sz w:val="44"/>
          <w:szCs w:val="44"/>
        </w:rPr>
        <w:t>绩效自评报告</w:t>
      </w:r>
    </w:p>
    <w:p>
      <w:pPr>
        <w:adjustRightInd w:val="0"/>
        <w:snapToGrid w:val="0"/>
        <w:spacing w:line="560" w:lineRule="exact"/>
        <w:ind w:firstLine="640" w:firstLineChars="200"/>
        <w:rPr>
          <w:rFonts w:hint="eastAsia"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color w:val="auto"/>
          <w:sz w:val="32"/>
          <w:szCs w:val="32"/>
          <w:highlight w:val="none"/>
          <w:lang w:val="en-US" w:eastAsia="zh-CN"/>
        </w:rPr>
        <w:t>壤塘县则曲河南木达片区水毁修复项目位于壤塘县南木达镇、尕多乡，本次工程建设内容为：</w:t>
      </w:r>
      <w:r>
        <w:rPr>
          <w:rFonts w:hint="eastAsia" w:ascii="仿宋" w:hAnsi="仿宋" w:eastAsia="仿宋" w:cs="仿宋"/>
          <w:sz w:val="32"/>
          <w:szCs w:val="32"/>
        </w:rPr>
        <w:t>综合治理河长302米（新建堤防长度216米，整治堤防长度86米）。新建堤防包括1#堤防工程100米、整治堤防工程包括2#堤防工程左岸26米，范围加高和右岸30米，3#堤防工程左岸42米、3#堤防工程右岸基础修复30米，4#堤防工程74米</w:t>
      </w:r>
      <w:r>
        <w:rPr>
          <w:rFonts w:hint="eastAsia" w:ascii="仿宋" w:hAnsi="仿宋" w:eastAsia="仿宋" w:cs="仿宋"/>
          <w:color w:val="auto"/>
          <w:sz w:val="32"/>
          <w:szCs w:val="32"/>
          <w:highlight w:val="none"/>
          <w:lang w:val="en-US" w:eastAsia="zh-CN"/>
        </w:rPr>
        <w:t>。</w:t>
      </w:r>
    </w:p>
    <w:p>
      <w:pPr>
        <w:adjustRightInd w:val="0"/>
        <w:snapToGrid w:val="0"/>
        <w:spacing w:line="560" w:lineRule="exact"/>
        <w:ind w:firstLine="720"/>
        <w:rPr>
          <w:rFonts w:hint="eastAsia" w:ascii="仿宋" w:hAnsi="仿宋" w:eastAsia="仿宋" w:cs="仿宋"/>
          <w:sz w:val="32"/>
          <w:szCs w:val="32"/>
          <w:lang w:val="zh-CN"/>
        </w:rPr>
      </w:pPr>
      <w:r>
        <w:rPr>
          <w:rFonts w:hint="eastAsia" w:ascii="楷体_GB2312" w:hAnsi="宋体" w:eastAsia="楷体_GB2312"/>
          <w:b/>
          <w:sz w:val="32"/>
          <w:szCs w:val="32"/>
          <w:lang w:val="zh-CN"/>
        </w:rPr>
        <w:t>（一）项目资金申报及批复情况。</w:t>
      </w:r>
      <w:r>
        <w:rPr>
          <w:rFonts w:hint="eastAsia" w:ascii="仿宋" w:hAnsi="仿宋" w:eastAsia="仿宋" w:cs="仿宋"/>
          <w:b w:val="0"/>
          <w:bCs w:val="0"/>
          <w:sz w:val="32"/>
          <w:szCs w:val="32"/>
          <w:lang w:val="en-US" w:eastAsia="zh-CN"/>
        </w:rPr>
        <w:t>资金来源为</w:t>
      </w:r>
      <w:r>
        <w:rPr>
          <w:rFonts w:hint="eastAsia" w:ascii="仿宋" w:hAnsi="仿宋" w:eastAsia="仿宋" w:cs="仿宋"/>
          <w:sz w:val="32"/>
          <w:szCs w:val="32"/>
          <w:lang w:val="en-US" w:eastAsia="zh-CN"/>
        </w:rPr>
        <w:t>中央和省级水利救灾专项资金，总投资179.06万元</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val="zh-CN"/>
        </w:rPr>
        <w:t>本项目符合资金管理办法。</w:t>
      </w:r>
    </w:p>
    <w:p>
      <w:pPr>
        <w:spacing w:line="560" w:lineRule="exact"/>
        <w:ind w:firstLine="643" w:firstLineChars="200"/>
        <w:rPr>
          <w:rFonts w:hint="eastAsia" w:ascii="仿宋" w:hAnsi="仿宋" w:eastAsia="仿宋" w:cs="仿宋"/>
          <w:sz w:val="32"/>
          <w:szCs w:val="32"/>
          <w:lang w:val="zh-CN"/>
        </w:rPr>
      </w:pPr>
      <w:r>
        <w:rPr>
          <w:rFonts w:hint="eastAsia" w:ascii="楷体_GB2312" w:hAnsi="宋体" w:eastAsia="楷体_GB2312"/>
          <w:b/>
          <w:sz w:val="32"/>
          <w:szCs w:val="32"/>
          <w:lang w:val="zh-CN"/>
        </w:rPr>
        <w:t>（二）项目绩效目标。</w:t>
      </w:r>
      <w:r>
        <w:rPr>
          <w:rFonts w:hint="eastAsia" w:ascii="仿宋" w:hAnsi="仿宋" w:eastAsia="仿宋" w:cs="仿宋"/>
          <w:color w:val="auto"/>
          <w:sz w:val="32"/>
          <w:szCs w:val="32"/>
          <w:lang w:val="zh-CN" w:eastAsia="zh-CN"/>
        </w:rPr>
        <w:t>项目建设内容为</w:t>
      </w:r>
      <w:r>
        <w:rPr>
          <w:rFonts w:hint="eastAsia" w:ascii="仿宋" w:hAnsi="仿宋" w:eastAsia="仿宋" w:cs="仿宋"/>
          <w:sz w:val="32"/>
          <w:szCs w:val="32"/>
        </w:rPr>
        <w:t>综合治理河长302米（新建堤防长度216米，整治堤防长度86米）。新建堤防包括1#堤防工程100米、整治堤防工程包括2#堤防工程左岸26米，范围加高和右岸30米，3#堤防工程左岸42米、3#堤防工程右岸基础修复30米，4#堤防工程74米</w:t>
      </w:r>
      <w:r>
        <w:rPr>
          <w:rFonts w:hint="eastAsia" w:ascii="仿宋" w:hAnsi="仿宋" w:eastAsia="仿宋" w:cs="仿宋"/>
          <w:color w:val="auto"/>
          <w:sz w:val="32"/>
          <w:szCs w:val="32"/>
          <w:highlight w:val="none"/>
          <w:lang w:val="en-US" w:eastAsia="zh-CN"/>
        </w:rPr>
        <w:t>。</w:t>
      </w:r>
    </w:p>
    <w:p>
      <w:pPr>
        <w:numPr>
          <w:ilvl w:val="0"/>
          <w:numId w:val="0"/>
        </w:numPr>
        <w:adjustRightInd w:val="0"/>
        <w:snapToGrid w:val="0"/>
        <w:spacing w:line="560" w:lineRule="exact"/>
        <w:ind w:firstLine="643" w:firstLineChars="200"/>
        <w:rPr>
          <w:rFonts w:hint="eastAsia" w:ascii="仿宋" w:hAnsi="仿宋" w:eastAsia="仿宋"/>
          <w:sz w:val="32"/>
          <w:szCs w:val="32"/>
          <w:lang w:val="zh-CN"/>
        </w:rPr>
      </w:pPr>
      <w:r>
        <w:rPr>
          <w:rFonts w:hint="eastAsia" w:ascii="楷体_GB2312" w:hAnsi="宋体" w:eastAsia="楷体_GB2312"/>
          <w:b/>
          <w:sz w:val="32"/>
          <w:szCs w:val="32"/>
          <w:lang w:val="zh-CN"/>
        </w:rPr>
        <w:t>（三）项目资金申报相符性。</w:t>
      </w:r>
      <w:r>
        <w:rPr>
          <w:rFonts w:hint="eastAsia" w:ascii="仿宋" w:hAnsi="仿宋" w:eastAsia="仿宋"/>
          <w:sz w:val="32"/>
          <w:szCs w:val="32"/>
          <w:lang w:val="zh-CN"/>
        </w:rPr>
        <w:t>项目申报内容与具体实施的内容相符，申报目标合理可行。</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仿宋_GB2312" w:hAnsi="宋体"/>
          <w:szCs w:val="32"/>
          <w:lang w:val="zh-CN"/>
        </w:rPr>
        <w:tab/>
      </w:r>
      <w:r>
        <w:rPr>
          <w:rFonts w:hint="eastAsia" w:ascii="楷体_GB2312" w:hAnsi="宋体" w:eastAsia="楷体_GB2312"/>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zh-CN"/>
        </w:rPr>
        <w:t>1、资金计划及到位。</w:t>
      </w:r>
      <w:r>
        <w:rPr>
          <w:rFonts w:hint="eastAsia" w:ascii="仿宋" w:hAnsi="仿宋" w:eastAsia="仿宋" w:cs="仿宋"/>
          <w:sz w:val="32"/>
          <w:szCs w:val="32"/>
          <w:lang w:val="en-US" w:eastAsia="zh-CN"/>
        </w:rPr>
        <w:t>2021年12月下达中央和省级水利救灾专项资金200万元。</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2、资金使用。资金支付严格按照合同约定进行支付，合规合法，与预算相符。</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1．建立资金管理责任制。</w:t>
      </w:r>
      <w:r>
        <w:rPr>
          <w:rFonts w:hint="eastAsia" w:ascii="仿宋" w:hAnsi="仿宋" w:eastAsia="仿宋"/>
          <w:sz w:val="32"/>
          <w:szCs w:val="32"/>
          <w:lang w:val="zh-CN"/>
        </w:rPr>
        <w:t>项目</w:t>
      </w:r>
      <w:r>
        <w:rPr>
          <w:rFonts w:ascii="仿宋" w:hAnsi="仿宋" w:eastAsia="仿宋"/>
          <w:sz w:val="32"/>
          <w:szCs w:val="32"/>
          <w:lang w:val="zh-CN"/>
        </w:rPr>
        <w:t>资金安排的建设项目实行</w:t>
      </w:r>
      <w:r>
        <w:rPr>
          <w:rFonts w:hint="eastAsia" w:ascii="仿宋" w:hAnsi="仿宋" w:eastAsia="仿宋"/>
          <w:sz w:val="32"/>
          <w:szCs w:val="32"/>
          <w:lang w:val="zh-CN"/>
        </w:rPr>
        <w:t>部门</w:t>
      </w:r>
      <w:r>
        <w:rPr>
          <w:rFonts w:ascii="仿宋" w:hAnsi="仿宋" w:eastAsia="仿宋"/>
          <w:sz w:val="32"/>
          <w:szCs w:val="32"/>
          <w:lang w:val="zh-CN"/>
        </w:rPr>
        <w:t>管理责任制度，坚持资金跟着项目走，项目跟着规划走，规划跟着贫</w:t>
      </w:r>
      <w:r>
        <w:rPr>
          <w:rFonts w:hint="eastAsia" w:ascii="仿宋" w:hAnsi="仿宋" w:eastAsia="仿宋"/>
          <w:sz w:val="32"/>
          <w:szCs w:val="32"/>
          <w:lang w:val="zh-CN"/>
        </w:rPr>
        <w:t>困</w:t>
      </w:r>
      <w:r>
        <w:rPr>
          <w:rFonts w:ascii="仿宋" w:hAnsi="仿宋" w:eastAsia="仿宋"/>
          <w:sz w:val="32"/>
          <w:szCs w:val="32"/>
          <w:lang w:val="zh-CN"/>
        </w:rPr>
        <w:t>群众走的分配管理原则，统筹兼顾、整合资源、突出重点、分类实施。实行项目、资金管理部门和项目实施单位法人代表责任制。</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2．建立资金使用公示制。按照公开、公平、公正的原则，对专项资金的分配和使用进行公告、公示。在项目实施地对具体项目实行张榜公布，自觉接受社会和群众监督。</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3．建立资金管理专账核算制。严格按照国家和省资金管理办法和有关资金管理规定，对资金实行专帐管理、专帐核算、专款专用，努力提高资金使用效益。</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sz w:val="32"/>
          <w:szCs w:val="32"/>
          <w:lang w:val="zh-CN"/>
        </w:rPr>
      </w:pPr>
      <w:r>
        <w:rPr>
          <w:rFonts w:hint="eastAsia" w:ascii="仿宋" w:hAnsi="仿宋" w:eastAsia="仿宋"/>
          <w:sz w:val="32"/>
          <w:szCs w:val="32"/>
          <w:lang w:val="en-US" w:eastAsia="zh-CN"/>
        </w:rPr>
        <w:t>4</w:t>
      </w:r>
      <w:r>
        <w:rPr>
          <w:rFonts w:ascii="仿宋" w:hAnsi="仿宋" w:eastAsia="仿宋"/>
          <w:sz w:val="32"/>
          <w:szCs w:val="32"/>
          <w:lang w:val="zh-CN"/>
        </w:rPr>
        <w:t>．建立资金管理审计制。</w:t>
      </w:r>
      <w:r>
        <w:rPr>
          <w:rFonts w:hint="eastAsia" w:ascii="仿宋" w:hAnsi="仿宋" w:eastAsia="仿宋"/>
          <w:sz w:val="32"/>
          <w:szCs w:val="32"/>
          <w:lang w:val="zh-CN"/>
        </w:rPr>
        <w:t>项目</w:t>
      </w:r>
      <w:r>
        <w:rPr>
          <w:rFonts w:ascii="仿宋" w:hAnsi="仿宋" w:eastAsia="仿宋"/>
          <w:sz w:val="32"/>
          <w:szCs w:val="32"/>
          <w:lang w:val="zh-CN"/>
        </w:rPr>
        <w:t>工程完工后，相关审计部门应会同财政、纪检、监察部门对资金使用情况进行专项审计。对转移、挪用、拖欠、挤占、贪污等违纪违法行为，要严肃查处，并追究相关责任人的责任。</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sz w:val="32"/>
          <w:szCs w:val="32"/>
          <w:lang w:val="zh-CN"/>
        </w:rPr>
      </w:pPr>
      <w:r>
        <w:rPr>
          <w:rFonts w:hint="eastAsia" w:ascii="仿宋" w:hAnsi="仿宋" w:eastAsia="仿宋"/>
          <w:sz w:val="32"/>
          <w:szCs w:val="32"/>
          <w:lang w:val="zh-CN"/>
        </w:rPr>
        <w:t>该工程设管理架构为：项目经理——技术负责人——工长组、内业预算组长、安装工长组长、质量组、材料组长、测量组、机械组、财务组、后勤组——土方队、运输队、机操队、电工队、水工队、普工队、后勤队；并安排监理1人和现场管理人员1人长期住工地对项目进行监管。</w:t>
      </w:r>
    </w:p>
    <w:p>
      <w:pPr>
        <w:adjustRightInd w:val="0"/>
        <w:snapToGrid w:val="0"/>
        <w:spacing w:line="560" w:lineRule="exact"/>
        <w:ind w:firstLine="720"/>
        <w:rPr>
          <w:rFonts w:hint="eastAsia" w:ascii="仿宋_GB2312" w:hAnsi="宋体"/>
          <w:sz w:val="32"/>
          <w:szCs w:val="32"/>
          <w:lang w:val="zh-CN"/>
        </w:rPr>
      </w:pPr>
      <w:r>
        <w:rPr>
          <w:rFonts w:hint="eastAsia" w:ascii="黑体" w:hAnsi="宋体" w:eastAsia="黑体"/>
          <w:sz w:val="32"/>
          <w:szCs w:val="32"/>
        </w:rPr>
        <w:t>三、目标完成情况</w:t>
      </w:r>
      <w:r>
        <w:rPr>
          <w:rFonts w:hint="eastAsia" w:ascii="仿宋_GB2312" w:hAnsi="宋体"/>
          <w:sz w:val="32"/>
          <w:szCs w:val="32"/>
          <w:lang w:val="zh-CN"/>
        </w:rPr>
        <w:tab/>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（一）目标任务量完成情况。</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项目于2022年6月15日开工建设，在7月20日完成项目建设任务，7月完成验收。</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（二）目标质量完成情况。</w:t>
      </w:r>
    </w:p>
    <w:p>
      <w:pPr>
        <w:adjustRightInd w:val="0"/>
        <w:snapToGrid w:val="0"/>
        <w:spacing w:line="560" w:lineRule="exact"/>
        <w:ind w:firstLine="720"/>
        <w:rPr>
          <w:rFonts w:hint="eastAsia" w:ascii="仿宋" w:hAnsi="仿宋" w:eastAsia="仿宋"/>
          <w:sz w:val="32"/>
          <w:szCs w:val="32"/>
          <w:lang w:val="zh-CN"/>
        </w:rPr>
      </w:pPr>
      <w:r>
        <w:rPr>
          <w:rFonts w:hint="eastAsia" w:ascii="仿宋" w:hAnsi="仿宋" w:eastAsia="仿宋"/>
          <w:sz w:val="32"/>
          <w:szCs w:val="32"/>
          <w:lang w:val="zh-CN"/>
        </w:rPr>
        <w:t>严格按照合同约定，确保工程达到合格。</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（三）目标进度完成情况。</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sz w:val="32"/>
          <w:szCs w:val="32"/>
          <w:lang w:val="zh-CN"/>
        </w:rPr>
        <w:t>严格按照合同约定，已完成验收。</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四、项目效益情况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lang w:val="zh-CN"/>
        </w:rPr>
        <w:t>1、经济效益、社会效益。</w:t>
      </w:r>
      <w:r>
        <w:rPr>
          <w:rFonts w:hint="eastAsia" w:ascii="仿宋" w:hAnsi="仿宋" w:eastAsia="仿宋"/>
          <w:sz w:val="32"/>
          <w:szCs w:val="32"/>
        </w:rPr>
        <w:t>本工程为社会公益性工程，具有长远的经济和社会效益</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lang w:val="zh-CN"/>
        </w:rPr>
        <w:t>2、生态效益。</w:t>
      </w:r>
      <w:r>
        <w:rPr>
          <w:rFonts w:hint="eastAsia" w:ascii="仿宋" w:hAnsi="仿宋" w:eastAsia="仿宋"/>
          <w:sz w:val="32"/>
          <w:szCs w:val="32"/>
        </w:rPr>
        <w:t>堤防修建后，随着堤防后绿化措施的逐步施行，改善了</w:t>
      </w:r>
      <w:r>
        <w:rPr>
          <w:rFonts w:hint="eastAsia" w:ascii="仿宋" w:hAnsi="仿宋" w:eastAsia="仿宋"/>
          <w:sz w:val="32"/>
          <w:szCs w:val="32"/>
          <w:lang w:eastAsia="zh-CN"/>
        </w:rPr>
        <w:t>绰斯甲</w:t>
      </w:r>
      <w:r>
        <w:rPr>
          <w:rFonts w:hint="eastAsia" w:ascii="仿宋" w:hAnsi="仿宋" w:eastAsia="仿宋"/>
          <w:sz w:val="32"/>
          <w:szCs w:val="32"/>
        </w:rPr>
        <w:t>沿河的生态景观，形成了一道亮丽的风景线，为</w:t>
      </w:r>
      <w:r>
        <w:rPr>
          <w:rFonts w:hint="eastAsia" w:ascii="仿宋" w:hAnsi="仿宋" w:eastAsia="仿宋"/>
          <w:sz w:val="32"/>
          <w:szCs w:val="32"/>
          <w:lang w:eastAsia="zh-CN"/>
        </w:rPr>
        <w:t>项目区</w:t>
      </w:r>
      <w:r>
        <w:rPr>
          <w:rFonts w:hint="eastAsia" w:ascii="仿宋" w:hAnsi="仿宋" w:eastAsia="仿宋"/>
          <w:sz w:val="32"/>
          <w:szCs w:val="32"/>
        </w:rPr>
        <w:t>创造较好的生态环境效益。</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宋体"/>
          <w:sz w:val="32"/>
          <w:szCs w:val="32"/>
          <w:lang w:val="zh-CN"/>
        </w:rPr>
      </w:pPr>
      <w:r>
        <w:rPr>
          <w:rFonts w:hint="eastAsia" w:ascii="仿宋" w:hAnsi="仿宋" w:eastAsia="仿宋"/>
          <w:sz w:val="32"/>
          <w:szCs w:val="32"/>
          <w:lang w:val="zh-CN"/>
        </w:rPr>
        <w:t>3、可持续效益。</w:t>
      </w:r>
      <w:r>
        <w:rPr>
          <w:rFonts w:ascii="仿宋" w:hAnsi="仿宋" w:eastAsia="仿宋"/>
          <w:sz w:val="32"/>
          <w:szCs w:val="32"/>
        </w:rPr>
        <w:t>随着社会经济的不断发展和人民生活水平的提高，</w:t>
      </w:r>
      <w:r>
        <w:rPr>
          <w:rFonts w:hint="eastAsia" w:ascii="仿宋" w:hAnsi="仿宋" w:eastAsia="仿宋"/>
          <w:sz w:val="32"/>
          <w:szCs w:val="32"/>
        </w:rPr>
        <w:t>本工程修建后</w:t>
      </w:r>
      <w:r>
        <w:rPr>
          <w:rFonts w:ascii="仿宋" w:hAnsi="仿宋" w:eastAsia="仿宋"/>
          <w:sz w:val="32"/>
          <w:szCs w:val="32"/>
        </w:rPr>
        <w:t>，</w:t>
      </w:r>
      <w:r>
        <w:rPr>
          <w:rFonts w:hint="eastAsia" w:ascii="仿宋" w:hAnsi="仿宋" w:eastAsia="仿宋"/>
          <w:sz w:val="32"/>
          <w:szCs w:val="32"/>
        </w:rPr>
        <w:t>将</w:t>
      </w:r>
      <w:r>
        <w:rPr>
          <w:rFonts w:ascii="仿宋" w:hAnsi="仿宋" w:eastAsia="仿宋"/>
          <w:sz w:val="32"/>
          <w:szCs w:val="32"/>
        </w:rPr>
        <w:t>成倍</w:t>
      </w:r>
      <w:r>
        <w:rPr>
          <w:rFonts w:hint="eastAsia" w:ascii="仿宋" w:hAnsi="仿宋" w:eastAsia="仿宋"/>
          <w:sz w:val="32"/>
          <w:szCs w:val="32"/>
        </w:rPr>
        <w:t>减少</w:t>
      </w:r>
      <w:r>
        <w:rPr>
          <w:rFonts w:ascii="仿宋" w:hAnsi="仿宋" w:eastAsia="仿宋"/>
          <w:sz w:val="32"/>
          <w:szCs w:val="32"/>
        </w:rPr>
        <w:t>洪水洪灾损失，</w:t>
      </w:r>
      <w:r>
        <w:rPr>
          <w:rFonts w:hint="eastAsia" w:ascii="仿宋" w:hAnsi="仿宋" w:eastAsia="仿宋"/>
          <w:sz w:val="32"/>
          <w:szCs w:val="32"/>
        </w:rPr>
        <w:t>有</w:t>
      </w:r>
      <w:r>
        <w:rPr>
          <w:rFonts w:ascii="仿宋" w:hAnsi="仿宋" w:eastAsia="仿宋"/>
          <w:sz w:val="32"/>
          <w:szCs w:val="32"/>
        </w:rPr>
        <w:t>利于</w:t>
      </w:r>
      <w:r>
        <w:rPr>
          <w:rFonts w:hint="eastAsia" w:ascii="仿宋" w:hAnsi="仿宋" w:eastAsia="仿宋"/>
          <w:sz w:val="32"/>
          <w:szCs w:val="32"/>
          <w:lang w:eastAsia="zh-CN"/>
        </w:rPr>
        <w:t>项目</w:t>
      </w:r>
      <w:r>
        <w:rPr>
          <w:rFonts w:hint="eastAsia" w:ascii="仿宋" w:hAnsi="仿宋" w:eastAsia="仿宋"/>
          <w:sz w:val="32"/>
          <w:szCs w:val="32"/>
        </w:rPr>
        <w:t>区</w:t>
      </w:r>
      <w:r>
        <w:rPr>
          <w:rFonts w:ascii="仿宋" w:hAnsi="仿宋" w:eastAsia="仿宋"/>
          <w:sz w:val="32"/>
          <w:szCs w:val="32"/>
        </w:rPr>
        <w:t>稳定和谐</w:t>
      </w:r>
      <w:r>
        <w:rPr>
          <w:rFonts w:hint="eastAsia" w:ascii="仿宋" w:hAnsi="仿宋" w:eastAsia="仿宋"/>
          <w:sz w:val="32"/>
          <w:szCs w:val="32"/>
        </w:rPr>
        <w:t>及可持续发展</w:t>
      </w:r>
      <w:r>
        <w:rPr>
          <w:rFonts w:ascii="仿宋" w:hAnsi="仿宋" w:eastAsia="仿宋"/>
          <w:sz w:val="32"/>
          <w:szCs w:val="32"/>
        </w:rPr>
        <w:t>。</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五、问题及建议</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sz w:val="32"/>
          <w:szCs w:val="32"/>
          <w:lang w:val="zh-CN"/>
        </w:rPr>
      </w:pPr>
      <w:r>
        <w:rPr>
          <w:rFonts w:hint="eastAsia" w:ascii="仿宋" w:hAnsi="仿宋" w:eastAsia="仿宋" w:cs="仿宋"/>
          <w:bCs/>
          <w:sz w:val="32"/>
          <w:szCs w:val="32"/>
        </w:rPr>
        <w:t>1、</w:t>
      </w:r>
      <w:r>
        <w:rPr>
          <w:rFonts w:hint="eastAsia" w:ascii="仿宋" w:hAnsi="仿宋" w:eastAsia="仿宋" w:cs="仿宋"/>
          <w:color w:val="auto"/>
          <w:kern w:val="0"/>
          <w:sz w:val="32"/>
          <w:szCs w:val="32"/>
          <w:lang w:val="en-US" w:eastAsia="zh-CN"/>
        </w:rPr>
        <w:t>由于壤塘县气候恶劣，有效工期短，适合施工作业一般在4～10月期间，正值我县主汛期，施工难度较大。</w:t>
      </w:r>
    </w:p>
    <w:p>
      <w:pPr>
        <w:keepNext w:val="0"/>
        <w:keepLines w:val="0"/>
        <w:pageBreakBefore w:val="0"/>
        <w:widowControl w:val="0"/>
        <w:numPr>
          <w:ilvl w:val="0"/>
          <w:numId w:val="0"/>
        </w:numPr>
        <w:kinsoku/>
        <w:wordWrap/>
        <w:overflowPunct/>
        <w:topLinePunct w:val="0"/>
        <w:autoSpaceDE/>
        <w:autoSpaceDN/>
        <w:bidi w:val="0"/>
        <w:spacing w:beforeAutospacing="0" w:afterAutospacing="0" w:line="560" w:lineRule="exact"/>
        <w:ind w:right="0" w:rightChars="0" w:firstLine="643" w:firstLineChars="200"/>
        <w:jc w:val="both"/>
        <w:textAlignment w:val="auto"/>
        <w:outlineLvl w:val="9"/>
        <w:rPr>
          <w:rFonts w:hint="eastAsia" w:ascii="楷体_GB2312" w:hAnsi="宋体" w:eastAsia="楷体_GB2312"/>
          <w:b/>
          <w:sz w:val="32"/>
          <w:szCs w:val="32"/>
          <w:lang w:val="zh-CN"/>
        </w:rPr>
      </w:pPr>
      <w:r>
        <w:rPr>
          <w:rFonts w:hint="eastAsia" w:ascii="楷体_GB2312" w:hAnsi="宋体" w:eastAsia="楷体_GB2312"/>
          <w:b/>
          <w:sz w:val="32"/>
          <w:szCs w:val="32"/>
          <w:lang w:val="zh-CN"/>
        </w:rPr>
        <w:t>（二）相关建议。</w:t>
      </w:r>
    </w:p>
    <w:p>
      <w:pPr>
        <w:keepNext w:val="0"/>
        <w:keepLines w:val="0"/>
        <w:pageBreakBefore w:val="0"/>
        <w:widowControl w:val="0"/>
        <w:numPr>
          <w:ilvl w:val="0"/>
          <w:numId w:val="0"/>
        </w:numPr>
        <w:kinsoku/>
        <w:wordWrap/>
        <w:overflowPunct/>
        <w:topLinePunct w:val="0"/>
        <w:autoSpaceDE/>
        <w:autoSpaceDN/>
        <w:bidi w:val="0"/>
        <w:spacing w:beforeAutospacing="0" w:afterAutospacing="0" w:line="560" w:lineRule="exact"/>
        <w:ind w:right="0" w:rightChars="0" w:firstLine="640" w:firstLineChars="200"/>
        <w:jc w:val="both"/>
        <w:textAlignment w:val="auto"/>
        <w:outlineLvl w:val="9"/>
        <w:rPr>
          <w:rFonts w:hint="eastAsia" w:ascii="仿宋" w:hAnsi="仿宋" w:eastAsia="仿宋" w:cs="仿宋"/>
          <w:b w:val="0"/>
          <w:bCs w:val="0"/>
          <w:color w:val="auto"/>
          <w:sz w:val="32"/>
          <w:szCs w:val="32"/>
          <w:lang w:val="en-US" w:eastAsia="zh-CN"/>
        </w:rPr>
      </w:pPr>
      <w:r>
        <w:rPr>
          <w:rFonts w:hint="eastAsia" w:ascii="仿宋" w:hAnsi="仿宋" w:eastAsia="仿宋" w:cs="仿宋"/>
          <w:bCs/>
          <w:sz w:val="32"/>
          <w:szCs w:val="32"/>
          <w:lang w:val="en-US" w:eastAsia="zh-CN"/>
        </w:rPr>
        <w:t>1、</w:t>
      </w:r>
      <w:r>
        <w:rPr>
          <w:rFonts w:hint="eastAsia" w:ascii="仿宋" w:hAnsi="仿宋" w:eastAsia="仿宋" w:cs="仿宋"/>
          <w:b w:val="0"/>
          <w:bCs w:val="0"/>
          <w:color w:val="auto"/>
          <w:sz w:val="32"/>
          <w:szCs w:val="32"/>
          <w:lang w:val="en-US" w:eastAsia="zh-CN"/>
        </w:rPr>
        <w:t>建议因地制宜，分类施策，针对我县实际情况提前下达项目建设资金计划，便于年前顺利完成项目招投标工作，汛前完成水下部分施工，确保当年任务如期完成。</w:t>
      </w:r>
    </w:p>
    <w:p>
      <w:pPr>
        <w:jc w:val="center"/>
        <w:rPr>
          <w:rFonts w:hint="eastAsia" w:ascii="宋体" w:hAnsi="宋体" w:eastAsia="宋体"/>
          <w:b/>
          <w:sz w:val="44"/>
          <w:szCs w:val="44"/>
        </w:rPr>
      </w:pPr>
      <w:r>
        <w:rPr>
          <w:rFonts w:hint="eastAsia" w:ascii="宋体" w:hAnsi="宋体" w:eastAsia="宋体"/>
          <w:b/>
          <w:sz w:val="44"/>
          <w:szCs w:val="44"/>
          <w:lang w:val="en-US" w:eastAsia="zh-CN"/>
        </w:rPr>
        <w:t>2022年山洪灾害调查评价及群策群防体系建设项目</w:t>
      </w:r>
      <w:r>
        <w:rPr>
          <w:rFonts w:hint="eastAsia" w:ascii="宋体" w:hAnsi="宋体" w:eastAsia="宋体"/>
          <w:b/>
          <w:sz w:val="44"/>
          <w:szCs w:val="44"/>
        </w:rPr>
        <w:t>绩效自评报告</w:t>
      </w:r>
    </w:p>
    <w:p>
      <w:pPr>
        <w:pStyle w:val="34"/>
        <w:spacing w:line="240" w:lineRule="auto"/>
        <w:jc w:val="center"/>
        <w:rPr>
          <w:rFonts w:hint="eastAsia" w:ascii="宋体" w:hAnsi="宋体" w:cs="Times New Roman"/>
          <w:color w:val="auto"/>
          <w:kern w:val="2"/>
          <w:sz w:val="32"/>
          <w:szCs w:val="32"/>
        </w:rPr>
      </w:pPr>
    </w:p>
    <w:p>
      <w:pPr>
        <w:adjustRightInd w:val="0"/>
        <w:snapToGrid w:val="0"/>
        <w:spacing w:line="560" w:lineRule="exact"/>
        <w:ind w:firstLine="720"/>
        <w:rPr>
          <w:rFonts w:hint="eastAsia" w:ascii="黑体" w:hAnsi="宋体" w:eastAsia="黑体"/>
          <w:sz w:val="32"/>
          <w:szCs w:val="32"/>
          <w:lang w:val="zh-CN"/>
        </w:rPr>
      </w:pPr>
      <w:r>
        <w:rPr>
          <w:rFonts w:hint="eastAsia" w:ascii="黑体" w:hAnsi="宋体" w:eastAsia="黑体"/>
          <w:sz w:val="32"/>
          <w:szCs w:val="32"/>
        </w:rPr>
        <w:t>一、</w:t>
      </w:r>
      <w:r>
        <w:rPr>
          <w:rFonts w:hint="eastAsia" w:ascii="黑体" w:hAnsi="宋体" w:eastAsia="黑体"/>
          <w:sz w:val="32"/>
          <w:szCs w:val="32"/>
          <w:lang w:val="zh-CN"/>
        </w:rPr>
        <w:t>项目概况</w:t>
      </w:r>
    </w:p>
    <w:p>
      <w:pPr>
        <w:adjustRightInd w:val="0"/>
        <w:snapToGrid w:val="0"/>
        <w:spacing w:line="560" w:lineRule="exact"/>
        <w:ind w:firstLine="720"/>
        <w:rPr>
          <w:rFonts w:hint="eastAsia" w:ascii="仿宋" w:hAnsi="仿宋" w:eastAsia="仿宋" w:cs="仿宋"/>
          <w:sz w:val="32"/>
          <w:szCs w:val="32"/>
          <w:lang w:val="zh-CN"/>
        </w:rPr>
      </w:pPr>
      <w:r>
        <w:rPr>
          <w:rFonts w:hint="eastAsia" w:ascii="仿宋" w:hAnsi="仿宋" w:eastAsia="仿宋" w:cs="仿宋"/>
          <w:color w:val="auto"/>
          <w:sz w:val="32"/>
          <w:szCs w:val="32"/>
          <w:highlight w:val="none"/>
          <w:lang w:val="en-US" w:eastAsia="zh-CN"/>
        </w:rPr>
        <w:t>2022年山洪灾害调查评价及群策群防体系建设项目覆盖壤塘县11个乡镇，本次工程建设内容为：</w:t>
      </w:r>
      <w:r>
        <w:rPr>
          <w:rFonts w:hint="eastAsia" w:ascii="仿宋" w:hAnsi="仿宋" w:eastAsia="仿宋" w:cs="仿宋"/>
          <w:sz w:val="32"/>
          <w:szCs w:val="32"/>
          <w:lang w:val="en-US" w:eastAsia="zh-CN"/>
        </w:rPr>
        <w:t>进一步培训宣传山洪灾害相关知识，建立健全全县群策群访体系建设，调查我县山洪灾害危险区现状</w:t>
      </w:r>
      <w:r>
        <w:rPr>
          <w:rFonts w:hint="eastAsia" w:ascii="仿宋" w:hAnsi="仿宋" w:eastAsia="仿宋" w:cs="仿宋"/>
          <w:color w:val="auto"/>
          <w:sz w:val="32"/>
          <w:szCs w:val="32"/>
          <w:highlight w:val="none"/>
          <w:lang w:val="en-US" w:eastAsia="zh-CN"/>
        </w:rPr>
        <w:t>。</w:t>
      </w:r>
    </w:p>
    <w:p>
      <w:pPr>
        <w:numPr>
          <w:ilvl w:val="0"/>
          <w:numId w:val="0"/>
        </w:numPr>
        <w:adjustRightInd w:val="0"/>
        <w:snapToGrid w:val="0"/>
        <w:spacing w:line="560" w:lineRule="exact"/>
        <w:ind w:firstLine="643" w:firstLineChars="200"/>
        <w:rPr>
          <w:rFonts w:hint="eastAsia" w:ascii="仿宋" w:hAnsi="仿宋" w:eastAsia="仿宋" w:cs="仿宋"/>
          <w:sz w:val="32"/>
          <w:szCs w:val="32"/>
          <w:lang w:val="zh-CN"/>
        </w:rPr>
      </w:pPr>
      <w:r>
        <w:rPr>
          <w:rFonts w:hint="eastAsia" w:ascii="楷体_GB2312" w:hAnsi="宋体" w:eastAsia="楷体_GB2312"/>
          <w:b/>
          <w:sz w:val="32"/>
          <w:szCs w:val="32"/>
          <w:lang w:val="zh-CN"/>
        </w:rPr>
        <w:t>（</w:t>
      </w:r>
      <w:r>
        <w:rPr>
          <w:rFonts w:hint="eastAsia" w:ascii="楷体_GB2312" w:hAnsi="宋体" w:eastAsia="楷体_GB2312"/>
          <w:b/>
          <w:sz w:val="32"/>
          <w:szCs w:val="32"/>
          <w:lang w:val="en-US" w:eastAsia="zh-CN"/>
        </w:rPr>
        <w:t>一</w:t>
      </w:r>
      <w:r>
        <w:rPr>
          <w:rFonts w:hint="eastAsia" w:ascii="楷体_GB2312" w:hAnsi="宋体" w:eastAsia="楷体_GB2312"/>
          <w:b/>
          <w:sz w:val="32"/>
          <w:szCs w:val="32"/>
          <w:lang w:val="zh-CN"/>
        </w:rPr>
        <w:t>）项目资金申报及批复情况。</w:t>
      </w:r>
      <w:r>
        <w:rPr>
          <w:rFonts w:hint="eastAsia" w:ascii="仿宋" w:hAnsi="仿宋" w:eastAsia="仿宋" w:cs="仿宋"/>
          <w:sz w:val="32"/>
          <w:szCs w:val="32"/>
          <w:lang w:val="en-US" w:eastAsia="zh-CN"/>
        </w:rPr>
        <w:t>州级下达52万元，</w:t>
      </w:r>
      <w:r>
        <w:rPr>
          <w:rFonts w:hint="eastAsia" w:ascii="仿宋" w:hAnsi="仿宋" w:eastAsia="仿宋" w:cs="仿宋"/>
          <w:sz w:val="32"/>
          <w:szCs w:val="32"/>
          <w:lang w:val="zh-CN"/>
        </w:rPr>
        <w:t>本项目符合资金管理办法。</w:t>
      </w:r>
    </w:p>
    <w:p>
      <w:pPr>
        <w:spacing w:line="560" w:lineRule="exact"/>
        <w:ind w:firstLine="643" w:firstLineChars="200"/>
        <w:rPr>
          <w:rFonts w:hint="eastAsia" w:ascii="仿宋" w:hAnsi="仿宋" w:eastAsia="仿宋" w:cs="仿宋"/>
          <w:sz w:val="32"/>
          <w:szCs w:val="32"/>
          <w:lang w:val="zh-CN"/>
        </w:rPr>
      </w:pPr>
      <w:r>
        <w:rPr>
          <w:rFonts w:hint="eastAsia" w:ascii="楷体_GB2312" w:hAnsi="宋体" w:eastAsia="楷体_GB2312"/>
          <w:b/>
          <w:sz w:val="32"/>
          <w:szCs w:val="32"/>
          <w:lang w:val="zh-CN"/>
        </w:rPr>
        <w:t>（二）项目绩效目标。</w:t>
      </w:r>
      <w:r>
        <w:rPr>
          <w:rFonts w:hint="eastAsia" w:ascii="仿宋" w:hAnsi="仿宋" w:eastAsia="仿宋" w:cs="仿宋"/>
          <w:sz w:val="32"/>
          <w:szCs w:val="32"/>
          <w:lang w:val="en-US" w:eastAsia="zh-CN"/>
        </w:rPr>
        <w:t>进一步培训宣传山洪灾害相关知识，建立健全全县群策群访体系建设，调查我县山洪灾害危险区现状</w:t>
      </w:r>
      <w:r>
        <w:rPr>
          <w:rFonts w:hint="eastAsia" w:ascii="仿宋" w:hAnsi="仿宋" w:eastAsia="仿宋" w:cs="仿宋"/>
          <w:color w:val="auto"/>
          <w:sz w:val="32"/>
          <w:szCs w:val="32"/>
          <w:highlight w:val="none"/>
          <w:lang w:val="en-US" w:eastAsia="zh-CN"/>
        </w:rPr>
        <w:t>。</w:t>
      </w:r>
    </w:p>
    <w:p>
      <w:pPr>
        <w:numPr>
          <w:ilvl w:val="0"/>
          <w:numId w:val="0"/>
        </w:numPr>
        <w:adjustRightInd w:val="0"/>
        <w:snapToGrid w:val="0"/>
        <w:spacing w:line="560" w:lineRule="exact"/>
        <w:ind w:firstLine="643" w:firstLineChars="200"/>
        <w:rPr>
          <w:rFonts w:hint="eastAsia" w:ascii="仿宋" w:hAnsi="仿宋" w:eastAsia="仿宋"/>
          <w:sz w:val="32"/>
          <w:szCs w:val="32"/>
          <w:lang w:val="zh-CN"/>
        </w:rPr>
      </w:pPr>
      <w:r>
        <w:rPr>
          <w:rFonts w:hint="eastAsia" w:ascii="楷体_GB2312" w:hAnsi="宋体" w:eastAsia="楷体_GB2312"/>
          <w:b/>
          <w:sz w:val="32"/>
          <w:szCs w:val="32"/>
          <w:lang w:val="zh-CN"/>
        </w:rPr>
        <w:t>（三）项目资金申报相符性。</w:t>
      </w:r>
      <w:r>
        <w:rPr>
          <w:rFonts w:hint="eastAsia" w:ascii="仿宋" w:hAnsi="仿宋" w:eastAsia="仿宋"/>
          <w:sz w:val="32"/>
          <w:szCs w:val="32"/>
          <w:lang w:val="zh-CN"/>
        </w:rPr>
        <w:t>项目申报内容与具体实施的内容相符，申报目标合理可行。</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二、项目实施及管理情况</w:t>
      </w:r>
    </w:p>
    <w:p>
      <w:pPr>
        <w:adjustRightInd w:val="0"/>
        <w:snapToGrid w:val="0"/>
        <w:spacing w:line="560" w:lineRule="exact"/>
        <w:ind w:firstLine="720"/>
        <w:rPr>
          <w:rFonts w:hint="eastAsia" w:ascii="楷体_GB2312" w:hAnsi="宋体" w:eastAsia="楷体_GB2312"/>
          <w:b/>
          <w:szCs w:val="32"/>
          <w:lang w:val="zh-CN"/>
        </w:rPr>
      </w:pPr>
      <w:r>
        <w:rPr>
          <w:rFonts w:hint="eastAsia" w:ascii="仿宋_GB2312" w:hAnsi="宋体"/>
          <w:szCs w:val="32"/>
          <w:lang w:val="zh-CN"/>
        </w:rPr>
        <w:tab/>
      </w:r>
      <w:r>
        <w:rPr>
          <w:rFonts w:hint="eastAsia" w:ascii="楷体_GB2312" w:hAnsi="宋体" w:eastAsia="楷体_GB2312"/>
          <w:b/>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zh-CN"/>
        </w:rPr>
        <w:t>1、资金计划及到位。</w:t>
      </w:r>
      <w:r>
        <w:rPr>
          <w:rFonts w:hint="eastAsia" w:ascii="仿宋" w:hAnsi="仿宋" w:eastAsia="仿宋" w:cs="仿宋"/>
          <w:sz w:val="32"/>
          <w:szCs w:val="32"/>
          <w:lang w:val="en-US" w:eastAsia="zh-CN"/>
        </w:rPr>
        <w:t>2022年8月州级资金下达。</w:t>
      </w:r>
    </w:p>
    <w:p>
      <w:pPr>
        <w:adjustRightInd w:val="0"/>
        <w:snapToGrid w:val="0"/>
        <w:spacing w:line="560" w:lineRule="exact"/>
        <w:ind w:firstLine="640" w:firstLineChars="200"/>
        <w:rPr>
          <w:rFonts w:hint="eastAsia" w:ascii="仿宋" w:hAnsi="仿宋" w:eastAsia="仿宋" w:cs="仿宋"/>
          <w:sz w:val="32"/>
          <w:szCs w:val="32"/>
          <w:lang w:val="zh-CN"/>
        </w:rPr>
      </w:pPr>
      <w:r>
        <w:rPr>
          <w:rFonts w:hint="eastAsia" w:ascii="仿宋" w:hAnsi="仿宋" w:eastAsia="仿宋" w:cs="仿宋"/>
          <w:sz w:val="32"/>
          <w:szCs w:val="32"/>
          <w:lang w:val="zh-CN"/>
        </w:rPr>
        <w:t>2、资金使用。资金支付严格按照合同约定进行支付，合规合法，与预算相符。</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1．建立资金管理责任制。</w:t>
      </w:r>
      <w:r>
        <w:rPr>
          <w:rFonts w:hint="eastAsia" w:ascii="仿宋" w:hAnsi="仿宋" w:eastAsia="仿宋"/>
          <w:sz w:val="32"/>
          <w:szCs w:val="32"/>
          <w:lang w:val="zh-CN"/>
        </w:rPr>
        <w:t>项目</w:t>
      </w:r>
      <w:r>
        <w:rPr>
          <w:rFonts w:ascii="仿宋" w:hAnsi="仿宋" w:eastAsia="仿宋"/>
          <w:sz w:val="32"/>
          <w:szCs w:val="32"/>
          <w:lang w:val="zh-CN"/>
        </w:rPr>
        <w:t>资金安排的建设项目实行</w:t>
      </w:r>
      <w:r>
        <w:rPr>
          <w:rFonts w:hint="eastAsia" w:ascii="仿宋" w:hAnsi="仿宋" w:eastAsia="仿宋"/>
          <w:sz w:val="32"/>
          <w:szCs w:val="32"/>
          <w:lang w:val="zh-CN"/>
        </w:rPr>
        <w:t>部门</w:t>
      </w:r>
      <w:r>
        <w:rPr>
          <w:rFonts w:ascii="仿宋" w:hAnsi="仿宋" w:eastAsia="仿宋"/>
          <w:sz w:val="32"/>
          <w:szCs w:val="32"/>
          <w:lang w:val="zh-CN"/>
        </w:rPr>
        <w:t>管理责任制度，坚持资金跟着项目走，项目跟着规划走，规划跟着贫</w:t>
      </w:r>
      <w:r>
        <w:rPr>
          <w:rFonts w:hint="eastAsia" w:ascii="仿宋" w:hAnsi="仿宋" w:eastAsia="仿宋"/>
          <w:sz w:val="32"/>
          <w:szCs w:val="32"/>
          <w:lang w:val="zh-CN"/>
        </w:rPr>
        <w:t>困</w:t>
      </w:r>
      <w:r>
        <w:rPr>
          <w:rFonts w:ascii="仿宋" w:hAnsi="仿宋" w:eastAsia="仿宋"/>
          <w:sz w:val="32"/>
          <w:szCs w:val="32"/>
          <w:lang w:val="zh-CN"/>
        </w:rPr>
        <w:t>群众走的分配管理原则，统筹兼顾、整合资源、突出重点、分类实施。实行项目、资金管理部门和项目实施单位法人代表责任制。</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2．建立资金使用公示制。按照公开、公平、公正的原则，对专项资金的分配和使用进行公告、公示。在项目实施地对具体项目实行张榜公布，自觉接受社会和群众监督。</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 w:hAnsi="仿宋" w:eastAsia="仿宋"/>
          <w:sz w:val="32"/>
          <w:szCs w:val="32"/>
          <w:lang w:val="zh-CN"/>
        </w:rPr>
      </w:pPr>
      <w:r>
        <w:rPr>
          <w:rFonts w:ascii="仿宋" w:hAnsi="仿宋" w:eastAsia="仿宋"/>
          <w:sz w:val="32"/>
          <w:szCs w:val="32"/>
          <w:lang w:val="zh-CN"/>
        </w:rPr>
        <w:t>3．建立资金管理专账核算制。严格按照国家和省资金管理办法和有关资金管理规定，对资金实行专帐管理、专帐核算、专款专用，努力提高资金使用效益。</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eastAsia" w:ascii="仿宋" w:hAnsi="仿宋" w:eastAsia="仿宋"/>
          <w:sz w:val="32"/>
          <w:szCs w:val="32"/>
          <w:lang w:val="zh-CN"/>
        </w:rPr>
      </w:pPr>
      <w:r>
        <w:rPr>
          <w:rFonts w:hint="eastAsia" w:ascii="仿宋" w:hAnsi="仿宋" w:eastAsia="仿宋"/>
          <w:sz w:val="32"/>
          <w:szCs w:val="32"/>
          <w:lang w:val="en-US" w:eastAsia="zh-CN"/>
        </w:rPr>
        <w:t>4</w:t>
      </w:r>
      <w:r>
        <w:rPr>
          <w:rFonts w:ascii="仿宋" w:hAnsi="仿宋" w:eastAsia="仿宋"/>
          <w:sz w:val="32"/>
          <w:szCs w:val="32"/>
          <w:lang w:val="zh-CN"/>
        </w:rPr>
        <w:t>．建立资金管理审计制。</w:t>
      </w:r>
      <w:r>
        <w:rPr>
          <w:rFonts w:hint="eastAsia" w:ascii="仿宋" w:hAnsi="仿宋" w:eastAsia="仿宋"/>
          <w:sz w:val="32"/>
          <w:szCs w:val="32"/>
          <w:lang w:val="zh-CN"/>
        </w:rPr>
        <w:t>项目</w:t>
      </w:r>
      <w:r>
        <w:rPr>
          <w:rFonts w:ascii="仿宋" w:hAnsi="仿宋" w:eastAsia="仿宋"/>
          <w:sz w:val="32"/>
          <w:szCs w:val="32"/>
          <w:lang w:val="zh-CN"/>
        </w:rPr>
        <w:t>工程完工后，相关审计部门应会同财政、纪检、监察部门对资金使用情况进行专项审计。对转移、挪用、拖欠、挤占、贪污等违纪违法行为，要严肃查处，并追究相关责任人的责任。</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hint="default" w:ascii="仿宋" w:hAnsi="仿宋" w:eastAsia="仿宋"/>
          <w:sz w:val="32"/>
          <w:szCs w:val="32"/>
          <w:lang w:val="en-US" w:eastAsia="zh-CN"/>
        </w:rPr>
      </w:pPr>
      <w:r>
        <w:rPr>
          <w:rFonts w:hint="eastAsia" w:ascii="仿宋" w:hAnsi="仿宋" w:eastAsia="仿宋"/>
          <w:sz w:val="32"/>
          <w:szCs w:val="32"/>
          <w:lang w:val="zh-CN"/>
        </w:rPr>
        <w:t>该工程设管理架构为：</w:t>
      </w:r>
      <w:r>
        <w:rPr>
          <w:rFonts w:hint="eastAsia" w:ascii="仿宋" w:hAnsi="仿宋" w:eastAsia="仿宋"/>
          <w:sz w:val="32"/>
          <w:szCs w:val="32"/>
          <w:lang w:val="en-US" w:eastAsia="zh-CN"/>
        </w:rPr>
        <w:t>项目负责人--技术负责人，安排一组技术负责人完成实施内容。</w:t>
      </w:r>
    </w:p>
    <w:p>
      <w:pPr>
        <w:adjustRightInd w:val="0"/>
        <w:snapToGrid w:val="0"/>
        <w:spacing w:line="560" w:lineRule="exact"/>
        <w:ind w:firstLine="720"/>
        <w:rPr>
          <w:rFonts w:hint="eastAsia" w:ascii="仿宋_GB2312" w:hAnsi="宋体"/>
          <w:sz w:val="32"/>
          <w:szCs w:val="32"/>
          <w:lang w:val="zh-CN"/>
        </w:rPr>
      </w:pPr>
      <w:r>
        <w:rPr>
          <w:rFonts w:hint="eastAsia" w:ascii="黑体" w:hAnsi="宋体" w:eastAsia="黑体"/>
          <w:sz w:val="32"/>
          <w:szCs w:val="32"/>
        </w:rPr>
        <w:t>三、目标完成情况</w:t>
      </w:r>
      <w:r>
        <w:rPr>
          <w:rFonts w:hint="eastAsia" w:ascii="仿宋_GB2312" w:hAnsi="宋体"/>
          <w:sz w:val="32"/>
          <w:szCs w:val="32"/>
          <w:lang w:val="zh-CN"/>
        </w:rPr>
        <w:tab/>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（一）目标任务量完成情况。</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项目于2022年10月20日开工建设，12月25日前完工，12月30日完成验收。</w:t>
      </w:r>
    </w:p>
    <w:p>
      <w:pPr>
        <w:adjustRightInd w:val="0"/>
        <w:snapToGrid w:val="0"/>
        <w:spacing w:line="560" w:lineRule="exact"/>
        <w:ind w:firstLine="643" w:firstLineChars="200"/>
        <w:rPr>
          <w:rFonts w:hint="eastAsia" w:ascii="楷体_GB2312" w:hAnsi="宋体" w:eastAsia="楷体_GB2312"/>
          <w:b/>
          <w:sz w:val="32"/>
          <w:szCs w:val="32"/>
          <w:lang w:val="zh-CN"/>
        </w:rPr>
      </w:pPr>
      <w:r>
        <w:rPr>
          <w:rFonts w:hint="eastAsia" w:ascii="楷体_GB2312" w:hAnsi="宋体" w:eastAsia="楷体_GB2312"/>
          <w:b/>
          <w:sz w:val="32"/>
          <w:szCs w:val="32"/>
          <w:lang w:val="zh-CN"/>
        </w:rPr>
        <w:t>（二）目标质量完成情况。</w:t>
      </w:r>
    </w:p>
    <w:p>
      <w:pPr>
        <w:adjustRightInd w:val="0"/>
        <w:snapToGrid w:val="0"/>
        <w:spacing w:line="560" w:lineRule="exact"/>
        <w:ind w:firstLine="720"/>
        <w:rPr>
          <w:rFonts w:hint="eastAsia" w:ascii="仿宋" w:hAnsi="仿宋" w:eastAsia="仿宋"/>
          <w:sz w:val="32"/>
          <w:szCs w:val="32"/>
          <w:lang w:val="zh-CN"/>
        </w:rPr>
      </w:pPr>
      <w:r>
        <w:rPr>
          <w:rFonts w:hint="eastAsia" w:ascii="仿宋" w:hAnsi="仿宋" w:eastAsia="仿宋"/>
          <w:sz w:val="32"/>
          <w:szCs w:val="32"/>
          <w:lang w:val="zh-CN"/>
        </w:rPr>
        <w:t>严格按照合同约定，确保工程达到合格。</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（三）目标进度完成情况。</w:t>
      </w:r>
    </w:p>
    <w:p>
      <w:pPr>
        <w:adjustRightInd w:val="0"/>
        <w:snapToGrid w:val="0"/>
        <w:spacing w:line="560" w:lineRule="exact"/>
        <w:ind w:firstLine="720"/>
        <w:rPr>
          <w:rFonts w:hint="eastAsia"/>
          <w:sz w:val="32"/>
          <w:szCs w:val="32"/>
          <w:lang w:val="zh-CN"/>
        </w:rPr>
      </w:pPr>
      <w:r>
        <w:rPr>
          <w:rFonts w:hint="eastAsia"/>
          <w:sz w:val="32"/>
          <w:szCs w:val="32"/>
          <w:lang w:val="zh-CN"/>
        </w:rPr>
        <w:t>严格按照合同约定，已完成验收。</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四、项目效益情况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1、经济效益、社会效益。</w:t>
      </w:r>
      <w:r>
        <w:rPr>
          <w:rFonts w:hint="eastAsia" w:ascii="仿宋" w:hAnsi="仿宋" w:eastAsia="仿宋" w:cs="仿宋"/>
          <w:sz w:val="32"/>
          <w:szCs w:val="32"/>
        </w:rPr>
        <w:t>本工程为</w:t>
      </w:r>
      <w:r>
        <w:rPr>
          <w:rFonts w:hint="eastAsia" w:ascii="仿宋" w:hAnsi="仿宋" w:eastAsia="仿宋" w:cs="仿宋"/>
          <w:sz w:val="32"/>
          <w:szCs w:val="32"/>
          <w:lang w:val="en-US" w:eastAsia="zh-CN"/>
        </w:rPr>
        <w:t>服务类</w:t>
      </w:r>
      <w:r>
        <w:rPr>
          <w:rFonts w:hint="eastAsia" w:ascii="仿宋" w:hAnsi="仿宋" w:eastAsia="仿宋" w:cs="仿宋"/>
          <w:sz w:val="32"/>
          <w:szCs w:val="32"/>
        </w:rPr>
        <w:t>工程，</w:t>
      </w:r>
      <w:r>
        <w:rPr>
          <w:rFonts w:hint="eastAsia" w:ascii="仿宋" w:hAnsi="仿宋" w:eastAsia="仿宋" w:cs="仿宋"/>
          <w:sz w:val="32"/>
          <w:szCs w:val="32"/>
          <w:lang w:val="en-US" w:eastAsia="zh-CN"/>
        </w:rPr>
        <w:t>设置标识标牌，调查我县山洪灾害危险区现状，加强宣传教育，</w:t>
      </w:r>
      <w:r>
        <w:rPr>
          <w:rFonts w:hint="eastAsia" w:ascii="仿宋" w:hAnsi="仿宋" w:eastAsia="仿宋" w:cs="仿宋"/>
          <w:b w:val="0"/>
          <w:bCs w:val="0"/>
          <w:sz w:val="32"/>
          <w:szCs w:val="32"/>
          <w:lang w:val="en-US" w:eastAsia="zh-CN"/>
        </w:rPr>
        <w:t>提高群众防汛减灾自救、互救能力</w:t>
      </w:r>
      <w:r>
        <w:rPr>
          <w:rFonts w:hint="eastAsia"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zh-CN"/>
        </w:rPr>
        <w:t>2、生态效益。</w:t>
      </w:r>
      <w:r>
        <w:rPr>
          <w:rFonts w:hint="eastAsia" w:ascii="仿宋" w:hAnsi="仿宋" w:eastAsia="仿宋" w:cs="仿宋"/>
          <w:sz w:val="32"/>
          <w:szCs w:val="32"/>
          <w:lang w:val="en-US" w:eastAsia="zh-CN"/>
        </w:rPr>
        <w:t>可维护易受山洪灾害威胁的群众生命财产安全</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3、可持续效益。</w:t>
      </w:r>
      <w:r>
        <w:rPr>
          <w:rFonts w:hint="eastAsia" w:ascii="仿宋" w:hAnsi="仿宋" w:eastAsia="仿宋" w:cs="仿宋"/>
          <w:sz w:val="32"/>
          <w:szCs w:val="32"/>
        </w:rPr>
        <w:t>本</w:t>
      </w:r>
      <w:r>
        <w:rPr>
          <w:rFonts w:hint="eastAsia" w:ascii="仿宋" w:hAnsi="仿宋" w:eastAsia="仿宋" w:cs="仿宋"/>
          <w:sz w:val="32"/>
          <w:szCs w:val="32"/>
          <w:lang w:val="en-US" w:eastAsia="zh-CN"/>
        </w:rPr>
        <w:t>项目实施</w:t>
      </w:r>
      <w:r>
        <w:rPr>
          <w:rFonts w:hint="eastAsia" w:ascii="仿宋" w:hAnsi="仿宋" w:eastAsia="仿宋" w:cs="仿宋"/>
          <w:sz w:val="32"/>
          <w:szCs w:val="32"/>
        </w:rPr>
        <w:t>后，将成倍减少洪水洪灾损失，有利于</w:t>
      </w:r>
      <w:r>
        <w:rPr>
          <w:rFonts w:hint="eastAsia" w:ascii="仿宋" w:hAnsi="仿宋" w:eastAsia="仿宋" w:cs="仿宋"/>
          <w:sz w:val="32"/>
          <w:szCs w:val="32"/>
          <w:lang w:eastAsia="zh-CN"/>
        </w:rPr>
        <w:t>项目</w:t>
      </w:r>
      <w:r>
        <w:rPr>
          <w:rFonts w:hint="eastAsia" w:ascii="仿宋" w:hAnsi="仿宋" w:eastAsia="仿宋" w:cs="仿宋"/>
          <w:sz w:val="32"/>
          <w:szCs w:val="32"/>
        </w:rPr>
        <w:t>区稳定和谐及可持续发展。</w:t>
      </w:r>
    </w:p>
    <w:p>
      <w:pPr>
        <w:adjustRightInd w:val="0"/>
        <w:snapToGrid w:val="0"/>
        <w:spacing w:line="560" w:lineRule="exact"/>
        <w:ind w:firstLine="720"/>
        <w:rPr>
          <w:rFonts w:hint="eastAsia" w:ascii="黑体" w:hAnsi="宋体" w:eastAsia="黑体"/>
          <w:sz w:val="32"/>
          <w:szCs w:val="32"/>
        </w:rPr>
      </w:pPr>
      <w:r>
        <w:rPr>
          <w:rFonts w:hint="eastAsia" w:ascii="黑体" w:hAnsi="宋体" w:eastAsia="黑体"/>
          <w:sz w:val="32"/>
          <w:szCs w:val="32"/>
        </w:rPr>
        <w:t>五、问题及建议</w:t>
      </w:r>
    </w:p>
    <w:p>
      <w:pPr>
        <w:adjustRightInd w:val="0"/>
        <w:snapToGrid w:val="0"/>
        <w:spacing w:line="560" w:lineRule="exact"/>
        <w:ind w:firstLine="720"/>
        <w:rPr>
          <w:rFonts w:hint="eastAsia" w:ascii="楷体_GB2312" w:hAnsi="宋体" w:eastAsia="楷体_GB2312"/>
          <w:b/>
          <w:sz w:val="32"/>
          <w:szCs w:val="32"/>
          <w:lang w:val="zh-CN"/>
        </w:rPr>
      </w:pPr>
      <w:r>
        <w:rPr>
          <w:rFonts w:hint="eastAsia" w:ascii="楷体_GB2312" w:hAnsi="宋体" w:eastAsia="楷体_GB2312"/>
          <w:b/>
          <w:sz w:val="32"/>
          <w:szCs w:val="32"/>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cs="仿宋"/>
          <w:b/>
          <w:sz w:val="32"/>
          <w:szCs w:val="32"/>
          <w:lang w:val="zh-CN"/>
        </w:rPr>
      </w:pPr>
      <w:r>
        <w:rPr>
          <w:rFonts w:hint="eastAsia" w:ascii="仿宋" w:hAnsi="仿宋" w:eastAsia="仿宋" w:cs="仿宋"/>
          <w:bCs/>
          <w:sz w:val="32"/>
          <w:szCs w:val="32"/>
        </w:rPr>
        <w:t>1、</w:t>
      </w:r>
      <w:r>
        <w:rPr>
          <w:rFonts w:hint="eastAsia" w:ascii="仿宋" w:hAnsi="仿宋" w:eastAsia="仿宋" w:cs="仿宋"/>
          <w:color w:val="auto"/>
          <w:kern w:val="0"/>
          <w:sz w:val="32"/>
          <w:szCs w:val="32"/>
          <w:lang w:val="en-US" w:eastAsia="zh-CN"/>
        </w:rPr>
        <w:t>由于壤塘县山洪灾害危险区点多面广，项目覆盖存在较大困难。</w:t>
      </w:r>
    </w:p>
    <w:p>
      <w:pPr>
        <w:keepNext w:val="0"/>
        <w:keepLines w:val="0"/>
        <w:pageBreakBefore w:val="0"/>
        <w:widowControl w:val="0"/>
        <w:numPr>
          <w:ilvl w:val="0"/>
          <w:numId w:val="0"/>
        </w:numPr>
        <w:kinsoku/>
        <w:wordWrap/>
        <w:overflowPunct/>
        <w:topLinePunct w:val="0"/>
        <w:autoSpaceDE/>
        <w:autoSpaceDN/>
        <w:bidi w:val="0"/>
        <w:spacing w:beforeAutospacing="0" w:afterAutospacing="0" w:line="560" w:lineRule="exact"/>
        <w:ind w:right="0" w:rightChars="0" w:firstLine="643" w:firstLineChars="200"/>
        <w:jc w:val="both"/>
        <w:textAlignment w:val="auto"/>
        <w:outlineLvl w:val="9"/>
        <w:rPr>
          <w:rFonts w:hint="eastAsia" w:ascii="楷体_GB2312" w:hAnsi="宋体" w:eastAsia="楷体_GB2312"/>
          <w:b/>
          <w:sz w:val="32"/>
          <w:szCs w:val="32"/>
          <w:lang w:val="zh-CN"/>
        </w:rPr>
      </w:pPr>
      <w:r>
        <w:rPr>
          <w:rFonts w:hint="eastAsia" w:ascii="楷体_GB2312" w:hAnsi="宋体" w:eastAsia="楷体_GB2312"/>
          <w:b/>
          <w:sz w:val="32"/>
          <w:szCs w:val="32"/>
          <w:lang w:val="zh-CN"/>
        </w:rPr>
        <w:t>（二）相关建议。</w:t>
      </w:r>
    </w:p>
    <w:p>
      <w:pPr>
        <w:adjustRightInd w:val="0"/>
        <w:snapToGrid w:val="0"/>
        <w:spacing w:line="560" w:lineRule="exact"/>
        <w:ind w:firstLine="720"/>
        <w:rPr>
          <w:rFonts w:hint="eastAsia" w:ascii="仿宋" w:hAnsi="仿宋" w:eastAsia="仿宋" w:cs="仿宋"/>
          <w:b/>
          <w:sz w:val="32"/>
          <w:szCs w:val="32"/>
          <w:lang w:val="en-US"/>
        </w:rPr>
      </w:pPr>
      <w:r>
        <w:rPr>
          <w:rFonts w:hint="eastAsia" w:ascii="仿宋" w:hAnsi="仿宋" w:eastAsia="仿宋" w:cs="仿宋"/>
          <w:bCs/>
          <w:sz w:val="32"/>
          <w:szCs w:val="32"/>
          <w:lang w:val="en-US" w:eastAsia="zh-CN"/>
        </w:rPr>
        <w:t>1、</w:t>
      </w:r>
      <w:r>
        <w:rPr>
          <w:rFonts w:hint="eastAsia" w:ascii="仿宋" w:hAnsi="仿宋" w:eastAsia="仿宋" w:cs="仿宋"/>
          <w:b w:val="0"/>
          <w:bCs w:val="0"/>
          <w:color w:val="auto"/>
          <w:sz w:val="32"/>
          <w:szCs w:val="32"/>
          <w:lang w:val="en-US" w:eastAsia="zh-CN"/>
        </w:rPr>
        <w:t>建议因地制宜，分类施策，根据资金情况合理安排点位。</w:t>
      </w:r>
    </w:p>
    <w:p>
      <w:pPr>
        <w:rPr>
          <w:rFonts w:hint="eastAsia" w:ascii="仿宋" w:hAnsi="仿宋" w:eastAsia="仿宋" w:cs="仿宋"/>
          <w:sz w:val="32"/>
          <w:szCs w:val="32"/>
        </w:rPr>
      </w:pPr>
    </w:p>
    <w:p>
      <w:pPr>
        <w:adjustRightInd w:val="0"/>
        <w:snapToGrid w:val="0"/>
        <w:spacing w:line="560" w:lineRule="exact"/>
        <w:ind w:firstLine="720"/>
        <w:rPr>
          <w:rFonts w:hint="eastAsia" w:ascii="仿宋" w:hAnsi="仿宋" w:eastAsia="仿宋" w:cs="仿宋"/>
          <w:b/>
          <w:sz w:val="32"/>
          <w:szCs w:val="32"/>
          <w:lang w:val="zh-CN"/>
        </w:rPr>
      </w:pPr>
    </w:p>
    <w:p/>
    <w:p/>
    <w:p/>
    <w:p>
      <w:pPr>
        <w:widowControl/>
        <w:jc w:val="left"/>
        <w:rPr>
          <w:rStyle w:val="28"/>
          <w:rFonts w:ascii="黑体" w:hAnsi="黑体" w:eastAsia="黑体"/>
          <w:b w:val="0"/>
          <w:color w:val="auto"/>
          <w:highlight w:val="none"/>
        </w:rPr>
      </w:pPr>
      <w:r>
        <w:rPr>
          <w:rStyle w:val="28"/>
          <w:rFonts w:ascii="黑体" w:hAnsi="黑体" w:eastAsia="黑体"/>
          <w:b w:val="0"/>
          <w:color w:val="auto"/>
          <w:highlight w:val="none"/>
        </w:rPr>
        <w:br w:type="page"/>
      </w:r>
    </w:p>
    <w:p>
      <w:pPr>
        <w:spacing w:line="600" w:lineRule="exact"/>
        <w:jc w:val="center"/>
        <w:outlineLvl w:val="0"/>
        <w:rPr>
          <w:rFonts w:hint="eastAsia" w:ascii="仿宋" w:hAnsi="仿宋" w:eastAsia="仿宋"/>
          <w:b w:val="0"/>
          <w:color w:val="auto"/>
          <w:highlight w:val="none"/>
        </w:rPr>
      </w:pPr>
      <w:bookmarkStart w:id="63" w:name="_Toc15396618"/>
      <w:r>
        <w:rPr>
          <w:rFonts w:hint="eastAsia" w:ascii="黑体" w:hAnsi="黑体" w:eastAsia="黑体"/>
          <w:color w:val="auto"/>
          <w:sz w:val="44"/>
          <w:szCs w:val="44"/>
          <w:highlight w:val="none"/>
        </w:rPr>
        <w:t>第</w:t>
      </w:r>
      <w:r>
        <w:rPr>
          <w:rStyle w:val="28"/>
          <w:rFonts w:hint="eastAsia" w:ascii="黑体" w:hAnsi="黑体" w:eastAsia="黑体"/>
          <w:b w:val="0"/>
          <w:color w:val="auto"/>
          <w:highlight w:val="none"/>
        </w:rPr>
        <w:t>五部分 附表</w:t>
      </w:r>
      <w:bookmarkEnd w:id="60"/>
      <w:bookmarkEnd w:id="63"/>
      <w:bookmarkStart w:id="64" w:name="_Toc15396619"/>
    </w:p>
    <w:bookmarkEnd w:id="64"/>
    <w:p>
      <w:pPr>
        <w:pStyle w:val="4"/>
        <w:rPr>
          <w:rFonts w:ascii="仿宋" w:hAnsi="仿宋" w:eastAsia="仿宋"/>
          <w:color w:val="000000"/>
        </w:rPr>
      </w:pPr>
      <w:bookmarkStart w:id="65" w:name="_Toc79163886"/>
      <w:bookmarkStart w:id="66" w:name="_Toc79163636"/>
      <w:r>
        <w:rPr>
          <w:rFonts w:hint="eastAsia" w:ascii="仿宋" w:hAnsi="仿宋" w:eastAsia="仿宋"/>
          <w:b w:val="0"/>
          <w:color w:val="000000"/>
        </w:rPr>
        <w:t>一、收</w:t>
      </w:r>
      <w:r>
        <w:rPr>
          <w:rStyle w:val="29"/>
          <w:rFonts w:hint="eastAsia" w:ascii="仿宋" w:hAnsi="仿宋" w:eastAsia="仿宋"/>
          <w:b w:val="0"/>
          <w:bCs w:val="0"/>
        </w:rPr>
        <w:t>入支出决算总表</w:t>
      </w:r>
      <w:bookmarkEnd w:id="65"/>
      <w:bookmarkEnd w:id="66"/>
    </w:p>
    <w:p>
      <w:pPr>
        <w:pStyle w:val="4"/>
        <w:rPr>
          <w:rFonts w:ascii="仿宋" w:hAnsi="仿宋" w:eastAsia="仿宋"/>
          <w:color w:val="000000"/>
        </w:rPr>
      </w:pPr>
      <w:bookmarkStart w:id="67" w:name="_Toc15396620"/>
      <w:bookmarkStart w:id="68" w:name="_Toc79163887"/>
      <w:bookmarkStart w:id="69" w:name="_Toc79163637"/>
      <w:r>
        <w:rPr>
          <w:rFonts w:hint="eastAsia" w:ascii="仿宋" w:hAnsi="仿宋" w:eastAsia="仿宋"/>
          <w:b w:val="0"/>
          <w:color w:val="000000"/>
        </w:rPr>
        <w:t>二、收</w:t>
      </w:r>
      <w:r>
        <w:rPr>
          <w:rStyle w:val="29"/>
          <w:rFonts w:hint="eastAsia" w:ascii="仿宋" w:hAnsi="仿宋" w:eastAsia="仿宋"/>
          <w:b w:val="0"/>
          <w:bCs w:val="0"/>
        </w:rPr>
        <w:t>入决算表</w:t>
      </w:r>
      <w:bookmarkEnd w:id="67"/>
      <w:bookmarkEnd w:id="68"/>
      <w:bookmarkEnd w:id="69"/>
    </w:p>
    <w:p>
      <w:pPr>
        <w:pStyle w:val="4"/>
        <w:rPr>
          <w:rFonts w:ascii="仿宋" w:hAnsi="仿宋" w:eastAsia="仿宋"/>
          <w:color w:val="000000"/>
        </w:rPr>
      </w:pPr>
      <w:bookmarkStart w:id="70" w:name="_Toc79163638"/>
      <w:bookmarkStart w:id="71" w:name="_Toc79163888"/>
      <w:bookmarkStart w:id="72"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70"/>
      <w:bookmarkEnd w:id="71"/>
      <w:bookmarkEnd w:id="72"/>
    </w:p>
    <w:p>
      <w:pPr>
        <w:pStyle w:val="4"/>
        <w:rPr>
          <w:rFonts w:ascii="仿宋" w:hAnsi="仿宋" w:eastAsia="仿宋"/>
          <w:b w:val="0"/>
          <w:color w:val="000000"/>
        </w:rPr>
      </w:pPr>
      <w:bookmarkStart w:id="73" w:name="_Toc79163889"/>
      <w:bookmarkStart w:id="74" w:name="_Toc15396622"/>
      <w:bookmarkStart w:id="75" w:name="_Toc7916363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73"/>
      <w:bookmarkEnd w:id="74"/>
      <w:bookmarkEnd w:id="75"/>
    </w:p>
    <w:p>
      <w:pPr>
        <w:pStyle w:val="4"/>
        <w:rPr>
          <w:rStyle w:val="29"/>
          <w:rFonts w:ascii="仿宋" w:hAnsi="仿宋" w:eastAsia="仿宋"/>
          <w:b w:val="0"/>
          <w:bCs w:val="0"/>
        </w:rPr>
      </w:pPr>
      <w:bookmarkStart w:id="76" w:name="_Toc79163640"/>
      <w:bookmarkStart w:id="77" w:name="_Toc79163890"/>
      <w:bookmarkStart w:id="78"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76"/>
      <w:bookmarkEnd w:id="77"/>
      <w:bookmarkEnd w:id="78"/>
      <w:bookmarkStart w:id="79" w:name="_Toc15396624"/>
    </w:p>
    <w:p>
      <w:pPr>
        <w:pStyle w:val="4"/>
        <w:rPr>
          <w:rFonts w:ascii="仿宋" w:hAnsi="仿宋" w:eastAsia="仿宋"/>
          <w:color w:val="000000"/>
        </w:rPr>
      </w:pPr>
      <w:bookmarkStart w:id="80" w:name="_Toc79163641"/>
      <w:bookmarkStart w:id="81" w:name="_Toc7916389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79"/>
      <w:bookmarkEnd w:id="80"/>
      <w:bookmarkEnd w:id="81"/>
    </w:p>
    <w:p>
      <w:pPr>
        <w:pStyle w:val="4"/>
        <w:rPr>
          <w:rFonts w:ascii="仿宋" w:hAnsi="仿宋" w:eastAsia="仿宋"/>
          <w:color w:val="000000"/>
        </w:rPr>
      </w:pPr>
      <w:bookmarkStart w:id="82" w:name="_Toc79163892"/>
      <w:bookmarkStart w:id="83" w:name="_Toc15396625"/>
      <w:bookmarkStart w:id="84" w:name="_Toc79163642"/>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82"/>
      <w:bookmarkEnd w:id="83"/>
      <w:bookmarkEnd w:id="84"/>
    </w:p>
    <w:p>
      <w:pPr>
        <w:pStyle w:val="4"/>
        <w:rPr>
          <w:rFonts w:ascii="仿宋" w:hAnsi="仿宋" w:eastAsia="仿宋"/>
          <w:color w:val="000000"/>
        </w:rPr>
      </w:pPr>
      <w:bookmarkStart w:id="85" w:name="_Toc15396626"/>
      <w:bookmarkStart w:id="86" w:name="_Toc79163893"/>
      <w:bookmarkStart w:id="87" w:name="_Toc79163643"/>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85"/>
      <w:bookmarkEnd w:id="86"/>
      <w:bookmarkEnd w:id="87"/>
    </w:p>
    <w:p>
      <w:pPr>
        <w:pStyle w:val="4"/>
        <w:rPr>
          <w:rFonts w:ascii="仿宋" w:hAnsi="仿宋" w:eastAsia="仿宋"/>
          <w:color w:val="000000"/>
        </w:rPr>
      </w:pPr>
      <w:bookmarkStart w:id="88" w:name="_Toc15396627"/>
      <w:bookmarkStart w:id="89" w:name="_Toc79163644"/>
      <w:bookmarkStart w:id="90" w:name="_Toc7916389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88"/>
      <w:bookmarkEnd w:id="89"/>
      <w:bookmarkEnd w:id="90"/>
    </w:p>
    <w:p>
      <w:pPr>
        <w:pStyle w:val="4"/>
        <w:rPr>
          <w:rFonts w:ascii="仿宋" w:hAnsi="仿宋" w:eastAsia="仿宋"/>
          <w:color w:val="000000"/>
        </w:rPr>
      </w:pPr>
      <w:bookmarkStart w:id="91" w:name="_Toc79163645"/>
      <w:bookmarkStart w:id="92" w:name="_Toc15396628"/>
      <w:bookmarkStart w:id="93" w:name="_Toc79163895"/>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91"/>
      <w:bookmarkEnd w:id="92"/>
      <w:bookmarkEnd w:id="93"/>
    </w:p>
    <w:p>
      <w:pPr>
        <w:pStyle w:val="4"/>
        <w:rPr>
          <w:rFonts w:ascii="仿宋" w:hAnsi="仿宋" w:eastAsia="仿宋"/>
          <w:color w:val="000000"/>
        </w:rPr>
      </w:pPr>
      <w:bookmarkStart w:id="94" w:name="_Toc79163646"/>
      <w:bookmarkStart w:id="95" w:name="_Toc79163896"/>
      <w:bookmarkStart w:id="96"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94"/>
      <w:bookmarkEnd w:id="95"/>
      <w:bookmarkEnd w:id="96"/>
    </w:p>
    <w:p>
      <w:pPr>
        <w:pStyle w:val="4"/>
        <w:rPr>
          <w:rFonts w:ascii="仿宋" w:hAnsi="仿宋" w:eastAsia="仿宋"/>
          <w:color w:val="000000"/>
        </w:rPr>
      </w:pPr>
      <w:bookmarkStart w:id="97" w:name="_Toc15396630"/>
      <w:bookmarkStart w:id="98" w:name="_Toc79163647"/>
      <w:bookmarkStart w:id="99" w:name="_Toc79163897"/>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97"/>
      <w:bookmarkEnd w:id="98"/>
      <w:bookmarkEnd w:id="99"/>
    </w:p>
    <w:p>
      <w:pPr>
        <w:pStyle w:val="4"/>
        <w:rPr>
          <w:rStyle w:val="29"/>
          <w:rFonts w:ascii="仿宋" w:hAnsi="仿宋" w:eastAsia="仿宋"/>
          <w:b w:val="0"/>
          <w:bCs w:val="0"/>
        </w:rPr>
      </w:pPr>
      <w:bookmarkStart w:id="100" w:name="_Toc79163648"/>
      <w:bookmarkStart w:id="101" w:name="_Toc79163898"/>
      <w:bookmarkStart w:id="102"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有资本经营预算财政拨款支出决算表</w:t>
      </w:r>
      <w:bookmarkEnd w:id="100"/>
      <w:bookmarkEnd w:id="101"/>
      <w:bookmarkEnd w:id="102"/>
    </w:p>
    <w:p>
      <w:pPr>
        <w:pStyle w:val="4"/>
        <w:rPr>
          <w:rStyle w:val="29"/>
          <w:rFonts w:ascii="仿宋" w:hAnsi="仿宋" w:eastAsia="仿宋"/>
          <w:b w:val="0"/>
          <w:bCs w:val="0"/>
        </w:rPr>
      </w:pPr>
      <w:bookmarkStart w:id="103" w:name="_Toc79163899"/>
      <w:bookmarkStart w:id="104" w:name="_Toc79163649"/>
      <w:r>
        <w:rPr>
          <w:rStyle w:val="29"/>
          <w:rFonts w:hint="eastAsia" w:ascii="仿宋" w:hAnsi="仿宋" w:eastAsia="仿宋"/>
          <w:b w:val="0"/>
          <w:bCs w:val="0"/>
        </w:rPr>
        <w:t>十四、国有资本经营预算财政拨款支出决算表</w:t>
      </w:r>
      <w:bookmarkEnd w:id="103"/>
      <w:bookmarkEnd w:id="104"/>
    </w:p>
    <w:p>
      <w:pPr>
        <w:pStyle w:val="4"/>
        <w:rPr>
          <w:rFonts w:hint="eastAsia" w:eastAsia="仿宋"/>
          <w:color w:val="auto"/>
          <w:highlight w:val="none"/>
          <w:lang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8</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6284B7"/>
    <w:multiLevelType w:val="singleLevel"/>
    <w:tmpl w:val="A96284B7"/>
    <w:lvl w:ilvl="0" w:tentative="0">
      <w:start w:val="2"/>
      <w:numFmt w:val="chineseCounting"/>
      <w:suff w:val="nothing"/>
      <w:lvlText w:val="（%1）"/>
      <w:lvlJc w:val="left"/>
      <w:rPr>
        <w:rFonts w:hint="eastAsia"/>
      </w:rPr>
    </w:lvl>
  </w:abstractNum>
  <w:abstractNum w:abstractNumId="1">
    <w:nsid w:val="BD271BF3"/>
    <w:multiLevelType w:val="singleLevel"/>
    <w:tmpl w:val="BD271BF3"/>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3B5DCB08"/>
    <w:multiLevelType w:val="singleLevel"/>
    <w:tmpl w:val="3B5DCB08"/>
    <w:lvl w:ilvl="0" w:tentative="0">
      <w:start w:val="2"/>
      <w:numFmt w:val="chineseCounting"/>
      <w:suff w:val="nothing"/>
      <w:lvlText w:val="（%1）"/>
      <w:lvlJc w:val="left"/>
      <w:rPr>
        <w:rFonts w:hint="eastAsia"/>
      </w:rPr>
    </w:lvl>
  </w:abstractNum>
  <w:num w:numId="1">
    <w:abstractNumId w:val="1"/>
  </w:num>
  <w:num w:numId="2">
    <w:abstractNumId w:val="4"/>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5530"/>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E686D"/>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D5E6B"/>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90D26"/>
    <w:rsid w:val="01BB6386"/>
    <w:rsid w:val="02143E91"/>
    <w:rsid w:val="025B7EA9"/>
    <w:rsid w:val="046035EC"/>
    <w:rsid w:val="04AB7991"/>
    <w:rsid w:val="04C64949"/>
    <w:rsid w:val="052027EF"/>
    <w:rsid w:val="066E0107"/>
    <w:rsid w:val="077F2A24"/>
    <w:rsid w:val="07996F6E"/>
    <w:rsid w:val="08551427"/>
    <w:rsid w:val="0862591E"/>
    <w:rsid w:val="08A56F46"/>
    <w:rsid w:val="0A2032A3"/>
    <w:rsid w:val="0AB25164"/>
    <w:rsid w:val="0AD02911"/>
    <w:rsid w:val="0AE35E5E"/>
    <w:rsid w:val="0C6D78FB"/>
    <w:rsid w:val="0D953505"/>
    <w:rsid w:val="0E5F077C"/>
    <w:rsid w:val="0F98263C"/>
    <w:rsid w:val="101860EC"/>
    <w:rsid w:val="10C055FF"/>
    <w:rsid w:val="10EE7BB1"/>
    <w:rsid w:val="112D6398"/>
    <w:rsid w:val="118107EC"/>
    <w:rsid w:val="135A5DB2"/>
    <w:rsid w:val="13D50BC4"/>
    <w:rsid w:val="13DD5E4A"/>
    <w:rsid w:val="145F4CD8"/>
    <w:rsid w:val="15121AA1"/>
    <w:rsid w:val="168701C6"/>
    <w:rsid w:val="16BB723D"/>
    <w:rsid w:val="17465DF4"/>
    <w:rsid w:val="1753307C"/>
    <w:rsid w:val="19442439"/>
    <w:rsid w:val="1A86702E"/>
    <w:rsid w:val="1AC30FB4"/>
    <w:rsid w:val="1BA56EF4"/>
    <w:rsid w:val="1BE8440E"/>
    <w:rsid w:val="1C1442AC"/>
    <w:rsid w:val="1D155CEE"/>
    <w:rsid w:val="1EB76FCA"/>
    <w:rsid w:val="1ECE7E90"/>
    <w:rsid w:val="1EE41F1C"/>
    <w:rsid w:val="1EF95861"/>
    <w:rsid w:val="1EFF31E4"/>
    <w:rsid w:val="1FF35744"/>
    <w:rsid w:val="2203771C"/>
    <w:rsid w:val="222832B6"/>
    <w:rsid w:val="22BD41DD"/>
    <w:rsid w:val="22C82957"/>
    <w:rsid w:val="238143BA"/>
    <w:rsid w:val="23860B96"/>
    <w:rsid w:val="23C90B06"/>
    <w:rsid w:val="240371BF"/>
    <w:rsid w:val="25F13467"/>
    <w:rsid w:val="25F90E43"/>
    <w:rsid w:val="27964E23"/>
    <w:rsid w:val="2931426B"/>
    <w:rsid w:val="29E50D44"/>
    <w:rsid w:val="29FD04D3"/>
    <w:rsid w:val="2BFC3064"/>
    <w:rsid w:val="2C1851E9"/>
    <w:rsid w:val="2C1C02CA"/>
    <w:rsid w:val="2C34175C"/>
    <w:rsid w:val="2C5A7127"/>
    <w:rsid w:val="2C8A61B5"/>
    <w:rsid w:val="2CB20D27"/>
    <w:rsid w:val="2D447041"/>
    <w:rsid w:val="2DF04E50"/>
    <w:rsid w:val="2E426148"/>
    <w:rsid w:val="2EBB7185"/>
    <w:rsid w:val="2F040D46"/>
    <w:rsid w:val="2F935604"/>
    <w:rsid w:val="300446B0"/>
    <w:rsid w:val="300E44B6"/>
    <w:rsid w:val="307111FC"/>
    <w:rsid w:val="319F7F4E"/>
    <w:rsid w:val="324E51E8"/>
    <w:rsid w:val="3304709D"/>
    <w:rsid w:val="34A62943"/>
    <w:rsid w:val="356611DD"/>
    <w:rsid w:val="36196667"/>
    <w:rsid w:val="365469B3"/>
    <w:rsid w:val="36AA5135"/>
    <w:rsid w:val="37302C53"/>
    <w:rsid w:val="376D39B2"/>
    <w:rsid w:val="37E16F03"/>
    <w:rsid w:val="38BB579D"/>
    <w:rsid w:val="38D469F0"/>
    <w:rsid w:val="396B6169"/>
    <w:rsid w:val="3AA73271"/>
    <w:rsid w:val="3BFB698B"/>
    <w:rsid w:val="3D012791"/>
    <w:rsid w:val="3D98207C"/>
    <w:rsid w:val="3E78745D"/>
    <w:rsid w:val="3ED10134"/>
    <w:rsid w:val="3F072580"/>
    <w:rsid w:val="3FC5467A"/>
    <w:rsid w:val="3FF55153"/>
    <w:rsid w:val="40791E6A"/>
    <w:rsid w:val="40F12EC5"/>
    <w:rsid w:val="41490344"/>
    <w:rsid w:val="418127DA"/>
    <w:rsid w:val="42F51508"/>
    <w:rsid w:val="42FD47E6"/>
    <w:rsid w:val="438B74A0"/>
    <w:rsid w:val="44E268DA"/>
    <w:rsid w:val="45AA55EB"/>
    <w:rsid w:val="471449B5"/>
    <w:rsid w:val="47513876"/>
    <w:rsid w:val="47667212"/>
    <w:rsid w:val="478C2945"/>
    <w:rsid w:val="48CC11D4"/>
    <w:rsid w:val="4A627F82"/>
    <w:rsid w:val="4B0E749A"/>
    <w:rsid w:val="4B4F25DA"/>
    <w:rsid w:val="4BC9114B"/>
    <w:rsid w:val="4BE068DB"/>
    <w:rsid w:val="4BF33D4E"/>
    <w:rsid w:val="4CCC6F62"/>
    <w:rsid w:val="4D577224"/>
    <w:rsid w:val="4D85518C"/>
    <w:rsid w:val="4E023E6B"/>
    <w:rsid w:val="4E337659"/>
    <w:rsid w:val="4EAB630A"/>
    <w:rsid w:val="4ECE2238"/>
    <w:rsid w:val="4F6374B1"/>
    <w:rsid w:val="4F700E2A"/>
    <w:rsid w:val="4FAC659A"/>
    <w:rsid w:val="4FB3346A"/>
    <w:rsid w:val="50F15216"/>
    <w:rsid w:val="51124F84"/>
    <w:rsid w:val="51FF0D91"/>
    <w:rsid w:val="52297F01"/>
    <w:rsid w:val="52330F46"/>
    <w:rsid w:val="523F1583"/>
    <w:rsid w:val="52C57920"/>
    <w:rsid w:val="530D3827"/>
    <w:rsid w:val="537E6D0A"/>
    <w:rsid w:val="53C53B21"/>
    <w:rsid w:val="53F92D81"/>
    <w:rsid w:val="55AD347D"/>
    <w:rsid w:val="55B571E2"/>
    <w:rsid w:val="55DC79DB"/>
    <w:rsid w:val="56132F11"/>
    <w:rsid w:val="570D60A0"/>
    <w:rsid w:val="587477A5"/>
    <w:rsid w:val="58C6201F"/>
    <w:rsid w:val="58F3114A"/>
    <w:rsid w:val="5985273E"/>
    <w:rsid w:val="5A1F463B"/>
    <w:rsid w:val="5AF92295"/>
    <w:rsid w:val="5B440846"/>
    <w:rsid w:val="5CD71FC4"/>
    <w:rsid w:val="5CEE0422"/>
    <w:rsid w:val="5CF74D78"/>
    <w:rsid w:val="5D666F62"/>
    <w:rsid w:val="5EC559AE"/>
    <w:rsid w:val="5F073105"/>
    <w:rsid w:val="5F216E17"/>
    <w:rsid w:val="5FC769D5"/>
    <w:rsid w:val="60483756"/>
    <w:rsid w:val="60970AA0"/>
    <w:rsid w:val="60A95D62"/>
    <w:rsid w:val="65102F09"/>
    <w:rsid w:val="65380904"/>
    <w:rsid w:val="655A7CC8"/>
    <w:rsid w:val="655F329E"/>
    <w:rsid w:val="65D703CC"/>
    <w:rsid w:val="660370FF"/>
    <w:rsid w:val="66060B08"/>
    <w:rsid w:val="664552AD"/>
    <w:rsid w:val="66710927"/>
    <w:rsid w:val="66E24CC5"/>
    <w:rsid w:val="67951740"/>
    <w:rsid w:val="68D54280"/>
    <w:rsid w:val="69650840"/>
    <w:rsid w:val="696A085B"/>
    <w:rsid w:val="6A0A340D"/>
    <w:rsid w:val="6A125F57"/>
    <w:rsid w:val="6A340C28"/>
    <w:rsid w:val="6A81319E"/>
    <w:rsid w:val="6AFD273A"/>
    <w:rsid w:val="6C4A05C8"/>
    <w:rsid w:val="6CD0551E"/>
    <w:rsid w:val="6D0D51E0"/>
    <w:rsid w:val="6D4824DD"/>
    <w:rsid w:val="6D55732B"/>
    <w:rsid w:val="6E7E3605"/>
    <w:rsid w:val="6FF5CC65"/>
    <w:rsid w:val="715C0E4B"/>
    <w:rsid w:val="72423437"/>
    <w:rsid w:val="72734D90"/>
    <w:rsid w:val="734F35CE"/>
    <w:rsid w:val="73890AA3"/>
    <w:rsid w:val="73AD73D5"/>
    <w:rsid w:val="73B6EB34"/>
    <w:rsid w:val="7401766B"/>
    <w:rsid w:val="744731E5"/>
    <w:rsid w:val="74FE29B7"/>
    <w:rsid w:val="75591DA3"/>
    <w:rsid w:val="75D90A83"/>
    <w:rsid w:val="75FC7381"/>
    <w:rsid w:val="764568F9"/>
    <w:rsid w:val="765058CC"/>
    <w:rsid w:val="76E3355F"/>
    <w:rsid w:val="778769C8"/>
    <w:rsid w:val="77A5059B"/>
    <w:rsid w:val="77B7000E"/>
    <w:rsid w:val="799A4276"/>
    <w:rsid w:val="79EE5BA4"/>
    <w:rsid w:val="7A377697"/>
    <w:rsid w:val="7A894339"/>
    <w:rsid w:val="7B320BC3"/>
    <w:rsid w:val="7C5B121C"/>
    <w:rsid w:val="7D3E1BB0"/>
    <w:rsid w:val="7DE260C3"/>
    <w:rsid w:val="7E39185B"/>
    <w:rsid w:val="7E6E6B7B"/>
    <w:rsid w:val="7ECE5A39"/>
    <w:rsid w:val="7EEF11D3"/>
    <w:rsid w:val="7F9C67CB"/>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Normal Indent"/>
    <w:basedOn w:val="1"/>
    <w:unhideWhenUsed/>
    <w:qFormat/>
    <w:uiPriority w:val="99"/>
    <w:pPr>
      <w:ind w:firstLine="420" w:firstLineChars="200"/>
    </w:pPr>
  </w:style>
  <w:style w:type="paragraph" w:styleId="7">
    <w:name w:val="Body Text Indent"/>
    <w:basedOn w:val="1"/>
    <w:qFormat/>
    <w:uiPriority w:val="0"/>
    <w:pPr>
      <w:spacing w:after="120"/>
      <w:ind w:leftChars="200"/>
    </w:pPr>
    <w:rPr>
      <w:rFonts w:ascii="仿宋_GB2312"/>
      <w:szCs w:val="32"/>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Body Text First Indent 2"/>
    <w:basedOn w:val="7"/>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w\Desktop\1.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sw\Desktop\22.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sw\Desktop\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w\Desktop\1.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sw\Desktop\5.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sw\Desktop\6.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sw\Desktop\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收入、支出总计变动情况表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867202953975999"/>
          <c:y val="0.139199255121043"/>
          <c:w val="0.887959910325729"/>
          <c:h val="0.710055865921788"/>
        </c:manualLayout>
      </c:layout>
      <c:barChart>
        <c:barDir val="col"/>
        <c:grouping val="clustered"/>
        <c:varyColors val="0"/>
        <c:ser>
          <c:idx val="0"/>
          <c:order val="0"/>
          <c:spPr>
            <a:solidFill>
              <a:schemeClr val="accent1"/>
            </a:solidFill>
            <a:ln>
              <a:noFill/>
            </a:ln>
            <a:effectLst/>
          </c:spPr>
          <c:invertIfNegative val="0"/>
          <c:dLbls>
            <c:dLbl>
              <c:idx val="0"/>
              <c:layout>
                <c:manualLayout>
                  <c:x val="-0.0583333333333333"/>
                  <c:y val="0.075924295774647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sz="9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2022</a:t>
                    </a:r>
                    <a:r>
                      <a:rPr altLang="en-US" sz="900" b="0" i="0" u="none" strike="noStrike" baseline="0">
                        <a:solidFill>
                          <a:srgbClr val="333333"/>
                        </a:solidFill>
                        <a:latin typeface="宋体" panose="02010600030101010101" charset="-122"/>
                        <a:ea typeface="宋体" panose="02010600030101010101" charset="-122"/>
                        <a:cs typeface="宋体" panose="02010600030101010101" charset="-122"/>
                      </a:rPr>
                      <a:t>年度收入</a:t>
                    </a:r>
                    <a:r>
                      <a:rPr lang="en-US" altLang="zh-CN" sz="900" b="0" i="0" u="none" strike="noStrike" baseline="0">
                        <a:solidFill>
                          <a:srgbClr val="333333"/>
                        </a:solidFill>
                        <a:latin typeface="宋体" panose="02010600030101010101" charset="-122"/>
                        <a:ea typeface="宋体" panose="02010600030101010101" charset="-122"/>
                        <a:cs typeface="宋体" panose="02010600030101010101" charset="-122"/>
                      </a:rPr>
                      <a:t>7797.36</a:t>
                    </a:r>
                    <a:r>
                      <a:rPr sz="900" b="0" i="0" u="none" strike="noStrike" baseline="0">
                        <a:solidFill>
                          <a:srgbClr val="333333"/>
                        </a:solidFill>
                        <a:latin typeface="宋体" panose="02010600030101010101" charset="-122"/>
                        <a:ea typeface="宋体" panose="02010600030101010101" charset="-122"/>
                        <a:cs typeface="宋体" panose="02010600030101010101" charset="-122"/>
                      </a:rPr>
                      <a:t>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sz="9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2021</a:t>
                    </a:r>
                    <a:r>
                      <a:rPr altLang="en-US" sz="900" b="0" i="0" u="none" strike="noStrike" baseline="0">
                        <a:solidFill>
                          <a:srgbClr val="333333"/>
                        </a:solidFill>
                        <a:latin typeface="宋体" panose="02010600030101010101" charset="-122"/>
                        <a:ea typeface="宋体" panose="02010600030101010101" charset="-122"/>
                        <a:cs typeface="宋体" panose="02010600030101010101" charset="-122"/>
                      </a:rPr>
                      <a:t>年度收入</a:t>
                    </a:r>
                    <a:r>
                      <a:rPr lang="en-US" altLang="zh-CN" sz="900" b="0" i="0" u="none" strike="noStrike" baseline="0">
                        <a:solidFill>
                          <a:srgbClr val="333333"/>
                        </a:solidFill>
                        <a:latin typeface="宋体" panose="02010600030101010101" charset="-122"/>
                        <a:ea typeface="宋体" panose="02010600030101010101" charset="-122"/>
                        <a:cs typeface="宋体" panose="02010600030101010101" charset="-122"/>
                      </a:rPr>
                      <a:t>5241.19</a:t>
                    </a:r>
                    <a:r>
                      <a:rPr sz="900" b="0" i="0" u="none" strike="noStrike" baseline="0">
                        <a:solidFill>
                          <a:srgbClr val="333333"/>
                        </a:solidFill>
                        <a:latin typeface="宋体" panose="02010600030101010101" charset="-122"/>
                        <a:ea typeface="宋体" panose="02010600030101010101" charset="-122"/>
                        <a:cs typeface="宋体" panose="02010600030101010101" charset="-122"/>
                      </a:rPr>
                      <a:t>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[1.xls]Sheet2!$B$29:$C$29</c:f>
              <c:numCache>
                <c:formatCode>General</c:formatCode>
                <c:ptCount val="2"/>
                <c:pt idx="0">
                  <c:v>7797.36</c:v>
                </c:pt>
                <c:pt idx="1">
                  <c:v>5241.19</c:v>
                </c:pt>
              </c:numCache>
            </c:numRef>
          </c:val>
        </c:ser>
        <c:ser>
          <c:idx val="1"/>
          <c:order val="1"/>
          <c:spPr>
            <a:solidFill>
              <a:schemeClr val="accent2"/>
            </a:solidFill>
            <a:ln>
              <a:noFill/>
            </a:ln>
            <a:effectLst/>
          </c:spPr>
          <c:invertIfNegative val="0"/>
          <c:dLbls>
            <c:dLbl>
              <c:idx val="0"/>
              <c:layout>
                <c:manualLayout>
                  <c:x val="0.09375"/>
                  <c:y val="0.066021126760563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sz="9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2022</a:t>
                    </a:r>
                    <a:r>
                      <a:rPr altLang="en-US" sz="900" b="0" i="0" u="none" strike="noStrike" baseline="0">
                        <a:solidFill>
                          <a:srgbClr val="333333"/>
                        </a:solidFill>
                        <a:latin typeface="宋体" panose="02010600030101010101" charset="-122"/>
                        <a:ea typeface="宋体" panose="02010600030101010101" charset="-122"/>
                        <a:cs typeface="宋体" panose="02010600030101010101" charset="-122"/>
                      </a:rPr>
                      <a:t>年度支出</a:t>
                    </a:r>
                    <a:r>
                      <a:rPr lang="en-US" altLang="zh-CN" sz="900" b="0" i="0" u="none" strike="noStrike" baseline="0">
                        <a:solidFill>
                          <a:srgbClr val="333333"/>
                        </a:solidFill>
                        <a:latin typeface="宋体" panose="02010600030101010101" charset="-122"/>
                        <a:ea typeface="宋体" panose="02010600030101010101" charset="-122"/>
                        <a:cs typeface="宋体" panose="02010600030101010101" charset="-122"/>
                      </a:rPr>
                      <a:t>7797.36</a:t>
                    </a:r>
                    <a:r>
                      <a:rPr sz="900" b="0" i="0" u="none" strike="noStrike" baseline="0">
                        <a:solidFill>
                          <a:srgbClr val="333333"/>
                        </a:solidFill>
                        <a:latin typeface="宋体" panose="02010600030101010101" charset="-122"/>
                        <a:ea typeface="宋体" panose="02010600030101010101" charset="-122"/>
                        <a:cs typeface="宋体" panose="02010600030101010101" charset="-122"/>
                      </a:rPr>
                      <a:t>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sz="9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2021</a:t>
                    </a:r>
                    <a:r>
                      <a:rPr altLang="en-US" sz="900" b="0" i="0" u="none" strike="noStrike" baseline="0">
                        <a:solidFill>
                          <a:srgbClr val="333333"/>
                        </a:solidFill>
                        <a:latin typeface="宋体" panose="02010600030101010101" charset="-122"/>
                        <a:ea typeface="宋体" panose="02010600030101010101" charset="-122"/>
                        <a:cs typeface="宋体" panose="02010600030101010101" charset="-122"/>
                      </a:rPr>
                      <a:t>年度支出</a:t>
                    </a:r>
                    <a:r>
                      <a:rPr lang="en-US" altLang="zh-CN" sz="900" b="0" i="0" u="none" strike="noStrike" baseline="0">
                        <a:solidFill>
                          <a:srgbClr val="333333"/>
                        </a:solidFill>
                        <a:latin typeface="宋体" panose="02010600030101010101" charset="-122"/>
                        <a:ea typeface="宋体" panose="02010600030101010101" charset="-122"/>
                        <a:cs typeface="宋体" panose="02010600030101010101" charset="-122"/>
                      </a:rPr>
                      <a:t>5241.19</a:t>
                    </a:r>
                    <a:r>
                      <a:rPr sz="900" b="0" i="0" u="none" strike="noStrike" baseline="0">
                        <a:solidFill>
                          <a:srgbClr val="333333"/>
                        </a:solidFill>
                        <a:latin typeface="宋体" panose="02010600030101010101" charset="-122"/>
                        <a:ea typeface="宋体" panose="02010600030101010101" charset="-122"/>
                        <a:cs typeface="宋体" panose="02010600030101010101" charset="-122"/>
                      </a:rPr>
                      <a:t>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[1.xls]Sheet2!$B$30:$C$30</c:f>
              <c:numCache>
                <c:formatCode>General</c:formatCode>
                <c:ptCount val="2"/>
                <c:pt idx="0">
                  <c:v>7797.36</c:v>
                </c:pt>
                <c:pt idx="1">
                  <c:v>5241.19</c:v>
                </c:pt>
              </c:numCache>
            </c:numRef>
          </c:val>
        </c:ser>
        <c:dLbls>
          <c:showLegendKey val="0"/>
          <c:showVal val="0"/>
          <c:showCatName val="0"/>
          <c:showSerName val="0"/>
          <c:showPercent val="0"/>
          <c:showBubbleSize val="0"/>
        </c:dLbls>
        <c:gapWidth val="219"/>
        <c:overlap val="-27"/>
        <c:axId val="941539409"/>
        <c:axId val="984798348"/>
      </c:barChart>
      <c:catAx>
        <c:axId val="941539409"/>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84798348"/>
        <c:crosses val="autoZero"/>
        <c:auto val="1"/>
        <c:lblAlgn val="ctr"/>
        <c:lblOffset val="100"/>
        <c:noMultiLvlLbl val="0"/>
      </c:catAx>
      <c:valAx>
        <c:axId val="98479834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4153940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600" b="1" i="0" u="none" strike="noStrike" kern="1200" cap="all" baseline="0">
                <a:solidFill>
                  <a:schemeClr val="tx1">
                    <a:lumMod val="65000"/>
                    <a:lumOff val="35000"/>
                  </a:schemeClr>
                </a:solidFill>
                <a:latin typeface="+mn-lt"/>
                <a:ea typeface="+mn-ea"/>
                <a:cs typeface="+mn-cs"/>
              </a:defRPr>
            </a:pPr>
            <a:r>
              <a:t>20</a:t>
            </a:r>
            <a:r>
              <a:rPr lang="en-US" altLang="zh-CN"/>
              <a:t>22</a:t>
            </a:r>
            <a:r>
              <a:t>年收入合计</a:t>
            </a:r>
            <a:r>
              <a:rPr lang="en-US" altLang="zh-CN"/>
              <a:t>7797.36</a:t>
            </a:r>
            <a:r>
              <a:t>万元 </a:t>
            </a:r>
          </a:p>
        </c:rich>
      </c:tx>
      <c:layout>
        <c:manualLayout>
          <c:xMode val="edge"/>
          <c:yMode val="edge"/>
          <c:x val="0.307422288980681"/>
          <c:y val="0.0434587813620072"/>
        </c:manualLayout>
      </c:layout>
      <c:overlay val="0"/>
      <c:spPr>
        <a:noFill/>
        <a:ln>
          <a:noFill/>
        </a:ln>
        <a:effectLst/>
      </c:spPr>
    </c:title>
    <c:autoTitleDeleted val="0"/>
    <c:plotArea>
      <c:layout>
        <c:manualLayout>
          <c:layoutTarget val="inner"/>
          <c:xMode val="edge"/>
          <c:yMode val="edge"/>
          <c:x val="0.322333333333333"/>
          <c:y val="0.214305555555556"/>
          <c:w val="0.352"/>
          <c:h val="0.586666666666667"/>
        </c:manualLayout>
      </c:layout>
      <c:pieChart>
        <c:varyColors val="1"/>
        <c:ser>
          <c:idx val="0"/>
          <c:order val="0"/>
          <c:spPr/>
          <c:explosion val="0"/>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spc="0" baseline="0">
                        <a:solidFill>
                          <a:schemeClr val="accent2"/>
                        </a:solidFill>
                        <a:latin typeface="+mn-lt"/>
                        <a:ea typeface="+mn-ea"/>
                        <a:cs typeface="+mn-cs"/>
                      </a:defRPr>
                    </a:pPr>
                    <a:r>
                      <a:t>一般公共预算财政拨款收入100%</a:t>
                    </a: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[2.xlsx]Sheet1!$A$6:$B$7</c:f>
              <c:multiLvlStrCache>
                <c:ptCount val="2"/>
                <c:lvl>
                  <c:pt idx="0">
                    <c:v>7797.36万元</c:v>
                  </c:pt>
                  <c:pt idx="1">
                    <c:v>7797.36万元</c:v>
                  </c:pt>
                </c:lvl>
                <c:lvl>
                  <c:pt idx="0">
                    <c:v>2022年收入合计</c:v>
                  </c:pt>
                  <c:pt idx="1">
                    <c:v>一般公共预算财政拨款收入</c:v>
                  </c:pt>
                </c:lvl>
              </c:multiLvlStrCache>
            </c:multiLvlStrRef>
          </c:cat>
          <c:val>
            <c:numRef>
              <c:f>[2.xlsx]Sheet1!$C$6:$C$7</c:f>
              <c:numCache>
                <c:formatCode>General</c:formatCode>
                <c:ptCount val="2"/>
                <c:pt idx="1" c:formatCode="0%">
                  <c:v>1</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en-US"/>
              <a:t>年</a:t>
            </a:r>
            <a:r>
              <a:t>本年支出 </a:t>
            </a:r>
          </a:p>
        </c:rich>
      </c:tx>
      <c:layout>
        <c:manualLayout>
          <c:xMode val="edge"/>
          <c:yMode val="edge"/>
          <c:x val="0.414444444444444"/>
          <c:y val="0.0305555555555556"/>
        </c:manualLayout>
      </c:layout>
      <c:overlay val="0"/>
      <c:spPr>
        <a:noFill/>
        <a:ln>
          <a:noFill/>
        </a:ln>
        <a:effectLst/>
      </c:spPr>
    </c:title>
    <c:autoTitleDeleted val="0"/>
    <c:plotArea>
      <c:layout>
        <c:manualLayout>
          <c:layoutTarget val="inner"/>
          <c:xMode val="edge"/>
          <c:yMode val="edge"/>
          <c:x val="0.322333333333333"/>
          <c:y val="0.214305555555556"/>
          <c:w val="0.352"/>
          <c:h val="0.586666666666667"/>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explosion val="1"/>
            <c:spPr>
              <a:solidFill>
                <a:schemeClr val="accent3"/>
              </a:solidFill>
              <a:ln w="19050">
                <a:solidFill>
                  <a:schemeClr val="lt1"/>
                </a:solidFill>
              </a:ln>
              <a:effectLst/>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基本支出</a:t>
                    </a:r>
                    <a:r>
                      <a:rPr lang="en-US" altLang="zh-CN"/>
                      <a:t>3</a:t>
                    </a:r>
                    <a:r>
                      <a:t>%</a:t>
                    </a:r>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r>
                      <a:rPr lang="en-US" altLang="zh-CN"/>
                      <a:t>97</a:t>
                    </a:r>
                    <a:r>
                      <a:t>%</a:t>
                    </a:r>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[3.xlsx]Sheet1!$A$6:$B$8</c:f>
              <c:multiLvlStrCache>
                <c:ptCount val="3"/>
                <c:lvl>
                  <c:pt idx="0">
                    <c:v>7797.36万元</c:v>
                  </c:pt>
                  <c:pt idx="1">
                    <c:v>169.24万元</c:v>
                  </c:pt>
                  <c:pt idx="2">
                    <c:v>7628.12万元</c:v>
                  </c:pt>
                </c:lvl>
                <c:lvl>
                  <c:pt idx="0">
                    <c:v>2022年本年支出合计</c:v>
                  </c:pt>
                  <c:pt idx="1">
                    <c:v>基本支出</c:v>
                  </c:pt>
                  <c:pt idx="2">
                    <c:v>项目支出</c:v>
                  </c:pt>
                </c:lvl>
              </c:multiLvlStrCache>
            </c:multiLvlStrRef>
          </c:cat>
          <c:val>
            <c:numRef>
              <c:f>[3.xlsx]Sheet1!$C$6:$C$8</c:f>
              <c:numCache>
                <c:formatCode>General</c:formatCode>
                <c:ptCount val="3"/>
                <c:pt idx="1" c:formatCode="0%">
                  <c:v>0.03</c:v>
                </c:pt>
                <c:pt idx="2" c:formatCode="0%">
                  <c:v>0.97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收入、支出总计变动情况表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0.0583333333333333"/>
                  <c:y val="0.075924295774647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sz="9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2022</a:t>
                    </a:r>
                    <a:r>
                      <a:rPr altLang="en-US" sz="900" b="0" i="0" u="none" strike="noStrike" baseline="0">
                        <a:solidFill>
                          <a:srgbClr val="333333"/>
                        </a:solidFill>
                        <a:latin typeface="宋体" panose="02010600030101010101" charset="-122"/>
                        <a:ea typeface="宋体" panose="02010600030101010101" charset="-122"/>
                        <a:cs typeface="宋体" panose="02010600030101010101" charset="-122"/>
                      </a:rPr>
                      <a:t>年度收入</a:t>
                    </a:r>
                    <a:r>
                      <a:rPr lang="en-US" altLang="zh-CN" sz="900" b="0" i="0" u="none" strike="noStrike" baseline="0">
                        <a:solidFill>
                          <a:srgbClr val="333333"/>
                        </a:solidFill>
                        <a:latin typeface="宋体" panose="02010600030101010101" charset="-122"/>
                        <a:ea typeface="宋体" panose="02010600030101010101" charset="-122"/>
                        <a:cs typeface="宋体" panose="02010600030101010101" charset="-122"/>
                      </a:rPr>
                      <a:t>7797.36</a:t>
                    </a:r>
                    <a:r>
                      <a:rPr sz="900" b="0" i="0" u="none" strike="noStrike" baseline="0">
                        <a:solidFill>
                          <a:srgbClr val="333333"/>
                        </a:solidFill>
                        <a:latin typeface="宋体" panose="02010600030101010101" charset="-122"/>
                        <a:ea typeface="宋体" panose="02010600030101010101" charset="-122"/>
                        <a:cs typeface="宋体" panose="02010600030101010101" charset="-122"/>
                      </a:rPr>
                      <a:t>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sz="9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2021</a:t>
                    </a:r>
                    <a:r>
                      <a:rPr altLang="en-US" sz="900" b="0" i="0" u="none" strike="noStrike" baseline="0">
                        <a:solidFill>
                          <a:srgbClr val="333333"/>
                        </a:solidFill>
                        <a:latin typeface="宋体" panose="02010600030101010101" charset="-122"/>
                        <a:ea typeface="宋体" panose="02010600030101010101" charset="-122"/>
                        <a:cs typeface="宋体" panose="02010600030101010101" charset="-122"/>
                      </a:rPr>
                      <a:t>年度收入</a:t>
                    </a:r>
                    <a:r>
                      <a:rPr lang="en-US" altLang="zh-CN" sz="900" b="0" i="0" u="none" strike="noStrike" baseline="0">
                        <a:solidFill>
                          <a:srgbClr val="333333"/>
                        </a:solidFill>
                        <a:latin typeface="宋体" panose="02010600030101010101" charset="-122"/>
                        <a:ea typeface="宋体" panose="02010600030101010101" charset="-122"/>
                        <a:cs typeface="宋体" panose="02010600030101010101" charset="-122"/>
                      </a:rPr>
                      <a:t>5241.19</a:t>
                    </a:r>
                    <a:r>
                      <a:rPr sz="900" b="0" i="0" u="none" strike="noStrike" baseline="0">
                        <a:solidFill>
                          <a:srgbClr val="333333"/>
                        </a:solidFill>
                        <a:latin typeface="宋体" panose="02010600030101010101" charset="-122"/>
                        <a:ea typeface="宋体" panose="02010600030101010101" charset="-122"/>
                        <a:cs typeface="宋体" panose="02010600030101010101" charset="-122"/>
                      </a:rPr>
                      <a:t>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[1.xls]Sheet2!$B$29:$C$29</c:f>
              <c:numCache>
                <c:formatCode>General</c:formatCode>
                <c:ptCount val="2"/>
                <c:pt idx="0">
                  <c:v>7797.36</c:v>
                </c:pt>
                <c:pt idx="1">
                  <c:v>5241.19</c:v>
                </c:pt>
              </c:numCache>
            </c:numRef>
          </c:val>
        </c:ser>
        <c:ser>
          <c:idx val="1"/>
          <c:order val="1"/>
          <c:spPr>
            <a:solidFill>
              <a:schemeClr val="accent2"/>
            </a:solidFill>
            <a:ln>
              <a:noFill/>
            </a:ln>
            <a:effectLst/>
          </c:spPr>
          <c:invertIfNegative val="0"/>
          <c:dLbls>
            <c:dLbl>
              <c:idx val="0"/>
              <c:layout>
                <c:manualLayout>
                  <c:x val="0.09375"/>
                  <c:y val="0.066021126760563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sz="9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2022</a:t>
                    </a:r>
                    <a:r>
                      <a:rPr altLang="en-US" sz="900" b="0" i="0" u="none" strike="noStrike" baseline="0">
                        <a:solidFill>
                          <a:srgbClr val="333333"/>
                        </a:solidFill>
                        <a:latin typeface="宋体" panose="02010600030101010101" charset="-122"/>
                        <a:ea typeface="宋体" panose="02010600030101010101" charset="-122"/>
                        <a:cs typeface="宋体" panose="02010600030101010101" charset="-122"/>
                      </a:rPr>
                      <a:t>年度支出</a:t>
                    </a:r>
                    <a:r>
                      <a:rPr lang="en-US" altLang="zh-CN" sz="900" b="0" i="0" u="none" strike="noStrike" baseline="0">
                        <a:solidFill>
                          <a:srgbClr val="333333"/>
                        </a:solidFill>
                        <a:latin typeface="宋体" panose="02010600030101010101" charset="-122"/>
                        <a:ea typeface="宋体" panose="02010600030101010101" charset="-122"/>
                        <a:cs typeface="宋体" panose="02010600030101010101" charset="-122"/>
                      </a:rPr>
                      <a:t>7797.36</a:t>
                    </a:r>
                    <a:r>
                      <a:rPr sz="900" b="0" i="0" u="none" strike="noStrike" baseline="0">
                        <a:solidFill>
                          <a:srgbClr val="333333"/>
                        </a:solidFill>
                        <a:latin typeface="宋体" panose="02010600030101010101" charset="-122"/>
                        <a:ea typeface="宋体" panose="02010600030101010101" charset="-122"/>
                        <a:cs typeface="宋体" panose="02010600030101010101" charset="-122"/>
                      </a:rPr>
                      <a:t>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sz="900" b="0" i="0" u="none" strike="noStrike" baseline="0">
                        <a:solidFill>
                          <a:srgbClr val="333333"/>
                        </a:solidFill>
                        <a:latin typeface="Calibri" panose="020F0502020204030204" pitchFamily="2" charset="0"/>
                        <a:ea typeface="Calibri" panose="020F0502020204030204" pitchFamily="2" charset="0"/>
                        <a:cs typeface="Calibri" panose="020F0502020204030204" pitchFamily="2" charset="0"/>
                      </a:rPr>
                      <a:t>2021</a:t>
                    </a:r>
                    <a:r>
                      <a:rPr altLang="en-US" sz="900" b="0" i="0" u="none" strike="noStrike" baseline="0">
                        <a:solidFill>
                          <a:srgbClr val="333333"/>
                        </a:solidFill>
                        <a:latin typeface="宋体" panose="02010600030101010101" charset="-122"/>
                        <a:ea typeface="宋体" panose="02010600030101010101" charset="-122"/>
                        <a:cs typeface="宋体" panose="02010600030101010101" charset="-122"/>
                      </a:rPr>
                      <a:t>年度支出</a:t>
                    </a:r>
                    <a:r>
                      <a:rPr lang="en-US" altLang="zh-CN" sz="900" b="0" i="0" u="none" strike="noStrike" baseline="0">
                        <a:solidFill>
                          <a:srgbClr val="333333"/>
                        </a:solidFill>
                        <a:latin typeface="宋体" panose="02010600030101010101" charset="-122"/>
                        <a:ea typeface="宋体" panose="02010600030101010101" charset="-122"/>
                        <a:cs typeface="宋体" panose="02010600030101010101" charset="-122"/>
                      </a:rPr>
                      <a:t>5241.19</a:t>
                    </a:r>
                    <a:r>
                      <a:rPr sz="900" b="0" i="0" u="none" strike="noStrike" baseline="0">
                        <a:solidFill>
                          <a:srgbClr val="333333"/>
                        </a:solidFill>
                        <a:latin typeface="宋体" panose="02010600030101010101" charset="-122"/>
                        <a:ea typeface="宋体" panose="02010600030101010101" charset="-122"/>
                        <a:cs typeface="宋体" panose="02010600030101010101" charset="-122"/>
                      </a:rPr>
                      <a:t>万元</a:t>
                    </a:r>
                    <a:endParaRPr sz="1100" b="0" i="0" u="none" strike="noStrike" baseline="0">
                      <a:solidFill>
                        <a:srgbClr val="000000"/>
                      </a:solidFill>
                      <a:latin typeface="宋体" panose="02010600030101010101" charset="-122"/>
                      <a:ea typeface="宋体" panose="02010600030101010101" charset="-122"/>
                      <a:cs typeface="宋体" panose="02010600030101010101" charset="-12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[1.xls]Sheet2!$B$30:$C$30</c:f>
              <c:numCache>
                <c:formatCode>General</c:formatCode>
                <c:ptCount val="2"/>
                <c:pt idx="0">
                  <c:v>7797.36</c:v>
                </c:pt>
                <c:pt idx="1">
                  <c:v>5241.19</c:v>
                </c:pt>
              </c:numCache>
            </c:numRef>
          </c:val>
        </c:ser>
        <c:dLbls>
          <c:showLegendKey val="0"/>
          <c:showVal val="0"/>
          <c:showCatName val="0"/>
          <c:showSerName val="0"/>
          <c:showPercent val="0"/>
          <c:showBubbleSize val="0"/>
        </c:dLbls>
        <c:gapWidth val="219"/>
        <c:overlap val="-27"/>
        <c:axId val="10008593"/>
        <c:axId val="381138990"/>
      </c:barChart>
      <c:catAx>
        <c:axId val="1000859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1138990"/>
        <c:crosses val="autoZero"/>
        <c:auto val="1"/>
        <c:lblAlgn val="ctr"/>
        <c:lblOffset val="100"/>
        <c:noMultiLvlLbl val="0"/>
      </c:catAx>
      <c:valAx>
        <c:axId val="38113899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00859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p>
        </c:rich>
      </c:tx>
      <c:layout>
        <c:manualLayout>
          <c:xMode val="edge"/>
          <c:yMode val="edge"/>
          <c:x val="0.167116016014741"/>
          <c:y val="0.0442290521782895"/>
        </c:manualLayout>
      </c:layout>
      <c:overlay val="0"/>
      <c:spPr>
        <a:noFill/>
        <a:ln>
          <a:noFill/>
        </a:ln>
        <a:effectLst/>
      </c:spPr>
    </c:title>
    <c:autoTitleDeleted val="0"/>
    <c:plotArea>
      <c:layout>
        <c:manualLayout>
          <c:layoutTarget val="inner"/>
          <c:xMode val="edge"/>
          <c:yMode val="edge"/>
          <c:x val="0.322333333333333"/>
          <c:y val="0.214305555555556"/>
          <c:w val="0.352"/>
          <c:h val="0.586666666666667"/>
        </c:manualLayout>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dPt>
          <c:dPt>
            <c:idx val="1"/>
            <c:invertIfNegative val="0"/>
            <c:bubble3D val="0"/>
            <c:spPr>
              <a:solidFill>
                <a:schemeClr val="accent1"/>
              </a:solidFill>
              <a:ln w="19050">
                <a:solidFill>
                  <a:schemeClr val="lt1"/>
                </a:solidFill>
              </a:ln>
              <a:effectLst/>
            </c:spPr>
          </c:dPt>
          <c:dPt>
            <c:idx val="2"/>
            <c:invertIfNegative val="0"/>
            <c:bubble3D val="0"/>
            <c:explosion val="1"/>
            <c:spPr>
              <a:solidFill>
                <a:schemeClr val="accent1"/>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2022</a:t>
                    </a:r>
                    <a:r>
                      <a:rPr altLang="en-US"/>
                      <a:t>年一般公共预算财政拨款支出</a:t>
                    </a:r>
                    <a:r>
                      <a:rPr lang="en-US" altLang="zh-CN"/>
                      <a:t>7797.36</a:t>
                    </a:r>
                    <a:r>
                      <a:rPr altLang="en-US"/>
                      <a:t>万元</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00922722029988466"/>
                  <c:y val="0.0021276595744680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2021</a:t>
                    </a:r>
                    <a:r>
                      <a:rPr altLang="en-US"/>
                      <a:t>年一般公共预算财政拨款支出</a:t>
                    </a:r>
                    <a:r>
                      <a:rPr lang="en-US" altLang="zh-CN"/>
                      <a:t>5241.19</a:t>
                    </a:r>
                    <a:r>
                      <a:rPr altLang="en-US"/>
                      <a:t>万元</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项目支出</a:t>
                    </a:r>
                    <a:r>
                      <a:rPr lang="en-US" altLang="zh-CN"/>
                      <a:t>84</a:t>
                    </a:r>
                    <a:r>
                      <a:t>%</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[5.xlsx]Sheet1!$A$6:$B$8</c:f>
              <c:multiLvlStrCache>
                <c:ptCount val="3"/>
                <c:lvl>
                  <c:pt idx="0">
                    <c:v>7797.36万元</c:v>
                  </c:pt>
                  <c:pt idx="1">
                    <c:v>5241.19万元</c:v>
                  </c:pt>
                </c:lvl>
                <c:lvl>
                  <c:pt idx="0">
                    <c:v>2022年一般公共预算财政拨款支出</c:v>
                  </c:pt>
                  <c:pt idx="1">
                    <c:v>2021年一般公共预算财政拨款支出</c:v>
                  </c:pt>
                </c:lvl>
              </c:multiLvlStrCache>
            </c:multiLvlStrRef>
          </c:cat>
          <c:val>
            <c:numRef>
              <c:f>[5.xlsx]Sheet1!$C$6:$C$8</c:f>
              <c:numCache>
                <c:formatCode>0%</c:formatCode>
                <c:ptCount val="3"/>
                <c:pt idx="0">
                  <c:v>0.65</c:v>
                </c:pt>
                <c:pt idx="1">
                  <c:v>0.35</c:v>
                </c:pt>
              </c:numCache>
            </c:numRef>
          </c:val>
        </c:ser>
        <c:dLbls>
          <c:showLegendKey val="0"/>
          <c:showVal val="1"/>
          <c:showCatName val="0"/>
          <c:showSerName val="0"/>
          <c:showPercent val="0"/>
          <c:showBubbleSize val="0"/>
        </c:dLbls>
        <c:gapWidth val="150"/>
        <c:overlap val="0"/>
        <c:axId val="770136370"/>
        <c:axId val="837282436"/>
      </c:barChart>
      <c:catAx>
        <c:axId val="770136370"/>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7282436"/>
        <c:crosses val="autoZero"/>
        <c:auto val="1"/>
        <c:lblAlgn val="ctr"/>
        <c:lblOffset val="100"/>
        <c:noMultiLvlLbl val="0"/>
      </c:catAx>
      <c:valAx>
        <c:axId val="8372824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0136370"/>
        <c:crosses val="autoZero"/>
        <c:crossBetween val="between"/>
      </c:valAx>
      <c:spPr>
        <a:noFill/>
        <a:ln>
          <a:noFill/>
        </a:ln>
        <a:effectLst/>
      </c:spPr>
    </c:plotArea>
    <c:legend>
      <c:legendPos val="b"/>
      <c:layout>
        <c:manualLayout>
          <c:xMode val="edge"/>
          <c:yMode val="edge"/>
          <c:x val="0.121597222222222"/>
          <c:y val="0.91550925925925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[6.xlsx]Sheet1!$A$6:$B$15</c:f>
              <c:multiLvlStrCache>
                <c:ptCount val="10"/>
                <c:lvl>
                  <c:pt idx="0" c:formatCode="#,##0.00">
                    <c:v>7797.36万元</c:v>
                  </c:pt>
                  <c:pt idx="1" c:formatCode="#,##0.00">
                    <c:v>30.44万元</c:v>
                  </c:pt>
                  <c:pt idx="2" c:formatCode="#,##0.00">
                    <c:v>6.8万元</c:v>
                  </c:pt>
                  <c:pt idx="3" c:formatCode="#,##0.00">
                    <c:v>1628.97万元</c:v>
                  </c:pt>
                  <c:pt idx="4">
                    <c:v>151.78万元</c:v>
                  </c:pt>
                  <c:pt idx="5">
                    <c:v>7.52万元</c:v>
                  </c:pt>
                  <c:pt idx="6">
                    <c:v>1279.4万元</c:v>
                  </c:pt>
                  <c:pt idx="7">
                    <c:v>1803.34万元</c:v>
                  </c:pt>
                  <c:pt idx="8">
                    <c:v>9.6万元</c:v>
                  </c:pt>
                  <c:pt idx="9">
                    <c:v>1851.63万元</c:v>
                  </c:pt>
                </c:lvl>
                <c:lvl>
                  <c:pt idx="0">
                    <c:v>2022年一般公共预算财政拨款支出</c:v>
                  </c:pt>
                  <c:pt idx="1">
                    <c:v>一般公共服务支出</c:v>
                  </c:pt>
                  <c:pt idx="2">
                    <c:v>公共安全支出</c:v>
                  </c:pt>
                  <c:pt idx="3">
                    <c:v>教育支出</c:v>
                  </c:pt>
                  <c:pt idx="4">
                    <c:v>社会保障和就业支出</c:v>
                  </c:pt>
                  <c:pt idx="5">
                    <c:v>卫生健康支出</c:v>
                  </c:pt>
                  <c:pt idx="6">
                    <c:v>节能环保支出</c:v>
                  </c:pt>
                  <c:pt idx="7">
                    <c:v>农林水支出</c:v>
                  </c:pt>
                  <c:pt idx="8">
                    <c:v>住房保障支出</c:v>
                  </c:pt>
                  <c:pt idx="9">
                    <c:v>灾害防治及应急管理支出</c:v>
                  </c:pt>
                </c:lvl>
              </c:multiLvlStrCache>
            </c:multiLvlStrRef>
          </c:cat>
          <c:val>
            <c:numRef>
              <c:f>[6.xlsx]Sheet1!$C$6:$C$15</c:f>
              <c:numCache>
                <c:formatCode>General</c:formatCode>
                <c:ptCount val="10"/>
                <c:pt idx="1" c:formatCode="0%">
                  <c:v>0.02</c:v>
                </c:pt>
                <c:pt idx="2" c:formatCode="0%">
                  <c:v>0.01</c:v>
                </c:pt>
                <c:pt idx="3" c:formatCode="0%">
                  <c:v>0.18</c:v>
                </c:pt>
                <c:pt idx="4" c:formatCode="0%">
                  <c:v>0.03</c:v>
                </c:pt>
                <c:pt idx="5" c:formatCode="0%">
                  <c:v>0.01</c:v>
                </c:pt>
                <c:pt idx="6" c:formatCode="0%">
                  <c:v>0.13</c:v>
                </c:pt>
                <c:pt idx="7" c:formatCode="0%">
                  <c:v>0.23</c:v>
                </c:pt>
                <c:pt idx="8" c:formatCode="0%">
                  <c:v>0.01</c:v>
                </c:pt>
                <c:pt idx="9" c:formatCode="0%">
                  <c:v>0.25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a:t>
            </a:r>
            <a:r>
              <a:rPr lang="en-US" altLang="zh-CN"/>
              <a:t>”</a:t>
            </a:r>
            <a:r>
              <a:rPr altLang="en-US"/>
              <a:t>经费财政拨款支出结构</a:t>
            </a:r>
            <a:r>
              <a:t> </a:t>
            </a:r>
          </a:p>
        </c:rich>
      </c:tx>
      <c:layout>
        <c:manualLayout>
          <c:xMode val="edge"/>
          <c:yMode val="edge"/>
          <c:x val="0.317226376840495"/>
          <c:y val="0.0490057400574006"/>
        </c:manualLayout>
      </c:layout>
      <c:overlay val="0"/>
      <c:spPr>
        <a:noFill/>
        <a:ln>
          <a:noFill/>
        </a:ln>
        <a:effectLst/>
      </c:spPr>
    </c:title>
    <c:autoTitleDeleted val="0"/>
    <c:plotArea>
      <c:layout>
        <c:manualLayout>
          <c:layoutTarget val="inner"/>
          <c:xMode val="edge"/>
          <c:yMode val="edge"/>
          <c:x val="0.322333333333333"/>
          <c:y val="0.214305555555556"/>
          <c:w val="0.352"/>
          <c:h val="0.586666666666667"/>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0334492415561368"/>
                  <c:y val="-0.188418694785113"/>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公务用车运行维护费支出</a:t>
                    </a:r>
                    <a:r>
                      <a:rPr lang="en-US" altLang="zh-CN"/>
                      <a:t>100</a:t>
                    </a:r>
                    <a:r>
                      <a:t>%</a:t>
                    </a:r>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公务接待费支出</a:t>
                    </a:r>
                    <a:r>
                      <a:rPr lang="en-US" altLang="zh-CN"/>
                      <a:t>0.23%</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multiLvlStrRef>
              <c:f>[7.xlsx]Sheet1!$A$6:$B$7</c:f>
              <c:multiLvlStrCache>
                <c:ptCount val="2"/>
                <c:lvl>
                  <c:pt idx="0">
                    <c:v>4.86万元</c:v>
                  </c:pt>
                </c:lvl>
                <c:lvl>
                  <c:pt idx="0">
                    <c:v>公务用车运行维护费支出决算</c:v>
                  </c:pt>
                </c:lvl>
              </c:multiLvlStrCache>
            </c:multiLvlStrRef>
          </c:cat>
          <c:val>
            <c:numRef>
              <c:f>[7.xlsx]Sheet1!$C$6:$C$7</c:f>
              <c:numCache>
                <c:formatCode>0.00%</c:formatCode>
                <c:ptCount val="2"/>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1299</Words>
  <Characters>7410</Characters>
  <Lines>61</Lines>
  <Paragraphs>17</Paragraphs>
  <TotalTime>8</TotalTime>
  <ScaleCrop>false</ScaleCrop>
  <LinksUpToDate>false</LinksUpToDate>
  <CharactersWithSpaces>8692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sw</cp:lastModifiedBy>
  <cp:lastPrinted>2023-07-31T02:35:00Z</cp:lastPrinted>
  <dcterms:modified xsi:type="dcterms:W3CDTF">2023-10-16T08:02:40Z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