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壤塘县</w:t>
      </w:r>
      <w:r>
        <w:rPr>
          <w:rFonts w:hint="eastAsia" w:ascii="黑体" w:hAnsi="黑体" w:eastAsia="黑体" w:cs="黑体"/>
          <w:sz w:val="72"/>
          <w:szCs w:val="72"/>
          <w:lang w:eastAsia="zh-CN"/>
        </w:rPr>
        <w:t>文化体育和旅游局2023</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ind w:firstLine="1560" w:firstLineChars="300"/>
        <w:jc w:val="both"/>
        <w:rPr>
          <w:rFonts w:ascii="黑体" w:hAnsi="黑体" w:eastAsia="黑体" w:cs="Times New Roman"/>
          <w:sz w:val="52"/>
          <w:szCs w:val="52"/>
        </w:rPr>
      </w:pPr>
      <w:r>
        <w:rPr>
          <w:rFonts w:hint="eastAsia" w:ascii="黑体" w:hAnsi="黑体" w:eastAsia="黑体" w:cs="黑体"/>
          <w:sz w:val="52"/>
          <w:szCs w:val="52"/>
          <w:lang w:val="en-US" w:eastAsia="zh-CN"/>
        </w:rPr>
        <w:t>2023</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ascii="黑体" w:hAnsi="黑体" w:eastAsia="黑体" w:cs="黑体"/>
          <w:sz w:val="52"/>
          <w:szCs w:val="52"/>
        </w:rPr>
        <w:t xml:space="preserve"> </w:t>
      </w:r>
      <w:r>
        <w:rPr>
          <w:rFonts w:hint="eastAsia" w:ascii="黑体" w:hAnsi="黑体" w:eastAsia="黑体" w:cs="黑体"/>
          <w:sz w:val="52"/>
          <w:szCs w:val="52"/>
          <w:lang w:val="en-US" w:eastAsia="zh-CN"/>
        </w:rPr>
        <w:t>13</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ind w:firstLine="3200" w:firstLineChars="1000"/>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t>目 录</w:t>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TOC \o "1-3" \h \u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_Toc26880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 基本职能及主要工作</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_Toc26880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3</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_Toc6680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（一）壤塘县文化体育和旅游局职能简介</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_Toc6680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3</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_Toc1890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（二）壤塘县文化体育和旅游局2023年重点工作</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_Toc1890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_Toc4158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 部门预算单位构成</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_Toc4158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_Toc19500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 收支预算情况说明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_Toc19500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_Toc31441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（一）收入预算情况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_Toc31441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_Toc21958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（二）支出预算情况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_Toc21958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_Toc9636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四、 财政拨款收支预算情况说明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_Toc9636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_Toc4998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五、 一般公共预算当年拨款情况说明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_Toc4998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_Toc29278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（一）一般公共预算当年拨款规模变化情况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_Toc29278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_Toc22927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（二）一般公共预算当年拨款结构情况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_Toc22927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_Toc24901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（三）一般公共预算当年拨款具体使用情况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_Toc24901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_Toc30963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六、一般公共预算基本支出情况说明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_Toc30963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9</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_Toc12642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七、“三公”经费财政拨款预算安排情况说明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_Toc12642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_Toc9689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八、政府性基金预算支出情况说明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_Toc9689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_Toc23192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九、其他重要事项的情况说明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_Toc23192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 机关运行经费</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_Toc31143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（二）政府采购情况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_Toc31143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_Toc12129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（三）国有资产占有使用情况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_Toc12129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9"/>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_Toc17726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（四）绩效目标设置情况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_Toc17726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_Toc9019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十、名词解释</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_Toc9019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10</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rPr>
          <w:rFonts w:ascii="黑体" w:hAnsi="黑体" w:eastAsia="黑体" w:cs="Times New Roman"/>
          <w:sz w:val="32"/>
          <w:szCs w:val="32"/>
        </w:rPr>
      </w:pPr>
      <w:r>
        <w:rPr>
          <w:rFonts w:hint="eastAsia" w:ascii="仿宋_GB2312" w:hAnsi="黑体" w:eastAsia="仿宋_GB2312" w:cs="Times New Roman"/>
          <w:kern w:val="0"/>
          <w:sz w:val="32"/>
          <w:szCs w:val="32"/>
          <w:lang w:val="en-US" w:eastAsia="zh-CN" w:bidi="ar-SA"/>
        </w:rPr>
        <w:fldChar w:fldCharType="end"/>
      </w: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28"/>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楷体_GB2312" w:hAnsi="黑体" w:eastAsia="楷体_GB2312" w:cs="楷体_GB2312"/>
          <w:b/>
          <w:bCs/>
          <w:kern w:val="2"/>
          <w:sz w:val="32"/>
          <w:szCs w:val="32"/>
        </w:rPr>
      </w:pPr>
      <w:bookmarkStart w:id="0" w:name="_Toc26880"/>
      <w:r>
        <w:rPr>
          <w:rFonts w:hint="eastAsia" w:ascii="黑体" w:hAnsi="黑体" w:eastAsia="黑体" w:cs="黑体"/>
          <w:kern w:val="2"/>
          <w:sz w:val="32"/>
          <w:szCs w:val="32"/>
        </w:rPr>
        <w:t>基本职能及主要工作</w:t>
      </w:r>
      <w:bookmarkEnd w:id="0"/>
    </w:p>
    <w:p>
      <w:pPr>
        <w:pStyle w:val="28"/>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 w:name="_Toc6680"/>
      <w:r>
        <w:rPr>
          <w:rFonts w:hint="eastAsia" w:ascii="楷体_GB2312" w:hAnsi="黑体" w:eastAsia="楷体_GB2312" w:cs="楷体_GB2312"/>
          <w:b/>
          <w:bCs/>
          <w:kern w:val="2"/>
          <w:sz w:val="32"/>
          <w:szCs w:val="32"/>
        </w:rPr>
        <w:t>壤塘县</w:t>
      </w:r>
      <w:r>
        <w:rPr>
          <w:rFonts w:hint="eastAsia" w:ascii="楷体_GB2312" w:hAnsi="黑体" w:eastAsia="楷体_GB2312" w:cs="楷体_GB2312"/>
          <w:b/>
          <w:bCs/>
          <w:kern w:val="2"/>
          <w:sz w:val="32"/>
          <w:szCs w:val="32"/>
          <w:lang w:eastAsia="zh-CN"/>
        </w:rPr>
        <w:t>文化体育和旅游局</w:t>
      </w:r>
      <w:r>
        <w:rPr>
          <w:rFonts w:hint="eastAsia" w:ascii="楷体_GB2312" w:hAnsi="黑体" w:eastAsia="楷体_GB2312" w:cs="楷体_GB2312"/>
          <w:b/>
          <w:bCs/>
          <w:kern w:val="2"/>
          <w:sz w:val="32"/>
          <w:szCs w:val="32"/>
        </w:rPr>
        <w:t>职能简介</w:t>
      </w:r>
      <w:bookmarkEnd w:id="1"/>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（一）贯彻落实党和国家关于文化、体育、旅游的方针政策和省委、州委、县委的决策部署，拟订文化、体育和旅游政策措施，起草文化、体育和旅游地方性法规、规章草案，负责本部门依法行政工作。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（二）组织推动全县文化、体育事业产业和旅游业发展，拟推进文化、体育和旅游产业融合发展，促进文化、体育和旅游与相关产业融合发展。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指导管理文艺事业，把握正确的创作导向，推动文化艺术创作生产，扶持体现社会主义核心价值观、具有导向性代表性示范性的文化艺术作品，推动各门类艺术、各艺术品种发展，推动中华优秀传统文化和壤塘本地特色文化传承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（四）负责公共文化、体育事业发展，推进全县公共文化体育服务体系建设和旅游公共服务建设，深入实施惠民工程，统筹推进文化、体育、旅游基本公共服务标准化、均等化。</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（五）推进文化、体育和旅游科技创新，推进文化、体育和旅游行业信息化、标准化建设。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负责非物质文化遗产保护工作，推动非物质文化遗产的保护、传承、普及、弘扬和振兴，履行文物行政督察职能，负责世界文化遗产保护和管理监督工作，组织开展世界文化与自然遗产、历史文化名城（镇、村）申报和监督管理工作，负责推动完善文物和博物馆公共服务体系建设。</w:t>
      </w:r>
    </w:p>
    <w:p>
      <w:pPr>
        <w:spacing w:line="560" w:lineRule="exact"/>
        <w:ind w:firstLine="640" w:firstLineChars="200"/>
        <w:rPr>
          <w:rFonts w:ascii="仿宋" w:hAnsi="仿宋" w:eastAsia="仿宋"/>
          <w:color w:val="000000"/>
          <w:sz w:val="32"/>
          <w:szCs w:val="32"/>
        </w:rPr>
      </w:pPr>
      <w:r>
        <w:rPr>
          <w:rFonts w:hint="eastAsia" w:ascii="仿宋_GB2312" w:hAnsi="仿宋_GB2312" w:eastAsia="仿宋_GB2312" w:cs="仿宋_GB2312"/>
          <w:sz w:val="32"/>
          <w:szCs w:val="32"/>
        </w:rPr>
        <w:t>（七）推动全县群众体育、竞技体育和青少年（学校）体育工作发展规划实施，推行全民健身计划，推动建立和完善全民健身服务体系，指导和开展群众性体育活动，研究和指导体育训练和运动员队伍建设，统筹组织全县综合性运动会、参加州级以上体育竞赛和综合性运动会，指导各级各类体育学校的建设和青少年业余训练及相关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指导全县文化、体育、旅游市场发展，对全县文化、体育、旅游市场依法进行行业监管，推进文化、体育、旅游行业信用体系建设，依法规范文化、体育、旅游市场。统筹全县文化、文物、体育、旅游市场综合行政执法，组织查处全县性、跨区域文化、文物、体育、旅游等市场的违法行为，督察督办大案要案，维护市场秩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负责管理、组织文化、体育和旅游对外及对港澳台交流合作与宣传推广工作，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强化文化、体育和旅游要素配置，统筹整合形成文化、体育和旅游发展新优势，</w:t>
      </w:r>
      <w:bookmarkStart w:id="21" w:name="_GoBack"/>
      <w:bookmarkEnd w:id="21"/>
      <w:r>
        <w:rPr>
          <w:rFonts w:hint="eastAsia" w:ascii="仿宋_GB2312" w:hAnsi="仿宋_GB2312" w:eastAsia="仿宋_GB2312" w:cs="仿宋_GB2312"/>
          <w:sz w:val="32"/>
          <w:szCs w:val="32"/>
        </w:rPr>
        <w:t>着力打造具有地方民族特色的文化、体育和旅游品牌，推进文化、体育和旅游融合发展，巩固旅游业的战略性支柱产业地位，推动旅游业向主导产业发展，提升壤塘文化软实力，建设文化强县，努力开创文化、体育和旅游工作新局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负责文化、体育和旅游系统及市场安全生产工作的综合协调与监督管理，依法履行行业职业健康监管职责，承担职责范围内生态环境保护、审批服务便民化等工作，承担文化、体育、旅游行业意识形态工作，负责机关节能。</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r>
        <w:rPr>
          <w:rFonts w:hint="eastAsia" w:ascii="仿宋_GB2312" w:hAnsi="仿宋_GB2312" w:eastAsia="仿宋_GB2312" w:cs="仿宋_GB2312"/>
          <w:sz w:val="32"/>
          <w:szCs w:val="32"/>
        </w:rPr>
        <w:t>（十一）完成上级交办的其他任务。</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3" w:firstLineChars="200"/>
        <w:jc w:val="left"/>
        <w:textAlignment w:val="auto"/>
        <w:outlineLvl w:val="1"/>
        <w:rPr>
          <w:rFonts w:hint="eastAsia" w:ascii="楷体_GB2312" w:hAnsi="黑体" w:eastAsia="楷体_GB2312" w:cs="楷体_GB2312"/>
          <w:b/>
          <w:bCs/>
          <w:color w:val="auto"/>
          <w:kern w:val="2"/>
          <w:sz w:val="32"/>
          <w:szCs w:val="32"/>
        </w:rPr>
      </w:pPr>
      <w:bookmarkStart w:id="2" w:name="_Toc1890"/>
      <w:r>
        <w:rPr>
          <w:rFonts w:hint="eastAsia" w:ascii="楷体_GB2312" w:hAnsi="黑体" w:eastAsia="楷体_GB2312" w:cs="楷体_GB2312"/>
          <w:b/>
          <w:bCs/>
          <w:color w:val="auto"/>
          <w:kern w:val="2"/>
          <w:sz w:val="32"/>
          <w:szCs w:val="32"/>
        </w:rPr>
        <w:t>（二）壤塘县</w:t>
      </w:r>
      <w:r>
        <w:rPr>
          <w:rFonts w:hint="eastAsia" w:ascii="楷体_GB2312" w:hAnsi="黑体" w:eastAsia="楷体_GB2312" w:cs="楷体_GB2312"/>
          <w:b/>
          <w:bCs/>
          <w:color w:val="auto"/>
          <w:kern w:val="2"/>
          <w:sz w:val="32"/>
          <w:szCs w:val="32"/>
          <w:lang w:eastAsia="zh-CN"/>
        </w:rPr>
        <w:t>文化体育和旅游局2023</w:t>
      </w:r>
      <w:r>
        <w:rPr>
          <w:rFonts w:hint="eastAsia" w:ascii="楷体_GB2312" w:hAnsi="黑体" w:eastAsia="楷体_GB2312" w:cs="楷体_GB2312"/>
          <w:b/>
          <w:bCs/>
          <w:color w:val="auto"/>
          <w:kern w:val="2"/>
          <w:sz w:val="32"/>
          <w:szCs w:val="32"/>
        </w:rPr>
        <w:t>年重点工作</w:t>
      </w:r>
      <w:bookmarkEnd w:id="2"/>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bookmarkStart w:id="3" w:name="_Toc4158"/>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w:t>
      </w:r>
      <w:r>
        <w:rPr>
          <w:rFonts w:hint="eastAsia"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一</w:t>
      </w: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）突出资源价值转化。</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一是以A级景区的提档升级以及全域旅游创建等工作为抓手，积极做好景区价值转化，加快推进博物馆的展陈项目。二是持续推动现有演艺项目提档升级</w:t>
      </w:r>
      <w:r>
        <w:rPr>
          <w:rFonts w:hint="eastAsia"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三是推进国家文保单位的生产性保护开发，积极探索考古与文旅融合发展的文化价值转换路径。</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w:t>
      </w:r>
      <w:r>
        <w:rPr>
          <w:rFonts w:hint="eastAsia"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二</w:t>
      </w: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）强化项目投资促进。</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是强化招商引资引领。针对重大项目、品牌项目从用地保障、基础配套等给予一定扶持，争取县委县政府的政策出台；继续抓好与业内知名酒店、旅行社的对接，持续招大引强。二是加快项目促建。完成壤巴拉博物馆展陈项目，实现开馆；加快各基础设施等重大项目建设，不断完善旅游硬件设施。</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w:t>
      </w:r>
      <w:r>
        <w:rPr>
          <w:rFonts w:hint="eastAsia"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三</w:t>
      </w: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）做优文旅品牌建设。</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是加快推进全域旅游示范区创建、名镇名村等创建工作。二是加强与知名OTA、旅行社合作，出台促销政策，拓展旅游团队市场。主动链接省内外各类活动，延展城市活动品牌。三是高品质举办文旅活动。四是扎实推进赛事活动。</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w:t>
      </w:r>
      <w:r>
        <w:rPr>
          <w:rFonts w:hint="eastAsia"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四</w:t>
      </w: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）加强基础配套提升。</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是纵深推进厕所革命，按照A级厕所标准对旅游厕所提档升级，全面提升旅游厕所的数量和质量。二是强化全域旅游大数据中心应用功能，建立文旅大数据信息、监督服务和营销平台，为游客提供智能导览、线上攻略、最新政策等便捷服务。三是完善旅游集散中心、旅游服务驿站、游客中心多层级的旅游服务功能体系。</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w:t>
      </w:r>
      <w:r>
        <w:rPr>
          <w:rFonts w:hint="eastAsia"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五</w:t>
      </w:r>
      <w:r>
        <w:rPr>
          <w:rFonts w:ascii="楷体_GB2312" w:hAnsi="楷体_GB2312" w:eastAsia="楷体_GB2312" w:cs="楷体_GB2312"/>
          <w:b w:val="0"/>
          <w:bCs w:val="0"/>
          <w:i w:val="0"/>
          <w:iCs w:val="0"/>
          <w:color w:val="auto"/>
          <w:kern w:val="2"/>
          <w:sz w:val="32"/>
          <w:szCs w:val="32"/>
          <w:highlight w:val="none"/>
          <w:shd w:val="clear" w:color="auto" w:fill="FFFFFF"/>
          <w:vertAlign w:val="baseline"/>
          <w:lang w:val="en-US" w:eastAsia="zh-CN"/>
        </w:rPr>
        <w:t>）夯实公共服务保障。</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是完善公共文化设施功能，全力推进基层综合文化服务中心示范点建设，持续实施文化阵地免费开放，开展图书流转工作，做好特殊群体的服务工作。二是继续开展文化惠民演出活动，举办各类文化培训，开展“全民阅读”活动。三是进一步规范文旅市场，开展不合理低价游整治</w:t>
      </w:r>
      <w:r>
        <w:rPr>
          <w:rFonts w:hint="eastAsia"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推动公共体育活动均等化、高质量发展。</w:t>
      </w:r>
    </w:p>
    <w:p>
      <w:pPr>
        <w:pStyle w:val="28"/>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0" w:leftChars="0"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部门预算单位构成</w:t>
      </w:r>
      <w:bookmarkEnd w:id="3"/>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Ansi="黑体"/>
          <w:kern w:val="2"/>
          <w:sz w:val="32"/>
          <w:szCs w:val="32"/>
        </w:rPr>
      </w:pPr>
      <w:r>
        <w:rPr>
          <w:rFonts w:hint="eastAsia" w:hAnsi="黑体"/>
          <w:kern w:val="2"/>
          <w:sz w:val="32"/>
          <w:szCs w:val="32"/>
        </w:rPr>
        <w:t>壤塘县</w:t>
      </w:r>
      <w:r>
        <w:rPr>
          <w:rFonts w:hint="eastAsia" w:hAnsi="黑体"/>
          <w:kern w:val="2"/>
          <w:sz w:val="32"/>
          <w:szCs w:val="32"/>
          <w:lang w:val="en-US" w:eastAsia="zh-CN"/>
        </w:rPr>
        <w:t>文化体育和旅游</w:t>
      </w:r>
      <w:r>
        <w:rPr>
          <w:rFonts w:hint="eastAsia" w:hAnsi="黑体"/>
          <w:kern w:val="2"/>
          <w:sz w:val="32"/>
          <w:szCs w:val="32"/>
        </w:rPr>
        <w:t>局属一级预算单位。</w:t>
      </w:r>
    </w:p>
    <w:p>
      <w:pPr>
        <w:pStyle w:val="28"/>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0" w:leftChars="0" w:firstLine="640" w:firstLineChars="200"/>
        <w:textAlignment w:val="auto"/>
        <w:outlineLvl w:val="0"/>
        <w:rPr>
          <w:rFonts w:hint="eastAsia" w:ascii="黑体" w:hAnsi="黑体" w:eastAsia="黑体" w:cs="黑体"/>
          <w:kern w:val="2"/>
          <w:sz w:val="32"/>
          <w:szCs w:val="32"/>
        </w:rPr>
      </w:pPr>
      <w:bookmarkStart w:id="4" w:name="_Toc19500"/>
      <w:r>
        <w:rPr>
          <w:rFonts w:hint="eastAsia" w:ascii="黑体" w:hAnsi="黑体" w:eastAsia="黑体" w:cs="黑体"/>
          <w:kern w:val="2"/>
          <w:sz w:val="32"/>
          <w:szCs w:val="32"/>
        </w:rPr>
        <w:t>收支预算情况说明</w:t>
      </w:r>
      <w:bookmarkEnd w:id="4"/>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eastAsia" w:hAnsi="黑体"/>
          <w:kern w:val="2"/>
          <w:sz w:val="32"/>
          <w:szCs w:val="32"/>
        </w:rPr>
        <w:t>按照综合预算的原则，壤塘县</w:t>
      </w:r>
      <w:r>
        <w:rPr>
          <w:rFonts w:hint="eastAsia" w:hAnsi="黑体"/>
          <w:kern w:val="2"/>
          <w:sz w:val="32"/>
          <w:szCs w:val="32"/>
          <w:lang w:eastAsia="zh-CN"/>
        </w:rPr>
        <w:t>文化体育和旅游局</w:t>
      </w:r>
      <w:r>
        <w:rPr>
          <w:rFonts w:hint="eastAsia" w:hAnsi="黑体"/>
          <w:kern w:val="2"/>
          <w:sz w:val="32"/>
          <w:szCs w:val="32"/>
        </w:rPr>
        <w:t>所有收入和支出均纳入部门预算管理。收入包括：一般公共预算拨款收入</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kern w:val="2"/>
          <w:sz w:val="32"/>
          <w:szCs w:val="32"/>
        </w:rPr>
        <w:t>万元；支出包括：文化旅游体育与传媒支出441.49万元，社会保障和就业支出124.84万元，卫生健康支出46.8万元，住房保障支</w:t>
      </w:r>
      <w:r>
        <w:rPr>
          <w:rFonts w:hint="eastAsia" w:hAnsi="黑体"/>
          <w:color w:val="auto"/>
          <w:kern w:val="2"/>
          <w:sz w:val="32"/>
          <w:szCs w:val="32"/>
        </w:rPr>
        <w:t>出62.79万元。壤塘县</w:t>
      </w:r>
      <w:r>
        <w:rPr>
          <w:rFonts w:hint="eastAsia" w:hAnsi="黑体"/>
          <w:color w:val="auto"/>
          <w:kern w:val="2"/>
          <w:sz w:val="32"/>
          <w:szCs w:val="32"/>
          <w:lang w:eastAsia="zh-CN"/>
        </w:rPr>
        <w:t>文化体育和旅游局2023</w:t>
      </w:r>
      <w:r>
        <w:rPr>
          <w:rFonts w:hAnsi="黑体"/>
          <w:color w:val="auto"/>
          <w:kern w:val="2"/>
          <w:sz w:val="32"/>
          <w:szCs w:val="32"/>
        </w:rPr>
        <w:t>年</w:t>
      </w:r>
      <w:r>
        <w:rPr>
          <w:rFonts w:hint="eastAsia" w:hAnsi="黑体"/>
          <w:color w:val="auto"/>
          <w:kern w:val="2"/>
          <w:sz w:val="32"/>
          <w:szCs w:val="32"/>
        </w:rPr>
        <w:t>收支总预算</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color w:val="auto"/>
          <w:kern w:val="2"/>
          <w:sz w:val="32"/>
          <w:szCs w:val="32"/>
        </w:rPr>
        <w:t>万元</w:t>
      </w:r>
      <w:r>
        <w:rPr>
          <w:rFonts w:hint="eastAsia" w:hAnsi="黑体"/>
          <w:color w:val="auto"/>
          <w:kern w:val="2"/>
          <w:sz w:val="32"/>
          <w:szCs w:val="32"/>
          <w:lang w:eastAsia="zh-CN"/>
        </w:rPr>
        <w:t>，</w:t>
      </w:r>
      <w:r>
        <w:rPr>
          <w:rFonts w:hint="eastAsia" w:hAnsi="黑体"/>
          <w:color w:val="auto"/>
          <w:kern w:val="2"/>
          <w:sz w:val="32"/>
          <w:szCs w:val="32"/>
        </w:rPr>
        <w:t>比</w:t>
      </w:r>
      <w:r>
        <w:rPr>
          <w:rFonts w:hint="eastAsia" w:hAnsi="黑体"/>
          <w:color w:val="auto"/>
          <w:kern w:val="2"/>
          <w:sz w:val="32"/>
          <w:szCs w:val="32"/>
          <w:lang w:eastAsia="zh-CN"/>
        </w:rPr>
        <w:t>2022</w:t>
      </w:r>
      <w:r>
        <w:rPr>
          <w:rFonts w:hAnsi="黑体"/>
          <w:color w:val="auto"/>
          <w:kern w:val="2"/>
          <w:sz w:val="32"/>
          <w:szCs w:val="32"/>
        </w:rPr>
        <w:t>年</w:t>
      </w:r>
      <w:r>
        <w:rPr>
          <w:rFonts w:hint="eastAsia" w:hAnsi="黑体"/>
          <w:color w:val="auto"/>
          <w:kern w:val="2"/>
          <w:sz w:val="32"/>
          <w:szCs w:val="32"/>
        </w:rPr>
        <w:t>收支预算总数</w:t>
      </w:r>
      <w:r>
        <w:rPr>
          <w:rFonts w:hint="eastAsia" w:hAnsi="黑体"/>
          <w:color w:val="auto"/>
          <w:kern w:val="2"/>
          <w:sz w:val="32"/>
          <w:szCs w:val="32"/>
          <w:lang w:val="en-US" w:eastAsia="zh-CN"/>
        </w:rPr>
        <w:t>增加</w:t>
      </w:r>
      <w:r>
        <w:rPr>
          <w:rFonts w:hint="eastAsia" w:hAnsi="黑体" w:cs="Times New Roman"/>
          <w:color w:val="000000" w:themeColor="text1"/>
          <w:kern w:val="2"/>
          <w:sz w:val="32"/>
          <w:szCs w:val="32"/>
          <w:lang w:val="en-US" w:eastAsia="zh-CN"/>
          <w14:textFill>
            <w14:solidFill>
              <w14:schemeClr w14:val="tx1"/>
            </w14:solidFill>
          </w14:textFill>
        </w:rPr>
        <w:t>77.76</w:t>
      </w:r>
      <w:r>
        <w:rPr>
          <w:rFonts w:hint="eastAsia" w:hAnsi="黑体"/>
          <w:color w:val="auto"/>
          <w:kern w:val="2"/>
          <w:sz w:val="32"/>
          <w:szCs w:val="32"/>
        </w:rPr>
        <w:t>万元，主要原因</w:t>
      </w:r>
      <w:r>
        <w:rPr>
          <w:rFonts w:hAnsi="黑体"/>
          <w:color w:val="auto"/>
          <w:kern w:val="2"/>
          <w:sz w:val="32"/>
          <w:szCs w:val="32"/>
        </w:rPr>
        <w:t>:</w:t>
      </w:r>
      <w:r>
        <w:rPr>
          <w:rFonts w:hint="eastAsia" w:hAnsi="黑体"/>
          <w:color w:val="auto"/>
          <w:kern w:val="2"/>
          <w:sz w:val="32"/>
          <w:szCs w:val="32"/>
          <w:lang w:eastAsia="zh-CN"/>
        </w:rPr>
        <w:t>2023</w:t>
      </w:r>
      <w:r>
        <w:rPr>
          <w:rFonts w:hint="eastAsia" w:hAnsi="黑体"/>
          <w:color w:val="auto"/>
          <w:kern w:val="2"/>
          <w:sz w:val="32"/>
          <w:szCs w:val="32"/>
        </w:rPr>
        <w:t>人员经费预</w:t>
      </w:r>
      <w:r>
        <w:rPr>
          <w:rFonts w:hint="eastAsia" w:hAnsi="黑体"/>
          <w:kern w:val="2"/>
          <w:sz w:val="32"/>
          <w:szCs w:val="32"/>
        </w:rPr>
        <w:t>算</w:t>
      </w:r>
      <w:r>
        <w:rPr>
          <w:rFonts w:hint="eastAsia" w:hAnsi="黑体"/>
          <w:kern w:val="2"/>
          <w:sz w:val="32"/>
          <w:szCs w:val="32"/>
          <w:lang w:val="en-US" w:eastAsia="zh-CN"/>
        </w:rPr>
        <w:t>增加</w:t>
      </w:r>
      <w:r>
        <w:rPr>
          <w:rFonts w:hint="eastAsia" w:hAnsi="黑体"/>
          <w:kern w:val="2"/>
          <w:sz w:val="32"/>
          <w:szCs w:val="32"/>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3" w:firstLineChars="200"/>
        <w:textAlignment w:val="auto"/>
        <w:outlineLvl w:val="1"/>
        <w:rPr>
          <w:rFonts w:hint="eastAsia" w:ascii="楷体_GB2312" w:hAnsi="黑体" w:eastAsia="楷体_GB2312" w:cs="楷体_GB2312"/>
          <w:b/>
          <w:bCs/>
          <w:kern w:val="2"/>
          <w:sz w:val="32"/>
          <w:szCs w:val="32"/>
        </w:rPr>
      </w:pPr>
      <w:bookmarkStart w:id="5" w:name="_Toc31441"/>
      <w:r>
        <w:rPr>
          <w:rFonts w:hint="eastAsia" w:ascii="楷体_GB2312" w:hAnsi="黑体" w:eastAsia="楷体_GB2312" w:cs="楷体_GB2312"/>
          <w:b/>
          <w:bCs/>
          <w:kern w:val="2"/>
          <w:sz w:val="32"/>
          <w:szCs w:val="32"/>
        </w:rPr>
        <w:t>（一）收入预算情况</w:t>
      </w:r>
      <w:bookmarkEnd w:id="5"/>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w:t>
      </w:r>
      <w:r>
        <w:rPr>
          <w:rFonts w:hint="eastAsia" w:hAnsi="黑体"/>
          <w:kern w:val="2"/>
          <w:sz w:val="32"/>
          <w:szCs w:val="32"/>
          <w:lang w:eastAsia="zh-CN"/>
        </w:rPr>
        <w:t>文化体育和旅游局2023</w:t>
      </w:r>
      <w:r>
        <w:rPr>
          <w:rFonts w:hAnsi="黑体"/>
          <w:kern w:val="2"/>
          <w:sz w:val="32"/>
          <w:szCs w:val="32"/>
        </w:rPr>
        <w:t>年</w:t>
      </w:r>
      <w:r>
        <w:rPr>
          <w:rFonts w:hint="eastAsia" w:hAnsi="黑体"/>
          <w:kern w:val="2"/>
          <w:sz w:val="32"/>
          <w:szCs w:val="32"/>
        </w:rPr>
        <w:t>收入预算</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kern w:val="2"/>
          <w:sz w:val="32"/>
          <w:szCs w:val="32"/>
        </w:rPr>
        <w:t>万元；一般公共预算拨款收入</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kern w:val="2"/>
          <w:sz w:val="32"/>
          <w:szCs w:val="32"/>
        </w:rPr>
        <w:t>万元，占</w:t>
      </w:r>
      <w:r>
        <w:rPr>
          <w:rFonts w:hint="eastAsia" w:hAnsi="黑体" w:cs="Times New Roman"/>
          <w:color w:val="000000" w:themeColor="text1"/>
          <w:kern w:val="2"/>
          <w:sz w:val="32"/>
          <w:szCs w:val="32"/>
          <w:lang w:val="en-US" w:eastAsia="zh-CN"/>
          <w14:textFill>
            <w14:solidFill>
              <w14:schemeClr w14:val="tx1"/>
            </w14:solidFill>
          </w14:textFill>
        </w:rPr>
        <w:t>100%</w:t>
      </w:r>
      <w:r>
        <w:rPr>
          <w:rFonts w:hint="eastAsia" w:hAnsi="黑体"/>
          <w:kern w:val="2"/>
          <w:sz w:val="32"/>
          <w:szCs w:val="32"/>
        </w:rPr>
        <w:t>。</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1"/>
        <w:rPr>
          <w:rFonts w:hint="eastAsia" w:ascii="楷体_GB2312" w:hAnsi="楷体_GB2312" w:eastAsia="楷体_GB2312" w:cs="楷体_GB2312"/>
          <w:b/>
          <w:bCs/>
          <w:kern w:val="2"/>
          <w:sz w:val="32"/>
          <w:szCs w:val="32"/>
        </w:rPr>
      </w:pPr>
      <w:bookmarkStart w:id="6" w:name="_Toc21958"/>
      <w:r>
        <w:rPr>
          <w:rFonts w:hint="eastAsia" w:hAnsi="黑体" w:eastAsia="楷体_GB2312"/>
          <w:kern w:val="2"/>
          <w:sz w:val="32"/>
          <w:szCs w:val="32"/>
          <w:lang w:eastAsia="zh-CN"/>
        </w:rPr>
        <w:t>（</w:t>
      </w:r>
      <w:r>
        <w:rPr>
          <w:rFonts w:hint="eastAsia" w:hAnsi="黑体" w:eastAsia="楷体_GB2312"/>
          <w:kern w:val="2"/>
          <w:sz w:val="32"/>
          <w:szCs w:val="32"/>
          <w:lang w:val="en-US" w:eastAsia="zh-CN"/>
        </w:rPr>
        <w:t>二</w:t>
      </w:r>
      <w:r>
        <w:rPr>
          <w:rFonts w:hint="eastAsia" w:hAnsi="黑体" w:eastAsia="楷体_GB2312"/>
          <w:kern w:val="2"/>
          <w:sz w:val="32"/>
          <w:szCs w:val="32"/>
          <w:lang w:eastAsia="zh-CN"/>
        </w:rPr>
        <w:t>）</w:t>
      </w:r>
      <w:r>
        <w:rPr>
          <w:rFonts w:hint="eastAsia" w:ascii="楷体_GB2312" w:hAnsi="楷体_GB2312" w:eastAsia="楷体_GB2312" w:cs="楷体_GB2312"/>
          <w:b/>
          <w:bCs/>
          <w:kern w:val="2"/>
          <w:sz w:val="32"/>
          <w:szCs w:val="32"/>
        </w:rPr>
        <w:t>支出预算情况</w:t>
      </w:r>
      <w:bookmarkEnd w:id="6"/>
    </w:p>
    <w:p>
      <w:pPr>
        <w:pStyle w:val="28"/>
        <w:spacing w:before="0" w:line="360" w:lineRule="auto"/>
        <w:ind w:firstLine="627" w:firstLineChars="196"/>
        <w:rPr>
          <w:rFonts w:hint="default" w:hAnsi="黑体" w:eastAsia="仿宋_GB2312" w:cs="Times New Roman"/>
          <w:kern w:val="2"/>
          <w:sz w:val="32"/>
          <w:szCs w:val="32"/>
          <w:lang w:val="en-US" w:eastAsia="zh-CN"/>
        </w:rPr>
      </w:pPr>
      <w:r>
        <w:rPr>
          <w:rFonts w:hint="eastAsia" w:hAnsi="黑体"/>
          <w:kern w:val="2"/>
          <w:sz w:val="32"/>
          <w:szCs w:val="32"/>
        </w:rPr>
        <w:t>壤塘县</w:t>
      </w:r>
      <w:r>
        <w:rPr>
          <w:rFonts w:hint="eastAsia" w:hAnsi="黑体"/>
          <w:kern w:val="2"/>
          <w:sz w:val="32"/>
          <w:szCs w:val="32"/>
          <w:lang w:eastAsia="zh-CN"/>
        </w:rPr>
        <w:t>文化体育和旅游局2023</w:t>
      </w:r>
      <w:r>
        <w:rPr>
          <w:rFonts w:hAnsi="黑体"/>
          <w:kern w:val="2"/>
          <w:sz w:val="32"/>
          <w:szCs w:val="32"/>
        </w:rPr>
        <w:t>年</w:t>
      </w:r>
      <w:r>
        <w:rPr>
          <w:rFonts w:hint="eastAsia" w:hAnsi="黑体"/>
          <w:kern w:val="2"/>
          <w:sz w:val="32"/>
          <w:szCs w:val="32"/>
        </w:rPr>
        <w:t>支出预算</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kern w:val="2"/>
          <w:sz w:val="32"/>
          <w:szCs w:val="32"/>
        </w:rPr>
        <w:t>万元，其中：基本支出657.56万元，占</w:t>
      </w:r>
      <w:r>
        <w:rPr>
          <w:rFonts w:hint="eastAsia" w:hAnsi="黑体" w:cs="Times New Roman"/>
          <w:color w:val="000000" w:themeColor="text1"/>
          <w:kern w:val="2"/>
          <w:sz w:val="32"/>
          <w:szCs w:val="32"/>
          <w:lang w:val="en-US" w:eastAsia="zh-CN"/>
          <w14:textFill>
            <w14:solidFill>
              <w14:schemeClr w14:val="tx1"/>
            </w14:solidFill>
          </w14:textFill>
        </w:rPr>
        <w:t>97%</w:t>
      </w:r>
      <w:r>
        <w:rPr>
          <w:rFonts w:hint="eastAsia" w:hAnsi="黑体"/>
          <w:kern w:val="2"/>
          <w:sz w:val="32"/>
          <w:szCs w:val="32"/>
          <w:lang w:eastAsia="zh-CN"/>
        </w:rPr>
        <w:t>；</w:t>
      </w:r>
      <w:r>
        <w:rPr>
          <w:rFonts w:hint="eastAsia" w:hAnsi="黑体"/>
          <w:kern w:val="2"/>
          <w:sz w:val="32"/>
          <w:szCs w:val="32"/>
          <w:lang w:val="en-US" w:eastAsia="zh-CN"/>
        </w:rPr>
        <w:t>项目支出18.36万元，占</w:t>
      </w:r>
      <w:r>
        <w:rPr>
          <w:rFonts w:hint="eastAsia" w:hAnsi="黑体" w:cs="Times New Roman"/>
          <w:color w:val="000000" w:themeColor="text1"/>
          <w:kern w:val="2"/>
          <w:sz w:val="32"/>
          <w:szCs w:val="32"/>
          <w:lang w:val="en-US" w:eastAsia="zh-CN"/>
          <w14:textFill>
            <w14:solidFill>
              <w14:schemeClr w14:val="tx1"/>
            </w14:solidFill>
          </w14:textFill>
        </w:rPr>
        <w:t>3%</w:t>
      </w:r>
      <w:r>
        <w:rPr>
          <w:rFonts w:hint="eastAsia" w:hAnsi="黑体"/>
          <w:kern w:val="2"/>
          <w:sz w:val="32"/>
          <w:szCs w:val="32"/>
          <w:lang w:val="en-US" w:eastAsia="zh-CN"/>
        </w:rPr>
        <w:t>。</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7" w:name="_Toc9636"/>
      <w:r>
        <w:rPr>
          <w:rFonts w:hint="eastAsia" w:ascii="黑体" w:hAnsi="黑体" w:eastAsia="黑体" w:cs="黑体"/>
          <w:kern w:val="2"/>
          <w:sz w:val="32"/>
          <w:szCs w:val="32"/>
        </w:rPr>
        <w:t>财政拨款收支预算情况说明</w:t>
      </w:r>
      <w:bookmarkEnd w:id="7"/>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Ansi="黑体"/>
          <w:color w:val="auto"/>
          <w:kern w:val="2"/>
          <w:sz w:val="32"/>
          <w:szCs w:val="32"/>
        </w:rPr>
      </w:pPr>
      <w:r>
        <w:rPr>
          <w:rFonts w:hint="eastAsia" w:hAnsi="黑体"/>
          <w:kern w:val="2"/>
          <w:sz w:val="32"/>
          <w:szCs w:val="32"/>
          <w:highlight w:val="none"/>
        </w:rPr>
        <w:t>壤塘县</w:t>
      </w:r>
      <w:r>
        <w:rPr>
          <w:rFonts w:hint="eastAsia" w:hAnsi="黑体"/>
          <w:kern w:val="2"/>
          <w:sz w:val="32"/>
          <w:szCs w:val="32"/>
          <w:highlight w:val="none"/>
          <w:lang w:eastAsia="zh-CN"/>
        </w:rPr>
        <w:t>文化体育和旅游局2023</w:t>
      </w:r>
      <w:r>
        <w:rPr>
          <w:rFonts w:hAnsi="黑体"/>
          <w:kern w:val="2"/>
          <w:sz w:val="32"/>
          <w:szCs w:val="32"/>
          <w:highlight w:val="none"/>
        </w:rPr>
        <w:t>年</w:t>
      </w:r>
      <w:r>
        <w:rPr>
          <w:rFonts w:hint="eastAsia" w:hAnsi="黑体"/>
          <w:kern w:val="2"/>
          <w:sz w:val="32"/>
          <w:szCs w:val="32"/>
          <w:highlight w:val="none"/>
        </w:rPr>
        <w:t>财政拨款收支总预算</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kern w:val="2"/>
          <w:sz w:val="32"/>
          <w:szCs w:val="32"/>
          <w:highlight w:val="none"/>
        </w:rPr>
        <w:t>万元</w:t>
      </w:r>
      <w:r>
        <w:rPr>
          <w:rFonts w:hint="eastAsia" w:hAnsi="黑体"/>
          <w:kern w:val="2"/>
          <w:sz w:val="32"/>
          <w:szCs w:val="32"/>
          <w:highlight w:val="none"/>
          <w:lang w:eastAsia="zh-CN"/>
        </w:rPr>
        <w:t>，</w:t>
      </w:r>
      <w:r>
        <w:rPr>
          <w:rFonts w:hint="eastAsia" w:hAnsi="黑体"/>
          <w:color w:val="auto"/>
          <w:kern w:val="2"/>
          <w:sz w:val="32"/>
          <w:szCs w:val="32"/>
          <w:highlight w:val="none"/>
        </w:rPr>
        <w:t>比</w:t>
      </w:r>
      <w:r>
        <w:rPr>
          <w:rFonts w:hint="eastAsia" w:hAnsi="黑体"/>
          <w:color w:val="auto"/>
          <w:kern w:val="2"/>
          <w:sz w:val="32"/>
          <w:szCs w:val="32"/>
          <w:lang w:eastAsia="zh-CN"/>
        </w:rPr>
        <w:t>2022</w:t>
      </w:r>
      <w:r>
        <w:rPr>
          <w:rFonts w:hAnsi="黑体"/>
          <w:color w:val="auto"/>
          <w:kern w:val="2"/>
          <w:sz w:val="32"/>
          <w:szCs w:val="32"/>
        </w:rPr>
        <w:t>年</w:t>
      </w:r>
      <w:r>
        <w:rPr>
          <w:rFonts w:hint="eastAsia" w:hAnsi="黑体"/>
          <w:color w:val="auto"/>
          <w:kern w:val="2"/>
          <w:sz w:val="32"/>
          <w:szCs w:val="32"/>
        </w:rPr>
        <w:t>收支预算总数</w:t>
      </w:r>
      <w:r>
        <w:rPr>
          <w:rFonts w:hint="eastAsia" w:hAnsi="黑体"/>
          <w:color w:val="auto"/>
          <w:kern w:val="2"/>
          <w:sz w:val="32"/>
          <w:szCs w:val="32"/>
          <w:lang w:val="en-US" w:eastAsia="zh-CN"/>
        </w:rPr>
        <w:t>增加</w:t>
      </w:r>
      <w:r>
        <w:rPr>
          <w:rFonts w:hint="eastAsia" w:hAnsi="黑体" w:cs="Times New Roman"/>
          <w:color w:val="000000" w:themeColor="text1"/>
          <w:kern w:val="2"/>
          <w:sz w:val="32"/>
          <w:szCs w:val="32"/>
          <w:lang w:val="en-US" w:eastAsia="zh-CN"/>
          <w14:textFill>
            <w14:solidFill>
              <w14:schemeClr w14:val="tx1"/>
            </w14:solidFill>
          </w14:textFill>
        </w:rPr>
        <w:t>77.76</w:t>
      </w:r>
      <w:r>
        <w:rPr>
          <w:rFonts w:hint="eastAsia" w:hAnsi="黑体"/>
          <w:color w:val="auto"/>
          <w:kern w:val="2"/>
          <w:sz w:val="32"/>
          <w:szCs w:val="32"/>
        </w:rPr>
        <w:t>万元，主要原因</w:t>
      </w:r>
      <w:r>
        <w:rPr>
          <w:rFonts w:hAnsi="黑体"/>
          <w:color w:val="auto"/>
          <w:kern w:val="2"/>
          <w:sz w:val="32"/>
          <w:szCs w:val="32"/>
        </w:rPr>
        <w:t xml:space="preserve">: </w:t>
      </w:r>
      <w:r>
        <w:rPr>
          <w:rFonts w:hint="eastAsia" w:hAnsi="黑体"/>
          <w:color w:val="auto"/>
          <w:kern w:val="2"/>
          <w:sz w:val="32"/>
          <w:szCs w:val="32"/>
          <w:lang w:eastAsia="zh-CN"/>
        </w:rPr>
        <w:t>2023</w:t>
      </w:r>
      <w:r>
        <w:rPr>
          <w:rFonts w:hint="eastAsia" w:hAnsi="黑体"/>
          <w:color w:val="auto"/>
          <w:kern w:val="2"/>
          <w:sz w:val="32"/>
          <w:szCs w:val="32"/>
        </w:rPr>
        <w:t>人员经费预算</w:t>
      </w:r>
      <w:r>
        <w:rPr>
          <w:rFonts w:hint="eastAsia" w:hAnsi="黑体"/>
          <w:color w:val="auto"/>
          <w:kern w:val="2"/>
          <w:sz w:val="32"/>
          <w:szCs w:val="32"/>
          <w:lang w:val="en-US" w:eastAsia="zh-CN"/>
        </w:rPr>
        <w:t>增加</w:t>
      </w:r>
      <w:r>
        <w:rPr>
          <w:rFonts w:hint="eastAsia" w:hAnsi="黑体"/>
          <w:color w:val="auto"/>
          <w:kern w:val="2"/>
          <w:sz w:val="32"/>
          <w:szCs w:val="32"/>
        </w:rPr>
        <w:t>。</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Ansi="黑体" w:cs="Times New Roman"/>
          <w:kern w:val="2"/>
          <w:sz w:val="32"/>
          <w:szCs w:val="32"/>
        </w:rPr>
      </w:pPr>
      <w:r>
        <w:rPr>
          <w:rFonts w:hint="eastAsia" w:hAnsi="黑体"/>
          <w:color w:val="auto"/>
          <w:kern w:val="2"/>
          <w:sz w:val="32"/>
          <w:szCs w:val="32"/>
        </w:rPr>
        <w:t>收入包括：本年一般公共预算拨款收</w:t>
      </w:r>
      <w:r>
        <w:rPr>
          <w:rFonts w:hint="eastAsia" w:hAnsi="黑体" w:cs="Times New Roman"/>
          <w:color w:val="000000" w:themeColor="text1"/>
          <w:kern w:val="2"/>
          <w:sz w:val="32"/>
          <w:szCs w:val="32"/>
          <w:lang w:val="en-US" w:eastAsia="zh-CN"/>
          <w14:textFill>
            <w14:solidFill>
              <w14:schemeClr w14:val="tx1"/>
            </w14:solidFill>
          </w14:textFill>
        </w:rPr>
        <w:t>入675.92</w:t>
      </w:r>
      <w:r>
        <w:rPr>
          <w:rFonts w:hint="eastAsia" w:hAnsi="黑体"/>
          <w:color w:val="auto"/>
          <w:kern w:val="2"/>
          <w:sz w:val="32"/>
          <w:szCs w:val="32"/>
        </w:rPr>
        <w:t>万元。</w:t>
      </w:r>
      <w:r>
        <w:rPr>
          <w:rFonts w:hAnsi="黑体" w:cs="Times New Roman"/>
          <w:color w:val="auto"/>
          <w:kern w:val="2"/>
          <w:sz w:val="32"/>
          <w:szCs w:val="32"/>
        </w:rPr>
        <w:t xml:space="preserve"> </w:t>
      </w:r>
      <w:r>
        <w:rPr>
          <w:rFonts w:hAnsi="黑体" w:cs="Times New Roman"/>
          <w:color w:val="auto"/>
          <w:kern w:val="2"/>
          <w:sz w:val="32"/>
          <w:szCs w:val="32"/>
        </w:rPr>
        <w:br w:type="textWrapping"/>
      </w:r>
      <w:r>
        <w:rPr>
          <w:rFonts w:hint="eastAsia" w:hAnsi="黑体"/>
          <w:kern w:val="2"/>
          <w:sz w:val="32"/>
          <w:szCs w:val="32"/>
        </w:rPr>
        <w:t>　　支出包括：文化旅游体育与传媒支出441.49万元，社会保障和就业支出124.84万元，卫生健康支出46.8万元，住房保障支出</w:t>
      </w:r>
      <w:r>
        <w:rPr>
          <w:rFonts w:hint="eastAsia" w:hAnsi="黑体"/>
          <w:color w:val="auto"/>
          <w:kern w:val="2"/>
          <w:sz w:val="32"/>
          <w:szCs w:val="32"/>
        </w:rPr>
        <w:t>62.79</w:t>
      </w:r>
      <w:r>
        <w:rPr>
          <w:rFonts w:hint="eastAsia" w:hAnsi="黑体"/>
          <w:kern w:val="2"/>
          <w:sz w:val="32"/>
          <w:szCs w:val="32"/>
        </w:rPr>
        <w:t>万元。</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8" w:name="_Toc4998"/>
      <w:r>
        <w:rPr>
          <w:rFonts w:hint="eastAsia" w:ascii="黑体" w:hAnsi="黑体" w:eastAsia="黑体" w:cs="黑体"/>
          <w:kern w:val="2"/>
          <w:sz w:val="32"/>
          <w:szCs w:val="32"/>
        </w:rPr>
        <w:t>一般公共预算当年拨款情况说明</w:t>
      </w:r>
      <w:bookmarkEnd w:id="8"/>
    </w:p>
    <w:p>
      <w:pPr>
        <w:pStyle w:val="28"/>
        <w:keepNext w:val="0"/>
        <w:keepLines w:val="0"/>
        <w:pageBreakBefore w:val="0"/>
        <w:widowControl w:val="0"/>
        <w:numPr>
          <w:ilvl w:val="0"/>
          <w:numId w:val="5"/>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9" w:name="_Toc29278"/>
      <w:r>
        <w:rPr>
          <w:rFonts w:hint="eastAsia" w:ascii="楷体_GB2312" w:hAnsi="黑体" w:eastAsia="楷体_GB2312" w:cs="楷体_GB2312"/>
          <w:b/>
          <w:bCs/>
          <w:kern w:val="2"/>
          <w:sz w:val="32"/>
          <w:szCs w:val="32"/>
        </w:rPr>
        <w:t>一般公共预算当年拨款规模变化情况</w:t>
      </w:r>
      <w:bookmarkEnd w:id="9"/>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w:t>
      </w:r>
      <w:r>
        <w:rPr>
          <w:rFonts w:hint="eastAsia" w:hAnsi="黑体"/>
          <w:kern w:val="2"/>
          <w:sz w:val="32"/>
          <w:szCs w:val="32"/>
          <w:lang w:eastAsia="zh-CN"/>
        </w:rPr>
        <w:t>文化体育和旅游局2023</w:t>
      </w:r>
      <w:r>
        <w:rPr>
          <w:rFonts w:hAnsi="黑体"/>
          <w:kern w:val="2"/>
          <w:sz w:val="32"/>
          <w:szCs w:val="32"/>
        </w:rPr>
        <w:t>年</w:t>
      </w:r>
      <w:r>
        <w:rPr>
          <w:rFonts w:hint="eastAsia" w:hAnsi="黑体"/>
          <w:kern w:val="2"/>
          <w:sz w:val="32"/>
          <w:szCs w:val="32"/>
        </w:rPr>
        <w:t>一般公共预算当年拨款</w:t>
      </w:r>
      <w:r>
        <w:rPr>
          <w:rFonts w:hint="eastAsia" w:hAnsi="黑体" w:cs="Times New Roman"/>
          <w:color w:val="000000" w:themeColor="text1"/>
          <w:kern w:val="2"/>
          <w:sz w:val="32"/>
          <w:szCs w:val="32"/>
          <w:lang w:val="en-US" w:eastAsia="zh-CN"/>
          <w14:textFill>
            <w14:solidFill>
              <w14:schemeClr w14:val="tx1"/>
            </w14:solidFill>
          </w14:textFill>
        </w:rPr>
        <w:t>675.92</w:t>
      </w:r>
      <w:r>
        <w:rPr>
          <w:rFonts w:hint="eastAsia" w:hAnsi="黑体"/>
          <w:kern w:val="2"/>
          <w:sz w:val="32"/>
          <w:szCs w:val="32"/>
        </w:rPr>
        <w:t>万元，比</w:t>
      </w:r>
      <w:r>
        <w:rPr>
          <w:rFonts w:hint="eastAsia" w:hAnsi="黑体"/>
          <w:kern w:val="2"/>
          <w:sz w:val="32"/>
          <w:szCs w:val="32"/>
          <w:lang w:eastAsia="zh-CN"/>
        </w:rPr>
        <w:t>2022</w:t>
      </w:r>
      <w:r>
        <w:rPr>
          <w:rFonts w:hAnsi="黑体"/>
          <w:kern w:val="2"/>
          <w:sz w:val="32"/>
          <w:szCs w:val="32"/>
        </w:rPr>
        <w:t>年</w:t>
      </w:r>
      <w:r>
        <w:rPr>
          <w:rFonts w:hint="eastAsia" w:hAnsi="黑体"/>
          <w:kern w:val="2"/>
          <w:sz w:val="32"/>
          <w:szCs w:val="32"/>
        </w:rPr>
        <w:t>预算数增加</w:t>
      </w:r>
      <w:r>
        <w:rPr>
          <w:rFonts w:hint="eastAsia" w:hAnsi="黑体"/>
          <w:kern w:val="2"/>
          <w:sz w:val="32"/>
          <w:szCs w:val="32"/>
          <w:lang w:val="en-US" w:eastAsia="zh-CN"/>
        </w:rPr>
        <w:t>增加</w:t>
      </w:r>
      <w:r>
        <w:rPr>
          <w:rFonts w:hint="eastAsia" w:hAnsi="黑体" w:cs="Times New Roman"/>
          <w:color w:val="000000" w:themeColor="text1"/>
          <w:kern w:val="2"/>
          <w:sz w:val="32"/>
          <w:szCs w:val="32"/>
          <w:lang w:val="en-US" w:eastAsia="zh-CN"/>
          <w14:textFill>
            <w14:solidFill>
              <w14:schemeClr w14:val="tx1"/>
            </w14:solidFill>
          </w14:textFill>
        </w:rPr>
        <w:t>77.76</w:t>
      </w:r>
      <w:r>
        <w:rPr>
          <w:rFonts w:hint="eastAsia" w:hAnsi="黑体"/>
          <w:kern w:val="2"/>
          <w:sz w:val="32"/>
          <w:szCs w:val="32"/>
        </w:rPr>
        <w:t>万元，主要是基本支出</w:t>
      </w:r>
      <w:r>
        <w:rPr>
          <w:rFonts w:hint="eastAsia" w:hAnsi="黑体"/>
          <w:kern w:val="2"/>
          <w:sz w:val="32"/>
          <w:szCs w:val="32"/>
          <w:lang w:val="en-US" w:eastAsia="zh-CN"/>
        </w:rPr>
        <w:t>增加</w:t>
      </w:r>
      <w:r>
        <w:rPr>
          <w:rFonts w:hint="eastAsia" w:hAnsi="黑体" w:cs="Times New Roman"/>
          <w:color w:val="000000" w:themeColor="text1"/>
          <w:kern w:val="2"/>
          <w:sz w:val="32"/>
          <w:szCs w:val="32"/>
          <w:lang w:val="en-US" w:eastAsia="zh-CN"/>
          <w14:textFill>
            <w14:solidFill>
              <w14:schemeClr w14:val="tx1"/>
            </w14:solidFill>
          </w14:textFill>
        </w:rPr>
        <w:t>77.76</w:t>
      </w:r>
      <w:r>
        <w:rPr>
          <w:rFonts w:hint="eastAsia" w:hAnsi="黑体"/>
          <w:kern w:val="2"/>
          <w:sz w:val="32"/>
          <w:szCs w:val="32"/>
        </w:rPr>
        <w:t>万元，主要原因</w:t>
      </w:r>
      <w:r>
        <w:rPr>
          <w:rFonts w:hAnsi="黑体"/>
          <w:kern w:val="2"/>
          <w:sz w:val="32"/>
          <w:szCs w:val="32"/>
        </w:rPr>
        <w:t>:</w:t>
      </w:r>
      <w:r>
        <w:rPr>
          <w:rFonts w:hint="eastAsia" w:hAnsi="黑体" w:cs="Times New Roman"/>
          <w:color w:val="FF0000"/>
          <w:kern w:val="2"/>
          <w:sz w:val="32"/>
          <w:szCs w:val="32"/>
          <w:lang w:val="en-US" w:eastAsia="zh-CN"/>
        </w:rPr>
        <w:t xml:space="preserve"> </w:t>
      </w:r>
      <w:r>
        <w:rPr>
          <w:rFonts w:hint="eastAsia" w:hAnsi="黑体" w:cs="Times New Roman"/>
          <w:color w:val="000000" w:themeColor="text1"/>
          <w:kern w:val="2"/>
          <w:sz w:val="32"/>
          <w:szCs w:val="32"/>
          <w:lang w:val="en-US" w:eastAsia="zh-CN"/>
          <w14:textFill>
            <w14:solidFill>
              <w14:schemeClr w14:val="tx1"/>
            </w14:solidFill>
          </w14:textFill>
        </w:rPr>
        <w:t>2023</w:t>
      </w:r>
      <w:r>
        <w:rPr>
          <w:rFonts w:hint="eastAsia" w:hAnsi="黑体"/>
          <w:kern w:val="2"/>
          <w:sz w:val="32"/>
          <w:szCs w:val="32"/>
        </w:rPr>
        <w:t>人员经费预算</w:t>
      </w:r>
      <w:r>
        <w:rPr>
          <w:rFonts w:hint="eastAsia" w:hAnsi="黑体"/>
          <w:kern w:val="2"/>
          <w:sz w:val="32"/>
          <w:szCs w:val="32"/>
          <w:lang w:val="en-US" w:eastAsia="zh-CN"/>
        </w:rPr>
        <w:t>增加</w:t>
      </w:r>
      <w:r>
        <w:rPr>
          <w:rFonts w:hint="eastAsia" w:hAnsi="黑体"/>
          <w:kern w:val="2"/>
          <w:sz w:val="32"/>
          <w:szCs w:val="32"/>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0" w:name="_Toc22927"/>
      <w:r>
        <w:rPr>
          <w:rFonts w:hint="eastAsia" w:ascii="楷体_GB2312" w:hAnsi="黑体" w:eastAsia="楷体_GB2312" w:cs="楷体_GB2312"/>
          <w:b/>
          <w:bCs/>
          <w:kern w:val="2"/>
          <w:sz w:val="32"/>
          <w:szCs w:val="32"/>
        </w:rPr>
        <w:t>（二）一般公共预算当年拨款结构情况</w:t>
      </w:r>
      <w:bookmarkEnd w:id="10"/>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default" w:hAnsi="黑体" w:eastAsia="仿宋_GB2312"/>
          <w:kern w:val="2"/>
          <w:sz w:val="32"/>
          <w:szCs w:val="32"/>
          <w:lang w:val="en-US" w:eastAsia="zh-CN"/>
        </w:rPr>
      </w:pPr>
      <w:r>
        <w:rPr>
          <w:rFonts w:hint="eastAsia" w:hAnsi="黑体"/>
          <w:kern w:val="2"/>
          <w:sz w:val="32"/>
          <w:szCs w:val="32"/>
        </w:rPr>
        <w:t>文化旅游体育与传媒支出441.49万元，</w:t>
      </w:r>
      <w:r>
        <w:rPr>
          <w:rFonts w:hint="eastAsia" w:hAnsi="黑体"/>
          <w:kern w:val="2"/>
          <w:sz w:val="32"/>
          <w:szCs w:val="32"/>
          <w:lang w:val="en-US" w:eastAsia="zh-CN"/>
        </w:rPr>
        <w:t>占</w:t>
      </w:r>
      <w:r>
        <w:rPr>
          <w:rFonts w:hint="eastAsia" w:hAnsi="黑体" w:cs="Times New Roman"/>
          <w:color w:val="000000" w:themeColor="text1"/>
          <w:kern w:val="2"/>
          <w:sz w:val="32"/>
          <w:szCs w:val="32"/>
          <w:lang w:val="en-US" w:eastAsia="zh-CN"/>
          <w14:textFill>
            <w14:solidFill>
              <w14:schemeClr w14:val="tx1"/>
            </w14:solidFill>
          </w14:textFill>
        </w:rPr>
        <w:t>65%</w:t>
      </w:r>
      <w:r>
        <w:rPr>
          <w:rFonts w:hint="eastAsia" w:hAnsi="黑体"/>
          <w:kern w:val="2"/>
          <w:sz w:val="32"/>
          <w:szCs w:val="32"/>
          <w:lang w:val="en-US" w:eastAsia="zh-CN"/>
        </w:rPr>
        <w:t>；</w:t>
      </w:r>
      <w:r>
        <w:rPr>
          <w:rFonts w:hint="eastAsia" w:hAnsi="黑体"/>
          <w:kern w:val="2"/>
          <w:sz w:val="32"/>
          <w:szCs w:val="32"/>
        </w:rPr>
        <w:t>社会保障和就业支出124.84万元，</w:t>
      </w:r>
      <w:r>
        <w:rPr>
          <w:rFonts w:hint="eastAsia" w:hAnsi="黑体"/>
          <w:kern w:val="2"/>
          <w:sz w:val="32"/>
          <w:szCs w:val="32"/>
          <w:lang w:val="en-US" w:eastAsia="zh-CN"/>
        </w:rPr>
        <w:t>占</w:t>
      </w:r>
      <w:r>
        <w:rPr>
          <w:rFonts w:hint="eastAsia" w:hAnsi="黑体" w:cs="Times New Roman"/>
          <w:color w:val="000000" w:themeColor="text1"/>
          <w:kern w:val="2"/>
          <w:sz w:val="32"/>
          <w:szCs w:val="32"/>
          <w:lang w:val="en-US" w:eastAsia="zh-CN"/>
          <w14:textFill>
            <w14:solidFill>
              <w14:schemeClr w14:val="tx1"/>
            </w14:solidFill>
          </w14:textFill>
        </w:rPr>
        <w:t>18%</w:t>
      </w:r>
      <w:r>
        <w:rPr>
          <w:rFonts w:hint="eastAsia" w:hAnsi="黑体"/>
          <w:kern w:val="2"/>
          <w:sz w:val="32"/>
          <w:szCs w:val="32"/>
          <w:lang w:val="en-US" w:eastAsia="zh-CN"/>
        </w:rPr>
        <w:t>；</w:t>
      </w:r>
      <w:r>
        <w:rPr>
          <w:rFonts w:hint="eastAsia" w:hAnsi="黑体"/>
          <w:kern w:val="2"/>
          <w:sz w:val="32"/>
          <w:szCs w:val="32"/>
        </w:rPr>
        <w:t>卫生健康支出46.8万元，</w:t>
      </w:r>
      <w:r>
        <w:rPr>
          <w:rFonts w:hint="eastAsia" w:hAnsi="黑体"/>
          <w:kern w:val="2"/>
          <w:sz w:val="32"/>
          <w:szCs w:val="32"/>
          <w:lang w:val="en-US" w:eastAsia="zh-CN"/>
        </w:rPr>
        <w:t>占</w:t>
      </w:r>
      <w:r>
        <w:rPr>
          <w:rFonts w:hint="eastAsia" w:hAnsi="黑体" w:cs="Times New Roman"/>
          <w:color w:val="000000" w:themeColor="text1"/>
          <w:kern w:val="2"/>
          <w:sz w:val="32"/>
          <w:szCs w:val="32"/>
          <w:lang w:val="en-US" w:eastAsia="zh-CN"/>
          <w14:textFill>
            <w14:solidFill>
              <w14:schemeClr w14:val="tx1"/>
            </w14:solidFill>
          </w14:textFill>
        </w:rPr>
        <w:t>7%</w:t>
      </w:r>
      <w:r>
        <w:rPr>
          <w:rFonts w:hint="eastAsia" w:hAnsi="黑体"/>
          <w:kern w:val="2"/>
          <w:sz w:val="32"/>
          <w:szCs w:val="32"/>
          <w:lang w:val="en-US" w:eastAsia="zh-CN"/>
        </w:rPr>
        <w:t>；</w:t>
      </w:r>
      <w:r>
        <w:rPr>
          <w:rFonts w:hint="eastAsia" w:hAnsi="黑体"/>
          <w:kern w:val="2"/>
          <w:sz w:val="32"/>
          <w:szCs w:val="32"/>
        </w:rPr>
        <w:t>住房保障支出</w:t>
      </w:r>
      <w:r>
        <w:rPr>
          <w:rFonts w:hint="eastAsia" w:hAnsi="黑体"/>
          <w:color w:val="auto"/>
          <w:kern w:val="2"/>
          <w:sz w:val="32"/>
          <w:szCs w:val="32"/>
        </w:rPr>
        <w:t>62.79</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w:t>
      </w:r>
      <w:r>
        <w:rPr>
          <w:rFonts w:hint="eastAsia" w:hAnsi="黑体" w:cs="Times New Roman"/>
          <w:color w:val="000000" w:themeColor="text1"/>
          <w:kern w:val="2"/>
          <w:sz w:val="32"/>
          <w:szCs w:val="32"/>
          <w:lang w:val="en-US" w:eastAsia="zh-CN"/>
          <w14:textFill>
            <w14:solidFill>
              <w14:schemeClr w14:val="tx1"/>
            </w14:solidFill>
          </w14:textFill>
        </w:rPr>
        <w:t>10%</w:t>
      </w:r>
      <w:r>
        <w:rPr>
          <w:rFonts w:hint="eastAsia" w:hAnsi="黑体"/>
          <w:kern w:val="2"/>
          <w:sz w:val="32"/>
          <w:szCs w:val="32"/>
          <w:lang w:val="en-US" w:eastAsia="zh-CN"/>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1" w:name="_Toc24901"/>
      <w:r>
        <w:rPr>
          <w:rFonts w:hint="eastAsia" w:ascii="楷体_GB2312" w:hAnsi="黑体" w:eastAsia="楷体_GB2312" w:cs="楷体_GB2312"/>
          <w:b/>
          <w:bCs/>
          <w:kern w:val="2"/>
          <w:sz w:val="32"/>
          <w:szCs w:val="32"/>
        </w:rPr>
        <w:t>（三）一般公共预算当年拨款具体使用情况</w:t>
      </w:r>
      <w:bookmarkEnd w:id="11"/>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1</w:t>
      </w:r>
      <w:r>
        <w:rPr>
          <w:rFonts w:hAnsi="黑体"/>
          <w:kern w:val="2"/>
          <w:sz w:val="32"/>
          <w:szCs w:val="32"/>
        </w:rPr>
        <w:t>.20</w:t>
      </w:r>
      <w:r>
        <w:rPr>
          <w:rFonts w:hint="eastAsia" w:hAnsi="黑体"/>
          <w:kern w:val="2"/>
          <w:sz w:val="32"/>
          <w:szCs w:val="32"/>
          <w:lang w:val="en-US" w:eastAsia="zh-CN"/>
        </w:rPr>
        <w:t>7</w:t>
      </w:r>
      <w:r>
        <w:rPr>
          <w:rFonts w:hint="eastAsia" w:hAnsi="黑体"/>
          <w:kern w:val="2"/>
          <w:sz w:val="32"/>
          <w:szCs w:val="32"/>
        </w:rPr>
        <w:t>（类）</w:t>
      </w:r>
      <w:r>
        <w:rPr>
          <w:rFonts w:hAnsi="黑体"/>
          <w:kern w:val="2"/>
          <w:sz w:val="32"/>
          <w:szCs w:val="32"/>
        </w:rPr>
        <w:t>0</w:t>
      </w:r>
      <w:r>
        <w:rPr>
          <w:rFonts w:hint="eastAsia" w:hAnsi="黑体"/>
          <w:kern w:val="2"/>
          <w:sz w:val="32"/>
          <w:szCs w:val="32"/>
          <w:lang w:val="en-US" w:eastAsia="zh-CN"/>
        </w:rPr>
        <w:t>1</w:t>
      </w:r>
      <w:r>
        <w:rPr>
          <w:rFonts w:hint="eastAsia" w:hAnsi="黑体"/>
          <w:kern w:val="2"/>
          <w:sz w:val="32"/>
          <w:szCs w:val="32"/>
        </w:rPr>
        <w:t>（款）</w:t>
      </w:r>
      <w:r>
        <w:rPr>
          <w:rFonts w:hAnsi="黑体"/>
          <w:kern w:val="2"/>
          <w:sz w:val="32"/>
          <w:szCs w:val="32"/>
        </w:rPr>
        <w:t>0</w:t>
      </w:r>
      <w:r>
        <w:rPr>
          <w:rFonts w:hint="eastAsia" w:hAnsi="黑体"/>
          <w:kern w:val="2"/>
          <w:sz w:val="32"/>
          <w:szCs w:val="32"/>
          <w:lang w:val="en-US" w:eastAsia="zh-CN"/>
        </w:rPr>
        <w:t>4</w:t>
      </w:r>
      <w:r>
        <w:rPr>
          <w:rFonts w:hint="eastAsia" w:hAnsi="黑体"/>
          <w:kern w:val="2"/>
          <w:sz w:val="32"/>
          <w:szCs w:val="32"/>
        </w:rPr>
        <w:t>（项）：图书馆</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w:t>
      </w:r>
      <w:r>
        <w:rPr>
          <w:rFonts w:hint="eastAsia" w:hAnsi="黑体" w:cs="Times New Roman"/>
          <w:color w:val="000000" w:themeColor="text1"/>
          <w:kern w:val="2"/>
          <w:sz w:val="32"/>
          <w:szCs w:val="32"/>
          <w:lang w:val="en-US" w:eastAsia="zh-CN"/>
          <w14:textFill>
            <w14:solidFill>
              <w14:schemeClr w14:val="tx1"/>
            </w14:solidFill>
          </w14:textFill>
        </w:rPr>
        <w:t>8.36</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w:t>
      </w:r>
      <w:r>
        <w:rPr>
          <w:rFonts w:hint="eastAsia" w:hAnsi="黑体"/>
          <w:kern w:val="2"/>
          <w:sz w:val="32"/>
          <w:szCs w:val="32"/>
          <w:lang w:val="en-US" w:eastAsia="zh-CN"/>
        </w:rPr>
        <w:t>图书馆相关</w:t>
      </w:r>
      <w:r>
        <w:rPr>
          <w:rFonts w:hint="eastAsia" w:hAnsi="黑体"/>
          <w:kern w:val="2"/>
          <w:sz w:val="32"/>
          <w:szCs w:val="32"/>
        </w:rPr>
        <w:t>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2.20</w:t>
      </w:r>
      <w:r>
        <w:rPr>
          <w:rFonts w:hint="eastAsia" w:hAnsi="黑体"/>
          <w:kern w:val="2"/>
          <w:sz w:val="32"/>
          <w:szCs w:val="32"/>
          <w:lang w:val="en-US" w:eastAsia="zh-CN"/>
        </w:rPr>
        <w:t>7</w:t>
      </w:r>
      <w:r>
        <w:rPr>
          <w:rFonts w:hint="eastAsia" w:hAnsi="黑体"/>
          <w:kern w:val="2"/>
          <w:sz w:val="32"/>
          <w:szCs w:val="32"/>
        </w:rPr>
        <w:t>（类）</w:t>
      </w:r>
      <w:r>
        <w:rPr>
          <w:rFonts w:hAnsi="黑体"/>
          <w:kern w:val="2"/>
          <w:sz w:val="32"/>
          <w:szCs w:val="32"/>
        </w:rPr>
        <w:t>0</w:t>
      </w:r>
      <w:r>
        <w:rPr>
          <w:rFonts w:hint="eastAsia" w:hAnsi="黑体"/>
          <w:kern w:val="2"/>
          <w:sz w:val="32"/>
          <w:szCs w:val="32"/>
          <w:lang w:val="en-US" w:eastAsia="zh-CN"/>
        </w:rPr>
        <w:t>1</w:t>
      </w:r>
      <w:r>
        <w:rPr>
          <w:rFonts w:hint="eastAsia" w:hAnsi="黑体"/>
          <w:kern w:val="2"/>
          <w:sz w:val="32"/>
          <w:szCs w:val="32"/>
        </w:rPr>
        <w:t>（款）</w:t>
      </w:r>
      <w:r>
        <w:rPr>
          <w:rFonts w:hint="eastAsia" w:hAnsi="黑体"/>
          <w:kern w:val="2"/>
          <w:sz w:val="32"/>
          <w:szCs w:val="32"/>
          <w:lang w:val="en-US" w:eastAsia="zh-CN"/>
        </w:rPr>
        <w:t>09</w:t>
      </w:r>
      <w:r>
        <w:rPr>
          <w:rFonts w:hint="eastAsia" w:hAnsi="黑体"/>
          <w:kern w:val="2"/>
          <w:sz w:val="32"/>
          <w:szCs w:val="32"/>
        </w:rPr>
        <w:t>（项）：</w:t>
      </w:r>
      <w:r>
        <w:rPr>
          <w:rFonts w:hint="eastAsia" w:hAnsi="黑体"/>
          <w:kern w:val="2"/>
          <w:sz w:val="32"/>
          <w:szCs w:val="32"/>
          <w:lang w:val="en-US" w:eastAsia="zh-CN"/>
        </w:rPr>
        <w:t>群众文化</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预算数为229.6万元，主要用于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年单位职工工资福利支出（基本工资、津补贴、绩效工资等）</w:t>
      </w:r>
      <w:r>
        <w:rPr>
          <w:rFonts w:hint="eastAsia" w:hAnsi="黑体"/>
          <w:kern w:val="2"/>
          <w:sz w:val="32"/>
          <w:szCs w:val="32"/>
          <w:lang w:eastAsia="zh-CN"/>
        </w:rPr>
        <w:t>。</w:t>
      </w:r>
      <w:r>
        <w:rPr>
          <w:rFonts w:hAnsi="黑体"/>
          <w:kern w:val="2"/>
          <w:sz w:val="32"/>
          <w:szCs w:val="32"/>
        </w:rPr>
        <w:br w:type="textWrapping"/>
      </w:r>
      <w:r>
        <w:rPr>
          <w:rFonts w:hint="eastAsia" w:hAnsi="黑体"/>
          <w:kern w:val="2"/>
          <w:sz w:val="32"/>
          <w:szCs w:val="32"/>
        </w:rPr>
        <w:t>　　</w:t>
      </w:r>
      <w:r>
        <w:rPr>
          <w:rFonts w:hAnsi="黑体"/>
          <w:kern w:val="2"/>
          <w:sz w:val="32"/>
          <w:szCs w:val="32"/>
        </w:rPr>
        <w:t>3.</w:t>
      </w:r>
      <w:r>
        <w:rPr>
          <w:rFonts w:hint="eastAsia" w:hAnsi="黑体"/>
          <w:kern w:val="2"/>
          <w:sz w:val="32"/>
          <w:szCs w:val="32"/>
        </w:rPr>
        <w:t>20</w:t>
      </w:r>
      <w:r>
        <w:rPr>
          <w:rFonts w:hint="eastAsia" w:hAnsi="黑体"/>
          <w:kern w:val="2"/>
          <w:sz w:val="32"/>
          <w:szCs w:val="32"/>
          <w:lang w:val="en-US" w:eastAsia="zh-CN"/>
        </w:rPr>
        <w:t>7</w:t>
      </w:r>
      <w:r>
        <w:rPr>
          <w:rFonts w:hint="eastAsia" w:hAnsi="黑体"/>
          <w:kern w:val="2"/>
          <w:sz w:val="32"/>
          <w:szCs w:val="32"/>
        </w:rPr>
        <w:t>（类）0</w:t>
      </w:r>
      <w:r>
        <w:rPr>
          <w:rFonts w:hint="eastAsia" w:hAnsi="黑体"/>
          <w:kern w:val="2"/>
          <w:sz w:val="32"/>
          <w:szCs w:val="32"/>
          <w:lang w:val="en-US" w:eastAsia="zh-CN"/>
        </w:rPr>
        <w:t>3</w:t>
      </w:r>
      <w:r>
        <w:rPr>
          <w:rFonts w:hint="eastAsia" w:hAnsi="黑体"/>
          <w:kern w:val="2"/>
          <w:sz w:val="32"/>
          <w:szCs w:val="32"/>
        </w:rPr>
        <w:t>（款）0</w:t>
      </w:r>
      <w:r>
        <w:rPr>
          <w:rFonts w:hint="eastAsia" w:hAnsi="黑体"/>
          <w:kern w:val="2"/>
          <w:sz w:val="32"/>
          <w:szCs w:val="32"/>
          <w:lang w:val="en-US" w:eastAsia="zh-CN"/>
        </w:rPr>
        <w:t>7</w:t>
      </w:r>
      <w:r>
        <w:rPr>
          <w:rFonts w:hint="eastAsia" w:hAnsi="黑体"/>
          <w:kern w:val="2"/>
          <w:sz w:val="32"/>
          <w:szCs w:val="32"/>
        </w:rPr>
        <w:t>（项）</w:t>
      </w:r>
      <w:r>
        <w:rPr>
          <w:rFonts w:hint="eastAsia" w:hAnsi="黑体"/>
          <w:kern w:val="2"/>
          <w:sz w:val="32"/>
          <w:szCs w:val="32"/>
          <w:lang w:val="en-US" w:eastAsia="zh-CN"/>
        </w:rPr>
        <w:t>体育场馆</w:t>
      </w:r>
      <w:r>
        <w:rPr>
          <w:rFonts w:hint="eastAsia" w:hAnsi="黑体"/>
          <w:kern w:val="2"/>
          <w:sz w:val="32"/>
          <w:szCs w:val="32"/>
        </w:rPr>
        <w:t>支出</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w:t>
      </w:r>
      <w:r>
        <w:rPr>
          <w:rFonts w:hint="eastAsia" w:hAnsi="黑体" w:cs="Times New Roman"/>
          <w:color w:val="000000" w:themeColor="text1"/>
          <w:kern w:val="2"/>
          <w:sz w:val="32"/>
          <w:szCs w:val="32"/>
          <w:lang w:val="en-US" w:eastAsia="zh-CN"/>
          <w14:textFill>
            <w14:solidFill>
              <w14:schemeClr w14:val="tx1"/>
            </w14:solidFill>
          </w14:textFill>
        </w:rPr>
        <w:t>10</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w:t>
      </w:r>
      <w:r>
        <w:rPr>
          <w:rFonts w:hint="eastAsia" w:hAnsi="黑体"/>
          <w:kern w:val="2"/>
          <w:sz w:val="32"/>
          <w:szCs w:val="32"/>
          <w:lang w:val="en-US" w:eastAsia="zh-CN"/>
        </w:rPr>
        <w:t>体育场馆</w:t>
      </w:r>
      <w:r>
        <w:rPr>
          <w:rFonts w:hint="eastAsia" w:hAnsi="黑体"/>
          <w:kern w:val="2"/>
          <w:sz w:val="32"/>
          <w:szCs w:val="32"/>
        </w:rPr>
        <w:t>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4.</w:t>
      </w:r>
      <w:r>
        <w:rPr>
          <w:rFonts w:hint="eastAsia" w:hAnsi="黑体"/>
          <w:kern w:val="2"/>
          <w:sz w:val="32"/>
          <w:szCs w:val="32"/>
        </w:rPr>
        <w:t>20</w:t>
      </w:r>
      <w:r>
        <w:rPr>
          <w:rFonts w:hint="eastAsia" w:hAnsi="黑体"/>
          <w:kern w:val="2"/>
          <w:sz w:val="32"/>
          <w:szCs w:val="32"/>
          <w:lang w:val="en-US" w:eastAsia="zh-CN"/>
        </w:rPr>
        <w:t>7</w:t>
      </w:r>
      <w:r>
        <w:rPr>
          <w:rFonts w:hint="eastAsia" w:hAnsi="黑体"/>
          <w:kern w:val="2"/>
          <w:sz w:val="32"/>
          <w:szCs w:val="32"/>
        </w:rPr>
        <w:t>（类）0</w:t>
      </w:r>
      <w:r>
        <w:rPr>
          <w:rFonts w:hint="eastAsia" w:hAnsi="黑体"/>
          <w:kern w:val="2"/>
          <w:sz w:val="32"/>
          <w:szCs w:val="32"/>
          <w:lang w:val="en-US" w:eastAsia="zh-CN"/>
        </w:rPr>
        <w:t>3</w:t>
      </w:r>
      <w:r>
        <w:rPr>
          <w:rFonts w:hint="eastAsia" w:hAnsi="黑体"/>
          <w:kern w:val="2"/>
          <w:sz w:val="32"/>
          <w:szCs w:val="32"/>
        </w:rPr>
        <w:t>（款）0</w:t>
      </w:r>
      <w:r>
        <w:rPr>
          <w:rFonts w:hint="eastAsia" w:hAnsi="黑体"/>
          <w:kern w:val="2"/>
          <w:sz w:val="32"/>
          <w:szCs w:val="32"/>
          <w:lang w:val="en-US" w:eastAsia="zh-CN"/>
        </w:rPr>
        <w:t>8</w:t>
      </w:r>
      <w:r>
        <w:rPr>
          <w:rFonts w:hint="eastAsia" w:hAnsi="黑体"/>
          <w:kern w:val="2"/>
          <w:sz w:val="32"/>
          <w:szCs w:val="32"/>
        </w:rPr>
        <w:t>（项）</w:t>
      </w:r>
      <w:r>
        <w:rPr>
          <w:rFonts w:hint="eastAsia" w:hAnsi="黑体"/>
          <w:kern w:val="2"/>
          <w:sz w:val="32"/>
          <w:szCs w:val="32"/>
          <w:lang w:val="en-US" w:eastAsia="zh-CN"/>
        </w:rPr>
        <w:t>群众体育</w:t>
      </w:r>
      <w:r>
        <w:rPr>
          <w:rFonts w:hint="eastAsia" w:hAnsi="黑体"/>
          <w:kern w:val="2"/>
          <w:sz w:val="32"/>
          <w:szCs w:val="32"/>
        </w:rPr>
        <w:t>支出</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预算数为193.53万元，主要用于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年单位职工工资福利支出（基本工资、津补贴、绩效工资等）。</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5.</w:t>
      </w:r>
      <w:r>
        <w:rPr>
          <w:rFonts w:hint="eastAsia" w:hAnsi="黑体"/>
          <w:kern w:val="2"/>
          <w:sz w:val="32"/>
          <w:szCs w:val="32"/>
        </w:rPr>
        <w:t>2</w:t>
      </w:r>
      <w:r>
        <w:rPr>
          <w:rFonts w:hint="eastAsia" w:hAnsi="黑体"/>
          <w:kern w:val="2"/>
          <w:sz w:val="32"/>
          <w:szCs w:val="32"/>
          <w:lang w:val="en-US" w:eastAsia="zh-CN"/>
        </w:rPr>
        <w:t>08</w:t>
      </w:r>
      <w:r>
        <w:rPr>
          <w:rFonts w:hint="eastAsia" w:hAnsi="黑体"/>
          <w:kern w:val="2"/>
          <w:sz w:val="32"/>
          <w:szCs w:val="32"/>
        </w:rPr>
        <w:t>（类）</w:t>
      </w:r>
      <w:r>
        <w:rPr>
          <w:rFonts w:hint="eastAsia" w:hAnsi="黑体"/>
          <w:kern w:val="2"/>
          <w:sz w:val="32"/>
          <w:szCs w:val="32"/>
          <w:lang w:val="en-US" w:eastAsia="zh-CN"/>
        </w:rPr>
        <w:t>05</w:t>
      </w:r>
      <w:r>
        <w:rPr>
          <w:rFonts w:hint="eastAsia" w:hAnsi="黑体"/>
          <w:kern w:val="2"/>
          <w:sz w:val="32"/>
          <w:szCs w:val="32"/>
        </w:rPr>
        <w:t>（款）0</w:t>
      </w:r>
      <w:r>
        <w:rPr>
          <w:rFonts w:hint="eastAsia" w:hAnsi="黑体"/>
          <w:kern w:val="2"/>
          <w:sz w:val="32"/>
          <w:szCs w:val="32"/>
          <w:lang w:val="en-US" w:eastAsia="zh-CN"/>
        </w:rPr>
        <w:t>5</w:t>
      </w:r>
      <w:r>
        <w:rPr>
          <w:rFonts w:hint="eastAsia" w:hAnsi="黑体"/>
          <w:kern w:val="2"/>
          <w:sz w:val="32"/>
          <w:szCs w:val="32"/>
        </w:rPr>
        <w:t>（项）机关事业单位基本养老保险缴费支出</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预算数为44.14万元，主要用于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w:t>
      </w:r>
      <w:r>
        <w:rPr>
          <w:rFonts w:hint="eastAsia" w:hAnsi="黑体"/>
          <w:kern w:val="2"/>
          <w:sz w:val="32"/>
          <w:szCs w:val="32"/>
          <w:lang w:val="en-US" w:eastAsia="zh-CN"/>
        </w:rPr>
        <w:t>单位基本养老保险</w:t>
      </w:r>
      <w:r>
        <w:rPr>
          <w:rFonts w:hint="eastAsia" w:hAnsi="黑体"/>
          <w:kern w:val="2"/>
          <w:sz w:val="32"/>
          <w:szCs w:val="32"/>
        </w:rPr>
        <w:t>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6.</w:t>
      </w:r>
      <w:r>
        <w:rPr>
          <w:rFonts w:hint="eastAsia" w:hAnsi="黑体"/>
          <w:kern w:val="2"/>
          <w:sz w:val="32"/>
          <w:szCs w:val="32"/>
        </w:rPr>
        <w:t>2</w:t>
      </w:r>
      <w:r>
        <w:rPr>
          <w:rFonts w:hint="eastAsia" w:hAnsi="黑体"/>
          <w:kern w:val="2"/>
          <w:sz w:val="32"/>
          <w:szCs w:val="32"/>
          <w:lang w:val="en-US" w:eastAsia="zh-CN"/>
        </w:rPr>
        <w:t>08</w:t>
      </w:r>
      <w:r>
        <w:rPr>
          <w:rFonts w:hint="eastAsia" w:hAnsi="黑体"/>
          <w:kern w:val="2"/>
          <w:sz w:val="32"/>
          <w:szCs w:val="32"/>
        </w:rPr>
        <w:t>（类）</w:t>
      </w:r>
      <w:r>
        <w:rPr>
          <w:rFonts w:hint="eastAsia" w:hAnsi="黑体"/>
          <w:kern w:val="2"/>
          <w:sz w:val="32"/>
          <w:szCs w:val="32"/>
          <w:lang w:val="en-US" w:eastAsia="zh-CN"/>
        </w:rPr>
        <w:t>05</w:t>
      </w:r>
      <w:r>
        <w:rPr>
          <w:rFonts w:hint="eastAsia" w:hAnsi="黑体"/>
          <w:kern w:val="2"/>
          <w:sz w:val="32"/>
          <w:szCs w:val="32"/>
        </w:rPr>
        <w:t>（款）0</w:t>
      </w:r>
      <w:r>
        <w:rPr>
          <w:rFonts w:hint="eastAsia" w:hAnsi="黑体"/>
          <w:kern w:val="2"/>
          <w:sz w:val="32"/>
          <w:szCs w:val="32"/>
          <w:lang w:val="en-US" w:eastAsia="zh-CN"/>
        </w:rPr>
        <w:t>6</w:t>
      </w:r>
      <w:r>
        <w:rPr>
          <w:rFonts w:hint="eastAsia" w:hAnsi="黑体"/>
          <w:kern w:val="2"/>
          <w:sz w:val="32"/>
          <w:szCs w:val="32"/>
        </w:rPr>
        <w:t>（项）机关事业单位职业年金缴费支出</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预算数为22.07万元，主要用于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年机关事业单位职业年金缴费支出。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7.</w:t>
      </w:r>
      <w:r>
        <w:rPr>
          <w:rFonts w:hint="eastAsia" w:hAnsi="黑体"/>
          <w:kern w:val="2"/>
          <w:sz w:val="32"/>
          <w:szCs w:val="32"/>
        </w:rPr>
        <w:t>210（类）11（款）0</w:t>
      </w:r>
      <w:r>
        <w:rPr>
          <w:rFonts w:hint="eastAsia" w:hAnsi="黑体"/>
          <w:kern w:val="2"/>
          <w:sz w:val="32"/>
          <w:szCs w:val="32"/>
          <w:lang w:val="en-US" w:eastAsia="zh-CN"/>
        </w:rPr>
        <w:t>1</w:t>
      </w:r>
      <w:r>
        <w:rPr>
          <w:rFonts w:hint="eastAsia" w:hAnsi="黑体"/>
          <w:kern w:val="2"/>
          <w:sz w:val="32"/>
          <w:szCs w:val="32"/>
        </w:rPr>
        <w:t>（项）行政单位医疗</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预算数为19.31万元，主要用于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年单位行政单位医疗支出。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8</w:t>
      </w:r>
      <w:r>
        <w:rPr>
          <w:rFonts w:hint="eastAsia" w:hAnsi="黑体"/>
          <w:kern w:val="2"/>
          <w:sz w:val="32"/>
          <w:szCs w:val="32"/>
        </w:rPr>
        <w:t>.210（类）11（款）0</w:t>
      </w:r>
      <w:r>
        <w:rPr>
          <w:rFonts w:hint="eastAsia" w:hAnsi="黑体"/>
          <w:kern w:val="2"/>
          <w:sz w:val="32"/>
          <w:szCs w:val="32"/>
          <w:lang w:val="en-US" w:eastAsia="zh-CN"/>
        </w:rPr>
        <w:t>2</w:t>
      </w:r>
      <w:r>
        <w:rPr>
          <w:rFonts w:hint="eastAsia" w:hAnsi="黑体"/>
          <w:kern w:val="2"/>
          <w:sz w:val="32"/>
          <w:szCs w:val="32"/>
        </w:rPr>
        <w:t>（项）事业单位医疗支出</w:t>
      </w:r>
      <w:r>
        <w:rPr>
          <w:rFonts w:hint="eastAsia" w:hAnsi="黑体"/>
          <w:kern w:val="2"/>
          <w:sz w:val="32"/>
          <w:szCs w:val="32"/>
          <w:lang w:eastAsia="zh-CN"/>
        </w:rPr>
        <w:t>2023</w:t>
      </w:r>
      <w:r>
        <w:rPr>
          <w:rFonts w:hint="eastAsia" w:hAnsi="黑体"/>
          <w:kern w:val="2"/>
          <w:sz w:val="32"/>
          <w:szCs w:val="32"/>
        </w:rPr>
        <w:t>年预算数为17.1万元，主要用于 :</w:t>
      </w:r>
      <w:r>
        <w:rPr>
          <w:rFonts w:hint="eastAsia" w:hAnsi="黑体"/>
          <w:kern w:val="2"/>
          <w:sz w:val="32"/>
          <w:szCs w:val="32"/>
          <w:lang w:eastAsia="zh-CN"/>
        </w:rPr>
        <w:t>2023</w:t>
      </w:r>
      <w:r>
        <w:rPr>
          <w:rFonts w:hint="eastAsia" w:hAnsi="黑体"/>
          <w:kern w:val="2"/>
          <w:sz w:val="32"/>
          <w:szCs w:val="32"/>
        </w:rPr>
        <w:t>年单位事业单位医疗支出。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9</w:t>
      </w:r>
      <w:r>
        <w:rPr>
          <w:rFonts w:hAnsi="黑体"/>
          <w:kern w:val="2"/>
          <w:sz w:val="32"/>
          <w:szCs w:val="32"/>
        </w:rPr>
        <w:t>.</w:t>
      </w:r>
      <w:r>
        <w:rPr>
          <w:rFonts w:hint="eastAsia" w:hAnsi="黑体"/>
          <w:kern w:val="2"/>
          <w:sz w:val="32"/>
          <w:szCs w:val="32"/>
        </w:rPr>
        <w:t>2</w:t>
      </w:r>
      <w:r>
        <w:rPr>
          <w:rFonts w:hint="eastAsia" w:hAnsi="黑体"/>
          <w:kern w:val="2"/>
          <w:sz w:val="32"/>
          <w:szCs w:val="32"/>
          <w:lang w:val="en-US" w:eastAsia="zh-CN"/>
        </w:rPr>
        <w:t>10</w:t>
      </w:r>
      <w:r>
        <w:rPr>
          <w:rFonts w:hint="eastAsia" w:hAnsi="黑体"/>
          <w:kern w:val="2"/>
          <w:sz w:val="32"/>
          <w:szCs w:val="32"/>
        </w:rPr>
        <w:t>（类）</w:t>
      </w:r>
      <w:r>
        <w:rPr>
          <w:rFonts w:hint="eastAsia" w:hAnsi="黑体"/>
          <w:kern w:val="2"/>
          <w:sz w:val="32"/>
          <w:szCs w:val="32"/>
          <w:lang w:val="en-US" w:eastAsia="zh-CN"/>
        </w:rPr>
        <w:t>11</w:t>
      </w:r>
      <w:r>
        <w:rPr>
          <w:rFonts w:hint="eastAsia" w:hAnsi="黑体"/>
          <w:kern w:val="2"/>
          <w:sz w:val="32"/>
          <w:szCs w:val="32"/>
        </w:rPr>
        <w:t>（款）0</w:t>
      </w:r>
      <w:r>
        <w:rPr>
          <w:rFonts w:hint="eastAsia" w:hAnsi="黑体"/>
          <w:kern w:val="2"/>
          <w:sz w:val="32"/>
          <w:szCs w:val="32"/>
          <w:lang w:val="en-US" w:eastAsia="zh-CN"/>
        </w:rPr>
        <w:t>3</w:t>
      </w:r>
      <w:r>
        <w:rPr>
          <w:rFonts w:hint="eastAsia" w:hAnsi="黑体"/>
          <w:kern w:val="2"/>
          <w:sz w:val="32"/>
          <w:szCs w:val="32"/>
        </w:rPr>
        <w:t>（项）公务员医疗补助</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预算数为6.71万元，主要用于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年公务员医疗补助支出。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10.</w:t>
      </w:r>
      <w:r>
        <w:rPr>
          <w:rFonts w:hint="eastAsia" w:hAnsi="黑体"/>
          <w:kern w:val="2"/>
          <w:sz w:val="32"/>
          <w:szCs w:val="32"/>
        </w:rPr>
        <w:t>2</w:t>
      </w:r>
      <w:r>
        <w:rPr>
          <w:rFonts w:hint="eastAsia" w:hAnsi="黑体"/>
          <w:kern w:val="2"/>
          <w:sz w:val="32"/>
          <w:szCs w:val="32"/>
          <w:lang w:val="en-US" w:eastAsia="zh-CN"/>
        </w:rPr>
        <w:t>10</w:t>
      </w:r>
      <w:r>
        <w:rPr>
          <w:rFonts w:hint="eastAsia" w:hAnsi="黑体"/>
          <w:kern w:val="2"/>
          <w:sz w:val="32"/>
          <w:szCs w:val="32"/>
        </w:rPr>
        <w:t>（类）</w:t>
      </w:r>
      <w:r>
        <w:rPr>
          <w:rFonts w:hint="eastAsia" w:hAnsi="黑体"/>
          <w:kern w:val="2"/>
          <w:sz w:val="32"/>
          <w:szCs w:val="32"/>
          <w:lang w:val="en-US" w:eastAsia="zh-CN"/>
        </w:rPr>
        <w:t>11</w:t>
      </w:r>
      <w:r>
        <w:rPr>
          <w:rFonts w:hint="eastAsia" w:hAnsi="黑体"/>
          <w:kern w:val="2"/>
          <w:sz w:val="32"/>
          <w:szCs w:val="32"/>
        </w:rPr>
        <w:t>（款）</w:t>
      </w:r>
      <w:r>
        <w:rPr>
          <w:rFonts w:hint="eastAsia" w:hAnsi="黑体"/>
          <w:kern w:val="2"/>
          <w:sz w:val="32"/>
          <w:szCs w:val="32"/>
          <w:lang w:val="en-US" w:eastAsia="zh-CN"/>
        </w:rPr>
        <w:t>99</w:t>
      </w:r>
      <w:r>
        <w:rPr>
          <w:rFonts w:hint="eastAsia" w:hAnsi="黑体"/>
          <w:kern w:val="2"/>
          <w:sz w:val="32"/>
          <w:szCs w:val="32"/>
        </w:rPr>
        <w:t>（项）其他行政事业单位医疗支出</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预算数为3.68万元，主要用于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年其他行政事业单位医疗支出支出。</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default" w:hAnsi="黑体"/>
          <w:kern w:val="2"/>
          <w:sz w:val="32"/>
          <w:szCs w:val="32"/>
          <w:lang w:val="en-US" w:eastAsia="zh-CN"/>
        </w:rPr>
      </w:pPr>
      <w:r>
        <w:rPr>
          <w:rFonts w:hint="eastAsia" w:hAnsi="黑体"/>
          <w:kern w:val="2"/>
          <w:sz w:val="32"/>
          <w:szCs w:val="32"/>
          <w:lang w:val="en-US" w:eastAsia="zh-CN"/>
        </w:rPr>
        <w:t>11.</w:t>
      </w:r>
      <w:r>
        <w:rPr>
          <w:rFonts w:hint="eastAsia" w:hAnsi="黑体"/>
          <w:kern w:val="2"/>
          <w:sz w:val="32"/>
          <w:szCs w:val="32"/>
        </w:rPr>
        <w:t>2</w:t>
      </w:r>
      <w:r>
        <w:rPr>
          <w:rFonts w:hint="eastAsia" w:hAnsi="黑体"/>
          <w:kern w:val="2"/>
          <w:sz w:val="32"/>
          <w:szCs w:val="32"/>
          <w:lang w:val="en-US" w:eastAsia="zh-CN"/>
        </w:rPr>
        <w:t>21</w:t>
      </w:r>
      <w:r>
        <w:rPr>
          <w:rFonts w:hint="eastAsia" w:hAnsi="黑体"/>
          <w:kern w:val="2"/>
          <w:sz w:val="32"/>
          <w:szCs w:val="32"/>
        </w:rPr>
        <w:t>（类）</w:t>
      </w:r>
      <w:r>
        <w:rPr>
          <w:rFonts w:hint="eastAsia" w:hAnsi="黑体"/>
          <w:kern w:val="2"/>
          <w:sz w:val="32"/>
          <w:szCs w:val="32"/>
          <w:lang w:val="en-US" w:eastAsia="zh-CN"/>
        </w:rPr>
        <w:t>02</w:t>
      </w:r>
      <w:r>
        <w:rPr>
          <w:rFonts w:hint="eastAsia" w:hAnsi="黑体"/>
          <w:kern w:val="2"/>
          <w:sz w:val="32"/>
          <w:szCs w:val="32"/>
        </w:rPr>
        <w:t>（款）</w:t>
      </w:r>
      <w:r>
        <w:rPr>
          <w:rFonts w:hint="eastAsia" w:hAnsi="黑体"/>
          <w:kern w:val="2"/>
          <w:sz w:val="32"/>
          <w:szCs w:val="32"/>
          <w:lang w:val="en-US" w:eastAsia="zh-CN"/>
        </w:rPr>
        <w:t>01</w:t>
      </w:r>
      <w:r>
        <w:rPr>
          <w:rFonts w:hint="eastAsia" w:hAnsi="黑体"/>
          <w:kern w:val="2"/>
          <w:sz w:val="32"/>
          <w:szCs w:val="32"/>
        </w:rPr>
        <w:t>（项）住房公积金支出</w:t>
      </w: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预算数为29.5万元，主要用于</w:t>
      </w:r>
      <w:r>
        <w:rPr>
          <w:rFonts w:hAnsi="黑体"/>
          <w:kern w:val="2"/>
          <w:sz w:val="32"/>
          <w:szCs w:val="32"/>
        </w:rPr>
        <w:t xml:space="preserve"> :</w:t>
      </w:r>
      <w:r>
        <w:rPr>
          <w:rFonts w:hint="eastAsia" w:hAnsi="黑体"/>
          <w:kern w:val="2"/>
          <w:sz w:val="32"/>
          <w:szCs w:val="32"/>
          <w:lang w:eastAsia="zh-CN"/>
        </w:rPr>
        <w:t>2023</w:t>
      </w:r>
      <w:r>
        <w:rPr>
          <w:rFonts w:hint="eastAsia" w:hAnsi="黑体"/>
          <w:kern w:val="2"/>
          <w:sz w:val="32"/>
          <w:szCs w:val="32"/>
        </w:rPr>
        <w:t>年住房公积金支出。</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 xml:space="preserve"> </w:t>
      </w:r>
      <w:bookmarkStart w:id="12" w:name="_Toc30963"/>
      <w:r>
        <w:rPr>
          <w:rFonts w:hint="eastAsia" w:ascii="黑体" w:hAnsi="黑体" w:eastAsia="黑体" w:cs="黑体"/>
          <w:kern w:val="2"/>
          <w:sz w:val="32"/>
          <w:szCs w:val="32"/>
        </w:rPr>
        <w:t>一般公共预算基本支出情况说明</w:t>
      </w:r>
      <w:bookmarkEnd w:id="12"/>
    </w:p>
    <w:p>
      <w:pPr>
        <w:pStyle w:val="28"/>
        <w:spacing w:before="0" w:line="360" w:lineRule="auto"/>
        <w:ind w:firstLine="640" w:firstLineChars="200"/>
        <w:rPr>
          <w:rFonts w:hAnsi="黑体" w:cs="Times New Roman"/>
          <w:kern w:val="2"/>
          <w:sz w:val="32"/>
          <w:szCs w:val="32"/>
        </w:rPr>
      </w:pPr>
      <w:r>
        <w:rPr>
          <w:rFonts w:hint="eastAsia" w:hAnsi="黑体"/>
          <w:kern w:val="2"/>
          <w:sz w:val="32"/>
          <w:szCs w:val="32"/>
        </w:rPr>
        <w:t>壤塘县</w:t>
      </w:r>
      <w:r>
        <w:rPr>
          <w:rFonts w:hint="eastAsia" w:hAnsi="黑体"/>
          <w:kern w:val="2"/>
          <w:sz w:val="32"/>
          <w:szCs w:val="32"/>
          <w:lang w:eastAsia="zh-CN"/>
        </w:rPr>
        <w:t>文化体育和旅游局2023</w:t>
      </w:r>
      <w:r>
        <w:rPr>
          <w:rFonts w:hAnsi="黑体"/>
          <w:kern w:val="2"/>
          <w:sz w:val="32"/>
          <w:szCs w:val="32"/>
        </w:rPr>
        <w:t>年</w:t>
      </w:r>
      <w:r>
        <w:rPr>
          <w:rFonts w:hint="eastAsia" w:hAnsi="黑体"/>
          <w:kern w:val="2"/>
          <w:sz w:val="32"/>
          <w:szCs w:val="32"/>
        </w:rPr>
        <w:t>一般公共预算基本支出675.92万元，其中：人员经费599.31万元，主要包括：基本工资、津贴补贴、奖金、其他社会保障缴费、绩效工资、机关事业单位基本养老保险缴费、职业年金缴费、其他工资福利支出、奖励金、住房公积金、对个人和家庭的补助支出。公用经费58.25万元，主要包括：办公费、印刷费、手续费、水费、电费、邮电费、差旅费、维修（护）费、租赁费、会议费、培训费、劳务费、工会经费</w:t>
      </w:r>
      <w:r>
        <w:rPr>
          <w:rFonts w:hint="eastAsia" w:hAnsi="黑体"/>
          <w:kern w:val="2"/>
          <w:sz w:val="32"/>
          <w:szCs w:val="32"/>
          <w:lang w:val="en-US" w:eastAsia="zh-CN"/>
        </w:rPr>
        <w:t>.商品和服务支出</w:t>
      </w:r>
      <w:r>
        <w:rPr>
          <w:rFonts w:hint="eastAsia" w:hAnsi="黑体"/>
          <w:kern w:val="2"/>
          <w:sz w:val="32"/>
          <w:szCs w:val="32"/>
        </w:rPr>
        <w:t>。</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3" w:name="_Toc12642"/>
      <w:r>
        <w:rPr>
          <w:rFonts w:hint="eastAsia" w:ascii="黑体" w:hAnsi="黑体" w:eastAsia="黑体" w:cs="黑体"/>
          <w:kern w:val="2"/>
          <w:sz w:val="32"/>
          <w:szCs w:val="32"/>
        </w:rPr>
        <w:t>“三公”经费财政拨款预算安排情况说明</w:t>
      </w:r>
      <w:bookmarkEnd w:id="13"/>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default" w:hAnsi="黑体" w:eastAsia="仿宋_GB2312"/>
          <w:kern w:val="2"/>
          <w:sz w:val="32"/>
          <w:szCs w:val="32"/>
          <w:lang w:val="en-US" w:eastAsia="zh-CN"/>
        </w:rPr>
      </w:pPr>
      <w:r>
        <w:rPr>
          <w:rFonts w:hint="eastAsia" w:hAnsi="黑体"/>
          <w:kern w:val="2"/>
          <w:sz w:val="32"/>
          <w:szCs w:val="32"/>
        </w:rPr>
        <w:t>壤塘县</w:t>
      </w:r>
      <w:r>
        <w:rPr>
          <w:rFonts w:hint="eastAsia" w:hAnsi="黑体"/>
          <w:kern w:val="2"/>
          <w:sz w:val="32"/>
          <w:szCs w:val="32"/>
          <w:lang w:eastAsia="zh-CN"/>
        </w:rPr>
        <w:t>文化体育和旅游局2023</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经费财政拨款预算数8.5万元，其中：公务用车购置及运行维护费</w:t>
      </w:r>
      <w:r>
        <w:rPr>
          <w:rFonts w:hint="eastAsia" w:hAnsi="黑体" w:cs="Times New Roman"/>
          <w:color w:val="000000" w:themeColor="text1"/>
          <w:kern w:val="2"/>
          <w:sz w:val="32"/>
          <w:szCs w:val="32"/>
          <w:lang w:val="en-US" w:eastAsia="zh-CN"/>
          <w14:textFill>
            <w14:solidFill>
              <w14:schemeClr w14:val="tx1"/>
            </w14:solidFill>
          </w14:textFill>
        </w:rPr>
        <w:t>8</w:t>
      </w:r>
      <w:r>
        <w:rPr>
          <w:rFonts w:hint="eastAsia" w:hAnsi="黑体"/>
          <w:kern w:val="2"/>
          <w:sz w:val="32"/>
          <w:szCs w:val="32"/>
        </w:rPr>
        <w:t>万元。</w:t>
      </w:r>
      <w:r>
        <w:rPr>
          <w:rFonts w:hint="eastAsia" w:hAnsi="黑体"/>
          <w:kern w:val="2"/>
          <w:sz w:val="32"/>
          <w:szCs w:val="32"/>
          <w:lang w:val="en-US" w:eastAsia="zh-CN"/>
        </w:rPr>
        <w:t>公务接待费</w:t>
      </w:r>
      <w:r>
        <w:rPr>
          <w:rFonts w:hint="eastAsia" w:hAnsi="黑体" w:cs="Times New Roman"/>
          <w:color w:val="000000" w:themeColor="text1"/>
          <w:kern w:val="2"/>
          <w:sz w:val="32"/>
          <w:szCs w:val="32"/>
          <w:lang w:val="en-US" w:eastAsia="zh-CN"/>
          <w14:textFill>
            <w14:solidFill>
              <w14:schemeClr w14:val="tx1"/>
            </w14:solidFill>
          </w14:textFill>
        </w:rPr>
        <w:t>0.5</w:t>
      </w:r>
      <w:r>
        <w:rPr>
          <w:rFonts w:hint="eastAsia" w:hAnsi="黑体"/>
          <w:kern w:val="2"/>
          <w:sz w:val="32"/>
          <w:szCs w:val="32"/>
          <w:lang w:val="en-US" w:eastAsia="zh-CN"/>
        </w:rPr>
        <w:t>万元。</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4" w:name="_Toc9689"/>
      <w:r>
        <w:rPr>
          <w:rFonts w:hint="eastAsia" w:ascii="黑体" w:hAnsi="黑体" w:eastAsia="黑体" w:cs="黑体"/>
          <w:kern w:val="2"/>
          <w:sz w:val="32"/>
          <w:szCs w:val="32"/>
        </w:rPr>
        <w:t>政府性基金预算支出情况说明</w:t>
      </w:r>
      <w:bookmarkEnd w:id="14"/>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480" w:leftChars="0"/>
        <w:textAlignment w:val="auto"/>
        <w:outlineLvl w:val="9"/>
        <w:rPr>
          <w:rFonts w:hint="eastAsia" w:hAnsi="黑体"/>
          <w:kern w:val="2"/>
          <w:sz w:val="32"/>
          <w:szCs w:val="32"/>
        </w:rPr>
      </w:pPr>
      <w:r>
        <w:rPr>
          <w:rFonts w:hint="eastAsia" w:ascii="??" w:hAnsi="??" w:eastAsia="宋体" w:cs="宋体"/>
          <w:sz w:val="16"/>
          <w:szCs w:val="16"/>
        </w:rPr>
        <w:t>　</w:t>
      </w:r>
      <w:r>
        <w:rPr>
          <w:rFonts w:hint="eastAsia" w:hAnsi="黑体"/>
          <w:kern w:val="2"/>
          <w:sz w:val="32"/>
          <w:szCs w:val="32"/>
        </w:rPr>
        <w:t>壤塘县</w:t>
      </w:r>
      <w:r>
        <w:rPr>
          <w:rFonts w:hint="eastAsia" w:hAnsi="黑体"/>
          <w:kern w:val="2"/>
          <w:sz w:val="32"/>
          <w:szCs w:val="32"/>
          <w:lang w:eastAsia="zh-CN"/>
        </w:rPr>
        <w:t>文化体育和旅游局2023</w:t>
      </w:r>
      <w:r>
        <w:rPr>
          <w:rFonts w:hAnsi="黑体"/>
          <w:kern w:val="2"/>
          <w:sz w:val="32"/>
          <w:szCs w:val="32"/>
        </w:rPr>
        <w:t>年</w:t>
      </w:r>
      <w:r>
        <w:rPr>
          <w:rFonts w:hint="eastAsia" w:hAnsi="黑体"/>
          <w:kern w:val="2"/>
          <w:sz w:val="32"/>
          <w:szCs w:val="32"/>
        </w:rPr>
        <w:t>无政府性基金预算拨款。</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5" w:name="_Toc23192"/>
      <w:r>
        <w:rPr>
          <w:rFonts w:hint="eastAsia" w:ascii="黑体" w:hAnsi="黑体" w:eastAsia="黑体" w:cs="黑体"/>
          <w:kern w:val="2"/>
          <w:sz w:val="32"/>
          <w:szCs w:val="32"/>
        </w:rPr>
        <w:t>其他重要事项的情况说明</w:t>
      </w:r>
      <w:bookmarkEnd w:id="15"/>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color w:val="auto"/>
          <w:kern w:val="2"/>
          <w:sz w:val="32"/>
          <w:szCs w:val="32"/>
        </w:rPr>
      </w:pPr>
      <w:r>
        <w:rPr>
          <w:rFonts w:hint="eastAsia" w:hAnsi="黑体"/>
          <w:color w:val="auto"/>
          <w:kern w:val="2"/>
          <w:sz w:val="32"/>
          <w:szCs w:val="32"/>
        </w:rPr>
        <w:t>无</w:t>
      </w:r>
    </w:p>
    <w:p>
      <w:pPr>
        <w:pStyle w:val="28"/>
        <w:keepNext w:val="0"/>
        <w:keepLines w:val="0"/>
        <w:pageBreakBefore w:val="0"/>
        <w:widowControl w:val="0"/>
        <w:numPr>
          <w:ilvl w:val="0"/>
          <w:numId w:val="6"/>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6" w:name="_Toc929"/>
      <w:r>
        <w:rPr>
          <w:rFonts w:hint="eastAsia" w:ascii="楷体_GB2312" w:hAnsi="黑体" w:eastAsia="楷体_GB2312" w:cs="楷体_GB2312"/>
          <w:b/>
          <w:bCs/>
          <w:kern w:val="2"/>
          <w:sz w:val="32"/>
          <w:szCs w:val="32"/>
        </w:rPr>
        <w:t>机关运行经费</w:t>
      </w:r>
      <w:bookmarkEnd w:id="16"/>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textAlignment w:val="auto"/>
        <w:outlineLvl w:val="9"/>
        <w:rPr>
          <w:rFonts w:hint="eastAsia" w:hAnsi="黑体" w:eastAsia="仿宋_GB2312"/>
          <w:color w:val="auto"/>
          <w:kern w:val="2"/>
          <w:sz w:val="32"/>
          <w:szCs w:val="32"/>
          <w:lang w:val="en-US" w:eastAsia="zh-CN"/>
        </w:rPr>
      </w:pPr>
      <w:r>
        <w:rPr>
          <w:rFonts w:hint="eastAsia" w:hAnsi="黑体"/>
          <w:color w:val="auto"/>
          <w:kern w:val="2"/>
          <w:sz w:val="32"/>
          <w:szCs w:val="32"/>
          <w:lang w:val="en-US" w:eastAsia="zh-CN"/>
        </w:rPr>
        <w:t xml:space="preserve">   </w:t>
      </w:r>
      <w:r>
        <w:rPr>
          <w:rFonts w:hint="eastAsia" w:hAnsi="黑体"/>
          <w:color w:val="auto"/>
          <w:kern w:val="2"/>
          <w:sz w:val="32"/>
          <w:szCs w:val="32"/>
        </w:rPr>
        <w:t>壤塘县</w:t>
      </w:r>
      <w:r>
        <w:rPr>
          <w:rFonts w:hint="eastAsia" w:hAnsi="黑体"/>
          <w:color w:val="auto"/>
          <w:kern w:val="2"/>
          <w:sz w:val="32"/>
          <w:szCs w:val="32"/>
          <w:lang w:eastAsia="zh-CN"/>
        </w:rPr>
        <w:t>文化体育和旅游局2023</w:t>
      </w:r>
      <w:r>
        <w:rPr>
          <w:rFonts w:hAnsi="黑体"/>
          <w:color w:val="auto"/>
          <w:kern w:val="2"/>
          <w:sz w:val="32"/>
          <w:szCs w:val="32"/>
        </w:rPr>
        <w:t>年</w:t>
      </w:r>
      <w:r>
        <w:rPr>
          <w:rFonts w:hint="eastAsia" w:hAnsi="黑体"/>
          <w:color w:val="auto"/>
          <w:kern w:val="2"/>
          <w:sz w:val="32"/>
          <w:szCs w:val="32"/>
        </w:rPr>
        <w:t>机关运行经费财政拨款预算为58.25万元</w:t>
      </w:r>
      <w:r>
        <w:rPr>
          <w:rFonts w:hint="eastAsia" w:hAnsi="黑体"/>
          <w:color w:val="auto"/>
          <w:kern w:val="2"/>
          <w:sz w:val="32"/>
          <w:szCs w:val="32"/>
          <w:lang w:eastAsia="zh-CN"/>
        </w:rPr>
        <w:t>。</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outlineLvl w:val="1"/>
        <w:rPr>
          <w:rFonts w:hAnsi="黑体" w:cs="Times New Roman"/>
          <w:kern w:val="2"/>
          <w:sz w:val="32"/>
          <w:szCs w:val="32"/>
        </w:rPr>
      </w:pPr>
      <w:bookmarkStart w:id="17" w:name="_Toc31143"/>
      <w:r>
        <w:rPr>
          <w:rFonts w:hint="eastAsia" w:ascii="楷体_GB2312" w:hAnsi="黑体" w:eastAsia="楷体_GB2312" w:cs="楷体_GB2312"/>
          <w:b/>
          <w:bCs/>
          <w:kern w:val="2"/>
          <w:sz w:val="32"/>
          <w:szCs w:val="32"/>
        </w:rPr>
        <w:t>（二）政府采购情况</w:t>
      </w:r>
      <w:bookmarkEnd w:id="17"/>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hAnsi="黑体"/>
          <w:kern w:val="2"/>
          <w:sz w:val="32"/>
          <w:szCs w:val="32"/>
        </w:rPr>
      </w:pP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壤塘县</w:t>
      </w:r>
      <w:r>
        <w:rPr>
          <w:rFonts w:hint="eastAsia" w:hAnsi="黑体"/>
          <w:kern w:val="2"/>
          <w:sz w:val="32"/>
          <w:szCs w:val="32"/>
          <w:lang w:eastAsia="zh-CN"/>
        </w:rPr>
        <w:t>文化体育和旅游局</w:t>
      </w:r>
      <w:r>
        <w:rPr>
          <w:rFonts w:hint="eastAsia" w:hAnsi="黑体"/>
          <w:kern w:val="2"/>
          <w:sz w:val="32"/>
          <w:szCs w:val="32"/>
        </w:rPr>
        <w:t>未安排政府采购预算。</w:t>
      </w:r>
    </w:p>
    <w:p>
      <w:pPr>
        <w:pStyle w:val="2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8" w:name="_Toc12129"/>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三</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国有资产占有使用情况</w:t>
      </w:r>
      <w:bookmarkEnd w:id="18"/>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无</w:t>
      </w:r>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3" w:firstLineChars="200"/>
        <w:textAlignment w:val="auto"/>
        <w:outlineLvl w:val="1"/>
        <w:rPr>
          <w:rFonts w:hint="eastAsia" w:ascii="楷体_GB2312" w:hAnsi="黑体" w:eastAsia="楷体_GB2312" w:cs="楷体_GB2312"/>
          <w:b/>
          <w:bCs/>
          <w:kern w:val="2"/>
          <w:sz w:val="32"/>
          <w:szCs w:val="32"/>
        </w:rPr>
      </w:pPr>
      <w:bookmarkStart w:id="19" w:name="_Toc17726"/>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bookmarkEnd w:id="19"/>
    </w:p>
    <w:p>
      <w:pPr>
        <w:pStyle w:val="2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0" w:firstLineChars="200"/>
        <w:textAlignment w:val="auto"/>
        <w:rPr>
          <w:rFonts w:ascii="楷体_GB2312" w:hAnsi="黑体" w:eastAsia="楷体_GB2312" w:cs="楷体_GB2312"/>
          <w:b/>
          <w:bCs/>
          <w:kern w:val="2"/>
          <w:sz w:val="32"/>
          <w:szCs w:val="32"/>
        </w:rPr>
      </w:pPr>
      <w:r>
        <w:rPr>
          <w:rFonts w:hint="eastAsia" w:hAnsi="黑体"/>
          <w:kern w:val="2"/>
          <w:sz w:val="32"/>
          <w:szCs w:val="32"/>
          <w:lang w:eastAsia="zh-CN"/>
        </w:rPr>
        <w:t>2023</w:t>
      </w:r>
      <w:r>
        <w:rPr>
          <w:rFonts w:hAnsi="黑体"/>
          <w:kern w:val="2"/>
          <w:sz w:val="32"/>
          <w:szCs w:val="32"/>
        </w:rPr>
        <w:t>年</w:t>
      </w:r>
      <w:r>
        <w:rPr>
          <w:rFonts w:hint="eastAsia" w:hAnsi="黑体"/>
          <w:kern w:val="2"/>
          <w:sz w:val="32"/>
          <w:szCs w:val="32"/>
        </w:rPr>
        <w:t>壤塘县</w:t>
      </w:r>
      <w:r>
        <w:rPr>
          <w:rFonts w:hint="eastAsia" w:hAnsi="黑体"/>
          <w:kern w:val="2"/>
          <w:sz w:val="32"/>
          <w:szCs w:val="32"/>
          <w:lang w:eastAsia="zh-CN"/>
        </w:rPr>
        <w:t>文化体育和旅游局</w:t>
      </w:r>
      <w:r>
        <w:rPr>
          <w:rFonts w:hint="eastAsia" w:hAnsi="黑体"/>
          <w:kern w:val="2"/>
          <w:sz w:val="32"/>
          <w:szCs w:val="32"/>
        </w:rPr>
        <w:t>通用项目和专用项目均按要求实行绩效目标管理。</w:t>
      </w:r>
    </w:p>
    <w:p>
      <w:pPr>
        <w:pStyle w:val="28"/>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20" w:name="_Toc9019"/>
      <w:r>
        <w:rPr>
          <w:rFonts w:hint="eastAsia" w:ascii="黑体" w:hAnsi="黑体" w:eastAsia="黑体" w:cs="黑体"/>
          <w:kern w:val="2"/>
          <w:sz w:val="32"/>
          <w:szCs w:val="32"/>
        </w:rPr>
        <w:t>名词解释</w:t>
      </w:r>
      <w:bookmarkEnd w:id="20"/>
    </w:p>
    <w:p>
      <w:pPr>
        <w:pStyle w:val="28"/>
        <w:spacing w:before="0" w:line="360" w:lineRule="auto"/>
        <w:ind w:firstLine="640" w:firstLineChars="200"/>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w:t>
      </w:r>
      <w:r>
        <w:rPr>
          <w:rFonts w:hint="eastAsia" w:hAnsi="黑体" w:cs="Times New Roman"/>
          <w:color w:val="000000" w:themeColor="text1"/>
          <w:kern w:val="2"/>
          <w:sz w:val="32"/>
          <w:szCs w:val="32"/>
          <w:lang w:val="en-US" w:eastAsia="zh-CN"/>
          <w14:textFill>
            <w14:solidFill>
              <w14:schemeClr w14:val="tx1"/>
            </w14:solidFill>
          </w14:textFill>
        </w:rPr>
        <w:t>预计</w:t>
      </w:r>
      <w:r>
        <w:rPr>
          <w:rFonts w:hint="eastAsia" w:hAnsi="黑体"/>
          <w:kern w:val="2"/>
          <w:sz w:val="32"/>
          <w:szCs w:val="32"/>
        </w:rPr>
        <w:t>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sectPr>
      <w:pgSz w:w="11850" w:h="16783"/>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7B6441"/>
    <w:multiLevelType w:val="singleLevel"/>
    <w:tmpl w:val="C37B6441"/>
    <w:lvl w:ilvl="0" w:tentative="0">
      <w:start w:val="1"/>
      <w:numFmt w:val="chineseCounting"/>
      <w:suff w:val="nothing"/>
      <w:lvlText w:val="（%1）"/>
      <w:lvlJc w:val="left"/>
      <w:rPr>
        <w:rFonts w:hint="eastAsia"/>
      </w:rPr>
    </w:lvl>
  </w:abstractNum>
  <w:abstractNum w:abstractNumId="1">
    <w:nsid w:val="CA438BAF"/>
    <w:multiLevelType w:val="singleLevel"/>
    <w:tmpl w:val="CA438BAF"/>
    <w:lvl w:ilvl="0" w:tentative="0">
      <w:start w:val="1"/>
      <w:numFmt w:val="chineseCounting"/>
      <w:suff w:val="nothing"/>
      <w:lvlText w:val="（%1）"/>
      <w:lvlJc w:val="left"/>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24"/>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ECCAD31"/>
    <w:multiLevelType w:val="singleLevel"/>
    <w:tmpl w:val="6ECCAD31"/>
    <w:lvl w:ilvl="0" w:tentative="0">
      <w:start w:val="4"/>
      <w:numFmt w:val="chineseCounting"/>
      <w:suff w:val="nothing"/>
      <w:lvlText w:val="%1、"/>
      <w:lvlJc w:val="left"/>
      <w:rPr>
        <w:rFonts w:hint="eastAsia"/>
      </w:rPr>
    </w:lvl>
  </w:abstractNum>
  <w:abstractNum w:abstractNumId="4">
    <w:nsid w:val="7810B98A"/>
    <w:multiLevelType w:val="singleLevel"/>
    <w:tmpl w:val="7810B98A"/>
    <w:lvl w:ilvl="0" w:tentative="0">
      <w:start w:val="1"/>
      <w:numFmt w:val="chineseCounting"/>
      <w:suff w:val="nothing"/>
      <w:lvlText w:val="%1、"/>
      <w:lvlJc w:val="left"/>
      <w:rPr>
        <w:rFonts w:hint="eastAsia"/>
      </w:rPr>
    </w:lvl>
  </w:abstractNum>
  <w:abstractNum w:abstractNumId="5">
    <w:nsid w:val="78DD5C70"/>
    <w:multiLevelType w:val="singleLevel"/>
    <w:tmpl w:val="78DD5C70"/>
    <w:lvl w:ilvl="0" w:tentative="0">
      <w:start w:val="1"/>
      <w:numFmt w:val="chineseCounting"/>
      <w:suff w:val="nothing"/>
      <w:lvlText w:val="（%1）"/>
      <w:lvlJc w:val="left"/>
      <w:rPr>
        <w:rFonts w:hint="eastAsia"/>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0MmI0YzdmZGEzYTExMGYwYjUxYTE1MzliODFlYTkifQ=="/>
  </w:docVars>
  <w:rsids>
    <w:rsidRoot w:val="00352854"/>
    <w:rsid w:val="00002FEA"/>
    <w:rsid w:val="00082EF4"/>
    <w:rsid w:val="00085137"/>
    <w:rsid w:val="00097A74"/>
    <w:rsid w:val="000A083C"/>
    <w:rsid w:val="00105B15"/>
    <w:rsid w:val="001A196D"/>
    <w:rsid w:val="002026C1"/>
    <w:rsid w:val="00212DBB"/>
    <w:rsid w:val="00260082"/>
    <w:rsid w:val="00264016"/>
    <w:rsid w:val="002946BD"/>
    <w:rsid w:val="002F6713"/>
    <w:rsid w:val="00316466"/>
    <w:rsid w:val="00334FF2"/>
    <w:rsid w:val="00337586"/>
    <w:rsid w:val="00352854"/>
    <w:rsid w:val="003762A5"/>
    <w:rsid w:val="004103CC"/>
    <w:rsid w:val="00420C45"/>
    <w:rsid w:val="0043059D"/>
    <w:rsid w:val="00471829"/>
    <w:rsid w:val="0047755A"/>
    <w:rsid w:val="00484AEB"/>
    <w:rsid w:val="004A7CFC"/>
    <w:rsid w:val="00527A2C"/>
    <w:rsid w:val="0059475F"/>
    <w:rsid w:val="00681CB7"/>
    <w:rsid w:val="006F18F1"/>
    <w:rsid w:val="007221E6"/>
    <w:rsid w:val="007B3677"/>
    <w:rsid w:val="007C7CD1"/>
    <w:rsid w:val="00844940"/>
    <w:rsid w:val="00882412"/>
    <w:rsid w:val="008C1FFD"/>
    <w:rsid w:val="008D3923"/>
    <w:rsid w:val="008F63EB"/>
    <w:rsid w:val="009272A9"/>
    <w:rsid w:val="009544A0"/>
    <w:rsid w:val="00986E64"/>
    <w:rsid w:val="00987B5A"/>
    <w:rsid w:val="009C5F76"/>
    <w:rsid w:val="00A55379"/>
    <w:rsid w:val="00B35F0F"/>
    <w:rsid w:val="00B713B0"/>
    <w:rsid w:val="00BB34A8"/>
    <w:rsid w:val="00BD787B"/>
    <w:rsid w:val="00C0348B"/>
    <w:rsid w:val="00C451EA"/>
    <w:rsid w:val="00C8183B"/>
    <w:rsid w:val="00D20EAB"/>
    <w:rsid w:val="00EF71D0"/>
    <w:rsid w:val="00F743F0"/>
    <w:rsid w:val="00F806C0"/>
    <w:rsid w:val="00F80C32"/>
    <w:rsid w:val="00FF11B9"/>
    <w:rsid w:val="05336038"/>
    <w:rsid w:val="078608E3"/>
    <w:rsid w:val="0F4F4C7A"/>
    <w:rsid w:val="0FE05B3A"/>
    <w:rsid w:val="10D16E07"/>
    <w:rsid w:val="11B650B7"/>
    <w:rsid w:val="145F6AAB"/>
    <w:rsid w:val="161A0B74"/>
    <w:rsid w:val="16CA62A6"/>
    <w:rsid w:val="16DC2F8B"/>
    <w:rsid w:val="178A7574"/>
    <w:rsid w:val="19486EBE"/>
    <w:rsid w:val="1A9A51D6"/>
    <w:rsid w:val="1C784EAC"/>
    <w:rsid w:val="1D5353A2"/>
    <w:rsid w:val="1F9F20EA"/>
    <w:rsid w:val="22DD5263"/>
    <w:rsid w:val="23C15FD1"/>
    <w:rsid w:val="28CB15EA"/>
    <w:rsid w:val="2A723802"/>
    <w:rsid w:val="2A7A3526"/>
    <w:rsid w:val="2BDD1C23"/>
    <w:rsid w:val="2BE55328"/>
    <w:rsid w:val="30EC7ED5"/>
    <w:rsid w:val="312E1520"/>
    <w:rsid w:val="343B2D45"/>
    <w:rsid w:val="3CE8319C"/>
    <w:rsid w:val="3F012C3E"/>
    <w:rsid w:val="42090B8B"/>
    <w:rsid w:val="44F95923"/>
    <w:rsid w:val="473F6A66"/>
    <w:rsid w:val="4B4D5AC5"/>
    <w:rsid w:val="4D6A0AAB"/>
    <w:rsid w:val="4F587A3C"/>
    <w:rsid w:val="591D33F7"/>
    <w:rsid w:val="5BB01B07"/>
    <w:rsid w:val="5E3E2251"/>
    <w:rsid w:val="63721E41"/>
    <w:rsid w:val="670B7E05"/>
    <w:rsid w:val="69A062AB"/>
    <w:rsid w:val="69A1603A"/>
    <w:rsid w:val="6CAD23A1"/>
    <w:rsid w:val="6D256AFF"/>
    <w:rsid w:val="6DAD3181"/>
    <w:rsid w:val="6EBC5D90"/>
    <w:rsid w:val="72617E0D"/>
    <w:rsid w:val="728F3602"/>
    <w:rsid w:val="74DA48CB"/>
    <w:rsid w:val="75EE70D6"/>
    <w:rsid w:val="7880612E"/>
    <w:rsid w:val="79047E6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4">
    <w:name w:val="Default Paragraph Font"/>
    <w:semiHidden/>
    <w:qFormat/>
    <w:uiPriority w:val="99"/>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仿宋" w:cs="Arial Unicode MS"/>
      <w:kern w:val="0"/>
      <w:sz w:val="32"/>
      <w:szCs w:val="21"/>
      <w:lang w:bidi="bo-CN"/>
    </w:rPr>
  </w:style>
  <w:style w:type="paragraph" w:styleId="3">
    <w:name w:val="index 8"/>
    <w:basedOn w:val="1"/>
    <w:next w:val="1"/>
    <w:unhideWhenUsed/>
    <w:qFormat/>
    <w:uiPriority w:val="99"/>
    <w:pPr>
      <w:ind w:left="2940"/>
    </w:pPr>
  </w:style>
  <w:style w:type="paragraph" w:styleId="4">
    <w:name w:val="annotation text"/>
    <w:basedOn w:val="1"/>
    <w:link w:val="19"/>
    <w:unhideWhenUsed/>
    <w:qFormat/>
    <w:uiPriority w:val="99"/>
    <w:pPr>
      <w:jc w:val="left"/>
    </w:pPr>
  </w:style>
  <w:style w:type="paragraph" w:styleId="5">
    <w:name w:val="Body Text"/>
    <w:basedOn w:val="1"/>
    <w:next w:val="3"/>
    <w:qFormat/>
    <w:uiPriority w:val="1"/>
    <w:rPr>
      <w:rFonts w:ascii="仿宋_GB2312" w:hAnsi="仿宋_GB2312" w:eastAsia="仿宋_GB2312" w:cs="仿宋_GB2312"/>
      <w:sz w:val="32"/>
      <w:szCs w:val="32"/>
      <w:lang w:val="zh-CN" w:bidi="zh-CN"/>
    </w:rPr>
  </w:style>
  <w:style w:type="paragraph" w:styleId="6">
    <w:name w:val="footer"/>
    <w:basedOn w:val="1"/>
    <w:link w:val="20"/>
    <w:semiHidden/>
    <w:qFormat/>
    <w:uiPriority w:val="99"/>
    <w:pPr>
      <w:tabs>
        <w:tab w:val="center" w:pos="4153"/>
        <w:tab w:val="right" w:pos="8306"/>
      </w:tabs>
      <w:snapToGrid w:val="0"/>
      <w:jc w:val="left"/>
    </w:pPr>
    <w:rPr>
      <w:sz w:val="18"/>
      <w:szCs w:val="18"/>
    </w:rPr>
  </w:style>
  <w:style w:type="paragraph" w:styleId="7">
    <w:name w:val="header"/>
    <w:basedOn w:val="1"/>
    <w:link w:val="18"/>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locked/>
    <w:uiPriority w:val="0"/>
  </w:style>
  <w:style w:type="paragraph" w:styleId="9">
    <w:name w:val="toc 2"/>
    <w:basedOn w:val="1"/>
    <w:next w:val="1"/>
    <w:qFormat/>
    <w:locked/>
    <w:uiPriority w:val="0"/>
    <w:pPr>
      <w:ind w:left="420" w:left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annotation subject"/>
    <w:basedOn w:val="4"/>
    <w:next w:val="4"/>
    <w:link w:val="21"/>
    <w:unhideWhenUsed/>
    <w:qFormat/>
    <w:uiPriority w:val="99"/>
    <w:rPr>
      <w:b/>
      <w:bCs/>
    </w:rPr>
  </w:style>
  <w:style w:type="table" w:styleId="13">
    <w:name w:val="Table Grid"/>
    <w:basedOn w:val="12"/>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99"/>
  </w:style>
  <w:style w:type="character" w:styleId="16">
    <w:name w:val="annotation reference"/>
    <w:unhideWhenUsed/>
    <w:uiPriority w:val="99"/>
    <w:rPr>
      <w:sz w:val="21"/>
      <w:szCs w:val="21"/>
    </w:rPr>
  </w:style>
  <w:style w:type="character" w:customStyle="1" w:styleId="17">
    <w:name w:val="默认段落字体1"/>
    <w:qFormat/>
    <w:uiPriority w:val="99"/>
    <w:rPr>
      <w:sz w:val="22"/>
      <w:szCs w:val="22"/>
    </w:rPr>
  </w:style>
  <w:style w:type="character" w:customStyle="1" w:styleId="18">
    <w:name w:val="页眉 Char"/>
    <w:link w:val="7"/>
    <w:semiHidden/>
    <w:qFormat/>
    <w:locked/>
    <w:uiPriority w:val="99"/>
    <w:rPr>
      <w:sz w:val="18"/>
      <w:szCs w:val="18"/>
    </w:rPr>
  </w:style>
  <w:style w:type="character" w:customStyle="1" w:styleId="19">
    <w:name w:val="批注文字 字符"/>
    <w:link w:val="4"/>
    <w:semiHidden/>
    <w:qFormat/>
    <w:uiPriority w:val="99"/>
    <w:rPr>
      <w:rFonts w:cs="Calibri"/>
      <w:kern w:val="2"/>
      <w:sz w:val="21"/>
      <w:szCs w:val="21"/>
    </w:rPr>
  </w:style>
  <w:style w:type="character" w:customStyle="1" w:styleId="20">
    <w:name w:val="页脚 Char"/>
    <w:link w:val="6"/>
    <w:semiHidden/>
    <w:qFormat/>
    <w:locked/>
    <w:uiPriority w:val="99"/>
    <w:rPr>
      <w:sz w:val="18"/>
      <w:szCs w:val="18"/>
    </w:rPr>
  </w:style>
  <w:style w:type="character" w:customStyle="1" w:styleId="21">
    <w:name w:val="批注主题 字符"/>
    <w:link w:val="11"/>
    <w:semiHidden/>
    <w:qFormat/>
    <w:uiPriority w:val="99"/>
    <w:rPr>
      <w:rFonts w:cs="Calibri"/>
      <w:b/>
      <w:bCs/>
      <w:kern w:val="2"/>
      <w:sz w:val="21"/>
      <w:szCs w:val="21"/>
    </w:rPr>
  </w:style>
  <w:style w:type="character" w:customStyle="1" w:styleId="22">
    <w:name w:val="NormalCharacter"/>
    <w:semiHidden/>
    <w:qFormat/>
    <w:uiPriority w:val="0"/>
  </w:style>
  <w:style w:type="paragraph" w:customStyle="1" w:styleId="23">
    <w:name w:val="List Paragraph"/>
    <w:basedOn w:val="1"/>
    <w:qFormat/>
    <w:uiPriority w:val="99"/>
    <w:pPr>
      <w:ind w:firstLine="420" w:firstLineChars="200"/>
    </w:pPr>
  </w:style>
  <w:style w:type="paragraph" w:customStyle="1" w:styleId="24">
    <w:name w:val="UserStyle_1"/>
    <w:basedOn w:val="1"/>
    <w:next w:val="25"/>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 w:type="paragraph" w:customStyle="1" w:styleId="25">
    <w:name w:val="UserStyle_0"/>
    <w:qFormat/>
    <w:uiPriority w:val="0"/>
    <w:pPr>
      <w:spacing w:line="300" w:lineRule="auto"/>
      <w:textAlignment w:val="baseline"/>
    </w:pPr>
    <w:rPr>
      <w:rFonts w:ascii="Arial" w:hAnsi="Arial" w:eastAsia="宋体" w:cs="Times New Roman"/>
      <w:sz w:val="21"/>
      <w:szCs w:val="21"/>
      <w:lang w:val="en-US" w:eastAsia="zh-CN" w:bidi="ar-SA"/>
    </w:rPr>
  </w:style>
  <w:style w:type="paragraph" w:customStyle="1" w:styleId="26">
    <w:name w:val="WPSOffice手动目录 2"/>
    <w:qFormat/>
    <w:uiPriority w:val="0"/>
    <w:pPr>
      <w:ind w:leftChars="200"/>
    </w:pPr>
    <w:rPr>
      <w:rFonts w:ascii="Calibri" w:hAnsi="Calibri" w:eastAsia="宋体" w:cs="Times New Roman"/>
      <w:sz w:val="20"/>
      <w:szCs w:val="20"/>
    </w:rPr>
  </w:style>
  <w:style w:type="paragraph" w:customStyle="1" w:styleId="27">
    <w:name w:val="WPSOffice手动目录 1"/>
    <w:qFormat/>
    <w:uiPriority w:val="0"/>
    <w:pPr>
      <w:ind w:leftChars="0"/>
    </w:pPr>
    <w:rPr>
      <w:rFonts w:ascii="Calibri" w:hAnsi="Calibri" w:eastAsia="宋体" w:cs="Times New Roman"/>
      <w:sz w:val="20"/>
      <w:szCs w:val="20"/>
    </w:rPr>
  </w:style>
  <w:style w:type="paragraph" w:customStyle="1" w:styleId="28">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29">
    <w:name w:val="文档正文"/>
    <w:basedOn w:val="1"/>
    <w:qFormat/>
    <w:uiPriority w:val="0"/>
    <w:pPr>
      <w:adjustRightInd w:val="0"/>
      <w:spacing w:line="480" w:lineRule="atLeast"/>
      <w:textAlignment w:val="baseline"/>
    </w:pPr>
    <w:rPr>
      <w:rFonts w:ascii="Arial" w:hAnsi="Arial"/>
      <w:kern w:val="0"/>
    </w:rPr>
  </w:style>
  <w:style w:type="character" w:customStyle="1" w:styleId="30">
    <w:name w:val="font1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12</Pages>
  <Words>4766</Words>
  <Characters>5166</Characters>
  <Lines>22</Lines>
  <Paragraphs>6</Paragraphs>
  <TotalTime>77</TotalTime>
  <ScaleCrop>false</ScaleCrop>
  <LinksUpToDate>false</LinksUpToDate>
  <CharactersWithSpaces>5229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Lenovo</cp:lastModifiedBy>
  <cp:lastPrinted>2026-08-11T06:34:34Z</cp:lastPrinted>
  <dcterms:modified xsi:type="dcterms:W3CDTF">2026-08-12T02:06:46Z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9E429A1D44BB4C8CB95F2486480ABC84</vt:lpwstr>
  </property>
</Properties>
</file>