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colors7.xml" ContentType="application/vnd.ms-office.chartcolorstyle+xml"/>
  <Override PartName="/word/charts/colors8.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charts/style7.xml" ContentType="application/vnd.ms-office.chartstyle+xml"/>
  <Override PartName="/word/charts/style8.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9"/>
        <w:rPr>
          <w:rFonts w:ascii="方正小标宋简体" w:hAnsi="宋体" w:eastAsia="方正小标宋简体"/>
          <w:color w:val="auto"/>
          <w:sz w:val="72"/>
          <w:szCs w:val="72"/>
          <w:highlight w:val="none"/>
        </w:rPr>
      </w:pPr>
      <w:bookmarkStart w:id="0" w:name="_Toc15377193"/>
      <w:bookmarkStart w:id="1" w:name="_Toc15396597"/>
      <w:bookmarkStart w:id="2" w:name="_Toc15378441"/>
      <w:bookmarkStart w:id="3" w:name="_Toc15396475"/>
      <w:bookmarkStart w:id="4" w:name="_Toc15377425"/>
      <w:bookmarkStart w:id="5" w:name="_Toc15306267"/>
    </w:p>
    <w:p>
      <w:pPr>
        <w:spacing w:line="600" w:lineRule="exact"/>
        <w:jc w:val="center"/>
        <w:outlineLvl w:val="9"/>
        <w:rPr>
          <w:rFonts w:ascii="方正小标宋简体" w:hAnsi="宋体" w:eastAsia="方正小标宋简体"/>
          <w:color w:val="auto"/>
          <w:sz w:val="72"/>
          <w:szCs w:val="72"/>
          <w:highlight w:val="none"/>
        </w:rPr>
      </w:pPr>
    </w:p>
    <w:p>
      <w:pPr>
        <w:spacing w:line="600" w:lineRule="exact"/>
        <w:jc w:val="center"/>
        <w:outlineLvl w:val="9"/>
        <w:rPr>
          <w:rFonts w:ascii="方正小标宋简体" w:hAnsi="宋体" w:eastAsia="方正小标宋简体"/>
          <w:color w:val="auto"/>
          <w:sz w:val="72"/>
          <w:szCs w:val="72"/>
          <w:highlight w:val="none"/>
        </w:rPr>
      </w:pPr>
    </w:p>
    <w:p>
      <w:pPr>
        <w:adjustRightInd w:val="0"/>
        <w:snapToGrid w:val="0"/>
        <w:spacing w:line="360" w:lineRule="auto"/>
        <w:jc w:val="center"/>
        <w:outlineLvl w:val="0"/>
        <w:rPr>
          <w:rFonts w:hint="eastAsia" w:ascii="方正小标宋简体" w:hAnsi="方正小标宋简体" w:eastAsia="方正小标宋简体" w:cs="方正小标宋简体"/>
          <w:color w:val="auto"/>
          <w:sz w:val="72"/>
          <w:szCs w:val="72"/>
          <w:highlight w:val="none"/>
        </w:rPr>
      </w:pPr>
      <w:bookmarkStart w:id="6" w:name="_Toc3600"/>
      <w:r>
        <w:rPr>
          <w:rFonts w:hint="eastAsia" w:ascii="方正小标宋简体" w:hAnsi="方正小标宋简体" w:eastAsia="方正小标宋简体" w:cs="方正小标宋简体"/>
          <w:color w:val="auto"/>
          <w:sz w:val="72"/>
          <w:szCs w:val="72"/>
          <w:highlight w:val="none"/>
        </w:rPr>
        <w:t>20</w:t>
      </w:r>
      <w:r>
        <w:rPr>
          <w:rFonts w:hint="eastAsia" w:ascii="方正小标宋简体" w:hAnsi="方正小标宋简体" w:eastAsia="方正小标宋简体" w:cs="方正小标宋简体"/>
          <w:color w:val="auto"/>
          <w:sz w:val="72"/>
          <w:szCs w:val="72"/>
          <w:highlight w:val="none"/>
          <w:lang w:val="en-US" w:eastAsia="zh-CN"/>
        </w:rPr>
        <w:t>22</w:t>
      </w:r>
      <w:r>
        <w:rPr>
          <w:rFonts w:hint="eastAsia" w:ascii="方正小标宋简体" w:hAnsi="方正小标宋简体" w:eastAsia="方正小标宋简体" w:cs="方正小标宋简体"/>
          <w:color w:val="auto"/>
          <w:sz w:val="72"/>
          <w:szCs w:val="72"/>
          <w:highlight w:val="none"/>
        </w:rPr>
        <w:t>年度</w:t>
      </w:r>
      <w:bookmarkEnd w:id="0"/>
      <w:bookmarkEnd w:id="1"/>
      <w:bookmarkEnd w:id="2"/>
      <w:bookmarkEnd w:id="3"/>
      <w:bookmarkEnd w:id="4"/>
      <w:bookmarkEnd w:id="6"/>
    </w:p>
    <w:p>
      <w:pPr>
        <w:adjustRightInd w:val="0"/>
        <w:snapToGrid w:val="0"/>
        <w:spacing w:line="360" w:lineRule="auto"/>
        <w:jc w:val="center"/>
        <w:outlineLvl w:val="0"/>
        <w:rPr>
          <w:rFonts w:hint="eastAsia" w:ascii="方正小标宋简体" w:hAnsi="方正小标宋简体" w:eastAsia="方正小标宋简体" w:cs="方正小标宋简体"/>
          <w:color w:val="auto"/>
          <w:sz w:val="72"/>
          <w:szCs w:val="72"/>
          <w:highlight w:val="none"/>
        </w:rPr>
      </w:pPr>
      <w:bookmarkStart w:id="7" w:name="_Toc15396598"/>
      <w:bookmarkStart w:id="8" w:name="_Toc15396476"/>
      <w:bookmarkStart w:id="9" w:name="_Toc15378442"/>
      <w:bookmarkStart w:id="10" w:name="_Toc15377426"/>
      <w:bookmarkStart w:id="11" w:name="_Toc15377194"/>
      <w:bookmarkStart w:id="12" w:name="_Toc18417"/>
      <w:r>
        <w:rPr>
          <w:rFonts w:hint="eastAsia" w:ascii="方正小标宋简体" w:hAnsi="方正小标宋简体" w:eastAsia="方正小标宋简体" w:cs="方正小标宋简体"/>
          <w:color w:val="auto"/>
          <w:sz w:val="72"/>
          <w:szCs w:val="72"/>
          <w:highlight w:val="none"/>
        </w:rPr>
        <w:t>四川省</w:t>
      </w:r>
      <w:bookmarkEnd w:id="5"/>
      <w:bookmarkStart w:id="13" w:name="_Toc15306268"/>
      <w:r>
        <w:rPr>
          <w:rFonts w:hint="eastAsia" w:ascii="方正小标宋简体" w:hAnsi="方正小标宋简体" w:eastAsia="方正小标宋简体" w:cs="方正小标宋简体"/>
          <w:color w:val="auto"/>
          <w:sz w:val="72"/>
          <w:szCs w:val="72"/>
          <w:highlight w:val="none"/>
          <w:lang w:val="en-US" w:eastAsia="zh-CN"/>
        </w:rPr>
        <w:t>阿坝州壤塘县文化体育和旅游局</w:t>
      </w:r>
      <w:r>
        <w:rPr>
          <w:rFonts w:hint="eastAsia" w:ascii="方正小标宋简体" w:hAnsi="方正小标宋简体" w:eastAsia="方正小标宋简体" w:cs="方正小标宋简体"/>
          <w:color w:val="auto"/>
          <w:sz w:val="72"/>
          <w:szCs w:val="72"/>
          <w:highlight w:val="none"/>
        </w:rPr>
        <w:t>部门决算</w:t>
      </w:r>
      <w:bookmarkEnd w:id="7"/>
      <w:bookmarkEnd w:id="8"/>
      <w:bookmarkEnd w:id="9"/>
      <w:bookmarkEnd w:id="10"/>
      <w:bookmarkEnd w:id="11"/>
      <w:bookmarkEnd w:id="12"/>
      <w:bookmarkEnd w:id="13"/>
    </w:p>
    <w:p>
      <w:pPr>
        <w:widowControl/>
        <w:jc w:val="center"/>
        <w:rPr>
          <w:rFonts w:ascii="黑体" w:hAnsi="黑体" w:eastAsia="黑体"/>
          <w:color w:val="auto"/>
          <w:sz w:val="48"/>
          <w:szCs w:val="48"/>
          <w:highlight w:val="none"/>
        </w:rPr>
      </w:pPr>
      <w:r>
        <w:rPr>
          <w:rFonts w:ascii="方正小标宋简体" w:hAnsi="宋体" w:eastAsia="方正小标宋简体"/>
          <w:color w:val="auto"/>
          <w:sz w:val="36"/>
          <w:szCs w:val="36"/>
          <w:highlight w:val="none"/>
        </w:rPr>
        <w:br w:type="page"/>
      </w:r>
      <w:r>
        <w:rPr>
          <w:rFonts w:hint="eastAsia" w:ascii="黑体" w:hAnsi="黑体" w:eastAsia="黑体"/>
          <w:color w:val="auto"/>
          <w:sz w:val="48"/>
          <w:szCs w:val="48"/>
          <w:highlight w:val="none"/>
        </w:rPr>
        <w:t>目录</w:t>
      </w:r>
    </w:p>
    <w:p>
      <w:pPr>
        <w:widowControl/>
        <w:jc w:val="center"/>
        <w:rPr>
          <w:rFonts w:ascii="黑体" w:hAnsi="黑体" w:eastAsia="黑体" w:cstheme="minorBidi"/>
          <w:color w:val="auto"/>
          <w:sz w:val="28"/>
          <w:szCs w:val="28"/>
          <w:highlight w:val="none"/>
        </w:rPr>
      </w:pPr>
    </w:p>
    <w:p>
      <w:pPr>
        <w:pStyle w:val="14"/>
        <w:rPr>
          <w:color w:val="auto"/>
          <w:highlight w:val="none"/>
        </w:rPr>
      </w:pPr>
      <w:r>
        <w:rPr>
          <w:rFonts w:hint="eastAsia"/>
          <w:color w:val="auto"/>
          <w:highlight w:val="none"/>
        </w:rPr>
        <w:t>公开时间：20</w:t>
      </w:r>
      <w:r>
        <w:rPr>
          <w:rFonts w:hint="eastAsia"/>
          <w:color w:val="auto"/>
          <w:highlight w:val="none"/>
          <w:lang w:val="en-US" w:eastAsia="zh-CN"/>
        </w:rPr>
        <w:t>23</w:t>
      </w:r>
      <w:r>
        <w:rPr>
          <w:rFonts w:hint="eastAsia"/>
          <w:color w:val="auto"/>
          <w:highlight w:val="none"/>
        </w:rPr>
        <w:t>年</w:t>
      </w:r>
      <w:r>
        <w:rPr>
          <w:rFonts w:hint="eastAsia"/>
          <w:color w:val="auto"/>
          <w:highlight w:val="none"/>
          <w:lang w:val="en-US" w:eastAsia="zh-CN"/>
        </w:rPr>
        <w:t>8</w:t>
      </w:r>
      <w:r>
        <w:rPr>
          <w:rFonts w:hint="eastAsia"/>
          <w:color w:val="auto"/>
          <w:highlight w:val="none"/>
        </w:rPr>
        <w:t>月</w:t>
      </w:r>
      <w:r>
        <w:rPr>
          <w:rFonts w:hint="eastAsia"/>
          <w:color w:val="auto"/>
          <w:highlight w:val="none"/>
          <w:lang w:val="en-US" w:eastAsia="zh-CN"/>
        </w:rPr>
        <w:t>25</w:t>
      </w:r>
      <w:r>
        <w:rPr>
          <w:rFonts w:hint="eastAsia"/>
          <w:color w:val="auto"/>
          <w:highlight w:val="none"/>
        </w:rPr>
        <w:t>日</w:t>
      </w:r>
    </w:p>
    <w:sdt>
      <w:sdtPr>
        <w:rPr>
          <w:rFonts w:ascii="宋体" w:hAnsi="宋体" w:eastAsia="宋体" w:cs="Times New Roman"/>
          <w:kern w:val="2"/>
          <w:sz w:val="21"/>
          <w:szCs w:val="24"/>
          <w:lang w:val="en-US" w:eastAsia="zh-CN" w:bidi="ar-SA"/>
        </w:rPr>
        <w:id w:val="147453238"/>
        <w15:color w:val="DBDBDB"/>
        <w:docPartObj>
          <w:docPartGallery w:val="Table of Contents"/>
          <w:docPartUnique/>
        </w:docPartObj>
      </w:sdtPr>
      <w:sdtEndPr>
        <w:rPr>
          <w:b/>
        </w:rPr>
      </w:sdtEndPr>
      <w:sdtContent>
        <w:p>
          <w:pPr>
            <w:spacing w:before="0" w:beforeLines="0" w:after="0" w:afterLines="0" w:line="240" w:lineRule="auto"/>
            <w:ind w:left="0" w:leftChars="0" w:right="0" w:rightChars="0" w:firstLine="0" w:firstLineChars="0"/>
            <w:jc w:val="center"/>
          </w:pPr>
          <w:bookmarkStart w:id="14" w:name="_Toc15377196"/>
          <w:bookmarkStart w:id="15" w:name="_Toc15396599"/>
        </w:p>
        <w:p>
          <w:pPr>
            <w:pStyle w:val="42"/>
            <w:tabs>
              <w:tab w:val="right" w:leader="dot" w:pos="8306"/>
            </w:tabs>
            <w:rPr>
              <w:b/>
            </w:rPr>
          </w:pPr>
          <w:r>
            <w:fldChar w:fldCharType="begin"/>
          </w:r>
          <w:r>
            <w:instrText xml:space="preserve">TOC \o "1-2" \h \u </w:instrText>
          </w:r>
          <w:r>
            <w:fldChar w:fldCharType="separate"/>
          </w:r>
        </w:p>
        <w:p>
          <w:pPr>
            <w:pStyle w:val="42"/>
            <w:tabs>
              <w:tab w:val="right" w:leader="dot" w:pos="8306"/>
            </w:tabs>
            <w:rPr>
              <w:b/>
            </w:rPr>
          </w:pPr>
          <w:r>
            <w:rPr>
              <w:b/>
            </w:rPr>
            <w:fldChar w:fldCharType="begin"/>
          </w:r>
          <w:r>
            <w:rPr>
              <w:b/>
            </w:rPr>
            <w:instrText xml:space="preserve"> HYPERLINK \l _Toc18797 </w:instrText>
          </w:r>
          <w:r>
            <w:rPr>
              <w:b/>
            </w:rPr>
            <w:fldChar w:fldCharType="separate"/>
          </w:r>
          <w:r>
            <w:rPr>
              <w:rFonts w:hint="eastAsia" w:ascii="黑体" w:hAnsi="黑体" w:eastAsia="黑体"/>
              <w:b/>
              <w:highlight w:val="none"/>
            </w:rPr>
            <w:t xml:space="preserve">第一部分 </w:t>
          </w:r>
          <w:r>
            <w:rPr>
              <w:rFonts w:hint="eastAsia" w:ascii="黑体" w:hAnsi="黑体" w:eastAsia="黑体"/>
              <w:b/>
              <w:bCs w:val="0"/>
              <w:highlight w:val="none"/>
            </w:rPr>
            <w:t>部门概况</w:t>
          </w:r>
          <w:r>
            <w:rPr>
              <w:b/>
            </w:rPr>
            <w:tab/>
          </w:r>
          <w:r>
            <w:rPr>
              <w:b/>
            </w:rPr>
            <w:fldChar w:fldCharType="begin"/>
          </w:r>
          <w:r>
            <w:rPr>
              <w:b/>
            </w:rPr>
            <w:instrText xml:space="preserve"> PAGEREF _Toc18797 </w:instrText>
          </w:r>
          <w:r>
            <w:rPr>
              <w:b/>
            </w:rPr>
            <w:fldChar w:fldCharType="separate"/>
          </w:r>
          <w:r>
            <w:rPr>
              <w:b/>
            </w:rPr>
            <w:t>3</w:t>
          </w:r>
          <w:r>
            <w:rPr>
              <w:b/>
            </w:rPr>
            <w:fldChar w:fldCharType="end"/>
          </w:r>
          <w:r>
            <w:rPr>
              <w:b/>
            </w:rPr>
            <w:fldChar w:fldCharType="end"/>
          </w:r>
        </w:p>
        <w:p>
          <w:pPr>
            <w:pStyle w:val="43"/>
            <w:tabs>
              <w:tab w:val="right" w:leader="dot" w:pos="8306"/>
            </w:tabs>
          </w:pPr>
          <w:r>
            <w:fldChar w:fldCharType="begin"/>
          </w:r>
          <w:r>
            <w:instrText xml:space="preserve"> HYPERLINK \l _Toc16208 </w:instrText>
          </w:r>
          <w:r>
            <w:fldChar w:fldCharType="separate"/>
          </w:r>
          <w:r>
            <w:rPr>
              <w:rFonts w:hint="eastAsia" w:ascii="黑体" w:hAnsi="黑体" w:eastAsia="黑体"/>
              <w:lang w:eastAsia="zh-CN"/>
            </w:rPr>
            <w:t>一、部门职责</w:t>
          </w:r>
          <w:r>
            <w:tab/>
          </w:r>
          <w:r>
            <w:fldChar w:fldCharType="begin"/>
          </w:r>
          <w:r>
            <w:instrText xml:space="preserve"> PAGEREF _Toc16208 </w:instrText>
          </w:r>
          <w:r>
            <w:fldChar w:fldCharType="separate"/>
          </w:r>
          <w:r>
            <w:t>3</w:t>
          </w:r>
          <w:r>
            <w:fldChar w:fldCharType="end"/>
          </w:r>
          <w:r>
            <w:fldChar w:fldCharType="end"/>
          </w:r>
        </w:p>
        <w:p>
          <w:pPr>
            <w:pStyle w:val="43"/>
            <w:tabs>
              <w:tab w:val="right" w:leader="dot" w:pos="8306"/>
            </w:tabs>
          </w:pPr>
          <w:r>
            <w:fldChar w:fldCharType="begin"/>
          </w:r>
          <w:r>
            <w:instrText xml:space="preserve"> HYPERLINK \l _Toc20578 </w:instrText>
          </w:r>
          <w:r>
            <w:fldChar w:fldCharType="separate"/>
          </w:r>
          <w:r>
            <w:rPr>
              <w:rFonts w:hint="eastAsia" w:ascii="黑体" w:eastAsia="黑体"/>
              <w:highlight w:val="none"/>
            </w:rPr>
            <w:t>二、</w:t>
          </w:r>
          <w:r>
            <w:rPr>
              <w:rFonts w:hint="eastAsia" w:ascii="黑体" w:hAnsi="黑体" w:eastAsia="黑体"/>
              <w:highlight w:val="none"/>
            </w:rPr>
            <w:t>机</w:t>
          </w:r>
          <w:r>
            <w:rPr>
              <w:rFonts w:hint="eastAsia" w:ascii="黑体" w:hAnsi="黑体" w:eastAsia="黑体"/>
              <w:bCs w:val="0"/>
              <w:highlight w:val="none"/>
            </w:rPr>
            <w:t>构设置</w:t>
          </w:r>
          <w:r>
            <w:tab/>
          </w:r>
          <w:r>
            <w:fldChar w:fldCharType="begin"/>
          </w:r>
          <w:r>
            <w:instrText xml:space="preserve"> PAGEREF _Toc20578 </w:instrText>
          </w:r>
          <w:r>
            <w:fldChar w:fldCharType="separate"/>
          </w:r>
          <w:r>
            <w:t>10</w:t>
          </w:r>
          <w:r>
            <w:fldChar w:fldCharType="end"/>
          </w:r>
          <w:r>
            <w:fldChar w:fldCharType="end"/>
          </w:r>
        </w:p>
        <w:p>
          <w:pPr>
            <w:pStyle w:val="42"/>
            <w:tabs>
              <w:tab w:val="right" w:leader="dot" w:pos="8306"/>
            </w:tabs>
            <w:rPr>
              <w:b/>
            </w:rPr>
          </w:pPr>
          <w:r>
            <w:rPr>
              <w:b/>
            </w:rPr>
            <w:fldChar w:fldCharType="begin"/>
          </w:r>
          <w:r>
            <w:rPr>
              <w:b/>
            </w:rPr>
            <w:instrText xml:space="preserve"> HYPERLINK \l _Toc20667 </w:instrText>
          </w:r>
          <w:r>
            <w:rPr>
              <w:b/>
            </w:rPr>
            <w:fldChar w:fldCharType="separate"/>
          </w:r>
          <w:r>
            <w:rPr>
              <w:rFonts w:hint="eastAsia" w:ascii="黑体" w:hAnsi="黑体" w:eastAsia="黑体"/>
              <w:b/>
              <w:bCs/>
              <w:highlight w:val="none"/>
            </w:rPr>
            <w:t xml:space="preserve">第二部分 </w:t>
          </w:r>
          <w:r>
            <w:rPr>
              <w:rFonts w:hint="eastAsia" w:ascii="黑体" w:hAnsi="黑体" w:eastAsia="黑体"/>
              <w:b/>
              <w:bCs/>
              <w:highlight w:val="none"/>
              <w:lang w:val="en-US" w:eastAsia="zh-CN"/>
            </w:rPr>
            <w:t>2022年度</w:t>
          </w:r>
          <w:r>
            <w:rPr>
              <w:rFonts w:hint="eastAsia" w:ascii="黑体" w:hAnsi="黑体" w:eastAsia="黑体"/>
              <w:b/>
              <w:bCs/>
              <w:highlight w:val="none"/>
            </w:rPr>
            <w:t>部门决算情况说明</w:t>
          </w:r>
          <w:r>
            <w:rPr>
              <w:b/>
            </w:rPr>
            <w:tab/>
          </w:r>
          <w:r>
            <w:rPr>
              <w:b/>
            </w:rPr>
            <w:fldChar w:fldCharType="begin"/>
          </w:r>
          <w:r>
            <w:rPr>
              <w:b/>
            </w:rPr>
            <w:instrText xml:space="preserve"> PAGEREF _Toc20667 </w:instrText>
          </w:r>
          <w:r>
            <w:rPr>
              <w:b/>
            </w:rPr>
            <w:fldChar w:fldCharType="separate"/>
          </w:r>
          <w:r>
            <w:rPr>
              <w:b/>
            </w:rPr>
            <w:t>12</w:t>
          </w:r>
          <w:r>
            <w:rPr>
              <w:b/>
            </w:rPr>
            <w:fldChar w:fldCharType="end"/>
          </w:r>
          <w:r>
            <w:rPr>
              <w:b/>
            </w:rPr>
            <w:fldChar w:fldCharType="end"/>
          </w:r>
        </w:p>
        <w:p>
          <w:pPr>
            <w:pStyle w:val="43"/>
            <w:tabs>
              <w:tab w:val="right" w:leader="dot" w:pos="8306"/>
            </w:tabs>
          </w:pPr>
          <w:r>
            <w:fldChar w:fldCharType="begin"/>
          </w:r>
          <w:r>
            <w:instrText xml:space="preserve"> HYPERLINK \l _Toc13622 </w:instrText>
          </w:r>
          <w:r>
            <w:fldChar w:fldCharType="separate"/>
          </w:r>
          <w:r>
            <w:rPr>
              <w:rFonts w:hint="default" w:ascii="黑体" w:hAnsi="黑体" w:eastAsia="黑体"/>
            </w:rPr>
            <w:t xml:space="preserve">一、 </w:t>
          </w:r>
          <w:r>
            <w:rPr>
              <w:rFonts w:hint="eastAsia" w:ascii="黑体" w:hAnsi="黑体" w:eastAsia="黑体"/>
              <w:szCs w:val="32"/>
              <w:highlight w:val="none"/>
            </w:rPr>
            <w:t>收</w:t>
          </w:r>
          <w:r>
            <w:rPr>
              <w:rFonts w:hint="eastAsia" w:ascii="黑体" w:hAnsi="黑体" w:eastAsia="黑体"/>
              <w:highlight w:val="none"/>
            </w:rPr>
            <w:t>入支出决算总体情况说明</w:t>
          </w:r>
          <w:r>
            <w:tab/>
          </w:r>
          <w:r>
            <w:fldChar w:fldCharType="begin"/>
          </w:r>
          <w:r>
            <w:instrText xml:space="preserve"> PAGEREF _Toc13622 </w:instrText>
          </w:r>
          <w:r>
            <w:fldChar w:fldCharType="separate"/>
          </w:r>
          <w:r>
            <w:t>12</w:t>
          </w:r>
          <w:r>
            <w:fldChar w:fldCharType="end"/>
          </w:r>
          <w:r>
            <w:fldChar w:fldCharType="end"/>
          </w:r>
        </w:p>
        <w:p>
          <w:pPr>
            <w:pStyle w:val="43"/>
            <w:tabs>
              <w:tab w:val="right" w:leader="dot" w:pos="8306"/>
            </w:tabs>
          </w:pPr>
          <w:r>
            <w:fldChar w:fldCharType="begin"/>
          </w:r>
          <w:r>
            <w:instrText xml:space="preserve"> HYPERLINK \l _Toc2400 </w:instrText>
          </w:r>
          <w:r>
            <w:fldChar w:fldCharType="separate"/>
          </w:r>
          <w:r>
            <w:rPr>
              <w:rFonts w:hint="default" w:ascii="黑体" w:hAnsi="黑体" w:eastAsia="黑体"/>
            </w:rPr>
            <w:t xml:space="preserve">二、 </w:t>
          </w:r>
          <w:r>
            <w:rPr>
              <w:rFonts w:hint="eastAsia" w:ascii="黑体" w:hAnsi="黑体" w:eastAsia="黑体"/>
              <w:szCs w:val="32"/>
              <w:highlight w:val="none"/>
            </w:rPr>
            <w:t>收</w:t>
          </w:r>
          <w:r>
            <w:rPr>
              <w:rFonts w:hint="eastAsia" w:ascii="黑体" w:hAnsi="黑体" w:eastAsia="黑体"/>
              <w:highlight w:val="none"/>
            </w:rPr>
            <w:t>入决算情况说明</w:t>
          </w:r>
          <w:r>
            <w:tab/>
          </w:r>
          <w:r>
            <w:fldChar w:fldCharType="begin"/>
          </w:r>
          <w:r>
            <w:instrText xml:space="preserve"> PAGEREF _Toc2400 </w:instrText>
          </w:r>
          <w:r>
            <w:fldChar w:fldCharType="separate"/>
          </w:r>
          <w:r>
            <w:t>13</w:t>
          </w:r>
          <w:r>
            <w:fldChar w:fldCharType="end"/>
          </w:r>
          <w:r>
            <w:fldChar w:fldCharType="end"/>
          </w:r>
        </w:p>
        <w:p>
          <w:pPr>
            <w:pStyle w:val="43"/>
            <w:tabs>
              <w:tab w:val="right" w:leader="dot" w:pos="8306"/>
            </w:tabs>
          </w:pPr>
          <w:r>
            <w:fldChar w:fldCharType="begin"/>
          </w:r>
          <w:r>
            <w:instrText xml:space="preserve"> HYPERLINK \l _Toc27114 </w:instrText>
          </w:r>
          <w:r>
            <w:fldChar w:fldCharType="separate"/>
          </w:r>
          <w:r>
            <w:rPr>
              <w:rFonts w:hint="default" w:ascii="黑体" w:hAnsi="黑体" w:eastAsia="黑体"/>
            </w:rPr>
            <w:t xml:space="preserve">三、 </w:t>
          </w:r>
          <w:r>
            <w:rPr>
              <w:rFonts w:hint="eastAsia" w:ascii="黑体" w:hAnsi="黑体" w:eastAsia="黑体"/>
              <w:szCs w:val="32"/>
              <w:highlight w:val="none"/>
            </w:rPr>
            <w:t>支</w:t>
          </w:r>
          <w:r>
            <w:rPr>
              <w:rFonts w:hint="eastAsia" w:ascii="黑体" w:hAnsi="黑体" w:eastAsia="黑体"/>
              <w:highlight w:val="none"/>
            </w:rPr>
            <w:t>出决算情况说明</w:t>
          </w:r>
          <w:r>
            <w:tab/>
          </w:r>
          <w:r>
            <w:fldChar w:fldCharType="begin"/>
          </w:r>
          <w:r>
            <w:instrText xml:space="preserve"> PAGEREF _Toc27114 </w:instrText>
          </w:r>
          <w:r>
            <w:fldChar w:fldCharType="separate"/>
          </w:r>
          <w:r>
            <w:t>14</w:t>
          </w:r>
          <w:r>
            <w:fldChar w:fldCharType="end"/>
          </w:r>
          <w:r>
            <w:fldChar w:fldCharType="end"/>
          </w:r>
        </w:p>
        <w:p>
          <w:pPr>
            <w:pStyle w:val="43"/>
            <w:tabs>
              <w:tab w:val="right" w:leader="dot" w:pos="8306"/>
            </w:tabs>
          </w:pPr>
          <w:r>
            <w:fldChar w:fldCharType="begin"/>
          </w:r>
          <w:r>
            <w:instrText xml:space="preserve"> HYPERLINK \l _Toc27295 </w:instrText>
          </w:r>
          <w:r>
            <w:fldChar w:fldCharType="separate"/>
          </w:r>
          <w:r>
            <w:rPr>
              <w:rFonts w:hint="eastAsia" w:ascii="黑体" w:hAnsi="黑体" w:eastAsia="黑体"/>
              <w:szCs w:val="32"/>
              <w:highlight w:val="none"/>
            </w:rPr>
            <w:t>四、财</w:t>
          </w:r>
          <w:r>
            <w:rPr>
              <w:rFonts w:hint="eastAsia" w:ascii="黑体" w:hAnsi="黑体" w:eastAsia="黑体"/>
              <w:highlight w:val="none"/>
            </w:rPr>
            <w:t>政拨款收入支出决算总体情况说明</w:t>
          </w:r>
          <w:r>
            <w:tab/>
          </w:r>
          <w:r>
            <w:fldChar w:fldCharType="begin"/>
          </w:r>
          <w:r>
            <w:instrText xml:space="preserve"> PAGEREF _Toc27295 </w:instrText>
          </w:r>
          <w:r>
            <w:fldChar w:fldCharType="separate"/>
          </w:r>
          <w:r>
            <w:t>15</w:t>
          </w:r>
          <w:r>
            <w:fldChar w:fldCharType="end"/>
          </w:r>
          <w:r>
            <w:fldChar w:fldCharType="end"/>
          </w:r>
        </w:p>
        <w:p>
          <w:pPr>
            <w:pStyle w:val="43"/>
            <w:tabs>
              <w:tab w:val="right" w:leader="dot" w:pos="8306"/>
            </w:tabs>
          </w:pPr>
          <w:r>
            <w:fldChar w:fldCharType="begin"/>
          </w:r>
          <w:r>
            <w:instrText xml:space="preserve"> HYPERLINK \l _Toc15596 </w:instrText>
          </w:r>
          <w:r>
            <w:fldChar w:fldCharType="separate"/>
          </w:r>
          <w:r>
            <w:rPr>
              <w:rFonts w:hint="eastAsia" w:ascii="黑体" w:hAnsi="黑体" w:eastAsia="黑体"/>
              <w:szCs w:val="32"/>
              <w:highlight w:val="none"/>
            </w:rPr>
            <w:t>五、一</w:t>
          </w:r>
          <w:r>
            <w:rPr>
              <w:rFonts w:hint="eastAsia" w:ascii="黑体" w:hAnsi="黑体" w:eastAsia="黑体"/>
              <w:highlight w:val="none"/>
            </w:rPr>
            <w:t>般公共预算财政拨款支出决算情况说明</w:t>
          </w:r>
          <w:r>
            <w:tab/>
          </w:r>
          <w:r>
            <w:fldChar w:fldCharType="begin"/>
          </w:r>
          <w:r>
            <w:instrText xml:space="preserve"> PAGEREF _Toc15596 </w:instrText>
          </w:r>
          <w:r>
            <w:fldChar w:fldCharType="separate"/>
          </w:r>
          <w:r>
            <w:t>16</w:t>
          </w:r>
          <w:r>
            <w:fldChar w:fldCharType="end"/>
          </w:r>
          <w:r>
            <w:fldChar w:fldCharType="end"/>
          </w:r>
        </w:p>
        <w:p>
          <w:pPr>
            <w:pStyle w:val="43"/>
            <w:tabs>
              <w:tab w:val="right" w:leader="dot" w:pos="8306"/>
            </w:tabs>
          </w:pPr>
          <w:r>
            <w:fldChar w:fldCharType="begin"/>
          </w:r>
          <w:r>
            <w:instrText xml:space="preserve"> HYPERLINK \l _Toc31901 </w:instrText>
          </w:r>
          <w:r>
            <w:fldChar w:fldCharType="separate"/>
          </w:r>
          <w:r>
            <w:rPr>
              <w:rFonts w:hint="eastAsia" w:ascii="黑体" w:eastAsia="黑体"/>
              <w:szCs w:val="32"/>
              <w:highlight w:val="none"/>
            </w:rPr>
            <w:t>六、</w:t>
          </w:r>
          <w:r>
            <w:rPr>
              <w:rFonts w:hint="eastAsia" w:ascii="黑体" w:hAnsi="黑体" w:eastAsia="黑体"/>
              <w:szCs w:val="32"/>
              <w:highlight w:val="none"/>
            </w:rPr>
            <w:t>一</w:t>
          </w:r>
          <w:r>
            <w:rPr>
              <w:rFonts w:hint="eastAsia" w:ascii="黑体" w:hAnsi="黑体" w:eastAsia="黑体"/>
              <w:highlight w:val="none"/>
            </w:rPr>
            <w:t>般公共预算财政拨款基本支出决算情况说明</w:t>
          </w:r>
          <w:r>
            <w:tab/>
          </w:r>
          <w:r>
            <w:fldChar w:fldCharType="begin"/>
          </w:r>
          <w:r>
            <w:instrText xml:space="preserve"> PAGEREF _Toc31901 </w:instrText>
          </w:r>
          <w:r>
            <w:fldChar w:fldCharType="separate"/>
          </w:r>
          <w:r>
            <w:t>23</w:t>
          </w:r>
          <w:r>
            <w:fldChar w:fldCharType="end"/>
          </w:r>
          <w:r>
            <w:fldChar w:fldCharType="end"/>
          </w:r>
        </w:p>
        <w:p>
          <w:pPr>
            <w:pStyle w:val="43"/>
            <w:tabs>
              <w:tab w:val="right" w:leader="dot" w:pos="8306"/>
            </w:tabs>
          </w:pPr>
          <w:r>
            <w:fldChar w:fldCharType="begin"/>
          </w:r>
          <w:r>
            <w:instrText xml:space="preserve"> HYPERLINK \l _Toc6446 </w:instrText>
          </w:r>
          <w:r>
            <w:fldChar w:fldCharType="separate"/>
          </w:r>
          <w:r>
            <w:rPr>
              <w:rFonts w:hint="eastAsia" w:ascii="黑体" w:eastAsia="黑体"/>
              <w:szCs w:val="32"/>
              <w:highlight w:val="none"/>
            </w:rPr>
            <w:t>七、</w:t>
          </w:r>
          <w:r>
            <w:rPr>
              <w:rFonts w:hint="eastAsia" w:ascii="黑体" w:hAnsi="黑体" w:eastAsia="黑体"/>
              <w:highlight w:val="none"/>
            </w:rPr>
            <w:t>财政拨款“三公”经费支出决算情况说明</w:t>
          </w:r>
          <w:r>
            <w:tab/>
          </w:r>
          <w:r>
            <w:fldChar w:fldCharType="begin"/>
          </w:r>
          <w:r>
            <w:instrText xml:space="preserve"> PAGEREF _Toc6446 </w:instrText>
          </w:r>
          <w:r>
            <w:fldChar w:fldCharType="separate"/>
          </w:r>
          <w:r>
            <w:t>23</w:t>
          </w:r>
          <w:r>
            <w:fldChar w:fldCharType="end"/>
          </w:r>
          <w:r>
            <w:fldChar w:fldCharType="end"/>
          </w:r>
        </w:p>
        <w:p>
          <w:pPr>
            <w:pStyle w:val="43"/>
            <w:tabs>
              <w:tab w:val="right" w:leader="dot" w:pos="8306"/>
            </w:tabs>
          </w:pPr>
          <w:r>
            <w:fldChar w:fldCharType="begin"/>
          </w:r>
          <w:r>
            <w:instrText xml:space="preserve"> HYPERLINK \l _Toc29246 </w:instrText>
          </w:r>
          <w:r>
            <w:fldChar w:fldCharType="separate"/>
          </w:r>
          <w:r>
            <w:rPr>
              <w:rFonts w:hint="eastAsia" w:ascii="黑体" w:eastAsia="黑体"/>
              <w:szCs w:val="32"/>
              <w:highlight w:val="none"/>
            </w:rPr>
            <w:t>八、</w:t>
          </w:r>
          <w:r>
            <w:rPr>
              <w:rFonts w:hint="eastAsia" w:ascii="黑体" w:hAnsi="黑体" w:eastAsia="黑体"/>
              <w:highlight w:val="none"/>
            </w:rPr>
            <w:t>政府性基金预算支出决算情况说明</w:t>
          </w:r>
          <w:r>
            <w:tab/>
          </w:r>
          <w:r>
            <w:fldChar w:fldCharType="begin"/>
          </w:r>
          <w:r>
            <w:instrText xml:space="preserve"> PAGEREF _Toc29246 </w:instrText>
          </w:r>
          <w:r>
            <w:fldChar w:fldCharType="separate"/>
          </w:r>
          <w:r>
            <w:t>25</w:t>
          </w:r>
          <w:r>
            <w:fldChar w:fldCharType="end"/>
          </w:r>
          <w:r>
            <w:fldChar w:fldCharType="end"/>
          </w:r>
        </w:p>
        <w:p>
          <w:pPr>
            <w:pStyle w:val="43"/>
            <w:tabs>
              <w:tab w:val="right" w:leader="dot" w:pos="8306"/>
            </w:tabs>
          </w:pPr>
          <w:r>
            <w:fldChar w:fldCharType="begin"/>
          </w:r>
          <w:r>
            <w:instrText xml:space="preserve"> HYPERLINK \l _Toc21942 </w:instrText>
          </w:r>
          <w:r>
            <w:fldChar w:fldCharType="separate"/>
          </w:r>
          <w:r>
            <w:rPr>
              <w:rFonts w:hint="eastAsia" w:ascii="黑体" w:hAnsi="黑体" w:eastAsia="黑体"/>
            </w:rPr>
            <w:t xml:space="preserve">九、 </w:t>
          </w:r>
          <w:r>
            <w:rPr>
              <w:rFonts w:hint="eastAsia" w:ascii="黑体" w:hAnsi="黑体" w:eastAsia="黑体"/>
              <w:highlight w:val="none"/>
            </w:rPr>
            <w:t>国有资本经营预算支出决算情况说明</w:t>
          </w:r>
          <w:r>
            <w:tab/>
          </w:r>
          <w:r>
            <w:fldChar w:fldCharType="begin"/>
          </w:r>
          <w:r>
            <w:instrText xml:space="preserve"> PAGEREF _Toc21942 </w:instrText>
          </w:r>
          <w:r>
            <w:fldChar w:fldCharType="separate"/>
          </w:r>
          <w:r>
            <w:t>25</w:t>
          </w:r>
          <w:r>
            <w:fldChar w:fldCharType="end"/>
          </w:r>
          <w:r>
            <w:fldChar w:fldCharType="end"/>
          </w:r>
        </w:p>
        <w:p>
          <w:pPr>
            <w:pStyle w:val="43"/>
            <w:tabs>
              <w:tab w:val="right" w:leader="dot" w:pos="8306"/>
            </w:tabs>
          </w:pPr>
          <w:r>
            <w:fldChar w:fldCharType="begin"/>
          </w:r>
          <w:r>
            <w:instrText xml:space="preserve"> HYPERLINK \l _Toc11904 </w:instrText>
          </w:r>
          <w:r>
            <w:fldChar w:fldCharType="separate"/>
          </w:r>
          <w:r>
            <w:rPr>
              <w:rFonts w:hint="eastAsia" w:ascii="黑体" w:hAnsi="黑体" w:eastAsia="黑体"/>
            </w:rPr>
            <w:t xml:space="preserve">十、 </w:t>
          </w:r>
          <w:r>
            <w:rPr>
              <w:rFonts w:hint="eastAsia" w:ascii="黑体" w:hAnsi="黑体" w:eastAsia="黑体"/>
              <w:highlight w:val="none"/>
            </w:rPr>
            <w:t>其他重要事项的情况说明</w:t>
          </w:r>
          <w:r>
            <w:tab/>
          </w:r>
          <w:r>
            <w:fldChar w:fldCharType="begin"/>
          </w:r>
          <w:r>
            <w:instrText xml:space="preserve"> PAGEREF _Toc11904 </w:instrText>
          </w:r>
          <w:r>
            <w:fldChar w:fldCharType="separate"/>
          </w:r>
          <w:r>
            <w:t>25</w:t>
          </w:r>
          <w:r>
            <w:fldChar w:fldCharType="end"/>
          </w:r>
          <w:r>
            <w:fldChar w:fldCharType="end"/>
          </w:r>
        </w:p>
        <w:p>
          <w:pPr>
            <w:pStyle w:val="42"/>
            <w:tabs>
              <w:tab w:val="right" w:leader="dot" w:pos="8306"/>
            </w:tabs>
            <w:rPr>
              <w:b/>
            </w:rPr>
          </w:pPr>
          <w:r>
            <w:rPr>
              <w:b/>
            </w:rPr>
            <w:fldChar w:fldCharType="begin"/>
          </w:r>
          <w:r>
            <w:rPr>
              <w:b/>
            </w:rPr>
            <w:instrText xml:space="preserve"> HYPERLINK \l _Toc27901 </w:instrText>
          </w:r>
          <w:r>
            <w:rPr>
              <w:b/>
            </w:rPr>
            <w:fldChar w:fldCharType="separate"/>
          </w:r>
          <w:r>
            <w:rPr>
              <w:rFonts w:hint="eastAsia" w:ascii="黑体" w:hAnsi="黑体" w:eastAsia="黑体"/>
              <w:b/>
            </w:rPr>
            <w:t xml:space="preserve">第三部分 </w:t>
          </w:r>
          <w:r>
            <w:rPr>
              <w:rFonts w:hint="eastAsia" w:ascii="黑体" w:hAnsi="黑体" w:eastAsia="黑体"/>
              <w:b/>
              <w:szCs w:val="44"/>
              <w:highlight w:val="none"/>
            </w:rPr>
            <w:t>名</w:t>
          </w:r>
          <w:r>
            <w:rPr>
              <w:rFonts w:hint="eastAsia" w:ascii="黑体" w:hAnsi="黑体" w:eastAsia="黑体"/>
              <w:b/>
              <w:highlight w:val="none"/>
            </w:rPr>
            <w:t>词解释</w:t>
          </w:r>
          <w:r>
            <w:rPr>
              <w:b/>
            </w:rPr>
            <w:tab/>
          </w:r>
          <w:r>
            <w:rPr>
              <w:b/>
            </w:rPr>
            <w:fldChar w:fldCharType="begin"/>
          </w:r>
          <w:r>
            <w:rPr>
              <w:b/>
            </w:rPr>
            <w:instrText xml:space="preserve"> PAGEREF _Toc27901 </w:instrText>
          </w:r>
          <w:r>
            <w:rPr>
              <w:b/>
            </w:rPr>
            <w:fldChar w:fldCharType="separate"/>
          </w:r>
          <w:r>
            <w:rPr>
              <w:b/>
            </w:rPr>
            <w:t>27</w:t>
          </w:r>
          <w:r>
            <w:rPr>
              <w:b/>
            </w:rPr>
            <w:fldChar w:fldCharType="end"/>
          </w:r>
          <w:r>
            <w:rPr>
              <w:b/>
            </w:rPr>
            <w:fldChar w:fldCharType="end"/>
          </w:r>
        </w:p>
        <w:p>
          <w:pPr>
            <w:pStyle w:val="42"/>
            <w:tabs>
              <w:tab w:val="right" w:leader="dot" w:pos="8306"/>
            </w:tabs>
            <w:rPr>
              <w:b/>
            </w:rPr>
          </w:pPr>
          <w:r>
            <w:rPr>
              <w:b/>
            </w:rPr>
            <w:fldChar w:fldCharType="begin"/>
          </w:r>
          <w:r>
            <w:rPr>
              <w:b/>
            </w:rPr>
            <w:instrText xml:space="preserve"> HYPERLINK \l _Toc8102 </w:instrText>
          </w:r>
          <w:r>
            <w:rPr>
              <w:b/>
            </w:rPr>
            <w:fldChar w:fldCharType="separate"/>
          </w:r>
          <w:r>
            <w:rPr>
              <w:rFonts w:hint="eastAsia" w:ascii="黑体" w:hAnsi="黑体" w:eastAsia="黑体"/>
              <w:b/>
              <w:szCs w:val="44"/>
              <w:highlight w:val="none"/>
            </w:rPr>
            <w:t>第</w:t>
          </w:r>
          <w:r>
            <w:rPr>
              <w:rFonts w:hint="eastAsia" w:ascii="黑体" w:hAnsi="黑体" w:eastAsia="黑体"/>
              <w:b/>
              <w:highlight w:val="none"/>
            </w:rPr>
            <w:t>四部分 附件</w:t>
          </w:r>
          <w:r>
            <w:rPr>
              <w:b/>
            </w:rPr>
            <w:tab/>
          </w:r>
          <w:r>
            <w:rPr>
              <w:b/>
            </w:rPr>
            <w:fldChar w:fldCharType="begin"/>
          </w:r>
          <w:r>
            <w:rPr>
              <w:b/>
            </w:rPr>
            <w:instrText xml:space="preserve"> PAGEREF _Toc8102 </w:instrText>
          </w:r>
          <w:r>
            <w:rPr>
              <w:b/>
            </w:rPr>
            <w:fldChar w:fldCharType="separate"/>
          </w:r>
          <w:r>
            <w:rPr>
              <w:b/>
            </w:rPr>
            <w:t>33</w:t>
          </w:r>
          <w:r>
            <w:rPr>
              <w:b/>
            </w:rPr>
            <w:fldChar w:fldCharType="end"/>
          </w:r>
          <w:r>
            <w:rPr>
              <w:b/>
            </w:rPr>
            <w:fldChar w:fldCharType="end"/>
          </w:r>
        </w:p>
        <w:p>
          <w:pPr>
            <w:pStyle w:val="42"/>
            <w:tabs>
              <w:tab w:val="right" w:leader="dot" w:pos="8306"/>
            </w:tabs>
            <w:rPr>
              <w:b/>
            </w:rPr>
          </w:pPr>
          <w:r>
            <w:rPr>
              <w:b/>
            </w:rPr>
            <w:fldChar w:fldCharType="begin"/>
          </w:r>
          <w:r>
            <w:rPr>
              <w:b/>
            </w:rPr>
            <w:instrText xml:space="preserve"> HYPERLINK \l _Toc9017 </w:instrText>
          </w:r>
          <w:r>
            <w:rPr>
              <w:b/>
            </w:rPr>
            <w:fldChar w:fldCharType="separate"/>
          </w:r>
          <w:r>
            <w:rPr>
              <w:rFonts w:hint="eastAsia" w:ascii="黑体" w:hAnsi="黑体" w:eastAsia="黑体" w:cs="黑体"/>
              <w:b/>
              <w:szCs w:val="32"/>
              <w:highlight w:val="none"/>
            </w:rPr>
            <w:t>附件</w:t>
          </w:r>
          <w:r>
            <w:rPr>
              <w:b/>
            </w:rPr>
            <w:tab/>
          </w:r>
          <w:r>
            <w:rPr>
              <w:b/>
            </w:rPr>
            <w:fldChar w:fldCharType="begin"/>
          </w:r>
          <w:r>
            <w:rPr>
              <w:b/>
            </w:rPr>
            <w:instrText xml:space="preserve"> PAGEREF _Toc9017 </w:instrText>
          </w:r>
          <w:r>
            <w:rPr>
              <w:b/>
            </w:rPr>
            <w:fldChar w:fldCharType="separate"/>
          </w:r>
          <w:r>
            <w:rPr>
              <w:b/>
            </w:rPr>
            <w:t>33</w:t>
          </w:r>
          <w:r>
            <w:rPr>
              <w:b/>
            </w:rPr>
            <w:fldChar w:fldCharType="end"/>
          </w:r>
          <w:r>
            <w:rPr>
              <w:b/>
            </w:rPr>
            <w:fldChar w:fldCharType="end"/>
          </w:r>
        </w:p>
        <w:p>
          <w:pPr>
            <w:pStyle w:val="42"/>
            <w:tabs>
              <w:tab w:val="right" w:leader="dot" w:pos="8306"/>
            </w:tabs>
            <w:rPr>
              <w:b/>
            </w:rPr>
          </w:pPr>
          <w:r>
            <w:rPr>
              <w:b/>
            </w:rPr>
            <w:fldChar w:fldCharType="begin"/>
          </w:r>
          <w:r>
            <w:rPr>
              <w:b/>
            </w:rPr>
            <w:instrText xml:space="preserve"> HYPERLINK \l _Toc21512 </w:instrText>
          </w:r>
          <w:r>
            <w:rPr>
              <w:b/>
            </w:rPr>
            <w:fldChar w:fldCharType="separate"/>
          </w:r>
          <w:r>
            <w:rPr>
              <w:rFonts w:hint="eastAsia" w:ascii="黑体" w:hAnsi="黑体" w:eastAsia="黑体"/>
              <w:b/>
              <w:szCs w:val="44"/>
              <w:highlight w:val="none"/>
            </w:rPr>
            <w:t>第</w:t>
          </w:r>
          <w:r>
            <w:rPr>
              <w:rFonts w:hint="eastAsia" w:ascii="黑体" w:hAnsi="黑体" w:eastAsia="黑体"/>
              <w:b/>
              <w:highlight w:val="none"/>
            </w:rPr>
            <w:t>五部分 附表</w:t>
          </w:r>
          <w:r>
            <w:rPr>
              <w:b/>
            </w:rPr>
            <w:tab/>
          </w:r>
          <w:r>
            <w:rPr>
              <w:b/>
            </w:rPr>
            <w:fldChar w:fldCharType="begin"/>
          </w:r>
          <w:r>
            <w:rPr>
              <w:b/>
            </w:rPr>
            <w:instrText xml:space="preserve"> PAGEREF _Toc21512 </w:instrText>
          </w:r>
          <w:r>
            <w:rPr>
              <w:b/>
            </w:rPr>
            <w:fldChar w:fldCharType="separate"/>
          </w:r>
          <w:r>
            <w:rPr>
              <w:b/>
            </w:rPr>
            <w:t>45</w:t>
          </w:r>
          <w:r>
            <w:rPr>
              <w:b/>
            </w:rPr>
            <w:fldChar w:fldCharType="end"/>
          </w:r>
          <w:r>
            <w:rPr>
              <w:b/>
            </w:rPr>
            <w:fldChar w:fldCharType="end"/>
          </w:r>
        </w:p>
        <w:p>
          <w:pPr>
            <w:pStyle w:val="43"/>
            <w:tabs>
              <w:tab w:val="right" w:leader="dot" w:pos="8306"/>
            </w:tabs>
          </w:pPr>
          <w:r>
            <w:fldChar w:fldCharType="begin"/>
          </w:r>
          <w:r>
            <w:instrText xml:space="preserve"> HYPERLINK \l _Toc9336 </w:instrText>
          </w:r>
          <w:r>
            <w:fldChar w:fldCharType="separate"/>
          </w:r>
          <w:r>
            <w:rPr>
              <w:rFonts w:hint="eastAsia" w:ascii="仿宋" w:hAnsi="仿宋" w:eastAsia="仿宋"/>
              <w:highlight w:val="none"/>
            </w:rPr>
            <w:t>一、收</w:t>
          </w:r>
          <w:r>
            <w:rPr>
              <w:rFonts w:hint="eastAsia" w:ascii="仿宋" w:hAnsi="仿宋" w:eastAsia="仿宋"/>
              <w:bCs w:val="0"/>
              <w:highlight w:val="none"/>
            </w:rPr>
            <w:t>入支出决算总表</w:t>
          </w:r>
          <w:r>
            <w:tab/>
          </w:r>
          <w:r>
            <w:fldChar w:fldCharType="begin"/>
          </w:r>
          <w:r>
            <w:instrText xml:space="preserve"> PAGEREF _Toc9336 </w:instrText>
          </w:r>
          <w:r>
            <w:fldChar w:fldCharType="separate"/>
          </w:r>
          <w:r>
            <w:t>45</w:t>
          </w:r>
          <w:r>
            <w:fldChar w:fldCharType="end"/>
          </w:r>
          <w:r>
            <w:fldChar w:fldCharType="end"/>
          </w:r>
        </w:p>
        <w:p>
          <w:pPr>
            <w:pStyle w:val="43"/>
            <w:tabs>
              <w:tab w:val="right" w:leader="dot" w:pos="8306"/>
            </w:tabs>
          </w:pPr>
          <w:r>
            <w:fldChar w:fldCharType="begin"/>
          </w:r>
          <w:r>
            <w:instrText xml:space="preserve"> HYPERLINK \l _Toc2628 </w:instrText>
          </w:r>
          <w:r>
            <w:fldChar w:fldCharType="separate"/>
          </w:r>
          <w:r>
            <w:rPr>
              <w:rFonts w:hint="eastAsia" w:ascii="仿宋" w:hAnsi="仿宋" w:eastAsia="仿宋"/>
              <w:highlight w:val="none"/>
            </w:rPr>
            <w:t>二、收</w:t>
          </w:r>
          <w:r>
            <w:rPr>
              <w:rFonts w:hint="eastAsia" w:ascii="仿宋" w:hAnsi="仿宋" w:eastAsia="仿宋"/>
              <w:bCs w:val="0"/>
              <w:highlight w:val="none"/>
            </w:rPr>
            <w:t>入决算表</w:t>
          </w:r>
          <w:r>
            <w:tab/>
          </w:r>
          <w:r>
            <w:fldChar w:fldCharType="begin"/>
          </w:r>
          <w:r>
            <w:instrText xml:space="preserve"> PAGEREF _Toc2628 </w:instrText>
          </w:r>
          <w:r>
            <w:fldChar w:fldCharType="separate"/>
          </w:r>
          <w:r>
            <w:t>45</w:t>
          </w:r>
          <w:r>
            <w:fldChar w:fldCharType="end"/>
          </w:r>
          <w:r>
            <w:fldChar w:fldCharType="end"/>
          </w:r>
        </w:p>
        <w:p>
          <w:pPr>
            <w:pStyle w:val="43"/>
            <w:tabs>
              <w:tab w:val="right" w:leader="dot" w:pos="8306"/>
            </w:tabs>
          </w:pPr>
          <w:r>
            <w:fldChar w:fldCharType="begin"/>
          </w:r>
          <w:r>
            <w:instrText xml:space="preserve"> HYPERLINK \l _Toc5244 </w:instrText>
          </w:r>
          <w:r>
            <w:fldChar w:fldCharType="separate"/>
          </w:r>
          <w:r>
            <w:rPr>
              <w:rFonts w:hint="eastAsia" w:ascii="仿宋" w:hAnsi="仿宋" w:eastAsia="仿宋"/>
              <w:bCs w:val="0"/>
              <w:highlight w:val="none"/>
            </w:rPr>
            <w:t>三、</w:t>
          </w:r>
          <w:r>
            <w:rPr>
              <w:rFonts w:hint="eastAsia" w:ascii="仿宋" w:hAnsi="仿宋" w:eastAsia="仿宋"/>
              <w:highlight w:val="none"/>
            </w:rPr>
            <w:t>支</w:t>
          </w:r>
          <w:r>
            <w:rPr>
              <w:rFonts w:hint="eastAsia" w:ascii="仿宋" w:hAnsi="仿宋" w:eastAsia="仿宋"/>
              <w:bCs w:val="0"/>
              <w:highlight w:val="none"/>
            </w:rPr>
            <w:t>出决算表</w:t>
          </w:r>
          <w:r>
            <w:tab/>
          </w:r>
          <w:r>
            <w:fldChar w:fldCharType="begin"/>
          </w:r>
          <w:r>
            <w:instrText xml:space="preserve"> PAGEREF _Toc5244 </w:instrText>
          </w:r>
          <w:r>
            <w:fldChar w:fldCharType="separate"/>
          </w:r>
          <w:r>
            <w:t>45</w:t>
          </w:r>
          <w:r>
            <w:fldChar w:fldCharType="end"/>
          </w:r>
          <w:r>
            <w:fldChar w:fldCharType="end"/>
          </w:r>
        </w:p>
        <w:p>
          <w:pPr>
            <w:pStyle w:val="43"/>
            <w:tabs>
              <w:tab w:val="right" w:leader="dot" w:pos="8306"/>
            </w:tabs>
          </w:pPr>
          <w:r>
            <w:fldChar w:fldCharType="begin"/>
          </w:r>
          <w:r>
            <w:instrText xml:space="preserve"> HYPERLINK \l _Toc16426 </w:instrText>
          </w:r>
          <w:r>
            <w:fldChar w:fldCharType="separate"/>
          </w:r>
          <w:r>
            <w:rPr>
              <w:rFonts w:hint="eastAsia" w:ascii="仿宋" w:hAnsi="仿宋" w:eastAsia="仿宋"/>
              <w:bCs w:val="0"/>
              <w:highlight w:val="none"/>
            </w:rPr>
            <w:t>四、</w:t>
          </w:r>
          <w:r>
            <w:rPr>
              <w:rFonts w:hint="eastAsia" w:ascii="仿宋" w:hAnsi="仿宋" w:eastAsia="仿宋"/>
              <w:highlight w:val="none"/>
            </w:rPr>
            <w:t>财</w:t>
          </w:r>
          <w:r>
            <w:rPr>
              <w:rFonts w:hint="eastAsia" w:ascii="仿宋" w:hAnsi="仿宋" w:eastAsia="仿宋"/>
              <w:bCs w:val="0"/>
              <w:highlight w:val="none"/>
            </w:rPr>
            <w:t>政拨款收入支出决算总表</w:t>
          </w:r>
          <w:r>
            <w:tab/>
          </w:r>
          <w:r>
            <w:fldChar w:fldCharType="begin"/>
          </w:r>
          <w:r>
            <w:instrText xml:space="preserve"> PAGEREF _Toc16426 </w:instrText>
          </w:r>
          <w:r>
            <w:fldChar w:fldCharType="separate"/>
          </w:r>
          <w:r>
            <w:t>45</w:t>
          </w:r>
          <w:r>
            <w:fldChar w:fldCharType="end"/>
          </w:r>
          <w:r>
            <w:fldChar w:fldCharType="end"/>
          </w:r>
        </w:p>
        <w:p>
          <w:pPr>
            <w:pStyle w:val="43"/>
            <w:tabs>
              <w:tab w:val="right" w:leader="dot" w:pos="8306"/>
            </w:tabs>
          </w:pPr>
          <w:r>
            <w:fldChar w:fldCharType="begin"/>
          </w:r>
          <w:r>
            <w:instrText xml:space="preserve"> HYPERLINK \l _Toc9867 </w:instrText>
          </w:r>
          <w:r>
            <w:fldChar w:fldCharType="separate"/>
          </w:r>
          <w:r>
            <w:rPr>
              <w:rFonts w:hint="eastAsia" w:ascii="仿宋" w:hAnsi="仿宋" w:eastAsia="仿宋"/>
              <w:bCs w:val="0"/>
              <w:highlight w:val="none"/>
            </w:rPr>
            <w:t>五、</w:t>
          </w:r>
          <w:r>
            <w:rPr>
              <w:rFonts w:hint="eastAsia" w:ascii="仿宋" w:hAnsi="仿宋" w:eastAsia="仿宋"/>
              <w:highlight w:val="none"/>
            </w:rPr>
            <w:t>财</w:t>
          </w:r>
          <w:r>
            <w:rPr>
              <w:rFonts w:hint="eastAsia" w:ascii="仿宋" w:hAnsi="仿宋" w:eastAsia="仿宋"/>
              <w:bCs w:val="0"/>
              <w:highlight w:val="none"/>
            </w:rPr>
            <w:t>政拨款支出决算明细表</w:t>
          </w:r>
          <w:r>
            <w:tab/>
          </w:r>
          <w:r>
            <w:fldChar w:fldCharType="begin"/>
          </w:r>
          <w:r>
            <w:instrText xml:space="preserve"> PAGEREF _Toc9867 </w:instrText>
          </w:r>
          <w:r>
            <w:fldChar w:fldCharType="separate"/>
          </w:r>
          <w:r>
            <w:t>45</w:t>
          </w:r>
          <w:r>
            <w:fldChar w:fldCharType="end"/>
          </w:r>
          <w:r>
            <w:fldChar w:fldCharType="end"/>
          </w:r>
        </w:p>
        <w:p>
          <w:pPr>
            <w:pStyle w:val="43"/>
            <w:tabs>
              <w:tab w:val="right" w:leader="dot" w:pos="8306"/>
            </w:tabs>
          </w:pPr>
          <w:r>
            <w:fldChar w:fldCharType="begin"/>
          </w:r>
          <w:r>
            <w:instrText xml:space="preserve"> HYPERLINK \l _Toc7642 </w:instrText>
          </w:r>
          <w:r>
            <w:fldChar w:fldCharType="separate"/>
          </w:r>
          <w:r>
            <w:rPr>
              <w:rFonts w:hint="eastAsia" w:ascii="仿宋" w:hAnsi="仿宋" w:eastAsia="仿宋"/>
              <w:bCs w:val="0"/>
              <w:highlight w:val="none"/>
            </w:rPr>
            <w:t>六、</w:t>
          </w:r>
          <w:r>
            <w:rPr>
              <w:rFonts w:hint="eastAsia" w:ascii="仿宋" w:hAnsi="仿宋" w:eastAsia="仿宋"/>
              <w:highlight w:val="none"/>
            </w:rPr>
            <w:t>一</w:t>
          </w:r>
          <w:r>
            <w:rPr>
              <w:rFonts w:hint="eastAsia" w:ascii="仿宋" w:hAnsi="仿宋" w:eastAsia="仿宋"/>
              <w:bCs w:val="0"/>
              <w:highlight w:val="none"/>
            </w:rPr>
            <w:t>般公共预算财政拨款支出决算表</w:t>
          </w:r>
          <w:r>
            <w:tab/>
          </w:r>
          <w:r>
            <w:fldChar w:fldCharType="begin"/>
          </w:r>
          <w:r>
            <w:instrText xml:space="preserve"> PAGEREF _Toc7642 </w:instrText>
          </w:r>
          <w:r>
            <w:fldChar w:fldCharType="separate"/>
          </w:r>
          <w:r>
            <w:t>45</w:t>
          </w:r>
          <w:r>
            <w:fldChar w:fldCharType="end"/>
          </w:r>
          <w:r>
            <w:fldChar w:fldCharType="end"/>
          </w:r>
        </w:p>
        <w:p>
          <w:pPr>
            <w:pStyle w:val="43"/>
            <w:tabs>
              <w:tab w:val="right" w:leader="dot" w:pos="8306"/>
            </w:tabs>
          </w:pPr>
          <w:r>
            <w:fldChar w:fldCharType="begin"/>
          </w:r>
          <w:r>
            <w:instrText xml:space="preserve"> HYPERLINK \l _Toc17543 </w:instrText>
          </w:r>
          <w:r>
            <w:fldChar w:fldCharType="separate"/>
          </w:r>
          <w:r>
            <w:rPr>
              <w:rFonts w:hint="eastAsia" w:ascii="仿宋" w:hAnsi="仿宋" w:eastAsia="仿宋"/>
              <w:bCs w:val="0"/>
              <w:highlight w:val="none"/>
            </w:rPr>
            <w:t>七、</w:t>
          </w:r>
          <w:r>
            <w:rPr>
              <w:rFonts w:hint="eastAsia" w:ascii="仿宋" w:hAnsi="仿宋" w:eastAsia="仿宋"/>
              <w:highlight w:val="none"/>
            </w:rPr>
            <w:t>一</w:t>
          </w:r>
          <w:r>
            <w:rPr>
              <w:rFonts w:hint="eastAsia" w:ascii="仿宋" w:hAnsi="仿宋" w:eastAsia="仿宋"/>
              <w:bCs w:val="0"/>
              <w:highlight w:val="none"/>
            </w:rPr>
            <w:t>般公共预算财政拨款支出决算明细表</w:t>
          </w:r>
          <w:r>
            <w:tab/>
          </w:r>
          <w:r>
            <w:fldChar w:fldCharType="begin"/>
          </w:r>
          <w:r>
            <w:instrText xml:space="preserve"> PAGEREF _Toc17543 </w:instrText>
          </w:r>
          <w:r>
            <w:fldChar w:fldCharType="separate"/>
          </w:r>
          <w:r>
            <w:t>45</w:t>
          </w:r>
          <w:r>
            <w:fldChar w:fldCharType="end"/>
          </w:r>
          <w:r>
            <w:fldChar w:fldCharType="end"/>
          </w:r>
        </w:p>
        <w:p>
          <w:pPr>
            <w:pStyle w:val="43"/>
            <w:tabs>
              <w:tab w:val="right" w:leader="dot" w:pos="8306"/>
            </w:tabs>
          </w:pPr>
          <w:r>
            <w:fldChar w:fldCharType="begin"/>
          </w:r>
          <w:r>
            <w:instrText xml:space="preserve"> HYPERLINK \l _Toc18149 </w:instrText>
          </w:r>
          <w:r>
            <w:fldChar w:fldCharType="separate"/>
          </w:r>
          <w:r>
            <w:rPr>
              <w:rFonts w:hint="eastAsia" w:ascii="仿宋" w:hAnsi="仿宋" w:eastAsia="仿宋"/>
              <w:bCs w:val="0"/>
              <w:highlight w:val="none"/>
            </w:rPr>
            <w:t>八、</w:t>
          </w:r>
          <w:r>
            <w:rPr>
              <w:rFonts w:hint="eastAsia" w:ascii="仿宋" w:hAnsi="仿宋" w:eastAsia="仿宋"/>
              <w:highlight w:val="none"/>
            </w:rPr>
            <w:t>一</w:t>
          </w:r>
          <w:r>
            <w:rPr>
              <w:rFonts w:hint="eastAsia" w:ascii="仿宋" w:hAnsi="仿宋" w:eastAsia="仿宋"/>
              <w:bCs w:val="0"/>
              <w:highlight w:val="none"/>
            </w:rPr>
            <w:t>般公共预算财政拨款基本支出决算表</w:t>
          </w:r>
          <w:r>
            <w:tab/>
          </w:r>
          <w:r>
            <w:fldChar w:fldCharType="begin"/>
          </w:r>
          <w:r>
            <w:instrText xml:space="preserve"> PAGEREF _Toc18149 </w:instrText>
          </w:r>
          <w:r>
            <w:fldChar w:fldCharType="separate"/>
          </w:r>
          <w:r>
            <w:t>45</w:t>
          </w:r>
          <w:r>
            <w:fldChar w:fldCharType="end"/>
          </w:r>
          <w:r>
            <w:fldChar w:fldCharType="end"/>
          </w:r>
        </w:p>
        <w:p>
          <w:pPr>
            <w:pStyle w:val="43"/>
            <w:tabs>
              <w:tab w:val="right" w:leader="dot" w:pos="8306"/>
            </w:tabs>
          </w:pPr>
          <w:r>
            <w:fldChar w:fldCharType="begin"/>
          </w:r>
          <w:r>
            <w:instrText xml:space="preserve"> HYPERLINK \l _Toc18446 </w:instrText>
          </w:r>
          <w:r>
            <w:fldChar w:fldCharType="separate"/>
          </w:r>
          <w:r>
            <w:rPr>
              <w:rFonts w:hint="eastAsia" w:ascii="仿宋" w:hAnsi="仿宋" w:eastAsia="仿宋"/>
              <w:bCs w:val="0"/>
              <w:highlight w:val="none"/>
            </w:rPr>
            <w:t>九、</w:t>
          </w:r>
          <w:r>
            <w:rPr>
              <w:rFonts w:hint="eastAsia" w:ascii="仿宋" w:hAnsi="仿宋" w:eastAsia="仿宋"/>
              <w:highlight w:val="none"/>
            </w:rPr>
            <w:t>一</w:t>
          </w:r>
          <w:r>
            <w:rPr>
              <w:rFonts w:hint="eastAsia" w:ascii="仿宋" w:hAnsi="仿宋" w:eastAsia="仿宋"/>
              <w:bCs w:val="0"/>
              <w:highlight w:val="none"/>
            </w:rPr>
            <w:t>般公共预算财政拨款项目支出决算表</w:t>
          </w:r>
          <w:r>
            <w:tab/>
          </w:r>
          <w:r>
            <w:fldChar w:fldCharType="begin"/>
          </w:r>
          <w:r>
            <w:instrText xml:space="preserve"> PAGEREF _Toc18446 </w:instrText>
          </w:r>
          <w:r>
            <w:fldChar w:fldCharType="separate"/>
          </w:r>
          <w:r>
            <w:t>45</w:t>
          </w:r>
          <w:r>
            <w:fldChar w:fldCharType="end"/>
          </w:r>
          <w:r>
            <w:fldChar w:fldCharType="end"/>
          </w:r>
        </w:p>
        <w:p>
          <w:pPr>
            <w:pStyle w:val="43"/>
            <w:tabs>
              <w:tab w:val="right" w:leader="dot" w:pos="8306"/>
            </w:tabs>
          </w:pPr>
          <w:r>
            <w:fldChar w:fldCharType="begin"/>
          </w:r>
          <w:r>
            <w:instrText xml:space="preserve"> HYPERLINK \l _Toc10614 </w:instrText>
          </w:r>
          <w:r>
            <w:fldChar w:fldCharType="separate"/>
          </w:r>
          <w:r>
            <w:rPr>
              <w:rFonts w:hint="eastAsia" w:ascii="仿宋" w:hAnsi="仿宋" w:eastAsia="仿宋"/>
              <w:bCs w:val="0"/>
              <w:highlight w:val="none"/>
            </w:rPr>
            <w:t>十、</w:t>
          </w:r>
          <w:r>
            <w:rPr>
              <w:rFonts w:hint="eastAsia" w:ascii="仿宋" w:hAnsi="仿宋" w:eastAsia="仿宋"/>
              <w:highlight w:val="none"/>
            </w:rPr>
            <w:t>政</w:t>
          </w:r>
          <w:r>
            <w:rPr>
              <w:rFonts w:hint="eastAsia" w:ascii="仿宋" w:hAnsi="仿宋" w:eastAsia="仿宋"/>
              <w:bCs w:val="0"/>
              <w:highlight w:val="none"/>
            </w:rPr>
            <w:t>府性基金预算财政拨款收入支出决算表</w:t>
          </w:r>
          <w:r>
            <w:tab/>
          </w:r>
          <w:r>
            <w:fldChar w:fldCharType="begin"/>
          </w:r>
          <w:r>
            <w:instrText xml:space="preserve"> PAGEREF _Toc10614 </w:instrText>
          </w:r>
          <w:r>
            <w:fldChar w:fldCharType="separate"/>
          </w:r>
          <w:r>
            <w:t>45</w:t>
          </w:r>
          <w:r>
            <w:fldChar w:fldCharType="end"/>
          </w:r>
          <w:r>
            <w:fldChar w:fldCharType="end"/>
          </w:r>
        </w:p>
        <w:p>
          <w:pPr>
            <w:pStyle w:val="43"/>
            <w:tabs>
              <w:tab w:val="right" w:leader="dot" w:pos="8306"/>
            </w:tabs>
          </w:pPr>
          <w:r>
            <w:fldChar w:fldCharType="begin"/>
          </w:r>
          <w:r>
            <w:instrText xml:space="preserve"> HYPERLINK \l _Toc7551 </w:instrText>
          </w:r>
          <w:r>
            <w:fldChar w:fldCharType="separate"/>
          </w:r>
          <w:r>
            <w:rPr>
              <w:rFonts w:hint="eastAsia" w:ascii="仿宋" w:hAnsi="仿宋" w:eastAsia="仿宋"/>
              <w:bCs w:val="0"/>
              <w:highlight w:val="none"/>
            </w:rPr>
            <w:t>十一、</w:t>
          </w:r>
          <w:r>
            <w:rPr>
              <w:rFonts w:hint="eastAsia" w:ascii="仿宋" w:hAnsi="仿宋" w:eastAsia="仿宋"/>
              <w:highlight w:val="none"/>
            </w:rPr>
            <w:t>国</w:t>
          </w:r>
          <w:r>
            <w:rPr>
              <w:rFonts w:hint="eastAsia" w:ascii="仿宋" w:hAnsi="仿宋" w:eastAsia="仿宋"/>
              <w:bCs w:val="0"/>
              <w:highlight w:val="none"/>
            </w:rPr>
            <w:t>有资本经营预算</w:t>
          </w:r>
          <w:r>
            <w:rPr>
              <w:rFonts w:hint="eastAsia" w:ascii="仿宋" w:hAnsi="仿宋" w:eastAsia="仿宋"/>
              <w:bCs w:val="0"/>
              <w:highlight w:val="none"/>
              <w:lang w:eastAsia="zh-CN"/>
            </w:rPr>
            <w:t>财政拨款收入</w:t>
          </w:r>
          <w:r>
            <w:rPr>
              <w:rFonts w:hint="eastAsia" w:ascii="仿宋" w:hAnsi="仿宋" w:eastAsia="仿宋"/>
              <w:bCs w:val="0"/>
              <w:highlight w:val="none"/>
            </w:rPr>
            <w:t>支出决算表</w:t>
          </w:r>
          <w:r>
            <w:tab/>
          </w:r>
          <w:r>
            <w:fldChar w:fldCharType="begin"/>
          </w:r>
          <w:r>
            <w:instrText xml:space="preserve"> PAGEREF _Toc7551 </w:instrText>
          </w:r>
          <w:r>
            <w:fldChar w:fldCharType="separate"/>
          </w:r>
          <w:r>
            <w:t>45</w:t>
          </w:r>
          <w:r>
            <w:fldChar w:fldCharType="end"/>
          </w:r>
          <w:r>
            <w:fldChar w:fldCharType="end"/>
          </w:r>
        </w:p>
        <w:p>
          <w:pPr>
            <w:pStyle w:val="43"/>
            <w:tabs>
              <w:tab w:val="right" w:leader="dot" w:pos="8306"/>
            </w:tabs>
          </w:pPr>
          <w:r>
            <w:fldChar w:fldCharType="begin"/>
          </w:r>
          <w:r>
            <w:instrText xml:space="preserve"> HYPERLINK \l _Toc25554 </w:instrText>
          </w:r>
          <w:r>
            <w:fldChar w:fldCharType="separate"/>
          </w:r>
          <w:r>
            <w:rPr>
              <w:rFonts w:hint="eastAsia" w:ascii="仿宋" w:hAnsi="仿宋" w:eastAsia="仿宋"/>
              <w:bCs w:val="0"/>
              <w:highlight w:val="none"/>
            </w:rPr>
            <w:t>十二、</w:t>
          </w:r>
          <w:r>
            <w:rPr>
              <w:rFonts w:hint="eastAsia" w:ascii="仿宋" w:hAnsi="仿宋" w:eastAsia="仿宋"/>
              <w:bCs w:val="0"/>
              <w:highlight w:val="none"/>
              <w:lang w:eastAsia="zh-CN"/>
            </w:rPr>
            <w:t>国有资本经营预算财政拨款支出决算表</w:t>
          </w:r>
          <w:r>
            <w:tab/>
          </w:r>
          <w:r>
            <w:fldChar w:fldCharType="begin"/>
          </w:r>
          <w:r>
            <w:instrText xml:space="preserve"> PAGEREF _Toc25554 </w:instrText>
          </w:r>
          <w:r>
            <w:fldChar w:fldCharType="separate"/>
          </w:r>
          <w:r>
            <w:t>45</w:t>
          </w:r>
          <w:r>
            <w:fldChar w:fldCharType="end"/>
          </w:r>
          <w:r>
            <w:fldChar w:fldCharType="end"/>
          </w:r>
        </w:p>
        <w:p>
          <w:pPr>
            <w:pStyle w:val="43"/>
            <w:tabs>
              <w:tab w:val="right" w:leader="dot" w:pos="8306"/>
            </w:tabs>
          </w:pPr>
          <w:r>
            <w:fldChar w:fldCharType="begin"/>
          </w:r>
          <w:r>
            <w:instrText xml:space="preserve"> HYPERLINK \l _Toc10243 </w:instrText>
          </w:r>
          <w:r>
            <w:fldChar w:fldCharType="separate"/>
          </w:r>
          <w:r>
            <w:rPr>
              <w:rFonts w:hint="eastAsia" w:ascii="仿宋" w:hAnsi="仿宋" w:eastAsia="仿宋"/>
              <w:bCs w:val="0"/>
              <w:highlight w:val="none"/>
            </w:rPr>
            <w:t>十三、</w:t>
          </w:r>
          <w:r>
            <w:rPr>
              <w:rFonts w:hint="eastAsia" w:ascii="仿宋" w:hAnsi="仿宋" w:eastAsia="仿宋"/>
              <w:bCs w:val="0"/>
              <w:highlight w:val="none"/>
              <w:lang w:eastAsia="zh-CN"/>
            </w:rPr>
            <w:t>财政拨款“三公”经费支出决算表</w:t>
          </w:r>
          <w:r>
            <w:tab/>
          </w:r>
          <w:r>
            <w:fldChar w:fldCharType="begin"/>
          </w:r>
          <w:r>
            <w:instrText xml:space="preserve"> PAGEREF _Toc10243 </w:instrText>
          </w:r>
          <w:r>
            <w:fldChar w:fldCharType="separate"/>
          </w:r>
          <w:r>
            <w:t>45</w:t>
          </w:r>
          <w:r>
            <w:fldChar w:fldCharType="end"/>
          </w:r>
          <w:r>
            <w:fldChar w:fldCharType="end"/>
          </w:r>
        </w:p>
        <w:p>
          <w:r>
            <w:rPr>
              <w:b/>
            </w:rPr>
            <w:fldChar w:fldCharType="end"/>
          </w:r>
        </w:p>
      </w:sdtContent>
    </w:sdt>
    <w:p>
      <w:pPr>
        <w:widowControl/>
        <w:spacing w:line="440" w:lineRule="exact"/>
        <w:jc w:val="left"/>
        <w:rPr>
          <w:rFonts w:ascii="仿宋" w:hAnsi="仿宋" w:eastAsia="仿宋"/>
          <w:bCs/>
          <w:color w:val="auto"/>
          <w:kern w:val="44"/>
          <w:sz w:val="24"/>
          <w:highlight w:val="none"/>
        </w:rPr>
      </w:pPr>
      <w:r>
        <w:rPr>
          <w:rFonts w:ascii="仿宋" w:hAnsi="仿宋" w:eastAsia="仿宋"/>
          <w:b/>
          <w:color w:val="auto"/>
          <w:sz w:val="24"/>
          <w:highlight w:val="none"/>
        </w:rPr>
        <w:br w:type="page"/>
      </w:r>
    </w:p>
    <w:p>
      <w:pPr>
        <w:pStyle w:val="4"/>
        <w:jc w:val="center"/>
        <w:rPr>
          <w:rStyle w:val="32"/>
          <w:rFonts w:ascii="黑体" w:hAnsi="黑体" w:eastAsia="黑体"/>
          <w:b/>
          <w:bCs w:val="0"/>
          <w:color w:val="auto"/>
          <w:highlight w:val="none"/>
        </w:rPr>
      </w:pPr>
      <w:bookmarkStart w:id="16" w:name="_Toc18797"/>
      <w:r>
        <w:rPr>
          <w:rFonts w:hint="eastAsia" w:ascii="黑体" w:hAnsi="黑体" w:eastAsia="黑体"/>
          <w:b w:val="0"/>
          <w:color w:val="auto"/>
          <w:highlight w:val="none"/>
        </w:rPr>
        <w:t xml:space="preserve">第一部分 </w:t>
      </w:r>
      <w:r>
        <w:rPr>
          <w:rStyle w:val="32"/>
          <w:rFonts w:hint="eastAsia" w:ascii="黑体" w:hAnsi="黑体" w:eastAsia="黑体"/>
          <w:b w:val="0"/>
          <w:bCs w:val="0"/>
          <w:color w:val="auto"/>
          <w:highlight w:val="none"/>
        </w:rPr>
        <w:t>部门概况</w:t>
      </w:r>
      <w:bookmarkEnd w:id="14"/>
      <w:bookmarkEnd w:id="15"/>
      <w:bookmarkEnd w:id="16"/>
    </w:p>
    <w:p>
      <w:pPr>
        <w:widowControl/>
        <w:jc w:val="left"/>
        <w:rPr>
          <w:rFonts w:ascii="黑体" w:eastAsia="黑体"/>
          <w:color w:val="auto"/>
          <w:sz w:val="32"/>
          <w:szCs w:val="32"/>
          <w:highlight w:val="none"/>
        </w:rPr>
      </w:pPr>
    </w:p>
    <w:p>
      <w:pPr>
        <w:pStyle w:val="5"/>
        <w:numPr>
          <w:ilvl w:val="0"/>
          <w:numId w:val="1"/>
        </w:numPr>
        <w:rPr>
          <w:rFonts w:hint="eastAsia" w:ascii="黑体" w:hAnsi="黑体" w:eastAsia="黑体"/>
          <w:b w:val="0"/>
          <w:color w:val="auto"/>
          <w:highlight w:val="none"/>
          <w:lang w:eastAsia="zh-CN"/>
        </w:rPr>
      </w:pPr>
      <w:bookmarkStart w:id="17" w:name="_Toc16208"/>
      <w:r>
        <w:rPr>
          <w:rFonts w:hint="eastAsia" w:ascii="黑体" w:hAnsi="黑体" w:eastAsia="黑体"/>
          <w:b w:val="0"/>
          <w:color w:val="auto"/>
          <w:highlight w:val="none"/>
          <w:lang w:eastAsia="zh-CN"/>
        </w:rPr>
        <w:t>部门职责</w:t>
      </w:r>
      <w:bookmarkEnd w:id="17"/>
    </w:p>
    <w:p>
      <w:pPr>
        <w:pStyle w:val="2"/>
        <w:adjustRightInd w:val="0"/>
        <w:snapToGrid w:val="0"/>
        <w:spacing w:before="93" w:line="600" w:lineRule="exact"/>
        <w:ind w:firstLine="675" w:firstLineChars="210"/>
        <w:outlineLvl w:val="2"/>
        <w:rPr>
          <w:rFonts w:hint="eastAsia" w:ascii="仿宋" w:hAnsi="仿宋" w:eastAsia="仿宋"/>
          <w:color w:val="000000"/>
          <w:sz w:val="32"/>
          <w:szCs w:val="32"/>
          <w:lang w:val="en-US" w:eastAsia="zh-CN"/>
        </w:rPr>
      </w:pPr>
      <w:bookmarkStart w:id="18" w:name="_Toc15377198"/>
      <w:bookmarkStart w:id="19" w:name="_Toc15378445"/>
      <w:bookmarkStart w:id="20" w:name="_Toc79163853"/>
      <w:bookmarkStart w:id="21" w:name="_Toc79163603"/>
      <w:r>
        <w:rPr>
          <w:rFonts w:hint="eastAsia" w:ascii="仿宋" w:hAnsi="仿宋" w:eastAsia="仿宋"/>
          <w:b/>
          <w:bCs w:val="0"/>
          <w:color w:val="000000"/>
          <w:sz w:val="32"/>
          <w:szCs w:val="32"/>
        </w:rPr>
        <w:t>（一）主要职能</w:t>
      </w:r>
      <w:r>
        <w:rPr>
          <w:rFonts w:hint="eastAsia" w:ascii="仿宋" w:hAnsi="仿宋" w:eastAsia="仿宋"/>
          <w:bCs/>
          <w:color w:val="000000"/>
          <w:sz w:val="32"/>
          <w:szCs w:val="32"/>
        </w:rPr>
        <w:t>。</w:t>
      </w:r>
      <w:bookmarkEnd w:id="18"/>
      <w:bookmarkEnd w:id="19"/>
      <w:bookmarkEnd w:id="20"/>
      <w:bookmarkEnd w:id="21"/>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1"/>
        <w:rPr>
          <w:rFonts w:hint="eastAsia" w:ascii="仿宋" w:hAnsi="仿宋" w:eastAsia="仿宋"/>
          <w:color w:val="000000"/>
          <w:sz w:val="32"/>
          <w:szCs w:val="32"/>
          <w:lang w:val="en-US" w:eastAsia="zh-CN"/>
        </w:rPr>
      </w:pPr>
      <w:bookmarkStart w:id="22" w:name="_Toc6037"/>
      <w:r>
        <w:rPr>
          <w:rFonts w:hint="eastAsia" w:ascii="仿宋" w:hAnsi="仿宋" w:eastAsia="仿宋"/>
          <w:color w:val="000000"/>
          <w:sz w:val="32"/>
          <w:szCs w:val="32"/>
          <w:lang w:val="en-US" w:eastAsia="zh-CN"/>
        </w:rPr>
        <w:t>（一）贯彻落实党和国家关于文化、体育、旅游的方针政策和省委、州委、县委的决策部署，拟订文化、体育和旅游政策措施，起草文化、体育和旅游地方性法规、规章草案，负责本部门依法行政工作。</w:t>
      </w:r>
      <w:bookmarkEnd w:id="22"/>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1"/>
        <w:rPr>
          <w:rFonts w:hint="eastAsia" w:ascii="仿宋" w:hAnsi="仿宋" w:eastAsia="仿宋"/>
          <w:color w:val="000000"/>
          <w:sz w:val="32"/>
          <w:szCs w:val="32"/>
          <w:lang w:val="en-US" w:eastAsia="zh-CN"/>
        </w:rPr>
      </w:pPr>
      <w:bookmarkStart w:id="23" w:name="_Toc9769"/>
      <w:r>
        <w:rPr>
          <w:rFonts w:hint="eastAsia" w:ascii="仿宋" w:hAnsi="仿宋" w:eastAsia="仿宋"/>
          <w:color w:val="000000"/>
          <w:sz w:val="32"/>
          <w:szCs w:val="32"/>
          <w:lang w:val="en-US" w:eastAsia="zh-CN"/>
        </w:rPr>
        <w:t>（二）组织推动全县文化、体育事业产业和旅游业发展，拟推进文化、体育和旅游产业融合发展，促进文化、体育和旅游与相关产业融合发展。</w:t>
      </w:r>
      <w:bookmarkEnd w:id="23"/>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1"/>
        <w:rPr>
          <w:rFonts w:hint="eastAsia" w:ascii="仿宋" w:hAnsi="仿宋" w:eastAsia="仿宋"/>
          <w:color w:val="000000"/>
          <w:sz w:val="32"/>
          <w:szCs w:val="32"/>
          <w:lang w:val="en-US" w:eastAsia="zh-CN"/>
        </w:rPr>
      </w:pPr>
      <w:bookmarkStart w:id="24" w:name="_Toc9400"/>
      <w:r>
        <w:rPr>
          <w:rFonts w:hint="eastAsia" w:ascii="仿宋" w:hAnsi="仿宋" w:eastAsia="仿宋"/>
          <w:color w:val="000000"/>
          <w:sz w:val="32"/>
          <w:szCs w:val="32"/>
          <w:lang w:val="en-US" w:eastAsia="zh-CN"/>
        </w:rPr>
        <w:t>（三）指导管理文艺事业，把握正确的创作导向，推动文化艺术创作生产，扶持体现社会主义核心价值观、具有导向性代表性示范性的文化艺术作品，推动各门类艺术、各艺术品种发展，推动中华优秀传统文化和壤塘本地特色文化传承发展。</w:t>
      </w:r>
      <w:bookmarkEnd w:id="24"/>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1"/>
        <w:rPr>
          <w:rFonts w:hint="eastAsia" w:ascii="仿宋" w:hAnsi="仿宋" w:eastAsia="仿宋"/>
          <w:color w:val="000000"/>
          <w:sz w:val="32"/>
          <w:szCs w:val="32"/>
          <w:lang w:val="en-US" w:eastAsia="zh-CN"/>
        </w:rPr>
      </w:pPr>
      <w:bookmarkStart w:id="25" w:name="_Toc6360"/>
      <w:r>
        <w:rPr>
          <w:rFonts w:hint="eastAsia" w:ascii="仿宋" w:hAnsi="仿宋" w:eastAsia="仿宋"/>
          <w:color w:val="000000"/>
          <w:sz w:val="32"/>
          <w:szCs w:val="32"/>
          <w:lang w:val="en-US" w:eastAsia="zh-CN"/>
        </w:rPr>
        <w:t>（四）负责公共文化、体育事业发展，推进全县公共文化体育服务体系建设和旅游公共服务建设，深入实施惠民工程，统筹推进文化、体育、旅游基本公共服务标准化、均等化。</w:t>
      </w:r>
      <w:bookmarkEnd w:id="25"/>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1"/>
        <w:rPr>
          <w:rFonts w:hint="eastAsia" w:ascii="仿宋" w:hAnsi="仿宋" w:eastAsia="仿宋"/>
          <w:color w:val="000000"/>
          <w:sz w:val="32"/>
          <w:szCs w:val="32"/>
          <w:lang w:val="en-US" w:eastAsia="zh-CN"/>
        </w:rPr>
      </w:pPr>
      <w:bookmarkStart w:id="26" w:name="_Toc24835"/>
      <w:r>
        <w:rPr>
          <w:rFonts w:hint="eastAsia" w:ascii="仿宋" w:hAnsi="仿宋" w:eastAsia="仿宋"/>
          <w:color w:val="000000"/>
          <w:sz w:val="32"/>
          <w:szCs w:val="32"/>
          <w:lang w:val="en-US" w:eastAsia="zh-CN"/>
        </w:rPr>
        <w:t>（五）推进文化、体育和旅游科技创新，推进文化、体育和旅游行业信息化、标准化建设。</w:t>
      </w:r>
      <w:bookmarkEnd w:id="26"/>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1"/>
        <w:rPr>
          <w:rFonts w:hint="eastAsia" w:ascii="仿宋" w:hAnsi="仿宋" w:eastAsia="仿宋"/>
          <w:color w:val="000000"/>
          <w:sz w:val="32"/>
          <w:szCs w:val="32"/>
          <w:lang w:val="en-US" w:eastAsia="zh-CN"/>
        </w:rPr>
      </w:pPr>
      <w:bookmarkStart w:id="27" w:name="_Toc32529"/>
      <w:r>
        <w:rPr>
          <w:rFonts w:hint="eastAsia" w:ascii="仿宋" w:hAnsi="仿宋" w:eastAsia="仿宋"/>
          <w:color w:val="000000"/>
          <w:sz w:val="32"/>
          <w:szCs w:val="32"/>
          <w:lang w:val="en-US" w:eastAsia="zh-CN"/>
        </w:rPr>
        <w:t>（六）负责非物质文化遗产保护工作，推动非物质文化遗产的保护、传承、普及、弘扬和振兴，履行文物行政督察职能，负责世界文化遗产保护和管理监督工作，组织开展世界文化与自然遗产、历史文化名城（镇、村）申报和监督管理工作，负责推动完善文物和博物馆公共服务体系建设。</w:t>
      </w:r>
      <w:bookmarkEnd w:id="27"/>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1"/>
        <w:rPr>
          <w:rFonts w:hint="eastAsia" w:ascii="仿宋" w:hAnsi="仿宋" w:eastAsia="仿宋"/>
          <w:color w:val="000000"/>
          <w:sz w:val="32"/>
          <w:szCs w:val="32"/>
          <w:lang w:val="en-US" w:eastAsia="zh-CN"/>
        </w:rPr>
      </w:pPr>
      <w:bookmarkStart w:id="28" w:name="_Toc21676"/>
      <w:r>
        <w:rPr>
          <w:rFonts w:hint="eastAsia" w:ascii="仿宋" w:hAnsi="仿宋" w:eastAsia="仿宋"/>
          <w:color w:val="000000"/>
          <w:sz w:val="32"/>
          <w:szCs w:val="32"/>
          <w:lang w:val="en-US" w:eastAsia="zh-CN"/>
        </w:rPr>
        <w:t>（七）推动全县群众体育、竞技体育和青少年（学校）体育工作发展规划实施，推行全民健身计划，推动建立和完善全民健身服务体系，指导和开展群众性体育活动，研究和指导体育训练和运动员队伍建设，统筹组织全县综合性运动会、参加州级以上体育竞赛和综合性运动会，指导各级各类体育学校的建设和青少年业余训练及相关活动。</w:t>
      </w:r>
      <w:bookmarkEnd w:id="28"/>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1"/>
        <w:rPr>
          <w:rFonts w:hint="eastAsia" w:ascii="仿宋" w:hAnsi="仿宋" w:eastAsia="仿宋"/>
          <w:color w:val="000000"/>
          <w:sz w:val="32"/>
          <w:szCs w:val="32"/>
          <w:lang w:val="en-US" w:eastAsia="zh-CN"/>
        </w:rPr>
      </w:pPr>
      <w:bookmarkStart w:id="29" w:name="_Toc19000"/>
      <w:r>
        <w:rPr>
          <w:rFonts w:hint="eastAsia" w:ascii="仿宋" w:hAnsi="仿宋" w:eastAsia="仿宋"/>
          <w:color w:val="000000"/>
          <w:sz w:val="32"/>
          <w:szCs w:val="32"/>
          <w:lang w:val="en-US" w:eastAsia="zh-CN"/>
        </w:rPr>
        <w:t>（八）指导全县文化、体育、旅游市场发展，对全县文化、体育、旅游市场依法进行行业监管，推进文化、体育、旅游行业信用体系建设，依法规范文化、体育、旅游市场。统筹全县文化、文物、体育、旅游市场综合行政执法，组织查处全县性、跨区域文化、文物、体育、旅游等市场的违法行为，督察督办大案要案，维护市场秩序。</w:t>
      </w:r>
      <w:bookmarkEnd w:id="29"/>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1"/>
        <w:rPr>
          <w:rFonts w:hint="eastAsia" w:ascii="仿宋" w:hAnsi="仿宋" w:eastAsia="仿宋"/>
          <w:color w:val="000000"/>
          <w:sz w:val="32"/>
          <w:szCs w:val="32"/>
          <w:lang w:val="en-US" w:eastAsia="zh-CN"/>
        </w:rPr>
      </w:pPr>
      <w:bookmarkStart w:id="30" w:name="_Toc13672"/>
      <w:r>
        <w:rPr>
          <w:rFonts w:hint="eastAsia" w:ascii="仿宋" w:hAnsi="仿宋" w:eastAsia="仿宋"/>
          <w:color w:val="000000"/>
          <w:sz w:val="32"/>
          <w:szCs w:val="32"/>
          <w:lang w:val="en-US" w:eastAsia="zh-CN"/>
        </w:rPr>
        <w:t>（九）负责管理、组织文化、体育和旅游对外及对港澳台交流合作与宣传推广工作，组织实施全县文化、体育和旅游资源的普查、保护与利用，管理全县性重大文化、体育和旅游活动，组织全县重点文化、体育和旅游设施建设，组织实施全县文化、体育和旅游整</w:t>
      </w:r>
      <w:bookmarkStart w:id="123" w:name="_GoBack"/>
      <w:bookmarkEnd w:id="123"/>
      <w:r>
        <w:rPr>
          <w:rFonts w:hint="eastAsia" w:ascii="仿宋" w:hAnsi="仿宋" w:eastAsia="仿宋"/>
          <w:color w:val="000000"/>
          <w:sz w:val="32"/>
          <w:szCs w:val="32"/>
          <w:lang w:val="en-US" w:eastAsia="zh-CN"/>
        </w:rPr>
        <w:t>体形象推广，促进文化、体育、旅游产业市场推广和对外合作交流，制定文化体育和旅游市场开发战略并组织实施，推进全域旅游。强化文化、体育和旅游要素配置，统筹整合形成文化、体育和旅游发展新优势，着力打造具有地方民族特色的文化、体育和旅游品牌，推进文化、体育和旅游融合发展，巩固旅游业的战略性支柱产业地位，推动旅游业向主导产业发展，提升壤塘文化软实力，建设文化强县，努力开创文化、体育和旅游工作新局面。</w:t>
      </w:r>
      <w:bookmarkEnd w:id="30"/>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1"/>
        <w:rPr>
          <w:rFonts w:hint="eastAsia" w:ascii="仿宋" w:hAnsi="仿宋" w:eastAsia="仿宋"/>
          <w:color w:val="000000"/>
          <w:sz w:val="32"/>
          <w:szCs w:val="32"/>
          <w:lang w:val="en-US" w:eastAsia="zh-CN"/>
        </w:rPr>
      </w:pPr>
      <w:bookmarkStart w:id="31" w:name="_Toc17296"/>
      <w:r>
        <w:rPr>
          <w:rFonts w:hint="eastAsia" w:ascii="仿宋" w:hAnsi="仿宋" w:eastAsia="仿宋"/>
          <w:color w:val="000000"/>
          <w:sz w:val="32"/>
          <w:szCs w:val="32"/>
          <w:lang w:val="en-US" w:eastAsia="zh-CN"/>
        </w:rPr>
        <w:t>（十）负责文化、体育和旅游系统及市场安全生产工作的综合协调与监督管理，依法履行行业职业健康监管职责，承担职责范围内生态环境保护、审批服务便民化等工作，承担文化、体育、旅游行业意识形态工作，负责机关节能。</w:t>
      </w:r>
      <w:bookmarkEnd w:id="31"/>
    </w:p>
    <w:p>
      <w:pPr>
        <w:ind w:firstLine="800" w:firstLineChars="250"/>
        <w:rPr>
          <w:rFonts w:hint="eastAsia" w:ascii="仿宋" w:hAnsi="仿宋" w:eastAsia="仿宋"/>
          <w:color w:val="000000"/>
          <w:sz w:val="32"/>
          <w:szCs w:val="32"/>
          <w:lang w:val="en-US" w:eastAsia="zh-CN"/>
        </w:rPr>
      </w:pPr>
      <w:r>
        <w:rPr>
          <w:rFonts w:hint="eastAsia" w:ascii="仿宋" w:hAnsi="仿宋" w:eastAsia="仿宋"/>
          <w:color w:val="000000"/>
          <w:sz w:val="32"/>
          <w:szCs w:val="32"/>
          <w:lang w:val="en-US" w:eastAsia="zh-CN"/>
        </w:rPr>
        <w:t>（十一）完成上级交办的其他任务。</w:t>
      </w:r>
    </w:p>
    <w:p>
      <w:pPr>
        <w:pStyle w:val="2"/>
        <w:adjustRightInd w:val="0"/>
        <w:snapToGrid w:val="0"/>
        <w:spacing w:before="93" w:line="600" w:lineRule="exact"/>
        <w:ind w:firstLine="675" w:firstLineChars="210"/>
        <w:outlineLvl w:val="2"/>
        <w:rPr>
          <w:rFonts w:hint="eastAsia" w:ascii="仿宋" w:hAnsi="仿宋" w:eastAsia="仿宋"/>
          <w:bCs/>
          <w:color w:val="000000"/>
          <w:sz w:val="32"/>
          <w:szCs w:val="32"/>
        </w:rPr>
      </w:pPr>
      <w:bookmarkStart w:id="32" w:name="_Toc79163854"/>
      <w:bookmarkStart w:id="33" w:name="_Toc15377199"/>
      <w:bookmarkStart w:id="34" w:name="_Toc79163604"/>
      <w:bookmarkStart w:id="35" w:name="_Toc15378446"/>
      <w:r>
        <w:rPr>
          <w:rFonts w:hint="eastAsia" w:ascii="仿宋" w:hAnsi="仿宋" w:eastAsia="仿宋"/>
          <w:b/>
          <w:bCs w:val="0"/>
          <w:color w:val="000000"/>
          <w:sz w:val="32"/>
          <w:szCs w:val="32"/>
        </w:rPr>
        <w:t>（二）</w:t>
      </w:r>
      <w:r>
        <w:rPr>
          <w:rFonts w:ascii="仿宋" w:hAnsi="仿宋" w:eastAsia="仿宋"/>
          <w:b/>
          <w:bCs w:val="0"/>
          <w:color w:val="000000"/>
          <w:sz w:val="32"/>
          <w:szCs w:val="32"/>
        </w:rPr>
        <w:t>202</w:t>
      </w:r>
      <w:r>
        <w:rPr>
          <w:rFonts w:hint="eastAsia" w:ascii="仿宋" w:hAnsi="仿宋" w:eastAsia="仿宋"/>
          <w:b/>
          <w:bCs w:val="0"/>
          <w:color w:val="000000"/>
          <w:sz w:val="32"/>
          <w:szCs w:val="32"/>
        </w:rPr>
        <w:t>1年重点工作完成情况</w:t>
      </w:r>
      <w:r>
        <w:rPr>
          <w:rFonts w:hint="eastAsia" w:ascii="仿宋" w:hAnsi="仿宋" w:eastAsia="仿宋"/>
          <w:bCs/>
          <w:color w:val="000000"/>
          <w:sz w:val="32"/>
          <w:szCs w:val="32"/>
        </w:rPr>
        <w:t>。</w:t>
      </w:r>
      <w:bookmarkEnd w:id="32"/>
      <w:bookmarkEnd w:id="33"/>
      <w:bookmarkEnd w:id="34"/>
      <w:bookmarkEnd w:id="35"/>
    </w:p>
    <w:p>
      <w:pPr>
        <w:ind w:firstLine="800" w:firstLineChars="250"/>
        <w:rPr>
          <w:rFonts w:ascii="仿宋_GB2312" w:hAnsi="仿宋_GB2312" w:eastAsia="仿宋_GB2312" w:cs="仿宋_GB2312"/>
          <w:b w:val="0"/>
          <w:bCs w:val="0"/>
          <w:i w:val="0"/>
          <w:iCs w:val="0"/>
          <w:color w:val="auto"/>
          <w:kern w:val="2"/>
          <w:sz w:val="32"/>
          <w:szCs w:val="32"/>
          <w:highlight w:val="none"/>
          <w:shd w:val="clear" w:color="auto" w:fill="FFFFFF"/>
          <w:vertAlign w:val="baseline"/>
          <w:lang w:val="en-US" w:eastAsia="zh-CN"/>
        </w:rPr>
      </w:pPr>
      <w:r>
        <w:rPr>
          <w:rFonts w:ascii="仿宋_GB2312" w:hAnsi="仿宋_GB2312" w:eastAsia="仿宋_GB2312" w:cs="仿宋_GB2312"/>
          <w:b w:val="0"/>
          <w:bCs w:val="0"/>
          <w:i w:val="0"/>
          <w:iCs w:val="0"/>
          <w:color w:val="auto"/>
          <w:kern w:val="2"/>
          <w:sz w:val="32"/>
          <w:szCs w:val="32"/>
          <w:highlight w:val="none"/>
          <w:shd w:val="clear" w:color="auto" w:fill="FFFFFF"/>
          <w:vertAlign w:val="baseline"/>
          <w:lang w:val="en-US" w:eastAsia="zh-CN"/>
        </w:rPr>
        <w:t>（一）加强基层党建，落实党风廉政。一是贯彻落实2022年党史学习要求，利用职工大会、局务会、党组会等方式组织全局干部职工开展了政策教育、红色历史解读以及党建学习，结合当前国家形式，讲解我国大政方针，进一步激发全局干部职工的爱国、爱党热情，并结合党的二十大精神，引领全局干部职工深入开展学习活动，加强党建学习，提高政治意识；持续巩固“不忘初心、牢记使命”主题教育和“党史”学习教育成果；截至目前，开展党史教育学习10余次。二是认真履行“一岗双责”，组织全体党员干部及非党干部职工开展组织生活会，开诚布公，一针见血，不顾忌、不回避、不绕弯。三是坚持集体领导的原则,凡是涉及重要事项均召开支部委员会集体研究讨论决定。四是抓好党费收缴工作，有力的保证了党费收缴的及时性和严肃性。五是加强对党员干部的思想政治工作，开展谈心活动3次等。六是落实党带群团工作，加强团的组织建设、思想建设、作风建设和制度建设。七是全面落实从严治党，坚决履行党风廉政建设主体责任，与各班子成员、股室长签订了《党风廉政责任书》等，认真落实“党政同责、一岗双责”及“中央八项”等相关规定。八是强化廉政问责，督促班子成员及干部职工加强教育、管控、提醒，防范廉政风险。九是认真深刻学习领会《廉政准则》，“八荣八耻”内容，贯彻执行《中国共产党纪律处分条例》、《中国共产党党内监督条例（试行）》。十是切实加强对党风廉政建设和反腐倡廉工作的组织领导，及时研究党风廉政建设和反腐倡廉工作，并将党风廉政建设纳入县文化体育和旅游局管理总体工作之中，依靠干部群众支持和积极参与的反腐领导体制和工作机制，形成反腐倡廉整体合力。十一是为贯彻落实学习党的二十大精神，将党的二十大精神贯彻到文体旅工作之中，组织干部职工加强党的二十大精神学习，撰写了学习党的二十大心得体会。</w:t>
      </w:r>
    </w:p>
    <w:p>
      <w:pPr>
        <w:bidi w:val="0"/>
        <w:spacing w:line="560" w:lineRule="exact"/>
        <w:ind w:firstLine="600"/>
        <w:jc w:val="both"/>
        <w:rPr>
          <w:rFonts w:ascii="仿宋_GB2312" w:hAnsi="仿宋_GB2312" w:eastAsia="仿宋_GB2312" w:cs="仿宋_GB2312"/>
          <w:b w:val="0"/>
          <w:bCs w:val="0"/>
          <w:i w:val="0"/>
          <w:iCs w:val="0"/>
          <w:color w:val="auto"/>
          <w:kern w:val="2"/>
          <w:sz w:val="32"/>
          <w:szCs w:val="32"/>
          <w:highlight w:val="none"/>
          <w:shd w:val="clear" w:color="auto" w:fill="FFFFFF"/>
          <w:vertAlign w:val="baseline"/>
          <w:lang w:val="en-US" w:eastAsia="zh-CN"/>
        </w:rPr>
      </w:pPr>
      <w:r>
        <w:rPr>
          <w:rFonts w:ascii="仿宋_GB2312" w:hAnsi="仿宋_GB2312" w:eastAsia="仿宋_GB2312" w:cs="仿宋_GB2312"/>
          <w:b w:val="0"/>
          <w:bCs w:val="0"/>
          <w:i w:val="0"/>
          <w:iCs w:val="0"/>
          <w:color w:val="auto"/>
          <w:kern w:val="2"/>
          <w:sz w:val="32"/>
          <w:szCs w:val="32"/>
          <w:highlight w:val="none"/>
          <w:shd w:val="clear" w:color="auto" w:fill="FFFFFF"/>
          <w:vertAlign w:val="baseline"/>
          <w:lang w:val="en-US" w:eastAsia="zh-CN"/>
        </w:rPr>
        <w:t>（二）突出文旅特色，抓出工作成效。2022年以来，我局大力实施文旅深度融合发展，激发市场活力，提升服务功能，促进文旅工作持续向好发展。成功创建3A级旅游景区2个。分别为</w:t>
      </w:r>
      <w:r>
        <w:rPr>
          <w:rFonts w:hint="default" w:ascii="仿宋_GB2312" w:hAnsi="仿宋_GB2312" w:eastAsia="仿宋_GB2312" w:cs="仿宋_GB2312"/>
          <w:b w:val="0"/>
          <w:bCs w:val="0"/>
          <w:i w:val="0"/>
          <w:iCs w:val="0"/>
          <w:color w:val="auto"/>
          <w:kern w:val="2"/>
          <w:sz w:val="32"/>
          <w:szCs w:val="32"/>
          <w:highlight w:val="none"/>
          <w:shd w:val="clear" w:color="auto" w:fill="FFFFFF"/>
          <w:vertAlign w:val="baseline"/>
          <w:lang w:val="en-US" w:eastAsia="zh-CN"/>
        </w:rPr>
        <w:t>壤塘县日斯满巴碉房旅游景区、森工记忆博物馆旅游景区。</w:t>
      </w:r>
      <w:r>
        <w:rPr>
          <w:rFonts w:ascii="仿宋_GB2312" w:hAnsi="仿宋_GB2312" w:eastAsia="仿宋_GB2312" w:cs="仿宋_GB2312"/>
          <w:b w:val="0"/>
          <w:bCs w:val="0"/>
          <w:i w:val="0"/>
          <w:iCs w:val="0"/>
          <w:color w:val="auto"/>
          <w:kern w:val="2"/>
          <w:sz w:val="32"/>
          <w:szCs w:val="32"/>
          <w:highlight w:val="none"/>
          <w:shd w:val="clear" w:color="auto" w:fill="FFFFFF"/>
          <w:vertAlign w:val="baseline"/>
          <w:lang w:val="en-US" w:eastAsia="zh-CN"/>
        </w:rPr>
        <w:t>同时，为真正做到旅游发展与社会经济相结合，成功将</w:t>
      </w:r>
      <w:r>
        <w:rPr>
          <w:rFonts w:hint="default" w:ascii="仿宋_GB2312" w:hAnsi="仿宋_GB2312" w:eastAsia="仿宋_GB2312" w:cs="仿宋_GB2312"/>
          <w:b w:val="0"/>
          <w:bCs w:val="0"/>
          <w:i w:val="0"/>
          <w:iCs w:val="0"/>
          <w:color w:val="auto"/>
          <w:kern w:val="2"/>
          <w:sz w:val="32"/>
          <w:szCs w:val="32"/>
          <w:highlight w:val="none"/>
          <w:shd w:val="clear" w:color="auto" w:fill="FFFFFF"/>
          <w:vertAlign w:val="baseline"/>
          <w:lang w:val="en-US" w:eastAsia="zh-CN"/>
        </w:rPr>
        <w:t>茸木达村、加斯满村申报为第二批阿坝州特色文化和旅游名村，将壤巴拉非遗创业园申报为四川省“金熊猫”先进集体。</w:t>
      </w:r>
    </w:p>
    <w:p>
      <w:pPr>
        <w:adjustRightInd/>
        <w:snapToGrid/>
        <w:spacing w:line="560" w:lineRule="exact"/>
        <w:ind w:firstLine="640" w:firstLineChars="200"/>
        <w:jc w:val="both"/>
        <w:rPr>
          <w:rFonts w:ascii="仿宋_GB2312" w:hAnsi="仿宋_GB2312" w:eastAsia="仿宋_GB2312" w:cs="仿宋_GB2312"/>
          <w:b w:val="0"/>
          <w:bCs w:val="0"/>
          <w:i w:val="0"/>
          <w:iCs w:val="0"/>
          <w:color w:val="auto"/>
          <w:kern w:val="2"/>
          <w:sz w:val="32"/>
          <w:szCs w:val="32"/>
          <w:highlight w:val="none"/>
          <w:shd w:val="clear" w:color="auto" w:fill="FFFFFF"/>
          <w:vertAlign w:val="baseline"/>
          <w:lang w:val="en-US" w:eastAsia="zh-CN"/>
        </w:rPr>
      </w:pPr>
      <w:r>
        <w:rPr>
          <w:rFonts w:ascii="仿宋_GB2312" w:hAnsi="仿宋_GB2312" w:eastAsia="仿宋_GB2312" w:cs="仿宋_GB2312"/>
          <w:b w:val="0"/>
          <w:bCs w:val="0"/>
          <w:i w:val="0"/>
          <w:iCs w:val="0"/>
          <w:color w:val="auto"/>
          <w:kern w:val="2"/>
          <w:sz w:val="32"/>
          <w:szCs w:val="32"/>
          <w:highlight w:val="none"/>
          <w:shd w:val="clear" w:color="auto" w:fill="FFFFFF"/>
          <w:vertAlign w:val="baseline"/>
          <w:lang w:val="en-US" w:eastAsia="zh-CN"/>
        </w:rPr>
        <w:t>（三）</w:t>
      </w:r>
      <w:r>
        <w:rPr>
          <w:rFonts w:hint="default" w:ascii="仿宋_GB2312" w:hAnsi="仿宋_GB2312" w:eastAsia="仿宋_GB2312" w:cs="仿宋_GB2312"/>
          <w:b w:val="0"/>
          <w:bCs w:val="0"/>
          <w:i w:val="0"/>
          <w:iCs w:val="0"/>
          <w:color w:val="auto"/>
          <w:kern w:val="2"/>
          <w:sz w:val="32"/>
          <w:szCs w:val="32"/>
          <w:highlight w:val="none"/>
          <w:shd w:val="clear" w:color="auto" w:fill="FFFFFF"/>
          <w:vertAlign w:val="baseline"/>
          <w:lang w:val="en-US" w:eastAsia="zh-CN"/>
        </w:rPr>
        <w:t>优化市场环境，提升服务能级</w:t>
      </w:r>
      <w:r>
        <w:rPr>
          <w:rFonts w:ascii="仿宋_GB2312" w:hAnsi="仿宋_GB2312" w:eastAsia="仿宋_GB2312" w:cs="仿宋_GB2312"/>
          <w:b w:val="0"/>
          <w:bCs w:val="0"/>
          <w:i w:val="0"/>
          <w:iCs w:val="0"/>
          <w:color w:val="auto"/>
          <w:kern w:val="2"/>
          <w:sz w:val="32"/>
          <w:szCs w:val="32"/>
          <w:highlight w:val="none"/>
          <w:shd w:val="clear" w:color="auto" w:fill="FFFFFF"/>
          <w:vertAlign w:val="baseline"/>
          <w:lang w:val="en-US" w:eastAsia="zh-CN"/>
        </w:rPr>
        <w:t>。</w:t>
      </w:r>
      <w:r>
        <w:rPr>
          <w:rFonts w:hint="default" w:ascii="仿宋_GB2312" w:hAnsi="仿宋_GB2312" w:eastAsia="仿宋_GB2312" w:cs="仿宋_GB2312"/>
          <w:b w:val="0"/>
          <w:bCs w:val="0"/>
          <w:i w:val="0"/>
          <w:iCs w:val="0"/>
          <w:color w:val="auto"/>
          <w:kern w:val="2"/>
          <w:sz w:val="32"/>
          <w:szCs w:val="32"/>
          <w:highlight w:val="none"/>
          <w:shd w:val="clear" w:color="auto" w:fill="FFFFFF"/>
          <w:vertAlign w:val="baseline"/>
          <w:lang w:val="en-US" w:eastAsia="zh-CN"/>
        </w:rPr>
        <w:t>一是拓展队伍，强化学习，开展各类学法普法工作，重点学习《中华人民共和国行政处罚法》、《娱乐场所管理办法》、《互联网上网服务营业场所管理条列》等法律法规。二是扎实开展各类专项执法行动，开展日常综合执法检查190次，出动检查人员450余人次，利用各主题教育日活动开展宣传活动6次，发放各类宣传手册600余份，收缴盗版光碟、非法出版物110余份。三是针对我局领域内安全隐患风险点巡查排查与扫黑除恶、扫黄打非、疫情防控、安全生产、禁毒、等工作相结合，加大对本县文旅市场的监督力度。四是在疫情及二十大召开期间持续开展专项执法检查工作，对县域内7家打字复印店的规模、经营范围、印刷设备和印刷能力、遵守法律等方面进行摸底调查，做到“知底”。</w:t>
      </w:r>
    </w:p>
    <w:p>
      <w:pPr>
        <w:adjustRightInd/>
        <w:snapToGrid/>
        <w:spacing w:line="560" w:lineRule="exact"/>
        <w:ind w:left="0" w:leftChars="0" w:firstLine="640" w:firstLineChars="200"/>
        <w:jc w:val="both"/>
        <w:rPr>
          <w:rFonts w:ascii="仿宋_GB2312" w:hAnsi="仿宋_GB2312" w:eastAsia="仿宋_GB2312" w:cs="仿宋_GB2312"/>
          <w:b w:val="0"/>
          <w:bCs w:val="0"/>
          <w:i w:val="0"/>
          <w:iCs w:val="0"/>
          <w:color w:val="auto"/>
          <w:kern w:val="2"/>
          <w:sz w:val="32"/>
          <w:szCs w:val="32"/>
          <w:highlight w:val="none"/>
          <w:shd w:val="clear" w:color="auto" w:fill="FFFFFF"/>
          <w:vertAlign w:val="baseline"/>
          <w:lang w:val="en-US" w:eastAsia="zh-CN"/>
        </w:rPr>
      </w:pPr>
      <w:r>
        <w:rPr>
          <w:rFonts w:ascii="仿宋_GB2312" w:hAnsi="仿宋_GB2312" w:eastAsia="仿宋_GB2312" w:cs="仿宋_GB2312"/>
          <w:b w:val="0"/>
          <w:bCs w:val="0"/>
          <w:i w:val="0"/>
          <w:iCs w:val="0"/>
          <w:color w:val="auto"/>
          <w:kern w:val="2"/>
          <w:sz w:val="32"/>
          <w:szCs w:val="32"/>
          <w:highlight w:val="none"/>
          <w:shd w:val="clear" w:color="auto" w:fill="FFFFFF"/>
          <w:vertAlign w:val="baseline"/>
          <w:lang w:val="en-US" w:eastAsia="zh-CN"/>
        </w:rPr>
        <w:t>（四）强化品牌建设，提升产业质量。</w:t>
      </w:r>
      <w:r>
        <w:rPr>
          <w:rFonts w:hint="default" w:ascii="仿宋_GB2312" w:hAnsi="仿宋_GB2312" w:eastAsia="仿宋_GB2312" w:cs="仿宋_GB2312"/>
          <w:b w:val="0"/>
          <w:bCs w:val="0"/>
          <w:i w:val="0"/>
          <w:iCs w:val="0"/>
          <w:color w:val="auto"/>
          <w:kern w:val="2"/>
          <w:sz w:val="32"/>
          <w:szCs w:val="32"/>
          <w:highlight w:val="none"/>
          <w:shd w:val="clear" w:color="auto" w:fill="FFFFFF"/>
          <w:vertAlign w:val="baseline"/>
          <w:lang w:val="en-US" w:eastAsia="zh-CN"/>
        </w:rPr>
        <w:t>坚持以高质量发展为目标，以文旅融合为主题，不断丰富文化旅游产品、完善旅游基础设施配套、提升旅游服务品质，全力推进全域旅游创建工作取得成效。截至目前，我县共接待旅游人次为53万人次；旅游收入为3.6亿元。在积极创建A级景区的同时。在全域旅游创建过程中召开县级工作调度会10余次，专班工作会10余次，接待州上督导组检查2次，并根据州督导组检查问题清单进行整改，完善国道317、国道227沿线及景区导视系统、全域旅游创建硬件、软件资料，包括各景区景点的宣传手册、宣传海报，全域全景图、志愿者岗亭、旅游行业人员培训、全域旅游创建氛围营造等；开通智慧旅游系统，在全县区域内开通76个摄像头，景区景点内设置开通27个无线WIFI。</w:t>
      </w:r>
    </w:p>
    <w:p>
      <w:pPr>
        <w:adjustRightInd/>
        <w:snapToGrid/>
        <w:spacing w:line="560" w:lineRule="exact"/>
        <w:ind w:left="0" w:leftChars="0" w:firstLine="640" w:firstLineChars="200"/>
        <w:jc w:val="both"/>
        <w:rPr>
          <w:rFonts w:ascii="仿宋_GB2312" w:hAnsi="仿宋_GB2312" w:eastAsia="仿宋_GB2312" w:cs="仿宋_GB2312"/>
          <w:b w:val="0"/>
          <w:bCs w:val="0"/>
          <w:i w:val="0"/>
          <w:iCs w:val="0"/>
          <w:color w:val="auto"/>
          <w:kern w:val="2"/>
          <w:sz w:val="32"/>
          <w:szCs w:val="32"/>
          <w:highlight w:val="none"/>
          <w:shd w:val="clear" w:color="auto" w:fill="FFFFFF"/>
          <w:vertAlign w:val="baseline"/>
          <w:lang w:val="en-US" w:eastAsia="zh-CN"/>
        </w:rPr>
      </w:pPr>
      <w:r>
        <w:rPr>
          <w:rFonts w:ascii="仿宋_GB2312" w:hAnsi="仿宋_GB2312" w:eastAsia="仿宋_GB2312" w:cs="仿宋_GB2312"/>
          <w:b w:val="0"/>
          <w:bCs w:val="0"/>
          <w:i w:val="0"/>
          <w:iCs w:val="0"/>
          <w:color w:val="auto"/>
          <w:kern w:val="2"/>
          <w:sz w:val="32"/>
          <w:szCs w:val="32"/>
          <w:highlight w:val="none"/>
          <w:shd w:val="clear" w:color="auto" w:fill="FFFFFF"/>
          <w:vertAlign w:val="baseline"/>
          <w:lang w:val="en-US" w:eastAsia="zh-CN"/>
        </w:rPr>
        <w:t>（五）突出项目带动，培育产业支撑。围绕文化旅游产业链，2022年</w:t>
      </w:r>
      <w:r>
        <w:rPr>
          <w:rFonts w:hint="default" w:ascii="仿宋_GB2312" w:hAnsi="仿宋_GB2312" w:eastAsia="仿宋_GB2312" w:cs="仿宋_GB2312"/>
          <w:b w:val="0"/>
          <w:bCs w:val="0"/>
          <w:i w:val="0"/>
          <w:iCs w:val="0"/>
          <w:color w:val="auto"/>
          <w:kern w:val="2"/>
          <w:sz w:val="32"/>
          <w:szCs w:val="32"/>
          <w:highlight w:val="none"/>
          <w:shd w:val="clear" w:color="auto" w:fill="FFFFFF"/>
          <w:vertAlign w:val="baseline"/>
          <w:lang w:val="en-US" w:eastAsia="zh-CN"/>
        </w:rPr>
        <w:t>新建项目1个，壤塘县上南天路瞭望台配套设施建设项目，正在开展前期准备工作，还未立项；积极推进“6ˑ10地震”受灾统计及灾后重建项目申报，目前正与县发改及上级文旅部门对接。</w:t>
      </w:r>
      <w:r>
        <w:rPr>
          <w:rFonts w:ascii="仿宋_GB2312" w:hAnsi="仿宋_GB2312" w:eastAsia="仿宋_GB2312" w:cs="仿宋_GB2312"/>
          <w:b w:val="0"/>
          <w:bCs w:val="0"/>
          <w:i w:val="0"/>
          <w:iCs w:val="0"/>
          <w:color w:val="auto"/>
          <w:kern w:val="2"/>
          <w:sz w:val="32"/>
          <w:szCs w:val="32"/>
          <w:highlight w:val="none"/>
          <w:shd w:val="clear" w:color="auto" w:fill="FFFFFF"/>
          <w:vertAlign w:val="baseline"/>
          <w:lang w:val="en-US" w:eastAsia="zh-CN"/>
        </w:rPr>
        <w:t>在建项目共2个，</w:t>
      </w:r>
      <w:r>
        <w:rPr>
          <w:rFonts w:hint="default" w:ascii="仿宋_GB2312" w:hAnsi="仿宋_GB2312" w:eastAsia="仿宋_GB2312" w:cs="仿宋_GB2312"/>
          <w:b w:val="0"/>
          <w:bCs w:val="0"/>
          <w:i w:val="0"/>
          <w:iCs w:val="0"/>
          <w:color w:val="auto"/>
          <w:kern w:val="2"/>
          <w:sz w:val="32"/>
          <w:szCs w:val="32"/>
          <w:highlight w:val="none"/>
          <w:shd w:val="clear" w:color="auto" w:fill="FFFFFF"/>
          <w:vertAlign w:val="baseline"/>
          <w:lang w:val="en-US" w:eastAsia="zh-CN"/>
        </w:rPr>
        <w:t>2022年壤塘县乡村振兴旅游产业发展吾伊乡克久驿站建设项目已完成驿站主体一、二楼钢结构已完工，抗化柱完成80%。资金拨付：276万元；2022年壤塘县文化旅游宣传推介项目正在挂网招标（绵阳援建壤塘十周年宣传片制作服务采购项目）。</w:t>
      </w:r>
    </w:p>
    <w:p>
      <w:pPr>
        <w:bidi w:val="0"/>
        <w:spacing w:line="560" w:lineRule="exact"/>
        <w:ind w:firstLine="600"/>
        <w:jc w:val="both"/>
        <w:rPr>
          <w:rFonts w:ascii="仿宋_GB2312" w:hAnsi="仿宋_GB2312" w:eastAsia="仿宋_GB2312" w:cs="仿宋_GB2312"/>
          <w:b w:val="0"/>
          <w:bCs w:val="0"/>
          <w:i w:val="0"/>
          <w:iCs w:val="0"/>
          <w:color w:val="auto"/>
          <w:kern w:val="2"/>
          <w:sz w:val="32"/>
          <w:szCs w:val="32"/>
          <w:highlight w:val="none"/>
          <w:shd w:val="clear" w:color="auto" w:fill="FFFFFF"/>
          <w:vertAlign w:val="baseline"/>
          <w:lang w:val="en-US" w:eastAsia="zh-CN"/>
        </w:rPr>
      </w:pPr>
      <w:r>
        <w:rPr>
          <w:rFonts w:ascii="仿宋_GB2312" w:hAnsi="仿宋_GB2312" w:eastAsia="仿宋_GB2312" w:cs="仿宋_GB2312"/>
          <w:b w:val="0"/>
          <w:bCs w:val="0"/>
          <w:i w:val="0"/>
          <w:iCs w:val="0"/>
          <w:color w:val="auto"/>
          <w:kern w:val="2"/>
          <w:sz w:val="32"/>
          <w:szCs w:val="32"/>
          <w:highlight w:val="none"/>
          <w:shd w:val="clear" w:color="auto" w:fill="FFFFFF"/>
          <w:vertAlign w:val="baseline"/>
          <w:lang w:val="en-US" w:eastAsia="zh-CN"/>
        </w:rPr>
        <w:t>（六）加强文物保护，科学利用资源。</w:t>
      </w:r>
      <w:r>
        <w:rPr>
          <w:rFonts w:hint="default" w:ascii="仿宋_GB2312" w:hAnsi="仿宋_GB2312" w:eastAsia="仿宋_GB2312" w:cs="仿宋_GB2312"/>
          <w:b w:val="0"/>
          <w:bCs w:val="0"/>
          <w:i w:val="0"/>
          <w:iCs w:val="0"/>
          <w:color w:val="auto"/>
          <w:kern w:val="2"/>
          <w:sz w:val="32"/>
          <w:szCs w:val="32"/>
          <w:highlight w:val="none"/>
          <w:shd w:val="clear" w:color="auto" w:fill="FFFFFF"/>
          <w:vertAlign w:val="baseline"/>
          <w:lang w:val="en-US" w:eastAsia="zh-CN"/>
        </w:rPr>
        <w:t>开展了长江流域文物资源调查工作，以及革命文物查托红军疗伤盐水池保护项目、日斯满巴碉房防雷工程</w:t>
      </w:r>
      <w:r>
        <w:rPr>
          <w:rFonts w:ascii="仿宋_GB2312" w:hAnsi="仿宋_GB2312" w:eastAsia="仿宋_GB2312" w:cs="仿宋_GB2312"/>
          <w:b w:val="0"/>
          <w:bCs w:val="0"/>
          <w:i w:val="0"/>
          <w:iCs w:val="0"/>
          <w:color w:val="auto"/>
          <w:kern w:val="2"/>
          <w:sz w:val="32"/>
          <w:szCs w:val="32"/>
          <w:highlight w:val="none"/>
          <w:shd w:val="clear" w:color="auto" w:fill="FFFFFF"/>
          <w:vertAlign w:val="baseline"/>
          <w:lang w:val="en-US" w:eastAsia="zh-CN"/>
        </w:rPr>
        <w:t>项目的维修保护工作，拟定了</w:t>
      </w:r>
      <w:r>
        <w:rPr>
          <w:rFonts w:hint="default" w:ascii="仿宋_GB2312" w:hAnsi="仿宋_GB2312" w:eastAsia="仿宋_GB2312" w:cs="仿宋_GB2312"/>
          <w:b w:val="0"/>
          <w:bCs w:val="0"/>
          <w:i w:val="0"/>
          <w:iCs w:val="0"/>
          <w:color w:val="auto"/>
          <w:kern w:val="2"/>
          <w:sz w:val="32"/>
          <w:szCs w:val="32"/>
          <w:highlight w:val="none"/>
          <w:shd w:val="clear" w:color="auto" w:fill="FFFFFF"/>
          <w:vertAlign w:val="baseline"/>
          <w:lang w:val="en-US" w:eastAsia="zh-CN"/>
        </w:rPr>
        <w:t>措尔机寺活佛住宅维修保护项目计划和棒托寺菩提塔修缮保护设计方案，</w:t>
      </w:r>
      <w:r>
        <w:rPr>
          <w:rFonts w:ascii="仿宋_GB2312" w:hAnsi="仿宋_GB2312" w:eastAsia="仿宋_GB2312" w:cs="仿宋_GB2312"/>
          <w:b w:val="0"/>
          <w:bCs w:val="0"/>
          <w:i w:val="0"/>
          <w:iCs w:val="0"/>
          <w:color w:val="auto"/>
          <w:kern w:val="2"/>
          <w:sz w:val="32"/>
          <w:szCs w:val="32"/>
          <w:highlight w:val="none"/>
          <w:shd w:val="clear" w:color="auto" w:fill="FFFFFF"/>
          <w:vertAlign w:val="baseline"/>
          <w:lang w:val="en-US" w:eastAsia="zh-CN"/>
        </w:rPr>
        <w:t>成功开展国际博物馆日和文化自然遗产日活动。积极推进壤塘县博物馆建设，展陈项目方案待审中。</w:t>
      </w:r>
      <w:r>
        <w:rPr>
          <w:rFonts w:hint="default" w:ascii="仿宋_GB2312" w:hAnsi="仿宋_GB2312" w:eastAsia="仿宋_GB2312" w:cs="仿宋_GB2312"/>
          <w:b w:val="0"/>
          <w:bCs w:val="0"/>
          <w:i w:val="0"/>
          <w:iCs w:val="0"/>
          <w:color w:val="auto"/>
          <w:kern w:val="2"/>
          <w:sz w:val="32"/>
          <w:szCs w:val="32"/>
          <w:highlight w:val="none"/>
          <w:shd w:val="clear" w:color="auto" w:fill="FFFFFF"/>
          <w:vertAlign w:val="baseline"/>
          <w:lang w:val="en-US" w:eastAsia="zh-CN"/>
        </w:rPr>
        <w:t>按照“保护为先、抢救第一、合理利用、加强管理”的文物保护工作方针积极开展各类文物检查，确保了壤塘县辖区内无文物安全事故及文物法人违法案件发生。</w:t>
      </w:r>
    </w:p>
    <w:p>
      <w:pPr>
        <w:bidi w:val="0"/>
        <w:spacing w:line="560" w:lineRule="exact"/>
        <w:ind w:firstLine="600"/>
        <w:jc w:val="both"/>
        <w:rPr>
          <w:rFonts w:ascii="仿宋_GB2312" w:hAnsi="仿宋_GB2312" w:eastAsia="仿宋_GB2312" w:cs="仿宋_GB2312"/>
          <w:b w:val="0"/>
          <w:bCs w:val="0"/>
          <w:i w:val="0"/>
          <w:iCs w:val="0"/>
          <w:color w:val="auto"/>
          <w:kern w:val="2"/>
          <w:sz w:val="32"/>
          <w:szCs w:val="32"/>
          <w:highlight w:val="none"/>
          <w:shd w:val="clear" w:color="auto" w:fill="FFFFFF"/>
          <w:vertAlign w:val="baseline"/>
          <w:lang w:val="en-US" w:eastAsia="zh-CN"/>
        </w:rPr>
      </w:pPr>
      <w:r>
        <w:rPr>
          <w:rFonts w:ascii="仿宋_GB2312" w:hAnsi="仿宋_GB2312" w:eastAsia="仿宋_GB2312" w:cs="仿宋_GB2312"/>
          <w:b w:val="0"/>
          <w:bCs w:val="0"/>
          <w:i w:val="0"/>
          <w:iCs w:val="0"/>
          <w:color w:val="auto"/>
          <w:kern w:val="2"/>
          <w:sz w:val="32"/>
          <w:szCs w:val="32"/>
          <w:highlight w:val="none"/>
          <w:shd w:val="clear" w:color="auto" w:fill="FFFFFF"/>
          <w:vertAlign w:val="baseline"/>
          <w:lang w:val="en-US" w:eastAsia="zh-CN"/>
        </w:rPr>
        <w:t>（七）完善公共服务，推进文体惠民。全力推进基层综合性文化服务中心建设，对全县基层综合性文化服务中心提档升级。积极推进文图两馆总分馆制建设，积极推进图书馆评估定级各项工作，</w:t>
      </w:r>
      <w:r>
        <w:rPr>
          <w:rFonts w:hint="default" w:ascii="仿宋_GB2312" w:hAnsi="仿宋_GB2312" w:eastAsia="仿宋_GB2312" w:cs="仿宋_GB2312"/>
          <w:b w:val="0"/>
          <w:bCs w:val="0"/>
          <w:i w:val="0"/>
          <w:iCs w:val="0"/>
          <w:color w:val="auto"/>
          <w:kern w:val="2"/>
          <w:sz w:val="32"/>
          <w:szCs w:val="32"/>
          <w:highlight w:val="none"/>
          <w:shd w:val="clear" w:color="auto" w:fill="FFFFFF"/>
          <w:vertAlign w:val="baseline"/>
          <w:lang w:val="en-US" w:eastAsia="zh-CN"/>
        </w:rPr>
        <w:t>深化全民阅读送书进校园，开展了“弘扬雷锋精神，推进全民阅读”志愿服务活动及社会主义核心价值观主题教育活动</w:t>
      </w:r>
      <w:r>
        <w:rPr>
          <w:rFonts w:ascii="仿宋_GB2312" w:hAnsi="仿宋_GB2312" w:eastAsia="仿宋_GB2312" w:cs="仿宋_GB2312"/>
          <w:b w:val="0"/>
          <w:bCs w:val="0"/>
          <w:i w:val="0"/>
          <w:iCs w:val="0"/>
          <w:color w:val="auto"/>
          <w:kern w:val="2"/>
          <w:sz w:val="32"/>
          <w:szCs w:val="32"/>
          <w:highlight w:val="none"/>
          <w:shd w:val="clear" w:color="auto" w:fill="FFFFFF"/>
          <w:vertAlign w:val="baseline"/>
          <w:lang w:val="en-US" w:eastAsia="zh-CN"/>
        </w:rPr>
        <w:t>。广泛开展了“送文化下乡”“送戏下乡”等多场文化惠民活动，成功举办“喜迎二十大 奋进壤巴拉”壤塘县2022年文化旅游节系列活动，积极参加各类文艺展演以及</w:t>
      </w:r>
      <w:r>
        <w:rPr>
          <w:rFonts w:hint="default" w:ascii="仿宋_GB2312" w:hAnsi="仿宋_GB2312" w:eastAsia="仿宋_GB2312" w:cs="仿宋_GB2312"/>
          <w:b w:val="0"/>
          <w:bCs w:val="0"/>
          <w:i w:val="0"/>
          <w:iCs w:val="0"/>
          <w:color w:val="auto"/>
          <w:kern w:val="2"/>
          <w:sz w:val="32"/>
          <w:szCs w:val="32"/>
          <w:highlight w:val="none"/>
          <w:shd w:val="clear" w:color="auto" w:fill="FFFFFF"/>
          <w:vertAlign w:val="baseline"/>
          <w:lang w:val="en-US" w:eastAsia="zh-CN"/>
        </w:rPr>
        <w:t>“净土阿坝 2022年阿坝州第三届群文新创文艺作品大赛”等活动</w:t>
      </w:r>
      <w:r>
        <w:rPr>
          <w:rFonts w:ascii="仿宋_GB2312" w:hAnsi="仿宋_GB2312" w:eastAsia="仿宋_GB2312" w:cs="仿宋_GB2312"/>
          <w:b w:val="0"/>
          <w:bCs w:val="0"/>
          <w:i w:val="0"/>
          <w:iCs w:val="0"/>
          <w:color w:val="auto"/>
          <w:kern w:val="2"/>
          <w:sz w:val="32"/>
          <w:szCs w:val="32"/>
          <w:highlight w:val="none"/>
          <w:shd w:val="clear" w:color="auto" w:fill="FFFFFF"/>
          <w:vertAlign w:val="baseline"/>
          <w:lang w:val="en-US" w:eastAsia="zh-CN"/>
        </w:rPr>
        <w:t>。不断提升我县文艺水平，</w:t>
      </w:r>
      <w:r>
        <w:rPr>
          <w:rFonts w:hint="default" w:ascii="仿宋_GB2312" w:hAnsi="仿宋_GB2312" w:eastAsia="仿宋_GB2312" w:cs="仿宋_GB2312"/>
          <w:b w:val="0"/>
          <w:bCs w:val="0"/>
          <w:i w:val="0"/>
          <w:iCs w:val="0"/>
          <w:color w:val="auto"/>
          <w:kern w:val="2"/>
          <w:sz w:val="32"/>
          <w:szCs w:val="32"/>
          <w:highlight w:val="none"/>
          <w:shd w:val="clear" w:color="auto" w:fill="FFFFFF"/>
          <w:vertAlign w:val="baseline"/>
          <w:lang w:val="en-US" w:eastAsia="zh-CN"/>
        </w:rPr>
        <w:t>完成歌曲《伊里瓦》的歌词初稿，赴黑水县拍摄完成了阿坝州九大品牌歌曲《大冰川》MV、完成歌曲《壤塘赞歌》歌词的初稿以及《红军在壤塘》情景剧剧本、音乐MIDI编曲录音、舞台编排和排练，同时《红军路过我的家乡》的作词编曲、《疫情防控小知识》藏语宣传歌曲的作曲、作词与录制同步完成。创作“一台戏、一首红歌”，完善红军长征三过壤塘重要节点、红色文化元素规划设计，将宗科红色文化村纳入2023年乡村振兴有效衔接项目。</w:t>
      </w:r>
    </w:p>
    <w:p>
      <w:pPr>
        <w:widowControl/>
        <w:snapToGrid/>
        <w:spacing w:line="560" w:lineRule="exact"/>
        <w:ind w:firstLine="640" w:firstLineChars="200"/>
        <w:jc w:val="both"/>
        <w:rPr>
          <w:rFonts w:ascii="仿宋_GB2312" w:hAnsi="仿宋_GB2312" w:eastAsia="仿宋_GB2312" w:cs="仿宋_GB2312"/>
          <w:b w:val="0"/>
          <w:bCs w:val="0"/>
          <w:i w:val="0"/>
          <w:iCs w:val="0"/>
          <w:color w:val="auto"/>
          <w:kern w:val="2"/>
          <w:sz w:val="32"/>
          <w:szCs w:val="32"/>
          <w:highlight w:val="none"/>
          <w:shd w:val="clear" w:color="auto" w:fill="FFFFFF"/>
          <w:vertAlign w:val="baseline"/>
          <w:lang w:val="en-US" w:eastAsia="zh-CN"/>
        </w:rPr>
      </w:pPr>
      <w:r>
        <w:rPr>
          <w:rFonts w:hint="default" w:ascii="仿宋_GB2312" w:hAnsi="仿宋_GB2312" w:eastAsia="仿宋_GB2312" w:cs="仿宋_GB2312"/>
          <w:b w:val="0"/>
          <w:bCs w:val="0"/>
          <w:i w:val="0"/>
          <w:iCs w:val="0"/>
          <w:color w:val="auto"/>
          <w:kern w:val="2"/>
          <w:sz w:val="32"/>
          <w:szCs w:val="32"/>
          <w:highlight w:val="none"/>
          <w:shd w:val="clear" w:color="auto" w:fill="FFFFFF"/>
          <w:vertAlign w:val="baseline"/>
          <w:lang w:val="en-US" w:eastAsia="zh-CN"/>
        </w:rPr>
        <w:t>（八）加强非遗保护，共推产业发展。依托富集的生态、非遗、民俗文化资源，通过多种途径不断探索“文化+扶贫”“文化+产业”“文化+治理”的发展路径。今年。开展全县藏香产品普查，收集整理7个传习所28项藏香产品信息，召开“壤巴拉”藏香系列产品分类及定标专题座谈会。并顺利完成了2022年壤塘县文化旅游节成都行的非遗产品展览、活态展览、非遗大讲堂。大力扶持传习所工坊扩建，在擦擦、宗科石刻、卓珍唐卡、色玛藏茶4个传习所开展产业工坊建设。成功申报第六批省级非遗代表性目录7项、壤塘县第五批非遗传承人90人、9项州级社科联课题。持续加强与州中职校“校地合作”，持续推进传习所评星定级，完成了2021年度国家、省、州级非遗传承人活动评估工作，其中国家1人、省级7人、州级14人。通过康巴卫视拍摄壤巴拉非遗系列、向巴访谈节目藏区青年女画师、阿坝州非遗村寨、阿坝州“给非遗安个家”的系列视频等宣传壤巴拉非遗文化。通过输出学员到浙江温州学习观摩、非遗传承人等到各学院开展讲座、参加非遗大展等形式对外学习交流，展现壤塘非遗魅力。</w:t>
      </w:r>
    </w:p>
    <w:p>
      <w:pPr>
        <w:pStyle w:val="2"/>
        <w:rPr>
          <w:rFonts w:hint="eastAsia"/>
          <w:lang w:eastAsia="zh-CN"/>
        </w:rPr>
      </w:pPr>
      <w:r>
        <w:rPr>
          <w:rFonts w:hint="default" w:ascii="仿宋_GB2312" w:hAnsi="仿宋_GB2312" w:eastAsia="仿宋_GB2312" w:cs="仿宋_GB2312"/>
          <w:b w:val="0"/>
          <w:bCs w:val="0"/>
          <w:i w:val="0"/>
          <w:iCs w:val="0"/>
          <w:color w:val="auto"/>
          <w:kern w:val="2"/>
          <w:sz w:val="32"/>
          <w:szCs w:val="32"/>
          <w:highlight w:val="none"/>
          <w:shd w:val="clear" w:color="auto" w:fill="FFFFFF"/>
          <w:vertAlign w:val="baseline"/>
          <w:lang w:val="en-US" w:eastAsia="zh-CN"/>
        </w:rPr>
        <w:t>（九）狠抓意识形态，强化舆情管理。实行一把手负总责，班子成员各负其责，定期分析研判意识形态领域情况。狠抓学习，将意识形态工作纳入党课学习的重要内容，及时传达学习党中央和上级党委关于意识形态工作的决策部署及指示精神。牢牢掌控网络意识形态主导权，亲自抓网络意识形态安全，及时公开“三重一大”相关信息，按照舆情应急预案积极并及时做好重要节点和敏感时期的舆论监管。</w:t>
      </w:r>
    </w:p>
    <w:p>
      <w:pPr>
        <w:pStyle w:val="5"/>
        <w:rPr>
          <w:rStyle w:val="33"/>
          <w:b w:val="0"/>
          <w:bCs w:val="0"/>
          <w:color w:val="auto"/>
          <w:highlight w:val="none"/>
        </w:rPr>
      </w:pPr>
      <w:bookmarkStart w:id="36" w:name="_Toc15377200"/>
      <w:bookmarkStart w:id="37" w:name="_Toc15396601"/>
      <w:bookmarkStart w:id="38" w:name="_Toc20578"/>
      <w:r>
        <w:rPr>
          <w:rFonts w:hint="eastAsia" w:ascii="黑体" w:eastAsia="黑体"/>
          <w:b w:val="0"/>
          <w:color w:val="auto"/>
          <w:highlight w:val="none"/>
        </w:rPr>
        <w:t>二、</w:t>
      </w:r>
      <w:r>
        <w:rPr>
          <w:rFonts w:hint="eastAsia" w:ascii="黑体" w:hAnsi="黑体" w:eastAsia="黑体"/>
          <w:b w:val="0"/>
          <w:color w:val="auto"/>
          <w:highlight w:val="none"/>
        </w:rPr>
        <w:t>机</w:t>
      </w:r>
      <w:r>
        <w:rPr>
          <w:rStyle w:val="33"/>
          <w:rFonts w:hint="eastAsia" w:ascii="黑体" w:hAnsi="黑体" w:eastAsia="黑体"/>
          <w:b w:val="0"/>
          <w:bCs w:val="0"/>
          <w:color w:val="auto"/>
          <w:highlight w:val="none"/>
        </w:rPr>
        <w:t>构设置</w:t>
      </w:r>
      <w:bookmarkEnd w:id="36"/>
      <w:bookmarkEnd w:id="37"/>
      <w:bookmarkEnd w:id="38"/>
    </w:p>
    <w:p>
      <w:pPr>
        <w:ind w:firstLine="800" w:firstLineChars="25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lang w:eastAsia="zh-CN"/>
          <w14:textFill>
            <w14:solidFill>
              <w14:schemeClr w14:val="tx1"/>
            </w14:solidFill>
          </w14:textFill>
        </w:rPr>
        <w:t>壤塘县文化体育和旅游局</w:t>
      </w:r>
      <w:r>
        <w:rPr>
          <w:rFonts w:hint="eastAsia" w:ascii="仿宋" w:hAnsi="仿宋" w:eastAsia="仿宋"/>
          <w:color w:val="000000" w:themeColor="text1"/>
          <w:sz w:val="32"/>
          <w:szCs w:val="32"/>
          <w14:textFill>
            <w14:solidFill>
              <w14:schemeClr w14:val="tx1"/>
            </w14:solidFill>
          </w14:textFill>
        </w:rPr>
        <w:t>属一级预算单位，下属二级预算单位</w:t>
      </w:r>
      <w:r>
        <w:rPr>
          <w:rFonts w:hint="eastAsia" w:ascii="仿宋" w:hAnsi="仿宋" w:eastAsia="仿宋"/>
          <w:color w:val="000000" w:themeColor="text1"/>
          <w:sz w:val="32"/>
          <w:szCs w:val="32"/>
          <w:lang w:val="en-US" w:eastAsia="zh-CN"/>
          <w14:textFill>
            <w14:solidFill>
              <w14:schemeClr w14:val="tx1"/>
            </w14:solidFill>
          </w14:textFill>
        </w:rPr>
        <w:t>0</w:t>
      </w:r>
      <w:r>
        <w:rPr>
          <w:rFonts w:hint="eastAsia" w:ascii="仿宋" w:hAnsi="仿宋" w:eastAsia="仿宋"/>
          <w:color w:val="000000" w:themeColor="text1"/>
          <w:sz w:val="32"/>
          <w:szCs w:val="32"/>
          <w14:textFill>
            <w14:solidFill>
              <w14:schemeClr w14:val="tx1"/>
            </w14:solidFill>
          </w14:textFill>
        </w:rPr>
        <w:t>个，其中：行政单位</w:t>
      </w:r>
      <w:r>
        <w:rPr>
          <w:rFonts w:hint="eastAsia" w:ascii="仿宋" w:hAnsi="仿宋" w:eastAsia="仿宋"/>
          <w:color w:val="000000" w:themeColor="text1"/>
          <w:sz w:val="32"/>
          <w:szCs w:val="32"/>
          <w:lang w:val="en-US" w:eastAsia="zh-CN"/>
          <w14:textFill>
            <w14:solidFill>
              <w14:schemeClr w14:val="tx1"/>
            </w14:solidFill>
          </w14:textFill>
        </w:rPr>
        <w:t>0</w:t>
      </w:r>
      <w:r>
        <w:rPr>
          <w:rFonts w:hint="eastAsia" w:ascii="仿宋" w:hAnsi="仿宋" w:eastAsia="仿宋"/>
          <w:color w:val="000000" w:themeColor="text1"/>
          <w:sz w:val="32"/>
          <w:szCs w:val="32"/>
          <w14:textFill>
            <w14:solidFill>
              <w14:schemeClr w14:val="tx1"/>
            </w14:solidFill>
          </w14:textFill>
        </w:rPr>
        <w:t>个；参照公务员法管理的事业单位</w:t>
      </w:r>
      <w:r>
        <w:rPr>
          <w:rFonts w:hint="eastAsia" w:ascii="仿宋" w:hAnsi="仿宋" w:eastAsia="仿宋"/>
          <w:color w:val="000000" w:themeColor="text1"/>
          <w:sz w:val="32"/>
          <w:szCs w:val="32"/>
          <w:lang w:val="en-US" w:eastAsia="zh-CN"/>
          <w14:textFill>
            <w14:solidFill>
              <w14:schemeClr w14:val="tx1"/>
            </w14:solidFill>
          </w14:textFill>
        </w:rPr>
        <w:t>1</w:t>
      </w:r>
      <w:r>
        <w:rPr>
          <w:rFonts w:hint="eastAsia" w:ascii="仿宋" w:hAnsi="仿宋" w:eastAsia="仿宋"/>
          <w:color w:val="000000" w:themeColor="text1"/>
          <w:sz w:val="32"/>
          <w:szCs w:val="32"/>
          <w14:textFill>
            <w14:solidFill>
              <w14:schemeClr w14:val="tx1"/>
            </w14:solidFill>
          </w14:textFill>
        </w:rPr>
        <w:t>个</w:t>
      </w:r>
      <w:r>
        <w:rPr>
          <w:rFonts w:hint="eastAsia" w:ascii="仿宋" w:hAnsi="仿宋" w:eastAsia="仿宋"/>
          <w:color w:val="000000" w:themeColor="text1"/>
          <w:sz w:val="32"/>
          <w:szCs w:val="32"/>
          <w:lang w:eastAsia="zh-CN"/>
          <w14:textFill>
            <w14:solidFill>
              <w14:schemeClr w14:val="tx1"/>
            </w14:solidFill>
          </w14:textFill>
        </w:rPr>
        <w:t>：</w:t>
      </w:r>
      <w:r>
        <w:rPr>
          <w:rFonts w:hint="eastAsia" w:ascii="仿宋" w:hAnsi="仿宋" w:eastAsia="仿宋"/>
          <w:color w:val="000000" w:themeColor="text1"/>
          <w:sz w:val="32"/>
          <w:szCs w:val="32"/>
          <w:lang w:val="en-US" w:eastAsia="zh-CN"/>
          <w14:textFill>
            <w14:solidFill>
              <w14:schemeClr w14:val="tx1"/>
            </w14:solidFill>
          </w14:textFill>
        </w:rPr>
        <w:t>旅游资源开发中心</w:t>
      </w:r>
      <w:r>
        <w:rPr>
          <w:rFonts w:hint="eastAsia" w:ascii="仿宋" w:hAnsi="仿宋" w:eastAsia="仿宋"/>
          <w:color w:val="000000" w:themeColor="text1"/>
          <w:sz w:val="32"/>
          <w:szCs w:val="32"/>
          <w14:textFill>
            <w14:solidFill>
              <w14:schemeClr w14:val="tx1"/>
            </w14:solidFill>
          </w14:textFill>
        </w:rPr>
        <w:t>；其他事业单位</w:t>
      </w:r>
      <w:r>
        <w:rPr>
          <w:rFonts w:hint="eastAsia" w:ascii="仿宋" w:hAnsi="仿宋" w:eastAsia="仿宋"/>
          <w:color w:val="000000" w:themeColor="text1"/>
          <w:sz w:val="32"/>
          <w:szCs w:val="32"/>
          <w:lang w:val="en-US" w:eastAsia="zh-CN"/>
          <w14:textFill>
            <w14:solidFill>
              <w14:schemeClr w14:val="tx1"/>
            </w14:solidFill>
          </w14:textFill>
        </w:rPr>
        <w:t>4</w:t>
      </w:r>
      <w:r>
        <w:rPr>
          <w:rFonts w:hint="eastAsia" w:ascii="仿宋" w:hAnsi="仿宋" w:eastAsia="仿宋"/>
          <w:color w:val="000000" w:themeColor="text1"/>
          <w:sz w:val="32"/>
          <w:szCs w:val="32"/>
          <w14:textFill>
            <w14:solidFill>
              <w14:schemeClr w14:val="tx1"/>
            </w14:solidFill>
          </w14:textFill>
        </w:rPr>
        <w:t>个</w:t>
      </w:r>
      <w:r>
        <w:rPr>
          <w:rFonts w:hint="eastAsia" w:ascii="仿宋" w:hAnsi="仿宋" w:eastAsia="仿宋"/>
          <w:color w:val="000000" w:themeColor="text1"/>
          <w:sz w:val="32"/>
          <w:szCs w:val="32"/>
          <w:lang w:eastAsia="zh-CN"/>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分别是：</w:t>
      </w:r>
      <w:r>
        <w:rPr>
          <w:rFonts w:hint="eastAsia" w:ascii="仿宋" w:hAnsi="仿宋" w:eastAsia="仿宋"/>
          <w:color w:val="000000" w:themeColor="text1"/>
          <w:sz w:val="32"/>
          <w:szCs w:val="32"/>
          <w:lang w:eastAsia="zh-CN"/>
          <w14:textFill>
            <w14:solidFill>
              <w14:schemeClr w14:val="tx1"/>
            </w14:solidFill>
          </w14:textFill>
        </w:rPr>
        <w:t>图书馆、文化馆、文管所、业余体校，</w:t>
      </w:r>
      <w:r>
        <w:rPr>
          <w:rFonts w:hint="eastAsia" w:ascii="仿宋" w:hAnsi="仿宋" w:eastAsia="仿宋"/>
          <w:color w:val="000000" w:themeColor="text1"/>
          <w:sz w:val="32"/>
          <w:szCs w:val="32"/>
          <w:lang w:val="en-US" w:eastAsia="zh-CN"/>
          <w14:textFill>
            <w14:solidFill>
              <w14:schemeClr w14:val="tx1"/>
            </w14:solidFill>
          </w14:textFill>
        </w:rPr>
        <w:t>以及1个公益一类正科级事业机构：</w:t>
      </w:r>
      <w:r>
        <w:rPr>
          <w:rFonts w:hint="eastAsia" w:ascii="仿宋" w:hAnsi="仿宋" w:eastAsia="仿宋"/>
          <w:color w:val="000000" w:themeColor="text1"/>
          <w:sz w:val="32"/>
          <w:szCs w:val="32"/>
          <w:lang w:eastAsia="zh-CN"/>
          <w14:textFill>
            <w14:solidFill>
              <w14:schemeClr w14:val="tx1"/>
            </w14:solidFill>
          </w14:textFill>
        </w:rPr>
        <w:t>壤巴拉文化研究中心。</w:t>
      </w:r>
    </w:p>
    <w:p>
      <w:pPr>
        <w:widowControl/>
        <w:jc w:val="left"/>
        <w:rPr>
          <w:rFonts w:ascii="仿宋" w:hAnsi="仿宋" w:eastAsia="仿宋"/>
          <w:color w:val="auto"/>
          <w:kern w:val="0"/>
          <w:sz w:val="32"/>
          <w:szCs w:val="32"/>
          <w:highlight w:val="none"/>
        </w:rPr>
      </w:pPr>
      <w:r>
        <w:rPr>
          <w:rFonts w:ascii="仿宋" w:hAnsi="仿宋" w:eastAsia="仿宋"/>
          <w:color w:val="auto"/>
          <w:sz w:val="32"/>
          <w:szCs w:val="32"/>
          <w:highlight w:val="none"/>
        </w:rPr>
        <w:br w:type="page"/>
      </w:r>
    </w:p>
    <w:p>
      <w:pPr>
        <w:pStyle w:val="4"/>
        <w:ind w:right="440"/>
        <w:jc w:val="center"/>
        <w:rPr>
          <w:rStyle w:val="32"/>
          <w:rFonts w:ascii="黑体" w:hAnsi="黑体" w:eastAsia="黑体"/>
          <w:b w:val="0"/>
          <w:bCs/>
          <w:color w:val="auto"/>
          <w:highlight w:val="none"/>
        </w:rPr>
      </w:pPr>
      <w:bookmarkStart w:id="39" w:name="_Toc15377204"/>
      <w:bookmarkStart w:id="40" w:name="_Toc15396602"/>
      <w:bookmarkStart w:id="41" w:name="_Toc20667"/>
      <w:r>
        <w:rPr>
          <w:rFonts w:hint="eastAsia" w:ascii="黑体" w:hAnsi="黑体" w:eastAsia="黑体"/>
          <w:b w:val="0"/>
          <w:bCs/>
          <w:color w:val="auto"/>
          <w:highlight w:val="none"/>
        </w:rPr>
        <w:t xml:space="preserve">第二部分 </w:t>
      </w:r>
      <w:r>
        <w:rPr>
          <w:rFonts w:hint="eastAsia" w:ascii="黑体" w:hAnsi="黑体" w:eastAsia="黑体"/>
          <w:b w:val="0"/>
          <w:bCs/>
          <w:color w:val="auto"/>
          <w:highlight w:val="none"/>
          <w:lang w:val="en-US" w:eastAsia="zh-CN"/>
        </w:rPr>
        <w:t>2022年度</w:t>
      </w:r>
      <w:r>
        <w:rPr>
          <w:rStyle w:val="32"/>
          <w:rFonts w:hint="eastAsia" w:ascii="黑体" w:hAnsi="黑体" w:eastAsia="黑体"/>
          <w:b w:val="0"/>
          <w:bCs/>
          <w:color w:val="auto"/>
          <w:highlight w:val="none"/>
        </w:rPr>
        <w:t>部门决算情况说明</w:t>
      </w:r>
      <w:bookmarkEnd w:id="39"/>
      <w:bookmarkEnd w:id="40"/>
      <w:bookmarkEnd w:id="41"/>
    </w:p>
    <w:p>
      <w:pPr>
        <w:rPr>
          <w:color w:val="auto"/>
          <w:highlight w:val="none"/>
        </w:rPr>
      </w:pPr>
    </w:p>
    <w:p>
      <w:pPr>
        <w:pStyle w:val="31"/>
        <w:numPr>
          <w:ilvl w:val="0"/>
          <w:numId w:val="2"/>
        </w:numPr>
        <w:spacing w:line="600" w:lineRule="exact"/>
        <w:ind w:firstLineChars="0"/>
        <w:outlineLvl w:val="1"/>
        <w:rPr>
          <w:rStyle w:val="33"/>
          <w:rFonts w:ascii="黑体" w:hAnsi="黑体" w:eastAsia="黑体"/>
          <w:b w:val="0"/>
          <w:color w:val="auto"/>
          <w:highlight w:val="none"/>
        </w:rPr>
      </w:pPr>
      <w:bookmarkStart w:id="42" w:name="_Toc15377205"/>
      <w:bookmarkStart w:id="43" w:name="_Toc15396603"/>
      <w:bookmarkStart w:id="44" w:name="_Toc13622"/>
      <w:r>
        <w:rPr>
          <w:rFonts w:hint="eastAsia" w:ascii="黑体" w:hAnsi="黑体" w:eastAsia="黑体"/>
          <w:color w:val="auto"/>
          <w:sz w:val="32"/>
          <w:szCs w:val="32"/>
          <w:highlight w:val="none"/>
        </w:rPr>
        <w:t>收</w:t>
      </w:r>
      <w:r>
        <w:rPr>
          <w:rStyle w:val="33"/>
          <w:rFonts w:hint="eastAsia" w:ascii="黑体" w:hAnsi="黑体" w:eastAsia="黑体"/>
          <w:b w:val="0"/>
          <w:color w:val="auto"/>
          <w:highlight w:val="none"/>
        </w:rPr>
        <w:t>入支出决算总体情况说明</w:t>
      </w:r>
      <w:bookmarkEnd w:id="42"/>
      <w:bookmarkEnd w:id="43"/>
      <w:bookmarkEnd w:id="44"/>
    </w:p>
    <w:p>
      <w:pPr>
        <w:spacing w:line="600" w:lineRule="exact"/>
        <w:ind w:firstLine="640" w:firstLineChars="200"/>
        <w:rPr>
          <w:rFonts w:hint="eastAsia" w:ascii="仿宋" w:hAnsi="仿宋" w:eastAsia="仿宋"/>
          <w:color w:val="auto"/>
          <w:sz w:val="32"/>
          <w:szCs w:val="32"/>
          <w:highlight w:val="none"/>
          <w:lang w:eastAsia="zh-CN"/>
        </w:rPr>
      </w:pPr>
      <w:r>
        <w:rPr>
          <w:rFonts w:hint="eastAsia" w:ascii="仿宋" w:hAnsi="仿宋" w:eastAsia="仿宋"/>
          <w:color w:val="auto"/>
          <w:sz w:val="32"/>
          <w:szCs w:val="32"/>
          <w:highlight w:val="none"/>
        </w:rPr>
        <w:t>20</w:t>
      </w:r>
      <w:r>
        <w:rPr>
          <w:rFonts w:hint="eastAsia" w:ascii="仿宋" w:hAnsi="仿宋" w:eastAsia="仿宋"/>
          <w:color w:val="auto"/>
          <w:sz w:val="32"/>
          <w:szCs w:val="32"/>
          <w:highlight w:val="none"/>
          <w:lang w:val="en-US" w:eastAsia="zh-CN"/>
        </w:rPr>
        <w:t>22</w:t>
      </w:r>
      <w:r>
        <w:rPr>
          <w:rFonts w:hint="eastAsia" w:ascii="仿宋" w:hAnsi="仿宋" w:eastAsia="仿宋"/>
          <w:color w:val="auto"/>
          <w:sz w:val="32"/>
          <w:szCs w:val="32"/>
          <w:highlight w:val="none"/>
        </w:rPr>
        <w:t>年度收</w:t>
      </w:r>
      <w:r>
        <w:rPr>
          <w:rFonts w:hint="eastAsia" w:ascii="仿宋" w:hAnsi="仿宋" w:eastAsia="仿宋"/>
          <w:color w:val="auto"/>
          <w:sz w:val="32"/>
          <w:szCs w:val="32"/>
          <w:highlight w:val="none"/>
          <w:lang w:val="en-US" w:eastAsia="zh-CN"/>
        </w:rPr>
        <w:t>入</w:t>
      </w:r>
      <w:r>
        <w:rPr>
          <w:rFonts w:hint="eastAsia" w:ascii="仿宋" w:hAnsi="仿宋" w:eastAsia="仿宋"/>
          <w:color w:val="auto"/>
          <w:sz w:val="32"/>
          <w:szCs w:val="32"/>
          <w:highlight w:val="none"/>
        </w:rPr>
        <w:t>总计</w:t>
      </w:r>
      <w:r>
        <w:rPr>
          <w:rFonts w:hint="eastAsia" w:ascii="仿宋" w:hAnsi="仿宋" w:eastAsia="仿宋"/>
          <w:color w:val="auto"/>
          <w:sz w:val="32"/>
          <w:szCs w:val="32"/>
          <w:highlight w:val="none"/>
          <w:lang w:val="en-US" w:eastAsia="zh-CN"/>
        </w:rPr>
        <w:t>3444.75</w:t>
      </w:r>
      <w:r>
        <w:rPr>
          <w:rFonts w:hint="eastAsia" w:ascii="仿宋" w:hAnsi="仿宋" w:eastAsia="仿宋"/>
          <w:color w:val="auto"/>
          <w:sz w:val="32"/>
          <w:szCs w:val="32"/>
          <w:highlight w:val="none"/>
        </w:rPr>
        <w:t>万元。与20</w:t>
      </w:r>
      <w:r>
        <w:rPr>
          <w:rFonts w:hint="eastAsia" w:ascii="仿宋" w:hAnsi="仿宋" w:eastAsia="仿宋"/>
          <w:color w:val="auto"/>
          <w:sz w:val="32"/>
          <w:szCs w:val="32"/>
          <w:highlight w:val="none"/>
          <w:lang w:val="en-US" w:eastAsia="zh-CN"/>
        </w:rPr>
        <w:t>21</w:t>
      </w:r>
      <w:r>
        <w:rPr>
          <w:rFonts w:hint="eastAsia" w:ascii="仿宋" w:hAnsi="仿宋" w:eastAsia="仿宋"/>
          <w:color w:val="auto"/>
          <w:sz w:val="32"/>
          <w:szCs w:val="32"/>
          <w:highlight w:val="none"/>
        </w:rPr>
        <w:t>年相比，收</w:t>
      </w:r>
      <w:r>
        <w:rPr>
          <w:rFonts w:hint="eastAsia" w:ascii="仿宋" w:hAnsi="仿宋" w:eastAsia="仿宋"/>
          <w:color w:val="auto"/>
          <w:sz w:val="32"/>
          <w:szCs w:val="32"/>
          <w:highlight w:val="none"/>
          <w:lang w:val="en-US" w:eastAsia="zh-CN"/>
        </w:rPr>
        <w:t>入</w:t>
      </w:r>
      <w:r>
        <w:rPr>
          <w:rFonts w:hint="eastAsia" w:ascii="仿宋" w:hAnsi="仿宋" w:eastAsia="仿宋"/>
          <w:color w:val="auto"/>
          <w:sz w:val="32"/>
          <w:szCs w:val="32"/>
          <w:highlight w:val="none"/>
        </w:rPr>
        <w:t>总计增加</w:t>
      </w:r>
      <w:r>
        <w:rPr>
          <w:rFonts w:hint="eastAsia" w:ascii="仿宋" w:hAnsi="仿宋" w:eastAsia="仿宋"/>
          <w:color w:val="auto"/>
          <w:sz w:val="32"/>
          <w:szCs w:val="32"/>
          <w:highlight w:val="none"/>
          <w:lang w:val="en-US" w:eastAsia="zh-CN"/>
        </w:rPr>
        <w:t>1223.18</w:t>
      </w:r>
      <w:r>
        <w:rPr>
          <w:rFonts w:hint="eastAsia" w:ascii="仿宋" w:hAnsi="仿宋" w:eastAsia="仿宋"/>
          <w:color w:val="auto"/>
          <w:sz w:val="32"/>
          <w:szCs w:val="32"/>
          <w:highlight w:val="none"/>
        </w:rPr>
        <w:t>万元，增长</w:t>
      </w:r>
      <w:r>
        <w:rPr>
          <w:rFonts w:hint="eastAsia" w:ascii="仿宋" w:hAnsi="仿宋" w:eastAsia="仿宋"/>
          <w:color w:val="auto"/>
          <w:sz w:val="32"/>
          <w:szCs w:val="32"/>
          <w:highlight w:val="none"/>
          <w:lang w:val="en-US" w:eastAsia="zh-CN"/>
        </w:rPr>
        <w:t>55.06</w:t>
      </w:r>
      <w:r>
        <w:rPr>
          <w:rFonts w:ascii="仿宋" w:hAnsi="仿宋" w:eastAsia="仿宋"/>
          <w:color w:val="auto"/>
          <w:sz w:val="32"/>
          <w:szCs w:val="32"/>
          <w:highlight w:val="none"/>
        </w:rPr>
        <w:t>%</w:t>
      </w:r>
      <w:r>
        <w:rPr>
          <w:rFonts w:hint="eastAsia" w:ascii="仿宋" w:hAnsi="仿宋" w:eastAsia="仿宋"/>
          <w:color w:val="auto"/>
          <w:sz w:val="32"/>
          <w:szCs w:val="32"/>
          <w:highlight w:val="none"/>
        </w:rPr>
        <w:t>。主要</w:t>
      </w:r>
      <w:r>
        <w:rPr>
          <w:rFonts w:hint="eastAsia" w:ascii="仿宋" w:hAnsi="仿宋" w:eastAsia="仿宋"/>
          <w:color w:val="auto"/>
          <w:sz w:val="32"/>
          <w:szCs w:val="32"/>
          <w:highlight w:val="none"/>
          <w:lang w:eastAsia="zh-CN"/>
        </w:rPr>
        <w:t>变动原因</w:t>
      </w:r>
      <w:r>
        <w:rPr>
          <w:rFonts w:hint="eastAsia" w:ascii="仿宋" w:hAnsi="仿宋" w:eastAsia="仿宋"/>
          <w:color w:val="auto"/>
          <w:sz w:val="32"/>
          <w:szCs w:val="32"/>
          <w:highlight w:val="none"/>
          <w:lang w:val="en-US" w:eastAsia="zh-CN"/>
        </w:rPr>
        <w:t>当年项目增加，收入增加</w:t>
      </w:r>
      <w:r>
        <w:rPr>
          <w:rFonts w:hint="eastAsia" w:ascii="仿宋" w:hAnsi="仿宋" w:eastAsia="仿宋"/>
          <w:color w:val="auto"/>
          <w:sz w:val="32"/>
          <w:szCs w:val="32"/>
          <w:highlight w:val="none"/>
          <w:lang w:eastAsia="zh-CN"/>
        </w:rPr>
        <w:t>。</w:t>
      </w:r>
    </w:p>
    <w:p>
      <w:pPr>
        <w:pStyle w:val="2"/>
        <w:ind w:firstLine="640" w:firstLineChars="200"/>
        <w:rPr>
          <w:rFonts w:hint="eastAsia"/>
          <w:lang w:eastAsia="zh-CN"/>
        </w:rPr>
      </w:pPr>
      <w:r>
        <w:rPr>
          <w:rFonts w:hint="eastAsia" w:ascii="仿宋" w:hAnsi="仿宋" w:eastAsia="仿宋"/>
          <w:color w:val="auto"/>
          <w:sz w:val="32"/>
          <w:szCs w:val="32"/>
          <w:highlight w:val="none"/>
        </w:rPr>
        <w:t>20</w:t>
      </w:r>
      <w:r>
        <w:rPr>
          <w:rFonts w:hint="eastAsia" w:ascii="仿宋" w:hAnsi="仿宋" w:eastAsia="仿宋"/>
          <w:color w:val="auto"/>
          <w:sz w:val="32"/>
          <w:szCs w:val="32"/>
          <w:highlight w:val="none"/>
          <w:lang w:val="en-US" w:eastAsia="zh-CN"/>
        </w:rPr>
        <w:t>22</w:t>
      </w:r>
      <w:r>
        <w:rPr>
          <w:rFonts w:hint="eastAsia" w:ascii="仿宋" w:hAnsi="仿宋" w:eastAsia="仿宋"/>
          <w:color w:val="auto"/>
          <w:sz w:val="32"/>
          <w:szCs w:val="32"/>
          <w:highlight w:val="none"/>
        </w:rPr>
        <w:t>年度</w:t>
      </w:r>
      <w:r>
        <w:rPr>
          <w:rFonts w:hint="eastAsia" w:ascii="仿宋" w:hAnsi="仿宋" w:eastAsia="仿宋"/>
          <w:color w:val="auto"/>
          <w:sz w:val="32"/>
          <w:szCs w:val="32"/>
          <w:highlight w:val="none"/>
          <w:lang w:val="en-US" w:eastAsia="zh-CN"/>
        </w:rPr>
        <w:t>支出</w:t>
      </w:r>
      <w:r>
        <w:rPr>
          <w:rFonts w:hint="eastAsia" w:ascii="仿宋" w:hAnsi="仿宋" w:eastAsia="仿宋"/>
          <w:color w:val="auto"/>
          <w:sz w:val="32"/>
          <w:szCs w:val="32"/>
          <w:highlight w:val="none"/>
        </w:rPr>
        <w:t>总计</w:t>
      </w:r>
      <w:r>
        <w:rPr>
          <w:rFonts w:hint="eastAsia" w:ascii="仿宋" w:hAnsi="仿宋" w:eastAsia="仿宋"/>
          <w:color w:val="auto"/>
          <w:sz w:val="32"/>
          <w:szCs w:val="32"/>
          <w:highlight w:val="none"/>
          <w:lang w:val="en-US" w:eastAsia="zh-CN"/>
        </w:rPr>
        <w:t>5416.05</w:t>
      </w:r>
      <w:r>
        <w:rPr>
          <w:rFonts w:hint="eastAsia" w:ascii="仿宋" w:hAnsi="仿宋" w:eastAsia="仿宋"/>
          <w:color w:val="auto"/>
          <w:sz w:val="32"/>
          <w:szCs w:val="32"/>
          <w:highlight w:val="none"/>
        </w:rPr>
        <w:t>万元。与20</w:t>
      </w:r>
      <w:r>
        <w:rPr>
          <w:rFonts w:hint="eastAsia" w:ascii="仿宋" w:hAnsi="仿宋" w:eastAsia="仿宋"/>
          <w:color w:val="auto"/>
          <w:sz w:val="32"/>
          <w:szCs w:val="32"/>
          <w:highlight w:val="none"/>
          <w:lang w:val="en-US" w:eastAsia="zh-CN"/>
        </w:rPr>
        <w:t>21</w:t>
      </w:r>
      <w:r>
        <w:rPr>
          <w:rFonts w:hint="eastAsia" w:ascii="仿宋" w:hAnsi="仿宋" w:eastAsia="仿宋"/>
          <w:color w:val="auto"/>
          <w:sz w:val="32"/>
          <w:szCs w:val="32"/>
          <w:highlight w:val="none"/>
        </w:rPr>
        <w:t>年相比</w:t>
      </w:r>
      <w:r>
        <w:rPr>
          <w:rFonts w:hint="eastAsia" w:ascii="仿宋" w:hAnsi="仿宋" w:eastAsia="仿宋"/>
          <w:color w:val="auto"/>
          <w:sz w:val="32"/>
          <w:szCs w:val="32"/>
          <w:highlight w:val="none"/>
          <w:lang w:eastAsia="zh-CN"/>
        </w:rPr>
        <w:t>，</w:t>
      </w:r>
      <w:r>
        <w:rPr>
          <w:rFonts w:hint="eastAsia" w:ascii="仿宋" w:hAnsi="仿宋" w:eastAsia="仿宋"/>
          <w:color w:val="auto"/>
          <w:sz w:val="32"/>
          <w:szCs w:val="32"/>
          <w:highlight w:val="none"/>
          <w:lang w:val="en-US" w:eastAsia="zh-CN"/>
        </w:rPr>
        <w:t>支出</w:t>
      </w:r>
      <w:r>
        <w:rPr>
          <w:rFonts w:hint="eastAsia" w:ascii="仿宋" w:hAnsi="仿宋" w:eastAsia="仿宋"/>
          <w:color w:val="auto"/>
          <w:sz w:val="32"/>
          <w:szCs w:val="32"/>
          <w:highlight w:val="none"/>
        </w:rPr>
        <w:t>总计增加</w:t>
      </w:r>
      <w:r>
        <w:rPr>
          <w:rFonts w:hint="eastAsia" w:ascii="仿宋" w:hAnsi="仿宋" w:eastAsia="仿宋"/>
          <w:color w:val="auto"/>
          <w:sz w:val="32"/>
          <w:szCs w:val="32"/>
          <w:highlight w:val="none"/>
          <w:lang w:val="en-US" w:eastAsia="zh-CN"/>
        </w:rPr>
        <w:t>1128.28</w:t>
      </w:r>
      <w:r>
        <w:rPr>
          <w:rFonts w:hint="eastAsia" w:ascii="仿宋" w:hAnsi="仿宋" w:eastAsia="仿宋"/>
          <w:color w:val="auto"/>
          <w:sz w:val="32"/>
          <w:szCs w:val="32"/>
          <w:highlight w:val="none"/>
        </w:rPr>
        <w:t>万元，增长</w:t>
      </w:r>
      <w:r>
        <w:rPr>
          <w:rFonts w:hint="eastAsia" w:ascii="仿宋" w:hAnsi="仿宋" w:eastAsia="仿宋"/>
          <w:color w:val="auto"/>
          <w:sz w:val="32"/>
          <w:szCs w:val="32"/>
          <w:highlight w:val="none"/>
          <w:lang w:val="en-US" w:eastAsia="zh-CN"/>
        </w:rPr>
        <w:t>26.31</w:t>
      </w:r>
      <w:r>
        <w:rPr>
          <w:rFonts w:ascii="仿宋" w:hAnsi="仿宋" w:eastAsia="仿宋"/>
          <w:color w:val="auto"/>
          <w:sz w:val="32"/>
          <w:szCs w:val="32"/>
          <w:highlight w:val="none"/>
        </w:rPr>
        <w:t>%</w:t>
      </w:r>
      <w:r>
        <w:rPr>
          <w:rFonts w:hint="eastAsia" w:ascii="仿宋" w:hAnsi="仿宋" w:eastAsia="仿宋"/>
          <w:color w:val="auto"/>
          <w:sz w:val="32"/>
          <w:szCs w:val="32"/>
          <w:highlight w:val="none"/>
        </w:rPr>
        <w:t>。主要</w:t>
      </w:r>
      <w:r>
        <w:rPr>
          <w:rFonts w:hint="eastAsia" w:ascii="仿宋" w:hAnsi="仿宋" w:eastAsia="仿宋"/>
          <w:color w:val="auto"/>
          <w:sz w:val="32"/>
          <w:szCs w:val="32"/>
          <w:highlight w:val="none"/>
          <w:lang w:eastAsia="zh-CN"/>
        </w:rPr>
        <w:t>变动原因</w:t>
      </w:r>
      <w:r>
        <w:rPr>
          <w:rFonts w:hint="eastAsia" w:ascii="仿宋" w:hAnsi="仿宋" w:eastAsia="仿宋"/>
          <w:color w:val="auto"/>
          <w:sz w:val="32"/>
          <w:szCs w:val="32"/>
          <w:highlight w:val="none"/>
          <w:lang w:val="en-US" w:eastAsia="zh-CN"/>
        </w:rPr>
        <w:t>当年项目增加，收入增加</w:t>
      </w:r>
    </w:p>
    <w:p>
      <w:pPr>
        <w:spacing w:line="600" w:lineRule="exact"/>
        <w:ind w:firstLine="640" w:firstLineChars="200"/>
        <w:rPr>
          <w:rFonts w:ascii="仿宋" w:hAnsi="仿宋" w:eastAsia="仿宋"/>
          <w:color w:val="auto"/>
          <w:sz w:val="32"/>
          <w:szCs w:val="32"/>
          <w:highlight w:val="none"/>
        </w:rPr>
      </w:pPr>
      <w:r>
        <w:rPr>
          <w:rFonts w:hint="eastAsia" w:ascii="仿宋" w:hAnsi="仿宋" w:eastAsia="仿宋"/>
          <w:color w:val="auto"/>
          <w:sz w:val="32"/>
          <w:szCs w:val="32"/>
          <w:highlight w:val="none"/>
        </w:rPr>
        <w:t>（图</w:t>
      </w:r>
      <w:r>
        <w:rPr>
          <w:rFonts w:ascii="仿宋" w:hAnsi="仿宋" w:eastAsia="仿宋"/>
          <w:color w:val="auto"/>
          <w:sz w:val="32"/>
          <w:szCs w:val="32"/>
          <w:highlight w:val="none"/>
        </w:rPr>
        <w:t>1</w:t>
      </w:r>
      <w:r>
        <w:rPr>
          <w:rFonts w:hint="eastAsia" w:ascii="仿宋" w:hAnsi="仿宋" w:eastAsia="仿宋"/>
          <w:color w:val="auto"/>
          <w:sz w:val="32"/>
          <w:szCs w:val="32"/>
          <w:highlight w:val="none"/>
        </w:rPr>
        <w:t>：收、支决算总计变动情况图）（柱状图）</w:t>
      </w:r>
    </w:p>
    <w:p>
      <w:pPr>
        <w:spacing w:line="600" w:lineRule="exact"/>
        <w:ind w:firstLine="640" w:firstLineChars="200"/>
        <w:jc w:val="left"/>
        <w:rPr>
          <w:rFonts w:ascii="仿宋_GB2312" w:eastAsia="仿宋_GB2312"/>
          <w:color w:val="auto"/>
          <w:sz w:val="32"/>
          <w:szCs w:val="32"/>
          <w:highlight w:val="none"/>
        </w:rPr>
      </w:pPr>
    </w:p>
    <w:p>
      <w:pPr>
        <w:pStyle w:val="2"/>
        <w:rPr>
          <w:rFonts w:hint="eastAsia" w:eastAsia="仿宋_GB2312"/>
          <w:lang w:eastAsia="zh-CN"/>
        </w:rPr>
      </w:pPr>
      <w:r>
        <w:rPr>
          <w:rFonts w:hint="eastAsia" w:eastAsia="仿宋_GB2312"/>
          <w:lang w:eastAsia="zh-CN"/>
        </w:rPr>
        <w:drawing>
          <wp:inline distT="0" distB="0" distL="114300" distR="114300">
            <wp:extent cx="5256530" cy="2988310"/>
            <wp:effectExtent l="5080" t="4445" r="11430" b="9525"/>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pPr>
        <w:pStyle w:val="3"/>
        <w:ind w:left="0" w:leftChars="0" w:firstLine="0" w:firstLineChars="0"/>
        <w:jc w:val="left"/>
        <w:rPr>
          <w:rFonts w:hint="eastAsia"/>
          <w:lang w:eastAsia="zh-CN"/>
        </w:rPr>
      </w:pPr>
      <w:r>
        <w:rPr>
          <w:rFonts w:hint="eastAsia"/>
          <w:lang w:eastAsia="zh-CN"/>
        </w:rPr>
        <w:drawing>
          <wp:inline distT="0" distB="0" distL="114300" distR="114300">
            <wp:extent cx="5256530" cy="2988310"/>
            <wp:effectExtent l="5080" t="4445" r="11430" b="9525"/>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pPr>
        <w:pStyle w:val="31"/>
        <w:numPr>
          <w:ilvl w:val="0"/>
          <w:numId w:val="2"/>
        </w:numPr>
        <w:spacing w:line="600" w:lineRule="exact"/>
        <w:ind w:firstLineChars="0"/>
        <w:outlineLvl w:val="1"/>
        <w:rPr>
          <w:rStyle w:val="33"/>
          <w:rFonts w:ascii="黑体" w:hAnsi="黑体" w:eastAsia="黑体"/>
          <w:b w:val="0"/>
          <w:color w:val="auto"/>
          <w:highlight w:val="none"/>
        </w:rPr>
      </w:pPr>
      <w:bookmarkStart w:id="45" w:name="_Toc15377206"/>
      <w:bookmarkStart w:id="46" w:name="_Toc15396604"/>
      <w:bookmarkStart w:id="47" w:name="_Toc2400"/>
      <w:r>
        <w:rPr>
          <w:rFonts w:hint="eastAsia" w:ascii="黑体" w:hAnsi="黑体" w:eastAsia="黑体"/>
          <w:color w:val="auto"/>
          <w:sz w:val="32"/>
          <w:szCs w:val="32"/>
          <w:highlight w:val="none"/>
        </w:rPr>
        <w:t>收</w:t>
      </w:r>
      <w:r>
        <w:rPr>
          <w:rStyle w:val="33"/>
          <w:rFonts w:hint="eastAsia" w:ascii="黑体" w:hAnsi="黑体" w:eastAsia="黑体"/>
          <w:b w:val="0"/>
          <w:color w:val="auto"/>
          <w:highlight w:val="none"/>
        </w:rPr>
        <w:t>入决算情况说明</w:t>
      </w:r>
      <w:bookmarkEnd w:id="45"/>
      <w:bookmarkEnd w:id="46"/>
      <w:bookmarkEnd w:id="47"/>
    </w:p>
    <w:p>
      <w:pPr>
        <w:spacing w:line="600" w:lineRule="exact"/>
        <w:ind w:firstLine="640" w:firstLineChars="200"/>
        <w:outlineLvl w:val="1"/>
        <w:rPr>
          <w:rFonts w:ascii="仿宋" w:hAnsi="仿宋" w:eastAsia="仿宋"/>
          <w:color w:val="auto"/>
          <w:sz w:val="32"/>
          <w:szCs w:val="32"/>
          <w:highlight w:val="none"/>
        </w:rPr>
      </w:pPr>
      <w:bookmarkStart w:id="48" w:name="_Toc12671"/>
      <w:r>
        <w:rPr>
          <w:rFonts w:ascii="仿宋" w:hAnsi="仿宋" w:eastAsia="仿宋"/>
          <w:color w:val="auto"/>
          <w:sz w:val="32"/>
          <w:szCs w:val="32"/>
          <w:highlight w:val="none"/>
        </w:rPr>
        <w:t>20</w:t>
      </w:r>
      <w:r>
        <w:rPr>
          <w:rFonts w:hint="eastAsia" w:ascii="仿宋" w:hAnsi="仿宋" w:eastAsia="仿宋"/>
          <w:color w:val="auto"/>
          <w:sz w:val="32"/>
          <w:szCs w:val="32"/>
          <w:highlight w:val="none"/>
          <w:lang w:val="en-US" w:eastAsia="zh-CN"/>
        </w:rPr>
        <w:t>22</w:t>
      </w:r>
      <w:r>
        <w:rPr>
          <w:rFonts w:hint="eastAsia" w:ascii="仿宋" w:hAnsi="仿宋" w:eastAsia="仿宋"/>
          <w:color w:val="auto"/>
          <w:sz w:val="32"/>
          <w:szCs w:val="32"/>
          <w:highlight w:val="none"/>
        </w:rPr>
        <w:t>年本年收入合计</w:t>
      </w:r>
      <w:r>
        <w:rPr>
          <w:rFonts w:hint="eastAsia" w:ascii="仿宋" w:hAnsi="仿宋" w:eastAsia="仿宋"/>
          <w:color w:val="auto"/>
          <w:sz w:val="32"/>
          <w:szCs w:val="32"/>
          <w:highlight w:val="none"/>
          <w:lang w:val="en-US" w:eastAsia="zh-CN"/>
        </w:rPr>
        <w:t>3444.75</w:t>
      </w:r>
      <w:r>
        <w:rPr>
          <w:rFonts w:hint="eastAsia" w:ascii="仿宋" w:hAnsi="仿宋" w:eastAsia="仿宋"/>
          <w:color w:val="auto"/>
          <w:sz w:val="32"/>
          <w:szCs w:val="32"/>
          <w:highlight w:val="none"/>
        </w:rPr>
        <w:t>万元，其中：一般公共预算财政拨款收入</w:t>
      </w:r>
      <w:r>
        <w:rPr>
          <w:rFonts w:hint="eastAsia" w:ascii="仿宋" w:hAnsi="仿宋" w:eastAsia="仿宋"/>
          <w:color w:val="auto"/>
          <w:sz w:val="32"/>
          <w:szCs w:val="32"/>
          <w:highlight w:val="none"/>
          <w:lang w:val="en-US" w:eastAsia="zh-CN"/>
        </w:rPr>
        <w:t>3438.09</w:t>
      </w:r>
      <w:r>
        <w:rPr>
          <w:rFonts w:hint="eastAsia" w:ascii="仿宋" w:hAnsi="仿宋" w:eastAsia="仿宋"/>
          <w:color w:val="auto"/>
          <w:sz w:val="32"/>
          <w:szCs w:val="32"/>
          <w:highlight w:val="none"/>
        </w:rPr>
        <w:t>万元，占</w:t>
      </w:r>
      <w:r>
        <w:rPr>
          <w:rFonts w:hint="eastAsia" w:ascii="仿宋" w:hAnsi="仿宋" w:eastAsia="仿宋"/>
          <w:color w:val="auto"/>
          <w:sz w:val="32"/>
          <w:szCs w:val="32"/>
          <w:highlight w:val="none"/>
          <w:lang w:val="en-US" w:eastAsia="zh-CN"/>
        </w:rPr>
        <w:t>99.83</w:t>
      </w:r>
      <w:r>
        <w:rPr>
          <w:rFonts w:ascii="仿宋" w:hAnsi="仿宋" w:eastAsia="仿宋"/>
          <w:color w:val="auto"/>
          <w:sz w:val="32"/>
          <w:szCs w:val="32"/>
          <w:highlight w:val="none"/>
        </w:rPr>
        <w:t>%</w:t>
      </w:r>
      <w:r>
        <w:rPr>
          <w:rFonts w:hint="eastAsia" w:ascii="仿宋" w:hAnsi="仿宋" w:eastAsia="仿宋"/>
          <w:color w:val="auto"/>
          <w:sz w:val="32"/>
          <w:szCs w:val="32"/>
          <w:highlight w:val="none"/>
        </w:rPr>
        <w:t>；政府性基金预算财政拨款收入</w:t>
      </w:r>
      <w:r>
        <w:rPr>
          <w:rFonts w:hint="eastAsia" w:ascii="仿宋" w:hAnsi="仿宋" w:eastAsia="仿宋"/>
          <w:color w:val="auto"/>
          <w:sz w:val="32"/>
          <w:szCs w:val="32"/>
          <w:highlight w:val="none"/>
          <w:lang w:val="en-US" w:eastAsia="zh-CN"/>
        </w:rPr>
        <w:t>6.66</w:t>
      </w:r>
      <w:r>
        <w:rPr>
          <w:rFonts w:hint="eastAsia" w:ascii="仿宋" w:hAnsi="仿宋" w:eastAsia="仿宋"/>
          <w:color w:val="auto"/>
          <w:sz w:val="32"/>
          <w:szCs w:val="32"/>
          <w:highlight w:val="none"/>
        </w:rPr>
        <w:t>万元，占</w:t>
      </w:r>
      <w:r>
        <w:rPr>
          <w:rFonts w:hint="eastAsia" w:ascii="仿宋" w:hAnsi="仿宋" w:eastAsia="仿宋"/>
          <w:color w:val="auto"/>
          <w:sz w:val="32"/>
          <w:szCs w:val="32"/>
          <w:highlight w:val="none"/>
          <w:lang w:val="en-US" w:eastAsia="zh-CN"/>
        </w:rPr>
        <w:t>0.17</w:t>
      </w:r>
      <w:r>
        <w:rPr>
          <w:rFonts w:ascii="仿宋" w:hAnsi="仿宋" w:eastAsia="仿宋"/>
          <w:color w:val="auto"/>
          <w:sz w:val="32"/>
          <w:szCs w:val="32"/>
          <w:highlight w:val="none"/>
        </w:rPr>
        <w:t>%</w:t>
      </w:r>
      <w:r>
        <w:rPr>
          <w:rFonts w:hint="eastAsia" w:ascii="仿宋" w:hAnsi="仿宋" w:eastAsia="仿宋"/>
          <w:color w:val="auto"/>
          <w:sz w:val="32"/>
          <w:szCs w:val="32"/>
          <w:highlight w:val="none"/>
        </w:rPr>
        <w:t>；</w:t>
      </w:r>
      <w:r>
        <w:rPr>
          <w:rFonts w:hint="eastAsia" w:ascii="仿宋" w:hAnsi="仿宋" w:eastAsia="仿宋"/>
          <w:color w:val="auto"/>
          <w:sz w:val="32"/>
          <w:szCs w:val="32"/>
          <w:highlight w:val="none"/>
          <w:lang w:eastAsia="zh-CN"/>
        </w:rPr>
        <w:t>国有资本经营预算财政拨款收入</w:t>
      </w:r>
      <w:r>
        <w:rPr>
          <w:rFonts w:hint="eastAsia" w:ascii="仿宋" w:hAnsi="仿宋" w:eastAsia="仿宋"/>
          <w:color w:val="auto"/>
          <w:sz w:val="32"/>
          <w:szCs w:val="32"/>
          <w:highlight w:val="none"/>
          <w:lang w:val="en-US" w:eastAsia="zh-CN"/>
        </w:rPr>
        <w:t>0</w:t>
      </w:r>
      <w:r>
        <w:rPr>
          <w:rFonts w:hint="eastAsia" w:ascii="仿宋" w:hAnsi="仿宋" w:eastAsia="仿宋"/>
          <w:color w:val="auto"/>
          <w:sz w:val="32"/>
          <w:szCs w:val="32"/>
          <w:highlight w:val="none"/>
        </w:rPr>
        <w:t>万元，占</w:t>
      </w:r>
      <w:r>
        <w:rPr>
          <w:rFonts w:hint="eastAsia" w:ascii="仿宋" w:hAnsi="仿宋" w:eastAsia="仿宋"/>
          <w:color w:val="auto"/>
          <w:sz w:val="32"/>
          <w:szCs w:val="32"/>
          <w:highlight w:val="none"/>
          <w:lang w:val="en-US" w:eastAsia="zh-CN"/>
        </w:rPr>
        <w:t>0</w:t>
      </w:r>
      <w:r>
        <w:rPr>
          <w:rFonts w:ascii="仿宋" w:hAnsi="仿宋" w:eastAsia="仿宋"/>
          <w:color w:val="auto"/>
          <w:sz w:val="32"/>
          <w:szCs w:val="32"/>
          <w:highlight w:val="none"/>
        </w:rPr>
        <w:t>%</w:t>
      </w:r>
      <w:r>
        <w:rPr>
          <w:rFonts w:hint="eastAsia" w:ascii="仿宋" w:hAnsi="仿宋" w:eastAsia="仿宋"/>
          <w:color w:val="auto"/>
          <w:sz w:val="32"/>
          <w:szCs w:val="32"/>
          <w:highlight w:val="none"/>
        </w:rPr>
        <w:t>；上级补助收入</w:t>
      </w:r>
      <w:r>
        <w:rPr>
          <w:rFonts w:hint="eastAsia" w:ascii="仿宋" w:hAnsi="仿宋" w:eastAsia="仿宋"/>
          <w:color w:val="auto"/>
          <w:sz w:val="32"/>
          <w:szCs w:val="32"/>
          <w:highlight w:val="none"/>
          <w:lang w:val="en-US" w:eastAsia="zh-CN"/>
        </w:rPr>
        <w:t>0</w:t>
      </w:r>
      <w:r>
        <w:rPr>
          <w:rFonts w:hint="eastAsia" w:ascii="仿宋" w:hAnsi="仿宋" w:eastAsia="仿宋"/>
          <w:color w:val="auto"/>
          <w:sz w:val="32"/>
          <w:szCs w:val="32"/>
          <w:highlight w:val="none"/>
        </w:rPr>
        <w:t>万元，占</w:t>
      </w:r>
      <w:r>
        <w:rPr>
          <w:rFonts w:hint="eastAsia" w:ascii="仿宋" w:hAnsi="仿宋" w:eastAsia="仿宋"/>
          <w:color w:val="auto"/>
          <w:sz w:val="32"/>
          <w:szCs w:val="32"/>
          <w:highlight w:val="none"/>
          <w:lang w:val="en-US" w:eastAsia="zh-CN"/>
        </w:rPr>
        <w:t>0</w:t>
      </w:r>
      <w:r>
        <w:rPr>
          <w:rFonts w:ascii="仿宋" w:hAnsi="仿宋" w:eastAsia="仿宋"/>
          <w:color w:val="auto"/>
          <w:sz w:val="32"/>
          <w:szCs w:val="32"/>
          <w:highlight w:val="none"/>
        </w:rPr>
        <w:t>%</w:t>
      </w:r>
      <w:r>
        <w:rPr>
          <w:rFonts w:hint="eastAsia" w:ascii="仿宋" w:hAnsi="仿宋" w:eastAsia="仿宋"/>
          <w:color w:val="auto"/>
          <w:sz w:val="32"/>
          <w:szCs w:val="32"/>
          <w:highlight w:val="none"/>
        </w:rPr>
        <w:t>；事业收入</w:t>
      </w:r>
      <w:r>
        <w:rPr>
          <w:rFonts w:hint="eastAsia" w:ascii="仿宋" w:hAnsi="仿宋" w:eastAsia="仿宋"/>
          <w:color w:val="auto"/>
          <w:sz w:val="32"/>
          <w:szCs w:val="32"/>
          <w:highlight w:val="none"/>
          <w:lang w:val="en-US" w:eastAsia="zh-CN"/>
        </w:rPr>
        <w:t>0</w:t>
      </w:r>
      <w:r>
        <w:rPr>
          <w:rFonts w:hint="eastAsia" w:ascii="仿宋" w:hAnsi="仿宋" w:eastAsia="仿宋"/>
          <w:color w:val="auto"/>
          <w:sz w:val="32"/>
          <w:szCs w:val="32"/>
          <w:highlight w:val="none"/>
        </w:rPr>
        <w:t>万元，占</w:t>
      </w:r>
      <w:r>
        <w:rPr>
          <w:rFonts w:hint="eastAsia" w:ascii="仿宋" w:hAnsi="仿宋" w:eastAsia="仿宋"/>
          <w:color w:val="auto"/>
          <w:sz w:val="32"/>
          <w:szCs w:val="32"/>
          <w:highlight w:val="none"/>
          <w:lang w:val="en-US" w:eastAsia="zh-CN"/>
        </w:rPr>
        <w:t>0</w:t>
      </w:r>
      <w:r>
        <w:rPr>
          <w:rFonts w:ascii="仿宋" w:hAnsi="仿宋" w:eastAsia="仿宋"/>
          <w:color w:val="auto"/>
          <w:sz w:val="32"/>
          <w:szCs w:val="32"/>
          <w:highlight w:val="none"/>
        </w:rPr>
        <w:t>%</w:t>
      </w:r>
      <w:r>
        <w:rPr>
          <w:rFonts w:hint="eastAsia" w:ascii="仿宋" w:hAnsi="仿宋" w:eastAsia="仿宋"/>
          <w:color w:val="auto"/>
          <w:sz w:val="32"/>
          <w:szCs w:val="32"/>
          <w:highlight w:val="none"/>
        </w:rPr>
        <w:t>；经营收入</w:t>
      </w:r>
      <w:r>
        <w:rPr>
          <w:rFonts w:hint="eastAsia" w:ascii="仿宋" w:hAnsi="仿宋" w:eastAsia="仿宋"/>
          <w:color w:val="auto"/>
          <w:sz w:val="32"/>
          <w:szCs w:val="32"/>
          <w:highlight w:val="none"/>
          <w:lang w:val="en-US" w:eastAsia="zh-CN"/>
        </w:rPr>
        <w:t>0</w:t>
      </w:r>
      <w:r>
        <w:rPr>
          <w:rFonts w:hint="eastAsia" w:ascii="仿宋" w:hAnsi="仿宋" w:eastAsia="仿宋"/>
          <w:color w:val="auto"/>
          <w:sz w:val="32"/>
          <w:szCs w:val="32"/>
          <w:highlight w:val="none"/>
        </w:rPr>
        <w:t>万元，占</w:t>
      </w:r>
      <w:r>
        <w:rPr>
          <w:rFonts w:hint="eastAsia" w:ascii="仿宋" w:hAnsi="仿宋" w:eastAsia="仿宋"/>
          <w:color w:val="auto"/>
          <w:sz w:val="32"/>
          <w:szCs w:val="32"/>
          <w:highlight w:val="none"/>
          <w:lang w:val="en-US" w:eastAsia="zh-CN"/>
        </w:rPr>
        <w:t>0</w:t>
      </w:r>
      <w:r>
        <w:rPr>
          <w:rFonts w:ascii="仿宋" w:hAnsi="仿宋" w:eastAsia="仿宋"/>
          <w:color w:val="auto"/>
          <w:sz w:val="32"/>
          <w:szCs w:val="32"/>
          <w:highlight w:val="none"/>
        </w:rPr>
        <w:t>%</w:t>
      </w:r>
      <w:r>
        <w:rPr>
          <w:rFonts w:hint="eastAsia" w:ascii="仿宋" w:hAnsi="仿宋" w:eastAsia="仿宋"/>
          <w:color w:val="auto"/>
          <w:sz w:val="32"/>
          <w:szCs w:val="32"/>
          <w:highlight w:val="none"/>
        </w:rPr>
        <w:t>；附属单位上缴收入</w:t>
      </w:r>
      <w:r>
        <w:rPr>
          <w:rFonts w:hint="eastAsia" w:ascii="仿宋" w:hAnsi="仿宋" w:eastAsia="仿宋"/>
          <w:color w:val="auto"/>
          <w:sz w:val="32"/>
          <w:szCs w:val="32"/>
          <w:highlight w:val="none"/>
          <w:lang w:val="en-US" w:eastAsia="zh-CN"/>
        </w:rPr>
        <w:t>0</w:t>
      </w:r>
      <w:r>
        <w:rPr>
          <w:rFonts w:hint="eastAsia" w:ascii="仿宋" w:hAnsi="仿宋" w:eastAsia="仿宋"/>
          <w:color w:val="auto"/>
          <w:sz w:val="32"/>
          <w:szCs w:val="32"/>
          <w:highlight w:val="none"/>
        </w:rPr>
        <w:t>万元，占</w:t>
      </w:r>
      <w:r>
        <w:rPr>
          <w:rFonts w:hint="eastAsia" w:ascii="仿宋" w:hAnsi="仿宋" w:eastAsia="仿宋"/>
          <w:color w:val="auto"/>
          <w:sz w:val="32"/>
          <w:szCs w:val="32"/>
          <w:highlight w:val="none"/>
          <w:lang w:val="en-US" w:eastAsia="zh-CN"/>
        </w:rPr>
        <w:t>0</w:t>
      </w:r>
      <w:r>
        <w:rPr>
          <w:rFonts w:ascii="仿宋" w:hAnsi="仿宋" w:eastAsia="仿宋"/>
          <w:color w:val="auto"/>
          <w:sz w:val="32"/>
          <w:szCs w:val="32"/>
          <w:highlight w:val="none"/>
        </w:rPr>
        <w:t>%</w:t>
      </w:r>
      <w:r>
        <w:rPr>
          <w:rFonts w:hint="eastAsia" w:ascii="仿宋" w:hAnsi="仿宋" w:eastAsia="仿宋"/>
          <w:color w:val="auto"/>
          <w:sz w:val="32"/>
          <w:szCs w:val="32"/>
          <w:highlight w:val="none"/>
        </w:rPr>
        <w:t>；其他收入</w:t>
      </w:r>
      <w:r>
        <w:rPr>
          <w:rFonts w:hint="eastAsia" w:ascii="仿宋" w:hAnsi="仿宋" w:eastAsia="仿宋"/>
          <w:color w:val="auto"/>
          <w:sz w:val="32"/>
          <w:szCs w:val="32"/>
          <w:highlight w:val="none"/>
          <w:lang w:val="en-US" w:eastAsia="zh-CN"/>
        </w:rPr>
        <w:t>0</w:t>
      </w:r>
      <w:r>
        <w:rPr>
          <w:rFonts w:hint="eastAsia" w:ascii="仿宋" w:hAnsi="仿宋" w:eastAsia="仿宋"/>
          <w:color w:val="auto"/>
          <w:sz w:val="32"/>
          <w:szCs w:val="32"/>
          <w:highlight w:val="none"/>
        </w:rPr>
        <w:t>万元，占</w:t>
      </w:r>
      <w:r>
        <w:rPr>
          <w:rFonts w:hint="eastAsia" w:ascii="仿宋" w:hAnsi="仿宋" w:eastAsia="仿宋"/>
          <w:color w:val="auto"/>
          <w:sz w:val="32"/>
          <w:szCs w:val="32"/>
          <w:highlight w:val="none"/>
          <w:lang w:val="en-US" w:eastAsia="zh-CN"/>
        </w:rPr>
        <w:t>0</w:t>
      </w:r>
      <w:r>
        <w:rPr>
          <w:rFonts w:ascii="仿宋" w:hAnsi="仿宋" w:eastAsia="仿宋"/>
          <w:color w:val="auto"/>
          <w:sz w:val="32"/>
          <w:szCs w:val="32"/>
          <w:highlight w:val="none"/>
        </w:rPr>
        <w:t>%</w:t>
      </w:r>
      <w:r>
        <w:rPr>
          <w:rFonts w:hint="eastAsia" w:ascii="仿宋" w:hAnsi="仿宋" w:eastAsia="仿宋"/>
          <w:color w:val="auto"/>
          <w:sz w:val="32"/>
          <w:szCs w:val="32"/>
          <w:highlight w:val="none"/>
        </w:rPr>
        <w:t>。</w:t>
      </w:r>
      <w:bookmarkEnd w:id="48"/>
    </w:p>
    <w:p>
      <w:pPr>
        <w:spacing w:line="600" w:lineRule="exact"/>
        <w:ind w:firstLine="643" w:firstLineChars="200"/>
        <w:outlineLvl w:val="1"/>
        <w:rPr>
          <w:rFonts w:ascii="仿宋" w:hAnsi="仿宋" w:eastAsia="仿宋"/>
          <w:b/>
          <w:color w:val="auto"/>
          <w:sz w:val="32"/>
          <w:szCs w:val="32"/>
          <w:highlight w:val="none"/>
        </w:rPr>
      </w:pPr>
      <w:bookmarkStart w:id="49" w:name="_Toc3836"/>
      <w:r>
        <w:rPr>
          <w:rFonts w:hint="eastAsia" w:ascii="仿宋" w:hAnsi="仿宋" w:eastAsia="仿宋"/>
          <w:b/>
          <w:color w:val="auto"/>
          <w:sz w:val="32"/>
          <w:szCs w:val="32"/>
          <w:highlight w:val="none"/>
        </w:rPr>
        <w:t>（注：数据来源于财决</w:t>
      </w:r>
      <w:r>
        <w:rPr>
          <w:rFonts w:ascii="仿宋" w:hAnsi="仿宋" w:eastAsia="仿宋"/>
          <w:b/>
          <w:color w:val="auto"/>
          <w:sz w:val="32"/>
          <w:szCs w:val="32"/>
          <w:highlight w:val="none"/>
        </w:rPr>
        <w:t>01表</w:t>
      </w:r>
      <w:r>
        <w:rPr>
          <w:rFonts w:hint="eastAsia" w:ascii="仿宋" w:hAnsi="仿宋" w:eastAsia="仿宋"/>
          <w:b/>
          <w:color w:val="auto"/>
          <w:sz w:val="32"/>
          <w:szCs w:val="32"/>
          <w:highlight w:val="none"/>
          <w:lang w:eastAsia="zh-CN"/>
        </w:rPr>
        <w:t>，仅罗列本部门涉及的收入。</w:t>
      </w:r>
      <w:r>
        <w:rPr>
          <w:rFonts w:ascii="仿宋" w:hAnsi="仿宋" w:eastAsia="仿宋"/>
          <w:b/>
          <w:color w:val="auto"/>
          <w:sz w:val="32"/>
          <w:szCs w:val="32"/>
          <w:highlight w:val="none"/>
        </w:rPr>
        <w:t>）</w:t>
      </w:r>
      <w:bookmarkEnd w:id="49"/>
    </w:p>
    <w:p>
      <w:pPr>
        <w:spacing w:line="600" w:lineRule="exact"/>
        <w:ind w:firstLine="640" w:firstLineChars="200"/>
        <w:outlineLvl w:val="9"/>
        <w:rPr>
          <w:rFonts w:ascii="仿宋" w:hAnsi="仿宋" w:eastAsia="仿宋"/>
          <w:color w:val="auto"/>
          <w:sz w:val="32"/>
          <w:szCs w:val="32"/>
          <w:highlight w:val="none"/>
        </w:rPr>
      </w:pPr>
    </w:p>
    <w:p>
      <w:pPr>
        <w:pStyle w:val="2"/>
        <w:rPr>
          <w:rFonts w:hint="eastAsia" w:eastAsia="仿宋"/>
          <w:lang w:eastAsia="zh-CN"/>
        </w:rPr>
      </w:pPr>
      <w:r>
        <w:rPr>
          <w:rFonts w:hint="eastAsia" w:eastAsia="仿宋"/>
          <w:lang w:eastAsia="zh-CN"/>
        </w:rPr>
        <w:drawing>
          <wp:inline distT="0" distB="0" distL="114300" distR="114300">
            <wp:extent cx="5256530" cy="2988310"/>
            <wp:effectExtent l="5080" t="4445" r="11430" b="9525"/>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pPr>
        <w:spacing w:line="600" w:lineRule="exact"/>
        <w:ind w:firstLine="640" w:firstLineChars="200"/>
        <w:rPr>
          <w:rFonts w:ascii="仿宋" w:hAnsi="仿宋" w:eastAsia="仿宋"/>
          <w:color w:val="auto"/>
          <w:sz w:val="32"/>
          <w:szCs w:val="32"/>
          <w:highlight w:val="none"/>
        </w:rPr>
      </w:pPr>
      <w:r>
        <w:rPr>
          <w:rFonts w:hint="eastAsia" w:ascii="仿宋" w:hAnsi="仿宋" w:eastAsia="仿宋"/>
          <w:color w:val="auto"/>
          <w:sz w:val="32"/>
          <w:szCs w:val="32"/>
          <w:highlight w:val="none"/>
        </w:rPr>
        <w:t>（图2：收入决算结构图）（饼状图）</w:t>
      </w:r>
    </w:p>
    <w:p>
      <w:pPr>
        <w:spacing w:line="600" w:lineRule="exact"/>
        <w:ind w:firstLine="640" w:firstLineChars="200"/>
        <w:rPr>
          <w:rFonts w:ascii="仿宋_GB2312" w:eastAsia="仿宋_GB2312"/>
          <w:color w:val="auto"/>
          <w:sz w:val="32"/>
          <w:szCs w:val="32"/>
          <w:highlight w:val="none"/>
        </w:rPr>
      </w:pPr>
    </w:p>
    <w:p>
      <w:pPr>
        <w:pStyle w:val="31"/>
        <w:numPr>
          <w:ilvl w:val="0"/>
          <w:numId w:val="2"/>
        </w:numPr>
        <w:spacing w:line="600" w:lineRule="exact"/>
        <w:ind w:firstLineChars="0"/>
        <w:outlineLvl w:val="1"/>
        <w:rPr>
          <w:rStyle w:val="33"/>
          <w:rFonts w:ascii="黑体" w:hAnsi="黑体" w:eastAsia="黑体"/>
          <w:b w:val="0"/>
          <w:color w:val="auto"/>
          <w:highlight w:val="none"/>
        </w:rPr>
      </w:pPr>
      <w:bookmarkStart w:id="50" w:name="_Toc15396605"/>
      <w:bookmarkStart w:id="51" w:name="_Toc15377207"/>
      <w:bookmarkStart w:id="52" w:name="_Toc27114"/>
      <w:r>
        <w:rPr>
          <w:rFonts w:hint="eastAsia" w:ascii="黑体" w:hAnsi="黑体" w:eastAsia="黑体"/>
          <w:color w:val="auto"/>
          <w:sz w:val="32"/>
          <w:szCs w:val="32"/>
          <w:highlight w:val="none"/>
        </w:rPr>
        <w:t>支</w:t>
      </w:r>
      <w:r>
        <w:rPr>
          <w:rStyle w:val="33"/>
          <w:rFonts w:hint="eastAsia" w:ascii="黑体" w:hAnsi="黑体" w:eastAsia="黑体"/>
          <w:b w:val="0"/>
          <w:color w:val="auto"/>
          <w:highlight w:val="none"/>
        </w:rPr>
        <w:t>出决算情况说明</w:t>
      </w:r>
      <w:bookmarkEnd w:id="50"/>
      <w:bookmarkEnd w:id="51"/>
      <w:bookmarkEnd w:id="52"/>
    </w:p>
    <w:p>
      <w:pPr>
        <w:spacing w:line="600" w:lineRule="exact"/>
        <w:ind w:firstLine="640" w:firstLineChars="200"/>
        <w:outlineLvl w:val="1"/>
        <w:rPr>
          <w:rFonts w:ascii="仿宋" w:hAnsi="仿宋" w:eastAsia="仿宋"/>
          <w:color w:val="auto"/>
          <w:sz w:val="32"/>
          <w:szCs w:val="32"/>
          <w:highlight w:val="none"/>
        </w:rPr>
      </w:pPr>
      <w:bookmarkStart w:id="53" w:name="_Toc24606"/>
      <w:r>
        <w:rPr>
          <w:rFonts w:ascii="仿宋" w:hAnsi="仿宋" w:eastAsia="仿宋"/>
          <w:color w:val="auto"/>
          <w:sz w:val="32"/>
          <w:szCs w:val="32"/>
          <w:highlight w:val="none"/>
        </w:rPr>
        <w:t>20</w:t>
      </w:r>
      <w:r>
        <w:rPr>
          <w:rFonts w:hint="eastAsia" w:ascii="仿宋" w:hAnsi="仿宋" w:eastAsia="仿宋"/>
          <w:color w:val="auto"/>
          <w:sz w:val="32"/>
          <w:szCs w:val="32"/>
          <w:highlight w:val="none"/>
          <w:lang w:val="en-US" w:eastAsia="zh-CN"/>
        </w:rPr>
        <w:t>22</w:t>
      </w:r>
      <w:r>
        <w:rPr>
          <w:rFonts w:hint="eastAsia" w:ascii="仿宋" w:hAnsi="仿宋" w:eastAsia="仿宋"/>
          <w:color w:val="auto"/>
          <w:sz w:val="32"/>
          <w:szCs w:val="32"/>
          <w:highlight w:val="none"/>
        </w:rPr>
        <w:t>年本年支出合计</w:t>
      </w:r>
      <w:r>
        <w:rPr>
          <w:rFonts w:hint="eastAsia" w:ascii="仿宋" w:hAnsi="仿宋" w:eastAsia="仿宋"/>
          <w:color w:val="auto"/>
          <w:sz w:val="32"/>
          <w:szCs w:val="32"/>
          <w:highlight w:val="none"/>
          <w:lang w:val="en-US" w:eastAsia="zh-CN"/>
        </w:rPr>
        <w:t>5416.05</w:t>
      </w:r>
      <w:r>
        <w:rPr>
          <w:rFonts w:hint="eastAsia" w:ascii="仿宋" w:hAnsi="仿宋" w:eastAsia="仿宋"/>
          <w:color w:val="auto"/>
          <w:sz w:val="32"/>
          <w:szCs w:val="32"/>
          <w:highlight w:val="none"/>
        </w:rPr>
        <w:t>万元，其中：基本支出</w:t>
      </w:r>
      <w:r>
        <w:rPr>
          <w:rFonts w:hint="eastAsia" w:ascii="仿宋" w:hAnsi="仿宋" w:eastAsia="仿宋"/>
          <w:color w:val="auto"/>
          <w:sz w:val="32"/>
          <w:szCs w:val="32"/>
          <w:highlight w:val="none"/>
          <w:lang w:val="en-US" w:eastAsia="zh-CN"/>
        </w:rPr>
        <w:t>971.25</w:t>
      </w:r>
      <w:r>
        <w:rPr>
          <w:rFonts w:hint="eastAsia" w:ascii="仿宋" w:hAnsi="仿宋" w:eastAsia="仿宋"/>
          <w:color w:val="auto"/>
          <w:sz w:val="32"/>
          <w:szCs w:val="32"/>
          <w:highlight w:val="none"/>
        </w:rPr>
        <w:t>万元，占</w:t>
      </w:r>
      <w:r>
        <w:rPr>
          <w:rFonts w:hint="eastAsia" w:ascii="仿宋" w:hAnsi="仿宋" w:eastAsia="仿宋"/>
          <w:color w:val="auto"/>
          <w:sz w:val="32"/>
          <w:szCs w:val="32"/>
          <w:highlight w:val="none"/>
          <w:lang w:val="en-US" w:eastAsia="zh-CN"/>
        </w:rPr>
        <w:t>17.93</w:t>
      </w:r>
      <w:r>
        <w:rPr>
          <w:rFonts w:ascii="仿宋" w:hAnsi="仿宋" w:eastAsia="仿宋"/>
          <w:color w:val="auto"/>
          <w:sz w:val="32"/>
          <w:szCs w:val="32"/>
          <w:highlight w:val="none"/>
        </w:rPr>
        <w:t>%</w:t>
      </w:r>
      <w:r>
        <w:rPr>
          <w:rFonts w:hint="eastAsia" w:ascii="仿宋" w:hAnsi="仿宋" w:eastAsia="仿宋"/>
          <w:color w:val="auto"/>
          <w:sz w:val="32"/>
          <w:szCs w:val="32"/>
          <w:highlight w:val="none"/>
        </w:rPr>
        <w:t>；项目支出</w:t>
      </w:r>
      <w:r>
        <w:rPr>
          <w:rFonts w:hint="eastAsia" w:ascii="仿宋" w:hAnsi="仿宋" w:eastAsia="仿宋"/>
          <w:color w:val="auto"/>
          <w:sz w:val="32"/>
          <w:szCs w:val="32"/>
          <w:highlight w:val="none"/>
          <w:lang w:val="en-US" w:eastAsia="zh-CN"/>
        </w:rPr>
        <w:t>4444.8</w:t>
      </w:r>
      <w:r>
        <w:rPr>
          <w:rFonts w:hint="eastAsia" w:ascii="仿宋" w:hAnsi="仿宋" w:eastAsia="仿宋"/>
          <w:color w:val="auto"/>
          <w:sz w:val="32"/>
          <w:szCs w:val="32"/>
          <w:highlight w:val="none"/>
        </w:rPr>
        <w:t>万元，占</w:t>
      </w:r>
      <w:r>
        <w:rPr>
          <w:rFonts w:hint="eastAsia" w:ascii="仿宋" w:hAnsi="仿宋" w:eastAsia="仿宋"/>
          <w:color w:val="auto"/>
          <w:sz w:val="32"/>
          <w:szCs w:val="32"/>
          <w:highlight w:val="none"/>
          <w:lang w:val="en-US" w:eastAsia="zh-CN"/>
        </w:rPr>
        <w:t>82.07</w:t>
      </w:r>
      <w:r>
        <w:rPr>
          <w:rFonts w:ascii="仿宋" w:hAnsi="仿宋" w:eastAsia="仿宋"/>
          <w:color w:val="auto"/>
          <w:sz w:val="32"/>
          <w:szCs w:val="32"/>
          <w:highlight w:val="none"/>
        </w:rPr>
        <w:t>%</w:t>
      </w:r>
      <w:r>
        <w:rPr>
          <w:rFonts w:hint="eastAsia" w:ascii="仿宋" w:hAnsi="仿宋" w:eastAsia="仿宋"/>
          <w:color w:val="auto"/>
          <w:sz w:val="32"/>
          <w:szCs w:val="32"/>
          <w:highlight w:val="none"/>
        </w:rPr>
        <w:t>；上缴上级支出</w:t>
      </w:r>
      <w:r>
        <w:rPr>
          <w:rFonts w:hint="eastAsia" w:ascii="仿宋" w:hAnsi="仿宋" w:eastAsia="仿宋"/>
          <w:color w:val="auto"/>
          <w:sz w:val="32"/>
          <w:szCs w:val="32"/>
          <w:highlight w:val="none"/>
          <w:lang w:val="en-US" w:eastAsia="zh-CN"/>
        </w:rPr>
        <w:t>0</w:t>
      </w:r>
      <w:r>
        <w:rPr>
          <w:rFonts w:hint="eastAsia" w:ascii="仿宋" w:hAnsi="仿宋" w:eastAsia="仿宋"/>
          <w:color w:val="auto"/>
          <w:sz w:val="32"/>
          <w:szCs w:val="32"/>
          <w:highlight w:val="none"/>
        </w:rPr>
        <w:t>万元，占</w:t>
      </w:r>
      <w:r>
        <w:rPr>
          <w:rFonts w:hint="eastAsia" w:ascii="仿宋" w:hAnsi="仿宋" w:eastAsia="仿宋"/>
          <w:color w:val="auto"/>
          <w:sz w:val="32"/>
          <w:szCs w:val="32"/>
          <w:highlight w:val="none"/>
          <w:lang w:val="en-US" w:eastAsia="zh-CN"/>
        </w:rPr>
        <w:t>0</w:t>
      </w:r>
      <w:r>
        <w:rPr>
          <w:rFonts w:ascii="仿宋" w:hAnsi="仿宋" w:eastAsia="仿宋"/>
          <w:color w:val="auto"/>
          <w:sz w:val="32"/>
          <w:szCs w:val="32"/>
          <w:highlight w:val="none"/>
        </w:rPr>
        <w:t>%</w:t>
      </w:r>
      <w:r>
        <w:rPr>
          <w:rFonts w:hint="eastAsia" w:ascii="仿宋" w:hAnsi="仿宋" w:eastAsia="仿宋"/>
          <w:color w:val="auto"/>
          <w:sz w:val="32"/>
          <w:szCs w:val="32"/>
          <w:highlight w:val="none"/>
        </w:rPr>
        <w:t>；经营支出</w:t>
      </w:r>
      <w:r>
        <w:rPr>
          <w:rFonts w:hint="eastAsia" w:ascii="仿宋" w:hAnsi="仿宋" w:eastAsia="仿宋"/>
          <w:color w:val="auto"/>
          <w:sz w:val="32"/>
          <w:szCs w:val="32"/>
          <w:highlight w:val="none"/>
          <w:lang w:val="en-US" w:eastAsia="zh-CN"/>
        </w:rPr>
        <w:t>0</w:t>
      </w:r>
      <w:r>
        <w:rPr>
          <w:rFonts w:hint="eastAsia" w:ascii="仿宋" w:hAnsi="仿宋" w:eastAsia="仿宋"/>
          <w:color w:val="auto"/>
          <w:sz w:val="32"/>
          <w:szCs w:val="32"/>
          <w:highlight w:val="none"/>
        </w:rPr>
        <w:t>万元，占</w:t>
      </w:r>
      <w:r>
        <w:rPr>
          <w:rFonts w:hint="eastAsia" w:ascii="仿宋" w:hAnsi="仿宋" w:eastAsia="仿宋"/>
          <w:color w:val="auto"/>
          <w:sz w:val="32"/>
          <w:szCs w:val="32"/>
          <w:highlight w:val="none"/>
          <w:lang w:val="en-US" w:eastAsia="zh-CN"/>
        </w:rPr>
        <w:t>0</w:t>
      </w:r>
      <w:r>
        <w:rPr>
          <w:rFonts w:ascii="仿宋" w:hAnsi="仿宋" w:eastAsia="仿宋"/>
          <w:color w:val="auto"/>
          <w:sz w:val="32"/>
          <w:szCs w:val="32"/>
          <w:highlight w:val="none"/>
        </w:rPr>
        <w:t>%</w:t>
      </w:r>
      <w:r>
        <w:rPr>
          <w:rFonts w:hint="eastAsia" w:ascii="仿宋" w:hAnsi="仿宋" w:eastAsia="仿宋"/>
          <w:color w:val="auto"/>
          <w:sz w:val="32"/>
          <w:szCs w:val="32"/>
          <w:highlight w:val="none"/>
        </w:rPr>
        <w:t>；对附属单位补助支出</w:t>
      </w:r>
      <w:r>
        <w:rPr>
          <w:rFonts w:hint="eastAsia" w:ascii="仿宋" w:hAnsi="仿宋" w:eastAsia="仿宋"/>
          <w:color w:val="auto"/>
          <w:sz w:val="32"/>
          <w:szCs w:val="32"/>
          <w:highlight w:val="none"/>
          <w:lang w:val="en-US" w:eastAsia="zh-CN"/>
        </w:rPr>
        <w:t>0</w:t>
      </w:r>
      <w:r>
        <w:rPr>
          <w:rFonts w:hint="eastAsia" w:ascii="仿宋" w:hAnsi="仿宋" w:eastAsia="仿宋"/>
          <w:color w:val="auto"/>
          <w:sz w:val="32"/>
          <w:szCs w:val="32"/>
          <w:highlight w:val="none"/>
        </w:rPr>
        <w:t>万元，占</w:t>
      </w:r>
      <w:r>
        <w:rPr>
          <w:rFonts w:hint="eastAsia" w:ascii="仿宋" w:hAnsi="仿宋" w:eastAsia="仿宋"/>
          <w:color w:val="auto"/>
          <w:sz w:val="32"/>
          <w:szCs w:val="32"/>
          <w:highlight w:val="none"/>
          <w:lang w:val="en-US" w:eastAsia="zh-CN"/>
        </w:rPr>
        <w:t>0</w:t>
      </w:r>
      <w:r>
        <w:rPr>
          <w:rFonts w:ascii="仿宋" w:hAnsi="仿宋" w:eastAsia="仿宋"/>
          <w:color w:val="auto"/>
          <w:sz w:val="32"/>
          <w:szCs w:val="32"/>
          <w:highlight w:val="none"/>
        </w:rPr>
        <w:t>%</w:t>
      </w:r>
      <w:r>
        <w:rPr>
          <w:rFonts w:hint="eastAsia" w:ascii="仿宋" w:hAnsi="仿宋" w:eastAsia="仿宋"/>
          <w:color w:val="auto"/>
          <w:sz w:val="32"/>
          <w:szCs w:val="32"/>
          <w:highlight w:val="none"/>
        </w:rPr>
        <w:t>。</w:t>
      </w:r>
      <w:bookmarkEnd w:id="53"/>
    </w:p>
    <w:p>
      <w:pPr>
        <w:spacing w:line="600" w:lineRule="exact"/>
        <w:ind w:firstLine="643" w:firstLineChars="200"/>
        <w:outlineLvl w:val="1"/>
        <w:rPr>
          <w:rFonts w:ascii="仿宋" w:hAnsi="仿宋" w:eastAsia="仿宋"/>
          <w:b/>
          <w:color w:val="auto"/>
          <w:sz w:val="32"/>
          <w:szCs w:val="32"/>
          <w:highlight w:val="none"/>
        </w:rPr>
      </w:pPr>
      <w:bookmarkStart w:id="54" w:name="_Toc1277"/>
      <w:r>
        <w:rPr>
          <w:rFonts w:hint="eastAsia" w:ascii="仿宋" w:hAnsi="仿宋" w:eastAsia="仿宋"/>
          <w:b/>
          <w:color w:val="auto"/>
          <w:sz w:val="32"/>
          <w:szCs w:val="32"/>
          <w:highlight w:val="none"/>
        </w:rPr>
        <w:t>（注：数据来源于财决</w:t>
      </w:r>
      <w:r>
        <w:rPr>
          <w:rFonts w:ascii="仿宋" w:hAnsi="仿宋" w:eastAsia="仿宋"/>
          <w:b/>
          <w:color w:val="auto"/>
          <w:sz w:val="32"/>
          <w:szCs w:val="32"/>
          <w:highlight w:val="none"/>
        </w:rPr>
        <w:t>04</w:t>
      </w:r>
      <w:r>
        <w:rPr>
          <w:rFonts w:hint="eastAsia" w:ascii="仿宋" w:hAnsi="仿宋" w:eastAsia="仿宋"/>
          <w:b/>
          <w:color w:val="auto"/>
          <w:sz w:val="32"/>
          <w:szCs w:val="32"/>
          <w:highlight w:val="none"/>
        </w:rPr>
        <w:t>表</w:t>
      </w:r>
      <w:r>
        <w:rPr>
          <w:rFonts w:hint="eastAsia" w:ascii="仿宋" w:hAnsi="仿宋" w:eastAsia="仿宋"/>
          <w:b/>
          <w:color w:val="auto"/>
          <w:sz w:val="32"/>
          <w:szCs w:val="32"/>
          <w:highlight w:val="none"/>
          <w:lang w:eastAsia="zh-CN"/>
        </w:rPr>
        <w:t>，仅罗列本部门涉及的支出。</w:t>
      </w:r>
      <w:r>
        <w:rPr>
          <w:rFonts w:hint="eastAsia" w:ascii="仿宋" w:hAnsi="仿宋" w:eastAsia="仿宋"/>
          <w:b/>
          <w:color w:val="auto"/>
          <w:sz w:val="32"/>
          <w:szCs w:val="32"/>
          <w:highlight w:val="none"/>
        </w:rPr>
        <w:t>）</w:t>
      </w:r>
      <w:bookmarkEnd w:id="54"/>
    </w:p>
    <w:p>
      <w:pPr>
        <w:spacing w:line="600" w:lineRule="exact"/>
        <w:ind w:firstLine="640"/>
        <w:rPr>
          <w:rFonts w:ascii="仿宋" w:hAnsi="仿宋" w:eastAsia="仿宋"/>
          <w:color w:val="auto"/>
          <w:sz w:val="32"/>
          <w:szCs w:val="32"/>
          <w:highlight w:val="none"/>
          <w:shd w:val="pct10" w:color="auto" w:fill="FFFFFF"/>
        </w:rPr>
      </w:pPr>
    </w:p>
    <w:p>
      <w:pPr>
        <w:pStyle w:val="2"/>
        <w:rPr>
          <w:rFonts w:hint="eastAsia" w:eastAsia="仿宋"/>
          <w:lang w:eastAsia="zh-CN"/>
        </w:rPr>
      </w:pPr>
      <w:r>
        <w:rPr>
          <w:rFonts w:hint="eastAsia" w:eastAsia="仿宋"/>
          <w:lang w:eastAsia="zh-CN"/>
        </w:rPr>
        <w:drawing>
          <wp:inline distT="0" distB="0" distL="114300" distR="114300">
            <wp:extent cx="5256530" cy="2988310"/>
            <wp:effectExtent l="5080" t="4445" r="11430" b="9525"/>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pPr>
        <w:spacing w:line="600" w:lineRule="exact"/>
        <w:ind w:firstLine="640" w:firstLineChars="200"/>
        <w:rPr>
          <w:rFonts w:ascii="仿宋" w:hAnsi="仿宋" w:eastAsia="仿宋"/>
          <w:color w:val="auto"/>
          <w:sz w:val="32"/>
          <w:szCs w:val="32"/>
          <w:highlight w:val="none"/>
        </w:rPr>
      </w:pPr>
      <w:r>
        <w:rPr>
          <w:rFonts w:hint="eastAsia" w:ascii="仿宋" w:hAnsi="仿宋" w:eastAsia="仿宋"/>
          <w:color w:val="auto"/>
          <w:sz w:val="32"/>
          <w:szCs w:val="32"/>
          <w:highlight w:val="none"/>
        </w:rPr>
        <w:t>（图3：支出决算结构图）（饼状图）</w:t>
      </w:r>
    </w:p>
    <w:p>
      <w:pPr>
        <w:spacing w:line="600" w:lineRule="exact"/>
        <w:ind w:firstLine="640" w:firstLineChars="200"/>
        <w:rPr>
          <w:rFonts w:ascii="仿宋_GB2312" w:eastAsia="仿宋_GB2312"/>
          <w:color w:val="auto"/>
          <w:sz w:val="32"/>
          <w:szCs w:val="32"/>
          <w:highlight w:val="none"/>
        </w:rPr>
      </w:pPr>
    </w:p>
    <w:p>
      <w:pPr>
        <w:spacing w:line="600" w:lineRule="exact"/>
        <w:ind w:firstLine="640" w:firstLineChars="200"/>
        <w:outlineLvl w:val="1"/>
        <w:rPr>
          <w:rStyle w:val="33"/>
          <w:rFonts w:ascii="黑体" w:hAnsi="黑体" w:eastAsia="黑体"/>
          <w:b w:val="0"/>
          <w:color w:val="auto"/>
          <w:highlight w:val="none"/>
        </w:rPr>
      </w:pPr>
      <w:bookmarkStart w:id="55" w:name="_Toc15396606"/>
      <w:bookmarkStart w:id="56" w:name="_Toc15377208"/>
      <w:bookmarkStart w:id="57" w:name="_Toc27295"/>
      <w:r>
        <w:rPr>
          <w:rFonts w:hint="eastAsia" w:ascii="黑体" w:hAnsi="黑体" w:eastAsia="黑体"/>
          <w:color w:val="auto"/>
          <w:sz w:val="32"/>
          <w:szCs w:val="32"/>
          <w:highlight w:val="none"/>
        </w:rPr>
        <w:t>四、财</w:t>
      </w:r>
      <w:r>
        <w:rPr>
          <w:rStyle w:val="33"/>
          <w:rFonts w:hint="eastAsia" w:ascii="黑体" w:hAnsi="黑体" w:eastAsia="黑体"/>
          <w:b w:val="0"/>
          <w:color w:val="auto"/>
          <w:highlight w:val="none"/>
        </w:rPr>
        <w:t>政拨款收入支出决算总体情况说明</w:t>
      </w:r>
      <w:bookmarkEnd w:id="55"/>
      <w:bookmarkEnd w:id="56"/>
      <w:bookmarkEnd w:id="57"/>
    </w:p>
    <w:p>
      <w:pPr>
        <w:spacing w:line="600" w:lineRule="exact"/>
        <w:ind w:firstLine="640"/>
        <w:rPr>
          <w:rFonts w:hint="eastAsia" w:ascii="仿宋" w:hAnsi="仿宋" w:eastAsia="仿宋"/>
          <w:color w:val="auto"/>
          <w:sz w:val="32"/>
          <w:szCs w:val="32"/>
          <w:highlight w:val="none"/>
          <w:lang w:val="en-US" w:eastAsia="zh-CN"/>
        </w:rPr>
      </w:pPr>
      <w:r>
        <w:rPr>
          <w:rFonts w:ascii="仿宋" w:hAnsi="仿宋" w:eastAsia="仿宋"/>
          <w:color w:val="auto"/>
          <w:sz w:val="32"/>
          <w:szCs w:val="32"/>
          <w:highlight w:val="none"/>
        </w:rPr>
        <w:t>20</w:t>
      </w:r>
      <w:r>
        <w:rPr>
          <w:rFonts w:hint="eastAsia" w:ascii="仿宋" w:hAnsi="仿宋" w:eastAsia="仿宋"/>
          <w:color w:val="auto"/>
          <w:sz w:val="32"/>
          <w:szCs w:val="32"/>
          <w:highlight w:val="none"/>
          <w:lang w:val="en-US" w:eastAsia="zh-CN"/>
        </w:rPr>
        <w:t>22</w:t>
      </w:r>
      <w:r>
        <w:rPr>
          <w:rFonts w:hint="eastAsia" w:ascii="仿宋" w:hAnsi="仿宋" w:eastAsia="仿宋"/>
          <w:color w:val="auto"/>
          <w:sz w:val="32"/>
          <w:szCs w:val="32"/>
          <w:highlight w:val="none"/>
        </w:rPr>
        <w:t>年财政拨款收</w:t>
      </w:r>
      <w:r>
        <w:rPr>
          <w:rFonts w:hint="eastAsia" w:ascii="仿宋" w:hAnsi="仿宋" w:eastAsia="仿宋"/>
          <w:color w:val="auto"/>
          <w:sz w:val="32"/>
          <w:szCs w:val="32"/>
          <w:highlight w:val="none"/>
          <w:lang w:val="en-US" w:eastAsia="zh-CN"/>
        </w:rPr>
        <w:t>入</w:t>
      </w:r>
      <w:r>
        <w:rPr>
          <w:rFonts w:hint="eastAsia" w:ascii="仿宋" w:hAnsi="仿宋" w:eastAsia="仿宋"/>
          <w:color w:val="auto"/>
          <w:sz w:val="32"/>
          <w:szCs w:val="32"/>
          <w:highlight w:val="none"/>
        </w:rPr>
        <w:t>总计</w:t>
      </w:r>
      <w:r>
        <w:rPr>
          <w:rFonts w:hint="eastAsia" w:ascii="仿宋" w:hAnsi="仿宋" w:eastAsia="仿宋"/>
          <w:color w:val="auto"/>
          <w:sz w:val="32"/>
          <w:szCs w:val="32"/>
          <w:highlight w:val="none"/>
          <w:lang w:val="en-US" w:eastAsia="zh-CN"/>
        </w:rPr>
        <w:t>3438.09</w:t>
      </w:r>
      <w:r>
        <w:rPr>
          <w:rFonts w:hint="eastAsia" w:ascii="仿宋" w:hAnsi="仿宋" w:eastAsia="仿宋"/>
          <w:color w:val="auto"/>
          <w:sz w:val="32"/>
          <w:szCs w:val="32"/>
          <w:highlight w:val="none"/>
        </w:rPr>
        <w:t>万元。与</w:t>
      </w:r>
      <w:r>
        <w:rPr>
          <w:rFonts w:ascii="仿宋" w:hAnsi="仿宋" w:eastAsia="仿宋"/>
          <w:color w:val="auto"/>
          <w:sz w:val="32"/>
          <w:szCs w:val="32"/>
          <w:highlight w:val="none"/>
        </w:rPr>
        <w:t>20</w:t>
      </w:r>
      <w:r>
        <w:rPr>
          <w:rFonts w:hint="eastAsia" w:ascii="仿宋" w:hAnsi="仿宋" w:eastAsia="仿宋"/>
          <w:color w:val="auto"/>
          <w:sz w:val="32"/>
          <w:szCs w:val="32"/>
          <w:highlight w:val="none"/>
          <w:lang w:val="en-US" w:eastAsia="zh-CN"/>
        </w:rPr>
        <w:t>21</w:t>
      </w:r>
      <w:r>
        <w:rPr>
          <w:rFonts w:hint="eastAsia" w:ascii="仿宋" w:hAnsi="仿宋" w:eastAsia="仿宋"/>
          <w:color w:val="auto"/>
          <w:sz w:val="32"/>
          <w:szCs w:val="32"/>
          <w:highlight w:val="none"/>
        </w:rPr>
        <w:t>年相比，财政拨款收</w:t>
      </w:r>
      <w:r>
        <w:rPr>
          <w:rFonts w:hint="eastAsia" w:ascii="仿宋" w:hAnsi="仿宋" w:eastAsia="仿宋"/>
          <w:color w:val="auto"/>
          <w:sz w:val="32"/>
          <w:szCs w:val="32"/>
          <w:highlight w:val="none"/>
          <w:lang w:val="en-US" w:eastAsia="zh-CN"/>
        </w:rPr>
        <w:t>入</w:t>
      </w:r>
      <w:r>
        <w:rPr>
          <w:rFonts w:hint="eastAsia" w:ascii="仿宋" w:hAnsi="仿宋" w:eastAsia="仿宋"/>
          <w:color w:val="auto"/>
          <w:sz w:val="32"/>
          <w:szCs w:val="32"/>
          <w:highlight w:val="none"/>
        </w:rPr>
        <w:t>总计增加</w:t>
      </w:r>
      <w:r>
        <w:rPr>
          <w:rFonts w:hint="eastAsia" w:ascii="仿宋" w:hAnsi="仿宋" w:eastAsia="仿宋"/>
          <w:color w:val="auto"/>
          <w:sz w:val="32"/>
          <w:szCs w:val="32"/>
          <w:highlight w:val="none"/>
          <w:lang w:val="en-US" w:eastAsia="zh-CN"/>
        </w:rPr>
        <w:t>1217.52</w:t>
      </w:r>
      <w:r>
        <w:rPr>
          <w:rFonts w:hint="eastAsia" w:ascii="仿宋" w:hAnsi="仿宋" w:eastAsia="仿宋"/>
          <w:color w:val="auto"/>
          <w:sz w:val="32"/>
          <w:szCs w:val="32"/>
          <w:highlight w:val="none"/>
        </w:rPr>
        <w:t>万元，增长</w:t>
      </w:r>
      <w:r>
        <w:rPr>
          <w:rFonts w:hint="eastAsia" w:ascii="仿宋" w:hAnsi="仿宋" w:eastAsia="仿宋"/>
          <w:color w:val="auto"/>
          <w:sz w:val="32"/>
          <w:szCs w:val="32"/>
          <w:highlight w:val="none"/>
          <w:lang w:val="en-US" w:eastAsia="zh-CN"/>
        </w:rPr>
        <w:t>54.83</w:t>
      </w:r>
      <w:r>
        <w:rPr>
          <w:rFonts w:ascii="仿宋" w:hAnsi="仿宋" w:eastAsia="仿宋"/>
          <w:color w:val="auto"/>
          <w:sz w:val="32"/>
          <w:szCs w:val="32"/>
          <w:highlight w:val="none"/>
        </w:rPr>
        <w:t>%</w:t>
      </w:r>
      <w:r>
        <w:rPr>
          <w:rFonts w:hint="eastAsia" w:ascii="仿宋" w:hAnsi="仿宋" w:eastAsia="仿宋"/>
          <w:color w:val="auto"/>
          <w:sz w:val="32"/>
          <w:szCs w:val="32"/>
          <w:highlight w:val="none"/>
        </w:rPr>
        <w:t>。主要</w:t>
      </w:r>
      <w:r>
        <w:rPr>
          <w:rFonts w:hint="eastAsia" w:ascii="仿宋" w:hAnsi="仿宋" w:eastAsia="仿宋"/>
          <w:color w:val="auto"/>
          <w:sz w:val="32"/>
          <w:szCs w:val="32"/>
          <w:highlight w:val="none"/>
          <w:lang w:eastAsia="zh-CN"/>
        </w:rPr>
        <w:t>变动原因</w:t>
      </w:r>
      <w:r>
        <w:rPr>
          <w:rFonts w:hint="eastAsia" w:ascii="仿宋" w:hAnsi="仿宋" w:eastAsia="仿宋"/>
          <w:color w:val="auto"/>
          <w:sz w:val="32"/>
          <w:szCs w:val="32"/>
          <w:highlight w:val="none"/>
          <w:lang w:val="en-US" w:eastAsia="zh-CN"/>
        </w:rPr>
        <w:t>项目增加，收入增加。</w:t>
      </w:r>
    </w:p>
    <w:p>
      <w:pPr>
        <w:pStyle w:val="2"/>
        <w:ind w:firstLine="640" w:firstLineChars="200"/>
        <w:rPr>
          <w:rFonts w:hint="default"/>
          <w:lang w:val="en-US" w:eastAsia="zh-CN"/>
        </w:rPr>
      </w:pPr>
      <w:r>
        <w:rPr>
          <w:rFonts w:ascii="仿宋" w:hAnsi="仿宋" w:eastAsia="仿宋"/>
          <w:color w:val="auto"/>
          <w:sz w:val="32"/>
          <w:szCs w:val="32"/>
          <w:highlight w:val="none"/>
        </w:rPr>
        <w:t>20</w:t>
      </w:r>
      <w:r>
        <w:rPr>
          <w:rFonts w:hint="eastAsia" w:ascii="仿宋" w:hAnsi="仿宋" w:eastAsia="仿宋"/>
          <w:color w:val="auto"/>
          <w:sz w:val="32"/>
          <w:szCs w:val="32"/>
          <w:highlight w:val="none"/>
          <w:lang w:val="en-US" w:eastAsia="zh-CN"/>
        </w:rPr>
        <w:t>22</w:t>
      </w:r>
      <w:r>
        <w:rPr>
          <w:rFonts w:hint="eastAsia" w:ascii="仿宋" w:hAnsi="仿宋" w:eastAsia="仿宋"/>
          <w:color w:val="auto"/>
          <w:sz w:val="32"/>
          <w:szCs w:val="32"/>
          <w:highlight w:val="none"/>
        </w:rPr>
        <w:t>年财政拨款</w:t>
      </w:r>
      <w:r>
        <w:rPr>
          <w:rFonts w:hint="eastAsia" w:ascii="仿宋" w:hAnsi="仿宋" w:eastAsia="仿宋"/>
          <w:color w:val="auto"/>
          <w:sz w:val="32"/>
          <w:szCs w:val="32"/>
          <w:highlight w:val="none"/>
          <w:lang w:val="en-US" w:eastAsia="zh-CN"/>
        </w:rPr>
        <w:t>支出</w:t>
      </w:r>
      <w:r>
        <w:rPr>
          <w:rFonts w:hint="eastAsia" w:ascii="仿宋" w:hAnsi="仿宋" w:eastAsia="仿宋"/>
          <w:color w:val="auto"/>
          <w:sz w:val="32"/>
          <w:szCs w:val="32"/>
          <w:highlight w:val="none"/>
        </w:rPr>
        <w:t>总计</w:t>
      </w:r>
      <w:r>
        <w:rPr>
          <w:rFonts w:hint="eastAsia" w:ascii="仿宋" w:hAnsi="仿宋" w:eastAsia="仿宋"/>
          <w:color w:val="auto"/>
          <w:sz w:val="32"/>
          <w:szCs w:val="32"/>
          <w:highlight w:val="none"/>
          <w:lang w:val="en-US" w:eastAsia="zh-CN"/>
        </w:rPr>
        <w:t>5409.39</w:t>
      </w:r>
      <w:r>
        <w:rPr>
          <w:rFonts w:hint="eastAsia" w:ascii="仿宋" w:hAnsi="仿宋" w:eastAsia="仿宋"/>
          <w:color w:val="auto"/>
          <w:sz w:val="32"/>
          <w:szCs w:val="32"/>
          <w:highlight w:val="none"/>
        </w:rPr>
        <w:t>万元。与</w:t>
      </w:r>
      <w:r>
        <w:rPr>
          <w:rFonts w:ascii="仿宋" w:hAnsi="仿宋" w:eastAsia="仿宋"/>
          <w:color w:val="auto"/>
          <w:sz w:val="32"/>
          <w:szCs w:val="32"/>
          <w:highlight w:val="none"/>
        </w:rPr>
        <w:t>20</w:t>
      </w:r>
      <w:r>
        <w:rPr>
          <w:rFonts w:hint="eastAsia" w:ascii="仿宋" w:hAnsi="仿宋" w:eastAsia="仿宋"/>
          <w:color w:val="auto"/>
          <w:sz w:val="32"/>
          <w:szCs w:val="32"/>
          <w:highlight w:val="none"/>
          <w:lang w:val="en-US" w:eastAsia="zh-CN"/>
        </w:rPr>
        <w:t>21</w:t>
      </w:r>
      <w:r>
        <w:rPr>
          <w:rFonts w:hint="eastAsia" w:ascii="仿宋" w:hAnsi="仿宋" w:eastAsia="仿宋"/>
          <w:color w:val="auto"/>
          <w:sz w:val="32"/>
          <w:szCs w:val="32"/>
          <w:highlight w:val="none"/>
        </w:rPr>
        <w:t>年相比，财政拨款</w:t>
      </w:r>
      <w:r>
        <w:rPr>
          <w:rFonts w:hint="eastAsia" w:ascii="仿宋" w:hAnsi="仿宋" w:eastAsia="仿宋"/>
          <w:color w:val="auto"/>
          <w:sz w:val="32"/>
          <w:szCs w:val="32"/>
          <w:highlight w:val="none"/>
          <w:lang w:val="en-US" w:eastAsia="zh-CN"/>
        </w:rPr>
        <w:t>支出</w:t>
      </w:r>
      <w:r>
        <w:rPr>
          <w:rFonts w:hint="eastAsia" w:ascii="仿宋" w:hAnsi="仿宋" w:eastAsia="仿宋"/>
          <w:color w:val="auto"/>
          <w:sz w:val="32"/>
          <w:szCs w:val="32"/>
          <w:highlight w:val="none"/>
        </w:rPr>
        <w:t>总计增加</w:t>
      </w:r>
      <w:r>
        <w:rPr>
          <w:rFonts w:hint="eastAsia" w:ascii="仿宋" w:hAnsi="仿宋" w:eastAsia="仿宋"/>
          <w:color w:val="auto"/>
          <w:sz w:val="32"/>
          <w:szCs w:val="32"/>
          <w:highlight w:val="none"/>
          <w:lang w:val="en-US" w:eastAsia="zh-CN"/>
        </w:rPr>
        <w:t>1121.62</w:t>
      </w:r>
      <w:r>
        <w:rPr>
          <w:rFonts w:hint="eastAsia" w:ascii="仿宋" w:hAnsi="仿宋" w:eastAsia="仿宋"/>
          <w:color w:val="auto"/>
          <w:sz w:val="32"/>
          <w:szCs w:val="32"/>
          <w:highlight w:val="none"/>
        </w:rPr>
        <w:t>万元，增长</w:t>
      </w:r>
      <w:r>
        <w:rPr>
          <w:rFonts w:hint="eastAsia" w:ascii="仿宋" w:hAnsi="仿宋" w:eastAsia="仿宋"/>
          <w:color w:val="auto"/>
          <w:sz w:val="32"/>
          <w:szCs w:val="32"/>
          <w:highlight w:val="none"/>
          <w:lang w:val="en-US" w:eastAsia="zh-CN"/>
        </w:rPr>
        <w:t>26.16</w:t>
      </w:r>
      <w:r>
        <w:rPr>
          <w:rFonts w:ascii="仿宋" w:hAnsi="仿宋" w:eastAsia="仿宋"/>
          <w:color w:val="auto"/>
          <w:sz w:val="32"/>
          <w:szCs w:val="32"/>
          <w:highlight w:val="none"/>
        </w:rPr>
        <w:t>%</w:t>
      </w:r>
      <w:r>
        <w:rPr>
          <w:rFonts w:hint="eastAsia" w:ascii="仿宋" w:hAnsi="仿宋" w:eastAsia="仿宋"/>
          <w:color w:val="auto"/>
          <w:sz w:val="32"/>
          <w:szCs w:val="32"/>
          <w:highlight w:val="none"/>
        </w:rPr>
        <w:t>。主要</w:t>
      </w:r>
      <w:r>
        <w:rPr>
          <w:rFonts w:hint="eastAsia" w:ascii="仿宋" w:hAnsi="仿宋" w:eastAsia="仿宋"/>
          <w:color w:val="auto"/>
          <w:sz w:val="32"/>
          <w:szCs w:val="32"/>
          <w:highlight w:val="none"/>
          <w:lang w:eastAsia="zh-CN"/>
        </w:rPr>
        <w:t>变动原因</w:t>
      </w:r>
      <w:r>
        <w:rPr>
          <w:rFonts w:hint="eastAsia" w:ascii="仿宋" w:hAnsi="仿宋" w:eastAsia="仿宋"/>
          <w:color w:val="auto"/>
          <w:sz w:val="32"/>
          <w:szCs w:val="32"/>
          <w:highlight w:val="none"/>
          <w:lang w:val="en-US" w:eastAsia="zh-CN"/>
        </w:rPr>
        <w:t>项目增加，支出增加。</w:t>
      </w:r>
    </w:p>
    <w:p>
      <w:pPr>
        <w:spacing w:line="600" w:lineRule="exact"/>
        <w:ind w:firstLine="640"/>
        <w:rPr>
          <w:rFonts w:ascii="仿宋" w:hAnsi="仿宋" w:eastAsia="仿宋"/>
          <w:b/>
          <w:color w:val="auto"/>
          <w:sz w:val="32"/>
          <w:szCs w:val="32"/>
          <w:highlight w:val="none"/>
        </w:rPr>
      </w:pPr>
      <w:r>
        <w:rPr>
          <w:rFonts w:hint="eastAsia" w:ascii="仿宋" w:hAnsi="仿宋" w:eastAsia="仿宋"/>
          <w:b/>
          <w:color w:val="auto"/>
          <w:sz w:val="32"/>
          <w:szCs w:val="32"/>
          <w:highlight w:val="none"/>
        </w:rPr>
        <w:t>（注：数据来源于财决</w:t>
      </w:r>
      <w:r>
        <w:rPr>
          <w:rFonts w:ascii="仿宋" w:hAnsi="仿宋" w:eastAsia="仿宋"/>
          <w:b/>
          <w:color w:val="auto"/>
          <w:sz w:val="32"/>
          <w:szCs w:val="32"/>
          <w:highlight w:val="none"/>
        </w:rPr>
        <w:t>01-1</w:t>
      </w:r>
      <w:r>
        <w:rPr>
          <w:rFonts w:hint="eastAsia" w:ascii="仿宋" w:hAnsi="仿宋" w:eastAsia="仿宋"/>
          <w:b/>
          <w:color w:val="auto"/>
          <w:sz w:val="32"/>
          <w:szCs w:val="32"/>
          <w:highlight w:val="none"/>
        </w:rPr>
        <w:t>表</w:t>
      </w:r>
      <w:r>
        <w:rPr>
          <w:rFonts w:ascii="仿宋" w:hAnsi="仿宋" w:eastAsia="仿宋"/>
          <w:b/>
          <w:color w:val="auto"/>
          <w:sz w:val="32"/>
          <w:szCs w:val="32"/>
          <w:highlight w:val="none"/>
        </w:rPr>
        <w:t>）</w:t>
      </w:r>
    </w:p>
    <w:p>
      <w:pPr>
        <w:spacing w:line="600" w:lineRule="exact"/>
        <w:rPr>
          <w:rFonts w:ascii="仿宋" w:hAnsi="仿宋" w:eastAsia="仿宋"/>
          <w:color w:val="auto"/>
          <w:sz w:val="32"/>
          <w:szCs w:val="32"/>
          <w:highlight w:val="none"/>
        </w:rPr>
      </w:pPr>
    </w:p>
    <w:p>
      <w:pPr>
        <w:pStyle w:val="2"/>
        <w:rPr>
          <w:rFonts w:hint="eastAsia" w:eastAsia="仿宋"/>
          <w:lang w:eastAsia="zh-CN"/>
        </w:rPr>
      </w:pPr>
      <w:r>
        <w:rPr>
          <w:rFonts w:hint="eastAsia" w:eastAsia="仿宋"/>
          <w:lang w:eastAsia="zh-CN"/>
        </w:rPr>
        <w:drawing>
          <wp:inline distT="0" distB="0" distL="114300" distR="114300">
            <wp:extent cx="5256530" cy="2988310"/>
            <wp:effectExtent l="5080" t="4445" r="11430" b="9525"/>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pPr>
        <w:pStyle w:val="3"/>
        <w:ind w:left="0" w:leftChars="0" w:firstLine="0" w:firstLineChars="0"/>
        <w:jc w:val="left"/>
        <w:rPr>
          <w:rFonts w:hint="eastAsia"/>
          <w:lang w:eastAsia="zh-CN"/>
        </w:rPr>
      </w:pPr>
      <w:r>
        <w:rPr>
          <w:rFonts w:hint="eastAsia"/>
          <w:lang w:eastAsia="zh-CN"/>
        </w:rPr>
        <w:drawing>
          <wp:inline distT="0" distB="0" distL="114300" distR="114300">
            <wp:extent cx="5256530" cy="2988310"/>
            <wp:effectExtent l="5080" t="4445" r="11430" b="9525"/>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pPr>
        <w:spacing w:line="600" w:lineRule="exact"/>
        <w:ind w:firstLine="640" w:firstLineChars="200"/>
        <w:rPr>
          <w:rFonts w:ascii="仿宋" w:hAnsi="仿宋" w:eastAsia="仿宋"/>
          <w:color w:val="auto"/>
          <w:sz w:val="32"/>
          <w:szCs w:val="32"/>
          <w:highlight w:val="none"/>
        </w:rPr>
      </w:pPr>
      <w:r>
        <w:rPr>
          <w:rFonts w:hint="eastAsia" w:ascii="仿宋" w:hAnsi="仿宋" w:eastAsia="仿宋"/>
          <w:color w:val="auto"/>
          <w:sz w:val="32"/>
          <w:szCs w:val="32"/>
          <w:highlight w:val="none"/>
        </w:rPr>
        <w:t>（图4：财政拨款收、支决算总计变动情况）（柱状图）</w:t>
      </w:r>
    </w:p>
    <w:p>
      <w:pPr>
        <w:spacing w:line="600" w:lineRule="exact"/>
        <w:ind w:firstLine="640"/>
        <w:rPr>
          <w:rFonts w:ascii="仿宋" w:hAnsi="仿宋" w:eastAsia="仿宋"/>
          <w:b/>
          <w:color w:val="auto"/>
          <w:sz w:val="32"/>
          <w:szCs w:val="32"/>
          <w:highlight w:val="none"/>
        </w:rPr>
      </w:pPr>
    </w:p>
    <w:p>
      <w:pPr>
        <w:spacing w:line="600" w:lineRule="exact"/>
        <w:ind w:firstLine="640" w:firstLineChars="200"/>
        <w:outlineLvl w:val="1"/>
        <w:rPr>
          <w:rStyle w:val="33"/>
          <w:rFonts w:ascii="黑体" w:hAnsi="黑体" w:eastAsia="黑体"/>
          <w:b w:val="0"/>
          <w:color w:val="auto"/>
          <w:highlight w:val="none"/>
        </w:rPr>
      </w:pPr>
      <w:bookmarkStart w:id="58" w:name="_Toc15377209"/>
      <w:bookmarkStart w:id="59" w:name="_Toc15396607"/>
      <w:bookmarkStart w:id="60" w:name="_Toc15596"/>
      <w:r>
        <w:rPr>
          <w:rFonts w:hint="eastAsia" w:ascii="黑体" w:hAnsi="黑体" w:eastAsia="黑体"/>
          <w:color w:val="auto"/>
          <w:sz w:val="32"/>
          <w:szCs w:val="32"/>
          <w:highlight w:val="none"/>
        </w:rPr>
        <w:t>五、</w:t>
      </w:r>
      <w:r>
        <w:rPr>
          <w:rFonts w:hint="eastAsia" w:ascii="黑体" w:hAnsi="黑体" w:eastAsia="黑体"/>
          <w:b/>
          <w:color w:val="auto"/>
          <w:sz w:val="32"/>
          <w:szCs w:val="32"/>
          <w:highlight w:val="none"/>
        </w:rPr>
        <w:t>一</w:t>
      </w:r>
      <w:r>
        <w:rPr>
          <w:rStyle w:val="33"/>
          <w:rFonts w:hint="eastAsia" w:ascii="黑体" w:hAnsi="黑体" w:eastAsia="黑体"/>
          <w:b w:val="0"/>
          <w:color w:val="auto"/>
          <w:highlight w:val="none"/>
        </w:rPr>
        <w:t>般公共预算财政拨款支出决算情况说明</w:t>
      </w:r>
      <w:bookmarkEnd w:id="58"/>
      <w:bookmarkEnd w:id="59"/>
      <w:bookmarkEnd w:id="60"/>
    </w:p>
    <w:p>
      <w:pPr>
        <w:spacing w:line="600" w:lineRule="exact"/>
        <w:ind w:firstLine="643" w:firstLineChars="200"/>
        <w:outlineLvl w:val="2"/>
        <w:rPr>
          <w:rFonts w:ascii="仿宋" w:hAnsi="仿宋" w:eastAsia="仿宋"/>
          <w:b/>
          <w:color w:val="auto"/>
          <w:sz w:val="32"/>
          <w:szCs w:val="32"/>
          <w:highlight w:val="none"/>
        </w:rPr>
      </w:pPr>
      <w:bookmarkStart w:id="61" w:name="_Toc15377210"/>
      <w:r>
        <w:rPr>
          <w:rFonts w:hint="eastAsia" w:ascii="仿宋" w:hAnsi="仿宋" w:eastAsia="仿宋"/>
          <w:b/>
          <w:color w:val="auto"/>
          <w:sz w:val="32"/>
          <w:szCs w:val="32"/>
          <w:highlight w:val="none"/>
        </w:rPr>
        <w:t>（一）一般公共预算财政拨款支出决算总体情况</w:t>
      </w:r>
      <w:bookmarkEnd w:id="61"/>
    </w:p>
    <w:p>
      <w:pPr>
        <w:pStyle w:val="2"/>
        <w:ind w:firstLine="640" w:firstLineChars="200"/>
        <w:rPr>
          <w:rFonts w:hint="default"/>
          <w:lang w:val="en-US" w:eastAsia="zh-CN"/>
        </w:rPr>
      </w:pPr>
      <w:r>
        <w:rPr>
          <w:rFonts w:ascii="仿宋" w:hAnsi="仿宋" w:eastAsia="仿宋"/>
          <w:color w:val="auto"/>
          <w:sz w:val="32"/>
          <w:szCs w:val="32"/>
          <w:highlight w:val="none"/>
        </w:rPr>
        <w:t>20</w:t>
      </w:r>
      <w:r>
        <w:rPr>
          <w:rFonts w:hint="eastAsia" w:ascii="仿宋" w:hAnsi="仿宋" w:eastAsia="仿宋"/>
          <w:color w:val="auto"/>
          <w:sz w:val="32"/>
          <w:szCs w:val="32"/>
          <w:highlight w:val="none"/>
          <w:lang w:val="en-US" w:eastAsia="zh-CN"/>
        </w:rPr>
        <w:t>22</w:t>
      </w:r>
      <w:r>
        <w:rPr>
          <w:rFonts w:hint="eastAsia" w:ascii="仿宋" w:hAnsi="仿宋" w:eastAsia="仿宋"/>
          <w:color w:val="auto"/>
          <w:sz w:val="32"/>
          <w:szCs w:val="32"/>
          <w:highlight w:val="none"/>
        </w:rPr>
        <w:t>年一般公共预算财政拨款支出</w:t>
      </w:r>
      <w:r>
        <w:rPr>
          <w:rFonts w:hint="eastAsia" w:ascii="仿宋" w:hAnsi="仿宋" w:eastAsia="仿宋"/>
          <w:color w:val="auto"/>
          <w:sz w:val="32"/>
          <w:szCs w:val="32"/>
          <w:highlight w:val="none"/>
          <w:lang w:val="en-US" w:eastAsia="zh-CN"/>
        </w:rPr>
        <w:t>5409.36</w:t>
      </w:r>
      <w:r>
        <w:rPr>
          <w:rFonts w:hint="eastAsia" w:ascii="仿宋" w:hAnsi="仿宋" w:eastAsia="仿宋"/>
          <w:color w:val="auto"/>
          <w:sz w:val="32"/>
          <w:szCs w:val="32"/>
          <w:highlight w:val="none"/>
        </w:rPr>
        <w:t>万元，占本年支出合计的</w:t>
      </w:r>
      <w:r>
        <w:rPr>
          <w:rFonts w:hint="eastAsia" w:ascii="仿宋" w:hAnsi="仿宋" w:eastAsia="仿宋"/>
          <w:color w:val="auto"/>
          <w:sz w:val="32"/>
          <w:szCs w:val="32"/>
          <w:highlight w:val="none"/>
          <w:lang w:val="en-US" w:eastAsia="zh-CN"/>
        </w:rPr>
        <w:t>99.88</w:t>
      </w:r>
      <w:r>
        <w:rPr>
          <w:rFonts w:ascii="仿宋" w:hAnsi="仿宋" w:eastAsia="仿宋"/>
          <w:color w:val="auto"/>
          <w:sz w:val="32"/>
          <w:szCs w:val="32"/>
          <w:highlight w:val="none"/>
        </w:rPr>
        <w:t>%</w:t>
      </w:r>
      <w:r>
        <w:rPr>
          <w:rFonts w:hint="eastAsia" w:ascii="仿宋" w:hAnsi="仿宋" w:eastAsia="仿宋"/>
          <w:color w:val="auto"/>
          <w:sz w:val="32"/>
          <w:szCs w:val="32"/>
          <w:highlight w:val="none"/>
        </w:rPr>
        <w:t>。与</w:t>
      </w:r>
      <w:r>
        <w:rPr>
          <w:rFonts w:ascii="仿宋" w:hAnsi="仿宋" w:eastAsia="仿宋"/>
          <w:color w:val="auto"/>
          <w:sz w:val="32"/>
          <w:szCs w:val="32"/>
          <w:highlight w:val="none"/>
        </w:rPr>
        <w:t>20</w:t>
      </w:r>
      <w:r>
        <w:rPr>
          <w:rFonts w:hint="eastAsia" w:ascii="仿宋" w:hAnsi="仿宋" w:eastAsia="仿宋"/>
          <w:color w:val="auto"/>
          <w:sz w:val="32"/>
          <w:szCs w:val="32"/>
          <w:highlight w:val="none"/>
          <w:lang w:val="en-US" w:eastAsia="zh-CN"/>
        </w:rPr>
        <w:t>21</w:t>
      </w:r>
      <w:r>
        <w:rPr>
          <w:rFonts w:hint="eastAsia" w:ascii="仿宋" w:hAnsi="仿宋" w:eastAsia="仿宋"/>
          <w:color w:val="auto"/>
          <w:sz w:val="32"/>
          <w:szCs w:val="32"/>
          <w:highlight w:val="none"/>
        </w:rPr>
        <w:t>年相比，一般公共预算财政拨款</w:t>
      </w:r>
      <w:r>
        <w:rPr>
          <w:rFonts w:hint="eastAsia" w:ascii="仿宋" w:hAnsi="仿宋" w:eastAsia="仿宋"/>
          <w:color w:val="auto"/>
          <w:sz w:val="32"/>
          <w:szCs w:val="32"/>
          <w:highlight w:val="none"/>
          <w:lang w:val="en-US" w:eastAsia="zh-CN"/>
        </w:rPr>
        <w:t>支出</w:t>
      </w:r>
      <w:r>
        <w:rPr>
          <w:rFonts w:hint="eastAsia" w:ascii="仿宋" w:hAnsi="仿宋" w:eastAsia="仿宋"/>
          <w:color w:val="auto"/>
          <w:sz w:val="32"/>
          <w:szCs w:val="32"/>
          <w:highlight w:val="none"/>
        </w:rPr>
        <w:t>总计增加</w:t>
      </w:r>
      <w:r>
        <w:rPr>
          <w:rFonts w:hint="eastAsia" w:ascii="仿宋" w:hAnsi="仿宋" w:eastAsia="仿宋"/>
          <w:color w:val="auto"/>
          <w:sz w:val="32"/>
          <w:szCs w:val="32"/>
          <w:highlight w:val="none"/>
          <w:lang w:val="en-US" w:eastAsia="zh-CN"/>
        </w:rPr>
        <w:t>1121.62</w:t>
      </w:r>
      <w:r>
        <w:rPr>
          <w:rFonts w:hint="eastAsia" w:ascii="仿宋" w:hAnsi="仿宋" w:eastAsia="仿宋"/>
          <w:color w:val="auto"/>
          <w:sz w:val="32"/>
          <w:szCs w:val="32"/>
          <w:highlight w:val="none"/>
        </w:rPr>
        <w:t>万元，增长</w:t>
      </w:r>
      <w:r>
        <w:rPr>
          <w:rFonts w:hint="eastAsia" w:ascii="仿宋" w:hAnsi="仿宋" w:eastAsia="仿宋"/>
          <w:color w:val="auto"/>
          <w:sz w:val="32"/>
          <w:szCs w:val="32"/>
          <w:highlight w:val="none"/>
          <w:lang w:val="en-US" w:eastAsia="zh-CN"/>
        </w:rPr>
        <w:t>26.16</w:t>
      </w:r>
      <w:r>
        <w:rPr>
          <w:rFonts w:ascii="仿宋" w:hAnsi="仿宋" w:eastAsia="仿宋"/>
          <w:color w:val="auto"/>
          <w:sz w:val="32"/>
          <w:szCs w:val="32"/>
          <w:highlight w:val="none"/>
        </w:rPr>
        <w:t>%</w:t>
      </w:r>
      <w:r>
        <w:rPr>
          <w:rFonts w:hint="eastAsia" w:ascii="仿宋" w:hAnsi="仿宋" w:eastAsia="仿宋"/>
          <w:color w:val="auto"/>
          <w:sz w:val="32"/>
          <w:szCs w:val="32"/>
          <w:highlight w:val="none"/>
        </w:rPr>
        <w:t>。主要</w:t>
      </w:r>
      <w:r>
        <w:rPr>
          <w:rFonts w:hint="eastAsia" w:ascii="仿宋" w:hAnsi="仿宋" w:eastAsia="仿宋"/>
          <w:color w:val="auto"/>
          <w:sz w:val="32"/>
          <w:szCs w:val="32"/>
          <w:highlight w:val="none"/>
          <w:lang w:eastAsia="zh-CN"/>
        </w:rPr>
        <w:t>变动原因</w:t>
      </w:r>
      <w:r>
        <w:rPr>
          <w:rFonts w:hint="eastAsia" w:ascii="仿宋" w:hAnsi="仿宋" w:eastAsia="仿宋"/>
          <w:color w:val="auto"/>
          <w:sz w:val="32"/>
          <w:szCs w:val="32"/>
          <w:highlight w:val="none"/>
          <w:lang w:val="en-US" w:eastAsia="zh-CN"/>
        </w:rPr>
        <w:t>项目增加，支出增加。</w:t>
      </w:r>
    </w:p>
    <w:p>
      <w:pPr>
        <w:spacing w:line="600" w:lineRule="exact"/>
        <w:ind w:firstLine="640" w:firstLineChars="200"/>
        <w:rPr>
          <w:rFonts w:ascii="仿宋" w:hAnsi="仿宋" w:eastAsia="仿宋"/>
          <w:color w:val="auto"/>
          <w:sz w:val="32"/>
          <w:szCs w:val="32"/>
          <w:highlight w:val="none"/>
        </w:rPr>
      </w:pPr>
    </w:p>
    <w:p>
      <w:pPr>
        <w:pStyle w:val="2"/>
      </w:pPr>
      <w:r>
        <w:rPr>
          <w:rFonts w:hint="eastAsia"/>
          <w:lang w:eastAsia="zh-CN"/>
        </w:rPr>
        <w:drawing>
          <wp:inline distT="0" distB="0" distL="114300" distR="114300">
            <wp:extent cx="5256530" cy="2988310"/>
            <wp:effectExtent l="5080" t="4445" r="11430" b="9525"/>
            <wp:docPr id="7"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pPr>
        <w:spacing w:line="600" w:lineRule="exact"/>
        <w:ind w:firstLine="640" w:firstLineChars="200"/>
        <w:rPr>
          <w:rFonts w:ascii="仿宋" w:hAnsi="仿宋" w:eastAsia="仿宋"/>
          <w:color w:val="auto"/>
          <w:sz w:val="32"/>
          <w:szCs w:val="32"/>
          <w:highlight w:val="none"/>
        </w:rPr>
      </w:pPr>
      <w:r>
        <w:rPr>
          <w:rFonts w:hint="eastAsia" w:ascii="仿宋" w:hAnsi="仿宋" w:eastAsia="仿宋"/>
          <w:color w:val="auto"/>
          <w:sz w:val="32"/>
          <w:szCs w:val="32"/>
          <w:highlight w:val="none"/>
        </w:rPr>
        <w:t>（图5：一般公共预算财政拨款支出决算变动情况）（柱状图）</w:t>
      </w:r>
    </w:p>
    <w:p>
      <w:pPr>
        <w:spacing w:line="600" w:lineRule="exact"/>
        <w:ind w:firstLine="640" w:firstLineChars="200"/>
        <w:rPr>
          <w:rFonts w:ascii="仿宋" w:hAnsi="仿宋" w:eastAsia="仿宋"/>
          <w:color w:val="auto"/>
          <w:sz w:val="32"/>
          <w:szCs w:val="32"/>
          <w:highlight w:val="none"/>
        </w:rPr>
      </w:pPr>
    </w:p>
    <w:p>
      <w:pPr>
        <w:spacing w:line="600" w:lineRule="exact"/>
        <w:ind w:firstLine="643" w:firstLineChars="200"/>
        <w:outlineLvl w:val="2"/>
        <w:rPr>
          <w:rFonts w:ascii="仿宋" w:hAnsi="仿宋" w:eastAsia="仿宋"/>
          <w:b/>
          <w:color w:val="auto"/>
          <w:sz w:val="32"/>
          <w:szCs w:val="32"/>
          <w:highlight w:val="none"/>
        </w:rPr>
      </w:pPr>
      <w:bookmarkStart w:id="62" w:name="_Toc15377211"/>
      <w:r>
        <w:rPr>
          <w:rFonts w:hint="eastAsia" w:ascii="仿宋" w:hAnsi="仿宋" w:eastAsia="仿宋"/>
          <w:b/>
          <w:color w:val="auto"/>
          <w:sz w:val="32"/>
          <w:szCs w:val="32"/>
          <w:highlight w:val="none"/>
        </w:rPr>
        <w:t>（二）一般公共预算财政拨款支出决算结构情况</w:t>
      </w:r>
      <w:bookmarkEnd w:id="62"/>
    </w:p>
    <w:p>
      <w:pPr>
        <w:spacing w:line="600" w:lineRule="exact"/>
        <w:ind w:firstLine="640"/>
        <w:rPr>
          <w:rFonts w:hint="eastAsia" w:ascii="仿宋" w:hAnsi="仿宋" w:eastAsia="仿宋"/>
          <w:color w:val="auto"/>
          <w:sz w:val="32"/>
          <w:szCs w:val="32"/>
          <w:highlight w:val="none"/>
        </w:rPr>
      </w:pPr>
      <w:r>
        <w:rPr>
          <w:rFonts w:ascii="仿宋" w:hAnsi="仿宋" w:eastAsia="仿宋"/>
          <w:color w:val="auto"/>
          <w:sz w:val="32"/>
          <w:szCs w:val="32"/>
          <w:highlight w:val="none"/>
        </w:rPr>
        <w:t>20</w:t>
      </w:r>
      <w:r>
        <w:rPr>
          <w:rFonts w:hint="eastAsia" w:ascii="仿宋" w:hAnsi="仿宋" w:eastAsia="仿宋"/>
          <w:color w:val="auto"/>
          <w:sz w:val="32"/>
          <w:szCs w:val="32"/>
          <w:highlight w:val="none"/>
          <w:lang w:val="en-US" w:eastAsia="zh-CN"/>
        </w:rPr>
        <w:t>22</w:t>
      </w:r>
      <w:r>
        <w:rPr>
          <w:rFonts w:hint="eastAsia" w:ascii="仿宋" w:hAnsi="仿宋" w:eastAsia="仿宋"/>
          <w:color w:val="auto"/>
          <w:sz w:val="32"/>
          <w:szCs w:val="32"/>
          <w:highlight w:val="none"/>
        </w:rPr>
        <w:t>年一般公共预算财政拨款支出</w:t>
      </w:r>
      <w:r>
        <w:rPr>
          <w:rFonts w:hint="eastAsia" w:ascii="仿宋" w:hAnsi="仿宋" w:eastAsia="仿宋"/>
          <w:color w:val="auto"/>
          <w:sz w:val="32"/>
          <w:szCs w:val="32"/>
          <w:highlight w:val="none"/>
          <w:lang w:val="en-US" w:eastAsia="zh-CN"/>
        </w:rPr>
        <w:t>5409.39</w:t>
      </w:r>
      <w:r>
        <w:rPr>
          <w:rFonts w:hint="eastAsia" w:ascii="仿宋" w:hAnsi="仿宋" w:eastAsia="仿宋"/>
          <w:color w:val="auto"/>
          <w:sz w:val="32"/>
          <w:szCs w:val="32"/>
          <w:highlight w:val="none"/>
        </w:rPr>
        <w:t>万元，主要用于以下方面</w:t>
      </w:r>
      <w:r>
        <w:rPr>
          <w:rFonts w:ascii="仿宋" w:hAnsi="仿宋" w:eastAsia="仿宋"/>
          <w:color w:val="auto"/>
          <w:sz w:val="32"/>
          <w:szCs w:val="32"/>
          <w:highlight w:val="none"/>
        </w:rPr>
        <w:t>:</w:t>
      </w:r>
      <w:r>
        <w:rPr>
          <w:rFonts w:hint="eastAsia" w:ascii="仿宋" w:hAnsi="仿宋" w:eastAsia="仿宋"/>
          <w:b/>
          <w:color w:val="auto"/>
          <w:sz w:val="32"/>
          <w:szCs w:val="32"/>
          <w:highlight w:val="none"/>
        </w:rPr>
        <w:t>科学技术</w:t>
      </w:r>
      <w:r>
        <w:rPr>
          <w:rFonts w:hint="eastAsia" w:ascii="仿宋" w:hAnsi="仿宋" w:eastAsia="仿宋"/>
          <w:b/>
          <w:bCs/>
          <w:color w:val="auto"/>
          <w:sz w:val="32"/>
          <w:szCs w:val="32"/>
          <w:highlight w:val="none"/>
        </w:rPr>
        <w:t>支出</w:t>
      </w:r>
      <w:r>
        <w:rPr>
          <w:rFonts w:hint="eastAsia" w:ascii="仿宋" w:hAnsi="仿宋" w:eastAsia="仿宋"/>
          <w:b/>
          <w:bCs/>
          <w:color w:val="auto"/>
          <w:sz w:val="32"/>
          <w:szCs w:val="32"/>
          <w:highlight w:val="none"/>
          <w:lang w:eastAsia="zh-CN"/>
        </w:rPr>
        <w:t>（</w:t>
      </w:r>
      <w:r>
        <w:rPr>
          <w:rFonts w:hint="eastAsia" w:ascii="仿宋" w:hAnsi="仿宋" w:eastAsia="仿宋"/>
          <w:b/>
          <w:bCs/>
          <w:color w:val="auto"/>
          <w:sz w:val="32"/>
          <w:szCs w:val="32"/>
          <w:highlight w:val="none"/>
          <w:lang w:val="en-US" w:eastAsia="zh-CN"/>
        </w:rPr>
        <w:t>类</w:t>
      </w:r>
      <w:r>
        <w:rPr>
          <w:rFonts w:hint="eastAsia" w:ascii="仿宋" w:hAnsi="仿宋" w:eastAsia="仿宋"/>
          <w:b/>
          <w:bCs/>
          <w:color w:val="auto"/>
          <w:sz w:val="32"/>
          <w:szCs w:val="32"/>
          <w:highlight w:val="none"/>
          <w:lang w:eastAsia="zh-CN"/>
        </w:rPr>
        <w:t>）</w:t>
      </w:r>
      <w:r>
        <w:rPr>
          <w:rFonts w:hint="eastAsia" w:ascii="仿宋" w:hAnsi="仿宋" w:eastAsia="仿宋"/>
          <w:color w:val="auto"/>
          <w:sz w:val="32"/>
          <w:szCs w:val="32"/>
          <w:highlight w:val="none"/>
          <w:lang w:val="en-US" w:eastAsia="zh-CN"/>
        </w:rPr>
        <w:t>0.53</w:t>
      </w:r>
      <w:r>
        <w:rPr>
          <w:rFonts w:hint="eastAsia" w:ascii="仿宋" w:hAnsi="仿宋" w:eastAsia="仿宋"/>
          <w:color w:val="auto"/>
          <w:sz w:val="32"/>
          <w:szCs w:val="32"/>
          <w:highlight w:val="none"/>
        </w:rPr>
        <w:t>万元</w:t>
      </w:r>
      <w:r>
        <w:rPr>
          <w:rFonts w:hint="eastAsia" w:ascii="仿宋" w:hAnsi="仿宋" w:eastAsia="仿宋"/>
          <w:color w:val="auto"/>
          <w:sz w:val="32"/>
          <w:szCs w:val="32"/>
          <w:highlight w:val="none"/>
          <w:lang w:eastAsia="zh-CN"/>
        </w:rPr>
        <w:t>，</w:t>
      </w:r>
      <w:r>
        <w:rPr>
          <w:rFonts w:hint="eastAsia" w:ascii="仿宋" w:hAnsi="仿宋" w:eastAsia="仿宋"/>
          <w:color w:val="auto"/>
          <w:sz w:val="32"/>
          <w:szCs w:val="32"/>
          <w:highlight w:val="none"/>
          <w:lang w:val="en-US" w:eastAsia="zh-CN"/>
        </w:rPr>
        <w:t>占0.01%</w:t>
      </w:r>
      <w:r>
        <w:rPr>
          <w:rFonts w:hint="eastAsia" w:ascii="仿宋" w:hAnsi="仿宋" w:eastAsia="仿宋"/>
          <w:color w:val="auto"/>
          <w:sz w:val="32"/>
          <w:szCs w:val="32"/>
          <w:highlight w:val="none"/>
        </w:rPr>
        <w:t>；</w:t>
      </w:r>
      <w:r>
        <w:rPr>
          <w:rFonts w:hint="eastAsia" w:ascii="仿宋" w:hAnsi="仿宋" w:eastAsia="仿宋"/>
          <w:b/>
          <w:bCs/>
          <w:color w:val="auto"/>
          <w:sz w:val="32"/>
          <w:szCs w:val="32"/>
          <w:highlight w:val="none"/>
        </w:rPr>
        <w:t>文化旅游体育与传媒支出</w:t>
      </w:r>
      <w:r>
        <w:rPr>
          <w:rFonts w:hint="eastAsia" w:ascii="仿宋" w:hAnsi="仿宋" w:eastAsia="仿宋"/>
          <w:b/>
          <w:bCs/>
          <w:color w:val="auto"/>
          <w:sz w:val="32"/>
          <w:szCs w:val="32"/>
          <w:highlight w:val="none"/>
          <w:lang w:eastAsia="zh-CN"/>
        </w:rPr>
        <w:t>（</w:t>
      </w:r>
      <w:r>
        <w:rPr>
          <w:rFonts w:hint="eastAsia" w:ascii="仿宋" w:hAnsi="仿宋" w:eastAsia="仿宋"/>
          <w:b/>
          <w:bCs/>
          <w:color w:val="auto"/>
          <w:sz w:val="32"/>
          <w:szCs w:val="32"/>
          <w:highlight w:val="none"/>
          <w:lang w:val="en-US" w:eastAsia="zh-CN"/>
        </w:rPr>
        <w:t>类</w:t>
      </w:r>
      <w:r>
        <w:rPr>
          <w:rFonts w:hint="eastAsia" w:ascii="仿宋" w:hAnsi="仿宋" w:eastAsia="仿宋"/>
          <w:b/>
          <w:bCs/>
          <w:color w:val="auto"/>
          <w:sz w:val="32"/>
          <w:szCs w:val="32"/>
          <w:highlight w:val="none"/>
          <w:lang w:eastAsia="zh-CN"/>
        </w:rPr>
        <w:t>）</w:t>
      </w:r>
      <w:r>
        <w:rPr>
          <w:rFonts w:hint="eastAsia" w:ascii="仿宋" w:hAnsi="仿宋" w:eastAsia="仿宋"/>
          <w:b w:val="0"/>
          <w:bCs w:val="0"/>
          <w:color w:val="auto"/>
          <w:sz w:val="32"/>
          <w:szCs w:val="32"/>
          <w:highlight w:val="none"/>
          <w:lang w:val="en-US" w:eastAsia="zh-CN"/>
        </w:rPr>
        <w:t>3279.33</w:t>
      </w:r>
      <w:r>
        <w:rPr>
          <w:rFonts w:hint="eastAsia" w:ascii="仿宋" w:hAnsi="仿宋" w:eastAsia="仿宋"/>
          <w:b w:val="0"/>
          <w:bCs w:val="0"/>
          <w:color w:val="auto"/>
          <w:sz w:val="32"/>
          <w:szCs w:val="32"/>
          <w:highlight w:val="none"/>
        </w:rPr>
        <w:t>万元</w:t>
      </w:r>
      <w:r>
        <w:rPr>
          <w:rFonts w:hint="eastAsia" w:ascii="仿宋" w:hAnsi="仿宋" w:eastAsia="仿宋"/>
          <w:b/>
          <w:bCs/>
          <w:color w:val="auto"/>
          <w:sz w:val="32"/>
          <w:szCs w:val="32"/>
          <w:highlight w:val="none"/>
        </w:rPr>
        <w:t>，</w:t>
      </w:r>
      <w:r>
        <w:rPr>
          <w:rFonts w:hint="eastAsia" w:ascii="仿宋" w:hAnsi="仿宋" w:eastAsia="仿宋"/>
          <w:b w:val="0"/>
          <w:bCs w:val="0"/>
          <w:color w:val="auto"/>
          <w:sz w:val="32"/>
          <w:szCs w:val="32"/>
          <w:highlight w:val="none"/>
        </w:rPr>
        <w:t>占</w:t>
      </w:r>
      <w:r>
        <w:rPr>
          <w:rFonts w:hint="eastAsia" w:ascii="仿宋" w:hAnsi="仿宋" w:eastAsia="仿宋"/>
          <w:b w:val="0"/>
          <w:bCs w:val="0"/>
          <w:color w:val="auto"/>
          <w:sz w:val="32"/>
          <w:szCs w:val="32"/>
          <w:highlight w:val="none"/>
          <w:lang w:val="en-US" w:eastAsia="zh-CN"/>
        </w:rPr>
        <w:t>60.62</w:t>
      </w:r>
      <w:r>
        <w:rPr>
          <w:rFonts w:ascii="仿宋" w:hAnsi="仿宋" w:eastAsia="仿宋"/>
          <w:b w:val="0"/>
          <w:bCs w:val="0"/>
          <w:color w:val="auto"/>
          <w:sz w:val="32"/>
          <w:szCs w:val="32"/>
          <w:highlight w:val="none"/>
        </w:rPr>
        <w:t>%</w:t>
      </w:r>
      <w:r>
        <w:rPr>
          <w:rFonts w:hint="eastAsia" w:ascii="仿宋" w:hAnsi="仿宋" w:eastAsia="仿宋"/>
          <w:color w:val="auto"/>
          <w:sz w:val="32"/>
          <w:szCs w:val="32"/>
          <w:highlight w:val="none"/>
        </w:rPr>
        <w:t>；</w:t>
      </w:r>
      <w:r>
        <w:rPr>
          <w:rFonts w:hint="eastAsia" w:ascii="仿宋" w:hAnsi="仿宋" w:eastAsia="仿宋"/>
          <w:b/>
          <w:color w:val="auto"/>
          <w:sz w:val="32"/>
          <w:szCs w:val="32"/>
          <w:highlight w:val="none"/>
        </w:rPr>
        <w:t>社会保障和就业</w:t>
      </w:r>
      <w:r>
        <w:rPr>
          <w:rFonts w:hint="eastAsia" w:ascii="仿宋" w:hAnsi="仿宋" w:eastAsia="仿宋"/>
          <w:b/>
          <w:bCs/>
          <w:color w:val="auto"/>
          <w:sz w:val="32"/>
          <w:szCs w:val="32"/>
          <w:highlight w:val="none"/>
        </w:rPr>
        <w:t>支出</w:t>
      </w:r>
      <w:r>
        <w:rPr>
          <w:rFonts w:hint="eastAsia" w:ascii="仿宋" w:hAnsi="仿宋" w:eastAsia="仿宋"/>
          <w:b/>
          <w:bCs/>
          <w:color w:val="auto"/>
          <w:sz w:val="32"/>
          <w:szCs w:val="32"/>
          <w:highlight w:val="none"/>
          <w:lang w:eastAsia="zh-CN"/>
        </w:rPr>
        <w:t>（</w:t>
      </w:r>
      <w:r>
        <w:rPr>
          <w:rFonts w:hint="eastAsia" w:ascii="仿宋" w:hAnsi="仿宋" w:eastAsia="仿宋"/>
          <w:b/>
          <w:bCs/>
          <w:color w:val="auto"/>
          <w:sz w:val="32"/>
          <w:szCs w:val="32"/>
          <w:highlight w:val="none"/>
          <w:lang w:val="en-US" w:eastAsia="zh-CN"/>
        </w:rPr>
        <w:t>类</w:t>
      </w:r>
      <w:r>
        <w:rPr>
          <w:rFonts w:hint="eastAsia" w:ascii="仿宋" w:hAnsi="仿宋" w:eastAsia="仿宋"/>
          <w:b/>
          <w:bCs/>
          <w:color w:val="auto"/>
          <w:sz w:val="32"/>
          <w:szCs w:val="32"/>
          <w:highlight w:val="none"/>
          <w:lang w:eastAsia="zh-CN"/>
        </w:rPr>
        <w:t>）</w:t>
      </w:r>
      <w:r>
        <w:rPr>
          <w:rFonts w:hint="eastAsia" w:ascii="仿宋" w:hAnsi="仿宋" w:eastAsia="仿宋"/>
          <w:color w:val="auto"/>
          <w:sz w:val="32"/>
          <w:szCs w:val="32"/>
          <w:highlight w:val="none"/>
          <w:lang w:val="en-US" w:eastAsia="zh-CN"/>
        </w:rPr>
        <w:t>111.51</w:t>
      </w:r>
      <w:r>
        <w:rPr>
          <w:rFonts w:hint="eastAsia" w:ascii="仿宋" w:hAnsi="仿宋" w:eastAsia="仿宋"/>
          <w:color w:val="auto"/>
          <w:sz w:val="32"/>
          <w:szCs w:val="32"/>
          <w:highlight w:val="none"/>
        </w:rPr>
        <w:t>万元，占</w:t>
      </w:r>
      <w:r>
        <w:rPr>
          <w:rFonts w:hint="eastAsia" w:ascii="仿宋" w:hAnsi="仿宋" w:eastAsia="仿宋"/>
          <w:color w:val="auto"/>
          <w:sz w:val="32"/>
          <w:szCs w:val="32"/>
          <w:highlight w:val="none"/>
          <w:lang w:val="en-US" w:eastAsia="zh-CN"/>
        </w:rPr>
        <w:t>2.06%</w:t>
      </w:r>
      <w:r>
        <w:rPr>
          <w:rFonts w:hint="eastAsia" w:ascii="仿宋" w:hAnsi="仿宋" w:eastAsia="仿宋"/>
          <w:color w:val="auto"/>
          <w:sz w:val="32"/>
          <w:szCs w:val="32"/>
          <w:highlight w:val="none"/>
        </w:rPr>
        <w:t>；</w:t>
      </w:r>
      <w:r>
        <w:rPr>
          <w:rFonts w:hint="eastAsia" w:ascii="仿宋" w:hAnsi="仿宋" w:eastAsia="仿宋"/>
          <w:b/>
          <w:bCs/>
          <w:color w:val="auto"/>
          <w:sz w:val="32"/>
          <w:szCs w:val="32"/>
          <w:highlight w:val="none"/>
        </w:rPr>
        <w:t>卫生健康支出</w:t>
      </w:r>
      <w:r>
        <w:rPr>
          <w:rFonts w:hint="eastAsia" w:ascii="仿宋" w:hAnsi="仿宋" w:eastAsia="仿宋"/>
          <w:b/>
          <w:bCs/>
          <w:color w:val="auto"/>
          <w:sz w:val="32"/>
          <w:szCs w:val="32"/>
          <w:highlight w:val="none"/>
          <w:lang w:eastAsia="zh-CN"/>
        </w:rPr>
        <w:t>（</w:t>
      </w:r>
      <w:r>
        <w:rPr>
          <w:rFonts w:hint="eastAsia" w:ascii="仿宋" w:hAnsi="仿宋" w:eastAsia="仿宋"/>
          <w:b/>
          <w:bCs/>
          <w:color w:val="auto"/>
          <w:sz w:val="32"/>
          <w:szCs w:val="32"/>
          <w:highlight w:val="none"/>
          <w:lang w:val="en-US" w:eastAsia="zh-CN"/>
        </w:rPr>
        <w:t>类</w:t>
      </w:r>
      <w:r>
        <w:rPr>
          <w:rFonts w:hint="eastAsia" w:ascii="仿宋" w:hAnsi="仿宋" w:eastAsia="仿宋"/>
          <w:b/>
          <w:bCs/>
          <w:color w:val="auto"/>
          <w:sz w:val="32"/>
          <w:szCs w:val="32"/>
          <w:highlight w:val="none"/>
          <w:lang w:eastAsia="zh-CN"/>
        </w:rPr>
        <w:t>）</w:t>
      </w:r>
      <w:r>
        <w:rPr>
          <w:rFonts w:hint="eastAsia" w:ascii="仿宋" w:hAnsi="仿宋" w:eastAsia="仿宋"/>
          <w:color w:val="auto"/>
          <w:sz w:val="32"/>
          <w:szCs w:val="32"/>
          <w:highlight w:val="none"/>
          <w:lang w:val="en-US" w:eastAsia="zh-CN"/>
        </w:rPr>
        <w:t>44.77</w:t>
      </w:r>
      <w:r>
        <w:rPr>
          <w:rFonts w:hint="eastAsia" w:ascii="仿宋" w:hAnsi="仿宋" w:eastAsia="仿宋"/>
          <w:color w:val="auto"/>
          <w:sz w:val="32"/>
          <w:szCs w:val="32"/>
          <w:highlight w:val="none"/>
        </w:rPr>
        <w:t>万元，占</w:t>
      </w:r>
      <w:r>
        <w:rPr>
          <w:rFonts w:hint="eastAsia" w:ascii="仿宋" w:hAnsi="仿宋" w:eastAsia="仿宋"/>
          <w:color w:val="auto"/>
          <w:sz w:val="32"/>
          <w:szCs w:val="32"/>
          <w:highlight w:val="none"/>
          <w:lang w:val="en-US" w:eastAsia="zh-CN"/>
        </w:rPr>
        <w:t>0.83</w:t>
      </w:r>
      <w:r>
        <w:rPr>
          <w:rFonts w:ascii="仿宋" w:hAnsi="仿宋" w:eastAsia="仿宋"/>
          <w:color w:val="auto"/>
          <w:sz w:val="32"/>
          <w:szCs w:val="32"/>
          <w:highlight w:val="none"/>
        </w:rPr>
        <w:t>%</w:t>
      </w:r>
      <w:r>
        <w:rPr>
          <w:rFonts w:hint="eastAsia" w:ascii="仿宋" w:hAnsi="仿宋" w:eastAsia="仿宋"/>
          <w:color w:val="auto"/>
          <w:sz w:val="32"/>
          <w:szCs w:val="32"/>
          <w:highlight w:val="none"/>
        </w:rPr>
        <w:t>；</w:t>
      </w:r>
      <w:r>
        <w:rPr>
          <w:rFonts w:hint="eastAsia" w:ascii="仿宋" w:hAnsi="仿宋" w:eastAsia="仿宋"/>
          <w:b/>
          <w:bCs/>
          <w:color w:val="auto"/>
          <w:sz w:val="32"/>
          <w:szCs w:val="32"/>
          <w:highlight w:val="none"/>
        </w:rPr>
        <w:t>住房保障支出</w:t>
      </w:r>
      <w:r>
        <w:rPr>
          <w:rFonts w:hint="eastAsia" w:ascii="仿宋" w:hAnsi="仿宋" w:eastAsia="仿宋"/>
          <w:b/>
          <w:bCs/>
          <w:color w:val="auto"/>
          <w:sz w:val="32"/>
          <w:szCs w:val="32"/>
          <w:highlight w:val="none"/>
          <w:lang w:eastAsia="zh-CN"/>
        </w:rPr>
        <w:t>（</w:t>
      </w:r>
      <w:r>
        <w:rPr>
          <w:rFonts w:hint="eastAsia" w:ascii="仿宋" w:hAnsi="仿宋" w:eastAsia="仿宋"/>
          <w:b/>
          <w:bCs/>
          <w:color w:val="auto"/>
          <w:sz w:val="32"/>
          <w:szCs w:val="32"/>
          <w:highlight w:val="none"/>
          <w:lang w:val="en-US" w:eastAsia="zh-CN"/>
        </w:rPr>
        <w:t>类</w:t>
      </w:r>
      <w:r>
        <w:rPr>
          <w:rFonts w:hint="eastAsia" w:ascii="仿宋" w:hAnsi="仿宋" w:eastAsia="仿宋"/>
          <w:b/>
          <w:bCs/>
          <w:color w:val="auto"/>
          <w:sz w:val="32"/>
          <w:szCs w:val="32"/>
          <w:highlight w:val="none"/>
          <w:lang w:eastAsia="zh-CN"/>
        </w:rPr>
        <w:t>）</w:t>
      </w:r>
      <w:r>
        <w:rPr>
          <w:rFonts w:hint="eastAsia" w:ascii="仿宋" w:hAnsi="仿宋" w:eastAsia="仿宋"/>
          <w:color w:val="auto"/>
          <w:sz w:val="32"/>
          <w:szCs w:val="32"/>
          <w:highlight w:val="none"/>
          <w:lang w:val="en-US" w:eastAsia="zh-CN"/>
        </w:rPr>
        <w:t>66.47</w:t>
      </w:r>
      <w:r>
        <w:rPr>
          <w:rFonts w:hint="eastAsia" w:ascii="仿宋" w:hAnsi="仿宋" w:eastAsia="仿宋"/>
          <w:color w:val="auto"/>
          <w:sz w:val="32"/>
          <w:szCs w:val="32"/>
          <w:highlight w:val="none"/>
        </w:rPr>
        <w:t>万元，占</w:t>
      </w:r>
      <w:r>
        <w:rPr>
          <w:rFonts w:hint="eastAsia" w:ascii="仿宋" w:hAnsi="仿宋" w:eastAsia="仿宋"/>
          <w:color w:val="auto"/>
          <w:sz w:val="32"/>
          <w:szCs w:val="32"/>
          <w:highlight w:val="none"/>
          <w:lang w:val="en-US" w:eastAsia="zh-CN"/>
        </w:rPr>
        <w:t>1.23</w:t>
      </w:r>
      <w:r>
        <w:rPr>
          <w:rFonts w:ascii="仿宋" w:hAnsi="仿宋" w:eastAsia="仿宋"/>
          <w:color w:val="auto"/>
          <w:sz w:val="32"/>
          <w:szCs w:val="32"/>
          <w:highlight w:val="none"/>
        </w:rPr>
        <w:t>%</w:t>
      </w:r>
      <w:r>
        <w:rPr>
          <w:rFonts w:hint="eastAsia" w:ascii="仿宋" w:hAnsi="仿宋" w:eastAsia="仿宋"/>
          <w:color w:val="auto"/>
          <w:sz w:val="32"/>
          <w:szCs w:val="32"/>
          <w:highlight w:val="none"/>
        </w:rPr>
        <w:t>；</w:t>
      </w:r>
      <w:r>
        <w:rPr>
          <w:rFonts w:hint="eastAsia" w:ascii="仿宋" w:hAnsi="仿宋" w:eastAsia="仿宋"/>
          <w:b/>
          <w:bCs/>
          <w:color w:val="auto"/>
          <w:sz w:val="32"/>
          <w:szCs w:val="32"/>
          <w:highlight w:val="none"/>
          <w:lang w:val="en-US" w:eastAsia="zh-CN"/>
        </w:rPr>
        <w:t>农林水支出</w:t>
      </w:r>
      <w:r>
        <w:rPr>
          <w:rFonts w:hint="eastAsia" w:ascii="仿宋" w:hAnsi="仿宋" w:eastAsia="仿宋"/>
          <w:b/>
          <w:bCs/>
          <w:color w:val="auto"/>
          <w:sz w:val="32"/>
          <w:szCs w:val="32"/>
          <w:highlight w:val="none"/>
          <w:lang w:eastAsia="zh-CN"/>
        </w:rPr>
        <w:t>（</w:t>
      </w:r>
      <w:r>
        <w:rPr>
          <w:rFonts w:hint="eastAsia" w:ascii="仿宋" w:hAnsi="仿宋" w:eastAsia="仿宋"/>
          <w:b/>
          <w:bCs/>
          <w:color w:val="auto"/>
          <w:sz w:val="32"/>
          <w:szCs w:val="32"/>
          <w:highlight w:val="none"/>
          <w:lang w:val="en-US" w:eastAsia="zh-CN"/>
        </w:rPr>
        <w:t>类</w:t>
      </w:r>
      <w:r>
        <w:rPr>
          <w:rFonts w:hint="eastAsia" w:ascii="仿宋" w:hAnsi="仿宋" w:eastAsia="仿宋"/>
          <w:b/>
          <w:bCs/>
          <w:color w:val="auto"/>
          <w:sz w:val="32"/>
          <w:szCs w:val="32"/>
          <w:highlight w:val="none"/>
          <w:lang w:eastAsia="zh-CN"/>
        </w:rPr>
        <w:t>）</w:t>
      </w:r>
      <w:r>
        <w:rPr>
          <w:rFonts w:hint="eastAsia" w:ascii="仿宋" w:hAnsi="仿宋" w:eastAsia="仿宋"/>
          <w:b w:val="0"/>
          <w:bCs w:val="0"/>
          <w:color w:val="auto"/>
          <w:sz w:val="32"/>
          <w:szCs w:val="32"/>
          <w:highlight w:val="none"/>
          <w:lang w:val="en-US" w:eastAsia="zh-CN"/>
        </w:rPr>
        <w:t>1896.28万元，占35.06%；</w:t>
      </w:r>
      <w:r>
        <w:rPr>
          <w:rFonts w:hint="eastAsia" w:ascii="仿宋" w:hAnsi="仿宋" w:eastAsia="仿宋"/>
          <w:b/>
          <w:bCs/>
          <w:color w:val="auto"/>
          <w:sz w:val="32"/>
          <w:szCs w:val="32"/>
          <w:highlight w:val="none"/>
          <w:lang w:val="en-US" w:eastAsia="zh-CN"/>
        </w:rPr>
        <w:t>其他支出</w:t>
      </w:r>
      <w:r>
        <w:rPr>
          <w:rFonts w:hint="eastAsia" w:ascii="仿宋" w:hAnsi="仿宋" w:eastAsia="仿宋"/>
          <w:b/>
          <w:bCs/>
          <w:color w:val="auto"/>
          <w:sz w:val="32"/>
          <w:szCs w:val="32"/>
          <w:highlight w:val="none"/>
          <w:lang w:eastAsia="zh-CN"/>
        </w:rPr>
        <w:t>（</w:t>
      </w:r>
      <w:r>
        <w:rPr>
          <w:rFonts w:hint="eastAsia" w:ascii="仿宋" w:hAnsi="仿宋" w:eastAsia="仿宋"/>
          <w:b/>
          <w:bCs/>
          <w:color w:val="auto"/>
          <w:sz w:val="32"/>
          <w:szCs w:val="32"/>
          <w:highlight w:val="none"/>
          <w:lang w:val="en-US" w:eastAsia="zh-CN"/>
        </w:rPr>
        <w:t>类</w:t>
      </w:r>
      <w:r>
        <w:rPr>
          <w:rFonts w:hint="eastAsia" w:ascii="仿宋" w:hAnsi="仿宋" w:eastAsia="仿宋"/>
          <w:b/>
          <w:bCs/>
          <w:color w:val="auto"/>
          <w:sz w:val="32"/>
          <w:szCs w:val="32"/>
          <w:highlight w:val="none"/>
          <w:lang w:eastAsia="zh-CN"/>
        </w:rPr>
        <w:t>）</w:t>
      </w:r>
      <w:r>
        <w:rPr>
          <w:rFonts w:hint="eastAsia" w:ascii="仿宋" w:hAnsi="仿宋" w:eastAsia="仿宋"/>
          <w:b w:val="0"/>
          <w:bCs w:val="0"/>
          <w:color w:val="auto"/>
          <w:sz w:val="32"/>
          <w:szCs w:val="32"/>
          <w:highlight w:val="none"/>
          <w:lang w:val="en-US" w:eastAsia="zh-CN"/>
        </w:rPr>
        <w:t>10.50，占0.19%</w:t>
      </w:r>
      <w:r>
        <w:rPr>
          <w:rFonts w:hint="eastAsia" w:ascii="仿宋" w:hAnsi="仿宋" w:eastAsia="仿宋"/>
          <w:color w:val="auto"/>
          <w:sz w:val="32"/>
          <w:szCs w:val="32"/>
          <w:highlight w:val="none"/>
        </w:rPr>
        <w:t>。</w:t>
      </w:r>
    </w:p>
    <w:p>
      <w:pPr>
        <w:spacing w:line="600" w:lineRule="exact"/>
        <w:ind w:firstLine="640"/>
        <w:rPr>
          <w:rFonts w:ascii="仿宋" w:hAnsi="仿宋" w:eastAsia="仿宋"/>
          <w:b/>
          <w:color w:val="auto"/>
          <w:sz w:val="32"/>
          <w:szCs w:val="32"/>
          <w:highlight w:val="none"/>
        </w:rPr>
      </w:pPr>
      <w:r>
        <w:rPr>
          <w:rFonts w:hint="eastAsia" w:ascii="仿宋" w:hAnsi="仿宋" w:eastAsia="仿宋"/>
          <w:b/>
          <w:color w:val="auto"/>
          <w:sz w:val="32"/>
          <w:szCs w:val="32"/>
          <w:highlight w:val="none"/>
        </w:rPr>
        <w:t>（</w:t>
      </w:r>
      <w:r>
        <w:rPr>
          <w:rFonts w:hint="eastAsia" w:ascii="仿宋" w:hAnsi="仿宋" w:eastAsia="仿宋"/>
          <w:b/>
          <w:color w:val="auto"/>
          <w:sz w:val="32"/>
          <w:szCs w:val="32"/>
          <w:highlight w:val="none"/>
          <w:lang w:eastAsia="zh-CN"/>
        </w:rPr>
        <w:t>注：数据来源于财决</w:t>
      </w:r>
      <w:r>
        <w:rPr>
          <w:rFonts w:hint="eastAsia" w:ascii="仿宋" w:hAnsi="仿宋" w:eastAsia="仿宋"/>
          <w:b/>
          <w:color w:val="auto"/>
          <w:sz w:val="32"/>
          <w:szCs w:val="32"/>
          <w:highlight w:val="none"/>
          <w:lang w:val="en-US" w:eastAsia="zh-CN"/>
        </w:rPr>
        <w:t>01-1表，仅</w:t>
      </w:r>
      <w:r>
        <w:rPr>
          <w:rFonts w:hint="eastAsia" w:ascii="仿宋" w:hAnsi="仿宋" w:eastAsia="仿宋"/>
          <w:b/>
          <w:color w:val="auto"/>
          <w:sz w:val="32"/>
          <w:szCs w:val="32"/>
          <w:highlight w:val="none"/>
        </w:rPr>
        <w:t>罗列</w:t>
      </w:r>
      <w:r>
        <w:rPr>
          <w:rFonts w:hint="eastAsia" w:ascii="仿宋" w:hAnsi="仿宋" w:eastAsia="仿宋"/>
          <w:b/>
          <w:color w:val="auto"/>
          <w:sz w:val="32"/>
          <w:szCs w:val="32"/>
          <w:highlight w:val="none"/>
          <w:lang w:eastAsia="zh-CN"/>
        </w:rPr>
        <w:t>本部门涉及的全部</w:t>
      </w:r>
      <w:r>
        <w:rPr>
          <w:rFonts w:hint="eastAsia" w:ascii="仿宋" w:hAnsi="仿宋" w:eastAsia="仿宋"/>
          <w:b/>
          <w:color w:val="auto"/>
          <w:sz w:val="32"/>
          <w:szCs w:val="32"/>
          <w:highlight w:val="none"/>
        </w:rPr>
        <w:t>功能分类科目，至类级。）</w:t>
      </w:r>
    </w:p>
    <w:p>
      <w:pPr>
        <w:spacing w:line="600" w:lineRule="exact"/>
        <w:ind w:firstLine="640"/>
        <w:rPr>
          <w:rFonts w:ascii="仿宋" w:hAnsi="仿宋" w:eastAsia="仿宋"/>
          <w:color w:val="auto"/>
          <w:sz w:val="32"/>
          <w:szCs w:val="32"/>
          <w:highlight w:val="none"/>
        </w:rPr>
      </w:pPr>
    </w:p>
    <w:p>
      <w:pPr>
        <w:pStyle w:val="2"/>
        <w:rPr>
          <w:rFonts w:hint="eastAsia" w:eastAsia="仿宋"/>
          <w:lang w:eastAsia="zh-CN"/>
        </w:rPr>
      </w:pPr>
      <w:r>
        <w:rPr>
          <w:rFonts w:hint="eastAsia" w:eastAsia="仿宋"/>
          <w:lang w:eastAsia="zh-CN"/>
        </w:rPr>
        <w:drawing>
          <wp:inline distT="0" distB="0" distL="114300" distR="114300">
            <wp:extent cx="5256530" cy="2988310"/>
            <wp:effectExtent l="5080" t="4445" r="11430" b="9525"/>
            <wp:docPr id="8"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pPr>
        <w:spacing w:line="600" w:lineRule="exact"/>
        <w:ind w:firstLine="640" w:firstLineChars="200"/>
        <w:rPr>
          <w:rFonts w:ascii="仿宋" w:hAnsi="仿宋" w:eastAsia="仿宋"/>
          <w:color w:val="auto"/>
          <w:sz w:val="32"/>
          <w:szCs w:val="32"/>
          <w:highlight w:val="none"/>
        </w:rPr>
      </w:pPr>
      <w:r>
        <w:rPr>
          <w:rFonts w:hint="eastAsia" w:ascii="仿宋" w:hAnsi="仿宋" w:eastAsia="仿宋"/>
          <w:color w:val="auto"/>
          <w:sz w:val="32"/>
          <w:szCs w:val="32"/>
          <w:highlight w:val="none"/>
        </w:rPr>
        <w:t>（图6：一般公共预算财政拨款支出决算结构）（饼状图）</w:t>
      </w:r>
    </w:p>
    <w:p>
      <w:pPr>
        <w:spacing w:line="600" w:lineRule="exact"/>
        <w:ind w:firstLine="640" w:firstLineChars="200"/>
        <w:rPr>
          <w:rFonts w:ascii="仿宋" w:hAnsi="仿宋" w:eastAsia="仿宋"/>
          <w:color w:val="auto"/>
          <w:sz w:val="32"/>
          <w:szCs w:val="32"/>
          <w:highlight w:val="none"/>
        </w:rPr>
      </w:pPr>
    </w:p>
    <w:p>
      <w:pPr>
        <w:spacing w:line="600" w:lineRule="exact"/>
        <w:ind w:firstLine="643" w:firstLineChars="200"/>
        <w:outlineLvl w:val="2"/>
        <w:rPr>
          <w:rFonts w:ascii="仿宋" w:hAnsi="仿宋" w:eastAsia="仿宋"/>
          <w:b/>
          <w:color w:val="auto"/>
          <w:sz w:val="32"/>
          <w:szCs w:val="32"/>
          <w:highlight w:val="none"/>
        </w:rPr>
      </w:pPr>
      <w:bookmarkStart w:id="63" w:name="_Toc15377212"/>
      <w:r>
        <w:rPr>
          <w:rFonts w:hint="eastAsia" w:ascii="仿宋" w:hAnsi="仿宋" w:eastAsia="仿宋"/>
          <w:b/>
          <w:color w:val="auto"/>
          <w:sz w:val="32"/>
          <w:szCs w:val="32"/>
          <w:highlight w:val="none"/>
        </w:rPr>
        <w:t>（三）一般公共预算财政拨款支出决算具体情况</w:t>
      </w:r>
      <w:bookmarkEnd w:id="63"/>
    </w:p>
    <w:p>
      <w:pPr>
        <w:spacing w:line="600" w:lineRule="exact"/>
        <w:ind w:firstLine="643" w:firstLineChars="200"/>
        <w:outlineLvl w:val="2"/>
        <w:rPr>
          <w:rFonts w:ascii="仿宋" w:hAnsi="仿宋" w:eastAsia="仿宋"/>
          <w:b/>
          <w:color w:val="auto"/>
          <w:sz w:val="32"/>
          <w:szCs w:val="32"/>
          <w:highlight w:val="none"/>
        </w:rPr>
      </w:pPr>
      <w:bookmarkStart w:id="64" w:name="_Toc15377213"/>
      <w:bookmarkStart w:id="65" w:name="_Toc15378460"/>
      <w:bookmarkStart w:id="66" w:name="_Toc15377444"/>
      <w:r>
        <w:rPr>
          <w:rFonts w:hint="eastAsia" w:ascii="仿宋" w:hAnsi="仿宋" w:eastAsia="仿宋"/>
          <w:b/>
          <w:color w:val="auto"/>
          <w:sz w:val="32"/>
          <w:szCs w:val="32"/>
          <w:highlight w:val="none"/>
        </w:rPr>
        <w:t>20</w:t>
      </w:r>
      <w:r>
        <w:rPr>
          <w:rFonts w:hint="eastAsia" w:ascii="仿宋" w:hAnsi="仿宋" w:eastAsia="仿宋"/>
          <w:b/>
          <w:color w:val="auto"/>
          <w:sz w:val="32"/>
          <w:szCs w:val="32"/>
          <w:highlight w:val="none"/>
          <w:lang w:val="en-US" w:eastAsia="zh-CN"/>
        </w:rPr>
        <w:t>22</w:t>
      </w:r>
      <w:r>
        <w:rPr>
          <w:rFonts w:hint="eastAsia" w:ascii="仿宋" w:hAnsi="仿宋" w:eastAsia="仿宋"/>
          <w:b/>
          <w:color w:val="auto"/>
          <w:sz w:val="32"/>
          <w:szCs w:val="32"/>
          <w:highlight w:val="none"/>
        </w:rPr>
        <w:t>年</w:t>
      </w:r>
      <w:r>
        <w:rPr>
          <w:rFonts w:hint="eastAsia" w:ascii="仿宋" w:hAnsi="仿宋" w:eastAsia="仿宋"/>
          <w:b/>
          <w:color w:val="auto"/>
          <w:sz w:val="32"/>
          <w:szCs w:val="32"/>
          <w:highlight w:val="none"/>
          <w:lang w:eastAsia="zh-CN"/>
        </w:rPr>
        <w:t>一</w:t>
      </w:r>
      <w:r>
        <w:rPr>
          <w:rFonts w:hint="eastAsia" w:ascii="仿宋" w:hAnsi="仿宋" w:eastAsia="仿宋"/>
          <w:b/>
          <w:color w:val="auto"/>
          <w:sz w:val="32"/>
          <w:szCs w:val="32"/>
          <w:highlight w:val="none"/>
        </w:rPr>
        <w:t>般公共预算支出决算数为</w:t>
      </w:r>
      <w:r>
        <w:rPr>
          <w:rFonts w:hint="eastAsia" w:ascii="仿宋" w:hAnsi="仿宋" w:eastAsia="仿宋"/>
          <w:b/>
          <w:color w:val="auto"/>
          <w:sz w:val="32"/>
          <w:szCs w:val="32"/>
          <w:highlight w:val="none"/>
          <w:lang w:val="en-US" w:eastAsia="zh-CN"/>
        </w:rPr>
        <w:t>5409.39万元</w:t>
      </w:r>
      <w:r>
        <w:rPr>
          <w:rFonts w:hint="eastAsia" w:ascii="仿宋" w:hAnsi="仿宋" w:eastAsia="仿宋"/>
          <w:color w:val="auto"/>
          <w:sz w:val="32"/>
          <w:szCs w:val="32"/>
          <w:highlight w:val="none"/>
        </w:rPr>
        <w:t>，</w:t>
      </w:r>
      <w:r>
        <w:rPr>
          <w:rStyle w:val="20"/>
          <w:rFonts w:hint="eastAsia" w:ascii="仿宋" w:hAnsi="仿宋" w:eastAsia="仿宋"/>
          <w:bCs/>
          <w:color w:val="auto"/>
          <w:sz w:val="32"/>
          <w:szCs w:val="32"/>
          <w:highlight w:val="none"/>
        </w:rPr>
        <w:t>完成预算</w:t>
      </w:r>
      <w:r>
        <w:rPr>
          <w:rStyle w:val="20"/>
          <w:rFonts w:hint="eastAsia" w:ascii="仿宋" w:hAnsi="仿宋" w:eastAsia="仿宋"/>
          <w:bCs/>
          <w:color w:val="auto"/>
          <w:sz w:val="32"/>
          <w:szCs w:val="32"/>
          <w:highlight w:val="none"/>
          <w:lang w:val="en-US" w:eastAsia="zh-CN"/>
        </w:rPr>
        <w:t>100</w:t>
      </w:r>
      <w:r>
        <w:rPr>
          <w:rStyle w:val="20"/>
          <w:rFonts w:ascii="仿宋" w:hAnsi="仿宋" w:eastAsia="仿宋"/>
          <w:bCs/>
          <w:color w:val="auto"/>
          <w:sz w:val="32"/>
          <w:szCs w:val="32"/>
          <w:highlight w:val="none"/>
        </w:rPr>
        <w:t>%</w:t>
      </w:r>
      <w:r>
        <w:rPr>
          <w:rStyle w:val="20"/>
          <w:rFonts w:hint="eastAsia" w:ascii="仿宋" w:hAnsi="仿宋" w:eastAsia="仿宋"/>
          <w:bCs/>
          <w:color w:val="auto"/>
          <w:sz w:val="32"/>
          <w:szCs w:val="32"/>
          <w:highlight w:val="none"/>
        </w:rPr>
        <w:t>。其中：</w:t>
      </w:r>
      <w:bookmarkEnd w:id="64"/>
      <w:bookmarkEnd w:id="65"/>
      <w:bookmarkEnd w:id="66"/>
    </w:p>
    <w:p>
      <w:pPr>
        <w:spacing w:line="600" w:lineRule="exact"/>
        <w:ind w:firstLine="643" w:firstLineChars="200"/>
        <w:rPr>
          <w:rFonts w:ascii="仿宋" w:hAnsi="仿宋" w:eastAsia="仿宋"/>
          <w:b/>
          <w:color w:val="auto"/>
          <w:sz w:val="32"/>
          <w:szCs w:val="32"/>
          <w:highlight w:val="none"/>
        </w:rPr>
      </w:pPr>
      <w:r>
        <w:rPr>
          <w:rStyle w:val="20"/>
          <w:rFonts w:hint="eastAsia" w:ascii="仿宋" w:hAnsi="仿宋" w:eastAsia="仿宋"/>
          <w:bCs/>
          <w:color w:val="auto"/>
          <w:sz w:val="32"/>
          <w:szCs w:val="32"/>
          <w:highlight w:val="none"/>
          <w:lang w:val="en-US" w:eastAsia="zh-CN"/>
        </w:rPr>
        <w:t>1</w:t>
      </w:r>
      <w:r>
        <w:rPr>
          <w:rStyle w:val="20"/>
          <w:rFonts w:ascii="仿宋" w:hAnsi="仿宋" w:eastAsia="仿宋"/>
          <w:bCs/>
          <w:color w:val="auto"/>
          <w:sz w:val="32"/>
          <w:szCs w:val="32"/>
          <w:highlight w:val="none"/>
        </w:rPr>
        <w:t>.</w:t>
      </w:r>
      <w:r>
        <w:rPr>
          <w:rStyle w:val="20"/>
          <w:rFonts w:hint="eastAsia" w:ascii="仿宋" w:hAnsi="仿宋" w:eastAsia="仿宋"/>
          <w:bCs/>
          <w:color w:val="auto"/>
          <w:sz w:val="32"/>
          <w:szCs w:val="32"/>
          <w:highlight w:val="none"/>
        </w:rPr>
        <w:t>科学技术</w:t>
      </w:r>
      <w:r>
        <w:rPr>
          <w:rStyle w:val="20"/>
          <w:rFonts w:hint="eastAsia" w:ascii="仿宋" w:hAnsi="仿宋" w:eastAsia="仿宋"/>
          <w:bCs/>
          <w:color w:val="auto"/>
          <w:sz w:val="32"/>
          <w:szCs w:val="32"/>
          <w:highlight w:val="none"/>
          <w:lang w:val="en-US" w:eastAsia="zh-CN"/>
        </w:rPr>
        <w:t>支出</w:t>
      </w:r>
      <w:r>
        <w:rPr>
          <w:rStyle w:val="20"/>
          <w:rFonts w:hint="eastAsia" w:ascii="仿宋" w:hAnsi="仿宋" w:eastAsia="仿宋"/>
          <w:bCs/>
          <w:color w:val="auto"/>
          <w:sz w:val="32"/>
          <w:szCs w:val="32"/>
          <w:highlight w:val="none"/>
        </w:rPr>
        <w:t>（类）</w:t>
      </w:r>
      <w:r>
        <w:rPr>
          <w:rStyle w:val="20"/>
          <w:rFonts w:hint="eastAsia" w:ascii="仿宋" w:hAnsi="仿宋" w:eastAsia="仿宋"/>
          <w:bCs/>
          <w:color w:val="auto"/>
          <w:sz w:val="32"/>
          <w:szCs w:val="32"/>
          <w:highlight w:val="none"/>
          <w:lang w:val="en-US" w:eastAsia="zh-CN"/>
        </w:rPr>
        <w:t>技术研究与开发</w:t>
      </w:r>
      <w:r>
        <w:rPr>
          <w:rStyle w:val="20"/>
          <w:rFonts w:hint="eastAsia" w:ascii="仿宋" w:hAnsi="仿宋" w:eastAsia="仿宋"/>
          <w:bCs/>
          <w:color w:val="auto"/>
          <w:sz w:val="32"/>
          <w:szCs w:val="32"/>
          <w:highlight w:val="none"/>
        </w:rPr>
        <w:t>（款）</w:t>
      </w:r>
      <w:r>
        <w:rPr>
          <w:rStyle w:val="20"/>
          <w:rFonts w:hint="eastAsia" w:ascii="仿宋" w:hAnsi="仿宋" w:eastAsia="仿宋"/>
          <w:bCs/>
          <w:color w:val="auto"/>
          <w:sz w:val="32"/>
          <w:szCs w:val="32"/>
          <w:highlight w:val="none"/>
          <w:lang w:val="en-US" w:eastAsia="zh-CN"/>
        </w:rPr>
        <w:t>其他技术研究与开发支出</w:t>
      </w:r>
      <w:r>
        <w:rPr>
          <w:rStyle w:val="20"/>
          <w:rFonts w:hint="eastAsia" w:ascii="仿宋" w:hAnsi="仿宋" w:eastAsia="仿宋"/>
          <w:bCs/>
          <w:color w:val="auto"/>
          <w:sz w:val="32"/>
          <w:szCs w:val="32"/>
          <w:highlight w:val="none"/>
        </w:rPr>
        <w:t>（项）</w:t>
      </w:r>
      <w:r>
        <w:rPr>
          <w:rStyle w:val="20"/>
          <w:rFonts w:ascii="仿宋" w:hAnsi="仿宋" w:eastAsia="仿宋"/>
          <w:bCs/>
          <w:color w:val="auto"/>
          <w:sz w:val="32"/>
          <w:szCs w:val="32"/>
          <w:highlight w:val="none"/>
        </w:rPr>
        <w:t>:</w:t>
      </w:r>
      <w:r>
        <w:rPr>
          <w:rStyle w:val="20"/>
          <w:rFonts w:ascii="仿宋" w:hAnsi="仿宋" w:eastAsia="仿宋"/>
          <w:b w:val="0"/>
          <w:bCs/>
          <w:color w:val="auto"/>
          <w:sz w:val="32"/>
          <w:szCs w:val="32"/>
          <w:highlight w:val="none"/>
        </w:rPr>
        <w:t xml:space="preserve"> </w:t>
      </w:r>
      <w:r>
        <w:rPr>
          <w:rStyle w:val="20"/>
          <w:rFonts w:hint="eastAsia" w:ascii="仿宋" w:hAnsi="仿宋" w:eastAsia="仿宋"/>
          <w:b w:val="0"/>
          <w:bCs/>
          <w:color w:val="auto"/>
          <w:sz w:val="32"/>
          <w:szCs w:val="32"/>
          <w:highlight w:val="none"/>
        </w:rPr>
        <w:t>支出决算为</w:t>
      </w:r>
      <w:r>
        <w:rPr>
          <w:rStyle w:val="20"/>
          <w:rFonts w:hint="eastAsia" w:ascii="仿宋" w:hAnsi="仿宋" w:eastAsia="仿宋"/>
          <w:b w:val="0"/>
          <w:bCs/>
          <w:color w:val="auto"/>
          <w:sz w:val="32"/>
          <w:szCs w:val="32"/>
          <w:highlight w:val="none"/>
          <w:lang w:val="en-US" w:eastAsia="zh-CN"/>
        </w:rPr>
        <w:t>0.53</w:t>
      </w:r>
      <w:r>
        <w:rPr>
          <w:rStyle w:val="20"/>
          <w:rFonts w:hint="eastAsia" w:ascii="仿宋" w:hAnsi="仿宋" w:eastAsia="仿宋"/>
          <w:b w:val="0"/>
          <w:bCs/>
          <w:color w:val="auto"/>
          <w:sz w:val="32"/>
          <w:szCs w:val="32"/>
          <w:highlight w:val="none"/>
        </w:rPr>
        <w:t>万元，完成预算</w:t>
      </w:r>
      <w:r>
        <w:rPr>
          <w:rStyle w:val="20"/>
          <w:rFonts w:hint="eastAsia" w:ascii="仿宋" w:hAnsi="仿宋" w:eastAsia="仿宋"/>
          <w:b w:val="0"/>
          <w:bCs/>
          <w:color w:val="auto"/>
          <w:sz w:val="32"/>
          <w:szCs w:val="32"/>
          <w:highlight w:val="none"/>
          <w:lang w:val="en-US" w:eastAsia="zh-CN"/>
        </w:rPr>
        <w:t>100</w:t>
      </w:r>
      <w:r>
        <w:rPr>
          <w:rStyle w:val="20"/>
          <w:rFonts w:ascii="仿宋" w:hAnsi="仿宋" w:eastAsia="仿宋"/>
          <w:b w:val="0"/>
          <w:bCs/>
          <w:color w:val="auto"/>
          <w:sz w:val="32"/>
          <w:szCs w:val="32"/>
          <w:highlight w:val="none"/>
        </w:rPr>
        <w:t>%</w:t>
      </w:r>
      <w:r>
        <w:rPr>
          <w:rStyle w:val="20"/>
          <w:rFonts w:hint="eastAsia" w:ascii="仿宋" w:hAnsi="仿宋" w:eastAsia="仿宋"/>
          <w:b w:val="0"/>
          <w:bCs/>
          <w:color w:val="auto"/>
          <w:sz w:val="32"/>
          <w:szCs w:val="32"/>
          <w:highlight w:val="none"/>
        </w:rPr>
        <w:t>，决算数等于预算数。</w:t>
      </w:r>
    </w:p>
    <w:p>
      <w:pPr>
        <w:spacing w:line="600" w:lineRule="exact"/>
        <w:ind w:firstLine="643" w:firstLineChars="200"/>
        <w:rPr>
          <w:rFonts w:ascii="仿宋" w:hAnsi="仿宋" w:eastAsia="仿宋"/>
          <w:b/>
          <w:color w:val="auto"/>
          <w:sz w:val="32"/>
          <w:szCs w:val="32"/>
          <w:highlight w:val="none"/>
        </w:rPr>
      </w:pPr>
      <w:r>
        <w:rPr>
          <w:rStyle w:val="20"/>
          <w:rFonts w:hint="eastAsia" w:ascii="仿宋" w:hAnsi="仿宋" w:eastAsia="仿宋"/>
          <w:bCs/>
          <w:color w:val="auto"/>
          <w:sz w:val="32"/>
          <w:szCs w:val="32"/>
          <w:highlight w:val="none"/>
          <w:lang w:val="en-US" w:eastAsia="zh-CN"/>
        </w:rPr>
        <w:t>2</w:t>
      </w:r>
      <w:r>
        <w:rPr>
          <w:rStyle w:val="20"/>
          <w:rFonts w:ascii="仿宋" w:hAnsi="仿宋" w:eastAsia="仿宋"/>
          <w:bCs/>
          <w:color w:val="auto"/>
          <w:sz w:val="32"/>
          <w:szCs w:val="32"/>
          <w:highlight w:val="none"/>
        </w:rPr>
        <w:t>.</w:t>
      </w:r>
      <w:r>
        <w:rPr>
          <w:rStyle w:val="20"/>
          <w:rFonts w:hint="eastAsia" w:ascii="仿宋" w:hAnsi="仿宋" w:eastAsia="仿宋"/>
          <w:bCs/>
          <w:color w:val="auto"/>
          <w:sz w:val="32"/>
          <w:szCs w:val="32"/>
          <w:highlight w:val="none"/>
        </w:rPr>
        <w:t>文化旅游体育与传媒</w:t>
      </w:r>
      <w:r>
        <w:rPr>
          <w:rStyle w:val="20"/>
          <w:rFonts w:hint="eastAsia" w:ascii="仿宋" w:hAnsi="仿宋" w:eastAsia="仿宋"/>
          <w:bCs/>
          <w:color w:val="auto"/>
          <w:sz w:val="32"/>
          <w:szCs w:val="32"/>
          <w:highlight w:val="none"/>
          <w:lang w:val="en-US" w:eastAsia="zh-CN"/>
        </w:rPr>
        <w:t>支出</w:t>
      </w:r>
      <w:r>
        <w:rPr>
          <w:rStyle w:val="20"/>
          <w:rFonts w:hint="eastAsia" w:ascii="仿宋" w:hAnsi="仿宋" w:eastAsia="仿宋"/>
          <w:bCs/>
          <w:color w:val="auto"/>
          <w:sz w:val="32"/>
          <w:szCs w:val="32"/>
          <w:highlight w:val="none"/>
        </w:rPr>
        <w:t>（类）文化和旅游（款）图书馆（项）</w:t>
      </w:r>
      <w:r>
        <w:rPr>
          <w:rStyle w:val="20"/>
          <w:rFonts w:ascii="仿宋" w:hAnsi="仿宋" w:eastAsia="仿宋"/>
          <w:bCs/>
          <w:color w:val="auto"/>
          <w:sz w:val="32"/>
          <w:szCs w:val="32"/>
          <w:highlight w:val="none"/>
        </w:rPr>
        <w:t>:</w:t>
      </w:r>
      <w:r>
        <w:rPr>
          <w:rStyle w:val="20"/>
          <w:rFonts w:ascii="仿宋" w:hAnsi="仿宋" w:eastAsia="仿宋"/>
          <w:b w:val="0"/>
          <w:bCs/>
          <w:color w:val="auto"/>
          <w:sz w:val="32"/>
          <w:szCs w:val="32"/>
          <w:highlight w:val="none"/>
        </w:rPr>
        <w:t xml:space="preserve"> </w:t>
      </w:r>
      <w:r>
        <w:rPr>
          <w:rStyle w:val="20"/>
          <w:rFonts w:hint="eastAsia" w:ascii="仿宋" w:hAnsi="仿宋" w:eastAsia="仿宋"/>
          <w:b w:val="0"/>
          <w:bCs/>
          <w:color w:val="auto"/>
          <w:sz w:val="32"/>
          <w:szCs w:val="32"/>
          <w:highlight w:val="none"/>
        </w:rPr>
        <w:t>支出决算为</w:t>
      </w:r>
      <w:r>
        <w:rPr>
          <w:rStyle w:val="20"/>
          <w:rFonts w:hint="eastAsia" w:ascii="仿宋" w:hAnsi="仿宋" w:eastAsia="仿宋"/>
          <w:b w:val="0"/>
          <w:bCs/>
          <w:color w:val="auto"/>
          <w:sz w:val="32"/>
          <w:szCs w:val="32"/>
          <w:highlight w:val="none"/>
          <w:lang w:val="en-US" w:eastAsia="zh-CN"/>
        </w:rPr>
        <w:t>15.36</w:t>
      </w:r>
      <w:r>
        <w:rPr>
          <w:rStyle w:val="20"/>
          <w:rFonts w:hint="eastAsia" w:ascii="仿宋" w:hAnsi="仿宋" w:eastAsia="仿宋"/>
          <w:b w:val="0"/>
          <w:bCs/>
          <w:color w:val="auto"/>
          <w:sz w:val="32"/>
          <w:szCs w:val="32"/>
          <w:highlight w:val="none"/>
        </w:rPr>
        <w:t>万元，完成预算</w:t>
      </w:r>
      <w:r>
        <w:rPr>
          <w:rStyle w:val="20"/>
          <w:rFonts w:hint="eastAsia" w:ascii="仿宋" w:hAnsi="仿宋" w:eastAsia="仿宋"/>
          <w:b w:val="0"/>
          <w:bCs/>
          <w:color w:val="auto"/>
          <w:sz w:val="32"/>
          <w:szCs w:val="32"/>
          <w:highlight w:val="none"/>
          <w:lang w:val="en-US" w:eastAsia="zh-CN"/>
        </w:rPr>
        <w:t>100</w:t>
      </w:r>
      <w:r>
        <w:rPr>
          <w:rStyle w:val="20"/>
          <w:rFonts w:ascii="仿宋" w:hAnsi="仿宋" w:eastAsia="仿宋"/>
          <w:b w:val="0"/>
          <w:bCs/>
          <w:color w:val="auto"/>
          <w:sz w:val="32"/>
          <w:szCs w:val="32"/>
          <w:highlight w:val="none"/>
        </w:rPr>
        <w:t>%</w:t>
      </w:r>
      <w:r>
        <w:rPr>
          <w:rStyle w:val="20"/>
          <w:rFonts w:hint="eastAsia" w:ascii="仿宋" w:hAnsi="仿宋" w:eastAsia="仿宋"/>
          <w:b w:val="0"/>
          <w:bCs/>
          <w:color w:val="auto"/>
          <w:sz w:val="32"/>
          <w:szCs w:val="32"/>
          <w:highlight w:val="none"/>
        </w:rPr>
        <w:t>，决算数等于预算数。</w:t>
      </w:r>
    </w:p>
    <w:p>
      <w:pPr>
        <w:spacing w:line="600" w:lineRule="exact"/>
        <w:ind w:firstLine="643" w:firstLineChars="200"/>
        <w:rPr>
          <w:rStyle w:val="20"/>
          <w:rFonts w:hint="eastAsia" w:ascii="仿宋" w:hAnsi="仿宋" w:eastAsia="仿宋"/>
          <w:b w:val="0"/>
          <w:bCs/>
          <w:color w:val="auto"/>
          <w:sz w:val="32"/>
          <w:szCs w:val="32"/>
          <w:highlight w:val="none"/>
        </w:rPr>
      </w:pPr>
      <w:r>
        <w:rPr>
          <w:rStyle w:val="20"/>
          <w:rFonts w:hint="eastAsia" w:ascii="仿宋" w:hAnsi="仿宋" w:eastAsia="仿宋"/>
          <w:bCs/>
          <w:color w:val="auto"/>
          <w:sz w:val="32"/>
          <w:szCs w:val="32"/>
          <w:highlight w:val="none"/>
          <w:lang w:val="en-US" w:eastAsia="zh-CN"/>
        </w:rPr>
        <w:t>3</w:t>
      </w:r>
      <w:r>
        <w:rPr>
          <w:rStyle w:val="20"/>
          <w:rFonts w:ascii="仿宋" w:hAnsi="仿宋" w:eastAsia="仿宋"/>
          <w:bCs/>
          <w:color w:val="auto"/>
          <w:sz w:val="32"/>
          <w:szCs w:val="32"/>
          <w:highlight w:val="none"/>
        </w:rPr>
        <w:t>.</w:t>
      </w:r>
      <w:r>
        <w:rPr>
          <w:rStyle w:val="20"/>
          <w:rFonts w:hint="eastAsia" w:ascii="仿宋" w:hAnsi="仿宋" w:eastAsia="仿宋"/>
          <w:bCs/>
          <w:color w:val="auto"/>
          <w:sz w:val="32"/>
          <w:szCs w:val="32"/>
          <w:highlight w:val="none"/>
        </w:rPr>
        <w:t>文化旅游体育与传媒</w:t>
      </w:r>
      <w:r>
        <w:rPr>
          <w:rStyle w:val="20"/>
          <w:rFonts w:hint="eastAsia" w:ascii="仿宋" w:hAnsi="仿宋" w:eastAsia="仿宋"/>
          <w:bCs/>
          <w:color w:val="auto"/>
          <w:sz w:val="32"/>
          <w:szCs w:val="32"/>
          <w:highlight w:val="none"/>
          <w:lang w:val="en-US" w:eastAsia="zh-CN"/>
        </w:rPr>
        <w:t>支出</w:t>
      </w:r>
      <w:r>
        <w:rPr>
          <w:rStyle w:val="20"/>
          <w:rFonts w:hint="eastAsia" w:ascii="仿宋" w:hAnsi="仿宋" w:eastAsia="仿宋"/>
          <w:bCs/>
          <w:color w:val="auto"/>
          <w:sz w:val="32"/>
          <w:szCs w:val="32"/>
          <w:highlight w:val="none"/>
        </w:rPr>
        <w:t>（类）文化和旅游（款）艺术表演团体（项）</w:t>
      </w:r>
      <w:r>
        <w:rPr>
          <w:rStyle w:val="20"/>
          <w:rFonts w:ascii="仿宋" w:hAnsi="仿宋" w:eastAsia="仿宋"/>
          <w:bCs/>
          <w:color w:val="auto"/>
          <w:sz w:val="32"/>
          <w:szCs w:val="32"/>
          <w:highlight w:val="none"/>
        </w:rPr>
        <w:t>:</w:t>
      </w:r>
      <w:r>
        <w:rPr>
          <w:rStyle w:val="20"/>
          <w:rFonts w:ascii="仿宋" w:hAnsi="仿宋" w:eastAsia="仿宋"/>
          <w:b w:val="0"/>
          <w:bCs/>
          <w:color w:val="auto"/>
          <w:sz w:val="32"/>
          <w:szCs w:val="32"/>
          <w:highlight w:val="none"/>
        </w:rPr>
        <w:t xml:space="preserve"> </w:t>
      </w:r>
      <w:r>
        <w:rPr>
          <w:rStyle w:val="20"/>
          <w:rFonts w:hint="eastAsia" w:ascii="仿宋" w:hAnsi="仿宋" w:eastAsia="仿宋"/>
          <w:b w:val="0"/>
          <w:bCs/>
          <w:color w:val="auto"/>
          <w:sz w:val="32"/>
          <w:szCs w:val="32"/>
          <w:highlight w:val="none"/>
        </w:rPr>
        <w:t>支出决算为</w:t>
      </w:r>
      <w:r>
        <w:rPr>
          <w:rStyle w:val="20"/>
          <w:rFonts w:hint="eastAsia" w:ascii="仿宋" w:hAnsi="仿宋" w:eastAsia="仿宋"/>
          <w:b w:val="0"/>
          <w:bCs/>
          <w:color w:val="auto"/>
          <w:sz w:val="32"/>
          <w:szCs w:val="32"/>
          <w:highlight w:val="none"/>
          <w:lang w:val="en-US" w:eastAsia="zh-CN"/>
        </w:rPr>
        <w:t>207.61</w:t>
      </w:r>
      <w:r>
        <w:rPr>
          <w:rStyle w:val="20"/>
          <w:rFonts w:hint="eastAsia" w:ascii="仿宋" w:hAnsi="仿宋" w:eastAsia="仿宋"/>
          <w:b w:val="0"/>
          <w:bCs/>
          <w:color w:val="auto"/>
          <w:sz w:val="32"/>
          <w:szCs w:val="32"/>
          <w:highlight w:val="none"/>
        </w:rPr>
        <w:t>万元，完成预算</w:t>
      </w:r>
      <w:r>
        <w:rPr>
          <w:rStyle w:val="20"/>
          <w:rFonts w:hint="eastAsia" w:ascii="仿宋" w:hAnsi="仿宋" w:eastAsia="仿宋"/>
          <w:b w:val="0"/>
          <w:bCs/>
          <w:color w:val="auto"/>
          <w:sz w:val="32"/>
          <w:szCs w:val="32"/>
          <w:highlight w:val="none"/>
          <w:lang w:val="en-US" w:eastAsia="zh-CN"/>
        </w:rPr>
        <w:t>100</w:t>
      </w:r>
      <w:r>
        <w:rPr>
          <w:rStyle w:val="20"/>
          <w:rFonts w:ascii="仿宋" w:hAnsi="仿宋" w:eastAsia="仿宋"/>
          <w:b w:val="0"/>
          <w:bCs/>
          <w:color w:val="auto"/>
          <w:sz w:val="32"/>
          <w:szCs w:val="32"/>
          <w:highlight w:val="none"/>
        </w:rPr>
        <w:t>%</w:t>
      </w:r>
      <w:r>
        <w:rPr>
          <w:rStyle w:val="20"/>
          <w:rFonts w:hint="eastAsia" w:ascii="仿宋" w:hAnsi="仿宋" w:eastAsia="仿宋"/>
          <w:b w:val="0"/>
          <w:bCs/>
          <w:color w:val="auto"/>
          <w:sz w:val="32"/>
          <w:szCs w:val="32"/>
          <w:highlight w:val="none"/>
        </w:rPr>
        <w:t>，决算数等于预算数。</w:t>
      </w:r>
    </w:p>
    <w:p>
      <w:pPr>
        <w:spacing w:line="600" w:lineRule="exact"/>
        <w:ind w:firstLine="643" w:firstLineChars="200"/>
        <w:rPr>
          <w:rStyle w:val="20"/>
          <w:rFonts w:hint="eastAsia" w:ascii="仿宋" w:hAnsi="仿宋" w:eastAsia="仿宋"/>
          <w:b w:val="0"/>
          <w:bCs/>
          <w:color w:val="auto"/>
          <w:sz w:val="32"/>
          <w:szCs w:val="32"/>
          <w:highlight w:val="none"/>
        </w:rPr>
      </w:pPr>
      <w:r>
        <w:rPr>
          <w:rStyle w:val="20"/>
          <w:rFonts w:ascii="仿宋" w:hAnsi="仿宋" w:eastAsia="仿宋"/>
          <w:bCs/>
          <w:color w:val="auto"/>
          <w:sz w:val="32"/>
          <w:szCs w:val="32"/>
          <w:highlight w:val="none"/>
        </w:rPr>
        <w:t>4.</w:t>
      </w:r>
      <w:r>
        <w:rPr>
          <w:rStyle w:val="20"/>
          <w:rFonts w:hint="eastAsia" w:ascii="仿宋" w:hAnsi="仿宋" w:eastAsia="仿宋"/>
          <w:bCs/>
          <w:color w:val="auto"/>
          <w:sz w:val="32"/>
          <w:szCs w:val="32"/>
          <w:highlight w:val="none"/>
        </w:rPr>
        <w:t>文化旅游体育与传媒</w:t>
      </w:r>
      <w:r>
        <w:rPr>
          <w:rStyle w:val="20"/>
          <w:rFonts w:hint="eastAsia" w:ascii="仿宋" w:hAnsi="仿宋" w:eastAsia="仿宋"/>
          <w:bCs/>
          <w:color w:val="auto"/>
          <w:sz w:val="32"/>
          <w:szCs w:val="32"/>
          <w:highlight w:val="none"/>
          <w:lang w:val="en-US" w:eastAsia="zh-CN"/>
        </w:rPr>
        <w:t>支出</w:t>
      </w:r>
      <w:r>
        <w:rPr>
          <w:rStyle w:val="20"/>
          <w:rFonts w:hint="eastAsia" w:ascii="仿宋" w:hAnsi="仿宋" w:eastAsia="仿宋"/>
          <w:bCs/>
          <w:color w:val="auto"/>
          <w:sz w:val="32"/>
          <w:szCs w:val="32"/>
          <w:highlight w:val="none"/>
        </w:rPr>
        <w:t>（类）文化和旅游（款）文化活动（项）</w:t>
      </w:r>
      <w:r>
        <w:rPr>
          <w:rStyle w:val="20"/>
          <w:rFonts w:ascii="仿宋" w:hAnsi="仿宋" w:eastAsia="仿宋"/>
          <w:bCs/>
          <w:color w:val="auto"/>
          <w:sz w:val="32"/>
          <w:szCs w:val="32"/>
          <w:highlight w:val="none"/>
        </w:rPr>
        <w:t>:</w:t>
      </w:r>
      <w:r>
        <w:rPr>
          <w:rStyle w:val="20"/>
          <w:rFonts w:ascii="仿宋" w:hAnsi="仿宋" w:eastAsia="仿宋"/>
          <w:b w:val="0"/>
          <w:bCs/>
          <w:color w:val="auto"/>
          <w:sz w:val="32"/>
          <w:szCs w:val="32"/>
          <w:highlight w:val="none"/>
        </w:rPr>
        <w:t xml:space="preserve"> </w:t>
      </w:r>
      <w:r>
        <w:rPr>
          <w:rStyle w:val="20"/>
          <w:rFonts w:hint="eastAsia" w:ascii="仿宋" w:hAnsi="仿宋" w:eastAsia="仿宋"/>
          <w:b w:val="0"/>
          <w:bCs/>
          <w:color w:val="auto"/>
          <w:sz w:val="32"/>
          <w:szCs w:val="32"/>
          <w:highlight w:val="none"/>
        </w:rPr>
        <w:t>支出决算为</w:t>
      </w:r>
      <w:r>
        <w:rPr>
          <w:rStyle w:val="20"/>
          <w:rFonts w:hint="eastAsia" w:ascii="仿宋" w:hAnsi="仿宋" w:eastAsia="仿宋"/>
          <w:b w:val="0"/>
          <w:bCs/>
          <w:color w:val="auto"/>
          <w:sz w:val="32"/>
          <w:szCs w:val="32"/>
          <w:highlight w:val="none"/>
          <w:lang w:val="en-US" w:eastAsia="zh-CN"/>
        </w:rPr>
        <w:t>75.54</w:t>
      </w:r>
      <w:r>
        <w:rPr>
          <w:rStyle w:val="20"/>
          <w:rFonts w:hint="eastAsia" w:ascii="仿宋" w:hAnsi="仿宋" w:eastAsia="仿宋"/>
          <w:b w:val="0"/>
          <w:bCs/>
          <w:color w:val="auto"/>
          <w:sz w:val="32"/>
          <w:szCs w:val="32"/>
          <w:highlight w:val="none"/>
        </w:rPr>
        <w:t>万元，完成预算</w:t>
      </w:r>
      <w:r>
        <w:rPr>
          <w:rStyle w:val="20"/>
          <w:rFonts w:hint="eastAsia" w:ascii="仿宋" w:hAnsi="仿宋" w:eastAsia="仿宋"/>
          <w:b w:val="0"/>
          <w:bCs/>
          <w:color w:val="auto"/>
          <w:sz w:val="32"/>
          <w:szCs w:val="32"/>
          <w:highlight w:val="none"/>
          <w:lang w:val="en-US" w:eastAsia="zh-CN"/>
        </w:rPr>
        <w:t>100</w:t>
      </w:r>
      <w:r>
        <w:rPr>
          <w:rStyle w:val="20"/>
          <w:rFonts w:ascii="仿宋" w:hAnsi="仿宋" w:eastAsia="仿宋"/>
          <w:b w:val="0"/>
          <w:bCs/>
          <w:color w:val="auto"/>
          <w:sz w:val="32"/>
          <w:szCs w:val="32"/>
          <w:highlight w:val="none"/>
        </w:rPr>
        <w:t>%</w:t>
      </w:r>
      <w:r>
        <w:rPr>
          <w:rStyle w:val="20"/>
          <w:rFonts w:hint="eastAsia" w:ascii="仿宋" w:hAnsi="仿宋" w:eastAsia="仿宋"/>
          <w:b w:val="0"/>
          <w:bCs/>
          <w:color w:val="auto"/>
          <w:sz w:val="32"/>
          <w:szCs w:val="32"/>
          <w:highlight w:val="none"/>
        </w:rPr>
        <w:t>，决算数等于预算数。</w:t>
      </w:r>
    </w:p>
    <w:p>
      <w:pPr>
        <w:pStyle w:val="2"/>
        <w:ind w:firstLine="643" w:firstLineChars="200"/>
        <w:rPr>
          <w:rStyle w:val="20"/>
          <w:rFonts w:hint="eastAsia" w:ascii="仿宋" w:hAnsi="仿宋" w:eastAsia="仿宋"/>
          <w:b w:val="0"/>
          <w:bCs/>
          <w:color w:val="auto"/>
          <w:sz w:val="32"/>
          <w:szCs w:val="32"/>
          <w:highlight w:val="none"/>
        </w:rPr>
      </w:pPr>
      <w:r>
        <w:rPr>
          <w:rStyle w:val="20"/>
          <w:rFonts w:hint="eastAsia" w:ascii="仿宋" w:hAnsi="仿宋" w:eastAsia="仿宋"/>
          <w:bCs/>
          <w:color w:val="auto"/>
          <w:sz w:val="32"/>
          <w:szCs w:val="32"/>
          <w:highlight w:val="none"/>
          <w:lang w:val="en-US" w:eastAsia="zh-CN"/>
        </w:rPr>
        <w:t>5</w:t>
      </w:r>
      <w:r>
        <w:rPr>
          <w:rStyle w:val="20"/>
          <w:rFonts w:ascii="仿宋" w:hAnsi="仿宋" w:eastAsia="仿宋"/>
          <w:bCs/>
          <w:color w:val="auto"/>
          <w:sz w:val="32"/>
          <w:szCs w:val="32"/>
          <w:highlight w:val="none"/>
        </w:rPr>
        <w:t>.</w:t>
      </w:r>
      <w:r>
        <w:rPr>
          <w:rStyle w:val="20"/>
          <w:rFonts w:hint="eastAsia" w:ascii="仿宋" w:hAnsi="仿宋" w:eastAsia="仿宋"/>
          <w:bCs/>
          <w:color w:val="auto"/>
          <w:sz w:val="32"/>
          <w:szCs w:val="32"/>
          <w:highlight w:val="none"/>
        </w:rPr>
        <w:t>文化旅游体育与传媒</w:t>
      </w:r>
      <w:r>
        <w:rPr>
          <w:rStyle w:val="20"/>
          <w:rFonts w:hint="eastAsia" w:ascii="仿宋" w:hAnsi="仿宋" w:eastAsia="仿宋"/>
          <w:bCs/>
          <w:color w:val="auto"/>
          <w:sz w:val="32"/>
          <w:szCs w:val="32"/>
          <w:highlight w:val="none"/>
          <w:lang w:val="en-US" w:eastAsia="zh-CN"/>
        </w:rPr>
        <w:t>支出</w:t>
      </w:r>
      <w:r>
        <w:rPr>
          <w:rStyle w:val="20"/>
          <w:rFonts w:hint="eastAsia" w:ascii="仿宋" w:hAnsi="仿宋" w:eastAsia="仿宋"/>
          <w:bCs/>
          <w:color w:val="auto"/>
          <w:sz w:val="32"/>
          <w:szCs w:val="32"/>
          <w:highlight w:val="none"/>
        </w:rPr>
        <w:t>（类）文化和旅游（款）群众文化（项）</w:t>
      </w:r>
      <w:r>
        <w:rPr>
          <w:rStyle w:val="20"/>
          <w:rFonts w:ascii="仿宋" w:hAnsi="仿宋" w:eastAsia="仿宋"/>
          <w:bCs/>
          <w:color w:val="auto"/>
          <w:sz w:val="32"/>
          <w:szCs w:val="32"/>
          <w:highlight w:val="none"/>
        </w:rPr>
        <w:t>:</w:t>
      </w:r>
      <w:r>
        <w:rPr>
          <w:rStyle w:val="20"/>
          <w:rFonts w:ascii="仿宋" w:hAnsi="仿宋" w:eastAsia="仿宋"/>
          <w:b w:val="0"/>
          <w:bCs/>
          <w:color w:val="auto"/>
          <w:sz w:val="32"/>
          <w:szCs w:val="32"/>
          <w:highlight w:val="none"/>
        </w:rPr>
        <w:t xml:space="preserve"> </w:t>
      </w:r>
      <w:r>
        <w:rPr>
          <w:rStyle w:val="20"/>
          <w:rFonts w:hint="eastAsia" w:ascii="仿宋" w:hAnsi="仿宋" w:eastAsia="仿宋"/>
          <w:b w:val="0"/>
          <w:bCs/>
          <w:color w:val="auto"/>
          <w:sz w:val="32"/>
          <w:szCs w:val="32"/>
          <w:highlight w:val="none"/>
        </w:rPr>
        <w:t>支出决算为</w:t>
      </w:r>
      <w:r>
        <w:rPr>
          <w:rStyle w:val="20"/>
          <w:rFonts w:hint="eastAsia" w:ascii="仿宋" w:hAnsi="仿宋" w:eastAsia="仿宋"/>
          <w:b w:val="0"/>
          <w:bCs/>
          <w:color w:val="auto"/>
          <w:sz w:val="32"/>
          <w:szCs w:val="32"/>
          <w:highlight w:val="none"/>
          <w:lang w:val="en-US" w:eastAsia="zh-CN"/>
        </w:rPr>
        <w:t>508.92</w:t>
      </w:r>
      <w:r>
        <w:rPr>
          <w:rStyle w:val="20"/>
          <w:rFonts w:hint="eastAsia" w:ascii="仿宋" w:hAnsi="仿宋" w:eastAsia="仿宋"/>
          <w:b w:val="0"/>
          <w:bCs/>
          <w:color w:val="auto"/>
          <w:sz w:val="32"/>
          <w:szCs w:val="32"/>
          <w:highlight w:val="none"/>
        </w:rPr>
        <w:t>万元，完成预算</w:t>
      </w:r>
      <w:r>
        <w:rPr>
          <w:rStyle w:val="20"/>
          <w:rFonts w:hint="eastAsia" w:ascii="仿宋" w:hAnsi="仿宋" w:eastAsia="仿宋"/>
          <w:b w:val="0"/>
          <w:bCs/>
          <w:color w:val="auto"/>
          <w:sz w:val="32"/>
          <w:szCs w:val="32"/>
          <w:highlight w:val="none"/>
          <w:lang w:val="en-US" w:eastAsia="zh-CN"/>
        </w:rPr>
        <w:t>100</w:t>
      </w:r>
      <w:r>
        <w:rPr>
          <w:rStyle w:val="20"/>
          <w:rFonts w:ascii="仿宋" w:hAnsi="仿宋" w:eastAsia="仿宋"/>
          <w:b w:val="0"/>
          <w:bCs/>
          <w:color w:val="auto"/>
          <w:sz w:val="32"/>
          <w:szCs w:val="32"/>
          <w:highlight w:val="none"/>
        </w:rPr>
        <w:t>%</w:t>
      </w:r>
      <w:r>
        <w:rPr>
          <w:rStyle w:val="20"/>
          <w:rFonts w:hint="eastAsia" w:ascii="仿宋" w:hAnsi="仿宋" w:eastAsia="仿宋"/>
          <w:b w:val="0"/>
          <w:bCs/>
          <w:color w:val="auto"/>
          <w:sz w:val="32"/>
          <w:szCs w:val="32"/>
          <w:highlight w:val="none"/>
        </w:rPr>
        <w:t>，决算数等于预算数。</w:t>
      </w:r>
    </w:p>
    <w:p>
      <w:pPr>
        <w:pStyle w:val="3"/>
        <w:ind w:left="0" w:leftChars="0" w:firstLine="643" w:firstLineChars="200"/>
        <w:jc w:val="left"/>
        <w:rPr>
          <w:rStyle w:val="20"/>
          <w:rFonts w:hint="eastAsia" w:ascii="仿宋" w:hAnsi="仿宋" w:eastAsia="仿宋"/>
          <w:b w:val="0"/>
          <w:bCs/>
          <w:color w:val="auto"/>
          <w:sz w:val="32"/>
          <w:szCs w:val="32"/>
          <w:highlight w:val="none"/>
        </w:rPr>
      </w:pPr>
      <w:r>
        <w:rPr>
          <w:rStyle w:val="20"/>
          <w:rFonts w:hint="eastAsia" w:ascii="仿宋" w:hAnsi="仿宋" w:eastAsia="仿宋"/>
          <w:bCs/>
          <w:color w:val="auto"/>
          <w:sz w:val="32"/>
          <w:szCs w:val="32"/>
          <w:highlight w:val="none"/>
          <w:lang w:val="en-US" w:eastAsia="zh-CN"/>
        </w:rPr>
        <w:t>6</w:t>
      </w:r>
      <w:r>
        <w:rPr>
          <w:rStyle w:val="20"/>
          <w:rFonts w:ascii="仿宋" w:hAnsi="仿宋" w:eastAsia="仿宋"/>
          <w:bCs/>
          <w:color w:val="auto"/>
          <w:sz w:val="32"/>
          <w:szCs w:val="32"/>
          <w:highlight w:val="none"/>
        </w:rPr>
        <w:t>.</w:t>
      </w:r>
      <w:r>
        <w:rPr>
          <w:rStyle w:val="20"/>
          <w:rFonts w:hint="eastAsia" w:ascii="仿宋" w:hAnsi="仿宋" w:eastAsia="仿宋"/>
          <w:bCs/>
          <w:color w:val="auto"/>
          <w:sz w:val="32"/>
          <w:szCs w:val="32"/>
          <w:highlight w:val="none"/>
        </w:rPr>
        <w:t>文化旅游体育与传媒</w:t>
      </w:r>
      <w:r>
        <w:rPr>
          <w:rStyle w:val="20"/>
          <w:rFonts w:hint="eastAsia" w:ascii="仿宋" w:hAnsi="仿宋" w:eastAsia="仿宋"/>
          <w:bCs/>
          <w:color w:val="auto"/>
          <w:sz w:val="32"/>
          <w:szCs w:val="32"/>
          <w:highlight w:val="none"/>
          <w:lang w:val="en-US" w:eastAsia="zh-CN"/>
        </w:rPr>
        <w:t>支出</w:t>
      </w:r>
      <w:r>
        <w:rPr>
          <w:rStyle w:val="20"/>
          <w:rFonts w:hint="eastAsia" w:ascii="仿宋" w:hAnsi="仿宋" w:eastAsia="仿宋"/>
          <w:bCs/>
          <w:color w:val="auto"/>
          <w:sz w:val="32"/>
          <w:szCs w:val="32"/>
          <w:highlight w:val="none"/>
        </w:rPr>
        <w:t>（类）文化和旅游（款）文化创作与保护（项）</w:t>
      </w:r>
      <w:r>
        <w:rPr>
          <w:rStyle w:val="20"/>
          <w:rFonts w:ascii="仿宋" w:hAnsi="仿宋" w:eastAsia="仿宋"/>
          <w:bCs/>
          <w:color w:val="auto"/>
          <w:sz w:val="32"/>
          <w:szCs w:val="32"/>
          <w:highlight w:val="none"/>
        </w:rPr>
        <w:t>:</w:t>
      </w:r>
      <w:r>
        <w:rPr>
          <w:rStyle w:val="20"/>
          <w:rFonts w:ascii="仿宋" w:hAnsi="仿宋" w:eastAsia="仿宋"/>
          <w:b w:val="0"/>
          <w:bCs/>
          <w:color w:val="auto"/>
          <w:sz w:val="32"/>
          <w:szCs w:val="32"/>
          <w:highlight w:val="none"/>
        </w:rPr>
        <w:t xml:space="preserve"> </w:t>
      </w:r>
      <w:r>
        <w:rPr>
          <w:rStyle w:val="20"/>
          <w:rFonts w:hint="eastAsia" w:ascii="仿宋" w:hAnsi="仿宋" w:eastAsia="仿宋"/>
          <w:b w:val="0"/>
          <w:bCs/>
          <w:color w:val="auto"/>
          <w:sz w:val="32"/>
          <w:szCs w:val="32"/>
          <w:highlight w:val="none"/>
        </w:rPr>
        <w:t>支出决算为</w:t>
      </w:r>
      <w:r>
        <w:rPr>
          <w:rStyle w:val="20"/>
          <w:rFonts w:hint="eastAsia" w:ascii="仿宋" w:hAnsi="仿宋" w:eastAsia="仿宋"/>
          <w:b w:val="0"/>
          <w:bCs/>
          <w:color w:val="auto"/>
          <w:sz w:val="32"/>
          <w:szCs w:val="32"/>
          <w:highlight w:val="none"/>
          <w:lang w:val="en-US" w:eastAsia="zh-CN"/>
        </w:rPr>
        <w:t>13.67</w:t>
      </w:r>
      <w:r>
        <w:rPr>
          <w:rStyle w:val="20"/>
          <w:rFonts w:hint="eastAsia" w:ascii="仿宋" w:hAnsi="仿宋" w:eastAsia="仿宋"/>
          <w:b w:val="0"/>
          <w:bCs/>
          <w:color w:val="auto"/>
          <w:sz w:val="32"/>
          <w:szCs w:val="32"/>
          <w:highlight w:val="none"/>
        </w:rPr>
        <w:t>万元，完成预算</w:t>
      </w:r>
      <w:r>
        <w:rPr>
          <w:rStyle w:val="20"/>
          <w:rFonts w:hint="eastAsia" w:ascii="仿宋" w:hAnsi="仿宋" w:eastAsia="仿宋"/>
          <w:b w:val="0"/>
          <w:bCs/>
          <w:color w:val="auto"/>
          <w:sz w:val="32"/>
          <w:szCs w:val="32"/>
          <w:highlight w:val="none"/>
          <w:lang w:val="en-US" w:eastAsia="zh-CN"/>
        </w:rPr>
        <w:t>100</w:t>
      </w:r>
      <w:r>
        <w:rPr>
          <w:rStyle w:val="20"/>
          <w:rFonts w:ascii="仿宋" w:hAnsi="仿宋" w:eastAsia="仿宋"/>
          <w:b w:val="0"/>
          <w:bCs/>
          <w:color w:val="auto"/>
          <w:sz w:val="32"/>
          <w:szCs w:val="32"/>
          <w:highlight w:val="none"/>
        </w:rPr>
        <w:t>%</w:t>
      </w:r>
      <w:r>
        <w:rPr>
          <w:rStyle w:val="20"/>
          <w:rFonts w:hint="eastAsia" w:ascii="仿宋" w:hAnsi="仿宋" w:eastAsia="仿宋"/>
          <w:b w:val="0"/>
          <w:bCs/>
          <w:color w:val="auto"/>
          <w:sz w:val="32"/>
          <w:szCs w:val="32"/>
          <w:highlight w:val="none"/>
        </w:rPr>
        <w:t>，决算数等于预算数。</w:t>
      </w:r>
    </w:p>
    <w:p>
      <w:pPr>
        <w:ind w:firstLine="643" w:firstLineChars="200"/>
        <w:rPr>
          <w:rStyle w:val="20"/>
          <w:rFonts w:hint="eastAsia" w:ascii="仿宋" w:hAnsi="仿宋" w:eastAsia="仿宋"/>
          <w:b w:val="0"/>
          <w:bCs/>
          <w:color w:val="auto"/>
          <w:sz w:val="32"/>
          <w:szCs w:val="32"/>
          <w:highlight w:val="none"/>
        </w:rPr>
      </w:pPr>
      <w:r>
        <w:rPr>
          <w:rStyle w:val="20"/>
          <w:rFonts w:hint="eastAsia" w:ascii="仿宋" w:hAnsi="仿宋" w:eastAsia="仿宋"/>
          <w:bCs/>
          <w:color w:val="auto"/>
          <w:sz w:val="32"/>
          <w:szCs w:val="32"/>
          <w:highlight w:val="none"/>
          <w:lang w:val="en-US" w:eastAsia="zh-CN"/>
        </w:rPr>
        <w:t>7</w:t>
      </w:r>
      <w:r>
        <w:rPr>
          <w:rStyle w:val="20"/>
          <w:rFonts w:ascii="仿宋" w:hAnsi="仿宋" w:eastAsia="仿宋"/>
          <w:bCs/>
          <w:color w:val="auto"/>
          <w:sz w:val="32"/>
          <w:szCs w:val="32"/>
          <w:highlight w:val="none"/>
        </w:rPr>
        <w:t>.</w:t>
      </w:r>
      <w:r>
        <w:rPr>
          <w:rStyle w:val="20"/>
          <w:rFonts w:hint="eastAsia" w:ascii="仿宋" w:hAnsi="仿宋" w:eastAsia="仿宋"/>
          <w:bCs/>
          <w:color w:val="auto"/>
          <w:sz w:val="32"/>
          <w:szCs w:val="32"/>
          <w:highlight w:val="none"/>
        </w:rPr>
        <w:t>文化旅游体育与传媒</w:t>
      </w:r>
      <w:r>
        <w:rPr>
          <w:rStyle w:val="20"/>
          <w:rFonts w:hint="eastAsia" w:ascii="仿宋" w:hAnsi="仿宋" w:eastAsia="仿宋"/>
          <w:bCs/>
          <w:color w:val="auto"/>
          <w:sz w:val="32"/>
          <w:szCs w:val="32"/>
          <w:highlight w:val="none"/>
          <w:lang w:val="en-US" w:eastAsia="zh-CN"/>
        </w:rPr>
        <w:t>支出</w:t>
      </w:r>
      <w:r>
        <w:rPr>
          <w:rStyle w:val="20"/>
          <w:rFonts w:hint="eastAsia" w:ascii="仿宋" w:hAnsi="仿宋" w:eastAsia="仿宋"/>
          <w:bCs/>
          <w:color w:val="auto"/>
          <w:sz w:val="32"/>
          <w:szCs w:val="32"/>
          <w:highlight w:val="none"/>
        </w:rPr>
        <w:t>（类）文化和旅游（款）旅游宣传（项）</w:t>
      </w:r>
      <w:r>
        <w:rPr>
          <w:rStyle w:val="20"/>
          <w:rFonts w:ascii="仿宋" w:hAnsi="仿宋" w:eastAsia="仿宋"/>
          <w:bCs/>
          <w:color w:val="auto"/>
          <w:sz w:val="32"/>
          <w:szCs w:val="32"/>
          <w:highlight w:val="none"/>
        </w:rPr>
        <w:t>:</w:t>
      </w:r>
      <w:r>
        <w:rPr>
          <w:rStyle w:val="20"/>
          <w:rFonts w:ascii="仿宋" w:hAnsi="仿宋" w:eastAsia="仿宋"/>
          <w:b w:val="0"/>
          <w:bCs/>
          <w:color w:val="auto"/>
          <w:sz w:val="32"/>
          <w:szCs w:val="32"/>
          <w:highlight w:val="none"/>
        </w:rPr>
        <w:t xml:space="preserve"> </w:t>
      </w:r>
      <w:r>
        <w:rPr>
          <w:rStyle w:val="20"/>
          <w:rFonts w:hint="eastAsia" w:ascii="仿宋" w:hAnsi="仿宋" w:eastAsia="仿宋"/>
          <w:b w:val="0"/>
          <w:bCs/>
          <w:color w:val="auto"/>
          <w:sz w:val="32"/>
          <w:szCs w:val="32"/>
          <w:highlight w:val="none"/>
        </w:rPr>
        <w:t>支出决算为</w:t>
      </w:r>
      <w:r>
        <w:rPr>
          <w:rStyle w:val="20"/>
          <w:rFonts w:hint="eastAsia" w:ascii="仿宋" w:hAnsi="仿宋" w:eastAsia="仿宋"/>
          <w:b w:val="0"/>
          <w:bCs/>
          <w:color w:val="auto"/>
          <w:sz w:val="32"/>
          <w:szCs w:val="32"/>
          <w:highlight w:val="none"/>
          <w:lang w:val="en-US" w:eastAsia="zh-CN"/>
        </w:rPr>
        <w:t>206.53</w:t>
      </w:r>
      <w:r>
        <w:rPr>
          <w:rStyle w:val="20"/>
          <w:rFonts w:hint="eastAsia" w:ascii="仿宋" w:hAnsi="仿宋" w:eastAsia="仿宋"/>
          <w:b w:val="0"/>
          <w:bCs/>
          <w:color w:val="auto"/>
          <w:sz w:val="32"/>
          <w:szCs w:val="32"/>
          <w:highlight w:val="none"/>
        </w:rPr>
        <w:t>万元，完成预算</w:t>
      </w:r>
      <w:r>
        <w:rPr>
          <w:rStyle w:val="20"/>
          <w:rFonts w:hint="eastAsia" w:ascii="仿宋" w:hAnsi="仿宋" w:eastAsia="仿宋"/>
          <w:b w:val="0"/>
          <w:bCs/>
          <w:color w:val="auto"/>
          <w:sz w:val="32"/>
          <w:szCs w:val="32"/>
          <w:highlight w:val="none"/>
          <w:lang w:val="en-US" w:eastAsia="zh-CN"/>
        </w:rPr>
        <w:t>100</w:t>
      </w:r>
      <w:r>
        <w:rPr>
          <w:rStyle w:val="20"/>
          <w:rFonts w:ascii="仿宋" w:hAnsi="仿宋" w:eastAsia="仿宋"/>
          <w:b w:val="0"/>
          <w:bCs/>
          <w:color w:val="auto"/>
          <w:sz w:val="32"/>
          <w:szCs w:val="32"/>
          <w:highlight w:val="none"/>
        </w:rPr>
        <w:t>%</w:t>
      </w:r>
      <w:r>
        <w:rPr>
          <w:rStyle w:val="20"/>
          <w:rFonts w:hint="eastAsia" w:ascii="仿宋" w:hAnsi="仿宋" w:eastAsia="仿宋"/>
          <w:b w:val="0"/>
          <w:bCs/>
          <w:color w:val="auto"/>
          <w:sz w:val="32"/>
          <w:szCs w:val="32"/>
          <w:highlight w:val="none"/>
        </w:rPr>
        <w:t>，决算数等于预算数。</w:t>
      </w:r>
    </w:p>
    <w:p>
      <w:pPr>
        <w:pStyle w:val="2"/>
        <w:ind w:firstLine="643" w:firstLineChars="200"/>
        <w:rPr>
          <w:rStyle w:val="20"/>
          <w:rFonts w:hint="eastAsia" w:ascii="仿宋" w:hAnsi="仿宋" w:eastAsia="仿宋"/>
          <w:b w:val="0"/>
          <w:bCs/>
          <w:color w:val="auto"/>
          <w:sz w:val="32"/>
          <w:szCs w:val="32"/>
          <w:highlight w:val="none"/>
        </w:rPr>
      </w:pPr>
      <w:r>
        <w:rPr>
          <w:rStyle w:val="20"/>
          <w:rFonts w:hint="eastAsia" w:ascii="仿宋" w:hAnsi="仿宋" w:eastAsia="仿宋"/>
          <w:bCs/>
          <w:color w:val="auto"/>
          <w:sz w:val="32"/>
          <w:szCs w:val="32"/>
          <w:highlight w:val="none"/>
          <w:lang w:val="en-US" w:eastAsia="zh-CN"/>
        </w:rPr>
        <w:t>8</w:t>
      </w:r>
      <w:r>
        <w:rPr>
          <w:rStyle w:val="20"/>
          <w:rFonts w:ascii="仿宋" w:hAnsi="仿宋" w:eastAsia="仿宋"/>
          <w:bCs/>
          <w:color w:val="auto"/>
          <w:sz w:val="32"/>
          <w:szCs w:val="32"/>
          <w:highlight w:val="none"/>
        </w:rPr>
        <w:t>.</w:t>
      </w:r>
      <w:r>
        <w:rPr>
          <w:rStyle w:val="20"/>
          <w:rFonts w:hint="eastAsia" w:ascii="仿宋" w:hAnsi="仿宋" w:eastAsia="仿宋"/>
          <w:bCs/>
          <w:color w:val="auto"/>
          <w:sz w:val="32"/>
          <w:szCs w:val="32"/>
          <w:highlight w:val="none"/>
        </w:rPr>
        <w:t>文化旅游体育与传媒</w:t>
      </w:r>
      <w:r>
        <w:rPr>
          <w:rStyle w:val="20"/>
          <w:rFonts w:hint="eastAsia" w:ascii="仿宋" w:hAnsi="仿宋" w:eastAsia="仿宋"/>
          <w:bCs/>
          <w:color w:val="auto"/>
          <w:sz w:val="32"/>
          <w:szCs w:val="32"/>
          <w:highlight w:val="none"/>
          <w:lang w:val="en-US" w:eastAsia="zh-CN"/>
        </w:rPr>
        <w:t>支出</w:t>
      </w:r>
      <w:r>
        <w:rPr>
          <w:rStyle w:val="20"/>
          <w:rFonts w:hint="eastAsia" w:ascii="仿宋" w:hAnsi="仿宋" w:eastAsia="仿宋"/>
          <w:bCs/>
          <w:color w:val="auto"/>
          <w:sz w:val="32"/>
          <w:szCs w:val="32"/>
          <w:highlight w:val="none"/>
        </w:rPr>
        <w:t>（类）文化和旅游（款）其他文化和旅游支出（项）</w:t>
      </w:r>
      <w:r>
        <w:rPr>
          <w:rStyle w:val="20"/>
          <w:rFonts w:ascii="仿宋" w:hAnsi="仿宋" w:eastAsia="仿宋"/>
          <w:bCs/>
          <w:color w:val="auto"/>
          <w:sz w:val="32"/>
          <w:szCs w:val="32"/>
          <w:highlight w:val="none"/>
        </w:rPr>
        <w:t>:</w:t>
      </w:r>
      <w:r>
        <w:rPr>
          <w:rStyle w:val="20"/>
          <w:rFonts w:ascii="仿宋" w:hAnsi="仿宋" w:eastAsia="仿宋"/>
          <w:b w:val="0"/>
          <w:bCs/>
          <w:color w:val="auto"/>
          <w:sz w:val="32"/>
          <w:szCs w:val="32"/>
          <w:highlight w:val="none"/>
        </w:rPr>
        <w:t xml:space="preserve"> </w:t>
      </w:r>
      <w:r>
        <w:rPr>
          <w:rStyle w:val="20"/>
          <w:rFonts w:hint="eastAsia" w:ascii="仿宋" w:hAnsi="仿宋" w:eastAsia="仿宋"/>
          <w:b w:val="0"/>
          <w:bCs/>
          <w:color w:val="auto"/>
          <w:sz w:val="32"/>
          <w:szCs w:val="32"/>
          <w:highlight w:val="none"/>
        </w:rPr>
        <w:t>支出决算为</w:t>
      </w:r>
      <w:r>
        <w:rPr>
          <w:rStyle w:val="20"/>
          <w:rFonts w:hint="eastAsia" w:ascii="仿宋" w:hAnsi="仿宋" w:eastAsia="仿宋"/>
          <w:b w:val="0"/>
          <w:bCs/>
          <w:color w:val="auto"/>
          <w:sz w:val="32"/>
          <w:szCs w:val="32"/>
          <w:highlight w:val="none"/>
          <w:lang w:val="en-US" w:eastAsia="zh-CN"/>
        </w:rPr>
        <w:t>1274.51</w:t>
      </w:r>
      <w:r>
        <w:rPr>
          <w:rStyle w:val="20"/>
          <w:rFonts w:hint="eastAsia" w:ascii="仿宋" w:hAnsi="仿宋" w:eastAsia="仿宋"/>
          <w:b w:val="0"/>
          <w:bCs/>
          <w:color w:val="auto"/>
          <w:sz w:val="32"/>
          <w:szCs w:val="32"/>
          <w:highlight w:val="none"/>
        </w:rPr>
        <w:t>万元，完成预算</w:t>
      </w:r>
      <w:r>
        <w:rPr>
          <w:rStyle w:val="20"/>
          <w:rFonts w:hint="eastAsia" w:ascii="仿宋" w:hAnsi="仿宋" w:eastAsia="仿宋"/>
          <w:b w:val="0"/>
          <w:bCs/>
          <w:color w:val="auto"/>
          <w:sz w:val="32"/>
          <w:szCs w:val="32"/>
          <w:highlight w:val="none"/>
          <w:lang w:val="en-US" w:eastAsia="zh-CN"/>
        </w:rPr>
        <w:t>100</w:t>
      </w:r>
      <w:r>
        <w:rPr>
          <w:rStyle w:val="20"/>
          <w:rFonts w:ascii="仿宋" w:hAnsi="仿宋" w:eastAsia="仿宋"/>
          <w:b w:val="0"/>
          <w:bCs/>
          <w:color w:val="auto"/>
          <w:sz w:val="32"/>
          <w:szCs w:val="32"/>
          <w:highlight w:val="none"/>
        </w:rPr>
        <w:t>%</w:t>
      </w:r>
      <w:r>
        <w:rPr>
          <w:rStyle w:val="20"/>
          <w:rFonts w:hint="eastAsia" w:ascii="仿宋" w:hAnsi="仿宋" w:eastAsia="仿宋"/>
          <w:b w:val="0"/>
          <w:bCs/>
          <w:color w:val="auto"/>
          <w:sz w:val="32"/>
          <w:szCs w:val="32"/>
          <w:highlight w:val="none"/>
        </w:rPr>
        <w:t>，决算数等于预算数。</w:t>
      </w:r>
    </w:p>
    <w:p>
      <w:pPr>
        <w:pStyle w:val="3"/>
        <w:ind w:left="0" w:leftChars="0" w:firstLine="643" w:firstLineChars="200"/>
        <w:jc w:val="left"/>
        <w:rPr>
          <w:rStyle w:val="20"/>
          <w:rFonts w:hint="eastAsia" w:ascii="仿宋" w:hAnsi="仿宋" w:eastAsia="仿宋"/>
          <w:b w:val="0"/>
          <w:bCs/>
          <w:color w:val="auto"/>
          <w:sz w:val="32"/>
          <w:szCs w:val="32"/>
          <w:highlight w:val="none"/>
        </w:rPr>
      </w:pPr>
      <w:r>
        <w:rPr>
          <w:rStyle w:val="20"/>
          <w:rFonts w:hint="eastAsia" w:ascii="仿宋" w:hAnsi="仿宋" w:eastAsia="仿宋"/>
          <w:bCs/>
          <w:color w:val="auto"/>
          <w:sz w:val="32"/>
          <w:szCs w:val="32"/>
          <w:highlight w:val="none"/>
          <w:lang w:val="en-US" w:eastAsia="zh-CN"/>
        </w:rPr>
        <w:t>9</w:t>
      </w:r>
      <w:r>
        <w:rPr>
          <w:rStyle w:val="20"/>
          <w:rFonts w:ascii="仿宋" w:hAnsi="仿宋" w:eastAsia="仿宋"/>
          <w:bCs/>
          <w:color w:val="auto"/>
          <w:sz w:val="32"/>
          <w:szCs w:val="32"/>
          <w:highlight w:val="none"/>
        </w:rPr>
        <w:t>.</w:t>
      </w:r>
      <w:r>
        <w:rPr>
          <w:rStyle w:val="20"/>
          <w:rFonts w:hint="eastAsia" w:ascii="仿宋" w:hAnsi="仿宋" w:eastAsia="仿宋"/>
          <w:bCs/>
          <w:color w:val="auto"/>
          <w:sz w:val="32"/>
          <w:szCs w:val="32"/>
          <w:highlight w:val="none"/>
        </w:rPr>
        <w:t>文化旅游体育与传媒</w:t>
      </w:r>
      <w:r>
        <w:rPr>
          <w:rStyle w:val="20"/>
          <w:rFonts w:hint="eastAsia" w:ascii="仿宋" w:hAnsi="仿宋" w:eastAsia="仿宋"/>
          <w:bCs/>
          <w:color w:val="auto"/>
          <w:sz w:val="32"/>
          <w:szCs w:val="32"/>
          <w:highlight w:val="none"/>
          <w:lang w:val="en-US" w:eastAsia="zh-CN"/>
        </w:rPr>
        <w:t>支出</w:t>
      </w:r>
      <w:r>
        <w:rPr>
          <w:rStyle w:val="20"/>
          <w:rFonts w:hint="eastAsia" w:ascii="仿宋" w:hAnsi="仿宋" w:eastAsia="仿宋"/>
          <w:bCs/>
          <w:color w:val="auto"/>
          <w:sz w:val="32"/>
          <w:szCs w:val="32"/>
          <w:highlight w:val="none"/>
        </w:rPr>
        <w:t>（类）</w:t>
      </w:r>
      <w:r>
        <w:rPr>
          <w:rStyle w:val="20"/>
          <w:rFonts w:hint="eastAsia" w:ascii="仿宋" w:hAnsi="仿宋" w:eastAsia="仿宋"/>
          <w:bCs/>
          <w:color w:val="auto"/>
          <w:sz w:val="32"/>
          <w:szCs w:val="32"/>
          <w:highlight w:val="none"/>
          <w:lang w:val="en-US" w:eastAsia="zh-CN"/>
        </w:rPr>
        <w:t>文物</w:t>
      </w:r>
      <w:r>
        <w:rPr>
          <w:rStyle w:val="20"/>
          <w:rFonts w:hint="eastAsia" w:ascii="仿宋" w:hAnsi="仿宋" w:eastAsia="仿宋"/>
          <w:bCs/>
          <w:color w:val="auto"/>
          <w:sz w:val="32"/>
          <w:szCs w:val="32"/>
          <w:highlight w:val="none"/>
        </w:rPr>
        <w:t>（款）</w:t>
      </w:r>
      <w:r>
        <w:rPr>
          <w:rStyle w:val="20"/>
          <w:rFonts w:hint="eastAsia" w:ascii="仿宋" w:hAnsi="仿宋" w:eastAsia="仿宋"/>
          <w:bCs/>
          <w:color w:val="auto"/>
          <w:sz w:val="32"/>
          <w:szCs w:val="32"/>
          <w:highlight w:val="none"/>
          <w:lang w:val="en-US" w:eastAsia="zh-CN"/>
        </w:rPr>
        <w:t>文物保护</w:t>
      </w:r>
      <w:r>
        <w:rPr>
          <w:rStyle w:val="20"/>
          <w:rFonts w:hint="eastAsia" w:ascii="仿宋" w:hAnsi="仿宋" w:eastAsia="仿宋"/>
          <w:bCs/>
          <w:color w:val="auto"/>
          <w:sz w:val="32"/>
          <w:szCs w:val="32"/>
          <w:highlight w:val="none"/>
        </w:rPr>
        <w:t>（项）</w:t>
      </w:r>
      <w:r>
        <w:rPr>
          <w:rStyle w:val="20"/>
          <w:rFonts w:ascii="仿宋" w:hAnsi="仿宋" w:eastAsia="仿宋"/>
          <w:bCs/>
          <w:color w:val="auto"/>
          <w:sz w:val="32"/>
          <w:szCs w:val="32"/>
          <w:highlight w:val="none"/>
        </w:rPr>
        <w:t>:</w:t>
      </w:r>
      <w:r>
        <w:rPr>
          <w:rStyle w:val="20"/>
          <w:rFonts w:ascii="仿宋" w:hAnsi="仿宋" w:eastAsia="仿宋"/>
          <w:b w:val="0"/>
          <w:bCs/>
          <w:color w:val="auto"/>
          <w:sz w:val="32"/>
          <w:szCs w:val="32"/>
          <w:highlight w:val="none"/>
        </w:rPr>
        <w:t xml:space="preserve"> </w:t>
      </w:r>
      <w:r>
        <w:rPr>
          <w:rStyle w:val="20"/>
          <w:rFonts w:hint="eastAsia" w:ascii="仿宋" w:hAnsi="仿宋" w:eastAsia="仿宋"/>
          <w:b w:val="0"/>
          <w:bCs/>
          <w:color w:val="auto"/>
          <w:sz w:val="32"/>
          <w:szCs w:val="32"/>
          <w:highlight w:val="none"/>
        </w:rPr>
        <w:t>支出决算为</w:t>
      </w:r>
      <w:r>
        <w:rPr>
          <w:rStyle w:val="20"/>
          <w:rFonts w:hint="eastAsia" w:ascii="仿宋" w:hAnsi="仿宋" w:eastAsia="仿宋"/>
          <w:b w:val="0"/>
          <w:bCs/>
          <w:color w:val="auto"/>
          <w:sz w:val="32"/>
          <w:szCs w:val="32"/>
          <w:highlight w:val="none"/>
          <w:lang w:val="en-US" w:eastAsia="zh-CN"/>
        </w:rPr>
        <w:t>14.21</w:t>
      </w:r>
      <w:r>
        <w:rPr>
          <w:rStyle w:val="20"/>
          <w:rFonts w:hint="eastAsia" w:ascii="仿宋" w:hAnsi="仿宋" w:eastAsia="仿宋"/>
          <w:b w:val="0"/>
          <w:bCs/>
          <w:color w:val="auto"/>
          <w:sz w:val="32"/>
          <w:szCs w:val="32"/>
          <w:highlight w:val="none"/>
        </w:rPr>
        <w:t>万元，完成预算</w:t>
      </w:r>
      <w:r>
        <w:rPr>
          <w:rStyle w:val="20"/>
          <w:rFonts w:hint="eastAsia" w:ascii="仿宋" w:hAnsi="仿宋" w:eastAsia="仿宋"/>
          <w:b w:val="0"/>
          <w:bCs/>
          <w:color w:val="auto"/>
          <w:sz w:val="32"/>
          <w:szCs w:val="32"/>
          <w:highlight w:val="none"/>
          <w:lang w:val="en-US" w:eastAsia="zh-CN"/>
        </w:rPr>
        <w:t>100</w:t>
      </w:r>
      <w:r>
        <w:rPr>
          <w:rStyle w:val="20"/>
          <w:rFonts w:ascii="仿宋" w:hAnsi="仿宋" w:eastAsia="仿宋"/>
          <w:b w:val="0"/>
          <w:bCs/>
          <w:color w:val="auto"/>
          <w:sz w:val="32"/>
          <w:szCs w:val="32"/>
          <w:highlight w:val="none"/>
        </w:rPr>
        <w:t>%</w:t>
      </w:r>
      <w:r>
        <w:rPr>
          <w:rStyle w:val="20"/>
          <w:rFonts w:hint="eastAsia" w:ascii="仿宋" w:hAnsi="仿宋" w:eastAsia="仿宋"/>
          <w:b w:val="0"/>
          <w:bCs/>
          <w:color w:val="auto"/>
          <w:sz w:val="32"/>
          <w:szCs w:val="32"/>
          <w:highlight w:val="none"/>
        </w:rPr>
        <w:t>，决算数等于预算数。</w:t>
      </w:r>
    </w:p>
    <w:p>
      <w:pPr>
        <w:pStyle w:val="3"/>
        <w:ind w:left="0" w:leftChars="0" w:firstLine="643" w:firstLineChars="200"/>
        <w:jc w:val="left"/>
        <w:rPr>
          <w:rStyle w:val="20"/>
          <w:rFonts w:hint="eastAsia" w:ascii="仿宋" w:hAnsi="仿宋" w:eastAsia="仿宋"/>
          <w:b w:val="0"/>
          <w:bCs/>
          <w:color w:val="auto"/>
          <w:sz w:val="32"/>
          <w:szCs w:val="32"/>
          <w:highlight w:val="none"/>
        </w:rPr>
      </w:pPr>
      <w:r>
        <w:rPr>
          <w:rStyle w:val="20"/>
          <w:rFonts w:hint="eastAsia" w:ascii="仿宋" w:hAnsi="仿宋" w:eastAsia="仿宋"/>
          <w:bCs/>
          <w:color w:val="auto"/>
          <w:sz w:val="32"/>
          <w:szCs w:val="32"/>
          <w:highlight w:val="none"/>
          <w:lang w:val="en-US" w:eastAsia="zh-CN"/>
        </w:rPr>
        <w:t>10</w:t>
      </w:r>
      <w:r>
        <w:rPr>
          <w:rStyle w:val="20"/>
          <w:rFonts w:ascii="仿宋" w:hAnsi="仿宋" w:eastAsia="仿宋"/>
          <w:bCs/>
          <w:color w:val="auto"/>
          <w:sz w:val="32"/>
          <w:szCs w:val="32"/>
          <w:highlight w:val="none"/>
        </w:rPr>
        <w:t>.</w:t>
      </w:r>
      <w:r>
        <w:rPr>
          <w:rStyle w:val="20"/>
          <w:rFonts w:hint="eastAsia" w:ascii="仿宋" w:hAnsi="仿宋" w:eastAsia="仿宋"/>
          <w:bCs/>
          <w:color w:val="auto"/>
          <w:sz w:val="32"/>
          <w:szCs w:val="32"/>
          <w:highlight w:val="none"/>
        </w:rPr>
        <w:t>文化旅游体育与传媒</w:t>
      </w:r>
      <w:r>
        <w:rPr>
          <w:rStyle w:val="20"/>
          <w:rFonts w:hint="eastAsia" w:ascii="仿宋" w:hAnsi="仿宋" w:eastAsia="仿宋"/>
          <w:bCs/>
          <w:color w:val="auto"/>
          <w:sz w:val="32"/>
          <w:szCs w:val="32"/>
          <w:highlight w:val="none"/>
          <w:lang w:val="en-US" w:eastAsia="zh-CN"/>
        </w:rPr>
        <w:t>支出</w:t>
      </w:r>
      <w:r>
        <w:rPr>
          <w:rStyle w:val="20"/>
          <w:rFonts w:hint="eastAsia" w:ascii="仿宋" w:hAnsi="仿宋" w:eastAsia="仿宋"/>
          <w:bCs/>
          <w:color w:val="auto"/>
          <w:sz w:val="32"/>
          <w:szCs w:val="32"/>
          <w:highlight w:val="none"/>
        </w:rPr>
        <w:t>（类）</w:t>
      </w:r>
      <w:r>
        <w:rPr>
          <w:rStyle w:val="20"/>
          <w:rFonts w:hint="eastAsia" w:ascii="仿宋" w:hAnsi="仿宋" w:eastAsia="仿宋"/>
          <w:bCs/>
          <w:color w:val="auto"/>
          <w:sz w:val="32"/>
          <w:szCs w:val="32"/>
          <w:highlight w:val="none"/>
          <w:lang w:val="en-US" w:eastAsia="zh-CN"/>
        </w:rPr>
        <w:t>文物</w:t>
      </w:r>
      <w:r>
        <w:rPr>
          <w:rStyle w:val="20"/>
          <w:rFonts w:hint="eastAsia" w:ascii="仿宋" w:hAnsi="仿宋" w:eastAsia="仿宋"/>
          <w:bCs/>
          <w:color w:val="auto"/>
          <w:sz w:val="32"/>
          <w:szCs w:val="32"/>
          <w:highlight w:val="none"/>
        </w:rPr>
        <w:t>（款）</w:t>
      </w:r>
      <w:r>
        <w:rPr>
          <w:rStyle w:val="20"/>
          <w:rFonts w:hint="eastAsia" w:ascii="仿宋" w:hAnsi="仿宋" w:eastAsia="仿宋"/>
          <w:bCs/>
          <w:color w:val="auto"/>
          <w:sz w:val="32"/>
          <w:szCs w:val="32"/>
          <w:highlight w:val="none"/>
          <w:lang w:val="en-US" w:eastAsia="zh-CN"/>
        </w:rPr>
        <w:t>博物馆</w:t>
      </w:r>
      <w:r>
        <w:rPr>
          <w:rStyle w:val="20"/>
          <w:rFonts w:hint="eastAsia" w:ascii="仿宋" w:hAnsi="仿宋" w:eastAsia="仿宋"/>
          <w:bCs/>
          <w:color w:val="auto"/>
          <w:sz w:val="32"/>
          <w:szCs w:val="32"/>
          <w:highlight w:val="none"/>
        </w:rPr>
        <w:t>（项）</w:t>
      </w:r>
      <w:r>
        <w:rPr>
          <w:rStyle w:val="20"/>
          <w:rFonts w:ascii="仿宋" w:hAnsi="仿宋" w:eastAsia="仿宋"/>
          <w:bCs/>
          <w:color w:val="auto"/>
          <w:sz w:val="32"/>
          <w:szCs w:val="32"/>
          <w:highlight w:val="none"/>
        </w:rPr>
        <w:t>:</w:t>
      </w:r>
      <w:r>
        <w:rPr>
          <w:rStyle w:val="20"/>
          <w:rFonts w:ascii="仿宋" w:hAnsi="仿宋" w:eastAsia="仿宋"/>
          <w:b w:val="0"/>
          <w:bCs/>
          <w:color w:val="auto"/>
          <w:sz w:val="32"/>
          <w:szCs w:val="32"/>
          <w:highlight w:val="none"/>
        </w:rPr>
        <w:t xml:space="preserve"> </w:t>
      </w:r>
      <w:r>
        <w:rPr>
          <w:rStyle w:val="20"/>
          <w:rFonts w:hint="eastAsia" w:ascii="仿宋" w:hAnsi="仿宋" w:eastAsia="仿宋"/>
          <w:b w:val="0"/>
          <w:bCs/>
          <w:color w:val="auto"/>
          <w:sz w:val="32"/>
          <w:szCs w:val="32"/>
          <w:highlight w:val="none"/>
        </w:rPr>
        <w:t>支出决算为</w:t>
      </w:r>
      <w:r>
        <w:rPr>
          <w:rStyle w:val="20"/>
          <w:rFonts w:hint="eastAsia" w:ascii="仿宋" w:hAnsi="仿宋" w:eastAsia="仿宋"/>
          <w:b w:val="0"/>
          <w:bCs/>
          <w:color w:val="auto"/>
          <w:sz w:val="32"/>
          <w:szCs w:val="32"/>
          <w:highlight w:val="none"/>
          <w:lang w:val="en-US" w:eastAsia="zh-CN"/>
        </w:rPr>
        <w:t>366.10</w:t>
      </w:r>
      <w:r>
        <w:rPr>
          <w:rStyle w:val="20"/>
          <w:rFonts w:hint="eastAsia" w:ascii="仿宋" w:hAnsi="仿宋" w:eastAsia="仿宋"/>
          <w:b w:val="0"/>
          <w:bCs/>
          <w:color w:val="auto"/>
          <w:sz w:val="32"/>
          <w:szCs w:val="32"/>
          <w:highlight w:val="none"/>
        </w:rPr>
        <w:t>万元，完成预算</w:t>
      </w:r>
      <w:r>
        <w:rPr>
          <w:rStyle w:val="20"/>
          <w:rFonts w:hint="eastAsia" w:ascii="仿宋" w:hAnsi="仿宋" w:eastAsia="仿宋"/>
          <w:b w:val="0"/>
          <w:bCs/>
          <w:color w:val="auto"/>
          <w:sz w:val="32"/>
          <w:szCs w:val="32"/>
          <w:highlight w:val="none"/>
          <w:lang w:val="en-US" w:eastAsia="zh-CN"/>
        </w:rPr>
        <w:t>100</w:t>
      </w:r>
      <w:r>
        <w:rPr>
          <w:rStyle w:val="20"/>
          <w:rFonts w:ascii="仿宋" w:hAnsi="仿宋" w:eastAsia="仿宋"/>
          <w:b w:val="0"/>
          <w:bCs/>
          <w:color w:val="auto"/>
          <w:sz w:val="32"/>
          <w:szCs w:val="32"/>
          <w:highlight w:val="none"/>
        </w:rPr>
        <w:t>%</w:t>
      </w:r>
      <w:r>
        <w:rPr>
          <w:rStyle w:val="20"/>
          <w:rFonts w:hint="eastAsia" w:ascii="仿宋" w:hAnsi="仿宋" w:eastAsia="仿宋"/>
          <w:b w:val="0"/>
          <w:bCs/>
          <w:color w:val="auto"/>
          <w:sz w:val="32"/>
          <w:szCs w:val="32"/>
          <w:highlight w:val="none"/>
        </w:rPr>
        <w:t>，决算数等于预算数。</w:t>
      </w:r>
    </w:p>
    <w:p>
      <w:pPr>
        <w:ind w:firstLine="643" w:firstLineChars="200"/>
        <w:jc w:val="left"/>
        <w:rPr>
          <w:rFonts w:hint="eastAsia"/>
        </w:rPr>
      </w:pPr>
      <w:r>
        <w:rPr>
          <w:rStyle w:val="20"/>
          <w:rFonts w:hint="eastAsia" w:ascii="仿宋" w:hAnsi="仿宋" w:eastAsia="仿宋"/>
          <w:bCs/>
          <w:color w:val="auto"/>
          <w:sz w:val="32"/>
          <w:szCs w:val="32"/>
          <w:highlight w:val="none"/>
          <w:lang w:val="en-US" w:eastAsia="zh-CN"/>
        </w:rPr>
        <w:t>11</w:t>
      </w:r>
      <w:r>
        <w:rPr>
          <w:rStyle w:val="20"/>
          <w:rFonts w:ascii="仿宋" w:hAnsi="仿宋" w:eastAsia="仿宋"/>
          <w:bCs/>
          <w:color w:val="auto"/>
          <w:sz w:val="32"/>
          <w:szCs w:val="32"/>
          <w:highlight w:val="none"/>
        </w:rPr>
        <w:t>.</w:t>
      </w:r>
      <w:r>
        <w:rPr>
          <w:rStyle w:val="20"/>
          <w:rFonts w:hint="eastAsia" w:ascii="仿宋" w:hAnsi="仿宋" w:eastAsia="仿宋"/>
          <w:bCs/>
          <w:color w:val="auto"/>
          <w:sz w:val="32"/>
          <w:szCs w:val="32"/>
          <w:highlight w:val="none"/>
        </w:rPr>
        <w:t>文化旅游体育与传媒</w:t>
      </w:r>
      <w:r>
        <w:rPr>
          <w:rStyle w:val="20"/>
          <w:rFonts w:hint="eastAsia" w:ascii="仿宋" w:hAnsi="仿宋" w:eastAsia="仿宋"/>
          <w:bCs/>
          <w:color w:val="auto"/>
          <w:sz w:val="32"/>
          <w:szCs w:val="32"/>
          <w:highlight w:val="none"/>
          <w:lang w:val="en-US" w:eastAsia="zh-CN"/>
        </w:rPr>
        <w:t>支出</w:t>
      </w:r>
      <w:r>
        <w:rPr>
          <w:rStyle w:val="20"/>
          <w:rFonts w:hint="eastAsia" w:ascii="仿宋" w:hAnsi="仿宋" w:eastAsia="仿宋"/>
          <w:bCs/>
          <w:color w:val="auto"/>
          <w:sz w:val="32"/>
          <w:szCs w:val="32"/>
          <w:highlight w:val="none"/>
        </w:rPr>
        <w:t>（类）</w:t>
      </w:r>
      <w:r>
        <w:rPr>
          <w:rStyle w:val="20"/>
          <w:rFonts w:hint="eastAsia" w:ascii="仿宋" w:hAnsi="仿宋" w:eastAsia="仿宋"/>
          <w:bCs/>
          <w:color w:val="auto"/>
          <w:sz w:val="32"/>
          <w:szCs w:val="32"/>
          <w:highlight w:val="none"/>
          <w:lang w:val="en-US" w:eastAsia="zh-CN"/>
        </w:rPr>
        <w:t>体育</w:t>
      </w:r>
      <w:r>
        <w:rPr>
          <w:rStyle w:val="20"/>
          <w:rFonts w:hint="eastAsia" w:ascii="仿宋" w:hAnsi="仿宋" w:eastAsia="仿宋"/>
          <w:bCs/>
          <w:color w:val="auto"/>
          <w:sz w:val="32"/>
          <w:szCs w:val="32"/>
          <w:highlight w:val="none"/>
        </w:rPr>
        <w:t>（款）</w:t>
      </w:r>
      <w:r>
        <w:rPr>
          <w:rStyle w:val="20"/>
          <w:rFonts w:hint="eastAsia" w:ascii="仿宋" w:hAnsi="仿宋" w:eastAsia="仿宋"/>
          <w:bCs/>
          <w:color w:val="auto"/>
          <w:sz w:val="32"/>
          <w:szCs w:val="32"/>
          <w:highlight w:val="none"/>
          <w:lang w:val="en-US" w:eastAsia="zh-CN"/>
        </w:rPr>
        <w:t>体育竞赛</w:t>
      </w:r>
      <w:r>
        <w:rPr>
          <w:rStyle w:val="20"/>
          <w:rFonts w:hint="eastAsia" w:ascii="仿宋" w:hAnsi="仿宋" w:eastAsia="仿宋"/>
          <w:bCs/>
          <w:color w:val="auto"/>
          <w:sz w:val="32"/>
          <w:szCs w:val="32"/>
          <w:highlight w:val="none"/>
        </w:rPr>
        <w:t>（项）</w:t>
      </w:r>
      <w:r>
        <w:rPr>
          <w:rStyle w:val="20"/>
          <w:rFonts w:ascii="仿宋" w:hAnsi="仿宋" w:eastAsia="仿宋"/>
          <w:bCs/>
          <w:color w:val="auto"/>
          <w:sz w:val="32"/>
          <w:szCs w:val="32"/>
          <w:highlight w:val="none"/>
        </w:rPr>
        <w:t>:</w:t>
      </w:r>
      <w:r>
        <w:rPr>
          <w:rStyle w:val="20"/>
          <w:rFonts w:ascii="仿宋" w:hAnsi="仿宋" w:eastAsia="仿宋"/>
          <w:b w:val="0"/>
          <w:bCs/>
          <w:color w:val="auto"/>
          <w:sz w:val="32"/>
          <w:szCs w:val="32"/>
          <w:highlight w:val="none"/>
        </w:rPr>
        <w:t xml:space="preserve"> </w:t>
      </w:r>
      <w:r>
        <w:rPr>
          <w:rStyle w:val="20"/>
          <w:rFonts w:hint="eastAsia" w:ascii="仿宋" w:hAnsi="仿宋" w:eastAsia="仿宋"/>
          <w:b w:val="0"/>
          <w:bCs/>
          <w:color w:val="auto"/>
          <w:sz w:val="32"/>
          <w:szCs w:val="32"/>
          <w:highlight w:val="none"/>
        </w:rPr>
        <w:t>支出决算为</w:t>
      </w:r>
      <w:r>
        <w:rPr>
          <w:rStyle w:val="20"/>
          <w:rFonts w:hint="eastAsia" w:ascii="仿宋" w:hAnsi="仿宋" w:eastAsia="仿宋"/>
          <w:b w:val="0"/>
          <w:bCs/>
          <w:color w:val="auto"/>
          <w:sz w:val="32"/>
          <w:szCs w:val="32"/>
          <w:highlight w:val="none"/>
          <w:lang w:val="en-US" w:eastAsia="zh-CN"/>
        </w:rPr>
        <w:t>58.82</w:t>
      </w:r>
      <w:r>
        <w:rPr>
          <w:rStyle w:val="20"/>
          <w:rFonts w:hint="eastAsia" w:ascii="仿宋" w:hAnsi="仿宋" w:eastAsia="仿宋"/>
          <w:b w:val="0"/>
          <w:bCs/>
          <w:color w:val="auto"/>
          <w:sz w:val="32"/>
          <w:szCs w:val="32"/>
          <w:highlight w:val="none"/>
        </w:rPr>
        <w:t>万元，完成预算</w:t>
      </w:r>
      <w:r>
        <w:rPr>
          <w:rStyle w:val="20"/>
          <w:rFonts w:hint="eastAsia" w:ascii="仿宋" w:hAnsi="仿宋" w:eastAsia="仿宋"/>
          <w:b w:val="0"/>
          <w:bCs/>
          <w:color w:val="auto"/>
          <w:sz w:val="32"/>
          <w:szCs w:val="32"/>
          <w:highlight w:val="none"/>
          <w:lang w:val="en-US" w:eastAsia="zh-CN"/>
        </w:rPr>
        <w:t>100</w:t>
      </w:r>
      <w:r>
        <w:rPr>
          <w:rStyle w:val="20"/>
          <w:rFonts w:ascii="仿宋" w:hAnsi="仿宋" w:eastAsia="仿宋"/>
          <w:b w:val="0"/>
          <w:bCs/>
          <w:color w:val="auto"/>
          <w:sz w:val="32"/>
          <w:szCs w:val="32"/>
          <w:highlight w:val="none"/>
        </w:rPr>
        <w:t>%</w:t>
      </w:r>
      <w:r>
        <w:rPr>
          <w:rStyle w:val="20"/>
          <w:rFonts w:hint="eastAsia" w:ascii="仿宋" w:hAnsi="仿宋" w:eastAsia="仿宋"/>
          <w:b w:val="0"/>
          <w:bCs/>
          <w:color w:val="auto"/>
          <w:sz w:val="32"/>
          <w:szCs w:val="32"/>
          <w:highlight w:val="none"/>
        </w:rPr>
        <w:t>，决算数等于预算数。</w:t>
      </w:r>
    </w:p>
    <w:p>
      <w:pPr>
        <w:pStyle w:val="2"/>
        <w:ind w:firstLine="643" w:firstLineChars="200"/>
        <w:rPr>
          <w:rStyle w:val="20"/>
          <w:rFonts w:hint="eastAsia" w:ascii="仿宋" w:hAnsi="仿宋" w:eastAsia="仿宋"/>
          <w:b w:val="0"/>
          <w:bCs/>
          <w:color w:val="auto"/>
          <w:sz w:val="32"/>
          <w:szCs w:val="32"/>
          <w:highlight w:val="none"/>
        </w:rPr>
      </w:pPr>
      <w:r>
        <w:rPr>
          <w:rStyle w:val="20"/>
          <w:rFonts w:hint="eastAsia" w:ascii="仿宋" w:hAnsi="仿宋" w:eastAsia="仿宋"/>
          <w:bCs/>
          <w:color w:val="auto"/>
          <w:sz w:val="32"/>
          <w:szCs w:val="32"/>
          <w:highlight w:val="none"/>
          <w:lang w:val="en-US" w:eastAsia="zh-CN"/>
        </w:rPr>
        <w:t>12</w:t>
      </w:r>
      <w:r>
        <w:rPr>
          <w:rStyle w:val="20"/>
          <w:rFonts w:ascii="仿宋" w:hAnsi="仿宋" w:eastAsia="仿宋"/>
          <w:bCs/>
          <w:color w:val="auto"/>
          <w:sz w:val="32"/>
          <w:szCs w:val="32"/>
          <w:highlight w:val="none"/>
        </w:rPr>
        <w:t>.</w:t>
      </w:r>
      <w:r>
        <w:rPr>
          <w:rStyle w:val="20"/>
          <w:rFonts w:hint="eastAsia" w:ascii="仿宋" w:hAnsi="仿宋" w:eastAsia="仿宋"/>
          <w:bCs/>
          <w:color w:val="auto"/>
          <w:sz w:val="32"/>
          <w:szCs w:val="32"/>
          <w:highlight w:val="none"/>
        </w:rPr>
        <w:t>文化旅游体育与传媒</w:t>
      </w:r>
      <w:r>
        <w:rPr>
          <w:rStyle w:val="20"/>
          <w:rFonts w:hint="eastAsia" w:ascii="仿宋" w:hAnsi="仿宋" w:eastAsia="仿宋"/>
          <w:bCs/>
          <w:color w:val="auto"/>
          <w:sz w:val="32"/>
          <w:szCs w:val="32"/>
          <w:highlight w:val="none"/>
          <w:lang w:val="en-US" w:eastAsia="zh-CN"/>
        </w:rPr>
        <w:t>支出</w:t>
      </w:r>
      <w:r>
        <w:rPr>
          <w:rStyle w:val="20"/>
          <w:rFonts w:hint="eastAsia" w:ascii="仿宋" w:hAnsi="仿宋" w:eastAsia="仿宋"/>
          <w:bCs/>
          <w:color w:val="auto"/>
          <w:sz w:val="32"/>
          <w:szCs w:val="32"/>
          <w:highlight w:val="none"/>
        </w:rPr>
        <w:t>（类）</w:t>
      </w:r>
      <w:r>
        <w:rPr>
          <w:rStyle w:val="20"/>
          <w:rFonts w:hint="eastAsia" w:ascii="仿宋" w:hAnsi="仿宋" w:eastAsia="仿宋"/>
          <w:bCs/>
          <w:color w:val="auto"/>
          <w:sz w:val="32"/>
          <w:szCs w:val="32"/>
          <w:highlight w:val="none"/>
          <w:lang w:val="en-US" w:eastAsia="zh-CN"/>
        </w:rPr>
        <w:t>体育</w:t>
      </w:r>
      <w:r>
        <w:rPr>
          <w:rStyle w:val="20"/>
          <w:rFonts w:hint="eastAsia" w:ascii="仿宋" w:hAnsi="仿宋" w:eastAsia="仿宋"/>
          <w:bCs/>
          <w:color w:val="auto"/>
          <w:sz w:val="32"/>
          <w:szCs w:val="32"/>
          <w:highlight w:val="none"/>
        </w:rPr>
        <w:t>（款）</w:t>
      </w:r>
      <w:r>
        <w:rPr>
          <w:rStyle w:val="20"/>
          <w:rFonts w:hint="eastAsia" w:ascii="仿宋" w:hAnsi="仿宋" w:eastAsia="仿宋"/>
          <w:bCs/>
          <w:color w:val="auto"/>
          <w:sz w:val="32"/>
          <w:szCs w:val="32"/>
          <w:highlight w:val="none"/>
          <w:lang w:val="en-US" w:eastAsia="zh-CN"/>
        </w:rPr>
        <w:t>体育场馆</w:t>
      </w:r>
      <w:r>
        <w:rPr>
          <w:rStyle w:val="20"/>
          <w:rFonts w:hint="eastAsia" w:ascii="仿宋" w:hAnsi="仿宋" w:eastAsia="仿宋"/>
          <w:bCs/>
          <w:color w:val="auto"/>
          <w:sz w:val="32"/>
          <w:szCs w:val="32"/>
          <w:highlight w:val="none"/>
        </w:rPr>
        <w:t>（项）</w:t>
      </w:r>
      <w:r>
        <w:rPr>
          <w:rStyle w:val="20"/>
          <w:rFonts w:ascii="仿宋" w:hAnsi="仿宋" w:eastAsia="仿宋"/>
          <w:bCs/>
          <w:color w:val="auto"/>
          <w:sz w:val="32"/>
          <w:szCs w:val="32"/>
          <w:highlight w:val="none"/>
        </w:rPr>
        <w:t>:</w:t>
      </w:r>
      <w:r>
        <w:rPr>
          <w:rStyle w:val="20"/>
          <w:rFonts w:ascii="仿宋" w:hAnsi="仿宋" w:eastAsia="仿宋"/>
          <w:b w:val="0"/>
          <w:bCs/>
          <w:color w:val="auto"/>
          <w:sz w:val="32"/>
          <w:szCs w:val="32"/>
          <w:highlight w:val="none"/>
        </w:rPr>
        <w:t xml:space="preserve"> </w:t>
      </w:r>
      <w:r>
        <w:rPr>
          <w:rStyle w:val="20"/>
          <w:rFonts w:hint="eastAsia" w:ascii="仿宋" w:hAnsi="仿宋" w:eastAsia="仿宋"/>
          <w:b w:val="0"/>
          <w:bCs/>
          <w:color w:val="auto"/>
          <w:sz w:val="32"/>
          <w:szCs w:val="32"/>
          <w:highlight w:val="none"/>
        </w:rPr>
        <w:t>支出决算为</w:t>
      </w:r>
      <w:r>
        <w:rPr>
          <w:rStyle w:val="20"/>
          <w:rFonts w:hint="eastAsia" w:ascii="仿宋" w:hAnsi="仿宋" w:eastAsia="仿宋"/>
          <w:b w:val="0"/>
          <w:bCs/>
          <w:color w:val="auto"/>
          <w:sz w:val="32"/>
          <w:szCs w:val="32"/>
          <w:highlight w:val="none"/>
          <w:lang w:val="en-US" w:eastAsia="zh-CN"/>
        </w:rPr>
        <w:t>10</w:t>
      </w:r>
      <w:r>
        <w:rPr>
          <w:rStyle w:val="20"/>
          <w:rFonts w:hint="eastAsia" w:ascii="仿宋" w:hAnsi="仿宋" w:eastAsia="仿宋"/>
          <w:b w:val="0"/>
          <w:bCs/>
          <w:color w:val="auto"/>
          <w:sz w:val="32"/>
          <w:szCs w:val="32"/>
          <w:highlight w:val="none"/>
        </w:rPr>
        <w:t>万元，完成预算</w:t>
      </w:r>
      <w:r>
        <w:rPr>
          <w:rStyle w:val="20"/>
          <w:rFonts w:hint="eastAsia" w:ascii="仿宋" w:hAnsi="仿宋" w:eastAsia="仿宋"/>
          <w:b w:val="0"/>
          <w:bCs/>
          <w:color w:val="auto"/>
          <w:sz w:val="32"/>
          <w:szCs w:val="32"/>
          <w:highlight w:val="none"/>
          <w:lang w:val="en-US" w:eastAsia="zh-CN"/>
        </w:rPr>
        <w:t>100</w:t>
      </w:r>
      <w:r>
        <w:rPr>
          <w:rStyle w:val="20"/>
          <w:rFonts w:ascii="仿宋" w:hAnsi="仿宋" w:eastAsia="仿宋"/>
          <w:b w:val="0"/>
          <w:bCs/>
          <w:color w:val="auto"/>
          <w:sz w:val="32"/>
          <w:szCs w:val="32"/>
          <w:highlight w:val="none"/>
        </w:rPr>
        <w:t>%</w:t>
      </w:r>
      <w:r>
        <w:rPr>
          <w:rStyle w:val="20"/>
          <w:rFonts w:hint="eastAsia" w:ascii="仿宋" w:hAnsi="仿宋" w:eastAsia="仿宋"/>
          <w:b w:val="0"/>
          <w:bCs/>
          <w:color w:val="auto"/>
          <w:sz w:val="32"/>
          <w:szCs w:val="32"/>
          <w:highlight w:val="none"/>
        </w:rPr>
        <w:t>，决算数等于预算数。</w:t>
      </w:r>
    </w:p>
    <w:p>
      <w:pPr>
        <w:pStyle w:val="2"/>
        <w:ind w:firstLine="643" w:firstLineChars="200"/>
        <w:rPr>
          <w:rStyle w:val="20"/>
          <w:rFonts w:hint="eastAsia" w:ascii="仿宋" w:hAnsi="仿宋" w:eastAsia="仿宋"/>
          <w:b w:val="0"/>
          <w:bCs/>
          <w:color w:val="auto"/>
          <w:sz w:val="32"/>
          <w:szCs w:val="32"/>
          <w:highlight w:val="none"/>
        </w:rPr>
      </w:pPr>
      <w:r>
        <w:rPr>
          <w:rStyle w:val="20"/>
          <w:rFonts w:hint="eastAsia" w:ascii="仿宋" w:hAnsi="仿宋" w:eastAsia="仿宋"/>
          <w:bCs/>
          <w:color w:val="auto"/>
          <w:sz w:val="32"/>
          <w:szCs w:val="32"/>
          <w:highlight w:val="none"/>
          <w:lang w:val="en-US" w:eastAsia="zh-CN"/>
        </w:rPr>
        <w:t>13</w:t>
      </w:r>
      <w:r>
        <w:rPr>
          <w:rStyle w:val="20"/>
          <w:rFonts w:ascii="仿宋" w:hAnsi="仿宋" w:eastAsia="仿宋"/>
          <w:bCs/>
          <w:color w:val="auto"/>
          <w:sz w:val="32"/>
          <w:szCs w:val="32"/>
          <w:highlight w:val="none"/>
        </w:rPr>
        <w:t>.</w:t>
      </w:r>
      <w:r>
        <w:rPr>
          <w:rStyle w:val="20"/>
          <w:rFonts w:hint="eastAsia" w:ascii="仿宋" w:hAnsi="仿宋" w:eastAsia="仿宋"/>
          <w:bCs/>
          <w:color w:val="auto"/>
          <w:sz w:val="32"/>
          <w:szCs w:val="32"/>
          <w:highlight w:val="none"/>
        </w:rPr>
        <w:t>文化旅游体育与传媒</w:t>
      </w:r>
      <w:r>
        <w:rPr>
          <w:rStyle w:val="20"/>
          <w:rFonts w:hint="eastAsia" w:ascii="仿宋" w:hAnsi="仿宋" w:eastAsia="仿宋"/>
          <w:bCs/>
          <w:color w:val="auto"/>
          <w:sz w:val="32"/>
          <w:szCs w:val="32"/>
          <w:highlight w:val="none"/>
          <w:lang w:val="en-US" w:eastAsia="zh-CN"/>
        </w:rPr>
        <w:t>支出</w:t>
      </w:r>
      <w:r>
        <w:rPr>
          <w:rStyle w:val="20"/>
          <w:rFonts w:hint="eastAsia" w:ascii="仿宋" w:hAnsi="仿宋" w:eastAsia="仿宋"/>
          <w:bCs/>
          <w:color w:val="auto"/>
          <w:sz w:val="32"/>
          <w:szCs w:val="32"/>
          <w:highlight w:val="none"/>
        </w:rPr>
        <w:t>（类）</w:t>
      </w:r>
      <w:r>
        <w:rPr>
          <w:rStyle w:val="20"/>
          <w:rFonts w:hint="eastAsia" w:ascii="仿宋" w:hAnsi="仿宋" w:eastAsia="仿宋"/>
          <w:bCs/>
          <w:color w:val="auto"/>
          <w:sz w:val="32"/>
          <w:szCs w:val="32"/>
          <w:highlight w:val="none"/>
          <w:lang w:val="en-US" w:eastAsia="zh-CN"/>
        </w:rPr>
        <w:t>体育</w:t>
      </w:r>
      <w:r>
        <w:rPr>
          <w:rStyle w:val="20"/>
          <w:rFonts w:hint="eastAsia" w:ascii="仿宋" w:hAnsi="仿宋" w:eastAsia="仿宋"/>
          <w:bCs/>
          <w:color w:val="auto"/>
          <w:sz w:val="32"/>
          <w:szCs w:val="32"/>
          <w:highlight w:val="none"/>
        </w:rPr>
        <w:t>（款）</w:t>
      </w:r>
      <w:r>
        <w:rPr>
          <w:rStyle w:val="20"/>
          <w:rFonts w:hint="eastAsia" w:ascii="仿宋" w:hAnsi="仿宋" w:eastAsia="仿宋"/>
          <w:bCs/>
          <w:color w:val="auto"/>
          <w:sz w:val="32"/>
          <w:szCs w:val="32"/>
          <w:highlight w:val="none"/>
          <w:lang w:val="en-US" w:eastAsia="zh-CN"/>
        </w:rPr>
        <w:t>群众体育</w:t>
      </w:r>
      <w:r>
        <w:rPr>
          <w:rStyle w:val="20"/>
          <w:rFonts w:hint="eastAsia" w:ascii="仿宋" w:hAnsi="仿宋" w:eastAsia="仿宋"/>
          <w:bCs/>
          <w:color w:val="auto"/>
          <w:sz w:val="32"/>
          <w:szCs w:val="32"/>
          <w:highlight w:val="none"/>
        </w:rPr>
        <w:t>（项）</w:t>
      </w:r>
      <w:r>
        <w:rPr>
          <w:rStyle w:val="20"/>
          <w:rFonts w:ascii="仿宋" w:hAnsi="仿宋" w:eastAsia="仿宋"/>
          <w:bCs/>
          <w:color w:val="auto"/>
          <w:sz w:val="32"/>
          <w:szCs w:val="32"/>
          <w:highlight w:val="none"/>
        </w:rPr>
        <w:t>:</w:t>
      </w:r>
      <w:r>
        <w:rPr>
          <w:rStyle w:val="20"/>
          <w:rFonts w:ascii="仿宋" w:hAnsi="仿宋" w:eastAsia="仿宋"/>
          <w:b w:val="0"/>
          <w:bCs/>
          <w:color w:val="auto"/>
          <w:sz w:val="32"/>
          <w:szCs w:val="32"/>
          <w:highlight w:val="none"/>
        </w:rPr>
        <w:t xml:space="preserve"> </w:t>
      </w:r>
      <w:r>
        <w:rPr>
          <w:rStyle w:val="20"/>
          <w:rFonts w:hint="eastAsia" w:ascii="仿宋" w:hAnsi="仿宋" w:eastAsia="仿宋"/>
          <w:b w:val="0"/>
          <w:bCs/>
          <w:color w:val="auto"/>
          <w:sz w:val="32"/>
          <w:szCs w:val="32"/>
          <w:highlight w:val="none"/>
        </w:rPr>
        <w:t>支出决算为</w:t>
      </w:r>
      <w:r>
        <w:rPr>
          <w:rStyle w:val="20"/>
          <w:rFonts w:hint="eastAsia" w:ascii="仿宋" w:hAnsi="仿宋" w:eastAsia="仿宋"/>
          <w:b w:val="0"/>
          <w:bCs/>
          <w:color w:val="auto"/>
          <w:sz w:val="32"/>
          <w:szCs w:val="32"/>
          <w:highlight w:val="none"/>
          <w:lang w:val="en-US" w:eastAsia="zh-CN"/>
        </w:rPr>
        <w:t>239.58</w:t>
      </w:r>
      <w:r>
        <w:rPr>
          <w:rStyle w:val="20"/>
          <w:rFonts w:hint="eastAsia" w:ascii="仿宋" w:hAnsi="仿宋" w:eastAsia="仿宋"/>
          <w:b w:val="0"/>
          <w:bCs/>
          <w:color w:val="auto"/>
          <w:sz w:val="32"/>
          <w:szCs w:val="32"/>
          <w:highlight w:val="none"/>
        </w:rPr>
        <w:t>万元，完成预算</w:t>
      </w:r>
      <w:r>
        <w:rPr>
          <w:rStyle w:val="20"/>
          <w:rFonts w:hint="eastAsia" w:ascii="仿宋" w:hAnsi="仿宋" w:eastAsia="仿宋"/>
          <w:b w:val="0"/>
          <w:bCs/>
          <w:color w:val="auto"/>
          <w:sz w:val="32"/>
          <w:szCs w:val="32"/>
          <w:highlight w:val="none"/>
          <w:lang w:val="en-US" w:eastAsia="zh-CN"/>
        </w:rPr>
        <w:t>100</w:t>
      </w:r>
      <w:r>
        <w:rPr>
          <w:rStyle w:val="20"/>
          <w:rFonts w:ascii="仿宋" w:hAnsi="仿宋" w:eastAsia="仿宋"/>
          <w:b w:val="0"/>
          <w:bCs/>
          <w:color w:val="auto"/>
          <w:sz w:val="32"/>
          <w:szCs w:val="32"/>
          <w:highlight w:val="none"/>
        </w:rPr>
        <w:t>%</w:t>
      </w:r>
      <w:r>
        <w:rPr>
          <w:rStyle w:val="20"/>
          <w:rFonts w:hint="eastAsia" w:ascii="仿宋" w:hAnsi="仿宋" w:eastAsia="仿宋"/>
          <w:b w:val="0"/>
          <w:bCs/>
          <w:color w:val="auto"/>
          <w:sz w:val="32"/>
          <w:szCs w:val="32"/>
          <w:highlight w:val="none"/>
        </w:rPr>
        <w:t>，决算数等于预算数。</w:t>
      </w:r>
    </w:p>
    <w:p>
      <w:pPr>
        <w:pStyle w:val="2"/>
        <w:ind w:firstLine="643" w:firstLineChars="200"/>
        <w:rPr>
          <w:rStyle w:val="20"/>
          <w:rFonts w:hint="eastAsia" w:ascii="仿宋" w:hAnsi="仿宋" w:eastAsia="仿宋"/>
          <w:b w:val="0"/>
          <w:bCs/>
          <w:color w:val="auto"/>
          <w:sz w:val="32"/>
          <w:szCs w:val="32"/>
          <w:highlight w:val="none"/>
        </w:rPr>
      </w:pPr>
      <w:r>
        <w:rPr>
          <w:rStyle w:val="20"/>
          <w:rFonts w:hint="eastAsia" w:ascii="仿宋" w:hAnsi="仿宋" w:eastAsia="仿宋"/>
          <w:bCs/>
          <w:color w:val="auto"/>
          <w:sz w:val="32"/>
          <w:szCs w:val="32"/>
          <w:highlight w:val="none"/>
          <w:lang w:val="en-US" w:eastAsia="zh-CN"/>
        </w:rPr>
        <w:t>1</w:t>
      </w:r>
      <w:r>
        <w:rPr>
          <w:rStyle w:val="20"/>
          <w:rFonts w:ascii="仿宋" w:hAnsi="仿宋" w:eastAsia="仿宋"/>
          <w:bCs/>
          <w:color w:val="auto"/>
          <w:sz w:val="32"/>
          <w:szCs w:val="32"/>
          <w:highlight w:val="none"/>
        </w:rPr>
        <w:t>4.</w:t>
      </w:r>
      <w:r>
        <w:rPr>
          <w:rStyle w:val="20"/>
          <w:rFonts w:hint="eastAsia" w:ascii="仿宋" w:hAnsi="仿宋" w:eastAsia="仿宋"/>
          <w:bCs/>
          <w:color w:val="auto"/>
          <w:sz w:val="32"/>
          <w:szCs w:val="32"/>
          <w:highlight w:val="none"/>
        </w:rPr>
        <w:t>文化旅游体育与传媒</w:t>
      </w:r>
      <w:r>
        <w:rPr>
          <w:rStyle w:val="20"/>
          <w:rFonts w:hint="eastAsia" w:ascii="仿宋" w:hAnsi="仿宋" w:eastAsia="仿宋"/>
          <w:bCs/>
          <w:color w:val="auto"/>
          <w:sz w:val="32"/>
          <w:szCs w:val="32"/>
          <w:highlight w:val="none"/>
          <w:lang w:val="en-US" w:eastAsia="zh-CN"/>
        </w:rPr>
        <w:t>支出</w:t>
      </w:r>
      <w:r>
        <w:rPr>
          <w:rStyle w:val="20"/>
          <w:rFonts w:hint="eastAsia" w:ascii="仿宋" w:hAnsi="仿宋" w:eastAsia="仿宋"/>
          <w:bCs/>
          <w:color w:val="auto"/>
          <w:sz w:val="32"/>
          <w:szCs w:val="32"/>
          <w:highlight w:val="none"/>
        </w:rPr>
        <w:t>（类）</w:t>
      </w:r>
      <w:r>
        <w:rPr>
          <w:rStyle w:val="20"/>
          <w:rFonts w:hint="eastAsia" w:ascii="仿宋" w:hAnsi="仿宋" w:eastAsia="仿宋"/>
          <w:bCs/>
          <w:color w:val="auto"/>
          <w:sz w:val="32"/>
          <w:szCs w:val="32"/>
          <w:highlight w:val="none"/>
          <w:lang w:val="en-US" w:eastAsia="zh-CN"/>
        </w:rPr>
        <w:t>体育</w:t>
      </w:r>
      <w:r>
        <w:rPr>
          <w:rStyle w:val="20"/>
          <w:rFonts w:hint="eastAsia" w:ascii="仿宋" w:hAnsi="仿宋" w:eastAsia="仿宋"/>
          <w:bCs/>
          <w:color w:val="auto"/>
          <w:sz w:val="32"/>
          <w:szCs w:val="32"/>
          <w:highlight w:val="none"/>
        </w:rPr>
        <w:t>（款）</w:t>
      </w:r>
      <w:r>
        <w:rPr>
          <w:rStyle w:val="20"/>
          <w:rFonts w:hint="eastAsia" w:ascii="仿宋" w:hAnsi="仿宋" w:eastAsia="仿宋"/>
          <w:bCs/>
          <w:color w:val="auto"/>
          <w:sz w:val="32"/>
          <w:szCs w:val="32"/>
          <w:highlight w:val="none"/>
          <w:lang w:val="en-US" w:eastAsia="zh-CN"/>
        </w:rPr>
        <w:t>其他体育支出</w:t>
      </w:r>
      <w:r>
        <w:rPr>
          <w:rStyle w:val="20"/>
          <w:rFonts w:hint="eastAsia" w:ascii="仿宋" w:hAnsi="仿宋" w:eastAsia="仿宋"/>
          <w:bCs/>
          <w:color w:val="auto"/>
          <w:sz w:val="32"/>
          <w:szCs w:val="32"/>
          <w:highlight w:val="none"/>
        </w:rPr>
        <w:t>（项）</w:t>
      </w:r>
      <w:r>
        <w:rPr>
          <w:rStyle w:val="20"/>
          <w:rFonts w:ascii="仿宋" w:hAnsi="仿宋" w:eastAsia="仿宋"/>
          <w:bCs/>
          <w:color w:val="auto"/>
          <w:sz w:val="32"/>
          <w:szCs w:val="32"/>
          <w:highlight w:val="none"/>
        </w:rPr>
        <w:t>:</w:t>
      </w:r>
      <w:r>
        <w:rPr>
          <w:rStyle w:val="20"/>
          <w:rFonts w:ascii="仿宋" w:hAnsi="仿宋" w:eastAsia="仿宋"/>
          <w:b w:val="0"/>
          <w:bCs/>
          <w:color w:val="auto"/>
          <w:sz w:val="32"/>
          <w:szCs w:val="32"/>
          <w:highlight w:val="none"/>
        </w:rPr>
        <w:t xml:space="preserve"> </w:t>
      </w:r>
      <w:r>
        <w:rPr>
          <w:rStyle w:val="20"/>
          <w:rFonts w:hint="eastAsia" w:ascii="仿宋" w:hAnsi="仿宋" w:eastAsia="仿宋"/>
          <w:b w:val="0"/>
          <w:bCs/>
          <w:color w:val="auto"/>
          <w:sz w:val="32"/>
          <w:szCs w:val="32"/>
          <w:highlight w:val="none"/>
        </w:rPr>
        <w:t>支出决算为</w:t>
      </w:r>
      <w:r>
        <w:rPr>
          <w:rStyle w:val="20"/>
          <w:rFonts w:hint="eastAsia" w:ascii="仿宋" w:hAnsi="仿宋" w:eastAsia="仿宋"/>
          <w:b w:val="0"/>
          <w:bCs/>
          <w:color w:val="auto"/>
          <w:sz w:val="32"/>
          <w:szCs w:val="32"/>
          <w:highlight w:val="none"/>
          <w:lang w:val="en-US" w:eastAsia="zh-CN"/>
        </w:rPr>
        <w:t>86.50</w:t>
      </w:r>
      <w:r>
        <w:rPr>
          <w:rStyle w:val="20"/>
          <w:rFonts w:hint="eastAsia" w:ascii="仿宋" w:hAnsi="仿宋" w:eastAsia="仿宋"/>
          <w:b w:val="0"/>
          <w:bCs/>
          <w:color w:val="auto"/>
          <w:sz w:val="32"/>
          <w:szCs w:val="32"/>
          <w:highlight w:val="none"/>
        </w:rPr>
        <w:t>万元，完成预算</w:t>
      </w:r>
      <w:r>
        <w:rPr>
          <w:rStyle w:val="20"/>
          <w:rFonts w:hint="eastAsia" w:ascii="仿宋" w:hAnsi="仿宋" w:eastAsia="仿宋"/>
          <w:b w:val="0"/>
          <w:bCs/>
          <w:color w:val="auto"/>
          <w:sz w:val="32"/>
          <w:szCs w:val="32"/>
          <w:highlight w:val="none"/>
          <w:lang w:val="en-US" w:eastAsia="zh-CN"/>
        </w:rPr>
        <w:t>100</w:t>
      </w:r>
      <w:r>
        <w:rPr>
          <w:rStyle w:val="20"/>
          <w:rFonts w:ascii="仿宋" w:hAnsi="仿宋" w:eastAsia="仿宋"/>
          <w:b w:val="0"/>
          <w:bCs/>
          <w:color w:val="auto"/>
          <w:sz w:val="32"/>
          <w:szCs w:val="32"/>
          <w:highlight w:val="none"/>
        </w:rPr>
        <w:t>%</w:t>
      </w:r>
      <w:r>
        <w:rPr>
          <w:rStyle w:val="20"/>
          <w:rFonts w:hint="eastAsia" w:ascii="仿宋" w:hAnsi="仿宋" w:eastAsia="仿宋"/>
          <w:b w:val="0"/>
          <w:bCs/>
          <w:color w:val="auto"/>
          <w:sz w:val="32"/>
          <w:szCs w:val="32"/>
          <w:highlight w:val="none"/>
        </w:rPr>
        <w:t>，决算数等于预算数。</w:t>
      </w:r>
    </w:p>
    <w:p>
      <w:pPr>
        <w:pStyle w:val="2"/>
        <w:ind w:firstLine="643" w:firstLineChars="200"/>
        <w:rPr>
          <w:rStyle w:val="20"/>
          <w:rFonts w:hint="eastAsia" w:ascii="仿宋" w:hAnsi="仿宋" w:eastAsia="仿宋"/>
          <w:b w:val="0"/>
          <w:bCs/>
          <w:color w:val="auto"/>
          <w:sz w:val="32"/>
          <w:szCs w:val="32"/>
          <w:highlight w:val="none"/>
        </w:rPr>
      </w:pPr>
      <w:r>
        <w:rPr>
          <w:rStyle w:val="20"/>
          <w:rFonts w:hint="eastAsia" w:ascii="仿宋" w:hAnsi="仿宋" w:eastAsia="仿宋"/>
          <w:bCs/>
          <w:color w:val="auto"/>
          <w:sz w:val="32"/>
          <w:szCs w:val="32"/>
          <w:highlight w:val="none"/>
          <w:lang w:val="en-US" w:eastAsia="zh-CN"/>
        </w:rPr>
        <w:t>15</w:t>
      </w:r>
      <w:r>
        <w:rPr>
          <w:rStyle w:val="20"/>
          <w:rFonts w:ascii="仿宋" w:hAnsi="仿宋" w:eastAsia="仿宋"/>
          <w:bCs/>
          <w:color w:val="auto"/>
          <w:sz w:val="32"/>
          <w:szCs w:val="32"/>
          <w:highlight w:val="none"/>
        </w:rPr>
        <w:t>.</w:t>
      </w:r>
      <w:r>
        <w:rPr>
          <w:rStyle w:val="20"/>
          <w:rFonts w:hint="eastAsia" w:ascii="仿宋" w:hAnsi="仿宋" w:eastAsia="仿宋"/>
          <w:bCs/>
          <w:color w:val="auto"/>
          <w:sz w:val="32"/>
          <w:szCs w:val="32"/>
          <w:highlight w:val="none"/>
        </w:rPr>
        <w:t>文化旅游体育与传媒</w:t>
      </w:r>
      <w:r>
        <w:rPr>
          <w:rStyle w:val="20"/>
          <w:rFonts w:hint="eastAsia" w:ascii="仿宋" w:hAnsi="仿宋" w:eastAsia="仿宋"/>
          <w:bCs/>
          <w:color w:val="auto"/>
          <w:sz w:val="32"/>
          <w:szCs w:val="32"/>
          <w:highlight w:val="none"/>
          <w:lang w:val="en-US" w:eastAsia="zh-CN"/>
        </w:rPr>
        <w:t>支出</w:t>
      </w:r>
      <w:r>
        <w:rPr>
          <w:rStyle w:val="20"/>
          <w:rFonts w:hint="eastAsia" w:ascii="仿宋" w:hAnsi="仿宋" w:eastAsia="仿宋"/>
          <w:bCs/>
          <w:color w:val="auto"/>
          <w:sz w:val="32"/>
          <w:szCs w:val="32"/>
          <w:highlight w:val="none"/>
        </w:rPr>
        <w:t>（类）</w:t>
      </w:r>
      <w:r>
        <w:rPr>
          <w:rStyle w:val="20"/>
          <w:rFonts w:hint="eastAsia" w:ascii="仿宋" w:hAnsi="仿宋" w:eastAsia="仿宋"/>
          <w:bCs/>
          <w:color w:val="auto"/>
          <w:sz w:val="32"/>
          <w:szCs w:val="32"/>
          <w:highlight w:val="none"/>
          <w:lang w:val="en-US" w:eastAsia="zh-CN"/>
        </w:rPr>
        <w:t>新闻出版电影</w:t>
      </w:r>
      <w:r>
        <w:rPr>
          <w:rStyle w:val="20"/>
          <w:rFonts w:hint="eastAsia" w:ascii="仿宋" w:hAnsi="仿宋" w:eastAsia="仿宋"/>
          <w:bCs/>
          <w:color w:val="auto"/>
          <w:sz w:val="32"/>
          <w:szCs w:val="32"/>
          <w:highlight w:val="none"/>
        </w:rPr>
        <w:t>（款）</w:t>
      </w:r>
      <w:r>
        <w:rPr>
          <w:rStyle w:val="20"/>
          <w:rFonts w:hint="eastAsia" w:ascii="仿宋" w:hAnsi="仿宋" w:eastAsia="仿宋"/>
          <w:bCs/>
          <w:color w:val="auto"/>
          <w:sz w:val="32"/>
          <w:szCs w:val="32"/>
          <w:highlight w:val="none"/>
          <w:lang w:val="en-US" w:eastAsia="zh-CN"/>
        </w:rPr>
        <w:t>其他新闻出版电影支出</w:t>
      </w:r>
      <w:r>
        <w:rPr>
          <w:rStyle w:val="20"/>
          <w:rFonts w:hint="eastAsia" w:ascii="仿宋" w:hAnsi="仿宋" w:eastAsia="仿宋"/>
          <w:bCs/>
          <w:color w:val="auto"/>
          <w:sz w:val="32"/>
          <w:szCs w:val="32"/>
          <w:highlight w:val="none"/>
        </w:rPr>
        <w:t>（项）</w:t>
      </w:r>
      <w:r>
        <w:rPr>
          <w:rStyle w:val="20"/>
          <w:rFonts w:ascii="仿宋" w:hAnsi="仿宋" w:eastAsia="仿宋"/>
          <w:bCs/>
          <w:color w:val="auto"/>
          <w:sz w:val="32"/>
          <w:szCs w:val="32"/>
          <w:highlight w:val="none"/>
        </w:rPr>
        <w:t>:</w:t>
      </w:r>
      <w:r>
        <w:rPr>
          <w:rStyle w:val="20"/>
          <w:rFonts w:ascii="仿宋" w:hAnsi="仿宋" w:eastAsia="仿宋"/>
          <w:b w:val="0"/>
          <w:bCs/>
          <w:color w:val="auto"/>
          <w:sz w:val="32"/>
          <w:szCs w:val="32"/>
          <w:highlight w:val="none"/>
        </w:rPr>
        <w:t xml:space="preserve"> </w:t>
      </w:r>
      <w:r>
        <w:rPr>
          <w:rStyle w:val="20"/>
          <w:rFonts w:hint="eastAsia" w:ascii="仿宋" w:hAnsi="仿宋" w:eastAsia="仿宋"/>
          <w:b w:val="0"/>
          <w:bCs/>
          <w:color w:val="auto"/>
          <w:sz w:val="32"/>
          <w:szCs w:val="32"/>
          <w:highlight w:val="none"/>
        </w:rPr>
        <w:t>支出决算为</w:t>
      </w:r>
      <w:r>
        <w:rPr>
          <w:rStyle w:val="20"/>
          <w:rFonts w:hint="eastAsia" w:ascii="仿宋" w:hAnsi="仿宋" w:eastAsia="仿宋"/>
          <w:b w:val="0"/>
          <w:bCs/>
          <w:color w:val="auto"/>
          <w:sz w:val="32"/>
          <w:szCs w:val="32"/>
          <w:highlight w:val="none"/>
          <w:lang w:val="en-US" w:eastAsia="zh-CN"/>
        </w:rPr>
        <w:t>0.18</w:t>
      </w:r>
      <w:r>
        <w:rPr>
          <w:rStyle w:val="20"/>
          <w:rFonts w:hint="eastAsia" w:ascii="仿宋" w:hAnsi="仿宋" w:eastAsia="仿宋"/>
          <w:b w:val="0"/>
          <w:bCs/>
          <w:color w:val="auto"/>
          <w:sz w:val="32"/>
          <w:szCs w:val="32"/>
          <w:highlight w:val="none"/>
        </w:rPr>
        <w:t>万元，完成预算</w:t>
      </w:r>
      <w:r>
        <w:rPr>
          <w:rStyle w:val="20"/>
          <w:rFonts w:hint="eastAsia" w:ascii="仿宋" w:hAnsi="仿宋" w:eastAsia="仿宋"/>
          <w:b w:val="0"/>
          <w:bCs/>
          <w:color w:val="auto"/>
          <w:sz w:val="32"/>
          <w:szCs w:val="32"/>
          <w:highlight w:val="none"/>
          <w:lang w:val="en-US" w:eastAsia="zh-CN"/>
        </w:rPr>
        <w:t>100</w:t>
      </w:r>
      <w:r>
        <w:rPr>
          <w:rStyle w:val="20"/>
          <w:rFonts w:ascii="仿宋" w:hAnsi="仿宋" w:eastAsia="仿宋"/>
          <w:b w:val="0"/>
          <w:bCs/>
          <w:color w:val="auto"/>
          <w:sz w:val="32"/>
          <w:szCs w:val="32"/>
          <w:highlight w:val="none"/>
        </w:rPr>
        <w:t>%</w:t>
      </w:r>
      <w:r>
        <w:rPr>
          <w:rStyle w:val="20"/>
          <w:rFonts w:hint="eastAsia" w:ascii="仿宋" w:hAnsi="仿宋" w:eastAsia="仿宋"/>
          <w:b w:val="0"/>
          <w:bCs/>
          <w:color w:val="auto"/>
          <w:sz w:val="32"/>
          <w:szCs w:val="32"/>
          <w:highlight w:val="none"/>
        </w:rPr>
        <w:t>，决算数等于预算数。</w:t>
      </w:r>
    </w:p>
    <w:p>
      <w:pPr>
        <w:pStyle w:val="3"/>
        <w:ind w:left="0" w:leftChars="0" w:firstLine="643" w:firstLineChars="200"/>
        <w:rPr>
          <w:rStyle w:val="20"/>
          <w:rFonts w:hint="eastAsia" w:ascii="仿宋" w:hAnsi="仿宋" w:eastAsia="仿宋"/>
          <w:b w:val="0"/>
          <w:bCs/>
          <w:color w:val="auto"/>
          <w:sz w:val="32"/>
          <w:szCs w:val="32"/>
          <w:highlight w:val="none"/>
        </w:rPr>
      </w:pPr>
      <w:r>
        <w:rPr>
          <w:rStyle w:val="20"/>
          <w:rFonts w:hint="eastAsia" w:ascii="仿宋" w:hAnsi="仿宋" w:eastAsia="仿宋"/>
          <w:bCs/>
          <w:color w:val="auto"/>
          <w:sz w:val="32"/>
          <w:szCs w:val="32"/>
          <w:highlight w:val="none"/>
          <w:lang w:val="en-US" w:eastAsia="zh-CN"/>
        </w:rPr>
        <w:t>16</w:t>
      </w:r>
      <w:r>
        <w:rPr>
          <w:rStyle w:val="20"/>
          <w:rFonts w:ascii="仿宋" w:hAnsi="仿宋" w:eastAsia="仿宋"/>
          <w:bCs/>
          <w:color w:val="auto"/>
          <w:sz w:val="32"/>
          <w:szCs w:val="32"/>
          <w:highlight w:val="none"/>
        </w:rPr>
        <w:t>.</w:t>
      </w:r>
      <w:r>
        <w:rPr>
          <w:rStyle w:val="20"/>
          <w:rFonts w:hint="eastAsia" w:ascii="仿宋" w:hAnsi="仿宋" w:eastAsia="仿宋"/>
          <w:bCs/>
          <w:color w:val="auto"/>
          <w:sz w:val="32"/>
          <w:szCs w:val="32"/>
          <w:highlight w:val="none"/>
        </w:rPr>
        <w:t>文化旅游体育与传媒</w:t>
      </w:r>
      <w:r>
        <w:rPr>
          <w:rStyle w:val="20"/>
          <w:rFonts w:hint="eastAsia" w:ascii="仿宋" w:hAnsi="仿宋" w:eastAsia="仿宋"/>
          <w:bCs/>
          <w:color w:val="auto"/>
          <w:sz w:val="32"/>
          <w:szCs w:val="32"/>
          <w:highlight w:val="none"/>
          <w:lang w:val="en-US" w:eastAsia="zh-CN"/>
        </w:rPr>
        <w:t>支出</w:t>
      </w:r>
      <w:r>
        <w:rPr>
          <w:rStyle w:val="20"/>
          <w:rFonts w:hint="eastAsia" w:ascii="仿宋" w:hAnsi="仿宋" w:eastAsia="仿宋"/>
          <w:bCs/>
          <w:color w:val="auto"/>
          <w:sz w:val="32"/>
          <w:szCs w:val="32"/>
          <w:highlight w:val="none"/>
        </w:rPr>
        <w:t>（类）</w:t>
      </w:r>
      <w:r>
        <w:rPr>
          <w:rStyle w:val="20"/>
          <w:rFonts w:hint="eastAsia" w:ascii="仿宋" w:hAnsi="仿宋" w:eastAsia="仿宋"/>
          <w:bCs/>
          <w:color w:val="auto"/>
          <w:sz w:val="32"/>
          <w:szCs w:val="32"/>
          <w:highlight w:val="none"/>
          <w:lang w:val="en-US" w:eastAsia="zh-CN"/>
        </w:rPr>
        <w:t>广播电视</w:t>
      </w:r>
      <w:r>
        <w:rPr>
          <w:rStyle w:val="20"/>
          <w:rFonts w:hint="eastAsia" w:ascii="仿宋" w:hAnsi="仿宋" w:eastAsia="仿宋"/>
          <w:bCs/>
          <w:color w:val="auto"/>
          <w:sz w:val="32"/>
          <w:szCs w:val="32"/>
          <w:highlight w:val="none"/>
        </w:rPr>
        <w:t>（款）</w:t>
      </w:r>
      <w:r>
        <w:rPr>
          <w:rStyle w:val="20"/>
          <w:rFonts w:hint="eastAsia" w:ascii="仿宋" w:hAnsi="仿宋" w:eastAsia="仿宋"/>
          <w:bCs/>
          <w:color w:val="auto"/>
          <w:sz w:val="32"/>
          <w:szCs w:val="32"/>
          <w:highlight w:val="none"/>
          <w:lang w:val="en-US" w:eastAsia="zh-CN"/>
        </w:rPr>
        <w:t>其他广播电视支出</w:t>
      </w:r>
      <w:r>
        <w:rPr>
          <w:rStyle w:val="20"/>
          <w:rFonts w:hint="eastAsia" w:ascii="仿宋" w:hAnsi="仿宋" w:eastAsia="仿宋"/>
          <w:bCs/>
          <w:color w:val="auto"/>
          <w:sz w:val="32"/>
          <w:szCs w:val="32"/>
          <w:highlight w:val="none"/>
        </w:rPr>
        <w:t>（项）</w:t>
      </w:r>
      <w:r>
        <w:rPr>
          <w:rStyle w:val="20"/>
          <w:rFonts w:ascii="仿宋" w:hAnsi="仿宋" w:eastAsia="仿宋"/>
          <w:bCs/>
          <w:color w:val="auto"/>
          <w:sz w:val="32"/>
          <w:szCs w:val="32"/>
          <w:highlight w:val="none"/>
        </w:rPr>
        <w:t>:</w:t>
      </w:r>
      <w:r>
        <w:rPr>
          <w:rStyle w:val="20"/>
          <w:rFonts w:ascii="仿宋" w:hAnsi="仿宋" w:eastAsia="仿宋"/>
          <w:b w:val="0"/>
          <w:bCs/>
          <w:color w:val="auto"/>
          <w:sz w:val="32"/>
          <w:szCs w:val="32"/>
          <w:highlight w:val="none"/>
        </w:rPr>
        <w:t xml:space="preserve"> </w:t>
      </w:r>
      <w:r>
        <w:rPr>
          <w:rStyle w:val="20"/>
          <w:rFonts w:hint="eastAsia" w:ascii="仿宋" w:hAnsi="仿宋" w:eastAsia="仿宋"/>
          <w:b w:val="0"/>
          <w:bCs/>
          <w:color w:val="auto"/>
          <w:sz w:val="32"/>
          <w:szCs w:val="32"/>
          <w:highlight w:val="none"/>
        </w:rPr>
        <w:t>支出决算为</w:t>
      </w:r>
      <w:r>
        <w:rPr>
          <w:rStyle w:val="20"/>
          <w:rFonts w:hint="eastAsia" w:ascii="仿宋" w:hAnsi="仿宋" w:eastAsia="仿宋"/>
          <w:b w:val="0"/>
          <w:bCs/>
          <w:color w:val="auto"/>
          <w:sz w:val="32"/>
          <w:szCs w:val="32"/>
          <w:highlight w:val="none"/>
          <w:lang w:val="en-US" w:eastAsia="zh-CN"/>
        </w:rPr>
        <w:t>4.79</w:t>
      </w:r>
      <w:r>
        <w:rPr>
          <w:rStyle w:val="20"/>
          <w:rFonts w:hint="eastAsia" w:ascii="仿宋" w:hAnsi="仿宋" w:eastAsia="仿宋"/>
          <w:b w:val="0"/>
          <w:bCs/>
          <w:color w:val="auto"/>
          <w:sz w:val="32"/>
          <w:szCs w:val="32"/>
          <w:highlight w:val="none"/>
        </w:rPr>
        <w:t>万元，完成预算</w:t>
      </w:r>
      <w:r>
        <w:rPr>
          <w:rStyle w:val="20"/>
          <w:rFonts w:hint="eastAsia" w:ascii="仿宋" w:hAnsi="仿宋" w:eastAsia="仿宋"/>
          <w:b w:val="0"/>
          <w:bCs/>
          <w:color w:val="auto"/>
          <w:sz w:val="32"/>
          <w:szCs w:val="32"/>
          <w:highlight w:val="none"/>
          <w:lang w:val="en-US" w:eastAsia="zh-CN"/>
        </w:rPr>
        <w:t>100</w:t>
      </w:r>
      <w:r>
        <w:rPr>
          <w:rStyle w:val="20"/>
          <w:rFonts w:ascii="仿宋" w:hAnsi="仿宋" w:eastAsia="仿宋"/>
          <w:b w:val="0"/>
          <w:bCs/>
          <w:color w:val="auto"/>
          <w:sz w:val="32"/>
          <w:szCs w:val="32"/>
          <w:highlight w:val="none"/>
        </w:rPr>
        <w:t>%</w:t>
      </w:r>
      <w:r>
        <w:rPr>
          <w:rStyle w:val="20"/>
          <w:rFonts w:hint="eastAsia" w:ascii="仿宋" w:hAnsi="仿宋" w:eastAsia="仿宋"/>
          <w:b w:val="0"/>
          <w:bCs/>
          <w:color w:val="auto"/>
          <w:sz w:val="32"/>
          <w:szCs w:val="32"/>
          <w:highlight w:val="none"/>
        </w:rPr>
        <w:t>，决算数等于预算数。</w:t>
      </w:r>
    </w:p>
    <w:p>
      <w:pPr>
        <w:ind w:firstLine="643" w:firstLineChars="200"/>
        <w:rPr>
          <w:rStyle w:val="20"/>
          <w:rFonts w:hint="eastAsia" w:ascii="仿宋" w:hAnsi="仿宋" w:eastAsia="仿宋"/>
          <w:b w:val="0"/>
          <w:bCs/>
          <w:color w:val="auto"/>
          <w:sz w:val="32"/>
          <w:szCs w:val="32"/>
          <w:highlight w:val="none"/>
        </w:rPr>
      </w:pPr>
      <w:r>
        <w:rPr>
          <w:rStyle w:val="20"/>
          <w:rFonts w:hint="eastAsia" w:ascii="仿宋" w:hAnsi="仿宋" w:eastAsia="仿宋"/>
          <w:bCs/>
          <w:color w:val="auto"/>
          <w:sz w:val="32"/>
          <w:szCs w:val="32"/>
          <w:highlight w:val="none"/>
          <w:lang w:val="en-US" w:eastAsia="zh-CN"/>
        </w:rPr>
        <w:t>17</w:t>
      </w:r>
      <w:r>
        <w:rPr>
          <w:rStyle w:val="20"/>
          <w:rFonts w:ascii="仿宋" w:hAnsi="仿宋" w:eastAsia="仿宋"/>
          <w:bCs/>
          <w:color w:val="auto"/>
          <w:sz w:val="32"/>
          <w:szCs w:val="32"/>
          <w:highlight w:val="none"/>
        </w:rPr>
        <w:t>.</w:t>
      </w:r>
      <w:r>
        <w:rPr>
          <w:rStyle w:val="20"/>
          <w:rFonts w:hint="eastAsia" w:ascii="仿宋" w:hAnsi="仿宋" w:eastAsia="仿宋"/>
          <w:bCs/>
          <w:color w:val="auto"/>
          <w:sz w:val="32"/>
          <w:szCs w:val="32"/>
          <w:highlight w:val="none"/>
        </w:rPr>
        <w:t>文化旅游体育与传媒</w:t>
      </w:r>
      <w:r>
        <w:rPr>
          <w:rStyle w:val="20"/>
          <w:rFonts w:hint="eastAsia" w:ascii="仿宋" w:hAnsi="仿宋" w:eastAsia="仿宋"/>
          <w:bCs/>
          <w:color w:val="auto"/>
          <w:sz w:val="32"/>
          <w:szCs w:val="32"/>
          <w:highlight w:val="none"/>
          <w:lang w:val="en-US" w:eastAsia="zh-CN"/>
        </w:rPr>
        <w:t>支出</w:t>
      </w:r>
      <w:r>
        <w:rPr>
          <w:rStyle w:val="20"/>
          <w:rFonts w:hint="eastAsia" w:ascii="仿宋" w:hAnsi="仿宋" w:eastAsia="仿宋"/>
          <w:bCs/>
          <w:color w:val="auto"/>
          <w:sz w:val="32"/>
          <w:szCs w:val="32"/>
          <w:highlight w:val="none"/>
        </w:rPr>
        <w:t>（类）</w:t>
      </w:r>
      <w:r>
        <w:rPr>
          <w:rStyle w:val="20"/>
          <w:rFonts w:hint="eastAsia" w:ascii="仿宋" w:hAnsi="仿宋" w:eastAsia="仿宋"/>
          <w:bCs/>
          <w:color w:val="auto"/>
          <w:sz w:val="32"/>
          <w:szCs w:val="32"/>
          <w:highlight w:val="none"/>
          <w:lang w:val="en-US" w:eastAsia="zh-CN"/>
        </w:rPr>
        <w:t>其他文</w:t>
      </w:r>
      <w:r>
        <w:rPr>
          <w:rStyle w:val="20"/>
          <w:rFonts w:hint="eastAsia" w:ascii="仿宋" w:hAnsi="仿宋" w:eastAsia="仿宋"/>
          <w:bCs/>
          <w:color w:val="auto"/>
          <w:sz w:val="32"/>
          <w:szCs w:val="32"/>
          <w:highlight w:val="none"/>
        </w:rPr>
        <w:t>化旅游体育与传媒</w:t>
      </w:r>
      <w:r>
        <w:rPr>
          <w:rStyle w:val="20"/>
          <w:rFonts w:hint="eastAsia" w:ascii="仿宋" w:hAnsi="仿宋" w:eastAsia="仿宋"/>
          <w:bCs/>
          <w:color w:val="auto"/>
          <w:sz w:val="32"/>
          <w:szCs w:val="32"/>
          <w:highlight w:val="none"/>
          <w:lang w:val="en-US" w:eastAsia="zh-CN"/>
        </w:rPr>
        <w:t>支出</w:t>
      </w:r>
      <w:r>
        <w:rPr>
          <w:rStyle w:val="20"/>
          <w:rFonts w:hint="eastAsia" w:ascii="仿宋" w:hAnsi="仿宋" w:eastAsia="仿宋"/>
          <w:bCs/>
          <w:color w:val="auto"/>
          <w:sz w:val="32"/>
          <w:szCs w:val="32"/>
          <w:highlight w:val="none"/>
        </w:rPr>
        <w:t>（款）</w:t>
      </w:r>
      <w:r>
        <w:rPr>
          <w:rStyle w:val="20"/>
          <w:rFonts w:hint="eastAsia" w:ascii="仿宋" w:hAnsi="仿宋" w:eastAsia="仿宋"/>
          <w:bCs/>
          <w:color w:val="auto"/>
          <w:sz w:val="32"/>
          <w:szCs w:val="32"/>
          <w:highlight w:val="none"/>
          <w:lang w:val="en-US" w:eastAsia="zh-CN"/>
        </w:rPr>
        <w:t>文化产业发展专项支出</w:t>
      </w:r>
      <w:r>
        <w:rPr>
          <w:rStyle w:val="20"/>
          <w:rFonts w:hint="eastAsia" w:ascii="仿宋" w:hAnsi="仿宋" w:eastAsia="仿宋"/>
          <w:bCs/>
          <w:color w:val="auto"/>
          <w:sz w:val="32"/>
          <w:szCs w:val="32"/>
          <w:highlight w:val="none"/>
        </w:rPr>
        <w:t>（项）</w:t>
      </w:r>
      <w:r>
        <w:rPr>
          <w:rStyle w:val="20"/>
          <w:rFonts w:ascii="仿宋" w:hAnsi="仿宋" w:eastAsia="仿宋"/>
          <w:bCs/>
          <w:color w:val="auto"/>
          <w:sz w:val="32"/>
          <w:szCs w:val="32"/>
          <w:highlight w:val="none"/>
        </w:rPr>
        <w:t>:</w:t>
      </w:r>
      <w:r>
        <w:rPr>
          <w:rStyle w:val="20"/>
          <w:rFonts w:ascii="仿宋" w:hAnsi="仿宋" w:eastAsia="仿宋"/>
          <w:b w:val="0"/>
          <w:bCs/>
          <w:color w:val="auto"/>
          <w:sz w:val="32"/>
          <w:szCs w:val="32"/>
          <w:highlight w:val="none"/>
        </w:rPr>
        <w:t xml:space="preserve"> </w:t>
      </w:r>
      <w:r>
        <w:rPr>
          <w:rStyle w:val="20"/>
          <w:rFonts w:hint="eastAsia" w:ascii="仿宋" w:hAnsi="仿宋" w:eastAsia="仿宋"/>
          <w:b w:val="0"/>
          <w:bCs/>
          <w:color w:val="auto"/>
          <w:sz w:val="32"/>
          <w:szCs w:val="32"/>
          <w:highlight w:val="none"/>
        </w:rPr>
        <w:t>支出决算为</w:t>
      </w:r>
      <w:r>
        <w:rPr>
          <w:rStyle w:val="20"/>
          <w:rFonts w:hint="eastAsia" w:ascii="仿宋" w:hAnsi="仿宋" w:eastAsia="仿宋"/>
          <w:b w:val="0"/>
          <w:bCs/>
          <w:color w:val="auto"/>
          <w:sz w:val="32"/>
          <w:szCs w:val="32"/>
          <w:highlight w:val="none"/>
          <w:lang w:val="en-US" w:eastAsia="zh-CN"/>
        </w:rPr>
        <w:t>60</w:t>
      </w:r>
      <w:r>
        <w:rPr>
          <w:rStyle w:val="20"/>
          <w:rFonts w:hint="eastAsia" w:ascii="仿宋" w:hAnsi="仿宋" w:eastAsia="仿宋"/>
          <w:b w:val="0"/>
          <w:bCs/>
          <w:color w:val="auto"/>
          <w:sz w:val="32"/>
          <w:szCs w:val="32"/>
          <w:highlight w:val="none"/>
        </w:rPr>
        <w:t>万元，完成预算</w:t>
      </w:r>
      <w:r>
        <w:rPr>
          <w:rStyle w:val="20"/>
          <w:rFonts w:hint="eastAsia" w:ascii="仿宋" w:hAnsi="仿宋" w:eastAsia="仿宋"/>
          <w:b w:val="0"/>
          <w:bCs/>
          <w:color w:val="auto"/>
          <w:sz w:val="32"/>
          <w:szCs w:val="32"/>
          <w:highlight w:val="none"/>
          <w:lang w:val="en-US" w:eastAsia="zh-CN"/>
        </w:rPr>
        <w:t>100</w:t>
      </w:r>
      <w:r>
        <w:rPr>
          <w:rStyle w:val="20"/>
          <w:rFonts w:ascii="仿宋" w:hAnsi="仿宋" w:eastAsia="仿宋"/>
          <w:b w:val="0"/>
          <w:bCs/>
          <w:color w:val="auto"/>
          <w:sz w:val="32"/>
          <w:szCs w:val="32"/>
          <w:highlight w:val="none"/>
        </w:rPr>
        <w:t>%</w:t>
      </w:r>
      <w:r>
        <w:rPr>
          <w:rStyle w:val="20"/>
          <w:rFonts w:hint="eastAsia" w:ascii="仿宋" w:hAnsi="仿宋" w:eastAsia="仿宋"/>
          <w:b w:val="0"/>
          <w:bCs/>
          <w:color w:val="auto"/>
          <w:sz w:val="32"/>
          <w:szCs w:val="32"/>
          <w:highlight w:val="none"/>
        </w:rPr>
        <w:t>，决算数等于预算数。</w:t>
      </w:r>
    </w:p>
    <w:p>
      <w:pPr>
        <w:pStyle w:val="2"/>
        <w:ind w:firstLine="643" w:firstLineChars="200"/>
        <w:rPr>
          <w:rStyle w:val="20"/>
          <w:rFonts w:hint="eastAsia" w:ascii="仿宋" w:hAnsi="仿宋" w:eastAsia="仿宋"/>
          <w:b w:val="0"/>
          <w:bCs/>
          <w:color w:val="auto"/>
          <w:sz w:val="32"/>
          <w:szCs w:val="32"/>
          <w:highlight w:val="none"/>
        </w:rPr>
      </w:pPr>
      <w:r>
        <w:rPr>
          <w:rStyle w:val="20"/>
          <w:rFonts w:hint="eastAsia" w:ascii="仿宋" w:hAnsi="仿宋" w:eastAsia="仿宋"/>
          <w:bCs/>
          <w:color w:val="auto"/>
          <w:sz w:val="32"/>
          <w:szCs w:val="32"/>
          <w:highlight w:val="none"/>
          <w:lang w:val="en-US" w:eastAsia="zh-CN"/>
        </w:rPr>
        <w:t>18</w:t>
      </w:r>
      <w:r>
        <w:rPr>
          <w:rStyle w:val="20"/>
          <w:rFonts w:ascii="仿宋" w:hAnsi="仿宋" w:eastAsia="仿宋"/>
          <w:bCs/>
          <w:color w:val="auto"/>
          <w:sz w:val="32"/>
          <w:szCs w:val="32"/>
          <w:highlight w:val="none"/>
        </w:rPr>
        <w:t>.</w:t>
      </w:r>
      <w:r>
        <w:rPr>
          <w:rStyle w:val="20"/>
          <w:rFonts w:hint="eastAsia" w:ascii="仿宋" w:hAnsi="仿宋" w:eastAsia="仿宋"/>
          <w:bCs/>
          <w:color w:val="auto"/>
          <w:sz w:val="32"/>
          <w:szCs w:val="32"/>
          <w:highlight w:val="none"/>
        </w:rPr>
        <w:t>文化旅游体育与传媒</w:t>
      </w:r>
      <w:r>
        <w:rPr>
          <w:rStyle w:val="20"/>
          <w:rFonts w:hint="eastAsia" w:ascii="仿宋" w:hAnsi="仿宋" w:eastAsia="仿宋"/>
          <w:bCs/>
          <w:color w:val="auto"/>
          <w:sz w:val="32"/>
          <w:szCs w:val="32"/>
          <w:highlight w:val="none"/>
          <w:lang w:val="en-US" w:eastAsia="zh-CN"/>
        </w:rPr>
        <w:t>支出</w:t>
      </w:r>
      <w:r>
        <w:rPr>
          <w:rStyle w:val="20"/>
          <w:rFonts w:hint="eastAsia" w:ascii="仿宋" w:hAnsi="仿宋" w:eastAsia="仿宋"/>
          <w:bCs/>
          <w:color w:val="auto"/>
          <w:sz w:val="32"/>
          <w:szCs w:val="32"/>
          <w:highlight w:val="none"/>
        </w:rPr>
        <w:t>（类）</w:t>
      </w:r>
      <w:r>
        <w:rPr>
          <w:rStyle w:val="20"/>
          <w:rFonts w:hint="eastAsia" w:ascii="仿宋" w:hAnsi="仿宋" w:eastAsia="仿宋"/>
          <w:bCs/>
          <w:color w:val="auto"/>
          <w:sz w:val="32"/>
          <w:szCs w:val="32"/>
          <w:highlight w:val="none"/>
          <w:lang w:val="en-US" w:eastAsia="zh-CN"/>
        </w:rPr>
        <w:t>其他文</w:t>
      </w:r>
      <w:r>
        <w:rPr>
          <w:rStyle w:val="20"/>
          <w:rFonts w:hint="eastAsia" w:ascii="仿宋" w:hAnsi="仿宋" w:eastAsia="仿宋"/>
          <w:bCs/>
          <w:color w:val="auto"/>
          <w:sz w:val="32"/>
          <w:szCs w:val="32"/>
          <w:highlight w:val="none"/>
        </w:rPr>
        <w:t>化旅游体育与传媒</w:t>
      </w:r>
      <w:r>
        <w:rPr>
          <w:rStyle w:val="20"/>
          <w:rFonts w:hint="eastAsia" w:ascii="仿宋" w:hAnsi="仿宋" w:eastAsia="仿宋"/>
          <w:bCs/>
          <w:color w:val="auto"/>
          <w:sz w:val="32"/>
          <w:szCs w:val="32"/>
          <w:highlight w:val="none"/>
          <w:lang w:val="en-US" w:eastAsia="zh-CN"/>
        </w:rPr>
        <w:t>支出</w:t>
      </w:r>
      <w:r>
        <w:rPr>
          <w:rStyle w:val="20"/>
          <w:rFonts w:hint="eastAsia" w:ascii="仿宋" w:hAnsi="仿宋" w:eastAsia="仿宋"/>
          <w:bCs/>
          <w:color w:val="auto"/>
          <w:sz w:val="32"/>
          <w:szCs w:val="32"/>
          <w:highlight w:val="none"/>
        </w:rPr>
        <w:t>（款）</w:t>
      </w:r>
      <w:r>
        <w:rPr>
          <w:rStyle w:val="20"/>
          <w:rFonts w:hint="eastAsia" w:ascii="仿宋" w:hAnsi="仿宋" w:eastAsia="仿宋"/>
          <w:bCs/>
          <w:color w:val="auto"/>
          <w:sz w:val="32"/>
          <w:szCs w:val="32"/>
          <w:highlight w:val="none"/>
          <w:lang w:val="en-US" w:eastAsia="zh-CN"/>
        </w:rPr>
        <w:t>其他文</w:t>
      </w:r>
      <w:r>
        <w:rPr>
          <w:rStyle w:val="20"/>
          <w:rFonts w:hint="eastAsia" w:ascii="仿宋" w:hAnsi="仿宋" w:eastAsia="仿宋"/>
          <w:bCs/>
          <w:color w:val="auto"/>
          <w:sz w:val="32"/>
          <w:szCs w:val="32"/>
          <w:highlight w:val="none"/>
        </w:rPr>
        <w:t>化旅游体育与传媒</w:t>
      </w:r>
      <w:r>
        <w:rPr>
          <w:rStyle w:val="20"/>
          <w:rFonts w:hint="eastAsia" w:ascii="仿宋" w:hAnsi="仿宋" w:eastAsia="仿宋"/>
          <w:bCs/>
          <w:color w:val="auto"/>
          <w:sz w:val="32"/>
          <w:szCs w:val="32"/>
          <w:highlight w:val="none"/>
          <w:lang w:val="en-US" w:eastAsia="zh-CN"/>
        </w:rPr>
        <w:t>支出</w:t>
      </w:r>
      <w:r>
        <w:rPr>
          <w:rStyle w:val="20"/>
          <w:rFonts w:hint="eastAsia" w:ascii="仿宋" w:hAnsi="仿宋" w:eastAsia="仿宋"/>
          <w:bCs/>
          <w:color w:val="auto"/>
          <w:sz w:val="32"/>
          <w:szCs w:val="32"/>
          <w:highlight w:val="none"/>
        </w:rPr>
        <w:t>（项）</w:t>
      </w:r>
      <w:r>
        <w:rPr>
          <w:rStyle w:val="20"/>
          <w:rFonts w:ascii="仿宋" w:hAnsi="仿宋" w:eastAsia="仿宋"/>
          <w:bCs/>
          <w:color w:val="auto"/>
          <w:sz w:val="32"/>
          <w:szCs w:val="32"/>
          <w:highlight w:val="none"/>
        </w:rPr>
        <w:t>:</w:t>
      </w:r>
      <w:r>
        <w:rPr>
          <w:rStyle w:val="20"/>
          <w:rFonts w:ascii="仿宋" w:hAnsi="仿宋" w:eastAsia="仿宋"/>
          <w:b w:val="0"/>
          <w:bCs/>
          <w:color w:val="auto"/>
          <w:sz w:val="32"/>
          <w:szCs w:val="32"/>
          <w:highlight w:val="none"/>
        </w:rPr>
        <w:t xml:space="preserve"> </w:t>
      </w:r>
      <w:r>
        <w:rPr>
          <w:rStyle w:val="20"/>
          <w:rFonts w:hint="eastAsia" w:ascii="仿宋" w:hAnsi="仿宋" w:eastAsia="仿宋"/>
          <w:b w:val="0"/>
          <w:bCs/>
          <w:color w:val="auto"/>
          <w:sz w:val="32"/>
          <w:szCs w:val="32"/>
          <w:highlight w:val="none"/>
        </w:rPr>
        <w:t>支出决算为</w:t>
      </w:r>
      <w:r>
        <w:rPr>
          <w:rStyle w:val="20"/>
          <w:rFonts w:hint="eastAsia" w:ascii="仿宋" w:hAnsi="仿宋" w:eastAsia="仿宋"/>
          <w:b w:val="0"/>
          <w:bCs/>
          <w:color w:val="auto"/>
          <w:sz w:val="32"/>
          <w:szCs w:val="32"/>
          <w:highlight w:val="none"/>
          <w:lang w:val="en-US" w:eastAsia="zh-CN"/>
        </w:rPr>
        <w:t>137.01</w:t>
      </w:r>
      <w:r>
        <w:rPr>
          <w:rStyle w:val="20"/>
          <w:rFonts w:hint="eastAsia" w:ascii="仿宋" w:hAnsi="仿宋" w:eastAsia="仿宋"/>
          <w:b w:val="0"/>
          <w:bCs/>
          <w:color w:val="auto"/>
          <w:sz w:val="32"/>
          <w:szCs w:val="32"/>
          <w:highlight w:val="none"/>
        </w:rPr>
        <w:t>万元，完成预算</w:t>
      </w:r>
      <w:r>
        <w:rPr>
          <w:rStyle w:val="20"/>
          <w:rFonts w:hint="eastAsia" w:ascii="仿宋" w:hAnsi="仿宋" w:eastAsia="仿宋"/>
          <w:b w:val="0"/>
          <w:bCs/>
          <w:color w:val="auto"/>
          <w:sz w:val="32"/>
          <w:szCs w:val="32"/>
          <w:highlight w:val="none"/>
          <w:lang w:val="en-US" w:eastAsia="zh-CN"/>
        </w:rPr>
        <w:t>100</w:t>
      </w:r>
      <w:r>
        <w:rPr>
          <w:rStyle w:val="20"/>
          <w:rFonts w:ascii="仿宋" w:hAnsi="仿宋" w:eastAsia="仿宋"/>
          <w:b w:val="0"/>
          <w:bCs/>
          <w:color w:val="auto"/>
          <w:sz w:val="32"/>
          <w:szCs w:val="32"/>
          <w:highlight w:val="none"/>
        </w:rPr>
        <w:t>%</w:t>
      </w:r>
      <w:r>
        <w:rPr>
          <w:rStyle w:val="20"/>
          <w:rFonts w:hint="eastAsia" w:ascii="仿宋" w:hAnsi="仿宋" w:eastAsia="仿宋"/>
          <w:b w:val="0"/>
          <w:bCs/>
          <w:color w:val="auto"/>
          <w:sz w:val="32"/>
          <w:szCs w:val="32"/>
          <w:highlight w:val="none"/>
        </w:rPr>
        <w:t>，决算数等于预算数。</w:t>
      </w:r>
    </w:p>
    <w:p>
      <w:pPr>
        <w:pStyle w:val="3"/>
        <w:ind w:left="0" w:leftChars="0" w:firstLine="643" w:firstLineChars="200"/>
        <w:rPr>
          <w:rStyle w:val="20"/>
          <w:rFonts w:hint="eastAsia" w:ascii="仿宋" w:hAnsi="仿宋" w:eastAsia="仿宋"/>
          <w:b w:val="0"/>
          <w:bCs/>
          <w:color w:val="auto"/>
          <w:sz w:val="32"/>
          <w:szCs w:val="32"/>
          <w:highlight w:val="none"/>
        </w:rPr>
      </w:pPr>
      <w:r>
        <w:rPr>
          <w:rStyle w:val="20"/>
          <w:rFonts w:hint="eastAsia" w:ascii="仿宋" w:hAnsi="仿宋" w:eastAsia="仿宋"/>
          <w:bCs/>
          <w:color w:val="auto"/>
          <w:sz w:val="32"/>
          <w:szCs w:val="32"/>
          <w:highlight w:val="none"/>
          <w:lang w:val="en-US" w:eastAsia="zh-CN"/>
        </w:rPr>
        <w:t>19</w:t>
      </w:r>
      <w:r>
        <w:rPr>
          <w:rStyle w:val="20"/>
          <w:rFonts w:ascii="仿宋" w:hAnsi="仿宋" w:eastAsia="仿宋"/>
          <w:bCs/>
          <w:color w:val="auto"/>
          <w:sz w:val="32"/>
          <w:szCs w:val="32"/>
          <w:highlight w:val="none"/>
        </w:rPr>
        <w:t>.</w:t>
      </w:r>
      <w:r>
        <w:rPr>
          <w:rStyle w:val="20"/>
          <w:rFonts w:hint="eastAsia" w:ascii="仿宋" w:hAnsi="仿宋" w:eastAsia="仿宋"/>
          <w:bCs/>
          <w:color w:val="auto"/>
          <w:sz w:val="32"/>
          <w:szCs w:val="32"/>
          <w:highlight w:val="none"/>
        </w:rPr>
        <w:t>社会保障和就业支出（类）</w:t>
      </w:r>
      <w:r>
        <w:rPr>
          <w:rStyle w:val="20"/>
          <w:rFonts w:hint="eastAsia" w:ascii="仿宋" w:hAnsi="仿宋" w:eastAsia="仿宋"/>
          <w:bCs/>
          <w:color w:val="auto"/>
          <w:sz w:val="32"/>
          <w:szCs w:val="32"/>
          <w:highlight w:val="none"/>
          <w:lang w:val="en-US" w:eastAsia="zh-CN"/>
        </w:rPr>
        <w:t>行政事业单位养老支出</w:t>
      </w:r>
      <w:r>
        <w:rPr>
          <w:rStyle w:val="20"/>
          <w:rFonts w:hint="eastAsia" w:ascii="仿宋" w:hAnsi="仿宋" w:eastAsia="仿宋"/>
          <w:bCs/>
          <w:color w:val="auto"/>
          <w:sz w:val="32"/>
          <w:szCs w:val="32"/>
          <w:highlight w:val="none"/>
        </w:rPr>
        <w:t>（款）</w:t>
      </w:r>
      <w:r>
        <w:rPr>
          <w:rStyle w:val="20"/>
          <w:rFonts w:hint="eastAsia" w:ascii="仿宋" w:hAnsi="仿宋" w:eastAsia="仿宋"/>
          <w:bCs/>
          <w:color w:val="auto"/>
          <w:sz w:val="32"/>
          <w:szCs w:val="32"/>
          <w:highlight w:val="none"/>
          <w:lang w:val="en-US" w:eastAsia="zh-CN"/>
        </w:rPr>
        <w:t>机关事业单位基本养老保险缴费支出</w:t>
      </w:r>
      <w:r>
        <w:rPr>
          <w:rStyle w:val="20"/>
          <w:rFonts w:hint="eastAsia" w:ascii="仿宋" w:hAnsi="仿宋" w:eastAsia="仿宋"/>
          <w:bCs/>
          <w:color w:val="auto"/>
          <w:sz w:val="32"/>
          <w:szCs w:val="32"/>
          <w:highlight w:val="none"/>
        </w:rPr>
        <w:t>（项）</w:t>
      </w:r>
      <w:r>
        <w:rPr>
          <w:rStyle w:val="20"/>
          <w:rFonts w:ascii="仿宋" w:hAnsi="仿宋" w:eastAsia="仿宋"/>
          <w:bCs/>
          <w:color w:val="auto"/>
          <w:sz w:val="32"/>
          <w:szCs w:val="32"/>
          <w:highlight w:val="none"/>
        </w:rPr>
        <w:t>:</w:t>
      </w:r>
      <w:r>
        <w:rPr>
          <w:rStyle w:val="20"/>
          <w:rFonts w:ascii="仿宋" w:hAnsi="仿宋" w:eastAsia="仿宋"/>
          <w:b w:val="0"/>
          <w:bCs/>
          <w:color w:val="auto"/>
          <w:sz w:val="32"/>
          <w:szCs w:val="32"/>
          <w:highlight w:val="none"/>
        </w:rPr>
        <w:t xml:space="preserve"> </w:t>
      </w:r>
      <w:r>
        <w:rPr>
          <w:rStyle w:val="20"/>
          <w:rFonts w:hint="eastAsia" w:ascii="仿宋" w:hAnsi="仿宋" w:eastAsia="仿宋"/>
          <w:b w:val="0"/>
          <w:bCs/>
          <w:color w:val="auto"/>
          <w:sz w:val="32"/>
          <w:szCs w:val="32"/>
          <w:highlight w:val="none"/>
        </w:rPr>
        <w:t>支出决算为</w:t>
      </w:r>
      <w:r>
        <w:rPr>
          <w:rStyle w:val="20"/>
          <w:rFonts w:hint="eastAsia" w:ascii="仿宋" w:hAnsi="仿宋" w:eastAsia="仿宋"/>
          <w:b w:val="0"/>
          <w:bCs/>
          <w:color w:val="auto"/>
          <w:sz w:val="32"/>
          <w:szCs w:val="32"/>
          <w:highlight w:val="none"/>
          <w:lang w:val="en-US" w:eastAsia="zh-CN"/>
        </w:rPr>
        <w:t>74.28</w:t>
      </w:r>
      <w:r>
        <w:rPr>
          <w:rStyle w:val="20"/>
          <w:rFonts w:hint="eastAsia" w:ascii="仿宋" w:hAnsi="仿宋" w:eastAsia="仿宋"/>
          <w:b w:val="0"/>
          <w:bCs/>
          <w:color w:val="auto"/>
          <w:sz w:val="32"/>
          <w:szCs w:val="32"/>
          <w:highlight w:val="none"/>
        </w:rPr>
        <w:t>万元，完成预算</w:t>
      </w:r>
      <w:r>
        <w:rPr>
          <w:rStyle w:val="20"/>
          <w:rFonts w:hint="eastAsia" w:ascii="仿宋" w:hAnsi="仿宋" w:eastAsia="仿宋"/>
          <w:b w:val="0"/>
          <w:bCs/>
          <w:color w:val="auto"/>
          <w:sz w:val="32"/>
          <w:szCs w:val="32"/>
          <w:highlight w:val="none"/>
          <w:lang w:val="en-US" w:eastAsia="zh-CN"/>
        </w:rPr>
        <w:t>100</w:t>
      </w:r>
      <w:r>
        <w:rPr>
          <w:rStyle w:val="20"/>
          <w:rFonts w:ascii="仿宋" w:hAnsi="仿宋" w:eastAsia="仿宋"/>
          <w:b w:val="0"/>
          <w:bCs/>
          <w:color w:val="auto"/>
          <w:sz w:val="32"/>
          <w:szCs w:val="32"/>
          <w:highlight w:val="none"/>
        </w:rPr>
        <w:t>%</w:t>
      </w:r>
      <w:r>
        <w:rPr>
          <w:rStyle w:val="20"/>
          <w:rFonts w:hint="eastAsia" w:ascii="仿宋" w:hAnsi="仿宋" w:eastAsia="仿宋"/>
          <w:b w:val="0"/>
          <w:bCs/>
          <w:color w:val="auto"/>
          <w:sz w:val="32"/>
          <w:szCs w:val="32"/>
          <w:highlight w:val="none"/>
        </w:rPr>
        <w:t>，决算数等于预算数。</w:t>
      </w:r>
    </w:p>
    <w:p>
      <w:pPr>
        <w:pStyle w:val="3"/>
        <w:ind w:left="0" w:leftChars="0" w:firstLine="643" w:firstLineChars="200"/>
        <w:rPr>
          <w:rStyle w:val="20"/>
          <w:rFonts w:hint="eastAsia" w:ascii="仿宋" w:hAnsi="仿宋" w:eastAsia="仿宋"/>
          <w:b w:val="0"/>
          <w:bCs/>
          <w:color w:val="auto"/>
          <w:sz w:val="32"/>
          <w:szCs w:val="32"/>
          <w:highlight w:val="none"/>
        </w:rPr>
      </w:pPr>
      <w:r>
        <w:rPr>
          <w:rStyle w:val="20"/>
          <w:rFonts w:hint="eastAsia" w:ascii="仿宋" w:hAnsi="仿宋" w:eastAsia="仿宋"/>
          <w:bCs/>
          <w:color w:val="auto"/>
          <w:sz w:val="32"/>
          <w:szCs w:val="32"/>
          <w:highlight w:val="none"/>
          <w:lang w:val="en-US" w:eastAsia="zh-CN"/>
        </w:rPr>
        <w:t>20</w:t>
      </w:r>
      <w:r>
        <w:rPr>
          <w:rStyle w:val="20"/>
          <w:rFonts w:ascii="仿宋" w:hAnsi="仿宋" w:eastAsia="仿宋"/>
          <w:bCs/>
          <w:color w:val="auto"/>
          <w:sz w:val="32"/>
          <w:szCs w:val="32"/>
          <w:highlight w:val="none"/>
        </w:rPr>
        <w:t>.</w:t>
      </w:r>
      <w:r>
        <w:rPr>
          <w:rStyle w:val="20"/>
          <w:rFonts w:hint="eastAsia" w:ascii="仿宋" w:hAnsi="仿宋" w:eastAsia="仿宋"/>
          <w:bCs/>
          <w:color w:val="auto"/>
          <w:sz w:val="32"/>
          <w:szCs w:val="32"/>
          <w:highlight w:val="none"/>
        </w:rPr>
        <w:t>社会保障和就业支出（类）</w:t>
      </w:r>
      <w:r>
        <w:rPr>
          <w:rStyle w:val="20"/>
          <w:rFonts w:hint="eastAsia" w:ascii="仿宋" w:hAnsi="仿宋" w:eastAsia="仿宋"/>
          <w:bCs/>
          <w:color w:val="auto"/>
          <w:sz w:val="32"/>
          <w:szCs w:val="32"/>
          <w:highlight w:val="none"/>
          <w:lang w:val="en-US" w:eastAsia="zh-CN"/>
        </w:rPr>
        <w:t>行政事业单位养老支出</w:t>
      </w:r>
      <w:r>
        <w:rPr>
          <w:rStyle w:val="20"/>
          <w:rFonts w:hint="eastAsia" w:ascii="仿宋" w:hAnsi="仿宋" w:eastAsia="仿宋"/>
          <w:bCs/>
          <w:color w:val="auto"/>
          <w:sz w:val="32"/>
          <w:szCs w:val="32"/>
          <w:highlight w:val="none"/>
        </w:rPr>
        <w:t>（款）</w:t>
      </w:r>
      <w:r>
        <w:rPr>
          <w:rStyle w:val="20"/>
          <w:rFonts w:hint="eastAsia" w:ascii="仿宋" w:hAnsi="仿宋" w:eastAsia="仿宋"/>
          <w:bCs/>
          <w:color w:val="auto"/>
          <w:sz w:val="32"/>
          <w:szCs w:val="32"/>
          <w:highlight w:val="none"/>
          <w:lang w:val="en-US" w:eastAsia="zh-CN"/>
        </w:rPr>
        <w:t>机关事业单位职业年金缴费支出</w:t>
      </w:r>
      <w:r>
        <w:rPr>
          <w:rStyle w:val="20"/>
          <w:rFonts w:hint="eastAsia" w:ascii="仿宋" w:hAnsi="仿宋" w:eastAsia="仿宋"/>
          <w:bCs/>
          <w:color w:val="auto"/>
          <w:sz w:val="32"/>
          <w:szCs w:val="32"/>
          <w:highlight w:val="none"/>
        </w:rPr>
        <w:t>（项）</w:t>
      </w:r>
      <w:r>
        <w:rPr>
          <w:rStyle w:val="20"/>
          <w:rFonts w:ascii="仿宋" w:hAnsi="仿宋" w:eastAsia="仿宋"/>
          <w:bCs/>
          <w:color w:val="auto"/>
          <w:sz w:val="32"/>
          <w:szCs w:val="32"/>
          <w:highlight w:val="none"/>
        </w:rPr>
        <w:t>:</w:t>
      </w:r>
      <w:r>
        <w:rPr>
          <w:rStyle w:val="20"/>
          <w:rFonts w:ascii="仿宋" w:hAnsi="仿宋" w:eastAsia="仿宋"/>
          <w:b w:val="0"/>
          <w:bCs/>
          <w:color w:val="auto"/>
          <w:sz w:val="32"/>
          <w:szCs w:val="32"/>
          <w:highlight w:val="none"/>
        </w:rPr>
        <w:t xml:space="preserve"> </w:t>
      </w:r>
      <w:r>
        <w:rPr>
          <w:rStyle w:val="20"/>
          <w:rFonts w:hint="eastAsia" w:ascii="仿宋" w:hAnsi="仿宋" w:eastAsia="仿宋"/>
          <w:b w:val="0"/>
          <w:bCs/>
          <w:color w:val="auto"/>
          <w:sz w:val="32"/>
          <w:szCs w:val="32"/>
          <w:highlight w:val="none"/>
        </w:rPr>
        <w:t>支出决算为</w:t>
      </w:r>
      <w:r>
        <w:rPr>
          <w:rStyle w:val="20"/>
          <w:rFonts w:hint="eastAsia" w:ascii="仿宋" w:hAnsi="仿宋" w:eastAsia="仿宋"/>
          <w:b w:val="0"/>
          <w:bCs/>
          <w:color w:val="auto"/>
          <w:sz w:val="32"/>
          <w:szCs w:val="32"/>
          <w:highlight w:val="none"/>
          <w:lang w:val="en-US" w:eastAsia="zh-CN"/>
        </w:rPr>
        <w:t>37.23</w:t>
      </w:r>
      <w:r>
        <w:rPr>
          <w:rStyle w:val="20"/>
          <w:rFonts w:hint="eastAsia" w:ascii="仿宋" w:hAnsi="仿宋" w:eastAsia="仿宋"/>
          <w:b w:val="0"/>
          <w:bCs/>
          <w:color w:val="auto"/>
          <w:sz w:val="32"/>
          <w:szCs w:val="32"/>
          <w:highlight w:val="none"/>
        </w:rPr>
        <w:t>万元，完成预算</w:t>
      </w:r>
      <w:r>
        <w:rPr>
          <w:rStyle w:val="20"/>
          <w:rFonts w:hint="eastAsia" w:ascii="仿宋" w:hAnsi="仿宋" w:eastAsia="仿宋"/>
          <w:b w:val="0"/>
          <w:bCs/>
          <w:color w:val="auto"/>
          <w:sz w:val="32"/>
          <w:szCs w:val="32"/>
          <w:highlight w:val="none"/>
          <w:lang w:val="en-US" w:eastAsia="zh-CN"/>
        </w:rPr>
        <w:t>100</w:t>
      </w:r>
      <w:r>
        <w:rPr>
          <w:rStyle w:val="20"/>
          <w:rFonts w:ascii="仿宋" w:hAnsi="仿宋" w:eastAsia="仿宋"/>
          <w:b w:val="0"/>
          <w:bCs/>
          <w:color w:val="auto"/>
          <w:sz w:val="32"/>
          <w:szCs w:val="32"/>
          <w:highlight w:val="none"/>
        </w:rPr>
        <w:t>%</w:t>
      </w:r>
      <w:r>
        <w:rPr>
          <w:rStyle w:val="20"/>
          <w:rFonts w:hint="eastAsia" w:ascii="仿宋" w:hAnsi="仿宋" w:eastAsia="仿宋"/>
          <w:b w:val="0"/>
          <w:bCs/>
          <w:color w:val="auto"/>
          <w:sz w:val="32"/>
          <w:szCs w:val="32"/>
          <w:highlight w:val="none"/>
        </w:rPr>
        <w:t>，决算数等于预算数。</w:t>
      </w:r>
    </w:p>
    <w:p>
      <w:pPr>
        <w:pStyle w:val="3"/>
        <w:ind w:left="0" w:leftChars="0" w:firstLine="643" w:firstLineChars="200"/>
        <w:rPr>
          <w:rStyle w:val="20"/>
          <w:rFonts w:hint="eastAsia" w:ascii="仿宋" w:hAnsi="仿宋" w:eastAsia="仿宋"/>
          <w:b w:val="0"/>
          <w:bCs/>
          <w:color w:val="auto"/>
          <w:sz w:val="32"/>
          <w:szCs w:val="32"/>
          <w:highlight w:val="none"/>
        </w:rPr>
      </w:pPr>
      <w:r>
        <w:rPr>
          <w:rStyle w:val="20"/>
          <w:rFonts w:hint="eastAsia" w:ascii="仿宋" w:hAnsi="仿宋" w:eastAsia="仿宋"/>
          <w:bCs/>
          <w:color w:val="auto"/>
          <w:sz w:val="32"/>
          <w:szCs w:val="32"/>
          <w:highlight w:val="none"/>
          <w:lang w:val="en-US" w:eastAsia="zh-CN"/>
        </w:rPr>
        <w:t>21</w:t>
      </w:r>
      <w:r>
        <w:rPr>
          <w:rStyle w:val="20"/>
          <w:rFonts w:ascii="仿宋" w:hAnsi="仿宋" w:eastAsia="仿宋"/>
          <w:bCs/>
          <w:color w:val="auto"/>
          <w:sz w:val="32"/>
          <w:szCs w:val="32"/>
          <w:highlight w:val="none"/>
        </w:rPr>
        <w:t>.</w:t>
      </w:r>
      <w:r>
        <w:rPr>
          <w:rStyle w:val="20"/>
          <w:rFonts w:hint="eastAsia" w:ascii="仿宋" w:hAnsi="仿宋" w:eastAsia="仿宋"/>
          <w:bCs/>
          <w:color w:val="auto"/>
          <w:sz w:val="32"/>
          <w:szCs w:val="32"/>
          <w:highlight w:val="none"/>
        </w:rPr>
        <w:t>卫生健康支出（类）</w:t>
      </w:r>
      <w:r>
        <w:rPr>
          <w:rStyle w:val="20"/>
          <w:rFonts w:hint="eastAsia" w:ascii="仿宋" w:hAnsi="仿宋" w:eastAsia="仿宋"/>
          <w:bCs/>
          <w:color w:val="auto"/>
          <w:sz w:val="32"/>
          <w:szCs w:val="32"/>
          <w:highlight w:val="none"/>
          <w:lang w:val="en-US" w:eastAsia="zh-CN"/>
        </w:rPr>
        <w:t>行政事业单位医疗</w:t>
      </w:r>
      <w:r>
        <w:rPr>
          <w:rStyle w:val="20"/>
          <w:rFonts w:hint="eastAsia" w:ascii="仿宋" w:hAnsi="仿宋" w:eastAsia="仿宋"/>
          <w:bCs/>
          <w:color w:val="auto"/>
          <w:sz w:val="32"/>
          <w:szCs w:val="32"/>
          <w:highlight w:val="none"/>
        </w:rPr>
        <w:t>（款）</w:t>
      </w:r>
      <w:r>
        <w:rPr>
          <w:rStyle w:val="20"/>
          <w:rFonts w:hint="eastAsia" w:ascii="仿宋" w:hAnsi="仿宋" w:eastAsia="仿宋"/>
          <w:bCs/>
          <w:color w:val="auto"/>
          <w:sz w:val="32"/>
          <w:szCs w:val="32"/>
          <w:highlight w:val="none"/>
          <w:lang w:val="en-US" w:eastAsia="zh-CN"/>
        </w:rPr>
        <w:t>行政单位医疗</w:t>
      </w:r>
      <w:r>
        <w:rPr>
          <w:rStyle w:val="20"/>
          <w:rFonts w:hint="eastAsia" w:ascii="仿宋" w:hAnsi="仿宋" w:eastAsia="仿宋"/>
          <w:bCs/>
          <w:color w:val="auto"/>
          <w:sz w:val="32"/>
          <w:szCs w:val="32"/>
          <w:highlight w:val="none"/>
        </w:rPr>
        <w:t>（项）</w:t>
      </w:r>
      <w:r>
        <w:rPr>
          <w:rStyle w:val="20"/>
          <w:rFonts w:ascii="仿宋" w:hAnsi="仿宋" w:eastAsia="仿宋"/>
          <w:bCs/>
          <w:color w:val="auto"/>
          <w:sz w:val="32"/>
          <w:szCs w:val="32"/>
          <w:highlight w:val="none"/>
        </w:rPr>
        <w:t>:</w:t>
      </w:r>
      <w:r>
        <w:rPr>
          <w:rStyle w:val="20"/>
          <w:rFonts w:ascii="仿宋" w:hAnsi="仿宋" w:eastAsia="仿宋"/>
          <w:b w:val="0"/>
          <w:bCs/>
          <w:color w:val="auto"/>
          <w:sz w:val="32"/>
          <w:szCs w:val="32"/>
          <w:highlight w:val="none"/>
        </w:rPr>
        <w:t xml:space="preserve"> </w:t>
      </w:r>
      <w:r>
        <w:rPr>
          <w:rStyle w:val="20"/>
          <w:rFonts w:hint="eastAsia" w:ascii="仿宋" w:hAnsi="仿宋" w:eastAsia="仿宋"/>
          <w:b w:val="0"/>
          <w:bCs/>
          <w:color w:val="auto"/>
          <w:sz w:val="32"/>
          <w:szCs w:val="32"/>
          <w:highlight w:val="none"/>
        </w:rPr>
        <w:t>支出决算为</w:t>
      </w:r>
      <w:r>
        <w:rPr>
          <w:rStyle w:val="20"/>
          <w:rFonts w:hint="eastAsia" w:ascii="仿宋" w:hAnsi="仿宋" w:eastAsia="仿宋"/>
          <w:b w:val="0"/>
          <w:bCs/>
          <w:color w:val="auto"/>
          <w:sz w:val="32"/>
          <w:szCs w:val="32"/>
          <w:highlight w:val="none"/>
          <w:lang w:val="en-US" w:eastAsia="zh-CN"/>
        </w:rPr>
        <w:t>21.89</w:t>
      </w:r>
      <w:r>
        <w:rPr>
          <w:rStyle w:val="20"/>
          <w:rFonts w:hint="eastAsia" w:ascii="仿宋" w:hAnsi="仿宋" w:eastAsia="仿宋"/>
          <w:b w:val="0"/>
          <w:bCs/>
          <w:color w:val="auto"/>
          <w:sz w:val="32"/>
          <w:szCs w:val="32"/>
          <w:highlight w:val="none"/>
        </w:rPr>
        <w:t>万元，完成预算</w:t>
      </w:r>
      <w:r>
        <w:rPr>
          <w:rStyle w:val="20"/>
          <w:rFonts w:hint="eastAsia" w:ascii="仿宋" w:hAnsi="仿宋" w:eastAsia="仿宋"/>
          <w:b w:val="0"/>
          <w:bCs/>
          <w:color w:val="auto"/>
          <w:sz w:val="32"/>
          <w:szCs w:val="32"/>
          <w:highlight w:val="none"/>
          <w:lang w:val="en-US" w:eastAsia="zh-CN"/>
        </w:rPr>
        <w:t>100</w:t>
      </w:r>
      <w:r>
        <w:rPr>
          <w:rStyle w:val="20"/>
          <w:rFonts w:ascii="仿宋" w:hAnsi="仿宋" w:eastAsia="仿宋"/>
          <w:b w:val="0"/>
          <w:bCs/>
          <w:color w:val="auto"/>
          <w:sz w:val="32"/>
          <w:szCs w:val="32"/>
          <w:highlight w:val="none"/>
        </w:rPr>
        <w:t>%</w:t>
      </w:r>
      <w:r>
        <w:rPr>
          <w:rStyle w:val="20"/>
          <w:rFonts w:hint="eastAsia" w:ascii="仿宋" w:hAnsi="仿宋" w:eastAsia="仿宋"/>
          <w:b w:val="0"/>
          <w:bCs/>
          <w:color w:val="auto"/>
          <w:sz w:val="32"/>
          <w:szCs w:val="32"/>
          <w:highlight w:val="none"/>
        </w:rPr>
        <w:t>，决算数等于预算数。</w:t>
      </w:r>
    </w:p>
    <w:p>
      <w:pPr>
        <w:ind w:firstLine="643" w:firstLineChars="200"/>
        <w:rPr>
          <w:rStyle w:val="20"/>
          <w:rFonts w:hint="eastAsia" w:ascii="仿宋" w:hAnsi="仿宋" w:eastAsia="仿宋"/>
          <w:b w:val="0"/>
          <w:bCs/>
          <w:color w:val="auto"/>
          <w:sz w:val="32"/>
          <w:szCs w:val="32"/>
          <w:highlight w:val="none"/>
        </w:rPr>
      </w:pPr>
      <w:r>
        <w:rPr>
          <w:rStyle w:val="20"/>
          <w:rFonts w:hint="eastAsia" w:ascii="仿宋" w:hAnsi="仿宋" w:eastAsia="仿宋"/>
          <w:bCs/>
          <w:color w:val="auto"/>
          <w:sz w:val="32"/>
          <w:szCs w:val="32"/>
          <w:highlight w:val="none"/>
          <w:lang w:val="en-US" w:eastAsia="zh-CN"/>
        </w:rPr>
        <w:t>22</w:t>
      </w:r>
      <w:r>
        <w:rPr>
          <w:rStyle w:val="20"/>
          <w:rFonts w:ascii="仿宋" w:hAnsi="仿宋" w:eastAsia="仿宋"/>
          <w:bCs/>
          <w:color w:val="auto"/>
          <w:sz w:val="32"/>
          <w:szCs w:val="32"/>
          <w:highlight w:val="none"/>
        </w:rPr>
        <w:t>.</w:t>
      </w:r>
      <w:r>
        <w:rPr>
          <w:rStyle w:val="20"/>
          <w:rFonts w:hint="eastAsia" w:ascii="仿宋" w:hAnsi="仿宋" w:eastAsia="仿宋"/>
          <w:bCs/>
          <w:color w:val="auto"/>
          <w:sz w:val="32"/>
          <w:szCs w:val="32"/>
          <w:highlight w:val="none"/>
        </w:rPr>
        <w:t>卫生健康支出（类）</w:t>
      </w:r>
      <w:r>
        <w:rPr>
          <w:rStyle w:val="20"/>
          <w:rFonts w:hint="eastAsia" w:ascii="仿宋" w:hAnsi="仿宋" w:eastAsia="仿宋"/>
          <w:bCs/>
          <w:color w:val="auto"/>
          <w:sz w:val="32"/>
          <w:szCs w:val="32"/>
          <w:highlight w:val="none"/>
          <w:lang w:val="en-US" w:eastAsia="zh-CN"/>
        </w:rPr>
        <w:t>行政事业单位医疗</w:t>
      </w:r>
      <w:r>
        <w:rPr>
          <w:rStyle w:val="20"/>
          <w:rFonts w:hint="eastAsia" w:ascii="仿宋" w:hAnsi="仿宋" w:eastAsia="仿宋"/>
          <w:bCs/>
          <w:color w:val="auto"/>
          <w:sz w:val="32"/>
          <w:szCs w:val="32"/>
          <w:highlight w:val="none"/>
        </w:rPr>
        <w:t>（款）</w:t>
      </w:r>
      <w:r>
        <w:rPr>
          <w:rStyle w:val="20"/>
          <w:rFonts w:hint="eastAsia" w:ascii="仿宋" w:hAnsi="仿宋" w:eastAsia="仿宋"/>
          <w:bCs/>
          <w:color w:val="auto"/>
          <w:sz w:val="32"/>
          <w:szCs w:val="32"/>
          <w:highlight w:val="none"/>
          <w:lang w:val="en-US" w:eastAsia="zh-CN"/>
        </w:rPr>
        <w:t>事业单位医疗</w:t>
      </w:r>
      <w:r>
        <w:rPr>
          <w:rStyle w:val="20"/>
          <w:rFonts w:hint="eastAsia" w:ascii="仿宋" w:hAnsi="仿宋" w:eastAsia="仿宋"/>
          <w:bCs/>
          <w:color w:val="auto"/>
          <w:sz w:val="32"/>
          <w:szCs w:val="32"/>
          <w:highlight w:val="none"/>
        </w:rPr>
        <w:t>（项）</w:t>
      </w:r>
      <w:r>
        <w:rPr>
          <w:rStyle w:val="20"/>
          <w:rFonts w:ascii="仿宋" w:hAnsi="仿宋" w:eastAsia="仿宋"/>
          <w:bCs/>
          <w:color w:val="auto"/>
          <w:sz w:val="32"/>
          <w:szCs w:val="32"/>
          <w:highlight w:val="none"/>
        </w:rPr>
        <w:t>:</w:t>
      </w:r>
      <w:r>
        <w:rPr>
          <w:rStyle w:val="20"/>
          <w:rFonts w:ascii="仿宋" w:hAnsi="仿宋" w:eastAsia="仿宋"/>
          <w:b w:val="0"/>
          <w:bCs/>
          <w:color w:val="auto"/>
          <w:sz w:val="32"/>
          <w:szCs w:val="32"/>
          <w:highlight w:val="none"/>
        </w:rPr>
        <w:t xml:space="preserve"> </w:t>
      </w:r>
      <w:r>
        <w:rPr>
          <w:rStyle w:val="20"/>
          <w:rFonts w:hint="eastAsia" w:ascii="仿宋" w:hAnsi="仿宋" w:eastAsia="仿宋"/>
          <w:b w:val="0"/>
          <w:bCs/>
          <w:color w:val="auto"/>
          <w:sz w:val="32"/>
          <w:szCs w:val="32"/>
          <w:highlight w:val="none"/>
        </w:rPr>
        <w:t>支出决算为</w:t>
      </w:r>
      <w:r>
        <w:rPr>
          <w:rStyle w:val="20"/>
          <w:rFonts w:hint="eastAsia" w:ascii="仿宋" w:hAnsi="仿宋" w:eastAsia="仿宋"/>
          <w:b w:val="0"/>
          <w:bCs/>
          <w:color w:val="auto"/>
          <w:sz w:val="32"/>
          <w:szCs w:val="32"/>
          <w:highlight w:val="none"/>
          <w:lang w:val="en-US" w:eastAsia="zh-CN"/>
        </w:rPr>
        <w:t>13.02</w:t>
      </w:r>
      <w:r>
        <w:rPr>
          <w:rStyle w:val="20"/>
          <w:rFonts w:hint="eastAsia" w:ascii="仿宋" w:hAnsi="仿宋" w:eastAsia="仿宋"/>
          <w:b w:val="0"/>
          <w:bCs/>
          <w:color w:val="auto"/>
          <w:sz w:val="32"/>
          <w:szCs w:val="32"/>
          <w:highlight w:val="none"/>
        </w:rPr>
        <w:t>万元，完成预算</w:t>
      </w:r>
      <w:r>
        <w:rPr>
          <w:rStyle w:val="20"/>
          <w:rFonts w:hint="eastAsia" w:ascii="仿宋" w:hAnsi="仿宋" w:eastAsia="仿宋"/>
          <w:b w:val="0"/>
          <w:bCs/>
          <w:color w:val="auto"/>
          <w:sz w:val="32"/>
          <w:szCs w:val="32"/>
          <w:highlight w:val="none"/>
          <w:lang w:val="en-US" w:eastAsia="zh-CN"/>
        </w:rPr>
        <w:t>100</w:t>
      </w:r>
      <w:r>
        <w:rPr>
          <w:rStyle w:val="20"/>
          <w:rFonts w:ascii="仿宋" w:hAnsi="仿宋" w:eastAsia="仿宋"/>
          <w:b w:val="0"/>
          <w:bCs/>
          <w:color w:val="auto"/>
          <w:sz w:val="32"/>
          <w:szCs w:val="32"/>
          <w:highlight w:val="none"/>
        </w:rPr>
        <w:t>%</w:t>
      </w:r>
      <w:r>
        <w:rPr>
          <w:rStyle w:val="20"/>
          <w:rFonts w:hint="eastAsia" w:ascii="仿宋" w:hAnsi="仿宋" w:eastAsia="仿宋"/>
          <w:b w:val="0"/>
          <w:bCs/>
          <w:color w:val="auto"/>
          <w:sz w:val="32"/>
          <w:szCs w:val="32"/>
          <w:highlight w:val="none"/>
        </w:rPr>
        <w:t>，决算数等于预算数。</w:t>
      </w:r>
    </w:p>
    <w:p>
      <w:pPr>
        <w:pStyle w:val="2"/>
        <w:ind w:firstLine="643" w:firstLineChars="200"/>
        <w:rPr>
          <w:rStyle w:val="20"/>
          <w:rFonts w:hint="eastAsia" w:ascii="仿宋" w:hAnsi="仿宋" w:eastAsia="仿宋"/>
          <w:b w:val="0"/>
          <w:bCs/>
          <w:color w:val="auto"/>
          <w:sz w:val="32"/>
          <w:szCs w:val="32"/>
          <w:highlight w:val="none"/>
        </w:rPr>
      </w:pPr>
      <w:r>
        <w:rPr>
          <w:rStyle w:val="20"/>
          <w:rFonts w:hint="eastAsia" w:ascii="仿宋" w:hAnsi="仿宋" w:eastAsia="仿宋"/>
          <w:bCs/>
          <w:color w:val="auto"/>
          <w:sz w:val="32"/>
          <w:szCs w:val="32"/>
          <w:highlight w:val="none"/>
          <w:lang w:val="en-US" w:eastAsia="zh-CN"/>
        </w:rPr>
        <w:t>23</w:t>
      </w:r>
      <w:r>
        <w:rPr>
          <w:rStyle w:val="20"/>
          <w:rFonts w:ascii="仿宋" w:hAnsi="仿宋" w:eastAsia="仿宋"/>
          <w:bCs/>
          <w:color w:val="auto"/>
          <w:sz w:val="32"/>
          <w:szCs w:val="32"/>
          <w:highlight w:val="none"/>
        </w:rPr>
        <w:t>.</w:t>
      </w:r>
      <w:r>
        <w:rPr>
          <w:rStyle w:val="20"/>
          <w:rFonts w:hint="eastAsia" w:ascii="仿宋" w:hAnsi="仿宋" w:eastAsia="仿宋"/>
          <w:bCs/>
          <w:color w:val="auto"/>
          <w:sz w:val="32"/>
          <w:szCs w:val="32"/>
          <w:highlight w:val="none"/>
        </w:rPr>
        <w:t>卫生健康支出（类）</w:t>
      </w:r>
      <w:r>
        <w:rPr>
          <w:rStyle w:val="20"/>
          <w:rFonts w:hint="eastAsia" w:ascii="仿宋" w:hAnsi="仿宋" w:eastAsia="仿宋"/>
          <w:bCs/>
          <w:color w:val="auto"/>
          <w:sz w:val="32"/>
          <w:szCs w:val="32"/>
          <w:highlight w:val="none"/>
          <w:lang w:val="en-US" w:eastAsia="zh-CN"/>
        </w:rPr>
        <w:t>行政事业单位医疗</w:t>
      </w:r>
      <w:r>
        <w:rPr>
          <w:rStyle w:val="20"/>
          <w:rFonts w:hint="eastAsia" w:ascii="仿宋" w:hAnsi="仿宋" w:eastAsia="仿宋"/>
          <w:bCs/>
          <w:color w:val="auto"/>
          <w:sz w:val="32"/>
          <w:szCs w:val="32"/>
          <w:highlight w:val="none"/>
        </w:rPr>
        <w:t>（款）</w:t>
      </w:r>
      <w:r>
        <w:rPr>
          <w:rStyle w:val="20"/>
          <w:rFonts w:hint="eastAsia" w:ascii="仿宋" w:hAnsi="仿宋" w:eastAsia="仿宋"/>
          <w:bCs/>
          <w:color w:val="auto"/>
          <w:sz w:val="32"/>
          <w:szCs w:val="32"/>
          <w:highlight w:val="none"/>
          <w:lang w:val="en-US" w:eastAsia="zh-CN"/>
        </w:rPr>
        <w:t>公务员医疗补助</w:t>
      </w:r>
      <w:r>
        <w:rPr>
          <w:rStyle w:val="20"/>
          <w:rFonts w:hint="eastAsia" w:ascii="仿宋" w:hAnsi="仿宋" w:eastAsia="仿宋"/>
          <w:bCs/>
          <w:color w:val="auto"/>
          <w:sz w:val="32"/>
          <w:szCs w:val="32"/>
          <w:highlight w:val="none"/>
        </w:rPr>
        <w:t>（项）</w:t>
      </w:r>
      <w:r>
        <w:rPr>
          <w:rStyle w:val="20"/>
          <w:rFonts w:ascii="仿宋" w:hAnsi="仿宋" w:eastAsia="仿宋"/>
          <w:bCs/>
          <w:color w:val="auto"/>
          <w:sz w:val="32"/>
          <w:szCs w:val="32"/>
          <w:highlight w:val="none"/>
        </w:rPr>
        <w:t>:</w:t>
      </w:r>
      <w:r>
        <w:rPr>
          <w:rStyle w:val="20"/>
          <w:rFonts w:ascii="仿宋" w:hAnsi="仿宋" w:eastAsia="仿宋"/>
          <w:b w:val="0"/>
          <w:bCs/>
          <w:color w:val="auto"/>
          <w:sz w:val="32"/>
          <w:szCs w:val="32"/>
          <w:highlight w:val="none"/>
        </w:rPr>
        <w:t xml:space="preserve"> </w:t>
      </w:r>
      <w:r>
        <w:rPr>
          <w:rStyle w:val="20"/>
          <w:rFonts w:hint="eastAsia" w:ascii="仿宋" w:hAnsi="仿宋" w:eastAsia="仿宋"/>
          <w:b w:val="0"/>
          <w:bCs/>
          <w:color w:val="auto"/>
          <w:sz w:val="32"/>
          <w:szCs w:val="32"/>
          <w:highlight w:val="none"/>
        </w:rPr>
        <w:t>支出决算为</w:t>
      </w:r>
      <w:r>
        <w:rPr>
          <w:rStyle w:val="20"/>
          <w:rFonts w:hint="eastAsia" w:ascii="仿宋" w:hAnsi="仿宋" w:eastAsia="仿宋"/>
          <w:b w:val="0"/>
          <w:bCs/>
          <w:color w:val="auto"/>
          <w:sz w:val="32"/>
          <w:szCs w:val="32"/>
          <w:highlight w:val="none"/>
          <w:lang w:val="en-US" w:eastAsia="zh-CN"/>
        </w:rPr>
        <w:t>5.09</w:t>
      </w:r>
      <w:r>
        <w:rPr>
          <w:rStyle w:val="20"/>
          <w:rFonts w:hint="eastAsia" w:ascii="仿宋" w:hAnsi="仿宋" w:eastAsia="仿宋"/>
          <w:b w:val="0"/>
          <w:bCs/>
          <w:color w:val="auto"/>
          <w:sz w:val="32"/>
          <w:szCs w:val="32"/>
          <w:highlight w:val="none"/>
        </w:rPr>
        <w:t>万元，完成预算</w:t>
      </w:r>
      <w:r>
        <w:rPr>
          <w:rStyle w:val="20"/>
          <w:rFonts w:hint="eastAsia" w:ascii="仿宋" w:hAnsi="仿宋" w:eastAsia="仿宋"/>
          <w:b w:val="0"/>
          <w:bCs/>
          <w:color w:val="auto"/>
          <w:sz w:val="32"/>
          <w:szCs w:val="32"/>
          <w:highlight w:val="none"/>
          <w:lang w:val="en-US" w:eastAsia="zh-CN"/>
        </w:rPr>
        <w:t>100</w:t>
      </w:r>
      <w:r>
        <w:rPr>
          <w:rStyle w:val="20"/>
          <w:rFonts w:ascii="仿宋" w:hAnsi="仿宋" w:eastAsia="仿宋"/>
          <w:b w:val="0"/>
          <w:bCs/>
          <w:color w:val="auto"/>
          <w:sz w:val="32"/>
          <w:szCs w:val="32"/>
          <w:highlight w:val="none"/>
        </w:rPr>
        <w:t>%</w:t>
      </w:r>
      <w:r>
        <w:rPr>
          <w:rStyle w:val="20"/>
          <w:rFonts w:hint="eastAsia" w:ascii="仿宋" w:hAnsi="仿宋" w:eastAsia="仿宋"/>
          <w:b w:val="0"/>
          <w:bCs/>
          <w:color w:val="auto"/>
          <w:sz w:val="32"/>
          <w:szCs w:val="32"/>
          <w:highlight w:val="none"/>
        </w:rPr>
        <w:t>，决算数等于预算数。</w:t>
      </w:r>
    </w:p>
    <w:p>
      <w:pPr>
        <w:pStyle w:val="3"/>
        <w:ind w:left="0" w:leftChars="0" w:firstLine="643" w:firstLineChars="200"/>
        <w:rPr>
          <w:rStyle w:val="20"/>
          <w:rFonts w:hint="eastAsia" w:ascii="仿宋" w:hAnsi="仿宋" w:eastAsia="仿宋"/>
          <w:b w:val="0"/>
          <w:bCs/>
          <w:color w:val="auto"/>
          <w:sz w:val="32"/>
          <w:szCs w:val="32"/>
          <w:highlight w:val="none"/>
        </w:rPr>
      </w:pPr>
      <w:r>
        <w:rPr>
          <w:rStyle w:val="20"/>
          <w:rFonts w:hint="eastAsia" w:ascii="仿宋" w:hAnsi="仿宋" w:eastAsia="仿宋"/>
          <w:bCs/>
          <w:color w:val="auto"/>
          <w:sz w:val="32"/>
          <w:szCs w:val="32"/>
          <w:highlight w:val="none"/>
          <w:lang w:val="en-US" w:eastAsia="zh-CN"/>
        </w:rPr>
        <w:t>2</w:t>
      </w:r>
      <w:r>
        <w:rPr>
          <w:rStyle w:val="20"/>
          <w:rFonts w:ascii="仿宋" w:hAnsi="仿宋" w:eastAsia="仿宋"/>
          <w:bCs/>
          <w:color w:val="auto"/>
          <w:sz w:val="32"/>
          <w:szCs w:val="32"/>
          <w:highlight w:val="none"/>
        </w:rPr>
        <w:t>4.</w:t>
      </w:r>
      <w:r>
        <w:rPr>
          <w:rStyle w:val="20"/>
          <w:rFonts w:hint="eastAsia" w:ascii="仿宋" w:hAnsi="仿宋" w:eastAsia="仿宋"/>
          <w:bCs/>
          <w:color w:val="auto"/>
          <w:sz w:val="32"/>
          <w:szCs w:val="32"/>
          <w:highlight w:val="none"/>
        </w:rPr>
        <w:t>卫生健康支出（类）</w:t>
      </w:r>
      <w:r>
        <w:rPr>
          <w:rStyle w:val="20"/>
          <w:rFonts w:hint="eastAsia" w:ascii="仿宋" w:hAnsi="仿宋" w:eastAsia="仿宋"/>
          <w:bCs/>
          <w:color w:val="auto"/>
          <w:sz w:val="32"/>
          <w:szCs w:val="32"/>
          <w:highlight w:val="none"/>
          <w:lang w:val="en-US" w:eastAsia="zh-CN"/>
        </w:rPr>
        <w:t>行政事业单位医疗</w:t>
      </w:r>
      <w:r>
        <w:rPr>
          <w:rStyle w:val="20"/>
          <w:rFonts w:hint="eastAsia" w:ascii="仿宋" w:hAnsi="仿宋" w:eastAsia="仿宋"/>
          <w:bCs/>
          <w:color w:val="auto"/>
          <w:sz w:val="32"/>
          <w:szCs w:val="32"/>
          <w:highlight w:val="none"/>
        </w:rPr>
        <w:t>（款）</w:t>
      </w:r>
      <w:r>
        <w:rPr>
          <w:rStyle w:val="20"/>
          <w:rFonts w:hint="eastAsia" w:ascii="仿宋" w:hAnsi="仿宋" w:eastAsia="仿宋"/>
          <w:bCs/>
          <w:color w:val="auto"/>
          <w:sz w:val="32"/>
          <w:szCs w:val="32"/>
          <w:highlight w:val="none"/>
          <w:lang w:val="en-US" w:eastAsia="zh-CN"/>
        </w:rPr>
        <w:t>其他行政事业单位医疗支出</w:t>
      </w:r>
      <w:r>
        <w:rPr>
          <w:rStyle w:val="20"/>
          <w:rFonts w:hint="eastAsia" w:ascii="仿宋" w:hAnsi="仿宋" w:eastAsia="仿宋"/>
          <w:bCs/>
          <w:color w:val="auto"/>
          <w:sz w:val="32"/>
          <w:szCs w:val="32"/>
          <w:highlight w:val="none"/>
        </w:rPr>
        <w:t>（项）</w:t>
      </w:r>
      <w:r>
        <w:rPr>
          <w:rStyle w:val="20"/>
          <w:rFonts w:ascii="仿宋" w:hAnsi="仿宋" w:eastAsia="仿宋"/>
          <w:bCs/>
          <w:color w:val="auto"/>
          <w:sz w:val="32"/>
          <w:szCs w:val="32"/>
          <w:highlight w:val="none"/>
        </w:rPr>
        <w:t>:</w:t>
      </w:r>
      <w:r>
        <w:rPr>
          <w:rStyle w:val="20"/>
          <w:rFonts w:ascii="仿宋" w:hAnsi="仿宋" w:eastAsia="仿宋"/>
          <w:b w:val="0"/>
          <w:bCs/>
          <w:color w:val="auto"/>
          <w:sz w:val="32"/>
          <w:szCs w:val="32"/>
          <w:highlight w:val="none"/>
        </w:rPr>
        <w:t xml:space="preserve"> </w:t>
      </w:r>
      <w:r>
        <w:rPr>
          <w:rStyle w:val="20"/>
          <w:rFonts w:hint="eastAsia" w:ascii="仿宋" w:hAnsi="仿宋" w:eastAsia="仿宋"/>
          <w:b w:val="0"/>
          <w:bCs/>
          <w:color w:val="auto"/>
          <w:sz w:val="32"/>
          <w:szCs w:val="32"/>
          <w:highlight w:val="none"/>
        </w:rPr>
        <w:t>支出决算为</w:t>
      </w:r>
      <w:r>
        <w:rPr>
          <w:rStyle w:val="20"/>
          <w:rFonts w:hint="eastAsia" w:ascii="仿宋" w:hAnsi="仿宋" w:eastAsia="仿宋"/>
          <w:b w:val="0"/>
          <w:bCs/>
          <w:color w:val="auto"/>
          <w:sz w:val="32"/>
          <w:szCs w:val="32"/>
          <w:highlight w:val="none"/>
          <w:lang w:val="en-US" w:eastAsia="zh-CN"/>
        </w:rPr>
        <w:t>4.76</w:t>
      </w:r>
      <w:r>
        <w:rPr>
          <w:rStyle w:val="20"/>
          <w:rFonts w:hint="eastAsia" w:ascii="仿宋" w:hAnsi="仿宋" w:eastAsia="仿宋"/>
          <w:b w:val="0"/>
          <w:bCs/>
          <w:color w:val="auto"/>
          <w:sz w:val="32"/>
          <w:szCs w:val="32"/>
          <w:highlight w:val="none"/>
        </w:rPr>
        <w:t>万元，完成预算</w:t>
      </w:r>
      <w:r>
        <w:rPr>
          <w:rStyle w:val="20"/>
          <w:rFonts w:hint="eastAsia" w:ascii="仿宋" w:hAnsi="仿宋" w:eastAsia="仿宋"/>
          <w:b w:val="0"/>
          <w:bCs/>
          <w:color w:val="auto"/>
          <w:sz w:val="32"/>
          <w:szCs w:val="32"/>
          <w:highlight w:val="none"/>
          <w:lang w:val="en-US" w:eastAsia="zh-CN"/>
        </w:rPr>
        <w:t>100</w:t>
      </w:r>
      <w:r>
        <w:rPr>
          <w:rStyle w:val="20"/>
          <w:rFonts w:ascii="仿宋" w:hAnsi="仿宋" w:eastAsia="仿宋"/>
          <w:b w:val="0"/>
          <w:bCs/>
          <w:color w:val="auto"/>
          <w:sz w:val="32"/>
          <w:szCs w:val="32"/>
          <w:highlight w:val="none"/>
        </w:rPr>
        <w:t>%</w:t>
      </w:r>
      <w:r>
        <w:rPr>
          <w:rStyle w:val="20"/>
          <w:rFonts w:hint="eastAsia" w:ascii="仿宋" w:hAnsi="仿宋" w:eastAsia="仿宋"/>
          <w:b w:val="0"/>
          <w:bCs/>
          <w:color w:val="auto"/>
          <w:sz w:val="32"/>
          <w:szCs w:val="32"/>
          <w:highlight w:val="none"/>
        </w:rPr>
        <w:t>，决算数等于预算数。</w:t>
      </w:r>
    </w:p>
    <w:p>
      <w:pPr>
        <w:ind w:firstLine="643" w:firstLineChars="200"/>
        <w:rPr>
          <w:rStyle w:val="20"/>
          <w:rFonts w:hint="eastAsia" w:ascii="仿宋" w:hAnsi="仿宋" w:eastAsia="仿宋"/>
          <w:b w:val="0"/>
          <w:bCs/>
          <w:color w:val="auto"/>
          <w:sz w:val="32"/>
          <w:szCs w:val="32"/>
          <w:highlight w:val="none"/>
        </w:rPr>
      </w:pPr>
      <w:r>
        <w:rPr>
          <w:rStyle w:val="20"/>
          <w:rFonts w:hint="eastAsia" w:ascii="仿宋" w:hAnsi="仿宋" w:eastAsia="仿宋"/>
          <w:bCs/>
          <w:color w:val="auto"/>
          <w:sz w:val="32"/>
          <w:szCs w:val="32"/>
          <w:highlight w:val="none"/>
          <w:lang w:val="en-US" w:eastAsia="zh-CN"/>
        </w:rPr>
        <w:t>25</w:t>
      </w:r>
      <w:r>
        <w:rPr>
          <w:rStyle w:val="20"/>
          <w:rFonts w:ascii="仿宋" w:hAnsi="仿宋" w:eastAsia="仿宋"/>
          <w:bCs/>
          <w:color w:val="auto"/>
          <w:sz w:val="32"/>
          <w:szCs w:val="32"/>
          <w:highlight w:val="none"/>
        </w:rPr>
        <w:t>.</w:t>
      </w:r>
      <w:r>
        <w:rPr>
          <w:rStyle w:val="20"/>
          <w:rFonts w:hint="eastAsia" w:ascii="仿宋" w:hAnsi="仿宋" w:eastAsia="仿宋"/>
          <w:bCs/>
          <w:color w:val="auto"/>
          <w:sz w:val="32"/>
          <w:szCs w:val="32"/>
          <w:highlight w:val="none"/>
        </w:rPr>
        <w:t>农林水支出（类）</w:t>
      </w:r>
      <w:r>
        <w:rPr>
          <w:rStyle w:val="20"/>
          <w:rFonts w:hint="eastAsia" w:ascii="仿宋" w:hAnsi="仿宋" w:eastAsia="仿宋"/>
          <w:bCs/>
          <w:color w:val="auto"/>
          <w:sz w:val="32"/>
          <w:szCs w:val="32"/>
          <w:highlight w:val="none"/>
          <w:lang w:val="en-US" w:eastAsia="zh-CN"/>
        </w:rPr>
        <w:t>巩固脱贫衔接乡村振兴</w:t>
      </w:r>
      <w:r>
        <w:rPr>
          <w:rStyle w:val="20"/>
          <w:rFonts w:hint="eastAsia" w:ascii="仿宋" w:hAnsi="仿宋" w:eastAsia="仿宋"/>
          <w:bCs/>
          <w:color w:val="auto"/>
          <w:sz w:val="32"/>
          <w:szCs w:val="32"/>
          <w:highlight w:val="none"/>
        </w:rPr>
        <w:t>（款）</w:t>
      </w:r>
      <w:r>
        <w:rPr>
          <w:rStyle w:val="20"/>
          <w:rFonts w:hint="eastAsia" w:ascii="仿宋" w:hAnsi="仿宋" w:eastAsia="仿宋"/>
          <w:bCs/>
          <w:color w:val="auto"/>
          <w:sz w:val="32"/>
          <w:szCs w:val="32"/>
          <w:highlight w:val="none"/>
          <w:lang w:val="en-US" w:eastAsia="zh-CN"/>
        </w:rPr>
        <w:t>农村基础设施建设</w:t>
      </w:r>
      <w:r>
        <w:rPr>
          <w:rStyle w:val="20"/>
          <w:rFonts w:hint="eastAsia" w:ascii="仿宋" w:hAnsi="仿宋" w:eastAsia="仿宋"/>
          <w:bCs/>
          <w:color w:val="auto"/>
          <w:sz w:val="32"/>
          <w:szCs w:val="32"/>
          <w:highlight w:val="none"/>
        </w:rPr>
        <w:t>（项）</w:t>
      </w:r>
      <w:r>
        <w:rPr>
          <w:rStyle w:val="20"/>
          <w:rFonts w:ascii="仿宋" w:hAnsi="仿宋" w:eastAsia="仿宋"/>
          <w:bCs/>
          <w:color w:val="auto"/>
          <w:sz w:val="32"/>
          <w:szCs w:val="32"/>
          <w:highlight w:val="none"/>
        </w:rPr>
        <w:t>:</w:t>
      </w:r>
      <w:r>
        <w:rPr>
          <w:rStyle w:val="20"/>
          <w:rFonts w:ascii="仿宋" w:hAnsi="仿宋" w:eastAsia="仿宋"/>
          <w:b w:val="0"/>
          <w:bCs/>
          <w:color w:val="auto"/>
          <w:sz w:val="32"/>
          <w:szCs w:val="32"/>
          <w:highlight w:val="none"/>
        </w:rPr>
        <w:t xml:space="preserve"> </w:t>
      </w:r>
      <w:r>
        <w:rPr>
          <w:rStyle w:val="20"/>
          <w:rFonts w:hint="eastAsia" w:ascii="仿宋" w:hAnsi="仿宋" w:eastAsia="仿宋"/>
          <w:b w:val="0"/>
          <w:bCs/>
          <w:color w:val="auto"/>
          <w:sz w:val="32"/>
          <w:szCs w:val="32"/>
          <w:highlight w:val="none"/>
        </w:rPr>
        <w:t>支出决算为</w:t>
      </w:r>
      <w:r>
        <w:rPr>
          <w:rStyle w:val="20"/>
          <w:rFonts w:hint="eastAsia" w:ascii="仿宋" w:hAnsi="仿宋" w:eastAsia="仿宋"/>
          <w:b w:val="0"/>
          <w:bCs/>
          <w:color w:val="auto"/>
          <w:sz w:val="32"/>
          <w:szCs w:val="32"/>
          <w:highlight w:val="none"/>
          <w:lang w:val="en-US" w:eastAsia="zh-CN"/>
        </w:rPr>
        <w:t>57.44</w:t>
      </w:r>
      <w:r>
        <w:rPr>
          <w:rStyle w:val="20"/>
          <w:rFonts w:hint="eastAsia" w:ascii="仿宋" w:hAnsi="仿宋" w:eastAsia="仿宋"/>
          <w:b w:val="0"/>
          <w:bCs/>
          <w:color w:val="auto"/>
          <w:sz w:val="32"/>
          <w:szCs w:val="32"/>
          <w:highlight w:val="none"/>
        </w:rPr>
        <w:t>万元，完成预算</w:t>
      </w:r>
      <w:r>
        <w:rPr>
          <w:rStyle w:val="20"/>
          <w:rFonts w:hint="eastAsia" w:ascii="仿宋" w:hAnsi="仿宋" w:eastAsia="仿宋"/>
          <w:b w:val="0"/>
          <w:bCs/>
          <w:color w:val="auto"/>
          <w:sz w:val="32"/>
          <w:szCs w:val="32"/>
          <w:highlight w:val="none"/>
          <w:lang w:val="en-US" w:eastAsia="zh-CN"/>
        </w:rPr>
        <w:t>100</w:t>
      </w:r>
      <w:r>
        <w:rPr>
          <w:rStyle w:val="20"/>
          <w:rFonts w:ascii="仿宋" w:hAnsi="仿宋" w:eastAsia="仿宋"/>
          <w:b w:val="0"/>
          <w:bCs/>
          <w:color w:val="auto"/>
          <w:sz w:val="32"/>
          <w:szCs w:val="32"/>
          <w:highlight w:val="none"/>
        </w:rPr>
        <w:t>%</w:t>
      </w:r>
      <w:r>
        <w:rPr>
          <w:rStyle w:val="20"/>
          <w:rFonts w:hint="eastAsia" w:ascii="仿宋" w:hAnsi="仿宋" w:eastAsia="仿宋"/>
          <w:b w:val="0"/>
          <w:bCs/>
          <w:color w:val="auto"/>
          <w:sz w:val="32"/>
          <w:szCs w:val="32"/>
          <w:highlight w:val="none"/>
        </w:rPr>
        <w:t>，决算数等于预算数。</w:t>
      </w:r>
    </w:p>
    <w:p>
      <w:pPr>
        <w:pStyle w:val="2"/>
        <w:ind w:firstLine="643" w:firstLineChars="200"/>
        <w:rPr>
          <w:rStyle w:val="20"/>
          <w:rFonts w:hint="eastAsia" w:ascii="仿宋" w:hAnsi="仿宋" w:eastAsia="仿宋"/>
          <w:b w:val="0"/>
          <w:bCs/>
          <w:color w:val="auto"/>
          <w:sz w:val="32"/>
          <w:szCs w:val="32"/>
          <w:highlight w:val="none"/>
        </w:rPr>
      </w:pPr>
      <w:r>
        <w:rPr>
          <w:rStyle w:val="20"/>
          <w:rFonts w:hint="eastAsia" w:ascii="仿宋" w:hAnsi="仿宋" w:eastAsia="仿宋"/>
          <w:bCs/>
          <w:color w:val="auto"/>
          <w:sz w:val="32"/>
          <w:szCs w:val="32"/>
          <w:highlight w:val="none"/>
          <w:lang w:val="en-US" w:eastAsia="zh-CN"/>
        </w:rPr>
        <w:t>26</w:t>
      </w:r>
      <w:r>
        <w:rPr>
          <w:rStyle w:val="20"/>
          <w:rFonts w:ascii="仿宋" w:hAnsi="仿宋" w:eastAsia="仿宋"/>
          <w:bCs/>
          <w:color w:val="auto"/>
          <w:sz w:val="32"/>
          <w:szCs w:val="32"/>
          <w:highlight w:val="none"/>
        </w:rPr>
        <w:t>.</w:t>
      </w:r>
      <w:r>
        <w:rPr>
          <w:rStyle w:val="20"/>
          <w:rFonts w:hint="eastAsia" w:ascii="仿宋" w:hAnsi="仿宋" w:eastAsia="仿宋"/>
          <w:bCs/>
          <w:color w:val="auto"/>
          <w:sz w:val="32"/>
          <w:szCs w:val="32"/>
          <w:highlight w:val="none"/>
        </w:rPr>
        <w:t>农林水支出（类）</w:t>
      </w:r>
      <w:r>
        <w:rPr>
          <w:rStyle w:val="20"/>
          <w:rFonts w:hint="eastAsia" w:ascii="仿宋" w:hAnsi="仿宋" w:eastAsia="仿宋"/>
          <w:bCs/>
          <w:color w:val="auto"/>
          <w:sz w:val="32"/>
          <w:szCs w:val="32"/>
          <w:highlight w:val="none"/>
          <w:lang w:val="en-US" w:eastAsia="zh-CN"/>
        </w:rPr>
        <w:t>巩固脱贫衔接乡村振兴</w:t>
      </w:r>
      <w:r>
        <w:rPr>
          <w:rStyle w:val="20"/>
          <w:rFonts w:hint="eastAsia" w:ascii="仿宋" w:hAnsi="仿宋" w:eastAsia="仿宋"/>
          <w:bCs/>
          <w:color w:val="auto"/>
          <w:sz w:val="32"/>
          <w:szCs w:val="32"/>
          <w:highlight w:val="none"/>
        </w:rPr>
        <w:t>（款）</w:t>
      </w:r>
      <w:r>
        <w:rPr>
          <w:rStyle w:val="20"/>
          <w:rFonts w:hint="eastAsia" w:ascii="仿宋" w:hAnsi="仿宋" w:eastAsia="仿宋"/>
          <w:bCs/>
          <w:color w:val="auto"/>
          <w:sz w:val="32"/>
          <w:szCs w:val="32"/>
          <w:highlight w:val="none"/>
          <w:lang w:val="en-US" w:eastAsia="zh-CN"/>
        </w:rPr>
        <w:t>生产发展</w:t>
      </w:r>
      <w:r>
        <w:rPr>
          <w:rStyle w:val="20"/>
          <w:rFonts w:hint="eastAsia" w:ascii="仿宋" w:hAnsi="仿宋" w:eastAsia="仿宋"/>
          <w:bCs/>
          <w:color w:val="auto"/>
          <w:sz w:val="32"/>
          <w:szCs w:val="32"/>
          <w:highlight w:val="none"/>
        </w:rPr>
        <w:t>（项）</w:t>
      </w:r>
      <w:r>
        <w:rPr>
          <w:rStyle w:val="20"/>
          <w:rFonts w:ascii="仿宋" w:hAnsi="仿宋" w:eastAsia="仿宋"/>
          <w:bCs/>
          <w:color w:val="auto"/>
          <w:sz w:val="32"/>
          <w:szCs w:val="32"/>
          <w:highlight w:val="none"/>
        </w:rPr>
        <w:t>:</w:t>
      </w:r>
      <w:r>
        <w:rPr>
          <w:rStyle w:val="20"/>
          <w:rFonts w:ascii="仿宋" w:hAnsi="仿宋" w:eastAsia="仿宋"/>
          <w:b w:val="0"/>
          <w:bCs/>
          <w:color w:val="auto"/>
          <w:sz w:val="32"/>
          <w:szCs w:val="32"/>
          <w:highlight w:val="none"/>
        </w:rPr>
        <w:t xml:space="preserve"> </w:t>
      </w:r>
      <w:r>
        <w:rPr>
          <w:rStyle w:val="20"/>
          <w:rFonts w:hint="eastAsia" w:ascii="仿宋" w:hAnsi="仿宋" w:eastAsia="仿宋"/>
          <w:b w:val="0"/>
          <w:bCs/>
          <w:color w:val="auto"/>
          <w:sz w:val="32"/>
          <w:szCs w:val="32"/>
          <w:highlight w:val="none"/>
        </w:rPr>
        <w:t>支出决算为</w:t>
      </w:r>
      <w:r>
        <w:rPr>
          <w:rStyle w:val="20"/>
          <w:rFonts w:hint="eastAsia" w:ascii="仿宋" w:hAnsi="仿宋" w:eastAsia="仿宋"/>
          <w:b w:val="0"/>
          <w:bCs/>
          <w:color w:val="auto"/>
          <w:sz w:val="32"/>
          <w:szCs w:val="32"/>
          <w:highlight w:val="none"/>
          <w:lang w:val="en-US" w:eastAsia="zh-CN"/>
        </w:rPr>
        <w:t>1376.49</w:t>
      </w:r>
      <w:r>
        <w:rPr>
          <w:rStyle w:val="20"/>
          <w:rFonts w:hint="eastAsia" w:ascii="仿宋" w:hAnsi="仿宋" w:eastAsia="仿宋"/>
          <w:b w:val="0"/>
          <w:bCs/>
          <w:color w:val="auto"/>
          <w:sz w:val="32"/>
          <w:szCs w:val="32"/>
          <w:highlight w:val="none"/>
        </w:rPr>
        <w:t>万元，完成预算</w:t>
      </w:r>
      <w:r>
        <w:rPr>
          <w:rStyle w:val="20"/>
          <w:rFonts w:hint="eastAsia" w:ascii="仿宋" w:hAnsi="仿宋" w:eastAsia="仿宋"/>
          <w:b w:val="0"/>
          <w:bCs/>
          <w:color w:val="auto"/>
          <w:sz w:val="32"/>
          <w:szCs w:val="32"/>
          <w:highlight w:val="none"/>
          <w:lang w:val="en-US" w:eastAsia="zh-CN"/>
        </w:rPr>
        <w:t>100</w:t>
      </w:r>
      <w:r>
        <w:rPr>
          <w:rStyle w:val="20"/>
          <w:rFonts w:ascii="仿宋" w:hAnsi="仿宋" w:eastAsia="仿宋"/>
          <w:b w:val="0"/>
          <w:bCs/>
          <w:color w:val="auto"/>
          <w:sz w:val="32"/>
          <w:szCs w:val="32"/>
          <w:highlight w:val="none"/>
        </w:rPr>
        <w:t>%</w:t>
      </w:r>
      <w:r>
        <w:rPr>
          <w:rStyle w:val="20"/>
          <w:rFonts w:hint="eastAsia" w:ascii="仿宋" w:hAnsi="仿宋" w:eastAsia="仿宋"/>
          <w:b w:val="0"/>
          <w:bCs/>
          <w:color w:val="auto"/>
          <w:sz w:val="32"/>
          <w:szCs w:val="32"/>
          <w:highlight w:val="none"/>
        </w:rPr>
        <w:t>，决算数等于预算数。</w:t>
      </w:r>
    </w:p>
    <w:p>
      <w:pPr>
        <w:pStyle w:val="2"/>
        <w:ind w:firstLine="643" w:firstLineChars="200"/>
        <w:rPr>
          <w:rStyle w:val="20"/>
          <w:rFonts w:hint="eastAsia" w:ascii="仿宋" w:hAnsi="仿宋" w:eastAsia="仿宋"/>
          <w:b w:val="0"/>
          <w:bCs/>
          <w:color w:val="auto"/>
          <w:sz w:val="32"/>
          <w:szCs w:val="32"/>
          <w:highlight w:val="none"/>
        </w:rPr>
      </w:pPr>
      <w:r>
        <w:rPr>
          <w:rStyle w:val="20"/>
          <w:rFonts w:hint="eastAsia" w:ascii="仿宋" w:hAnsi="仿宋" w:eastAsia="仿宋"/>
          <w:bCs/>
          <w:color w:val="auto"/>
          <w:sz w:val="32"/>
          <w:szCs w:val="32"/>
          <w:highlight w:val="none"/>
          <w:lang w:val="en-US" w:eastAsia="zh-CN"/>
        </w:rPr>
        <w:t>27</w:t>
      </w:r>
      <w:r>
        <w:rPr>
          <w:rStyle w:val="20"/>
          <w:rFonts w:ascii="仿宋" w:hAnsi="仿宋" w:eastAsia="仿宋"/>
          <w:bCs/>
          <w:color w:val="auto"/>
          <w:sz w:val="32"/>
          <w:szCs w:val="32"/>
          <w:highlight w:val="none"/>
        </w:rPr>
        <w:t>.</w:t>
      </w:r>
      <w:r>
        <w:rPr>
          <w:rStyle w:val="20"/>
          <w:rFonts w:hint="eastAsia" w:ascii="仿宋" w:hAnsi="仿宋" w:eastAsia="仿宋"/>
          <w:bCs/>
          <w:color w:val="auto"/>
          <w:sz w:val="32"/>
          <w:szCs w:val="32"/>
          <w:highlight w:val="none"/>
        </w:rPr>
        <w:t>农林水支出（类）</w:t>
      </w:r>
      <w:r>
        <w:rPr>
          <w:rStyle w:val="20"/>
          <w:rFonts w:hint="eastAsia" w:ascii="仿宋" w:hAnsi="仿宋" w:eastAsia="仿宋"/>
          <w:bCs/>
          <w:color w:val="auto"/>
          <w:sz w:val="32"/>
          <w:szCs w:val="32"/>
          <w:highlight w:val="none"/>
          <w:lang w:val="en-US" w:eastAsia="zh-CN"/>
        </w:rPr>
        <w:t>巩固脱贫衔接乡村振兴</w:t>
      </w:r>
      <w:r>
        <w:rPr>
          <w:rStyle w:val="20"/>
          <w:rFonts w:hint="eastAsia" w:ascii="仿宋" w:hAnsi="仿宋" w:eastAsia="仿宋"/>
          <w:bCs/>
          <w:color w:val="auto"/>
          <w:sz w:val="32"/>
          <w:szCs w:val="32"/>
          <w:highlight w:val="none"/>
        </w:rPr>
        <w:t>（款）</w:t>
      </w:r>
      <w:r>
        <w:rPr>
          <w:rStyle w:val="20"/>
          <w:rFonts w:hint="eastAsia" w:ascii="仿宋" w:hAnsi="仿宋" w:eastAsia="仿宋"/>
          <w:bCs/>
          <w:color w:val="auto"/>
          <w:sz w:val="32"/>
          <w:szCs w:val="32"/>
          <w:highlight w:val="none"/>
          <w:lang w:val="en-US" w:eastAsia="zh-CN"/>
        </w:rPr>
        <w:t>其他巩固脱贫衔接乡村振兴支出</w:t>
      </w:r>
      <w:r>
        <w:rPr>
          <w:rStyle w:val="20"/>
          <w:rFonts w:hint="eastAsia" w:ascii="仿宋" w:hAnsi="仿宋" w:eastAsia="仿宋"/>
          <w:bCs/>
          <w:color w:val="auto"/>
          <w:sz w:val="32"/>
          <w:szCs w:val="32"/>
          <w:highlight w:val="none"/>
        </w:rPr>
        <w:t>（项）</w:t>
      </w:r>
      <w:r>
        <w:rPr>
          <w:rStyle w:val="20"/>
          <w:rFonts w:ascii="仿宋" w:hAnsi="仿宋" w:eastAsia="仿宋"/>
          <w:bCs/>
          <w:color w:val="auto"/>
          <w:sz w:val="32"/>
          <w:szCs w:val="32"/>
          <w:highlight w:val="none"/>
        </w:rPr>
        <w:t>:</w:t>
      </w:r>
      <w:r>
        <w:rPr>
          <w:rStyle w:val="20"/>
          <w:rFonts w:ascii="仿宋" w:hAnsi="仿宋" w:eastAsia="仿宋"/>
          <w:b w:val="0"/>
          <w:bCs/>
          <w:color w:val="auto"/>
          <w:sz w:val="32"/>
          <w:szCs w:val="32"/>
          <w:highlight w:val="none"/>
        </w:rPr>
        <w:t xml:space="preserve"> </w:t>
      </w:r>
      <w:r>
        <w:rPr>
          <w:rStyle w:val="20"/>
          <w:rFonts w:hint="eastAsia" w:ascii="仿宋" w:hAnsi="仿宋" w:eastAsia="仿宋"/>
          <w:b w:val="0"/>
          <w:bCs/>
          <w:color w:val="auto"/>
          <w:sz w:val="32"/>
          <w:szCs w:val="32"/>
          <w:highlight w:val="none"/>
        </w:rPr>
        <w:t>支出决算为</w:t>
      </w:r>
      <w:r>
        <w:rPr>
          <w:rStyle w:val="20"/>
          <w:rFonts w:hint="eastAsia" w:ascii="仿宋" w:hAnsi="仿宋" w:eastAsia="仿宋"/>
          <w:b w:val="0"/>
          <w:bCs/>
          <w:color w:val="auto"/>
          <w:sz w:val="32"/>
          <w:szCs w:val="32"/>
          <w:highlight w:val="none"/>
          <w:lang w:val="en-US" w:eastAsia="zh-CN"/>
        </w:rPr>
        <w:t>385.64</w:t>
      </w:r>
      <w:r>
        <w:rPr>
          <w:rStyle w:val="20"/>
          <w:rFonts w:hint="eastAsia" w:ascii="仿宋" w:hAnsi="仿宋" w:eastAsia="仿宋"/>
          <w:b w:val="0"/>
          <w:bCs/>
          <w:color w:val="auto"/>
          <w:sz w:val="32"/>
          <w:szCs w:val="32"/>
          <w:highlight w:val="none"/>
        </w:rPr>
        <w:t>万元，完成预算</w:t>
      </w:r>
      <w:r>
        <w:rPr>
          <w:rStyle w:val="20"/>
          <w:rFonts w:hint="eastAsia" w:ascii="仿宋" w:hAnsi="仿宋" w:eastAsia="仿宋"/>
          <w:b w:val="0"/>
          <w:bCs/>
          <w:color w:val="auto"/>
          <w:sz w:val="32"/>
          <w:szCs w:val="32"/>
          <w:highlight w:val="none"/>
          <w:lang w:val="en-US" w:eastAsia="zh-CN"/>
        </w:rPr>
        <w:t>100</w:t>
      </w:r>
      <w:r>
        <w:rPr>
          <w:rStyle w:val="20"/>
          <w:rFonts w:ascii="仿宋" w:hAnsi="仿宋" w:eastAsia="仿宋"/>
          <w:b w:val="0"/>
          <w:bCs/>
          <w:color w:val="auto"/>
          <w:sz w:val="32"/>
          <w:szCs w:val="32"/>
          <w:highlight w:val="none"/>
        </w:rPr>
        <w:t>%</w:t>
      </w:r>
      <w:r>
        <w:rPr>
          <w:rStyle w:val="20"/>
          <w:rFonts w:hint="eastAsia" w:ascii="仿宋" w:hAnsi="仿宋" w:eastAsia="仿宋"/>
          <w:b w:val="0"/>
          <w:bCs/>
          <w:color w:val="auto"/>
          <w:sz w:val="32"/>
          <w:szCs w:val="32"/>
          <w:highlight w:val="none"/>
        </w:rPr>
        <w:t>，决算数等于预算数。</w:t>
      </w:r>
    </w:p>
    <w:p>
      <w:pPr>
        <w:pStyle w:val="2"/>
        <w:ind w:firstLine="643" w:firstLineChars="200"/>
        <w:rPr>
          <w:rStyle w:val="20"/>
          <w:rFonts w:hint="eastAsia" w:ascii="仿宋" w:hAnsi="仿宋" w:eastAsia="仿宋"/>
          <w:b w:val="0"/>
          <w:bCs/>
          <w:color w:val="auto"/>
          <w:sz w:val="32"/>
          <w:szCs w:val="32"/>
          <w:highlight w:val="none"/>
        </w:rPr>
      </w:pPr>
      <w:r>
        <w:rPr>
          <w:rStyle w:val="20"/>
          <w:rFonts w:hint="eastAsia" w:ascii="仿宋" w:hAnsi="仿宋" w:eastAsia="仿宋"/>
          <w:bCs/>
          <w:color w:val="auto"/>
          <w:sz w:val="32"/>
          <w:szCs w:val="32"/>
          <w:highlight w:val="none"/>
          <w:lang w:val="en-US" w:eastAsia="zh-CN"/>
        </w:rPr>
        <w:t>28</w:t>
      </w:r>
      <w:r>
        <w:rPr>
          <w:rStyle w:val="20"/>
          <w:rFonts w:ascii="仿宋" w:hAnsi="仿宋" w:eastAsia="仿宋"/>
          <w:bCs/>
          <w:color w:val="auto"/>
          <w:sz w:val="32"/>
          <w:szCs w:val="32"/>
          <w:highlight w:val="none"/>
        </w:rPr>
        <w:t>.</w:t>
      </w:r>
      <w:r>
        <w:rPr>
          <w:rStyle w:val="20"/>
          <w:rFonts w:hint="eastAsia" w:ascii="仿宋" w:hAnsi="仿宋" w:eastAsia="仿宋"/>
          <w:bCs/>
          <w:color w:val="auto"/>
          <w:sz w:val="32"/>
          <w:szCs w:val="32"/>
          <w:highlight w:val="none"/>
        </w:rPr>
        <w:t>农林水支出（类）</w:t>
      </w:r>
      <w:r>
        <w:rPr>
          <w:rStyle w:val="20"/>
          <w:rFonts w:hint="eastAsia" w:ascii="仿宋" w:hAnsi="仿宋" w:eastAsia="仿宋"/>
          <w:bCs/>
          <w:color w:val="auto"/>
          <w:sz w:val="32"/>
          <w:szCs w:val="32"/>
          <w:highlight w:val="none"/>
          <w:lang w:val="en-US" w:eastAsia="zh-CN"/>
        </w:rPr>
        <w:t>其他</w:t>
      </w:r>
      <w:r>
        <w:rPr>
          <w:rStyle w:val="20"/>
          <w:rFonts w:hint="eastAsia" w:ascii="仿宋" w:hAnsi="仿宋" w:eastAsia="仿宋"/>
          <w:bCs/>
          <w:color w:val="auto"/>
          <w:sz w:val="32"/>
          <w:szCs w:val="32"/>
          <w:highlight w:val="none"/>
        </w:rPr>
        <w:t>农林水支出（款）</w:t>
      </w:r>
      <w:r>
        <w:rPr>
          <w:rStyle w:val="20"/>
          <w:rFonts w:hint="eastAsia" w:ascii="仿宋" w:hAnsi="仿宋" w:eastAsia="仿宋"/>
          <w:bCs/>
          <w:color w:val="auto"/>
          <w:sz w:val="32"/>
          <w:szCs w:val="32"/>
          <w:highlight w:val="none"/>
          <w:lang w:val="en-US" w:eastAsia="zh-CN"/>
        </w:rPr>
        <w:t>其他</w:t>
      </w:r>
      <w:r>
        <w:rPr>
          <w:rStyle w:val="20"/>
          <w:rFonts w:hint="eastAsia" w:ascii="仿宋" w:hAnsi="仿宋" w:eastAsia="仿宋"/>
          <w:bCs/>
          <w:color w:val="auto"/>
          <w:sz w:val="32"/>
          <w:szCs w:val="32"/>
          <w:highlight w:val="none"/>
        </w:rPr>
        <w:t>农林水支出（项）</w:t>
      </w:r>
      <w:r>
        <w:rPr>
          <w:rStyle w:val="20"/>
          <w:rFonts w:ascii="仿宋" w:hAnsi="仿宋" w:eastAsia="仿宋"/>
          <w:bCs/>
          <w:color w:val="auto"/>
          <w:sz w:val="32"/>
          <w:szCs w:val="32"/>
          <w:highlight w:val="none"/>
        </w:rPr>
        <w:t>:</w:t>
      </w:r>
      <w:r>
        <w:rPr>
          <w:rStyle w:val="20"/>
          <w:rFonts w:ascii="仿宋" w:hAnsi="仿宋" w:eastAsia="仿宋"/>
          <w:b w:val="0"/>
          <w:bCs/>
          <w:color w:val="auto"/>
          <w:sz w:val="32"/>
          <w:szCs w:val="32"/>
          <w:highlight w:val="none"/>
        </w:rPr>
        <w:t xml:space="preserve"> </w:t>
      </w:r>
      <w:r>
        <w:rPr>
          <w:rStyle w:val="20"/>
          <w:rFonts w:hint="eastAsia" w:ascii="仿宋" w:hAnsi="仿宋" w:eastAsia="仿宋"/>
          <w:b w:val="0"/>
          <w:bCs/>
          <w:color w:val="auto"/>
          <w:sz w:val="32"/>
          <w:szCs w:val="32"/>
          <w:highlight w:val="none"/>
        </w:rPr>
        <w:t>支出决算为</w:t>
      </w:r>
      <w:r>
        <w:rPr>
          <w:rStyle w:val="20"/>
          <w:rFonts w:hint="eastAsia" w:ascii="仿宋" w:hAnsi="仿宋" w:eastAsia="仿宋"/>
          <w:b w:val="0"/>
          <w:bCs/>
          <w:color w:val="auto"/>
          <w:sz w:val="32"/>
          <w:szCs w:val="32"/>
          <w:highlight w:val="none"/>
          <w:lang w:val="en-US" w:eastAsia="zh-CN"/>
        </w:rPr>
        <w:t>76.71</w:t>
      </w:r>
      <w:r>
        <w:rPr>
          <w:rStyle w:val="20"/>
          <w:rFonts w:hint="eastAsia" w:ascii="仿宋" w:hAnsi="仿宋" w:eastAsia="仿宋"/>
          <w:b w:val="0"/>
          <w:bCs/>
          <w:color w:val="auto"/>
          <w:sz w:val="32"/>
          <w:szCs w:val="32"/>
          <w:highlight w:val="none"/>
        </w:rPr>
        <w:t>万元，完成预算</w:t>
      </w:r>
      <w:r>
        <w:rPr>
          <w:rStyle w:val="20"/>
          <w:rFonts w:hint="eastAsia" w:ascii="仿宋" w:hAnsi="仿宋" w:eastAsia="仿宋"/>
          <w:b w:val="0"/>
          <w:bCs/>
          <w:color w:val="auto"/>
          <w:sz w:val="32"/>
          <w:szCs w:val="32"/>
          <w:highlight w:val="none"/>
          <w:lang w:val="en-US" w:eastAsia="zh-CN"/>
        </w:rPr>
        <w:t>100</w:t>
      </w:r>
      <w:r>
        <w:rPr>
          <w:rStyle w:val="20"/>
          <w:rFonts w:ascii="仿宋" w:hAnsi="仿宋" w:eastAsia="仿宋"/>
          <w:b w:val="0"/>
          <w:bCs/>
          <w:color w:val="auto"/>
          <w:sz w:val="32"/>
          <w:szCs w:val="32"/>
          <w:highlight w:val="none"/>
        </w:rPr>
        <w:t>%</w:t>
      </w:r>
      <w:r>
        <w:rPr>
          <w:rStyle w:val="20"/>
          <w:rFonts w:hint="eastAsia" w:ascii="仿宋" w:hAnsi="仿宋" w:eastAsia="仿宋"/>
          <w:b w:val="0"/>
          <w:bCs/>
          <w:color w:val="auto"/>
          <w:sz w:val="32"/>
          <w:szCs w:val="32"/>
          <w:highlight w:val="none"/>
        </w:rPr>
        <w:t>，决算数等于预算数。</w:t>
      </w:r>
    </w:p>
    <w:p>
      <w:pPr>
        <w:pStyle w:val="3"/>
        <w:ind w:left="0" w:leftChars="0" w:firstLine="643" w:firstLineChars="200"/>
        <w:rPr>
          <w:rStyle w:val="20"/>
          <w:rFonts w:hint="eastAsia" w:ascii="仿宋" w:hAnsi="仿宋" w:eastAsia="仿宋"/>
          <w:b w:val="0"/>
          <w:bCs/>
          <w:color w:val="auto"/>
          <w:sz w:val="32"/>
          <w:szCs w:val="32"/>
          <w:highlight w:val="none"/>
        </w:rPr>
      </w:pPr>
      <w:r>
        <w:rPr>
          <w:rStyle w:val="20"/>
          <w:rFonts w:hint="eastAsia" w:ascii="仿宋" w:hAnsi="仿宋" w:eastAsia="仿宋"/>
          <w:bCs/>
          <w:color w:val="auto"/>
          <w:sz w:val="32"/>
          <w:szCs w:val="32"/>
          <w:highlight w:val="none"/>
          <w:lang w:val="en-US" w:eastAsia="zh-CN"/>
        </w:rPr>
        <w:t>29</w:t>
      </w:r>
      <w:r>
        <w:rPr>
          <w:rStyle w:val="20"/>
          <w:rFonts w:ascii="仿宋" w:hAnsi="仿宋" w:eastAsia="仿宋"/>
          <w:bCs/>
          <w:color w:val="auto"/>
          <w:sz w:val="32"/>
          <w:szCs w:val="32"/>
          <w:highlight w:val="none"/>
        </w:rPr>
        <w:t>.</w:t>
      </w:r>
      <w:r>
        <w:rPr>
          <w:rStyle w:val="20"/>
          <w:rFonts w:hint="eastAsia" w:ascii="仿宋" w:hAnsi="仿宋" w:eastAsia="仿宋"/>
          <w:bCs/>
          <w:color w:val="auto"/>
          <w:sz w:val="32"/>
          <w:szCs w:val="32"/>
          <w:highlight w:val="none"/>
        </w:rPr>
        <w:t>住房保障支出（类）</w:t>
      </w:r>
      <w:r>
        <w:rPr>
          <w:rStyle w:val="20"/>
          <w:rFonts w:hint="eastAsia" w:ascii="仿宋" w:hAnsi="仿宋" w:eastAsia="仿宋"/>
          <w:bCs/>
          <w:color w:val="auto"/>
          <w:sz w:val="32"/>
          <w:szCs w:val="32"/>
          <w:highlight w:val="none"/>
          <w:lang w:val="en-US" w:eastAsia="zh-CN"/>
        </w:rPr>
        <w:t>住房改革支出</w:t>
      </w:r>
      <w:r>
        <w:rPr>
          <w:rStyle w:val="20"/>
          <w:rFonts w:hint="eastAsia" w:ascii="仿宋" w:hAnsi="仿宋" w:eastAsia="仿宋"/>
          <w:bCs/>
          <w:color w:val="auto"/>
          <w:sz w:val="32"/>
          <w:szCs w:val="32"/>
          <w:highlight w:val="none"/>
        </w:rPr>
        <w:t>（款）</w:t>
      </w:r>
      <w:r>
        <w:rPr>
          <w:rStyle w:val="20"/>
          <w:rFonts w:hint="eastAsia" w:ascii="仿宋" w:hAnsi="仿宋" w:eastAsia="仿宋"/>
          <w:bCs/>
          <w:color w:val="auto"/>
          <w:sz w:val="32"/>
          <w:szCs w:val="32"/>
          <w:highlight w:val="none"/>
          <w:lang w:val="en-US" w:eastAsia="zh-CN"/>
        </w:rPr>
        <w:t>住房公积金</w:t>
      </w:r>
      <w:r>
        <w:rPr>
          <w:rStyle w:val="20"/>
          <w:rFonts w:hint="eastAsia" w:ascii="仿宋" w:hAnsi="仿宋" w:eastAsia="仿宋"/>
          <w:bCs/>
          <w:color w:val="auto"/>
          <w:sz w:val="32"/>
          <w:szCs w:val="32"/>
          <w:highlight w:val="none"/>
        </w:rPr>
        <w:t>（项）</w:t>
      </w:r>
      <w:r>
        <w:rPr>
          <w:rStyle w:val="20"/>
          <w:rFonts w:ascii="仿宋" w:hAnsi="仿宋" w:eastAsia="仿宋"/>
          <w:bCs/>
          <w:color w:val="auto"/>
          <w:sz w:val="32"/>
          <w:szCs w:val="32"/>
          <w:highlight w:val="none"/>
        </w:rPr>
        <w:t>:</w:t>
      </w:r>
      <w:r>
        <w:rPr>
          <w:rStyle w:val="20"/>
          <w:rFonts w:ascii="仿宋" w:hAnsi="仿宋" w:eastAsia="仿宋"/>
          <w:b w:val="0"/>
          <w:bCs/>
          <w:color w:val="auto"/>
          <w:sz w:val="32"/>
          <w:szCs w:val="32"/>
          <w:highlight w:val="none"/>
        </w:rPr>
        <w:t xml:space="preserve"> </w:t>
      </w:r>
      <w:r>
        <w:rPr>
          <w:rStyle w:val="20"/>
          <w:rFonts w:hint="eastAsia" w:ascii="仿宋" w:hAnsi="仿宋" w:eastAsia="仿宋"/>
          <w:b w:val="0"/>
          <w:bCs/>
          <w:color w:val="auto"/>
          <w:sz w:val="32"/>
          <w:szCs w:val="32"/>
          <w:highlight w:val="none"/>
        </w:rPr>
        <w:t>支出决算为</w:t>
      </w:r>
      <w:r>
        <w:rPr>
          <w:rStyle w:val="20"/>
          <w:rFonts w:hint="eastAsia" w:ascii="仿宋" w:hAnsi="仿宋" w:eastAsia="仿宋"/>
          <w:b w:val="0"/>
          <w:bCs/>
          <w:color w:val="auto"/>
          <w:sz w:val="32"/>
          <w:szCs w:val="32"/>
          <w:highlight w:val="none"/>
          <w:lang w:val="en-US" w:eastAsia="zh-CN"/>
        </w:rPr>
        <w:t>64.02</w:t>
      </w:r>
      <w:r>
        <w:rPr>
          <w:rStyle w:val="20"/>
          <w:rFonts w:hint="eastAsia" w:ascii="仿宋" w:hAnsi="仿宋" w:eastAsia="仿宋"/>
          <w:b w:val="0"/>
          <w:bCs/>
          <w:color w:val="auto"/>
          <w:sz w:val="32"/>
          <w:szCs w:val="32"/>
          <w:highlight w:val="none"/>
        </w:rPr>
        <w:t>万元，完成预算</w:t>
      </w:r>
      <w:r>
        <w:rPr>
          <w:rStyle w:val="20"/>
          <w:rFonts w:hint="eastAsia" w:ascii="仿宋" w:hAnsi="仿宋" w:eastAsia="仿宋"/>
          <w:b w:val="0"/>
          <w:bCs/>
          <w:color w:val="auto"/>
          <w:sz w:val="32"/>
          <w:szCs w:val="32"/>
          <w:highlight w:val="none"/>
          <w:lang w:val="en-US" w:eastAsia="zh-CN"/>
        </w:rPr>
        <w:t>100</w:t>
      </w:r>
      <w:r>
        <w:rPr>
          <w:rStyle w:val="20"/>
          <w:rFonts w:ascii="仿宋" w:hAnsi="仿宋" w:eastAsia="仿宋"/>
          <w:b w:val="0"/>
          <w:bCs/>
          <w:color w:val="auto"/>
          <w:sz w:val="32"/>
          <w:szCs w:val="32"/>
          <w:highlight w:val="none"/>
        </w:rPr>
        <w:t>%</w:t>
      </w:r>
      <w:r>
        <w:rPr>
          <w:rStyle w:val="20"/>
          <w:rFonts w:hint="eastAsia" w:ascii="仿宋" w:hAnsi="仿宋" w:eastAsia="仿宋"/>
          <w:b w:val="0"/>
          <w:bCs/>
          <w:color w:val="auto"/>
          <w:sz w:val="32"/>
          <w:szCs w:val="32"/>
          <w:highlight w:val="none"/>
        </w:rPr>
        <w:t>，决算数等于预算数。</w:t>
      </w:r>
    </w:p>
    <w:p>
      <w:pPr>
        <w:ind w:firstLine="643" w:firstLineChars="200"/>
        <w:rPr>
          <w:rStyle w:val="20"/>
          <w:rFonts w:hint="eastAsia" w:ascii="仿宋" w:hAnsi="仿宋" w:eastAsia="仿宋"/>
          <w:b w:val="0"/>
          <w:bCs/>
          <w:color w:val="auto"/>
          <w:sz w:val="32"/>
          <w:szCs w:val="32"/>
          <w:highlight w:val="none"/>
        </w:rPr>
      </w:pPr>
      <w:r>
        <w:rPr>
          <w:rStyle w:val="20"/>
          <w:rFonts w:hint="eastAsia" w:ascii="仿宋" w:hAnsi="仿宋" w:eastAsia="仿宋"/>
          <w:bCs/>
          <w:color w:val="auto"/>
          <w:sz w:val="32"/>
          <w:szCs w:val="32"/>
          <w:highlight w:val="none"/>
          <w:lang w:val="en-US" w:eastAsia="zh-CN"/>
        </w:rPr>
        <w:t>30</w:t>
      </w:r>
      <w:r>
        <w:rPr>
          <w:rStyle w:val="20"/>
          <w:rFonts w:ascii="仿宋" w:hAnsi="仿宋" w:eastAsia="仿宋"/>
          <w:bCs/>
          <w:color w:val="auto"/>
          <w:sz w:val="32"/>
          <w:szCs w:val="32"/>
          <w:highlight w:val="none"/>
        </w:rPr>
        <w:t>.</w:t>
      </w:r>
      <w:r>
        <w:rPr>
          <w:rStyle w:val="20"/>
          <w:rFonts w:hint="eastAsia" w:ascii="仿宋" w:hAnsi="仿宋" w:eastAsia="仿宋"/>
          <w:bCs/>
          <w:color w:val="auto"/>
          <w:sz w:val="32"/>
          <w:szCs w:val="32"/>
          <w:highlight w:val="none"/>
        </w:rPr>
        <w:t>住房保障支出（类）</w:t>
      </w:r>
      <w:r>
        <w:rPr>
          <w:rStyle w:val="20"/>
          <w:rFonts w:hint="eastAsia" w:ascii="仿宋" w:hAnsi="仿宋" w:eastAsia="仿宋"/>
          <w:bCs/>
          <w:color w:val="auto"/>
          <w:sz w:val="32"/>
          <w:szCs w:val="32"/>
          <w:highlight w:val="none"/>
          <w:lang w:val="en-US" w:eastAsia="zh-CN"/>
        </w:rPr>
        <w:t>住房改革支出</w:t>
      </w:r>
      <w:r>
        <w:rPr>
          <w:rStyle w:val="20"/>
          <w:rFonts w:hint="eastAsia" w:ascii="仿宋" w:hAnsi="仿宋" w:eastAsia="仿宋"/>
          <w:bCs/>
          <w:color w:val="auto"/>
          <w:sz w:val="32"/>
          <w:szCs w:val="32"/>
          <w:highlight w:val="none"/>
        </w:rPr>
        <w:t>（款）</w:t>
      </w:r>
      <w:r>
        <w:rPr>
          <w:rStyle w:val="20"/>
          <w:rFonts w:hint="eastAsia" w:ascii="仿宋" w:hAnsi="仿宋" w:eastAsia="仿宋"/>
          <w:bCs/>
          <w:color w:val="auto"/>
          <w:sz w:val="32"/>
          <w:szCs w:val="32"/>
          <w:highlight w:val="none"/>
          <w:lang w:val="en-US" w:eastAsia="zh-CN"/>
        </w:rPr>
        <w:t>购房补贴</w:t>
      </w:r>
      <w:r>
        <w:rPr>
          <w:rStyle w:val="20"/>
          <w:rFonts w:hint="eastAsia" w:ascii="仿宋" w:hAnsi="仿宋" w:eastAsia="仿宋"/>
          <w:bCs/>
          <w:color w:val="auto"/>
          <w:sz w:val="32"/>
          <w:szCs w:val="32"/>
          <w:highlight w:val="none"/>
        </w:rPr>
        <w:t>（项）</w:t>
      </w:r>
      <w:r>
        <w:rPr>
          <w:rStyle w:val="20"/>
          <w:rFonts w:ascii="仿宋" w:hAnsi="仿宋" w:eastAsia="仿宋"/>
          <w:bCs/>
          <w:color w:val="auto"/>
          <w:sz w:val="32"/>
          <w:szCs w:val="32"/>
          <w:highlight w:val="none"/>
        </w:rPr>
        <w:t>:</w:t>
      </w:r>
      <w:r>
        <w:rPr>
          <w:rStyle w:val="20"/>
          <w:rFonts w:ascii="仿宋" w:hAnsi="仿宋" w:eastAsia="仿宋"/>
          <w:b w:val="0"/>
          <w:bCs/>
          <w:color w:val="auto"/>
          <w:sz w:val="32"/>
          <w:szCs w:val="32"/>
          <w:highlight w:val="none"/>
        </w:rPr>
        <w:t xml:space="preserve"> </w:t>
      </w:r>
      <w:r>
        <w:rPr>
          <w:rStyle w:val="20"/>
          <w:rFonts w:hint="eastAsia" w:ascii="仿宋" w:hAnsi="仿宋" w:eastAsia="仿宋"/>
          <w:b w:val="0"/>
          <w:bCs/>
          <w:color w:val="auto"/>
          <w:sz w:val="32"/>
          <w:szCs w:val="32"/>
          <w:highlight w:val="none"/>
        </w:rPr>
        <w:t>支出决算为</w:t>
      </w:r>
      <w:r>
        <w:rPr>
          <w:rStyle w:val="20"/>
          <w:rFonts w:hint="eastAsia" w:ascii="仿宋" w:hAnsi="仿宋" w:eastAsia="仿宋"/>
          <w:b w:val="0"/>
          <w:bCs/>
          <w:color w:val="auto"/>
          <w:sz w:val="32"/>
          <w:szCs w:val="32"/>
          <w:highlight w:val="none"/>
          <w:lang w:val="en-US" w:eastAsia="zh-CN"/>
        </w:rPr>
        <w:t>2.45</w:t>
      </w:r>
      <w:r>
        <w:rPr>
          <w:rStyle w:val="20"/>
          <w:rFonts w:hint="eastAsia" w:ascii="仿宋" w:hAnsi="仿宋" w:eastAsia="仿宋"/>
          <w:b w:val="0"/>
          <w:bCs/>
          <w:color w:val="auto"/>
          <w:sz w:val="32"/>
          <w:szCs w:val="32"/>
          <w:highlight w:val="none"/>
        </w:rPr>
        <w:t>万元，完成预算</w:t>
      </w:r>
      <w:r>
        <w:rPr>
          <w:rStyle w:val="20"/>
          <w:rFonts w:hint="eastAsia" w:ascii="仿宋" w:hAnsi="仿宋" w:eastAsia="仿宋"/>
          <w:b w:val="0"/>
          <w:bCs/>
          <w:color w:val="auto"/>
          <w:sz w:val="32"/>
          <w:szCs w:val="32"/>
          <w:highlight w:val="none"/>
          <w:lang w:val="en-US" w:eastAsia="zh-CN"/>
        </w:rPr>
        <w:t>100</w:t>
      </w:r>
      <w:r>
        <w:rPr>
          <w:rStyle w:val="20"/>
          <w:rFonts w:ascii="仿宋" w:hAnsi="仿宋" w:eastAsia="仿宋"/>
          <w:b w:val="0"/>
          <w:bCs/>
          <w:color w:val="auto"/>
          <w:sz w:val="32"/>
          <w:szCs w:val="32"/>
          <w:highlight w:val="none"/>
        </w:rPr>
        <w:t>%</w:t>
      </w:r>
      <w:r>
        <w:rPr>
          <w:rStyle w:val="20"/>
          <w:rFonts w:hint="eastAsia" w:ascii="仿宋" w:hAnsi="仿宋" w:eastAsia="仿宋"/>
          <w:b w:val="0"/>
          <w:bCs/>
          <w:color w:val="auto"/>
          <w:sz w:val="32"/>
          <w:szCs w:val="32"/>
          <w:highlight w:val="none"/>
        </w:rPr>
        <w:t>，决算数等于预算数。</w:t>
      </w:r>
    </w:p>
    <w:p>
      <w:pPr>
        <w:ind w:firstLine="643" w:firstLineChars="200"/>
        <w:rPr>
          <w:rStyle w:val="20"/>
          <w:rFonts w:hint="eastAsia" w:ascii="仿宋" w:hAnsi="仿宋" w:eastAsia="仿宋"/>
          <w:b w:val="0"/>
          <w:bCs/>
          <w:color w:val="auto"/>
          <w:sz w:val="32"/>
          <w:szCs w:val="32"/>
          <w:highlight w:val="none"/>
        </w:rPr>
      </w:pPr>
      <w:r>
        <w:rPr>
          <w:rStyle w:val="20"/>
          <w:rFonts w:hint="eastAsia" w:ascii="仿宋" w:hAnsi="仿宋" w:eastAsia="仿宋"/>
          <w:bCs/>
          <w:color w:val="auto"/>
          <w:sz w:val="32"/>
          <w:szCs w:val="32"/>
          <w:highlight w:val="none"/>
          <w:lang w:val="en-US" w:eastAsia="zh-CN"/>
        </w:rPr>
        <w:t>31</w:t>
      </w:r>
      <w:r>
        <w:rPr>
          <w:rStyle w:val="20"/>
          <w:rFonts w:ascii="仿宋" w:hAnsi="仿宋" w:eastAsia="仿宋"/>
          <w:bCs/>
          <w:color w:val="auto"/>
          <w:sz w:val="32"/>
          <w:szCs w:val="32"/>
          <w:highlight w:val="none"/>
        </w:rPr>
        <w:t>.</w:t>
      </w:r>
      <w:r>
        <w:rPr>
          <w:rStyle w:val="20"/>
          <w:rFonts w:hint="eastAsia" w:ascii="仿宋" w:hAnsi="仿宋" w:eastAsia="仿宋"/>
          <w:bCs/>
          <w:color w:val="auto"/>
          <w:sz w:val="32"/>
          <w:szCs w:val="32"/>
          <w:highlight w:val="none"/>
          <w:lang w:val="en-US" w:eastAsia="zh-CN"/>
        </w:rPr>
        <w:t>其他</w:t>
      </w:r>
      <w:r>
        <w:rPr>
          <w:rStyle w:val="20"/>
          <w:rFonts w:hint="eastAsia" w:ascii="仿宋" w:hAnsi="仿宋" w:eastAsia="仿宋"/>
          <w:bCs/>
          <w:color w:val="auto"/>
          <w:sz w:val="32"/>
          <w:szCs w:val="32"/>
          <w:highlight w:val="none"/>
        </w:rPr>
        <w:t>支出（类）</w:t>
      </w:r>
      <w:r>
        <w:rPr>
          <w:rStyle w:val="20"/>
          <w:rFonts w:hint="eastAsia" w:ascii="仿宋" w:hAnsi="仿宋" w:eastAsia="仿宋"/>
          <w:bCs/>
          <w:color w:val="auto"/>
          <w:sz w:val="32"/>
          <w:szCs w:val="32"/>
          <w:highlight w:val="none"/>
          <w:lang w:val="en-US" w:eastAsia="zh-CN"/>
        </w:rPr>
        <w:t>其他支出</w:t>
      </w:r>
      <w:r>
        <w:rPr>
          <w:rStyle w:val="20"/>
          <w:rFonts w:hint="eastAsia" w:ascii="仿宋" w:hAnsi="仿宋" w:eastAsia="仿宋"/>
          <w:bCs/>
          <w:color w:val="auto"/>
          <w:sz w:val="32"/>
          <w:szCs w:val="32"/>
          <w:highlight w:val="none"/>
        </w:rPr>
        <w:t>（款）</w:t>
      </w:r>
      <w:r>
        <w:rPr>
          <w:rStyle w:val="20"/>
          <w:rFonts w:hint="eastAsia" w:ascii="仿宋" w:hAnsi="仿宋" w:eastAsia="仿宋"/>
          <w:bCs/>
          <w:color w:val="auto"/>
          <w:sz w:val="32"/>
          <w:szCs w:val="32"/>
          <w:highlight w:val="none"/>
          <w:lang w:val="en-US" w:eastAsia="zh-CN"/>
        </w:rPr>
        <w:t>其他补贴</w:t>
      </w:r>
      <w:r>
        <w:rPr>
          <w:rStyle w:val="20"/>
          <w:rFonts w:hint="eastAsia" w:ascii="仿宋" w:hAnsi="仿宋" w:eastAsia="仿宋"/>
          <w:bCs/>
          <w:color w:val="auto"/>
          <w:sz w:val="32"/>
          <w:szCs w:val="32"/>
          <w:highlight w:val="none"/>
        </w:rPr>
        <w:t>（项）</w:t>
      </w:r>
      <w:r>
        <w:rPr>
          <w:rStyle w:val="20"/>
          <w:rFonts w:ascii="仿宋" w:hAnsi="仿宋" w:eastAsia="仿宋"/>
          <w:bCs/>
          <w:color w:val="auto"/>
          <w:sz w:val="32"/>
          <w:szCs w:val="32"/>
          <w:highlight w:val="none"/>
        </w:rPr>
        <w:t>:</w:t>
      </w:r>
      <w:r>
        <w:rPr>
          <w:rStyle w:val="20"/>
          <w:rFonts w:ascii="仿宋" w:hAnsi="仿宋" w:eastAsia="仿宋"/>
          <w:b w:val="0"/>
          <w:bCs/>
          <w:color w:val="auto"/>
          <w:sz w:val="32"/>
          <w:szCs w:val="32"/>
          <w:highlight w:val="none"/>
        </w:rPr>
        <w:t xml:space="preserve"> </w:t>
      </w:r>
      <w:r>
        <w:rPr>
          <w:rStyle w:val="20"/>
          <w:rFonts w:hint="eastAsia" w:ascii="仿宋" w:hAnsi="仿宋" w:eastAsia="仿宋"/>
          <w:b w:val="0"/>
          <w:bCs/>
          <w:color w:val="auto"/>
          <w:sz w:val="32"/>
          <w:szCs w:val="32"/>
          <w:highlight w:val="none"/>
        </w:rPr>
        <w:t>支出决算为</w:t>
      </w:r>
      <w:r>
        <w:rPr>
          <w:rStyle w:val="20"/>
          <w:rFonts w:hint="eastAsia" w:ascii="仿宋" w:hAnsi="仿宋" w:eastAsia="仿宋"/>
          <w:b w:val="0"/>
          <w:bCs/>
          <w:color w:val="auto"/>
          <w:sz w:val="32"/>
          <w:szCs w:val="32"/>
          <w:highlight w:val="none"/>
          <w:lang w:val="en-US" w:eastAsia="zh-CN"/>
        </w:rPr>
        <w:t>10.50</w:t>
      </w:r>
      <w:r>
        <w:rPr>
          <w:rStyle w:val="20"/>
          <w:rFonts w:hint="eastAsia" w:ascii="仿宋" w:hAnsi="仿宋" w:eastAsia="仿宋"/>
          <w:b w:val="0"/>
          <w:bCs/>
          <w:color w:val="auto"/>
          <w:sz w:val="32"/>
          <w:szCs w:val="32"/>
          <w:highlight w:val="none"/>
        </w:rPr>
        <w:t>万元，完成预算</w:t>
      </w:r>
      <w:r>
        <w:rPr>
          <w:rStyle w:val="20"/>
          <w:rFonts w:hint="eastAsia" w:ascii="仿宋" w:hAnsi="仿宋" w:eastAsia="仿宋"/>
          <w:b w:val="0"/>
          <w:bCs/>
          <w:color w:val="auto"/>
          <w:sz w:val="32"/>
          <w:szCs w:val="32"/>
          <w:highlight w:val="none"/>
          <w:lang w:val="en-US" w:eastAsia="zh-CN"/>
        </w:rPr>
        <w:t>100</w:t>
      </w:r>
      <w:r>
        <w:rPr>
          <w:rStyle w:val="20"/>
          <w:rFonts w:ascii="仿宋" w:hAnsi="仿宋" w:eastAsia="仿宋"/>
          <w:b w:val="0"/>
          <w:bCs/>
          <w:color w:val="auto"/>
          <w:sz w:val="32"/>
          <w:szCs w:val="32"/>
          <w:highlight w:val="none"/>
        </w:rPr>
        <w:t>%</w:t>
      </w:r>
      <w:r>
        <w:rPr>
          <w:rStyle w:val="20"/>
          <w:rFonts w:hint="eastAsia" w:ascii="仿宋" w:hAnsi="仿宋" w:eastAsia="仿宋"/>
          <w:b w:val="0"/>
          <w:bCs/>
          <w:color w:val="auto"/>
          <w:sz w:val="32"/>
          <w:szCs w:val="32"/>
          <w:highlight w:val="none"/>
        </w:rPr>
        <w:t>，决算数等于预算数。</w:t>
      </w:r>
    </w:p>
    <w:p>
      <w:pPr>
        <w:pStyle w:val="2"/>
        <w:rPr>
          <w:rFonts w:hint="eastAsia"/>
        </w:rPr>
      </w:pPr>
    </w:p>
    <w:p>
      <w:pPr>
        <w:pStyle w:val="3"/>
        <w:ind w:left="0" w:leftChars="0" w:firstLine="643" w:firstLineChars="200"/>
        <w:jc w:val="left"/>
        <w:rPr>
          <w:rFonts w:ascii="仿宋" w:hAnsi="仿宋" w:eastAsia="仿宋"/>
          <w:b/>
          <w:color w:val="auto"/>
          <w:sz w:val="32"/>
          <w:szCs w:val="32"/>
          <w:highlight w:val="none"/>
        </w:rPr>
      </w:pPr>
      <w:r>
        <w:rPr>
          <w:rFonts w:hint="eastAsia" w:ascii="仿宋" w:hAnsi="仿宋" w:eastAsia="仿宋"/>
          <w:b/>
          <w:color w:val="auto"/>
          <w:sz w:val="32"/>
          <w:szCs w:val="32"/>
          <w:highlight w:val="none"/>
        </w:rPr>
        <w:t>（注：数据来源于财决</w:t>
      </w:r>
      <w:r>
        <w:rPr>
          <w:rFonts w:ascii="仿宋" w:hAnsi="仿宋" w:eastAsia="仿宋"/>
          <w:b/>
          <w:color w:val="auto"/>
          <w:sz w:val="32"/>
          <w:szCs w:val="32"/>
          <w:highlight w:val="none"/>
        </w:rPr>
        <w:t>0</w:t>
      </w:r>
      <w:r>
        <w:rPr>
          <w:rFonts w:hint="eastAsia" w:ascii="仿宋" w:hAnsi="仿宋" w:eastAsia="仿宋"/>
          <w:b/>
          <w:color w:val="auto"/>
          <w:sz w:val="32"/>
          <w:szCs w:val="32"/>
          <w:highlight w:val="none"/>
        </w:rPr>
        <w:t>1-1表</w:t>
      </w:r>
      <w:r>
        <w:rPr>
          <w:rFonts w:hint="eastAsia" w:ascii="仿宋" w:hAnsi="仿宋" w:eastAsia="仿宋"/>
          <w:b/>
          <w:color w:val="auto"/>
          <w:sz w:val="32"/>
          <w:szCs w:val="32"/>
          <w:highlight w:val="none"/>
          <w:lang w:eastAsia="zh-CN"/>
        </w:rPr>
        <w:t>和财决</w:t>
      </w:r>
      <w:r>
        <w:rPr>
          <w:rFonts w:hint="eastAsia" w:ascii="仿宋" w:hAnsi="仿宋" w:eastAsia="仿宋"/>
          <w:b/>
          <w:color w:val="auto"/>
          <w:sz w:val="32"/>
          <w:szCs w:val="32"/>
          <w:highlight w:val="none"/>
          <w:lang w:val="en-US" w:eastAsia="zh-CN"/>
        </w:rPr>
        <w:t>08表</w:t>
      </w:r>
      <w:r>
        <w:rPr>
          <w:rFonts w:hint="eastAsia" w:ascii="仿宋" w:hAnsi="仿宋" w:eastAsia="仿宋"/>
          <w:b/>
          <w:color w:val="auto"/>
          <w:sz w:val="32"/>
          <w:szCs w:val="32"/>
          <w:highlight w:val="none"/>
        </w:rPr>
        <w:t>，</w:t>
      </w:r>
      <w:r>
        <w:rPr>
          <w:rFonts w:hint="eastAsia" w:ascii="仿宋" w:hAnsi="仿宋" w:eastAsia="仿宋"/>
          <w:b/>
          <w:color w:val="auto"/>
          <w:sz w:val="32"/>
          <w:szCs w:val="32"/>
          <w:highlight w:val="none"/>
          <w:lang w:eastAsia="zh-CN"/>
        </w:rPr>
        <w:t>仅</w:t>
      </w:r>
      <w:r>
        <w:rPr>
          <w:rFonts w:hint="eastAsia" w:ascii="仿宋" w:hAnsi="仿宋" w:eastAsia="仿宋"/>
          <w:b/>
          <w:color w:val="auto"/>
          <w:sz w:val="32"/>
          <w:szCs w:val="32"/>
          <w:highlight w:val="none"/>
        </w:rPr>
        <w:t>罗列</w:t>
      </w:r>
      <w:r>
        <w:rPr>
          <w:rFonts w:hint="eastAsia" w:ascii="仿宋" w:hAnsi="仿宋" w:eastAsia="仿宋"/>
          <w:b/>
          <w:color w:val="auto"/>
          <w:sz w:val="32"/>
          <w:szCs w:val="32"/>
          <w:highlight w:val="none"/>
          <w:lang w:eastAsia="zh-CN"/>
        </w:rPr>
        <w:t>本部门涉及的</w:t>
      </w:r>
      <w:r>
        <w:rPr>
          <w:rFonts w:hint="eastAsia" w:ascii="仿宋" w:hAnsi="仿宋" w:eastAsia="仿宋"/>
          <w:b/>
          <w:color w:val="auto"/>
          <w:sz w:val="32"/>
          <w:szCs w:val="32"/>
          <w:highlight w:val="none"/>
        </w:rPr>
        <w:t>全部功能分类科目</w:t>
      </w:r>
      <w:r>
        <w:rPr>
          <w:rFonts w:hint="eastAsia" w:ascii="仿宋" w:hAnsi="仿宋" w:eastAsia="仿宋"/>
          <w:b/>
          <w:color w:val="auto"/>
          <w:sz w:val="32"/>
          <w:szCs w:val="32"/>
          <w:highlight w:val="none"/>
          <w:lang w:eastAsia="zh-CN"/>
        </w:rPr>
        <w:t>，</w:t>
      </w:r>
      <w:r>
        <w:rPr>
          <w:rFonts w:hint="eastAsia" w:ascii="仿宋" w:hAnsi="仿宋" w:eastAsia="仿宋"/>
          <w:b/>
          <w:color w:val="auto"/>
          <w:sz w:val="32"/>
          <w:szCs w:val="32"/>
          <w:highlight w:val="none"/>
        </w:rPr>
        <w:t>至项级。上述“预算”口径为</w:t>
      </w:r>
      <w:r>
        <w:rPr>
          <w:rFonts w:hint="eastAsia" w:ascii="仿宋" w:hAnsi="仿宋" w:eastAsia="仿宋"/>
          <w:b/>
          <w:color w:val="auto"/>
          <w:sz w:val="32"/>
          <w:szCs w:val="32"/>
          <w:highlight w:val="none"/>
          <w:lang w:eastAsia="zh-CN"/>
        </w:rPr>
        <w:t>全年预算</w:t>
      </w:r>
      <w:r>
        <w:rPr>
          <w:rFonts w:hint="eastAsia" w:ascii="仿宋" w:hAnsi="仿宋" w:eastAsia="仿宋"/>
          <w:b/>
          <w:color w:val="auto"/>
          <w:sz w:val="32"/>
          <w:szCs w:val="32"/>
          <w:highlight w:val="none"/>
        </w:rPr>
        <w:t>数。增减变动原因为决算数</w:t>
      </w:r>
      <w:r>
        <w:rPr>
          <w:rFonts w:ascii="仿宋" w:hAnsi="仿宋" w:eastAsia="仿宋"/>
          <w:b/>
          <w:color w:val="auto"/>
          <w:sz w:val="32"/>
          <w:szCs w:val="32"/>
          <w:highlight w:val="none"/>
        </w:rPr>
        <w:t>&lt;</w:t>
      </w:r>
      <w:r>
        <w:rPr>
          <w:rFonts w:hint="eastAsia" w:ascii="仿宋" w:hAnsi="仿宋" w:eastAsia="仿宋"/>
          <w:b/>
          <w:color w:val="auto"/>
          <w:sz w:val="32"/>
          <w:szCs w:val="32"/>
          <w:highlight w:val="none"/>
        </w:rPr>
        <w:t>项级</w:t>
      </w:r>
      <w:r>
        <w:rPr>
          <w:rFonts w:ascii="仿宋" w:hAnsi="仿宋" w:eastAsia="仿宋"/>
          <w:b/>
          <w:color w:val="auto"/>
          <w:sz w:val="32"/>
          <w:szCs w:val="32"/>
          <w:highlight w:val="none"/>
        </w:rPr>
        <w:t>&gt;</w:t>
      </w:r>
      <w:r>
        <w:rPr>
          <w:rFonts w:hint="eastAsia" w:ascii="仿宋" w:hAnsi="仿宋" w:eastAsia="仿宋"/>
          <w:b/>
          <w:color w:val="auto"/>
          <w:sz w:val="32"/>
          <w:szCs w:val="32"/>
          <w:highlight w:val="none"/>
        </w:rPr>
        <w:t>和</w:t>
      </w:r>
      <w:r>
        <w:rPr>
          <w:rFonts w:hint="eastAsia" w:ascii="仿宋" w:hAnsi="仿宋" w:eastAsia="仿宋"/>
          <w:b/>
          <w:color w:val="auto"/>
          <w:sz w:val="32"/>
          <w:szCs w:val="32"/>
          <w:highlight w:val="none"/>
          <w:lang w:eastAsia="zh-CN"/>
        </w:rPr>
        <w:t>全年预算</w:t>
      </w:r>
      <w:r>
        <w:rPr>
          <w:rFonts w:hint="eastAsia" w:ascii="仿宋" w:hAnsi="仿宋" w:eastAsia="仿宋"/>
          <w:b/>
          <w:color w:val="auto"/>
          <w:sz w:val="32"/>
          <w:szCs w:val="32"/>
          <w:highlight w:val="none"/>
        </w:rPr>
        <w:t>数</w:t>
      </w:r>
      <w:r>
        <w:rPr>
          <w:rFonts w:ascii="仿宋" w:hAnsi="仿宋" w:eastAsia="仿宋"/>
          <w:b/>
          <w:color w:val="auto"/>
          <w:sz w:val="32"/>
          <w:szCs w:val="32"/>
          <w:highlight w:val="none"/>
        </w:rPr>
        <w:t>&lt;</w:t>
      </w:r>
      <w:r>
        <w:rPr>
          <w:rFonts w:hint="eastAsia" w:ascii="仿宋" w:hAnsi="仿宋" w:eastAsia="仿宋"/>
          <w:b/>
          <w:color w:val="auto"/>
          <w:sz w:val="32"/>
          <w:szCs w:val="32"/>
          <w:highlight w:val="none"/>
        </w:rPr>
        <w:t>项级</w:t>
      </w:r>
      <w:r>
        <w:rPr>
          <w:rFonts w:ascii="仿宋" w:hAnsi="仿宋" w:eastAsia="仿宋"/>
          <w:b/>
          <w:color w:val="auto"/>
          <w:sz w:val="32"/>
          <w:szCs w:val="32"/>
          <w:highlight w:val="none"/>
        </w:rPr>
        <w:t>&gt;</w:t>
      </w:r>
      <w:r>
        <w:rPr>
          <w:rFonts w:hint="eastAsia" w:ascii="仿宋" w:hAnsi="仿宋" w:eastAsia="仿宋"/>
          <w:b/>
          <w:color w:val="auto"/>
          <w:sz w:val="32"/>
          <w:szCs w:val="32"/>
          <w:highlight w:val="none"/>
        </w:rPr>
        <w:t>比较，与预算数持平可以不写原因。）</w:t>
      </w:r>
    </w:p>
    <w:p>
      <w:pPr>
        <w:spacing w:line="600" w:lineRule="exact"/>
        <w:ind w:firstLine="640"/>
        <w:rPr>
          <w:rFonts w:ascii="仿宋" w:hAnsi="仿宋" w:eastAsia="仿宋"/>
          <w:b/>
          <w:color w:val="auto"/>
          <w:sz w:val="32"/>
          <w:szCs w:val="32"/>
          <w:highlight w:val="none"/>
        </w:rPr>
      </w:pPr>
    </w:p>
    <w:p>
      <w:pPr>
        <w:tabs>
          <w:tab w:val="right" w:pos="8306"/>
        </w:tabs>
        <w:spacing w:line="600" w:lineRule="exact"/>
        <w:ind w:firstLine="640"/>
        <w:outlineLvl w:val="1"/>
        <w:rPr>
          <w:rStyle w:val="33"/>
          <w:color w:val="auto"/>
          <w:highlight w:val="none"/>
        </w:rPr>
      </w:pPr>
      <w:bookmarkStart w:id="67" w:name="_Toc15377214"/>
      <w:bookmarkStart w:id="68" w:name="_Toc15396608"/>
      <w:bookmarkStart w:id="69" w:name="_Toc31901"/>
      <w:r>
        <w:rPr>
          <w:rFonts w:hint="eastAsia" w:ascii="黑体" w:eastAsia="黑体"/>
          <w:color w:val="auto"/>
          <w:sz w:val="32"/>
          <w:szCs w:val="32"/>
          <w:highlight w:val="none"/>
        </w:rPr>
        <w:t>六</w:t>
      </w:r>
      <w:r>
        <w:rPr>
          <w:rFonts w:hint="eastAsia" w:ascii="黑体" w:eastAsia="黑体"/>
          <w:b/>
          <w:color w:val="auto"/>
          <w:sz w:val="32"/>
          <w:szCs w:val="32"/>
          <w:highlight w:val="none"/>
        </w:rPr>
        <w:t>、</w:t>
      </w:r>
      <w:r>
        <w:rPr>
          <w:rFonts w:hint="eastAsia" w:ascii="黑体" w:hAnsi="黑体" w:eastAsia="黑体"/>
          <w:b/>
          <w:color w:val="auto"/>
          <w:sz w:val="32"/>
          <w:szCs w:val="32"/>
          <w:highlight w:val="none"/>
        </w:rPr>
        <w:t>一</w:t>
      </w:r>
      <w:r>
        <w:rPr>
          <w:rStyle w:val="33"/>
          <w:rFonts w:hint="eastAsia" w:ascii="黑体" w:hAnsi="黑体" w:eastAsia="黑体"/>
          <w:b w:val="0"/>
          <w:color w:val="auto"/>
          <w:highlight w:val="none"/>
        </w:rPr>
        <w:t>般公共预算财政拨款基本支出决算情况说明</w:t>
      </w:r>
      <w:bookmarkEnd w:id="67"/>
      <w:bookmarkEnd w:id="68"/>
      <w:bookmarkEnd w:id="69"/>
      <w:r>
        <w:rPr>
          <w:rStyle w:val="33"/>
          <w:rFonts w:ascii="黑体" w:hAnsi="黑体" w:eastAsia="黑体"/>
          <w:b w:val="0"/>
          <w:color w:val="auto"/>
          <w:highlight w:val="none"/>
        </w:rPr>
        <w:tab/>
      </w:r>
    </w:p>
    <w:p>
      <w:pPr>
        <w:spacing w:line="600" w:lineRule="exact"/>
        <w:ind w:firstLine="645"/>
        <w:rPr>
          <w:rFonts w:ascii="仿宋" w:hAnsi="仿宋" w:eastAsia="仿宋"/>
          <w:color w:val="auto"/>
          <w:sz w:val="32"/>
          <w:szCs w:val="32"/>
          <w:highlight w:val="none"/>
        </w:rPr>
      </w:pPr>
      <w:r>
        <w:rPr>
          <w:rFonts w:ascii="仿宋" w:hAnsi="仿宋" w:eastAsia="仿宋"/>
          <w:color w:val="auto"/>
          <w:sz w:val="32"/>
          <w:szCs w:val="32"/>
          <w:highlight w:val="none"/>
        </w:rPr>
        <w:t>20</w:t>
      </w:r>
      <w:r>
        <w:rPr>
          <w:rFonts w:hint="eastAsia" w:ascii="仿宋" w:hAnsi="仿宋" w:eastAsia="仿宋"/>
          <w:color w:val="auto"/>
          <w:sz w:val="32"/>
          <w:szCs w:val="32"/>
          <w:highlight w:val="none"/>
          <w:lang w:val="en-US" w:eastAsia="zh-CN"/>
        </w:rPr>
        <w:t>22</w:t>
      </w:r>
      <w:r>
        <w:rPr>
          <w:rFonts w:hint="eastAsia" w:ascii="仿宋" w:hAnsi="仿宋" w:eastAsia="仿宋"/>
          <w:color w:val="auto"/>
          <w:sz w:val="32"/>
          <w:szCs w:val="32"/>
          <w:highlight w:val="none"/>
        </w:rPr>
        <w:t>年一般公共预算财政拨款基本支出</w:t>
      </w:r>
      <w:r>
        <w:rPr>
          <w:rFonts w:hint="eastAsia" w:ascii="仿宋" w:hAnsi="仿宋" w:eastAsia="仿宋"/>
          <w:color w:val="auto"/>
          <w:sz w:val="32"/>
          <w:szCs w:val="32"/>
          <w:highlight w:val="none"/>
          <w:lang w:val="en-US" w:eastAsia="zh-CN"/>
        </w:rPr>
        <w:t>971.25</w:t>
      </w:r>
      <w:r>
        <w:rPr>
          <w:rFonts w:hint="eastAsia" w:ascii="仿宋" w:hAnsi="仿宋" w:eastAsia="仿宋"/>
          <w:color w:val="auto"/>
          <w:sz w:val="32"/>
          <w:szCs w:val="32"/>
          <w:highlight w:val="none"/>
        </w:rPr>
        <w:t>万元，其中：</w:t>
      </w:r>
    </w:p>
    <w:p>
      <w:pPr>
        <w:spacing w:line="600" w:lineRule="exact"/>
        <w:ind w:firstLine="645"/>
        <w:rPr>
          <w:rFonts w:ascii="仿宋" w:hAnsi="仿宋" w:eastAsia="仿宋"/>
          <w:color w:val="auto"/>
          <w:sz w:val="32"/>
          <w:szCs w:val="32"/>
          <w:highlight w:val="none"/>
        </w:rPr>
      </w:pPr>
      <w:r>
        <w:rPr>
          <w:rFonts w:hint="eastAsia" w:ascii="仿宋" w:hAnsi="仿宋" w:eastAsia="仿宋"/>
          <w:color w:val="auto"/>
          <w:sz w:val="32"/>
          <w:szCs w:val="32"/>
          <w:highlight w:val="none"/>
        </w:rPr>
        <w:t>人员经费</w:t>
      </w:r>
      <w:r>
        <w:rPr>
          <w:rFonts w:hint="eastAsia" w:ascii="仿宋" w:hAnsi="仿宋" w:eastAsia="仿宋"/>
          <w:color w:val="auto"/>
          <w:sz w:val="32"/>
          <w:szCs w:val="32"/>
          <w:highlight w:val="none"/>
          <w:lang w:val="en-US" w:eastAsia="zh-CN"/>
        </w:rPr>
        <w:t>894.75</w:t>
      </w:r>
      <w:r>
        <w:rPr>
          <w:rFonts w:hint="eastAsia" w:ascii="仿宋" w:hAnsi="仿宋" w:eastAsia="仿宋"/>
          <w:color w:val="auto"/>
          <w:sz w:val="32"/>
          <w:szCs w:val="32"/>
          <w:highlight w:val="none"/>
        </w:rPr>
        <w:t>万元，主要包括：基本工资、津贴补贴、奖金、绩效工资、机关事业单位基本养老保险缴费、职业年金缴费</w:t>
      </w:r>
      <w:r>
        <w:rPr>
          <w:rFonts w:hint="eastAsia" w:ascii="仿宋" w:hAnsi="仿宋" w:eastAsia="仿宋"/>
          <w:color w:val="auto"/>
          <w:sz w:val="32"/>
          <w:szCs w:val="32"/>
          <w:highlight w:val="none"/>
          <w:lang w:eastAsia="zh-CN"/>
        </w:rPr>
        <w:t>、</w:t>
      </w:r>
      <w:r>
        <w:rPr>
          <w:rFonts w:hint="eastAsia" w:ascii="仿宋" w:hAnsi="仿宋" w:eastAsia="仿宋"/>
          <w:color w:val="auto"/>
          <w:sz w:val="32"/>
          <w:szCs w:val="32"/>
          <w:highlight w:val="none"/>
          <w:lang w:val="en-US" w:eastAsia="zh-CN"/>
        </w:rPr>
        <w:t>职工基本医疗保险缴费</w:t>
      </w:r>
      <w:r>
        <w:rPr>
          <w:rFonts w:hint="eastAsia" w:ascii="仿宋" w:hAnsi="仿宋" w:eastAsia="仿宋"/>
          <w:color w:val="auto"/>
          <w:sz w:val="32"/>
          <w:szCs w:val="32"/>
          <w:highlight w:val="none"/>
        </w:rPr>
        <w:t>、其他社会保障缴费、生活补助、医疗费补助、奖励金、住房公积金。</w:t>
      </w:r>
      <w:r>
        <w:rPr>
          <w:rFonts w:ascii="仿宋" w:hAnsi="仿宋" w:eastAsia="仿宋"/>
          <w:color w:val="auto"/>
          <w:sz w:val="32"/>
          <w:szCs w:val="32"/>
          <w:highlight w:val="none"/>
        </w:rPr>
        <w:br w:type="textWrapping"/>
      </w:r>
      <w:r>
        <w:rPr>
          <w:rFonts w:hint="eastAsia" w:ascii="仿宋" w:hAnsi="仿宋" w:eastAsia="仿宋"/>
          <w:color w:val="auto"/>
          <w:sz w:val="32"/>
          <w:szCs w:val="32"/>
          <w:highlight w:val="none"/>
        </w:rPr>
        <w:t>　　公用经费</w:t>
      </w:r>
      <w:r>
        <w:rPr>
          <w:rFonts w:hint="eastAsia" w:ascii="仿宋" w:hAnsi="仿宋" w:eastAsia="仿宋"/>
          <w:color w:val="auto"/>
          <w:sz w:val="32"/>
          <w:szCs w:val="32"/>
          <w:highlight w:val="none"/>
          <w:lang w:val="en-US" w:eastAsia="zh-CN"/>
        </w:rPr>
        <w:t>76.50</w:t>
      </w:r>
      <w:r>
        <w:rPr>
          <w:rFonts w:hint="eastAsia" w:ascii="仿宋" w:hAnsi="仿宋" w:eastAsia="仿宋"/>
          <w:color w:val="auto"/>
          <w:sz w:val="32"/>
          <w:szCs w:val="32"/>
          <w:highlight w:val="none"/>
        </w:rPr>
        <w:t>万元，主要包括：办公费、印刷费、手续费、水费、电费、取暖费、差旅费、维修（护）费、公务接待费、劳务费、公务用车运行维护费、办公设备购置、专用设备购置、信息网络及软件购置更新、其他资本性支出等。</w:t>
      </w:r>
    </w:p>
    <w:p>
      <w:pPr>
        <w:spacing w:line="600" w:lineRule="exact"/>
        <w:ind w:firstLine="645"/>
        <w:rPr>
          <w:rFonts w:ascii="仿宋" w:hAnsi="仿宋" w:eastAsia="仿宋"/>
          <w:b/>
          <w:color w:val="auto"/>
          <w:sz w:val="32"/>
          <w:szCs w:val="32"/>
          <w:highlight w:val="none"/>
        </w:rPr>
      </w:pPr>
      <w:r>
        <w:rPr>
          <w:rFonts w:hint="eastAsia" w:ascii="仿宋" w:hAnsi="仿宋" w:eastAsia="仿宋"/>
          <w:b/>
          <w:color w:val="auto"/>
          <w:sz w:val="32"/>
          <w:szCs w:val="32"/>
          <w:highlight w:val="none"/>
        </w:rPr>
        <w:t>（注：数据来源于财决</w:t>
      </w:r>
      <w:r>
        <w:rPr>
          <w:rFonts w:ascii="仿宋" w:hAnsi="仿宋" w:eastAsia="仿宋"/>
          <w:b/>
          <w:color w:val="auto"/>
          <w:sz w:val="32"/>
          <w:szCs w:val="32"/>
          <w:highlight w:val="none"/>
        </w:rPr>
        <w:t>0</w:t>
      </w:r>
      <w:r>
        <w:rPr>
          <w:rFonts w:hint="eastAsia" w:ascii="仿宋" w:hAnsi="仿宋" w:eastAsia="仿宋"/>
          <w:b/>
          <w:color w:val="auto"/>
          <w:sz w:val="32"/>
          <w:szCs w:val="32"/>
          <w:highlight w:val="none"/>
        </w:rPr>
        <w:t>7表</w:t>
      </w:r>
      <w:r>
        <w:rPr>
          <w:rFonts w:hint="eastAsia" w:ascii="仿宋" w:hAnsi="仿宋" w:eastAsia="仿宋"/>
          <w:b/>
          <w:color w:val="auto"/>
          <w:sz w:val="32"/>
          <w:szCs w:val="32"/>
          <w:highlight w:val="none"/>
          <w:lang w:eastAsia="zh-CN"/>
        </w:rPr>
        <w:t>和财决</w:t>
      </w:r>
      <w:r>
        <w:rPr>
          <w:rFonts w:hint="eastAsia" w:ascii="仿宋" w:hAnsi="仿宋" w:eastAsia="仿宋"/>
          <w:b/>
          <w:color w:val="auto"/>
          <w:sz w:val="32"/>
          <w:szCs w:val="32"/>
          <w:highlight w:val="none"/>
          <w:lang w:val="en-US" w:eastAsia="zh-CN"/>
        </w:rPr>
        <w:t>08-1表</w:t>
      </w:r>
      <w:r>
        <w:rPr>
          <w:rFonts w:hint="eastAsia" w:ascii="仿宋" w:hAnsi="仿宋" w:eastAsia="仿宋"/>
          <w:b/>
          <w:color w:val="auto"/>
          <w:sz w:val="32"/>
          <w:szCs w:val="32"/>
          <w:highlight w:val="none"/>
        </w:rPr>
        <w:t>，</w:t>
      </w:r>
      <w:r>
        <w:rPr>
          <w:rFonts w:hint="eastAsia" w:ascii="仿宋" w:hAnsi="仿宋" w:eastAsia="仿宋"/>
          <w:b/>
          <w:color w:val="auto"/>
          <w:sz w:val="32"/>
          <w:szCs w:val="32"/>
          <w:highlight w:val="none"/>
          <w:lang w:eastAsia="zh-CN"/>
        </w:rPr>
        <w:t>仅罗列</w:t>
      </w:r>
      <w:r>
        <w:rPr>
          <w:rFonts w:hint="eastAsia" w:ascii="仿宋" w:hAnsi="仿宋" w:eastAsia="仿宋"/>
          <w:b/>
          <w:color w:val="auto"/>
          <w:sz w:val="32"/>
          <w:szCs w:val="32"/>
          <w:highlight w:val="none"/>
        </w:rPr>
        <w:t>本部门实际支出</w:t>
      </w:r>
      <w:r>
        <w:rPr>
          <w:rFonts w:hint="eastAsia" w:ascii="仿宋" w:hAnsi="仿宋" w:eastAsia="仿宋"/>
          <w:b/>
          <w:color w:val="auto"/>
          <w:sz w:val="32"/>
          <w:szCs w:val="32"/>
          <w:highlight w:val="none"/>
          <w:lang w:eastAsia="zh-CN"/>
        </w:rPr>
        <w:t>涉及的</w:t>
      </w:r>
      <w:r>
        <w:rPr>
          <w:rFonts w:hint="eastAsia" w:ascii="仿宋" w:hAnsi="仿宋" w:eastAsia="仿宋"/>
          <w:b/>
          <w:color w:val="auto"/>
          <w:sz w:val="32"/>
          <w:szCs w:val="32"/>
          <w:highlight w:val="none"/>
        </w:rPr>
        <w:t>经济分类科目。）</w:t>
      </w:r>
    </w:p>
    <w:p>
      <w:pPr>
        <w:spacing w:line="600" w:lineRule="exact"/>
        <w:ind w:firstLine="640"/>
        <w:rPr>
          <w:rFonts w:ascii="仿宋" w:hAnsi="仿宋" w:eastAsia="仿宋"/>
          <w:b/>
          <w:color w:val="auto"/>
          <w:sz w:val="32"/>
          <w:szCs w:val="32"/>
          <w:highlight w:val="none"/>
        </w:rPr>
      </w:pPr>
    </w:p>
    <w:p>
      <w:pPr>
        <w:spacing w:line="600" w:lineRule="exact"/>
        <w:ind w:firstLine="640"/>
        <w:outlineLvl w:val="1"/>
        <w:rPr>
          <w:rStyle w:val="33"/>
          <w:rFonts w:ascii="黑体" w:hAnsi="黑体" w:eastAsia="黑体"/>
          <w:b w:val="0"/>
          <w:color w:val="auto"/>
          <w:highlight w:val="none"/>
        </w:rPr>
      </w:pPr>
      <w:bookmarkStart w:id="70" w:name="_Toc15396609"/>
      <w:bookmarkStart w:id="71" w:name="_Toc15377215"/>
      <w:bookmarkStart w:id="72" w:name="_Toc6446"/>
      <w:r>
        <w:rPr>
          <w:rFonts w:hint="eastAsia" w:ascii="黑体" w:eastAsia="黑体"/>
          <w:color w:val="auto"/>
          <w:sz w:val="32"/>
          <w:szCs w:val="32"/>
          <w:highlight w:val="none"/>
        </w:rPr>
        <w:t>七、</w:t>
      </w:r>
      <w:r>
        <w:rPr>
          <w:rStyle w:val="33"/>
          <w:rFonts w:hint="eastAsia" w:ascii="黑体" w:hAnsi="黑体" w:eastAsia="黑体"/>
          <w:b w:val="0"/>
          <w:color w:val="auto"/>
          <w:highlight w:val="none"/>
        </w:rPr>
        <w:t>财政拨款</w:t>
      </w:r>
      <w:r>
        <w:rPr>
          <w:rStyle w:val="33"/>
          <w:rFonts w:hint="eastAsia" w:ascii="黑体" w:hAnsi="黑体" w:eastAsia="黑体"/>
          <w:color w:val="auto"/>
          <w:highlight w:val="none"/>
        </w:rPr>
        <w:t>“</w:t>
      </w:r>
      <w:r>
        <w:rPr>
          <w:rStyle w:val="33"/>
          <w:rFonts w:hint="eastAsia" w:ascii="黑体" w:hAnsi="黑体" w:eastAsia="黑体"/>
          <w:b w:val="0"/>
          <w:color w:val="auto"/>
          <w:highlight w:val="none"/>
        </w:rPr>
        <w:t>三公”经费支出决算情况说明</w:t>
      </w:r>
      <w:bookmarkEnd w:id="70"/>
      <w:bookmarkEnd w:id="71"/>
      <w:bookmarkEnd w:id="72"/>
    </w:p>
    <w:p>
      <w:pPr>
        <w:spacing w:line="600" w:lineRule="exact"/>
        <w:ind w:firstLine="640"/>
        <w:outlineLvl w:val="2"/>
        <w:rPr>
          <w:rFonts w:ascii="仿宋" w:hAnsi="仿宋" w:eastAsia="仿宋"/>
          <w:b/>
          <w:color w:val="auto"/>
          <w:sz w:val="32"/>
          <w:szCs w:val="32"/>
          <w:highlight w:val="none"/>
        </w:rPr>
      </w:pPr>
      <w:bookmarkStart w:id="73" w:name="_Toc15377216"/>
      <w:r>
        <w:rPr>
          <w:rFonts w:hint="eastAsia" w:ascii="仿宋" w:hAnsi="仿宋" w:eastAsia="仿宋"/>
          <w:b/>
          <w:color w:val="auto"/>
          <w:sz w:val="32"/>
          <w:szCs w:val="32"/>
          <w:highlight w:val="none"/>
        </w:rPr>
        <w:t>（一）“三公”经费财政拨款支出决算总体情况说明</w:t>
      </w:r>
      <w:bookmarkEnd w:id="73"/>
    </w:p>
    <w:p>
      <w:pPr>
        <w:spacing w:line="600" w:lineRule="exact"/>
        <w:ind w:firstLine="640"/>
        <w:rPr>
          <w:rFonts w:ascii="仿宋" w:hAnsi="仿宋" w:eastAsia="仿宋"/>
          <w:color w:val="auto"/>
          <w:sz w:val="32"/>
          <w:szCs w:val="32"/>
          <w:highlight w:val="none"/>
        </w:rPr>
      </w:pPr>
      <w:r>
        <w:rPr>
          <w:rFonts w:ascii="仿宋" w:hAnsi="仿宋" w:eastAsia="仿宋"/>
          <w:color w:val="auto"/>
          <w:sz w:val="32"/>
          <w:szCs w:val="32"/>
          <w:highlight w:val="none"/>
        </w:rPr>
        <w:t>20</w:t>
      </w:r>
      <w:r>
        <w:rPr>
          <w:rFonts w:hint="eastAsia" w:ascii="仿宋" w:hAnsi="仿宋" w:eastAsia="仿宋"/>
          <w:color w:val="auto"/>
          <w:sz w:val="32"/>
          <w:szCs w:val="32"/>
          <w:highlight w:val="none"/>
          <w:lang w:val="en-US" w:eastAsia="zh-CN"/>
        </w:rPr>
        <w:t>22</w:t>
      </w:r>
      <w:r>
        <w:rPr>
          <w:rFonts w:hint="eastAsia" w:ascii="仿宋" w:hAnsi="仿宋" w:eastAsia="仿宋"/>
          <w:color w:val="auto"/>
          <w:sz w:val="32"/>
          <w:szCs w:val="32"/>
          <w:highlight w:val="none"/>
        </w:rPr>
        <w:t>年“三公”经费财政拨款支出决算为</w:t>
      </w:r>
      <w:r>
        <w:rPr>
          <w:rFonts w:hint="eastAsia" w:ascii="仿宋" w:hAnsi="仿宋" w:eastAsia="仿宋"/>
          <w:color w:val="auto"/>
          <w:sz w:val="32"/>
          <w:szCs w:val="32"/>
          <w:highlight w:val="none"/>
          <w:lang w:val="en-US" w:eastAsia="zh-CN"/>
        </w:rPr>
        <w:t>11.27</w:t>
      </w:r>
      <w:r>
        <w:rPr>
          <w:rFonts w:hint="eastAsia" w:ascii="仿宋" w:hAnsi="仿宋" w:eastAsia="仿宋"/>
          <w:color w:val="auto"/>
          <w:sz w:val="32"/>
          <w:szCs w:val="32"/>
          <w:highlight w:val="none"/>
        </w:rPr>
        <w:t>万元，完成预算</w:t>
      </w:r>
      <w:r>
        <w:rPr>
          <w:rFonts w:hint="eastAsia" w:ascii="仿宋" w:hAnsi="仿宋" w:eastAsia="仿宋"/>
          <w:color w:val="auto"/>
          <w:sz w:val="32"/>
          <w:szCs w:val="32"/>
          <w:highlight w:val="none"/>
          <w:lang w:val="en-US" w:eastAsia="zh-CN"/>
        </w:rPr>
        <w:t>100</w:t>
      </w:r>
      <w:r>
        <w:rPr>
          <w:rFonts w:ascii="仿宋" w:hAnsi="仿宋" w:eastAsia="仿宋"/>
          <w:color w:val="auto"/>
          <w:sz w:val="32"/>
          <w:szCs w:val="32"/>
          <w:highlight w:val="none"/>
        </w:rPr>
        <w:t>%</w:t>
      </w:r>
      <w:r>
        <w:rPr>
          <w:rFonts w:hint="eastAsia" w:ascii="仿宋" w:hAnsi="仿宋" w:eastAsia="仿宋"/>
          <w:color w:val="auto"/>
          <w:sz w:val="32"/>
          <w:szCs w:val="32"/>
          <w:highlight w:val="none"/>
        </w:rPr>
        <w:t>，</w:t>
      </w:r>
      <w:r>
        <w:rPr>
          <w:rFonts w:hint="eastAsia" w:ascii="仿宋" w:hAnsi="仿宋" w:eastAsia="仿宋"/>
          <w:color w:val="auto"/>
          <w:sz w:val="32"/>
          <w:szCs w:val="32"/>
          <w:highlight w:val="none"/>
          <w:lang w:eastAsia="zh-CN"/>
        </w:rPr>
        <w:t>较上年增加</w:t>
      </w:r>
      <w:r>
        <w:rPr>
          <w:rFonts w:hint="eastAsia" w:ascii="仿宋" w:hAnsi="仿宋" w:eastAsia="仿宋"/>
          <w:color w:val="auto"/>
          <w:sz w:val="32"/>
          <w:szCs w:val="32"/>
          <w:highlight w:val="none"/>
          <w:lang w:val="en-US" w:eastAsia="zh-CN"/>
        </w:rPr>
        <w:t>0.75万元，增长7.14%。</w:t>
      </w:r>
      <w:r>
        <w:rPr>
          <w:rFonts w:hint="eastAsia" w:ascii="仿宋" w:hAnsi="仿宋" w:eastAsia="仿宋"/>
          <w:color w:val="auto"/>
          <w:sz w:val="32"/>
          <w:szCs w:val="32"/>
          <w:highlight w:val="none"/>
        </w:rPr>
        <w:t>主要原因是</w:t>
      </w:r>
      <w:r>
        <w:rPr>
          <w:rFonts w:hint="eastAsia" w:ascii="仿宋" w:hAnsi="仿宋" w:eastAsia="仿宋"/>
          <w:color w:val="auto"/>
          <w:sz w:val="32"/>
          <w:szCs w:val="32"/>
          <w:highlight w:val="none"/>
          <w:lang w:val="en-US" w:eastAsia="zh-CN"/>
        </w:rPr>
        <w:t>当年项目增加，收入增加</w:t>
      </w:r>
      <w:r>
        <w:rPr>
          <w:rFonts w:hint="eastAsia" w:ascii="仿宋" w:hAnsi="仿宋" w:eastAsia="仿宋"/>
          <w:color w:val="auto"/>
          <w:sz w:val="32"/>
          <w:szCs w:val="32"/>
          <w:highlight w:val="none"/>
        </w:rPr>
        <w:t>。</w:t>
      </w:r>
    </w:p>
    <w:p>
      <w:pPr>
        <w:spacing w:line="600" w:lineRule="exact"/>
        <w:ind w:firstLine="640"/>
        <w:rPr>
          <w:rFonts w:ascii="仿宋" w:hAnsi="仿宋" w:eastAsia="仿宋"/>
          <w:b/>
          <w:color w:val="auto"/>
          <w:sz w:val="32"/>
          <w:szCs w:val="32"/>
          <w:highlight w:val="none"/>
        </w:rPr>
      </w:pPr>
      <w:r>
        <w:rPr>
          <w:rFonts w:hint="eastAsia" w:ascii="仿宋" w:hAnsi="仿宋" w:eastAsia="仿宋"/>
          <w:b/>
          <w:color w:val="auto"/>
          <w:sz w:val="32"/>
          <w:szCs w:val="32"/>
          <w:highlight w:val="none"/>
        </w:rPr>
        <w:t>（注：上述“预算”口径为</w:t>
      </w:r>
      <w:r>
        <w:rPr>
          <w:rFonts w:hint="eastAsia" w:ascii="仿宋" w:hAnsi="仿宋" w:eastAsia="仿宋"/>
          <w:b/>
          <w:color w:val="auto"/>
          <w:sz w:val="32"/>
          <w:szCs w:val="32"/>
          <w:highlight w:val="none"/>
          <w:lang w:eastAsia="zh-CN"/>
        </w:rPr>
        <w:t>全年预算</w:t>
      </w:r>
      <w:r>
        <w:rPr>
          <w:rFonts w:hint="eastAsia" w:ascii="仿宋" w:hAnsi="仿宋" w:eastAsia="仿宋"/>
          <w:b/>
          <w:color w:val="auto"/>
          <w:sz w:val="32"/>
          <w:szCs w:val="32"/>
          <w:highlight w:val="none"/>
        </w:rPr>
        <w:t>数，包括</w:t>
      </w:r>
      <w:r>
        <w:rPr>
          <w:rFonts w:hint="eastAsia" w:ascii="仿宋" w:hAnsi="仿宋" w:eastAsia="仿宋"/>
          <w:b/>
          <w:color w:val="auto"/>
          <w:sz w:val="32"/>
          <w:szCs w:val="32"/>
          <w:highlight w:val="none"/>
          <w:lang w:eastAsia="zh-CN"/>
        </w:rPr>
        <w:t>一般公共预算和</w:t>
      </w:r>
      <w:r>
        <w:rPr>
          <w:rFonts w:hint="eastAsia" w:ascii="仿宋" w:hAnsi="仿宋" w:eastAsia="仿宋"/>
          <w:b/>
          <w:color w:val="auto"/>
          <w:sz w:val="32"/>
          <w:szCs w:val="32"/>
          <w:highlight w:val="none"/>
        </w:rPr>
        <w:t>政府性基金</w:t>
      </w:r>
      <w:r>
        <w:rPr>
          <w:rFonts w:hint="eastAsia" w:ascii="仿宋" w:hAnsi="仿宋" w:eastAsia="仿宋"/>
          <w:b/>
          <w:color w:val="auto"/>
          <w:sz w:val="32"/>
          <w:szCs w:val="32"/>
          <w:highlight w:val="none"/>
          <w:lang w:eastAsia="zh-CN"/>
        </w:rPr>
        <w:t>预算财政拨款</w:t>
      </w:r>
      <w:r>
        <w:rPr>
          <w:rFonts w:hint="eastAsia" w:ascii="仿宋" w:hAnsi="仿宋" w:eastAsia="仿宋"/>
          <w:b/>
          <w:color w:val="auto"/>
          <w:sz w:val="32"/>
          <w:szCs w:val="32"/>
          <w:highlight w:val="none"/>
        </w:rPr>
        <w:t>支出决算情况。）</w:t>
      </w:r>
    </w:p>
    <w:p>
      <w:pPr>
        <w:spacing w:line="600" w:lineRule="exact"/>
        <w:ind w:firstLine="640"/>
        <w:outlineLvl w:val="2"/>
        <w:rPr>
          <w:rFonts w:ascii="仿宋" w:hAnsi="仿宋" w:eastAsia="仿宋"/>
          <w:b/>
          <w:color w:val="auto"/>
          <w:sz w:val="32"/>
          <w:szCs w:val="32"/>
          <w:highlight w:val="none"/>
        </w:rPr>
      </w:pPr>
      <w:bookmarkStart w:id="74" w:name="_Toc15377217"/>
      <w:r>
        <w:rPr>
          <w:rFonts w:hint="eastAsia" w:ascii="仿宋" w:hAnsi="仿宋" w:eastAsia="仿宋"/>
          <w:b/>
          <w:color w:val="auto"/>
          <w:sz w:val="32"/>
          <w:szCs w:val="32"/>
          <w:highlight w:val="none"/>
        </w:rPr>
        <w:t>（二）“三公”经费财政拨款支出决算具体情况说明</w:t>
      </w:r>
      <w:bookmarkEnd w:id="74"/>
    </w:p>
    <w:p>
      <w:pPr>
        <w:spacing w:line="600" w:lineRule="exact"/>
        <w:ind w:firstLine="640"/>
        <w:rPr>
          <w:rFonts w:ascii="仿宋" w:hAnsi="仿宋" w:eastAsia="仿宋"/>
          <w:color w:val="auto"/>
          <w:sz w:val="32"/>
          <w:szCs w:val="32"/>
          <w:highlight w:val="none"/>
        </w:rPr>
      </w:pPr>
      <w:r>
        <w:rPr>
          <w:rFonts w:ascii="仿宋" w:hAnsi="仿宋" w:eastAsia="仿宋"/>
          <w:color w:val="auto"/>
          <w:sz w:val="32"/>
          <w:szCs w:val="32"/>
          <w:highlight w:val="none"/>
        </w:rPr>
        <w:t>20</w:t>
      </w:r>
      <w:r>
        <w:rPr>
          <w:rFonts w:hint="eastAsia" w:ascii="仿宋" w:hAnsi="仿宋" w:eastAsia="仿宋"/>
          <w:color w:val="auto"/>
          <w:sz w:val="32"/>
          <w:szCs w:val="32"/>
          <w:highlight w:val="none"/>
          <w:lang w:val="en-US" w:eastAsia="zh-CN"/>
        </w:rPr>
        <w:t>22</w:t>
      </w:r>
      <w:r>
        <w:rPr>
          <w:rFonts w:hint="eastAsia" w:ascii="仿宋" w:hAnsi="仿宋" w:eastAsia="仿宋"/>
          <w:color w:val="auto"/>
          <w:sz w:val="32"/>
          <w:szCs w:val="32"/>
          <w:highlight w:val="none"/>
        </w:rPr>
        <w:t>年“三公”经费财政拨款支出决算中，因公出国（境）费支出决算</w:t>
      </w:r>
      <w:r>
        <w:rPr>
          <w:rFonts w:hint="eastAsia" w:ascii="仿宋" w:hAnsi="仿宋" w:eastAsia="仿宋"/>
          <w:color w:val="auto"/>
          <w:sz w:val="32"/>
          <w:szCs w:val="32"/>
          <w:highlight w:val="none"/>
          <w:lang w:val="en-US" w:eastAsia="zh-CN"/>
        </w:rPr>
        <w:t>0</w:t>
      </w:r>
      <w:r>
        <w:rPr>
          <w:rFonts w:hint="eastAsia" w:ascii="仿宋" w:hAnsi="仿宋" w:eastAsia="仿宋"/>
          <w:color w:val="auto"/>
          <w:sz w:val="32"/>
          <w:szCs w:val="32"/>
          <w:highlight w:val="none"/>
        </w:rPr>
        <w:t>万元，占</w:t>
      </w:r>
      <w:r>
        <w:rPr>
          <w:rFonts w:hint="eastAsia" w:ascii="仿宋" w:hAnsi="仿宋" w:eastAsia="仿宋"/>
          <w:color w:val="auto"/>
          <w:sz w:val="32"/>
          <w:szCs w:val="32"/>
          <w:highlight w:val="none"/>
          <w:lang w:val="en-US" w:eastAsia="zh-CN"/>
        </w:rPr>
        <w:t>0</w:t>
      </w:r>
      <w:r>
        <w:rPr>
          <w:rFonts w:ascii="仿宋" w:hAnsi="仿宋" w:eastAsia="仿宋"/>
          <w:color w:val="auto"/>
          <w:sz w:val="32"/>
          <w:szCs w:val="32"/>
          <w:highlight w:val="none"/>
        </w:rPr>
        <w:t>%</w:t>
      </w:r>
      <w:r>
        <w:rPr>
          <w:rFonts w:hint="eastAsia" w:ascii="仿宋" w:hAnsi="仿宋" w:eastAsia="仿宋"/>
          <w:color w:val="auto"/>
          <w:sz w:val="32"/>
          <w:szCs w:val="32"/>
          <w:highlight w:val="none"/>
        </w:rPr>
        <w:t>；公务用车购置及运行维护费支出决算</w:t>
      </w:r>
      <w:r>
        <w:rPr>
          <w:rFonts w:hint="eastAsia" w:ascii="仿宋" w:hAnsi="仿宋" w:eastAsia="仿宋"/>
          <w:color w:val="auto"/>
          <w:sz w:val="32"/>
          <w:szCs w:val="32"/>
          <w:highlight w:val="none"/>
          <w:lang w:val="en-US" w:eastAsia="zh-CN"/>
        </w:rPr>
        <w:t>11.15</w:t>
      </w:r>
      <w:r>
        <w:rPr>
          <w:rFonts w:hint="eastAsia" w:ascii="仿宋" w:hAnsi="仿宋" w:eastAsia="仿宋"/>
          <w:color w:val="auto"/>
          <w:sz w:val="32"/>
          <w:szCs w:val="32"/>
          <w:highlight w:val="none"/>
        </w:rPr>
        <w:t>万元，占</w:t>
      </w:r>
      <w:r>
        <w:rPr>
          <w:rFonts w:hint="eastAsia" w:ascii="仿宋" w:hAnsi="仿宋" w:eastAsia="仿宋"/>
          <w:color w:val="auto"/>
          <w:sz w:val="32"/>
          <w:szCs w:val="32"/>
          <w:highlight w:val="none"/>
          <w:lang w:val="en-US" w:eastAsia="zh-CN"/>
        </w:rPr>
        <w:t>98.93</w:t>
      </w:r>
      <w:r>
        <w:rPr>
          <w:rFonts w:ascii="仿宋" w:hAnsi="仿宋" w:eastAsia="仿宋"/>
          <w:color w:val="auto"/>
          <w:sz w:val="32"/>
          <w:szCs w:val="32"/>
          <w:highlight w:val="none"/>
        </w:rPr>
        <w:t>%</w:t>
      </w:r>
      <w:r>
        <w:rPr>
          <w:rFonts w:hint="eastAsia" w:ascii="仿宋" w:hAnsi="仿宋" w:eastAsia="仿宋"/>
          <w:color w:val="auto"/>
          <w:sz w:val="32"/>
          <w:szCs w:val="32"/>
          <w:highlight w:val="none"/>
        </w:rPr>
        <w:t>；公务接待费支出决算</w:t>
      </w:r>
      <w:r>
        <w:rPr>
          <w:rFonts w:hint="eastAsia" w:ascii="仿宋" w:hAnsi="仿宋" w:eastAsia="仿宋"/>
          <w:color w:val="auto"/>
          <w:sz w:val="32"/>
          <w:szCs w:val="32"/>
          <w:highlight w:val="none"/>
          <w:lang w:val="en-US" w:eastAsia="zh-CN"/>
        </w:rPr>
        <w:t>0.11</w:t>
      </w:r>
      <w:r>
        <w:rPr>
          <w:rFonts w:hint="eastAsia" w:ascii="仿宋" w:hAnsi="仿宋" w:eastAsia="仿宋"/>
          <w:color w:val="auto"/>
          <w:sz w:val="32"/>
          <w:szCs w:val="32"/>
          <w:highlight w:val="none"/>
        </w:rPr>
        <w:t>万元，占</w:t>
      </w:r>
      <w:r>
        <w:rPr>
          <w:rFonts w:hint="eastAsia" w:ascii="仿宋" w:hAnsi="仿宋" w:eastAsia="仿宋"/>
          <w:color w:val="auto"/>
          <w:sz w:val="32"/>
          <w:szCs w:val="32"/>
          <w:highlight w:val="none"/>
          <w:lang w:val="en-US" w:eastAsia="zh-CN"/>
        </w:rPr>
        <w:t>1.07</w:t>
      </w:r>
      <w:r>
        <w:rPr>
          <w:rFonts w:ascii="仿宋" w:hAnsi="仿宋" w:eastAsia="仿宋"/>
          <w:color w:val="auto"/>
          <w:sz w:val="32"/>
          <w:szCs w:val="32"/>
          <w:highlight w:val="none"/>
        </w:rPr>
        <w:t>%</w:t>
      </w:r>
      <w:r>
        <w:rPr>
          <w:rFonts w:hint="eastAsia" w:ascii="仿宋" w:hAnsi="仿宋" w:eastAsia="仿宋"/>
          <w:color w:val="auto"/>
          <w:sz w:val="32"/>
          <w:szCs w:val="32"/>
          <w:highlight w:val="none"/>
        </w:rPr>
        <w:t>。具体情况如下：</w:t>
      </w:r>
    </w:p>
    <w:p>
      <w:pPr>
        <w:spacing w:line="600" w:lineRule="exact"/>
        <w:ind w:firstLine="640"/>
        <w:rPr>
          <w:rFonts w:ascii="仿宋" w:hAnsi="仿宋" w:eastAsia="仿宋"/>
          <w:color w:val="auto"/>
          <w:sz w:val="32"/>
          <w:szCs w:val="32"/>
          <w:highlight w:val="none"/>
        </w:rPr>
      </w:pPr>
      <w:r>
        <w:rPr>
          <w:rFonts w:hint="eastAsia" w:ascii="仿宋" w:hAnsi="仿宋" w:eastAsia="仿宋"/>
          <w:color w:val="auto"/>
          <w:sz w:val="32"/>
          <w:szCs w:val="32"/>
          <w:highlight w:val="none"/>
        </w:rPr>
        <w:t>（图7：“三公”经费财政拨款支出结构）（饼状图）</w:t>
      </w:r>
    </w:p>
    <w:p>
      <w:pPr>
        <w:spacing w:line="600" w:lineRule="exact"/>
        <w:ind w:firstLine="640"/>
        <w:rPr>
          <w:rFonts w:ascii="仿宋_GB2312" w:eastAsia="仿宋_GB2312"/>
          <w:b/>
          <w:color w:val="auto"/>
          <w:sz w:val="32"/>
          <w:szCs w:val="32"/>
          <w:highlight w:val="none"/>
        </w:rPr>
      </w:pPr>
      <w:r>
        <w:rPr>
          <w:rFonts w:ascii="仿宋_GB2312" w:eastAsia="仿宋_GB2312"/>
          <w:b/>
          <w:color w:val="auto"/>
          <w:sz w:val="32"/>
          <w:szCs w:val="32"/>
          <w:highlight w:val="none"/>
        </w:rPr>
        <w:t>1.</w:t>
      </w:r>
      <w:r>
        <w:rPr>
          <w:rFonts w:hint="eastAsia" w:ascii="仿宋_GB2312" w:eastAsia="仿宋_GB2312"/>
          <w:b/>
          <w:color w:val="auto"/>
          <w:sz w:val="32"/>
          <w:szCs w:val="32"/>
          <w:highlight w:val="none"/>
        </w:rPr>
        <w:t>因公出国（境）经费支出</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万元</w:t>
      </w:r>
      <w:r>
        <w:rPr>
          <w:rFonts w:hint="eastAsia" w:ascii="仿宋_GB2312" w:eastAsia="仿宋_GB2312"/>
          <w:color w:val="auto"/>
          <w:sz w:val="32"/>
          <w:szCs w:val="32"/>
          <w:highlight w:val="none"/>
          <w:lang w:eastAsia="zh-CN"/>
        </w:rPr>
        <w:t>。</w:t>
      </w:r>
      <w:r>
        <w:rPr>
          <w:rFonts w:hint="eastAsia" w:ascii="仿宋_GB2312" w:eastAsia="仿宋_GB2312"/>
          <w:color w:val="auto"/>
          <w:sz w:val="32"/>
          <w:szCs w:val="32"/>
          <w:highlight w:val="none"/>
        </w:rPr>
        <w:t>主要原因是</w:t>
      </w:r>
      <w:r>
        <w:rPr>
          <w:rFonts w:hint="eastAsia" w:ascii="仿宋_GB2312" w:eastAsia="仿宋_GB2312"/>
          <w:color w:val="auto"/>
          <w:sz w:val="32"/>
          <w:szCs w:val="32"/>
          <w:highlight w:val="none"/>
          <w:lang w:val="en-US" w:eastAsia="zh-CN"/>
        </w:rPr>
        <w:t>当年无因公出国境费</w:t>
      </w:r>
      <w:r>
        <w:rPr>
          <w:rFonts w:hint="eastAsia" w:ascii="仿宋_GB2312" w:eastAsia="仿宋_GB2312"/>
          <w:color w:val="auto"/>
          <w:sz w:val="32"/>
          <w:szCs w:val="32"/>
          <w:highlight w:val="none"/>
        </w:rPr>
        <w:t>。</w:t>
      </w:r>
    </w:p>
    <w:p>
      <w:pPr>
        <w:spacing w:line="600" w:lineRule="exact"/>
        <w:ind w:firstLine="640"/>
        <w:rPr>
          <w:rFonts w:ascii="仿宋_GB2312" w:eastAsia="仿宋_GB2312"/>
          <w:b/>
          <w:color w:val="auto"/>
          <w:sz w:val="32"/>
          <w:szCs w:val="32"/>
          <w:highlight w:val="none"/>
        </w:rPr>
      </w:pPr>
      <w:r>
        <w:rPr>
          <w:rFonts w:ascii="仿宋_GB2312" w:eastAsia="仿宋_GB2312"/>
          <w:b/>
          <w:color w:val="auto"/>
          <w:sz w:val="32"/>
          <w:szCs w:val="32"/>
          <w:highlight w:val="none"/>
        </w:rPr>
        <w:t>2.</w:t>
      </w:r>
      <w:r>
        <w:rPr>
          <w:rFonts w:hint="eastAsia" w:ascii="仿宋_GB2312" w:eastAsia="仿宋_GB2312"/>
          <w:b/>
          <w:color w:val="auto"/>
          <w:sz w:val="32"/>
          <w:szCs w:val="32"/>
          <w:highlight w:val="none"/>
        </w:rPr>
        <w:t>公务用车购置及运行维护费支出</w:t>
      </w:r>
      <w:r>
        <w:rPr>
          <w:rFonts w:hint="eastAsia" w:ascii="仿宋_GB2312" w:eastAsia="仿宋_GB2312"/>
          <w:color w:val="auto"/>
          <w:sz w:val="32"/>
          <w:szCs w:val="32"/>
          <w:highlight w:val="none"/>
          <w:lang w:val="en-US" w:eastAsia="zh-CN"/>
        </w:rPr>
        <w:t>11.15</w:t>
      </w:r>
      <w:r>
        <w:rPr>
          <w:rFonts w:hint="eastAsia" w:ascii="仿宋_GB2312" w:eastAsia="仿宋_GB2312"/>
          <w:color w:val="auto"/>
          <w:sz w:val="32"/>
          <w:szCs w:val="32"/>
          <w:highlight w:val="none"/>
        </w:rPr>
        <w:t>万元,</w:t>
      </w:r>
      <w:r>
        <w:rPr>
          <w:rStyle w:val="20"/>
          <w:rFonts w:hint="eastAsia" w:ascii="仿宋" w:hAnsi="仿宋" w:eastAsia="仿宋"/>
          <w:b w:val="0"/>
          <w:bCs/>
          <w:color w:val="auto"/>
          <w:sz w:val="32"/>
          <w:szCs w:val="32"/>
          <w:highlight w:val="none"/>
        </w:rPr>
        <w:t>完成预算</w:t>
      </w:r>
      <w:r>
        <w:rPr>
          <w:rStyle w:val="20"/>
          <w:rFonts w:hint="eastAsia" w:ascii="仿宋" w:hAnsi="仿宋" w:eastAsia="仿宋"/>
          <w:b w:val="0"/>
          <w:bCs/>
          <w:color w:val="auto"/>
          <w:sz w:val="32"/>
          <w:szCs w:val="32"/>
          <w:highlight w:val="none"/>
          <w:lang w:val="en-US" w:eastAsia="zh-CN"/>
        </w:rPr>
        <w:t>100</w:t>
      </w:r>
      <w:r>
        <w:rPr>
          <w:rStyle w:val="20"/>
          <w:rFonts w:ascii="仿宋" w:hAnsi="仿宋" w:eastAsia="仿宋"/>
          <w:b w:val="0"/>
          <w:bCs/>
          <w:color w:val="auto"/>
          <w:sz w:val="32"/>
          <w:szCs w:val="32"/>
          <w:highlight w:val="none"/>
        </w:rPr>
        <w:t>%</w:t>
      </w:r>
      <w:r>
        <w:rPr>
          <w:rStyle w:val="20"/>
          <w:rFonts w:hint="eastAsia" w:ascii="仿宋" w:hAnsi="仿宋" w:eastAsia="仿宋"/>
          <w:b w:val="0"/>
          <w:bCs/>
          <w:color w:val="auto"/>
          <w:sz w:val="32"/>
          <w:szCs w:val="32"/>
          <w:highlight w:val="none"/>
        </w:rPr>
        <w:t>。</w:t>
      </w:r>
      <w:r>
        <w:rPr>
          <w:rFonts w:hint="eastAsia" w:ascii="仿宋_GB2312" w:eastAsia="仿宋_GB2312"/>
          <w:color w:val="auto"/>
          <w:sz w:val="32"/>
          <w:szCs w:val="32"/>
          <w:highlight w:val="none"/>
        </w:rPr>
        <w:t>公务用车购置及运行维护费支出决算比</w:t>
      </w:r>
      <w:r>
        <w:rPr>
          <w:rFonts w:ascii="仿宋_GB2312" w:eastAsia="仿宋_GB2312"/>
          <w:color w:val="auto"/>
          <w:sz w:val="32"/>
          <w:szCs w:val="32"/>
          <w:highlight w:val="none"/>
        </w:rPr>
        <w:t>20</w:t>
      </w:r>
      <w:r>
        <w:rPr>
          <w:rFonts w:hint="eastAsia" w:ascii="仿宋_GB2312" w:eastAsia="仿宋_GB2312"/>
          <w:color w:val="auto"/>
          <w:sz w:val="32"/>
          <w:szCs w:val="32"/>
          <w:highlight w:val="none"/>
          <w:lang w:val="en-US" w:eastAsia="zh-CN"/>
        </w:rPr>
        <w:t>21</w:t>
      </w:r>
      <w:r>
        <w:rPr>
          <w:rFonts w:hint="eastAsia" w:ascii="仿宋_GB2312" w:eastAsia="仿宋_GB2312"/>
          <w:color w:val="auto"/>
          <w:sz w:val="32"/>
          <w:szCs w:val="32"/>
          <w:highlight w:val="none"/>
        </w:rPr>
        <w:t>年增加</w:t>
      </w:r>
      <w:r>
        <w:rPr>
          <w:rFonts w:ascii="仿宋_GB2312" w:eastAsia="仿宋_GB2312"/>
          <w:color w:val="auto"/>
          <w:sz w:val="32"/>
          <w:szCs w:val="32"/>
          <w:highlight w:val="none"/>
        </w:rPr>
        <w:t>/</w:t>
      </w:r>
      <w:r>
        <w:rPr>
          <w:rFonts w:hint="eastAsia" w:ascii="仿宋_GB2312" w:eastAsia="仿宋_GB2312"/>
          <w:color w:val="auto"/>
          <w:sz w:val="32"/>
          <w:szCs w:val="32"/>
          <w:highlight w:val="none"/>
        </w:rPr>
        <w:t>减少</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万元，增长</w:t>
      </w:r>
      <w:r>
        <w:rPr>
          <w:rFonts w:ascii="仿宋_GB2312" w:eastAsia="仿宋_GB2312"/>
          <w:color w:val="auto"/>
          <w:sz w:val="32"/>
          <w:szCs w:val="32"/>
          <w:highlight w:val="none"/>
        </w:rPr>
        <w:t>/</w:t>
      </w:r>
      <w:r>
        <w:rPr>
          <w:rFonts w:hint="eastAsia" w:ascii="仿宋_GB2312" w:eastAsia="仿宋_GB2312"/>
          <w:color w:val="auto"/>
          <w:sz w:val="32"/>
          <w:szCs w:val="32"/>
          <w:highlight w:val="none"/>
        </w:rPr>
        <w:t>下降</w:t>
      </w:r>
      <w:r>
        <w:rPr>
          <w:rFonts w:hint="eastAsia" w:ascii="仿宋_GB2312" w:eastAsia="仿宋_GB2312"/>
          <w:color w:val="auto"/>
          <w:sz w:val="32"/>
          <w:szCs w:val="32"/>
          <w:highlight w:val="none"/>
          <w:lang w:val="en-US" w:eastAsia="zh-CN"/>
        </w:rPr>
        <w:t>0</w:t>
      </w:r>
      <w:r>
        <w:rPr>
          <w:rFonts w:ascii="仿宋_GB2312" w:eastAsia="仿宋_GB2312"/>
          <w:color w:val="auto"/>
          <w:sz w:val="32"/>
          <w:szCs w:val="32"/>
          <w:highlight w:val="none"/>
        </w:rPr>
        <w:t>%</w:t>
      </w:r>
      <w:r>
        <w:rPr>
          <w:rFonts w:hint="eastAsia" w:ascii="仿宋_GB2312" w:eastAsia="仿宋_GB2312"/>
          <w:color w:val="auto"/>
          <w:sz w:val="32"/>
          <w:szCs w:val="32"/>
          <w:highlight w:val="none"/>
        </w:rPr>
        <w:t>。主要原因是</w:t>
      </w:r>
      <w:r>
        <w:rPr>
          <w:rFonts w:hint="eastAsia" w:ascii="仿宋_GB2312" w:eastAsia="仿宋_GB2312"/>
          <w:color w:val="auto"/>
          <w:sz w:val="32"/>
          <w:szCs w:val="32"/>
          <w:highlight w:val="none"/>
          <w:lang w:val="en-US" w:eastAsia="zh-CN"/>
        </w:rPr>
        <w:t>当年无公务用车购置费</w:t>
      </w:r>
      <w:r>
        <w:rPr>
          <w:rFonts w:hint="eastAsia" w:ascii="仿宋_GB2312" w:eastAsia="仿宋_GB2312"/>
          <w:color w:val="auto"/>
          <w:sz w:val="32"/>
          <w:szCs w:val="32"/>
          <w:highlight w:val="none"/>
        </w:rPr>
        <w:t>。</w:t>
      </w:r>
    </w:p>
    <w:p>
      <w:pPr>
        <w:spacing w:line="600" w:lineRule="exact"/>
        <w:ind w:firstLine="640" w:firstLineChars="200"/>
        <w:rPr>
          <w:rFonts w:ascii="仿宋_GB2312" w:eastAsia="仿宋_GB2312"/>
          <w:b/>
          <w:color w:val="000000" w:themeColor="text1"/>
          <w:sz w:val="32"/>
          <w:szCs w:val="32"/>
          <w:highlight w:val="none"/>
          <w14:textFill>
            <w14:solidFill>
              <w14:schemeClr w14:val="tx1"/>
            </w14:solidFill>
          </w14:textFill>
        </w:rPr>
      </w:pPr>
      <w:r>
        <w:rPr>
          <w:rFonts w:hint="eastAsia" w:ascii="仿宋_GB2312" w:eastAsia="仿宋_GB2312"/>
          <w:color w:val="auto"/>
          <w:sz w:val="32"/>
          <w:szCs w:val="32"/>
          <w:highlight w:val="none"/>
        </w:rPr>
        <w:t>其中：</w:t>
      </w:r>
      <w:r>
        <w:rPr>
          <w:rFonts w:hint="eastAsia" w:ascii="仿宋_GB2312" w:eastAsia="仿宋_GB2312"/>
          <w:b/>
          <w:color w:val="auto"/>
          <w:sz w:val="32"/>
          <w:szCs w:val="32"/>
          <w:highlight w:val="none"/>
        </w:rPr>
        <w:t>公务用车购置支出</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万元。全年按规定更新购置公务用车</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辆，其中：轿车</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辆、金额</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万元，越野车</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辆、金额</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万元，载客汽车</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辆、金额</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万元。截至</w:t>
      </w:r>
      <w:r>
        <w:rPr>
          <w:rFonts w:ascii="仿宋_GB2312" w:eastAsia="仿宋_GB2312"/>
          <w:color w:val="auto"/>
          <w:sz w:val="32"/>
          <w:szCs w:val="32"/>
          <w:highlight w:val="none"/>
        </w:rPr>
        <w:t>20</w:t>
      </w:r>
      <w:r>
        <w:rPr>
          <w:rFonts w:hint="eastAsia" w:ascii="仿宋_GB2312" w:eastAsia="仿宋_GB2312"/>
          <w:color w:val="auto"/>
          <w:sz w:val="32"/>
          <w:szCs w:val="32"/>
          <w:highlight w:val="none"/>
          <w:lang w:val="en-US" w:eastAsia="zh-CN"/>
        </w:rPr>
        <w:t>22</w:t>
      </w:r>
      <w:r>
        <w:rPr>
          <w:rFonts w:hint="eastAsia" w:ascii="仿宋_GB2312" w:eastAsia="仿宋_GB2312"/>
          <w:color w:val="auto"/>
          <w:sz w:val="32"/>
          <w:szCs w:val="32"/>
          <w:highlight w:val="none"/>
        </w:rPr>
        <w:t>年</w:t>
      </w:r>
      <w:r>
        <w:rPr>
          <w:rFonts w:ascii="仿宋_GB2312" w:eastAsia="仿宋_GB2312"/>
          <w:color w:val="auto"/>
          <w:sz w:val="32"/>
          <w:szCs w:val="32"/>
          <w:highlight w:val="none"/>
        </w:rPr>
        <w:t>12</w:t>
      </w:r>
      <w:r>
        <w:rPr>
          <w:rFonts w:hint="eastAsia" w:ascii="仿宋_GB2312" w:eastAsia="仿宋_GB2312"/>
          <w:color w:val="auto"/>
          <w:sz w:val="32"/>
          <w:szCs w:val="32"/>
          <w:highlight w:val="none"/>
        </w:rPr>
        <w:t>月底，</w:t>
      </w:r>
      <w:r>
        <w:rPr>
          <w:rFonts w:hint="eastAsia" w:ascii="仿宋_GB2312" w:eastAsia="仿宋_GB2312"/>
          <w:color w:val="000000" w:themeColor="text1"/>
          <w:sz w:val="32"/>
          <w:szCs w:val="32"/>
          <w:highlight w:val="none"/>
          <w14:textFill>
            <w14:solidFill>
              <w14:schemeClr w14:val="tx1"/>
            </w14:solidFill>
          </w14:textFill>
        </w:rPr>
        <w:t>单位共有公务用车</w:t>
      </w:r>
      <w:r>
        <w:rPr>
          <w:rFonts w:hint="eastAsia" w:ascii="仿宋_GB2312" w:eastAsia="仿宋_GB2312"/>
          <w:color w:val="000000" w:themeColor="text1"/>
          <w:sz w:val="32"/>
          <w:szCs w:val="32"/>
          <w:highlight w:val="none"/>
          <w:lang w:val="en-US" w:eastAsia="zh-CN"/>
          <w14:textFill>
            <w14:solidFill>
              <w14:schemeClr w14:val="tx1"/>
            </w14:solidFill>
          </w14:textFill>
        </w:rPr>
        <w:t>2</w:t>
      </w:r>
      <w:r>
        <w:rPr>
          <w:rFonts w:hint="eastAsia" w:ascii="仿宋_GB2312" w:eastAsia="仿宋_GB2312"/>
          <w:color w:val="000000" w:themeColor="text1"/>
          <w:sz w:val="32"/>
          <w:szCs w:val="32"/>
          <w:highlight w:val="none"/>
          <w14:textFill>
            <w14:solidFill>
              <w14:schemeClr w14:val="tx1"/>
            </w14:solidFill>
          </w14:textFill>
        </w:rPr>
        <w:t>辆，其中：轿车</w:t>
      </w:r>
      <w:r>
        <w:rPr>
          <w:rFonts w:hint="eastAsia" w:ascii="仿宋_GB2312" w:eastAsia="仿宋_GB2312"/>
          <w:color w:val="000000" w:themeColor="text1"/>
          <w:sz w:val="32"/>
          <w:szCs w:val="32"/>
          <w:highlight w:val="none"/>
          <w:lang w:val="en-US" w:eastAsia="zh-CN"/>
          <w14:textFill>
            <w14:solidFill>
              <w14:schemeClr w14:val="tx1"/>
            </w14:solidFill>
          </w14:textFill>
        </w:rPr>
        <w:t>0</w:t>
      </w:r>
      <w:r>
        <w:rPr>
          <w:rFonts w:hint="eastAsia" w:ascii="仿宋_GB2312" w:eastAsia="仿宋_GB2312"/>
          <w:color w:val="000000" w:themeColor="text1"/>
          <w:sz w:val="32"/>
          <w:szCs w:val="32"/>
          <w:highlight w:val="none"/>
          <w14:textFill>
            <w14:solidFill>
              <w14:schemeClr w14:val="tx1"/>
            </w14:solidFill>
          </w14:textFill>
        </w:rPr>
        <w:t>辆、越野车</w:t>
      </w:r>
      <w:r>
        <w:rPr>
          <w:rFonts w:hint="eastAsia" w:ascii="仿宋_GB2312" w:eastAsia="仿宋_GB2312"/>
          <w:color w:val="000000" w:themeColor="text1"/>
          <w:sz w:val="32"/>
          <w:szCs w:val="32"/>
          <w:highlight w:val="none"/>
          <w:lang w:val="en-US" w:eastAsia="zh-CN"/>
          <w14:textFill>
            <w14:solidFill>
              <w14:schemeClr w14:val="tx1"/>
            </w14:solidFill>
          </w14:textFill>
        </w:rPr>
        <w:t>2</w:t>
      </w:r>
      <w:r>
        <w:rPr>
          <w:rFonts w:hint="eastAsia" w:ascii="仿宋_GB2312" w:eastAsia="仿宋_GB2312"/>
          <w:color w:val="000000" w:themeColor="text1"/>
          <w:sz w:val="32"/>
          <w:szCs w:val="32"/>
          <w:highlight w:val="none"/>
          <w14:textFill>
            <w14:solidFill>
              <w14:schemeClr w14:val="tx1"/>
            </w14:solidFill>
          </w14:textFill>
        </w:rPr>
        <w:t>辆、载客汽车</w:t>
      </w:r>
      <w:r>
        <w:rPr>
          <w:rFonts w:hint="eastAsia" w:ascii="仿宋_GB2312" w:eastAsia="仿宋_GB2312"/>
          <w:color w:val="000000" w:themeColor="text1"/>
          <w:sz w:val="32"/>
          <w:szCs w:val="32"/>
          <w:highlight w:val="none"/>
          <w:lang w:val="en-US" w:eastAsia="zh-CN"/>
          <w14:textFill>
            <w14:solidFill>
              <w14:schemeClr w14:val="tx1"/>
            </w14:solidFill>
          </w14:textFill>
        </w:rPr>
        <w:t>0</w:t>
      </w:r>
      <w:r>
        <w:rPr>
          <w:rFonts w:hint="eastAsia" w:ascii="仿宋_GB2312" w:eastAsia="仿宋_GB2312"/>
          <w:color w:val="000000" w:themeColor="text1"/>
          <w:sz w:val="32"/>
          <w:szCs w:val="32"/>
          <w:highlight w:val="none"/>
          <w14:textFill>
            <w14:solidFill>
              <w14:schemeClr w14:val="tx1"/>
            </w14:solidFill>
          </w14:textFill>
        </w:rPr>
        <w:t>辆。</w:t>
      </w:r>
    </w:p>
    <w:p>
      <w:pPr>
        <w:spacing w:line="600" w:lineRule="exact"/>
        <w:ind w:firstLine="640"/>
        <w:rPr>
          <w:rFonts w:ascii="仿宋_GB2312" w:eastAsia="仿宋_GB2312"/>
          <w:color w:val="000000"/>
          <w:sz w:val="32"/>
          <w:szCs w:val="32"/>
        </w:rPr>
      </w:pPr>
      <w:r>
        <w:rPr>
          <w:rFonts w:hint="eastAsia" w:ascii="仿宋_GB2312" w:eastAsia="仿宋_GB2312"/>
          <w:b/>
          <w:color w:val="auto"/>
          <w:sz w:val="32"/>
          <w:szCs w:val="32"/>
          <w:highlight w:val="none"/>
        </w:rPr>
        <w:t>公务用车运行维护费支出</w:t>
      </w:r>
      <w:r>
        <w:rPr>
          <w:rFonts w:hint="eastAsia" w:ascii="仿宋_GB2312" w:eastAsia="仿宋_GB2312"/>
          <w:color w:val="auto"/>
          <w:sz w:val="32"/>
          <w:szCs w:val="32"/>
          <w:highlight w:val="none"/>
          <w:lang w:val="en-US" w:eastAsia="zh-CN"/>
        </w:rPr>
        <w:t>11.15</w:t>
      </w:r>
      <w:r>
        <w:rPr>
          <w:rFonts w:hint="eastAsia" w:ascii="仿宋_GB2312" w:eastAsia="仿宋_GB2312"/>
          <w:color w:val="auto"/>
          <w:sz w:val="32"/>
          <w:szCs w:val="32"/>
          <w:highlight w:val="none"/>
        </w:rPr>
        <w:t>万元。</w:t>
      </w:r>
      <w:r>
        <w:rPr>
          <w:rFonts w:hint="eastAsia" w:ascii="仿宋_GB2312" w:eastAsia="仿宋_GB2312"/>
          <w:color w:val="000000"/>
          <w:sz w:val="32"/>
          <w:szCs w:val="32"/>
        </w:rPr>
        <w:t>主要用于</w:t>
      </w:r>
      <w:r>
        <w:rPr>
          <w:rFonts w:hint="eastAsia" w:ascii="仿宋_GB2312" w:eastAsia="仿宋_GB2312"/>
          <w:color w:val="000000"/>
          <w:sz w:val="32"/>
          <w:szCs w:val="32"/>
          <w:lang w:val="en-US" w:eastAsia="zh-CN"/>
        </w:rPr>
        <w:t>公车下乡出差</w:t>
      </w:r>
      <w:r>
        <w:rPr>
          <w:rFonts w:hint="eastAsia" w:ascii="仿宋_GB2312" w:eastAsia="仿宋_GB2312"/>
          <w:color w:val="000000"/>
          <w:sz w:val="32"/>
          <w:szCs w:val="32"/>
        </w:rPr>
        <w:t>等所需的公务用车燃料费、维修费、过路过桥费、保险费等支出。</w:t>
      </w:r>
    </w:p>
    <w:p>
      <w:pPr>
        <w:spacing w:line="600" w:lineRule="exact"/>
        <w:ind w:firstLine="640"/>
        <w:rPr>
          <w:rFonts w:ascii="仿宋_GB2312" w:eastAsia="仿宋_GB2312"/>
          <w:color w:val="000000" w:themeColor="text1"/>
          <w:sz w:val="32"/>
          <w:szCs w:val="32"/>
          <w:highlight w:val="none"/>
          <w14:textFill>
            <w14:solidFill>
              <w14:schemeClr w14:val="tx1"/>
            </w14:solidFill>
          </w14:textFill>
        </w:rPr>
      </w:pPr>
      <w:r>
        <w:rPr>
          <w:rFonts w:ascii="仿宋_GB2312" w:eastAsia="仿宋_GB2312"/>
          <w:b/>
          <w:color w:val="auto"/>
          <w:sz w:val="32"/>
          <w:szCs w:val="32"/>
          <w:highlight w:val="none"/>
        </w:rPr>
        <w:t>3.</w:t>
      </w:r>
      <w:r>
        <w:rPr>
          <w:rFonts w:hint="eastAsia" w:ascii="仿宋_GB2312" w:eastAsia="仿宋_GB2312"/>
          <w:b/>
          <w:color w:val="auto"/>
          <w:sz w:val="32"/>
          <w:szCs w:val="32"/>
          <w:highlight w:val="none"/>
        </w:rPr>
        <w:t>公务接待费支出</w:t>
      </w:r>
      <w:r>
        <w:rPr>
          <w:rFonts w:hint="eastAsia" w:ascii="仿宋_GB2312" w:eastAsia="仿宋_GB2312"/>
          <w:color w:val="auto"/>
          <w:sz w:val="32"/>
          <w:szCs w:val="32"/>
          <w:highlight w:val="none"/>
          <w:lang w:val="en-US" w:eastAsia="zh-CN"/>
        </w:rPr>
        <w:t>0.11</w:t>
      </w:r>
      <w:r>
        <w:rPr>
          <w:rFonts w:hint="eastAsia" w:ascii="仿宋_GB2312" w:eastAsia="仿宋_GB2312"/>
          <w:color w:val="auto"/>
          <w:sz w:val="32"/>
          <w:szCs w:val="32"/>
          <w:highlight w:val="none"/>
        </w:rPr>
        <w:t>万元，</w:t>
      </w:r>
      <w:r>
        <w:rPr>
          <w:rStyle w:val="20"/>
          <w:rFonts w:hint="eastAsia" w:ascii="仿宋" w:hAnsi="仿宋" w:eastAsia="仿宋"/>
          <w:b w:val="0"/>
          <w:bCs/>
          <w:color w:val="auto"/>
          <w:sz w:val="32"/>
          <w:szCs w:val="32"/>
          <w:highlight w:val="none"/>
        </w:rPr>
        <w:t>完成预算</w:t>
      </w:r>
      <w:r>
        <w:rPr>
          <w:rStyle w:val="20"/>
          <w:rFonts w:hint="eastAsia" w:ascii="仿宋" w:hAnsi="仿宋" w:eastAsia="仿宋"/>
          <w:b w:val="0"/>
          <w:bCs/>
          <w:color w:val="auto"/>
          <w:sz w:val="32"/>
          <w:szCs w:val="32"/>
          <w:highlight w:val="none"/>
          <w:lang w:val="en-US" w:eastAsia="zh-CN"/>
        </w:rPr>
        <w:t>100</w:t>
      </w:r>
      <w:r>
        <w:rPr>
          <w:rStyle w:val="20"/>
          <w:rFonts w:ascii="仿宋" w:hAnsi="仿宋" w:eastAsia="仿宋"/>
          <w:b w:val="0"/>
          <w:bCs/>
          <w:color w:val="auto"/>
          <w:sz w:val="32"/>
          <w:szCs w:val="32"/>
          <w:highlight w:val="none"/>
        </w:rPr>
        <w:t>%</w:t>
      </w:r>
      <w:r>
        <w:rPr>
          <w:rStyle w:val="20"/>
          <w:rFonts w:hint="eastAsia" w:ascii="仿宋" w:hAnsi="仿宋" w:eastAsia="仿宋"/>
          <w:b w:val="0"/>
          <w:bCs/>
          <w:color w:val="auto"/>
          <w:sz w:val="32"/>
          <w:szCs w:val="32"/>
          <w:highlight w:val="none"/>
        </w:rPr>
        <w:t>。</w:t>
      </w:r>
      <w:r>
        <w:rPr>
          <w:rFonts w:hint="eastAsia" w:ascii="仿宋_GB2312" w:eastAsia="仿宋_GB2312"/>
          <w:color w:val="auto"/>
          <w:sz w:val="32"/>
          <w:szCs w:val="32"/>
          <w:highlight w:val="none"/>
        </w:rPr>
        <w:t>公务接待费支出决算比</w:t>
      </w:r>
      <w:r>
        <w:rPr>
          <w:rFonts w:ascii="仿宋_GB2312" w:eastAsia="仿宋_GB2312"/>
          <w:color w:val="auto"/>
          <w:sz w:val="32"/>
          <w:szCs w:val="32"/>
          <w:highlight w:val="none"/>
        </w:rPr>
        <w:t>20</w:t>
      </w:r>
      <w:r>
        <w:rPr>
          <w:rFonts w:hint="eastAsia" w:ascii="仿宋_GB2312" w:eastAsia="仿宋_GB2312"/>
          <w:color w:val="auto"/>
          <w:sz w:val="32"/>
          <w:szCs w:val="32"/>
          <w:highlight w:val="none"/>
          <w:lang w:val="en-US" w:eastAsia="zh-CN"/>
        </w:rPr>
        <w:t>21</w:t>
      </w:r>
      <w:r>
        <w:rPr>
          <w:rFonts w:hint="eastAsia" w:ascii="仿宋_GB2312" w:eastAsia="仿宋_GB2312"/>
          <w:color w:val="auto"/>
          <w:sz w:val="32"/>
          <w:szCs w:val="32"/>
          <w:highlight w:val="none"/>
        </w:rPr>
        <w:t>年减少</w:t>
      </w:r>
      <w:r>
        <w:rPr>
          <w:rFonts w:hint="eastAsia" w:ascii="仿宋_GB2312" w:eastAsia="仿宋_GB2312"/>
          <w:color w:val="auto"/>
          <w:sz w:val="32"/>
          <w:szCs w:val="32"/>
          <w:highlight w:val="none"/>
          <w:lang w:val="en-US" w:eastAsia="zh-CN"/>
        </w:rPr>
        <w:t>0.40</w:t>
      </w:r>
      <w:r>
        <w:rPr>
          <w:rFonts w:hint="eastAsia" w:ascii="仿宋_GB2312" w:eastAsia="仿宋_GB2312"/>
          <w:color w:val="auto"/>
          <w:sz w:val="32"/>
          <w:szCs w:val="32"/>
          <w:highlight w:val="none"/>
        </w:rPr>
        <w:t>万元，下降</w:t>
      </w:r>
      <w:r>
        <w:rPr>
          <w:rFonts w:hint="eastAsia" w:ascii="仿宋_GB2312" w:eastAsia="仿宋_GB2312"/>
          <w:color w:val="auto"/>
          <w:sz w:val="32"/>
          <w:szCs w:val="32"/>
          <w:highlight w:val="none"/>
          <w:lang w:val="en-US" w:eastAsia="zh-CN"/>
        </w:rPr>
        <w:t>78.09</w:t>
      </w:r>
      <w:r>
        <w:rPr>
          <w:rFonts w:ascii="仿宋_GB2312" w:eastAsia="仿宋_GB2312"/>
          <w:color w:val="auto"/>
          <w:sz w:val="32"/>
          <w:szCs w:val="32"/>
          <w:highlight w:val="none"/>
        </w:rPr>
        <w:t>%</w:t>
      </w:r>
      <w:r>
        <w:rPr>
          <w:rFonts w:hint="eastAsia" w:ascii="仿宋_GB2312" w:eastAsia="仿宋_GB2312"/>
          <w:color w:val="auto"/>
          <w:sz w:val="32"/>
          <w:szCs w:val="32"/>
          <w:highlight w:val="none"/>
        </w:rPr>
        <w:t>。</w:t>
      </w:r>
      <w:r>
        <w:rPr>
          <w:rFonts w:hint="eastAsia" w:ascii="仿宋_GB2312" w:eastAsia="仿宋_GB2312"/>
          <w:color w:val="000000" w:themeColor="text1"/>
          <w:sz w:val="32"/>
          <w:szCs w:val="32"/>
          <w:highlight w:val="none"/>
          <w14:textFill>
            <w14:solidFill>
              <w14:schemeClr w14:val="tx1"/>
            </w14:solidFill>
          </w14:textFill>
        </w:rPr>
        <w:t>主要原因是</w:t>
      </w:r>
      <w:r>
        <w:rPr>
          <w:rFonts w:hint="eastAsia" w:ascii="仿宋_GB2312" w:eastAsia="仿宋_GB2312"/>
          <w:color w:val="000000" w:themeColor="text1"/>
          <w:sz w:val="32"/>
          <w:szCs w:val="32"/>
          <w:highlight w:val="none"/>
          <w:lang w:val="en-US" w:eastAsia="zh-CN"/>
          <w14:textFill>
            <w14:solidFill>
              <w14:schemeClr w14:val="tx1"/>
            </w14:solidFill>
          </w14:textFill>
        </w:rPr>
        <w:t>公务接待减少</w:t>
      </w:r>
      <w:r>
        <w:rPr>
          <w:rFonts w:hint="eastAsia" w:ascii="仿宋_GB2312" w:eastAsia="仿宋_GB2312"/>
          <w:color w:val="000000" w:themeColor="text1"/>
          <w:sz w:val="32"/>
          <w:szCs w:val="32"/>
          <w:highlight w:val="none"/>
          <w14:textFill>
            <w14:solidFill>
              <w14:schemeClr w14:val="tx1"/>
            </w14:solidFill>
          </w14:textFill>
        </w:rPr>
        <w:t>。其中：</w:t>
      </w:r>
    </w:p>
    <w:p>
      <w:pPr>
        <w:spacing w:line="600" w:lineRule="exact"/>
        <w:ind w:firstLine="640"/>
        <w:rPr>
          <w:rFonts w:ascii="黑体" w:eastAsia="黑体"/>
          <w:color w:val="auto"/>
          <w:sz w:val="32"/>
          <w:szCs w:val="32"/>
          <w:highlight w:val="none"/>
        </w:rPr>
      </w:pPr>
      <w:r>
        <w:rPr>
          <w:rFonts w:hint="eastAsia" w:ascii="仿宋" w:hAnsi="仿宋" w:eastAsia="仿宋"/>
          <w:b/>
          <w:color w:val="000000" w:themeColor="text1"/>
          <w:sz w:val="32"/>
          <w:szCs w:val="32"/>
          <w:highlight w:val="none"/>
          <w14:textFill>
            <w14:solidFill>
              <w14:schemeClr w14:val="tx1"/>
            </w14:solidFill>
          </w14:textFill>
        </w:rPr>
        <w:t>国内公务接待支出</w:t>
      </w:r>
      <w:r>
        <w:rPr>
          <w:rFonts w:hint="eastAsia" w:ascii="仿宋" w:hAnsi="仿宋" w:eastAsia="仿宋"/>
          <w:color w:val="000000" w:themeColor="text1"/>
          <w:sz w:val="32"/>
          <w:szCs w:val="32"/>
          <w:highlight w:val="none"/>
          <w:lang w:val="en-US" w:eastAsia="zh-CN"/>
          <w14:textFill>
            <w14:solidFill>
              <w14:schemeClr w14:val="tx1"/>
            </w14:solidFill>
          </w14:textFill>
        </w:rPr>
        <w:t>0.11</w:t>
      </w:r>
      <w:r>
        <w:rPr>
          <w:rFonts w:hint="eastAsia" w:ascii="仿宋_GB2312" w:eastAsia="仿宋_GB2312"/>
          <w:color w:val="000000" w:themeColor="text1"/>
          <w:sz w:val="32"/>
          <w:szCs w:val="32"/>
          <w:highlight w:val="none"/>
          <w14:textFill>
            <w14:solidFill>
              <w14:schemeClr w14:val="tx1"/>
            </w14:solidFill>
          </w14:textFill>
        </w:rPr>
        <w:t>万元，主要用于执行公务、开展业务活动开支的交通费、住宿费、用餐费等。</w:t>
      </w:r>
      <w:bookmarkStart w:id="75" w:name="_Toc15396610"/>
      <w:bookmarkStart w:id="76" w:name="_Toc15377218"/>
    </w:p>
    <w:p>
      <w:pPr>
        <w:spacing w:line="600" w:lineRule="exact"/>
        <w:ind w:firstLine="640"/>
        <w:outlineLvl w:val="1"/>
        <w:rPr>
          <w:rStyle w:val="33"/>
          <w:rFonts w:ascii="黑体" w:hAnsi="黑体" w:eastAsia="黑体"/>
          <w:color w:val="auto"/>
          <w:highlight w:val="none"/>
        </w:rPr>
      </w:pPr>
      <w:bookmarkStart w:id="77" w:name="_Toc29246"/>
      <w:r>
        <w:rPr>
          <w:rFonts w:hint="eastAsia" w:ascii="黑体" w:eastAsia="黑体"/>
          <w:color w:val="auto"/>
          <w:sz w:val="32"/>
          <w:szCs w:val="32"/>
          <w:highlight w:val="none"/>
        </w:rPr>
        <w:t>八、</w:t>
      </w:r>
      <w:r>
        <w:rPr>
          <w:rStyle w:val="33"/>
          <w:rFonts w:hint="eastAsia" w:ascii="黑体" w:hAnsi="黑体" w:eastAsia="黑体"/>
          <w:b w:val="0"/>
          <w:color w:val="auto"/>
          <w:highlight w:val="none"/>
        </w:rPr>
        <w:t>政府性基金预算支出决算情况说明</w:t>
      </w:r>
      <w:bookmarkEnd w:id="75"/>
      <w:bookmarkEnd w:id="76"/>
      <w:bookmarkEnd w:id="77"/>
    </w:p>
    <w:p>
      <w:pPr>
        <w:spacing w:line="600" w:lineRule="exact"/>
        <w:ind w:firstLine="640"/>
        <w:rPr>
          <w:rFonts w:ascii="仿宋_GB2312" w:eastAsia="仿宋_GB2312"/>
          <w:color w:val="auto"/>
          <w:sz w:val="32"/>
          <w:szCs w:val="32"/>
          <w:highlight w:val="none"/>
        </w:rPr>
      </w:pPr>
      <w:r>
        <w:rPr>
          <w:rFonts w:ascii="仿宋_GB2312" w:eastAsia="仿宋_GB2312"/>
          <w:color w:val="auto"/>
          <w:sz w:val="32"/>
          <w:szCs w:val="32"/>
          <w:highlight w:val="none"/>
        </w:rPr>
        <w:t>20</w:t>
      </w:r>
      <w:r>
        <w:rPr>
          <w:rFonts w:hint="eastAsia" w:ascii="仿宋_GB2312" w:eastAsia="仿宋_GB2312"/>
          <w:color w:val="auto"/>
          <w:sz w:val="32"/>
          <w:szCs w:val="32"/>
          <w:highlight w:val="none"/>
          <w:lang w:val="en-US" w:eastAsia="zh-CN"/>
        </w:rPr>
        <w:t>22</w:t>
      </w:r>
      <w:r>
        <w:rPr>
          <w:rFonts w:hint="eastAsia" w:ascii="仿宋_GB2312" w:eastAsia="仿宋_GB2312"/>
          <w:color w:val="auto"/>
          <w:sz w:val="32"/>
          <w:szCs w:val="32"/>
          <w:highlight w:val="none"/>
        </w:rPr>
        <w:t>年政府性基金预算</w:t>
      </w:r>
      <w:r>
        <w:rPr>
          <w:rFonts w:hint="eastAsia" w:ascii="仿宋_GB2312" w:eastAsia="仿宋_GB2312"/>
          <w:color w:val="auto"/>
          <w:sz w:val="32"/>
          <w:szCs w:val="32"/>
          <w:highlight w:val="none"/>
          <w:lang w:eastAsia="zh-CN"/>
        </w:rPr>
        <w:t>财政</w:t>
      </w:r>
      <w:r>
        <w:rPr>
          <w:rFonts w:hint="eastAsia" w:ascii="仿宋_GB2312" w:eastAsia="仿宋_GB2312"/>
          <w:color w:val="auto"/>
          <w:sz w:val="32"/>
          <w:szCs w:val="32"/>
          <w:highlight w:val="none"/>
        </w:rPr>
        <w:t>拨款支出</w:t>
      </w:r>
      <w:r>
        <w:rPr>
          <w:rFonts w:hint="eastAsia" w:ascii="仿宋_GB2312" w:eastAsia="仿宋_GB2312"/>
          <w:color w:val="auto"/>
          <w:sz w:val="32"/>
          <w:szCs w:val="32"/>
          <w:highlight w:val="none"/>
          <w:lang w:val="en-US" w:eastAsia="zh-CN"/>
        </w:rPr>
        <w:t>6.66</w:t>
      </w:r>
      <w:r>
        <w:rPr>
          <w:rFonts w:hint="eastAsia" w:ascii="仿宋_GB2312" w:eastAsia="仿宋_GB2312"/>
          <w:color w:val="auto"/>
          <w:sz w:val="32"/>
          <w:szCs w:val="32"/>
          <w:highlight w:val="none"/>
        </w:rPr>
        <w:t>万元。</w:t>
      </w:r>
    </w:p>
    <w:p>
      <w:pPr>
        <w:numPr>
          <w:ilvl w:val="0"/>
          <w:numId w:val="3"/>
        </w:numPr>
        <w:spacing w:line="600" w:lineRule="exact"/>
        <w:ind w:firstLine="640"/>
        <w:outlineLvl w:val="1"/>
        <w:rPr>
          <w:rStyle w:val="33"/>
          <w:rFonts w:ascii="黑体" w:hAnsi="黑体" w:eastAsia="黑体"/>
          <w:b w:val="0"/>
          <w:color w:val="auto"/>
          <w:highlight w:val="none"/>
        </w:rPr>
      </w:pPr>
      <w:bookmarkStart w:id="78" w:name="_Toc15377219"/>
      <w:bookmarkStart w:id="79" w:name="_Toc15396611"/>
      <w:bookmarkStart w:id="80" w:name="_Toc21942"/>
      <w:r>
        <w:rPr>
          <w:rStyle w:val="33"/>
          <w:rFonts w:hint="eastAsia" w:ascii="黑体" w:hAnsi="黑体" w:eastAsia="黑体"/>
          <w:b w:val="0"/>
          <w:color w:val="auto"/>
          <w:highlight w:val="none"/>
        </w:rPr>
        <w:t>国有资本经营预算支出决算情况说明</w:t>
      </w:r>
      <w:bookmarkEnd w:id="78"/>
      <w:bookmarkEnd w:id="79"/>
      <w:bookmarkEnd w:id="80"/>
    </w:p>
    <w:p>
      <w:pPr>
        <w:spacing w:line="600" w:lineRule="exact"/>
        <w:ind w:firstLine="640"/>
        <w:rPr>
          <w:rFonts w:ascii="方正小标宋简体" w:hAnsi="方正小标宋简体" w:eastAsia="方正小标宋简体" w:cs="方正小标宋简体"/>
          <w:color w:val="auto"/>
          <w:sz w:val="44"/>
          <w:szCs w:val="44"/>
          <w:highlight w:val="none"/>
        </w:rPr>
      </w:pPr>
      <w:r>
        <w:rPr>
          <w:rFonts w:ascii="仿宋_GB2312" w:eastAsia="仿宋_GB2312"/>
          <w:color w:val="auto"/>
          <w:sz w:val="32"/>
          <w:szCs w:val="32"/>
          <w:highlight w:val="none"/>
        </w:rPr>
        <w:t>20</w:t>
      </w:r>
      <w:r>
        <w:rPr>
          <w:rFonts w:hint="eastAsia" w:ascii="仿宋_GB2312" w:eastAsia="仿宋_GB2312"/>
          <w:color w:val="auto"/>
          <w:sz w:val="32"/>
          <w:szCs w:val="32"/>
          <w:highlight w:val="none"/>
          <w:lang w:val="en-US" w:eastAsia="zh-CN"/>
        </w:rPr>
        <w:t>22</w:t>
      </w:r>
      <w:r>
        <w:rPr>
          <w:rFonts w:hint="eastAsia" w:ascii="仿宋_GB2312" w:eastAsia="仿宋_GB2312"/>
          <w:color w:val="auto"/>
          <w:sz w:val="32"/>
          <w:szCs w:val="32"/>
          <w:highlight w:val="none"/>
        </w:rPr>
        <w:t>年国有资本经营预算</w:t>
      </w:r>
      <w:r>
        <w:rPr>
          <w:rFonts w:hint="eastAsia" w:ascii="仿宋_GB2312" w:eastAsia="仿宋_GB2312"/>
          <w:color w:val="auto"/>
          <w:sz w:val="32"/>
          <w:szCs w:val="32"/>
          <w:highlight w:val="none"/>
          <w:lang w:eastAsia="zh-CN"/>
        </w:rPr>
        <w:t>财政</w:t>
      </w:r>
      <w:r>
        <w:rPr>
          <w:rFonts w:hint="eastAsia" w:ascii="仿宋_GB2312" w:eastAsia="仿宋_GB2312"/>
          <w:color w:val="auto"/>
          <w:sz w:val="32"/>
          <w:szCs w:val="32"/>
          <w:highlight w:val="none"/>
        </w:rPr>
        <w:t>拨款支出</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万元。</w:t>
      </w:r>
    </w:p>
    <w:p>
      <w:pPr>
        <w:numPr>
          <w:ilvl w:val="0"/>
          <w:numId w:val="3"/>
        </w:numPr>
        <w:spacing w:line="600" w:lineRule="exact"/>
        <w:ind w:firstLine="640"/>
        <w:outlineLvl w:val="1"/>
        <w:rPr>
          <w:rStyle w:val="33"/>
          <w:rFonts w:hint="eastAsia" w:ascii="黑体" w:hAnsi="黑体" w:eastAsia="黑体"/>
          <w:b w:val="0"/>
          <w:color w:val="auto"/>
          <w:highlight w:val="none"/>
        </w:rPr>
      </w:pPr>
      <w:bookmarkStart w:id="81" w:name="_Toc15377221"/>
      <w:bookmarkStart w:id="82" w:name="_Toc15396612"/>
      <w:bookmarkStart w:id="83" w:name="_Toc11904"/>
      <w:r>
        <w:rPr>
          <w:rStyle w:val="33"/>
          <w:rFonts w:hint="eastAsia" w:ascii="黑体" w:hAnsi="黑体" w:eastAsia="黑体"/>
          <w:b w:val="0"/>
          <w:color w:val="auto"/>
          <w:highlight w:val="none"/>
        </w:rPr>
        <w:t>其他重要事项的情况说明</w:t>
      </w:r>
      <w:bookmarkEnd w:id="81"/>
      <w:bookmarkEnd w:id="82"/>
      <w:bookmarkEnd w:id="83"/>
    </w:p>
    <w:p>
      <w:pPr>
        <w:spacing w:line="600" w:lineRule="exact"/>
        <w:ind w:firstLine="643" w:firstLineChars="200"/>
        <w:outlineLvl w:val="2"/>
        <w:rPr>
          <w:rFonts w:ascii="仿宋" w:hAnsi="仿宋" w:eastAsia="仿宋"/>
          <w:color w:val="auto"/>
          <w:sz w:val="32"/>
          <w:szCs w:val="32"/>
          <w:highlight w:val="none"/>
        </w:rPr>
      </w:pPr>
      <w:bookmarkStart w:id="84" w:name="_Toc15377222"/>
      <w:r>
        <w:rPr>
          <w:rFonts w:hint="eastAsia" w:ascii="仿宋" w:hAnsi="仿宋" w:eastAsia="仿宋"/>
          <w:b/>
          <w:color w:val="auto"/>
          <w:sz w:val="32"/>
          <w:szCs w:val="32"/>
          <w:highlight w:val="none"/>
        </w:rPr>
        <w:t>（一）机关运行经费支出情况</w:t>
      </w:r>
      <w:bookmarkEnd w:id="84"/>
    </w:p>
    <w:p>
      <w:pPr>
        <w:spacing w:line="600" w:lineRule="exact"/>
        <w:ind w:firstLine="640" w:firstLineChars="200"/>
        <w:rPr>
          <w:rFonts w:hint="eastAsia" w:ascii="仿宋_GB2312" w:eastAsia="仿宋_GB2312"/>
          <w:color w:val="auto"/>
          <w:sz w:val="32"/>
          <w:szCs w:val="32"/>
          <w:highlight w:val="none"/>
          <w:lang w:eastAsia="zh-CN"/>
        </w:rPr>
      </w:pPr>
      <w:r>
        <w:rPr>
          <w:rFonts w:ascii="仿宋_GB2312" w:eastAsia="仿宋_GB2312"/>
          <w:color w:val="auto"/>
          <w:sz w:val="32"/>
          <w:szCs w:val="32"/>
          <w:highlight w:val="none"/>
        </w:rPr>
        <w:t>20</w:t>
      </w:r>
      <w:r>
        <w:rPr>
          <w:rFonts w:hint="eastAsia" w:ascii="仿宋_GB2312" w:eastAsia="仿宋_GB2312"/>
          <w:color w:val="auto"/>
          <w:sz w:val="32"/>
          <w:szCs w:val="32"/>
          <w:highlight w:val="none"/>
          <w:lang w:val="en-US" w:eastAsia="zh-CN"/>
        </w:rPr>
        <w:t>22</w:t>
      </w:r>
      <w:r>
        <w:rPr>
          <w:rFonts w:hint="eastAsia" w:ascii="仿宋_GB2312" w:eastAsia="仿宋_GB2312"/>
          <w:color w:val="auto"/>
          <w:sz w:val="32"/>
          <w:szCs w:val="32"/>
          <w:highlight w:val="none"/>
        </w:rPr>
        <w:t>年，</w:t>
      </w:r>
      <w:r>
        <w:rPr>
          <w:rFonts w:hint="eastAsia" w:ascii="仿宋_GB2312" w:eastAsia="仿宋_GB2312"/>
          <w:color w:val="auto"/>
          <w:sz w:val="32"/>
          <w:szCs w:val="32"/>
          <w:highlight w:val="none"/>
          <w:lang w:val="en-US" w:eastAsia="zh-CN"/>
        </w:rPr>
        <w:t>壤塘县文化体育和旅游局</w:t>
      </w:r>
      <w:r>
        <w:rPr>
          <w:rFonts w:hint="eastAsia" w:ascii="仿宋_GB2312" w:eastAsia="仿宋_GB2312"/>
          <w:color w:val="auto"/>
          <w:sz w:val="32"/>
          <w:szCs w:val="32"/>
          <w:highlight w:val="none"/>
        </w:rPr>
        <w:t>机关运行经费支出</w:t>
      </w:r>
      <w:r>
        <w:rPr>
          <w:rFonts w:hint="eastAsia" w:ascii="仿宋_GB2312" w:eastAsia="仿宋_GB2312"/>
          <w:color w:val="auto"/>
          <w:sz w:val="32"/>
          <w:szCs w:val="32"/>
          <w:highlight w:val="none"/>
          <w:lang w:val="en-US" w:eastAsia="zh-CN"/>
        </w:rPr>
        <w:t>58.47</w:t>
      </w:r>
      <w:r>
        <w:rPr>
          <w:rFonts w:hint="eastAsia" w:ascii="仿宋_GB2312" w:eastAsia="仿宋_GB2312"/>
          <w:color w:val="auto"/>
          <w:sz w:val="32"/>
          <w:szCs w:val="32"/>
          <w:highlight w:val="none"/>
        </w:rPr>
        <w:t>万元，比</w:t>
      </w:r>
      <w:r>
        <w:rPr>
          <w:rFonts w:ascii="仿宋_GB2312" w:eastAsia="仿宋_GB2312"/>
          <w:color w:val="auto"/>
          <w:sz w:val="32"/>
          <w:szCs w:val="32"/>
          <w:highlight w:val="none"/>
        </w:rPr>
        <w:t>20</w:t>
      </w:r>
      <w:r>
        <w:rPr>
          <w:rFonts w:hint="eastAsia" w:ascii="仿宋_GB2312" w:eastAsia="仿宋_GB2312"/>
          <w:color w:val="auto"/>
          <w:sz w:val="32"/>
          <w:szCs w:val="32"/>
          <w:highlight w:val="none"/>
          <w:lang w:val="en-US" w:eastAsia="zh-CN"/>
        </w:rPr>
        <w:t>21</w:t>
      </w:r>
      <w:r>
        <w:rPr>
          <w:rFonts w:hint="eastAsia" w:ascii="仿宋_GB2312" w:eastAsia="仿宋_GB2312"/>
          <w:color w:val="auto"/>
          <w:sz w:val="32"/>
          <w:szCs w:val="32"/>
          <w:highlight w:val="none"/>
        </w:rPr>
        <w:t>年增加</w:t>
      </w:r>
      <w:r>
        <w:rPr>
          <w:rFonts w:hint="eastAsia" w:ascii="仿宋_GB2312" w:eastAsia="仿宋_GB2312"/>
          <w:color w:val="auto"/>
          <w:sz w:val="32"/>
          <w:szCs w:val="32"/>
          <w:highlight w:val="none"/>
          <w:lang w:val="en-US" w:eastAsia="zh-CN"/>
        </w:rPr>
        <w:t>0.85</w:t>
      </w:r>
      <w:r>
        <w:rPr>
          <w:rFonts w:hint="eastAsia" w:ascii="仿宋_GB2312" w:eastAsia="仿宋_GB2312"/>
          <w:color w:val="auto"/>
          <w:sz w:val="32"/>
          <w:szCs w:val="32"/>
          <w:highlight w:val="none"/>
        </w:rPr>
        <w:t>万元，增长</w:t>
      </w:r>
      <w:r>
        <w:rPr>
          <w:rFonts w:hint="eastAsia" w:ascii="仿宋_GB2312" w:eastAsia="仿宋_GB2312"/>
          <w:color w:val="auto"/>
          <w:sz w:val="32"/>
          <w:szCs w:val="32"/>
          <w:highlight w:val="none"/>
          <w:lang w:val="en-US" w:eastAsia="zh-CN"/>
        </w:rPr>
        <w:t>1.47</w:t>
      </w:r>
      <w:r>
        <w:rPr>
          <w:rFonts w:ascii="仿宋_GB2312" w:eastAsia="仿宋_GB2312"/>
          <w:color w:val="auto"/>
          <w:sz w:val="32"/>
          <w:szCs w:val="32"/>
          <w:highlight w:val="none"/>
        </w:rPr>
        <w:t>%</w:t>
      </w:r>
      <w:r>
        <w:rPr>
          <w:rFonts w:hint="eastAsia" w:ascii="仿宋_GB2312" w:eastAsia="仿宋_GB2312"/>
          <w:color w:val="auto"/>
          <w:sz w:val="32"/>
          <w:szCs w:val="32"/>
          <w:highlight w:val="none"/>
          <w:lang w:eastAsia="zh-CN"/>
        </w:rPr>
        <w:t>。</w:t>
      </w:r>
      <w:r>
        <w:rPr>
          <w:rFonts w:hint="eastAsia" w:ascii="仿宋_GB2312" w:eastAsia="仿宋_GB2312"/>
          <w:color w:val="auto"/>
          <w:sz w:val="32"/>
          <w:szCs w:val="32"/>
          <w:highlight w:val="none"/>
        </w:rPr>
        <w:t>主要原因是</w:t>
      </w:r>
      <w:r>
        <w:rPr>
          <w:rFonts w:hint="eastAsia" w:ascii="仿宋_GB2312" w:eastAsia="仿宋_GB2312"/>
          <w:color w:val="auto"/>
          <w:sz w:val="32"/>
          <w:szCs w:val="32"/>
          <w:highlight w:val="none"/>
          <w:lang w:val="en-US" w:eastAsia="zh-CN"/>
        </w:rPr>
        <w:t>当年项目增加，支出增加</w:t>
      </w:r>
      <w:r>
        <w:rPr>
          <w:rFonts w:hint="eastAsia" w:ascii="仿宋_GB2312" w:eastAsia="仿宋_GB2312"/>
          <w:color w:val="auto"/>
          <w:sz w:val="32"/>
          <w:szCs w:val="32"/>
          <w:highlight w:val="none"/>
          <w:lang w:eastAsia="zh-CN"/>
        </w:rPr>
        <w:t>。</w:t>
      </w:r>
    </w:p>
    <w:p>
      <w:pPr>
        <w:spacing w:line="600" w:lineRule="exact"/>
        <w:ind w:firstLine="643" w:firstLineChars="200"/>
        <w:rPr>
          <w:rFonts w:ascii="仿宋" w:hAnsi="仿宋" w:eastAsia="仿宋"/>
          <w:b/>
          <w:color w:val="auto"/>
          <w:sz w:val="32"/>
          <w:szCs w:val="32"/>
          <w:highlight w:val="none"/>
        </w:rPr>
      </w:pPr>
      <w:r>
        <w:rPr>
          <w:rFonts w:hint="eastAsia" w:ascii="仿宋" w:hAnsi="仿宋" w:eastAsia="仿宋"/>
          <w:b/>
          <w:color w:val="auto"/>
          <w:sz w:val="32"/>
          <w:szCs w:val="32"/>
          <w:highlight w:val="none"/>
        </w:rPr>
        <w:t>（注：数据来源于财决附</w:t>
      </w:r>
      <w:r>
        <w:rPr>
          <w:rFonts w:ascii="仿宋" w:hAnsi="仿宋" w:eastAsia="仿宋"/>
          <w:b/>
          <w:color w:val="auto"/>
          <w:sz w:val="32"/>
          <w:szCs w:val="32"/>
          <w:highlight w:val="none"/>
        </w:rPr>
        <w:t>03</w:t>
      </w:r>
      <w:r>
        <w:rPr>
          <w:rFonts w:hint="eastAsia" w:ascii="仿宋" w:hAnsi="仿宋" w:eastAsia="仿宋"/>
          <w:b/>
          <w:color w:val="auto"/>
          <w:sz w:val="32"/>
          <w:szCs w:val="32"/>
          <w:highlight w:val="none"/>
        </w:rPr>
        <w:t>表）</w:t>
      </w:r>
    </w:p>
    <w:p>
      <w:pPr>
        <w:autoSpaceDE w:val="0"/>
        <w:autoSpaceDN w:val="0"/>
        <w:adjustRightInd w:val="0"/>
        <w:spacing w:line="600" w:lineRule="exact"/>
        <w:ind w:firstLine="643" w:firstLineChars="200"/>
        <w:jc w:val="left"/>
        <w:outlineLvl w:val="2"/>
        <w:rPr>
          <w:rFonts w:ascii="仿宋" w:hAnsi="仿宋" w:eastAsia="仿宋"/>
          <w:b/>
          <w:color w:val="auto"/>
          <w:sz w:val="32"/>
          <w:szCs w:val="32"/>
          <w:highlight w:val="none"/>
        </w:rPr>
      </w:pPr>
      <w:bookmarkStart w:id="85" w:name="_Toc15377223"/>
      <w:r>
        <w:rPr>
          <w:rFonts w:hint="eastAsia" w:ascii="仿宋" w:hAnsi="仿宋" w:eastAsia="仿宋"/>
          <w:b/>
          <w:color w:val="auto"/>
          <w:sz w:val="32"/>
          <w:szCs w:val="32"/>
          <w:highlight w:val="none"/>
        </w:rPr>
        <w:t>（二）政府采购支出情况</w:t>
      </w:r>
      <w:bookmarkEnd w:id="85"/>
    </w:p>
    <w:p>
      <w:pPr>
        <w:spacing w:line="600" w:lineRule="exact"/>
        <w:ind w:firstLine="640" w:firstLineChars="200"/>
        <w:rPr>
          <w:rFonts w:ascii="仿宋_GB2312" w:eastAsia="仿宋_GB2312"/>
          <w:color w:val="auto"/>
          <w:sz w:val="32"/>
          <w:szCs w:val="32"/>
          <w:highlight w:val="none"/>
        </w:rPr>
      </w:pPr>
      <w:r>
        <w:rPr>
          <w:rFonts w:ascii="仿宋_GB2312" w:eastAsia="仿宋_GB2312"/>
          <w:color w:val="auto"/>
          <w:sz w:val="32"/>
          <w:szCs w:val="32"/>
          <w:highlight w:val="none"/>
        </w:rPr>
        <w:t>20</w:t>
      </w:r>
      <w:r>
        <w:rPr>
          <w:rFonts w:hint="eastAsia" w:ascii="仿宋_GB2312" w:eastAsia="仿宋_GB2312"/>
          <w:color w:val="auto"/>
          <w:sz w:val="32"/>
          <w:szCs w:val="32"/>
          <w:highlight w:val="none"/>
          <w:lang w:val="en-US" w:eastAsia="zh-CN"/>
        </w:rPr>
        <w:t>22</w:t>
      </w:r>
      <w:r>
        <w:rPr>
          <w:rFonts w:hint="eastAsia" w:ascii="仿宋_GB2312" w:eastAsia="仿宋_GB2312"/>
          <w:color w:val="auto"/>
          <w:sz w:val="32"/>
          <w:szCs w:val="32"/>
          <w:highlight w:val="none"/>
        </w:rPr>
        <w:t>年，</w:t>
      </w:r>
      <w:r>
        <w:rPr>
          <w:rFonts w:hint="eastAsia" w:ascii="仿宋_GB2312" w:eastAsia="仿宋_GB2312"/>
          <w:color w:val="auto"/>
          <w:sz w:val="32"/>
          <w:szCs w:val="32"/>
          <w:highlight w:val="none"/>
          <w:lang w:val="en-US" w:eastAsia="zh-CN"/>
        </w:rPr>
        <w:t>壤塘县文化体育和旅游局</w:t>
      </w:r>
      <w:r>
        <w:rPr>
          <w:rFonts w:hint="eastAsia" w:ascii="仿宋_GB2312" w:eastAsia="仿宋_GB2312"/>
          <w:color w:val="auto"/>
          <w:sz w:val="32"/>
          <w:szCs w:val="32"/>
          <w:highlight w:val="none"/>
        </w:rPr>
        <w:t>政府采购支出总额</w:t>
      </w:r>
      <w:r>
        <w:rPr>
          <w:rFonts w:hint="eastAsia" w:ascii="仿宋_GB2312" w:eastAsia="仿宋_GB2312"/>
          <w:color w:val="auto"/>
          <w:sz w:val="32"/>
          <w:szCs w:val="32"/>
          <w:highlight w:val="none"/>
          <w:lang w:val="en-US" w:eastAsia="zh-CN"/>
        </w:rPr>
        <w:t>466.80</w:t>
      </w:r>
      <w:r>
        <w:rPr>
          <w:rFonts w:hint="eastAsia" w:ascii="仿宋_GB2312" w:eastAsia="仿宋_GB2312"/>
          <w:color w:val="auto"/>
          <w:sz w:val="32"/>
          <w:szCs w:val="32"/>
          <w:highlight w:val="none"/>
        </w:rPr>
        <w:t>万元，其中：政府采购货物支出</w:t>
      </w:r>
      <w:r>
        <w:rPr>
          <w:rFonts w:hint="eastAsia" w:ascii="仿宋_GB2312" w:eastAsia="仿宋_GB2312"/>
          <w:color w:val="auto"/>
          <w:sz w:val="32"/>
          <w:szCs w:val="32"/>
          <w:highlight w:val="none"/>
          <w:lang w:val="en-US" w:eastAsia="zh-CN"/>
        </w:rPr>
        <w:t>421</w:t>
      </w:r>
      <w:r>
        <w:rPr>
          <w:rFonts w:hint="eastAsia" w:ascii="仿宋_GB2312" w:eastAsia="仿宋_GB2312"/>
          <w:color w:val="auto"/>
          <w:sz w:val="32"/>
          <w:szCs w:val="32"/>
          <w:highlight w:val="none"/>
        </w:rPr>
        <w:t>万元、政府采购工程支出</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万元、政府采购服务支出</w:t>
      </w:r>
      <w:r>
        <w:rPr>
          <w:rFonts w:hint="eastAsia" w:ascii="仿宋_GB2312" w:eastAsia="仿宋_GB2312"/>
          <w:color w:val="auto"/>
          <w:sz w:val="32"/>
          <w:szCs w:val="32"/>
          <w:highlight w:val="none"/>
          <w:lang w:val="en-US" w:eastAsia="zh-CN"/>
        </w:rPr>
        <w:t>45.80</w:t>
      </w:r>
      <w:r>
        <w:rPr>
          <w:rFonts w:hint="eastAsia" w:ascii="仿宋_GB2312" w:eastAsia="仿宋_GB2312"/>
          <w:color w:val="auto"/>
          <w:sz w:val="32"/>
          <w:szCs w:val="32"/>
          <w:highlight w:val="none"/>
        </w:rPr>
        <w:t>万元。授予中小企业合同金额</w:t>
      </w:r>
      <w:r>
        <w:rPr>
          <w:rFonts w:hint="eastAsia" w:ascii="仿宋_GB2312" w:eastAsia="仿宋_GB2312"/>
          <w:color w:val="auto"/>
          <w:sz w:val="32"/>
          <w:szCs w:val="32"/>
          <w:highlight w:val="none"/>
          <w:lang w:val="en-US" w:eastAsia="zh-CN"/>
        </w:rPr>
        <w:t>466.8</w:t>
      </w:r>
      <w:r>
        <w:rPr>
          <w:rFonts w:hint="eastAsia" w:ascii="仿宋_GB2312" w:eastAsia="仿宋_GB2312"/>
          <w:color w:val="auto"/>
          <w:sz w:val="32"/>
          <w:szCs w:val="32"/>
          <w:highlight w:val="none"/>
        </w:rPr>
        <w:t>万元，占政府采购支出总额的</w:t>
      </w:r>
      <w:r>
        <w:rPr>
          <w:rFonts w:hint="eastAsia" w:ascii="仿宋_GB2312" w:eastAsia="仿宋_GB2312"/>
          <w:color w:val="auto"/>
          <w:sz w:val="32"/>
          <w:szCs w:val="32"/>
          <w:highlight w:val="none"/>
          <w:lang w:val="en-US" w:eastAsia="zh-CN"/>
        </w:rPr>
        <w:t>100</w:t>
      </w:r>
      <w:r>
        <w:rPr>
          <w:rFonts w:ascii="仿宋_GB2312" w:eastAsia="仿宋_GB2312"/>
          <w:color w:val="auto"/>
          <w:sz w:val="32"/>
          <w:szCs w:val="32"/>
          <w:highlight w:val="none"/>
        </w:rPr>
        <w:t>%</w:t>
      </w:r>
      <w:r>
        <w:rPr>
          <w:rFonts w:hint="eastAsia" w:ascii="仿宋_GB2312" w:eastAsia="仿宋_GB2312"/>
          <w:color w:val="auto"/>
          <w:sz w:val="32"/>
          <w:szCs w:val="32"/>
          <w:highlight w:val="none"/>
        </w:rPr>
        <w:t>，其中：授予小微企业合同金额</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万元，占政府采购支出总额的</w:t>
      </w:r>
      <w:r>
        <w:rPr>
          <w:rFonts w:hint="eastAsia" w:ascii="仿宋_GB2312" w:eastAsia="仿宋_GB2312"/>
          <w:color w:val="auto"/>
          <w:sz w:val="32"/>
          <w:szCs w:val="32"/>
          <w:highlight w:val="none"/>
          <w:lang w:val="en-US" w:eastAsia="zh-CN"/>
        </w:rPr>
        <w:t>0</w:t>
      </w:r>
      <w:r>
        <w:rPr>
          <w:rFonts w:ascii="仿宋_GB2312" w:eastAsia="仿宋_GB2312"/>
          <w:color w:val="auto"/>
          <w:sz w:val="32"/>
          <w:szCs w:val="32"/>
          <w:highlight w:val="none"/>
        </w:rPr>
        <w:t>%</w:t>
      </w:r>
      <w:r>
        <w:rPr>
          <w:rFonts w:hint="eastAsia" w:ascii="仿宋_GB2312" w:eastAsia="仿宋_GB2312"/>
          <w:color w:val="auto"/>
          <w:sz w:val="32"/>
          <w:szCs w:val="32"/>
          <w:highlight w:val="none"/>
        </w:rPr>
        <w:t>。</w:t>
      </w:r>
    </w:p>
    <w:p>
      <w:pPr>
        <w:spacing w:line="600" w:lineRule="exact"/>
        <w:ind w:firstLine="643" w:firstLineChars="200"/>
        <w:rPr>
          <w:rFonts w:ascii="仿宋" w:hAnsi="仿宋" w:eastAsia="仿宋"/>
          <w:b/>
          <w:color w:val="auto"/>
          <w:sz w:val="32"/>
          <w:szCs w:val="32"/>
          <w:highlight w:val="none"/>
        </w:rPr>
      </w:pPr>
      <w:r>
        <w:rPr>
          <w:rFonts w:hint="eastAsia" w:ascii="仿宋" w:hAnsi="仿宋" w:eastAsia="仿宋"/>
          <w:b/>
          <w:color w:val="auto"/>
          <w:sz w:val="32"/>
          <w:szCs w:val="32"/>
          <w:highlight w:val="none"/>
        </w:rPr>
        <w:t>（注：数据来源于财决附</w:t>
      </w:r>
      <w:r>
        <w:rPr>
          <w:rFonts w:ascii="仿宋" w:hAnsi="仿宋" w:eastAsia="仿宋"/>
          <w:b/>
          <w:color w:val="auto"/>
          <w:sz w:val="32"/>
          <w:szCs w:val="32"/>
          <w:highlight w:val="none"/>
        </w:rPr>
        <w:t>03</w:t>
      </w:r>
      <w:r>
        <w:rPr>
          <w:rFonts w:hint="eastAsia" w:ascii="仿宋" w:hAnsi="仿宋" w:eastAsia="仿宋"/>
          <w:b/>
          <w:color w:val="auto"/>
          <w:sz w:val="32"/>
          <w:szCs w:val="32"/>
          <w:highlight w:val="none"/>
        </w:rPr>
        <w:t>表）</w:t>
      </w:r>
    </w:p>
    <w:p>
      <w:pPr>
        <w:autoSpaceDE w:val="0"/>
        <w:autoSpaceDN w:val="0"/>
        <w:adjustRightInd w:val="0"/>
        <w:spacing w:line="600" w:lineRule="exact"/>
        <w:ind w:firstLine="643" w:firstLineChars="200"/>
        <w:jc w:val="left"/>
        <w:outlineLvl w:val="2"/>
        <w:rPr>
          <w:rFonts w:ascii="仿宋" w:hAnsi="仿宋" w:eastAsia="仿宋"/>
          <w:b/>
          <w:color w:val="auto"/>
          <w:sz w:val="32"/>
          <w:szCs w:val="32"/>
          <w:highlight w:val="none"/>
        </w:rPr>
      </w:pPr>
      <w:bookmarkStart w:id="86" w:name="_Toc15377224"/>
      <w:r>
        <w:rPr>
          <w:rFonts w:hint="eastAsia" w:ascii="仿宋" w:hAnsi="仿宋" w:eastAsia="仿宋"/>
          <w:b/>
          <w:color w:val="auto"/>
          <w:sz w:val="32"/>
          <w:szCs w:val="32"/>
          <w:highlight w:val="none"/>
        </w:rPr>
        <w:t>（三）国有资产占有使用情况</w:t>
      </w:r>
      <w:bookmarkEnd w:id="86"/>
    </w:p>
    <w:p>
      <w:pPr>
        <w:autoSpaceDE w:val="0"/>
        <w:autoSpaceDN w:val="0"/>
        <w:adjustRightInd w:val="0"/>
        <w:spacing w:line="600" w:lineRule="exact"/>
        <w:ind w:firstLine="640" w:firstLineChars="200"/>
        <w:jc w:val="left"/>
        <w:rPr>
          <w:rFonts w:hint="eastAsia" w:ascii="仿宋_GB2312" w:eastAsia="仿宋_GB2312"/>
          <w:color w:val="auto"/>
          <w:sz w:val="32"/>
          <w:szCs w:val="32"/>
          <w:highlight w:val="none"/>
        </w:rPr>
      </w:pPr>
      <w:r>
        <w:rPr>
          <w:rFonts w:hint="eastAsia" w:ascii="仿宋_GB2312" w:eastAsia="仿宋_GB2312"/>
          <w:color w:val="auto"/>
          <w:sz w:val="32"/>
          <w:szCs w:val="32"/>
          <w:highlight w:val="none"/>
        </w:rPr>
        <w:t>截至</w:t>
      </w:r>
      <w:r>
        <w:rPr>
          <w:rFonts w:ascii="仿宋_GB2312" w:eastAsia="仿宋_GB2312"/>
          <w:color w:val="auto"/>
          <w:sz w:val="32"/>
          <w:szCs w:val="32"/>
          <w:highlight w:val="none"/>
        </w:rPr>
        <w:t>20</w:t>
      </w:r>
      <w:r>
        <w:rPr>
          <w:rFonts w:hint="eastAsia" w:ascii="仿宋_GB2312" w:eastAsia="仿宋_GB2312"/>
          <w:color w:val="auto"/>
          <w:sz w:val="32"/>
          <w:szCs w:val="32"/>
          <w:highlight w:val="none"/>
          <w:lang w:val="en-US" w:eastAsia="zh-CN"/>
        </w:rPr>
        <w:t>22</w:t>
      </w:r>
      <w:r>
        <w:rPr>
          <w:rFonts w:hint="eastAsia" w:ascii="仿宋_GB2312" w:eastAsia="仿宋_GB2312"/>
          <w:color w:val="auto"/>
          <w:sz w:val="32"/>
          <w:szCs w:val="32"/>
          <w:highlight w:val="none"/>
        </w:rPr>
        <w:t>年</w:t>
      </w:r>
      <w:r>
        <w:rPr>
          <w:rFonts w:ascii="仿宋_GB2312" w:eastAsia="仿宋_GB2312"/>
          <w:color w:val="auto"/>
          <w:sz w:val="32"/>
          <w:szCs w:val="32"/>
          <w:highlight w:val="none"/>
        </w:rPr>
        <w:t>12</w:t>
      </w:r>
      <w:r>
        <w:rPr>
          <w:rFonts w:hint="eastAsia" w:ascii="仿宋_GB2312" w:eastAsia="仿宋_GB2312"/>
          <w:color w:val="auto"/>
          <w:sz w:val="32"/>
          <w:szCs w:val="32"/>
          <w:highlight w:val="none"/>
        </w:rPr>
        <w:t>月</w:t>
      </w:r>
      <w:r>
        <w:rPr>
          <w:rFonts w:ascii="仿宋_GB2312" w:eastAsia="仿宋_GB2312"/>
          <w:color w:val="auto"/>
          <w:sz w:val="32"/>
          <w:szCs w:val="32"/>
          <w:highlight w:val="none"/>
        </w:rPr>
        <w:t>31</w:t>
      </w:r>
      <w:r>
        <w:rPr>
          <w:rFonts w:hint="eastAsia" w:ascii="仿宋_GB2312" w:eastAsia="仿宋_GB2312"/>
          <w:color w:val="auto"/>
          <w:sz w:val="32"/>
          <w:szCs w:val="32"/>
          <w:highlight w:val="none"/>
        </w:rPr>
        <w:t>日，</w:t>
      </w:r>
      <w:r>
        <w:rPr>
          <w:rFonts w:hint="eastAsia" w:ascii="仿宋_GB2312" w:eastAsia="仿宋_GB2312"/>
          <w:color w:val="auto"/>
          <w:sz w:val="32"/>
          <w:szCs w:val="32"/>
          <w:highlight w:val="none"/>
          <w:lang w:val="en-US" w:eastAsia="zh-CN"/>
        </w:rPr>
        <w:t>壤塘县文化体育和旅游局</w:t>
      </w:r>
      <w:r>
        <w:rPr>
          <w:rFonts w:hint="eastAsia" w:ascii="仿宋_GB2312" w:eastAsia="仿宋_GB2312"/>
          <w:color w:val="auto"/>
          <w:sz w:val="32"/>
          <w:szCs w:val="32"/>
          <w:highlight w:val="none"/>
        </w:rPr>
        <w:t>共有车辆</w:t>
      </w:r>
      <w:r>
        <w:rPr>
          <w:rFonts w:hint="eastAsia" w:ascii="仿宋_GB2312" w:eastAsia="仿宋_GB2312"/>
          <w:color w:val="auto"/>
          <w:sz w:val="32"/>
          <w:szCs w:val="32"/>
          <w:highlight w:val="none"/>
          <w:lang w:val="en-US" w:eastAsia="zh-CN"/>
        </w:rPr>
        <w:t>3</w:t>
      </w:r>
      <w:r>
        <w:rPr>
          <w:rFonts w:hint="eastAsia" w:ascii="仿宋_GB2312" w:eastAsia="仿宋_GB2312"/>
          <w:color w:val="auto"/>
          <w:sz w:val="32"/>
          <w:szCs w:val="32"/>
          <w:highlight w:val="none"/>
        </w:rPr>
        <w:t>辆，其中：主要领导干部用车</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辆、机要通信用车</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辆、应急保障用车</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辆、其他用车</w:t>
      </w:r>
      <w:r>
        <w:rPr>
          <w:rFonts w:hint="eastAsia" w:ascii="仿宋_GB2312" w:eastAsia="仿宋_GB2312"/>
          <w:color w:val="auto"/>
          <w:sz w:val="32"/>
          <w:szCs w:val="32"/>
          <w:highlight w:val="none"/>
          <w:lang w:val="en-US" w:eastAsia="zh-CN"/>
        </w:rPr>
        <w:t>3</w:t>
      </w:r>
      <w:r>
        <w:rPr>
          <w:rFonts w:hint="eastAsia" w:ascii="仿宋_GB2312" w:eastAsia="仿宋_GB2312"/>
          <w:color w:val="auto"/>
          <w:sz w:val="32"/>
          <w:szCs w:val="32"/>
          <w:highlight w:val="none"/>
        </w:rPr>
        <w:t>辆</w:t>
      </w:r>
      <w:r>
        <w:rPr>
          <w:rFonts w:hint="eastAsia" w:ascii="仿宋_GB2312" w:eastAsia="仿宋_GB2312"/>
          <w:color w:val="auto"/>
          <w:sz w:val="32"/>
          <w:szCs w:val="32"/>
          <w:highlight w:val="none"/>
          <w:lang w:eastAsia="zh-CN"/>
        </w:rPr>
        <w:t>。</w:t>
      </w:r>
      <w:r>
        <w:rPr>
          <w:rFonts w:hint="eastAsia" w:ascii="仿宋_GB2312" w:eastAsia="仿宋_GB2312"/>
          <w:color w:val="auto"/>
          <w:sz w:val="32"/>
          <w:szCs w:val="32"/>
          <w:highlight w:val="none"/>
        </w:rPr>
        <w:t>单价</w:t>
      </w:r>
      <w:r>
        <w:rPr>
          <w:rFonts w:ascii="仿宋_GB2312" w:eastAsia="仿宋_GB2312"/>
          <w:color w:val="auto"/>
          <w:sz w:val="32"/>
          <w:szCs w:val="32"/>
          <w:highlight w:val="none"/>
        </w:rPr>
        <w:t>100</w:t>
      </w:r>
      <w:r>
        <w:rPr>
          <w:rFonts w:hint="eastAsia" w:ascii="仿宋_GB2312" w:eastAsia="仿宋_GB2312"/>
          <w:color w:val="auto"/>
          <w:sz w:val="32"/>
          <w:szCs w:val="32"/>
          <w:highlight w:val="none"/>
        </w:rPr>
        <w:t>万元以上专用设备</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台（套）。</w:t>
      </w:r>
    </w:p>
    <w:p>
      <w:pPr>
        <w:autoSpaceDE w:val="0"/>
        <w:autoSpaceDN w:val="0"/>
        <w:adjustRightInd w:val="0"/>
        <w:spacing w:line="600" w:lineRule="exact"/>
        <w:ind w:firstLine="643" w:firstLineChars="200"/>
        <w:jc w:val="left"/>
        <w:rPr>
          <w:rFonts w:ascii="仿宋" w:hAnsi="仿宋" w:eastAsia="仿宋"/>
          <w:b/>
          <w:color w:val="auto"/>
          <w:sz w:val="32"/>
          <w:szCs w:val="32"/>
          <w:highlight w:val="none"/>
        </w:rPr>
      </w:pPr>
      <w:r>
        <w:rPr>
          <w:rFonts w:hint="eastAsia" w:ascii="仿宋" w:hAnsi="仿宋" w:eastAsia="仿宋"/>
          <w:b/>
          <w:color w:val="auto"/>
          <w:sz w:val="32"/>
          <w:szCs w:val="32"/>
          <w:highlight w:val="none"/>
        </w:rPr>
        <w:t>（注：数据来源</w:t>
      </w:r>
      <w:r>
        <w:rPr>
          <w:rFonts w:hint="eastAsia" w:ascii="仿宋" w:hAnsi="仿宋" w:eastAsia="仿宋"/>
          <w:b/>
          <w:color w:val="auto"/>
          <w:sz w:val="32"/>
          <w:szCs w:val="32"/>
          <w:highlight w:val="none"/>
          <w:lang w:eastAsia="zh-CN"/>
        </w:rPr>
        <w:t>于</w:t>
      </w:r>
      <w:r>
        <w:rPr>
          <w:rFonts w:hint="eastAsia" w:ascii="仿宋" w:hAnsi="仿宋" w:eastAsia="仿宋"/>
          <w:b/>
          <w:color w:val="auto"/>
          <w:sz w:val="32"/>
          <w:szCs w:val="32"/>
          <w:highlight w:val="none"/>
        </w:rPr>
        <w:t>财决附</w:t>
      </w:r>
      <w:r>
        <w:rPr>
          <w:rFonts w:ascii="仿宋" w:hAnsi="仿宋" w:eastAsia="仿宋"/>
          <w:b/>
          <w:color w:val="auto"/>
          <w:sz w:val="32"/>
          <w:szCs w:val="32"/>
          <w:highlight w:val="none"/>
        </w:rPr>
        <w:t>03</w:t>
      </w:r>
      <w:r>
        <w:rPr>
          <w:rFonts w:hint="eastAsia" w:ascii="仿宋" w:hAnsi="仿宋" w:eastAsia="仿宋"/>
          <w:b/>
          <w:color w:val="auto"/>
          <w:sz w:val="32"/>
          <w:szCs w:val="32"/>
          <w:highlight w:val="none"/>
        </w:rPr>
        <w:t>表，按部门决算报表填报数据罗列车辆情况。）</w:t>
      </w:r>
    </w:p>
    <w:p>
      <w:pPr>
        <w:autoSpaceDE w:val="0"/>
        <w:autoSpaceDN w:val="0"/>
        <w:adjustRightInd w:val="0"/>
        <w:spacing w:line="600" w:lineRule="exact"/>
        <w:ind w:firstLine="643" w:firstLineChars="200"/>
        <w:jc w:val="left"/>
        <w:outlineLvl w:val="2"/>
        <w:rPr>
          <w:rFonts w:ascii="仿宋" w:hAnsi="仿宋" w:eastAsia="仿宋"/>
          <w:b/>
          <w:color w:val="auto"/>
          <w:sz w:val="32"/>
          <w:szCs w:val="32"/>
          <w:highlight w:val="none"/>
        </w:rPr>
      </w:pPr>
      <w:r>
        <w:rPr>
          <w:rFonts w:hint="eastAsia" w:ascii="仿宋" w:hAnsi="仿宋" w:eastAsia="仿宋"/>
          <w:b/>
          <w:color w:val="auto"/>
          <w:sz w:val="32"/>
          <w:szCs w:val="32"/>
          <w:highlight w:val="none"/>
        </w:rPr>
        <w:t>（四）预算绩效管理情况</w:t>
      </w:r>
    </w:p>
    <w:p>
      <w:pPr>
        <w:widowControl/>
        <w:ind w:firstLine="640" w:firstLineChars="200"/>
        <w:jc w:val="left"/>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根据预算绩效管理要求，本部门在202</w:t>
      </w:r>
      <w:r>
        <w:rPr>
          <w:rFonts w:hint="eastAsia" w:ascii="仿宋_GB2312" w:hAnsi="仿宋_GB2312" w:eastAsia="仿宋_GB2312" w:cs="仿宋_GB2312"/>
          <w:color w:val="auto"/>
          <w:sz w:val="32"/>
          <w:szCs w:val="32"/>
          <w:highlight w:val="none"/>
          <w:lang w:val="en-US" w:eastAsia="zh-CN"/>
        </w:rPr>
        <w:t>2</w:t>
      </w:r>
      <w:r>
        <w:rPr>
          <w:rFonts w:hint="eastAsia" w:ascii="仿宋_GB2312" w:hAnsi="仿宋_GB2312" w:eastAsia="仿宋_GB2312" w:cs="仿宋_GB2312"/>
          <w:color w:val="auto"/>
          <w:sz w:val="32"/>
          <w:szCs w:val="32"/>
          <w:highlight w:val="none"/>
        </w:rPr>
        <w:t>年度预算编制阶段，组织对</w:t>
      </w:r>
      <w:r>
        <w:rPr>
          <w:rFonts w:hint="eastAsia" w:ascii="仿宋_GB2312" w:hAnsi="仿宋_GB2312" w:eastAsia="仿宋_GB2312" w:cs="仿宋_GB2312"/>
          <w:color w:val="auto"/>
          <w:sz w:val="32"/>
          <w:szCs w:val="32"/>
          <w:highlight w:val="none"/>
          <w:lang w:val="en-US" w:eastAsia="zh-CN"/>
        </w:rPr>
        <w:t>1</w:t>
      </w:r>
      <w:r>
        <w:rPr>
          <w:rFonts w:hint="eastAsia" w:ascii="仿宋_GB2312" w:hAnsi="仿宋_GB2312" w:eastAsia="仿宋_GB2312" w:cs="仿宋_GB2312"/>
          <w:color w:val="auto"/>
          <w:sz w:val="32"/>
          <w:szCs w:val="32"/>
          <w:highlight w:val="none"/>
        </w:rPr>
        <w:t>项目（</w:t>
      </w:r>
      <w:r>
        <w:rPr>
          <w:rFonts w:hint="eastAsia" w:ascii="仿宋_GB2312" w:hAnsi="仿宋_GB2312" w:eastAsia="仿宋_GB2312" w:cs="仿宋_GB2312"/>
          <w:color w:val="auto"/>
          <w:sz w:val="32"/>
          <w:szCs w:val="32"/>
          <w:highlight w:val="none"/>
          <w:lang w:val="en-US" w:eastAsia="zh-CN"/>
        </w:rPr>
        <w:t>城南广场文化小品打造项目</w:t>
      </w:r>
      <w:r>
        <w:rPr>
          <w:rFonts w:hint="eastAsia" w:ascii="仿宋_GB2312" w:hAnsi="仿宋_GB2312" w:eastAsia="仿宋_GB2312" w:cs="仿宋_GB2312"/>
          <w:color w:val="auto"/>
          <w:sz w:val="32"/>
          <w:szCs w:val="32"/>
          <w:highlight w:val="none"/>
        </w:rPr>
        <w:t>）开展了预算事前绩效评估，对</w:t>
      </w:r>
      <w:r>
        <w:rPr>
          <w:rFonts w:hint="eastAsia" w:ascii="仿宋_GB2312" w:hAnsi="仿宋_GB2312" w:eastAsia="仿宋_GB2312" w:cs="仿宋_GB2312"/>
          <w:color w:val="auto"/>
          <w:sz w:val="32"/>
          <w:szCs w:val="32"/>
          <w:highlight w:val="none"/>
          <w:lang w:val="en-US" w:eastAsia="zh-CN"/>
        </w:rPr>
        <w:t>1</w:t>
      </w:r>
      <w:r>
        <w:rPr>
          <w:rFonts w:hint="eastAsia" w:ascii="仿宋_GB2312" w:hAnsi="仿宋_GB2312" w:eastAsia="仿宋_GB2312" w:cs="仿宋_GB2312"/>
          <w:color w:val="auto"/>
          <w:sz w:val="32"/>
          <w:szCs w:val="32"/>
          <w:highlight w:val="none"/>
        </w:rPr>
        <w:t>个项目编制了绩效目标，预算执行过程中，选取</w:t>
      </w:r>
      <w:r>
        <w:rPr>
          <w:rFonts w:hint="eastAsia" w:ascii="仿宋_GB2312" w:hAnsi="仿宋_GB2312" w:eastAsia="仿宋_GB2312" w:cs="仿宋_GB2312"/>
          <w:color w:val="auto"/>
          <w:sz w:val="32"/>
          <w:szCs w:val="32"/>
          <w:highlight w:val="none"/>
          <w:lang w:val="en-US" w:eastAsia="zh-CN"/>
        </w:rPr>
        <w:t>1</w:t>
      </w:r>
      <w:r>
        <w:rPr>
          <w:rFonts w:hint="eastAsia" w:ascii="仿宋_GB2312" w:hAnsi="仿宋_GB2312" w:eastAsia="仿宋_GB2312" w:cs="仿宋_GB2312"/>
          <w:color w:val="auto"/>
          <w:sz w:val="32"/>
          <w:szCs w:val="32"/>
          <w:highlight w:val="none"/>
        </w:rPr>
        <w:t>个项目开展绩效监控。</w:t>
      </w:r>
    </w:p>
    <w:p>
      <w:pPr>
        <w:widowControl/>
        <w:ind w:firstLine="640" w:firstLineChars="200"/>
        <w:jc w:val="left"/>
        <w:rPr>
          <w:rFonts w:ascii="仿宋_GB2312" w:eastAsia="仿宋_GB2312"/>
          <w:b/>
          <w:color w:val="auto"/>
          <w:sz w:val="32"/>
          <w:szCs w:val="32"/>
          <w:highlight w:val="none"/>
        </w:rPr>
      </w:pPr>
      <w:r>
        <w:rPr>
          <w:rFonts w:hint="eastAsia" w:ascii="仿宋_GB2312" w:hAnsi="仿宋_GB2312" w:eastAsia="仿宋_GB2312" w:cs="仿宋_GB2312"/>
          <w:color w:val="auto"/>
          <w:sz w:val="32"/>
          <w:szCs w:val="32"/>
          <w:highlight w:val="none"/>
        </w:rPr>
        <w:t>组织对2022年度一般公共预算、政府性基金预算、国有资本经营预算、社会保险基金预算以及资本资产、债券资金等全面开展绩效自评，形成</w:t>
      </w:r>
      <w:r>
        <w:rPr>
          <w:rFonts w:hint="eastAsia" w:ascii="仿宋_GB2312" w:hAnsi="仿宋_GB2312" w:eastAsia="仿宋_GB2312" w:cs="仿宋_GB2312"/>
          <w:color w:val="auto"/>
          <w:sz w:val="32"/>
          <w:szCs w:val="32"/>
          <w:highlight w:val="none"/>
          <w:lang w:val="en-US" w:eastAsia="zh-CN"/>
        </w:rPr>
        <w:t>壤塘县文化体育和旅游局</w:t>
      </w:r>
      <w:r>
        <w:rPr>
          <w:rFonts w:hint="eastAsia" w:ascii="仿宋_GB2312" w:hAnsi="仿宋_GB2312" w:eastAsia="仿宋_GB2312" w:cs="仿宋_GB2312"/>
          <w:color w:val="auto"/>
          <w:sz w:val="32"/>
          <w:szCs w:val="32"/>
          <w:highlight w:val="none"/>
        </w:rPr>
        <w:t>部门整体（含部门预算项目）绩效自评报告、</w:t>
      </w:r>
      <w:r>
        <w:rPr>
          <w:rFonts w:hint="eastAsia" w:ascii="仿宋_GB2312" w:hAnsi="仿宋_GB2312" w:eastAsia="仿宋_GB2312" w:cs="仿宋_GB2312"/>
          <w:color w:val="auto"/>
          <w:sz w:val="32"/>
          <w:szCs w:val="32"/>
          <w:highlight w:val="none"/>
          <w:lang w:val="en-US" w:eastAsia="zh-CN"/>
        </w:rPr>
        <w:t>城南广场文化小品打造项目</w:t>
      </w:r>
      <w:r>
        <w:rPr>
          <w:rFonts w:hint="eastAsia" w:ascii="仿宋_GB2312" w:hAnsi="仿宋_GB2312" w:eastAsia="仿宋_GB2312" w:cs="仿宋_GB2312"/>
          <w:color w:val="auto"/>
          <w:sz w:val="32"/>
          <w:szCs w:val="32"/>
          <w:highlight w:val="none"/>
        </w:rPr>
        <w:t>等专项预算项目绩效自评报告，自评得分为</w:t>
      </w:r>
      <w:r>
        <w:rPr>
          <w:rFonts w:hint="eastAsia" w:ascii="仿宋_GB2312" w:hAnsi="仿宋_GB2312" w:eastAsia="仿宋_GB2312" w:cs="仿宋_GB2312"/>
          <w:color w:val="auto"/>
          <w:sz w:val="32"/>
          <w:szCs w:val="32"/>
          <w:highlight w:val="none"/>
          <w:lang w:val="en-US" w:eastAsia="zh-CN"/>
        </w:rPr>
        <w:t>91</w:t>
      </w:r>
      <w:r>
        <w:rPr>
          <w:rFonts w:hint="eastAsia" w:ascii="仿宋_GB2312" w:hAnsi="仿宋_GB2312" w:eastAsia="仿宋_GB2312" w:cs="仿宋_GB2312"/>
          <w:color w:val="auto"/>
          <w:sz w:val="32"/>
          <w:szCs w:val="32"/>
          <w:highlight w:val="none"/>
        </w:rPr>
        <w:t>分，绩效自评综述：</w:t>
      </w:r>
      <w:r>
        <w:rPr>
          <w:rFonts w:hint="eastAsia" w:ascii="仿宋_GB2312" w:hAnsi="仿宋_GB2312" w:eastAsia="仿宋_GB2312" w:cs="仿宋_GB2312"/>
          <w:color w:val="000000" w:themeColor="text1"/>
          <w:sz w:val="32"/>
          <w:szCs w:val="32"/>
          <w:highlight w:val="none"/>
          <w:lang w:val="zh-CN"/>
          <w14:textFill>
            <w14:solidFill>
              <w14:schemeClr w14:val="tx1"/>
            </w14:solidFill>
          </w14:textFill>
        </w:rPr>
        <w:t>通过全面开展财政支出绩效评价，</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我单位</w:t>
      </w:r>
      <w:r>
        <w:rPr>
          <w:rFonts w:hint="eastAsia" w:ascii="仿宋_GB2312" w:hAnsi="仿宋_GB2312" w:eastAsia="仿宋_GB2312" w:cs="仿宋_GB2312"/>
          <w:color w:val="000000" w:themeColor="text1"/>
          <w:sz w:val="32"/>
          <w:szCs w:val="32"/>
          <w:highlight w:val="none"/>
          <w:lang w:val="zh-CN"/>
          <w14:textFill>
            <w14:solidFill>
              <w14:schemeClr w14:val="tx1"/>
            </w14:solidFill>
          </w14:textFill>
        </w:rPr>
        <w:t>财政支出绩效理念</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科学</w:t>
      </w:r>
      <w:r>
        <w:rPr>
          <w:rFonts w:hint="eastAsia" w:ascii="仿宋_GB2312" w:hAnsi="仿宋_GB2312" w:eastAsia="仿宋_GB2312" w:cs="仿宋_GB2312"/>
          <w:color w:val="000000" w:themeColor="text1"/>
          <w:sz w:val="32"/>
          <w:szCs w:val="32"/>
          <w:highlight w:val="none"/>
          <w:lang w:val="zh-CN"/>
          <w14:textFill>
            <w14:solidFill>
              <w14:schemeClr w14:val="tx1"/>
            </w14:solidFill>
          </w14:textFill>
        </w:rPr>
        <w:t>，年度预算</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编制合理</w:t>
      </w:r>
      <w:r>
        <w:rPr>
          <w:rFonts w:hint="eastAsia" w:ascii="仿宋_GB2312" w:hAnsi="仿宋_GB2312" w:eastAsia="仿宋_GB2312" w:cs="仿宋_GB2312"/>
          <w:color w:val="000000" w:themeColor="text1"/>
          <w:sz w:val="32"/>
          <w:szCs w:val="32"/>
          <w:highlight w:val="none"/>
          <w:lang w:val="zh-CN"/>
          <w14:textFill>
            <w14:solidFill>
              <w14:schemeClr w14:val="tx1"/>
            </w14:solidFill>
          </w14:textFill>
        </w:rPr>
        <w:t>，切实发挥</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了</w:t>
      </w:r>
      <w:r>
        <w:rPr>
          <w:rFonts w:hint="eastAsia" w:ascii="仿宋_GB2312" w:hAnsi="仿宋_GB2312" w:eastAsia="仿宋_GB2312" w:cs="仿宋_GB2312"/>
          <w:color w:val="000000" w:themeColor="text1"/>
          <w:sz w:val="32"/>
          <w:szCs w:val="32"/>
          <w:highlight w:val="none"/>
          <w:lang w:val="zh-CN"/>
          <w14:textFill>
            <w14:solidFill>
              <w14:schemeClr w14:val="tx1"/>
            </w14:solidFill>
          </w14:textFill>
        </w:rPr>
        <w:t>财政资金资源配置作用。</w:t>
      </w:r>
      <w:r>
        <w:rPr>
          <w:rFonts w:ascii="仿宋_GB2312" w:eastAsia="仿宋_GB2312"/>
          <w:b/>
          <w:color w:val="auto"/>
          <w:sz w:val="32"/>
          <w:szCs w:val="32"/>
          <w:highlight w:val="none"/>
        </w:rPr>
        <w:br w:type="page"/>
      </w:r>
    </w:p>
    <w:p>
      <w:pPr>
        <w:numPr>
          <w:ilvl w:val="0"/>
          <w:numId w:val="4"/>
        </w:numPr>
        <w:spacing w:line="600" w:lineRule="exact"/>
        <w:ind w:firstLine="660" w:firstLineChars="150"/>
        <w:jc w:val="center"/>
        <w:outlineLvl w:val="0"/>
        <w:rPr>
          <w:rStyle w:val="32"/>
          <w:rFonts w:ascii="黑体" w:hAnsi="黑体" w:eastAsia="黑体"/>
          <w:b w:val="0"/>
          <w:color w:val="auto"/>
          <w:highlight w:val="none"/>
        </w:rPr>
      </w:pPr>
      <w:bookmarkStart w:id="87" w:name="_Toc15377225"/>
      <w:bookmarkStart w:id="88" w:name="_Toc15396613"/>
      <w:bookmarkStart w:id="89" w:name="_Toc27901"/>
      <w:r>
        <w:rPr>
          <w:rFonts w:hint="eastAsia" w:ascii="黑体" w:hAnsi="黑体" w:eastAsia="黑体"/>
          <w:color w:val="auto"/>
          <w:sz w:val="44"/>
          <w:szCs w:val="44"/>
          <w:highlight w:val="none"/>
        </w:rPr>
        <w:t>名</w:t>
      </w:r>
      <w:r>
        <w:rPr>
          <w:rStyle w:val="32"/>
          <w:rFonts w:hint="eastAsia" w:ascii="黑体" w:hAnsi="黑体" w:eastAsia="黑体"/>
          <w:b w:val="0"/>
          <w:color w:val="auto"/>
          <w:highlight w:val="none"/>
        </w:rPr>
        <w:t>词解释</w:t>
      </w:r>
      <w:bookmarkEnd w:id="87"/>
      <w:bookmarkEnd w:id="88"/>
      <w:bookmarkEnd w:id="89"/>
    </w:p>
    <w:p>
      <w:pPr>
        <w:spacing w:line="600" w:lineRule="exact"/>
        <w:jc w:val="left"/>
        <w:rPr>
          <w:rFonts w:ascii="宋体"/>
          <w:b/>
          <w:color w:val="auto"/>
          <w:sz w:val="44"/>
          <w:szCs w:val="44"/>
          <w:highlight w:val="none"/>
        </w:rPr>
      </w:pPr>
    </w:p>
    <w:p>
      <w:pPr>
        <w:pStyle w:val="30"/>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30"/>
        <w:spacing w:line="56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w:t>
      </w:r>
    </w:p>
    <w:p>
      <w:pPr>
        <w:pStyle w:val="30"/>
        <w:spacing w:line="560" w:lineRule="exact"/>
        <w:ind w:firstLine="640" w:firstLineChars="200"/>
        <w:rPr>
          <w:rFonts w:hint="eastAsia"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w:t>
      </w:r>
    </w:p>
    <w:p>
      <w:pPr>
        <w:pStyle w:val="30"/>
        <w:spacing w:line="560" w:lineRule="exact"/>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w:t>
      </w:r>
    </w:p>
    <w:p>
      <w:pPr>
        <w:pStyle w:val="30"/>
        <w:spacing w:line="560" w:lineRule="exact"/>
        <w:ind w:firstLine="640" w:firstLineChars="200"/>
        <w:rPr>
          <w:rFonts w:ascii="仿宋_GB2312" w:eastAsia="仿宋_GB2312"/>
          <w:sz w:val="32"/>
          <w:szCs w:val="32"/>
        </w:rPr>
      </w:pPr>
      <w:r>
        <w:rPr>
          <w:rFonts w:ascii="仿宋_GB2312" w:eastAsia="仿宋_GB2312"/>
          <w:sz w:val="32"/>
          <w:szCs w:val="32"/>
        </w:rPr>
        <w:t>5.</w:t>
      </w:r>
      <w:r>
        <w:rPr>
          <w:rFonts w:hint="eastAsia" w:ascii="仿宋_GB2312" w:eastAsia="仿宋_GB2312"/>
          <w:sz w:val="32"/>
          <w:szCs w:val="32"/>
        </w:rPr>
        <w:t>使用非财政拨款结余：指事业单位使用以前年度积累的非财政拨款结余弥补当年收支差额的金额。</w:t>
      </w:r>
      <w:r>
        <w:rPr>
          <w:rFonts w:ascii="仿宋_GB2312" w:eastAsia="仿宋_GB2312"/>
          <w:sz w:val="32"/>
          <w:szCs w:val="32"/>
        </w:rPr>
        <w:t xml:space="preserve"> </w:t>
      </w:r>
    </w:p>
    <w:p>
      <w:pPr>
        <w:pStyle w:val="30"/>
        <w:spacing w:line="560" w:lineRule="exact"/>
        <w:ind w:firstLine="640" w:firstLineChars="200"/>
        <w:rPr>
          <w:rFonts w:ascii="仿宋_GB2312" w:eastAsia="仿宋_GB2312"/>
          <w:sz w:val="32"/>
          <w:szCs w:val="32"/>
        </w:rPr>
      </w:pPr>
      <w:r>
        <w:rPr>
          <w:rFonts w:ascii="仿宋_GB2312" w:eastAsia="仿宋_GB2312"/>
          <w:sz w:val="32"/>
          <w:szCs w:val="32"/>
        </w:rPr>
        <w:t>6.</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pPr>
        <w:pStyle w:val="30"/>
        <w:spacing w:line="560" w:lineRule="exact"/>
        <w:ind w:firstLine="640" w:firstLineChars="200"/>
        <w:rPr>
          <w:rFonts w:ascii="仿宋_GB2312" w:eastAsia="仿宋_GB2312"/>
          <w:sz w:val="32"/>
          <w:szCs w:val="32"/>
        </w:rPr>
      </w:pPr>
      <w:r>
        <w:rPr>
          <w:rFonts w:ascii="仿宋_GB2312" w:eastAsia="仿宋_GB2312"/>
          <w:sz w:val="32"/>
          <w:szCs w:val="32"/>
        </w:rPr>
        <w:t>7.</w:t>
      </w:r>
      <w:r>
        <w:rPr>
          <w:rFonts w:hint="eastAsia" w:ascii="仿宋_GB2312" w:eastAsia="仿宋_GB2312"/>
          <w:sz w:val="32"/>
          <w:szCs w:val="32"/>
        </w:rPr>
        <w:t>结余分配：指事业单位按照会计制度规定缴纳的所得税、提取的专用结余以及转入非财政拨款结余的金额等。</w:t>
      </w:r>
    </w:p>
    <w:p>
      <w:pPr>
        <w:pStyle w:val="30"/>
        <w:spacing w:line="560" w:lineRule="exact"/>
        <w:ind w:firstLine="640" w:firstLineChars="200"/>
        <w:rPr>
          <w:rFonts w:hint="eastAsia" w:ascii="仿宋_GB2312" w:eastAsia="仿宋_GB2312"/>
          <w:sz w:val="32"/>
          <w:szCs w:val="32"/>
        </w:rPr>
      </w:pPr>
      <w:r>
        <w:rPr>
          <w:rFonts w:ascii="仿宋_GB2312" w:eastAsia="仿宋_GB2312"/>
          <w:sz w:val="32"/>
          <w:szCs w:val="32"/>
        </w:rPr>
        <w:t>8</w:t>
      </w:r>
      <w:r>
        <w:rPr>
          <w:rFonts w:hint="eastAsia" w:ascii="仿宋_GB2312" w:eastAsia="仿宋_GB2312"/>
          <w:sz w:val="32"/>
          <w:szCs w:val="32"/>
        </w:rPr>
        <w:t>、年末结转和结余：指单位按有关规定结转到下年或以后年度继续使用的资金。</w:t>
      </w:r>
    </w:p>
    <w:p>
      <w:pPr>
        <w:pStyle w:val="30"/>
        <w:spacing w:line="560" w:lineRule="exact"/>
        <w:ind w:firstLine="640" w:firstLineChars="200"/>
        <w:rPr>
          <w:rStyle w:val="20"/>
          <w:rFonts w:hint="eastAsia" w:hAnsi="仿宋"/>
          <w:b w:val="0"/>
          <w:bCs w:val="0"/>
          <w:color w:val="auto"/>
          <w:sz w:val="32"/>
          <w:szCs w:val="32"/>
          <w:highlight w:val="none"/>
          <w:lang w:val="en-US" w:eastAsia="zh-CN"/>
        </w:rPr>
      </w:pPr>
      <w:r>
        <w:rPr>
          <w:rStyle w:val="20"/>
          <w:rFonts w:hint="eastAsia" w:hAnsi="仿宋"/>
          <w:b w:val="0"/>
          <w:bCs w:val="0"/>
          <w:color w:val="auto"/>
          <w:sz w:val="32"/>
          <w:szCs w:val="32"/>
          <w:highlight w:val="none"/>
          <w:lang w:val="en-US" w:eastAsia="zh-CN"/>
        </w:rPr>
        <w:t>9、</w:t>
      </w:r>
      <w:r>
        <w:rPr>
          <w:rStyle w:val="20"/>
          <w:rFonts w:hint="eastAsia" w:ascii="仿宋" w:hAnsi="仿宋" w:eastAsia="仿宋"/>
          <w:b w:val="0"/>
          <w:bCs w:val="0"/>
          <w:color w:val="auto"/>
          <w:sz w:val="32"/>
          <w:szCs w:val="32"/>
          <w:highlight w:val="none"/>
        </w:rPr>
        <w:t>科学技术</w:t>
      </w:r>
      <w:r>
        <w:rPr>
          <w:rStyle w:val="20"/>
          <w:rFonts w:hint="eastAsia" w:ascii="仿宋" w:hAnsi="仿宋" w:eastAsia="仿宋"/>
          <w:b w:val="0"/>
          <w:bCs w:val="0"/>
          <w:color w:val="auto"/>
          <w:sz w:val="32"/>
          <w:szCs w:val="32"/>
          <w:highlight w:val="none"/>
          <w:lang w:val="en-US" w:eastAsia="zh-CN"/>
        </w:rPr>
        <w:t>支出</w:t>
      </w:r>
      <w:r>
        <w:rPr>
          <w:rStyle w:val="20"/>
          <w:rFonts w:hint="eastAsia" w:ascii="仿宋" w:hAnsi="仿宋" w:eastAsia="仿宋"/>
          <w:b w:val="0"/>
          <w:bCs w:val="0"/>
          <w:color w:val="auto"/>
          <w:sz w:val="32"/>
          <w:szCs w:val="32"/>
          <w:highlight w:val="none"/>
        </w:rPr>
        <w:t>（类）</w:t>
      </w:r>
      <w:r>
        <w:rPr>
          <w:rStyle w:val="20"/>
          <w:rFonts w:hint="eastAsia" w:ascii="仿宋" w:hAnsi="仿宋" w:eastAsia="仿宋"/>
          <w:b w:val="0"/>
          <w:bCs w:val="0"/>
          <w:color w:val="auto"/>
          <w:sz w:val="32"/>
          <w:szCs w:val="32"/>
          <w:highlight w:val="none"/>
          <w:lang w:val="en-US" w:eastAsia="zh-CN"/>
        </w:rPr>
        <w:t>技术研究与开发</w:t>
      </w:r>
      <w:r>
        <w:rPr>
          <w:rStyle w:val="20"/>
          <w:rFonts w:hint="eastAsia" w:ascii="仿宋" w:hAnsi="仿宋" w:eastAsia="仿宋"/>
          <w:b w:val="0"/>
          <w:bCs w:val="0"/>
          <w:color w:val="auto"/>
          <w:sz w:val="32"/>
          <w:szCs w:val="32"/>
          <w:highlight w:val="none"/>
        </w:rPr>
        <w:t>（款）</w:t>
      </w:r>
      <w:r>
        <w:rPr>
          <w:rStyle w:val="20"/>
          <w:rFonts w:hint="eastAsia" w:ascii="仿宋" w:hAnsi="仿宋" w:eastAsia="仿宋"/>
          <w:b w:val="0"/>
          <w:bCs w:val="0"/>
          <w:color w:val="auto"/>
          <w:sz w:val="32"/>
          <w:szCs w:val="32"/>
          <w:highlight w:val="none"/>
          <w:lang w:val="en-US" w:eastAsia="zh-CN"/>
        </w:rPr>
        <w:t>其他技术研究与开发支出</w:t>
      </w:r>
      <w:r>
        <w:rPr>
          <w:rStyle w:val="20"/>
          <w:rFonts w:hint="eastAsia" w:ascii="仿宋" w:hAnsi="仿宋" w:eastAsia="仿宋"/>
          <w:b w:val="0"/>
          <w:bCs w:val="0"/>
          <w:color w:val="auto"/>
          <w:sz w:val="32"/>
          <w:szCs w:val="32"/>
          <w:highlight w:val="none"/>
        </w:rPr>
        <w:t>（项）</w:t>
      </w:r>
      <w:r>
        <w:rPr>
          <w:rStyle w:val="20"/>
          <w:rFonts w:ascii="仿宋" w:hAnsi="仿宋" w:eastAsia="仿宋"/>
          <w:b w:val="0"/>
          <w:bCs w:val="0"/>
          <w:color w:val="auto"/>
          <w:sz w:val="32"/>
          <w:szCs w:val="32"/>
          <w:highlight w:val="none"/>
        </w:rPr>
        <w:t>:</w:t>
      </w:r>
      <w:r>
        <w:rPr>
          <w:rStyle w:val="20"/>
          <w:rFonts w:hint="eastAsia" w:hAnsi="仿宋"/>
          <w:b w:val="0"/>
          <w:bCs w:val="0"/>
          <w:color w:val="auto"/>
          <w:sz w:val="32"/>
          <w:szCs w:val="32"/>
          <w:highlight w:val="none"/>
          <w:lang w:val="en-US" w:eastAsia="zh-CN"/>
        </w:rPr>
        <w:t>指反映除上述项目以外其他用于科技条件与服务方面的支出。</w:t>
      </w:r>
    </w:p>
    <w:p>
      <w:pPr>
        <w:pStyle w:val="30"/>
        <w:spacing w:line="560" w:lineRule="exact"/>
        <w:ind w:firstLine="640" w:firstLineChars="200"/>
        <w:rPr>
          <w:rStyle w:val="20"/>
          <w:rFonts w:hint="eastAsia" w:hAnsi="仿宋"/>
          <w:b w:val="0"/>
          <w:bCs w:val="0"/>
          <w:color w:val="auto"/>
          <w:sz w:val="32"/>
          <w:szCs w:val="32"/>
          <w:highlight w:val="none"/>
          <w:lang w:val="en-US" w:eastAsia="zh-CN"/>
        </w:rPr>
      </w:pPr>
      <w:r>
        <w:rPr>
          <w:rStyle w:val="20"/>
          <w:rFonts w:hint="eastAsia" w:hAnsi="仿宋"/>
          <w:b w:val="0"/>
          <w:bCs w:val="0"/>
          <w:color w:val="auto"/>
          <w:sz w:val="32"/>
          <w:szCs w:val="32"/>
          <w:highlight w:val="none"/>
          <w:lang w:val="en-US" w:eastAsia="zh-CN"/>
        </w:rPr>
        <w:t>10、</w:t>
      </w:r>
      <w:r>
        <w:rPr>
          <w:rStyle w:val="20"/>
          <w:rFonts w:hint="eastAsia" w:ascii="仿宋" w:hAnsi="仿宋" w:eastAsia="仿宋"/>
          <w:b w:val="0"/>
          <w:bCs w:val="0"/>
          <w:color w:val="auto"/>
          <w:sz w:val="32"/>
          <w:szCs w:val="32"/>
          <w:highlight w:val="none"/>
        </w:rPr>
        <w:t>文化旅游体育与传媒支出（类）</w:t>
      </w:r>
      <w:r>
        <w:rPr>
          <w:rStyle w:val="20"/>
          <w:rFonts w:hint="eastAsia" w:ascii="仿宋" w:hAnsi="仿宋" w:eastAsia="仿宋"/>
          <w:b w:val="0"/>
          <w:bCs w:val="0"/>
          <w:color w:val="auto"/>
          <w:sz w:val="32"/>
          <w:szCs w:val="32"/>
          <w:highlight w:val="none"/>
          <w:lang w:val="en-US" w:eastAsia="zh-CN"/>
        </w:rPr>
        <w:t>文化和旅游</w:t>
      </w:r>
      <w:r>
        <w:rPr>
          <w:rStyle w:val="20"/>
          <w:rFonts w:hint="eastAsia" w:ascii="仿宋" w:hAnsi="仿宋" w:eastAsia="仿宋"/>
          <w:b w:val="0"/>
          <w:bCs w:val="0"/>
          <w:color w:val="auto"/>
          <w:sz w:val="32"/>
          <w:szCs w:val="32"/>
          <w:highlight w:val="none"/>
        </w:rPr>
        <w:t>（款）</w:t>
      </w:r>
      <w:r>
        <w:rPr>
          <w:rStyle w:val="20"/>
          <w:rFonts w:hint="eastAsia" w:ascii="仿宋" w:hAnsi="仿宋" w:eastAsia="仿宋"/>
          <w:b w:val="0"/>
          <w:bCs w:val="0"/>
          <w:color w:val="auto"/>
          <w:sz w:val="32"/>
          <w:szCs w:val="32"/>
          <w:highlight w:val="none"/>
          <w:lang w:val="en-US" w:eastAsia="zh-CN"/>
        </w:rPr>
        <w:t>图书馆</w:t>
      </w:r>
      <w:r>
        <w:rPr>
          <w:rStyle w:val="20"/>
          <w:rFonts w:hint="eastAsia" w:ascii="仿宋" w:hAnsi="仿宋" w:eastAsia="仿宋"/>
          <w:b w:val="0"/>
          <w:bCs w:val="0"/>
          <w:color w:val="auto"/>
          <w:sz w:val="32"/>
          <w:szCs w:val="32"/>
          <w:highlight w:val="none"/>
        </w:rPr>
        <w:t>（项）</w:t>
      </w:r>
      <w:r>
        <w:rPr>
          <w:rStyle w:val="20"/>
          <w:rFonts w:ascii="仿宋" w:hAnsi="仿宋" w:eastAsia="仿宋"/>
          <w:b w:val="0"/>
          <w:bCs w:val="0"/>
          <w:color w:val="auto"/>
          <w:sz w:val="32"/>
          <w:szCs w:val="32"/>
          <w:highlight w:val="none"/>
        </w:rPr>
        <w:t>:</w:t>
      </w:r>
      <w:r>
        <w:rPr>
          <w:rStyle w:val="20"/>
          <w:rFonts w:hint="eastAsia" w:hAnsi="仿宋"/>
          <w:b w:val="0"/>
          <w:bCs w:val="0"/>
          <w:color w:val="auto"/>
          <w:sz w:val="32"/>
          <w:szCs w:val="32"/>
          <w:highlight w:val="none"/>
          <w:lang w:val="en-US" w:eastAsia="zh-CN"/>
        </w:rPr>
        <w:t>指反映图书馆的支出。</w:t>
      </w:r>
    </w:p>
    <w:p>
      <w:pPr>
        <w:pStyle w:val="30"/>
        <w:spacing w:line="560" w:lineRule="exact"/>
        <w:ind w:firstLine="640" w:firstLineChars="200"/>
        <w:rPr>
          <w:rStyle w:val="20"/>
          <w:rFonts w:hint="eastAsia" w:hAnsi="仿宋"/>
          <w:b w:val="0"/>
          <w:bCs w:val="0"/>
          <w:color w:val="auto"/>
          <w:sz w:val="32"/>
          <w:szCs w:val="32"/>
          <w:highlight w:val="none"/>
          <w:lang w:val="en-US" w:eastAsia="zh-CN"/>
        </w:rPr>
      </w:pPr>
      <w:r>
        <w:rPr>
          <w:rStyle w:val="20"/>
          <w:rFonts w:hint="eastAsia" w:hAnsi="仿宋"/>
          <w:b w:val="0"/>
          <w:bCs w:val="0"/>
          <w:color w:val="auto"/>
          <w:sz w:val="32"/>
          <w:szCs w:val="32"/>
          <w:highlight w:val="none"/>
          <w:lang w:val="en-US" w:eastAsia="zh-CN"/>
        </w:rPr>
        <w:t>11、</w:t>
      </w:r>
      <w:r>
        <w:rPr>
          <w:rStyle w:val="20"/>
          <w:rFonts w:hint="eastAsia" w:ascii="仿宋" w:hAnsi="仿宋" w:eastAsia="仿宋"/>
          <w:b w:val="0"/>
          <w:bCs w:val="0"/>
          <w:color w:val="auto"/>
          <w:sz w:val="32"/>
          <w:szCs w:val="32"/>
          <w:highlight w:val="none"/>
        </w:rPr>
        <w:t>文化旅游体育与传媒支出（类）</w:t>
      </w:r>
      <w:r>
        <w:rPr>
          <w:rStyle w:val="20"/>
          <w:rFonts w:hint="eastAsia" w:ascii="仿宋" w:hAnsi="仿宋" w:eastAsia="仿宋"/>
          <w:b w:val="0"/>
          <w:bCs w:val="0"/>
          <w:color w:val="auto"/>
          <w:sz w:val="32"/>
          <w:szCs w:val="32"/>
          <w:highlight w:val="none"/>
          <w:lang w:val="en-US" w:eastAsia="zh-CN"/>
        </w:rPr>
        <w:t>文化和旅游</w:t>
      </w:r>
      <w:r>
        <w:rPr>
          <w:rStyle w:val="20"/>
          <w:rFonts w:hint="eastAsia" w:ascii="仿宋" w:hAnsi="仿宋" w:eastAsia="仿宋"/>
          <w:b w:val="0"/>
          <w:bCs w:val="0"/>
          <w:color w:val="auto"/>
          <w:sz w:val="32"/>
          <w:szCs w:val="32"/>
          <w:highlight w:val="none"/>
        </w:rPr>
        <w:t>（款）</w:t>
      </w:r>
      <w:r>
        <w:rPr>
          <w:rStyle w:val="20"/>
          <w:rFonts w:hint="eastAsia" w:ascii="仿宋" w:hAnsi="仿宋" w:eastAsia="仿宋"/>
          <w:b w:val="0"/>
          <w:bCs w:val="0"/>
          <w:color w:val="auto"/>
          <w:sz w:val="32"/>
          <w:szCs w:val="32"/>
          <w:highlight w:val="none"/>
          <w:lang w:val="en-US" w:eastAsia="zh-CN"/>
        </w:rPr>
        <w:t>艺术表演团体</w:t>
      </w:r>
      <w:r>
        <w:rPr>
          <w:rStyle w:val="20"/>
          <w:rFonts w:hint="eastAsia" w:ascii="仿宋" w:hAnsi="仿宋" w:eastAsia="仿宋"/>
          <w:b w:val="0"/>
          <w:bCs w:val="0"/>
          <w:color w:val="auto"/>
          <w:sz w:val="32"/>
          <w:szCs w:val="32"/>
          <w:highlight w:val="none"/>
        </w:rPr>
        <w:t>（项）</w:t>
      </w:r>
      <w:r>
        <w:rPr>
          <w:rStyle w:val="20"/>
          <w:rFonts w:ascii="仿宋" w:hAnsi="仿宋" w:eastAsia="仿宋"/>
          <w:b w:val="0"/>
          <w:bCs w:val="0"/>
          <w:color w:val="auto"/>
          <w:sz w:val="32"/>
          <w:szCs w:val="32"/>
          <w:highlight w:val="none"/>
        </w:rPr>
        <w:t>:</w:t>
      </w:r>
      <w:r>
        <w:rPr>
          <w:rStyle w:val="20"/>
          <w:rFonts w:hint="eastAsia" w:hAnsi="仿宋"/>
          <w:b w:val="0"/>
          <w:bCs w:val="0"/>
          <w:color w:val="auto"/>
          <w:sz w:val="32"/>
          <w:szCs w:val="32"/>
          <w:highlight w:val="none"/>
          <w:lang w:val="en-US" w:eastAsia="zh-CN"/>
        </w:rPr>
        <w:t>指反映文化及其他主管的剧院（团）等艺术表演团体的支出。</w:t>
      </w:r>
    </w:p>
    <w:p>
      <w:pPr>
        <w:pStyle w:val="30"/>
        <w:spacing w:line="560" w:lineRule="exact"/>
        <w:ind w:firstLine="640" w:firstLineChars="200"/>
        <w:rPr>
          <w:rStyle w:val="20"/>
          <w:rFonts w:hint="eastAsia" w:hAnsi="仿宋"/>
          <w:b w:val="0"/>
          <w:bCs w:val="0"/>
          <w:color w:val="auto"/>
          <w:sz w:val="32"/>
          <w:szCs w:val="32"/>
          <w:highlight w:val="none"/>
          <w:lang w:val="en-US" w:eastAsia="zh-CN"/>
        </w:rPr>
      </w:pPr>
      <w:r>
        <w:rPr>
          <w:rStyle w:val="20"/>
          <w:rFonts w:hint="eastAsia" w:hAnsi="仿宋"/>
          <w:b w:val="0"/>
          <w:bCs w:val="0"/>
          <w:color w:val="auto"/>
          <w:sz w:val="32"/>
          <w:szCs w:val="32"/>
          <w:highlight w:val="none"/>
          <w:lang w:val="en-US" w:eastAsia="zh-CN"/>
        </w:rPr>
        <w:t>12、</w:t>
      </w:r>
      <w:r>
        <w:rPr>
          <w:rStyle w:val="20"/>
          <w:rFonts w:hint="eastAsia" w:ascii="仿宋" w:hAnsi="仿宋" w:eastAsia="仿宋"/>
          <w:b w:val="0"/>
          <w:bCs w:val="0"/>
          <w:color w:val="auto"/>
          <w:sz w:val="32"/>
          <w:szCs w:val="32"/>
          <w:highlight w:val="none"/>
        </w:rPr>
        <w:t>文化旅游体育与传媒支出（类）</w:t>
      </w:r>
      <w:r>
        <w:rPr>
          <w:rStyle w:val="20"/>
          <w:rFonts w:hint="eastAsia" w:ascii="仿宋" w:hAnsi="仿宋" w:eastAsia="仿宋"/>
          <w:b w:val="0"/>
          <w:bCs w:val="0"/>
          <w:color w:val="auto"/>
          <w:sz w:val="32"/>
          <w:szCs w:val="32"/>
          <w:highlight w:val="none"/>
          <w:lang w:val="en-US" w:eastAsia="zh-CN"/>
        </w:rPr>
        <w:t>文化和旅游</w:t>
      </w:r>
      <w:r>
        <w:rPr>
          <w:rStyle w:val="20"/>
          <w:rFonts w:hint="eastAsia" w:ascii="仿宋" w:hAnsi="仿宋" w:eastAsia="仿宋"/>
          <w:b w:val="0"/>
          <w:bCs w:val="0"/>
          <w:color w:val="auto"/>
          <w:sz w:val="32"/>
          <w:szCs w:val="32"/>
          <w:highlight w:val="none"/>
        </w:rPr>
        <w:t>（款）</w:t>
      </w:r>
      <w:r>
        <w:rPr>
          <w:rStyle w:val="20"/>
          <w:rFonts w:hint="eastAsia" w:ascii="仿宋" w:hAnsi="仿宋" w:eastAsia="仿宋"/>
          <w:b w:val="0"/>
          <w:bCs w:val="0"/>
          <w:color w:val="auto"/>
          <w:sz w:val="32"/>
          <w:szCs w:val="32"/>
          <w:highlight w:val="none"/>
          <w:lang w:val="en-US" w:eastAsia="zh-CN"/>
        </w:rPr>
        <w:t>文化活动</w:t>
      </w:r>
      <w:r>
        <w:rPr>
          <w:rStyle w:val="20"/>
          <w:rFonts w:hint="eastAsia" w:ascii="仿宋" w:hAnsi="仿宋" w:eastAsia="仿宋"/>
          <w:b w:val="0"/>
          <w:bCs w:val="0"/>
          <w:color w:val="auto"/>
          <w:sz w:val="32"/>
          <w:szCs w:val="32"/>
          <w:highlight w:val="none"/>
        </w:rPr>
        <w:t>（项）</w:t>
      </w:r>
      <w:r>
        <w:rPr>
          <w:rStyle w:val="20"/>
          <w:rFonts w:ascii="仿宋" w:hAnsi="仿宋" w:eastAsia="仿宋"/>
          <w:b w:val="0"/>
          <w:bCs w:val="0"/>
          <w:color w:val="auto"/>
          <w:sz w:val="32"/>
          <w:szCs w:val="32"/>
          <w:highlight w:val="none"/>
        </w:rPr>
        <w:t>:</w:t>
      </w:r>
      <w:r>
        <w:rPr>
          <w:rStyle w:val="20"/>
          <w:rFonts w:hint="eastAsia" w:hAnsi="仿宋"/>
          <w:b w:val="0"/>
          <w:bCs w:val="0"/>
          <w:color w:val="auto"/>
          <w:sz w:val="32"/>
          <w:szCs w:val="32"/>
          <w:highlight w:val="none"/>
          <w:lang w:val="en-US" w:eastAsia="zh-CN"/>
        </w:rPr>
        <w:t>指反映举办大型文化艺术活动的支出。</w:t>
      </w:r>
    </w:p>
    <w:p>
      <w:pPr>
        <w:pStyle w:val="30"/>
        <w:spacing w:line="560" w:lineRule="exact"/>
        <w:ind w:firstLine="640" w:firstLineChars="200"/>
        <w:rPr>
          <w:rStyle w:val="20"/>
          <w:rFonts w:hint="eastAsia" w:hAnsi="仿宋"/>
          <w:b w:val="0"/>
          <w:bCs w:val="0"/>
          <w:color w:val="auto"/>
          <w:sz w:val="32"/>
          <w:szCs w:val="32"/>
          <w:highlight w:val="none"/>
          <w:lang w:val="en-US" w:eastAsia="zh-CN"/>
        </w:rPr>
      </w:pPr>
      <w:r>
        <w:rPr>
          <w:rStyle w:val="20"/>
          <w:rFonts w:hint="eastAsia" w:hAnsi="仿宋"/>
          <w:b w:val="0"/>
          <w:bCs w:val="0"/>
          <w:color w:val="auto"/>
          <w:sz w:val="32"/>
          <w:szCs w:val="32"/>
          <w:highlight w:val="none"/>
          <w:lang w:val="en-US" w:eastAsia="zh-CN"/>
        </w:rPr>
        <w:t>13、</w:t>
      </w:r>
      <w:r>
        <w:rPr>
          <w:rStyle w:val="20"/>
          <w:rFonts w:hint="eastAsia" w:ascii="仿宋" w:hAnsi="仿宋" w:eastAsia="仿宋"/>
          <w:b w:val="0"/>
          <w:bCs w:val="0"/>
          <w:color w:val="auto"/>
          <w:sz w:val="32"/>
          <w:szCs w:val="32"/>
          <w:highlight w:val="none"/>
        </w:rPr>
        <w:t>文化旅游体育与传媒支出（类）</w:t>
      </w:r>
      <w:r>
        <w:rPr>
          <w:rStyle w:val="20"/>
          <w:rFonts w:hint="eastAsia" w:ascii="仿宋" w:hAnsi="仿宋" w:eastAsia="仿宋"/>
          <w:b w:val="0"/>
          <w:bCs w:val="0"/>
          <w:color w:val="auto"/>
          <w:sz w:val="32"/>
          <w:szCs w:val="32"/>
          <w:highlight w:val="none"/>
          <w:lang w:val="en-US" w:eastAsia="zh-CN"/>
        </w:rPr>
        <w:t>文化和旅游</w:t>
      </w:r>
      <w:r>
        <w:rPr>
          <w:rStyle w:val="20"/>
          <w:rFonts w:hint="eastAsia" w:ascii="仿宋" w:hAnsi="仿宋" w:eastAsia="仿宋"/>
          <w:b w:val="0"/>
          <w:bCs w:val="0"/>
          <w:color w:val="auto"/>
          <w:sz w:val="32"/>
          <w:szCs w:val="32"/>
          <w:highlight w:val="none"/>
        </w:rPr>
        <w:t>（款）</w:t>
      </w:r>
      <w:r>
        <w:rPr>
          <w:rStyle w:val="20"/>
          <w:rFonts w:hint="eastAsia" w:ascii="仿宋" w:hAnsi="仿宋" w:eastAsia="仿宋"/>
          <w:b w:val="0"/>
          <w:bCs w:val="0"/>
          <w:color w:val="auto"/>
          <w:sz w:val="32"/>
          <w:szCs w:val="32"/>
          <w:highlight w:val="none"/>
          <w:lang w:val="en-US" w:eastAsia="zh-CN"/>
        </w:rPr>
        <w:t>群众文化</w:t>
      </w:r>
      <w:r>
        <w:rPr>
          <w:rStyle w:val="20"/>
          <w:rFonts w:hint="eastAsia" w:ascii="仿宋" w:hAnsi="仿宋" w:eastAsia="仿宋"/>
          <w:b w:val="0"/>
          <w:bCs w:val="0"/>
          <w:color w:val="auto"/>
          <w:sz w:val="32"/>
          <w:szCs w:val="32"/>
          <w:highlight w:val="none"/>
        </w:rPr>
        <w:t>（项）</w:t>
      </w:r>
      <w:r>
        <w:rPr>
          <w:rStyle w:val="20"/>
          <w:rFonts w:ascii="仿宋" w:hAnsi="仿宋" w:eastAsia="仿宋"/>
          <w:b w:val="0"/>
          <w:bCs w:val="0"/>
          <w:color w:val="auto"/>
          <w:sz w:val="32"/>
          <w:szCs w:val="32"/>
          <w:highlight w:val="none"/>
        </w:rPr>
        <w:t>:</w:t>
      </w:r>
      <w:r>
        <w:rPr>
          <w:rStyle w:val="20"/>
          <w:rFonts w:hint="eastAsia" w:hAnsi="仿宋"/>
          <w:b w:val="0"/>
          <w:bCs w:val="0"/>
          <w:color w:val="auto"/>
          <w:sz w:val="32"/>
          <w:szCs w:val="32"/>
          <w:highlight w:val="none"/>
          <w:lang w:val="en-US" w:eastAsia="zh-CN"/>
        </w:rPr>
        <w:t>指反映群众文化方面的支出，包括基层文化馆（站）、群众艺术馆支出等。</w:t>
      </w:r>
    </w:p>
    <w:p>
      <w:pPr>
        <w:pStyle w:val="30"/>
        <w:spacing w:line="560" w:lineRule="exact"/>
        <w:ind w:firstLine="640" w:firstLineChars="200"/>
        <w:rPr>
          <w:rStyle w:val="20"/>
          <w:rFonts w:hint="eastAsia" w:hAnsi="仿宋"/>
          <w:b w:val="0"/>
          <w:bCs w:val="0"/>
          <w:color w:val="auto"/>
          <w:sz w:val="32"/>
          <w:szCs w:val="32"/>
          <w:highlight w:val="none"/>
          <w:lang w:val="en-US" w:eastAsia="zh-CN"/>
        </w:rPr>
      </w:pPr>
      <w:r>
        <w:rPr>
          <w:rStyle w:val="20"/>
          <w:rFonts w:hint="eastAsia" w:hAnsi="仿宋"/>
          <w:b w:val="0"/>
          <w:bCs w:val="0"/>
          <w:color w:val="auto"/>
          <w:sz w:val="32"/>
          <w:szCs w:val="32"/>
          <w:highlight w:val="none"/>
          <w:lang w:val="en-US" w:eastAsia="zh-CN"/>
        </w:rPr>
        <w:t>14、</w:t>
      </w:r>
      <w:r>
        <w:rPr>
          <w:rStyle w:val="20"/>
          <w:rFonts w:hint="eastAsia" w:ascii="仿宋" w:hAnsi="仿宋" w:eastAsia="仿宋"/>
          <w:b w:val="0"/>
          <w:bCs w:val="0"/>
          <w:color w:val="auto"/>
          <w:sz w:val="32"/>
          <w:szCs w:val="32"/>
          <w:highlight w:val="none"/>
        </w:rPr>
        <w:t>文化旅游体育与传媒支出（类）</w:t>
      </w:r>
      <w:r>
        <w:rPr>
          <w:rStyle w:val="20"/>
          <w:rFonts w:hint="eastAsia" w:ascii="仿宋" w:hAnsi="仿宋" w:eastAsia="仿宋"/>
          <w:b w:val="0"/>
          <w:bCs w:val="0"/>
          <w:color w:val="auto"/>
          <w:sz w:val="32"/>
          <w:szCs w:val="32"/>
          <w:highlight w:val="none"/>
          <w:lang w:val="en-US" w:eastAsia="zh-CN"/>
        </w:rPr>
        <w:t>文化和旅游</w:t>
      </w:r>
      <w:r>
        <w:rPr>
          <w:rStyle w:val="20"/>
          <w:rFonts w:hint="eastAsia" w:ascii="仿宋" w:hAnsi="仿宋" w:eastAsia="仿宋"/>
          <w:b w:val="0"/>
          <w:bCs w:val="0"/>
          <w:color w:val="auto"/>
          <w:sz w:val="32"/>
          <w:szCs w:val="32"/>
          <w:highlight w:val="none"/>
        </w:rPr>
        <w:t>（款）</w:t>
      </w:r>
      <w:r>
        <w:rPr>
          <w:rStyle w:val="20"/>
          <w:rFonts w:hint="eastAsia" w:ascii="仿宋" w:hAnsi="仿宋" w:eastAsia="仿宋"/>
          <w:b w:val="0"/>
          <w:bCs w:val="0"/>
          <w:color w:val="auto"/>
          <w:sz w:val="32"/>
          <w:szCs w:val="32"/>
          <w:highlight w:val="none"/>
          <w:lang w:val="en-US" w:eastAsia="zh-CN"/>
        </w:rPr>
        <w:t>文化创作与保护</w:t>
      </w:r>
      <w:r>
        <w:rPr>
          <w:rStyle w:val="20"/>
          <w:rFonts w:hint="eastAsia" w:ascii="仿宋" w:hAnsi="仿宋" w:eastAsia="仿宋"/>
          <w:b w:val="0"/>
          <w:bCs w:val="0"/>
          <w:color w:val="auto"/>
          <w:sz w:val="32"/>
          <w:szCs w:val="32"/>
          <w:highlight w:val="none"/>
        </w:rPr>
        <w:t>（项）</w:t>
      </w:r>
      <w:r>
        <w:rPr>
          <w:rStyle w:val="20"/>
          <w:rFonts w:ascii="仿宋" w:hAnsi="仿宋" w:eastAsia="仿宋"/>
          <w:b w:val="0"/>
          <w:bCs w:val="0"/>
          <w:color w:val="auto"/>
          <w:sz w:val="32"/>
          <w:szCs w:val="32"/>
          <w:highlight w:val="none"/>
        </w:rPr>
        <w:t>:</w:t>
      </w:r>
      <w:r>
        <w:rPr>
          <w:rStyle w:val="20"/>
          <w:rFonts w:hint="eastAsia" w:hAnsi="仿宋"/>
          <w:b w:val="0"/>
          <w:bCs w:val="0"/>
          <w:color w:val="auto"/>
          <w:sz w:val="32"/>
          <w:szCs w:val="32"/>
          <w:highlight w:val="none"/>
          <w:lang w:val="en-US" w:eastAsia="zh-CN"/>
        </w:rPr>
        <w:t>指反映鼓励文学、艺术创作和优秀传统文化保护方面的支出。</w:t>
      </w:r>
    </w:p>
    <w:p>
      <w:pPr>
        <w:pStyle w:val="30"/>
        <w:spacing w:line="560" w:lineRule="exact"/>
        <w:ind w:firstLine="640" w:firstLineChars="200"/>
        <w:rPr>
          <w:rStyle w:val="20"/>
          <w:rFonts w:hint="eastAsia" w:hAnsi="仿宋"/>
          <w:b w:val="0"/>
          <w:bCs w:val="0"/>
          <w:color w:val="auto"/>
          <w:sz w:val="32"/>
          <w:szCs w:val="32"/>
          <w:highlight w:val="none"/>
          <w:lang w:val="en-US" w:eastAsia="zh-CN"/>
        </w:rPr>
      </w:pPr>
      <w:r>
        <w:rPr>
          <w:rStyle w:val="20"/>
          <w:rFonts w:hint="eastAsia" w:hAnsi="仿宋"/>
          <w:b w:val="0"/>
          <w:bCs w:val="0"/>
          <w:color w:val="auto"/>
          <w:sz w:val="32"/>
          <w:szCs w:val="32"/>
          <w:highlight w:val="none"/>
          <w:lang w:val="en-US" w:eastAsia="zh-CN"/>
        </w:rPr>
        <w:t>15、</w:t>
      </w:r>
      <w:r>
        <w:rPr>
          <w:rStyle w:val="20"/>
          <w:rFonts w:hint="eastAsia" w:ascii="仿宋" w:hAnsi="仿宋" w:eastAsia="仿宋"/>
          <w:b w:val="0"/>
          <w:bCs w:val="0"/>
          <w:color w:val="auto"/>
          <w:sz w:val="32"/>
          <w:szCs w:val="32"/>
          <w:highlight w:val="none"/>
        </w:rPr>
        <w:t>文化旅游体育与传媒支出（类）</w:t>
      </w:r>
      <w:r>
        <w:rPr>
          <w:rStyle w:val="20"/>
          <w:rFonts w:hint="eastAsia" w:ascii="仿宋" w:hAnsi="仿宋" w:eastAsia="仿宋"/>
          <w:b w:val="0"/>
          <w:bCs w:val="0"/>
          <w:color w:val="auto"/>
          <w:sz w:val="32"/>
          <w:szCs w:val="32"/>
          <w:highlight w:val="none"/>
          <w:lang w:val="en-US" w:eastAsia="zh-CN"/>
        </w:rPr>
        <w:t>文化和旅游</w:t>
      </w:r>
      <w:r>
        <w:rPr>
          <w:rStyle w:val="20"/>
          <w:rFonts w:hint="eastAsia" w:ascii="仿宋" w:hAnsi="仿宋" w:eastAsia="仿宋"/>
          <w:b w:val="0"/>
          <w:bCs w:val="0"/>
          <w:color w:val="auto"/>
          <w:sz w:val="32"/>
          <w:szCs w:val="32"/>
          <w:highlight w:val="none"/>
        </w:rPr>
        <w:t>（款）</w:t>
      </w:r>
      <w:r>
        <w:rPr>
          <w:rStyle w:val="20"/>
          <w:rFonts w:hint="eastAsia" w:ascii="仿宋" w:hAnsi="仿宋" w:eastAsia="仿宋"/>
          <w:b w:val="0"/>
          <w:bCs w:val="0"/>
          <w:color w:val="auto"/>
          <w:sz w:val="32"/>
          <w:szCs w:val="32"/>
          <w:highlight w:val="none"/>
          <w:lang w:val="en-US" w:eastAsia="zh-CN"/>
        </w:rPr>
        <w:t>旅游宣传</w:t>
      </w:r>
      <w:r>
        <w:rPr>
          <w:rStyle w:val="20"/>
          <w:rFonts w:hint="eastAsia" w:ascii="仿宋" w:hAnsi="仿宋" w:eastAsia="仿宋"/>
          <w:b w:val="0"/>
          <w:bCs w:val="0"/>
          <w:color w:val="auto"/>
          <w:sz w:val="32"/>
          <w:szCs w:val="32"/>
          <w:highlight w:val="none"/>
        </w:rPr>
        <w:t>（项）</w:t>
      </w:r>
      <w:r>
        <w:rPr>
          <w:rStyle w:val="20"/>
          <w:rFonts w:ascii="仿宋" w:hAnsi="仿宋" w:eastAsia="仿宋"/>
          <w:b w:val="0"/>
          <w:bCs w:val="0"/>
          <w:color w:val="auto"/>
          <w:sz w:val="32"/>
          <w:szCs w:val="32"/>
          <w:highlight w:val="none"/>
        </w:rPr>
        <w:t>:</w:t>
      </w:r>
      <w:r>
        <w:rPr>
          <w:rStyle w:val="20"/>
          <w:rFonts w:hint="eastAsia" w:hAnsi="仿宋"/>
          <w:b w:val="0"/>
          <w:bCs w:val="0"/>
          <w:color w:val="auto"/>
          <w:sz w:val="32"/>
          <w:szCs w:val="32"/>
          <w:highlight w:val="none"/>
          <w:lang w:val="en-US" w:eastAsia="zh-CN"/>
        </w:rPr>
        <w:t>指反映在境内外开展各类旅游宣传促销活动的支出，包括驻外旅游机构宣传费、境外宣传促销费、境内宣传促销费、海外记者及旅行商接待费、旅游宣传品制作费及设备购置费等。</w:t>
      </w:r>
    </w:p>
    <w:p>
      <w:pPr>
        <w:pStyle w:val="30"/>
        <w:spacing w:line="560" w:lineRule="exact"/>
        <w:ind w:firstLine="640" w:firstLineChars="200"/>
        <w:rPr>
          <w:rStyle w:val="20"/>
          <w:rFonts w:hint="eastAsia" w:hAnsi="仿宋"/>
          <w:b w:val="0"/>
          <w:bCs w:val="0"/>
          <w:color w:val="auto"/>
          <w:sz w:val="32"/>
          <w:szCs w:val="32"/>
          <w:highlight w:val="none"/>
          <w:lang w:val="en-US" w:eastAsia="zh-CN"/>
        </w:rPr>
      </w:pPr>
      <w:r>
        <w:rPr>
          <w:rStyle w:val="20"/>
          <w:rFonts w:hint="eastAsia" w:hAnsi="仿宋"/>
          <w:b w:val="0"/>
          <w:bCs w:val="0"/>
          <w:color w:val="auto"/>
          <w:sz w:val="32"/>
          <w:szCs w:val="32"/>
          <w:highlight w:val="none"/>
          <w:lang w:val="en-US" w:eastAsia="zh-CN"/>
        </w:rPr>
        <w:t>16、</w:t>
      </w:r>
      <w:r>
        <w:rPr>
          <w:rStyle w:val="20"/>
          <w:rFonts w:hint="eastAsia" w:ascii="仿宋" w:hAnsi="仿宋" w:eastAsia="仿宋"/>
          <w:b w:val="0"/>
          <w:bCs w:val="0"/>
          <w:color w:val="auto"/>
          <w:sz w:val="32"/>
          <w:szCs w:val="32"/>
          <w:highlight w:val="none"/>
        </w:rPr>
        <w:t>文化旅游体育与传媒支出（类）</w:t>
      </w:r>
      <w:r>
        <w:rPr>
          <w:rStyle w:val="20"/>
          <w:rFonts w:hint="eastAsia" w:ascii="仿宋" w:hAnsi="仿宋" w:eastAsia="仿宋"/>
          <w:b w:val="0"/>
          <w:bCs w:val="0"/>
          <w:color w:val="auto"/>
          <w:sz w:val="32"/>
          <w:szCs w:val="32"/>
          <w:highlight w:val="none"/>
          <w:lang w:val="en-US" w:eastAsia="zh-CN"/>
        </w:rPr>
        <w:t>文化和旅游</w:t>
      </w:r>
      <w:r>
        <w:rPr>
          <w:rStyle w:val="20"/>
          <w:rFonts w:hint="eastAsia" w:ascii="仿宋" w:hAnsi="仿宋" w:eastAsia="仿宋"/>
          <w:b w:val="0"/>
          <w:bCs w:val="0"/>
          <w:color w:val="auto"/>
          <w:sz w:val="32"/>
          <w:szCs w:val="32"/>
          <w:highlight w:val="none"/>
        </w:rPr>
        <w:t>（款）</w:t>
      </w:r>
      <w:r>
        <w:rPr>
          <w:rStyle w:val="20"/>
          <w:rFonts w:hint="eastAsia" w:hAnsi="仿宋"/>
          <w:b w:val="0"/>
          <w:bCs w:val="0"/>
          <w:color w:val="auto"/>
          <w:sz w:val="32"/>
          <w:szCs w:val="32"/>
          <w:highlight w:val="none"/>
          <w:lang w:val="en-US" w:eastAsia="zh-CN"/>
        </w:rPr>
        <w:t>其他</w:t>
      </w:r>
      <w:r>
        <w:rPr>
          <w:rStyle w:val="20"/>
          <w:rFonts w:hint="eastAsia" w:ascii="仿宋" w:hAnsi="仿宋" w:eastAsia="仿宋"/>
          <w:b w:val="0"/>
          <w:bCs w:val="0"/>
          <w:color w:val="auto"/>
          <w:sz w:val="32"/>
          <w:szCs w:val="32"/>
          <w:highlight w:val="none"/>
          <w:lang w:val="en-US" w:eastAsia="zh-CN"/>
        </w:rPr>
        <w:t>文化和旅游</w:t>
      </w:r>
      <w:r>
        <w:rPr>
          <w:rStyle w:val="20"/>
          <w:rFonts w:hint="eastAsia" w:ascii="仿宋" w:hAnsi="仿宋" w:eastAsia="仿宋"/>
          <w:b w:val="0"/>
          <w:bCs w:val="0"/>
          <w:color w:val="auto"/>
          <w:sz w:val="32"/>
          <w:szCs w:val="32"/>
          <w:highlight w:val="none"/>
        </w:rPr>
        <w:t>（项）</w:t>
      </w:r>
      <w:r>
        <w:rPr>
          <w:rStyle w:val="20"/>
          <w:rFonts w:ascii="仿宋" w:hAnsi="仿宋" w:eastAsia="仿宋"/>
          <w:b w:val="0"/>
          <w:bCs w:val="0"/>
          <w:color w:val="auto"/>
          <w:sz w:val="32"/>
          <w:szCs w:val="32"/>
          <w:highlight w:val="none"/>
        </w:rPr>
        <w:t>:</w:t>
      </w:r>
      <w:r>
        <w:rPr>
          <w:rStyle w:val="20"/>
          <w:rFonts w:hint="eastAsia" w:hAnsi="仿宋"/>
          <w:b w:val="0"/>
          <w:bCs w:val="0"/>
          <w:color w:val="auto"/>
          <w:sz w:val="32"/>
          <w:szCs w:val="32"/>
          <w:highlight w:val="none"/>
          <w:lang w:val="en-US" w:eastAsia="zh-CN"/>
        </w:rPr>
        <w:t>指反映上述项目以外其他用于文化和旅游方面的支出。</w:t>
      </w:r>
    </w:p>
    <w:p>
      <w:pPr>
        <w:pStyle w:val="30"/>
        <w:spacing w:line="560" w:lineRule="exact"/>
        <w:ind w:firstLine="640" w:firstLineChars="200"/>
        <w:rPr>
          <w:rStyle w:val="20"/>
          <w:rFonts w:hint="eastAsia" w:hAnsi="仿宋"/>
          <w:b w:val="0"/>
          <w:bCs w:val="0"/>
          <w:color w:val="auto"/>
          <w:sz w:val="32"/>
          <w:szCs w:val="32"/>
          <w:highlight w:val="none"/>
          <w:lang w:val="en-US" w:eastAsia="zh-CN"/>
        </w:rPr>
      </w:pPr>
      <w:r>
        <w:rPr>
          <w:rStyle w:val="20"/>
          <w:rFonts w:hint="eastAsia" w:hAnsi="仿宋"/>
          <w:b w:val="0"/>
          <w:bCs w:val="0"/>
          <w:color w:val="auto"/>
          <w:sz w:val="32"/>
          <w:szCs w:val="32"/>
          <w:highlight w:val="none"/>
          <w:lang w:val="en-US" w:eastAsia="zh-CN"/>
        </w:rPr>
        <w:t>17、</w:t>
      </w:r>
      <w:r>
        <w:rPr>
          <w:rStyle w:val="20"/>
          <w:rFonts w:hint="eastAsia" w:ascii="仿宋" w:hAnsi="仿宋" w:eastAsia="仿宋"/>
          <w:b w:val="0"/>
          <w:bCs w:val="0"/>
          <w:color w:val="auto"/>
          <w:sz w:val="32"/>
          <w:szCs w:val="32"/>
          <w:highlight w:val="none"/>
        </w:rPr>
        <w:t>文化旅游体育与传媒支出（类）</w:t>
      </w:r>
      <w:r>
        <w:rPr>
          <w:rStyle w:val="20"/>
          <w:rFonts w:hint="eastAsia" w:hAnsi="仿宋"/>
          <w:b w:val="0"/>
          <w:bCs w:val="0"/>
          <w:color w:val="auto"/>
          <w:sz w:val="32"/>
          <w:szCs w:val="32"/>
          <w:highlight w:val="none"/>
          <w:lang w:val="en-US" w:eastAsia="zh-CN"/>
        </w:rPr>
        <w:t>文物</w:t>
      </w:r>
      <w:r>
        <w:rPr>
          <w:rStyle w:val="20"/>
          <w:rFonts w:hint="eastAsia" w:ascii="仿宋" w:hAnsi="仿宋" w:eastAsia="仿宋"/>
          <w:b w:val="0"/>
          <w:bCs w:val="0"/>
          <w:color w:val="auto"/>
          <w:sz w:val="32"/>
          <w:szCs w:val="32"/>
          <w:highlight w:val="none"/>
        </w:rPr>
        <w:t>（款）</w:t>
      </w:r>
      <w:r>
        <w:rPr>
          <w:rStyle w:val="20"/>
          <w:rFonts w:hint="eastAsia" w:hAnsi="仿宋"/>
          <w:b w:val="0"/>
          <w:bCs w:val="0"/>
          <w:color w:val="auto"/>
          <w:sz w:val="32"/>
          <w:szCs w:val="32"/>
          <w:highlight w:val="none"/>
          <w:lang w:val="en-US" w:eastAsia="zh-CN"/>
        </w:rPr>
        <w:t>文物保护</w:t>
      </w:r>
      <w:r>
        <w:rPr>
          <w:rStyle w:val="20"/>
          <w:rFonts w:hint="eastAsia" w:ascii="仿宋" w:hAnsi="仿宋" w:eastAsia="仿宋"/>
          <w:b w:val="0"/>
          <w:bCs w:val="0"/>
          <w:color w:val="auto"/>
          <w:sz w:val="32"/>
          <w:szCs w:val="32"/>
          <w:highlight w:val="none"/>
        </w:rPr>
        <w:t>（项）</w:t>
      </w:r>
      <w:r>
        <w:rPr>
          <w:rStyle w:val="20"/>
          <w:rFonts w:ascii="仿宋" w:hAnsi="仿宋" w:eastAsia="仿宋"/>
          <w:b w:val="0"/>
          <w:bCs w:val="0"/>
          <w:color w:val="auto"/>
          <w:sz w:val="32"/>
          <w:szCs w:val="32"/>
          <w:highlight w:val="none"/>
        </w:rPr>
        <w:t>:</w:t>
      </w:r>
      <w:r>
        <w:rPr>
          <w:rStyle w:val="20"/>
          <w:rFonts w:hint="eastAsia" w:hAnsi="仿宋"/>
          <w:b w:val="0"/>
          <w:bCs w:val="0"/>
          <w:color w:val="auto"/>
          <w:sz w:val="32"/>
          <w:szCs w:val="32"/>
          <w:highlight w:val="none"/>
          <w:lang w:val="en-US" w:eastAsia="zh-CN"/>
        </w:rPr>
        <w:t>指反映考古发掘及文物保护方面的支出。</w:t>
      </w:r>
    </w:p>
    <w:p>
      <w:pPr>
        <w:pStyle w:val="30"/>
        <w:spacing w:line="560" w:lineRule="exact"/>
        <w:ind w:firstLine="640" w:firstLineChars="200"/>
        <w:rPr>
          <w:rStyle w:val="20"/>
          <w:rFonts w:hint="eastAsia" w:hAnsi="仿宋"/>
          <w:b w:val="0"/>
          <w:bCs w:val="0"/>
          <w:color w:val="auto"/>
          <w:sz w:val="32"/>
          <w:szCs w:val="32"/>
          <w:highlight w:val="none"/>
          <w:lang w:val="en-US" w:eastAsia="zh-CN"/>
        </w:rPr>
      </w:pPr>
      <w:r>
        <w:rPr>
          <w:rStyle w:val="20"/>
          <w:rFonts w:hint="eastAsia" w:hAnsi="仿宋"/>
          <w:b w:val="0"/>
          <w:bCs w:val="0"/>
          <w:color w:val="auto"/>
          <w:sz w:val="32"/>
          <w:szCs w:val="32"/>
          <w:highlight w:val="none"/>
          <w:lang w:val="en-US" w:eastAsia="zh-CN"/>
        </w:rPr>
        <w:t>18、</w:t>
      </w:r>
      <w:r>
        <w:rPr>
          <w:rStyle w:val="20"/>
          <w:rFonts w:hint="eastAsia" w:ascii="仿宋" w:hAnsi="仿宋" w:eastAsia="仿宋"/>
          <w:b w:val="0"/>
          <w:bCs w:val="0"/>
          <w:color w:val="auto"/>
          <w:sz w:val="32"/>
          <w:szCs w:val="32"/>
          <w:highlight w:val="none"/>
        </w:rPr>
        <w:t>文化旅游体育与传媒支出（类）</w:t>
      </w:r>
      <w:r>
        <w:rPr>
          <w:rStyle w:val="20"/>
          <w:rFonts w:hint="eastAsia" w:hAnsi="仿宋"/>
          <w:b w:val="0"/>
          <w:bCs w:val="0"/>
          <w:color w:val="auto"/>
          <w:sz w:val="32"/>
          <w:szCs w:val="32"/>
          <w:highlight w:val="none"/>
          <w:lang w:val="en-US" w:eastAsia="zh-CN"/>
        </w:rPr>
        <w:t>文物</w:t>
      </w:r>
      <w:r>
        <w:rPr>
          <w:rStyle w:val="20"/>
          <w:rFonts w:hint="eastAsia" w:ascii="仿宋" w:hAnsi="仿宋" w:eastAsia="仿宋"/>
          <w:b w:val="0"/>
          <w:bCs w:val="0"/>
          <w:color w:val="auto"/>
          <w:sz w:val="32"/>
          <w:szCs w:val="32"/>
          <w:highlight w:val="none"/>
        </w:rPr>
        <w:t>（款）</w:t>
      </w:r>
      <w:r>
        <w:rPr>
          <w:rStyle w:val="20"/>
          <w:rFonts w:hint="eastAsia" w:hAnsi="仿宋"/>
          <w:b w:val="0"/>
          <w:bCs w:val="0"/>
          <w:color w:val="auto"/>
          <w:sz w:val="32"/>
          <w:szCs w:val="32"/>
          <w:highlight w:val="none"/>
          <w:lang w:val="en-US" w:eastAsia="zh-CN"/>
        </w:rPr>
        <w:t>博物馆</w:t>
      </w:r>
      <w:r>
        <w:rPr>
          <w:rStyle w:val="20"/>
          <w:rFonts w:hint="eastAsia" w:ascii="仿宋" w:hAnsi="仿宋" w:eastAsia="仿宋"/>
          <w:b w:val="0"/>
          <w:bCs w:val="0"/>
          <w:color w:val="auto"/>
          <w:sz w:val="32"/>
          <w:szCs w:val="32"/>
          <w:highlight w:val="none"/>
        </w:rPr>
        <w:t>（项）</w:t>
      </w:r>
      <w:r>
        <w:rPr>
          <w:rStyle w:val="20"/>
          <w:rFonts w:ascii="仿宋" w:hAnsi="仿宋" w:eastAsia="仿宋"/>
          <w:b w:val="0"/>
          <w:bCs w:val="0"/>
          <w:color w:val="auto"/>
          <w:sz w:val="32"/>
          <w:szCs w:val="32"/>
          <w:highlight w:val="none"/>
        </w:rPr>
        <w:t>:</w:t>
      </w:r>
      <w:r>
        <w:rPr>
          <w:rStyle w:val="20"/>
          <w:rFonts w:hint="eastAsia" w:hAnsi="仿宋"/>
          <w:b w:val="0"/>
          <w:bCs w:val="0"/>
          <w:color w:val="auto"/>
          <w:sz w:val="32"/>
          <w:szCs w:val="32"/>
          <w:highlight w:val="none"/>
          <w:lang w:val="en-US" w:eastAsia="zh-CN"/>
        </w:rPr>
        <w:t>指反映文物系统及其他部门所属博物馆、纪念馆（室）的支出。</w:t>
      </w:r>
    </w:p>
    <w:p>
      <w:pPr>
        <w:pStyle w:val="30"/>
        <w:spacing w:line="560" w:lineRule="exact"/>
        <w:ind w:firstLine="640" w:firstLineChars="200"/>
        <w:rPr>
          <w:rStyle w:val="20"/>
          <w:rFonts w:hint="eastAsia" w:hAnsi="仿宋"/>
          <w:b w:val="0"/>
          <w:bCs w:val="0"/>
          <w:color w:val="auto"/>
          <w:sz w:val="32"/>
          <w:szCs w:val="32"/>
          <w:highlight w:val="none"/>
          <w:lang w:val="en-US" w:eastAsia="zh-CN"/>
        </w:rPr>
      </w:pPr>
      <w:r>
        <w:rPr>
          <w:rStyle w:val="20"/>
          <w:rFonts w:hint="eastAsia" w:hAnsi="仿宋"/>
          <w:b w:val="0"/>
          <w:bCs w:val="0"/>
          <w:color w:val="auto"/>
          <w:sz w:val="32"/>
          <w:szCs w:val="32"/>
          <w:highlight w:val="none"/>
          <w:lang w:val="en-US" w:eastAsia="zh-CN"/>
        </w:rPr>
        <w:t>19、</w:t>
      </w:r>
      <w:r>
        <w:rPr>
          <w:rStyle w:val="20"/>
          <w:rFonts w:hint="eastAsia" w:ascii="仿宋" w:hAnsi="仿宋" w:eastAsia="仿宋"/>
          <w:b w:val="0"/>
          <w:bCs w:val="0"/>
          <w:color w:val="auto"/>
          <w:sz w:val="32"/>
          <w:szCs w:val="32"/>
          <w:highlight w:val="none"/>
        </w:rPr>
        <w:t>文化旅游体育与传媒支出（类）</w:t>
      </w:r>
      <w:r>
        <w:rPr>
          <w:rStyle w:val="20"/>
          <w:rFonts w:hint="eastAsia" w:hAnsi="仿宋"/>
          <w:b w:val="0"/>
          <w:bCs w:val="0"/>
          <w:color w:val="auto"/>
          <w:sz w:val="32"/>
          <w:szCs w:val="32"/>
          <w:highlight w:val="none"/>
          <w:lang w:val="en-US" w:eastAsia="zh-CN"/>
        </w:rPr>
        <w:t>体育</w:t>
      </w:r>
      <w:r>
        <w:rPr>
          <w:rStyle w:val="20"/>
          <w:rFonts w:hint="eastAsia" w:ascii="仿宋" w:hAnsi="仿宋" w:eastAsia="仿宋"/>
          <w:b w:val="0"/>
          <w:bCs w:val="0"/>
          <w:color w:val="auto"/>
          <w:sz w:val="32"/>
          <w:szCs w:val="32"/>
          <w:highlight w:val="none"/>
        </w:rPr>
        <w:t>（款）</w:t>
      </w:r>
      <w:r>
        <w:rPr>
          <w:rStyle w:val="20"/>
          <w:rFonts w:hint="eastAsia" w:hAnsi="仿宋"/>
          <w:b w:val="0"/>
          <w:bCs w:val="0"/>
          <w:color w:val="auto"/>
          <w:sz w:val="32"/>
          <w:szCs w:val="32"/>
          <w:highlight w:val="none"/>
          <w:lang w:val="en-US" w:eastAsia="zh-CN"/>
        </w:rPr>
        <w:t>体育竞赛</w:t>
      </w:r>
      <w:r>
        <w:rPr>
          <w:rStyle w:val="20"/>
          <w:rFonts w:hint="eastAsia" w:ascii="仿宋" w:hAnsi="仿宋" w:eastAsia="仿宋"/>
          <w:b w:val="0"/>
          <w:bCs w:val="0"/>
          <w:color w:val="auto"/>
          <w:sz w:val="32"/>
          <w:szCs w:val="32"/>
          <w:highlight w:val="none"/>
        </w:rPr>
        <w:t>（项）</w:t>
      </w:r>
      <w:r>
        <w:rPr>
          <w:rStyle w:val="20"/>
          <w:rFonts w:ascii="仿宋" w:hAnsi="仿宋" w:eastAsia="仿宋"/>
          <w:b w:val="0"/>
          <w:bCs w:val="0"/>
          <w:color w:val="auto"/>
          <w:sz w:val="32"/>
          <w:szCs w:val="32"/>
          <w:highlight w:val="none"/>
        </w:rPr>
        <w:t>:</w:t>
      </w:r>
      <w:r>
        <w:rPr>
          <w:rStyle w:val="20"/>
          <w:rFonts w:hint="eastAsia" w:hAnsi="仿宋"/>
          <w:b w:val="0"/>
          <w:bCs w:val="0"/>
          <w:color w:val="auto"/>
          <w:sz w:val="32"/>
          <w:szCs w:val="32"/>
          <w:highlight w:val="none"/>
          <w:lang w:val="en-US" w:eastAsia="zh-CN"/>
        </w:rPr>
        <w:t>指反映综合性运动会及单项体育体育比赛的支出。</w:t>
      </w:r>
    </w:p>
    <w:p>
      <w:pPr>
        <w:pStyle w:val="30"/>
        <w:spacing w:line="560" w:lineRule="exact"/>
        <w:ind w:firstLine="640" w:firstLineChars="200"/>
        <w:rPr>
          <w:rStyle w:val="20"/>
          <w:rFonts w:hint="eastAsia" w:hAnsi="仿宋"/>
          <w:b w:val="0"/>
          <w:bCs w:val="0"/>
          <w:color w:val="auto"/>
          <w:sz w:val="32"/>
          <w:szCs w:val="32"/>
          <w:highlight w:val="none"/>
          <w:lang w:val="en-US" w:eastAsia="zh-CN"/>
        </w:rPr>
      </w:pPr>
      <w:r>
        <w:rPr>
          <w:rStyle w:val="20"/>
          <w:rFonts w:hint="eastAsia" w:hAnsi="仿宋"/>
          <w:b w:val="0"/>
          <w:bCs w:val="0"/>
          <w:color w:val="auto"/>
          <w:sz w:val="32"/>
          <w:szCs w:val="32"/>
          <w:highlight w:val="none"/>
          <w:lang w:val="en-US" w:eastAsia="zh-CN"/>
        </w:rPr>
        <w:t>20、</w:t>
      </w:r>
      <w:r>
        <w:rPr>
          <w:rStyle w:val="20"/>
          <w:rFonts w:hint="eastAsia" w:ascii="仿宋" w:hAnsi="仿宋" w:eastAsia="仿宋"/>
          <w:b w:val="0"/>
          <w:bCs w:val="0"/>
          <w:color w:val="auto"/>
          <w:sz w:val="32"/>
          <w:szCs w:val="32"/>
          <w:highlight w:val="none"/>
        </w:rPr>
        <w:t>文化旅游体育与传媒支出（类）</w:t>
      </w:r>
      <w:r>
        <w:rPr>
          <w:rStyle w:val="20"/>
          <w:rFonts w:hint="eastAsia" w:hAnsi="仿宋"/>
          <w:b w:val="0"/>
          <w:bCs w:val="0"/>
          <w:color w:val="auto"/>
          <w:sz w:val="32"/>
          <w:szCs w:val="32"/>
          <w:highlight w:val="none"/>
          <w:lang w:val="en-US" w:eastAsia="zh-CN"/>
        </w:rPr>
        <w:t>体育</w:t>
      </w:r>
      <w:r>
        <w:rPr>
          <w:rStyle w:val="20"/>
          <w:rFonts w:hint="eastAsia" w:ascii="仿宋" w:hAnsi="仿宋" w:eastAsia="仿宋"/>
          <w:b w:val="0"/>
          <w:bCs w:val="0"/>
          <w:color w:val="auto"/>
          <w:sz w:val="32"/>
          <w:szCs w:val="32"/>
          <w:highlight w:val="none"/>
        </w:rPr>
        <w:t>（款）</w:t>
      </w:r>
      <w:r>
        <w:rPr>
          <w:rStyle w:val="20"/>
          <w:rFonts w:hint="eastAsia" w:hAnsi="仿宋"/>
          <w:b w:val="0"/>
          <w:bCs w:val="0"/>
          <w:color w:val="auto"/>
          <w:sz w:val="32"/>
          <w:szCs w:val="32"/>
          <w:highlight w:val="none"/>
          <w:lang w:val="en-US" w:eastAsia="zh-CN"/>
        </w:rPr>
        <w:t>体育场馆</w:t>
      </w:r>
      <w:r>
        <w:rPr>
          <w:rStyle w:val="20"/>
          <w:rFonts w:hint="eastAsia" w:ascii="仿宋" w:hAnsi="仿宋" w:eastAsia="仿宋"/>
          <w:b w:val="0"/>
          <w:bCs w:val="0"/>
          <w:color w:val="auto"/>
          <w:sz w:val="32"/>
          <w:szCs w:val="32"/>
          <w:highlight w:val="none"/>
        </w:rPr>
        <w:t>（项）</w:t>
      </w:r>
      <w:r>
        <w:rPr>
          <w:rStyle w:val="20"/>
          <w:rFonts w:ascii="仿宋" w:hAnsi="仿宋" w:eastAsia="仿宋"/>
          <w:b w:val="0"/>
          <w:bCs w:val="0"/>
          <w:color w:val="auto"/>
          <w:sz w:val="32"/>
          <w:szCs w:val="32"/>
          <w:highlight w:val="none"/>
        </w:rPr>
        <w:t>:</w:t>
      </w:r>
      <w:r>
        <w:rPr>
          <w:rStyle w:val="20"/>
          <w:rFonts w:hint="eastAsia" w:hAnsi="仿宋"/>
          <w:b w:val="0"/>
          <w:bCs w:val="0"/>
          <w:color w:val="auto"/>
          <w:sz w:val="32"/>
          <w:szCs w:val="32"/>
          <w:highlight w:val="none"/>
          <w:lang w:val="en-US" w:eastAsia="zh-CN"/>
        </w:rPr>
        <w:t>指反映体育场馆建设及维护方面的支出。</w:t>
      </w:r>
    </w:p>
    <w:p>
      <w:pPr>
        <w:pStyle w:val="30"/>
        <w:spacing w:line="560" w:lineRule="exact"/>
        <w:ind w:firstLine="640" w:firstLineChars="200"/>
        <w:rPr>
          <w:rStyle w:val="20"/>
          <w:rFonts w:hint="eastAsia" w:hAnsi="仿宋"/>
          <w:b w:val="0"/>
          <w:bCs w:val="0"/>
          <w:color w:val="auto"/>
          <w:sz w:val="32"/>
          <w:szCs w:val="32"/>
          <w:highlight w:val="none"/>
          <w:lang w:val="en-US" w:eastAsia="zh-CN"/>
        </w:rPr>
      </w:pPr>
      <w:r>
        <w:rPr>
          <w:rStyle w:val="20"/>
          <w:rFonts w:hint="eastAsia" w:hAnsi="仿宋"/>
          <w:b w:val="0"/>
          <w:bCs w:val="0"/>
          <w:color w:val="auto"/>
          <w:sz w:val="32"/>
          <w:szCs w:val="32"/>
          <w:highlight w:val="none"/>
          <w:lang w:val="en-US" w:eastAsia="zh-CN"/>
        </w:rPr>
        <w:t>21、</w:t>
      </w:r>
      <w:r>
        <w:rPr>
          <w:rStyle w:val="20"/>
          <w:rFonts w:hint="eastAsia" w:ascii="仿宋" w:hAnsi="仿宋" w:eastAsia="仿宋"/>
          <w:b w:val="0"/>
          <w:bCs w:val="0"/>
          <w:color w:val="auto"/>
          <w:sz w:val="32"/>
          <w:szCs w:val="32"/>
          <w:highlight w:val="none"/>
        </w:rPr>
        <w:t>文化旅游体育与传媒支出（类）</w:t>
      </w:r>
      <w:r>
        <w:rPr>
          <w:rStyle w:val="20"/>
          <w:rFonts w:hint="eastAsia" w:hAnsi="仿宋"/>
          <w:b w:val="0"/>
          <w:bCs w:val="0"/>
          <w:color w:val="auto"/>
          <w:sz w:val="32"/>
          <w:szCs w:val="32"/>
          <w:highlight w:val="none"/>
          <w:lang w:val="en-US" w:eastAsia="zh-CN"/>
        </w:rPr>
        <w:t>体育</w:t>
      </w:r>
      <w:r>
        <w:rPr>
          <w:rStyle w:val="20"/>
          <w:rFonts w:hint="eastAsia" w:ascii="仿宋" w:hAnsi="仿宋" w:eastAsia="仿宋"/>
          <w:b w:val="0"/>
          <w:bCs w:val="0"/>
          <w:color w:val="auto"/>
          <w:sz w:val="32"/>
          <w:szCs w:val="32"/>
          <w:highlight w:val="none"/>
        </w:rPr>
        <w:t>（款）</w:t>
      </w:r>
      <w:r>
        <w:rPr>
          <w:rStyle w:val="20"/>
          <w:rFonts w:hint="eastAsia" w:hAnsi="仿宋"/>
          <w:b w:val="0"/>
          <w:bCs w:val="0"/>
          <w:color w:val="auto"/>
          <w:sz w:val="32"/>
          <w:szCs w:val="32"/>
          <w:highlight w:val="none"/>
          <w:lang w:val="en-US" w:eastAsia="zh-CN"/>
        </w:rPr>
        <w:t>群众体育</w:t>
      </w:r>
      <w:r>
        <w:rPr>
          <w:rStyle w:val="20"/>
          <w:rFonts w:hint="eastAsia" w:ascii="仿宋" w:hAnsi="仿宋" w:eastAsia="仿宋"/>
          <w:b w:val="0"/>
          <w:bCs w:val="0"/>
          <w:color w:val="auto"/>
          <w:sz w:val="32"/>
          <w:szCs w:val="32"/>
          <w:highlight w:val="none"/>
        </w:rPr>
        <w:t>（项）</w:t>
      </w:r>
      <w:r>
        <w:rPr>
          <w:rStyle w:val="20"/>
          <w:rFonts w:ascii="仿宋" w:hAnsi="仿宋" w:eastAsia="仿宋"/>
          <w:b w:val="0"/>
          <w:bCs w:val="0"/>
          <w:color w:val="auto"/>
          <w:sz w:val="32"/>
          <w:szCs w:val="32"/>
          <w:highlight w:val="none"/>
        </w:rPr>
        <w:t>:</w:t>
      </w:r>
      <w:r>
        <w:rPr>
          <w:rStyle w:val="20"/>
          <w:rFonts w:hint="eastAsia" w:hAnsi="仿宋"/>
          <w:b w:val="0"/>
          <w:bCs w:val="0"/>
          <w:color w:val="auto"/>
          <w:sz w:val="32"/>
          <w:szCs w:val="32"/>
          <w:highlight w:val="none"/>
          <w:lang w:val="en-US" w:eastAsia="zh-CN"/>
        </w:rPr>
        <w:t>指反映业余体校和全民健身等群众体育活动方面的支出。</w:t>
      </w:r>
    </w:p>
    <w:p>
      <w:pPr>
        <w:pStyle w:val="30"/>
        <w:spacing w:line="560" w:lineRule="exact"/>
        <w:ind w:firstLine="640" w:firstLineChars="200"/>
        <w:rPr>
          <w:rStyle w:val="20"/>
          <w:rFonts w:hint="eastAsia" w:hAnsi="仿宋"/>
          <w:b w:val="0"/>
          <w:bCs w:val="0"/>
          <w:color w:val="auto"/>
          <w:sz w:val="32"/>
          <w:szCs w:val="32"/>
          <w:highlight w:val="none"/>
          <w:lang w:val="en-US" w:eastAsia="zh-CN"/>
        </w:rPr>
      </w:pPr>
      <w:r>
        <w:rPr>
          <w:rStyle w:val="20"/>
          <w:rFonts w:hint="eastAsia" w:hAnsi="仿宋"/>
          <w:b w:val="0"/>
          <w:bCs w:val="0"/>
          <w:color w:val="auto"/>
          <w:sz w:val="32"/>
          <w:szCs w:val="32"/>
          <w:highlight w:val="none"/>
          <w:lang w:val="en-US" w:eastAsia="zh-CN"/>
        </w:rPr>
        <w:t>22、</w:t>
      </w:r>
      <w:r>
        <w:rPr>
          <w:rStyle w:val="20"/>
          <w:rFonts w:hint="eastAsia" w:ascii="仿宋" w:hAnsi="仿宋" w:eastAsia="仿宋"/>
          <w:b w:val="0"/>
          <w:bCs w:val="0"/>
          <w:color w:val="auto"/>
          <w:sz w:val="32"/>
          <w:szCs w:val="32"/>
          <w:highlight w:val="none"/>
        </w:rPr>
        <w:t>文化旅游体育与传媒支出（类）</w:t>
      </w:r>
      <w:r>
        <w:rPr>
          <w:rStyle w:val="20"/>
          <w:rFonts w:hint="eastAsia" w:hAnsi="仿宋"/>
          <w:b w:val="0"/>
          <w:bCs w:val="0"/>
          <w:color w:val="auto"/>
          <w:sz w:val="32"/>
          <w:szCs w:val="32"/>
          <w:highlight w:val="none"/>
          <w:lang w:val="en-US" w:eastAsia="zh-CN"/>
        </w:rPr>
        <w:t>体育</w:t>
      </w:r>
      <w:r>
        <w:rPr>
          <w:rStyle w:val="20"/>
          <w:rFonts w:hint="eastAsia" w:ascii="仿宋" w:hAnsi="仿宋" w:eastAsia="仿宋"/>
          <w:b w:val="0"/>
          <w:bCs w:val="0"/>
          <w:color w:val="auto"/>
          <w:sz w:val="32"/>
          <w:szCs w:val="32"/>
          <w:highlight w:val="none"/>
        </w:rPr>
        <w:t>（款）</w:t>
      </w:r>
      <w:r>
        <w:rPr>
          <w:rStyle w:val="20"/>
          <w:rFonts w:hint="eastAsia" w:hAnsi="仿宋"/>
          <w:b w:val="0"/>
          <w:bCs w:val="0"/>
          <w:color w:val="auto"/>
          <w:sz w:val="32"/>
          <w:szCs w:val="32"/>
          <w:highlight w:val="none"/>
          <w:lang w:val="en-US" w:eastAsia="zh-CN"/>
        </w:rPr>
        <w:t>其他体育支出</w:t>
      </w:r>
      <w:r>
        <w:rPr>
          <w:rStyle w:val="20"/>
          <w:rFonts w:hint="eastAsia" w:ascii="仿宋" w:hAnsi="仿宋" w:eastAsia="仿宋"/>
          <w:b w:val="0"/>
          <w:bCs w:val="0"/>
          <w:color w:val="auto"/>
          <w:sz w:val="32"/>
          <w:szCs w:val="32"/>
          <w:highlight w:val="none"/>
        </w:rPr>
        <w:t>（项）</w:t>
      </w:r>
      <w:r>
        <w:rPr>
          <w:rStyle w:val="20"/>
          <w:rFonts w:ascii="仿宋" w:hAnsi="仿宋" w:eastAsia="仿宋"/>
          <w:b w:val="0"/>
          <w:bCs w:val="0"/>
          <w:color w:val="auto"/>
          <w:sz w:val="32"/>
          <w:szCs w:val="32"/>
          <w:highlight w:val="none"/>
        </w:rPr>
        <w:t>:</w:t>
      </w:r>
      <w:r>
        <w:rPr>
          <w:rStyle w:val="20"/>
          <w:rFonts w:hint="eastAsia" w:hAnsi="仿宋"/>
          <w:b w:val="0"/>
          <w:bCs w:val="0"/>
          <w:color w:val="auto"/>
          <w:sz w:val="32"/>
          <w:szCs w:val="32"/>
          <w:highlight w:val="none"/>
          <w:lang w:val="en-US" w:eastAsia="zh-CN"/>
        </w:rPr>
        <w:t>指反映除上述项目以外其他用于体育方面的支出。</w:t>
      </w:r>
    </w:p>
    <w:p>
      <w:pPr>
        <w:pStyle w:val="30"/>
        <w:spacing w:line="560" w:lineRule="exact"/>
        <w:ind w:firstLine="640" w:firstLineChars="200"/>
        <w:rPr>
          <w:rStyle w:val="20"/>
          <w:rFonts w:hint="eastAsia" w:hAnsi="仿宋"/>
          <w:b w:val="0"/>
          <w:bCs w:val="0"/>
          <w:color w:val="auto"/>
          <w:sz w:val="32"/>
          <w:szCs w:val="32"/>
          <w:highlight w:val="none"/>
          <w:lang w:val="en-US" w:eastAsia="zh-CN"/>
        </w:rPr>
      </w:pPr>
      <w:r>
        <w:rPr>
          <w:rStyle w:val="20"/>
          <w:rFonts w:hint="eastAsia" w:hAnsi="仿宋"/>
          <w:b w:val="0"/>
          <w:bCs w:val="0"/>
          <w:color w:val="auto"/>
          <w:sz w:val="32"/>
          <w:szCs w:val="32"/>
          <w:highlight w:val="none"/>
          <w:lang w:val="en-US" w:eastAsia="zh-CN"/>
        </w:rPr>
        <w:t>23、</w:t>
      </w:r>
      <w:r>
        <w:rPr>
          <w:rStyle w:val="20"/>
          <w:rFonts w:hint="eastAsia" w:ascii="仿宋" w:hAnsi="仿宋" w:eastAsia="仿宋"/>
          <w:b w:val="0"/>
          <w:bCs w:val="0"/>
          <w:color w:val="auto"/>
          <w:sz w:val="32"/>
          <w:szCs w:val="32"/>
          <w:highlight w:val="none"/>
        </w:rPr>
        <w:t>文化旅游体育与传媒支出（类）</w:t>
      </w:r>
      <w:r>
        <w:rPr>
          <w:rStyle w:val="20"/>
          <w:rFonts w:hint="eastAsia" w:hAnsi="仿宋"/>
          <w:b w:val="0"/>
          <w:bCs w:val="0"/>
          <w:color w:val="auto"/>
          <w:sz w:val="32"/>
          <w:szCs w:val="32"/>
          <w:highlight w:val="none"/>
          <w:lang w:val="en-US" w:eastAsia="zh-CN"/>
        </w:rPr>
        <w:t>新闻出版电影</w:t>
      </w:r>
      <w:r>
        <w:rPr>
          <w:rStyle w:val="20"/>
          <w:rFonts w:hint="eastAsia" w:ascii="仿宋" w:hAnsi="仿宋" w:eastAsia="仿宋"/>
          <w:b w:val="0"/>
          <w:bCs w:val="0"/>
          <w:color w:val="auto"/>
          <w:sz w:val="32"/>
          <w:szCs w:val="32"/>
          <w:highlight w:val="none"/>
        </w:rPr>
        <w:t>（款）</w:t>
      </w:r>
      <w:r>
        <w:rPr>
          <w:rStyle w:val="20"/>
          <w:rFonts w:hint="eastAsia" w:hAnsi="仿宋"/>
          <w:b w:val="0"/>
          <w:bCs w:val="0"/>
          <w:color w:val="auto"/>
          <w:sz w:val="32"/>
          <w:szCs w:val="32"/>
          <w:highlight w:val="none"/>
          <w:lang w:val="en-US" w:eastAsia="zh-CN"/>
        </w:rPr>
        <w:t>其他新闻出版电影支出</w:t>
      </w:r>
      <w:r>
        <w:rPr>
          <w:rStyle w:val="20"/>
          <w:rFonts w:hint="eastAsia" w:ascii="仿宋" w:hAnsi="仿宋" w:eastAsia="仿宋"/>
          <w:b w:val="0"/>
          <w:bCs w:val="0"/>
          <w:color w:val="auto"/>
          <w:sz w:val="32"/>
          <w:szCs w:val="32"/>
          <w:highlight w:val="none"/>
        </w:rPr>
        <w:t>（项）</w:t>
      </w:r>
      <w:r>
        <w:rPr>
          <w:rStyle w:val="20"/>
          <w:rFonts w:ascii="仿宋" w:hAnsi="仿宋" w:eastAsia="仿宋"/>
          <w:b w:val="0"/>
          <w:bCs w:val="0"/>
          <w:color w:val="auto"/>
          <w:sz w:val="32"/>
          <w:szCs w:val="32"/>
          <w:highlight w:val="none"/>
        </w:rPr>
        <w:t>:</w:t>
      </w:r>
      <w:r>
        <w:rPr>
          <w:rStyle w:val="20"/>
          <w:rFonts w:hint="eastAsia" w:hAnsi="仿宋"/>
          <w:b w:val="0"/>
          <w:bCs w:val="0"/>
          <w:color w:val="auto"/>
          <w:sz w:val="32"/>
          <w:szCs w:val="32"/>
          <w:highlight w:val="none"/>
          <w:lang w:val="en-US" w:eastAsia="zh-CN"/>
        </w:rPr>
        <w:t>指反映除上述项目以外其他用于新闻出版电影方面的支出。</w:t>
      </w:r>
    </w:p>
    <w:p>
      <w:pPr>
        <w:pStyle w:val="30"/>
        <w:spacing w:line="560" w:lineRule="exact"/>
        <w:ind w:firstLine="640" w:firstLineChars="200"/>
        <w:rPr>
          <w:rStyle w:val="20"/>
          <w:rFonts w:hint="eastAsia" w:hAnsi="仿宋"/>
          <w:b w:val="0"/>
          <w:bCs w:val="0"/>
          <w:color w:val="auto"/>
          <w:sz w:val="32"/>
          <w:szCs w:val="32"/>
          <w:highlight w:val="none"/>
          <w:lang w:val="en-US" w:eastAsia="zh-CN"/>
        </w:rPr>
      </w:pPr>
      <w:r>
        <w:rPr>
          <w:rStyle w:val="20"/>
          <w:rFonts w:hint="eastAsia" w:hAnsi="仿宋"/>
          <w:b w:val="0"/>
          <w:bCs w:val="0"/>
          <w:color w:val="auto"/>
          <w:sz w:val="32"/>
          <w:szCs w:val="32"/>
          <w:highlight w:val="none"/>
          <w:lang w:val="en-US" w:eastAsia="zh-CN"/>
        </w:rPr>
        <w:t>24、</w:t>
      </w:r>
      <w:r>
        <w:rPr>
          <w:rStyle w:val="20"/>
          <w:rFonts w:hint="eastAsia" w:ascii="仿宋" w:hAnsi="仿宋" w:eastAsia="仿宋"/>
          <w:b w:val="0"/>
          <w:bCs w:val="0"/>
          <w:color w:val="auto"/>
          <w:sz w:val="32"/>
          <w:szCs w:val="32"/>
          <w:highlight w:val="none"/>
        </w:rPr>
        <w:t>文化旅游体育与传媒支出（类）</w:t>
      </w:r>
      <w:r>
        <w:rPr>
          <w:rStyle w:val="20"/>
          <w:rFonts w:hint="eastAsia" w:hAnsi="仿宋"/>
          <w:b w:val="0"/>
          <w:bCs w:val="0"/>
          <w:color w:val="auto"/>
          <w:sz w:val="32"/>
          <w:szCs w:val="32"/>
          <w:highlight w:val="none"/>
          <w:lang w:val="en-US" w:eastAsia="zh-CN"/>
        </w:rPr>
        <w:t>广播电视</w:t>
      </w:r>
      <w:r>
        <w:rPr>
          <w:rStyle w:val="20"/>
          <w:rFonts w:hint="eastAsia" w:ascii="仿宋" w:hAnsi="仿宋" w:eastAsia="仿宋"/>
          <w:b w:val="0"/>
          <w:bCs w:val="0"/>
          <w:color w:val="auto"/>
          <w:sz w:val="32"/>
          <w:szCs w:val="32"/>
          <w:highlight w:val="none"/>
        </w:rPr>
        <w:t>（款）</w:t>
      </w:r>
      <w:r>
        <w:rPr>
          <w:rStyle w:val="20"/>
          <w:rFonts w:hint="eastAsia" w:hAnsi="仿宋"/>
          <w:b w:val="0"/>
          <w:bCs w:val="0"/>
          <w:color w:val="auto"/>
          <w:sz w:val="32"/>
          <w:szCs w:val="32"/>
          <w:highlight w:val="none"/>
          <w:lang w:val="en-US" w:eastAsia="zh-CN"/>
        </w:rPr>
        <w:t>其他广播电视支出</w:t>
      </w:r>
      <w:r>
        <w:rPr>
          <w:rStyle w:val="20"/>
          <w:rFonts w:hint="eastAsia" w:ascii="仿宋" w:hAnsi="仿宋" w:eastAsia="仿宋"/>
          <w:b w:val="0"/>
          <w:bCs w:val="0"/>
          <w:color w:val="auto"/>
          <w:sz w:val="32"/>
          <w:szCs w:val="32"/>
          <w:highlight w:val="none"/>
        </w:rPr>
        <w:t>（项）</w:t>
      </w:r>
      <w:r>
        <w:rPr>
          <w:rStyle w:val="20"/>
          <w:rFonts w:ascii="仿宋" w:hAnsi="仿宋" w:eastAsia="仿宋"/>
          <w:b w:val="0"/>
          <w:bCs w:val="0"/>
          <w:color w:val="auto"/>
          <w:sz w:val="32"/>
          <w:szCs w:val="32"/>
          <w:highlight w:val="none"/>
        </w:rPr>
        <w:t>:</w:t>
      </w:r>
      <w:r>
        <w:rPr>
          <w:rStyle w:val="20"/>
          <w:rFonts w:hint="eastAsia" w:hAnsi="仿宋"/>
          <w:b w:val="0"/>
          <w:bCs w:val="0"/>
          <w:color w:val="auto"/>
          <w:sz w:val="32"/>
          <w:szCs w:val="32"/>
          <w:highlight w:val="none"/>
          <w:lang w:val="en-US" w:eastAsia="zh-CN"/>
        </w:rPr>
        <w:t>指反映除上述项目以外其他用于广播电视方面的支出。</w:t>
      </w:r>
    </w:p>
    <w:p>
      <w:pPr>
        <w:pStyle w:val="30"/>
        <w:spacing w:line="560" w:lineRule="exact"/>
        <w:ind w:firstLine="640" w:firstLineChars="200"/>
        <w:rPr>
          <w:rStyle w:val="20"/>
          <w:rFonts w:hint="eastAsia" w:hAnsi="仿宋"/>
          <w:b w:val="0"/>
          <w:bCs w:val="0"/>
          <w:color w:val="auto"/>
          <w:sz w:val="32"/>
          <w:szCs w:val="32"/>
          <w:highlight w:val="none"/>
          <w:lang w:val="en-US" w:eastAsia="zh-CN"/>
        </w:rPr>
      </w:pPr>
      <w:r>
        <w:rPr>
          <w:rStyle w:val="20"/>
          <w:rFonts w:hint="eastAsia" w:hAnsi="仿宋"/>
          <w:b w:val="0"/>
          <w:bCs w:val="0"/>
          <w:color w:val="auto"/>
          <w:sz w:val="32"/>
          <w:szCs w:val="32"/>
          <w:highlight w:val="none"/>
          <w:lang w:val="en-US" w:eastAsia="zh-CN"/>
        </w:rPr>
        <w:t>25、</w:t>
      </w:r>
      <w:r>
        <w:rPr>
          <w:rStyle w:val="20"/>
          <w:rFonts w:hint="eastAsia" w:ascii="仿宋" w:hAnsi="仿宋" w:eastAsia="仿宋"/>
          <w:b w:val="0"/>
          <w:bCs w:val="0"/>
          <w:color w:val="auto"/>
          <w:sz w:val="32"/>
          <w:szCs w:val="32"/>
          <w:highlight w:val="none"/>
        </w:rPr>
        <w:t>文化旅游体育与传媒支出（类）</w:t>
      </w:r>
      <w:r>
        <w:rPr>
          <w:rStyle w:val="20"/>
          <w:rFonts w:hint="eastAsia" w:hAnsi="仿宋"/>
          <w:b w:val="0"/>
          <w:bCs w:val="0"/>
          <w:color w:val="auto"/>
          <w:sz w:val="32"/>
          <w:szCs w:val="32"/>
          <w:highlight w:val="none"/>
          <w:lang w:val="en-US" w:eastAsia="zh-CN"/>
        </w:rPr>
        <w:t>其他</w:t>
      </w:r>
      <w:r>
        <w:rPr>
          <w:rStyle w:val="20"/>
          <w:rFonts w:hint="eastAsia" w:ascii="仿宋" w:hAnsi="仿宋" w:eastAsia="仿宋"/>
          <w:b w:val="0"/>
          <w:bCs w:val="0"/>
          <w:color w:val="auto"/>
          <w:sz w:val="32"/>
          <w:szCs w:val="32"/>
          <w:highlight w:val="none"/>
        </w:rPr>
        <w:t>文化旅游体育与传媒支出（款）</w:t>
      </w:r>
      <w:r>
        <w:rPr>
          <w:rStyle w:val="20"/>
          <w:rFonts w:hint="eastAsia" w:hAnsi="仿宋"/>
          <w:b w:val="0"/>
          <w:bCs w:val="0"/>
          <w:color w:val="auto"/>
          <w:sz w:val="32"/>
          <w:szCs w:val="32"/>
          <w:highlight w:val="none"/>
          <w:lang w:val="en-US" w:eastAsia="zh-CN"/>
        </w:rPr>
        <w:t>文化产业发展专项支出</w:t>
      </w:r>
      <w:r>
        <w:rPr>
          <w:rStyle w:val="20"/>
          <w:rFonts w:hint="eastAsia" w:ascii="仿宋" w:hAnsi="仿宋" w:eastAsia="仿宋"/>
          <w:b w:val="0"/>
          <w:bCs w:val="0"/>
          <w:color w:val="auto"/>
          <w:sz w:val="32"/>
          <w:szCs w:val="32"/>
          <w:highlight w:val="none"/>
        </w:rPr>
        <w:t>（项）</w:t>
      </w:r>
      <w:r>
        <w:rPr>
          <w:rStyle w:val="20"/>
          <w:rFonts w:ascii="仿宋" w:hAnsi="仿宋" w:eastAsia="仿宋"/>
          <w:b w:val="0"/>
          <w:bCs w:val="0"/>
          <w:color w:val="auto"/>
          <w:sz w:val="32"/>
          <w:szCs w:val="32"/>
          <w:highlight w:val="none"/>
        </w:rPr>
        <w:t>:</w:t>
      </w:r>
      <w:r>
        <w:rPr>
          <w:rStyle w:val="20"/>
          <w:rFonts w:hint="eastAsia" w:hAnsi="仿宋"/>
          <w:b w:val="0"/>
          <w:bCs w:val="0"/>
          <w:color w:val="auto"/>
          <w:sz w:val="32"/>
          <w:szCs w:val="32"/>
          <w:highlight w:val="none"/>
          <w:lang w:val="en-US" w:eastAsia="zh-CN"/>
        </w:rPr>
        <w:t>指反映支持文化产业发展专项支出。</w:t>
      </w:r>
    </w:p>
    <w:p>
      <w:pPr>
        <w:pStyle w:val="30"/>
        <w:spacing w:line="560" w:lineRule="exact"/>
        <w:ind w:firstLine="640" w:firstLineChars="200"/>
        <w:rPr>
          <w:rStyle w:val="20"/>
          <w:rFonts w:hint="eastAsia" w:hAnsi="仿宋"/>
          <w:b w:val="0"/>
          <w:bCs w:val="0"/>
          <w:color w:val="auto"/>
          <w:sz w:val="32"/>
          <w:szCs w:val="32"/>
          <w:highlight w:val="none"/>
          <w:lang w:val="en-US" w:eastAsia="zh-CN"/>
        </w:rPr>
      </w:pPr>
      <w:r>
        <w:rPr>
          <w:rStyle w:val="20"/>
          <w:rFonts w:hint="eastAsia" w:hAnsi="仿宋"/>
          <w:b w:val="0"/>
          <w:bCs w:val="0"/>
          <w:color w:val="auto"/>
          <w:sz w:val="32"/>
          <w:szCs w:val="32"/>
          <w:highlight w:val="none"/>
          <w:lang w:val="en-US" w:eastAsia="zh-CN"/>
        </w:rPr>
        <w:t>26、</w:t>
      </w:r>
      <w:r>
        <w:rPr>
          <w:rStyle w:val="20"/>
          <w:rFonts w:hint="eastAsia" w:ascii="仿宋" w:hAnsi="仿宋" w:eastAsia="仿宋"/>
          <w:b w:val="0"/>
          <w:bCs w:val="0"/>
          <w:color w:val="auto"/>
          <w:sz w:val="32"/>
          <w:szCs w:val="32"/>
          <w:highlight w:val="none"/>
        </w:rPr>
        <w:t>文化旅游体育与传媒支出（类）</w:t>
      </w:r>
      <w:r>
        <w:rPr>
          <w:rStyle w:val="20"/>
          <w:rFonts w:hint="eastAsia" w:hAnsi="仿宋"/>
          <w:b w:val="0"/>
          <w:bCs w:val="0"/>
          <w:color w:val="auto"/>
          <w:sz w:val="32"/>
          <w:szCs w:val="32"/>
          <w:highlight w:val="none"/>
          <w:lang w:val="en-US" w:eastAsia="zh-CN"/>
        </w:rPr>
        <w:t>其他</w:t>
      </w:r>
      <w:r>
        <w:rPr>
          <w:rStyle w:val="20"/>
          <w:rFonts w:hint="eastAsia" w:ascii="仿宋" w:hAnsi="仿宋" w:eastAsia="仿宋"/>
          <w:b w:val="0"/>
          <w:bCs w:val="0"/>
          <w:color w:val="auto"/>
          <w:sz w:val="32"/>
          <w:szCs w:val="32"/>
          <w:highlight w:val="none"/>
        </w:rPr>
        <w:t>文化旅游体育与传媒支出（款）</w:t>
      </w:r>
      <w:r>
        <w:rPr>
          <w:rStyle w:val="20"/>
          <w:rFonts w:hint="eastAsia" w:hAnsi="仿宋"/>
          <w:b w:val="0"/>
          <w:bCs w:val="0"/>
          <w:color w:val="auto"/>
          <w:sz w:val="32"/>
          <w:szCs w:val="32"/>
          <w:highlight w:val="none"/>
          <w:lang w:val="en-US" w:eastAsia="zh-CN"/>
        </w:rPr>
        <w:t>其他</w:t>
      </w:r>
      <w:r>
        <w:rPr>
          <w:rStyle w:val="20"/>
          <w:rFonts w:hint="eastAsia" w:ascii="仿宋" w:hAnsi="仿宋" w:eastAsia="仿宋"/>
          <w:b w:val="0"/>
          <w:bCs w:val="0"/>
          <w:color w:val="auto"/>
          <w:sz w:val="32"/>
          <w:szCs w:val="32"/>
          <w:highlight w:val="none"/>
        </w:rPr>
        <w:t>文化旅游体育与传媒支出（项）</w:t>
      </w:r>
      <w:r>
        <w:rPr>
          <w:rStyle w:val="20"/>
          <w:rFonts w:ascii="仿宋" w:hAnsi="仿宋" w:eastAsia="仿宋"/>
          <w:b w:val="0"/>
          <w:bCs w:val="0"/>
          <w:color w:val="auto"/>
          <w:sz w:val="32"/>
          <w:szCs w:val="32"/>
          <w:highlight w:val="none"/>
        </w:rPr>
        <w:t>:</w:t>
      </w:r>
      <w:r>
        <w:rPr>
          <w:rStyle w:val="20"/>
          <w:rFonts w:hint="eastAsia" w:hAnsi="仿宋"/>
          <w:b w:val="0"/>
          <w:bCs w:val="0"/>
          <w:color w:val="auto"/>
          <w:sz w:val="32"/>
          <w:szCs w:val="32"/>
          <w:highlight w:val="none"/>
          <w:lang w:val="en-US" w:eastAsia="zh-CN"/>
        </w:rPr>
        <w:t>指反映除上述项目以外其他用于</w:t>
      </w:r>
      <w:r>
        <w:rPr>
          <w:rStyle w:val="20"/>
          <w:rFonts w:hint="eastAsia" w:ascii="仿宋" w:hAnsi="仿宋" w:eastAsia="仿宋"/>
          <w:b w:val="0"/>
          <w:bCs w:val="0"/>
          <w:color w:val="auto"/>
          <w:sz w:val="32"/>
          <w:szCs w:val="32"/>
          <w:highlight w:val="none"/>
        </w:rPr>
        <w:t>文化旅游体育与传媒</w:t>
      </w:r>
      <w:r>
        <w:rPr>
          <w:rStyle w:val="20"/>
          <w:rFonts w:hint="eastAsia" w:hAnsi="仿宋"/>
          <w:b w:val="0"/>
          <w:bCs w:val="0"/>
          <w:color w:val="auto"/>
          <w:sz w:val="32"/>
          <w:szCs w:val="32"/>
          <w:highlight w:val="none"/>
          <w:lang w:val="en-US" w:eastAsia="zh-CN"/>
        </w:rPr>
        <w:t>方面的支出。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27、</w:t>
      </w:r>
      <w:r>
        <w:rPr>
          <w:rFonts w:hint="eastAsia" w:ascii="仿宋_GB2312" w:eastAsia="仿宋_GB2312"/>
          <w:color w:val="000000"/>
          <w:sz w:val="32"/>
          <w:szCs w:val="32"/>
          <w:lang w:eastAsia="zh-CN"/>
        </w:rPr>
        <w:t>社会保障和就业</w:t>
      </w:r>
      <w:r>
        <w:rPr>
          <w:rFonts w:hint="eastAsia" w:ascii="仿宋_GB2312" w:eastAsia="仿宋_GB2312"/>
          <w:color w:val="000000"/>
          <w:sz w:val="32"/>
          <w:szCs w:val="32"/>
        </w:rPr>
        <w:t>（类）</w:t>
      </w:r>
      <w:r>
        <w:rPr>
          <w:rFonts w:hint="eastAsia" w:ascii="仿宋" w:eastAsia="仿宋" w:cs="仿宋"/>
          <w:color w:val="000000"/>
          <w:sz w:val="32"/>
          <w:szCs w:val="32"/>
          <w:lang w:eastAsia="zh-CN"/>
        </w:rPr>
        <w:t>行政事业单位</w:t>
      </w:r>
      <w:r>
        <w:rPr>
          <w:rFonts w:hint="eastAsia" w:ascii="仿宋" w:eastAsia="仿宋" w:cs="仿宋"/>
          <w:color w:val="000000"/>
          <w:sz w:val="32"/>
          <w:szCs w:val="32"/>
          <w:lang w:val="en-US" w:eastAsia="zh-CN"/>
        </w:rPr>
        <w:t>养老支出</w:t>
      </w:r>
      <w:r>
        <w:rPr>
          <w:rFonts w:hint="eastAsia" w:ascii="仿宋_GB2312" w:eastAsia="仿宋_GB2312"/>
          <w:color w:val="000000"/>
          <w:sz w:val="32"/>
          <w:szCs w:val="32"/>
        </w:rPr>
        <w:t>（款）</w:t>
      </w:r>
      <w:r>
        <w:rPr>
          <w:rFonts w:hint="eastAsia" w:ascii="仿宋_GB2312" w:eastAsia="仿宋_GB2312"/>
          <w:color w:val="000000"/>
          <w:sz w:val="32"/>
          <w:szCs w:val="32"/>
          <w:lang w:eastAsia="zh-CN"/>
        </w:rPr>
        <w:t>机关事业单位基本养老保险缴费支出</w:t>
      </w:r>
      <w:r>
        <w:rPr>
          <w:rFonts w:hint="eastAsia" w:ascii="仿宋_GB2312" w:eastAsia="仿宋_GB2312"/>
          <w:color w:val="000000"/>
          <w:sz w:val="32"/>
          <w:szCs w:val="32"/>
        </w:rPr>
        <w:t>（项）：指</w:t>
      </w:r>
      <w:r>
        <w:rPr>
          <w:rFonts w:hint="eastAsia" w:ascii="仿宋_GB2312" w:eastAsia="仿宋_GB2312"/>
          <w:color w:val="000000"/>
          <w:sz w:val="32"/>
          <w:szCs w:val="32"/>
          <w:lang w:eastAsia="zh-CN"/>
        </w:rPr>
        <w:t>由单位缴纳的基本养老保险费支出</w:t>
      </w:r>
      <w:r>
        <w:rPr>
          <w:rFonts w:hint="eastAsia" w:ascii="仿宋_GB2312" w:eastAsia="仿宋_GB2312"/>
          <w:color w:val="000000"/>
          <w:sz w:val="32"/>
          <w:szCs w:val="32"/>
        </w:rPr>
        <w:t>。</w:t>
      </w:r>
    </w:p>
    <w:p>
      <w:pPr>
        <w:ind w:firstLine="640" w:firstLineChars="200"/>
        <w:rPr>
          <w:rFonts w:hint="eastAsia" w:ascii="仿宋_GB2312" w:eastAsia="仿宋_GB2312"/>
          <w:color w:val="000000"/>
          <w:sz w:val="32"/>
          <w:szCs w:val="32"/>
        </w:rPr>
      </w:pPr>
      <w:r>
        <w:rPr>
          <w:rFonts w:hint="eastAsia" w:ascii="仿宋_GB2312" w:eastAsia="仿宋_GB2312"/>
          <w:color w:val="000000"/>
          <w:sz w:val="32"/>
          <w:szCs w:val="32"/>
          <w:lang w:val="en-US" w:eastAsia="zh-CN"/>
        </w:rPr>
        <w:t>28、</w:t>
      </w:r>
      <w:r>
        <w:rPr>
          <w:rFonts w:hint="eastAsia" w:ascii="仿宋_GB2312" w:eastAsia="仿宋_GB2312"/>
          <w:color w:val="000000"/>
          <w:sz w:val="32"/>
          <w:szCs w:val="32"/>
        </w:rPr>
        <w:t>社会保</w:t>
      </w:r>
      <w:r>
        <w:rPr>
          <w:rFonts w:hint="eastAsia" w:ascii="仿宋_GB2312" w:eastAsia="仿宋_GB2312" w:cs="Times New Roman"/>
          <w:color w:val="000000"/>
          <w:sz w:val="32"/>
          <w:szCs w:val="32"/>
          <w:lang w:eastAsia="zh-CN"/>
        </w:rPr>
        <w:t>障和就业（类）</w:t>
      </w:r>
      <w:r>
        <w:rPr>
          <w:rFonts w:hint="eastAsia" w:ascii="仿宋" w:eastAsia="仿宋" w:cs="仿宋"/>
          <w:color w:val="000000"/>
          <w:sz w:val="32"/>
          <w:szCs w:val="32"/>
          <w:lang w:eastAsia="zh-CN"/>
        </w:rPr>
        <w:t>行政事业单位</w:t>
      </w:r>
      <w:r>
        <w:rPr>
          <w:rFonts w:hint="eastAsia" w:ascii="仿宋" w:eastAsia="仿宋" w:cs="仿宋"/>
          <w:color w:val="000000"/>
          <w:sz w:val="32"/>
          <w:szCs w:val="32"/>
          <w:lang w:val="en-US" w:eastAsia="zh-CN"/>
        </w:rPr>
        <w:t>养老支出</w:t>
      </w:r>
      <w:r>
        <w:rPr>
          <w:rFonts w:hint="eastAsia" w:ascii="仿宋_GB2312" w:eastAsia="仿宋_GB2312" w:cs="Times New Roman"/>
          <w:color w:val="000000"/>
          <w:sz w:val="32"/>
          <w:szCs w:val="32"/>
          <w:lang w:eastAsia="zh-CN"/>
        </w:rPr>
        <w:t>（款）</w:t>
      </w:r>
      <w:r>
        <w:rPr>
          <w:rFonts w:hint="eastAsia" w:ascii="仿宋_GB2312" w:eastAsia="仿宋_GB2312" w:cs="Times New Roman"/>
          <w:color w:val="000000"/>
          <w:sz w:val="32"/>
          <w:szCs w:val="32"/>
          <w:lang w:val="en-US" w:eastAsia="zh-CN"/>
        </w:rPr>
        <w:t>机关事业单位职业年金缴费支出</w:t>
      </w:r>
      <w:r>
        <w:rPr>
          <w:rFonts w:hint="eastAsia" w:ascii="仿宋_GB2312" w:eastAsia="仿宋_GB2312" w:cs="Times New Roman"/>
          <w:color w:val="000000"/>
          <w:sz w:val="32"/>
          <w:szCs w:val="32"/>
          <w:lang w:eastAsia="zh-CN"/>
        </w:rPr>
        <w:t>（项）：</w:t>
      </w:r>
      <w:r>
        <w:rPr>
          <w:rFonts w:hint="eastAsia" w:ascii="仿宋_GB2312" w:eastAsia="仿宋_GB2312"/>
          <w:color w:val="000000"/>
          <w:sz w:val="32"/>
          <w:szCs w:val="32"/>
        </w:rPr>
        <w:t>指</w:t>
      </w:r>
      <w:r>
        <w:rPr>
          <w:rFonts w:hint="eastAsia" w:ascii="仿宋_GB2312" w:eastAsia="仿宋_GB2312"/>
          <w:color w:val="000000"/>
          <w:sz w:val="32"/>
          <w:szCs w:val="32"/>
          <w:lang w:val="en-US" w:eastAsia="zh-CN"/>
        </w:rPr>
        <w:t>机关事业单位实施养老保险制度由单位实际缴纳的职业年金</w:t>
      </w:r>
      <w:r>
        <w:rPr>
          <w:rFonts w:hint="eastAsia" w:ascii="仿宋_GB2312" w:eastAsia="仿宋_GB2312"/>
          <w:color w:val="000000"/>
          <w:sz w:val="32"/>
          <w:szCs w:val="32"/>
        </w:rPr>
        <w:t>。</w:t>
      </w:r>
    </w:p>
    <w:p>
      <w:pPr>
        <w:pStyle w:val="30"/>
        <w:spacing w:line="560" w:lineRule="exact"/>
        <w:ind w:firstLine="640" w:firstLineChars="200"/>
        <w:rPr>
          <w:rFonts w:hint="eastAsia" w:ascii="仿宋_GB2312" w:eastAsia="仿宋_GB2312" w:cs="Times New Roman"/>
          <w:color w:val="000000"/>
          <w:sz w:val="32"/>
          <w:szCs w:val="32"/>
          <w:lang w:eastAsia="zh-CN"/>
        </w:rPr>
      </w:pPr>
      <w:r>
        <w:rPr>
          <w:rFonts w:hint="eastAsia" w:ascii="仿宋_GB2312" w:eastAsia="仿宋_GB2312" w:cs="Times New Roman"/>
          <w:color w:val="000000"/>
          <w:sz w:val="32"/>
          <w:szCs w:val="32"/>
          <w:lang w:val="en-US" w:eastAsia="zh-CN"/>
        </w:rPr>
        <w:t>29、</w:t>
      </w:r>
      <w:r>
        <w:rPr>
          <w:rFonts w:hint="eastAsia" w:ascii="仿宋_GB2312" w:eastAsia="仿宋_GB2312" w:cs="Times New Roman"/>
          <w:color w:val="000000"/>
          <w:sz w:val="32"/>
          <w:szCs w:val="32"/>
          <w:lang w:eastAsia="zh-CN"/>
        </w:rPr>
        <w:t>农林水支出</w:t>
      </w:r>
      <w:r>
        <w:rPr>
          <w:rFonts w:hint="eastAsia" w:ascii="仿宋_GB2312" w:eastAsia="仿宋_GB2312" w:cs="Times New Roman"/>
          <w:color w:val="000000"/>
          <w:sz w:val="32"/>
          <w:szCs w:val="32"/>
          <w:lang w:val="en-US" w:eastAsia="zh-CN"/>
        </w:rPr>
        <w:t>（类）巩固脱贫攻坚衔接乡村振兴（款）其他巩固脱贫攻坚衔接乡村振兴（项）：指反映除上述项目以外其他用于巩固拓展脱贫攻坚成果同乡村振兴有效衔接方面的支出</w:t>
      </w:r>
      <w:r>
        <w:rPr>
          <w:rFonts w:hint="eastAsia" w:ascii="仿宋_GB2312" w:eastAsia="仿宋_GB2312" w:cs="Times New Roman"/>
          <w:color w:val="000000"/>
          <w:sz w:val="32"/>
          <w:szCs w:val="32"/>
          <w:lang w:eastAsia="zh-CN"/>
        </w:rPr>
        <w:t>。</w:t>
      </w:r>
    </w:p>
    <w:p>
      <w:pPr>
        <w:pStyle w:val="30"/>
        <w:spacing w:line="560" w:lineRule="exact"/>
        <w:ind w:firstLine="640" w:firstLineChars="200"/>
        <w:rPr>
          <w:rFonts w:hint="eastAsia" w:ascii="仿宋_GB2312" w:eastAsia="仿宋_GB2312" w:cs="Times New Roman"/>
          <w:color w:val="000000"/>
          <w:sz w:val="32"/>
          <w:szCs w:val="32"/>
          <w:lang w:eastAsia="zh-CN"/>
        </w:rPr>
      </w:pPr>
      <w:r>
        <w:rPr>
          <w:rFonts w:hint="eastAsia" w:ascii="仿宋_GB2312" w:eastAsia="仿宋_GB2312" w:cs="Times New Roman"/>
          <w:color w:val="000000"/>
          <w:sz w:val="32"/>
          <w:szCs w:val="32"/>
          <w:lang w:val="en-US" w:eastAsia="zh-CN"/>
        </w:rPr>
        <w:t>30、</w:t>
      </w:r>
      <w:r>
        <w:rPr>
          <w:rFonts w:hint="eastAsia" w:ascii="仿宋_GB2312" w:eastAsia="仿宋_GB2312" w:cs="Times New Roman"/>
          <w:color w:val="000000"/>
          <w:sz w:val="32"/>
          <w:szCs w:val="32"/>
          <w:lang w:eastAsia="zh-CN"/>
        </w:rPr>
        <w:t>农林水支出</w:t>
      </w:r>
      <w:r>
        <w:rPr>
          <w:rFonts w:hint="eastAsia" w:ascii="仿宋_GB2312" w:eastAsia="仿宋_GB2312" w:cs="Times New Roman"/>
          <w:color w:val="000000"/>
          <w:sz w:val="32"/>
          <w:szCs w:val="32"/>
          <w:lang w:val="en-US" w:eastAsia="zh-CN"/>
        </w:rPr>
        <w:t>（类）巩固脱贫攻坚衔接乡村振兴（款）农村基础设施建设（项）：指反映农村欠发达地区乡村道路、住房、基本农田、水利设施、热门出饮水、生态环境保护等生活条件改善方面的支出</w:t>
      </w:r>
      <w:r>
        <w:rPr>
          <w:rFonts w:hint="eastAsia" w:ascii="仿宋_GB2312" w:eastAsia="仿宋_GB2312" w:cs="Times New Roman"/>
          <w:color w:val="000000"/>
          <w:sz w:val="32"/>
          <w:szCs w:val="32"/>
          <w:lang w:eastAsia="zh-CN"/>
        </w:rPr>
        <w:t>。</w:t>
      </w:r>
    </w:p>
    <w:p>
      <w:pPr>
        <w:pStyle w:val="30"/>
        <w:spacing w:line="560" w:lineRule="exact"/>
        <w:ind w:firstLine="640" w:firstLineChars="200"/>
        <w:rPr>
          <w:rFonts w:hint="eastAsia" w:ascii="仿宋_GB2312" w:eastAsia="仿宋_GB2312" w:cs="Times New Roman"/>
          <w:color w:val="000000"/>
          <w:sz w:val="32"/>
          <w:szCs w:val="32"/>
          <w:lang w:eastAsia="zh-CN"/>
        </w:rPr>
      </w:pPr>
      <w:r>
        <w:rPr>
          <w:rFonts w:hint="eastAsia" w:ascii="仿宋_GB2312" w:eastAsia="仿宋_GB2312" w:cs="Times New Roman"/>
          <w:color w:val="000000"/>
          <w:sz w:val="32"/>
          <w:szCs w:val="32"/>
          <w:lang w:val="en-US" w:eastAsia="zh-CN"/>
        </w:rPr>
        <w:t>31、</w:t>
      </w:r>
      <w:r>
        <w:rPr>
          <w:rFonts w:hint="eastAsia" w:ascii="仿宋_GB2312" w:eastAsia="仿宋_GB2312" w:cs="Times New Roman"/>
          <w:color w:val="000000"/>
          <w:sz w:val="32"/>
          <w:szCs w:val="32"/>
          <w:lang w:eastAsia="zh-CN"/>
        </w:rPr>
        <w:t>农林水支出</w:t>
      </w:r>
      <w:r>
        <w:rPr>
          <w:rFonts w:hint="eastAsia" w:ascii="仿宋_GB2312" w:eastAsia="仿宋_GB2312" w:cs="Times New Roman"/>
          <w:color w:val="000000"/>
          <w:sz w:val="32"/>
          <w:szCs w:val="32"/>
          <w:lang w:val="en-US" w:eastAsia="zh-CN"/>
        </w:rPr>
        <w:t>（类）巩固脱贫攻坚衔接乡村振兴（款）生产发展（项）：指反映农村欠发达地区发展种植业、养殖业、畜牧业、农副产品加工、林果地建设等生产发展项目以及相关技术推广等方面的支出</w:t>
      </w:r>
      <w:r>
        <w:rPr>
          <w:rFonts w:hint="eastAsia" w:ascii="仿宋_GB2312" w:eastAsia="仿宋_GB2312" w:cs="Times New Roman"/>
          <w:color w:val="000000"/>
          <w:sz w:val="32"/>
          <w:szCs w:val="32"/>
          <w:lang w:eastAsia="zh-CN"/>
        </w:rPr>
        <w:t>。</w:t>
      </w:r>
    </w:p>
    <w:p>
      <w:pPr>
        <w:ind w:firstLine="640" w:firstLineChars="200"/>
        <w:rPr>
          <w:rFonts w:hint="eastAsia" w:ascii="仿宋_GB2312" w:eastAsia="仿宋_GB2312" w:cs="Times New Roman"/>
          <w:color w:val="000000"/>
          <w:sz w:val="32"/>
          <w:szCs w:val="32"/>
          <w:lang w:val="en-US" w:eastAsia="zh-CN"/>
        </w:rPr>
      </w:pPr>
      <w:r>
        <w:rPr>
          <w:rFonts w:hint="eastAsia" w:ascii="仿宋_GB2312" w:eastAsia="仿宋_GB2312" w:cs="Times New Roman"/>
          <w:color w:val="000000"/>
          <w:sz w:val="32"/>
          <w:szCs w:val="32"/>
          <w:lang w:val="en-US" w:eastAsia="zh-CN"/>
        </w:rPr>
        <w:t>32、</w:t>
      </w:r>
      <w:r>
        <w:rPr>
          <w:rFonts w:hint="eastAsia" w:ascii="仿宋_GB2312" w:eastAsia="仿宋_GB2312" w:cs="Times New Roman"/>
          <w:color w:val="000000"/>
          <w:sz w:val="32"/>
          <w:szCs w:val="32"/>
          <w:lang w:eastAsia="zh-CN"/>
        </w:rPr>
        <w:t>农林水支出</w:t>
      </w:r>
      <w:r>
        <w:rPr>
          <w:rFonts w:hint="eastAsia" w:ascii="仿宋_GB2312" w:eastAsia="仿宋_GB2312" w:cs="Times New Roman"/>
          <w:color w:val="000000"/>
          <w:sz w:val="32"/>
          <w:szCs w:val="32"/>
          <w:lang w:val="en-US" w:eastAsia="zh-CN"/>
        </w:rPr>
        <w:t>（类）其他农林水支出（款）其他农林水支出（项）：指反映化解债务支出以外其他用于农林水方面的支出</w:t>
      </w:r>
      <w:r>
        <w:rPr>
          <w:rFonts w:hint="eastAsia" w:ascii="仿宋_GB2312" w:eastAsia="仿宋_GB2312" w:cs="Times New Roman"/>
          <w:color w:val="000000"/>
          <w:sz w:val="32"/>
          <w:szCs w:val="32"/>
          <w:lang w:eastAsia="zh-CN"/>
        </w:rPr>
        <w:t>。</w:t>
      </w:r>
    </w:p>
    <w:p>
      <w:pPr>
        <w:ind w:firstLine="640" w:firstLineChars="200"/>
        <w:rPr>
          <w:rFonts w:ascii="仿宋_GB2312" w:eastAsia="仿宋_GB2312"/>
          <w:color w:val="auto"/>
          <w:sz w:val="32"/>
          <w:szCs w:val="32"/>
        </w:rPr>
      </w:pPr>
      <w:r>
        <w:rPr>
          <w:rFonts w:hint="eastAsia" w:ascii="仿宋_GB2312" w:eastAsia="仿宋_GB2312"/>
          <w:color w:val="auto"/>
          <w:sz w:val="32"/>
          <w:szCs w:val="32"/>
          <w:lang w:val="en-US" w:eastAsia="zh-CN"/>
        </w:rPr>
        <w:t>33、卫生健康</w:t>
      </w:r>
      <w:r>
        <w:rPr>
          <w:rFonts w:hint="eastAsia" w:ascii="仿宋_GB2312" w:eastAsia="仿宋_GB2312"/>
          <w:color w:val="auto"/>
          <w:sz w:val="32"/>
          <w:szCs w:val="32"/>
        </w:rPr>
        <w:t>（类）</w:t>
      </w:r>
      <w:r>
        <w:rPr>
          <w:rFonts w:hint="eastAsia" w:ascii="仿宋_GB2312" w:eastAsia="仿宋_GB2312"/>
          <w:color w:val="auto"/>
          <w:sz w:val="32"/>
          <w:szCs w:val="32"/>
          <w:lang w:val="en-US" w:eastAsia="zh-CN"/>
        </w:rPr>
        <w:t>行政事业单位医疗</w:t>
      </w:r>
      <w:r>
        <w:rPr>
          <w:rFonts w:hint="eastAsia" w:ascii="仿宋_GB2312" w:eastAsia="仿宋_GB2312"/>
          <w:color w:val="auto"/>
          <w:sz w:val="32"/>
          <w:szCs w:val="32"/>
        </w:rPr>
        <w:t>（款）</w:t>
      </w:r>
      <w:r>
        <w:rPr>
          <w:rFonts w:hint="eastAsia" w:ascii="仿宋_GB2312" w:eastAsia="仿宋_GB2312"/>
          <w:color w:val="auto"/>
          <w:sz w:val="32"/>
          <w:szCs w:val="32"/>
          <w:lang w:val="en-US" w:eastAsia="zh-CN"/>
        </w:rPr>
        <w:t>行政单位医疗</w:t>
      </w:r>
      <w:r>
        <w:rPr>
          <w:rFonts w:hint="eastAsia" w:ascii="仿宋_GB2312" w:eastAsia="仿宋_GB2312"/>
          <w:color w:val="auto"/>
          <w:sz w:val="32"/>
          <w:szCs w:val="32"/>
        </w:rPr>
        <w:t>（项）：指</w:t>
      </w:r>
      <w:r>
        <w:rPr>
          <w:rFonts w:hint="eastAsia" w:ascii="仿宋_GB2312" w:eastAsia="仿宋_GB2312"/>
          <w:color w:val="auto"/>
          <w:sz w:val="32"/>
          <w:szCs w:val="32"/>
          <w:lang w:val="en-US" w:eastAsia="zh-CN"/>
        </w:rPr>
        <w:t>反映财政部门安排的行政单位（包括实行公务员管理的事业单位，下同）基本医疗保险缴费经费，未参加医疗保险的行政单位的公费医疗经费，按国家规定享受离休人员，红军老战士待遇的医疗经费</w:t>
      </w:r>
      <w:r>
        <w:rPr>
          <w:rFonts w:hint="eastAsia" w:ascii="仿宋_GB2312" w:eastAsia="仿宋_GB2312"/>
          <w:color w:val="auto"/>
          <w:sz w:val="32"/>
          <w:szCs w:val="32"/>
        </w:rPr>
        <w:t>。</w:t>
      </w:r>
    </w:p>
    <w:p>
      <w:pPr>
        <w:ind w:firstLine="640" w:firstLineChars="200"/>
        <w:rPr>
          <w:rFonts w:ascii="仿宋_GB2312" w:eastAsia="仿宋_GB2312"/>
          <w:color w:val="auto"/>
          <w:sz w:val="32"/>
          <w:szCs w:val="32"/>
        </w:rPr>
      </w:pPr>
      <w:r>
        <w:rPr>
          <w:rFonts w:hint="eastAsia" w:ascii="仿宋_GB2312" w:eastAsia="仿宋_GB2312"/>
          <w:color w:val="auto"/>
          <w:sz w:val="32"/>
          <w:szCs w:val="32"/>
          <w:lang w:val="en-US" w:eastAsia="zh-CN"/>
        </w:rPr>
        <w:t>34、卫生健康</w:t>
      </w:r>
      <w:r>
        <w:rPr>
          <w:rFonts w:hint="eastAsia" w:ascii="仿宋_GB2312" w:eastAsia="仿宋_GB2312"/>
          <w:color w:val="auto"/>
          <w:sz w:val="32"/>
          <w:szCs w:val="32"/>
        </w:rPr>
        <w:t>（类）</w:t>
      </w:r>
      <w:r>
        <w:rPr>
          <w:rFonts w:hint="eastAsia" w:ascii="仿宋_GB2312" w:eastAsia="仿宋_GB2312"/>
          <w:color w:val="auto"/>
          <w:sz w:val="32"/>
          <w:szCs w:val="32"/>
          <w:lang w:val="en-US" w:eastAsia="zh-CN"/>
        </w:rPr>
        <w:t>行政事业单位医疗</w:t>
      </w:r>
      <w:r>
        <w:rPr>
          <w:rFonts w:hint="eastAsia" w:ascii="仿宋_GB2312" w:eastAsia="仿宋_GB2312"/>
          <w:color w:val="auto"/>
          <w:sz w:val="32"/>
          <w:szCs w:val="32"/>
        </w:rPr>
        <w:t>（款）</w:t>
      </w:r>
      <w:r>
        <w:rPr>
          <w:rFonts w:hint="eastAsia" w:ascii="仿宋_GB2312" w:eastAsia="仿宋_GB2312"/>
          <w:color w:val="auto"/>
          <w:sz w:val="32"/>
          <w:szCs w:val="32"/>
          <w:lang w:val="en-US" w:eastAsia="zh-CN"/>
        </w:rPr>
        <w:t>事业单位医疗</w:t>
      </w:r>
      <w:r>
        <w:rPr>
          <w:rFonts w:hint="eastAsia" w:ascii="仿宋_GB2312" w:eastAsia="仿宋_GB2312"/>
          <w:color w:val="auto"/>
          <w:sz w:val="32"/>
          <w:szCs w:val="32"/>
        </w:rPr>
        <w:t>（项）：指</w:t>
      </w:r>
      <w:r>
        <w:rPr>
          <w:rFonts w:hint="eastAsia" w:ascii="仿宋_GB2312" w:eastAsia="仿宋_GB2312"/>
          <w:color w:val="auto"/>
          <w:sz w:val="32"/>
          <w:szCs w:val="32"/>
          <w:lang w:val="en-US" w:eastAsia="zh-CN"/>
        </w:rPr>
        <w:t>反映财政部门安排的事业单位基本医疗保险缴费经费，未参加医疗保险的事业单位的公费 医疗经费，按国家规定享受离休人员待遇的医疗经费</w:t>
      </w:r>
      <w:r>
        <w:rPr>
          <w:rFonts w:hint="eastAsia" w:ascii="仿宋_GB2312" w:eastAsia="仿宋_GB2312"/>
          <w:color w:val="auto"/>
          <w:sz w:val="32"/>
          <w:szCs w:val="32"/>
        </w:rPr>
        <w:t>。</w:t>
      </w:r>
    </w:p>
    <w:p>
      <w:pPr>
        <w:ind w:firstLine="640" w:firstLineChars="200"/>
        <w:rPr>
          <w:rFonts w:ascii="仿宋_GB2312" w:eastAsia="仿宋_GB2312"/>
          <w:color w:val="auto"/>
          <w:sz w:val="32"/>
          <w:szCs w:val="32"/>
        </w:rPr>
      </w:pPr>
      <w:r>
        <w:rPr>
          <w:rFonts w:hint="eastAsia" w:ascii="仿宋_GB2312" w:eastAsia="仿宋_GB2312"/>
          <w:color w:val="auto"/>
          <w:sz w:val="32"/>
          <w:szCs w:val="32"/>
          <w:lang w:val="en-US" w:eastAsia="zh-CN"/>
        </w:rPr>
        <w:t>35、卫生健康</w:t>
      </w:r>
      <w:r>
        <w:rPr>
          <w:rFonts w:hint="eastAsia" w:ascii="仿宋_GB2312" w:eastAsia="仿宋_GB2312"/>
          <w:color w:val="auto"/>
          <w:sz w:val="32"/>
          <w:szCs w:val="32"/>
        </w:rPr>
        <w:t>（类）</w:t>
      </w:r>
      <w:r>
        <w:rPr>
          <w:rFonts w:hint="eastAsia" w:ascii="仿宋_GB2312" w:eastAsia="仿宋_GB2312"/>
          <w:color w:val="auto"/>
          <w:sz w:val="32"/>
          <w:szCs w:val="32"/>
          <w:lang w:val="en-US" w:eastAsia="zh-CN"/>
        </w:rPr>
        <w:t>行政事业单位医疗</w:t>
      </w:r>
      <w:r>
        <w:rPr>
          <w:rFonts w:hint="eastAsia" w:ascii="仿宋_GB2312" w:eastAsia="仿宋_GB2312"/>
          <w:color w:val="auto"/>
          <w:sz w:val="32"/>
          <w:szCs w:val="32"/>
        </w:rPr>
        <w:t>（款）</w:t>
      </w:r>
      <w:r>
        <w:rPr>
          <w:rFonts w:hint="eastAsia" w:ascii="仿宋_GB2312" w:eastAsia="仿宋_GB2312"/>
          <w:color w:val="auto"/>
          <w:sz w:val="32"/>
          <w:szCs w:val="32"/>
          <w:lang w:val="en-US" w:eastAsia="zh-CN"/>
        </w:rPr>
        <w:t>公务员医疗补助</w:t>
      </w:r>
      <w:r>
        <w:rPr>
          <w:rFonts w:hint="eastAsia" w:ascii="仿宋_GB2312" w:eastAsia="仿宋_GB2312"/>
          <w:color w:val="auto"/>
          <w:sz w:val="32"/>
          <w:szCs w:val="32"/>
          <w:lang w:eastAsia="zh-CN"/>
        </w:rPr>
        <w:t>（</w:t>
      </w:r>
      <w:r>
        <w:rPr>
          <w:rFonts w:hint="eastAsia" w:ascii="仿宋_GB2312" w:eastAsia="仿宋_GB2312"/>
          <w:color w:val="auto"/>
          <w:sz w:val="32"/>
          <w:szCs w:val="32"/>
        </w:rPr>
        <w:t>项）：指</w:t>
      </w:r>
      <w:r>
        <w:rPr>
          <w:rFonts w:hint="eastAsia" w:ascii="仿宋_GB2312" w:eastAsia="仿宋_GB2312"/>
          <w:color w:val="auto"/>
          <w:sz w:val="32"/>
          <w:szCs w:val="32"/>
          <w:lang w:val="en-US" w:eastAsia="zh-CN"/>
        </w:rPr>
        <w:t>反映财政部门安排的公务员医疗补助经费</w:t>
      </w:r>
      <w:r>
        <w:rPr>
          <w:rFonts w:hint="eastAsia" w:ascii="仿宋_GB2312" w:eastAsia="仿宋_GB2312"/>
          <w:color w:val="auto"/>
          <w:sz w:val="32"/>
          <w:szCs w:val="32"/>
        </w:rPr>
        <w:t>。</w:t>
      </w:r>
    </w:p>
    <w:p>
      <w:pPr>
        <w:ind w:firstLine="640" w:firstLineChars="200"/>
        <w:rPr>
          <w:rFonts w:hint="eastAsia" w:ascii="仿宋_GB2312" w:eastAsia="仿宋_GB2312"/>
          <w:color w:val="auto"/>
          <w:sz w:val="32"/>
          <w:szCs w:val="32"/>
          <w:lang w:val="en-US" w:eastAsia="zh-CN"/>
        </w:rPr>
      </w:pPr>
      <w:r>
        <w:rPr>
          <w:rFonts w:hint="eastAsia" w:ascii="仿宋_GB2312" w:eastAsia="仿宋_GB2312"/>
          <w:color w:val="auto"/>
          <w:sz w:val="32"/>
          <w:szCs w:val="32"/>
          <w:lang w:val="en-US" w:eastAsia="zh-CN"/>
        </w:rPr>
        <w:t>36、卫生健康</w:t>
      </w:r>
      <w:r>
        <w:rPr>
          <w:rFonts w:hint="eastAsia" w:ascii="仿宋_GB2312" w:eastAsia="仿宋_GB2312"/>
          <w:color w:val="auto"/>
          <w:sz w:val="32"/>
          <w:szCs w:val="32"/>
        </w:rPr>
        <w:t>（类）</w:t>
      </w:r>
      <w:r>
        <w:rPr>
          <w:rFonts w:hint="eastAsia" w:ascii="仿宋_GB2312" w:eastAsia="仿宋_GB2312"/>
          <w:color w:val="auto"/>
          <w:sz w:val="32"/>
          <w:szCs w:val="32"/>
          <w:lang w:val="en-US" w:eastAsia="zh-CN"/>
        </w:rPr>
        <w:t>行政事业单位医疗</w:t>
      </w:r>
      <w:r>
        <w:rPr>
          <w:rFonts w:hint="eastAsia" w:ascii="仿宋_GB2312" w:eastAsia="仿宋_GB2312"/>
          <w:color w:val="auto"/>
          <w:sz w:val="32"/>
          <w:szCs w:val="32"/>
        </w:rPr>
        <w:t>（款）</w:t>
      </w:r>
      <w:r>
        <w:rPr>
          <w:rFonts w:hint="eastAsia" w:ascii="仿宋_GB2312" w:eastAsia="仿宋_GB2312"/>
          <w:color w:val="auto"/>
          <w:sz w:val="32"/>
          <w:szCs w:val="32"/>
          <w:lang w:val="en-US" w:eastAsia="zh-CN"/>
        </w:rPr>
        <w:t>其他行政事业单位医疗</w:t>
      </w:r>
      <w:r>
        <w:rPr>
          <w:rFonts w:hint="eastAsia" w:ascii="仿宋_GB2312" w:eastAsia="仿宋_GB2312"/>
          <w:color w:val="auto"/>
          <w:sz w:val="32"/>
          <w:szCs w:val="32"/>
          <w:lang w:eastAsia="zh-CN"/>
        </w:rPr>
        <w:t>（</w:t>
      </w:r>
      <w:r>
        <w:rPr>
          <w:rFonts w:hint="eastAsia" w:ascii="仿宋_GB2312" w:eastAsia="仿宋_GB2312"/>
          <w:color w:val="auto"/>
          <w:sz w:val="32"/>
          <w:szCs w:val="32"/>
        </w:rPr>
        <w:t>项）：指</w:t>
      </w:r>
      <w:r>
        <w:rPr>
          <w:rFonts w:hint="eastAsia" w:ascii="仿宋_GB2312" w:eastAsia="仿宋_GB2312"/>
          <w:color w:val="auto"/>
          <w:sz w:val="32"/>
          <w:szCs w:val="32"/>
          <w:lang w:val="en-US" w:eastAsia="zh-CN"/>
        </w:rPr>
        <w:t>反映除上述项目以外的其他用于行政事业单位医疗方面的支出。</w:t>
      </w:r>
    </w:p>
    <w:p>
      <w:pPr>
        <w:pStyle w:val="30"/>
        <w:spacing w:line="560" w:lineRule="exact"/>
        <w:ind w:firstLine="640" w:firstLineChars="200"/>
        <w:rPr>
          <w:rFonts w:hint="eastAsia" w:ascii="仿宋_GB2312" w:eastAsia="仿宋_GB2312" w:cs="Times New Roman"/>
          <w:color w:val="000000"/>
          <w:sz w:val="32"/>
          <w:szCs w:val="32"/>
          <w:lang w:eastAsia="zh-CN"/>
        </w:rPr>
      </w:pPr>
      <w:r>
        <w:rPr>
          <w:rFonts w:hint="eastAsia" w:ascii="仿宋_GB2312" w:eastAsia="仿宋_GB2312" w:cs="Times New Roman"/>
          <w:color w:val="000000"/>
          <w:sz w:val="32"/>
          <w:szCs w:val="32"/>
          <w:lang w:val="en-US" w:eastAsia="zh-CN"/>
        </w:rPr>
        <w:t>37、住房保障支出（类）住房改革支出（款）住房公积金（项）：指行政事业单位</w:t>
      </w:r>
      <w:r>
        <w:rPr>
          <w:rFonts w:hint="eastAsia" w:ascii="仿宋_GB2312" w:eastAsia="仿宋_GB2312" w:cs="Times New Roman"/>
          <w:color w:val="000000"/>
          <w:sz w:val="32"/>
          <w:szCs w:val="32"/>
          <w:lang w:eastAsia="zh-CN"/>
        </w:rPr>
        <w:t>安装工资比例为职工缴纳的住房公积金。</w:t>
      </w:r>
    </w:p>
    <w:p>
      <w:pPr>
        <w:pStyle w:val="30"/>
        <w:spacing w:line="560" w:lineRule="exact"/>
        <w:ind w:firstLine="640" w:firstLineChars="200"/>
        <w:rPr>
          <w:rFonts w:hint="eastAsia" w:ascii="仿宋_GB2312" w:eastAsia="仿宋_GB2312" w:cs="Times New Roman"/>
          <w:color w:val="000000"/>
          <w:sz w:val="32"/>
          <w:szCs w:val="32"/>
          <w:lang w:eastAsia="zh-CN"/>
        </w:rPr>
      </w:pPr>
      <w:r>
        <w:rPr>
          <w:rFonts w:hint="eastAsia" w:ascii="仿宋_GB2312" w:eastAsia="仿宋_GB2312" w:cs="Times New Roman"/>
          <w:color w:val="000000"/>
          <w:sz w:val="32"/>
          <w:szCs w:val="32"/>
          <w:lang w:val="en-US" w:eastAsia="zh-CN"/>
        </w:rPr>
        <w:t>38、住房保障支出（类）住房改革支出（款）购房补贴（项）：指反映按房改政策规定，行政事业单位向符合条件职工（含离退休人员）、军队（含武警）向转役复员离退休人员发放的用于购买住房的补贴</w:t>
      </w:r>
      <w:r>
        <w:rPr>
          <w:rFonts w:hint="eastAsia" w:ascii="仿宋_GB2312" w:eastAsia="仿宋_GB2312" w:cs="Times New Roman"/>
          <w:color w:val="000000"/>
          <w:sz w:val="32"/>
          <w:szCs w:val="32"/>
          <w:lang w:eastAsia="zh-CN"/>
        </w:rPr>
        <w:t>。</w:t>
      </w:r>
    </w:p>
    <w:p>
      <w:pPr>
        <w:pStyle w:val="30"/>
        <w:spacing w:line="560" w:lineRule="exact"/>
        <w:ind w:firstLine="640" w:firstLineChars="200"/>
        <w:rPr>
          <w:rFonts w:hint="eastAsia" w:ascii="仿宋_GB2312" w:eastAsia="仿宋_GB2312" w:cs="Times New Roman"/>
          <w:color w:val="000000"/>
          <w:sz w:val="32"/>
          <w:szCs w:val="32"/>
          <w:lang w:val="en-US" w:eastAsia="zh-CN"/>
        </w:rPr>
      </w:pPr>
      <w:r>
        <w:rPr>
          <w:rFonts w:hint="eastAsia" w:ascii="仿宋_GB2312" w:eastAsia="仿宋_GB2312" w:cs="Times New Roman"/>
          <w:color w:val="000000"/>
          <w:sz w:val="32"/>
          <w:szCs w:val="32"/>
          <w:lang w:val="en-US" w:eastAsia="zh-CN"/>
        </w:rPr>
        <w:t>39、其他支出（类）其他支出（款）其他支出（项）：指反映除上述项目以外其他不能划分到具体功能科目中的支出</w:t>
      </w:r>
      <w:r>
        <w:rPr>
          <w:rFonts w:hint="eastAsia" w:ascii="仿宋_GB2312" w:eastAsia="仿宋_GB2312" w:cs="Times New Roman"/>
          <w:color w:val="000000"/>
          <w:sz w:val="32"/>
          <w:szCs w:val="32"/>
          <w:lang w:eastAsia="zh-CN"/>
        </w:rPr>
        <w:t>。</w:t>
      </w:r>
    </w:p>
    <w:p>
      <w:pPr>
        <w:spacing w:line="600" w:lineRule="exact"/>
        <w:ind w:firstLine="640"/>
        <w:rPr>
          <w:rFonts w:ascii="仿宋" w:hAnsi="仿宋" w:eastAsia="仿宋"/>
          <w:b/>
          <w:color w:val="auto"/>
          <w:sz w:val="32"/>
          <w:szCs w:val="32"/>
          <w:highlight w:val="none"/>
        </w:rPr>
      </w:pPr>
      <w:r>
        <w:rPr>
          <w:rFonts w:hint="eastAsia" w:ascii="仿宋" w:hAnsi="仿宋" w:eastAsia="仿宋"/>
          <w:b/>
          <w:color w:val="auto"/>
          <w:sz w:val="32"/>
          <w:szCs w:val="32"/>
          <w:highlight w:val="none"/>
        </w:rPr>
        <w:t>（解释本部门决算报表中</w:t>
      </w:r>
      <w:r>
        <w:rPr>
          <w:rFonts w:hint="eastAsia" w:ascii="仿宋" w:hAnsi="仿宋" w:eastAsia="仿宋"/>
          <w:b/>
          <w:color w:val="auto"/>
          <w:sz w:val="32"/>
          <w:szCs w:val="32"/>
          <w:highlight w:val="none"/>
          <w:lang w:eastAsia="zh-CN"/>
        </w:rPr>
        <w:t>涉及的</w:t>
      </w:r>
      <w:r>
        <w:rPr>
          <w:rFonts w:hint="eastAsia" w:ascii="仿宋" w:hAnsi="仿宋" w:eastAsia="仿宋"/>
          <w:b/>
          <w:color w:val="auto"/>
          <w:sz w:val="32"/>
          <w:szCs w:val="32"/>
          <w:highlight w:val="none"/>
        </w:rPr>
        <w:t>全部功能分类科目至项级，</w:t>
      </w:r>
      <w:r>
        <w:rPr>
          <w:rFonts w:hint="eastAsia" w:ascii="仿宋" w:hAnsi="仿宋" w:eastAsia="仿宋"/>
          <w:b/>
          <w:color w:val="auto"/>
          <w:sz w:val="32"/>
          <w:szCs w:val="32"/>
          <w:highlight w:val="none"/>
          <w:lang w:eastAsia="zh-CN"/>
        </w:rPr>
        <w:t>不涉及的科目请自行删除。</w:t>
      </w:r>
      <w:r>
        <w:rPr>
          <w:rFonts w:hint="eastAsia" w:ascii="仿宋" w:hAnsi="仿宋" w:eastAsia="仿宋"/>
          <w:b/>
          <w:color w:val="auto"/>
          <w:sz w:val="32"/>
          <w:szCs w:val="32"/>
          <w:highlight w:val="none"/>
        </w:rPr>
        <w:t>请参照《</w:t>
      </w:r>
      <w:r>
        <w:rPr>
          <w:rFonts w:ascii="仿宋" w:hAnsi="仿宋" w:eastAsia="仿宋"/>
          <w:b/>
          <w:color w:val="auto"/>
          <w:sz w:val="32"/>
          <w:szCs w:val="32"/>
          <w:highlight w:val="none"/>
        </w:rPr>
        <w:t>20</w:t>
      </w:r>
      <w:r>
        <w:rPr>
          <w:rFonts w:hint="eastAsia" w:ascii="仿宋" w:hAnsi="仿宋" w:eastAsia="仿宋"/>
          <w:b/>
          <w:color w:val="auto"/>
          <w:sz w:val="32"/>
          <w:szCs w:val="32"/>
          <w:highlight w:val="none"/>
          <w:lang w:val="en-US" w:eastAsia="zh-CN"/>
        </w:rPr>
        <w:t>22</w:t>
      </w:r>
      <w:r>
        <w:rPr>
          <w:rFonts w:hint="eastAsia" w:ascii="仿宋" w:hAnsi="仿宋" w:eastAsia="仿宋"/>
          <w:b/>
          <w:color w:val="auto"/>
          <w:sz w:val="32"/>
          <w:szCs w:val="32"/>
          <w:highlight w:val="none"/>
        </w:rPr>
        <w:t>年政府收支分类科目》增减内容。）</w:t>
      </w:r>
    </w:p>
    <w:p>
      <w:pPr>
        <w:ind w:firstLine="640" w:firstLineChars="200"/>
        <w:rPr>
          <w:rFonts w:ascii="仿宋_GB2312" w:eastAsia="仿宋_GB2312"/>
          <w:color w:val="auto"/>
          <w:sz w:val="32"/>
          <w:szCs w:val="32"/>
          <w:highlight w:val="none"/>
        </w:rPr>
      </w:pPr>
      <w:r>
        <w:rPr>
          <w:rFonts w:hint="eastAsia" w:ascii="仿宋_GB2312" w:eastAsia="仿宋_GB2312"/>
          <w:color w:val="auto"/>
          <w:sz w:val="32"/>
          <w:szCs w:val="32"/>
          <w:highlight w:val="none"/>
          <w:lang w:val="en-US" w:eastAsia="zh-CN"/>
        </w:rPr>
        <w:t>40、</w:t>
      </w:r>
      <w:r>
        <w:rPr>
          <w:rFonts w:hint="eastAsia" w:ascii="仿宋_GB2312" w:eastAsia="仿宋_GB2312"/>
          <w:color w:val="auto"/>
          <w:sz w:val="32"/>
          <w:szCs w:val="32"/>
          <w:highlight w:val="none"/>
        </w:rPr>
        <w:t>基本支出：指为保障机构正常运转、完成日常工作任务而发生的人员支出和公用支出。</w:t>
      </w:r>
    </w:p>
    <w:p>
      <w:pPr>
        <w:ind w:firstLine="640" w:firstLineChars="200"/>
        <w:rPr>
          <w:rFonts w:ascii="仿宋_GB2312" w:eastAsia="仿宋_GB2312"/>
          <w:color w:val="auto"/>
          <w:sz w:val="32"/>
          <w:szCs w:val="32"/>
          <w:highlight w:val="none"/>
        </w:rPr>
      </w:pPr>
      <w:r>
        <w:rPr>
          <w:rFonts w:hint="eastAsia" w:ascii="仿宋_GB2312" w:eastAsia="仿宋_GB2312"/>
          <w:color w:val="auto"/>
          <w:sz w:val="32"/>
          <w:szCs w:val="32"/>
          <w:highlight w:val="none"/>
          <w:lang w:val="en-US" w:eastAsia="zh-CN"/>
        </w:rPr>
        <w:t>41、</w:t>
      </w:r>
      <w:r>
        <w:rPr>
          <w:rFonts w:hint="eastAsia" w:ascii="仿宋_GB2312" w:eastAsia="仿宋_GB2312"/>
          <w:color w:val="auto"/>
          <w:sz w:val="32"/>
          <w:szCs w:val="32"/>
          <w:highlight w:val="none"/>
        </w:rPr>
        <w:t>项目支出：指在基本支出之外为完成特定行政任务和事业发展目标所发生的支出。</w:t>
      </w:r>
      <w:r>
        <w:rPr>
          <w:rFonts w:ascii="仿宋_GB2312" w:eastAsia="仿宋_GB2312"/>
          <w:color w:val="auto"/>
          <w:sz w:val="32"/>
          <w:szCs w:val="32"/>
          <w:highlight w:val="none"/>
        </w:rPr>
        <w:t xml:space="preserve"> </w:t>
      </w:r>
    </w:p>
    <w:p>
      <w:pPr>
        <w:ind w:firstLine="640" w:firstLineChars="200"/>
        <w:rPr>
          <w:rFonts w:ascii="仿宋_GB2312" w:eastAsia="仿宋_GB2312"/>
          <w:color w:val="auto"/>
          <w:sz w:val="32"/>
          <w:szCs w:val="32"/>
          <w:highlight w:val="none"/>
        </w:rPr>
      </w:pPr>
      <w:r>
        <w:rPr>
          <w:rFonts w:hint="eastAsia" w:ascii="仿宋_GB2312" w:eastAsia="仿宋_GB2312"/>
          <w:color w:val="auto"/>
          <w:sz w:val="32"/>
          <w:szCs w:val="32"/>
          <w:highlight w:val="none"/>
          <w:lang w:val="en-US" w:eastAsia="zh-CN"/>
        </w:rPr>
        <w:t>42、</w:t>
      </w:r>
      <w:r>
        <w:rPr>
          <w:rFonts w:hint="eastAsia" w:ascii="仿宋_GB2312" w:eastAsia="仿宋_GB2312"/>
          <w:color w:val="auto"/>
          <w:sz w:val="32"/>
          <w:szCs w:val="32"/>
          <w:highlight w:val="none"/>
        </w:rPr>
        <w:t>经营支出：指事业单位在专业业务活动及其辅助活动之外开展非独立核算经营活动发生的支出。</w:t>
      </w:r>
    </w:p>
    <w:p>
      <w:pPr>
        <w:pStyle w:val="30"/>
        <w:spacing w:line="560" w:lineRule="exact"/>
        <w:ind w:firstLine="640" w:firstLineChars="200"/>
        <w:rPr>
          <w:rFonts w:ascii="仿宋_GB2312" w:eastAsia="仿宋_GB2312"/>
          <w:color w:val="auto"/>
          <w:sz w:val="32"/>
          <w:szCs w:val="32"/>
          <w:highlight w:val="none"/>
        </w:rPr>
      </w:pPr>
      <w:r>
        <w:rPr>
          <w:rFonts w:hint="eastAsia" w:ascii="仿宋_GB2312" w:eastAsia="仿宋_GB2312"/>
          <w:color w:val="auto"/>
          <w:sz w:val="32"/>
          <w:szCs w:val="32"/>
          <w:highlight w:val="none"/>
          <w:lang w:val="en-US" w:eastAsia="zh-CN"/>
        </w:rPr>
        <w:t>43、</w:t>
      </w:r>
      <w:r>
        <w:rPr>
          <w:rFonts w:hint="eastAsia" w:ascii="仿宋_GB2312" w:eastAsia="仿宋_GB2312"/>
          <w:color w:val="auto"/>
          <w:sz w:val="32"/>
          <w:szCs w:val="32"/>
          <w:highlight w:val="none"/>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30"/>
        <w:spacing w:line="560" w:lineRule="exact"/>
        <w:ind w:firstLine="640" w:firstLineChars="200"/>
        <w:rPr>
          <w:rFonts w:ascii="仿宋_GB2312" w:eastAsia="仿宋_GB2312"/>
          <w:color w:val="auto"/>
          <w:sz w:val="32"/>
          <w:szCs w:val="32"/>
          <w:highlight w:val="none"/>
        </w:rPr>
      </w:pPr>
      <w:r>
        <w:rPr>
          <w:rFonts w:hint="eastAsia" w:ascii="仿宋_GB2312" w:eastAsia="仿宋_GB2312"/>
          <w:color w:val="auto"/>
          <w:sz w:val="32"/>
          <w:szCs w:val="32"/>
          <w:highlight w:val="none"/>
          <w:lang w:val="en-US" w:eastAsia="zh-CN"/>
        </w:rPr>
        <w:t>44、</w:t>
      </w:r>
      <w:r>
        <w:rPr>
          <w:rFonts w:hint="eastAsia" w:ascii="仿宋_GB2312" w:eastAsia="仿宋_GB2312"/>
          <w:color w:val="auto"/>
          <w:sz w:val="32"/>
          <w:szCs w:val="32"/>
          <w:highlight w:val="none"/>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ind w:firstLine="643" w:firstLineChars="200"/>
        <w:rPr>
          <w:rFonts w:ascii="仿宋" w:hAnsi="仿宋" w:eastAsia="仿宋"/>
          <w:b/>
          <w:color w:val="auto"/>
          <w:sz w:val="32"/>
          <w:szCs w:val="32"/>
          <w:highlight w:val="none"/>
        </w:rPr>
      </w:pPr>
      <w:r>
        <w:rPr>
          <w:rFonts w:hint="eastAsia" w:ascii="仿宋" w:hAnsi="仿宋" w:eastAsia="仿宋"/>
          <w:b/>
          <w:color w:val="auto"/>
          <w:sz w:val="32"/>
          <w:szCs w:val="32"/>
          <w:highlight w:val="none"/>
        </w:rPr>
        <w:t>（名词解释部分请根据各部门实际列支情况罗列，并根据本部门职责职能增减名词解释内容。）</w:t>
      </w:r>
    </w:p>
    <w:p>
      <w:pPr>
        <w:spacing w:line="600" w:lineRule="exact"/>
        <w:jc w:val="center"/>
        <w:outlineLvl w:val="0"/>
        <w:rPr>
          <w:rStyle w:val="32"/>
          <w:rFonts w:hint="eastAsia" w:ascii="黑体" w:hAnsi="黑体" w:eastAsia="黑体"/>
          <w:b w:val="0"/>
          <w:color w:val="auto"/>
          <w:highlight w:val="none"/>
          <w:lang w:eastAsia="zh-CN"/>
        </w:rPr>
      </w:pPr>
      <w:bookmarkStart w:id="90" w:name="_Toc15377226"/>
      <w:r>
        <w:rPr>
          <w:rFonts w:ascii="宋体"/>
          <w:b/>
          <w:color w:val="auto"/>
          <w:sz w:val="44"/>
          <w:szCs w:val="44"/>
          <w:highlight w:val="none"/>
        </w:rPr>
        <w:br w:type="page"/>
      </w:r>
      <w:bookmarkStart w:id="91" w:name="_Toc15396614"/>
      <w:bookmarkStart w:id="92" w:name="_Toc8102"/>
      <w:r>
        <w:rPr>
          <w:rFonts w:hint="eastAsia" w:ascii="黑体" w:hAnsi="黑体" w:eastAsia="黑体"/>
          <w:color w:val="auto"/>
          <w:sz w:val="44"/>
          <w:szCs w:val="44"/>
          <w:highlight w:val="none"/>
        </w:rPr>
        <w:t>第</w:t>
      </w:r>
      <w:r>
        <w:rPr>
          <w:rStyle w:val="32"/>
          <w:rFonts w:hint="eastAsia" w:ascii="黑体" w:hAnsi="黑体" w:eastAsia="黑体"/>
          <w:b w:val="0"/>
          <w:color w:val="auto"/>
          <w:highlight w:val="none"/>
        </w:rPr>
        <w:t>四部分 附件</w:t>
      </w:r>
      <w:bookmarkEnd w:id="91"/>
      <w:bookmarkEnd w:id="92"/>
    </w:p>
    <w:p>
      <w:pPr>
        <w:keepNext w:val="0"/>
        <w:keepLines w:val="0"/>
        <w:pageBreakBefore w:val="0"/>
        <w:kinsoku/>
        <w:wordWrap/>
        <w:overflowPunct/>
        <w:topLinePunct w:val="0"/>
        <w:autoSpaceDE/>
        <w:autoSpaceDN/>
        <w:bidi w:val="0"/>
        <w:spacing w:line="572" w:lineRule="exact"/>
        <w:jc w:val="left"/>
        <w:textAlignment w:val="auto"/>
        <w:outlineLvl w:val="0"/>
        <w:rPr>
          <w:rFonts w:ascii="方正小标宋简体" w:hAnsi="方正小标宋简体" w:eastAsia="方正小标宋简体" w:cs="方正小标宋简体"/>
          <w:color w:val="auto"/>
          <w:sz w:val="44"/>
          <w:szCs w:val="44"/>
          <w:highlight w:val="none"/>
        </w:rPr>
      </w:pPr>
      <w:bookmarkStart w:id="93" w:name="_Toc9017"/>
      <w:r>
        <w:rPr>
          <w:rFonts w:hint="eastAsia" w:ascii="黑体" w:hAnsi="黑体" w:eastAsia="黑体" w:cs="黑体"/>
          <w:color w:val="auto"/>
          <w:sz w:val="32"/>
          <w:szCs w:val="32"/>
          <w:highlight w:val="none"/>
        </w:rPr>
        <w:t>附件</w:t>
      </w:r>
      <w:bookmarkEnd w:id="93"/>
    </w:p>
    <w:p>
      <w:pPr>
        <w:widowControl/>
        <w:spacing w:line="560" w:lineRule="exact"/>
        <w:contextualSpacing/>
        <w:jc w:val="center"/>
        <w:rPr>
          <w:rFonts w:hint="eastAsia" w:ascii="方正小标宋_GBK" w:hAnsi="方正小标宋_GBK" w:eastAsia="方正小标宋_GBK" w:cs="方正小标宋_GBK"/>
          <w:b w:val="0"/>
          <w:bCs/>
          <w:sz w:val="44"/>
          <w:szCs w:val="44"/>
          <w:shd w:val="clear" w:color="auto" w:fill="FFFFFF"/>
          <w:lang w:val="en-US" w:eastAsia="zh-CN"/>
        </w:rPr>
      </w:pPr>
      <w:r>
        <w:rPr>
          <w:rFonts w:hint="eastAsia" w:ascii="方正小标宋_GBK" w:hAnsi="方正小标宋_GBK" w:eastAsia="方正小标宋_GBK" w:cs="方正小标宋_GBK"/>
          <w:b w:val="0"/>
          <w:bCs/>
          <w:sz w:val="44"/>
          <w:szCs w:val="44"/>
          <w:shd w:val="clear" w:color="auto" w:fill="FFFFFF"/>
          <w:lang w:val="en-US" w:eastAsia="zh-CN"/>
        </w:rPr>
        <w:t>壤塘县文化体育和旅游局</w:t>
      </w:r>
    </w:p>
    <w:p>
      <w:pPr>
        <w:widowControl/>
        <w:spacing w:line="560" w:lineRule="exact"/>
        <w:contextualSpacing/>
        <w:jc w:val="center"/>
        <w:rPr>
          <w:rFonts w:hint="eastAsia" w:ascii="方正小标宋_GBK" w:hAnsi="方正小标宋_GBK" w:eastAsia="方正小标宋_GBK" w:cs="方正小标宋_GBK"/>
          <w:b w:val="0"/>
          <w:bCs/>
          <w:sz w:val="44"/>
          <w:szCs w:val="44"/>
          <w:shd w:val="clear" w:color="auto" w:fill="FFFFFF"/>
          <w:lang w:val="en-US" w:eastAsia="zh-CN"/>
        </w:rPr>
      </w:pPr>
      <w:r>
        <w:rPr>
          <w:rFonts w:hint="eastAsia" w:ascii="方正小标宋_GBK" w:hAnsi="方正小标宋_GBK" w:eastAsia="方正小标宋_GBK" w:cs="方正小标宋_GBK"/>
          <w:b w:val="0"/>
          <w:bCs/>
          <w:sz w:val="44"/>
          <w:szCs w:val="44"/>
          <w:shd w:val="clear" w:color="auto" w:fill="FFFFFF"/>
          <w:lang w:val="en-US" w:eastAsia="zh-CN"/>
        </w:rPr>
        <w:t>2022年部门整体支出绩效评价</w:t>
      </w:r>
    </w:p>
    <w:p>
      <w:pPr>
        <w:widowControl/>
        <w:spacing w:line="560" w:lineRule="exact"/>
        <w:contextualSpacing/>
        <w:jc w:val="center"/>
        <w:rPr>
          <w:rFonts w:hint="eastAsia" w:ascii="黑体" w:hAnsi="黑体" w:eastAsia="黑体" w:cs="黑体"/>
          <w:b w:val="0"/>
          <w:bCs w:val="0"/>
          <w:kern w:val="2"/>
          <w:sz w:val="32"/>
          <w:szCs w:val="32"/>
          <w:lang w:val="en-US" w:eastAsia="zh-CN" w:bidi="ar-SA"/>
        </w:rPr>
      </w:pPr>
      <w:r>
        <w:rPr>
          <w:rFonts w:hint="eastAsia" w:ascii="方正小标宋_GBK" w:hAnsi="方正小标宋_GBK" w:eastAsia="方正小标宋_GBK" w:cs="方正小标宋_GBK"/>
          <w:b w:val="0"/>
          <w:bCs/>
          <w:sz w:val="44"/>
          <w:szCs w:val="44"/>
          <w:shd w:val="clear" w:color="auto" w:fill="FFFFFF"/>
          <w:lang w:val="en-US" w:eastAsia="zh-CN"/>
        </w:rPr>
        <w:t>自评报告</w:t>
      </w:r>
    </w:p>
    <w:p>
      <w:pPr>
        <w:keepNext w:val="0"/>
        <w:keepLines w:val="0"/>
        <w:pageBreakBefore w:val="0"/>
        <w:widowControl/>
        <w:kinsoku/>
        <w:wordWrap/>
        <w:overflowPunct/>
        <w:topLinePunct w:val="0"/>
        <w:autoSpaceDE/>
        <w:autoSpaceDN/>
        <w:bidi w:val="0"/>
        <w:spacing w:line="560" w:lineRule="exact"/>
        <w:contextualSpacing/>
        <w:jc w:val="center"/>
        <w:textAlignment w:val="auto"/>
        <w:rPr>
          <w:rFonts w:ascii="宋体" w:hAnsi="宋体" w:eastAsia="宋体"/>
          <w:b/>
          <w:color w:val="auto"/>
          <w:sz w:val="32"/>
          <w:szCs w:val="32"/>
          <w:highlight w:val="none"/>
          <w:shd w:val="clear" w:color="auto" w:fill="FFFFFF"/>
        </w:rPr>
      </w:pP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contextualSpacing/>
        <w:jc w:val="left"/>
        <w:textAlignment w:val="auto"/>
        <w:rPr>
          <w:rFonts w:ascii="黑体" w:hAnsi="宋体" w:eastAsia="黑体" w:cs="宋体"/>
          <w:color w:val="auto"/>
          <w:kern w:val="0"/>
          <w:sz w:val="32"/>
          <w:szCs w:val="32"/>
          <w:highlight w:val="none"/>
          <w:shd w:val="clear" w:color="auto" w:fill="FFFFFF"/>
        </w:rPr>
      </w:pPr>
    </w:p>
    <w:p>
      <w:pPr>
        <w:widowControl/>
        <w:numPr>
          <w:ilvl w:val="0"/>
          <w:numId w:val="5"/>
        </w:numPr>
        <w:adjustRightInd w:val="0"/>
        <w:snapToGrid w:val="0"/>
        <w:spacing w:line="560" w:lineRule="exact"/>
        <w:ind w:firstLine="640" w:firstLineChars="200"/>
        <w:contextualSpacing/>
        <w:jc w:val="left"/>
        <w:rPr>
          <w:rFonts w:hint="eastAsia" w:ascii="黑体" w:hAnsi="宋体" w:eastAsia="黑体" w:cs="宋体"/>
          <w:color w:val="000000"/>
          <w:kern w:val="0"/>
          <w:sz w:val="32"/>
          <w:szCs w:val="32"/>
          <w:shd w:val="clear" w:color="auto" w:fill="FFFFFF"/>
          <w:lang w:val="zh-CN"/>
        </w:rPr>
      </w:pPr>
      <w:r>
        <w:rPr>
          <w:rFonts w:hint="eastAsia" w:ascii="黑体" w:hAnsi="宋体" w:eastAsia="黑体" w:cs="宋体"/>
          <w:color w:val="000000"/>
          <w:kern w:val="0"/>
          <w:sz w:val="32"/>
          <w:szCs w:val="32"/>
          <w:shd w:val="clear" w:color="auto" w:fill="FFFFFF"/>
          <w:lang w:val="zh-CN"/>
        </w:rPr>
        <w:t>部门（单位）概况</w:t>
      </w:r>
    </w:p>
    <w:p>
      <w:pPr>
        <w:widowControl/>
        <w:adjustRightInd w:val="0"/>
        <w:snapToGrid w:val="0"/>
        <w:spacing w:line="560" w:lineRule="exact"/>
        <w:ind w:firstLine="640" w:firstLineChars="200"/>
        <w:contextualSpacing/>
        <w:jc w:val="left"/>
        <w:rPr>
          <w:rFonts w:hint="default" w:ascii="仿宋_GB2312" w:hAnsi="宋体" w:eastAsia="仿宋_GB2312" w:cs="宋体"/>
          <w:color w:val="000000"/>
          <w:kern w:val="0"/>
          <w:sz w:val="32"/>
          <w:szCs w:val="32"/>
          <w:shd w:val="clear" w:color="auto" w:fill="FFFFFF"/>
          <w:lang w:val="en-US" w:eastAsia="zh-CN"/>
        </w:rPr>
      </w:pPr>
      <w:r>
        <w:rPr>
          <w:rFonts w:hint="eastAsia" w:ascii="仿宋_GB2312" w:hAnsi="宋体" w:eastAsia="仿宋_GB2312" w:cs="宋体"/>
          <w:color w:val="000000"/>
          <w:kern w:val="0"/>
          <w:sz w:val="32"/>
          <w:szCs w:val="32"/>
          <w:shd w:val="clear" w:color="auto" w:fill="FFFFFF"/>
          <w:lang w:val="en-US" w:eastAsia="zh-CN"/>
        </w:rPr>
        <w:t>壤塘县文化体育和旅游局（简称县文体旅游局）是壤塘县人民政府工作部门，为正科级行政单位。</w:t>
      </w:r>
    </w:p>
    <w:p>
      <w:pPr>
        <w:widowControl/>
        <w:numPr>
          <w:ilvl w:val="0"/>
          <w:numId w:val="6"/>
        </w:numPr>
        <w:adjustRightInd w:val="0"/>
        <w:snapToGrid w:val="0"/>
        <w:spacing w:line="56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机构组成</w:t>
      </w:r>
    </w:p>
    <w:p>
      <w:pPr>
        <w:widowControl w:val="0"/>
        <w:numPr>
          <w:ilvl w:val="0"/>
          <w:numId w:val="0"/>
        </w:numPr>
        <w:adjustRightInd w:val="0"/>
        <w:spacing w:line="480" w:lineRule="atLeast"/>
        <w:ind w:firstLine="640" w:firstLineChars="200"/>
        <w:jc w:val="both"/>
        <w:textAlignment w:val="baseline"/>
        <w:rPr>
          <w:rFonts w:hint="default" w:ascii="Arial" w:hAnsi="Arial" w:eastAsia="仿宋_GB2312" w:cs="Times New Roman"/>
          <w:kern w:val="0"/>
          <w:sz w:val="32"/>
          <w:szCs w:val="24"/>
          <w:lang w:val="en-US" w:eastAsia="zh-CN" w:bidi="ar-SA"/>
        </w:rPr>
      </w:pPr>
      <w:r>
        <w:rPr>
          <w:rFonts w:hint="eastAsia" w:ascii="Arial" w:hAnsi="Arial" w:eastAsia="仿宋_GB2312" w:cs="Times New Roman"/>
          <w:kern w:val="0"/>
          <w:sz w:val="32"/>
          <w:szCs w:val="24"/>
          <w:lang w:val="en-US" w:eastAsia="zh-CN" w:bidi="ar-SA"/>
        </w:rPr>
        <w:t>综合办、文化广电股、体育旅游股</w:t>
      </w:r>
    </w:p>
    <w:p>
      <w:pPr>
        <w:widowControl/>
        <w:numPr>
          <w:ilvl w:val="0"/>
          <w:numId w:val="7"/>
        </w:numPr>
        <w:adjustRightInd w:val="0"/>
        <w:snapToGrid w:val="0"/>
        <w:spacing w:line="56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机构职能</w:t>
      </w:r>
    </w:p>
    <w:p>
      <w:pPr>
        <w:spacing w:line="560" w:lineRule="exact"/>
        <w:ind w:firstLine="640" w:firstLineChars="200"/>
        <w:rPr>
          <w:rFonts w:ascii="仿宋" w:hAnsi="仿宋" w:eastAsia="仿宋" w:cs="Times New Roman"/>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）贯彻落实党和国家关于文化、体育、旅游的方针政策和省委、州委、县委的决策部署，拟订文化、体育和旅游政策措施，起草文化、体育和旅游地方性法规、规章草案，负责本部门依法行政工作。</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）组织推动全县文化、体育事业产业和旅游业发展，拟推进文化、体育和旅游产业融合发展，促进文化、体育和旅游与相关产业融合发展。</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指导管理文艺事业，把握正确的创作导向，推动文化艺术创作生产，扶持体现社会主义核心价值观、具有导向性代表性示范性的文化艺术作品，推动各门类艺术、各艺术品种发展，推动中华优秀传统文化和壤塘本地特色文化传承发展。</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）负责公共文化、体育事业发展，推进全县公共文化体育服务体系建设和旅游公共服务建设，深入实施惠民工程，统筹推进文化、体育、旅游基本公共服务标准化、均等化。</w:t>
      </w:r>
    </w:p>
    <w:p>
      <w:pPr>
        <w:spacing w:line="560" w:lineRule="exact"/>
        <w:ind w:firstLine="640" w:firstLineChars="200"/>
        <w:rPr>
          <w:rFonts w:ascii="仿宋" w:hAnsi="仿宋" w:eastAsia="仿宋" w:cs="Times New Roman"/>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）推进文化、体育和旅游科技创新，推进文化、体育和旅游行业信息化、标准化建设。</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负责非物质文化遗产保护工作，推动非物质文化遗产的保护、传承、普及、弘扬和振兴，履行文物行政督察职能，负责世界文化遗产保护和管理监督工作，组织开展世界文化与自然遗产、历史文化名城（镇、村）申报和监督管理工作，负责推动完善文物和博物馆公共服务体系建设。</w:t>
      </w:r>
    </w:p>
    <w:p>
      <w:pPr>
        <w:spacing w:line="560" w:lineRule="exact"/>
        <w:ind w:firstLine="640" w:firstLineChars="200"/>
        <w:rPr>
          <w:rFonts w:ascii="仿宋" w:hAnsi="仿宋" w:eastAsia="仿宋" w:cs="Times New Roman"/>
          <w:color w:val="000000"/>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推动全县群众体育、竞技体育和青少年（学校）体育工作发展规划实施，推行全民健身计划，推动建立和完善全民健身服务体系，指导和开展群众性体育活动，研究和指导体育训练和运动员队伍建设，统筹组织全县综合性运动会、参加州级以上体育竞赛和综合性运动会，指导各级各类体育学校的建设和青少年业余训练及相关活动。</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指导全县文化、体育、旅游市场发展，对全县文化、体育、旅游市场依法进行行业监管，推进文化、体育、旅游行业信用体系建设，依法规范文化、体育、旅游市场。统筹全县文化、文物、体育、旅游市场综合行政执法，组织查处全县性、跨区域文化、文物、体育、旅游等市场的违法行为，督察督办大案要案，维护市场秩序。</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负责管理、组织文化、体育和旅游对外及对港澳台交流合作与宣传推广工作，组织实施全县文化、体育和旅游资源的普查、保护与利用，管理全县性重大文化、体育和旅游活动，组织全县重点文化、体育和旅游设施建设，组织实施全县文化、体育和旅游整体形象推广，促进文化、体育、旅游产业市场推广和对外合作交流，制定文化体育和旅游市场开发战略并组织实施，推进全域旅游。强化文化、体育和旅游要素配置，统筹整合形成文化、体育和旅游发展新优势，着力打造具有地方民族特色的文化、体育和旅游品牌，推进文化、体育和旅游融合发展，巩固旅游业的战略性支柱产业地位，推动旅游业向主导产业发展，提升壤塘文化软实力，建设文化强县，努力开创文化、体育和旅游工作新局面。</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10</w:t>
      </w:r>
      <w:r>
        <w:rPr>
          <w:rFonts w:hint="eastAsia" w:ascii="仿宋_GB2312" w:hAnsi="仿宋_GB2312" w:eastAsia="仿宋_GB2312" w:cs="仿宋_GB2312"/>
          <w:sz w:val="32"/>
          <w:szCs w:val="32"/>
        </w:rPr>
        <w:t>）负责文化、体育和旅游系统及市场安全生产工作的综合协调与监督管理，依法履行行业职业健康监管职责，承担职责范围内生态环境保护、审批服务便民化等工作，承担文化、体育、旅游行业意识形态工作，负责机关节能。</w:t>
      </w:r>
    </w:p>
    <w:p>
      <w:pPr>
        <w:spacing w:line="560" w:lineRule="exact"/>
        <w:ind w:firstLine="640" w:firstLineChars="200"/>
        <w:rPr>
          <w:rFonts w:hint="eastAsia" w:ascii="仿宋_GB2312" w:hAnsi="宋体" w:eastAsia="仿宋_GB2312" w:cs="宋体"/>
          <w:color w:val="000000"/>
          <w:kern w:val="0"/>
          <w:sz w:val="32"/>
          <w:szCs w:val="32"/>
          <w:shd w:val="clear" w:color="auto" w:fill="FFFFFF"/>
          <w:lang w:val="zh-CN" w:eastAsia="zh-CN"/>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11</w:t>
      </w:r>
      <w:r>
        <w:rPr>
          <w:rFonts w:hint="eastAsia" w:ascii="仿宋_GB2312" w:hAnsi="仿宋_GB2312" w:eastAsia="仿宋_GB2312" w:cs="仿宋_GB2312"/>
          <w:sz w:val="32"/>
          <w:szCs w:val="32"/>
        </w:rPr>
        <w:t>）完成上级交办的其他任务</w:t>
      </w:r>
      <w:r>
        <w:rPr>
          <w:rFonts w:hint="eastAsia" w:ascii="仿宋_GB2312" w:hAnsi="仿宋_GB2312" w:eastAsia="仿宋_GB2312" w:cs="仿宋_GB2312"/>
          <w:sz w:val="32"/>
          <w:szCs w:val="32"/>
          <w:lang w:eastAsia="zh-CN"/>
        </w:rPr>
        <w:t>。</w:t>
      </w:r>
    </w:p>
    <w:p>
      <w:pPr>
        <w:widowControl/>
        <w:adjustRightInd w:val="0"/>
        <w:snapToGrid w:val="0"/>
        <w:spacing w:line="56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（三）人员概况</w:t>
      </w:r>
    </w:p>
    <w:p>
      <w:pPr>
        <w:widowControl w:val="0"/>
        <w:adjustRightInd w:val="0"/>
        <w:spacing w:line="480" w:lineRule="atLeast"/>
        <w:ind w:firstLine="640" w:firstLineChars="200"/>
        <w:jc w:val="both"/>
        <w:textAlignment w:val="baseline"/>
        <w:rPr>
          <w:rFonts w:hint="default" w:ascii="Arial" w:hAnsi="Arial" w:eastAsia="仿宋_GB2312" w:cs="Times New Roman"/>
          <w:kern w:val="0"/>
          <w:sz w:val="32"/>
          <w:szCs w:val="24"/>
          <w:lang w:val="en-US" w:eastAsia="zh-CN" w:bidi="ar-SA"/>
        </w:rPr>
      </w:pPr>
      <w:r>
        <w:rPr>
          <w:rFonts w:hint="eastAsia" w:ascii="仿宋_GB2312" w:hAnsi="宋体" w:eastAsia="仿宋_GB2312" w:cs="宋体"/>
          <w:color w:val="000000"/>
          <w:kern w:val="0"/>
          <w:sz w:val="32"/>
          <w:szCs w:val="32"/>
          <w:shd w:val="clear" w:color="auto" w:fill="FFFFFF"/>
          <w:lang w:val="zh-CN" w:eastAsia="zh-CN" w:bidi="ar-SA"/>
        </w:rPr>
        <w:t>县文体旅游局行政编制</w:t>
      </w:r>
      <w:r>
        <w:rPr>
          <w:rFonts w:hint="eastAsia" w:ascii="仿宋_GB2312" w:hAnsi="宋体" w:eastAsia="仿宋_GB2312" w:cs="宋体"/>
          <w:color w:val="000000"/>
          <w:kern w:val="0"/>
          <w:sz w:val="32"/>
          <w:szCs w:val="32"/>
          <w:shd w:val="clear" w:color="auto" w:fill="FFFFFF"/>
          <w:lang w:val="en-US" w:eastAsia="zh-CN" w:bidi="ar-SA"/>
        </w:rPr>
        <w:t>6名。其中：局长1名，副局长2名；股级领导职数3名。机关工勤人员事业编制2名。</w:t>
      </w:r>
    </w:p>
    <w:p>
      <w:pPr>
        <w:widowControl w:val="0"/>
        <w:numPr>
          <w:ilvl w:val="0"/>
          <w:numId w:val="0"/>
        </w:numPr>
        <w:ind w:firstLine="640" w:firstLineChars="200"/>
        <w:jc w:val="both"/>
        <w:rPr>
          <w:rFonts w:ascii="Calibri" w:hAnsi="Calibri" w:eastAsia="宋体" w:cs="Times New Roman"/>
          <w:kern w:val="2"/>
          <w:sz w:val="32"/>
          <w:szCs w:val="24"/>
          <w:lang w:val="zh-CN" w:eastAsia="zh-CN" w:bidi="ar-SA"/>
        </w:rPr>
      </w:pPr>
    </w:p>
    <w:p>
      <w:pPr>
        <w:widowControl/>
        <w:numPr>
          <w:ilvl w:val="0"/>
          <w:numId w:val="8"/>
        </w:numPr>
        <w:adjustRightInd w:val="0"/>
        <w:snapToGrid w:val="0"/>
        <w:spacing w:line="560" w:lineRule="exact"/>
        <w:ind w:firstLine="640" w:firstLineChars="200"/>
        <w:contextualSpacing/>
        <w:jc w:val="left"/>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lang w:eastAsia="zh-CN"/>
        </w:rPr>
        <w:t>预算管理</w:t>
      </w:r>
    </w:p>
    <w:p>
      <w:pPr>
        <w:numPr>
          <w:ilvl w:val="0"/>
          <w:numId w:val="0"/>
        </w:numPr>
        <w:spacing w:line="360" w:lineRule="auto"/>
        <w:rPr>
          <w:rFonts w:ascii="Times New Roman" w:hAnsi="Times New Roman" w:eastAsia="仿宋_GB2312" w:cs="Times New Roman"/>
          <w:sz w:val="32"/>
        </w:rPr>
      </w:pPr>
      <w:r>
        <w:rPr>
          <w:rFonts w:hint="eastAsia" w:ascii="仿宋_GB2312" w:hAnsi="仿宋_GB2312" w:eastAsia="仿宋_GB2312" w:cs="仿宋_GB2312"/>
          <w:b/>
          <w:bCs/>
          <w:kern w:val="0"/>
          <w:sz w:val="32"/>
          <w:szCs w:val="32"/>
          <w:lang w:val="en-US" w:eastAsia="zh-CN"/>
        </w:rPr>
        <w:t xml:space="preserve">   （一）</w:t>
      </w:r>
      <w:r>
        <w:rPr>
          <w:rFonts w:hint="eastAsia" w:ascii="仿宋_GB2312" w:hAnsi="仿宋_GB2312" w:eastAsia="仿宋_GB2312" w:cs="仿宋_GB2312"/>
          <w:b/>
          <w:bCs/>
          <w:kern w:val="0"/>
          <w:sz w:val="32"/>
          <w:szCs w:val="32"/>
        </w:rPr>
        <w:t>预算编制情况</w:t>
      </w:r>
    </w:p>
    <w:p>
      <w:pPr>
        <w:snapToGrid w:val="0"/>
        <w:spacing w:line="520" w:lineRule="exact"/>
        <w:ind w:firstLine="320" w:firstLineChars="200"/>
        <w:rPr>
          <w:rFonts w:hint="eastAsia" w:ascii="仿宋_GB2312" w:hAnsi="仿宋_GB2312" w:eastAsia="仿宋_GB2312" w:cs="仿宋_GB2312"/>
          <w:sz w:val="32"/>
          <w:szCs w:val="32"/>
        </w:rPr>
      </w:pPr>
      <w:r>
        <w:rPr>
          <w:rFonts w:ascii="??" w:hAnsi="??" w:eastAsia="宋体" w:cs="??"/>
          <w:sz w:val="16"/>
          <w:szCs w:val="16"/>
        </w:rPr>
        <w:t xml:space="preserve"> </w:t>
      </w:r>
      <w:r>
        <w:rPr>
          <w:rFonts w:hint="eastAsia" w:ascii="??" w:hAnsi="??" w:eastAsia="宋体" w:cs="??"/>
          <w:sz w:val="16"/>
          <w:szCs w:val="16"/>
          <w:lang w:val="en-US" w:eastAsia="zh-CN"/>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按照综合预算的原则，</w:t>
      </w:r>
      <w:r>
        <w:rPr>
          <w:rFonts w:hint="eastAsia" w:ascii="仿宋_GB2312" w:hAnsi="仿宋_GB2312" w:eastAsia="仿宋_GB2312" w:cs="仿宋_GB2312"/>
          <w:sz w:val="32"/>
          <w:szCs w:val="32"/>
          <w:lang w:eastAsia="zh-CN"/>
        </w:rPr>
        <w:t>壤塘县文化体育和旅游局</w:t>
      </w:r>
      <w:r>
        <w:rPr>
          <w:rFonts w:hint="eastAsia" w:ascii="仿宋_GB2312" w:hAnsi="仿宋_GB2312" w:eastAsia="仿宋_GB2312" w:cs="仿宋_GB2312"/>
          <w:sz w:val="32"/>
          <w:szCs w:val="32"/>
        </w:rPr>
        <w:t>所有收入和支出均纳入部门预算管理。收入包括：一般公共预算财政拨款收入</w:t>
      </w:r>
      <w:r>
        <w:rPr>
          <w:rFonts w:hint="eastAsia" w:ascii="仿宋_GB2312" w:hAnsi="仿宋_GB2312" w:eastAsia="仿宋_GB2312" w:cs="仿宋_GB2312"/>
          <w:sz w:val="32"/>
          <w:szCs w:val="32"/>
          <w:lang w:val="en-US" w:eastAsia="zh-CN"/>
        </w:rPr>
        <w:t>3438.09</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99.83</w:t>
      </w:r>
      <w:r>
        <w:rPr>
          <w:rFonts w:hint="eastAsia" w:ascii="仿宋_GB2312" w:hAnsi="仿宋_GB2312" w:eastAsia="仿宋_GB2312" w:cs="仿宋_GB2312"/>
          <w:sz w:val="32"/>
          <w:szCs w:val="32"/>
        </w:rPr>
        <w:t>%；政府性基金预算财政拨款收入</w:t>
      </w:r>
      <w:r>
        <w:rPr>
          <w:rFonts w:hint="eastAsia" w:ascii="仿宋_GB2312" w:hAnsi="仿宋_GB2312" w:eastAsia="仿宋_GB2312" w:cs="仿宋_GB2312"/>
          <w:sz w:val="32"/>
          <w:szCs w:val="32"/>
          <w:lang w:val="en-US" w:eastAsia="zh-CN"/>
        </w:rPr>
        <w:t>6.66</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0.17</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国有资本经营预算财政拨款收入</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%；上级补助收入</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%；事业收入</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%；经营收入</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%；附属单位上缴收入</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%；其他收入</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w:t>
      </w:r>
    </w:p>
    <w:p>
      <w:pPr>
        <w:snapToGrid w:val="0"/>
        <w:spacing w:line="520" w:lineRule="exact"/>
        <w:ind w:firstLine="640" w:firstLineChars="200"/>
        <w:rPr>
          <w:rFonts w:ascii="楷体_GB2312" w:hAnsi="仿宋" w:eastAsia="楷体_GB2312" w:cs="Times New Roman"/>
          <w:b/>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b/>
          <w:bCs/>
          <w:kern w:val="0"/>
          <w:sz w:val="32"/>
          <w:szCs w:val="32"/>
          <w:lang w:val="en-US" w:eastAsia="zh-CN"/>
        </w:rPr>
        <w:t>（二）收入支出预算执行情况。</w:t>
      </w:r>
    </w:p>
    <w:p>
      <w:pPr>
        <w:snapToGrid w:val="0"/>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w:t>
      </w:r>
      <w:r>
        <w:rPr>
          <w:rFonts w:hint="eastAsia" w:ascii="仿宋_GB2312" w:hAnsi="仿宋_GB2312" w:eastAsia="仿宋_GB2312" w:cs="仿宋_GB2312"/>
          <w:sz w:val="32"/>
          <w:szCs w:val="32"/>
          <w:lang w:val="en-US" w:eastAsia="zh-CN"/>
        </w:rPr>
        <w:t>22</w:t>
      </w:r>
      <w:r>
        <w:rPr>
          <w:rFonts w:hint="eastAsia" w:ascii="仿宋_GB2312" w:hAnsi="仿宋_GB2312" w:eastAsia="仿宋_GB2312" w:cs="仿宋_GB2312"/>
          <w:sz w:val="32"/>
          <w:szCs w:val="32"/>
        </w:rPr>
        <w:t>年本年收入合计</w:t>
      </w:r>
      <w:r>
        <w:rPr>
          <w:rFonts w:hint="eastAsia" w:ascii="仿宋_GB2312" w:hAnsi="仿宋_GB2312" w:eastAsia="仿宋_GB2312" w:cs="仿宋_GB2312"/>
          <w:sz w:val="32"/>
          <w:szCs w:val="32"/>
          <w:lang w:val="en-US" w:eastAsia="zh-CN"/>
        </w:rPr>
        <w:t>3444.75</w:t>
      </w:r>
      <w:r>
        <w:rPr>
          <w:rFonts w:hint="eastAsia" w:ascii="仿宋_GB2312" w:hAnsi="仿宋_GB2312" w:eastAsia="仿宋_GB2312" w:cs="仿宋_GB2312"/>
          <w:sz w:val="32"/>
          <w:szCs w:val="32"/>
        </w:rPr>
        <w:t>万元，其中：一般公共预算财政拨款收入</w:t>
      </w:r>
      <w:r>
        <w:rPr>
          <w:rFonts w:hint="eastAsia" w:ascii="仿宋_GB2312" w:hAnsi="仿宋_GB2312" w:eastAsia="仿宋_GB2312" w:cs="仿宋_GB2312"/>
          <w:sz w:val="32"/>
          <w:szCs w:val="32"/>
          <w:lang w:val="en-US" w:eastAsia="zh-CN"/>
        </w:rPr>
        <w:t>3438.09</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99.83</w:t>
      </w:r>
      <w:r>
        <w:rPr>
          <w:rFonts w:hint="eastAsia" w:ascii="仿宋_GB2312" w:hAnsi="仿宋_GB2312" w:eastAsia="仿宋_GB2312" w:cs="仿宋_GB2312"/>
          <w:sz w:val="32"/>
          <w:szCs w:val="32"/>
        </w:rPr>
        <w:t>%；政府性基金预算财政拨款收入</w:t>
      </w:r>
      <w:r>
        <w:rPr>
          <w:rFonts w:hint="eastAsia" w:ascii="仿宋_GB2312" w:hAnsi="仿宋_GB2312" w:eastAsia="仿宋_GB2312" w:cs="仿宋_GB2312"/>
          <w:sz w:val="32"/>
          <w:szCs w:val="32"/>
          <w:lang w:val="en-US" w:eastAsia="zh-CN"/>
        </w:rPr>
        <w:t>6.66</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0.17</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国有资本经营预算财政拨款收入</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%；上级补助收入</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%；事业收入</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%；经营收入</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%；附属单位上缴收入</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%；其他收入</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w:t>
      </w:r>
    </w:p>
    <w:p>
      <w:pPr>
        <w:snapToGrid w:val="0"/>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w:t>
      </w:r>
      <w:r>
        <w:rPr>
          <w:rFonts w:hint="eastAsia" w:ascii="仿宋_GB2312" w:hAnsi="仿宋_GB2312" w:eastAsia="仿宋_GB2312" w:cs="仿宋_GB2312"/>
          <w:sz w:val="32"/>
          <w:szCs w:val="32"/>
          <w:lang w:val="en-US" w:eastAsia="zh-CN"/>
        </w:rPr>
        <w:t>22</w:t>
      </w:r>
      <w:r>
        <w:rPr>
          <w:rFonts w:hint="eastAsia" w:ascii="仿宋_GB2312" w:hAnsi="仿宋_GB2312" w:eastAsia="仿宋_GB2312" w:cs="仿宋_GB2312"/>
          <w:sz w:val="32"/>
          <w:szCs w:val="32"/>
        </w:rPr>
        <w:t>年本年支出合计</w:t>
      </w:r>
      <w:r>
        <w:rPr>
          <w:rFonts w:hint="eastAsia" w:ascii="仿宋_GB2312" w:hAnsi="仿宋_GB2312" w:eastAsia="仿宋_GB2312" w:cs="仿宋_GB2312"/>
          <w:sz w:val="32"/>
          <w:szCs w:val="32"/>
          <w:lang w:val="en-US" w:eastAsia="zh-CN"/>
        </w:rPr>
        <w:t>5416.05</w:t>
      </w:r>
      <w:r>
        <w:rPr>
          <w:rFonts w:hint="eastAsia" w:ascii="仿宋_GB2312" w:hAnsi="仿宋_GB2312" w:eastAsia="仿宋_GB2312" w:cs="仿宋_GB2312"/>
          <w:sz w:val="32"/>
          <w:szCs w:val="32"/>
        </w:rPr>
        <w:t>万元，其中：基本支出</w:t>
      </w:r>
      <w:r>
        <w:rPr>
          <w:rFonts w:hint="eastAsia" w:ascii="仿宋_GB2312" w:hAnsi="仿宋_GB2312" w:eastAsia="仿宋_GB2312" w:cs="仿宋_GB2312"/>
          <w:sz w:val="32"/>
          <w:szCs w:val="32"/>
          <w:lang w:val="en-US" w:eastAsia="zh-CN"/>
        </w:rPr>
        <w:t>971.25</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17.93</w:t>
      </w:r>
      <w:r>
        <w:rPr>
          <w:rFonts w:hint="eastAsia" w:ascii="仿宋_GB2312" w:hAnsi="仿宋_GB2312" w:eastAsia="仿宋_GB2312" w:cs="仿宋_GB2312"/>
          <w:sz w:val="32"/>
          <w:szCs w:val="32"/>
        </w:rPr>
        <w:t>%；项目支出</w:t>
      </w:r>
      <w:r>
        <w:rPr>
          <w:rFonts w:hint="eastAsia" w:ascii="仿宋_GB2312" w:hAnsi="仿宋_GB2312" w:eastAsia="仿宋_GB2312" w:cs="仿宋_GB2312"/>
          <w:sz w:val="32"/>
          <w:szCs w:val="32"/>
          <w:lang w:val="en-US" w:eastAsia="zh-CN"/>
        </w:rPr>
        <w:t>4444.8</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82.07</w:t>
      </w:r>
      <w:r>
        <w:rPr>
          <w:rFonts w:hint="eastAsia" w:ascii="仿宋_GB2312" w:hAnsi="仿宋_GB2312" w:eastAsia="仿宋_GB2312" w:cs="仿宋_GB2312"/>
          <w:sz w:val="32"/>
          <w:szCs w:val="32"/>
        </w:rPr>
        <w:t>%；上缴上级支出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%；经营支出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%；对附属单位补助支出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w:t>
      </w:r>
    </w:p>
    <w:p>
      <w:pPr>
        <w:widowControl/>
        <w:adjustRightInd w:val="0"/>
        <w:snapToGrid w:val="0"/>
        <w:spacing w:line="560" w:lineRule="exact"/>
        <w:ind w:firstLine="640" w:firstLineChars="200"/>
        <w:contextualSpacing/>
        <w:jc w:val="left"/>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三、部门</w:t>
      </w:r>
      <w:r>
        <w:rPr>
          <w:rFonts w:hint="eastAsia" w:ascii="黑体" w:hAnsi="宋体" w:eastAsia="黑体" w:cs="宋体"/>
          <w:color w:val="000000"/>
          <w:kern w:val="0"/>
          <w:sz w:val="32"/>
          <w:szCs w:val="32"/>
          <w:shd w:val="clear" w:color="auto" w:fill="FFFFFF"/>
          <w:lang w:val="en-US" w:eastAsia="zh-CN"/>
        </w:rPr>
        <w:t>整体预算绩效</w:t>
      </w:r>
      <w:r>
        <w:rPr>
          <w:rFonts w:hint="eastAsia" w:ascii="黑体" w:hAnsi="宋体" w:eastAsia="黑体" w:cs="宋体"/>
          <w:color w:val="000000"/>
          <w:kern w:val="0"/>
          <w:sz w:val="32"/>
          <w:szCs w:val="32"/>
          <w:shd w:val="clear" w:color="auto" w:fill="FFFFFF"/>
        </w:rPr>
        <w:t>管理情况</w:t>
      </w:r>
    </w:p>
    <w:p>
      <w:pPr>
        <w:widowControl/>
        <w:adjustRightInd w:val="0"/>
        <w:snapToGrid w:val="0"/>
        <w:spacing w:line="560" w:lineRule="exact"/>
        <w:ind w:firstLine="643" w:firstLineChars="200"/>
        <w:contextualSpacing/>
        <w:jc w:val="left"/>
        <w:rPr>
          <w:rFonts w:ascii="仿宋_GB2312" w:hAnsi="宋体" w:eastAsia="仿宋_GB2312" w:cs="宋体"/>
          <w:b/>
          <w:bCs/>
          <w:color w:val="000000"/>
          <w:kern w:val="0"/>
          <w:sz w:val="32"/>
          <w:szCs w:val="32"/>
          <w:shd w:val="clear" w:color="auto" w:fill="FFFFFF"/>
          <w:lang w:val="zh-CN"/>
        </w:rPr>
      </w:pPr>
      <w:r>
        <w:rPr>
          <w:rFonts w:hint="eastAsia" w:ascii="仿宋_GB2312" w:hAnsi="宋体" w:eastAsia="仿宋_GB2312" w:cs="宋体"/>
          <w:b/>
          <w:bCs/>
          <w:color w:val="000000"/>
          <w:kern w:val="0"/>
          <w:sz w:val="32"/>
          <w:szCs w:val="32"/>
          <w:shd w:val="clear" w:color="auto" w:fill="FFFFFF"/>
          <w:lang w:val="zh-CN"/>
        </w:rPr>
        <w:t>（一）部门预算管理</w:t>
      </w:r>
    </w:p>
    <w:p>
      <w:pPr>
        <w:widowControl/>
        <w:adjustRightInd w:val="0"/>
        <w:snapToGrid w:val="0"/>
        <w:spacing w:line="56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包括部门绩效目标制定、目标完成、预算编制准确、支出控制、预算动态调整、执行进度、预算完成情况和违规记录等情况。</w:t>
      </w:r>
    </w:p>
    <w:p>
      <w:pPr>
        <w:widowControl w:val="0"/>
        <w:numPr>
          <w:ilvl w:val="0"/>
          <w:numId w:val="9"/>
        </w:numPr>
        <w:spacing w:line="560" w:lineRule="exact"/>
        <w:ind w:firstLine="643" w:firstLineChars="200"/>
        <w:jc w:val="both"/>
        <w:rPr>
          <w:rFonts w:hint="eastAsia" w:ascii="仿宋_GB2312" w:hAnsi="仿宋_GB2312" w:eastAsia="仿宋_GB2312" w:cs="仿宋_GB2312"/>
          <w:b/>
          <w:bCs/>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预算编制情况</w:t>
      </w:r>
    </w:p>
    <w:p>
      <w:pPr>
        <w:widowControl w:val="0"/>
        <w:numPr>
          <w:ilvl w:val="0"/>
          <w:numId w:val="0"/>
        </w:numPr>
        <w:spacing w:line="560" w:lineRule="exact"/>
        <w:ind w:firstLine="640" w:firstLineChars="200"/>
        <w:jc w:val="both"/>
        <w:rPr>
          <w:rFonts w:hint="eastAsia" w:ascii="仿宋_GB2312" w:hAnsi="宋体" w:eastAsia="仿宋_GB2312" w:cs="宋体"/>
          <w:color w:val="000000"/>
          <w:kern w:val="0"/>
          <w:sz w:val="32"/>
          <w:szCs w:val="32"/>
          <w:shd w:val="clear" w:color="auto" w:fill="FFFFFF"/>
          <w:lang w:val="en-US" w:eastAsia="zh-CN" w:bidi="ar-SA"/>
        </w:rPr>
      </w:pPr>
      <w:r>
        <w:rPr>
          <w:rFonts w:hint="eastAsia" w:ascii="仿宋_GB2312" w:hAnsi="宋体" w:eastAsia="仿宋_GB2312" w:cs="宋体"/>
          <w:color w:val="000000"/>
          <w:kern w:val="0"/>
          <w:sz w:val="32"/>
          <w:szCs w:val="32"/>
          <w:shd w:val="clear" w:color="auto" w:fill="FFFFFF"/>
          <w:lang w:val="en-US" w:eastAsia="zh-CN" w:bidi="ar-SA"/>
        </w:rPr>
        <w:t>收入年初预算数为</w:t>
      </w:r>
      <w:r>
        <w:rPr>
          <w:rFonts w:hint="eastAsia" w:ascii="仿宋_GB2312" w:hAnsi="仿宋_GB2312" w:eastAsia="宋体" w:cs="仿宋_GB2312"/>
          <w:kern w:val="2"/>
          <w:sz w:val="32"/>
          <w:szCs w:val="32"/>
          <w:lang w:val="en-US" w:eastAsia="zh-CN" w:bidi="ar-SA"/>
        </w:rPr>
        <w:t>330.63</w:t>
      </w:r>
      <w:r>
        <w:rPr>
          <w:rFonts w:hint="eastAsia" w:ascii="仿宋_GB2312" w:hAnsi="宋体" w:eastAsia="仿宋_GB2312" w:cs="宋体"/>
          <w:color w:val="000000"/>
          <w:kern w:val="0"/>
          <w:sz w:val="32"/>
          <w:szCs w:val="32"/>
          <w:shd w:val="clear" w:color="auto" w:fill="FFFFFF"/>
          <w:lang w:val="en-US" w:eastAsia="zh-CN" w:bidi="ar-SA"/>
        </w:rPr>
        <w:t>万元，收入预算决算数为3444.75万元。</w:t>
      </w:r>
    </w:p>
    <w:p>
      <w:pPr>
        <w:widowControl w:val="0"/>
        <w:numPr>
          <w:ilvl w:val="0"/>
          <w:numId w:val="9"/>
        </w:numPr>
        <w:spacing w:line="560" w:lineRule="exact"/>
        <w:ind w:firstLine="643" w:firstLineChars="200"/>
        <w:jc w:val="both"/>
        <w:rPr>
          <w:rFonts w:hint="eastAsia" w:ascii="仿宋_GB2312" w:hAnsi="仿宋_GB2312" w:eastAsia="仿宋_GB2312" w:cs="仿宋_GB2312"/>
          <w:b/>
          <w:bCs/>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预算执行情况</w:t>
      </w:r>
    </w:p>
    <w:p>
      <w:pPr>
        <w:widowControl w:val="0"/>
        <w:numPr>
          <w:ilvl w:val="0"/>
          <w:numId w:val="0"/>
        </w:numPr>
        <w:spacing w:line="560" w:lineRule="exact"/>
        <w:ind w:firstLine="640" w:firstLineChars="200"/>
        <w:jc w:val="both"/>
        <w:rPr>
          <w:rFonts w:hint="eastAsia" w:ascii="仿宋_GB2312" w:hAnsi="仿宋_GB2312" w:eastAsia="仿宋_GB2312" w:cs="仿宋_GB2312"/>
          <w:b/>
          <w:bCs/>
          <w:kern w:val="2"/>
          <w:sz w:val="32"/>
          <w:szCs w:val="32"/>
          <w:lang w:val="en-US" w:eastAsia="zh-CN" w:bidi="ar-SA"/>
        </w:rPr>
      </w:pPr>
      <w:r>
        <w:rPr>
          <w:rFonts w:hint="eastAsia" w:ascii="仿宋_GB2312" w:hAnsi="宋体" w:eastAsia="仿宋_GB2312" w:cs="宋体"/>
          <w:color w:val="000000"/>
          <w:kern w:val="0"/>
          <w:sz w:val="32"/>
          <w:szCs w:val="32"/>
          <w:shd w:val="clear" w:color="auto" w:fill="FFFFFF"/>
          <w:lang w:val="en-US" w:eastAsia="zh-CN" w:bidi="ar-SA"/>
        </w:rPr>
        <w:t>壤塘县文化体育和旅游局2022年财政拨款支出预算数为3107.78万元，本年支出决算数5416.05万元。</w:t>
      </w:r>
    </w:p>
    <w:p>
      <w:pPr>
        <w:widowControl w:val="0"/>
        <w:numPr>
          <w:ilvl w:val="0"/>
          <w:numId w:val="9"/>
        </w:numPr>
        <w:spacing w:line="560" w:lineRule="exact"/>
        <w:ind w:left="0" w:leftChars="0" w:firstLine="643" w:firstLineChars="200"/>
        <w:jc w:val="both"/>
        <w:rPr>
          <w:rFonts w:hint="eastAsia" w:ascii="仿宋_GB2312" w:hAnsi="仿宋_GB2312" w:eastAsia="仿宋_GB2312" w:cs="仿宋_GB2312"/>
          <w:b/>
          <w:bCs/>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目标制定</w:t>
      </w:r>
    </w:p>
    <w:p>
      <w:pPr>
        <w:widowControl w:val="0"/>
        <w:numPr>
          <w:ilvl w:val="0"/>
          <w:numId w:val="0"/>
        </w:numPr>
        <w:spacing w:line="560" w:lineRule="exact"/>
        <w:ind w:firstLine="640" w:firstLineChars="200"/>
        <w:jc w:val="both"/>
        <w:rPr>
          <w:rFonts w:ascii="仿宋_GB2312" w:hAnsi="Calibri" w:eastAsia="仿宋_GB2312" w:cs="Times New Roman"/>
          <w:color w:val="0000FF"/>
          <w:kern w:val="0"/>
          <w:sz w:val="32"/>
          <w:szCs w:val="32"/>
          <w:lang w:val="zh-CN" w:eastAsia="zh-CN" w:bidi="ar-SA"/>
        </w:rPr>
      </w:pPr>
      <w:r>
        <w:rPr>
          <w:rFonts w:hint="eastAsia" w:ascii="仿宋_GB2312" w:hAnsi="Calibri" w:eastAsia="仿宋_GB2312" w:cs="Times New Roman"/>
          <w:color w:val="000000"/>
          <w:kern w:val="0"/>
          <w:sz w:val="32"/>
          <w:szCs w:val="32"/>
          <w:lang w:val="en-US" w:eastAsia="zh-CN" w:bidi="ar-SA"/>
        </w:rPr>
        <w:t>2022</w:t>
      </w:r>
      <w:r>
        <w:rPr>
          <w:rFonts w:hint="eastAsia" w:ascii="仿宋_GB2312" w:hAnsi="Calibri" w:eastAsia="仿宋_GB2312" w:cs="Times New Roman"/>
          <w:color w:val="000000"/>
          <w:kern w:val="0"/>
          <w:sz w:val="32"/>
          <w:szCs w:val="32"/>
          <w:lang w:val="zh-CN" w:eastAsia="zh-CN" w:bidi="ar-SA"/>
        </w:rPr>
        <w:t>年，我单位严格按照《预算法》、《阿坝州州级预算绩效目标管理办法》、《预算编制通知》等文件要求，完整编制部门整体绩效目标，合理量化项目绩效目标</w:t>
      </w:r>
      <w:bookmarkStart w:id="94" w:name="_Hlk20657734"/>
      <w:r>
        <w:rPr>
          <w:rFonts w:hint="eastAsia" w:ascii="仿宋_GB2312" w:hAnsi="Calibri" w:eastAsia="仿宋_GB2312" w:cs="Times New Roman"/>
          <w:color w:val="000000"/>
          <w:kern w:val="0"/>
          <w:sz w:val="32"/>
          <w:szCs w:val="32"/>
          <w:lang w:val="zh-CN" w:eastAsia="zh-CN" w:bidi="ar-SA"/>
        </w:rPr>
        <w:t>完整编制部门整体绩效目标，按时完成报送工作。</w:t>
      </w:r>
      <w:r>
        <w:rPr>
          <w:rFonts w:hint="eastAsia" w:ascii="仿宋_GB2312" w:hAnsi="Calibri" w:eastAsia="仿宋_GB2312" w:cs="Times New Roman"/>
          <w:color w:val="000000"/>
          <w:kern w:val="2"/>
          <w:sz w:val="32"/>
          <w:szCs w:val="32"/>
          <w:lang w:val="zh-CN" w:eastAsia="zh-CN" w:bidi="ar-SA"/>
        </w:rPr>
        <w:t>通过对预算编制、预算执行、综合管理、整体效益等方面进行全面分析评价，按照目标要求完成项目支出，保证公务正常运行。</w:t>
      </w:r>
    </w:p>
    <w:bookmarkEnd w:id="94"/>
    <w:p>
      <w:pPr>
        <w:widowControl/>
        <w:numPr>
          <w:ilvl w:val="0"/>
          <w:numId w:val="9"/>
        </w:numPr>
        <w:adjustRightInd w:val="0"/>
        <w:snapToGrid w:val="0"/>
        <w:spacing w:line="560" w:lineRule="exact"/>
        <w:ind w:left="0" w:leftChars="0" w:firstLine="643" w:firstLineChars="200"/>
        <w:contextualSpacing/>
        <w:jc w:val="left"/>
        <w:rPr>
          <w:rFonts w:hint="eastAsia" w:ascii="仿宋_GB2312" w:hAnsi="仿宋_GB2312" w:eastAsia="仿宋_GB2312" w:cs="仿宋_GB2312"/>
          <w:b/>
          <w:bCs/>
          <w:kern w:val="0"/>
          <w:sz w:val="32"/>
          <w:szCs w:val="32"/>
          <w:lang w:val="zh-CN"/>
        </w:rPr>
      </w:pPr>
      <w:r>
        <w:rPr>
          <w:rFonts w:hint="eastAsia" w:ascii="仿宋_GB2312" w:hAnsi="仿宋_GB2312" w:eastAsia="仿宋_GB2312" w:cs="仿宋_GB2312"/>
          <w:b/>
          <w:bCs/>
          <w:kern w:val="0"/>
          <w:sz w:val="32"/>
          <w:szCs w:val="32"/>
          <w:lang w:val="zh-CN"/>
        </w:rPr>
        <w:t>目标完成情况</w:t>
      </w:r>
    </w:p>
    <w:p>
      <w:pPr>
        <w:widowControl/>
        <w:numPr>
          <w:ilvl w:val="0"/>
          <w:numId w:val="0"/>
        </w:numPr>
        <w:adjustRightInd w:val="0"/>
        <w:snapToGrid w:val="0"/>
        <w:spacing w:line="560" w:lineRule="exact"/>
        <w:ind w:firstLine="640" w:firstLineChars="200"/>
        <w:contextualSpacing/>
        <w:jc w:val="left"/>
        <w:rPr>
          <w:rFonts w:hint="eastAsia" w:ascii="仿宋_GB2312" w:hAnsi="宋体" w:eastAsia="仿宋_GB2312" w:cs="宋体"/>
          <w:color w:val="000000"/>
          <w:kern w:val="0"/>
          <w:sz w:val="32"/>
          <w:szCs w:val="32"/>
          <w:shd w:val="clear" w:color="auto" w:fill="FFFFFF"/>
        </w:rPr>
      </w:pPr>
      <w:r>
        <w:rPr>
          <w:rFonts w:hint="eastAsia" w:ascii="仿宋_GB2312" w:hAnsi="Times New Roman" w:eastAsia="仿宋_GB2312" w:cs="Times New Roman"/>
          <w:color w:val="000000"/>
          <w:sz w:val="32"/>
          <w:szCs w:val="32"/>
          <w:shd w:val="clear" w:color="auto" w:fill="FFFFFF"/>
          <w:lang w:val="zh-CN"/>
        </w:rPr>
        <w:t>评价结论：</w:t>
      </w:r>
      <w:r>
        <w:rPr>
          <w:rFonts w:hint="eastAsia" w:ascii="仿宋_GB2312" w:hAnsi="Times New Roman" w:eastAsia="仿宋_GB2312" w:cs="Times New Roman"/>
          <w:color w:val="000000"/>
          <w:sz w:val="32"/>
          <w:szCs w:val="32"/>
          <w:lang w:val="zh-CN"/>
        </w:rPr>
        <w:t>按照县政府的工作任务要求，结合我单位</w:t>
      </w:r>
      <w:r>
        <w:rPr>
          <w:rFonts w:hint="eastAsia" w:ascii="仿宋_GB2312" w:hAnsi="Times New Roman" w:eastAsia="仿宋_GB2312" w:cs="Times New Roman"/>
          <w:color w:val="000000"/>
          <w:sz w:val="32"/>
          <w:szCs w:val="32"/>
          <w:lang w:eastAsia="zh-CN"/>
        </w:rPr>
        <w:t>22</w:t>
      </w:r>
      <w:r>
        <w:rPr>
          <w:rFonts w:hint="eastAsia" w:ascii="仿宋_GB2312" w:hAnsi="Times New Roman" w:eastAsia="仿宋_GB2312" w:cs="Times New Roman"/>
          <w:color w:val="000000"/>
          <w:sz w:val="32"/>
          <w:szCs w:val="32"/>
          <w:lang w:val="zh-CN"/>
        </w:rPr>
        <w:t>年度工作开展实际，根据年初工作计划有序开展各项工作，进一步细化工作任务，按照工作计划和要求细致分工，是财政收支预算执行得到了良好的制度保障和实施效果。</w:t>
      </w:r>
      <w:r>
        <w:rPr>
          <w:rFonts w:hint="eastAsia" w:ascii="仿宋_GB2312" w:hAnsi="宋体" w:eastAsia="仿宋_GB2312" w:cs="宋体"/>
          <w:color w:val="000000"/>
          <w:kern w:val="0"/>
          <w:sz w:val="32"/>
          <w:szCs w:val="32"/>
          <w:shd w:val="clear" w:color="auto" w:fill="FFFFFF"/>
          <w:lang w:val="zh-CN"/>
        </w:rPr>
        <w:t>存在问题：</w:t>
      </w:r>
      <w:r>
        <w:rPr>
          <w:rFonts w:ascii="仿宋" w:hAnsi="仿宋" w:eastAsia="仿宋" w:cs="仿宋_GB2312"/>
          <w:sz w:val="32"/>
          <w:szCs w:val="32"/>
        </w:rPr>
        <w:t xml:space="preserve"> </w:t>
      </w:r>
      <w:r>
        <w:rPr>
          <w:rFonts w:hint="eastAsia" w:ascii="仿宋_GB2312" w:hAnsi="Calibri" w:eastAsia="仿宋_GB2312" w:cs="Times New Roman"/>
          <w:color w:val="000000"/>
          <w:kern w:val="0"/>
          <w:sz w:val="32"/>
          <w:szCs w:val="32"/>
          <w:lang w:val="zh-CN"/>
        </w:rPr>
        <w:t>（1）根据绩效评价工作要求，成立了工作领导小组，但是总体认识还不够，时间较为仓促，评价内容没有更进一步，更细致。评价内容局限于表面现象，没有深入分析。</w:t>
      </w:r>
      <w:r>
        <w:rPr>
          <w:rFonts w:hint="eastAsia" w:ascii="仿宋_GB2312" w:hAnsi="宋体" w:eastAsia="仿宋_GB2312" w:cs="宋体"/>
          <w:color w:val="000000"/>
          <w:kern w:val="0"/>
          <w:sz w:val="32"/>
          <w:szCs w:val="32"/>
          <w:shd w:val="clear" w:color="auto" w:fill="FFFFFF"/>
        </w:rPr>
        <w:t>（2）资金支付进度不及时，影响支付进度。（3）</w:t>
      </w:r>
      <w:r>
        <w:rPr>
          <w:rFonts w:hint="eastAsia" w:ascii="仿宋_GB2312" w:hAnsi="宋体" w:eastAsia="仿宋_GB2312" w:cs="宋体"/>
          <w:color w:val="000000"/>
          <w:kern w:val="0"/>
          <w:sz w:val="32"/>
          <w:szCs w:val="32"/>
          <w:shd w:val="clear" w:color="auto" w:fill="FFFFFF"/>
          <w:lang w:val="zh-CN"/>
        </w:rPr>
        <w:t>改进建议：</w:t>
      </w:r>
      <w:r>
        <w:rPr>
          <w:rFonts w:hint="eastAsia" w:ascii="仿宋_GB2312" w:hAnsi="Calibri" w:eastAsia="仿宋_GB2312" w:cs="Times New Roman"/>
          <w:color w:val="000000"/>
          <w:kern w:val="0"/>
          <w:sz w:val="32"/>
          <w:szCs w:val="32"/>
          <w:lang w:val="zh-CN"/>
        </w:rPr>
        <w:t>一是强化绩效理念，深入推进评价工作。把财政绩效评价作为转变政府职能、深化财政改革、促进科学理财的重要工作来抓，健全完善制度办法，切实加强组织领导，深入推进评价工作，提升整体绩效管理水平；</w:t>
      </w:r>
      <w:r>
        <w:rPr>
          <w:rFonts w:hint="eastAsia" w:ascii="仿宋_GB2312" w:hAnsi="Calibri" w:eastAsia="仿宋_GB2312" w:cs="Times New Roman"/>
          <w:color w:val="000000"/>
          <w:kern w:val="0"/>
          <w:sz w:val="32"/>
          <w:szCs w:val="32"/>
        </w:rPr>
        <w:t>二</w:t>
      </w:r>
      <w:r>
        <w:rPr>
          <w:rFonts w:hint="eastAsia" w:ascii="仿宋_GB2312" w:hAnsi="Calibri" w:eastAsia="仿宋_GB2312" w:cs="Times New Roman"/>
          <w:color w:val="000000"/>
          <w:kern w:val="0"/>
          <w:sz w:val="32"/>
          <w:szCs w:val="32"/>
          <w:lang w:val="zh-CN"/>
        </w:rPr>
        <w:t>是强化整改落实，构建长效机制。对发现的问题逐一整改，全面核查，举一反三，确保整改到位。对评价发现的问题，深入分析原因，采取措施尽快整改，主要领导亲自抓，组织专门力量，专人专项落实，立即整改，不得遗漏。</w:t>
      </w:r>
    </w:p>
    <w:p>
      <w:pPr>
        <w:widowControl w:val="0"/>
        <w:spacing w:line="560" w:lineRule="exact"/>
        <w:ind w:left="640" w:firstLine="0" w:firstLineChars="0"/>
        <w:jc w:val="both"/>
        <w:rPr>
          <w:rFonts w:ascii="仿宋_GB2312" w:hAnsi="仿宋_GB2312" w:eastAsia="仿宋_GB2312" w:cs="仿宋_GB2312"/>
          <w:b/>
          <w:bCs/>
          <w:kern w:val="0"/>
          <w:sz w:val="32"/>
          <w:szCs w:val="32"/>
          <w:lang w:val="en-US" w:eastAsia="zh-CN" w:bidi="ar-SA"/>
        </w:rPr>
      </w:pPr>
      <w:r>
        <w:rPr>
          <w:rFonts w:hint="eastAsia" w:ascii="仿宋_GB2312" w:hAnsi="仿宋_GB2312" w:eastAsia="仿宋_GB2312" w:cs="仿宋_GB2312"/>
          <w:b/>
          <w:bCs/>
          <w:kern w:val="0"/>
          <w:sz w:val="32"/>
          <w:szCs w:val="32"/>
          <w:lang w:val="en-US" w:eastAsia="zh-CN" w:bidi="ar-SA"/>
        </w:rPr>
        <w:t>5.支出控制</w:t>
      </w:r>
    </w:p>
    <w:p>
      <w:pPr>
        <w:widowControl w:val="0"/>
        <w:spacing w:line="560" w:lineRule="exact"/>
        <w:ind w:firstLine="640" w:firstLineChars="200"/>
        <w:jc w:val="both"/>
        <w:rPr>
          <w:rFonts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办公室负责单位内控评价与监督工作，具体职责如下：负责制定单位内部控制监督评价相关制度；负责制订内部控制评价方案；负责组织对单位年度内部控制工作自评工作；负责对本单位风险管理工作的实施情况和有效性进行监督和检查；负责对各个部门各业务流程的执行情况进行监督和检查。</w:t>
      </w:r>
    </w:p>
    <w:p>
      <w:pPr>
        <w:widowControl w:val="0"/>
        <w:spacing w:line="560" w:lineRule="exact"/>
        <w:ind w:firstLine="640" w:firstLineChars="200"/>
        <w:jc w:val="both"/>
        <w:rPr>
          <w:rFonts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本单位制定的管理制度，包括不限于财务管理制度、采购管理制度、监控、监督措施执行有效，22年度单位财务人员按要求执行了监控职能。</w:t>
      </w:r>
    </w:p>
    <w:p>
      <w:pPr>
        <w:widowControl w:val="0"/>
        <w:spacing w:line="560" w:lineRule="exact"/>
        <w:ind w:left="640" w:firstLine="0" w:firstLineChars="0"/>
        <w:jc w:val="both"/>
        <w:rPr>
          <w:rFonts w:ascii="仿宋_GB2312" w:hAnsi="仿宋_GB2312" w:eastAsia="仿宋_GB2312" w:cs="仿宋_GB2312"/>
          <w:b/>
          <w:bCs/>
          <w:kern w:val="0"/>
          <w:sz w:val="32"/>
          <w:szCs w:val="32"/>
          <w:lang w:val="zh-CN" w:eastAsia="zh-CN" w:bidi="ar-SA"/>
        </w:rPr>
      </w:pPr>
      <w:r>
        <w:rPr>
          <w:rFonts w:hint="eastAsia" w:ascii="仿宋_GB2312" w:hAnsi="仿宋_GB2312" w:eastAsia="仿宋_GB2312" w:cs="仿宋_GB2312"/>
          <w:b/>
          <w:bCs/>
          <w:kern w:val="0"/>
          <w:sz w:val="32"/>
          <w:szCs w:val="32"/>
          <w:lang w:val="en-US" w:eastAsia="zh-CN" w:bidi="ar-SA"/>
        </w:rPr>
        <w:t>6</w:t>
      </w:r>
      <w:r>
        <w:rPr>
          <w:rFonts w:ascii="仿宋_GB2312" w:hAnsi="仿宋_GB2312" w:eastAsia="仿宋_GB2312" w:cs="仿宋_GB2312"/>
          <w:b/>
          <w:bCs/>
          <w:kern w:val="0"/>
          <w:sz w:val="32"/>
          <w:szCs w:val="32"/>
          <w:lang w:val="en-US" w:eastAsia="zh-CN" w:bidi="ar-SA"/>
        </w:rPr>
        <w:t>.</w:t>
      </w:r>
      <w:r>
        <w:rPr>
          <w:rFonts w:hint="eastAsia" w:ascii="仿宋_GB2312" w:hAnsi="仿宋_GB2312" w:eastAsia="仿宋_GB2312" w:cs="仿宋_GB2312"/>
          <w:b/>
          <w:bCs/>
          <w:kern w:val="0"/>
          <w:sz w:val="32"/>
          <w:szCs w:val="32"/>
          <w:lang w:val="zh-CN" w:eastAsia="zh-CN" w:bidi="ar-SA"/>
        </w:rPr>
        <w:t>违规记录</w:t>
      </w:r>
    </w:p>
    <w:p>
      <w:pPr>
        <w:widowControl w:val="0"/>
        <w:spacing w:line="560" w:lineRule="exact"/>
        <w:ind w:left="0" w:leftChars="0" w:firstLine="640" w:firstLineChars="200"/>
        <w:jc w:val="both"/>
        <w:rPr>
          <w:rFonts w:hint="eastAsia" w:ascii="仿宋_GB2312" w:hAnsi="仿宋_GB2312" w:eastAsia="仿宋_GB2312" w:cs="仿宋_GB2312"/>
          <w:kern w:val="2"/>
          <w:sz w:val="32"/>
          <w:szCs w:val="32"/>
          <w:lang w:val="zh-CN" w:eastAsia="zh-CN" w:bidi="ar-SA"/>
        </w:rPr>
      </w:pPr>
      <w:r>
        <w:rPr>
          <w:rFonts w:hint="eastAsia" w:ascii="仿宋_GB2312" w:hAnsi="仿宋_GB2312" w:eastAsia="仿宋_GB2312" w:cs="仿宋_GB2312"/>
          <w:kern w:val="2"/>
          <w:sz w:val="32"/>
          <w:szCs w:val="32"/>
          <w:lang w:val="zh-CN" w:eastAsia="zh-CN" w:bidi="ar-SA"/>
        </w:rPr>
        <w:t>本年度无违规记录。</w:t>
      </w:r>
    </w:p>
    <w:p>
      <w:pPr>
        <w:widowControl w:val="0"/>
        <w:spacing w:line="560" w:lineRule="exact"/>
        <w:ind w:left="0" w:leftChars="0" w:firstLine="640" w:firstLineChars="200"/>
        <w:jc w:val="both"/>
        <w:rPr>
          <w:rFonts w:hint="eastAsia" w:ascii="仿宋_GB2312" w:hAnsi="仿宋" w:eastAsia="仿宋_GB2312" w:cs="Times New Roman"/>
          <w:kern w:val="2"/>
          <w:sz w:val="32"/>
          <w:szCs w:val="32"/>
          <w:lang w:val="en-US" w:eastAsia="zh-CN" w:bidi="ar-SA"/>
        </w:rPr>
      </w:pPr>
      <w:r>
        <w:rPr>
          <w:rFonts w:hint="eastAsia" w:ascii="仿宋_GB2312" w:hAnsi="仿宋" w:eastAsia="仿宋_GB2312" w:cs="Times New Roman"/>
          <w:kern w:val="2"/>
          <w:sz w:val="32"/>
          <w:szCs w:val="32"/>
          <w:lang w:val="en-US" w:eastAsia="zh-CN" w:bidi="ar-SA"/>
        </w:rPr>
        <w:t>财务管理上，按照国家相关法律法规，制定了机关财务、公物购置使用、接待、会务、差旅等管理制度，并严格按照制度管理和执行，防范风险，保证财政资金的安全和高效运行。</w:t>
      </w:r>
    </w:p>
    <w:p>
      <w:pPr>
        <w:widowControl w:val="0"/>
        <w:spacing w:line="360" w:lineRule="auto"/>
        <w:ind w:firstLine="643" w:firstLineChars="200"/>
        <w:jc w:val="both"/>
        <w:rPr>
          <w:rFonts w:hint="eastAsia" w:ascii="仿宋_GB2312" w:hAnsi="仿宋_GB2312" w:eastAsia="仿宋_GB2312" w:cs="仿宋_GB2312"/>
          <w:b/>
          <w:bCs/>
          <w:kern w:val="0"/>
          <w:sz w:val="32"/>
          <w:szCs w:val="32"/>
          <w:lang w:val="en-US" w:eastAsia="zh-CN" w:bidi="ar-SA"/>
        </w:rPr>
      </w:pPr>
      <w:r>
        <w:rPr>
          <w:rFonts w:hint="eastAsia" w:ascii="仿宋_GB2312" w:hAnsi="仿宋_GB2312" w:eastAsia="仿宋_GB2312" w:cs="仿宋_GB2312"/>
          <w:b/>
          <w:bCs/>
          <w:kern w:val="0"/>
          <w:sz w:val="32"/>
          <w:szCs w:val="32"/>
          <w:lang w:val="en-US" w:eastAsia="zh-CN" w:bidi="ar-SA"/>
        </w:rPr>
        <w:t>（二）基础管理</w:t>
      </w:r>
    </w:p>
    <w:p>
      <w:pPr>
        <w:widowControl w:val="0"/>
        <w:spacing w:line="360" w:lineRule="auto"/>
        <w:ind w:firstLine="643" w:firstLineChars="200"/>
        <w:jc w:val="both"/>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b/>
          <w:bCs/>
          <w:kern w:val="0"/>
          <w:sz w:val="32"/>
          <w:szCs w:val="32"/>
          <w:lang w:val="en-US" w:eastAsia="zh-CN" w:bidi="ar-SA"/>
        </w:rPr>
        <w:t>1、管理制度健全性</w:t>
      </w:r>
    </w:p>
    <w:p>
      <w:pPr>
        <w:widowControl w:val="0"/>
        <w:spacing w:line="360" w:lineRule="auto"/>
        <w:ind w:firstLine="640" w:firstLineChars="200"/>
        <w:jc w:val="both"/>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根据县财政部《行政单位内部控制规范》要求，结合单位实际情况，在对单位主要经济活动及业务流程梳理分析的基础上，初步建立覆盖本单位经济活动的内部控制体系，形成一系列的内部管理制度。我局的内部控制建设制度适用于:预算管理、收支管理、政府采购管理、资产管理、建设项目管理、合同管理六大经济业务活动。相关管理制度合法、合规、完整，均得到了有效执行。</w:t>
      </w:r>
    </w:p>
    <w:p>
      <w:pPr>
        <w:widowControl w:val="0"/>
        <w:spacing w:line="360" w:lineRule="auto"/>
        <w:ind w:left="420" w:leftChars="200" w:firstLine="0" w:firstLineChars="0"/>
        <w:jc w:val="both"/>
        <w:rPr>
          <w:rFonts w:hint="eastAsia" w:ascii="仿宋_GB2312" w:hAnsi="仿宋_GB2312" w:eastAsia="仿宋_GB2312" w:cs="仿宋_GB2312"/>
          <w:b/>
          <w:bCs/>
          <w:kern w:val="0"/>
          <w:sz w:val="32"/>
          <w:szCs w:val="32"/>
          <w:lang w:val="en-US" w:eastAsia="zh-CN" w:bidi="ar-SA"/>
        </w:rPr>
      </w:pPr>
      <w:r>
        <w:rPr>
          <w:rFonts w:hint="eastAsia" w:ascii="仿宋_GB2312" w:hAnsi="仿宋_GB2312" w:eastAsia="仿宋_GB2312" w:cs="仿宋_GB2312"/>
          <w:b/>
          <w:bCs/>
          <w:kern w:val="0"/>
          <w:sz w:val="32"/>
          <w:szCs w:val="32"/>
          <w:lang w:val="en-US" w:eastAsia="zh-CN" w:bidi="ar-SA"/>
        </w:rPr>
        <w:t>2、财务管理以及资金使用合规性</w:t>
      </w:r>
    </w:p>
    <w:p>
      <w:pPr>
        <w:spacing w:line="36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资金使用过程中严格按照单位财务管理制度要求执行，资金使用的合规性体现在：</w:t>
      </w:r>
    </w:p>
    <w:p>
      <w:pPr>
        <w:spacing w:line="36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1.所有经费开支坚持财务审批制度，重大资金支出由局党组会研究决定。</w:t>
      </w:r>
    </w:p>
    <w:p>
      <w:pPr>
        <w:spacing w:line="36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2.在报销经费时，经办人使用统一规范的</w:t>
      </w:r>
      <w:r>
        <w:rPr>
          <w:rFonts w:hint="eastAsia" w:ascii="仿宋_GB2312" w:hAnsi="仿宋_GB2312" w:eastAsia="仿宋_GB2312" w:cs="仿宋_GB2312"/>
          <w:sz w:val="32"/>
          <w:szCs w:val="32"/>
          <w:lang w:eastAsia="zh-CN"/>
        </w:rPr>
        <w:t>费用报销</w:t>
      </w:r>
      <w:r>
        <w:rPr>
          <w:rFonts w:hint="eastAsia" w:ascii="仿宋_GB2312" w:hAnsi="仿宋_GB2312" w:eastAsia="仿宋_GB2312" w:cs="仿宋_GB2312"/>
          <w:sz w:val="32"/>
          <w:szCs w:val="32"/>
        </w:rPr>
        <w:t>审批单，在审批单上写明报销日期</w:t>
      </w:r>
      <w:r>
        <w:rPr>
          <w:rFonts w:hint="eastAsia" w:ascii="仿宋_GB2312" w:hAnsi="仿宋_GB2312" w:eastAsia="仿宋_GB2312" w:cs="仿宋_GB2312"/>
          <w:sz w:val="32"/>
          <w:szCs w:val="32"/>
          <w:lang w:eastAsia="zh-CN"/>
        </w:rPr>
        <w:t>、单位（部门）、费用项目、</w:t>
      </w:r>
      <w:r>
        <w:rPr>
          <w:rFonts w:hint="eastAsia" w:ascii="仿宋_GB2312" w:hAnsi="仿宋_GB2312" w:eastAsia="仿宋_GB2312" w:cs="仿宋_GB2312"/>
          <w:sz w:val="32"/>
          <w:szCs w:val="32"/>
        </w:rPr>
        <w:t>用途、经办人员、科室负责人、金额、</w:t>
      </w:r>
      <w:r>
        <w:rPr>
          <w:rFonts w:hint="eastAsia" w:ascii="仿宋_GB2312" w:hAnsi="仿宋_GB2312" w:eastAsia="仿宋_GB2312" w:cs="仿宋_GB2312"/>
          <w:sz w:val="32"/>
          <w:szCs w:val="32"/>
          <w:lang w:eastAsia="zh-CN"/>
        </w:rPr>
        <w:t>财务审核</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财务主管审核、单位负责人审核、</w:t>
      </w:r>
      <w:r>
        <w:rPr>
          <w:rFonts w:hint="eastAsia" w:ascii="仿宋_GB2312" w:hAnsi="仿宋_GB2312" w:eastAsia="仿宋_GB2312" w:cs="仿宋_GB2312"/>
          <w:sz w:val="32"/>
          <w:szCs w:val="32"/>
        </w:rPr>
        <w:t>单据张数等内容。</w:t>
      </w:r>
    </w:p>
    <w:p>
      <w:pPr>
        <w:spacing w:line="36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3.费用报销审批程序  </w:t>
      </w:r>
    </w:p>
    <w:p>
      <w:pPr>
        <w:spacing w:line="36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经办人填写《</w:t>
      </w:r>
      <w:r>
        <w:rPr>
          <w:rFonts w:hint="eastAsia" w:ascii="仿宋_GB2312" w:hAnsi="仿宋_GB2312" w:eastAsia="仿宋_GB2312" w:cs="仿宋_GB2312"/>
          <w:sz w:val="32"/>
          <w:szCs w:val="32"/>
          <w:lang w:eastAsia="zh-CN"/>
        </w:rPr>
        <w:t>费用报销</w:t>
      </w:r>
      <w:r>
        <w:rPr>
          <w:rFonts w:hint="eastAsia" w:ascii="仿宋_GB2312" w:hAnsi="仿宋_GB2312" w:eastAsia="仿宋_GB2312" w:cs="仿宋_GB2312"/>
          <w:sz w:val="32"/>
          <w:szCs w:val="32"/>
        </w:rPr>
        <w:t>审批单》→由业务科室负责人确认签字→财务</w:t>
      </w:r>
      <w:r>
        <w:rPr>
          <w:rFonts w:hint="eastAsia" w:ascii="仿宋_GB2312" w:hAnsi="仿宋_GB2312" w:eastAsia="仿宋_GB2312" w:cs="仿宋_GB2312"/>
          <w:sz w:val="32"/>
          <w:szCs w:val="32"/>
          <w:lang w:eastAsia="zh-CN"/>
        </w:rPr>
        <w:t>审核</w:t>
      </w:r>
      <w:r>
        <w:rPr>
          <w:rFonts w:hint="eastAsia" w:ascii="仿宋_GB2312" w:hAnsi="仿宋_GB2312" w:eastAsia="仿宋_GB2312" w:cs="仿宋_GB2312"/>
          <w:sz w:val="32"/>
          <w:szCs w:val="32"/>
        </w:rPr>
        <w:t>签字→</w:t>
      </w:r>
      <w:r>
        <w:rPr>
          <w:rFonts w:hint="eastAsia" w:ascii="仿宋_GB2312" w:hAnsi="仿宋_GB2312" w:eastAsia="仿宋_GB2312" w:cs="仿宋_GB2312"/>
          <w:sz w:val="32"/>
          <w:szCs w:val="32"/>
          <w:lang w:eastAsia="zh-CN"/>
        </w:rPr>
        <w:t>财务</w:t>
      </w:r>
      <w:r>
        <w:rPr>
          <w:rFonts w:hint="eastAsia" w:ascii="仿宋_GB2312" w:hAnsi="仿宋_GB2312" w:eastAsia="仿宋_GB2312" w:cs="仿宋_GB2312"/>
          <w:sz w:val="32"/>
          <w:szCs w:val="32"/>
        </w:rPr>
        <w:t>分管领导</w:t>
      </w:r>
      <w:r>
        <w:rPr>
          <w:rFonts w:hint="eastAsia" w:ascii="仿宋_GB2312" w:hAnsi="仿宋_GB2312" w:eastAsia="仿宋_GB2312" w:cs="仿宋_GB2312"/>
          <w:sz w:val="32"/>
          <w:szCs w:val="32"/>
          <w:lang w:eastAsia="zh-CN"/>
        </w:rPr>
        <w:t>财务</w:t>
      </w:r>
      <w:r>
        <w:rPr>
          <w:rFonts w:hint="eastAsia" w:ascii="仿宋_GB2312" w:hAnsi="仿宋_GB2312" w:eastAsia="仿宋_GB2312" w:cs="仿宋_GB2312"/>
          <w:sz w:val="32"/>
          <w:szCs w:val="32"/>
        </w:rPr>
        <w:t>确认签字→</w:t>
      </w:r>
      <w:r>
        <w:rPr>
          <w:rFonts w:hint="eastAsia" w:ascii="仿宋_GB2312" w:hAnsi="仿宋_GB2312" w:eastAsia="仿宋_GB2312" w:cs="仿宋_GB2312"/>
          <w:sz w:val="32"/>
          <w:szCs w:val="32"/>
          <w:lang w:eastAsia="zh-CN"/>
        </w:rPr>
        <w:t>单位负责人</w:t>
      </w:r>
      <w:r>
        <w:rPr>
          <w:rFonts w:hint="eastAsia" w:ascii="仿宋_GB2312" w:hAnsi="仿宋_GB2312" w:eastAsia="仿宋_GB2312" w:cs="仿宋_GB2312"/>
          <w:sz w:val="32"/>
          <w:szCs w:val="32"/>
        </w:rPr>
        <w:t>批准后，到出纳处办理支付手续。</w:t>
      </w:r>
    </w:p>
    <w:p>
      <w:pPr>
        <w:spacing w:line="360" w:lineRule="auto"/>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各个审批环节的具体职责：</w:t>
      </w:r>
    </w:p>
    <w:p>
      <w:pPr>
        <w:spacing w:line="36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业务科室负责人及其分管领导对其发生的支出用途及金额的真实性、准确性负责，并对其科室填写的</w:t>
      </w:r>
      <w:r>
        <w:rPr>
          <w:rFonts w:hint="eastAsia" w:ascii="仿宋_GB2312" w:hAnsi="仿宋_GB2312" w:eastAsia="仿宋_GB2312" w:cs="仿宋_GB2312"/>
          <w:sz w:val="32"/>
          <w:szCs w:val="32"/>
          <w:lang w:eastAsia="zh-CN"/>
        </w:rPr>
        <w:t>费用报销</w:t>
      </w:r>
      <w:r>
        <w:rPr>
          <w:rFonts w:hint="eastAsia" w:ascii="仿宋_GB2312" w:hAnsi="仿宋_GB2312" w:eastAsia="仿宋_GB2312" w:cs="仿宋_GB2312"/>
          <w:sz w:val="32"/>
          <w:szCs w:val="32"/>
        </w:rPr>
        <w:t>审批单内容、大小写金额、票据张数进行审核。</w:t>
      </w:r>
    </w:p>
    <w:p>
      <w:pPr>
        <w:spacing w:line="36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财务对科室提供的原始票据的合法性进行审核监督。审核发票是否真实合法、填写是否规范、印章是否齐全、报销金额与原始票据是否相符；审核是否符合审批程序；审核是否在预算额度内、在审计金额内按进度、按比例、按范围付款。对不符合规定的票据，财务有权拒绝受理。</w:t>
      </w:r>
    </w:p>
    <w:p>
      <w:pPr>
        <w:spacing w:line="36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各审批领导审查财务收支的真实性、合法性、必要性，并在报销凭证上明确签署报销意见。</w:t>
      </w:r>
    </w:p>
    <w:p>
      <w:pPr>
        <w:spacing w:line="36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出纳人员对已经审批后的支出票据必须进行复核（复核票据张数、金额、审批程序），对不符合规定的票据有权拒绝支付并立即向</w:t>
      </w: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领导报告。</w:t>
      </w:r>
    </w:p>
    <w:p>
      <w:pPr>
        <w:widowControl w:val="0"/>
        <w:spacing w:line="360" w:lineRule="auto"/>
        <w:ind w:firstLine="643" w:firstLineChars="200"/>
        <w:jc w:val="both"/>
        <w:rPr>
          <w:rFonts w:hint="eastAsia" w:ascii="仿宋_GB2312" w:hAnsi="仿宋_GB2312" w:eastAsia="仿宋_GB2312" w:cs="仿宋_GB2312"/>
          <w:b/>
          <w:bCs/>
          <w:kern w:val="2"/>
          <w:sz w:val="32"/>
          <w:szCs w:val="32"/>
          <w:lang w:val="en-US" w:eastAsia="zh-CN" w:bidi="ar-SA"/>
        </w:rPr>
      </w:pPr>
      <w:r>
        <w:rPr>
          <w:rFonts w:hint="eastAsia" w:ascii="仿宋_GB2312" w:hAnsi="仿宋_GB2312" w:eastAsia="仿宋_GB2312" w:cs="仿宋_GB2312"/>
          <w:b/>
          <w:bCs/>
          <w:kern w:val="0"/>
          <w:sz w:val="32"/>
          <w:szCs w:val="32"/>
          <w:lang w:val="en-US" w:eastAsia="zh-CN" w:bidi="ar-SA"/>
        </w:rPr>
        <w:t>（三）行政成本</w:t>
      </w:r>
    </w:p>
    <w:p>
      <w:pPr>
        <w:widowControl w:val="0"/>
        <w:spacing w:line="360" w:lineRule="auto"/>
        <w:ind w:firstLine="640" w:firstLineChars="200"/>
        <w:jc w:val="both"/>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三公”经费控制。2022年“三公”经费财政拨款支出决算中，因公出国（境）费支出决算0万元，占0%；公务用车购置及运行维护费支出决算11.15万元，占98.93%；公务接待费支出决算0.11万元，占1.07%。未发生因公出国（境）费，2022年“三公”经费决算均未超过预算。</w:t>
      </w:r>
    </w:p>
    <w:p>
      <w:pPr>
        <w:widowControl w:val="0"/>
        <w:spacing w:line="360" w:lineRule="auto"/>
        <w:ind w:firstLine="643" w:firstLineChars="200"/>
        <w:jc w:val="both"/>
        <w:rPr>
          <w:rFonts w:hint="eastAsia" w:ascii="仿宋_GB2312" w:hAnsi="仿宋_GB2312" w:eastAsia="仿宋_GB2312" w:cs="仿宋_GB2312"/>
          <w:b/>
          <w:bCs/>
          <w:kern w:val="0"/>
          <w:sz w:val="32"/>
          <w:szCs w:val="32"/>
          <w:lang w:val="en-US" w:eastAsia="zh-CN" w:bidi="ar-SA"/>
        </w:rPr>
      </w:pPr>
      <w:r>
        <w:rPr>
          <w:rFonts w:hint="eastAsia" w:ascii="仿宋_GB2312" w:hAnsi="仿宋_GB2312" w:eastAsia="仿宋_GB2312" w:cs="仿宋_GB2312"/>
          <w:b/>
          <w:bCs/>
          <w:kern w:val="0"/>
          <w:sz w:val="32"/>
          <w:szCs w:val="32"/>
          <w:lang w:val="en-US" w:eastAsia="zh-CN" w:bidi="ar-SA"/>
        </w:rPr>
        <w:t>（四）政府采购</w:t>
      </w:r>
    </w:p>
    <w:p>
      <w:pPr>
        <w:widowControl w:val="0"/>
        <w:spacing w:line="360" w:lineRule="auto"/>
        <w:ind w:firstLine="640" w:firstLineChars="200"/>
        <w:jc w:val="both"/>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22年我局无政府采购。</w:t>
      </w:r>
    </w:p>
    <w:p>
      <w:pPr>
        <w:numPr>
          <w:ilvl w:val="0"/>
          <w:numId w:val="0"/>
        </w:numPr>
        <w:snapToGrid w:val="0"/>
        <w:spacing w:line="360" w:lineRule="auto"/>
        <w:ind w:firstLine="643" w:firstLineChars="200"/>
        <w:rPr>
          <w:rFonts w:hint="eastAsia" w:ascii="仿宋_GB2312" w:hAnsi="仿宋_GB2312" w:eastAsia="仿宋_GB2312" w:cs="仿宋_GB2312"/>
          <w:b/>
          <w:bCs/>
          <w:sz w:val="32"/>
          <w:szCs w:val="32"/>
        </w:rPr>
      </w:pPr>
      <w:r>
        <w:rPr>
          <w:rFonts w:hint="eastAsia" w:ascii="仿宋_GB2312" w:hAnsi="仿宋_GB2312" w:eastAsia="仿宋_GB2312" w:cs="仿宋_GB2312"/>
          <w:b/>
          <w:bCs/>
          <w:kern w:val="0"/>
          <w:sz w:val="32"/>
          <w:szCs w:val="32"/>
          <w:lang w:eastAsia="zh-CN"/>
        </w:rPr>
        <w:t>（</w:t>
      </w:r>
      <w:r>
        <w:rPr>
          <w:rFonts w:hint="eastAsia" w:ascii="仿宋_GB2312" w:hAnsi="仿宋_GB2312" w:eastAsia="仿宋_GB2312" w:cs="仿宋_GB2312"/>
          <w:b/>
          <w:bCs/>
          <w:kern w:val="0"/>
          <w:sz w:val="32"/>
          <w:szCs w:val="32"/>
          <w:lang w:val="en-US" w:eastAsia="zh-CN"/>
        </w:rPr>
        <w:t>五</w:t>
      </w:r>
      <w:r>
        <w:rPr>
          <w:rFonts w:hint="eastAsia" w:ascii="仿宋_GB2312" w:hAnsi="仿宋_GB2312" w:eastAsia="仿宋_GB2312" w:cs="仿宋_GB2312"/>
          <w:b/>
          <w:bCs/>
          <w:kern w:val="0"/>
          <w:sz w:val="32"/>
          <w:szCs w:val="32"/>
          <w:lang w:eastAsia="zh-CN"/>
        </w:rPr>
        <w:t>）</w:t>
      </w:r>
      <w:r>
        <w:rPr>
          <w:rFonts w:hint="eastAsia" w:ascii="仿宋_GB2312" w:hAnsi="仿宋_GB2312" w:eastAsia="仿宋_GB2312" w:cs="仿宋_GB2312"/>
          <w:b/>
          <w:bCs/>
          <w:kern w:val="0"/>
          <w:sz w:val="32"/>
          <w:szCs w:val="32"/>
        </w:rPr>
        <w:t xml:space="preserve">资产管理 </w:t>
      </w:r>
      <w:r>
        <w:rPr>
          <w:rFonts w:hint="eastAsia" w:ascii="仿宋_GB2312" w:hAnsi="仿宋_GB2312" w:eastAsia="仿宋_GB2312" w:cs="仿宋_GB2312"/>
          <w:b/>
          <w:bCs/>
          <w:sz w:val="32"/>
          <w:szCs w:val="32"/>
        </w:rPr>
        <w:t xml:space="preserve"> </w:t>
      </w:r>
    </w:p>
    <w:p>
      <w:pPr>
        <w:snapToGrid w:val="0"/>
        <w:spacing w:line="360" w:lineRule="auto"/>
        <w:ind w:firstLine="640" w:firstLineChars="200"/>
        <w:rPr>
          <w:rFonts w:hint="default"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固定资产在用率。我局固定资产合计1476.33万元，其中：通用设备244.65万元，专用设备435.07万元。</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我单位固定资产均在使用。不存在出租出借、对外投资等情况。</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bCs/>
          <w:kern w:val="0"/>
          <w:sz w:val="32"/>
          <w:szCs w:val="32"/>
          <w:lang w:val="en-US" w:eastAsia="zh-CN" w:bidi="ar-SA"/>
        </w:rPr>
      </w:pPr>
      <w:r>
        <w:rPr>
          <w:rFonts w:hint="eastAsia" w:ascii="仿宋_GB2312" w:hAnsi="仿宋_GB2312" w:eastAsia="仿宋_GB2312" w:cs="仿宋_GB2312"/>
          <w:b/>
          <w:bCs/>
          <w:kern w:val="0"/>
          <w:sz w:val="32"/>
          <w:szCs w:val="32"/>
          <w:lang w:val="en-US" w:eastAsia="zh-CN" w:bidi="ar-SA"/>
        </w:rPr>
        <w:t>（六）信息公开</w:t>
      </w:r>
    </w:p>
    <w:p>
      <w:pPr>
        <w:widowControl w:val="0"/>
        <w:spacing w:line="360" w:lineRule="auto"/>
        <w:ind w:firstLine="640" w:firstLineChars="200"/>
        <w:jc w:val="both"/>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信息公开。我局已经按财政要求及时完成预算、决算、绩效等信息公开工作，信息公开在壤塘县政府门户网站中。</w:t>
      </w:r>
    </w:p>
    <w:p>
      <w:pPr>
        <w:widowControl w:val="0"/>
        <w:spacing w:line="360" w:lineRule="auto"/>
        <w:ind w:firstLine="643" w:firstLineChars="200"/>
        <w:jc w:val="both"/>
        <w:rPr>
          <w:rFonts w:hint="eastAsia" w:ascii="楷体" w:hAnsi="楷体" w:eastAsia="楷体" w:cs="楷体"/>
          <w:b/>
          <w:bCs/>
          <w:color w:val="000000"/>
          <w:kern w:val="0"/>
          <w:sz w:val="32"/>
          <w:szCs w:val="32"/>
          <w:shd w:val="clear" w:color="auto" w:fill="FFFFFF"/>
          <w:lang w:val="zh-CN" w:eastAsia="zh-CN" w:bidi="ar-SA"/>
        </w:rPr>
      </w:pPr>
      <w:r>
        <w:rPr>
          <w:rFonts w:hint="eastAsia" w:ascii="楷体" w:hAnsi="楷体" w:eastAsia="楷体" w:cs="楷体"/>
          <w:b/>
          <w:bCs/>
          <w:color w:val="000000"/>
          <w:kern w:val="0"/>
          <w:sz w:val="32"/>
          <w:szCs w:val="32"/>
          <w:shd w:val="clear" w:color="auto" w:fill="FFFFFF"/>
          <w:lang w:val="zh-CN" w:eastAsia="zh-CN" w:bidi="ar-SA"/>
        </w:rPr>
        <w:t>（</w:t>
      </w:r>
      <w:r>
        <w:rPr>
          <w:rFonts w:hint="eastAsia" w:ascii="楷体" w:hAnsi="楷体" w:eastAsia="楷体" w:cs="楷体"/>
          <w:b/>
          <w:bCs/>
          <w:color w:val="000000"/>
          <w:kern w:val="0"/>
          <w:sz w:val="32"/>
          <w:szCs w:val="32"/>
          <w:shd w:val="clear" w:color="auto" w:fill="FFFFFF"/>
          <w:lang w:val="en-US" w:eastAsia="zh-CN" w:bidi="ar-SA"/>
        </w:rPr>
        <w:t>七</w:t>
      </w:r>
      <w:r>
        <w:rPr>
          <w:rFonts w:hint="eastAsia" w:ascii="楷体" w:hAnsi="楷体" w:eastAsia="楷体" w:cs="楷体"/>
          <w:b/>
          <w:bCs/>
          <w:color w:val="000000"/>
          <w:kern w:val="0"/>
          <w:sz w:val="32"/>
          <w:szCs w:val="32"/>
          <w:shd w:val="clear" w:color="auto" w:fill="FFFFFF"/>
          <w:lang w:val="zh-CN" w:eastAsia="zh-CN" w:bidi="ar-SA"/>
        </w:rPr>
        <w:t>）部门预算管理</w:t>
      </w:r>
    </w:p>
    <w:p>
      <w:pPr>
        <w:spacing w:line="600" w:lineRule="exact"/>
        <w:ind w:firstLine="640" w:firstLineChars="200"/>
        <w:rPr>
          <w:rFonts w:hint="eastAsia" w:ascii="Times New Roman" w:hAnsi="Times New Roman" w:eastAsia="仿宋_GB2312" w:cs="Times New Roman"/>
          <w:sz w:val="32"/>
          <w:lang w:val="zh-CN" w:eastAsia="zh-CN"/>
        </w:rPr>
      </w:pPr>
      <w:r>
        <w:rPr>
          <w:rFonts w:hint="eastAsia" w:ascii="仿宋_GB2312" w:hAnsi="Calibri" w:eastAsia="仿宋_GB2312" w:cs="仿宋_GB2312"/>
          <w:sz w:val="32"/>
          <w:szCs w:val="32"/>
          <w:lang w:val="en-US" w:eastAsia="zh-CN"/>
        </w:rPr>
        <w:t>我局严格按照预算编制的基本要求和时间节点认真编制22部门预算及22年部门决算。在预算编制中进一步夯实预算编制基础，及时更新相关基础数据，严格控制“三公”经费预算及支出，预算编制及决算编制做到了及时、完整、准确、合理、高效。</w:t>
      </w:r>
    </w:p>
    <w:p>
      <w:pPr>
        <w:spacing w:line="580" w:lineRule="exact"/>
        <w:ind w:firstLine="643" w:firstLineChars="200"/>
        <w:rPr>
          <w:rFonts w:ascii="楷体" w:hAnsi="楷体" w:eastAsia="楷体" w:cs="Times New Roman"/>
          <w:b/>
          <w:bCs/>
          <w:sz w:val="32"/>
          <w:szCs w:val="32"/>
        </w:rPr>
      </w:pPr>
      <w:r>
        <w:rPr>
          <w:rFonts w:hint="eastAsia" w:ascii="楷体" w:hAnsi="楷体" w:eastAsia="楷体" w:cs="楷体"/>
          <w:b/>
          <w:bCs/>
          <w:sz w:val="32"/>
          <w:szCs w:val="32"/>
        </w:rPr>
        <w:t>（</w:t>
      </w:r>
      <w:r>
        <w:rPr>
          <w:rFonts w:hint="eastAsia" w:ascii="楷体" w:hAnsi="楷体" w:eastAsia="楷体" w:cs="楷体"/>
          <w:b/>
          <w:bCs/>
          <w:sz w:val="32"/>
          <w:szCs w:val="32"/>
          <w:lang w:val="en-US" w:eastAsia="zh-CN"/>
        </w:rPr>
        <w:t>八</w:t>
      </w:r>
      <w:r>
        <w:rPr>
          <w:rFonts w:hint="eastAsia" w:ascii="楷体" w:hAnsi="楷体" w:eastAsia="楷体" w:cs="楷体"/>
          <w:b/>
          <w:bCs/>
          <w:sz w:val="32"/>
          <w:szCs w:val="32"/>
        </w:rPr>
        <w:t>）专项预算管理</w:t>
      </w:r>
    </w:p>
    <w:p>
      <w:pPr>
        <w:spacing w:line="600" w:lineRule="exact"/>
        <w:ind w:firstLine="640" w:firstLineChars="200"/>
        <w:rPr>
          <w:rFonts w:hint="eastAsia" w:ascii="仿宋_GB2312" w:hAnsi="Calibri" w:eastAsia="仿宋_GB2312" w:cs="仿宋_GB2312"/>
          <w:sz w:val="32"/>
          <w:szCs w:val="32"/>
          <w:lang w:val="en-US" w:eastAsia="zh-CN"/>
        </w:rPr>
      </w:pPr>
      <w:r>
        <w:rPr>
          <w:rFonts w:hint="eastAsia" w:ascii="仿宋_GB2312" w:hAnsi="Calibri" w:eastAsia="仿宋_GB2312" w:cs="仿宋_GB2312"/>
          <w:sz w:val="32"/>
          <w:szCs w:val="32"/>
          <w:lang w:val="en-US" w:eastAsia="zh-CN"/>
        </w:rPr>
        <w:t>22年我局专项公用经费预算项目严格按照项目支出规定预算，预算程序严密、规划合理、结果符合、分配科学、分配及时，我局项目支出严格执行预算管理。</w:t>
      </w:r>
    </w:p>
    <w:p>
      <w:pPr>
        <w:spacing w:line="600" w:lineRule="exact"/>
        <w:ind w:firstLine="640" w:firstLineChars="200"/>
        <w:rPr>
          <w:rFonts w:hint="eastAsia" w:ascii="仿宋_GB2312" w:hAnsi="Calibri" w:eastAsia="仿宋_GB2312" w:cs="仿宋_GB2312"/>
          <w:sz w:val="32"/>
          <w:szCs w:val="32"/>
          <w:lang w:val="en-US" w:eastAsia="zh-CN"/>
        </w:rPr>
      </w:pPr>
      <w:r>
        <w:rPr>
          <w:rFonts w:hint="eastAsia" w:ascii="仿宋_GB2312" w:hAnsi="Calibri" w:eastAsia="仿宋_GB2312" w:cs="仿宋_GB2312"/>
          <w:sz w:val="32"/>
          <w:szCs w:val="32"/>
          <w:lang w:val="en-US" w:eastAsia="zh-CN"/>
        </w:rPr>
        <w:t>根据预算绩效管理要求，本部门（壤塘县文化体育和旅游局）在年初预算编制阶段，组织对“</w:t>
      </w:r>
      <w:r>
        <w:rPr>
          <w:rFonts w:hint="eastAsia" w:ascii="仿宋_GB2312" w:hAnsi="Times New Roman" w:eastAsia="仿宋_GB2312" w:cs="方正仿宋_GB2312"/>
          <w:sz w:val="32"/>
          <w:szCs w:val="32"/>
        </w:rPr>
        <w:t>城南广场文化小品打造项目</w:t>
      </w:r>
      <w:r>
        <w:rPr>
          <w:rFonts w:hint="eastAsia" w:ascii="仿宋_GB2312" w:hAnsi="Calibri" w:eastAsia="仿宋_GB2312" w:cs="仿宋_GB2312"/>
          <w:sz w:val="32"/>
          <w:szCs w:val="32"/>
          <w:lang w:val="en-US" w:eastAsia="zh-CN"/>
        </w:rPr>
        <w:t>”项目开展了预算事前绩效评估，对3个项目编制了绩效目标，预算执行过程中，选取1个项目开展绩效监控，年终执行完毕后，对1个项目开展了绩效目标完成情况自评。</w:t>
      </w:r>
    </w:p>
    <w:p>
      <w:pPr>
        <w:spacing w:line="600" w:lineRule="exact"/>
        <w:ind w:firstLine="640" w:firstLineChars="200"/>
        <w:rPr>
          <w:rFonts w:hint="eastAsia" w:ascii="仿宋_GB2312" w:hAnsi="Calibri" w:eastAsia="仿宋_GB2312" w:cs="仿宋_GB2312"/>
          <w:sz w:val="32"/>
          <w:szCs w:val="32"/>
          <w:lang w:val="en-US" w:eastAsia="zh-CN"/>
        </w:rPr>
      </w:pPr>
      <w:r>
        <w:rPr>
          <w:rFonts w:hint="eastAsia" w:ascii="仿宋_GB2312" w:hAnsi="Calibri" w:eastAsia="仿宋_GB2312" w:cs="仿宋_GB2312"/>
          <w:sz w:val="32"/>
          <w:szCs w:val="32"/>
          <w:lang w:val="en-US" w:eastAsia="zh-CN"/>
        </w:rPr>
        <w:t>本部门按要求对22年部门整体支出开展绩效自评，从评价情况来看较好完成了年初预算安排，本部门还自行组织了1个项目支出绩效评价，从评价情况来看项目资金基本按照预算安排完成。因我局专项资金预算均为运转类资金，因此采用的绩效评价均为自评，以及选择一个项目开展自评。</w:t>
      </w:r>
    </w:p>
    <w:p>
      <w:pPr>
        <w:numPr>
          <w:ilvl w:val="0"/>
          <w:numId w:val="0"/>
        </w:numPr>
        <w:spacing w:line="600" w:lineRule="exact"/>
        <w:ind w:firstLine="643" w:firstLineChars="200"/>
        <w:rPr>
          <w:rFonts w:hint="eastAsia" w:ascii="仿宋_GB2312" w:hAnsi="宋体" w:eastAsia="仿宋_GB2312" w:cs="宋体"/>
          <w:b/>
          <w:bCs/>
          <w:color w:val="000000"/>
          <w:kern w:val="0"/>
          <w:sz w:val="32"/>
          <w:szCs w:val="32"/>
          <w:shd w:val="clear" w:color="auto" w:fill="FFFFFF"/>
          <w:lang w:val="zh-CN"/>
        </w:rPr>
      </w:pPr>
      <w:r>
        <w:rPr>
          <w:rFonts w:hint="eastAsia" w:ascii="仿宋_GB2312" w:hAnsi="宋体" w:eastAsia="仿宋_GB2312" w:cs="宋体"/>
          <w:b/>
          <w:bCs/>
          <w:color w:val="000000"/>
          <w:kern w:val="0"/>
          <w:sz w:val="32"/>
          <w:szCs w:val="32"/>
          <w:shd w:val="clear" w:color="auto" w:fill="FFFFFF"/>
          <w:lang w:val="zh-CN"/>
        </w:rPr>
        <w:t>（</w:t>
      </w:r>
      <w:r>
        <w:rPr>
          <w:rFonts w:hint="eastAsia" w:ascii="仿宋_GB2312" w:hAnsi="宋体" w:eastAsia="仿宋_GB2312" w:cs="宋体"/>
          <w:b/>
          <w:bCs/>
          <w:color w:val="000000"/>
          <w:kern w:val="0"/>
          <w:sz w:val="32"/>
          <w:szCs w:val="32"/>
          <w:shd w:val="clear" w:color="auto" w:fill="FFFFFF"/>
          <w:lang w:val="en-US" w:eastAsia="zh-CN"/>
        </w:rPr>
        <w:t>九</w:t>
      </w:r>
      <w:r>
        <w:rPr>
          <w:rFonts w:hint="eastAsia" w:ascii="仿宋_GB2312" w:hAnsi="宋体" w:eastAsia="仿宋_GB2312" w:cs="宋体"/>
          <w:b/>
          <w:bCs/>
          <w:color w:val="000000"/>
          <w:kern w:val="0"/>
          <w:sz w:val="32"/>
          <w:szCs w:val="32"/>
          <w:shd w:val="clear" w:color="auto" w:fill="FFFFFF"/>
          <w:lang w:val="zh-CN"/>
        </w:rPr>
        <w:t>）项目绩效目标完成情况</w:t>
      </w:r>
    </w:p>
    <w:p>
      <w:pPr>
        <w:numPr>
          <w:ilvl w:val="0"/>
          <w:numId w:val="0"/>
        </w:numPr>
        <w:spacing w:line="600" w:lineRule="exact"/>
        <w:ind w:firstLine="640" w:firstLineChars="200"/>
        <w:rPr>
          <w:rFonts w:hint="eastAsia" w:ascii="仿宋_GB2312" w:hAnsi="Calibri" w:eastAsia="仿宋_GB2312" w:cs="仿宋_GB2312"/>
          <w:sz w:val="32"/>
          <w:szCs w:val="32"/>
          <w:lang w:val="en-US" w:eastAsia="zh-CN"/>
        </w:rPr>
      </w:pPr>
      <w:r>
        <w:rPr>
          <w:rFonts w:hint="eastAsia" w:ascii="仿宋_GB2312" w:hAnsi="Calibri" w:eastAsia="仿宋_GB2312" w:cs="仿宋_GB2312"/>
          <w:sz w:val="32"/>
          <w:szCs w:val="32"/>
          <w:lang w:val="en-US" w:eastAsia="zh-CN"/>
        </w:rPr>
        <w:t>本部门在22年度部门决算中反映“</w:t>
      </w:r>
      <w:r>
        <w:rPr>
          <w:rFonts w:hint="eastAsia" w:ascii="仿宋_GB2312" w:hAnsi="Times New Roman" w:eastAsia="仿宋_GB2312" w:cs="方正仿宋_GB2312"/>
          <w:sz w:val="32"/>
          <w:szCs w:val="32"/>
        </w:rPr>
        <w:t>城南广场文化小品打造项目</w:t>
      </w:r>
      <w:r>
        <w:rPr>
          <w:rFonts w:hint="eastAsia" w:ascii="仿宋_GB2312" w:hAnsi="Calibri" w:eastAsia="仿宋_GB2312" w:cs="仿宋_GB2312"/>
          <w:sz w:val="32"/>
          <w:szCs w:val="32"/>
          <w:lang w:val="en-US" w:eastAsia="zh-CN"/>
        </w:rPr>
        <w:t>”1个项目绩效目标实际完成情况。</w:t>
      </w:r>
    </w:p>
    <w:p>
      <w:pPr>
        <w:keepNext w:val="0"/>
        <w:keepLines w:val="0"/>
        <w:pageBreakBefore w:val="0"/>
        <w:widowControl w:val="0"/>
        <w:kinsoku/>
        <w:wordWrap/>
        <w:overflowPunct/>
        <w:topLinePunct w:val="0"/>
        <w:autoSpaceDE/>
        <w:autoSpaceDN/>
        <w:bidi w:val="0"/>
        <w:adjustRightInd w:val="0"/>
        <w:snapToGrid/>
        <w:spacing w:line="560" w:lineRule="exact"/>
        <w:ind w:firstLine="640" w:firstLineChars="200"/>
        <w:jc w:val="both"/>
        <w:textAlignment w:val="baseline"/>
        <w:rPr>
          <w:rFonts w:hint="default" w:ascii="仿宋_GB2312" w:hAnsi="Calibri" w:eastAsia="仿宋_GB2312" w:cs="仿宋_GB2312"/>
          <w:kern w:val="0"/>
          <w:sz w:val="32"/>
          <w:szCs w:val="32"/>
          <w:lang w:val="en-US" w:eastAsia="zh-CN" w:bidi="ar-SA"/>
        </w:rPr>
      </w:pPr>
      <w:r>
        <w:rPr>
          <w:rFonts w:hint="eastAsia" w:ascii="仿宋_GB2312" w:hAnsi="Calibri" w:eastAsia="仿宋_GB2312" w:cs="仿宋_GB2312"/>
          <w:kern w:val="0"/>
          <w:sz w:val="32"/>
          <w:szCs w:val="32"/>
          <w:lang w:val="en-US" w:eastAsia="zh-CN" w:bidi="ar-SA"/>
        </w:rPr>
        <w:t>“</w:t>
      </w:r>
      <w:r>
        <w:rPr>
          <w:rFonts w:hint="eastAsia" w:ascii="仿宋_GB2312" w:hAnsi="Arial" w:eastAsia="仿宋_GB2312" w:cs="方正仿宋_GB2312"/>
          <w:kern w:val="0"/>
          <w:sz w:val="32"/>
          <w:szCs w:val="32"/>
          <w:lang w:val="en-US" w:eastAsia="zh-CN" w:bidi="ar-SA"/>
        </w:rPr>
        <w:t>城南广场文化小品打造项目</w:t>
      </w:r>
      <w:r>
        <w:rPr>
          <w:rFonts w:hint="eastAsia" w:ascii="仿宋_GB2312" w:hAnsi="Calibri" w:eastAsia="仿宋_GB2312" w:cs="仿宋_GB2312"/>
          <w:kern w:val="0"/>
          <w:sz w:val="32"/>
          <w:szCs w:val="32"/>
          <w:lang w:val="en-US" w:eastAsia="zh-CN" w:bidi="ar-SA"/>
        </w:rPr>
        <w:t>”项目绩效目标完成情况综述。</w:t>
      </w:r>
      <w:r>
        <w:rPr>
          <w:rFonts w:hint="eastAsia" w:ascii="仿宋_GB2312" w:hAnsi="Arial" w:eastAsia="仿宋_GB2312" w:cs="方正仿宋_GB2312"/>
          <w:kern w:val="0"/>
          <w:sz w:val="32"/>
          <w:szCs w:val="32"/>
          <w:lang w:val="en-US" w:eastAsia="zh-CN" w:bidi="ar-SA"/>
        </w:rPr>
        <w:t>城南广场文化小品打造项目，总投资500万元，已完成项目工程量90%，正在进行安装调试。</w:t>
      </w:r>
    </w:p>
    <w:tbl>
      <w:tblPr>
        <w:tblStyle w:val="18"/>
        <w:tblpPr w:leftFromText="180" w:rightFromText="180" w:vertAnchor="text" w:horzAnchor="page" w:tblpXSpec="center" w:tblpY="423"/>
        <w:tblOverlap w:val="never"/>
        <w:tblW w:w="9960" w:type="dxa"/>
        <w:jc w:val="center"/>
        <w:tblLayout w:type="fixed"/>
        <w:tblCellMar>
          <w:top w:w="0" w:type="dxa"/>
          <w:left w:w="0" w:type="dxa"/>
          <w:bottom w:w="0" w:type="dxa"/>
          <w:right w:w="0" w:type="dxa"/>
        </w:tblCellMar>
      </w:tblPr>
      <w:tblGrid>
        <w:gridCol w:w="390"/>
        <w:gridCol w:w="1367"/>
        <w:gridCol w:w="1251"/>
        <w:gridCol w:w="2166"/>
        <w:gridCol w:w="2394"/>
        <w:gridCol w:w="2392"/>
      </w:tblGrid>
      <w:tr>
        <w:tblPrEx>
          <w:tblCellMar>
            <w:top w:w="0" w:type="dxa"/>
            <w:left w:w="0" w:type="dxa"/>
            <w:bottom w:w="0" w:type="dxa"/>
            <w:right w:w="0" w:type="dxa"/>
          </w:tblCellMar>
        </w:tblPrEx>
        <w:trPr>
          <w:trHeight w:val="1395" w:hRule="atLeast"/>
          <w:jc w:val="center"/>
        </w:trPr>
        <w:tc>
          <w:tcPr>
            <w:tcW w:w="9960" w:type="dxa"/>
            <w:gridSpan w:val="6"/>
            <w:tcBorders>
              <w:top w:val="nil"/>
              <w:left w:val="nil"/>
              <w:bottom w:val="nil"/>
              <w:right w:val="nil"/>
            </w:tcBorders>
            <w:tcMar>
              <w:top w:w="15" w:type="dxa"/>
              <w:left w:w="15" w:type="dxa"/>
              <w:right w:w="15" w:type="dxa"/>
            </w:tcMar>
            <w:vAlign w:val="center"/>
          </w:tcPr>
          <w:p>
            <w:pPr>
              <w:widowControl/>
              <w:jc w:val="center"/>
              <w:textAlignment w:val="center"/>
              <w:rPr>
                <w:rFonts w:hint="eastAsia" w:ascii="宋体" w:hAnsi="宋体" w:eastAsia="仿宋_GB2312" w:cs="宋体"/>
                <w:b/>
                <w:bCs/>
                <w:color w:val="000000"/>
                <w:kern w:val="0"/>
                <w:sz w:val="36"/>
                <w:szCs w:val="36"/>
                <w:lang w:eastAsia="zh-CN"/>
              </w:rPr>
            </w:pPr>
            <w:r>
              <w:rPr>
                <w:rFonts w:hint="eastAsia" w:ascii="宋体" w:hAnsi="宋体" w:eastAsia="仿宋_GB2312" w:cs="宋体"/>
                <w:b/>
                <w:bCs/>
                <w:color w:val="000000"/>
                <w:kern w:val="0"/>
                <w:sz w:val="36"/>
                <w:szCs w:val="36"/>
              </w:rPr>
              <w:t>项目绩效目标完成情况表</w:t>
            </w:r>
          </w:p>
          <w:p>
            <w:pPr>
              <w:widowControl/>
              <w:jc w:val="center"/>
              <w:textAlignment w:val="center"/>
              <w:rPr>
                <w:rFonts w:ascii="宋体" w:hAnsi="宋体" w:eastAsia="仿宋_GB2312" w:cs="宋体"/>
                <w:color w:val="000000"/>
                <w:sz w:val="36"/>
                <w:szCs w:val="36"/>
              </w:rPr>
            </w:pPr>
            <w:r>
              <w:rPr>
                <w:rFonts w:hint="eastAsia" w:ascii="宋体" w:hAnsi="宋体" w:eastAsia="仿宋_GB2312" w:cs="宋体"/>
                <w:color w:val="000000"/>
                <w:kern w:val="0"/>
                <w:sz w:val="36"/>
                <w:szCs w:val="36"/>
              </w:rPr>
              <w:t>(</w:t>
            </w:r>
            <w:r>
              <w:rPr>
                <w:rFonts w:hint="eastAsia" w:ascii="宋体" w:hAnsi="宋体" w:eastAsia="仿宋_GB2312" w:cs="宋体"/>
                <w:color w:val="000000"/>
                <w:kern w:val="0"/>
                <w:sz w:val="36"/>
                <w:szCs w:val="36"/>
                <w:lang w:eastAsia="zh-CN"/>
              </w:rPr>
              <w:t>22</w:t>
            </w:r>
            <w:r>
              <w:rPr>
                <w:rFonts w:hint="eastAsia" w:ascii="宋体" w:hAnsi="宋体" w:eastAsia="仿宋_GB2312" w:cs="宋体"/>
                <w:color w:val="000000"/>
                <w:kern w:val="0"/>
                <w:sz w:val="36"/>
                <w:szCs w:val="36"/>
              </w:rPr>
              <w:t>年度)</w:t>
            </w:r>
          </w:p>
        </w:tc>
      </w:tr>
      <w:tr>
        <w:tblPrEx>
          <w:tblCellMar>
            <w:top w:w="0" w:type="dxa"/>
            <w:left w:w="0" w:type="dxa"/>
            <w:bottom w:w="0" w:type="dxa"/>
            <w:right w:w="0" w:type="dxa"/>
          </w:tblCellMar>
        </w:tblPrEx>
        <w:trPr>
          <w:trHeight w:val="276" w:hRule="atLeast"/>
          <w:jc w:val="center"/>
        </w:trPr>
        <w:tc>
          <w:tcPr>
            <w:tcW w:w="300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eastAsia="仿宋_GB2312" w:cs="宋体"/>
                <w:color w:val="000000"/>
                <w:sz w:val="24"/>
              </w:rPr>
            </w:pPr>
            <w:r>
              <w:rPr>
                <w:rFonts w:hint="eastAsia" w:ascii="宋体" w:hAnsi="宋体" w:eastAsia="仿宋_GB2312" w:cs="宋体"/>
                <w:color w:val="000000"/>
                <w:kern w:val="0"/>
                <w:sz w:val="24"/>
              </w:rPr>
              <w:t>项目名称</w:t>
            </w:r>
          </w:p>
        </w:tc>
        <w:tc>
          <w:tcPr>
            <w:tcW w:w="695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val="0"/>
              <w:snapToGrid/>
              <w:spacing w:line="560" w:lineRule="exact"/>
              <w:ind w:firstLine="1280" w:firstLineChars="400"/>
              <w:jc w:val="both"/>
              <w:textAlignment w:val="baseline"/>
              <w:rPr>
                <w:rFonts w:hint="eastAsia" w:ascii="宋体" w:hAnsi="宋体" w:eastAsia="宋体" w:cs="宋体"/>
                <w:color w:val="000000"/>
                <w:kern w:val="0"/>
                <w:sz w:val="24"/>
                <w:szCs w:val="24"/>
                <w:lang w:val="en-US" w:eastAsia="zh-CN" w:bidi="ar-SA"/>
              </w:rPr>
            </w:pPr>
            <w:r>
              <w:rPr>
                <w:rFonts w:hint="eastAsia" w:ascii="仿宋_GB2312" w:hAnsi="Arial" w:eastAsia="仿宋_GB2312" w:cs="方正仿宋_GB2312"/>
                <w:kern w:val="0"/>
                <w:sz w:val="32"/>
                <w:szCs w:val="32"/>
                <w:lang w:val="en-US" w:eastAsia="zh-CN" w:bidi="ar-SA"/>
              </w:rPr>
              <w:t>城南广场文化小品打造项目</w:t>
            </w:r>
          </w:p>
        </w:tc>
      </w:tr>
      <w:tr>
        <w:tblPrEx>
          <w:tblCellMar>
            <w:top w:w="0" w:type="dxa"/>
            <w:left w:w="0" w:type="dxa"/>
            <w:bottom w:w="0" w:type="dxa"/>
            <w:right w:w="0" w:type="dxa"/>
          </w:tblCellMar>
        </w:tblPrEx>
        <w:trPr>
          <w:trHeight w:val="276" w:hRule="atLeast"/>
          <w:jc w:val="center"/>
        </w:trPr>
        <w:tc>
          <w:tcPr>
            <w:tcW w:w="300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eastAsia="仿宋_GB2312" w:cs="宋体"/>
                <w:color w:val="000000"/>
                <w:sz w:val="24"/>
              </w:rPr>
            </w:pPr>
            <w:r>
              <w:rPr>
                <w:rFonts w:hint="eastAsia" w:ascii="宋体" w:hAnsi="宋体" w:eastAsia="仿宋_GB2312" w:cs="宋体"/>
                <w:color w:val="000000"/>
                <w:kern w:val="0"/>
                <w:sz w:val="24"/>
              </w:rPr>
              <w:t>预算单位</w:t>
            </w:r>
          </w:p>
        </w:tc>
        <w:tc>
          <w:tcPr>
            <w:tcW w:w="695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仿宋_GB2312" w:cs="宋体"/>
                <w:color w:val="000000"/>
                <w:sz w:val="24"/>
                <w:lang w:val="en-US" w:eastAsia="zh-CN"/>
              </w:rPr>
            </w:pPr>
            <w:r>
              <w:rPr>
                <w:rFonts w:hint="eastAsia" w:ascii="宋体" w:hAnsi="宋体" w:eastAsia="仿宋_GB2312" w:cs="宋体"/>
                <w:color w:val="000000"/>
                <w:sz w:val="24"/>
                <w:lang w:val="en-US" w:eastAsia="zh-CN"/>
              </w:rPr>
              <w:t>壤塘县文化体育和旅游局</w:t>
            </w: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eastAsia="仿宋_GB2312" w:cs="宋体"/>
                <w:color w:val="000000"/>
                <w:sz w:val="24"/>
              </w:rPr>
            </w:pPr>
            <w:r>
              <w:rPr>
                <w:rFonts w:hint="eastAsia" w:ascii="宋体" w:hAnsi="宋体" w:eastAsia="仿宋_GB2312" w:cs="宋体"/>
                <w:color w:val="000000"/>
                <w:kern w:val="0"/>
                <w:sz w:val="24"/>
              </w:rPr>
              <w:t>预算执行情况(万元)</w:t>
            </w:r>
          </w:p>
        </w:tc>
        <w:tc>
          <w:tcPr>
            <w:tcW w:w="2618"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eastAsia="仿宋_GB2312" w:cs="宋体"/>
                <w:color w:val="000000"/>
                <w:sz w:val="24"/>
              </w:rPr>
            </w:pPr>
            <w:r>
              <w:rPr>
                <w:rFonts w:hint="eastAsia" w:ascii="宋体" w:hAnsi="宋体" w:eastAsia="仿宋_GB2312" w:cs="宋体"/>
                <w:color w:val="000000"/>
                <w:kern w:val="0"/>
                <w:sz w:val="24"/>
              </w:rPr>
              <w:t>预算数:</w:t>
            </w:r>
          </w:p>
        </w:tc>
        <w:tc>
          <w:tcPr>
            <w:tcW w:w="216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lang w:val="en-US" w:eastAsia="zh-CN"/>
              </w:rPr>
            </w:pPr>
            <w:r>
              <w:rPr>
                <w:rFonts w:hint="eastAsia" w:ascii="宋体" w:hAnsi="宋体" w:eastAsia="仿宋_GB2312" w:cs="宋体"/>
                <w:color w:val="000000"/>
                <w:sz w:val="24"/>
                <w:lang w:val="en-US" w:eastAsia="zh-CN"/>
              </w:rPr>
              <w:t>500万元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eastAsia="仿宋_GB2312" w:cs="宋体"/>
                <w:color w:val="000000"/>
                <w:sz w:val="24"/>
              </w:rPr>
            </w:pPr>
            <w:r>
              <w:rPr>
                <w:rFonts w:hint="eastAsia" w:ascii="宋体" w:hAnsi="宋体" w:eastAsia="仿宋_GB2312" w:cs="宋体"/>
                <w:color w:val="000000"/>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lang w:val="en-US" w:eastAsia="zh-CN"/>
              </w:rPr>
            </w:pPr>
            <w:r>
              <w:rPr>
                <w:rFonts w:hint="eastAsia" w:ascii="宋体" w:hAnsi="宋体" w:eastAsia="仿宋_GB2312" w:cs="宋体"/>
                <w:color w:val="000000"/>
                <w:sz w:val="24"/>
                <w:lang w:val="en-US" w:eastAsia="zh-CN"/>
              </w:rPr>
              <w:t>286万元</w:t>
            </w:r>
          </w:p>
        </w:tc>
      </w:tr>
      <w:tr>
        <w:tblPrEx>
          <w:tblCellMar>
            <w:top w:w="0" w:type="dxa"/>
            <w:left w:w="0" w:type="dxa"/>
            <w:bottom w:w="0" w:type="dxa"/>
            <w:right w:w="0" w:type="dxa"/>
          </w:tblCellMar>
        </w:tblPrEx>
        <w:trPr>
          <w:trHeight w:val="276"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eastAsia="仿宋_GB2312" w:cs="宋体"/>
                <w:color w:val="000000"/>
                <w:sz w:val="24"/>
              </w:rPr>
            </w:pPr>
          </w:p>
        </w:tc>
        <w:tc>
          <w:tcPr>
            <w:tcW w:w="2618"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eastAsia="仿宋_GB2312" w:cs="宋体"/>
                <w:color w:val="000000"/>
                <w:sz w:val="24"/>
              </w:rPr>
            </w:pPr>
            <w:r>
              <w:rPr>
                <w:rFonts w:hint="eastAsia" w:ascii="宋体" w:hAnsi="宋体" w:eastAsia="仿宋_GB2312" w:cs="宋体"/>
                <w:color w:val="000000"/>
                <w:kern w:val="0"/>
                <w:sz w:val="24"/>
              </w:rPr>
              <w:t>其中-财政拨款:</w:t>
            </w:r>
          </w:p>
        </w:tc>
        <w:tc>
          <w:tcPr>
            <w:tcW w:w="216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lang w:val="en-US" w:eastAsia="zh-CN"/>
              </w:rPr>
            </w:pPr>
            <w:r>
              <w:rPr>
                <w:rFonts w:hint="eastAsia" w:ascii="宋体" w:hAnsi="宋体" w:eastAsia="仿宋_GB2312" w:cs="宋体"/>
                <w:color w:val="000000"/>
                <w:sz w:val="24"/>
                <w:lang w:val="en-US" w:eastAsia="zh-CN"/>
              </w:rPr>
              <w:t>286万元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eastAsia="仿宋_GB2312" w:cs="宋体"/>
                <w:color w:val="000000"/>
                <w:sz w:val="24"/>
              </w:rPr>
            </w:pPr>
            <w:r>
              <w:rPr>
                <w:rFonts w:hint="eastAsia" w:ascii="宋体" w:hAnsi="宋体" w:eastAsia="仿宋_GB2312"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lang w:val="en-US" w:eastAsia="zh-CN"/>
              </w:rPr>
            </w:pPr>
            <w:r>
              <w:rPr>
                <w:rFonts w:hint="eastAsia" w:ascii="宋体" w:hAnsi="宋体" w:eastAsia="仿宋_GB2312" w:cs="宋体"/>
                <w:color w:val="000000"/>
                <w:sz w:val="24"/>
                <w:lang w:val="en-US" w:eastAsia="zh-CN"/>
              </w:rPr>
              <w:t>0万元</w:t>
            </w:r>
          </w:p>
        </w:tc>
      </w:tr>
      <w:tr>
        <w:tblPrEx>
          <w:tblCellMar>
            <w:top w:w="0" w:type="dxa"/>
            <w:left w:w="0" w:type="dxa"/>
            <w:bottom w:w="0" w:type="dxa"/>
            <w:right w:w="0" w:type="dxa"/>
          </w:tblCellMar>
        </w:tblPrEx>
        <w:trPr>
          <w:trHeight w:val="1140"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eastAsia="仿宋_GB2312" w:cs="宋体"/>
                <w:color w:val="000000"/>
                <w:sz w:val="24"/>
              </w:rPr>
            </w:pPr>
          </w:p>
        </w:tc>
        <w:tc>
          <w:tcPr>
            <w:tcW w:w="2618"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eastAsia="仿宋_GB2312" w:cs="宋体"/>
                <w:color w:val="000000"/>
                <w:sz w:val="24"/>
              </w:rPr>
            </w:pPr>
            <w:r>
              <w:rPr>
                <w:rFonts w:hint="eastAsia" w:ascii="宋体" w:hAnsi="宋体" w:eastAsia="仿宋_GB2312" w:cs="宋体"/>
                <w:color w:val="000000"/>
                <w:kern w:val="0"/>
                <w:sz w:val="24"/>
              </w:rPr>
              <w:t>其它资金:</w:t>
            </w:r>
          </w:p>
        </w:tc>
        <w:tc>
          <w:tcPr>
            <w:tcW w:w="216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eastAsia="仿宋_GB2312"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eastAsia="仿宋_GB2312" w:cs="宋体"/>
                <w:color w:val="000000"/>
                <w:sz w:val="24"/>
              </w:rPr>
            </w:pPr>
            <w:r>
              <w:rPr>
                <w:rFonts w:hint="eastAsia" w:ascii="宋体" w:hAnsi="宋体" w:eastAsia="仿宋_GB2312"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eastAsia="仿宋_GB2312" w:cs="宋体"/>
                <w:color w:val="000000"/>
                <w:sz w:val="24"/>
              </w:rPr>
            </w:pP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eastAsia="仿宋_GB2312" w:cs="宋体"/>
                <w:color w:val="000000"/>
                <w:sz w:val="24"/>
              </w:rPr>
            </w:pPr>
            <w:r>
              <w:rPr>
                <w:rFonts w:hint="eastAsia" w:ascii="宋体" w:hAnsi="宋体" w:eastAsia="仿宋_GB2312"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eastAsia="仿宋_GB2312" w:cs="宋体"/>
                <w:color w:val="000000"/>
                <w:sz w:val="24"/>
              </w:rPr>
            </w:pPr>
            <w:r>
              <w:rPr>
                <w:rFonts w:hint="eastAsia" w:ascii="宋体" w:hAnsi="宋体" w:eastAsia="仿宋_GB2312"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eastAsia="仿宋_GB2312" w:cs="宋体"/>
                <w:color w:val="000000"/>
                <w:sz w:val="24"/>
              </w:rPr>
            </w:pPr>
            <w:r>
              <w:rPr>
                <w:rFonts w:hint="eastAsia" w:ascii="宋体" w:hAnsi="宋体" w:eastAsia="仿宋_GB2312" w:cs="宋体"/>
                <w:color w:val="000000"/>
                <w:kern w:val="0"/>
                <w:sz w:val="24"/>
              </w:rPr>
              <w:t>实际完成目标</w:t>
            </w:r>
          </w:p>
        </w:tc>
      </w:tr>
      <w:tr>
        <w:tblPrEx>
          <w:tblCellMar>
            <w:top w:w="0" w:type="dxa"/>
            <w:left w:w="0" w:type="dxa"/>
            <w:bottom w:w="0" w:type="dxa"/>
            <w:right w:w="0" w:type="dxa"/>
          </w:tblCellMar>
        </w:tblPrEx>
        <w:trPr>
          <w:trHeight w:val="1159"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eastAsia="仿宋_GB2312" w:cs="宋体"/>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both"/>
              <w:textAlignment w:val="center"/>
              <w:rPr>
                <w:rFonts w:hint="default" w:ascii="宋体" w:hAnsi="宋体" w:eastAsia="宋体" w:cs="宋体"/>
                <w:color w:val="000000"/>
                <w:sz w:val="24"/>
                <w:lang w:val="en-US" w:eastAsia="zh-CN"/>
              </w:rPr>
            </w:pPr>
            <w:r>
              <w:rPr>
                <w:rFonts w:hint="eastAsia" w:ascii="仿宋_GB2312" w:hAnsi="Calibri" w:eastAsia="仿宋_GB2312" w:cs="仿宋_GB2312"/>
                <w:sz w:val="24"/>
                <w:szCs w:val="24"/>
                <w:lang w:val="en-US" w:eastAsia="zh-CN"/>
              </w:rPr>
              <w:t>22年度完成：基座安装、产品生产</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default" w:ascii="宋体" w:hAnsi="宋体" w:eastAsia="宋体" w:cs="宋体"/>
                <w:color w:val="000000"/>
                <w:sz w:val="24"/>
                <w:lang w:val="en-US" w:eastAsia="zh-CN"/>
              </w:rPr>
            </w:pPr>
            <w:r>
              <w:rPr>
                <w:rFonts w:hint="eastAsia" w:ascii="仿宋_GB2312" w:hAnsi="Calibri" w:eastAsia="仿宋_GB2312" w:cs="仿宋_GB2312"/>
                <w:sz w:val="24"/>
                <w:szCs w:val="24"/>
                <w:lang w:val="en-US" w:eastAsia="zh-CN"/>
              </w:rPr>
              <w:t>22年度完成：基座安装完成，产品开始生产，总共城区五个雕塑：完成总体进度80%。飘带雕塑进度：95%。石榴花总体进度：95%。少先队员总体进度：80%；牦牛雕塑进度：55%；跃马雕塑进度：75%。</w:t>
            </w:r>
          </w:p>
        </w:tc>
      </w:tr>
      <w:tr>
        <w:tblPrEx>
          <w:tblCellMar>
            <w:top w:w="0" w:type="dxa"/>
            <w:left w:w="0" w:type="dxa"/>
            <w:bottom w:w="0" w:type="dxa"/>
            <w:right w:w="0" w:type="dxa"/>
          </w:tblCellMar>
        </w:tblPrEx>
        <w:trPr>
          <w:trHeight w:val="1042" w:hRule="atLeast"/>
          <w:jc w:val="center"/>
        </w:trPr>
        <w:tc>
          <w:tcPr>
            <w:tcW w:w="3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eastAsia="仿宋_GB2312" w:cs="宋体"/>
                <w:color w:val="000000"/>
                <w:sz w:val="24"/>
              </w:rPr>
            </w:pPr>
            <w:r>
              <w:rPr>
                <w:rFonts w:hint="eastAsia" w:ascii="宋体" w:hAnsi="宋体" w:eastAsia="仿宋_GB2312"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eastAsia="仿宋_GB2312" w:cs="宋体"/>
                <w:color w:val="000000"/>
                <w:sz w:val="24"/>
              </w:rPr>
            </w:pPr>
            <w:r>
              <w:rPr>
                <w:rFonts w:hint="eastAsia" w:ascii="仿宋_GB2312" w:hAnsi="Calibri" w:eastAsia="仿宋_GB2312" w:cs="仿宋_GB2312"/>
                <w:sz w:val="24"/>
                <w:szCs w:val="24"/>
                <w:lang w:val="en-US" w:eastAsia="zh-CN"/>
              </w:rPr>
              <w:t>一级指</w:t>
            </w:r>
            <w:r>
              <w:rPr>
                <w:rFonts w:hint="eastAsia" w:ascii="宋体" w:hAnsi="宋体" w:eastAsia="仿宋_GB2312" w:cs="宋体"/>
                <w:color w:val="000000"/>
                <w:kern w:val="0"/>
                <w:sz w:val="24"/>
              </w:rPr>
              <w:t>标</w:t>
            </w:r>
          </w:p>
        </w:tc>
        <w:tc>
          <w:tcPr>
            <w:tcW w:w="125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eastAsia="仿宋_GB2312" w:cs="宋体"/>
                <w:color w:val="000000"/>
                <w:sz w:val="24"/>
              </w:rPr>
            </w:pPr>
            <w:r>
              <w:rPr>
                <w:rFonts w:hint="eastAsia" w:ascii="宋体" w:hAnsi="宋体" w:eastAsia="仿宋_GB2312" w:cs="宋体"/>
                <w:color w:val="000000"/>
                <w:kern w:val="0"/>
                <w:sz w:val="24"/>
              </w:rPr>
              <w:t>二级指标</w:t>
            </w:r>
          </w:p>
        </w:tc>
        <w:tc>
          <w:tcPr>
            <w:tcW w:w="216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eastAsia="仿宋_GB2312" w:cs="宋体"/>
                <w:color w:val="000000"/>
                <w:sz w:val="24"/>
              </w:rPr>
            </w:pPr>
            <w:r>
              <w:rPr>
                <w:rFonts w:hint="eastAsia" w:ascii="宋体" w:hAnsi="宋体" w:eastAsia="仿宋_GB2312"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eastAsia="仿宋_GB2312" w:cs="宋体"/>
                <w:color w:val="000000"/>
                <w:sz w:val="24"/>
              </w:rPr>
            </w:pPr>
            <w:r>
              <w:rPr>
                <w:rFonts w:hint="eastAsia" w:ascii="宋体" w:hAnsi="宋体" w:eastAsia="仿宋_GB2312" w:cs="宋体"/>
                <w:color w:val="000000"/>
                <w:kern w:val="0"/>
                <w:sz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eastAsia="仿宋_GB2312" w:cs="宋体"/>
                <w:color w:val="000000"/>
                <w:sz w:val="24"/>
              </w:rPr>
            </w:pPr>
            <w:r>
              <w:rPr>
                <w:rFonts w:hint="eastAsia" w:ascii="仿宋_GB2312" w:hAnsi="Calibri" w:eastAsia="仿宋_GB2312" w:cs="仿宋_GB2312"/>
                <w:sz w:val="24"/>
                <w:szCs w:val="24"/>
                <w:lang w:val="en-US" w:eastAsia="zh-CN"/>
              </w:rPr>
              <w:t>实际完成指标值(包含数字及文字描述)</w:t>
            </w:r>
          </w:p>
        </w:tc>
      </w:tr>
      <w:tr>
        <w:tblPrEx>
          <w:tblCellMar>
            <w:top w:w="0" w:type="dxa"/>
            <w:left w:w="0" w:type="dxa"/>
            <w:bottom w:w="0" w:type="dxa"/>
            <w:right w:w="0" w:type="dxa"/>
          </w:tblCellMar>
        </w:tblPrEx>
        <w:trPr>
          <w:trHeight w:val="953"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eastAsia="仿宋_GB2312"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eastAsia="仿宋_GB2312" w:cs="宋体"/>
                <w:color w:val="000000"/>
                <w:sz w:val="24"/>
              </w:rPr>
            </w:pPr>
            <w:r>
              <w:rPr>
                <w:rFonts w:hint="eastAsia" w:ascii="宋体" w:hAnsi="宋体" w:eastAsia="仿宋_GB2312" w:cs="宋体"/>
                <w:color w:val="000000"/>
                <w:kern w:val="0"/>
                <w:sz w:val="24"/>
              </w:rPr>
              <w:t>项目完成指标</w:t>
            </w:r>
          </w:p>
        </w:tc>
        <w:tc>
          <w:tcPr>
            <w:tcW w:w="125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eastAsia="仿宋_GB2312" w:cs="宋体"/>
                <w:color w:val="000000"/>
                <w:sz w:val="24"/>
                <w:lang w:val="en-US" w:eastAsia="zh-CN"/>
              </w:rPr>
              <w:t>质量</w:t>
            </w:r>
            <w:r>
              <w:rPr>
                <w:rFonts w:hint="eastAsia" w:ascii="宋体" w:hAnsi="宋体" w:eastAsia="仿宋_GB2312" w:cs="宋体"/>
                <w:color w:val="000000"/>
                <w:sz w:val="24"/>
                <w:lang w:eastAsia="zh-CN"/>
              </w:rPr>
              <w:t>指标</w:t>
            </w:r>
          </w:p>
        </w:tc>
        <w:tc>
          <w:tcPr>
            <w:tcW w:w="216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eastAsia="仿宋_GB2312" w:cs="宋体"/>
                <w:color w:val="000000"/>
                <w:sz w:val="24"/>
                <w:lang w:val="en-US" w:eastAsia="zh-CN"/>
              </w:rPr>
              <w:t>文化小品打造项目</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eastAsia="宋体" w:cs="宋体"/>
                <w:color w:val="000000"/>
                <w:sz w:val="24"/>
                <w:lang w:val="en-US" w:eastAsia="zh-CN"/>
              </w:rPr>
              <w:t>项目建设完工验收合格率＝100%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eastAsia="宋体" w:cs="宋体"/>
                <w:color w:val="000000"/>
                <w:sz w:val="24"/>
                <w:lang w:val="en-US" w:eastAsia="zh-CN"/>
              </w:rPr>
              <w:t>未完工未验收</w:t>
            </w:r>
          </w:p>
        </w:tc>
      </w:tr>
      <w:tr>
        <w:tblPrEx>
          <w:tblCellMar>
            <w:top w:w="0" w:type="dxa"/>
            <w:left w:w="0" w:type="dxa"/>
            <w:bottom w:w="0" w:type="dxa"/>
            <w:right w:w="0" w:type="dxa"/>
          </w:tblCellMar>
        </w:tblPrEx>
        <w:trPr>
          <w:trHeight w:val="2395"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eastAsia="仿宋_GB2312"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eastAsia="仿宋_GB2312" w:cs="宋体"/>
                <w:color w:val="000000"/>
                <w:sz w:val="24"/>
              </w:rPr>
            </w:pPr>
            <w:r>
              <w:rPr>
                <w:rFonts w:hint="eastAsia" w:ascii="宋体" w:hAnsi="宋体" w:eastAsia="仿宋_GB2312" w:cs="宋体"/>
                <w:color w:val="000000"/>
                <w:kern w:val="0"/>
                <w:sz w:val="24"/>
              </w:rPr>
              <w:t>项目完成指标</w:t>
            </w:r>
          </w:p>
        </w:tc>
        <w:tc>
          <w:tcPr>
            <w:tcW w:w="125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eastAsia="仿宋_GB2312" w:cs="宋体"/>
                <w:color w:val="000000"/>
                <w:sz w:val="24"/>
                <w:lang w:eastAsia="zh-CN"/>
              </w:rPr>
              <w:t>社会效益指标</w:t>
            </w:r>
          </w:p>
        </w:tc>
        <w:tc>
          <w:tcPr>
            <w:tcW w:w="216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eastAsia="仿宋_GB2312" w:cs="宋体"/>
                <w:color w:val="000000"/>
                <w:sz w:val="24"/>
                <w:lang w:val="en-US" w:eastAsia="zh-CN"/>
              </w:rPr>
              <w:t>文化小品打造项目</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带动增加就业人数≥5人</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eastAsia="宋体" w:cs="宋体"/>
                <w:color w:val="000000"/>
                <w:sz w:val="24"/>
                <w:lang w:val="en-US" w:eastAsia="zh-CN"/>
              </w:rPr>
              <w:t>未完工</w:t>
            </w:r>
          </w:p>
        </w:tc>
      </w:tr>
      <w:tr>
        <w:tblPrEx>
          <w:tblCellMar>
            <w:top w:w="0" w:type="dxa"/>
            <w:left w:w="0" w:type="dxa"/>
            <w:bottom w:w="0" w:type="dxa"/>
            <w:right w:w="0" w:type="dxa"/>
          </w:tblCellMar>
        </w:tblPrEx>
        <w:trPr>
          <w:trHeight w:val="7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eastAsia="仿宋_GB2312"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eastAsia="仿宋_GB2312" w:cs="宋体"/>
                <w:color w:val="000000"/>
                <w:sz w:val="24"/>
              </w:rPr>
            </w:pPr>
            <w:r>
              <w:rPr>
                <w:rFonts w:hint="eastAsia" w:ascii="宋体" w:hAnsi="宋体" w:eastAsia="仿宋_GB2312" w:cs="宋体"/>
                <w:color w:val="000000"/>
                <w:kern w:val="0"/>
                <w:sz w:val="24"/>
              </w:rPr>
              <w:t>项目完成指标</w:t>
            </w:r>
          </w:p>
        </w:tc>
        <w:tc>
          <w:tcPr>
            <w:tcW w:w="125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eastAsia="仿宋_GB2312" w:cs="宋体"/>
                <w:color w:val="000000"/>
                <w:sz w:val="24"/>
                <w:lang w:eastAsia="zh-CN"/>
              </w:rPr>
              <w:t>时效性</w:t>
            </w:r>
          </w:p>
        </w:tc>
        <w:tc>
          <w:tcPr>
            <w:tcW w:w="216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eastAsia="宋体" w:cs="宋体"/>
                <w:color w:val="000000"/>
                <w:sz w:val="24"/>
                <w:lang w:val="en-US" w:eastAsia="zh-CN"/>
              </w:rPr>
              <w:t>项目完成时间</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eastAsia="仿宋_GB2312" w:cs="宋体"/>
                <w:color w:val="000000"/>
                <w:sz w:val="24"/>
              </w:rPr>
            </w:pPr>
            <w:r>
              <w:rPr>
                <w:rFonts w:hint="eastAsia" w:ascii="宋体" w:hAnsi="Times New Roman" w:eastAsia="仿宋_GB2312" w:cs="宋体"/>
                <w:sz w:val="24"/>
                <w:szCs w:val="24"/>
                <w:lang w:val="en-US" w:eastAsia="zh-CN"/>
              </w:rPr>
              <w:t>2022</w:t>
            </w:r>
            <w:r>
              <w:rPr>
                <w:rFonts w:hint="eastAsia" w:ascii="宋体" w:hAnsi="Times New Roman" w:eastAsia="仿宋_GB2312" w:cs="宋体"/>
                <w:sz w:val="24"/>
                <w:szCs w:val="24"/>
              </w:rPr>
              <w:t>年</w:t>
            </w:r>
            <w:r>
              <w:rPr>
                <w:rFonts w:hint="eastAsia" w:ascii="宋体" w:hAnsi="Times New Roman" w:eastAsia="仿宋_GB2312" w:cs="宋体"/>
                <w:sz w:val="24"/>
                <w:szCs w:val="24"/>
                <w:lang w:val="en-US" w:eastAsia="zh-CN"/>
              </w:rPr>
              <w:t>6</w:t>
            </w:r>
            <w:r>
              <w:rPr>
                <w:rFonts w:hint="eastAsia" w:ascii="宋体" w:hAnsi="Times New Roman" w:eastAsia="仿宋_GB2312" w:cs="宋体"/>
                <w:sz w:val="24"/>
                <w:szCs w:val="24"/>
              </w:rPr>
              <w:t>月底前</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仿宋_GB2312" w:cs="宋体"/>
                <w:color w:val="000000"/>
                <w:sz w:val="24"/>
                <w:lang w:val="en-US" w:eastAsia="zh-CN"/>
              </w:rPr>
            </w:pPr>
            <w:r>
              <w:rPr>
                <w:rFonts w:hint="eastAsia" w:ascii="宋体" w:hAnsi="Times New Roman" w:eastAsia="仿宋_GB2312" w:cs="宋体"/>
                <w:sz w:val="24"/>
                <w:szCs w:val="24"/>
                <w:lang w:val="en-US" w:eastAsia="zh-CN"/>
              </w:rPr>
              <w:t>完成项目基础建设，基座已完成建设</w:t>
            </w:r>
          </w:p>
        </w:tc>
      </w:tr>
      <w:tr>
        <w:tblPrEx>
          <w:tblCellMar>
            <w:top w:w="0" w:type="dxa"/>
            <w:left w:w="0" w:type="dxa"/>
            <w:bottom w:w="0" w:type="dxa"/>
            <w:right w:w="0" w:type="dxa"/>
          </w:tblCellMar>
        </w:tblPrEx>
        <w:trPr>
          <w:trHeight w:val="79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eastAsia="仿宋_GB2312"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eastAsia="仿宋_GB2312" w:cs="宋体"/>
                <w:color w:val="000000"/>
                <w:kern w:val="0"/>
                <w:sz w:val="24"/>
              </w:rPr>
            </w:pPr>
            <w:r>
              <w:rPr>
                <w:rFonts w:hint="eastAsia" w:ascii="宋体" w:hAnsi="宋体" w:eastAsia="仿宋_GB2312" w:cs="宋体"/>
                <w:color w:val="000000"/>
                <w:kern w:val="0"/>
                <w:sz w:val="24"/>
              </w:rPr>
              <w:t>满意度指标</w:t>
            </w:r>
          </w:p>
        </w:tc>
        <w:tc>
          <w:tcPr>
            <w:tcW w:w="125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eastAsia="仿宋_GB2312" w:cs="宋体"/>
                <w:color w:val="000000"/>
                <w:sz w:val="24"/>
                <w:lang w:eastAsia="zh-CN"/>
              </w:rPr>
              <w:t>满意度</w:t>
            </w:r>
          </w:p>
        </w:tc>
        <w:tc>
          <w:tcPr>
            <w:tcW w:w="216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eastAsia="仿宋_GB2312" w:cs="宋体"/>
                <w:color w:val="000000"/>
                <w:sz w:val="24"/>
                <w:lang w:eastAsia="zh-CN"/>
              </w:rPr>
              <w:t>组织工作满意度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lang w:val="en-US" w:eastAsia="zh-CN"/>
              </w:rPr>
            </w:pPr>
            <w:r>
              <w:rPr>
                <w:rFonts w:hint="eastAsia" w:ascii="宋体" w:hAnsi="Times New Roman" w:eastAsia="仿宋_GB2312" w:cs="宋体"/>
                <w:sz w:val="24"/>
                <w:szCs w:val="24"/>
              </w:rPr>
              <w:t>〉</w:t>
            </w:r>
            <w:r>
              <w:rPr>
                <w:rFonts w:hint="eastAsia" w:ascii="宋体" w:hAnsi="Times New Roman" w:eastAsia="仿宋_GB2312" w:cs="宋体"/>
                <w:sz w:val="24"/>
                <w:szCs w:val="24"/>
                <w:lang w:val="en-US" w:eastAsia="zh-CN"/>
              </w:rPr>
              <w:t>80</w:t>
            </w:r>
            <w:r>
              <w:rPr>
                <w:rFonts w:ascii="宋体" w:hAnsi="Times New Roman" w:eastAsia="仿宋_GB2312" w:cs="宋体"/>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eastAsia="仿宋_GB2312" w:cs="宋体"/>
                <w:color w:val="000000"/>
                <w:sz w:val="24"/>
              </w:rPr>
            </w:pPr>
            <w:r>
              <w:rPr>
                <w:rFonts w:hint="eastAsia" w:ascii="宋体" w:hAnsi="Times New Roman" w:eastAsia="仿宋_GB2312" w:cs="宋体"/>
                <w:sz w:val="24"/>
                <w:szCs w:val="24"/>
              </w:rPr>
              <w:t>〉</w:t>
            </w:r>
            <w:r>
              <w:rPr>
                <w:rFonts w:hint="eastAsia" w:ascii="宋体" w:hAnsi="Times New Roman" w:eastAsia="仿宋_GB2312" w:cs="宋体"/>
                <w:sz w:val="24"/>
                <w:szCs w:val="24"/>
                <w:lang w:val="en-US" w:eastAsia="zh-CN"/>
              </w:rPr>
              <w:t>80</w:t>
            </w:r>
            <w:r>
              <w:rPr>
                <w:rFonts w:ascii="宋体" w:hAnsi="Times New Roman" w:eastAsia="仿宋_GB2312" w:cs="宋体"/>
                <w:sz w:val="24"/>
                <w:szCs w:val="24"/>
              </w:rPr>
              <w:t>%</w:t>
            </w:r>
          </w:p>
        </w:tc>
      </w:tr>
    </w:tbl>
    <w:p>
      <w:pPr>
        <w:widowControl w:val="0"/>
        <w:jc w:val="both"/>
        <w:rPr>
          <w:rFonts w:hint="eastAsia" w:ascii="Times New Roman" w:hAnsi="Times New Roman" w:eastAsia="仿宋_GB2312" w:cs="Times New Roman"/>
          <w:kern w:val="2"/>
          <w:sz w:val="32"/>
          <w:szCs w:val="24"/>
          <w:lang w:val="en-US" w:eastAsia="zh-CN" w:bidi="ar-SA"/>
        </w:rPr>
      </w:pPr>
    </w:p>
    <w:p>
      <w:pPr>
        <w:spacing w:line="580" w:lineRule="exact"/>
        <w:ind w:firstLine="643" w:firstLineChars="200"/>
        <w:rPr>
          <w:rFonts w:ascii="楷体" w:hAnsi="楷体" w:eastAsia="楷体" w:cs="Times New Roman"/>
          <w:b/>
          <w:bCs/>
          <w:sz w:val="32"/>
          <w:szCs w:val="32"/>
        </w:rPr>
      </w:pPr>
      <w:r>
        <w:rPr>
          <w:rFonts w:hint="eastAsia" w:ascii="楷体" w:hAnsi="楷体" w:eastAsia="楷体" w:cs="楷体"/>
          <w:b/>
          <w:bCs/>
          <w:sz w:val="32"/>
          <w:szCs w:val="32"/>
        </w:rPr>
        <w:t>（</w:t>
      </w:r>
      <w:r>
        <w:rPr>
          <w:rFonts w:hint="eastAsia" w:ascii="楷体" w:hAnsi="楷体" w:eastAsia="楷体" w:cs="楷体"/>
          <w:b/>
          <w:bCs/>
          <w:sz w:val="32"/>
          <w:szCs w:val="32"/>
          <w:lang w:val="en-US" w:eastAsia="zh-CN"/>
        </w:rPr>
        <w:t>十</w:t>
      </w:r>
      <w:r>
        <w:rPr>
          <w:rFonts w:hint="eastAsia" w:ascii="楷体" w:hAnsi="楷体" w:eastAsia="楷体" w:cs="楷体"/>
          <w:b/>
          <w:bCs/>
          <w:sz w:val="32"/>
          <w:szCs w:val="32"/>
        </w:rPr>
        <w:t>）执行管理情况</w:t>
      </w:r>
    </w:p>
    <w:p>
      <w:pPr>
        <w:spacing w:line="580" w:lineRule="exact"/>
        <w:ind w:firstLine="640" w:firstLineChars="200"/>
        <w:rPr>
          <w:rFonts w:hint="eastAsia" w:ascii="仿宋_GB2312" w:hAnsi="仿宋" w:eastAsia="仿宋_GB2312" w:cs="Times New Roman"/>
          <w:kern w:val="2"/>
          <w:sz w:val="32"/>
          <w:szCs w:val="32"/>
          <w:lang w:val="zh-CN" w:eastAsia="zh-CN" w:bidi="ar-SA"/>
        </w:rPr>
      </w:pPr>
      <w:r>
        <w:rPr>
          <w:rFonts w:hint="eastAsia" w:ascii="仿宋_GB2312" w:hAnsi="Calibri" w:eastAsia="仿宋_GB2312" w:cs="仿宋_GB2312"/>
          <w:sz w:val="32"/>
          <w:szCs w:val="32"/>
          <w:lang w:val="en-US" w:eastAsia="zh-CN"/>
        </w:rPr>
        <w:t>我局严格按照《预算法》及其相关规定、严格执行预算管理。全年预算按照计划执行，在保障单位的正常运行基础上合理使用预算经费，贯彻落实中央八项规定、省委十项规定及其实施细则和州委州政府八条意见，严控“三公”经费，厉行节约，合理安排经费支出。</w:t>
      </w:r>
    </w:p>
    <w:p>
      <w:pPr>
        <w:widowControl/>
        <w:adjustRightInd w:val="0"/>
        <w:snapToGrid w:val="0"/>
        <w:spacing w:line="560" w:lineRule="exact"/>
        <w:ind w:firstLine="643" w:firstLineChars="200"/>
        <w:contextualSpacing/>
        <w:jc w:val="left"/>
        <w:rPr>
          <w:rFonts w:ascii="仿宋_GB2312" w:hAnsi="宋体" w:eastAsia="仿宋_GB2312" w:cs="宋体"/>
          <w:b/>
          <w:bCs/>
          <w:color w:val="000000"/>
          <w:kern w:val="0"/>
          <w:sz w:val="32"/>
          <w:szCs w:val="32"/>
          <w:shd w:val="clear" w:color="auto" w:fill="FFFFFF"/>
          <w:lang w:val="zh-CN"/>
        </w:rPr>
      </w:pPr>
      <w:r>
        <w:rPr>
          <w:rFonts w:hint="eastAsia" w:ascii="仿宋_GB2312" w:hAnsi="宋体" w:eastAsia="仿宋_GB2312" w:cs="宋体"/>
          <w:b/>
          <w:bCs/>
          <w:color w:val="000000"/>
          <w:kern w:val="0"/>
          <w:sz w:val="32"/>
          <w:szCs w:val="32"/>
          <w:shd w:val="clear" w:color="auto" w:fill="FFFFFF"/>
          <w:lang w:val="zh-CN"/>
        </w:rPr>
        <w:t>（</w:t>
      </w:r>
      <w:r>
        <w:rPr>
          <w:rFonts w:hint="eastAsia" w:ascii="仿宋_GB2312" w:hAnsi="宋体" w:eastAsia="仿宋_GB2312" w:cs="宋体"/>
          <w:b/>
          <w:bCs/>
          <w:color w:val="000000"/>
          <w:kern w:val="0"/>
          <w:sz w:val="32"/>
          <w:szCs w:val="32"/>
          <w:shd w:val="clear" w:color="auto" w:fill="FFFFFF"/>
          <w:lang w:val="en-US" w:eastAsia="zh-CN"/>
        </w:rPr>
        <w:t>十一</w:t>
      </w:r>
      <w:r>
        <w:rPr>
          <w:rFonts w:hint="eastAsia" w:ascii="仿宋_GB2312" w:hAnsi="宋体" w:eastAsia="仿宋_GB2312" w:cs="宋体"/>
          <w:b/>
          <w:bCs/>
          <w:color w:val="000000"/>
          <w:kern w:val="0"/>
          <w:sz w:val="32"/>
          <w:szCs w:val="32"/>
          <w:shd w:val="clear" w:color="auto" w:fill="FFFFFF"/>
          <w:lang w:val="zh-CN"/>
        </w:rPr>
        <w:t>）结果应用情况</w:t>
      </w:r>
    </w:p>
    <w:p>
      <w:pPr>
        <w:spacing w:line="600" w:lineRule="exact"/>
        <w:ind w:firstLine="640" w:firstLineChars="200"/>
        <w:rPr>
          <w:rFonts w:hint="eastAsia" w:ascii="仿宋_GB2312" w:hAnsi="仿宋_GB2312" w:eastAsia="仿宋_GB2312" w:cs="仿宋_GB2312"/>
          <w:sz w:val="32"/>
          <w:szCs w:val="32"/>
        </w:rPr>
      </w:pPr>
      <w:r>
        <w:rPr>
          <w:rFonts w:hint="eastAsia" w:ascii="仿宋_GB2312" w:hAnsi="Calibri" w:eastAsia="仿宋_GB2312" w:cs="仿宋_GB2312"/>
          <w:sz w:val="32"/>
          <w:szCs w:val="32"/>
          <w:lang w:val="en-US" w:eastAsia="zh-CN"/>
        </w:rPr>
        <w:t>我局在县委、县政府的坚强领导下，坚持以习近平新时代中国特色社会主义思想武装头脑、指导实践、推动工作，牢固树立依法履职、精准发力，在科学谋划、队伍建设等方面持续发力，克服人少事多的诸多问题，将各项工作合理安排、稳步推进、成效明显。</w:t>
      </w:r>
    </w:p>
    <w:p>
      <w:pPr>
        <w:widowControl/>
        <w:adjustRightInd w:val="0"/>
        <w:snapToGrid w:val="0"/>
        <w:spacing w:line="560" w:lineRule="exact"/>
        <w:ind w:firstLine="640" w:firstLineChars="200"/>
        <w:contextualSpacing/>
        <w:jc w:val="left"/>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lang w:val="en-US" w:eastAsia="zh-CN"/>
        </w:rPr>
        <w:t>四、</w:t>
      </w:r>
      <w:r>
        <w:rPr>
          <w:rFonts w:hint="eastAsia" w:ascii="黑体" w:hAnsi="宋体" w:eastAsia="黑体" w:cs="宋体"/>
          <w:color w:val="000000"/>
          <w:kern w:val="0"/>
          <w:sz w:val="32"/>
          <w:szCs w:val="32"/>
          <w:shd w:val="clear" w:color="auto" w:fill="FFFFFF"/>
        </w:rPr>
        <w:t>评价结论及建议</w:t>
      </w:r>
    </w:p>
    <w:p>
      <w:pPr>
        <w:widowControl/>
        <w:adjustRightInd w:val="0"/>
        <w:snapToGrid w:val="0"/>
        <w:spacing w:line="560" w:lineRule="exact"/>
        <w:ind w:firstLine="643" w:firstLineChars="200"/>
        <w:contextualSpacing/>
        <w:jc w:val="left"/>
        <w:rPr>
          <w:rFonts w:hint="eastAsia" w:ascii="仿宋_GB2312" w:hAnsi="宋体" w:eastAsia="仿宋_GB2312" w:cs="宋体"/>
          <w:b/>
          <w:bCs/>
          <w:color w:val="000000"/>
          <w:kern w:val="0"/>
          <w:sz w:val="32"/>
          <w:szCs w:val="32"/>
          <w:shd w:val="clear" w:color="auto" w:fill="FFFFFF"/>
          <w:lang w:val="zh-CN"/>
        </w:rPr>
      </w:pPr>
      <w:r>
        <w:rPr>
          <w:rFonts w:hint="eastAsia" w:ascii="仿宋_GB2312" w:hAnsi="宋体" w:eastAsia="仿宋_GB2312" w:cs="宋体"/>
          <w:b/>
          <w:bCs/>
          <w:color w:val="000000"/>
          <w:kern w:val="0"/>
          <w:sz w:val="32"/>
          <w:szCs w:val="32"/>
          <w:shd w:val="clear" w:color="auto" w:fill="FFFFFF"/>
          <w:lang w:val="zh-CN"/>
        </w:rPr>
        <w:t>（一）评价结论</w:t>
      </w:r>
    </w:p>
    <w:p>
      <w:pPr>
        <w:widowControl/>
        <w:adjustRightInd w:val="0"/>
        <w:snapToGrid w:val="0"/>
        <w:spacing w:line="56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通过全面开展财政支出绩效评价，强化财政支出绩效理念，科学合理编制年度预算，切实发挥财政资金资源配置作用，逐步建立以科学理财为基础，以精细化管理为手段，以评价结果为导向，以实施过程为监管对象的预算管理体系。</w:t>
      </w:r>
    </w:p>
    <w:p>
      <w:pPr>
        <w:widowControl/>
        <w:numPr>
          <w:ilvl w:val="0"/>
          <w:numId w:val="0"/>
        </w:numPr>
        <w:adjustRightInd w:val="0"/>
        <w:snapToGrid w:val="0"/>
        <w:spacing w:line="560" w:lineRule="exact"/>
        <w:ind w:firstLine="643" w:firstLineChars="200"/>
        <w:contextualSpacing/>
        <w:jc w:val="left"/>
        <w:rPr>
          <w:rFonts w:hint="eastAsia" w:ascii="仿宋_GB2312" w:hAnsi="宋体" w:eastAsia="仿宋_GB2312" w:cs="宋体"/>
          <w:b/>
          <w:bCs/>
          <w:color w:val="000000"/>
          <w:kern w:val="0"/>
          <w:sz w:val="32"/>
          <w:szCs w:val="32"/>
          <w:shd w:val="clear" w:color="auto" w:fill="FFFFFF"/>
          <w:lang w:val="zh-CN"/>
        </w:rPr>
      </w:pPr>
      <w:r>
        <w:rPr>
          <w:rFonts w:hint="eastAsia" w:ascii="仿宋_GB2312" w:hAnsi="宋体" w:eastAsia="仿宋_GB2312" w:cs="宋体"/>
          <w:b/>
          <w:bCs/>
          <w:color w:val="000000"/>
          <w:kern w:val="0"/>
          <w:sz w:val="32"/>
          <w:szCs w:val="32"/>
          <w:shd w:val="clear" w:color="auto" w:fill="FFFFFF"/>
          <w:lang w:val="zh-CN"/>
        </w:rPr>
        <w:t>（二）存在问题</w:t>
      </w:r>
    </w:p>
    <w:p>
      <w:pPr>
        <w:widowControl/>
        <w:adjustRightInd w:val="0"/>
        <w:snapToGrid w:val="0"/>
        <w:spacing w:line="560" w:lineRule="exact"/>
        <w:ind w:firstLine="640" w:firstLineChars="200"/>
        <w:contextualSpacing/>
        <w:jc w:val="left"/>
        <w:rPr>
          <w:rFonts w:ascii="仿宋_GB2312" w:hAnsi="Times New Roman" w:eastAsia="仿宋_GB2312" w:cs="Times New Roman"/>
          <w:color w:val="000000"/>
          <w:sz w:val="32"/>
          <w:szCs w:val="32"/>
          <w:lang w:val="zh-CN"/>
        </w:rPr>
      </w:pPr>
      <w:r>
        <w:rPr>
          <w:rFonts w:hint="eastAsia" w:ascii="仿宋_GB2312" w:hAnsi="Times New Roman" w:eastAsia="仿宋_GB2312" w:cs="Times New Roman"/>
          <w:color w:val="000000"/>
          <w:sz w:val="32"/>
          <w:szCs w:val="32"/>
          <w:lang w:val="zh-CN"/>
        </w:rPr>
        <w:t>1.</w:t>
      </w:r>
      <w:r>
        <w:rPr>
          <w:rFonts w:ascii="仿宋_GB2312" w:hAnsi="Times New Roman" w:eastAsia="仿宋_GB2312" w:cs="Times New Roman"/>
          <w:color w:val="000000"/>
          <w:sz w:val="32"/>
          <w:szCs w:val="32"/>
          <w:lang w:val="zh-CN"/>
        </w:rPr>
        <w:t>根据绩效评价工作要求，成立了工作领导小组，但是总体认识还不够，时间较为仓促，评价内容没有更进一步，更细致。评价内容局限于表面现象，没有深入分析。</w:t>
      </w:r>
      <w:r>
        <w:rPr>
          <w:rFonts w:hint="eastAsia" w:ascii="仿宋_GB2312" w:hAnsi="Times New Roman" w:eastAsia="仿宋_GB2312" w:cs="Times New Roman"/>
          <w:color w:val="000000"/>
          <w:sz w:val="32"/>
          <w:szCs w:val="32"/>
          <w:lang w:val="zh-CN"/>
        </w:rPr>
        <w:t xml:space="preserve"> </w:t>
      </w:r>
    </w:p>
    <w:p>
      <w:pPr>
        <w:widowControl/>
        <w:adjustRightInd w:val="0"/>
        <w:snapToGrid w:val="0"/>
        <w:spacing w:line="560" w:lineRule="exact"/>
        <w:ind w:firstLine="640" w:firstLineChars="200"/>
        <w:contextualSpacing/>
        <w:jc w:val="left"/>
        <w:rPr>
          <w:rFonts w:ascii="仿宋_GB2312" w:hAnsi="Times New Roman" w:eastAsia="仿宋_GB2312" w:cs="Times New Roman"/>
          <w:color w:val="000000"/>
          <w:sz w:val="32"/>
          <w:szCs w:val="32"/>
          <w:lang w:val="zh-CN"/>
        </w:rPr>
      </w:pPr>
      <w:r>
        <w:rPr>
          <w:rFonts w:hint="eastAsia" w:ascii="仿宋_GB2312" w:hAnsi="Times New Roman" w:eastAsia="仿宋_GB2312" w:cs="Times New Roman"/>
          <w:color w:val="000000"/>
          <w:sz w:val="32"/>
          <w:szCs w:val="32"/>
          <w:lang w:val="zh-CN"/>
        </w:rPr>
        <w:t>2.资金支付进度不及时，影响支付进度。</w:t>
      </w:r>
    </w:p>
    <w:p>
      <w:pPr>
        <w:widowControl/>
        <w:numPr>
          <w:ilvl w:val="0"/>
          <w:numId w:val="0"/>
        </w:numPr>
        <w:adjustRightInd w:val="0"/>
        <w:snapToGrid w:val="0"/>
        <w:spacing w:line="560" w:lineRule="exact"/>
        <w:ind w:left="960" w:leftChars="0"/>
        <w:contextualSpacing/>
        <w:jc w:val="left"/>
        <w:rPr>
          <w:rFonts w:hint="eastAsia" w:ascii="仿宋_GB2312" w:hAnsi="宋体" w:eastAsia="仿宋_GB2312" w:cs="宋体"/>
          <w:b/>
          <w:bCs/>
          <w:color w:val="000000"/>
          <w:kern w:val="0"/>
          <w:sz w:val="32"/>
          <w:szCs w:val="32"/>
          <w:shd w:val="clear" w:color="auto" w:fill="FFFFFF"/>
          <w:lang w:val="zh-CN"/>
        </w:rPr>
      </w:pPr>
      <w:r>
        <w:rPr>
          <w:rFonts w:hint="eastAsia" w:ascii="仿宋_GB2312" w:hAnsi="宋体" w:eastAsia="仿宋_GB2312" w:cs="宋体"/>
          <w:b/>
          <w:bCs/>
          <w:color w:val="000000"/>
          <w:kern w:val="0"/>
          <w:sz w:val="32"/>
          <w:szCs w:val="32"/>
          <w:shd w:val="clear" w:color="auto" w:fill="FFFFFF"/>
          <w:lang w:val="zh-CN"/>
        </w:rPr>
        <w:t>（三）改进建议</w:t>
      </w:r>
    </w:p>
    <w:p>
      <w:pPr>
        <w:widowControl/>
        <w:adjustRightInd w:val="0"/>
        <w:snapToGrid w:val="0"/>
        <w:spacing w:line="560" w:lineRule="exact"/>
        <w:ind w:firstLine="640" w:firstLineChars="200"/>
        <w:contextualSpacing/>
        <w:jc w:val="left"/>
        <w:rPr>
          <w:rFonts w:ascii="仿宋_GB2312" w:hAnsi="Times New Roman" w:eastAsia="仿宋_GB2312" w:cs="Times New Roman"/>
          <w:color w:val="000000"/>
          <w:kern w:val="0"/>
          <w:sz w:val="32"/>
          <w:szCs w:val="32"/>
          <w:lang w:val="zh-CN"/>
        </w:rPr>
      </w:pPr>
      <w:r>
        <w:rPr>
          <w:rFonts w:hint="eastAsia" w:ascii="仿宋_GB2312" w:hAnsi="Times New Roman" w:eastAsia="仿宋_GB2312" w:cs="Times New Roman"/>
          <w:color w:val="000000"/>
          <w:kern w:val="0"/>
          <w:sz w:val="32"/>
          <w:szCs w:val="32"/>
          <w:lang w:val="zh-CN"/>
        </w:rPr>
        <w:t>1</w:t>
      </w:r>
      <w:r>
        <w:rPr>
          <w:rFonts w:ascii="仿宋_GB2312" w:hAnsi="Times New Roman" w:eastAsia="仿宋_GB2312" w:cs="Times New Roman"/>
          <w:color w:val="000000"/>
          <w:kern w:val="0"/>
          <w:sz w:val="32"/>
          <w:szCs w:val="32"/>
          <w:lang w:val="zh-CN"/>
        </w:rPr>
        <w:t>.</w:t>
      </w:r>
      <w:r>
        <w:rPr>
          <w:rFonts w:hint="eastAsia" w:ascii="仿宋_GB2312" w:hAnsi="Times New Roman" w:eastAsia="仿宋_GB2312" w:cs="Times New Roman"/>
          <w:color w:val="000000"/>
          <w:kern w:val="0"/>
          <w:sz w:val="32"/>
          <w:szCs w:val="32"/>
          <w:lang w:val="zh-CN"/>
        </w:rPr>
        <w:t>强化绩效理念，深入推进评价工作。把财政绩效评价作为转变政府职能、深化财政改革、促进科学理财的重要工作来抓，健全完善制度办法，切实加强组织领导，深入推进评价工作，提升整体绩效管理水平。</w:t>
      </w:r>
    </w:p>
    <w:p>
      <w:pPr>
        <w:widowControl/>
        <w:adjustRightInd w:val="0"/>
        <w:snapToGrid w:val="0"/>
        <w:spacing w:line="560" w:lineRule="exact"/>
        <w:ind w:firstLine="640" w:firstLineChars="200"/>
        <w:contextualSpacing/>
        <w:jc w:val="left"/>
        <w:rPr>
          <w:rFonts w:hint="eastAsia" w:ascii="仿宋_GB2312" w:hAnsi="仿宋_GB2312" w:eastAsia="仿宋_GB2312" w:cs="仿宋_GB2312"/>
          <w:sz w:val="32"/>
          <w:szCs w:val="32"/>
        </w:rPr>
      </w:pPr>
      <w:r>
        <w:rPr>
          <w:rFonts w:hint="eastAsia" w:ascii="仿宋_GB2312" w:hAnsi="Times New Roman" w:eastAsia="仿宋_GB2312" w:cs="Times New Roman"/>
          <w:color w:val="000000"/>
          <w:kern w:val="0"/>
          <w:sz w:val="32"/>
          <w:szCs w:val="32"/>
          <w:lang w:val="zh-CN"/>
        </w:rPr>
        <w:t>2</w:t>
      </w:r>
      <w:r>
        <w:rPr>
          <w:rFonts w:ascii="仿宋_GB2312" w:hAnsi="Times New Roman" w:eastAsia="仿宋_GB2312" w:cs="Times New Roman"/>
          <w:color w:val="000000"/>
          <w:kern w:val="0"/>
          <w:sz w:val="32"/>
          <w:szCs w:val="32"/>
          <w:lang w:val="zh-CN"/>
        </w:rPr>
        <w:t>.</w:t>
      </w:r>
      <w:r>
        <w:rPr>
          <w:rFonts w:hint="eastAsia" w:ascii="仿宋_GB2312" w:hAnsi="Times New Roman" w:eastAsia="仿宋_GB2312" w:cs="Times New Roman"/>
          <w:color w:val="000000"/>
          <w:kern w:val="0"/>
          <w:sz w:val="32"/>
          <w:szCs w:val="32"/>
          <w:lang w:val="zh-CN"/>
        </w:rPr>
        <w:t>强化整改落实，构建长效机制。对发现的问题逐一整改，全面核查，举一反三，确保整改到位。对评价发现的问题，深入分析原因，采取措施尽快整改，主要领导亲自抓，组织专门力量，专人专项落实，立即整改，不得遗漏。</w:t>
      </w:r>
    </w:p>
    <w:p>
      <w:pPr>
        <w:spacing w:line="580" w:lineRule="exact"/>
        <w:rPr>
          <w:rStyle w:val="32"/>
          <w:rFonts w:ascii="黑体" w:hAnsi="黑体" w:eastAsia="黑体"/>
          <w:b w:val="0"/>
          <w:color w:val="auto"/>
          <w:highlight w:val="none"/>
        </w:rPr>
      </w:pPr>
    </w:p>
    <w:p>
      <w:pPr>
        <w:widowControl/>
        <w:jc w:val="left"/>
        <w:rPr>
          <w:rStyle w:val="32"/>
          <w:rFonts w:ascii="黑体" w:hAnsi="黑体" w:eastAsia="黑体"/>
          <w:b w:val="0"/>
          <w:color w:val="auto"/>
          <w:highlight w:val="none"/>
        </w:rPr>
      </w:pPr>
      <w:r>
        <w:rPr>
          <w:rStyle w:val="32"/>
          <w:rFonts w:ascii="黑体" w:hAnsi="黑体" w:eastAsia="黑体"/>
          <w:b w:val="0"/>
          <w:color w:val="auto"/>
          <w:highlight w:val="none"/>
        </w:rPr>
        <w:br w:type="page"/>
      </w:r>
    </w:p>
    <w:p>
      <w:pPr>
        <w:spacing w:line="600" w:lineRule="exact"/>
        <w:jc w:val="center"/>
        <w:outlineLvl w:val="0"/>
        <w:rPr>
          <w:rFonts w:hint="eastAsia" w:ascii="仿宋" w:hAnsi="仿宋" w:eastAsia="仿宋"/>
          <w:b w:val="0"/>
          <w:color w:val="auto"/>
          <w:highlight w:val="none"/>
        </w:rPr>
      </w:pPr>
      <w:bookmarkStart w:id="95" w:name="_Toc15396618"/>
      <w:bookmarkStart w:id="96" w:name="_Toc21512"/>
      <w:r>
        <w:rPr>
          <w:rFonts w:hint="eastAsia" w:ascii="黑体" w:hAnsi="黑体" w:eastAsia="黑体"/>
          <w:color w:val="auto"/>
          <w:sz w:val="44"/>
          <w:szCs w:val="44"/>
          <w:highlight w:val="none"/>
        </w:rPr>
        <w:t>第</w:t>
      </w:r>
      <w:r>
        <w:rPr>
          <w:rStyle w:val="32"/>
          <w:rFonts w:hint="eastAsia" w:ascii="黑体" w:hAnsi="黑体" w:eastAsia="黑体"/>
          <w:b w:val="0"/>
          <w:color w:val="auto"/>
          <w:highlight w:val="none"/>
        </w:rPr>
        <w:t>五部分 附表</w:t>
      </w:r>
      <w:bookmarkEnd w:id="90"/>
      <w:bookmarkEnd w:id="95"/>
      <w:bookmarkEnd w:id="96"/>
      <w:bookmarkStart w:id="97" w:name="_Toc15396619"/>
    </w:p>
    <w:p>
      <w:pPr>
        <w:pStyle w:val="5"/>
        <w:rPr>
          <w:rFonts w:ascii="仿宋" w:hAnsi="仿宋" w:eastAsia="仿宋"/>
          <w:color w:val="auto"/>
          <w:highlight w:val="none"/>
        </w:rPr>
      </w:pPr>
      <w:bookmarkStart w:id="98" w:name="_Toc9336"/>
      <w:r>
        <w:rPr>
          <w:rFonts w:hint="eastAsia" w:ascii="仿宋" w:hAnsi="仿宋" w:eastAsia="仿宋"/>
          <w:b w:val="0"/>
          <w:color w:val="auto"/>
          <w:highlight w:val="none"/>
        </w:rPr>
        <w:t>一、收</w:t>
      </w:r>
      <w:r>
        <w:rPr>
          <w:rStyle w:val="33"/>
          <w:rFonts w:hint="eastAsia" w:ascii="仿宋" w:hAnsi="仿宋" w:eastAsia="仿宋"/>
          <w:b w:val="0"/>
          <w:bCs w:val="0"/>
          <w:color w:val="auto"/>
          <w:highlight w:val="none"/>
        </w:rPr>
        <w:t>入支出决算总表</w:t>
      </w:r>
      <w:bookmarkEnd w:id="97"/>
      <w:bookmarkEnd w:id="98"/>
    </w:p>
    <w:p>
      <w:pPr>
        <w:pStyle w:val="5"/>
        <w:rPr>
          <w:rFonts w:ascii="仿宋" w:hAnsi="仿宋" w:eastAsia="仿宋"/>
          <w:color w:val="auto"/>
          <w:highlight w:val="none"/>
        </w:rPr>
      </w:pPr>
      <w:bookmarkStart w:id="99" w:name="_Toc15396620"/>
      <w:bookmarkStart w:id="100" w:name="_Toc2628"/>
      <w:r>
        <w:rPr>
          <w:rFonts w:hint="eastAsia" w:ascii="仿宋" w:hAnsi="仿宋" w:eastAsia="仿宋"/>
          <w:b w:val="0"/>
          <w:color w:val="auto"/>
          <w:highlight w:val="none"/>
        </w:rPr>
        <w:t>二、收</w:t>
      </w:r>
      <w:r>
        <w:rPr>
          <w:rStyle w:val="33"/>
          <w:rFonts w:hint="eastAsia" w:ascii="仿宋" w:hAnsi="仿宋" w:eastAsia="仿宋"/>
          <w:b w:val="0"/>
          <w:bCs w:val="0"/>
          <w:color w:val="auto"/>
          <w:highlight w:val="none"/>
        </w:rPr>
        <w:t>入决算表</w:t>
      </w:r>
      <w:bookmarkEnd w:id="99"/>
      <w:bookmarkEnd w:id="100"/>
    </w:p>
    <w:p>
      <w:pPr>
        <w:pStyle w:val="5"/>
        <w:rPr>
          <w:rFonts w:ascii="仿宋" w:hAnsi="仿宋" w:eastAsia="仿宋"/>
          <w:color w:val="auto"/>
          <w:highlight w:val="none"/>
        </w:rPr>
      </w:pPr>
      <w:bookmarkStart w:id="101" w:name="_Toc15396621"/>
      <w:bookmarkStart w:id="102" w:name="_Toc5244"/>
      <w:r>
        <w:rPr>
          <w:rStyle w:val="33"/>
          <w:rFonts w:hint="eastAsia" w:ascii="仿宋" w:hAnsi="仿宋" w:eastAsia="仿宋"/>
          <w:b w:val="0"/>
          <w:bCs w:val="0"/>
          <w:color w:val="auto"/>
          <w:highlight w:val="none"/>
        </w:rPr>
        <w:t>三、</w:t>
      </w:r>
      <w:r>
        <w:rPr>
          <w:rFonts w:hint="eastAsia" w:ascii="仿宋" w:hAnsi="仿宋" w:eastAsia="仿宋"/>
          <w:b w:val="0"/>
          <w:color w:val="auto"/>
          <w:highlight w:val="none"/>
        </w:rPr>
        <w:t>支</w:t>
      </w:r>
      <w:r>
        <w:rPr>
          <w:rStyle w:val="33"/>
          <w:rFonts w:hint="eastAsia" w:ascii="仿宋" w:hAnsi="仿宋" w:eastAsia="仿宋"/>
          <w:b w:val="0"/>
          <w:bCs w:val="0"/>
          <w:color w:val="auto"/>
          <w:highlight w:val="none"/>
        </w:rPr>
        <w:t>出决算表</w:t>
      </w:r>
      <w:bookmarkEnd w:id="101"/>
      <w:bookmarkEnd w:id="102"/>
    </w:p>
    <w:p>
      <w:pPr>
        <w:pStyle w:val="5"/>
        <w:rPr>
          <w:rFonts w:ascii="仿宋" w:hAnsi="仿宋" w:eastAsia="仿宋"/>
          <w:b w:val="0"/>
          <w:color w:val="auto"/>
          <w:highlight w:val="none"/>
        </w:rPr>
      </w:pPr>
      <w:bookmarkStart w:id="103" w:name="_Toc15396622"/>
      <w:bookmarkStart w:id="104" w:name="_Toc16426"/>
      <w:r>
        <w:rPr>
          <w:rStyle w:val="33"/>
          <w:rFonts w:hint="eastAsia" w:ascii="仿宋" w:hAnsi="仿宋" w:eastAsia="仿宋"/>
          <w:b w:val="0"/>
          <w:bCs w:val="0"/>
          <w:color w:val="auto"/>
          <w:highlight w:val="none"/>
        </w:rPr>
        <w:t>四、</w:t>
      </w:r>
      <w:r>
        <w:rPr>
          <w:rFonts w:hint="eastAsia" w:ascii="仿宋" w:hAnsi="仿宋" w:eastAsia="仿宋"/>
          <w:b w:val="0"/>
          <w:color w:val="auto"/>
          <w:highlight w:val="none"/>
        </w:rPr>
        <w:t>财</w:t>
      </w:r>
      <w:r>
        <w:rPr>
          <w:rStyle w:val="33"/>
          <w:rFonts w:hint="eastAsia" w:ascii="仿宋" w:hAnsi="仿宋" w:eastAsia="仿宋"/>
          <w:b w:val="0"/>
          <w:bCs w:val="0"/>
          <w:color w:val="auto"/>
          <w:highlight w:val="none"/>
        </w:rPr>
        <w:t>政拨款收入支出决算总表</w:t>
      </w:r>
      <w:bookmarkEnd w:id="103"/>
      <w:bookmarkEnd w:id="104"/>
    </w:p>
    <w:p>
      <w:pPr>
        <w:pStyle w:val="5"/>
        <w:rPr>
          <w:rStyle w:val="33"/>
          <w:rFonts w:ascii="仿宋" w:hAnsi="仿宋" w:eastAsia="仿宋"/>
          <w:b w:val="0"/>
          <w:bCs w:val="0"/>
          <w:color w:val="auto"/>
          <w:highlight w:val="none"/>
        </w:rPr>
      </w:pPr>
      <w:bookmarkStart w:id="105" w:name="_Toc15396623"/>
      <w:bookmarkStart w:id="106" w:name="_Toc9867"/>
      <w:r>
        <w:rPr>
          <w:rStyle w:val="33"/>
          <w:rFonts w:hint="eastAsia" w:ascii="仿宋" w:hAnsi="仿宋" w:eastAsia="仿宋"/>
          <w:b w:val="0"/>
          <w:bCs w:val="0"/>
          <w:color w:val="auto"/>
          <w:highlight w:val="none"/>
        </w:rPr>
        <w:t>五、</w:t>
      </w:r>
      <w:r>
        <w:rPr>
          <w:rFonts w:hint="eastAsia" w:ascii="仿宋" w:hAnsi="仿宋" w:eastAsia="仿宋"/>
          <w:b w:val="0"/>
          <w:color w:val="auto"/>
          <w:highlight w:val="none"/>
        </w:rPr>
        <w:t>财</w:t>
      </w:r>
      <w:r>
        <w:rPr>
          <w:rStyle w:val="33"/>
          <w:rFonts w:hint="eastAsia" w:ascii="仿宋" w:hAnsi="仿宋" w:eastAsia="仿宋"/>
          <w:b w:val="0"/>
          <w:bCs w:val="0"/>
          <w:color w:val="auto"/>
          <w:highlight w:val="none"/>
        </w:rPr>
        <w:t>政拨款支出决算明细表</w:t>
      </w:r>
      <w:bookmarkEnd w:id="105"/>
      <w:bookmarkEnd w:id="106"/>
      <w:bookmarkStart w:id="107" w:name="_Toc15396624"/>
    </w:p>
    <w:p>
      <w:pPr>
        <w:pStyle w:val="5"/>
        <w:rPr>
          <w:rFonts w:ascii="仿宋" w:hAnsi="仿宋" w:eastAsia="仿宋"/>
          <w:color w:val="auto"/>
          <w:highlight w:val="none"/>
        </w:rPr>
      </w:pPr>
      <w:bookmarkStart w:id="108" w:name="_Toc7642"/>
      <w:r>
        <w:rPr>
          <w:rStyle w:val="33"/>
          <w:rFonts w:hint="eastAsia" w:ascii="仿宋" w:hAnsi="仿宋" w:eastAsia="仿宋"/>
          <w:b w:val="0"/>
          <w:bCs w:val="0"/>
          <w:color w:val="auto"/>
          <w:highlight w:val="none"/>
        </w:rPr>
        <w:t>六、</w:t>
      </w:r>
      <w:r>
        <w:rPr>
          <w:rFonts w:hint="eastAsia" w:ascii="仿宋" w:hAnsi="仿宋" w:eastAsia="仿宋"/>
          <w:b w:val="0"/>
          <w:color w:val="auto"/>
          <w:highlight w:val="none"/>
        </w:rPr>
        <w:t>一</w:t>
      </w:r>
      <w:r>
        <w:rPr>
          <w:rStyle w:val="33"/>
          <w:rFonts w:hint="eastAsia" w:ascii="仿宋" w:hAnsi="仿宋" w:eastAsia="仿宋"/>
          <w:b w:val="0"/>
          <w:bCs w:val="0"/>
          <w:color w:val="auto"/>
          <w:highlight w:val="none"/>
        </w:rPr>
        <w:t>般公共预算财政拨款支出决算表</w:t>
      </w:r>
      <w:bookmarkEnd w:id="107"/>
      <w:bookmarkEnd w:id="108"/>
    </w:p>
    <w:p>
      <w:pPr>
        <w:pStyle w:val="5"/>
        <w:rPr>
          <w:rFonts w:ascii="仿宋" w:hAnsi="仿宋" w:eastAsia="仿宋"/>
          <w:color w:val="auto"/>
          <w:highlight w:val="none"/>
        </w:rPr>
      </w:pPr>
      <w:bookmarkStart w:id="109" w:name="_Toc15396625"/>
      <w:bookmarkStart w:id="110" w:name="_Toc17543"/>
      <w:r>
        <w:rPr>
          <w:rStyle w:val="33"/>
          <w:rFonts w:hint="eastAsia" w:ascii="仿宋" w:hAnsi="仿宋" w:eastAsia="仿宋"/>
          <w:b w:val="0"/>
          <w:bCs w:val="0"/>
          <w:color w:val="auto"/>
          <w:highlight w:val="none"/>
        </w:rPr>
        <w:t>七、</w:t>
      </w:r>
      <w:r>
        <w:rPr>
          <w:rFonts w:hint="eastAsia" w:ascii="仿宋" w:hAnsi="仿宋" w:eastAsia="仿宋"/>
          <w:b w:val="0"/>
          <w:color w:val="auto"/>
          <w:highlight w:val="none"/>
        </w:rPr>
        <w:t>一</w:t>
      </w:r>
      <w:r>
        <w:rPr>
          <w:rStyle w:val="33"/>
          <w:rFonts w:hint="eastAsia" w:ascii="仿宋" w:hAnsi="仿宋" w:eastAsia="仿宋"/>
          <w:b w:val="0"/>
          <w:bCs w:val="0"/>
          <w:color w:val="auto"/>
          <w:highlight w:val="none"/>
        </w:rPr>
        <w:t>般公共预算财政拨款支出决算明细表</w:t>
      </w:r>
      <w:bookmarkEnd w:id="109"/>
      <w:bookmarkEnd w:id="110"/>
    </w:p>
    <w:p>
      <w:pPr>
        <w:pStyle w:val="5"/>
        <w:rPr>
          <w:rFonts w:ascii="仿宋" w:hAnsi="仿宋" w:eastAsia="仿宋"/>
          <w:color w:val="auto"/>
          <w:highlight w:val="none"/>
        </w:rPr>
      </w:pPr>
      <w:bookmarkStart w:id="111" w:name="_Toc15396626"/>
      <w:bookmarkStart w:id="112" w:name="_Toc18149"/>
      <w:r>
        <w:rPr>
          <w:rStyle w:val="33"/>
          <w:rFonts w:hint="eastAsia" w:ascii="仿宋" w:hAnsi="仿宋" w:eastAsia="仿宋"/>
          <w:b w:val="0"/>
          <w:bCs w:val="0"/>
          <w:color w:val="auto"/>
          <w:highlight w:val="none"/>
        </w:rPr>
        <w:t>八、</w:t>
      </w:r>
      <w:r>
        <w:rPr>
          <w:rFonts w:hint="eastAsia" w:ascii="仿宋" w:hAnsi="仿宋" w:eastAsia="仿宋"/>
          <w:b w:val="0"/>
          <w:color w:val="auto"/>
          <w:highlight w:val="none"/>
        </w:rPr>
        <w:t>一</w:t>
      </w:r>
      <w:r>
        <w:rPr>
          <w:rStyle w:val="33"/>
          <w:rFonts w:hint="eastAsia" w:ascii="仿宋" w:hAnsi="仿宋" w:eastAsia="仿宋"/>
          <w:b w:val="0"/>
          <w:bCs w:val="0"/>
          <w:color w:val="auto"/>
          <w:highlight w:val="none"/>
        </w:rPr>
        <w:t>般公共预算财政拨款基本支出决算表</w:t>
      </w:r>
      <w:bookmarkEnd w:id="111"/>
      <w:bookmarkEnd w:id="112"/>
    </w:p>
    <w:p>
      <w:pPr>
        <w:pStyle w:val="5"/>
        <w:rPr>
          <w:rFonts w:ascii="仿宋" w:hAnsi="仿宋" w:eastAsia="仿宋"/>
          <w:color w:val="auto"/>
          <w:highlight w:val="none"/>
        </w:rPr>
      </w:pPr>
      <w:bookmarkStart w:id="113" w:name="_Toc15396627"/>
      <w:bookmarkStart w:id="114" w:name="_Toc18446"/>
      <w:r>
        <w:rPr>
          <w:rStyle w:val="33"/>
          <w:rFonts w:hint="eastAsia" w:ascii="仿宋" w:hAnsi="仿宋" w:eastAsia="仿宋"/>
          <w:b w:val="0"/>
          <w:bCs w:val="0"/>
          <w:color w:val="auto"/>
          <w:highlight w:val="none"/>
        </w:rPr>
        <w:t>九、</w:t>
      </w:r>
      <w:r>
        <w:rPr>
          <w:rFonts w:hint="eastAsia" w:ascii="仿宋" w:hAnsi="仿宋" w:eastAsia="仿宋"/>
          <w:b w:val="0"/>
          <w:color w:val="auto"/>
          <w:highlight w:val="none"/>
        </w:rPr>
        <w:t>一</w:t>
      </w:r>
      <w:r>
        <w:rPr>
          <w:rStyle w:val="33"/>
          <w:rFonts w:hint="eastAsia" w:ascii="仿宋" w:hAnsi="仿宋" w:eastAsia="仿宋"/>
          <w:b w:val="0"/>
          <w:bCs w:val="0"/>
          <w:color w:val="auto"/>
          <w:highlight w:val="none"/>
        </w:rPr>
        <w:t>般公共预算财政拨款项目支出决算表</w:t>
      </w:r>
      <w:bookmarkEnd w:id="113"/>
      <w:bookmarkEnd w:id="114"/>
    </w:p>
    <w:p>
      <w:pPr>
        <w:pStyle w:val="5"/>
        <w:rPr>
          <w:rFonts w:ascii="仿宋" w:hAnsi="仿宋" w:eastAsia="仿宋"/>
          <w:color w:val="auto"/>
          <w:highlight w:val="none"/>
        </w:rPr>
      </w:pPr>
      <w:bookmarkStart w:id="115" w:name="_Toc15396628"/>
      <w:bookmarkStart w:id="116" w:name="_Toc10614"/>
      <w:r>
        <w:rPr>
          <w:rStyle w:val="33"/>
          <w:rFonts w:hint="eastAsia" w:ascii="仿宋" w:hAnsi="仿宋" w:eastAsia="仿宋"/>
          <w:b w:val="0"/>
          <w:bCs w:val="0"/>
          <w:color w:val="auto"/>
          <w:highlight w:val="none"/>
        </w:rPr>
        <w:t>十、</w:t>
      </w:r>
      <w:bookmarkEnd w:id="115"/>
      <w:r>
        <w:rPr>
          <w:rFonts w:hint="eastAsia" w:ascii="仿宋" w:hAnsi="仿宋" w:eastAsia="仿宋"/>
          <w:b w:val="0"/>
          <w:color w:val="auto"/>
          <w:highlight w:val="none"/>
        </w:rPr>
        <w:t>政</w:t>
      </w:r>
      <w:r>
        <w:rPr>
          <w:rStyle w:val="33"/>
          <w:rFonts w:hint="eastAsia" w:ascii="仿宋" w:hAnsi="仿宋" w:eastAsia="仿宋"/>
          <w:b w:val="0"/>
          <w:bCs w:val="0"/>
          <w:color w:val="auto"/>
          <w:highlight w:val="none"/>
        </w:rPr>
        <w:t>府性基金预算财政拨款收入支出决算表</w:t>
      </w:r>
      <w:bookmarkEnd w:id="116"/>
    </w:p>
    <w:p>
      <w:pPr>
        <w:pStyle w:val="5"/>
        <w:rPr>
          <w:rFonts w:ascii="仿宋" w:hAnsi="仿宋" w:eastAsia="仿宋"/>
          <w:color w:val="auto"/>
          <w:highlight w:val="none"/>
        </w:rPr>
      </w:pPr>
      <w:bookmarkStart w:id="117" w:name="_Toc15396629"/>
      <w:bookmarkStart w:id="118" w:name="_Toc7551"/>
      <w:r>
        <w:rPr>
          <w:rStyle w:val="33"/>
          <w:rFonts w:hint="eastAsia" w:ascii="仿宋" w:hAnsi="仿宋" w:eastAsia="仿宋"/>
          <w:b w:val="0"/>
          <w:bCs w:val="0"/>
          <w:color w:val="auto"/>
          <w:highlight w:val="none"/>
        </w:rPr>
        <w:t>十一、</w:t>
      </w:r>
      <w:bookmarkEnd w:id="117"/>
      <w:r>
        <w:rPr>
          <w:rFonts w:hint="eastAsia" w:ascii="仿宋" w:hAnsi="仿宋" w:eastAsia="仿宋"/>
          <w:b w:val="0"/>
          <w:color w:val="auto"/>
          <w:highlight w:val="none"/>
        </w:rPr>
        <w:t>国</w:t>
      </w:r>
      <w:r>
        <w:rPr>
          <w:rStyle w:val="33"/>
          <w:rFonts w:hint="eastAsia" w:ascii="仿宋" w:hAnsi="仿宋" w:eastAsia="仿宋"/>
          <w:b w:val="0"/>
          <w:bCs w:val="0"/>
          <w:color w:val="auto"/>
          <w:highlight w:val="none"/>
        </w:rPr>
        <w:t>有资本经营预算</w:t>
      </w:r>
      <w:r>
        <w:rPr>
          <w:rStyle w:val="33"/>
          <w:rFonts w:hint="eastAsia" w:ascii="仿宋" w:hAnsi="仿宋" w:eastAsia="仿宋"/>
          <w:b w:val="0"/>
          <w:bCs w:val="0"/>
          <w:color w:val="auto"/>
          <w:highlight w:val="none"/>
          <w:lang w:eastAsia="zh-CN"/>
        </w:rPr>
        <w:t>财政拨款收入</w:t>
      </w:r>
      <w:r>
        <w:rPr>
          <w:rStyle w:val="33"/>
          <w:rFonts w:hint="eastAsia" w:ascii="仿宋" w:hAnsi="仿宋" w:eastAsia="仿宋"/>
          <w:b w:val="0"/>
          <w:bCs w:val="0"/>
          <w:color w:val="auto"/>
          <w:highlight w:val="none"/>
        </w:rPr>
        <w:t>支出决算表</w:t>
      </w:r>
      <w:bookmarkEnd w:id="118"/>
    </w:p>
    <w:p>
      <w:pPr>
        <w:pStyle w:val="5"/>
        <w:rPr>
          <w:rFonts w:ascii="仿宋" w:hAnsi="仿宋" w:eastAsia="仿宋"/>
          <w:color w:val="auto"/>
          <w:highlight w:val="none"/>
        </w:rPr>
      </w:pPr>
      <w:bookmarkStart w:id="119" w:name="_Toc15396630"/>
      <w:bookmarkStart w:id="120" w:name="_Toc25554"/>
      <w:r>
        <w:rPr>
          <w:rStyle w:val="33"/>
          <w:rFonts w:hint="eastAsia" w:ascii="仿宋" w:hAnsi="仿宋" w:eastAsia="仿宋"/>
          <w:b w:val="0"/>
          <w:bCs w:val="0"/>
          <w:color w:val="auto"/>
          <w:highlight w:val="none"/>
        </w:rPr>
        <w:t>十二、</w:t>
      </w:r>
      <w:bookmarkEnd w:id="119"/>
      <w:r>
        <w:rPr>
          <w:rStyle w:val="33"/>
          <w:rFonts w:hint="eastAsia" w:ascii="仿宋" w:hAnsi="仿宋" w:eastAsia="仿宋"/>
          <w:b w:val="0"/>
          <w:bCs w:val="0"/>
          <w:color w:val="auto"/>
          <w:highlight w:val="none"/>
          <w:lang w:eastAsia="zh-CN"/>
        </w:rPr>
        <w:t>国有资本经营预算财政拨款支出决算表</w:t>
      </w:r>
      <w:bookmarkEnd w:id="120"/>
    </w:p>
    <w:p>
      <w:pPr>
        <w:pStyle w:val="5"/>
        <w:rPr>
          <w:rFonts w:hint="eastAsia" w:eastAsia="仿宋"/>
          <w:color w:val="auto"/>
          <w:highlight w:val="none"/>
          <w:lang w:eastAsia="zh-CN"/>
        </w:rPr>
      </w:pPr>
      <w:bookmarkStart w:id="121" w:name="_Toc15396631"/>
      <w:bookmarkStart w:id="122" w:name="_Toc10243"/>
      <w:r>
        <w:rPr>
          <w:rStyle w:val="33"/>
          <w:rFonts w:hint="eastAsia" w:ascii="仿宋" w:hAnsi="仿宋" w:eastAsia="仿宋"/>
          <w:b w:val="0"/>
          <w:bCs w:val="0"/>
          <w:color w:val="auto"/>
          <w:highlight w:val="none"/>
        </w:rPr>
        <w:t>十三、</w:t>
      </w:r>
      <w:bookmarkEnd w:id="121"/>
      <w:r>
        <w:rPr>
          <w:rStyle w:val="33"/>
          <w:rFonts w:hint="eastAsia" w:ascii="仿宋" w:hAnsi="仿宋" w:eastAsia="仿宋"/>
          <w:b w:val="0"/>
          <w:bCs w:val="0"/>
          <w:color w:val="auto"/>
          <w:highlight w:val="none"/>
          <w:lang w:eastAsia="zh-CN"/>
        </w:rPr>
        <w:t>财政拨款“三公”经费支出决算表</w:t>
      </w:r>
      <w:bookmarkEnd w:id="122"/>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34"/>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00000" w:csb1="00000000"/>
  </w:font>
  <w:font w:name="方正小标宋简体">
    <w:panose1 w:val="02010601030101010101"/>
    <w:charset w:val="86"/>
    <w:family w:val="script"/>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仿宋_GB2312">
    <w:altName w:val="仿宋"/>
    <w:panose1 w:val="02000000000000000000"/>
    <w:charset w:val="86"/>
    <w:family w:val="auto"/>
    <w:pitch w:val="default"/>
    <w:sig w:usb0="00000000" w:usb1="00000000"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4781956"/>
    </w:sdtPr>
    <w:sdtContent>
      <w:p>
        <w:pPr>
          <w:pStyle w:val="12"/>
          <w:jc w:val="center"/>
        </w:pPr>
        <w:r>
          <w:fldChar w:fldCharType="begin"/>
        </w:r>
        <w:r>
          <w:instrText xml:space="preserve">PAGE   \* MERGEFORMAT</w:instrText>
        </w:r>
        <w:r>
          <w:fldChar w:fldCharType="separate"/>
        </w:r>
        <w:r>
          <w:rPr>
            <w:lang w:val="zh-CN"/>
          </w:rPr>
          <w:t>8</w:t>
        </w:r>
        <w:r>
          <w:fldChar w:fldCharType="end"/>
        </w:r>
      </w:p>
    </w:sdtContent>
  </w:sdt>
  <w:p>
    <w:pPr>
      <w:pStyle w:val="1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B8AE9BA"/>
    <w:multiLevelType w:val="singleLevel"/>
    <w:tmpl w:val="AB8AE9BA"/>
    <w:lvl w:ilvl="0" w:tentative="0">
      <w:start w:val="1"/>
      <w:numFmt w:val="chineseCounting"/>
      <w:suff w:val="nothing"/>
      <w:lvlText w:val="%1、"/>
      <w:lvlJc w:val="left"/>
      <w:rPr>
        <w:rFonts w:hint="eastAsia"/>
      </w:rPr>
    </w:lvl>
  </w:abstractNum>
  <w:abstractNum w:abstractNumId="1">
    <w:nsid w:val="B13B4513"/>
    <w:multiLevelType w:val="singleLevel"/>
    <w:tmpl w:val="B13B4513"/>
    <w:lvl w:ilvl="0" w:tentative="0">
      <w:start w:val="1"/>
      <w:numFmt w:val="decimal"/>
      <w:lvlText w:val="%1."/>
      <w:lvlJc w:val="left"/>
      <w:pPr>
        <w:tabs>
          <w:tab w:val="left" w:pos="312"/>
        </w:tabs>
      </w:pPr>
    </w:lvl>
  </w:abstractNum>
  <w:abstractNum w:abstractNumId="2">
    <w:nsid w:val="CF652CEC"/>
    <w:multiLevelType w:val="singleLevel"/>
    <w:tmpl w:val="CF652CEC"/>
    <w:lvl w:ilvl="0" w:tentative="0">
      <w:start w:val="9"/>
      <w:numFmt w:val="chineseCounting"/>
      <w:suff w:val="nothing"/>
      <w:lvlText w:val="%1、"/>
      <w:lvlJc w:val="left"/>
      <w:rPr>
        <w:rFonts w:hint="eastAsia"/>
      </w:rPr>
    </w:lvl>
  </w:abstractNum>
  <w:abstractNum w:abstractNumId="3">
    <w:nsid w:val="E2FA047D"/>
    <w:multiLevelType w:val="singleLevel"/>
    <w:tmpl w:val="E2FA047D"/>
    <w:lvl w:ilvl="0" w:tentative="0">
      <w:start w:val="3"/>
      <w:numFmt w:val="chineseCounting"/>
      <w:suff w:val="space"/>
      <w:lvlText w:val="第%1部分"/>
      <w:lvlJc w:val="left"/>
      <w:rPr>
        <w:rFonts w:hint="eastAsia"/>
      </w:rPr>
    </w:lvl>
  </w:abstractNum>
  <w:abstractNum w:abstractNumId="4">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5">
    <w:nsid w:val="1433F37D"/>
    <w:multiLevelType w:val="singleLevel"/>
    <w:tmpl w:val="1433F37D"/>
    <w:lvl w:ilvl="0" w:tentative="0">
      <w:start w:val="2"/>
      <w:numFmt w:val="chineseCounting"/>
      <w:suff w:val="nothing"/>
      <w:lvlText w:val="（%1）"/>
      <w:lvlJc w:val="left"/>
      <w:rPr>
        <w:rFonts w:hint="eastAsia"/>
      </w:rPr>
    </w:lvl>
  </w:abstractNum>
  <w:abstractNum w:abstractNumId="6">
    <w:nsid w:val="33A27467"/>
    <w:multiLevelType w:val="singleLevel"/>
    <w:tmpl w:val="33A27467"/>
    <w:lvl w:ilvl="0" w:tentative="0">
      <w:start w:val="1"/>
      <w:numFmt w:val="chineseCounting"/>
      <w:suff w:val="nothing"/>
      <w:lvlText w:val="%1、"/>
      <w:lvlJc w:val="left"/>
      <w:rPr>
        <w:rFonts w:hint="eastAsia"/>
      </w:rPr>
    </w:lvl>
  </w:abstractNum>
  <w:abstractNum w:abstractNumId="7">
    <w:nsid w:val="4DC80EDB"/>
    <w:multiLevelType w:val="singleLevel"/>
    <w:tmpl w:val="4DC80EDB"/>
    <w:lvl w:ilvl="0" w:tentative="0">
      <w:start w:val="1"/>
      <w:numFmt w:val="chineseCounting"/>
      <w:suff w:val="nothing"/>
      <w:lvlText w:val="（%1）"/>
      <w:lvlJc w:val="left"/>
      <w:rPr>
        <w:rFonts w:hint="eastAsia"/>
      </w:rPr>
    </w:lvl>
  </w:abstractNum>
  <w:abstractNum w:abstractNumId="8">
    <w:nsid w:val="5393F6B9"/>
    <w:multiLevelType w:val="singleLevel"/>
    <w:tmpl w:val="5393F6B9"/>
    <w:lvl w:ilvl="0" w:tentative="0">
      <w:start w:val="2"/>
      <w:numFmt w:val="chineseCounting"/>
      <w:suff w:val="nothing"/>
      <w:lvlText w:val="%1、"/>
      <w:lvlJc w:val="left"/>
      <w:rPr>
        <w:rFonts w:hint="eastAsia"/>
      </w:rPr>
    </w:lvl>
  </w:abstractNum>
  <w:num w:numId="1">
    <w:abstractNumId w:val="6"/>
  </w:num>
  <w:num w:numId="2">
    <w:abstractNumId w:val="4"/>
  </w:num>
  <w:num w:numId="3">
    <w:abstractNumId w:val="2"/>
  </w:num>
  <w:num w:numId="4">
    <w:abstractNumId w:val="3"/>
  </w:num>
  <w:num w:numId="5">
    <w:abstractNumId w:val="0"/>
  </w:num>
  <w:num w:numId="6">
    <w:abstractNumId w:val="7"/>
  </w:num>
  <w:num w:numId="7">
    <w:abstractNumId w:val="5"/>
  </w:num>
  <w:num w:numId="8">
    <w:abstractNumId w:val="8"/>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llZGNkZWEzYjg0NDNmNTQ5MjkzNjk0ODlhNmVkYzAifQ=="/>
  </w:docVars>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94DC9"/>
    <w:rsid w:val="00295495"/>
    <w:rsid w:val="002A31DE"/>
    <w:rsid w:val="002B2613"/>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40625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505A47"/>
    <w:rsid w:val="00512FDA"/>
    <w:rsid w:val="00520DA0"/>
    <w:rsid w:val="005664BB"/>
    <w:rsid w:val="00566FFA"/>
    <w:rsid w:val="0057481D"/>
    <w:rsid w:val="0058486E"/>
    <w:rsid w:val="00585B33"/>
    <w:rsid w:val="0059014D"/>
    <w:rsid w:val="005B5C64"/>
    <w:rsid w:val="005C5337"/>
    <w:rsid w:val="005C6BD0"/>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E23E5"/>
    <w:rsid w:val="007F1991"/>
    <w:rsid w:val="007F2C2F"/>
    <w:rsid w:val="007F55FC"/>
    <w:rsid w:val="007F5665"/>
    <w:rsid w:val="00800112"/>
    <w:rsid w:val="00813348"/>
    <w:rsid w:val="008253BB"/>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A4B"/>
    <w:rsid w:val="009C2E98"/>
    <w:rsid w:val="009D3447"/>
    <w:rsid w:val="009D4711"/>
    <w:rsid w:val="009F1185"/>
    <w:rsid w:val="009F18CD"/>
    <w:rsid w:val="009F2A13"/>
    <w:rsid w:val="009F7527"/>
    <w:rsid w:val="00A04EB0"/>
    <w:rsid w:val="00A13CC1"/>
    <w:rsid w:val="00A16847"/>
    <w:rsid w:val="00A237D8"/>
    <w:rsid w:val="00A268C4"/>
    <w:rsid w:val="00A307CD"/>
    <w:rsid w:val="00A331C8"/>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5620"/>
    <w:rsid w:val="00AD656B"/>
    <w:rsid w:val="00AD7C1B"/>
    <w:rsid w:val="00AE16BA"/>
    <w:rsid w:val="00AE1EBE"/>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CBA"/>
    <w:rsid w:val="00DD73B7"/>
    <w:rsid w:val="00DF28BC"/>
    <w:rsid w:val="00DF34B9"/>
    <w:rsid w:val="00E01053"/>
    <w:rsid w:val="00E07ACF"/>
    <w:rsid w:val="00E331A1"/>
    <w:rsid w:val="00E33202"/>
    <w:rsid w:val="00E336A9"/>
    <w:rsid w:val="00E472B1"/>
    <w:rsid w:val="00E50624"/>
    <w:rsid w:val="00E568DF"/>
    <w:rsid w:val="00E64269"/>
    <w:rsid w:val="00E82267"/>
    <w:rsid w:val="00E853CE"/>
    <w:rsid w:val="00E867B6"/>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15975B8"/>
    <w:rsid w:val="02143E91"/>
    <w:rsid w:val="05987FA7"/>
    <w:rsid w:val="066E0107"/>
    <w:rsid w:val="07996F6E"/>
    <w:rsid w:val="0A2032A3"/>
    <w:rsid w:val="0B0264D2"/>
    <w:rsid w:val="0F55667C"/>
    <w:rsid w:val="0F98263C"/>
    <w:rsid w:val="101860EC"/>
    <w:rsid w:val="10C055FF"/>
    <w:rsid w:val="118107EC"/>
    <w:rsid w:val="13D50BC4"/>
    <w:rsid w:val="16BB723D"/>
    <w:rsid w:val="19FE255B"/>
    <w:rsid w:val="1BE8440E"/>
    <w:rsid w:val="1D155CEE"/>
    <w:rsid w:val="1EF95861"/>
    <w:rsid w:val="1FF35744"/>
    <w:rsid w:val="23860B96"/>
    <w:rsid w:val="240371BF"/>
    <w:rsid w:val="29FD04D3"/>
    <w:rsid w:val="2C8A61B5"/>
    <w:rsid w:val="2DF04E50"/>
    <w:rsid w:val="2F040D46"/>
    <w:rsid w:val="300E44B6"/>
    <w:rsid w:val="319F7F4E"/>
    <w:rsid w:val="324F0A81"/>
    <w:rsid w:val="3304709D"/>
    <w:rsid w:val="33090A99"/>
    <w:rsid w:val="34751EB6"/>
    <w:rsid w:val="36AA5135"/>
    <w:rsid w:val="376D39B2"/>
    <w:rsid w:val="37E16F03"/>
    <w:rsid w:val="38D469F0"/>
    <w:rsid w:val="3D98207C"/>
    <w:rsid w:val="3E78745D"/>
    <w:rsid w:val="44E268DA"/>
    <w:rsid w:val="48EC5AF0"/>
    <w:rsid w:val="4A627F82"/>
    <w:rsid w:val="4B0449A9"/>
    <w:rsid w:val="4B0E749A"/>
    <w:rsid w:val="4B4F25DA"/>
    <w:rsid w:val="4BE068DB"/>
    <w:rsid w:val="4D577224"/>
    <w:rsid w:val="4EAB630A"/>
    <w:rsid w:val="4ECE2238"/>
    <w:rsid w:val="4FB3346A"/>
    <w:rsid w:val="537E6D0A"/>
    <w:rsid w:val="5AF92295"/>
    <w:rsid w:val="5CD71FC4"/>
    <w:rsid w:val="69BB78CE"/>
    <w:rsid w:val="6C4A05C8"/>
    <w:rsid w:val="6C6B0755"/>
    <w:rsid w:val="6E7E3605"/>
    <w:rsid w:val="6E8126B3"/>
    <w:rsid w:val="6FF5CC65"/>
    <w:rsid w:val="715C0E4B"/>
    <w:rsid w:val="71883D59"/>
    <w:rsid w:val="72734D90"/>
    <w:rsid w:val="73AD73D5"/>
    <w:rsid w:val="73B6EB34"/>
    <w:rsid w:val="744731E5"/>
    <w:rsid w:val="76E3355F"/>
    <w:rsid w:val="778769C8"/>
    <w:rsid w:val="79EE5BA4"/>
    <w:rsid w:val="7A894339"/>
    <w:rsid w:val="7EEF11D3"/>
    <w:rsid w:val="7FA30C79"/>
    <w:rsid w:val="7FB7269E"/>
    <w:rsid w:val="7FC96657"/>
    <w:rsid w:val="D8D6DB89"/>
    <w:rsid w:val="DB6F4CAB"/>
    <w:rsid w:val="DF6F9789"/>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qFormat="1" w:uiPriority="99" w:semiHidden="0"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qFormat="1" w:unhideWhenUsed="0" w:uiPriority="99" w:semiHidden="0"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32"/>
    <w:qFormat/>
    <w:uiPriority w:val="9"/>
    <w:pPr>
      <w:keepNext/>
      <w:keepLines/>
      <w:spacing w:before="340" w:after="330" w:line="578" w:lineRule="auto"/>
      <w:outlineLvl w:val="0"/>
    </w:pPr>
    <w:rPr>
      <w:b/>
      <w:bCs/>
      <w:kern w:val="44"/>
      <w:sz w:val="44"/>
      <w:szCs w:val="44"/>
    </w:rPr>
  </w:style>
  <w:style w:type="paragraph" w:styleId="5">
    <w:name w:val="heading 2"/>
    <w:basedOn w:val="1"/>
    <w:next w:val="1"/>
    <w:link w:val="33"/>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6">
    <w:name w:val="heading 3"/>
    <w:basedOn w:val="1"/>
    <w:next w:val="1"/>
    <w:link w:val="36"/>
    <w:unhideWhenUsed/>
    <w:qFormat/>
    <w:uiPriority w:val="9"/>
    <w:pPr>
      <w:keepNext/>
      <w:keepLines/>
      <w:spacing w:before="260" w:after="260" w:line="416" w:lineRule="auto"/>
      <w:outlineLvl w:val="2"/>
    </w:pPr>
    <w:rPr>
      <w:b/>
      <w:bCs/>
      <w:sz w:val="32"/>
      <w:szCs w:val="32"/>
    </w:rPr>
  </w:style>
  <w:style w:type="character" w:default="1" w:styleId="19">
    <w:name w:val="Default Paragraph Font"/>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link w:val="29"/>
    <w:qFormat/>
    <w:uiPriority w:val="99"/>
    <w:pPr>
      <w:spacing w:beforeLines="30"/>
    </w:pPr>
    <w:rPr>
      <w:rFonts w:ascii="仿宋_GB2312" w:eastAsia="仿宋_GB2312"/>
      <w:kern w:val="0"/>
      <w:sz w:val="30"/>
    </w:rPr>
  </w:style>
  <w:style w:type="paragraph" w:styleId="3">
    <w:name w:val="index 8"/>
    <w:basedOn w:val="1"/>
    <w:next w:val="1"/>
    <w:unhideWhenUsed/>
    <w:qFormat/>
    <w:uiPriority w:val="99"/>
    <w:pPr>
      <w:ind w:left="2940"/>
    </w:pPr>
  </w:style>
  <w:style w:type="paragraph" w:styleId="7">
    <w:name w:val="Normal Indent"/>
    <w:basedOn w:val="1"/>
    <w:qFormat/>
    <w:uiPriority w:val="0"/>
    <w:pPr>
      <w:ind w:firstLine="200" w:firstLineChars="200"/>
    </w:pPr>
    <w:rPr>
      <w:kern w:val="0"/>
      <w:sz w:val="20"/>
    </w:rPr>
  </w:style>
  <w:style w:type="paragraph" w:styleId="8">
    <w:name w:val="Salutation"/>
    <w:basedOn w:val="1"/>
    <w:next w:val="1"/>
    <w:qFormat/>
    <w:uiPriority w:val="99"/>
  </w:style>
  <w:style w:type="paragraph" w:styleId="9">
    <w:name w:val="Body Text Indent"/>
    <w:basedOn w:val="1"/>
    <w:qFormat/>
    <w:uiPriority w:val="0"/>
    <w:pPr>
      <w:spacing w:after="120"/>
      <w:ind w:leftChars="200"/>
    </w:pPr>
    <w:rPr>
      <w:rFonts w:ascii="仿宋_GB2312"/>
      <w:szCs w:val="32"/>
    </w:rPr>
  </w:style>
  <w:style w:type="paragraph" w:styleId="10">
    <w:name w:val="toc 3"/>
    <w:basedOn w:val="1"/>
    <w:next w:val="1"/>
    <w:unhideWhenUsed/>
    <w:qFormat/>
    <w:uiPriority w:val="39"/>
    <w:pPr>
      <w:tabs>
        <w:tab w:val="right" w:leader="dot" w:pos="8296"/>
      </w:tabs>
      <w:ind w:left="840" w:leftChars="400"/>
    </w:pPr>
  </w:style>
  <w:style w:type="paragraph" w:styleId="11">
    <w:name w:val="Balloon Text"/>
    <w:basedOn w:val="1"/>
    <w:link w:val="35"/>
    <w:semiHidden/>
    <w:unhideWhenUsed/>
    <w:qFormat/>
    <w:uiPriority w:val="99"/>
    <w:rPr>
      <w:sz w:val="18"/>
      <w:szCs w:val="18"/>
    </w:rPr>
  </w:style>
  <w:style w:type="paragraph" w:styleId="12">
    <w:name w:val="footer"/>
    <w:basedOn w:val="1"/>
    <w:link w:val="27"/>
    <w:qFormat/>
    <w:uiPriority w:val="99"/>
    <w:pPr>
      <w:tabs>
        <w:tab w:val="center" w:pos="4153"/>
        <w:tab w:val="right" w:pos="8306"/>
      </w:tabs>
      <w:snapToGrid w:val="0"/>
      <w:jc w:val="left"/>
    </w:pPr>
    <w:rPr>
      <w:rFonts w:ascii="Calibri" w:hAnsi="Calibri"/>
      <w:kern w:val="0"/>
      <w:sz w:val="18"/>
      <w:szCs w:val="18"/>
    </w:rPr>
  </w:style>
  <w:style w:type="paragraph" w:styleId="13">
    <w:name w:val="header"/>
    <w:basedOn w:val="1"/>
    <w:link w:val="25"/>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4">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5">
    <w:name w:val="toc 2"/>
    <w:basedOn w:val="1"/>
    <w:next w:val="1"/>
    <w:unhideWhenUsed/>
    <w:qFormat/>
    <w:uiPriority w:val="39"/>
    <w:pPr>
      <w:tabs>
        <w:tab w:val="right" w:leader="dot" w:pos="8296"/>
      </w:tabs>
      <w:ind w:left="420" w:leftChars="200"/>
    </w:pPr>
  </w:style>
  <w:style w:type="paragraph" w:styleId="16">
    <w:name w:val="Normal (Web)"/>
    <w:basedOn w:val="1"/>
    <w:qFormat/>
    <w:uiPriority w:val="0"/>
    <w:pPr>
      <w:spacing w:before="0" w:beforeAutospacing="1" w:after="0" w:afterAutospacing="1"/>
      <w:ind w:left="0" w:right="0"/>
      <w:jc w:val="left"/>
    </w:pPr>
    <w:rPr>
      <w:kern w:val="0"/>
      <w:sz w:val="24"/>
      <w:lang w:val="en-US" w:eastAsia="zh-CN" w:bidi="ar"/>
    </w:rPr>
  </w:style>
  <w:style w:type="paragraph" w:styleId="17">
    <w:name w:val="Body Text First Indent 2"/>
    <w:basedOn w:val="9"/>
    <w:unhideWhenUsed/>
    <w:qFormat/>
    <w:uiPriority w:val="99"/>
    <w:pPr>
      <w:ind w:firstLine="420" w:firstLineChars="200"/>
    </w:pPr>
  </w:style>
  <w:style w:type="character" w:styleId="20">
    <w:name w:val="Strong"/>
    <w:basedOn w:val="19"/>
    <w:qFormat/>
    <w:uiPriority w:val="99"/>
    <w:rPr>
      <w:b/>
    </w:rPr>
  </w:style>
  <w:style w:type="character" w:styleId="21">
    <w:name w:val="Hyperlink"/>
    <w:basedOn w:val="19"/>
    <w:unhideWhenUsed/>
    <w:qFormat/>
    <w:uiPriority w:val="99"/>
    <w:rPr>
      <w:color w:val="0000FF" w:themeColor="hyperlink"/>
      <w:u w:val="single"/>
      <w14:textFill>
        <w14:solidFill>
          <w14:schemeClr w14:val="hlink"/>
        </w14:solidFill>
      </w14:textFill>
    </w:rPr>
  </w:style>
  <w:style w:type="paragraph" w:customStyle="1" w:styleId="22">
    <w:name w:val="列出段落1"/>
    <w:basedOn w:val="1"/>
    <w:qFormat/>
    <w:uiPriority w:val="34"/>
    <w:pPr>
      <w:ind w:firstLine="420" w:firstLineChars="200"/>
    </w:pPr>
    <w:rPr>
      <w:rFonts w:ascii="Calibri" w:hAnsi="Calibri" w:eastAsia="宋体" w:cs="Times New Roman"/>
    </w:rPr>
  </w:style>
  <w:style w:type="paragraph" w:customStyle="1" w:styleId="23">
    <w:name w:val="标题 5（有编号）（绿盟科技）"/>
    <w:next w:val="1"/>
    <w:qFormat/>
    <w:uiPriority w:val="99"/>
    <w:pPr>
      <w:keepNext/>
      <w:keepLines/>
      <w:widowControl w:val="0"/>
      <w:spacing w:before="280" w:after="156" w:line="377" w:lineRule="auto"/>
      <w:jc w:val="left"/>
      <w:outlineLvl w:val="4"/>
    </w:pPr>
    <w:rPr>
      <w:rFonts w:ascii="Arial" w:hAnsi="Arial" w:eastAsia="黑体" w:cs="Times New Roman"/>
      <w:b/>
      <w:kern w:val="2"/>
      <w:sz w:val="24"/>
      <w:szCs w:val="28"/>
      <w:lang w:val="en-US" w:eastAsia="zh-CN" w:bidi="ar-SA"/>
    </w:rPr>
  </w:style>
  <w:style w:type="character" w:customStyle="1" w:styleId="24">
    <w:name w:val="Header Char"/>
    <w:basedOn w:val="19"/>
    <w:semiHidden/>
    <w:qFormat/>
    <w:uiPriority w:val="99"/>
    <w:rPr>
      <w:rFonts w:ascii="Times New Roman" w:hAnsi="Times New Roman"/>
      <w:sz w:val="18"/>
      <w:szCs w:val="18"/>
    </w:rPr>
  </w:style>
  <w:style w:type="character" w:customStyle="1" w:styleId="25">
    <w:name w:val="页眉 Char"/>
    <w:link w:val="13"/>
    <w:semiHidden/>
    <w:qFormat/>
    <w:locked/>
    <w:uiPriority w:val="99"/>
    <w:rPr>
      <w:sz w:val="18"/>
    </w:rPr>
  </w:style>
  <w:style w:type="character" w:customStyle="1" w:styleId="26">
    <w:name w:val="Footer Char"/>
    <w:basedOn w:val="19"/>
    <w:semiHidden/>
    <w:qFormat/>
    <w:uiPriority w:val="99"/>
    <w:rPr>
      <w:rFonts w:ascii="Times New Roman" w:hAnsi="Times New Roman"/>
      <w:sz w:val="18"/>
      <w:szCs w:val="18"/>
    </w:rPr>
  </w:style>
  <w:style w:type="character" w:customStyle="1" w:styleId="27">
    <w:name w:val="页脚 Char"/>
    <w:link w:val="12"/>
    <w:qFormat/>
    <w:locked/>
    <w:uiPriority w:val="99"/>
    <w:rPr>
      <w:sz w:val="18"/>
    </w:rPr>
  </w:style>
  <w:style w:type="character" w:customStyle="1" w:styleId="28">
    <w:name w:val="Body Text Char"/>
    <w:basedOn w:val="19"/>
    <w:semiHidden/>
    <w:qFormat/>
    <w:uiPriority w:val="99"/>
    <w:rPr>
      <w:rFonts w:ascii="Times New Roman" w:hAnsi="Times New Roman"/>
      <w:szCs w:val="24"/>
    </w:rPr>
  </w:style>
  <w:style w:type="character" w:customStyle="1" w:styleId="29">
    <w:name w:val="正文文本 Char"/>
    <w:link w:val="2"/>
    <w:qFormat/>
    <w:locked/>
    <w:uiPriority w:val="99"/>
    <w:rPr>
      <w:rFonts w:ascii="仿宋_GB2312" w:hAnsi="Times New Roman" w:eastAsia="仿宋_GB2312"/>
      <w:sz w:val="24"/>
    </w:rPr>
  </w:style>
  <w:style w:type="paragraph" w:customStyle="1" w:styleId="30">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31">
    <w:name w:val="List Paragraph"/>
    <w:basedOn w:val="1"/>
    <w:qFormat/>
    <w:uiPriority w:val="34"/>
    <w:pPr>
      <w:ind w:firstLine="420" w:firstLineChars="200"/>
    </w:pPr>
  </w:style>
  <w:style w:type="character" w:customStyle="1" w:styleId="32">
    <w:name w:val="标题 1 Char"/>
    <w:basedOn w:val="19"/>
    <w:link w:val="4"/>
    <w:qFormat/>
    <w:uiPriority w:val="9"/>
    <w:rPr>
      <w:rFonts w:ascii="Times New Roman" w:hAnsi="Times New Roman"/>
      <w:b/>
      <w:bCs/>
      <w:kern w:val="44"/>
      <w:sz w:val="44"/>
      <w:szCs w:val="44"/>
    </w:rPr>
  </w:style>
  <w:style w:type="character" w:customStyle="1" w:styleId="33">
    <w:name w:val="标题 2 Char"/>
    <w:basedOn w:val="19"/>
    <w:link w:val="5"/>
    <w:qFormat/>
    <w:uiPriority w:val="9"/>
    <w:rPr>
      <w:rFonts w:asciiTheme="majorHAnsi" w:hAnsiTheme="majorHAnsi" w:eastAsiaTheme="majorEastAsia" w:cstheme="majorBidi"/>
      <w:b/>
      <w:bCs/>
      <w:kern w:val="2"/>
      <w:sz w:val="32"/>
      <w:szCs w:val="32"/>
    </w:rPr>
  </w:style>
  <w:style w:type="paragraph" w:customStyle="1" w:styleId="34">
    <w:name w:val="TOC 标题1"/>
    <w:basedOn w:val="4"/>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5">
    <w:name w:val="批注框文本 Char"/>
    <w:basedOn w:val="19"/>
    <w:link w:val="11"/>
    <w:semiHidden/>
    <w:qFormat/>
    <w:uiPriority w:val="99"/>
    <w:rPr>
      <w:rFonts w:ascii="Times New Roman" w:hAnsi="Times New Roman"/>
      <w:kern w:val="2"/>
      <w:sz w:val="18"/>
      <w:szCs w:val="18"/>
    </w:rPr>
  </w:style>
  <w:style w:type="character" w:customStyle="1" w:styleId="36">
    <w:name w:val="标题 3 Char"/>
    <w:basedOn w:val="19"/>
    <w:link w:val="6"/>
    <w:qFormat/>
    <w:uiPriority w:val="9"/>
    <w:rPr>
      <w:rFonts w:ascii="Times New Roman" w:hAnsi="Times New Roman"/>
      <w:b/>
      <w:bCs/>
      <w:kern w:val="2"/>
      <w:sz w:val="32"/>
      <w:szCs w:val="32"/>
    </w:rPr>
  </w:style>
  <w:style w:type="paragraph" w:customStyle="1" w:styleId="37">
    <w:name w:val="TOC Heading"/>
    <w:basedOn w:val="4"/>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paragraph" w:customStyle="1" w:styleId="38">
    <w:name w:val="四号正文"/>
    <w:basedOn w:val="1"/>
    <w:qFormat/>
    <w:uiPriority w:val="0"/>
    <w:pPr>
      <w:spacing w:line="360" w:lineRule="auto"/>
    </w:pPr>
    <w:rPr>
      <w:rFonts w:ascii="??" w:hAnsi="??" w:eastAsia="宋体"/>
      <w:color w:val="000000"/>
      <w:kern w:val="0"/>
      <w:sz w:val="28"/>
      <w:szCs w:val="21"/>
      <w:lang w:val="zh-CN" w:eastAsia="zh-CN"/>
    </w:rPr>
  </w:style>
  <w:style w:type="paragraph" w:customStyle="1" w:styleId="39">
    <w:name w:val="文档正文"/>
    <w:basedOn w:val="1"/>
    <w:qFormat/>
    <w:uiPriority w:val="0"/>
    <w:pPr>
      <w:adjustRightInd w:val="0"/>
      <w:spacing w:line="480" w:lineRule="atLeast"/>
      <w:textAlignment w:val="baseline"/>
    </w:pPr>
    <w:rPr>
      <w:rFonts w:ascii="Arial" w:hAnsi="Arial"/>
      <w:kern w:val="0"/>
    </w:rPr>
  </w:style>
  <w:style w:type="paragraph" w:customStyle="1" w:styleId="40">
    <w:name w:val="正文文本1"/>
    <w:basedOn w:val="1"/>
    <w:qFormat/>
    <w:uiPriority w:val="99"/>
    <w:pPr>
      <w:spacing w:before="93"/>
    </w:pPr>
    <w:rPr>
      <w:rFonts w:ascii="仿宋_GB2312" w:hAnsi="仿宋_GB2312" w:eastAsia="仿宋_GB2312" w:cs="仿宋_GB2312"/>
      <w:kern w:val="0"/>
      <w:sz w:val="30"/>
      <w:szCs w:val="30"/>
    </w:rPr>
  </w:style>
  <w:style w:type="character" w:customStyle="1" w:styleId="41">
    <w:name w:val="NormalCharacter"/>
    <w:semiHidden/>
    <w:qFormat/>
    <w:uiPriority w:val="0"/>
    <w:rPr>
      <w:rFonts w:asciiTheme="minorHAnsi" w:hAnsiTheme="minorHAnsi" w:eastAsiaTheme="minorEastAsia" w:cstheme="minorBidi"/>
      <w:kern w:val="2"/>
      <w:sz w:val="21"/>
      <w:szCs w:val="24"/>
      <w:lang w:val="en-US" w:eastAsia="zh-CN" w:bidi="ar-SA"/>
    </w:rPr>
  </w:style>
  <w:style w:type="paragraph" w:customStyle="1" w:styleId="42">
    <w:name w:val="WPSOffice手动目录 1"/>
    <w:uiPriority w:val="0"/>
    <w:pPr>
      <w:ind w:leftChars="0"/>
    </w:pPr>
    <w:rPr>
      <w:sz w:val="20"/>
      <w:szCs w:val="20"/>
    </w:rPr>
  </w:style>
  <w:style w:type="paragraph" w:customStyle="1" w:styleId="43">
    <w:name w:val="WPSOffice手动目录 2"/>
    <w:uiPriority w:val="0"/>
    <w:pPr>
      <w:ind w:leftChars="200"/>
    </w:pPr>
    <w:rPr>
      <w:sz w:val="20"/>
      <w:szCs w:val="20"/>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chart" Target="charts/chart8.xml"/><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_rels/chart2.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3.xlsx"/></Relationships>
</file>

<file path=word/charts/_rels/chart3.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_rels/chart4.xml.rels><?xml version="1.0" encoding="UTF-8" standalone="yes"?>
<Relationships xmlns="http://schemas.openxmlformats.org/package/2006/relationships"><Relationship Id="rId3" Type="http://schemas.microsoft.com/office/2011/relationships/chartColorStyle" Target="colors8.xml"/><Relationship Id="rId2" Type="http://schemas.microsoft.com/office/2011/relationships/chartStyle" Target="style8.xml"/><Relationship Id="rId1" Type="http://schemas.openxmlformats.org/officeDocument/2006/relationships/package" Target="../embeddings/Workbook8.xlsx"/></Relationships>
</file>

<file path=word/charts/_rels/chart5.xml.rels><?xml version="1.0" encoding="UTF-8" standalone="yes"?>
<Relationships xmlns="http://schemas.openxmlformats.org/package/2006/relationships"><Relationship Id="rId3" Type="http://schemas.microsoft.com/office/2011/relationships/chartColorStyle" Target="colors7.xml"/><Relationship Id="rId2" Type="http://schemas.microsoft.com/office/2011/relationships/chartStyle" Target="style7.xml"/><Relationship Id="rId1" Type="http://schemas.openxmlformats.org/officeDocument/2006/relationships/package" Target="../embeddings/Workbook7.xlsx"/></Relationships>
</file>

<file path=word/charts/_rels/chart6.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package" Target="../embeddings/Workbook6.xlsx"/></Relationships>
</file>

<file path=word/charts/_rels/chart7.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package" Target="../embeddings/Workbook4.xlsx"/></Relationships>
</file>

<file path=word/charts/_rels/chart8.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package" Target="../embeddings/Workbook5.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dk1">
                    <a:lumMod val="75000"/>
                    <a:lumOff val="25000"/>
                  </a:schemeClr>
                </a:solidFill>
                <a:latin typeface="+mn-lt"/>
                <a:ea typeface="+mn-ea"/>
                <a:cs typeface="+mn-cs"/>
              </a:defRPr>
            </a:pPr>
            <a:r>
              <a:t>收入决算总计变动情况图</a:t>
            </a:r>
          </a:p>
        </c:rich>
      </c:tx>
      <c:layout/>
      <c:overlay val="0"/>
      <c:spPr>
        <a:noFill/>
        <a:ln>
          <a:noFill/>
        </a:ln>
        <a:effectLst/>
      </c:spPr>
    </c:title>
    <c:autoTitleDeleted val="0"/>
    <c:plotArea>
      <c:layout/>
      <c:barChart>
        <c:barDir val="col"/>
        <c:grouping val="clustered"/>
        <c:varyColors val="0"/>
        <c:ser>
          <c:idx val="0"/>
          <c:order val="0"/>
          <c:tx>
            <c:strRef>
              <c:f>Sheet1!$B$1</c:f>
              <c:strCache>
                <c:ptCount val="1"/>
                <c:pt idx="0">
                  <c:v>2021</c:v>
                </c:pt>
              </c:strCache>
            </c:strRef>
          </c:tx>
          <c:spPr>
            <a:solidFill>
              <a:schemeClr val="accent1"/>
            </a:solidFill>
            <a:ln>
              <a:noFill/>
            </a:ln>
            <a:effectLst/>
          </c:spPr>
          <c:invertIfNegative val="0"/>
          <c:dLbls>
            <c:delete val="1"/>
          </c:dLbls>
          <c:cat>
            <c:strRef>
              <c:f>Sheet1!$A$2</c:f>
              <c:strCache>
                <c:ptCount val="1"/>
                <c:pt idx="0">
                  <c:v>收入</c:v>
                </c:pt>
              </c:strCache>
            </c:strRef>
          </c:cat>
          <c:val>
            <c:numRef>
              <c:f>Sheet1!$B$2</c:f>
              <c:numCache>
                <c:formatCode>General</c:formatCode>
                <c:ptCount val="1"/>
                <c:pt idx="0">
                  <c:v>2221.57</c:v>
                </c:pt>
              </c:numCache>
            </c:numRef>
          </c:val>
        </c:ser>
        <c:ser>
          <c:idx val="1"/>
          <c:order val="1"/>
          <c:tx>
            <c:strRef>
              <c:f>Sheet1!$C$1</c:f>
              <c:strCache>
                <c:ptCount val="1"/>
                <c:pt idx="0">
                  <c:v>2022</c:v>
                </c:pt>
              </c:strCache>
            </c:strRef>
          </c:tx>
          <c:spPr>
            <a:solidFill>
              <a:schemeClr val="accent2"/>
            </a:solidFill>
            <a:ln>
              <a:noFill/>
            </a:ln>
            <a:effectLst/>
          </c:spPr>
          <c:invertIfNegative val="0"/>
          <c:dLbls>
            <c:delete val="1"/>
          </c:dLbls>
          <c:cat>
            <c:strRef>
              <c:f>Sheet1!$A$2</c:f>
              <c:strCache>
                <c:ptCount val="1"/>
                <c:pt idx="0">
                  <c:v>收入</c:v>
                </c:pt>
              </c:strCache>
            </c:strRef>
          </c:cat>
          <c:val>
            <c:numRef>
              <c:f>Sheet1!$C$2</c:f>
              <c:numCache>
                <c:formatCode>General</c:formatCode>
                <c:ptCount val="1"/>
                <c:pt idx="0">
                  <c:v>3444.75</c:v>
                </c:pt>
              </c:numCache>
            </c:numRef>
          </c:val>
        </c:ser>
        <c:dLbls>
          <c:showLegendKey val="0"/>
          <c:showVal val="0"/>
          <c:showCatName val="0"/>
          <c:showSerName val="0"/>
          <c:showPercent val="0"/>
          <c:showBubbleSize val="0"/>
        </c:dLbls>
        <c:gapWidth val="246"/>
        <c:overlap val="-28"/>
        <c:axId val="678122254"/>
        <c:axId val="634898967"/>
      </c:barChart>
      <c:catAx>
        <c:axId val="678122254"/>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34898967"/>
        <c:crosses val="autoZero"/>
        <c:auto val="1"/>
        <c:lblAlgn val="ctr"/>
        <c:lblOffset val="100"/>
        <c:noMultiLvlLbl val="0"/>
      </c:catAx>
      <c:valAx>
        <c:axId val="634898967"/>
        <c:scaling>
          <c:orientation val="minMax"/>
        </c:scaling>
        <c:delete val="0"/>
        <c:axPos val="l"/>
        <c:majorGridlines>
          <c:spPr>
            <a:ln w="9525" cap="flat" cmpd="sng" algn="ctr">
              <a:solidFill>
                <a:schemeClr val="bg1">
                  <a:lumMod val="902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78122254"/>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dk1">
                    <a:lumMod val="75000"/>
                    <a:lumOff val="25000"/>
                  </a:schemeClr>
                </a:solidFill>
                <a:latin typeface="+mn-lt"/>
                <a:ea typeface="+mn-ea"/>
                <a:cs typeface="+mn-cs"/>
              </a:defRPr>
            </a:pPr>
            <a:r>
              <a:t>支出决算总计变动情况图</a:t>
            </a:r>
          </a:p>
        </c:rich>
      </c:tx>
      <c:layout>
        <c:manualLayout>
          <c:xMode val="edge"/>
          <c:yMode val="edge"/>
          <c:x val="0.309132640734477"/>
          <c:y val="0.0297492562685933"/>
        </c:manualLayout>
      </c:layout>
      <c:overlay val="0"/>
      <c:spPr>
        <a:noFill/>
        <a:ln>
          <a:noFill/>
        </a:ln>
        <a:effectLst/>
      </c:spPr>
    </c:title>
    <c:autoTitleDeleted val="0"/>
    <c:plotArea>
      <c:layout/>
      <c:barChart>
        <c:barDir val="col"/>
        <c:grouping val="clustered"/>
        <c:varyColors val="0"/>
        <c:ser>
          <c:idx val="0"/>
          <c:order val="0"/>
          <c:tx>
            <c:strRef>
              <c:f>Sheet1!$B$1</c:f>
              <c:strCache>
                <c:ptCount val="1"/>
                <c:pt idx="0">
                  <c:v>2021</c:v>
                </c:pt>
              </c:strCache>
            </c:strRef>
          </c:tx>
          <c:spPr>
            <a:solidFill>
              <a:schemeClr val="accent1"/>
            </a:solidFill>
            <a:ln>
              <a:noFill/>
            </a:ln>
            <a:effectLst/>
          </c:spPr>
          <c:invertIfNegative val="0"/>
          <c:dLbls>
            <c:delete val="1"/>
          </c:dLbls>
          <c:cat>
            <c:strRef>
              <c:f>Sheet1!$A$2</c:f>
              <c:strCache>
                <c:ptCount val="1"/>
                <c:pt idx="0">
                  <c:v>支出</c:v>
                </c:pt>
              </c:strCache>
            </c:strRef>
          </c:cat>
          <c:val>
            <c:numRef>
              <c:f>Sheet1!$B$2</c:f>
              <c:numCache>
                <c:formatCode>General</c:formatCode>
                <c:ptCount val="1"/>
                <c:pt idx="0">
                  <c:v>4287.77</c:v>
                </c:pt>
              </c:numCache>
            </c:numRef>
          </c:val>
        </c:ser>
        <c:ser>
          <c:idx val="1"/>
          <c:order val="1"/>
          <c:tx>
            <c:strRef>
              <c:f>Sheet1!$C$1</c:f>
              <c:strCache>
                <c:ptCount val="1"/>
                <c:pt idx="0">
                  <c:v>2022</c:v>
                </c:pt>
              </c:strCache>
            </c:strRef>
          </c:tx>
          <c:spPr>
            <a:solidFill>
              <a:schemeClr val="accent2"/>
            </a:solidFill>
            <a:ln>
              <a:noFill/>
            </a:ln>
            <a:effectLst/>
          </c:spPr>
          <c:invertIfNegative val="0"/>
          <c:dLbls>
            <c:delete val="1"/>
          </c:dLbls>
          <c:cat>
            <c:strRef>
              <c:f>Sheet1!$A$2</c:f>
              <c:strCache>
                <c:ptCount val="1"/>
                <c:pt idx="0">
                  <c:v>支出</c:v>
                </c:pt>
              </c:strCache>
            </c:strRef>
          </c:cat>
          <c:val>
            <c:numRef>
              <c:f>Sheet1!$C$2</c:f>
              <c:numCache>
                <c:formatCode>General</c:formatCode>
                <c:ptCount val="1"/>
                <c:pt idx="0">
                  <c:v>5416.05</c:v>
                </c:pt>
              </c:numCache>
            </c:numRef>
          </c:val>
        </c:ser>
        <c:dLbls>
          <c:showLegendKey val="0"/>
          <c:showVal val="0"/>
          <c:showCatName val="0"/>
          <c:showSerName val="0"/>
          <c:showPercent val="0"/>
          <c:showBubbleSize val="0"/>
        </c:dLbls>
        <c:gapWidth val="246"/>
        <c:overlap val="-28"/>
        <c:axId val="603639979"/>
        <c:axId val="696406191"/>
      </c:barChart>
      <c:catAx>
        <c:axId val="603639979"/>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96406191"/>
        <c:crosses val="autoZero"/>
        <c:auto val="1"/>
        <c:lblAlgn val="ctr"/>
        <c:lblOffset val="100"/>
        <c:noMultiLvlLbl val="0"/>
      </c:catAx>
      <c:valAx>
        <c:axId val="696406191"/>
        <c:scaling>
          <c:orientation val="minMax"/>
        </c:scaling>
        <c:delete val="0"/>
        <c:axPos val="l"/>
        <c:majorGridlines>
          <c:spPr>
            <a:ln w="9525" cap="flat" cmpd="sng" algn="ctr">
              <a:solidFill>
                <a:schemeClr val="bg1">
                  <a:lumMod val="902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03639979"/>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dk1">
                    <a:lumMod val="75000"/>
                    <a:lumOff val="25000"/>
                  </a:schemeClr>
                </a:solidFill>
                <a:latin typeface="+mn-lt"/>
                <a:ea typeface="+mn-ea"/>
                <a:cs typeface="+mn-cs"/>
              </a:defRPr>
            </a:pPr>
            <a:r>
              <a:t>收入决算结构图</a:t>
            </a:r>
          </a:p>
        </c:rich>
      </c:tx>
      <c:layout/>
      <c:overlay val="0"/>
      <c:spPr>
        <a:noFill/>
        <a:ln>
          <a:noFill/>
        </a:ln>
        <a:effectLst/>
      </c:spPr>
    </c:title>
    <c:autoTitleDeleted val="0"/>
    <c:plotArea>
      <c:layout/>
      <c:pieChart>
        <c:varyColors val="1"/>
        <c:ser>
          <c:idx val="0"/>
          <c:order val="0"/>
          <c:tx>
            <c:strRef>
              <c:f>Sheet1!$B$1</c:f>
              <c:strCache>
                <c:ptCount val="1"/>
                <c:pt idx="0">
                  <c:v>销售额</c:v>
                </c:pt>
              </c:strCache>
            </c:strRef>
          </c:tx>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Pt>
            <c:idx val="2"/>
            <c:bubble3D val="0"/>
            <c:spPr>
              <a:solidFill>
                <a:schemeClr val="accent3"/>
              </a:solidFill>
              <a:ln>
                <a:solidFill>
                  <a:schemeClr val="bg1"/>
                </a:solidFill>
              </a:ln>
              <a:effectLst/>
            </c:spPr>
          </c:dPt>
          <c:dPt>
            <c:idx val="3"/>
            <c:bubble3D val="0"/>
            <c:spPr>
              <a:solidFill>
                <a:schemeClr val="accent4"/>
              </a:solidFill>
              <a:ln>
                <a:solidFill>
                  <a:schemeClr val="bg1"/>
                </a:solidFill>
              </a:ln>
              <a:effectLst/>
            </c:spPr>
          </c:dPt>
          <c:dPt>
            <c:idx val="4"/>
            <c:bubble3D val="0"/>
            <c:spPr>
              <a:solidFill>
                <a:schemeClr val="accent5"/>
              </a:solidFill>
              <a:ln>
                <a:solidFill>
                  <a:schemeClr val="bg1"/>
                </a:solidFill>
              </a:ln>
              <a:effectLst/>
            </c:spPr>
          </c:dPt>
          <c:dPt>
            <c:idx val="5"/>
            <c:bubble3D val="0"/>
            <c:spPr>
              <a:solidFill>
                <a:schemeClr val="accent6"/>
              </a:solidFill>
              <a:ln>
                <a:solidFill>
                  <a:schemeClr val="bg1"/>
                </a:solidFill>
              </a:ln>
              <a:effectLst/>
            </c:spPr>
          </c:dPt>
          <c:dPt>
            <c:idx val="6"/>
            <c:bubble3D val="0"/>
            <c:spPr>
              <a:solidFill>
                <a:schemeClr val="accent1">
                  <a:lumMod val="60000"/>
                </a:schemeClr>
              </a:solidFill>
              <a:ln>
                <a:solidFill>
                  <a:schemeClr val="bg1"/>
                </a:solidFill>
              </a:ln>
              <a:effectLst/>
            </c:spPr>
          </c:dPt>
          <c:dPt>
            <c:idx val="7"/>
            <c:bubble3D val="0"/>
            <c:spPr>
              <a:solidFill>
                <a:schemeClr val="accent2">
                  <a:lumMod val="60000"/>
                </a:schemeClr>
              </a:solidFill>
              <a:ln>
                <a:solidFill>
                  <a:schemeClr val="bg1"/>
                </a:solidFill>
              </a:ln>
              <a:effectLst/>
            </c:spPr>
          </c:dPt>
          <c:dLbls>
            <c:dLbl>
              <c:idx val="0"/>
              <c:layout/>
              <c:tx>
                <c:rich>
                  <a:bodyPr rot="0" spcFirstLastPara="0" vertOverflow="ellipsis" vert="horz" wrap="square" lIns="38100" tIns="19050" rIns="38100" bIns="19050" anchor="ctr" anchorCtr="1"/>
                  <a:lstStyle/>
                  <a:p>
                    <a:pPr defTabSz="914400">
                      <a:defRPr lang="zh-CN" sz="1000" b="0" i="0" u="none" strike="noStrike" kern="1200" baseline="0">
                        <a:solidFill>
                          <a:schemeClr val="tx1">
                            <a:lumMod val="75000"/>
                            <a:lumOff val="25000"/>
                          </a:schemeClr>
                        </a:solidFill>
                        <a:latin typeface="+mn-lt"/>
                        <a:ea typeface="+mn-ea"/>
                        <a:cs typeface="+mn-cs"/>
                      </a:defRPr>
                    </a:pPr>
                    <a:r>
                      <a:rPr lang="en-US" altLang="zh-CN"/>
                      <a:t>99.83</a:t>
                    </a:r>
                    <a:r>
                      <a:t>%</a:t>
                    </a:r>
                  </a:p>
                </c:rich>
              </c:tx>
              <c:dLblPos val="inEnd"/>
              <c:showLegendKey val="0"/>
              <c:showVal val="0"/>
              <c:showCatName val="0"/>
              <c:showSerName val="0"/>
              <c:showPercent val="1"/>
              <c:showBubbleSize val="0"/>
              <c:extLst>
                <c:ext xmlns:c15="http://schemas.microsoft.com/office/drawing/2012/chart" uri="{CE6537A1-D6FC-4f65-9D91-7224C49458BB}"/>
              </c:extLst>
            </c:dLbl>
            <c:dLbl>
              <c:idx val="6"/>
              <c:delete val="1"/>
            </c:dLbl>
            <c:dLbl>
              <c:idx val="7"/>
              <c:layout>
                <c:manualLayout>
                  <c:x val="0.323749390543431"/>
                  <c:y val="0.0232936676577833"/>
                </c:manualLayout>
              </c:layout>
              <c:tx>
                <c:rich>
                  <a:bodyPr rot="0" spcFirstLastPara="0" vertOverflow="ellipsis" vert="horz" wrap="square" lIns="38100" tIns="19050" rIns="38100" bIns="19050" anchor="ctr" anchorCtr="1"/>
                  <a:lstStyle/>
                  <a:p>
                    <a:pPr defTabSz="914400">
                      <a:defRPr lang="zh-CN" sz="1000" b="0" i="0" u="none" strike="noStrike" kern="1200" baseline="0">
                        <a:solidFill>
                          <a:schemeClr val="tx1">
                            <a:lumMod val="75000"/>
                            <a:lumOff val="25000"/>
                          </a:schemeClr>
                        </a:solidFill>
                        <a:latin typeface="+mn-lt"/>
                        <a:ea typeface="+mn-ea"/>
                        <a:cs typeface="+mn-cs"/>
                      </a:defRPr>
                    </a:pPr>
                    <a:r>
                      <a:rPr lang="en-US" altLang="zh-CN"/>
                      <a:t>0.17</a:t>
                    </a:r>
                    <a:r>
                      <a:t>%</a:t>
                    </a:r>
                  </a:p>
                </c:rich>
              </c:tx>
              <c:dLblPos val="bestFit"/>
              <c:showLegendKey val="0"/>
              <c:showVal val="0"/>
              <c:showCatName val="0"/>
              <c:showSerName val="0"/>
              <c:showPercent val="1"/>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Sheet1!$A$2:$A$9</c:f>
              <c:strCache>
                <c:ptCount val="8"/>
                <c:pt idx="0">
                  <c:v>一般公共预算财政拨款收入</c:v>
                </c:pt>
                <c:pt idx="1">
                  <c:v>政府性基金预算财政拨款收入</c:v>
                </c:pt>
                <c:pt idx="2">
                  <c:v>国有资本经营预算财政拨款收入</c:v>
                </c:pt>
                <c:pt idx="3">
                  <c:v>上级补助收入</c:v>
                </c:pt>
                <c:pt idx="4">
                  <c:v>经营收入</c:v>
                </c:pt>
                <c:pt idx="5">
                  <c:v>事业收入</c:v>
                </c:pt>
                <c:pt idx="6">
                  <c:v>附属单位上缴收入</c:v>
                </c:pt>
                <c:pt idx="7">
                  <c:v>其他收入</c:v>
                </c:pt>
              </c:strCache>
            </c:strRef>
          </c:cat>
          <c:val>
            <c:numRef>
              <c:f>Sheet1!$B$2:$B$9</c:f>
              <c:numCache>
                <c:formatCode>General</c:formatCode>
                <c:ptCount val="8"/>
                <c:pt idx="0">
                  <c:v>3438.09</c:v>
                </c:pt>
                <c:pt idx="1">
                  <c:v>6.66</c:v>
                </c:pt>
                <c:pt idx="2">
                  <c:v>0</c:v>
                </c:pt>
                <c:pt idx="3">
                  <c:v>0</c:v>
                </c:pt>
                <c:pt idx="4">
                  <c:v>0</c:v>
                </c:pt>
                <c:pt idx="5">
                  <c:v>0</c:v>
                </c:pt>
                <c:pt idx="6">
                  <c:v>0</c:v>
                </c:pt>
                <c:pt idx="7">
                  <c:v>0</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dk1">
                    <a:lumMod val="75000"/>
                    <a:lumOff val="25000"/>
                  </a:schemeClr>
                </a:solidFill>
                <a:latin typeface="+mn-lt"/>
                <a:ea typeface="+mn-ea"/>
                <a:cs typeface="+mn-cs"/>
              </a:defRPr>
            </a:pPr>
            <a:r>
              <a:t>支出决算结构图</a:t>
            </a:r>
          </a:p>
        </c:rich>
      </c:tx>
      <c:layout/>
      <c:overlay val="0"/>
      <c:spPr>
        <a:noFill/>
        <a:ln>
          <a:noFill/>
        </a:ln>
        <a:effectLst/>
      </c:spPr>
    </c:title>
    <c:autoTitleDeleted val="0"/>
    <c:plotArea>
      <c:layout/>
      <c:pieChart>
        <c:varyColors val="1"/>
        <c:ser>
          <c:idx val="0"/>
          <c:order val="0"/>
          <c:tx>
            <c:strRef>
              <c:f>Sheet1!$B$1</c:f>
              <c:strCache>
                <c:ptCount val="1"/>
                <c:pt idx="0">
                  <c:v>销售额</c:v>
                </c:pt>
              </c:strCache>
            </c:strRef>
          </c:tx>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Pt>
            <c:idx val="2"/>
            <c:bubble3D val="0"/>
            <c:spPr>
              <a:solidFill>
                <a:schemeClr val="accent3"/>
              </a:solidFill>
              <a:ln>
                <a:solidFill>
                  <a:schemeClr val="bg1"/>
                </a:solidFill>
              </a:ln>
              <a:effectLst/>
            </c:spPr>
          </c:dPt>
          <c:dPt>
            <c:idx val="3"/>
            <c:bubble3D val="0"/>
            <c:spPr>
              <a:solidFill>
                <a:schemeClr val="accent4"/>
              </a:solidFill>
              <a:ln>
                <a:solidFill>
                  <a:schemeClr val="bg1"/>
                </a:solidFill>
              </a:ln>
              <a:effectLst/>
            </c:spPr>
          </c:dPt>
          <c:dPt>
            <c:idx val="4"/>
            <c:bubble3D val="0"/>
            <c:spPr>
              <a:solidFill>
                <a:schemeClr val="accent5"/>
              </a:solidFill>
              <a:ln>
                <a:solidFill>
                  <a:schemeClr val="bg1"/>
                </a:solidFill>
              </a:ln>
              <a:effectLst/>
            </c:spPr>
          </c:dPt>
          <c:dLbls>
            <c:delete val="1"/>
          </c:dLbls>
          <c:cat>
            <c:strRef>
              <c:f>Sheet1!$A$2:$A$6</c:f>
              <c:strCache>
                <c:ptCount val="5"/>
                <c:pt idx="0">
                  <c:v>基本支出</c:v>
                </c:pt>
                <c:pt idx="1">
                  <c:v>项目支出</c:v>
                </c:pt>
                <c:pt idx="2">
                  <c:v>上缴上级支出</c:v>
                </c:pt>
                <c:pt idx="3">
                  <c:v>经营支出</c:v>
                </c:pt>
                <c:pt idx="4">
                  <c:v>对附属单位补助支出</c:v>
                </c:pt>
              </c:strCache>
            </c:strRef>
          </c:cat>
          <c:val>
            <c:numRef>
              <c:f>Sheet1!$B$2:$B$6</c:f>
              <c:numCache>
                <c:formatCode>General</c:formatCode>
                <c:ptCount val="5"/>
                <c:pt idx="0">
                  <c:v>971.25</c:v>
                </c:pt>
                <c:pt idx="1">
                  <c:v>4444.8</c:v>
                </c:pt>
                <c:pt idx="2">
                  <c:v>0</c:v>
                </c:pt>
                <c:pt idx="3">
                  <c:v>0</c:v>
                </c:pt>
                <c:pt idx="4">
                  <c:v>0</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dk1">
                    <a:lumMod val="75000"/>
                    <a:lumOff val="25000"/>
                  </a:schemeClr>
                </a:solidFill>
                <a:latin typeface="+mn-lt"/>
                <a:ea typeface="+mn-ea"/>
                <a:cs typeface="+mn-cs"/>
              </a:defRPr>
            </a:pPr>
            <a:r>
              <a:t>财政拨款收入决算总计变动情况图</a:t>
            </a:r>
          </a:p>
        </c:rich>
      </c:tx>
      <c:layout/>
      <c:overlay val="0"/>
      <c:spPr>
        <a:noFill/>
        <a:ln>
          <a:noFill/>
        </a:ln>
        <a:effectLst/>
      </c:spPr>
    </c:title>
    <c:autoTitleDeleted val="0"/>
    <c:plotArea>
      <c:layout/>
      <c:barChart>
        <c:barDir val="col"/>
        <c:grouping val="clustered"/>
        <c:varyColors val="0"/>
        <c:ser>
          <c:idx val="0"/>
          <c:order val="0"/>
          <c:tx>
            <c:strRef>
              <c:f>Sheet1!$B$1</c:f>
              <c:strCache>
                <c:ptCount val="1"/>
                <c:pt idx="0">
                  <c:v>2021</c:v>
                </c:pt>
              </c:strCache>
            </c:strRef>
          </c:tx>
          <c:spPr>
            <a:solidFill>
              <a:schemeClr val="accent1"/>
            </a:solidFill>
            <a:ln>
              <a:noFill/>
            </a:ln>
            <a:effectLst/>
          </c:spPr>
          <c:invertIfNegative val="0"/>
          <c:dLbls>
            <c:delete val="1"/>
          </c:dLbls>
          <c:cat>
            <c:strRef>
              <c:f>Sheet1!$A$2</c:f>
              <c:strCache>
                <c:ptCount val="1"/>
                <c:pt idx="0">
                  <c:v>收入</c:v>
                </c:pt>
              </c:strCache>
            </c:strRef>
          </c:cat>
          <c:val>
            <c:numRef>
              <c:f>Sheet1!$B$2</c:f>
              <c:numCache>
                <c:formatCode>General</c:formatCode>
                <c:ptCount val="1"/>
                <c:pt idx="0">
                  <c:v>2221.57</c:v>
                </c:pt>
              </c:numCache>
            </c:numRef>
          </c:val>
        </c:ser>
        <c:ser>
          <c:idx val="1"/>
          <c:order val="1"/>
          <c:tx>
            <c:strRef>
              <c:f>Sheet1!$C$1</c:f>
              <c:strCache>
                <c:ptCount val="1"/>
                <c:pt idx="0">
                  <c:v>2022</c:v>
                </c:pt>
              </c:strCache>
            </c:strRef>
          </c:tx>
          <c:spPr>
            <a:solidFill>
              <a:schemeClr val="accent2"/>
            </a:solidFill>
            <a:ln>
              <a:noFill/>
            </a:ln>
            <a:effectLst/>
          </c:spPr>
          <c:invertIfNegative val="0"/>
          <c:dLbls>
            <c:delete val="1"/>
          </c:dLbls>
          <c:cat>
            <c:strRef>
              <c:f>Sheet1!$A$2</c:f>
              <c:strCache>
                <c:ptCount val="1"/>
                <c:pt idx="0">
                  <c:v>收入</c:v>
                </c:pt>
              </c:strCache>
            </c:strRef>
          </c:cat>
          <c:val>
            <c:numRef>
              <c:f>Sheet1!$C$2</c:f>
              <c:numCache>
                <c:formatCode>General</c:formatCode>
                <c:ptCount val="1"/>
                <c:pt idx="0">
                  <c:v>3444.75</c:v>
                </c:pt>
              </c:numCache>
            </c:numRef>
          </c:val>
        </c:ser>
        <c:dLbls>
          <c:showLegendKey val="0"/>
          <c:showVal val="0"/>
          <c:showCatName val="0"/>
          <c:showSerName val="0"/>
          <c:showPercent val="0"/>
          <c:showBubbleSize val="0"/>
        </c:dLbls>
        <c:gapWidth val="246"/>
        <c:overlap val="-28"/>
        <c:axId val="430130493"/>
        <c:axId val="513464121"/>
      </c:barChart>
      <c:catAx>
        <c:axId val="430130493"/>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13464121"/>
        <c:crosses val="autoZero"/>
        <c:auto val="1"/>
        <c:lblAlgn val="ctr"/>
        <c:lblOffset val="100"/>
        <c:noMultiLvlLbl val="0"/>
      </c:catAx>
      <c:valAx>
        <c:axId val="513464121"/>
        <c:scaling>
          <c:orientation val="minMax"/>
        </c:scaling>
        <c:delete val="0"/>
        <c:axPos val="l"/>
        <c:majorGridlines>
          <c:spPr>
            <a:ln w="9525" cap="flat" cmpd="sng" algn="ctr">
              <a:solidFill>
                <a:schemeClr val="bg1">
                  <a:lumMod val="902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30130493"/>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dk1">
                    <a:lumMod val="75000"/>
                    <a:lumOff val="25000"/>
                  </a:schemeClr>
                </a:solidFill>
                <a:latin typeface="+mn-lt"/>
                <a:ea typeface="+mn-ea"/>
                <a:cs typeface="+mn-cs"/>
              </a:defRPr>
            </a:pPr>
            <a:r>
              <a:t>财政拨款支出决算总计变动情况图</a:t>
            </a:r>
          </a:p>
        </c:rich>
      </c:tx>
      <c:layout/>
      <c:overlay val="0"/>
      <c:spPr>
        <a:noFill/>
        <a:ln>
          <a:noFill/>
        </a:ln>
        <a:effectLst/>
      </c:spPr>
    </c:title>
    <c:autoTitleDeleted val="0"/>
    <c:plotArea>
      <c:layout/>
      <c:barChart>
        <c:barDir val="col"/>
        <c:grouping val="clustered"/>
        <c:varyColors val="0"/>
        <c:ser>
          <c:idx val="0"/>
          <c:order val="0"/>
          <c:tx>
            <c:strRef>
              <c:f>Sheet1!$B$1</c:f>
              <c:strCache>
                <c:ptCount val="1"/>
                <c:pt idx="0">
                  <c:v>2021</c:v>
                </c:pt>
              </c:strCache>
            </c:strRef>
          </c:tx>
          <c:spPr>
            <a:solidFill>
              <a:schemeClr val="accent1"/>
            </a:solidFill>
            <a:ln>
              <a:noFill/>
            </a:ln>
            <a:effectLst/>
          </c:spPr>
          <c:invertIfNegative val="0"/>
          <c:dLbls>
            <c:delete val="1"/>
          </c:dLbls>
          <c:cat>
            <c:strRef>
              <c:f>Sheet1!$A$2</c:f>
              <c:strCache>
                <c:ptCount val="1"/>
                <c:pt idx="0">
                  <c:v>支出</c:v>
                </c:pt>
              </c:strCache>
            </c:strRef>
          </c:cat>
          <c:val>
            <c:numRef>
              <c:f>Sheet1!$B$2</c:f>
              <c:numCache>
                <c:formatCode>General</c:formatCode>
                <c:ptCount val="1"/>
                <c:pt idx="0">
                  <c:v>4287.77</c:v>
                </c:pt>
              </c:numCache>
            </c:numRef>
          </c:val>
        </c:ser>
        <c:ser>
          <c:idx val="1"/>
          <c:order val="1"/>
          <c:tx>
            <c:strRef>
              <c:f>Sheet1!$C$1</c:f>
              <c:strCache>
                <c:ptCount val="1"/>
                <c:pt idx="0">
                  <c:v>2022</c:v>
                </c:pt>
              </c:strCache>
            </c:strRef>
          </c:tx>
          <c:spPr>
            <a:solidFill>
              <a:schemeClr val="accent2"/>
            </a:solidFill>
            <a:ln>
              <a:noFill/>
            </a:ln>
            <a:effectLst/>
          </c:spPr>
          <c:invertIfNegative val="0"/>
          <c:dLbls>
            <c:delete val="1"/>
          </c:dLbls>
          <c:cat>
            <c:strRef>
              <c:f>Sheet1!$A$2</c:f>
              <c:strCache>
                <c:ptCount val="1"/>
                <c:pt idx="0">
                  <c:v>支出</c:v>
                </c:pt>
              </c:strCache>
            </c:strRef>
          </c:cat>
          <c:val>
            <c:numRef>
              <c:f>Sheet1!$C$2</c:f>
              <c:numCache>
                <c:formatCode>General</c:formatCode>
                <c:ptCount val="1"/>
                <c:pt idx="0">
                  <c:v>5409.36</c:v>
                </c:pt>
              </c:numCache>
            </c:numRef>
          </c:val>
        </c:ser>
        <c:dLbls>
          <c:showLegendKey val="0"/>
          <c:showVal val="0"/>
          <c:showCatName val="0"/>
          <c:showSerName val="0"/>
          <c:showPercent val="0"/>
          <c:showBubbleSize val="0"/>
        </c:dLbls>
        <c:gapWidth val="246"/>
        <c:overlap val="-28"/>
        <c:axId val="587162294"/>
        <c:axId val="508527928"/>
      </c:barChart>
      <c:catAx>
        <c:axId val="587162294"/>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08527928"/>
        <c:crosses val="autoZero"/>
        <c:auto val="1"/>
        <c:lblAlgn val="ctr"/>
        <c:lblOffset val="100"/>
        <c:noMultiLvlLbl val="0"/>
      </c:catAx>
      <c:valAx>
        <c:axId val="508527928"/>
        <c:scaling>
          <c:orientation val="minMax"/>
        </c:scaling>
        <c:delete val="0"/>
        <c:axPos val="l"/>
        <c:majorGridlines>
          <c:spPr>
            <a:ln w="9525" cap="flat" cmpd="sng" algn="ctr">
              <a:solidFill>
                <a:schemeClr val="bg1">
                  <a:lumMod val="902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87162294"/>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dk1">
                    <a:lumMod val="75000"/>
                    <a:lumOff val="25000"/>
                  </a:schemeClr>
                </a:solidFill>
                <a:latin typeface="+mn-lt"/>
                <a:ea typeface="+mn-ea"/>
                <a:cs typeface="+mn-cs"/>
              </a:defRPr>
            </a:pPr>
            <a:r>
              <a:t>一般公共预算财政拨款支出决算变动情况图</a:t>
            </a:r>
          </a:p>
        </c:rich>
      </c:tx>
      <c:layout/>
      <c:overlay val="0"/>
      <c:spPr>
        <a:noFill/>
        <a:ln>
          <a:noFill/>
        </a:ln>
        <a:effectLst/>
      </c:spPr>
    </c:title>
    <c:autoTitleDeleted val="0"/>
    <c:plotArea>
      <c:layout/>
      <c:barChart>
        <c:barDir val="col"/>
        <c:grouping val="clustered"/>
        <c:varyColors val="0"/>
        <c:ser>
          <c:idx val="0"/>
          <c:order val="0"/>
          <c:tx>
            <c:strRef>
              <c:f>Sheet1!$B$1</c:f>
              <c:strCache>
                <c:ptCount val="1"/>
                <c:pt idx="0">
                  <c:v>2021</c:v>
                </c:pt>
              </c:strCache>
            </c:strRef>
          </c:tx>
          <c:spPr>
            <a:solidFill>
              <a:schemeClr val="accent1"/>
            </a:solidFill>
            <a:ln>
              <a:noFill/>
            </a:ln>
            <a:effectLst/>
          </c:spPr>
          <c:invertIfNegative val="0"/>
          <c:dLbls>
            <c:delete val="1"/>
          </c:dLbls>
          <c:cat>
            <c:strRef>
              <c:f>Sheet1!$A$2</c:f>
              <c:strCache>
                <c:ptCount val="1"/>
                <c:pt idx="0">
                  <c:v>支出</c:v>
                </c:pt>
              </c:strCache>
            </c:strRef>
          </c:cat>
          <c:val>
            <c:numRef>
              <c:f>Sheet1!$B$2</c:f>
              <c:numCache>
                <c:formatCode>General</c:formatCode>
                <c:ptCount val="1"/>
                <c:pt idx="0">
                  <c:v>4287.77</c:v>
                </c:pt>
              </c:numCache>
            </c:numRef>
          </c:val>
        </c:ser>
        <c:ser>
          <c:idx val="1"/>
          <c:order val="1"/>
          <c:tx>
            <c:strRef>
              <c:f>Sheet1!$C$1</c:f>
              <c:strCache>
                <c:ptCount val="1"/>
                <c:pt idx="0">
                  <c:v>2022</c:v>
                </c:pt>
              </c:strCache>
            </c:strRef>
          </c:tx>
          <c:spPr>
            <a:solidFill>
              <a:schemeClr val="accent2"/>
            </a:solidFill>
            <a:ln>
              <a:noFill/>
            </a:ln>
            <a:effectLst/>
          </c:spPr>
          <c:invertIfNegative val="0"/>
          <c:dLbls>
            <c:delete val="1"/>
          </c:dLbls>
          <c:cat>
            <c:strRef>
              <c:f>Sheet1!$A$2</c:f>
              <c:strCache>
                <c:ptCount val="1"/>
                <c:pt idx="0">
                  <c:v>支出</c:v>
                </c:pt>
              </c:strCache>
            </c:strRef>
          </c:cat>
          <c:val>
            <c:numRef>
              <c:f>Sheet1!$C$2</c:f>
              <c:numCache>
                <c:formatCode>General</c:formatCode>
                <c:ptCount val="1"/>
                <c:pt idx="0">
                  <c:v>5409.36</c:v>
                </c:pt>
              </c:numCache>
            </c:numRef>
          </c:val>
        </c:ser>
        <c:dLbls>
          <c:showLegendKey val="0"/>
          <c:showVal val="0"/>
          <c:showCatName val="0"/>
          <c:showSerName val="0"/>
          <c:showPercent val="0"/>
          <c:showBubbleSize val="0"/>
        </c:dLbls>
        <c:gapWidth val="246"/>
        <c:overlap val="-28"/>
        <c:axId val="587162294"/>
        <c:axId val="508527928"/>
      </c:barChart>
      <c:catAx>
        <c:axId val="587162294"/>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08527928"/>
        <c:crosses val="autoZero"/>
        <c:auto val="1"/>
        <c:lblAlgn val="ctr"/>
        <c:lblOffset val="100"/>
        <c:noMultiLvlLbl val="0"/>
      </c:catAx>
      <c:valAx>
        <c:axId val="508527928"/>
        <c:scaling>
          <c:orientation val="minMax"/>
        </c:scaling>
        <c:delete val="0"/>
        <c:axPos val="l"/>
        <c:majorGridlines>
          <c:spPr>
            <a:ln w="9525" cap="flat" cmpd="sng" algn="ctr">
              <a:solidFill>
                <a:schemeClr val="bg1">
                  <a:lumMod val="902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87162294"/>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dk1">
                    <a:lumMod val="75000"/>
                    <a:lumOff val="25000"/>
                  </a:schemeClr>
                </a:solidFill>
                <a:latin typeface="+mn-lt"/>
                <a:ea typeface="+mn-ea"/>
                <a:cs typeface="+mn-cs"/>
              </a:defRPr>
            </a:pPr>
            <a:r>
              <a:t>一般公共预算财政拨款支出决算结构</a:t>
            </a:r>
          </a:p>
        </c:rich>
      </c:tx>
      <c:layout>
        <c:manualLayout>
          <c:xMode val="edge"/>
          <c:yMode val="edge"/>
          <c:x val="0.228316018361923"/>
          <c:y val="0.0254993625159371"/>
        </c:manualLayout>
      </c:layout>
      <c:overlay val="0"/>
      <c:spPr>
        <a:noFill/>
        <a:ln>
          <a:noFill/>
        </a:ln>
        <a:effectLst/>
      </c:spPr>
    </c:title>
    <c:autoTitleDeleted val="0"/>
    <c:plotArea>
      <c:layout/>
      <c:pieChart>
        <c:varyColors val="1"/>
        <c:ser>
          <c:idx val="0"/>
          <c:order val="0"/>
          <c:tx>
            <c:strRef>
              <c:f>Sheet1!$B$1</c:f>
              <c:strCache>
                <c:ptCount val="1"/>
                <c:pt idx="0">
                  <c:v>销售额</c:v>
                </c:pt>
              </c:strCache>
            </c:strRef>
          </c:tx>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Pt>
            <c:idx val="2"/>
            <c:bubble3D val="0"/>
            <c:spPr>
              <a:solidFill>
                <a:schemeClr val="accent3"/>
              </a:solidFill>
              <a:ln>
                <a:solidFill>
                  <a:schemeClr val="bg1"/>
                </a:solidFill>
              </a:ln>
              <a:effectLst/>
            </c:spPr>
          </c:dPt>
          <c:dPt>
            <c:idx val="3"/>
            <c:bubble3D val="0"/>
            <c:spPr>
              <a:solidFill>
                <a:schemeClr val="accent4"/>
              </a:solidFill>
              <a:ln>
                <a:solidFill>
                  <a:schemeClr val="bg1"/>
                </a:solidFill>
              </a:ln>
              <a:effectLst/>
            </c:spPr>
          </c:dPt>
          <c:dPt>
            <c:idx val="4"/>
            <c:bubble3D val="0"/>
            <c:spPr>
              <a:solidFill>
                <a:schemeClr val="accent5"/>
              </a:solidFill>
              <a:ln>
                <a:solidFill>
                  <a:schemeClr val="bg1"/>
                </a:solidFill>
              </a:ln>
              <a:effectLst/>
            </c:spPr>
          </c:dPt>
          <c:dPt>
            <c:idx val="5"/>
            <c:bubble3D val="0"/>
            <c:spPr>
              <a:solidFill>
                <a:schemeClr val="accent6"/>
              </a:solidFill>
              <a:ln>
                <a:solidFill>
                  <a:schemeClr val="bg1"/>
                </a:solidFill>
              </a:ln>
              <a:effectLst/>
            </c:spPr>
          </c:dPt>
          <c:dPt>
            <c:idx val="6"/>
            <c:bubble3D val="0"/>
            <c:spPr>
              <a:solidFill>
                <a:schemeClr val="accent1">
                  <a:lumMod val="60000"/>
                </a:schemeClr>
              </a:solidFill>
              <a:ln>
                <a:solidFill>
                  <a:schemeClr val="bg1"/>
                </a:solidFill>
              </a:ln>
              <a:effectLst/>
            </c:spPr>
          </c:dPt>
          <c:dLbls>
            <c:delete val="1"/>
          </c:dLbls>
          <c:cat>
            <c:strRef>
              <c:f>Sheet1!$A$2:$A$8</c:f>
              <c:strCache>
                <c:ptCount val="7"/>
                <c:pt idx="0">
                  <c:v>科学技术支出</c:v>
                </c:pt>
                <c:pt idx="1">
                  <c:v>文化旅游体育与传媒支出</c:v>
                </c:pt>
                <c:pt idx="2">
                  <c:v>社会保障和就业支出</c:v>
                </c:pt>
                <c:pt idx="3">
                  <c:v>卫生健康支出</c:v>
                </c:pt>
                <c:pt idx="4">
                  <c:v>农林水支出</c:v>
                </c:pt>
                <c:pt idx="5">
                  <c:v>住房保障支出</c:v>
                </c:pt>
                <c:pt idx="6">
                  <c:v>其他支出</c:v>
                </c:pt>
              </c:strCache>
            </c:strRef>
          </c:cat>
          <c:val>
            <c:numRef>
              <c:f>Sheet1!$B$2:$B$8</c:f>
              <c:numCache>
                <c:formatCode>General</c:formatCode>
                <c:ptCount val="7"/>
                <c:pt idx="0">
                  <c:v>0.53</c:v>
                </c:pt>
                <c:pt idx="1">
                  <c:v>3279.33</c:v>
                </c:pt>
                <c:pt idx="2">
                  <c:v>111.51</c:v>
                </c:pt>
                <c:pt idx="3">
                  <c:v>44.77</c:v>
                </c:pt>
                <c:pt idx="4">
                  <c:v>1896.28</c:v>
                </c:pt>
                <c:pt idx="5">
                  <c:v>66.47</c:v>
                </c:pt>
                <c:pt idx="6">
                  <c:v>10.5</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083">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bg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dk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bg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dk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bg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dk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bg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dk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bg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dk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bg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dk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bg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dk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bg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dk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46</Pages>
  <Words>18104</Words>
  <Characters>19154</Characters>
  <Lines>61</Lines>
  <Paragraphs>17</Paragraphs>
  <TotalTime>11</TotalTime>
  <ScaleCrop>false</ScaleCrop>
  <LinksUpToDate>false</LinksUpToDate>
  <CharactersWithSpaces>19247</CharactersWithSpaces>
  <Application>WPS Office_11.1.0.9584_F1E327BC-269C-435d-A152-05C5408002CA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2020-08-05T01:49:00Z</dcterms:created>
  <dc:creator>曹颖</dc:creator>
  <cp:lastModifiedBy>Lenovo</cp:lastModifiedBy>
  <cp:lastPrinted>2026-08-11T02:58:53Z</cp:lastPrinted>
  <dcterms:modified xsi:type="dcterms:W3CDTF">2026-08-11T02:59:30Z</dcterms:modified>
  <dc:title>四川省***</dc:title>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y fmtid="{D5CDD505-2E9C-101B-9397-08002B2CF9AE}" pid="3" name="ICV">
    <vt:lpwstr>34B9288DB09F43759786FD90A894A1DB_13</vt:lpwstr>
  </property>
</Properties>
</file>