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ascii="黑体" w:eastAsia="黑体"/>
          <w:sz w:val="44"/>
          <w:szCs w:val="44"/>
        </w:rPr>
      </w:pPr>
      <w:r>
        <w:rPr>
          <w:rFonts w:hint="eastAsia" w:ascii="黑体" w:eastAsia="黑体"/>
          <w:sz w:val="44"/>
          <w:szCs w:val="44"/>
        </w:rPr>
        <w:t>部门（单位）名称</w:t>
      </w:r>
    </w:p>
    <w:p>
      <w:pPr>
        <w:jc w:val="center"/>
        <w:rPr>
          <w:rFonts w:ascii="黑体" w:eastAsia="黑体"/>
          <w:sz w:val="44"/>
          <w:szCs w:val="44"/>
        </w:rPr>
      </w:pPr>
      <w:r>
        <w:rPr>
          <w:rFonts w:hint="eastAsia" w:ascii="黑体" w:eastAsia="黑体"/>
          <w:sz w:val="44"/>
          <w:szCs w:val="44"/>
          <w:lang w:eastAsia="zh-CN"/>
        </w:rPr>
        <w:t>2026</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1"/>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hint="eastAsia" w:ascii="楷体" w:eastAsia="楷体"/>
          <w:sz w:val="32"/>
          <w:szCs w:val="32"/>
          <w:lang w:eastAsia="zh-CN"/>
        </w:rPr>
        <w:t>2026</w:t>
      </w:r>
      <w:r>
        <w:rPr>
          <w:rFonts w:hint="eastAsia" w:ascii="楷体" w:eastAsia="楷体"/>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1"/>
        <w:rPr>
          <w:rFonts w:ascii="黑体" w:eastAsia="黑体"/>
          <w:sz w:val="32"/>
          <w:szCs w:val="32"/>
        </w:rPr>
      </w:pPr>
      <w:r>
        <w:rPr>
          <w:rFonts w:hint="eastAsia" w:ascii="黑体" w:eastAsia="黑体"/>
          <w:sz w:val="32"/>
          <w:szCs w:val="32"/>
        </w:rPr>
        <w:t>一、基本职能及主要工作</w:t>
      </w:r>
    </w:p>
    <w:p>
      <w:pPr>
        <w:ind w:firstLine="640" w:firstLineChars="200"/>
        <w:rPr>
          <w:rFonts w:ascii="楷体" w:eastAsia="楷体"/>
          <w:sz w:val="32"/>
          <w:szCs w:val="32"/>
        </w:rPr>
      </w:pPr>
      <w:r>
        <w:rPr>
          <w:rFonts w:hint="eastAsia" w:ascii="楷体" w:eastAsia="楷体"/>
          <w:sz w:val="32"/>
          <w:szCs w:val="32"/>
        </w:rPr>
        <w:t>（一）部门职能简介</w:t>
      </w:r>
    </w:p>
    <w:p>
      <w:pPr>
        <w:spacing w:line="560" w:lineRule="exact"/>
        <w:ind w:firstLine="640" w:firstLineChars="200"/>
        <w:rPr>
          <w:rFonts w:ascii="仿宋" w:hAnsi="仿宋" w:eastAsia="仿宋"/>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贯彻落实党和国家关于文化、体育、旅游的方针政策和省委、州委、县委的决策部署，拟订文化、体育和旅游政策措施，起草文化、体育和旅游地方性法规、规章草案，负责本部门依法行政工作。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组织推动全县文化、体育事业产业和旅游业发展，拟推进文化、体育和旅游产业融合发展，促进文化、体育和旅游与相关产业融合发展。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指导管理文艺事业，把握正确的创作导向，推动文化艺术创作生产，扶持体现社会主义核心价值观、具有导向性代表性示范性的文化艺术作品，推动各门类艺术、各艺术品种发展，推动中华优秀传统文化和壤塘本地特色文化传承发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负责公共文化、体育事业发展，推进全县公共文化体育服务体系建设和旅游公共服务建设，深入实施惠民工程，统筹推进文化、体育、旅游基本公共服务标准化、均等化。</w:t>
      </w:r>
    </w:p>
    <w:p>
      <w:pPr>
        <w:spacing w:line="560" w:lineRule="exact"/>
        <w:ind w:firstLine="640" w:firstLineChars="200"/>
        <w:rPr>
          <w:rFonts w:ascii="仿宋" w:hAnsi="仿宋" w:eastAsia="仿宋"/>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推进文化、体育和旅游科技创新，推进文化、体育和旅游行业信息化、标准化建设。</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负责非物质文化遗产保护工作，推动非物质文化遗产的保护、传承、普及、弘扬和振兴，履行文物行政督察职能，负责世界文化遗产保护和管理监督工作，组织开展世界文化与自然遗产、历史文化名城（镇、村）申报和监督管理工作，负责推动完善文物和博物馆公共服务体系建设。</w:t>
      </w:r>
    </w:p>
    <w:p>
      <w:pPr>
        <w:spacing w:line="560" w:lineRule="exact"/>
        <w:ind w:firstLine="640" w:firstLineChars="200"/>
        <w:rPr>
          <w:rFonts w:ascii="仿宋" w:hAnsi="仿宋" w:eastAsia="仿宋"/>
          <w:color w:val="000000"/>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推动全县群众体育、竞技体育和青少年（学校）体育工作发展规划实施，推行全民健身计划，推动建立和完善全民健身服务体系，指导和开展群众性体育活动，研究和指导体育训练和运动员队伍建设，统筹组织全县综合性运动会、参加州级以上体育竞赛和综合性运动会，指导各级各类体育学校的建设和青少年业余训练及相关活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指导全县文化、体育、旅游市场发展，对全县文化、体育、旅游市场依法进行行业监管，推进文化、体育、旅游行业信用体系建设，依法规范文化、体育、旅游市场。统筹全县文化、文物、体育、旅游市场综合行政执法，组织查处全县性、跨区域文化、文物、体育、旅游等市场的违法行为，督察督办大案要案，维护市场秩序。</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负责管理、组织文化、体育和旅游对外及对港澳台交流合作与宣传推广工作，组织实施全县文化、体育和旅游资源的普查、保护与利用，管理全县性重大文化、体育和旅游活动，组织全县重点文化、体育和旅游设施建设，组织实施全县文化、体育和旅游整体形象推广，促进文化、体育、旅游产业市场推广和对外合作交流，制定文化体育和旅游市场开发战略并组织实施，推进全域旅游。强化文化、体育和旅游要素配置，统筹整合形成文化、体育和旅游发展新优势，着力打造具有地方民族特色的文化、体育和旅游品牌，推进文化、体育和旅游融合发展，巩固旅游业的战略性支柱产业地位，推动旅游业向主导产业发展，提升壤塘文化软实力，建设文化强县，努力开创文化、体育和旅游工作新局面。</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负责文化、体育和旅游系统及市场安全生产工作的综合协调与监督管理，依法履行行业职业健康监管职责，承担职责范围内生态环境保护、审批服务便民化等工作，承担文化、体育、旅游行业意识形态工作，负责机关节能。</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完成上级交办的其他任务。</w:t>
      </w:r>
    </w:p>
    <w:p>
      <w:pPr>
        <w:ind w:firstLine="640" w:firstLineChars="200"/>
        <w:rPr>
          <w:rFonts w:ascii="楷体" w:eastAsia="楷体"/>
          <w:sz w:val="32"/>
          <w:szCs w:val="32"/>
        </w:rPr>
      </w:pPr>
      <w:r>
        <w:rPr>
          <w:rFonts w:hint="eastAsia" w:ascii="楷体" w:eastAsia="楷体"/>
          <w:sz w:val="32"/>
          <w:szCs w:val="32"/>
        </w:rPr>
        <w:t>（二）</w:t>
      </w:r>
      <w:r>
        <w:rPr>
          <w:rFonts w:hint="eastAsia" w:ascii="楷体" w:eastAsia="楷体"/>
          <w:sz w:val="32"/>
          <w:szCs w:val="32"/>
          <w:lang w:eastAsia="zh-CN"/>
        </w:rPr>
        <w:t>2026</w:t>
      </w:r>
      <w:r>
        <w:rPr>
          <w:rFonts w:hint="eastAsia" w:ascii="楷体" w:eastAsia="楷体"/>
          <w:sz w:val="32"/>
          <w:szCs w:val="32"/>
        </w:rPr>
        <w:t>年重点工作</w:t>
      </w:r>
    </w:p>
    <w:p>
      <w:pPr>
        <w:pStyle w:val="5"/>
        <w:keepNext w:val="0"/>
        <w:keepLines w:val="0"/>
        <w:pageBreakBefore w:val="0"/>
        <w:widowControl w:val="0"/>
        <w:kinsoku/>
        <w:wordWrap/>
        <w:overflowPunct/>
        <w:topLinePunct w:val="0"/>
        <w:autoSpaceDE/>
        <w:autoSpaceDN/>
        <w:bidi w:val="0"/>
        <w:adjustRightInd/>
        <w:snapToGrid/>
        <w:spacing w:after="0" w:afterLines="0"/>
        <w:ind w:firstLine="640" w:firstLineChars="200"/>
        <w:jc w:val="both"/>
        <w:textAlignment w:val="auto"/>
        <w:rPr>
          <w:rStyle w:val="10"/>
          <w:rFonts w:hint="default" w:ascii="Times New Roman" w:hAnsi="Times New Roman" w:cs="Times New Roman"/>
        </w:rPr>
      </w:pPr>
      <w:r>
        <w:rPr>
          <w:rFonts w:hint="eastAsia" w:ascii="仿宋_GB2312" w:hAnsi="仿宋_GB2312" w:eastAsia="仿宋_GB2312" w:cs="仿宋_GB2312"/>
          <w:kern w:val="2"/>
          <w:sz w:val="32"/>
          <w:szCs w:val="32"/>
          <w:lang w:val="en-US" w:eastAsia="zh-CN" w:bidi="ar-SA"/>
        </w:rPr>
        <w:t>1.</w:t>
      </w:r>
      <w:r>
        <w:rPr>
          <w:rStyle w:val="10"/>
          <w:rFonts w:hint="default" w:ascii="Times New Roman" w:hAnsi="Times New Roman" w:cs="Times New Roman"/>
        </w:rPr>
        <w:t>目标建议。</w:t>
      </w:r>
    </w:p>
    <w:p>
      <w:pPr>
        <w:pStyle w:val="5"/>
        <w:keepNext w:val="0"/>
        <w:keepLines w:val="0"/>
        <w:pageBreakBefore w:val="0"/>
        <w:widowControl w:val="0"/>
        <w:kinsoku/>
        <w:wordWrap/>
        <w:overflowPunct/>
        <w:topLinePunct w:val="0"/>
        <w:autoSpaceDE/>
        <w:autoSpaceDN/>
        <w:bidi w:val="0"/>
        <w:adjustRightInd/>
        <w:snapToGrid/>
        <w:spacing w:after="0" w:afterLines="0"/>
        <w:ind w:firstLine="643" w:firstLineChars="200"/>
        <w:jc w:val="both"/>
        <w:textAlignment w:val="auto"/>
        <w:rPr>
          <w:rStyle w:val="10"/>
          <w:rFonts w:hint="default" w:ascii="Times New Roman" w:hAnsi="Times New Roman" w:eastAsia="仿宋_GB2312" w:cs="Times New Roman"/>
          <w:b w:val="0"/>
          <w:bCs/>
        </w:rPr>
      </w:pPr>
      <w:r>
        <w:rPr>
          <w:rStyle w:val="10"/>
          <w:rFonts w:hint="default" w:ascii="Times New Roman" w:hAnsi="Times New Roman" w:eastAsia="仿宋_GB2312" w:cs="Times New Roman"/>
          <w:b/>
          <w:bCs w:val="0"/>
          <w:lang w:eastAsia="zh-CN"/>
        </w:rPr>
        <w:t>一是非遗保护提质目标。</w:t>
      </w:r>
      <w:r>
        <w:rPr>
          <w:rStyle w:val="10"/>
          <w:rFonts w:hint="default" w:ascii="Times New Roman" w:hAnsi="Times New Roman" w:eastAsia="仿宋_GB2312" w:cs="Times New Roman"/>
          <w:b w:val="0"/>
          <w:bCs/>
        </w:rPr>
        <w:t>完成3项国家级、14项省级非遗项目“一物一档、一人一档”电子档案库建设，数字化保护覆盖率达100%；成功申报1个省级非遗优秀工坊，新增20余名县级非遗代表性传承人。</w:t>
      </w:r>
    </w:p>
    <w:p>
      <w:pPr>
        <w:pStyle w:val="5"/>
        <w:keepNext w:val="0"/>
        <w:keepLines w:val="0"/>
        <w:pageBreakBefore w:val="0"/>
        <w:widowControl w:val="0"/>
        <w:kinsoku/>
        <w:wordWrap/>
        <w:overflowPunct/>
        <w:topLinePunct w:val="0"/>
        <w:autoSpaceDE/>
        <w:autoSpaceDN/>
        <w:bidi w:val="0"/>
        <w:adjustRightInd/>
        <w:snapToGrid/>
        <w:spacing w:after="0" w:afterLines="0"/>
        <w:ind w:firstLine="643" w:firstLineChars="200"/>
        <w:jc w:val="both"/>
        <w:textAlignment w:val="auto"/>
        <w:rPr>
          <w:rStyle w:val="10"/>
          <w:rFonts w:hint="default" w:ascii="Times New Roman" w:hAnsi="Times New Roman" w:eastAsia="仿宋_GB2312" w:cs="Times New Roman"/>
          <w:b w:val="0"/>
          <w:bCs/>
        </w:rPr>
      </w:pPr>
      <w:r>
        <w:rPr>
          <w:rStyle w:val="10"/>
          <w:rFonts w:hint="default" w:ascii="Times New Roman" w:hAnsi="Times New Roman" w:eastAsia="仿宋_GB2312" w:cs="Times New Roman"/>
          <w:b/>
          <w:bCs w:val="0"/>
          <w:lang w:eastAsia="zh-CN"/>
        </w:rPr>
        <w:t>二是文旅融合创新目标。</w:t>
      </w:r>
      <w:r>
        <w:rPr>
          <w:rStyle w:val="10"/>
          <w:rFonts w:hint="default" w:ascii="Times New Roman" w:hAnsi="Times New Roman" w:eastAsia="仿宋_GB2312" w:cs="Times New Roman"/>
          <w:b w:val="0"/>
          <w:bCs/>
        </w:rPr>
        <w:t>推出“非遗+研学”“非遗+民宿”“非遗+康养”特色产品各2个，打造3条非遗精品研学线路；开发非遗文创衍生品10款。</w:t>
      </w:r>
    </w:p>
    <w:p>
      <w:pPr>
        <w:pStyle w:val="5"/>
        <w:keepNext w:val="0"/>
        <w:keepLines w:val="0"/>
        <w:pageBreakBefore w:val="0"/>
        <w:widowControl w:val="0"/>
        <w:kinsoku/>
        <w:wordWrap/>
        <w:overflowPunct/>
        <w:topLinePunct w:val="0"/>
        <w:autoSpaceDE/>
        <w:autoSpaceDN/>
        <w:bidi w:val="0"/>
        <w:adjustRightInd/>
        <w:snapToGrid/>
        <w:spacing w:after="0" w:afterLines="0"/>
        <w:ind w:firstLine="643" w:firstLineChars="200"/>
        <w:jc w:val="both"/>
        <w:textAlignment w:val="auto"/>
        <w:rPr>
          <w:rStyle w:val="10"/>
          <w:rFonts w:hint="default" w:ascii="Times New Roman" w:hAnsi="Times New Roman" w:eastAsia="仿宋_GB2312" w:cs="Times New Roman"/>
          <w:b w:val="0"/>
          <w:bCs/>
        </w:rPr>
      </w:pPr>
      <w:r>
        <w:rPr>
          <w:rStyle w:val="10"/>
          <w:rFonts w:hint="default" w:ascii="Times New Roman" w:hAnsi="Times New Roman" w:eastAsia="仿宋_GB2312" w:cs="Times New Roman"/>
          <w:b/>
          <w:bCs w:val="0"/>
          <w:lang w:eastAsia="zh-CN"/>
        </w:rPr>
        <w:t>三是品牌传播推广目标。</w:t>
      </w:r>
      <w:r>
        <w:rPr>
          <w:rStyle w:val="10"/>
          <w:rFonts w:hint="default" w:ascii="Times New Roman" w:hAnsi="Times New Roman" w:eastAsia="仿宋_GB2312" w:cs="Times New Roman"/>
          <w:b w:val="0"/>
          <w:bCs/>
        </w:rPr>
        <w:t>建成3个标志性非遗网红打卡地（中壤塘非遗创业园区、棒托石刻公园、上壤塘藏式陶艺工坊）；孵化2名非遗本土网红，培养5名非遗自媒体传播骨干。</w:t>
      </w:r>
    </w:p>
    <w:p>
      <w:pPr>
        <w:pStyle w:val="5"/>
        <w:keepNext w:val="0"/>
        <w:keepLines w:val="0"/>
        <w:pageBreakBefore w:val="0"/>
        <w:widowControl w:val="0"/>
        <w:kinsoku/>
        <w:wordWrap/>
        <w:overflowPunct/>
        <w:topLinePunct w:val="0"/>
        <w:autoSpaceDE/>
        <w:autoSpaceDN/>
        <w:bidi w:val="0"/>
        <w:adjustRightInd/>
        <w:snapToGrid/>
        <w:spacing w:after="0" w:afterLines="0"/>
        <w:ind w:firstLine="643" w:firstLineChars="200"/>
        <w:jc w:val="both"/>
        <w:textAlignment w:val="auto"/>
        <w:rPr>
          <w:rStyle w:val="10"/>
          <w:rFonts w:hint="default" w:ascii="Times New Roman" w:hAnsi="Times New Roman" w:eastAsia="仿宋_GB2312" w:cs="Times New Roman"/>
          <w:b w:val="0"/>
          <w:bCs/>
        </w:rPr>
      </w:pPr>
      <w:r>
        <w:rPr>
          <w:rStyle w:val="10"/>
          <w:rFonts w:hint="default" w:ascii="Times New Roman" w:hAnsi="Times New Roman" w:eastAsia="仿宋_GB2312" w:cs="Times New Roman"/>
          <w:b/>
          <w:bCs w:val="0"/>
          <w:lang w:eastAsia="zh-CN"/>
        </w:rPr>
        <w:t>四是民生赋能成效目标。</w:t>
      </w:r>
      <w:r>
        <w:rPr>
          <w:rStyle w:val="10"/>
          <w:rFonts w:hint="default" w:ascii="Times New Roman" w:hAnsi="Times New Roman" w:eastAsia="仿宋_GB2312" w:cs="Times New Roman"/>
          <w:b w:val="0"/>
          <w:bCs/>
        </w:rPr>
        <w:t>建立“非遗工坊+农户”合作机制，带动100户以上群众参与非遗生产，户均年增收1.2万元以上；非遗相关产业带动就业300人，占全县文旅就业人数的30%。</w:t>
      </w:r>
    </w:p>
    <w:p>
      <w:pPr>
        <w:pStyle w:val="5"/>
        <w:keepNext w:val="0"/>
        <w:keepLines w:val="0"/>
        <w:pageBreakBefore w:val="0"/>
        <w:widowControl w:val="0"/>
        <w:kinsoku/>
        <w:wordWrap/>
        <w:overflowPunct/>
        <w:topLinePunct w:val="0"/>
        <w:autoSpaceDE/>
        <w:autoSpaceDN/>
        <w:bidi w:val="0"/>
        <w:adjustRightInd/>
        <w:snapToGrid/>
        <w:spacing w:after="0" w:afterLines="0"/>
        <w:ind w:firstLine="643" w:firstLineChars="200"/>
        <w:jc w:val="both"/>
        <w:textAlignment w:val="auto"/>
        <w:rPr>
          <w:rStyle w:val="10"/>
          <w:rFonts w:hint="default" w:ascii="Times New Roman" w:hAnsi="Times New Roman" w:eastAsia="仿宋_GB2312" w:cs="Times New Roman"/>
          <w:b w:val="0"/>
          <w:bCs/>
        </w:rPr>
      </w:pPr>
      <w:r>
        <w:rPr>
          <w:rStyle w:val="10"/>
          <w:rFonts w:hint="default" w:ascii="Times New Roman" w:hAnsi="Times New Roman" w:eastAsia="仿宋_GB2312" w:cs="Times New Roman"/>
          <w:b/>
          <w:bCs w:val="0"/>
          <w:lang w:eastAsia="zh-CN"/>
        </w:rPr>
        <w:t>五是文物安全与项目目标。</w:t>
      </w:r>
      <w:r>
        <w:rPr>
          <w:rStyle w:val="10"/>
          <w:rFonts w:hint="default" w:ascii="Times New Roman" w:hAnsi="Times New Roman" w:eastAsia="仿宋_GB2312" w:cs="Times New Roman"/>
          <w:b w:val="0"/>
          <w:bCs/>
        </w:rPr>
        <w:t>确保第四次全国文物普查任务圆满收官，正式建立并发布《壤塘县不可移动文物资源目录》。实现各级文物安全巡查检查覆盖率100%，重大安全隐患整改率100%。力争至少1项重点文物保护项目获得上级资金批复并启动实施。</w:t>
      </w:r>
    </w:p>
    <w:p>
      <w:pPr>
        <w:pStyle w:val="5"/>
        <w:keepNext w:val="0"/>
        <w:keepLines w:val="0"/>
        <w:pageBreakBefore w:val="0"/>
        <w:widowControl w:val="0"/>
        <w:kinsoku/>
        <w:wordWrap/>
        <w:overflowPunct/>
        <w:topLinePunct w:val="0"/>
        <w:autoSpaceDE/>
        <w:autoSpaceDN/>
        <w:bidi w:val="0"/>
        <w:adjustRightInd/>
        <w:snapToGrid/>
        <w:spacing w:after="0" w:afterLines="0"/>
        <w:ind w:firstLine="643" w:firstLineChars="200"/>
        <w:jc w:val="both"/>
        <w:textAlignment w:val="auto"/>
        <w:rPr>
          <w:rStyle w:val="10"/>
          <w:rFonts w:hint="default" w:ascii="Times New Roman" w:hAnsi="Times New Roman" w:eastAsia="仿宋_GB2312" w:cs="Times New Roman"/>
          <w:b w:val="0"/>
          <w:bCs/>
        </w:rPr>
      </w:pPr>
      <w:r>
        <w:rPr>
          <w:rStyle w:val="10"/>
          <w:rFonts w:hint="default" w:ascii="Times New Roman" w:hAnsi="Times New Roman" w:eastAsia="仿宋_GB2312" w:cs="Times New Roman"/>
          <w:b/>
          <w:bCs w:val="0"/>
          <w:lang w:eastAsia="zh-CN"/>
        </w:rPr>
        <w:t>六是执法监管目标。</w:t>
      </w:r>
      <w:r>
        <w:rPr>
          <w:rStyle w:val="10"/>
          <w:rFonts w:hint="default" w:ascii="Times New Roman" w:hAnsi="Times New Roman" w:eastAsia="仿宋_GB2312" w:cs="Times New Roman"/>
          <w:b w:val="0"/>
          <w:bCs/>
        </w:rPr>
        <w:t>2026年执法监管工作中，将开展日常巡查不少于60次、联合执法不少于8次，对未成年人保护等重点领域违法违规行为，实现查处率100%，确保辖区经营场所监管全覆盖。宣传教育方面，计划开展普法活动不少于12次，发放宣传资料不少于400份。安全生产监管上，年内排查整改安全隐患不少于20处，组织应急演练不少于2次。</w:t>
      </w:r>
    </w:p>
    <w:p>
      <w:pPr>
        <w:pStyle w:val="5"/>
        <w:keepNext w:val="0"/>
        <w:keepLines w:val="0"/>
        <w:pageBreakBefore w:val="0"/>
        <w:widowControl w:val="0"/>
        <w:kinsoku/>
        <w:wordWrap/>
        <w:overflowPunct/>
        <w:topLinePunct w:val="0"/>
        <w:autoSpaceDE/>
        <w:autoSpaceDN/>
        <w:bidi w:val="0"/>
        <w:adjustRightInd/>
        <w:snapToGrid/>
        <w:spacing w:after="0" w:afterLines="0"/>
        <w:ind w:firstLine="643" w:firstLineChars="200"/>
        <w:jc w:val="both"/>
        <w:textAlignment w:val="auto"/>
        <w:rPr>
          <w:rStyle w:val="10"/>
          <w:rFonts w:hint="default" w:ascii="Times New Roman" w:hAnsi="Times New Roman" w:cs="Times New Roman"/>
        </w:rPr>
      </w:pPr>
      <w:r>
        <w:rPr>
          <w:rStyle w:val="10"/>
          <w:rFonts w:hint="eastAsia" w:ascii="Times New Roman" w:hAnsi="Times New Roman" w:eastAsia="楷体_GB2312" w:cs="Times New Roman"/>
          <w:lang w:val="en-US" w:eastAsia="zh-CN"/>
        </w:rPr>
        <w:t>2.</w:t>
      </w:r>
      <w:r>
        <w:rPr>
          <w:rStyle w:val="10"/>
          <w:rFonts w:hint="default" w:ascii="Times New Roman" w:hAnsi="Times New Roman" w:cs="Times New Roman"/>
        </w:rPr>
        <w:t>重点工作。</w:t>
      </w:r>
    </w:p>
    <w:p>
      <w:pPr>
        <w:pStyle w:val="5"/>
        <w:keepNext w:val="0"/>
        <w:keepLines w:val="0"/>
        <w:pageBreakBefore w:val="0"/>
        <w:widowControl w:val="0"/>
        <w:kinsoku/>
        <w:wordWrap/>
        <w:overflowPunct/>
        <w:topLinePunct w:val="0"/>
        <w:autoSpaceDE/>
        <w:autoSpaceDN/>
        <w:bidi w:val="0"/>
        <w:adjustRightInd/>
        <w:snapToGrid/>
        <w:spacing w:after="0" w:afterLines="0"/>
        <w:ind w:firstLine="643" w:firstLineChars="200"/>
        <w:jc w:val="both"/>
        <w:textAlignment w:val="auto"/>
        <w:rPr>
          <w:rStyle w:val="10"/>
          <w:rFonts w:hint="default" w:ascii="Times New Roman" w:hAnsi="Times New Roman" w:eastAsia="仿宋_GB2312" w:cs="Times New Roman"/>
          <w:b w:val="0"/>
          <w:bCs/>
        </w:rPr>
      </w:pPr>
      <w:r>
        <w:rPr>
          <w:rStyle w:val="10"/>
          <w:rFonts w:hint="default" w:ascii="Times New Roman" w:hAnsi="Times New Roman" w:eastAsia="仿宋_GB2312" w:cs="Times New Roman"/>
          <w:b/>
          <w:bCs w:val="0"/>
          <w:lang w:eastAsia="zh-CN"/>
        </w:rPr>
        <w:t>一是非遗保护传承提质行动。</w:t>
      </w:r>
      <w:r>
        <w:rPr>
          <w:rStyle w:val="10"/>
          <w:rFonts w:hint="default" w:ascii="Times New Roman" w:hAnsi="Times New Roman" w:eastAsia="仿宋_GB2312" w:cs="Times New Roman"/>
          <w:b w:val="0"/>
          <w:bCs/>
        </w:rPr>
        <w:t>制定非遗传习所等级评定标准，重点升级唐卡、藏陶等核心传习基地。</w:t>
      </w:r>
    </w:p>
    <w:p>
      <w:pPr>
        <w:pStyle w:val="5"/>
        <w:keepNext w:val="0"/>
        <w:keepLines w:val="0"/>
        <w:pageBreakBefore w:val="0"/>
        <w:widowControl w:val="0"/>
        <w:kinsoku/>
        <w:wordWrap/>
        <w:overflowPunct/>
        <w:topLinePunct w:val="0"/>
        <w:autoSpaceDE/>
        <w:autoSpaceDN/>
        <w:bidi w:val="0"/>
        <w:adjustRightInd/>
        <w:snapToGrid/>
        <w:spacing w:after="0" w:afterLines="0"/>
        <w:ind w:firstLine="643" w:firstLineChars="200"/>
        <w:jc w:val="both"/>
        <w:textAlignment w:val="auto"/>
        <w:rPr>
          <w:rStyle w:val="10"/>
          <w:rFonts w:hint="default" w:ascii="Times New Roman" w:hAnsi="Times New Roman" w:eastAsia="仿宋_GB2312" w:cs="Times New Roman"/>
          <w:b w:val="0"/>
          <w:bCs/>
        </w:rPr>
      </w:pPr>
      <w:r>
        <w:rPr>
          <w:rStyle w:val="10"/>
          <w:rFonts w:hint="default" w:ascii="Times New Roman" w:hAnsi="Times New Roman" w:eastAsia="仿宋_GB2312" w:cs="Times New Roman"/>
          <w:b/>
          <w:bCs w:val="0"/>
          <w:lang w:eastAsia="zh-CN"/>
        </w:rPr>
        <w:t>二是文旅融合业态创新行动。</w:t>
      </w:r>
      <w:r>
        <w:rPr>
          <w:rStyle w:val="10"/>
          <w:rFonts w:hint="default" w:ascii="Times New Roman" w:hAnsi="Times New Roman" w:eastAsia="仿宋_GB2312" w:cs="Times New Roman"/>
          <w:b w:val="0"/>
          <w:bCs/>
        </w:rPr>
        <w:t>联合专业院校与旅行社，开发非遗研学课程与线路，</w:t>
      </w:r>
      <w:r>
        <w:rPr>
          <w:rStyle w:val="10"/>
          <w:rFonts w:hint="eastAsia" w:ascii="Times New Roman" w:hAnsi="Times New Roman" w:eastAsia="仿宋_GB2312" w:cs="Times New Roman"/>
          <w:b w:val="0"/>
          <w:bCs/>
          <w:lang w:eastAsia="zh-CN"/>
        </w:rPr>
        <w:t>并</w:t>
      </w:r>
      <w:r>
        <w:rPr>
          <w:rStyle w:val="10"/>
          <w:rFonts w:hint="default" w:ascii="Times New Roman" w:hAnsi="Times New Roman" w:eastAsia="仿宋_GB2312" w:cs="Times New Roman"/>
          <w:b w:val="0"/>
          <w:bCs/>
        </w:rPr>
        <w:t>配套建设研学服务设施。依托</w:t>
      </w:r>
      <w:r>
        <w:rPr>
          <w:rStyle w:val="10"/>
          <w:rFonts w:hint="eastAsia" w:ascii="Times New Roman" w:hAnsi="Times New Roman" w:eastAsia="仿宋_GB2312" w:cs="Times New Roman"/>
          <w:b w:val="0"/>
          <w:bCs/>
          <w:lang w:eastAsia="zh-CN"/>
        </w:rPr>
        <w:t>现有文旅</w:t>
      </w:r>
      <w:r>
        <w:rPr>
          <w:rStyle w:val="10"/>
          <w:rFonts w:hint="default" w:ascii="Times New Roman" w:hAnsi="Times New Roman" w:eastAsia="仿宋_GB2312" w:cs="Times New Roman"/>
          <w:b w:val="0"/>
          <w:bCs/>
        </w:rPr>
        <w:t>资源，打造“非遗+生态”“非遗+红色”等跨界业态，培育“景区+文创”“景区+微演艺”等消费新场景。联合本土企业研发藏纸文创、黑陶制品等特色产品，拓宽线上线下销售渠道。</w:t>
      </w:r>
    </w:p>
    <w:p>
      <w:pPr>
        <w:pStyle w:val="5"/>
        <w:keepNext w:val="0"/>
        <w:keepLines w:val="0"/>
        <w:pageBreakBefore w:val="0"/>
        <w:widowControl w:val="0"/>
        <w:kinsoku/>
        <w:wordWrap/>
        <w:overflowPunct/>
        <w:topLinePunct w:val="0"/>
        <w:autoSpaceDE/>
        <w:autoSpaceDN/>
        <w:bidi w:val="0"/>
        <w:adjustRightInd/>
        <w:snapToGrid/>
        <w:spacing w:after="0" w:afterLines="0"/>
        <w:ind w:firstLine="643" w:firstLineChars="200"/>
        <w:jc w:val="both"/>
        <w:textAlignment w:val="auto"/>
        <w:rPr>
          <w:rStyle w:val="10"/>
          <w:rFonts w:hint="default" w:ascii="Times New Roman" w:hAnsi="Times New Roman" w:eastAsia="仿宋_GB2312" w:cs="Times New Roman"/>
          <w:b w:val="0"/>
          <w:bCs/>
        </w:rPr>
      </w:pPr>
      <w:r>
        <w:rPr>
          <w:rStyle w:val="10"/>
          <w:rFonts w:hint="default" w:ascii="Times New Roman" w:hAnsi="Times New Roman" w:eastAsia="仿宋_GB2312" w:cs="Times New Roman"/>
          <w:b/>
          <w:bCs w:val="0"/>
          <w:lang w:eastAsia="zh-CN"/>
        </w:rPr>
        <w:t>三是品牌传播破圈行动。</w:t>
      </w:r>
      <w:r>
        <w:rPr>
          <w:rStyle w:val="10"/>
          <w:rFonts w:hint="default" w:ascii="Times New Roman" w:hAnsi="Times New Roman" w:eastAsia="仿宋_GB2312" w:cs="Times New Roman"/>
          <w:b w:val="0"/>
          <w:bCs/>
        </w:rPr>
        <w:t>打造壤塘非遗创业园区、棒托石刻公园、上壤塘藏式陶艺工坊等网红打卡点，并结合民俗节日举办“非遗打卡”主题活动。开展非遗自媒体运营培训，培育传承人传播骨干，常态化发布非遗技艺、传承故事等内容，在重要节点策划直播推介活动。</w:t>
      </w:r>
    </w:p>
    <w:p>
      <w:pPr>
        <w:pStyle w:val="5"/>
        <w:keepNext w:val="0"/>
        <w:keepLines w:val="0"/>
        <w:pageBreakBefore w:val="0"/>
        <w:widowControl w:val="0"/>
        <w:kinsoku/>
        <w:wordWrap/>
        <w:overflowPunct/>
        <w:topLinePunct w:val="0"/>
        <w:autoSpaceDE/>
        <w:autoSpaceDN/>
        <w:bidi w:val="0"/>
        <w:adjustRightInd/>
        <w:snapToGrid/>
        <w:spacing w:after="0" w:afterLines="0"/>
        <w:ind w:firstLine="643" w:firstLineChars="200"/>
        <w:jc w:val="both"/>
        <w:textAlignment w:val="auto"/>
        <w:rPr>
          <w:rStyle w:val="10"/>
          <w:rFonts w:hint="default" w:ascii="Times New Roman" w:hAnsi="Times New Roman" w:eastAsia="仿宋_GB2312" w:cs="Times New Roman"/>
          <w:b w:val="0"/>
          <w:bCs/>
        </w:rPr>
      </w:pPr>
      <w:r>
        <w:rPr>
          <w:rStyle w:val="10"/>
          <w:rFonts w:hint="default" w:ascii="Times New Roman" w:hAnsi="Times New Roman" w:eastAsia="仿宋_GB2312" w:cs="Times New Roman"/>
          <w:b/>
          <w:bCs w:val="0"/>
          <w:lang w:eastAsia="zh-CN"/>
        </w:rPr>
        <w:t>四是民生赋能保障行动。</w:t>
      </w:r>
      <w:r>
        <w:rPr>
          <w:rStyle w:val="10"/>
          <w:rFonts w:hint="default" w:ascii="Times New Roman" w:hAnsi="Times New Roman" w:eastAsia="仿宋_GB2312" w:cs="Times New Roman"/>
          <w:b w:val="0"/>
          <w:bCs/>
        </w:rPr>
        <w:t>开展分层分类培训，选派骨干传承人外出深造，组织农牧民参加非遗技能培训，联合院校开设“非遗+文旅服务”专班，培育熊猫级涉旅技能人才。建立“非遗工坊+农户”合作台账，明确利益分配机制，设立非遗产业发展专项资金并公开使用情况。</w:t>
      </w:r>
    </w:p>
    <w:p>
      <w:pPr>
        <w:pStyle w:val="5"/>
        <w:keepNext w:val="0"/>
        <w:keepLines w:val="0"/>
        <w:pageBreakBefore w:val="0"/>
        <w:widowControl w:val="0"/>
        <w:kinsoku/>
        <w:wordWrap/>
        <w:overflowPunct/>
        <w:topLinePunct w:val="0"/>
        <w:autoSpaceDE/>
        <w:autoSpaceDN/>
        <w:bidi w:val="0"/>
        <w:adjustRightInd/>
        <w:snapToGrid/>
        <w:spacing w:after="0" w:afterLines="0"/>
        <w:ind w:firstLine="643" w:firstLineChars="200"/>
        <w:jc w:val="both"/>
        <w:textAlignment w:val="auto"/>
        <w:rPr>
          <w:rStyle w:val="10"/>
          <w:rFonts w:hint="default" w:ascii="Times New Roman" w:hAnsi="Times New Roman" w:eastAsia="仿宋_GB2312" w:cs="Times New Roman"/>
          <w:b w:val="0"/>
          <w:bCs/>
        </w:rPr>
      </w:pPr>
      <w:r>
        <w:rPr>
          <w:rStyle w:val="10"/>
          <w:rFonts w:hint="eastAsia" w:ascii="Times New Roman" w:hAnsi="Times New Roman" w:eastAsia="仿宋_GB2312" w:cs="Times New Roman"/>
          <w:b/>
          <w:bCs w:val="0"/>
          <w:lang w:eastAsia="zh-CN"/>
        </w:rPr>
        <w:t>五</w:t>
      </w:r>
      <w:r>
        <w:rPr>
          <w:rStyle w:val="10"/>
          <w:rFonts w:hint="default" w:ascii="Times New Roman" w:hAnsi="Times New Roman" w:eastAsia="仿宋_GB2312" w:cs="Times New Roman"/>
          <w:b/>
          <w:bCs w:val="0"/>
          <w:lang w:eastAsia="zh-CN"/>
        </w:rPr>
        <w:t>是全面筑牢安全防线。</w:t>
      </w:r>
      <w:r>
        <w:rPr>
          <w:rStyle w:val="10"/>
          <w:rFonts w:hint="default" w:ascii="Times New Roman" w:hAnsi="Times New Roman" w:eastAsia="仿宋_GB2312" w:cs="Times New Roman"/>
          <w:b w:val="0"/>
          <w:bCs/>
        </w:rPr>
        <w:t>按期完成全县不可移动文物安全直接责任人公告公示牌的规范制作与现场设置。严格执行《四川省文物安全巡查检查办法》，确保省级及以上文保单位每月、</w:t>
      </w:r>
      <w:r>
        <w:rPr>
          <w:rStyle w:val="10"/>
          <w:rFonts w:hint="eastAsia" w:ascii="Times New Roman" w:hAnsi="Times New Roman" w:eastAsia="仿宋_GB2312" w:cs="Times New Roman"/>
          <w:b w:val="0"/>
          <w:bCs/>
          <w:lang w:eastAsia="zh-CN"/>
        </w:rPr>
        <w:t>州县级</w:t>
      </w:r>
      <w:r>
        <w:rPr>
          <w:rStyle w:val="10"/>
          <w:rFonts w:hint="default" w:ascii="Times New Roman" w:hAnsi="Times New Roman" w:eastAsia="仿宋_GB2312" w:cs="Times New Roman"/>
          <w:b w:val="0"/>
          <w:bCs/>
        </w:rPr>
        <w:t>每季度、一般不可移动文物每半年至少巡查一次的要求落实到位。</w:t>
      </w:r>
    </w:p>
    <w:p>
      <w:pPr>
        <w:pStyle w:val="5"/>
        <w:keepNext w:val="0"/>
        <w:keepLines w:val="0"/>
        <w:pageBreakBefore w:val="0"/>
        <w:widowControl w:val="0"/>
        <w:kinsoku/>
        <w:wordWrap/>
        <w:overflowPunct/>
        <w:topLinePunct w:val="0"/>
        <w:autoSpaceDE/>
        <w:autoSpaceDN/>
        <w:bidi w:val="0"/>
        <w:adjustRightInd/>
        <w:snapToGrid/>
        <w:spacing w:after="0" w:afterLines="0"/>
        <w:ind w:firstLine="643" w:firstLineChars="200"/>
        <w:jc w:val="both"/>
        <w:textAlignment w:val="auto"/>
        <w:rPr>
          <w:rStyle w:val="10"/>
          <w:rFonts w:hint="default" w:ascii="Times New Roman" w:hAnsi="Times New Roman" w:eastAsia="仿宋_GB2312" w:cs="Times New Roman"/>
          <w:b w:val="0"/>
          <w:bCs/>
        </w:rPr>
      </w:pPr>
      <w:r>
        <w:rPr>
          <w:rStyle w:val="10"/>
          <w:rFonts w:hint="eastAsia" w:ascii="Times New Roman" w:hAnsi="Times New Roman" w:eastAsia="仿宋_GB2312" w:cs="Times New Roman"/>
          <w:b/>
          <w:bCs w:val="0"/>
          <w:lang w:eastAsia="zh-CN"/>
        </w:rPr>
        <w:t>六</w:t>
      </w:r>
      <w:r>
        <w:rPr>
          <w:rStyle w:val="10"/>
          <w:rFonts w:hint="default" w:ascii="Times New Roman" w:hAnsi="Times New Roman" w:eastAsia="仿宋_GB2312" w:cs="Times New Roman"/>
          <w:b/>
          <w:bCs w:val="0"/>
          <w:lang w:eastAsia="zh-CN"/>
        </w:rPr>
        <w:t>是大力推动项目落地。</w:t>
      </w:r>
      <w:r>
        <w:rPr>
          <w:rStyle w:val="10"/>
          <w:rFonts w:hint="default" w:ascii="Times New Roman" w:hAnsi="Times New Roman" w:eastAsia="仿宋_GB2312" w:cs="Times New Roman"/>
          <w:b w:val="0"/>
          <w:bCs/>
        </w:rPr>
        <w:t>密切跟踪已上报的2026年度全国重点文保单位保护项目审批进展，全力争取资金落地。</w:t>
      </w:r>
    </w:p>
    <w:p>
      <w:pPr>
        <w:pStyle w:val="5"/>
        <w:keepNext w:val="0"/>
        <w:keepLines w:val="0"/>
        <w:pageBreakBefore w:val="0"/>
        <w:widowControl w:val="0"/>
        <w:kinsoku/>
        <w:wordWrap/>
        <w:overflowPunct/>
        <w:topLinePunct w:val="0"/>
        <w:autoSpaceDE/>
        <w:autoSpaceDN/>
        <w:bidi w:val="0"/>
        <w:adjustRightInd/>
        <w:snapToGrid/>
        <w:spacing w:after="0" w:afterLines="0"/>
        <w:ind w:firstLine="643" w:firstLineChars="200"/>
        <w:jc w:val="both"/>
        <w:textAlignment w:val="auto"/>
        <w:rPr>
          <w:rStyle w:val="10"/>
          <w:rFonts w:hint="default" w:ascii="Times New Roman" w:hAnsi="Times New Roman" w:eastAsia="仿宋_GB2312" w:cs="Times New Roman"/>
          <w:b w:val="0"/>
          <w:bCs/>
        </w:rPr>
      </w:pPr>
      <w:r>
        <w:rPr>
          <w:rStyle w:val="10"/>
          <w:rFonts w:hint="eastAsia" w:ascii="Times New Roman" w:hAnsi="Times New Roman" w:eastAsia="仿宋_GB2312" w:cs="Times New Roman"/>
          <w:b/>
          <w:bCs w:val="0"/>
          <w:lang w:eastAsia="zh-CN"/>
        </w:rPr>
        <w:t>七</w:t>
      </w:r>
      <w:r>
        <w:rPr>
          <w:rStyle w:val="10"/>
          <w:rFonts w:hint="default" w:ascii="Times New Roman" w:hAnsi="Times New Roman" w:eastAsia="仿宋_GB2312" w:cs="Times New Roman"/>
          <w:b/>
          <w:bCs w:val="0"/>
          <w:lang w:eastAsia="zh-CN"/>
        </w:rPr>
        <w:t>是加快基础设施提档升级。</w:t>
      </w:r>
      <w:r>
        <w:rPr>
          <w:rStyle w:val="10"/>
          <w:rFonts w:hint="default" w:ascii="Times New Roman" w:hAnsi="Times New Roman" w:eastAsia="仿宋_GB2312" w:cs="Times New Roman"/>
          <w:b w:val="0"/>
          <w:bCs/>
        </w:rPr>
        <w:t>积极推进森工记忆、棒托石刻公园、日斯满巴碉房等核心旅游景区的旅游厕所配套设施升级，各景区景点老旧标识标牌更换等。</w:t>
      </w:r>
    </w:p>
    <w:p>
      <w:pPr>
        <w:pStyle w:val="11"/>
        <w:numPr>
          <w:ilvl w:val="0"/>
          <w:numId w:val="0"/>
        </w:numPr>
        <w:ind w:leftChars="0" w:firstLine="640" w:firstLineChars="200"/>
        <w:rPr>
          <w:rFonts w:ascii="黑体" w:eastAsia="黑体"/>
          <w:sz w:val="32"/>
          <w:szCs w:val="32"/>
        </w:rPr>
      </w:pPr>
      <w:r>
        <w:rPr>
          <w:rFonts w:hint="eastAsia" w:ascii="黑体" w:eastAsia="黑体" w:cs="Times New Roman"/>
          <w:sz w:val="32"/>
          <w:szCs w:val="32"/>
          <w:lang w:eastAsia="zh-CN"/>
        </w:rPr>
        <w:t>二、</w:t>
      </w:r>
      <w:r>
        <w:rPr>
          <w:rFonts w:hint="eastAsia" w:ascii="黑体" w:eastAsia="黑体" w:cs="Times New Roman"/>
          <w:sz w:val="32"/>
          <w:szCs w:val="32"/>
        </w:rPr>
        <w:t>部门预算</w:t>
      </w:r>
      <w:r>
        <w:rPr>
          <w:rFonts w:hint="eastAsia" w:ascii="黑体" w:eastAsia="黑体"/>
          <w:sz w:val="32"/>
          <w:szCs w:val="32"/>
        </w:rPr>
        <w:t>单位构成</w:t>
      </w:r>
    </w:p>
    <w:p>
      <w:pPr>
        <w:pStyle w:val="11"/>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壤塘县文化广播电视体育和旅游局属一级预算单位，下属二级预算单位1个，其中：正科级事业单位1个。分别是：旅游资源开发中心、壤巴拉文化研究中心。</w:t>
      </w:r>
    </w:p>
    <w:p>
      <w:pPr>
        <w:pStyle w:val="11"/>
        <w:rPr>
          <w:rFonts w:ascii="黑体" w:eastAsia="黑体"/>
          <w:sz w:val="32"/>
          <w:szCs w:val="32"/>
        </w:rPr>
      </w:pPr>
      <w:r>
        <w:rPr>
          <w:rFonts w:hint="eastAsia" w:ascii="黑体" w:eastAsia="黑体"/>
          <w:sz w:val="32"/>
          <w:szCs w:val="32"/>
        </w:rPr>
        <w:t>三、收支预算情况说明</w:t>
      </w:r>
    </w:p>
    <w:p>
      <w:pPr>
        <w:pStyle w:val="12"/>
        <w:spacing w:before="0" w:line="360" w:lineRule="auto"/>
        <w:ind w:firstLine="627" w:firstLineChars="196"/>
        <w:rPr>
          <w:rFonts w:hAnsi="黑体" w:cs="Times New Roman"/>
          <w:kern w:val="2"/>
          <w:sz w:val="32"/>
          <w:szCs w:val="32"/>
        </w:rPr>
      </w:pPr>
      <w:r>
        <w:rPr>
          <w:rFonts w:hint="eastAsia" w:hAnsi="黑体"/>
          <w:kern w:val="2"/>
          <w:sz w:val="32"/>
          <w:szCs w:val="32"/>
        </w:rPr>
        <w:t>按照综合预算的原则，</w:t>
      </w:r>
      <w:r>
        <w:rPr>
          <w:rFonts w:hint="eastAsia" w:hAnsi="黑体"/>
          <w:kern w:val="2"/>
          <w:sz w:val="32"/>
          <w:szCs w:val="32"/>
          <w:lang w:eastAsia="zh-CN"/>
        </w:rPr>
        <w:t>壤塘县文化广播电视体育和旅游局</w:t>
      </w:r>
      <w:r>
        <w:rPr>
          <w:rFonts w:hint="eastAsia" w:hAnsi="黑体"/>
          <w:kern w:val="2"/>
          <w:sz w:val="32"/>
          <w:szCs w:val="32"/>
        </w:rPr>
        <w:t>所有收入和支出均纳入部门预算管理。收入包括：一般公共预算拨款收入</w:t>
      </w:r>
      <w:r>
        <w:rPr>
          <w:rFonts w:hint="eastAsia" w:hAnsi="黑体" w:cs="Times New Roman"/>
          <w:kern w:val="2"/>
          <w:sz w:val="32"/>
          <w:szCs w:val="32"/>
          <w:lang w:val="en-US" w:eastAsia="zh-CN"/>
        </w:rPr>
        <w:t>1300.41</w:t>
      </w:r>
      <w:r>
        <w:rPr>
          <w:rFonts w:hint="eastAsia" w:hAnsi="黑体"/>
          <w:kern w:val="2"/>
          <w:sz w:val="32"/>
          <w:szCs w:val="32"/>
        </w:rPr>
        <w:t>万元，事业收入</w:t>
      </w:r>
      <w:r>
        <w:rPr>
          <w:rFonts w:hint="eastAsia" w:hAnsi="黑体" w:cs="Times New Roman"/>
          <w:kern w:val="2"/>
          <w:sz w:val="32"/>
          <w:szCs w:val="32"/>
          <w:lang w:val="en-US" w:eastAsia="zh-CN"/>
        </w:rPr>
        <w:t>0</w:t>
      </w:r>
      <w:r>
        <w:rPr>
          <w:rFonts w:hint="eastAsia" w:hAnsi="黑体"/>
          <w:kern w:val="2"/>
          <w:sz w:val="32"/>
          <w:szCs w:val="32"/>
        </w:rPr>
        <w:t>元，其他收</w:t>
      </w:r>
      <w:r>
        <w:rPr>
          <w:rFonts w:hint="eastAsia" w:hAnsi="黑体"/>
          <w:kern w:val="2"/>
          <w:sz w:val="32"/>
          <w:szCs w:val="32"/>
          <w:lang w:eastAsia="zh-CN"/>
        </w:rPr>
        <w:t>入</w:t>
      </w:r>
      <w:r>
        <w:rPr>
          <w:rFonts w:hint="eastAsia" w:hAnsi="黑体"/>
          <w:kern w:val="2"/>
          <w:sz w:val="32"/>
          <w:szCs w:val="32"/>
          <w:lang w:val="en-US" w:eastAsia="zh-CN"/>
        </w:rPr>
        <w:t>0</w:t>
      </w:r>
      <w:r>
        <w:rPr>
          <w:rFonts w:hint="eastAsia" w:hAnsi="黑体"/>
          <w:kern w:val="2"/>
          <w:sz w:val="32"/>
          <w:szCs w:val="32"/>
        </w:rPr>
        <w:t>元，上年结转</w:t>
      </w:r>
      <w:r>
        <w:rPr>
          <w:rFonts w:hint="eastAsia" w:hAnsi="黑体"/>
          <w:kern w:val="2"/>
          <w:sz w:val="32"/>
          <w:szCs w:val="32"/>
          <w:lang w:val="en-US" w:eastAsia="zh-CN"/>
        </w:rPr>
        <w:t>161.42万</w:t>
      </w:r>
      <w:r>
        <w:rPr>
          <w:rFonts w:hint="eastAsia" w:hAnsi="黑体"/>
          <w:kern w:val="2"/>
          <w:sz w:val="32"/>
          <w:szCs w:val="32"/>
        </w:rPr>
        <w:t>元；支出包括：一般公共服务支出</w:t>
      </w:r>
      <w:r>
        <w:rPr>
          <w:rFonts w:hint="eastAsia" w:hAnsi="黑体" w:cs="Times New Roman"/>
          <w:kern w:val="2"/>
          <w:sz w:val="32"/>
          <w:szCs w:val="32"/>
          <w:lang w:val="en-US" w:eastAsia="zh-CN"/>
        </w:rPr>
        <w:t>0</w:t>
      </w:r>
      <w:r>
        <w:rPr>
          <w:rFonts w:hint="eastAsia" w:hAnsi="黑体"/>
          <w:kern w:val="2"/>
          <w:sz w:val="32"/>
          <w:szCs w:val="32"/>
        </w:rPr>
        <w:t>元，教育支出</w:t>
      </w:r>
      <w:r>
        <w:rPr>
          <w:rFonts w:hint="eastAsia" w:hAnsi="黑体" w:cs="Times New Roman"/>
          <w:kern w:val="2"/>
          <w:sz w:val="32"/>
          <w:szCs w:val="32"/>
          <w:lang w:val="en-US" w:eastAsia="zh-CN"/>
        </w:rPr>
        <w:t>0</w:t>
      </w:r>
      <w:r>
        <w:rPr>
          <w:rFonts w:hint="eastAsia" w:hAnsi="黑体"/>
          <w:kern w:val="2"/>
          <w:sz w:val="32"/>
          <w:szCs w:val="32"/>
        </w:rPr>
        <w:t>元，文化体育与传媒支出</w:t>
      </w:r>
      <w:r>
        <w:rPr>
          <w:rFonts w:hint="eastAsia" w:hAnsi="黑体" w:cs="Times New Roman"/>
          <w:kern w:val="2"/>
          <w:sz w:val="32"/>
          <w:szCs w:val="32"/>
          <w:lang w:eastAsia="zh-CN"/>
        </w:rPr>
        <w:t>1154.78</w:t>
      </w:r>
      <w:r>
        <w:rPr>
          <w:rFonts w:hint="eastAsia" w:hAnsi="黑体"/>
          <w:kern w:val="2"/>
          <w:sz w:val="32"/>
          <w:szCs w:val="32"/>
        </w:rPr>
        <w:t>万元，社会保障和就业支出</w:t>
      </w:r>
      <w:r>
        <w:rPr>
          <w:rFonts w:hint="eastAsia" w:hAnsi="黑体" w:cs="Times New Roman"/>
          <w:kern w:val="2"/>
          <w:sz w:val="32"/>
          <w:szCs w:val="32"/>
          <w:lang w:eastAsia="zh-CN"/>
        </w:rPr>
        <w:t>147.66</w:t>
      </w:r>
      <w:r>
        <w:rPr>
          <w:rFonts w:hint="eastAsia" w:hAnsi="黑体"/>
          <w:kern w:val="2"/>
          <w:sz w:val="32"/>
          <w:szCs w:val="32"/>
        </w:rPr>
        <w:t>万元，卫生健康支出</w:t>
      </w:r>
      <w:r>
        <w:rPr>
          <w:rFonts w:hint="eastAsia" w:hAnsi="黑体" w:cs="Times New Roman"/>
          <w:kern w:val="2"/>
          <w:sz w:val="32"/>
          <w:szCs w:val="32"/>
          <w:lang w:eastAsia="zh-CN"/>
        </w:rPr>
        <w:t>55.18</w:t>
      </w:r>
      <w:r>
        <w:rPr>
          <w:rFonts w:hint="eastAsia" w:hAnsi="黑体"/>
          <w:kern w:val="2"/>
          <w:sz w:val="32"/>
          <w:szCs w:val="32"/>
        </w:rPr>
        <w:t>万元，住房保障支出</w:t>
      </w:r>
      <w:r>
        <w:rPr>
          <w:rFonts w:hint="eastAsia" w:hAnsi="黑体" w:cs="Times New Roman"/>
          <w:kern w:val="2"/>
          <w:sz w:val="32"/>
          <w:szCs w:val="32"/>
          <w:lang w:eastAsia="zh-CN"/>
        </w:rPr>
        <w:t>74.21</w:t>
      </w:r>
      <w:r>
        <w:rPr>
          <w:rFonts w:hint="eastAsia" w:hAnsi="黑体"/>
          <w:kern w:val="2"/>
          <w:sz w:val="32"/>
          <w:szCs w:val="32"/>
        </w:rPr>
        <w:t>万元</w:t>
      </w:r>
      <w:r>
        <w:rPr>
          <w:rFonts w:hint="eastAsia" w:hAnsi="黑体"/>
          <w:kern w:val="2"/>
          <w:sz w:val="32"/>
          <w:szCs w:val="32"/>
          <w:lang w:eastAsia="zh-CN"/>
        </w:rPr>
        <w:t>，其他支出29.99万元。壤塘县文化广播电视体育和旅游局2026年</w:t>
      </w:r>
      <w:r>
        <w:rPr>
          <w:rFonts w:hint="eastAsia" w:hAnsi="黑体"/>
          <w:kern w:val="2"/>
          <w:sz w:val="32"/>
          <w:szCs w:val="32"/>
        </w:rPr>
        <w:t>收支总预算</w:t>
      </w:r>
      <w:r>
        <w:rPr>
          <w:rFonts w:hint="eastAsia" w:hAnsi="黑体" w:cs="Times New Roman"/>
          <w:kern w:val="2"/>
          <w:sz w:val="32"/>
          <w:szCs w:val="32"/>
          <w:lang w:eastAsia="zh-CN"/>
        </w:rPr>
        <w:t>1461.83</w:t>
      </w:r>
      <w:r>
        <w:rPr>
          <w:rFonts w:hint="eastAsia" w:hAnsi="黑体"/>
          <w:kern w:val="2"/>
          <w:sz w:val="32"/>
          <w:szCs w:val="32"/>
        </w:rPr>
        <w:t>万元</w:t>
      </w:r>
      <w:r>
        <w:rPr>
          <w:rFonts w:hAnsi="黑体"/>
          <w:kern w:val="2"/>
          <w:sz w:val="32"/>
          <w:szCs w:val="32"/>
        </w:rPr>
        <w:t>,</w:t>
      </w:r>
      <w:r>
        <w:rPr>
          <w:rFonts w:hint="eastAsia" w:hAnsi="黑体"/>
          <w:kern w:val="2"/>
          <w:sz w:val="32"/>
          <w:szCs w:val="32"/>
        </w:rPr>
        <w:t>　比</w:t>
      </w:r>
      <w:r>
        <w:rPr>
          <w:rFonts w:hint="eastAsia" w:hAnsi="黑体"/>
          <w:kern w:val="2"/>
          <w:sz w:val="32"/>
          <w:szCs w:val="32"/>
          <w:lang w:eastAsia="zh-CN"/>
        </w:rPr>
        <w:t>2026年</w:t>
      </w:r>
      <w:r>
        <w:rPr>
          <w:rFonts w:hint="eastAsia" w:hAnsi="黑体"/>
          <w:kern w:val="2"/>
          <w:sz w:val="32"/>
          <w:szCs w:val="32"/>
        </w:rPr>
        <w:t>收支预算总数</w:t>
      </w:r>
      <w:r>
        <w:rPr>
          <w:rFonts w:hint="eastAsia" w:hAnsi="黑体"/>
          <w:kern w:val="2"/>
          <w:sz w:val="32"/>
          <w:szCs w:val="32"/>
          <w:lang w:val="en-US" w:eastAsia="zh-CN"/>
        </w:rPr>
        <w:t>增加1896.72</w:t>
      </w:r>
      <w:r>
        <w:rPr>
          <w:rFonts w:hint="eastAsia" w:hAnsi="黑体"/>
          <w:kern w:val="2"/>
          <w:sz w:val="32"/>
          <w:szCs w:val="32"/>
        </w:rPr>
        <w:t>万元，主要原因</w:t>
      </w:r>
      <w:r>
        <w:rPr>
          <w:rFonts w:hAnsi="黑体"/>
          <w:kern w:val="2"/>
          <w:sz w:val="32"/>
          <w:szCs w:val="32"/>
        </w:rPr>
        <w:t>:</w:t>
      </w:r>
      <w:r>
        <w:rPr>
          <w:rFonts w:hint="eastAsia" w:hAnsi="黑体"/>
          <w:kern w:val="2"/>
          <w:sz w:val="32"/>
          <w:szCs w:val="32"/>
          <w:lang w:val="en-US" w:eastAsia="zh-CN"/>
        </w:rPr>
        <w:t>结转上年结余资金较少</w:t>
      </w:r>
      <w:r>
        <w:rPr>
          <w:rFonts w:hint="eastAsia" w:hAnsi="黑体"/>
          <w:kern w:val="2"/>
          <w:sz w:val="32"/>
          <w:szCs w:val="32"/>
          <w:lang w:eastAsia="zh-CN"/>
        </w:rPr>
        <w:t>。</w:t>
      </w:r>
      <w:r>
        <w:rPr>
          <w:rFonts w:hAnsi="黑体"/>
          <w:kern w:val="2"/>
          <w:sz w:val="32"/>
          <w:szCs w:val="32"/>
        </w:rPr>
        <w:br w:type="textWrapping"/>
      </w:r>
      <w:r>
        <w:rPr>
          <w:rFonts w:hint="eastAsia" w:hAnsi="黑体" w:cs="Times New Roman"/>
          <w:kern w:val="2"/>
          <w:sz w:val="32"/>
          <w:szCs w:val="32"/>
        </w:rPr>
        <w:t>　　（一）收入预算情况</w:t>
      </w:r>
      <w:r>
        <w:rPr>
          <w:rFonts w:hAnsi="黑体" w:cs="Times New Roman"/>
          <w:kern w:val="2"/>
          <w:sz w:val="32"/>
          <w:szCs w:val="32"/>
        </w:rPr>
        <w:br w:type="textWrapping"/>
      </w:r>
      <w:r>
        <w:rPr>
          <w:rFonts w:hint="eastAsia" w:hAnsi="黑体"/>
          <w:kern w:val="2"/>
          <w:sz w:val="32"/>
          <w:szCs w:val="32"/>
        </w:rPr>
        <w:t>　　</w:t>
      </w:r>
      <w:r>
        <w:rPr>
          <w:rFonts w:hint="eastAsia" w:hAnsi="黑体"/>
          <w:kern w:val="2"/>
          <w:sz w:val="32"/>
          <w:szCs w:val="32"/>
          <w:lang w:eastAsia="zh-CN"/>
        </w:rPr>
        <w:t>壤塘县文化广播电视体育和旅游局2026年</w:t>
      </w:r>
      <w:r>
        <w:rPr>
          <w:rFonts w:hint="eastAsia" w:hAnsi="黑体"/>
          <w:kern w:val="2"/>
          <w:sz w:val="32"/>
          <w:szCs w:val="32"/>
        </w:rPr>
        <w:t>收入预算</w:t>
      </w:r>
      <w:r>
        <w:rPr>
          <w:rFonts w:hint="eastAsia" w:hAnsi="黑体" w:cs="Times New Roman"/>
          <w:kern w:val="2"/>
          <w:sz w:val="32"/>
          <w:szCs w:val="32"/>
          <w:lang w:eastAsia="zh-CN"/>
        </w:rPr>
        <w:t>1461.83</w:t>
      </w:r>
      <w:r>
        <w:rPr>
          <w:rFonts w:hint="eastAsia" w:hAnsi="黑体"/>
          <w:kern w:val="2"/>
          <w:sz w:val="32"/>
          <w:szCs w:val="32"/>
        </w:rPr>
        <w:t>万元，其中：上年结转</w:t>
      </w:r>
      <w:r>
        <w:rPr>
          <w:rFonts w:hint="eastAsia" w:hAnsi="黑体"/>
          <w:kern w:val="2"/>
          <w:sz w:val="32"/>
          <w:szCs w:val="32"/>
          <w:lang w:val="en-US" w:eastAsia="zh-CN"/>
        </w:rPr>
        <w:t>161.42</w:t>
      </w:r>
      <w:r>
        <w:rPr>
          <w:rFonts w:hint="eastAsia" w:hAnsi="黑体"/>
          <w:kern w:val="2"/>
          <w:sz w:val="32"/>
          <w:szCs w:val="32"/>
        </w:rPr>
        <w:t>万元，占</w:t>
      </w:r>
      <w:r>
        <w:rPr>
          <w:rFonts w:hint="eastAsia" w:hAnsi="黑体"/>
          <w:kern w:val="2"/>
          <w:sz w:val="32"/>
          <w:szCs w:val="32"/>
          <w:lang w:val="en-US" w:eastAsia="zh-CN"/>
        </w:rPr>
        <w:t>11.04</w:t>
      </w:r>
      <w:r>
        <w:rPr>
          <w:rFonts w:hAnsi="黑体"/>
          <w:kern w:val="2"/>
          <w:sz w:val="32"/>
          <w:szCs w:val="32"/>
        </w:rPr>
        <w:t>%</w:t>
      </w:r>
      <w:r>
        <w:rPr>
          <w:rFonts w:hint="eastAsia" w:hAnsi="黑体"/>
          <w:kern w:val="2"/>
          <w:sz w:val="32"/>
          <w:szCs w:val="32"/>
        </w:rPr>
        <w:t>；一般公共预算拨款收入</w:t>
      </w:r>
      <w:r>
        <w:rPr>
          <w:rFonts w:hint="eastAsia" w:hAnsi="黑体" w:cs="Times New Roman"/>
          <w:kern w:val="2"/>
          <w:sz w:val="32"/>
          <w:szCs w:val="32"/>
          <w:lang w:eastAsia="zh-CN"/>
        </w:rPr>
        <w:t>1300.41</w:t>
      </w:r>
      <w:r>
        <w:rPr>
          <w:rFonts w:hint="eastAsia" w:hAnsi="黑体"/>
          <w:kern w:val="2"/>
          <w:sz w:val="32"/>
          <w:szCs w:val="32"/>
        </w:rPr>
        <w:t>万元，占</w:t>
      </w:r>
      <w:r>
        <w:rPr>
          <w:rFonts w:hint="eastAsia" w:hAnsi="黑体" w:cs="Times New Roman"/>
          <w:kern w:val="2"/>
          <w:sz w:val="32"/>
          <w:szCs w:val="32"/>
          <w:lang w:val="en-US" w:eastAsia="zh-CN"/>
        </w:rPr>
        <w:t>98.96</w:t>
      </w:r>
      <w:r>
        <w:rPr>
          <w:rFonts w:hAnsi="黑体"/>
          <w:kern w:val="2"/>
          <w:sz w:val="32"/>
          <w:szCs w:val="32"/>
        </w:rPr>
        <w:t>%</w:t>
      </w:r>
      <w:r>
        <w:rPr>
          <w:rFonts w:hint="eastAsia" w:hAnsi="黑体"/>
          <w:kern w:val="2"/>
          <w:sz w:val="32"/>
          <w:szCs w:val="32"/>
        </w:rPr>
        <w:t>；事业收入</w:t>
      </w:r>
      <w:r>
        <w:rPr>
          <w:rFonts w:hint="eastAsia" w:hAnsi="黑体" w:cs="Times New Roman"/>
          <w:kern w:val="2"/>
          <w:sz w:val="32"/>
          <w:szCs w:val="32"/>
          <w:lang w:val="en-US" w:eastAsia="zh-CN"/>
        </w:rPr>
        <w:t>0</w:t>
      </w:r>
      <w:r>
        <w:rPr>
          <w:rFonts w:hint="eastAsia" w:hAnsi="黑体"/>
          <w:kern w:val="2"/>
          <w:sz w:val="32"/>
          <w:szCs w:val="32"/>
        </w:rPr>
        <w:t>万元，占</w:t>
      </w:r>
      <w:r>
        <w:rPr>
          <w:rFonts w:hint="eastAsia" w:hAnsi="黑体" w:cs="Times New Roman"/>
          <w:kern w:val="2"/>
          <w:sz w:val="32"/>
          <w:szCs w:val="32"/>
          <w:lang w:val="en-US" w:eastAsia="zh-CN"/>
        </w:rPr>
        <w:t>0</w:t>
      </w:r>
      <w:r>
        <w:rPr>
          <w:rFonts w:hAnsi="黑体"/>
          <w:kern w:val="2"/>
          <w:sz w:val="32"/>
          <w:szCs w:val="32"/>
        </w:rPr>
        <w:t>%</w:t>
      </w:r>
      <w:r>
        <w:rPr>
          <w:rFonts w:hint="eastAsia" w:hAnsi="黑体"/>
          <w:kern w:val="2"/>
          <w:sz w:val="32"/>
          <w:szCs w:val="32"/>
        </w:rPr>
        <w:t>；其他收入</w:t>
      </w:r>
      <w:r>
        <w:rPr>
          <w:rFonts w:hint="eastAsia" w:hAnsi="黑体" w:cs="Times New Roman"/>
          <w:kern w:val="2"/>
          <w:sz w:val="32"/>
          <w:szCs w:val="32"/>
          <w:lang w:val="en-US" w:eastAsia="zh-CN"/>
        </w:rPr>
        <w:t>0</w:t>
      </w:r>
      <w:r>
        <w:rPr>
          <w:rFonts w:hint="eastAsia" w:hAnsi="黑体"/>
          <w:kern w:val="2"/>
          <w:sz w:val="32"/>
          <w:szCs w:val="32"/>
        </w:rPr>
        <w:t>万元，占</w:t>
      </w:r>
      <w:r>
        <w:rPr>
          <w:rFonts w:hint="eastAsia" w:hAnsi="黑体" w:cs="Times New Roman"/>
          <w:kern w:val="2"/>
          <w:sz w:val="32"/>
          <w:szCs w:val="32"/>
          <w:lang w:val="en-US" w:eastAsia="zh-CN"/>
        </w:rPr>
        <w:t>0</w:t>
      </w:r>
      <w:r>
        <w:rPr>
          <w:rFonts w:hAnsi="黑体"/>
          <w:kern w:val="2"/>
          <w:sz w:val="32"/>
          <w:szCs w:val="32"/>
        </w:rPr>
        <w:t>%</w:t>
      </w:r>
      <w:r>
        <w:rPr>
          <w:rFonts w:hint="eastAsia" w:hAnsi="黑体"/>
          <w:kern w:val="2"/>
          <w:sz w:val="32"/>
          <w:szCs w:val="32"/>
        </w:rPr>
        <w:t>。</w:t>
      </w:r>
      <w:r>
        <w:rPr>
          <w:rFonts w:hAnsi="黑体" w:cs="Times New Roman"/>
          <w:kern w:val="2"/>
          <w:sz w:val="32"/>
          <w:szCs w:val="32"/>
        </w:rPr>
        <w:br w:type="textWrapping"/>
      </w:r>
      <w:r>
        <w:rPr>
          <w:rFonts w:hint="eastAsia" w:hAnsi="黑体"/>
          <w:kern w:val="2"/>
          <w:sz w:val="32"/>
          <w:szCs w:val="32"/>
        </w:rPr>
        <w:t>　　（二）支出预算情况</w:t>
      </w:r>
    </w:p>
    <w:p>
      <w:pPr>
        <w:pStyle w:val="12"/>
        <w:spacing w:before="0" w:line="360" w:lineRule="auto"/>
        <w:ind w:firstLine="627" w:firstLineChars="196"/>
        <w:rPr>
          <w:rFonts w:hAnsi="黑体" w:cs="Times New Roman"/>
          <w:kern w:val="2"/>
          <w:sz w:val="32"/>
          <w:szCs w:val="32"/>
        </w:rPr>
      </w:pPr>
      <w:r>
        <w:rPr>
          <w:rFonts w:hint="eastAsia" w:hAnsi="黑体"/>
          <w:kern w:val="2"/>
          <w:sz w:val="32"/>
          <w:szCs w:val="32"/>
          <w:lang w:eastAsia="zh-CN"/>
        </w:rPr>
        <w:t>壤塘县文化广播电视体育和旅游局2026年</w:t>
      </w:r>
      <w:r>
        <w:rPr>
          <w:rFonts w:hint="eastAsia" w:hAnsi="黑体"/>
          <w:kern w:val="2"/>
          <w:sz w:val="32"/>
          <w:szCs w:val="32"/>
        </w:rPr>
        <w:t>支出预算</w:t>
      </w:r>
      <w:r>
        <w:rPr>
          <w:rFonts w:hint="eastAsia" w:hAnsi="黑体" w:cs="Times New Roman"/>
          <w:kern w:val="2"/>
          <w:sz w:val="32"/>
          <w:szCs w:val="32"/>
          <w:lang w:eastAsia="zh-CN"/>
        </w:rPr>
        <w:t>1461.83</w:t>
      </w:r>
      <w:r>
        <w:rPr>
          <w:rFonts w:hint="eastAsia" w:hAnsi="黑体"/>
          <w:kern w:val="2"/>
          <w:sz w:val="32"/>
          <w:szCs w:val="32"/>
        </w:rPr>
        <w:t>万元，其中：基本支出932.78万元，占</w:t>
      </w:r>
      <w:r>
        <w:rPr>
          <w:rFonts w:hint="eastAsia" w:hAnsi="黑体" w:cs="Times New Roman"/>
          <w:kern w:val="2"/>
          <w:sz w:val="32"/>
          <w:szCs w:val="32"/>
          <w:lang w:val="en-US" w:eastAsia="zh-CN"/>
        </w:rPr>
        <w:t>63.81</w:t>
      </w:r>
      <w:r>
        <w:rPr>
          <w:rFonts w:hAnsi="黑体"/>
          <w:kern w:val="2"/>
          <w:sz w:val="32"/>
          <w:szCs w:val="32"/>
        </w:rPr>
        <w:t>%</w:t>
      </w:r>
      <w:r>
        <w:rPr>
          <w:rFonts w:hint="eastAsia" w:hAnsi="黑体"/>
          <w:kern w:val="2"/>
          <w:sz w:val="32"/>
          <w:szCs w:val="32"/>
        </w:rPr>
        <w:t>；项目支出</w:t>
      </w:r>
      <w:r>
        <w:rPr>
          <w:rFonts w:hint="eastAsia" w:hAnsi="黑体" w:cs="Times New Roman"/>
          <w:kern w:val="2"/>
          <w:sz w:val="32"/>
          <w:szCs w:val="32"/>
        </w:rPr>
        <w:t>529.04</w:t>
      </w:r>
      <w:r>
        <w:rPr>
          <w:rFonts w:hint="eastAsia" w:hAnsi="黑体"/>
          <w:kern w:val="2"/>
          <w:sz w:val="32"/>
          <w:szCs w:val="32"/>
        </w:rPr>
        <w:t>万元，占</w:t>
      </w:r>
      <w:r>
        <w:rPr>
          <w:rFonts w:hint="eastAsia" w:hAnsi="黑体"/>
          <w:kern w:val="2"/>
          <w:sz w:val="32"/>
          <w:szCs w:val="32"/>
          <w:lang w:val="en-US" w:eastAsia="zh-CN"/>
        </w:rPr>
        <w:t>36.19</w:t>
      </w:r>
      <w:r>
        <w:rPr>
          <w:rFonts w:hAnsi="黑体"/>
          <w:kern w:val="2"/>
          <w:sz w:val="32"/>
          <w:szCs w:val="32"/>
        </w:rPr>
        <w:t>%</w:t>
      </w:r>
      <w:r>
        <w:rPr>
          <w:rFonts w:hint="eastAsia" w:hAnsi="黑体"/>
          <w:kern w:val="2"/>
          <w:sz w:val="32"/>
          <w:szCs w:val="32"/>
        </w:rPr>
        <w:t>。</w:t>
      </w:r>
    </w:p>
    <w:p>
      <w:pPr>
        <w:pStyle w:val="12"/>
        <w:numPr>
          <w:ilvl w:val="0"/>
          <w:numId w:val="1"/>
        </w:numPr>
        <w:spacing w:before="0" w:line="360" w:lineRule="auto"/>
        <w:ind w:left="650" w:leftChars="304" w:hanging="12" w:hangingChars="4"/>
        <w:rPr>
          <w:rFonts w:hint="eastAsia" w:ascii="黑体" w:eastAsia="黑体"/>
          <w:sz w:val="32"/>
          <w:szCs w:val="32"/>
        </w:rPr>
      </w:pPr>
      <w:r>
        <w:rPr>
          <w:rFonts w:hint="eastAsia" w:ascii="黑体" w:eastAsia="黑体"/>
          <w:sz w:val="32"/>
          <w:szCs w:val="32"/>
        </w:rPr>
        <w:t>财政拨款收支预算情况说明</w:t>
      </w:r>
    </w:p>
    <w:p>
      <w:pPr>
        <w:pStyle w:val="12"/>
        <w:spacing w:before="0" w:line="360" w:lineRule="auto"/>
        <w:ind w:firstLine="627" w:firstLineChars="196"/>
        <w:rPr>
          <w:rFonts w:hint="eastAsia" w:hAnsi="黑体" w:cs="Times New Roman"/>
          <w:kern w:val="2"/>
          <w:sz w:val="32"/>
          <w:szCs w:val="32"/>
          <w:highlight w:val="none"/>
        </w:rPr>
      </w:pPr>
      <w:r>
        <w:rPr>
          <w:rFonts w:hint="eastAsia" w:hAnsi="黑体" w:cs="Times New Roman"/>
          <w:kern w:val="2"/>
          <w:sz w:val="32"/>
          <w:szCs w:val="32"/>
          <w:lang w:eastAsia="zh-CN"/>
        </w:rPr>
        <w:t>壤塘县文化广播电视体育和旅游局202</w:t>
      </w:r>
      <w:r>
        <w:rPr>
          <w:rFonts w:hint="eastAsia" w:hAnsi="黑体" w:cs="Times New Roman"/>
          <w:kern w:val="2"/>
          <w:sz w:val="32"/>
          <w:szCs w:val="32"/>
          <w:lang w:val="en-US" w:eastAsia="zh-CN"/>
        </w:rPr>
        <w:t>6</w:t>
      </w:r>
      <w:r>
        <w:rPr>
          <w:rFonts w:hint="eastAsia" w:hAnsi="黑体" w:cs="Times New Roman"/>
          <w:kern w:val="2"/>
          <w:sz w:val="32"/>
          <w:szCs w:val="32"/>
          <w:lang w:eastAsia="zh-CN"/>
        </w:rPr>
        <w:t>年</w:t>
      </w:r>
      <w:r>
        <w:rPr>
          <w:rFonts w:hint="eastAsia" w:hAnsi="黑体" w:cs="Times New Roman"/>
          <w:kern w:val="2"/>
          <w:sz w:val="32"/>
          <w:szCs w:val="32"/>
        </w:rPr>
        <w:t>财政拨款收支总预算</w:t>
      </w:r>
      <w:r>
        <w:rPr>
          <w:rFonts w:hint="eastAsia" w:hAnsi="黑体" w:cs="Times New Roman"/>
          <w:kern w:val="2"/>
          <w:sz w:val="32"/>
          <w:szCs w:val="32"/>
          <w:lang w:eastAsia="zh-CN"/>
        </w:rPr>
        <w:t>1461.83</w:t>
      </w:r>
      <w:r>
        <w:rPr>
          <w:rFonts w:hint="eastAsia" w:hAnsi="黑体" w:cs="Times New Roman"/>
          <w:kern w:val="2"/>
          <w:sz w:val="32"/>
          <w:szCs w:val="32"/>
        </w:rPr>
        <w:t>万元,比</w:t>
      </w:r>
      <w:r>
        <w:rPr>
          <w:rFonts w:hint="eastAsia" w:hAnsi="黑体" w:cs="Times New Roman"/>
          <w:kern w:val="2"/>
          <w:sz w:val="32"/>
          <w:szCs w:val="32"/>
          <w:lang w:eastAsia="zh-CN"/>
        </w:rPr>
        <w:t>202</w:t>
      </w:r>
      <w:r>
        <w:rPr>
          <w:rFonts w:hint="eastAsia" w:hAnsi="黑体" w:cs="Times New Roman"/>
          <w:kern w:val="2"/>
          <w:sz w:val="32"/>
          <w:szCs w:val="32"/>
          <w:lang w:val="en-US" w:eastAsia="zh-CN"/>
        </w:rPr>
        <w:t>5</w:t>
      </w:r>
      <w:r>
        <w:rPr>
          <w:rFonts w:hint="eastAsia" w:hAnsi="黑体" w:cs="Times New Roman"/>
          <w:kern w:val="2"/>
          <w:sz w:val="32"/>
          <w:szCs w:val="32"/>
          <w:lang w:eastAsia="zh-CN"/>
        </w:rPr>
        <w:t>年</w:t>
      </w:r>
      <w:r>
        <w:rPr>
          <w:rFonts w:hint="eastAsia" w:hAnsi="黑体" w:cs="Times New Roman"/>
          <w:kern w:val="2"/>
          <w:sz w:val="32"/>
          <w:szCs w:val="32"/>
        </w:rPr>
        <w:t>财政拨款收支总预算</w:t>
      </w:r>
      <w:r>
        <w:rPr>
          <w:rFonts w:hint="eastAsia" w:hAnsi="黑体" w:cs="Times New Roman"/>
          <w:kern w:val="2"/>
          <w:sz w:val="32"/>
          <w:szCs w:val="32"/>
          <w:lang w:val="en-US" w:eastAsia="zh-CN"/>
        </w:rPr>
        <w:t>减少1896.72</w:t>
      </w:r>
      <w:r>
        <w:rPr>
          <w:rFonts w:hint="eastAsia" w:hAnsi="黑体" w:cs="Times New Roman"/>
          <w:kern w:val="2"/>
          <w:sz w:val="32"/>
          <w:szCs w:val="32"/>
        </w:rPr>
        <w:t>万元，主要原因:</w:t>
      </w:r>
      <w:r>
        <w:rPr>
          <w:rFonts w:hint="eastAsia" w:hAnsi="黑体" w:cs="Times New Roman"/>
          <w:kern w:val="2"/>
          <w:sz w:val="32"/>
          <w:szCs w:val="32"/>
          <w:lang w:val="en-US" w:eastAsia="zh-CN"/>
        </w:rPr>
        <w:t>结转上年结余资金减少</w:t>
      </w:r>
      <w:r>
        <w:rPr>
          <w:rFonts w:hint="eastAsia" w:hAnsi="黑体" w:cs="Times New Roman"/>
          <w:kern w:val="2"/>
          <w:sz w:val="32"/>
          <w:szCs w:val="32"/>
          <w:lang w:eastAsia="zh-CN"/>
        </w:rPr>
        <w:t>。</w:t>
      </w:r>
      <w:r>
        <w:rPr>
          <w:rFonts w:hint="eastAsia" w:hAnsi="黑体" w:cs="Times New Roman"/>
          <w:kern w:val="2"/>
          <w:sz w:val="32"/>
          <w:szCs w:val="32"/>
          <w:highlight w:val="none"/>
        </w:rPr>
        <w:t>收入包括：本年一般公共预算拨款收入</w:t>
      </w:r>
      <w:r>
        <w:rPr>
          <w:rFonts w:hint="eastAsia" w:hAnsi="黑体" w:cs="Times New Roman"/>
          <w:kern w:val="2"/>
          <w:sz w:val="32"/>
          <w:szCs w:val="32"/>
          <w:highlight w:val="none"/>
          <w:lang w:eastAsia="zh-CN"/>
        </w:rPr>
        <w:t>1300.41</w:t>
      </w:r>
      <w:r>
        <w:rPr>
          <w:rFonts w:hint="eastAsia" w:hAnsi="黑体" w:cs="Times New Roman"/>
          <w:kern w:val="2"/>
          <w:sz w:val="32"/>
          <w:szCs w:val="32"/>
          <w:highlight w:val="none"/>
        </w:rPr>
        <w:t>万元，上年结转一般公共预算收入</w:t>
      </w:r>
      <w:r>
        <w:rPr>
          <w:rFonts w:hint="eastAsia" w:hAnsi="黑体" w:cs="Times New Roman"/>
          <w:kern w:val="2"/>
          <w:sz w:val="32"/>
          <w:szCs w:val="32"/>
          <w:highlight w:val="none"/>
          <w:lang w:val="en-US" w:eastAsia="zh-CN"/>
        </w:rPr>
        <w:t>0</w:t>
      </w:r>
      <w:r>
        <w:rPr>
          <w:rFonts w:hint="eastAsia" w:hAnsi="黑体" w:cs="Times New Roman"/>
          <w:kern w:val="2"/>
          <w:sz w:val="32"/>
          <w:szCs w:val="32"/>
          <w:highlight w:val="none"/>
        </w:rPr>
        <w:t>万元，上年结转财政拨款资金</w:t>
      </w:r>
      <w:r>
        <w:rPr>
          <w:rFonts w:hint="eastAsia" w:hAnsi="黑体" w:cs="Times New Roman"/>
          <w:kern w:val="2"/>
          <w:sz w:val="32"/>
          <w:szCs w:val="32"/>
          <w:highlight w:val="none"/>
          <w:lang w:val="en-US" w:eastAsia="zh-CN"/>
        </w:rPr>
        <w:t>161.42</w:t>
      </w:r>
      <w:r>
        <w:rPr>
          <w:rFonts w:hint="eastAsia" w:hAnsi="黑体" w:cs="Times New Roman"/>
          <w:kern w:val="2"/>
          <w:sz w:val="32"/>
          <w:szCs w:val="32"/>
          <w:highlight w:val="none"/>
        </w:rPr>
        <w:t>万元　；支出包括：文化体育与传媒支出</w:t>
      </w:r>
      <w:r>
        <w:rPr>
          <w:rFonts w:hint="eastAsia" w:hAnsi="黑体" w:cs="Times New Roman"/>
          <w:kern w:val="2"/>
          <w:sz w:val="32"/>
          <w:szCs w:val="32"/>
          <w:highlight w:val="none"/>
          <w:lang w:eastAsia="zh-CN"/>
        </w:rPr>
        <w:t>1154.78</w:t>
      </w:r>
      <w:r>
        <w:rPr>
          <w:rFonts w:hint="eastAsia" w:hAnsi="黑体" w:cs="Times New Roman"/>
          <w:kern w:val="2"/>
          <w:sz w:val="32"/>
          <w:szCs w:val="32"/>
          <w:highlight w:val="none"/>
        </w:rPr>
        <w:t>万元，社会保障和就业支出</w:t>
      </w:r>
      <w:r>
        <w:rPr>
          <w:rFonts w:hint="eastAsia" w:hAnsi="黑体" w:cs="Times New Roman"/>
          <w:kern w:val="2"/>
          <w:sz w:val="32"/>
          <w:szCs w:val="32"/>
          <w:highlight w:val="none"/>
          <w:lang w:eastAsia="zh-CN"/>
        </w:rPr>
        <w:t>147.66</w:t>
      </w:r>
      <w:r>
        <w:rPr>
          <w:rFonts w:hint="eastAsia" w:hAnsi="黑体" w:cs="Times New Roman"/>
          <w:kern w:val="2"/>
          <w:sz w:val="32"/>
          <w:szCs w:val="32"/>
          <w:highlight w:val="none"/>
        </w:rPr>
        <w:t>万元，卫生健康支出</w:t>
      </w:r>
      <w:r>
        <w:rPr>
          <w:rFonts w:hint="eastAsia" w:hAnsi="黑体" w:cs="Times New Roman"/>
          <w:kern w:val="2"/>
          <w:sz w:val="32"/>
          <w:szCs w:val="32"/>
          <w:highlight w:val="none"/>
          <w:lang w:eastAsia="zh-CN"/>
        </w:rPr>
        <w:t>55.18</w:t>
      </w:r>
      <w:r>
        <w:rPr>
          <w:rFonts w:hint="eastAsia" w:hAnsi="黑体" w:cs="Times New Roman"/>
          <w:kern w:val="2"/>
          <w:sz w:val="32"/>
          <w:szCs w:val="32"/>
          <w:highlight w:val="none"/>
        </w:rPr>
        <w:t>万元，住房保障支出</w:t>
      </w:r>
      <w:r>
        <w:rPr>
          <w:rFonts w:hint="eastAsia" w:hAnsi="黑体" w:cs="Times New Roman"/>
          <w:kern w:val="2"/>
          <w:sz w:val="32"/>
          <w:szCs w:val="32"/>
          <w:highlight w:val="none"/>
          <w:lang w:eastAsia="zh-CN"/>
        </w:rPr>
        <w:t>74.21</w:t>
      </w:r>
      <w:r>
        <w:rPr>
          <w:rFonts w:hint="eastAsia" w:hAnsi="黑体" w:cs="Times New Roman"/>
          <w:kern w:val="2"/>
          <w:sz w:val="32"/>
          <w:szCs w:val="32"/>
          <w:highlight w:val="none"/>
        </w:rPr>
        <w:t>万元</w:t>
      </w:r>
      <w:r>
        <w:rPr>
          <w:rFonts w:hint="eastAsia" w:hAnsi="黑体" w:cs="Times New Roman"/>
          <w:kern w:val="2"/>
          <w:sz w:val="32"/>
          <w:szCs w:val="32"/>
          <w:highlight w:val="none"/>
          <w:lang w:eastAsia="zh-CN"/>
        </w:rPr>
        <w:t>，其他支出29.99</w:t>
      </w:r>
      <w:r>
        <w:rPr>
          <w:rFonts w:hint="eastAsia" w:hAnsi="黑体" w:cs="Times New Roman"/>
          <w:kern w:val="2"/>
          <w:sz w:val="32"/>
          <w:szCs w:val="32"/>
          <w:highlight w:val="none"/>
        </w:rPr>
        <w:t>。</w:t>
      </w:r>
    </w:p>
    <w:p>
      <w:pPr>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2"/>
        <w:spacing w:before="0" w:line="360" w:lineRule="auto"/>
        <w:ind w:firstLine="630" w:firstLineChars="196"/>
        <w:rPr>
          <w:rFonts w:hAnsi="黑体" w:cs="Times New Roman"/>
          <w:kern w:val="2"/>
          <w:sz w:val="32"/>
          <w:szCs w:val="32"/>
        </w:rPr>
      </w:pPr>
      <w:r>
        <w:rPr>
          <w:rFonts w:hint="eastAsia" w:ascii="楷体_GB2312" w:hAnsi="黑体" w:eastAsia="楷体_GB2312" w:cs="楷体_GB2312"/>
          <w:b/>
          <w:bCs/>
          <w:kern w:val="2"/>
          <w:sz w:val="32"/>
          <w:szCs w:val="32"/>
        </w:rPr>
        <w:t>（一）一般公共预算当年拨款规模变化情况</w:t>
      </w:r>
    </w:p>
    <w:p>
      <w:pPr>
        <w:pStyle w:val="12"/>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outlineLvl w:val="9"/>
        <w:rPr>
          <w:rFonts w:hint="eastAsia" w:hAnsi="黑体" w:eastAsia="仿宋_GB2312"/>
          <w:kern w:val="2"/>
          <w:sz w:val="32"/>
          <w:szCs w:val="32"/>
          <w:lang w:eastAsia="zh-CN"/>
        </w:rPr>
      </w:pPr>
      <w:r>
        <w:rPr>
          <w:rFonts w:hint="eastAsia" w:hAnsi="黑体"/>
          <w:kern w:val="2"/>
          <w:sz w:val="32"/>
          <w:szCs w:val="32"/>
          <w:lang w:eastAsia="zh-CN"/>
        </w:rPr>
        <w:t>壤塘县文化广播电视体育和旅游局2026年</w:t>
      </w:r>
      <w:r>
        <w:rPr>
          <w:rFonts w:hint="eastAsia" w:hAnsi="黑体"/>
          <w:kern w:val="2"/>
          <w:sz w:val="32"/>
          <w:szCs w:val="32"/>
        </w:rPr>
        <w:t>一般公共预算当年拨款</w:t>
      </w:r>
      <w:r>
        <w:rPr>
          <w:rFonts w:hint="eastAsia" w:hAnsi="黑体" w:cs="Times New Roman"/>
          <w:kern w:val="2"/>
          <w:sz w:val="32"/>
          <w:szCs w:val="32"/>
          <w:lang w:eastAsia="zh-CN"/>
        </w:rPr>
        <w:t>1300.41</w:t>
      </w:r>
      <w:r>
        <w:rPr>
          <w:rFonts w:hint="eastAsia" w:hAnsi="黑体"/>
          <w:kern w:val="2"/>
          <w:sz w:val="32"/>
          <w:szCs w:val="32"/>
        </w:rPr>
        <w:t>万元，比</w:t>
      </w:r>
      <w:r>
        <w:rPr>
          <w:rFonts w:hint="eastAsia" w:hAnsi="黑体"/>
          <w:kern w:val="2"/>
          <w:sz w:val="32"/>
          <w:szCs w:val="32"/>
          <w:lang w:eastAsia="zh-CN"/>
        </w:rPr>
        <w:t>2025年</w:t>
      </w:r>
      <w:r>
        <w:rPr>
          <w:rFonts w:hint="eastAsia" w:hAnsi="黑体"/>
          <w:kern w:val="2"/>
          <w:sz w:val="32"/>
          <w:szCs w:val="32"/>
        </w:rPr>
        <w:t>预算数</w:t>
      </w:r>
      <w:r>
        <w:rPr>
          <w:rFonts w:hint="eastAsia" w:hAnsi="黑体"/>
          <w:kern w:val="2"/>
          <w:sz w:val="32"/>
          <w:szCs w:val="32"/>
          <w:lang w:val="en-US" w:eastAsia="zh-CN"/>
        </w:rPr>
        <w:t>增加141.86</w:t>
      </w:r>
      <w:r>
        <w:rPr>
          <w:rFonts w:hint="eastAsia" w:hAnsi="黑体"/>
          <w:kern w:val="2"/>
          <w:sz w:val="32"/>
          <w:szCs w:val="32"/>
        </w:rPr>
        <w:t>万元，主要原因</w:t>
      </w:r>
      <w:r>
        <w:rPr>
          <w:rFonts w:hAnsi="黑体"/>
          <w:kern w:val="2"/>
          <w:sz w:val="32"/>
          <w:szCs w:val="32"/>
        </w:rPr>
        <w:t>:</w:t>
      </w:r>
      <w:r>
        <w:rPr>
          <w:rFonts w:hint="eastAsia" w:hAnsi="黑体"/>
          <w:kern w:val="2"/>
          <w:sz w:val="32"/>
          <w:szCs w:val="32"/>
          <w:lang w:val="en-US" w:eastAsia="zh-CN"/>
        </w:rPr>
        <w:t>人员以及人员经费变动，因此收支随之增加</w:t>
      </w:r>
      <w:r>
        <w:rPr>
          <w:rFonts w:hint="eastAsia" w:hAnsi="黑体"/>
          <w:kern w:val="2"/>
          <w:sz w:val="32"/>
          <w:szCs w:val="32"/>
          <w:lang w:eastAsia="zh-CN"/>
        </w:rPr>
        <w:t>。</w:t>
      </w:r>
      <w:r>
        <w:rPr>
          <w:rFonts w:hAnsi="黑体"/>
          <w:kern w:val="2"/>
          <w:sz w:val="32"/>
          <w:szCs w:val="32"/>
        </w:rPr>
        <w:br w:type="textWrapping"/>
      </w:r>
      <w:r>
        <w:rPr>
          <w:rFonts w:hint="eastAsia" w:hAnsi="黑体"/>
          <w:kern w:val="2"/>
          <w:sz w:val="32"/>
          <w:szCs w:val="32"/>
        </w:rPr>
        <w:t>　　</w:t>
      </w:r>
      <w:r>
        <w:rPr>
          <w:rFonts w:hint="eastAsia" w:ascii="楷体_GB2312" w:hAnsi="黑体" w:eastAsia="楷体_GB2312" w:cs="楷体_GB2312"/>
          <w:b/>
          <w:bCs/>
          <w:kern w:val="2"/>
          <w:sz w:val="32"/>
          <w:szCs w:val="32"/>
        </w:rPr>
        <w:t>（二）一般公共预算当年拨款结构情况</w:t>
      </w:r>
      <w:r>
        <w:rPr>
          <w:rFonts w:hAnsi="黑体" w:cs="Times New Roman"/>
          <w:kern w:val="2"/>
          <w:sz w:val="32"/>
          <w:szCs w:val="32"/>
        </w:rPr>
        <w:br w:type="textWrapping"/>
      </w:r>
      <w:r>
        <w:rPr>
          <w:rFonts w:hint="eastAsia" w:hAnsi="黑体"/>
          <w:kern w:val="2"/>
          <w:sz w:val="32"/>
          <w:szCs w:val="32"/>
        </w:rPr>
        <w:t>　　文化体育与传媒支出</w:t>
      </w:r>
      <w:r>
        <w:rPr>
          <w:rFonts w:hint="eastAsia" w:hAnsi="黑体" w:cs="Times New Roman"/>
          <w:kern w:val="2"/>
          <w:sz w:val="32"/>
          <w:szCs w:val="32"/>
          <w:lang w:eastAsia="zh-CN"/>
        </w:rPr>
        <w:t>1154.78</w:t>
      </w:r>
      <w:r>
        <w:rPr>
          <w:rFonts w:hint="eastAsia" w:hAnsi="黑体"/>
          <w:kern w:val="2"/>
          <w:sz w:val="32"/>
          <w:szCs w:val="32"/>
        </w:rPr>
        <w:t>万元</w:t>
      </w:r>
      <w:r>
        <w:rPr>
          <w:rFonts w:hint="eastAsia" w:hAnsi="黑体"/>
          <w:kern w:val="2"/>
          <w:sz w:val="32"/>
          <w:szCs w:val="32"/>
          <w:lang w:eastAsia="zh-CN"/>
        </w:rPr>
        <w:t>，</w:t>
      </w:r>
      <w:r>
        <w:rPr>
          <w:rFonts w:hint="eastAsia" w:hAnsi="黑体"/>
          <w:kern w:val="2"/>
          <w:sz w:val="32"/>
          <w:szCs w:val="32"/>
          <w:lang w:val="en-US" w:eastAsia="zh-CN"/>
        </w:rPr>
        <w:t>占78.99%</w:t>
      </w:r>
      <w:r>
        <w:rPr>
          <w:rFonts w:hint="eastAsia" w:hAnsi="黑体"/>
          <w:kern w:val="2"/>
          <w:sz w:val="32"/>
          <w:szCs w:val="32"/>
        </w:rPr>
        <w:t>，社会保障和就业支出</w:t>
      </w:r>
      <w:r>
        <w:rPr>
          <w:rFonts w:hint="eastAsia" w:hAnsi="黑体" w:cs="Times New Roman"/>
          <w:kern w:val="2"/>
          <w:sz w:val="32"/>
          <w:szCs w:val="32"/>
          <w:lang w:eastAsia="zh-CN"/>
        </w:rPr>
        <w:t>147.66</w:t>
      </w:r>
      <w:r>
        <w:rPr>
          <w:rFonts w:hint="eastAsia" w:hAnsi="黑体"/>
          <w:kern w:val="2"/>
          <w:sz w:val="32"/>
          <w:szCs w:val="32"/>
        </w:rPr>
        <w:t>万元</w:t>
      </w:r>
      <w:r>
        <w:rPr>
          <w:rFonts w:hint="eastAsia" w:hAnsi="黑体"/>
          <w:kern w:val="2"/>
          <w:sz w:val="32"/>
          <w:szCs w:val="32"/>
          <w:lang w:eastAsia="zh-CN"/>
        </w:rPr>
        <w:t>，</w:t>
      </w:r>
      <w:r>
        <w:rPr>
          <w:rFonts w:hint="eastAsia" w:hAnsi="黑体"/>
          <w:kern w:val="2"/>
          <w:sz w:val="32"/>
          <w:szCs w:val="32"/>
          <w:lang w:val="en-US" w:eastAsia="zh-CN"/>
        </w:rPr>
        <w:t>占10.1%</w:t>
      </w:r>
      <w:r>
        <w:rPr>
          <w:rFonts w:hint="eastAsia" w:hAnsi="黑体"/>
          <w:kern w:val="2"/>
          <w:sz w:val="32"/>
          <w:szCs w:val="32"/>
        </w:rPr>
        <w:t>，卫生健康支出</w:t>
      </w:r>
      <w:r>
        <w:rPr>
          <w:rFonts w:hint="eastAsia" w:hAnsi="黑体" w:cs="Times New Roman"/>
          <w:kern w:val="2"/>
          <w:sz w:val="32"/>
          <w:szCs w:val="32"/>
          <w:lang w:eastAsia="zh-CN"/>
        </w:rPr>
        <w:t>55.18</w:t>
      </w:r>
      <w:r>
        <w:rPr>
          <w:rFonts w:hint="eastAsia" w:hAnsi="黑体"/>
          <w:kern w:val="2"/>
          <w:sz w:val="32"/>
          <w:szCs w:val="32"/>
        </w:rPr>
        <w:t>万元</w:t>
      </w:r>
      <w:r>
        <w:rPr>
          <w:rFonts w:hint="eastAsia" w:hAnsi="黑体"/>
          <w:kern w:val="2"/>
          <w:sz w:val="32"/>
          <w:szCs w:val="32"/>
          <w:lang w:eastAsia="zh-CN"/>
        </w:rPr>
        <w:t>，</w:t>
      </w:r>
      <w:r>
        <w:rPr>
          <w:rFonts w:hint="eastAsia" w:hAnsi="黑体"/>
          <w:kern w:val="2"/>
          <w:sz w:val="32"/>
          <w:szCs w:val="32"/>
          <w:lang w:val="en-US" w:eastAsia="zh-CN"/>
        </w:rPr>
        <w:t>占3.77%</w:t>
      </w:r>
      <w:r>
        <w:rPr>
          <w:rFonts w:hint="eastAsia" w:hAnsi="黑体"/>
          <w:kern w:val="2"/>
          <w:sz w:val="32"/>
          <w:szCs w:val="32"/>
        </w:rPr>
        <w:t>，住房保障支出</w:t>
      </w:r>
      <w:r>
        <w:rPr>
          <w:rFonts w:hint="eastAsia" w:hAnsi="黑体" w:cs="Times New Roman"/>
          <w:kern w:val="2"/>
          <w:sz w:val="32"/>
          <w:szCs w:val="32"/>
          <w:lang w:eastAsia="zh-CN"/>
        </w:rPr>
        <w:t>74.21</w:t>
      </w:r>
      <w:r>
        <w:rPr>
          <w:rFonts w:hint="eastAsia" w:hAnsi="黑体"/>
          <w:kern w:val="2"/>
          <w:sz w:val="32"/>
          <w:szCs w:val="32"/>
        </w:rPr>
        <w:t>万元</w:t>
      </w:r>
      <w:r>
        <w:rPr>
          <w:rFonts w:hint="eastAsia" w:hAnsi="黑体"/>
          <w:kern w:val="2"/>
          <w:sz w:val="32"/>
          <w:szCs w:val="32"/>
          <w:lang w:eastAsia="zh-CN"/>
        </w:rPr>
        <w:t>，</w:t>
      </w:r>
      <w:r>
        <w:rPr>
          <w:rFonts w:hint="eastAsia" w:hAnsi="黑体"/>
          <w:kern w:val="2"/>
          <w:sz w:val="32"/>
          <w:szCs w:val="32"/>
          <w:lang w:val="en-US" w:eastAsia="zh-CN"/>
        </w:rPr>
        <w:t>占5.08%，其他支出29.99万元，占2.05%</w:t>
      </w:r>
      <w:r>
        <w:rPr>
          <w:rFonts w:hint="eastAsia" w:hAnsi="黑体"/>
          <w:kern w:val="2"/>
          <w:sz w:val="32"/>
          <w:szCs w:val="32"/>
        </w:rPr>
        <w:t>。</w:t>
      </w:r>
      <w:r>
        <w:rPr>
          <w:rFonts w:hAnsi="黑体" w:cs="Times New Roman"/>
          <w:kern w:val="2"/>
          <w:sz w:val="32"/>
          <w:szCs w:val="32"/>
        </w:rPr>
        <w:br w:type="textWrapping"/>
      </w:r>
      <w:r>
        <w:rPr>
          <w:rFonts w:hint="eastAsia" w:hAnsi="黑体"/>
          <w:kern w:val="2"/>
          <w:sz w:val="32"/>
          <w:szCs w:val="32"/>
        </w:rPr>
        <w:t>　　</w:t>
      </w:r>
      <w:r>
        <w:rPr>
          <w:rFonts w:hint="eastAsia" w:ascii="楷体_GB2312" w:hAnsi="黑体" w:eastAsia="楷体_GB2312" w:cs="楷体_GB2312"/>
          <w:b/>
          <w:bCs/>
          <w:kern w:val="2"/>
          <w:sz w:val="32"/>
          <w:szCs w:val="32"/>
        </w:rPr>
        <w:t>（三）一般公共预算当年拨款具体使用情况</w:t>
      </w:r>
      <w:r>
        <w:rPr>
          <w:rFonts w:ascii="楷体_GB2312" w:hAnsi="黑体" w:eastAsia="楷体_GB2312" w:cs="Times New Roman"/>
          <w:b/>
          <w:bCs/>
          <w:kern w:val="2"/>
          <w:sz w:val="32"/>
          <w:szCs w:val="32"/>
        </w:rPr>
        <w:br w:type="textWrapping"/>
      </w:r>
      <w:r>
        <w:rPr>
          <w:rFonts w:hint="eastAsia" w:hAnsi="黑体"/>
          <w:kern w:val="2"/>
          <w:sz w:val="32"/>
          <w:szCs w:val="32"/>
        </w:rPr>
        <w:t>　　</w:t>
      </w:r>
      <w:r>
        <w:rPr>
          <w:rFonts w:hAnsi="黑体"/>
          <w:kern w:val="2"/>
          <w:sz w:val="32"/>
          <w:szCs w:val="32"/>
        </w:rPr>
        <w:t>1</w:t>
      </w:r>
      <w:r>
        <w:rPr>
          <w:rFonts w:hint="eastAsia" w:hAnsi="黑体"/>
          <w:kern w:val="2"/>
          <w:sz w:val="32"/>
          <w:szCs w:val="32"/>
        </w:rPr>
        <w:t>． 行政运行预算数为</w:t>
      </w:r>
      <w:r>
        <w:rPr>
          <w:rFonts w:hint="eastAsia" w:hAnsi="黑体" w:cs="Times New Roman"/>
          <w:color w:val="000000"/>
          <w:kern w:val="2"/>
          <w:sz w:val="32"/>
          <w:szCs w:val="32"/>
          <w:lang w:val="en-US" w:eastAsia="zh-CN"/>
        </w:rPr>
        <w:t>426.46</w:t>
      </w:r>
      <w:r>
        <w:rPr>
          <w:rFonts w:hint="eastAsia" w:hAnsi="黑体"/>
          <w:kern w:val="2"/>
          <w:sz w:val="32"/>
          <w:szCs w:val="32"/>
        </w:rPr>
        <w:t>万元，主要用于</w:t>
      </w:r>
      <w:r>
        <w:rPr>
          <w:rFonts w:hAnsi="黑体"/>
          <w:kern w:val="2"/>
          <w:sz w:val="32"/>
          <w:szCs w:val="32"/>
        </w:rPr>
        <w:t xml:space="preserve"> :</w:t>
      </w:r>
      <w:r>
        <w:rPr>
          <w:rFonts w:hint="eastAsia" w:hAnsi="黑体"/>
          <w:kern w:val="2"/>
          <w:sz w:val="32"/>
          <w:szCs w:val="32"/>
          <w:lang w:eastAsia="zh-CN"/>
        </w:rPr>
        <w:t>2026</w:t>
      </w:r>
      <w:r>
        <w:rPr>
          <w:rFonts w:hint="eastAsia" w:hAnsi="黑体"/>
          <w:kern w:val="2"/>
          <w:sz w:val="32"/>
          <w:szCs w:val="32"/>
        </w:rPr>
        <w:t> 行政运行</w:t>
      </w:r>
      <w:r>
        <w:rPr>
          <w:rFonts w:hint="eastAsia" w:hAnsi="黑体"/>
          <w:kern w:val="2"/>
          <w:sz w:val="32"/>
          <w:szCs w:val="32"/>
          <w:lang w:eastAsia="zh-CN"/>
        </w:rPr>
        <w:t>。</w:t>
      </w:r>
    </w:p>
    <w:p>
      <w:pPr>
        <w:pStyle w:val="12"/>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outlineLvl w:val="9"/>
        <w:rPr>
          <w:rFonts w:hAnsi="黑体"/>
          <w:kern w:val="2"/>
          <w:sz w:val="32"/>
          <w:szCs w:val="32"/>
        </w:rPr>
      </w:pPr>
      <w:r>
        <w:rPr>
          <w:rFonts w:hAnsi="黑体"/>
          <w:kern w:val="2"/>
          <w:sz w:val="32"/>
          <w:szCs w:val="32"/>
        </w:rPr>
        <w:t>2.</w:t>
      </w:r>
      <w:r>
        <w:rPr>
          <w:rFonts w:hint="eastAsia" w:hAnsi="黑体"/>
          <w:kern w:val="2"/>
          <w:sz w:val="32"/>
          <w:szCs w:val="32"/>
          <w:lang w:val="en-US" w:eastAsia="zh-CN"/>
        </w:rPr>
        <w:t> 艺术表演团体</w:t>
      </w:r>
      <w:r>
        <w:rPr>
          <w:rFonts w:hint="eastAsia" w:hAnsi="黑体"/>
          <w:kern w:val="2"/>
          <w:sz w:val="32"/>
          <w:szCs w:val="32"/>
        </w:rPr>
        <w:t>预算数为346.51万元，主要用于</w:t>
      </w:r>
      <w:r>
        <w:rPr>
          <w:rFonts w:hAnsi="黑体"/>
          <w:kern w:val="2"/>
          <w:sz w:val="32"/>
          <w:szCs w:val="32"/>
        </w:rPr>
        <w:t xml:space="preserve"> :</w:t>
      </w:r>
      <w:r>
        <w:rPr>
          <w:rFonts w:hint="eastAsia" w:hAnsi="黑体"/>
          <w:kern w:val="2"/>
          <w:sz w:val="32"/>
          <w:szCs w:val="32"/>
          <w:lang w:val="en-US" w:eastAsia="zh-CN"/>
        </w:rPr>
        <w:t>艺术表演</w:t>
      </w:r>
      <w:r>
        <w:rPr>
          <w:rFonts w:hint="eastAsia" w:hAnsi="黑体"/>
          <w:kern w:val="2"/>
          <w:sz w:val="32"/>
          <w:szCs w:val="32"/>
          <w:lang w:eastAsia="zh-CN"/>
        </w:rPr>
        <w:t>。</w:t>
      </w:r>
      <w:r>
        <w:rPr>
          <w:rFonts w:hAnsi="黑体"/>
          <w:kern w:val="2"/>
          <w:sz w:val="32"/>
          <w:szCs w:val="32"/>
        </w:rPr>
        <w:br w:type="textWrapping"/>
      </w:r>
      <w:r>
        <w:rPr>
          <w:rFonts w:hint="eastAsia" w:hAnsi="黑体"/>
          <w:kern w:val="2"/>
          <w:sz w:val="32"/>
          <w:szCs w:val="32"/>
        </w:rPr>
        <w:t>　　</w:t>
      </w:r>
      <w:r>
        <w:rPr>
          <w:rFonts w:hAnsi="黑体"/>
          <w:kern w:val="2"/>
          <w:sz w:val="32"/>
          <w:szCs w:val="32"/>
        </w:rPr>
        <w:t>3.</w:t>
      </w:r>
      <w:r>
        <w:rPr>
          <w:rFonts w:hint="eastAsia" w:hAnsi="黑体"/>
          <w:kern w:val="2"/>
          <w:sz w:val="32"/>
          <w:szCs w:val="32"/>
          <w:lang w:val="en-US" w:eastAsia="zh-CN"/>
        </w:rPr>
        <w:t> 文化创作与保护</w:t>
      </w:r>
      <w:r>
        <w:rPr>
          <w:rFonts w:hint="eastAsia" w:hAnsi="黑体"/>
          <w:kern w:val="2"/>
          <w:sz w:val="32"/>
          <w:szCs w:val="32"/>
        </w:rPr>
        <w:t>预算数为</w:t>
      </w:r>
      <w:r>
        <w:rPr>
          <w:rFonts w:hint="eastAsia" w:hAnsi="黑体" w:cs="Times New Roman"/>
          <w:color w:val="000000"/>
          <w:kern w:val="2"/>
          <w:sz w:val="32"/>
          <w:szCs w:val="32"/>
          <w:lang w:val="en-US" w:eastAsia="zh-CN"/>
        </w:rPr>
        <w:t>16.08</w:t>
      </w:r>
      <w:r>
        <w:rPr>
          <w:rFonts w:hint="eastAsia" w:hAnsi="黑体"/>
          <w:kern w:val="2"/>
          <w:sz w:val="32"/>
          <w:szCs w:val="32"/>
        </w:rPr>
        <w:t>万元，主要用于</w:t>
      </w:r>
      <w:r>
        <w:rPr>
          <w:rFonts w:hAnsi="黑体"/>
          <w:kern w:val="2"/>
          <w:sz w:val="32"/>
          <w:szCs w:val="32"/>
        </w:rPr>
        <w:t xml:space="preserve"> :</w:t>
      </w:r>
      <w:r>
        <w:rPr>
          <w:rFonts w:hint="eastAsia" w:hAnsi="黑体"/>
          <w:kern w:val="2"/>
          <w:sz w:val="32"/>
          <w:szCs w:val="32"/>
          <w:lang w:val="en-US" w:eastAsia="zh-CN"/>
        </w:rPr>
        <w:t> 文化创作与保护</w:t>
      </w:r>
      <w:r>
        <w:rPr>
          <w:rFonts w:hint="eastAsia" w:hAnsi="黑体"/>
          <w:kern w:val="2"/>
          <w:sz w:val="32"/>
          <w:szCs w:val="32"/>
        </w:rPr>
        <w:t>。</w:t>
      </w:r>
    </w:p>
    <w:p>
      <w:pPr>
        <w:pStyle w:val="12"/>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outlineLvl w:val="9"/>
        <w:rPr>
          <w:rFonts w:hAnsi="黑体"/>
          <w:kern w:val="2"/>
          <w:sz w:val="32"/>
          <w:szCs w:val="32"/>
        </w:rPr>
      </w:pPr>
      <w:r>
        <w:rPr>
          <w:rFonts w:hAnsi="黑体"/>
          <w:kern w:val="2"/>
          <w:sz w:val="32"/>
          <w:szCs w:val="32"/>
        </w:rPr>
        <w:t>4.</w:t>
      </w:r>
      <w:r>
        <w:rPr>
          <w:rFonts w:hint="eastAsia" w:hAnsi="黑体"/>
          <w:kern w:val="2"/>
          <w:sz w:val="32"/>
          <w:szCs w:val="32"/>
          <w:lang w:val="en-US" w:eastAsia="zh-CN"/>
        </w:rPr>
        <w:t> 文物保护</w:t>
      </w:r>
      <w:r>
        <w:rPr>
          <w:rFonts w:hint="eastAsia" w:hAnsi="黑体"/>
          <w:kern w:val="2"/>
          <w:sz w:val="32"/>
          <w:szCs w:val="32"/>
        </w:rPr>
        <w:t>预算数为5.04万元，主要用于</w:t>
      </w:r>
      <w:r>
        <w:rPr>
          <w:rFonts w:hAnsi="黑体"/>
          <w:kern w:val="2"/>
          <w:sz w:val="32"/>
          <w:szCs w:val="32"/>
        </w:rPr>
        <w:t xml:space="preserve"> :</w:t>
      </w:r>
      <w:r>
        <w:rPr>
          <w:rFonts w:hint="eastAsia" w:hAnsi="黑体"/>
          <w:kern w:val="2"/>
          <w:sz w:val="32"/>
          <w:szCs w:val="32"/>
          <w:lang w:val="en-US" w:eastAsia="zh-CN"/>
        </w:rPr>
        <w:t>文物保护</w:t>
      </w:r>
      <w:r>
        <w:rPr>
          <w:rFonts w:hint="eastAsia" w:hAnsi="黑体"/>
          <w:kern w:val="2"/>
          <w:sz w:val="32"/>
          <w:szCs w:val="32"/>
        </w:rPr>
        <w:t>。</w:t>
      </w:r>
    </w:p>
    <w:p>
      <w:pPr>
        <w:pStyle w:val="12"/>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outlineLvl w:val="9"/>
        <w:rPr>
          <w:rFonts w:hint="default" w:hAnsi="黑体" w:eastAsia="仿宋_GB2312"/>
          <w:kern w:val="2"/>
          <w:sz w:val="32"/>
          <w:szCs w:val="32"/>
          <w:lang w:val="en-US" w:eastAsia="zh-CN"/>
        </w:rPr>
      </w:pPr>
      <w:r>
        <w:rPr>
          <w:rFonts w:hint="eastAsia" w:hAnsi="黑体"/>
          <w:kern w:val="2"/>
          <w:sz w:val="32"/>
          <w:szCs w:val="32"/>
          <w:lang w:val="en-US" w:eastAsia="zh-CN"/>
        </w:rPr>
        <w:t>5. 群众体育</w:t>
      </w:r>
      <w:r>
        <w:rPr>
          <w:rFonts w:hint="eastAsia" w:hAnsi="黑体"/>
          <w:kern w:val="2"/>
          <w:sz w:val="32"/>
          <w:szCs w:val="32"/>
        </w:rPr>
        <w:t>预算数为229.27万元，主要用于</w:t>
      </w:r>
      <w:r>
        <w:rPr>
          <w:rFonts w:hAnsi="黑体"/>
          <w:kern w:val="2"/>
          <w:sz w:val="32"/>
          <w:szCs w:val="32"/>
        </w:rPr>
        <w:t xml:space="preserve"> :</w:t>
      </w:r>
      <w:r>
        <w:rPr>
          <w:rFonts w:hint="eastAsia" w:hAnsi="黑体"/>
          <w:kern w:val="2"/>
          <w:sz w:val="32"/>
          <w:szCs w:val="32"/>
          <w:lang w:val="en-US" w:eastAsia="zh-CN"/>
        </w:rPr>
        <w:t>群众体育事业。</w:t>
      </w:r>
    </w:p>
    <w:p>
      <w:pPr>
        <w:pStyle w:val="12"/>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outlineLvl w:val="9"/>
        <w:rPr>
          <w:rFonts w:hint="eastAsia" w:hAnsi="黑体"/>
          <w:kern w:val="2"/>
          <w:sz w:val="32"/>
          <w:szCs w:val="32"/>
        </w:rPr>
      </w:pPr>
      <w:r>
        <w:rPr>
          <w:rFonts w:hint="eastAsia" w:hAnsi="黑体"/>
          <w:kern w:val="2"/>
          <w:sz w:val="32"/>
          <w:szCs w:val="32"/>
          <w:lang w:val="en-US" w:eastAsia="zh-CN"/>
        </w:rPr>
        <w:t>6</w:t>
      </w:r>
      <w:r>
        <w:rPr>
          <w:rFonts w:hAnsi="黑体"/>
          <w:kern w:val="2"/>
          <w:sz w:val="32"/>
          <w:szCs w:val="32"/>
        </w:rPr>
        <w:t>.</w:t>
      </w:r>
      <w:r>
        <w:rPr>
          <w:rFonts w:hint="eastAsia" w:hAnsi="黑体"/>
          <w:kern w:val="2"/>
          <w:sz w:val="32"/>
          <w:szCs w:val="32"/>
        </w:rPr>
        <w:t>机关事业单位基本养老保险缴费支出</w:t>
      </w:r>
      <w:r>
        <w:rPr>
          <w:rFonts w:hint="eastAsia" w:hAnsi="黑体"/>
          <w:kern w:val="2"/>
          <w:sz w:val="32"/>
          <w:szCs w:val="32"/>
          <w:lang w:eastAsia="zh-CN"/>
        </w:rPr>
        <w:t>2026</w:t>
      </w:r>
      <w:r>
        <w:rPr>
          <w:rFonts w:hAnsi="黑体"/>
          <w:kern w:val="2"/>
          <w:sz w:val="32"/>
          <w:szCs w:val="32"/>
        </w:rPr>
        <w:t>年</w:t>
      </w:r>
      <w:r>
        <w:rPr>
          <w:rFonts w:hint="eastAsia" w:hAnsi="黑体"/>
          <w:kern w:val="2"/>
          <w:sz w:val="32"/>
          <w:szCs w:val="32"/>
        </w:rPr>
        <w:t>预算数为98.44万元，主要用于</w:t>
      </w:r>
      <w:r>
        <w:rPr>
          <w:rFonts w:hAnsi="黑体"/>
          <w:kern w:val="2"/>
          <w:sz w:val="32"/>
          <w:szCs w:val="32"/>
        </w:rPr>
        <w:t xml:space="preserve"> :</w:t>
      </w:r>
      <w:r>
        <w:rPr>
          <w:rFonts w:hint="eastAsia" w:hAnsi="黑体"/>
          <w:kern w:val="2"/>
          <w:sz w:val="32"/>
          <w:szCs w:val="32"/>
          <w:lang w:eastAsia="zh-CN"/>
        </w:rPr>
        <w:t>2026</w:t>
      </w:r>
      <w:r>
        <w:rPr>
          <w:rFonts w:hint="eastAsia" w:hAnsi="黑体"/>
          <w:kern w:val="2"/>
          <w:sz w:val="32"/>
          <w:szCs w:val="32"/>
        </w:rPr>
        <w:t>年</w:t>
      </w:r>
      <w:r>
        <w:rPr>
          <w:rFonts w:hint="eastAsia" w:hAnsi="黑体"/>
          <w:kern w:val="2"/>
          <w:sz w:val="32"/>
          <w:szCs w:val="32"/>
          <w:lang w:val="en-US" w:eastAsia="zh-CN"/>
        </w:rPr>
        <w:t>单位基本养老保险</w:t>
      </w:r>
      <w:r>
        <w:rPr>
          <w:rFonts w:hint="eastAsia" w:hAnsi="黑体"/>
          <w:kern w:val="2"/>
          <w:sz w:val="32"/>
          <w:szCs w:val="32"/>
        </w:rPr>
        <w:t>支出。</w:t>
      </w:r>
    </w:p>
    <w:p>
      <w:pPr>
        <w:pStyle w:val="12"/>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outlineLvl w:val="9"/>
        <w:rPr>
          <w:rFonts w:hint="eastAsia" w:hAnsi="黑体"/>
          <w:kern w:val="2"/>
          <w:sz w:val="32"/>
          <w:szCs w:val="32"/>
        </w:rPr>
      </w:pPr>
      <w:r>
        <w:rPr>
          <w:rFonts w:hint="eastAsia" w:hAnsi="黑体"/>
          <w:kern w:val="2"/>
          <w:sz w:val="32"/>
          <w:szCs w:val="32"/>
          <w:lang w:val="en-US" w:eastAsia="zh-CN"/>
        </w:rPr>
        <w:t>7</w:t>
      </w:r>
      <w:r>
        <w:rPr>
          <w:rFonts w:hAnsi="黑体"/>
          <w:kern w:val="2"/>
          <w:sz w:val="32"/>
          <w:szCs w:val="32"/>
        </w:rPr>
        <w:t>.</w:t>
      </w:r>
      <w:r>
        <w:rPr>
          <w:rFonts w:hint="eastAsia" w:hAnsi="黑体"/>
          <w:kern w:val="2"/>
          <w:sz w:val="32"/>
          <w:szCs w:val="32"/>
        </w:rPr>
        <w:t>机关事业单位职业年金缴费支出</w:t>
      </w:r>
      <w:r>
        <w:rPr>
          <w:rFonts w:hint="eastAsia" w:hAnsi="黑体"/>
          <w:kern w:val="2"/>
          <w:sz w:val="32"/>
          <w:szCs w:val="32"/>
          <w:lang w:eastAsia="zh-CN"/>
        </w:rPr>
        <w:t>2026</w:t>
      </w:r>
      <w:r>
        <w:rPr>
          <w:rFonts w:hAnsi="黑体"/>
          <w:kern w:val="2"/>
          <w:sz w:val="32"/>
          <w:szCs w:val="32"/>
        </w:rPr>
        <w:t>年</w:t>
      </w:r>
      <w:r>
        <w:rPr>
          <w:rFonts w:hint="eastAsia" w:hAnsi="黑体"/>
          <w:kern w:val="2"/>
          <w:sz w:val="32"/>
          <w:szCs w:val="32"/>
        </w:rPr>
        <w:t>预算数为49.22万元，主要用于</w:t>
      </w:r>
      <w:r>
        <w:rPr>
          <w:rFonts w:hAnsi="黑体"/>
          <w:kern w:val="2"/>
          <w:sz w:val="32"/>
          <w:szCs w:val="32"/>
        </w:rPr>
        <w:t xml:space="preserve"> :</w:t>
      </w:r>
      <w:r>
        <w:rPr>
          <w:rFonts w:hint="eastAsia" w:hAnsi="黑体"/>
          <w:kern w:val="2"/>
          <w:sz w:val="32"/>
          <w:szCs w:val="32"/>
          <w:lang w:eastAsia="zh-CN"/>
        </w:rPr>
        <w:t>2026</w:t>
      </w:r>
      <w:r>
        <w:rPr>
          <w:rFonts w:hint="eastAsia" w:hAnsi="黑体"/>
          <w:kern w:val="2"/>
          <w:sz w:val="32"/>
          <w:szCs w:val="32"/>
        </w:rPr>
        <w:t>年机关事业单位职业年金缴费支出。</w:t>
      </w:r>
    </w:p>
    <w:p>
      <w:pPr>
        <w:pStyle w:val="12"/>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outlineLvl w:val="9"/>
        <w:rPr>
          <w:rFonts w:hint="eastAsia" w:hAnsi="黑体"/>
          <w:kern w:val="2"/>
          <w:sz w:val="32"/>
          <w:szCs w:val="32"/>
        </w:rPr>
      </w:pPr>
      <w:r>
        <w:rPr>
          <w:rFonts w:hint="eastAsia" w:hAnsi="黑体"/>
          <w:kern w:val="2"/>
          <w:sz w:val="32"/>
          <w:szCs w:val="32"/>
          <w:lang w:val="en-US" w:eastAsia="zh-CN"/>
        </w:rPr>
        <w:t>8</w:t>
      </w:r>
      <w:r>
        <w:rPr>
          <w:rFonts w:hAnsi="黑体"/>
          <w:kern w:val="2"/>
          <w:sz w:val="32"/>
          <w:szCs w:val="32"/>
        </w:rPr>
        <w:t>.</w:t>
      </w:r>
      <w:r>
        <w:rPr>
          <w:rFonts w:hint="eastAsia" w:hAnsi="黑体"/>
          <w:kern w:val="2"/>
          <w:sz w:val="32"/>
          <w:szCs w:val="32"/>
        </w:rPr>
        <w:t>行政单位医疗预算数为27.65万元，主要用于</w:t>
      </w:r>
      <w:r>
        <w:rPr>
          <w:rFonts w:hAnsi="黑体"/>
          <w:kern w:val="2"/>
          <w:sz w:val="32"/>
          <w:szCs w:val="32"/>
        </w:rPr>
        <w:t xml:space="preserve"> :</w:t>
      </w:r>
      <w:r>
        <w:rPr>
          <w:rFonts w:hint="eastAsia" w:hAnsi="黑体"/>
          <w:kern w:val="2"/>
          <w:sz w:val="32"/>
          <w:szCs w:val="32"/>
          <w:lang w:eastAsia="zh-CN"/>
        </w:rPr>
        <w:t>202</w:t>
      </w:r>
      <w:r>
        <w:rPr>
          <w:rFonts w:hint="eastAsia" w:hAnsi="黑体"/>
          <w:kern w:val="2"/>
          <w:sz w:val="32"/>
          <w:szCs w:val="32"/>
          <w:lang w:val="en-US" w:eastAsia="zh-CN"/>
        </w:rPr>
        <w:t>6</w:t>
      </w:r>
      <w:r>
        <w:rPr>
          <w:rFonts w:hint="eastAsia" w:hAnsi="黑体"/>
          <w:kern w:val="2"/>
          <w:sz w:val="32"/>
          <w:szCs w:val="32"/>
        </w:rPr>
        <w:t>年单位行政单位医疗支出。</w:t>
      </w:r>
    </w:p>
    <w:p>
      <w:pPr>
        <w:pStyle w:val="12"/>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outlineLvl w:val="9"/>
        <w:rPr>
          <w:rFonts w:hint="eastAsia" w:hAnsi="黑体"/>
          <w:kern w:val="2"/>
          <w:sz w:val="32"/>
          <w:szCs w:val="32"/>
        </w:rPr>
      </w:pPr>
      <w:r>
        <w:rPr>
          <w:rFonts w:hint="eastAsia" w:hAnsi="黑体"/>
          <w:kern w:val="2"/>
          <w:sz w:val="32"/>
          <w:szCs w:val="32"/>
          <w:lang w:val="en-US" w:eastAsia="zh-CN"/>
        </w:rPr>
        <w:t>9</w:t>
      </w:r>
      <w:r>
        <w:rPr>
          <w:rFonts w:hint="eastAsia" w:hAnsi="黑体"/>
          <w:kern w:val="2"/>
          <w:sz w:val="32"/>
          <w:szCs w:val="32"/>
        </w:rPr>
        <w:t>.事业单位医疗支出预算数为15.42万元，主要用于 :</w:t>
      </w:r>
      <w:r>
        <w:rPr>
          <w:rFonts w:hint="eastAsia" w:hAnsi="黑体"/>
          <w:kern w:val="2"/>
          <w:sz w:val="32"/>
          <w:szCs w:val="32"/>
          <w:lang w:eastAsia="zh-CN"/>
        </w:rPr>
        <w:t>2026</w:t>
      </w:r>
      <w:r>
        <w:rPr>
          <w:rFonts w:hint="eastAsia" w:hAnsi="黑体"/>
          <w:kern w:val="2"/>
          <w:sz w:val="32"/>
          <w:szCs w:val="32"/>
        </w:rPr>
        <w:t>年单位事业单位医疗支出。</w:t>
      </w:r>
    </w:p>
    <w:p>
      <w:pPr>
        <w:pStyle w:val="12"/>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outlineLvl w:val="9"/>
        <w:rPr>
          <w:rFonts w:hint="eastAsia" w:hAnsi="黑体"/>
          <w:kern w:val="2"/>
          <w:sz w:val="32"/>
          <w:szCs w:val="32"/>
        </w:rPr>
      </w:pPr>
      <w:r>
        <w:rPr>
          <w:rFonts w:hint="eastAsia" w:hAnsi="黑体"/>
          <w:kern w:val="2"/>
          <w:sz w:val="32"/>
          <w:szCs w:val="32"/>
          <w:lang w:val="en-US" w:eastAsia="zh-CN"/>
        </w:rPr>
        <w:t>10</w:t>
      </w:r>
      <w:r>
        <w:rPr>
          <w:rFonts w:hAnsi="黑体"/>
          <w:kern w:val="2"/>
          <w:sz w:val="32"/>
          <w:szCs w:val="32"/>
        </w:rPr>
        <w:t>.</w:t>
      </w:r>
      <w:r>
        <w:rPr>
          <w:rFonts w:hint="eastAsia" w:hAnsi="黑体"/>
          <w:kern w:val="2"/>
          <w:sz w:val="32"/>
          <w:szCs w:val="32"/>
        </w:rPr>
        <w:t>公务员医疗补助预算数为9.09万元，主要用于</w:t>
      </w:r>
      <w:r>
        <w:rPr>
          <w:rFonts w:hAnsi="黑体"/>
          <w:kern w:val="2"/>
          <w:sz w:val="32"/>
          <w:szCs w:val="32"/>
        </w:rPr>
        <w:t xml:space="preserve"> :</w:t>
      </w:r>
      <w:r>
        <w:rPr>
          <w:rFonts w:hint="eastAsia" w:hAnsi="黑体"/>
          <w:kern w:val="2"/>
          <w:sz w:val="32"/>
          <w:szCs w:val="32"/>
          <w:lang w:eastAsia="zh-CN"/>
        </w:rPr>
        <w:t>2026</w:t>
      </w:r>
      <w:r>
        <w:rPr>
          <w:rFonts w:hint="eastAsia" w:hAnsi="黑体"/>
          <w:kern w:val="2"/>
          <w:sz w:val="32"/>
          <w:szCs w:val="32"/>
        </w:rPr>
        <w:t>年公务员医疗补助支出。</w:t>
      </w:r>
    </w:p>
    <w:p>
      <w:pPr>
        <w:pStyle w:val="12"/>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outlineLvl w:val="9"/>
        <w:rPr>
          <w:rFonts w:hint="eastAsia" w:hAnsi="黑体"/>
          <w:kern w:val="2"/>
          <w:sz w:val="32"/>
          <w:szCs w:val="32"/>
        </w:rPr>
      </w:pPr>
      <w:r>
        <w:rPr>
          <w:rFonts w:hint="eastAsia" w:hAnsi="黑体"/>
          <w:kern w:val="2"/>
          <w:sz w:val="32"/>
          <w:szCs w:val="32"/>
          <w:lang w:val="en-US" w:eastAsia="zh-CN"/>
        </w:rPr>
        <w:t>11.</w:t>
      </w:r>
      <w:r>
        <w:rPr>
          <w:rFonts w:hint="eastAsia" w:hAnsi="黑体"/>
          <w:kern w:val="2"/>
          <w:sz w:val="32"/>
          <w:szCs w:val="32"/>
        </w:rPr>
        <w:t>其他行政事业单位医疗支出预算数为3.03万元，主要用于</w:t>
      </w:r>
      <w:r>
        <w:rPr>
          <w:rFonts w:hAnsi="黑体"/>
          <w:kern w:val="2"/>
          <w:sz w:val="32"/>
          <w:szCs w:val="32"/>
        </w:rPr>
        <w:t xml:space="preserve"> :</w:t>
      </w:r>
      <w:r>
        <w:rPr>
          <w:rFonts w:hint="eastAsia" w:hAnsi="黑体"/>
          <w:kern w:val="2"/>
          <w:sz w:val="32"/>
          <w:szCs w:val="32"/>
          <w:lang w:eastAsia="zh-CN"/>
        </w:rPr>
        <w:t>2026</w:t>
      </w:r>
      <w:r>
        <w:rPr>
          <w:rFonts w:hint="eastAsia" w:hAnsi="黑体"/>
          <w:kern w:val="2"/>
          <w:sz w:val="32"/>
          <w:szCs w:val="32"/>
        </w:rPr>
        <w:t>年其他行政事业单位医疗支出支出。</w:t>
      </w:r>
    </w:p>
    <w:p>
      <w:pPr>
        <w:pStyle w:val="12"/>
        <w:spacing w:before="0" w:line="360" w:lineRule="auto"/>
        <w:ind w:firstLine="660"/>
        <w:rPr>
          <w:rFonts w:hint="eastAsia" w:hAnsi="黑体"/>
          <w:kern w:val="2"/>
          <w:sz w:val="32"/>
          <w:szCs w:val="32"/>
        </w:rPr>
      </w:pPr>
      <w:r>
        <w:rPr>
          <w:rFonts w:hint="eastAsia" w:hAnsi="黑体"/>
          <w:kern w:val="2"/>
          <w:sz w:val="32"/>
          <w:szCs w:val="32"/>
          <w:lang w:val="en-US" w:eastAsia="zh-CN"/>
        </w:rPr>
        <w:t>12.</w:t>
      </w:r>
      <w:r>
        <w:rPr>
          <w:rFonts w:hint="eastAsia" w:hAnsi="黑体"/>
          <w:kern w:val="2"/>
          <w:sz w:val="32"/>
          <w:szCs w:val="32"/>
        </w:rPr>
        <w:t>住房公积金支出预算数为</w:t>
      </w:r>
      <w:r>
        <w:rPr>
          <w:rFonts w:hint="eastAsia" w:hAnsi="黑体"/>
          <w:kern w:val="2"/>
          <w:sz w:val="32"/>
          <w:szCs w:val="32"/>
          <w:lang w:eastAsia="zh-CN"/>
        </w:rPr>
        <w:t>74.21</w:t>
      </w:r>
      <w:r>
        <w:rPr>
          <w:rFonts w:hint="eastAsia" w:hAnsi="黑体"/>
          <w:kern w:val="2"/>
          <w:sz w:val="32"/>
          <w:szCs w:val="32"/>
        </w:rPr>
        <w:t>万元，主要用于</w:t>
      </w:r>
      <w:r>
        <w:rPr>
          <w:rFonts w:hAnsi="黑体"/>
          <w:kern w:val="2"/>
          <w:sz w:val="32"/>
          <w:szCs w:val="32"/>
        </w:rPr>
        <w:t xml:space="preserve"> :</w:t>
      </w:r>
      <w:r>
        <w:rPr>
          <w:rFonts w:hint="eastAsia" w:hAnsi="黑体"/>
          <w:kern w:val="2"/>
          <w:sz w:val="32"/>
          <w:szCs w:val="32"/>
          <w:lang w:eastAsia="zh-CN"/>
        </w:rPr>
        <w:t>2026</w:t>
      </w:r>
      <w:r>
        <w:rPr>
          <w:rFonts w:hint="eastAsia" w:hAnsi="黑体"/>
          <w:kern w:val="2"/>
          <w:sz w:val="32"/>
          <w:szCs w:val="32"/>
        </w:rPr>
        <w:t>年住房公积金支出。</w:t>
      </w:r>
    </w:p>
    <w:p>
      <w:pPr>
        <w:pStyle w:val="12"/>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pPr>
        <w:pStyle w:val="12"/>
        <w:spacing w:before="0" w:line="360" w:lineRule="auto"/>
        <w:ind w:firstLine="640" w:firstLineChars="200"/>
        <w:rPr>
          <w:rFonts w:cs="仿宋_GB2312"/>
          <w:kern w:val="2"/>
          <w:sz w:val="32"/>
          <w:szCs w:val="32"/>
        </w:rPr>
      </w:pPr>
      <w:r>
        <w:rPr>
          <w:rFonts w:hint="eastAsia" w:cs="仿宋_GB2312"/>
          <w:kern w:val="2"/>
          <w:sz w:val="32"/>
          <w:szCs w:val="32"/>
          <w:lang w:eastAsia="zh-CN"/>
        </w:rPr>
        <w:t>2026</w:t>
      </w:r>
      <w:r>
        <w:rPr>
          <w:rFonts w:hint="eastAsia" w:cs="仿宋_GB2312"/>
          <w:kern w:val="2"/>
          <w:sz w:val="32"/>
          <w:szCs w:val="32"/>
        </w:rPr>
        <w:t>年一般公共预算基本支出932.78万元，其中：人员经费881.58万元，主要包括：基本工资、津贴补贴、奖金、其他社会保障缴费、绩效工资、机关事业单位基本养老保险缴费、职业年金缴费、其他工资福利支出、离休费、奖励金、住房公积金、其他对个人和家庭的补助支出。</w:t>
      </w:r>
    </w:p>
    <w:p>
      <w:pPr>
        <w:pStyle w:val="12"/>
        <w:spacing w:before="0" w:line="360" w:lineRule="auto"/>
        <w:ind w:firstLine="640" w:firstLineChars="200"/>
        <w:rPr>
          <w:rFonts w:ascii="黑体" w:eastAsia="黑体"/>
          <w:sz w:val="32"/>
          <w:szCs w:val="32"/>
        </w:rPr>
      </w:pPr>
      <w:r>
        <w:rPr>
          <w:rFonts w:hint="eastAsia" w:cs="仿宋_GB2312"/>
          <w:kern w:val="2"/>
          <w:sz w:val="32"/>
          <w:szCs w:val="32"/>
        </w:rPr>
        <w:t>公用经费51.2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pPr>
        <w:pStyle w:val="12"/>
        <w:spacing w:before="0" w:line="360" w:lineRule="auto"/>
        <w:ind w:firstLine="640" w:firstLineChars="200"/>
        <w:rPr>
          <w:rFonts w:hAnsi="黑体" w:cs="Times New Roman"/>
          <w:kern w:val="2"/>
          <w:sz w:val="32"/>
          <w:szCs w:val="32"/>
        </w:rPr>
      </w:pPr>
      <w:r>
        <w:rPr>
          <w:rFonts w:hint="eastAsia" w:hAnsi="黑体"/>
          <w:kern w:val="2"/>
          <w:sz w:val="32"/>
          <w:szCs w:val="32"/>
          <w:lang w:eastAsia="zh-CN"/>
        </w:rPr>
        <w:t>壤塘县文化广播电视体育和旅游局202</w:t>
      </w:r>
      <w:r>
        <w:rPr>
          <w:rFonts w:hint="eastAsia" w:hAnsi="黑体"/>
          <w:kern w:val="2"/>
          <w:sz w:val="32"/>
          <w:szCs w:val="32"/>
          <w:lang w:val="en-US" w:eastAsia="zh-CN"/>
        </w:rPr>
        <w:t>6</w:t>
      </w:r>
      <w:r>
        <w:rPr>
          <w:rFonts w:hint="eastAsia" w:hAnsi="黑体"/>
          <w:kern w:val="2"/>
          <w:sz w:val="32"/>
          <w:szCs w:val="32"/>
          <w:lang w:eastAsia="zh-CN"/>
        </w:rPr>
        <w:t>年</w:t>
      </w:r>
      <w:r>
        <w:rPr>
          <w:rFonts w:hAnsi="黑体" w:cs="Times New Roman"/>
          <w:kern w:val="2"/>
          <w:sz w:val="32"/>
          <w:szCs w:val="32"/>
        </w:rPr>
        <w:t>“</w:t>
      </w:r>
      <w:r>
        <w:rPr>
          <w:rFonts w:hint="eastAsia" w:hAnsi="黑体"/>
          <w:kern w:val="2"/>
          <w:sz w:val="32"/>
          <w:szCs w:val="32"/>
        </w:rPr>
        <w:t>三公</w:t>
      </w:r>
      <w:r>
        <w:rPr>
          <w:rFonts w:hAnsi="黑体" w:cs="Times New Roman"/>
          <w:kern w:val="2"/>
          <w:sz w:val="32"/>
          <w:szCs w:val="32"/>
        </w:rPr>
        <w:t>”</w:t>
      </w:r>
      <w:r>
        <w:rPr>
          <w:rFonts w:hint="eastAsia" w:hAnsi="黑体"/>
          <w:kern w:val="2"/>
          <w:sz w:val="32"/>
          <w:szCs w:val="32"/>
        </w:rPr>
        <w:t>经费财政拨款预算数</w:t>
      </w:r>
      <w:r>
        <w:rPr>
          <w:rFonts w:hint="eastAsia" w:hAnsi="黑体"/>
          <w:kern w:val="2"/>
          <w:sz w:val="32"/>
          <w:szCs w:val="32"/>
          <w:lang w:val="en-US" w:eastAsia="zh-CN"/>
        </w:rPr>
        <w:t>8.8</w:t>
      </w:r>
      <w:r>
        <w:rPr>
          <w:rFonts w:hint="eastAsia" w:hAnsi="黑体"/>
          <w:kern w:val="2"/>
          <w:sz w:val="32"/>
          <w:szCs w:val="32"/>
        </w:rPr>
        <w:t>万元，其中：因公出国（境）经费</w:t>
      </w:r>
      <w:r>
        <w:rPr>
          <w:rFonts w:hint="eastAsia" w:hAnsi="黑体"/>
          <w:kern w:val="2"/>
          <w:sz w:val="32"/>
          <w:szCs w:val="32"/>
          <w:lang w:val="en-US" w:eastAsia="zh-CN"/>
        </w:rPr>
        <w:t>0</w:t>
      </w:r>
      <w:r>
        <w:rPr>
          <w:rFonts w:hint="eastAsia" w:hAnsi="黑体"/>
          <w:kern w:val="2"/>
          <w:sz w:val="32"/>
          <w:szCs w:val="32"/>
        </w:rPr>
        <w:t>万元，公务接待费</w:t>
      </w:r>
      <w:r>
        <w:rPr>
          <w:rFonts w:hint="eastAsia" w:hAnsi="黑体"/>
          <w:kern w:val="2"/>
          <w:sz w:val="32"/>
          <w:szCs w:val="32"/>
          <w:lang w:val="en-US" w:eastAsia="zh-CN"/>
        </w:rPr>
        <w:t>0.8</w:t>
      </w:r>
      <w:r>
        <w:rPr>
          <w:rFonts w:hint="eastAsia" w:hAnsi="黑体"/>
          <w:kern w:val="2"/>
          <w:sz w:val="32"/>
          <w:szCs w:val="32"/>
        </w:rPr>
        <w:t>万元，公务用车购置及运行维护费</w:t>
      </w:r>
      <w:r>
        <w:rPr>
          <w:rFonts w:hint="eastAsia" w:hAnsi="黑体"/>
          <w:kern w:val="2"/>
          <w:sz w:val="32"/>
          <w:szCs w:val="32"/>
          <w:lang w:val="en-US" w:eastAsia="zh-CN"/>
        </w:rPr>
        <w:t>8</w:t>
      </w:r>
      <w:r>
        <w:rPr>
          <w:rFonts w:hint="eastAsia" w:hAnsi="黑体"/>
          <w:kern w:val="2"/>
          <w:sz w:val="32"/>
          <w:szCs w:val="32"/>
        </w:rPr>
        <w:t>万元。</w:t>
      </w:r>
    </w:p>
    <w:p>
      <w:pPr>
        <w:pStyle w:val="12"/>
        <w:spacing w:before="0" w:line="360" w:lineRule="auto"/>
        <w:ind w:firstLine="640" w:firstLineChars="200"/>
        <w:rPr>
          <w:rFonts w:hint="eastAsia" w:hAnsi="黑体" w:eastAsia="仿宋_GB2312" w:cs="Times New Roman"/>
          <w:kern w:val="2"/>
          <w:sz w:val="32"/>
          <w:szCs w:val="32"/>
          <w:lang w:eastAsia="zh-CN"/>
        </w:rPr>
      </w:pPr>
      <w:r>
        <w:rPr>
          <w:rFonts w:hint="eastAsia" w:hAnsi="黑体"/>
          <w:kern w:val="2"/>
          <w:sz w:val="32"/>
          <w:szCs w:val="32"/>
        </w:rPr>
        <w:t>（一）</w:t>
      </w:r>
      <w:r>
        <w:rPr>
          <w:rFonts w:hint="eastAsia" w:hAnsi="黑体"/>
          <w:kern w:val="2"/>
          <w:sz w:val="32"/>
          <w:szCs w:val="32"/>
          <w:lang w:eastAsia="zh-CN"/>
        </w:rPr>
        <w:t>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rPr>
        <w:t>因公出国（境）经费</w:t>
      </w:r>
      <w:r>
        <w:rPr>
          <w:rFonts w:hint="eastAsia" w:hAnsi="黑体"/>
          <w:kern w:val="2"/>
          <w:sz w:val="32"/>
          <w:szCs w:val="32"/>
          <w:lang w:val="en-US" w:eastAsia="zh-CN"/>
        </w:rPr>
        <w:t>0</w:t>
      </w:r>
      <w:r>
        <w:rPr>
          <w:rFonts w:hint="eastAsia" w:hAnsi="黑体"/>
          <w:kern w:val="2"/>
          <w:sz w:val="32"/>
          <w:szCs w:val="32"/>
        </w:rPr>
        <w:t>元。较</w:t>
      </w:r>
      <w:r>
        <w:rPr>
          <w:rFonts w:hint="eastAsia" w:hAnsi="黑体"/>
          <w:kern w:val="2"/>
          <w:sz w:val="32"/>
          <w:szCs w:val="32"/>
          <w:lang w:eastAsia="zh-CN"/>
        </w:rPr>
        <w:t>202</w:t>
      </w:r>
      <w:r>
        <w:rPr>
          <w:rFonts w:hint="eastAsia" w:hAnsi="黑体"/>
          <w:kern w:val="2"/>
          <w:sz w:val="32"/>
          <w:szCs w:val="32"/>
          <w:lang w:val="en-US" w:eastAsia="zh-CN"/>
        </w:rPr>
        <w:t>5</w:t>
      </w:r>
      <w:r>
        <w:rPr>
          <w:rFonts w:hint="eastAsia" w:hAnsi="黑体"/>
          <w:kern w:val="2"/>
          <w:sz w:val="32"/>
          <w:szCs w:val="32"/>
          <w:lang w:eastAsia="zh-CN"/>
        </w:rPr>
        <w:t>年</w:t>
      </w:r>
      <w:r>
        <w:rPr>
          <w:rFonts w:hint="eastAsia" w:hAnsi="黑体"/>
          <w:kern w:val="2"/>
          <w:sz w:val="32"/>
          <w:szCs w:val="32"/>
        </w:rPr>
        <w:t>预算经费</w:t>
      </w:r>
      <w:r>
        <w:rPr>
          <w:rFonts w:hint="eastAsia" w:hAnsi="黑体"/>
          <w:kern w:val="2"/>
          <w:sz w:val="32"/>
          <w:szCs w:val="32"/>
          <w:lang w:val="en-US" w:eastAsia="zh-CN"/>
        </w:rPr>
        <w:t>0</w:t>
      </w:r>
      <w:r>
        <w:rPr>
          <w:rFonts w:hint="eastAsia" w:hAnsi="黑体"/>
          <w:kern w:val="2"/>
          <w:sz w:val="32"/>
          <w:szCs w:val="32"/>
        </w:rPr>
        <w:t>元</w:t>
      </w:r>
      <w:r>
        <w:rPr>
          <w:rFonts w:hint="eastAsia" w:hAnsi="黑体"/>
          <w:kern w:val="2"/>
          <w:sz w:val="32"/>
          <w:szCs w:val="32"/>
          <w:lang w:val="en-US" w:eastAsia="zh-CN"/>
        </w:rPr>
        <w:t>,未增长。</w:t>
      </w:r>
      <w:r>
        <w:rPr>
          <w:rFonts w:hAnsi="黑体"/>
          <w:kern w:val="2"/>
          <w:sz w:val="32"/>
          <w:szCs w:val="32"/>
        </w:rPr>
        <w:t xml:space="preserve"> </w:t>
      </w:r>
      <w:r>
        <w:rPr>
          <w:rFonts w:hAnsi="黑体"/>
          <w:kern w:val="2"/>
          <w:sz w:val="32"/>
          <w:szCs w:val="32"/>
        </w:rPr>
        <w:br w:type="textWrapping"/>
      </w:r>
      <w:r>
        <w:rPr>
          <w:rFonts w:hint="eastAsia" w:hAnsi="黑体"/>
          <w:kern w:val="2"/>
          <w:sz w:val="32"/>
          <w:szCs w:val="32"/>
        </w:rPr>
        <w:t>　　（二）</w:t>
      </w:r>
      <w:r>
        <w:rPr>
          <w:rFonts w:hint="eastAsia" w:hAnsi="黑体"/>
          <w:kern w:val="2"/>
          <w:sz w:val="32"/>
          <w:szCs w:val="32"/>
          <w:lang w:eastAsia="zh-CN"/>
        </w:rPr>
        <w:t>202</w:t>
      </w:r>
      <w:r>
        <w:rPr>
          <w:rFonts w:hint="eastAsia" w:hAnsi="黑体"/>
          <w:kern w:val="2"/>
          <w:sz w:val="32"/>
          <w:szCs w:val="32"/>
          <w:lang w:val="en-US" w:eastAsia="zh-CN"/>
        </w:rPr>
        <w:t>6</w:t>
      </w:r>
      <w:r>
        <w:rPr>
          <w:rFonts w:hint="eastAsia" w:hAnsi="黑体"/>
          <w:kern w:val="2"/>
          <w:sz w:val="32"/>
          <w:szCs w:val="32"/>
          <w:lang w:eastAsia="zh-CN"/>
        </w:rPr>
        <w:t>年公务接待</w:t>
      </w:r>
      <w:r>
        <w:rPr>
          <w:rFonts w:hint="eastAsia" w:hAnsi="黑体"/>
          <w:kern w:val="2"/>
          <w:sz w:val="32"/>
          <w:szCs w:val="32"/>
        </w:rPr>
        <w:t>经费</w:t>
      </w:r>
      <w:r>
        <w:rPr>
          <w:rFonts w:hint="eastAsia" w:hAnsi="黑体"/>
          <w:kern w:val="2"/>
          <w:sz w:val="32"/>
          <w:szCs w:val="32"/>
          <w:lang w:val="en-US" w:eastAsia="zh-CN"/>
        </w:rPr>
        <w:t>0.8</w:t>
      </w:r>
      <w:r>
        <w:rPr>
          <w:rFonts w:hint="eastAsia" w:hAnsi="黑体"/>
          <w:kern w:val="2"/>
          <w:sz w:val="32"/>
          <w:szCs w:val="32"/>
        </w:rPr>
        <w:t>万元。较</w:t>
      </w:r>
      <w:r>
        <w:rPr>
          <w:rFonts w:hint="eastAsia" w:hAnsi="黑体"/>
          <w:kern w:val="2"/>
          <w:sz w:val="32"/>
          <w:szCs w:val="32"/>
          <w:lang w:eastAsia="zh-CN"/>
        </w:rPr>
        <w:t>202</w:t>
      </w:r>
      <w:r>
        <w:rPr>
          <w:rFonts w:hint="eastAsia" w:hAnsi="黑体"/>
          <w:kern w:val="2"/>
          <w:sz w:val="32"/>
          <w:szCs w:val="32"/>
          <w:lang w:val="en-US" w:eastAsia="zh-CN"/>
        </w:rPr>
        <w:t>5</w:t>
      </w:r>
      <w:r>
        <w:rPr>
          <w:rFonts w:hint="eastAsia" w:hAnsi="黑体"/>
          <w:kern w:val="2"/>
          <w:sz w:val="32"/>
          <w:szCs w:val="32"/>
          <w:lang w:eastAsia="zh-CN"/>
        </w:rPr>
        <w:t>年</w:t>
      </w:r>
      <w:r>
        <w:rPr>
          <w:rFonts w:hint="eastAsia" w:hAnsi="黑体"/>
          <w:kern w:val="2"/>
          <w:sz w:val="32"/>
          <w:szCs w:val="32"/>
        </w:rPr>
        <w:t>预算经费</w:t>
      </w:r>
      <w:r>
        <w:rPr>
          <w:rFonts w:hint="eastAsia" w:hAnsi="黑体"/>
          <w:kern w:val="2"/>
          <w:sz w:val="32"/>
          <w:szCs w:val="32"/>
          <w:lang w:val="en-US" w:eastAsia="zh-CN"/>
        </w:rPr>
        <w:t>0.1</w:t>
      </w:r>
      <w:r>
        <w:rPr>
          <w:rFonts w:hint="eastAsia" w:hAnsi="黑体"/>
          <w:kern w:val="2"/>
          <w:sz w:val="32"/>
          <w:szCs w:val="32"/>
        </w:rPr>
        <w:t>万元</w:t>
      </w:r>
      <w:r>
        <w:rPr>
          <w:rFonts w:hint="eastAsia" w:hAnsi="黑体"/>
          <w:kern w:val="2"/>
          <w:sz w:val="32"/>
          <w:szCs w:val="32"/>
          <w:lang w:eastAsia="zh-CN"/>
        </w:rPr>
        <w:t>，增加</w:t>
      </w:r>
      <w:r>
        <w:rPr>
          <w:rFonts w:hint="eastAsia" w:hAnsi="黑体"/>
          <w:kern w:val="2"/>
          <w:sz w:val="32"/>
          <w:szCs w:val="32"/>
          <w:lang w:val="en-US" w:eastAsia="zh-CN"/>
        </w:rPr>
        <w:t>70</w:t>
      </w:r>
      <w:r>
        <w:rPr>
          <w:rFonts w:hAnsi="黑体"/>
          <w:kern w:val="2"/>
          <w:sz w:val="32"/>
          <w:szCs w:val="32"/>
        </w:rPr>
        <w:t>%</w:t>
      </w:r>
      <w:r>
        <w:rPr>
          <w:rFonts w:hint="eastAsia" w:hAnsi="黑体"/>
          <w:kern w:val="2"/>
          <w:sz w:val="32"/>
          <w:szCs w:val="32"/>
        </w:rPr>
        <w:t>，</w:t>
      </w:r>
      <w:r>
        <w:rPr>
          <w:rFonts w:hint="eastAsia" w:hAnsi="黑体"/>
          <w:kern w:val="2"/>
          <w:sz w:val="32"/>
          <w:szCs w:val="32"/>
          <w:lang w:eastAsia="zh-CN"/>
        </w:rPr>
        <w:t>主要原因</w:t>
      </w:r>
      <w:r>
        <w:rPr>
          <w:rFonts w:hint="eastAsia" w:hAnsi="黑体"/>
          <w:kern w:val="2"/>
          <w:sz w:val="32"/>
          <w:szCs w:val="32"/>
        </w:rPr>
        <w:t>：</w:t>
      </w:r>
      <w:r>
        <w:rPr>
          <w:rFonts w:hint="eastAsia" w:hAnsi="黑体"/>
          <w:kern w:val="2"/>
          <w:sz w:val="32"/>
          <w:szCs w:val="32"/>
          <w:lang w:eastAsia="zh-CN"/>
        </w:rPr>
        <w:t>公务接待</w:t>
      </w:r>
      <w:bookmarkStart w:id="0" w:name="_GoBack"/>
      <w:bookmarkEnd w:id="0"/>
      <w:r>
        <w:rPr>
          <w:rFonts w:hint="eastAsia" w:hAnsi="黑体"/>
          <w:kern w:val="2"/>
          <w:sz w:val="32"/>
          <w:szCs w:val="32"/>
          <w:lang w:eastAsia="zh-CN"/>
        </w:rPr>
        <w:t>费进行了适当增加。</w:t>
      </w:r>
    </w:p>
    <w:p>
      <w:pPr>
        <w:pStyle w:val="12"/>
        <w:spacing w:before="0" w:line="360" w:lineRule="auto"/>
        <w:ind w:firstLine="640" w:firstLineChars="200"/>
        <w:rPr>
          <w:rFonts w:hint="eastAsia" w:hAnsi="黑体"/>
          <w:kern w:val="2"/>
          <w:sz w:val="32"/>
          <w:szCs w:val="32"/>
          <w:lang w:val="en-US" w:eastAsia="zh-CN"/>
        </w:rPr>
      </w:pPr>
      <w:r>
        <w:rPr>
          <w:rFonts w:hint="eastAsia" w:hAnsi="黑体"/>
          <w:kern w:val="2"/>
          <w:sz w:val="32"/>
          <w:szCs w:val="32"/>
        </w:rPr>
        <w:t>（三）</w:t>
      </w:r>
      <w:r>
        <w:rPr>
          <w:rFonts w:hint="eastAsia" w:hAnsi="黑体"/>
          <w:kern w:val="2"/>
          <w:sz w:val="32"/>
          <w:szCs w:val="32"/>
          <w:lang w:eastAsia="zh-CN"/>
        </w:rPr>
        <w:t>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rPr>
        <w:t>公务用车购置及运行维护费</w:t>
      </w:r>
      <w:r>
        <w:rPr>
          <w:rFonts w:hint="eastAsia" w:hAnsi="黑体"/>
          <w:kern w:val="2"/>
          <w:sz w:val="32"/>
          <w:szCs w:val="32"/>
          <w:lang w:val="en-US" w:eastAsia="zh-CN"/>
        </w:rPr>
        <w:t>8</w:t>
      </w:r>
      <w:r>
        <w:rPr>
          <w:rFonts w:hint="eastAsia" w:hAnsi="黑体"/>
          <w:kern w:val="2"/>
          <w:sz w:val="32"/>
          <w:szCs w:val="32"/>
        </w:rPr>
        <w:t>万元。较</w:t>
      </w:r>
      <w:r>
        <w:rPr>
          <w:rFonts w:hint="eastAsia" w:hAnsi="黑体"/>
          <w:kern w:val="2"/>
          <w:sz w:val="32"/>
          <w:szCs w:val="32"/>
          <w:lang w:eastAsia="zh-CN"/>
        </w:rPr>
        <w:t>202</w:t>
      </w:r>
      <w:r>
        <w:rPr>
          <w:rFonts w:hint="eastAsia" w:hAnsi="黑体"/>
          <w:kern w:val="2"/>
          <w:sz w:val="32"/>
          <w:szCs w:val="32"/>
          <w:lang w:val="en-US" w:eastAsia="zh-CN"/>
        </w:rPr>
        <w:t>5</w:t>
      </w:r>
      <w:r>
        <w:rPr>
          <w:rFonts w:hint="eastAsia" w:hAnsi="黑体"/>
          <w:kern w:val="2"/>
          <w:sz w:val="32"/>
          <w:szCs w:val="32"/>
          <w:lang w:eastAsia="zh-CN"/>
        </w:rPr>
        <w:t>年</w:t>
      </w:r>
      <w:r>
        <w:rPr>
          <w:rFonts w:hint="eastAsia" w:hAnsi="黑体"/>
          <w:kern w:val="2"/>
          <w:sz w:val="32"/>
          <w:szCs w:val="32"/>
        </w:rPr>
        <w:t>预算经费</w:t>
      </w:r>
      <w:r>
        <w:rPr>
          <w:rFonts w:hint="eastAsia" w:hAnsi="黑体"/>
          <w:kern w:val="2"/>
          <w:sz w:val="32"/>
          <w:szCs w:val="32"/>
          <w:lang w:val="en-US" w:eastAsia="zh-CN"/>
        </w:rPr>
        <w:t>8</w:t>
      </w:r>
      <w:r>
        <w:rPr>
          <w:rFonts w:hint="eastAsia" w:hAnsi="黑体"/>
          <w:kern w:val="2"/>
          <w:sz w:val="32"/>
          <w:szCs w:val="32"/>
        </w:rPr>
        <w:t>万元</w:t>
      </w:r>
      <w:r>
        <w:rPr>
          <w:rFonts w:hint="eastAsia" w:hAnsi="黑体"/>
          <w:kern w:val="2"/>
          <w:sz w:val="32"/>
          <w:szCs w:val="32"/>
          <w:lang w:eastAsia="zh-CN"/>
        </w:rPr>
        <w:t>，</w:t>
      </w:r>
      <w:r>
        <w:rPr>
          <w:rFonts w:hint="eastAsia" w:hAnsi="黑体"/>
          <w:kern w:val="2"/>
          <w:sz w:val="32"/>
          <w:szCs w:val="32"/>
          <w:lang w:val="en-US" w:eastAsia="zh-CN"/>
        </w:rPr>
        <w:t>未增长。</w:t>
      </w:r>
    </w:p>
    <w:p>
      <w:pPr>
        <w:pStyle w:val="12"/>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12"/>
        <w:spacing w:before="0" w:line="360" w:lineRule="auto"/>
        <w:ind w:firstLine="640" w:firstLineChars="200"/>
        <w:rPr>
          <w:rFonts w:hint="eastAsia" w:hAnsi="黑体" w:cs="Times New Roman"/>
          <w:kern w:val="2"/>
          <w:sz w:val="32"/>
          <w:szCs w:val="32"/>
        </w:rPr>
      </w:pPr>
      <w:r>
        <w:rPr>
          <w:rFonts w:hint="eastAsia" w:hAnsi="黑体" w:cs="Times New Roman"/>
          <w:kern w:val="2"/>
          <w:sz w:val="32"/>
          <w:szCs w:val="32"/>
          <w:lang w:eastAsia="zh-CN"/>
        </w:rPr>
        <w:t>壤塘县文化广播电视体育和旅游局202</w:t>
      </w:r>
      <w:r>
        <w:rPr>
          <w:rFonts w:hint="eastAsia" w:hAnsi="黑体" w:cs="Times New Roman"/>
          <w:kern w:val="2"/>
          <w:sz w:val="32"/>
          <w:szCs w:val="32"/>
          <w:lang w:val="en-US" w:eastAsia="zh-CN"/>
        </w:rPr>
        <w:t>6</w:t>
      </w:r>
      <w:r>
        <w:rPr>
          <w:rFonts w:hint="eastAsia" w:hAnsi="黑体" w:cs="Times New Roman"/>
          <w:kern w:val="2"/>
          <w:sz w:val="32"/>
          <w:szCs w:val="32"/>
          <w:lang w:eastAsia="zh-CN"/>
        </w:rPr>
        <w:t>年</w:t>
      </w:r>
      <w:r>
        <w:rPr>
          <w:rFonts w:hint="eastAsia" w:hAnsi="黑体" w:cs="Times New Roman"/>
          <w:kern w:val="2"/>
          <w:sz w:val="32"/>
          <w:szCs w:val="32"/>
        </w:rPr>
        <w:t>政府性基金预算拨款安排的支出</w:t>
      </w:r>
      <w:r>
        <w:rPr>
          <w:rFonts w:hint="eastAsia" w:hAnsi="黑体" w:cs="Times New Roman"/>
          <w:kern w:val="2"/>
          <w:sz w:val="32"/>
          <w:szCs w:val="32"/>
          <w:lang w:val="en-US" w:eastAsia="zh-CN"/>
        </w:rPr>
        <w:t>0</w:t>
      </w:r>
      <w:r>
        <w:rPr>
          <w:rFonts w:hint="eastAsia" w:hAnsi="黑体" w:cs="Times New Roman"/>
          <w:kern w:val="2"/>
          <w:sz w:val="32"/>
          <w:szCs w:val="32"/>
        </w:rPr>
        <w:t>万元。较</w:t>
      </w:r>
      <w:r>
        <w:rPr>
          <w:rFonts w:hint="eastAsia" w:hAnsi="黑体" w:cs="Times New Roman"/>
          <w:kern w:val="2"/>
          <w:sz w:val="32"/>
          <w:szCs w:val="32"/>
          <w:lang w:eastAsia="zh-CN"/>
        </w:rPr>
        <w:t>202</w:t>
      </w:r>
      <w:r>
        <w:rPr>
          <w:rFonts w:hint="eastAsia" w:hAnsi="黑体" w:cs="Times New Roman"/>
          <w:kern w:val="2"/>
          <w:sz w:val="32"/>
          <w:szCs w:val="32"/>
          <w:lang w:val="en-US" w:eastAsia="zh-CN"/>
        </w:rPr>
        <w:t>5</w:t>
      </w:r>
      <w:r>
        <w:rPr>
          <w:rFonts w:hint="eastAsia" w:hAnsi="黑体" w:cs="Times New Roman"/>
          <w:kern w:val="2"/>
          <w:sz w:val="32"/>
          <w:szCs w:val="32"/>
          <w:lang w:eastAsia="zh-CN"/>
        </w:rPr>
        <w:t>年</w:t>
      </w:r>
      <w:r>
        <w:rPr>
          <w:rFonts w:hint="eastAsia" w:hAnsi="黑体" w:cs="Times New Roman"/>
          <w:kern w:val="2"/>
          <w:sz w:val="32"/>
          <w:szCs w:val="32"/>
        </w:rPr>
        <w:t>预算经费</w:t>
      </w:r>
      <w:r>
        <w:rPr>
          <w:rFonts w:hint="eastAsia" w:hAnsi="黑体" w:cs="Times New Roman"/>
          <w:kern w:val="2"/>
          <w:sz w:val="32"/>
          <w:szCs w:val="32"/>
          <w:lang w:val="en-US" w:eastAsia="zh-CN"/>
        </w:rPr>
        <w:t>0</w:t>
      </w:r>
      <w:r>
        <w:rPr>
          <w:rFonts w:hint="eastAsia" w:hAnsi="黑体" w:cs="Times New Roman"/>
          <w:kern w:val="2"/>
          <w:sz w:val="32"/>
          <w:szCs w:val="32"/>
        </w:rPr>
        <w:t>万元</w:t>
      </w:r>
      <w:r>
        <w:rPr>
          <w:rFonts w:hint="eastAsia" w:hAnsi="黑体" w:cs="Times New Roman"/>
          <w:kern w:val="2"/>
          <w:sz w:val="32"/>
          <w:szCs w:val="32"/>
          <w:lang w:eastAsia="zh-CN"/>
        </w:rPr>
        <w:t>，未变动</w:t>
      </w:r>
      <w:r>
        <w:rPr>
          <w:rFonts w:hint="eastAsia" w:hAnsi="黑体" w:cs="Times New Roman"/>
          <w:kern w:val="2"/>
          <w:sz w:val="32"/>
          <w:szCs w:val="32"/>
        </w:rPr>
        <w:t>。</w:t>
      </w:r>
    </w:p>
    <w:p>
      <w:pPr>
        <w:pStyle w:val="12"/>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pStyle w:val="12"/>
        <w:spacing w:before="0" w:line="360" w:lineRule="auto"/>
        <w:ind w:firstLine="320" w:firstLineChars="200"/>
        <w:rPr>
          <w:rFonts w:ascii="楷体_GB2312" w:hAnsi="黑体" w:eastAsia="楷体_GB2312" w:cs="Times New Roman"/>
          <w:b/>
          <w:bCs/>
          <w:kern w:val="2"/>
          <w:sz w:val="32"/>
          <w:szCs w:val="32"/>
        </w:rPr>
      </w:pPr>
      <w:r>
        <w:rPr>
          <w:rFonts w:hint="eastAsia" w:ascii="??" w:hAnsi="??" w:eastAsia="宋体" w:cs="宋体"/>
          <w:sz w:val="16"/>
          <w:szCs w:val="16"/>
        </w:rPr>
        <w:t>　</w:t>
      </w:r>
      <w:r>
        <w:rPr>
          <w:rFonts w:hint="eastAsia" w:ascii="楷体_GB2312" w:hAnsi="黑体" w:eastAsia="楷体_GB2312" w:cs="楷体_GB2312"/>
          <w:b/>
          <w:bCs/>
          <w:kern w:val="2"/>
          <w:sz w:val="32"/>
          <w:szCs w:val="32"/>
        </w:rPr>
        <w:t>（一）机关运行经费</w:t>
      </w:r>
      <w:r>
        <w:rPr>
          <w:rFonts w:hAnsi="黑体" w:cs="Times New Roman"/>
          <w:kern w:val="2"/>
          <w:sz w:val="32"/>
          <w:szCs w:val="32"/>
        </w:rPr>
        <w:br w:type="textWrapping"/>
      </w:r>
      <w:r>
        <w:rPr>
          <w:rFonts w:hAnsi="黑体"/>
          <w:kern w:val="2"/>
          <w:sz w:val="32"/>
          <w:szCs w:val="32"/>
        </w:rPr>
        <w:t xml:space="preserve">   </w:t>
      </w:r>
      <w:r>
        <w:rPr>
          <w:rFonts w:hint="eastAsia" w:hAnsi="黑体"/>
          <w:kern w:val="2"/>
          <w:sz w:val="32"/>
          <w:szCs w:val="32"/>
          <w:lang w:eastAsia="zh-CN"/>
        </w:rPr>
        <w:t>壤塘县文化广播电视体育和旅游局202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rPr>
        <w:t>机关运行经费财政拨款预算为</w:t>
      </w:r>
      <w:r>
        <w:rPr>
          <w:rFonts w:hint="eastAsia" w:hAnsi="黑体"/>
          <w:kern w:val="2"/>
          <w:sz w:val="32"/>
          <w:szCs w:val="32"/>
          <w:lang w:val="en-US" w:eastAsia="zh-CN"/>
        </w:rPr>
        <w:t>51.2</w:t>
      </w:r>
      <w:r>
        <w:rPr>
          <w:rFonts w:hint="eastAsia" w:hAnsi="黑体"/>
          <w:kern w:val="2"/>
          <w:sz w:val="32"/>
          <w:szCs w:val="32"/>
        </w:rPr>
        <w:t>万元，比</w:t>
      </w:r>
      <w:r>
        <w:rPr>
          <w:rFonts w:hint="eastAsia" w:hAnsi="黑体"/>
          <w:kern w:val="2"/>
          <w:sz w:val="32"/>
          <w:szCs w:val="32"/>
          <w:lang w:eastAsia="zh-CN"/>
        </w:rPr>
        <w:t>202</w:t>
      </w:r>
      <w:r>
        <w:rPr>
          <w:rFonts w:hint="eastAsia" w:hAnsi="黑体"/>
          <w:kern w:val="2"/>
          <w:sz w:val="32"/>
          <w:szCs w:val="32"/>
          <w:lang w:val="en-US" w:eastAsia="zh-CN"/>
        </w:rPr>
        <w:t>5</w:t>
      </w:r>
      <w:r>
        <w:rPr>
          <w:rFonts w:hint="eastAsia" w:hAnsi="黑体"/>
          <w:kern w:val="2"/>
          <w:sz w:val="32"/>
          <w:szCs w:val="32"/>
          <w:lang w:eastAsia="zh-CN"/>
        </w:rPr>
        <w:t>年</w:t>
      </w:r>
      <w:r>
        <w:rPr>
          <w:rFonts w:hint="eastAsia" w:hAnsi="黑体"/>
          <w:kern w:val="2"/>
          <w:sz w:val="32"/>
          <w:szCs w:val="32"/>
        </w:rPr>
        <w:t>预算增加</w:t>
      </w:r>
      <w:r>
        <w:rPr>
          <w:rFonts w:hint="eastAsia" w:hAnsi="黑体"/>
          <w:color w:val="auto"/>
          <w:kern w:val="2"/>
          <w:sz w:val="32"/>
          <w:szCs w:val="32"/>
          <w:lang w:val="en-US" w:eastAsia="zh-CN"/>
        </w:rPr>
        <w:t>3.6</w:t>
      </w:r>
      <w:r>
        <w:rPr>
          <w:rFonts w:hint="eastAsia" w:hAnsi="黑体"/>
          <w:kern w:val="2"/>
          <w:sz w:val="32"/>
          <w:szCs w:val="32"/>
        </w:rPr>
        <w:t>万元，</w:t>
      </w:r>
      <w:r>
        <w:rPr>
          <w:rFonts w:hint="eastAsia" w:hAnsi="黑体"/>
          <w:kern w:val="2"/>
          <w:sz w:val="32"/>
          <w:szCs w:val="32"/>
          <w:lang w:val="en-US" w:eastAsia="zh-CN"/>
        </w:rPr>
        <w:t>增加7.56</w:t>
      </w:r>
      <w:r>
        <w:rPr>
          <w:rFonts w:hAnsi="黑体"/>
          <w:kern w:val="2"/>
          <w:sz w:val="32"/>
          <w:szCs w:val="32"/>
        </w:rPr>
        <w:t>%</w:t>
      </w:r>
      <w:r>
        <w:rPr>
          <w:rFonts w:hint="eastAsia" w:hAnsi="黑体"/>
          <w:kern w:val="2"/>
          <w:sz w:val="32"/>
          <w:szCs w:val="32"/>
        </w:rPr>
        <w:t>。</w:t>
      </w:r>
      <w:r>
        <w:rPr>
          <w:rFonts w:hAnsi="黑体" w:cs="Times New Roman"/>
          <w:kern w:val="2"/>
          <w:sz w:val="32"/>
          <w:szCs w:val="32"/>
        </w:rPr>
        <w:br w:type="textWrapping"/>
      </w:r>
      <w:r>
        <w:rPr>
          <w:rFonts w:hint="eastAsia" w:hAnsi="黑体"/>
          <w:kern w:val="2"/>
          <w:sz w:val="32"/>
          <w:szCs w:val="32"/>
        </w:rPr>
        <w:t>　</w:t>
      </w:r>
      <w:r>
        <w:rPr>
          <w:rFonts w:hint="eastAsia" w:ascii="楷体_GB2312" w:hAnsi="黑体" w:eastAsia="楷体_GB2312" w:cs="楷体_GB2312"/>
          <w:b/>
          <w:bCs/>
          <w:kern w:val="2"/>
          <w:sz w:val="32"/>
          <w:szCs w:val="32"/>
        </w:rPr>
        <w:t>（二）政府采购情况</w:t>
      </w:r>
    </w:p>
    <w:p>
      <w:pPr>
        <w:pStyle w:val="12"/>
        <w:spacing w:before="0" w:line="360" w:lineRule="auto"/>
        <w:ind w:firstLine="640" w:firstLineChars="200"/>
        <w:rPr>
          <w:rFonts w:hint="eastAsia" w:hAnsi="黑体" w:eastAsia="仿宋_GB2312" w:cs="Times New Roman"/>
          <w:kern w:val="2"/>
          <w:sz w:val="32"/>
          <w:szCs w:val="32"/>
          <w:lang w:val="en-US" w:eastAsia="zh-CN"/>
        </w:rPr>
      </w:pPr>
      <w:r>
        <w:rPr>
          <w:rFonts w:hint="eastAsia" w:hAnsi="黑体"/>
          <w:kern w:val="2"/>
          <w:sz w:val="32"/>
          <w:szCs w:val="32"/>
          <w:lang w:eastAsia="zh-CN"/>
        </w:rPr>
        <w:t>202</w:t>
      </w:r>
      <w:r>
        <w:rPr>
          <w:rFonts w:hint="eastAsia" w:hAnsi="黑体"/>
          <w:kern w:val="2"/>
          <w:sz w:val="32"/>
          <w:szCs w:val="32"/>
          <w:lang w:val="en-US" w:eastAsia="zh-CN"/>
        </w:rPr>
        <w:t>6</w:t>
      </w:r>
      <w:r>
        <w:rPr>
          <w:rFonts w:hint="eastAsia" w:hAnsi="黑体"/>
          <w:kern w:val="2"/>
          <w:sz w:val="32"/>
          <w:szCs w:val="32"/>
          <w:lang w:eastAsia="zh-CN"/>
        </w:rPr>
        <w:t>年壤塘县文化广播电视体育和旅游局</w:t>
      </w:r>
      <w:r>
        <w:rPr>
          <w:rFonts w:hint="eastAsia" w:hAnsi="黑体"/>
          <w:kern w:val="2"/>
          <w:sz w:val="32"/>
          <w:szCs w:val="32"/>
        </w:rPr>
        <w:t>安排政府采购预算</w:t>
      </w:r>
      <w:r>
        <w:rPr>
          <w:rFonts w:hint="eastAsia" w:hAnsi="黑体"/>
          <w:kern w:val="2"/>
          <w:sz w:val="32"/>
          <w:szCs w:val="32"/>
          <w:lang w:val="en-US" w:eastAsia="zh-CN"/>
        </w:rPr>
        <w:t>0</w:t>
      </w:r>
      <w:r>
        <w:rPr>
          <w:rFonts w:hint="eastAsia" w:hAnsi="黑体"/>
          <w:kern w:val="2"/>
          <w:sz w:val="32"/>
          <w:szCs w:val="32"/>
        </w:rPr>
        <w:t>万元</w:t>
      </w:r>
      <w:r>
        <w:rPr>
          <w:rFonts w:hint="eastAsia" w:hAnsi="黑体"/>
          <w:kern w:val="2"/>
          <w:sz w:val="32"/>
          <w:szCs w:val="32"/>
          <w:lang w:eastAsia="zh-CN"/>
        </w:rPr>
        <w:t>。</w:t>
      </w:r>
    </w:p>
    <w:p>
      <w:pPr>
        <w:pStyle w:val="12"/>
        <w:numPr>
          <w:ilvl w:val="0"/>
          <w:numId w:val="2"/>
        </w:numPr>
        <w:spacing w:before="0" w:line="360" w:lineRule="auto"/>
        <w:ind w:firstLine="321" w:firstLineChars="100"/>
        <w:rPr>
          <w:rFonts w:hint="eastAsia"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国有资产占有使用情况</w:t>
      </w:r>
    </w:p>
    <w:p>
      <w:pPr>
        <w:pStyle w:val="12"/>
        <w:numPr>
          <w:ilvl w:val="0"/>
          <w:numId w:val="0"/>
        </w:numPr>
        <w:spacing w:before="0" w:line="360" w:lineRule="auto"/>
        <w:ind w:firstLine="643" w:firstLineChars="200"/>
        <w:rPr>
          <w:rFonts w:ascii="黑体" w:eastAsia="黑体"/>
          <w:sz w:val="32"/>
          <w:szCs w:val="32"/>
        </w:rPr>
      </w:pPr>
      <w:r>
        <w:rPr>
          <w:rFonts w:hint="eastAsia" w:ascii="楷体_GB2312" w:hAnsi="黑体" w:eastAsia="楷体_GB2312" w:cs="Times New Roman"/>
          <w:b/>
          <w:bCs/>
          <w:kern w:val="2"/>
          <w:sz w:val="32"/>
          <w:szCs w:val="32"/>
          <w:lang w:eastAsia="zh-CN"/>
        </w:rPr>
        <w:t>无</w:t>
      </w:r>
      <w:r>
        <w:rPr>
          <w:rFonts w:ascii="楷体_GB2312" w:hAnsi="黑体" w:eastAsia="楷体_GB2312" w:cs="Times New Roman"/>
          <w:b/>
          <w:bCs/>
          <w:kern w:val="2"/>
          <w:sz w:val="32"/>
          <w:szCs w:val="32"/>
        </w:rPr>
        <w:br w:type="textWrapping"/>
      </w:r>
      <w:r>
        <w:rPr>
          <w:rFonts w:hint="eastAsia" w:ascii="楷体_GB2312" w:hAnsi="黑体" w:eastAsia="楷体_GB2312" w:cs="楷体_GB2312"/>
          <w:b/>
          <w:bCs/>
          <w:kern w:val="2"/>
          <w:sz w:val="32"/>
          <w:szCs w:val="32"/>
        </w:rPr>
        <w:t>　（四）绩效目标设置情况</w:t>
      </w:r>
      <w:r>
        <w:rPr>
          <w:rFonts w:hAnsi="黑体" w:cs="Times New Roman"/>
          <w:kern w:val="2"/>
          <w:sz w:val="32"/>
          <w:szCs w:val="32"/>
        </w:rPr>
        <w:br w:type="textWrapping"/>
      </w:r>
      <w:r>
        <w:rPr>
          <w:rFonts w:hint="eastAsia" w:hAnsi="黑体"/>
          <w:kern w:val="2"/>
          <w:sz w:val="32"/>
          <w:szCs w:val="32"/>
        </w:rPr>
        <w:t>　　</w:t>
      </w:r>
      <w:r>
        <w:rPr>
          <w:rFonts w:hint="eastAsia" w:hAnsi="黑体"/>
          <w:kern w:val="2"/>
          <w:sz w:val="32"/>
          <w:szCs w:val="32"/>
          <w:lang w:eastAsia="zh-CN"/>
        </w:rPr>
        <w:t>202</w:t>
      </w:r>
      <w:r>
        <w:rPr>
          <w:rFonts w:hint="eastAsia" w:hAnsi="黑体"/>
          <w:kern w:val="2"/>
          <w:sz w:val="32"/>
          <w:szCs w:val="32"/>
          <w:lang w:val="en-US" w:eastAsia="zh-CN"/>
        </w:rPr>
        <w:t>6</w:t>
      </w:r>
      <w:r>
        <w:rPr>
          <w:rFonts w:hint="eastAsia" w:hAnsi="黑体"/>
          <w:kern w:val="2"/>
          <w:sz w:val="32"/>
          <w:szCs w:val="32"/>
          <w:lang w:eastAsia="zh-CN"/>
        </w:rPr>
        <w:t>年壤塘县文化广播电视体育和旅游局</w:t>
      </w:r>
      <w:r>
        <w:rPr>
          <w:rFonts w:hint="eastAsia" w:hAnsi="黑体"/>
          <w:kern w:val="2"/>
          <w:sz w:val="32"/>
          <w:szCs w:val="32"/>
        </w:rPr>
        <w:t>通用项目和专用项目均按要求实行绩效目标管理，涉及一般公共预算当年拨款1300.41万元。</w:t>
      </w:r>
    </w:p>
    <w:p>
      <w:pPr>
        <w:pStyle w:val="12"/>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5027514"/>
    <w:multiLevelType w:val="singleLevel"/>
    <w:tmpl w:val="95027514"/>
    <w:lvl w:ilvl="0" w:tentative="0">
      <w:start w:val="3"/>
      <w:numFmt w:val="chineseCounting"/>
      <w:suff w:val="nothing"/>
      <w:lvlText w:val="（%1）"/>
      <w:lvlJc w:val="left"/>
      <w:rPr>
        <w:rFonts w:hint="eastAsia"/>
      </w:rPr>
    </w:lvl>
  </w:abstractNum>
  <w:abstractNum w:abstractNumId="1">
    <w:nsid w:val="095EF7F7"/>
    <w:multiLevelType w:val="singleLevel"/>
    <w:tmpl w:val="095EF7F7"/>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2A209F3"/>
    <w:rsid w:val="1C136495"/>
    <w:rsid w:val="2C2B6B90"/>
    <w:rsid w:val="38ED44C0"/>
    <w:rsid w:val="3F5F1788"/>
    <w:rsid w:val="4D04165B"/>
    <w:rsid w:val="655C2C65"/>
    <w:rsid w:val="65A74E21"/>
    <w:rsid w:val="791566CC"/>
    <w:rsid w:val="7F525FCB"/>
    <w:rsid w:val="7F7D131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after="120" w:afterLines="0" w:afterAutospacing="0"/>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10">
    <w:name w:val="Strong"/>
    <w:basedOn w:val="9"/>
    <w:qFormat/>
    <w:uiPriority w:val="0"/>
    <w:rPr>
      <w:rFonts w:ascii="Calibri" w:hAnsi="Calibri" w:eastAsia="楷体_GB2312"/>
      <w:b/>
      <w:sz w:val="32"/>
    </w:rPr>
  </w:style>
  <w:style w:type="paragraph" w:styleId="11">
    <w:name w:val="List Paragraph"/>
    <w:basedOn w:val="1"/>
    <w:qFormat/>
    <w:uiPriority w:val="0"/>
    <w:pPr>
      <w:ind w:firstLine="200" w:firstLineChars="200"/>
    </w:pPr>
  </w:style>
  <w:style w:type="paragraph" w:customStyle="1" w:styleId="12">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15</Pages>
  <Words>6005</Words>
  <Characters>6488</Characters>
  <Lines>124</Lines>
  <Paragraphs>51</Paragraphs>
  <TotalTime>89</TotalTime>
  <ScaleCrop>false</ScaleCrop>
  <LinksUpToDate>false</LinksUpToDate>
  <CharactersWithSpaces>6556</CharactersWithSpaces>
  <Application>WPS Office_11.1.0.9584_F1E327BC-269C-435d-A152-05C5408002CA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Lenovo</cp:lastModifiedBy>
  <cp:lastPrinted>2018-01-30T09:39:00Z</cp:lastPrinted>
  <dcterms:modified xsi:type="dcterms:W3CDTF">2026-08-12T02:40:55Z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y fmtid="{D5CDD505-2E9C-101B-9397-08002B2CF9AE}" pid="3" name="KSOTemplateDocerSaveRecord">
    <vt:lpwstr>eyJoZGlkIjoiNDk0MTA5MGNjMWNlYjMzNjZiNGQyMTIxY2EzZGQ0ZDIiLCJ1c2VySWQiOiI4MjIyODQ3MjAifQ==</vt:lpwstr>
  </property>
  <property fmtid="{D5CDD505-2E9C-101B-9397-08002B2CF9AE}" pid="4" name="ICV">
    <vt:lpwstr>7A132A4E2AB5454C817C63049A2B776E_12</vt:lpwstr>
  </property>
</Properties>
</file>