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96597"/>
      <w:bookmarkStart w:id="3" w:name="_Toc25221"/>
      <w:bookmarkStart w:id="4" w:name="_Toc15377425"/>
      <w:bookmarkStart w:id="5" w:name="_Toc15378441"/>
      <w:bookmarkStart w:id="6" w:name="_Toc444"/>
      <w:bookmarkStart w:id="7" w:name="_Toc15377193"/>
      <w:bookmarkStart w:id="8" w:name="_Toc5744"/>
      <w:r>
        <w:rPr>
          <w:rFonts w:ascii="黑体" w:hAnsi="黑体" w:eastAsia="黑体"/>
          <w:color w:val="000000"/>
          <w:sz w:val="72"/>
          <w:szCs w:val="72"/>
        </w:rPr>
        <w:t>20</w:t>
      </w:r>
      <w:r>
        <w:rPr>
          <w:rFonts w:hint="eastAsia" w:ascii="黑体" w:hAnsi="黑体" w:eastAsia="黑体"/>
          <w:color w:val="000000"/>
          <w:sz w:val="72"/>
          <w:szCs w:val="72"/>
          <w:lang w:val="en-US" w:eastAsia="zh-CN"/>
        </w:rPr>
        <w:t>20</w:t>
      </w:r>
      <w:r>
        <w:rPr>
          <w:rFonts w:hint="eastAsia" w:ascii="方正小标宋简体" w:hAnsi="宋体" w:eastAsia="方正小标宋简体"/>
          <w:color w:val="000000"/>
          <w:sz w:val="72"/>
          <w:szCs w:val="72"/>
        </w:rPr>
        <w:t>年度</w:t>
      </w:r>
      <w:bookmarkEnd w:id="1"/>
      <w:bookmarkEnd w:id="2"/>
      <w:bookmarkEnd w:id="3"/>
      <w:bookmarkEnd w:id="4"/>
      <w:bookmarkEnd w:id="5"/>
      <w:bookmarkEnd w:id="6"/>
      <w:bookmarkEnd w:id="7"/>
      <w:bookmarkEnd w:id="8"/>
    </w:p>
    <w:p>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9" w:name="_Toc15073"/>
      <w:bookmarkStart w:id="10" w:name="_Toc9084"/>
      <w:bookmarkStart w:id="11" w:name="_Toc7731"/>
      <w:bookmarkStart w:id="12" w:name="_Toc15396598"/>
      <w:bookmarkStart w:id="13" w:name="_Toc15378442"/>
      <w:bookmarkStart w:id="14" w:name="_Toc15377194"/>
      <w:bookmarkStart w:id="15" w:name="_Toc15377426"/>
      <w:bookmarkStart w:id="16" w:name="_Toc15396476"/>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壤塘县</w:t>
      </w:r>
      <w:bookmarkEnd w:id="9"/>
      <w:bookmarkEnd w:id="10"/>
      <w:bookmarkEnd w:id="11"/>
    </w:p>
    <w:bookmarkEnd w:id="0"/>
    <w:p>
      <w:pPr>
        <w:adjustRightInd w:val="0"/>
        <w:snapToGrid w:val="0"/>
        <w:spacing w:line="360" w:lineRule="auto"/>
        <w:jc w:val="center"/>
        <w:outlineLvl w:val="0"/>
        <w:rPr>
          <w:rFonts w:ascii="方正小标宋简体" w:hAnsi="宋体" w:eastAsia="方正小标宋简体"/>
          <w:sz w:val="36"/>
          <w:szCs w:val="36"/>
        </w:rPr>
      </w:pPr>
      <w:bookmarkStart w:id="17" w:name="_Toc15306268"/>
      <w:bookmarkStart w:id="18" w:name="_Toc1857"/>
      <w:bookmarkStart w:id="19" w:name="_Toc17763"/>
      <w:bookmarkStart w:id="20" w:name="_Toc14833"/>
      <w:r>
        <w:rPr>
          <w:rFonts w:hint="eastAsia" w:ascii="方正小标宋简体" w:hAnsi="宋体" w:eastAsia="方正小标宋简体"/>
          <w:color w:val="000000"/>
          <w:sz w:val="72"/>
          <w:szCs w:val="72"/>
          <w:lang w:eastAsia="zh-CN"/>
        </w:rPr>
        <w:t>审计局</w:t>
      </w:r>
      <w:r>
        <w:rPr>
          <w:rFonts w:hint="eastAsia" w:ascii="方正小标宋简体" w:hAnsi="宋体" w:eastAsia="方正小标宋简体"/>
          <w:color w:val="000000"/>
          <w:sz w:val="72"/>
          <w:szCs w:val="72"/>
        </w:rPr>
        <w:t>部门决算</w:t>
      </w:r>
      <w:bookmarkEnd w:id="12"/>
      <w:bookmarkEnd w:id="13"/>
      <w:bookmarkEnd w:id="14"/>
      <w:bookmarkEnd w:id="15"/>
      <w:bookmarkEnd w:id="16"/>
      <w:bookmarkEnd w:id="17"/>
      <w:bookmarkEnd w:id="18"/>
      <w:bookmarkEnd w:id="19"/>
      <w:bookmarkEnd w:id="20"/>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bookmarkStart w:id="159" w:name="_GoBack"/>
      <w:bookmarkEnd w:id="159"/>
      <w:r>
        <w:rPr>
          <w:rFonts w:ascii="方正小标宋简体" w:hAnsi="宋体" w:eastAsia="方正小标宋简体"/>
          <w:sz w:val="36"/>
          <w:szCs w:val="36"/>
        </w:rPr>
        <w:br w:type="page"/>
      </w:r>
    </w:p>
    <w:p>
      <w:pPr>
        <w:widowControl/>
        <w:jc w:val="center"/>
        <w:rPr>
          <w:rFonts w:ascii="黑体" w:hAnsi="黑体" w:eastAsia="黑体"/>
          <w:color w:val="000000"/>
          <w:sz w:val="48"/>
          <w:szCs w:val="48"/>
        </w:rPr>
      </w:pPr>
      <w:r>
        <w:rPr>
          <w:rFonts w:ascii="方正小标宋简体" w:hAnsi="宋体" w:eastAsia="方正小标宋简体"/>
          <w:sz w:val="36"/>
          <w:szCs w:val="36"/>
        </w:rPr>
        <w:fldChar w:fldCharType="begin"/>
      </w:r>
      <w:r>
        <w:rPr>
          <w:rFonts w:ascii="方正小标宋简体" w:hAnsi="宋体" w:eastAsia="方正小标宋简体"/>
          <w:sz w:val="36"/>
          <w:szCs w:val="36"/>
        </w:rPr>
        <w:instrText xml:space="preserve">TOC \o "1-3" \h \u </w:instrText>
      </w:r>
      <w:r>
        <w:rPr>
          <w:rFonts w:ascii="方正小标宋简体" w:hAnsi="宋体" w:eastAsia="方正小标宋简体"/>
          <w:sz w:val="36"/>
          <w:szCs w:val="36"/>
        </w:rPr>
        <w:fldChar w:fldCharType="separate"/>
      </w:r>
      <w:r>
        <w:rPr>
          <w:rFonts w:hint="eastAsia" w:ascii="黑体" w:hAnsi="黑体" w:eastAsia="黑体"/>
          <w:color w:val="000000"/>
          <w:sz w:val="48"/>
          <w:szCs w:val="48"/>
        </w:rPr>
        <w:t>目录</w:t>
      </w:r>
    </w:p>
    <w:p>
      <w:pPr>
        <w:pStyle w:val="10"/>
        <w:jc w:val="center"/>
        <w:rPr>
          <w:rFonts w:hAnsiTheme="minorHAnsi"/>
          <w:b w:val="0"/>
          <w:bCs w:val="0"/>
          <w:sz w:val="24"/>
          <w:szCs w:val="24"/>
        </w:rPr>
      </w:pPr>
      <w:r>
        <w:rPr>
          <w:rFonts w:hint="eastAsia" w:hAnsiTheme="minorHAnsi"/>
          <w:b w:val="0"/>
          <w:bCs w:val="0"/>
          <w:sz w:val="24"/>
          <w:szCs w:val="24"/>
        </w:rPr>
        <w:t>公开时间：2021年</w:t>
      </w:r>
      <w:r>
        <w:rPr>
          <w:rFonts w:hint="eastAsia" w:hAnsiTheme="minorHAnsi"/>
          <w:b w:val="0"/>
          <w:bCs w:val="0"/>
          <w:sz w:val="24"/>
          <w:szCs w:val="24"/>
          <w:lang w:val="en-US" w:eastAsia="zh-CN"/>
        </w:rPr>
        <w:t>10</w:t>
      </w:r>
      <w:r>
        <w:rPr>
          <w:rFonts w:hint="eastAsia" w:hAnsiTheme="minorHAnsi"/>
          <w:b w:val="0"/>
          <w:bCs w:val="0"/>
          <w:sz w:val="24"/>
          <w:szCs w:val="24"/>
        </w:rPr>
        <w:t xml:space="preserve"> 月</w:t>
      </w:r>
      <w:r>
        <w:rPr>
          <w:rFonts w:hint="eastAsia" w:hAnsiTheme="minorHAnsi"/>
          <w:b w:val="0"/>
          <w:bCs w:val="0"/>
          <w:sz w:val="24"/>
          <w:szCs w:val="24"/>
          <w:lang w:val="en-US" w:eastAsia="zh-CN"/>
        </w:rPr>
        <w:t>22</w:t>
      </w:r>
      <w:r>
        <w:rPr>
          <w:rFonts w:hint="eastAsia" w:hAnsiTheme="minorHAnsi"/>
          <w:b w:val="0"/>
          <w:bCs w:val="0"/>
          <w:sz w:val="24"/>
          <w:szCs w:val="24"/>
        </w:rPr>
        <w:t xml:space="preserve"> 日</w:t>
      </w:r>
    </w:p>
    <w:p>
      <w:pPr>
        <w:pStyle w:val="10"/>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_Toc3984 </w:instrText>
      </w:r>
      <w:r>
        <w:rPr>
          <w:rFonts w:ascii="方正小标宋简体" w:hAnsi="宋体" w:eastAsia="方正小标宋简体"/>
          <w:szCs w:val="36"/>
        </w:rP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_Toc3984 \h </w:instrText>
      </w:r>
      <w:r>
        <w:fldChar w:fldCharType="separate"/>
      </w:r>
      <w:r>
        <w:t>4</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_Toc3673 </w:instrText>
      </w:r>
      <w:r>
        <w:rPr>
          <w:rFonts w:ascii="方正小标宋简体" w:hAnsi="宋体" w:eastAsia="方正小标宋简体"/>
          <w:szCs w:val="36"/>
        </w:rPr>
        <w:fldChar w:fldCharType="separate"/>
      </w:r>
      <w:r>
        <w:rPr>
          <w:rFonts w:hint="eastAsia"/>
        </w:rPr>
        <w:t>一、基本职能及主要工作</w:t>
      </w:r>
      <w:r>
        <w:tab/>
      </w:r>
      <w:r>
        <w:fldChar w:fldCharType="begin"/>
      </w:r>
      <w:r>
        <w:instrText xml:space="preserve"> PAGEREF _Toc3673 \h </w:instrText>
      </w:r>
      <w:r>
        <w:fldChar w:fldCharType="separate"/>
      </w:r>
      <w:r>
        <w:t>4</w:t>
      </w:r>
      <w:r>
        <w:fldChar w:fldCharType="end"/>
      </w:r>
      <w:r>
        <w:rPr>
          <w:rFonts w:ascii="方正小标宋简体" w:hAnsi="宋体" w:eastAsia="方正小标宋简体"/>
          <w:szCs w:val="36"/>
        </w:rPr>
        <w:fldChar w:fldCharType="end"/>
      </w:r>
    </w:p>
    <w:p>
      <w:pPr>
        <w:pStyle w:val="7"/>
        <w:tabs>
          <w:tab w:val="right" w:leader="dot" w:pos="830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_Toc25727 </w:instrText>
      </w:r>
      <w:r>
        <w:rPr>
          <w:rFonts w:ascii="方正小标宋简体" w:hAnsi="宋体" w:eastAsia="方正小标宋简体"/>
          <w:szCs w:val="36"/>
        </w:rPr>
        <w:fldChar w:fldCharType="separate"/>
      </w:r>
      <w:r>
        <w:rPr>
          <w:rFonts w:hint="eastAsia" w:ascii="仿宋" w:hAnsi="仿宋" w:eastAsia="仿宋" w:cs="仿宋"/>
          <w:bCs/>
        </w:rPr>
        <w:t>（一）</w:t>
      </w:r>
      <w:r>
        <w:rPr>
          <w:rFonts w:hint="eastAsia" w:ascii="仿宋" w:hAnsi="仿宋" w:eastAsia="仿宋" w:cs="仿宋"/>
          <w:bCs/>
          <w:lang w:eastAsia="zh-CN"/>
        </w:rPr>
        <w:t>主要职能</w:t>
      </w:r>
      <w:r>
        <w:tab/>
      </w:r>
      <w:r>
        <w:fldChar w:fldCharType="begin"/>
      </w:r>
      <w:r>
        <w:instrText xml:space="preserve"> PAGEREF _Toc25727 \h </w:instrText>
      </w:r>
      <w:r>
        <w:fldChar w:fldCharType="separate"/>
      </w:r>
      <w:r>
        <w:t>4</w:t>
      </w:r>
      <w:r>
        <w:fldChar w:fldCharType="end"/>
      </w:r>
      <w:r>
        <w:rPr>
          <w:rFonts w:ascii="方正小标宋简体" w:hAnsi="宋体" w:eastAsia="方正小标宋简体"/>
          <w:szCs w:val="36"/>
        </w:rPr>
        <w:fldChar w:fldCharType="end"/>
      </w:r>
    </w:p>
    <w:p>
      <w:pPr>
        <w:pStyle w:val="7"/>
        <w:tabs>
          <w:tab w:val="right" w:leader="dot" w:pos="830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_Toc13887 </w:instrText>
      </w:r>
      <w:r>
        <w:rPr>
          <w:rFonts w:ascii="方正小标宋简体" w:hAnsi="宋体" w:eastAsia="方正小标宋简体"/>
          <w:szCs w:val="36"/>
        </w:rPr>
        <w:fldChar w:fldCharType="separate"/>
      </w:r>
      <w:r>
        <w:rPr>
          <w:rFonts w:hint="eastAsia" w:ascii="仿宋" w:hAnsi="仿宋" w:eastAsia="仿宋" w:cs="仿宋"/>
          <w:bCs/>
        </w:rPr>
        <w:t>（二）20</w:t>
      </w:r>
      <w:r>
        <w:rPr>
          <w:rFonts w:hint="eastAsia" w:ascii="仿宋" w:hAnsi="仿宋" w:eastAsia="仿宋" w:cs="仿宋"/>
          <w:bCs/>
          <w:lang w:val="en-US" w:eastAsia="zh-CN"/>
        </w:rPr>
        <w:t>20</w:t>
      </w:r>
      <w:r>
        <w:rPr>
          <w:rFonts w:hint="eastAsia" w:ascii="仿宋" w:hAnsi="仿宋" w:eastAsia="仿宋" w:cs="仿宋"/>
          <w:bCs/>
        </w:rPr>
        <w:t>年重点工作完成情况。</w:t>
      </w:r>
      <w:r>
        <w:tab/>
      </w:r>
      <w:r>
        <w:fldChar w:fldCharType="begin"/>
      </w:r>
      <w:r>
        <w:instrText xml:space="preserve"> PAGEREF _Toc13887 \h </w:instrText>
      </w:r>
      <w:r>
        <w:fldChar w:fldCharType="separate"/>
      </w:r>
      <w:r>
        <w:t>8</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_Toc8535 </w:instrText>
      </w:r>
      <w:r>
        <w:rPr>
          <w:rFonts w:ascii="方正小标宋简体" w:hAnsi="宋体" w:eastAsia="方正小标宋简体"/>
          <w:szCs w:val="36"/>
        </w:rPr>
        <w:fldChar w:fldCharType="separate"/>
      </w:r>
      <w:r>
        <w:rPr>
          <w:rFonts w:hint="eastAsia"/>
        </w:rPr>
        <w:t>二、机构设置</w:t>
      </w:r>
      <w:r>
        <w:tab/>
      </w:r>
      <w:r>
        <w:fldChar w:fldCharType="begin"/>
      </w:r>
      <w:r>
        <w:instrText xml:space="preserve"> PAGEREF _Toc8535 \h </w:instrText>
      </w:r>
      <w:r>
        <w:fldChar w:fldCharType="separate"/>
      </w:r>
      <w:r>
        <w:t>8</w:t>
      </w:r>
      <w:r>
        <w:fldChar w:fldCharType="end"/>
      </w:r>
      <w:r>
        <w:rPr>
          <w:rFonts w:ascii="方正小标宋简体" w:hAnsi="宋体" w:eastAsia="方正小标宋简体"/>
          <w:szCs w:val="36"/>
        </w:rPr>
        <w:fldChar w:fldCharType="end"/>
      </w:r>
    </w:p>
    <w:p>
      <w:pPr>
        <w:pStyle w:val="10"/>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_Toc26678 </w:instrText>
      </w:r>
      <w:r>
        <w:rPr>
          <w:rFonts w:ascii="方正小标宋简体" w:hAnsi="宋体" w:eastAsia="方正小标宋简体"/>
          <w:szCs w:val="36"/>
        </w:rPr>
        <w:fldChar w:fldCharType="separate"/>
      </w:r>
      <w:r>
        <w:rPr>
          <w:rFonts w:hint="eastAsia" w:ascii="黑体" w:hAnsi="黑体" w:eastAsia="黑体" w:cs="黑体"/>
        </w:rPr>
        <w:t>第二部分 20</w:t>
      </w:r>
      <w:r>
        <w:rPr>
          <w:rFonts w:hint="eastAsia" w:ascii="黑体" w:hAnsi="黑体" w:eastAsia="黑体" w:cs="黑体"/>
          <w:lang w:val="en-US" w:eastAsia="zh-CN"/>
        </w:rPr>
        <w:t>20</w:t>
      </w:r>
      <w:r>
        <w:rPr>
          <w:rFonts w:hint="eastAsia" w:ascii="黑体" w:hAnsi="黑体" w:eastAsia="黑体" w:cs="黑体"/>
        </w:rPr>
        <w:t>年度部门决算情况说明</w:t>
      </w:r>
      <w:r>
        <w:tab/>
      </w:r>
      <w:r>
        <w:fldChar w:fldCharType="begin"/>
      </w:r>
      <w:r>
        <w:instrText xml:space="preserve"> PAGEREF _Toc26678 \h </w:instrText>
      </w:r>
      <w:r>
        <w:fldChar w:fldCharType="separate"/>
      </w:r>
      <w:r>
        <w:t>9</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_Toc16278 </w:instrText>
      </w:r>
      <w:r>
        <w:rPr>
          <w:rFonts w:ascii="方正小标宋简体" w:hAnsi="宋体" w:eastAsia="方正小标宋简体"/>
          <w:szCs w:val="36"/>
        </w:rPr>
        <w:fldChar w:fldCharType="separate"/>
      </w:r>
      <w:r>
        <w:rPr>
          <w:rFonts w:hint="default"/>
        </w:rPr>
        <w:t xml:space="preserve">一、 </w:t>
      </w:r>
      <w:r>
        <w:rPr>
          <w:rFonts w:hint="eastAsia"/>
        </w:rPr>
        <w:t>收入支出决算总体情况说明</w:t>
      </w:r>
      <w:r>
        <w:tab/>
      </w:r>
      <w:r>
        <w:fldChar w:fldCharType="begin"/>
      </w:r>
      <w:r>
        <w:instrText xml:space="preserve"> PAGEREF _Toc16278 \h </w:instrText>
      </w:r>
      <w:r>
        <w:fldChar w:fldCharType="separate"/>
      </w:r>
      <w:r>
        <w:t>9</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_Toc10288 </w:instrText>
      </w:r>
      <w:r>
        <w:rPr>
          <w:rFonts w:ascii="方正小标宋简体" w:hAnsi="宋体" w:eastAsia="方正小标宋简体"/>
          <w:szCs w:val="36"/>
        </w:rPr>
        <w:fldChar w:fldCharType="separate"/>
      </w:r>
      <w:r>
        <w:rPr>
          <w:rFonts w:hint="default"/>
        </w:rPr>
        <w:t xml:space="preserve">二、 </w:t>
      </w:r>
      <w:r>
        <w:rPr>
          <w:rFonts w:hint="eastAsia"/>
        </w:rPr>
        <w:t>收入决算情况说明</w:t>
      </w:r>
      <w:r>
        <w:tab/>
      </w:r>
      <w:r>
        <w:fldChar w:fldCharType="begin"/>
      </w:r>
      <w:r>
        <w:instrText xml:space="preserve"> PAGEREF _Toc10288 \h </w:instrText>
      </w:r>
      <w:r>
        <w:fldChar w:fldCharType="separate"/>
      </w:r>
      <w:r>
        <w:t>10</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_Toc2596 </w:instrText>
      </w:r>
      <w:r>
        <w:rPr>
          <w:rFonts w:ascii="方正小标宋简体" w:hAnsi="宋体" w:eastAsia="方正小标宋简体"/>
          <w:szCs w:val="36"/>
        </w:rPr>
        <w:fldChar w:fldCharType="separate"/>
      </w:r>
      <w:r>
        <w:rPr>
          <w:rFonts w:hint="default"/>
        </w:rPr>
        <w:t xml:space="preserve">三、 </w:t>
      </w:r>
      <w:r>
        <w:rPr>
          <w:rFonts w:hint="eastAsia"/>
        </w:rPr>
        <w:t>支出决算情况说明</w:t>
      </w:r>
      <w:r>
        <w:tab/>
      </w:r>
      <w:r>
        <w:fldChar w:fldCharType="begin"/>
      </w:r>
      <w:r>
        <w:instrText xml:space="preserve"> PAGEREF _Toc2596 \h </w:instrText>
      </w:r>
      <w:r>
        <w:fldChar w:fldCharType="separate"/>
      </w:r>
      <w:r>
        <w:t>11</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_Toc6443 </w:instrText>
      </w:r>
      <w:r>
        <w:rPr>
          <w:rFonts w:ascii="方正小标宋简体" w:hAnsi="宋体" w:eastAsia="方正小标宋简体"/>
          <w:szCs w:val="36"/>
        </w:rPr>
        <w:fldChar w:fldCharType="separate"/>
      </w:r>
      <w:r>
        <w:rPr>
          <w:rFonts w:hint="eastAsia" w:ascii="黑体" w:hAnsi="黑体" w:eastAsia="黑体"/>
          <w:szCs w:val="32"/>
        </w:rPr>
        <w:t>四、</w:t>
      </w:r>
      <w:r>
        <w:rPr>
          <w:rFonts w:hint="eastAsia"/>
        </w:rPr>
        <w:t>财政拨款收入支出决算总体情况说明</w:t>
      </w:r>
      <w:r>
        <w:tab/>
      </w:r>
      <w:r>
        <w:fldChar w:fldCharType="begin"/>
      </w:r>
      <w:r>
        <w:instrText xml:space="preserve"> PAGEREF _Toc6443 \h </w:instrText>
      </w:r>
      <w:r>
        <w:fldChar w:fldCharType="separate"/>
      </w:r>
      <w:r>
        <w:t>12</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_Toc29919 </w:instrText>
      </w:r>
      <w:r>
        <w:rPr>
          <w:rFonts w:ascii="方正小标宋简体" w:hAnsi="宋体" w:eastAsia="方正小标宋简体"/>
          <w:szCs w:val="36"/>
        </w:rPr>
        <w:fldChar w:fldCharType="separate"/>
      </w:r>
      <w:r>
        <w:rPr>
          <w:rFonts w:hint="eastAsia" w:ascii="黑体" w:hAnsi="黑体" w:eastAsia="黑体"/>
          <w:szCs w:val="32"/>
        </w:rPr>
        <w:t>五、</w:t>
      </w:r>
      <w:r>
        <w:rPr>
          <w:rFonts w:hint="eastAsia"/>
        </w:rPr>
        <w:t>一般公共预算财政拨款支出决算情况说明</w:t>
      </w:r>
      <w:r>
        <w:tab/>
      </w:r>
      <w:r>
        <w:fldChar w:fldCharType="begin"/>
      </w:r>
      <w:r>
        <w:instrText xml:space="preserve"> PAGEREF _Toc29919 \h </w:instrText>
      </w:r>
      <w:r>
        <w:fldChar w:fldCharType="separate"/>
      </w:r>
      <w:r>
        <w:t>13</w:t>
      </w:r>
      <w:r>
        <w:fldChar w:fldCharType="end"/>
      </w:r>
      <w:r>
        <w:rPr>
          <w:rFonts w:ascii="方正小标宋简体" w:hAnsi="宋体" w:eastAsia="方正小标宋简体"/>
          <w:szCs w:val="36"/>
        </w:rPr>
        <w:fldChar w:fldCharType="end"/>
      </w:r>
    </w:p>
    <w:p>
      <w:pPr>
        <w:pStyle w:val="7"/>
        <w:tabs>
          <w:tab w:val="right" w:leader="dot" w:pos="830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_Toc4383 </w:instrText>
      </w:r>
      <w:r>
        <w:rPr>
          <w:rFonts w:ascii="方正小标宋简体" w:hAnsi="宋体" w:eastAsia="方正小标宋简体"/>
          <w:szCs w:val="36"/>
        </w:rPr>
        <w:fldChar w:fldCharType="separate"/>
      </w:r>
      <w:r>
        <w:rPr>
          <w:rFonts w:hint="eastAsia" w:ascii="仿宋" w:hAnsi="仿宋" w:eastAsia="仿宋" w:cs="仿宋"/>
        </w:rPr>
        <w:t>（一）一般公共预算财政拨款支出决算总体情况</w:t>
      </w:r>
      <w:r>
        <w:tab/>
      </w:r>
      <w:r>
        <w:fldChar w:fldCharType="begin"/>
      </w:r>
      <w:r>
        <w:instrText xml:space="preserve"> PAGEREF _Toc4383 \h </w:instrText>
      </w:r>
      <w:r>
        <w:fldChar w:fldCharType="separate"/>
      </w:r>
      <w:r>
        <w:t>13</w:t>
      </w:r>
      <w:r>
        <w:fldChar w:fldCharType="end"/>
      </w:r>
      <w:r>
        <w:rPr>
          <w:rFonts w:ascii="方正小标宋简体" w:hAnsi="宋体" w:eastAsia="方正小标宋简体"/>
          <w:szCs w:val="36"/>
        </w:rPr>
        <w:fldChar w:fldCharType="end"/>
      </w:r>
    </w:p>
    <w:p>
      <w:pPr>
        <w:pStyle w:val="7"/>
        <w:tabs>
          <w:tab w:val="right" w:leader="dot" w:pos="830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_Toc4409 </w:instrText>
      </w:r>
      <w:r>
        <w:rPr>
          <w:rFonts w:ascii="方正小标宋简体" w:hAnsi="宋体" w:eastAsia="方正小标宋简体"/>
          <w:szCs w:val="36"/>
        </w:rPr>
        <w:fldChar w:fldCharType="separate"/>
      </w:r>
      <w:r>
        <w:rPr>
          <w:rFonts w:hint="eastAsia" w:ascii="仿宋" w:hAnsi="仿宋" w:eastAsia="仿宋" w:cs="仿宋"/>
        </w:rPr>
        <w:t>（二）一般公共预算财政拨款支出决算结构情况</w:t>
      </w:r>
      <w:r>
        <w:tab/>
      </w:r>
      <w:r>
        <w:fldChar w:fldCharType="begin"/>
      </w:r>
      <w:r>
        <w:instrText xml:space="preserve"> PAGEREF _Toc4409 \h </w:instrText>
      </w:r>
      <w:r>
        <w:fldChar w:fldCharType="separate"/>
      </w:r>
      <w:r>
        <w:t>14</w:t>
      </w:r>
      <w:r>
        <w:fldChar w:fldCharType="end"/>
      </w:r>
      <w:r>
        <w:rPr>
          <w:rFonts w:ascii="方正小标宋简体" w:hAnsi="宋体" w:eastAsia="方正小标宋简体"/>
          <w:szCs w:val="36"/>
        </w:rPr>
        <w:fldChar w:fldCharType="end"/>
      </w:r>
    </w:p>
    <w:p>
      <w:pPr>
        <w:pStyle w:val="7"/>
        <w:tabs>
          <w:tab w:val="right" w:leader="dot" w:pos="830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_Toc10630 </w:instrText>
      </w:r>
      <w:r>
        <w:rPr>
          <w:rFonts w:ascii="方正小标宋简体" w:hAnsi="宋体" w:eastAsia="方正小标宋简体"/>
          <w:szCs w:val="36"/>
        </w:rPr>
        <w:fldChar w:fldCharType="separate"/>
      </w:r>
      <w:r>
        <w:rPr>
          <w:rFonts w:hint="eastAsia" w:ascii="仿宋" w:hAnsi="仿宋" w:eastAsia="仿宋" w:cs="仿宋"/>
        </w:rPr>
        <w:t>（三）一般公共预算财政拨款支出决算具体情况</w:t>
      </w:r>
      <w:r>
        <w:tab/>
      </w:r>
      <w:r>
        <w:fldChar w:fldCharType="begin"/>
      </w:r>
      <w:r>
        <w:instrText xml:space="preserve"> PAGEREF _Toc10630 \h </w:instrText>
      </w:r>
      <w:r>
        <w:fldChar w:fldCharType="separate"/>
      </w:r>
      <w:r>
        <w:t>15</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_Toc4412 </w:instrText>
      </w:r>
      <w:r>
        <w:rPr>
          <w:rFonts w:ascii="方正小标宋简体" w:hAnsi="宋体" w:eastAsia="方正小标宋简体"/>
          <w:szCs w:val="36"/>
        </w:rPr>
        <w:fldChar w:fldCharType="separate"/>
      </w:r>
      <w:r>
        <w:rPr>
          <w:rFonts w:hint="eastAsia"/>
        </w:rPr>
        <w:t>六、一般公共预算财政拨款支出决算情况说明</w:t>
      </w:r>
      <w:r>
        <w:tab/>
      </w:r>
      <w:r>
        <w:fldChar w:fldCharType="begin"/>
      </w:r>
      <w:r>
        <w:instrText xml:space="preserve"> PAGEREF _Toc4412 \h </w:instrText>
      </w:r>
      <w:r>
        <w:fldChar w:fldCharType="separate"/>
      </w:r>
      <w:r>
        <w:t>16</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_Toc6389 </w:instrText>
      </w:r>
      <w:r>
        <w:rPr>
          <w:rFonts w:ascii="方正小标宋简体" w:hAnsi="宋体" w:eastAsia="方正小标宋简体"/>
          <w:szCs w:val="36"/>
        </w:rPr>
        <w:fldChar w:fldCharType="separate"/>
      </w:r>
      <w:r>
        <w:rPr>
          <w:rFonts w:hint="eastAsia" w:ascii="仿宋" w:hAnsi="仿宋" w:eastAsia="仿宋" w:cs="仿宋"/>
        </w:rPr>
        <w:t>（一）一般公共预算财政拨款基本支出决算情况说明</w:t>
      </w:r>
      <w:r>
        <w:tab/>
      </w:r>
      <w:r>
        <w:fldChar w:fldCharType="begin"/>
      </w:r>
      <w:r>
        <w:instrText xml:space="preserve"> PAGEREF _Toc6389 \h </w:instrText>
      </w:r>
      <w:r>
        <w:fldChar w:fldCharType="separate"/>
      </w:r>
      <w:r>
        <w:t>16</w:t>
      </w:r>
      <w:r>
        <w:fldChar w:fldCharType="end"/>
      </w:r>
      <w:r>
        <w:rPr>
          <w:rFonts w:ascii="方正小标宋简体" w:hAnsi="宋体" w:eastAsia="方正小标宋简体"/>
          <w:szCs w:val="36"/>
        </w:rPr>
        <w:fldChar w:fldCharType="end"/>
      </w:r>
    </w:p>
    <w:p>
      <w:pPr>
        <w:pStyle w:val="7"/>
        <w:tabs>
          <w:tab w:val="right" w:leader="dot" w:pos="830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_Toc4907 </w:instrText>
      </w:r>
      <w:r>
        <w:rPr>
          <w:rFonts w:ascii="方正小标宋简体" w:hAnsi="宋体" w:eastAsia="方正小标宋简体"/>
          <w:szCs w:val="36"/>
        </w:rPr>
        <w:fldChar w:fldCharType="separate"/>
      </w:r>
      <w:r>
        <w:rPr>
          <w:rFonts w:hint="eastAsia" w:ascii="仿宋" w:hAnsi="仿宋" w:eastAsia="仿宋" w:cs="仿宋"/>
        </w:rPr>
        <w:t>（二）一般公共预算财政拨款项目支出决算情况说明</w:t>
      </w:r>
      <w:r>
        <w:tab/>
      </w:r>
      <w:r>
        <w:fldChar w:fldCharType="begin"/>
      </w:r>
      <w:r>
        <w:instrText xml:space="preserve"> PAGEREF _Toc4907 \h </w:instrText>
      </w:r>
      <w:r>
        <w:fldChar w:fldCharType="separate"/>
      </w:r>
      <w:r>
        <w:t>17</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_Toc18072 </w:instrText>
      </w:r>
      <w:r>
        <w:rPr>
          <w:rFonts w:ascii="方正小标宋简体" w:hAnsi="宋体" w:eastAsia="方正小标宋简体"/>
          <w:szCs w:val="36"/>
        </w:rPr>
        <w:fldChar w:fldCharType="separate"/>
      </w:r>
      <w:r>
        <w:rPr>
          <w:rFonts w:hint="eastAsia" w:ascii="黑体" w:hAnsi="黑体" w:eastAsia="黑体" w:cs="黑体"/>
          <w:bCs w:val="0"/>
        </w:rPr>
        <w:t>七、“三公”经费财政拨款支出决算情况说明</w:t>
      </w:r>
      <w:r>
        <w:tab/>
      </w:r>
      <w:r>
        <w:fldChar w:fldCharType="begin"/>
      </w:r>
      <w:r>
        <w:instrText xml:space="preserve"> PAGEREF _Toc18072 \h </w:instrText>
      </w:r>
      <w:r>
        <w:fldChar w:fldCharType="separate"/>
      </w:r>
      <w:r>
        <w:t>17</w:t>
      </w:r>
      <w:r>
        <w:fldChar w:fldCharType="end"/>
      </w:r>
      <w:r>
        <w:rPr>
          <w:rFonts w:ascii="方正小标宋简体" w:hAnsi="宋体" w:eastAsia="方正小标宋简体"/>
          <w:szCs w:val="36"/>
        </w:rPr>
        <w:fldChar w:fldCharType="end"/>
      </w:r>
    </w:p>
    <w:p>
      <w:pPr>
        <w:pStyle w:val="7"/>
        <w:tabs>
          <w:tab w:val="right" w:leader="dot" w:pos="830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_Toc913 </w:instrText>
      </w:r>
      <w:r>
        <w:rPr>
          <w:rFonts w:ascii="方正小标宋简体" w:hAnsi="宋体" w:eastAsia="方正小标宋简体"/>
          <w:szCs w:val="36"/>
        </w:rPr>
        <w:fldChar w:fldCharType="separate"/>
      </w:r>
      <w:r>
        <w:rPr>
          <w:rFonts w:hint="eastAsia" w:ascii="仿宋" w:hAnsi="仿宋" w:eastAsia="仿宋" w:cs="仿宋"/>
        </w:rPr>
        <w:t>（一）“三公”经费财政拨款支出决算总体情况说明</w:t>
      </w:r>
      <w:r>
        <w:tab/>
      </w:r>
      <w:r>
        <w:fldChar w:fldCharType="begin"/>
      </w:r>
      <w:r>
        <w:instrText xml:space="preserve"> PAGEREF _Toc913 \h </w:instrText>
      </w:r>
      <w:r>
        <w:fldChar w:fldCharType="separate"/>
      </w:r>
      <w:r>
        <w:t>17</w:t>
      </w:r>
      <w:r>
        <w:fldChar w:fldCharType="end"/>
      </w:r>
      <w:r>
        <w:rPr>
          <w:rFonts w:ascii="方正小标宋简体" w:hAnsi="宋体" w:eastAsia="方正小标宋简体"/>
          <w:szCs w:val="36"/>
        </w:rPr>
        <w:fldChar w:fldCharType="end"/>
      </w:r>
    </w:p>
    <w:p>
      <w:pPr>
        <w:pStyle w:val="7"/>
        <w:tabs>
          <w:tab w:val="right" w:leader="dot" w:pos="830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_Toc20124 </w:instrText>
      </w:r>
      <w:r>
        <w:rPr>
          <w:rFonts w:ascii="方正小标宋简体" w:hAnsi="宋体" w:eastAsia="方正小标宋简体"/>
          <w:szCs w:val="36"/>
        </w:rPr>
        <w:fldChar w:fldCharType="separate"/>
      </w:r>
      <w:r>
        <w:rPr>
          <w:rFonts w:hint="eastAsia"/>
        </w:rPr>
        <w:t>（二）“三公”经费财政拨款支出决算具体情况说明</w:t>
      </w:r>
      <w:r>
        <w:tab/>
      </w:r>
      <w:r>
        <w:fldChar w:fldCharType="begin"/>
      </w:r>
      <w:r>
        <w:instrText xml:space="preserve"> PAGEREF _Toc20124 \h </w:instrText>
      </w:r>
      <w:r>
        <w:fldChar w:fldCharType="separate"/>
      </w:r>
      <w:r>
        <w:t>18</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_Toc4233 </w:instrText>
      </w:r>
      <w:r>
        <w:rPr>
          <w:rFonts w:ascii="方正小标宋简体" w:hAnsi="宋体" w:eastAsia="方正小标宋简体"/>
          <w:szCs w:val="36"/>
        </w:rPr>
        <w:fldChar w:fldCharType="separate"/>
      </w:r>
      <w:r>
        <w:rPr>
          <w:rFonts w:hint="eastAsia" w:ascii="黑体" w:hAnsi="黑体" w:eastAsia="黑体" w:cs="黑体"/>
        </w:rPr>
        <w:t>八、政府性基金预算支出决算情况说明</w:t>
      </w:r>
      <w:r>
        <w:tab/>
      </w:r>
      <w:r>
        <w:fldChar w:fldCharType="begin"/>
      </w:r>
      <w:r>
        <w:instrText xml:space="preserve"> PAGEREF _Toc4233 \h </w:instrText>
      </w:r>
      <w:r>
        <w:fldChar w:fldCharType="separate"/>
      </w:r>
      <w:r>
        <w:t>19</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_Toc9924 </w:instrText>
      </w:r>
      <w:r>
        <w:rPr>
          <w:rFonts w:ascii="方正小标宋简体" w:hAnsi="宋体" w:eastAsia="方正小标宋简体"/>
          <w:szCs w:val="36"/>
        </w:rPr>
        <w:fldChar w:fldCharType="separate"/>
      </w:r>
      <w:r>
        <w:rPr>
          <w:rFonts w:hint="eastAsia" w:ascii="黑体" w:hAnsi="黑体" w:eastAsia="黑体" w:cs="黑体"/>
          <w:bCs w:val="0"/>
        </w:rPr>
        <w:t>九、国有资本经营预算支出决算情况说明</w:t>
      </w:r>
      <w:r>
        <w:tab/>
      </w:r>
      <w:r>
        <w:fldChar w:fldCharType="begin"/>
      </w:r>
      <w:r>
        <w:instrText xml:space="preserve"> PAGEREF _Toc9924 \h </w:instrText>
      </w:r>
      <w:r>
        <w:fldChar w:fldCharType="separate"/>
      </w:r>
      <w:r>
        <w:t>20</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_Toc16512 </w:instrText>
      </w:r>
      <w:r>
        <w:rPr>
          <w:rFonts w:ascii="方正小标宋简体" w:hAnsi="宋体" w:eastAsia="方正小标宋简体"/>
          <w:szCs w:val="36"/>
        </w:rPr>
        <w:fldChar w:fldCharType="separate"/>
      </w:r>
      <w:r>
        <w:rPr>
          <w:rFonts w:hint="eastAsia" w:ascii="黑体" w:hAnsi="黑体" w:eastAsia="黑体" w:cs="黑体"/>
          <w:bCs w:val="0"/>
        </w:rPr>
        <w:t>十、其他重要事项的情况说明</w:t>
      </w:r>
      <w:r>
        <w:tab/>
      </w:r>
      <w:r>
        <w:fldChar w:fldCharType="begin"/>
      </w:r>
      <w:r>
        <w:instrText xml:space="preserve"> PAGEREF _Toc16512 \h </w:instrText>
      </w:r>
      <w:r>
        <w:fldChar w:fldCharType="separate"/>
      </w:r>
      <w:r>
        <w:t>20</w:t>
      </w:r>
      <w:r>
        <w:fldChar w:fldCharType="end"/>
      </w:r>
      <w:r>
        <w:rPr>
          <w:rFonts w:ascii="方正小标宋简体" w:hAnsi="宋体" w:eastAsia="方正小标宋简体"/>
          <w:szCs w:val="36"/>
        </w:rPr>
        <w:fldChar w:fldCharType="end"/>
      </w:r>
    </w:p>
    <w:p>
      <w:pPr>
        <w:pStyle w:val="7"/>
        <w:tabs>
          <w:tab w:val="right" w:leader="dot" w:pos="830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_Toc19639 </w:instrText>
      </w:r>
      <w:r>
        <w:rPr>
          <w:rFonts w:ascii="方正小标宋简体" w:hAnsi="宋体" w:eastAsia="方正小标宋简体"/>
          <w:szCs w:val="36"/>
        </w:rPr>
        <w:fldChar w:fldCharType="separate"/>
      </w:r>
      <w:r>
        <w:rPr>
          <w:rFonts w:hint="eastAsia" w:ascii="仿宋" w:hAnsi="仿宋" w:eastAsia="仿宋" w:cs="仿宋"/>
          <w:szCs w:val="32"/>
        </w:rPr>
        <w:t>（一）机关运行经费支出情况</w:t>
      </w:r>
      <w:r>
        <w:tab/>
      </w:r>
      <w:r>
        <w:fldChar w:fldCharType="begin"/>
      </w:r>
      <w:r>
        <w:instrText xml:space="preserve"> PAGEREF _Toc19639 \h </w:instrText>
      </w:r>
      <w:r>
        <w:fldChar w:fldCharType="separate"/>
      </w:r>
      <w:r>
        <w:t>20</w:t>
      </w:r>
      <w:r>
        <w:fldChar w:fldCharType="end"/>
      </w:r>
      <w:r>
        <w:rPr>
          <w:rFonts w:ascii="方正小标宋简体" w:hAnsi="宋体" w:eastAsia="方正小标宋简体"/>
          <w:szCs w:val="36"/>
        </w:rPr>
        <w:fldChar w:fldCharType="end"/>
      </w:r>
    </w:p>
    <w:p>
      <w:pPr>
        <w:pStyle w:val="7"/>
        <w:tabs>
          <w:tab w:val="right" w:leader="dot" w:pos="830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_Toc4030 </w:instrText>
      </w:r>
      <w:r>
        <w:rPr>
          <w:rFonts w:ascii="方正小标宋简体" w:hAnsi="宋体" w:eastAsia="方正小标宋简体"/>
          <w:szCs w:val="36"/>
        </w:rPr>
        <w:fldChar w:fldCharType="separate"/>
      </w:r>
      <w:r>
        <w:rPr>
          <w:rFonts w:hint="eastAsia" w:ascii="仿宋" w:hAnsi="仿宋" w:eastAsia="仿宋" w:cs="仿宋"/>
          <w:szCs w:val="32"/>
        </w:rPr>
        <w:t>（二）政府采购支出情况</w:t>
      </w:r>
      <w:r>
        <w:tab/>
      </w:r>
      <w:r>
        <w:fldChar w:fldCharType="begin"/>
      </w:r>
      <w:r>
        <w:instrText xml:space="preserve"> PAGEREF _Toc4030 \h </w:instrText>
      </w:r>
      <w:r>
        <w:fldChar w:fldCharType="separate"/>
      </w:r>
      <w:r>
        <w:t>20</w:t>
      </w:r>
      <w:r>
        <w:fldChar w:fldCharType="end"/>
      </w:r>
      <w:r>
        <w:rPr>
          <w:rFonts w:ascii="方正小标宋简体" w:hAnsi="宋体" w:eastAsia="方正小标宋简体"/>
          <w:szCs w:val="36"/>
        </w:rPr>
        <w:fldChar w:fldCharType="end"/>
      </w:r>
    </w:p>
    <w:p>
      <w:pPr>
        <w:pStyle w:val="7"/>
        <w:tabs>
          <w:tab w:val="right" w:leader="dot" w:pos="830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_Toc29653 </w:instrText>
      </w:r>
      <w:r>
        <w:rPr>
          <w:rFonts w:ascii="方正小标宋简体" w:hAnsi="宋体" w:eastAsia="方正小标宋简体"/>
          <w:szCs w:val="36"/>
        </w:rPr>
        <w:fldChar w:fldCharType="separate"/>
      </w:r>
      <w:r>
        <w:rPr>
          <w:rFonts w:hint="eastAsia" w:ascii="楷体" w:hAnsi="楷体" w:eastAsia="楷体" w:cs="楷体"/>
          <w:szCs w:val="32"/>
        </w:rPr>
        <w:t>（三）国有资产占有使用情况</w:t>
      </w:r>
      <w:r>
        <w:tab/>
      </w:r>
      <w:r>
        <w:fldChar w:fldCharType="begin"/>
      </w:r>
      <w:r>
        <w:instrText xml:space="preserve"> PAGEREF _Toc29653 \h </w:instrText>
      </w:r>
      <w:r>
        <w:fldChar w:fldCharType="separate"/>
      </w:r>
      <w:r>
        <w:t>20</w:t>
      </w:r>
      <w:r>
        <w:fldChar w:fldCharType="end"/>
      </w:r>
      <w:r>
        <w:rPr>
          <w:rFonts w:ascii="方正小标宋简体" w:hAnsi="宋体" w:eastAsia="方正小标宋简体"/>
          <w:szCs w:val="36"/>
        </w:rPr>
        <w:fldChar w:fldCharType="end"/>
      </w:r>
    </w:p>
    <w:p>
      <w:pPr>
        <w:pStyle w:val="7"/>
        <w:tabs>
          <w:tab w:val="right" w:leader="dot" w:pos="830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_Toc21367 </w:instrText>
      </w:r>
      <w:r>
        <w:rPr>
          <w:rFonts w:ascii="方正小标宋简体" w:hAnsi="宋体" w:eastAsia="方正小标宋简体"/>
          <w:szCs w:val="36"/>
        </w:rPr>
        <w:fldChar w:fldCharType="separate"/>
      </w:r>
      <w:r>
        <w:rPr>
          <w:rFonts w:hint="eastAsia" w:ascii="楷体" w:hAnsi="楷体" w:eastAsia="楷体" w:cs="楷体"/>
          <w:szCs w:val="32"/>
        </w:rPr>
        <w:t>（四）预算绩效管理情况</w:t>
      </w:r>
      <w:r>
        <w:tab/>
      </w:r>
      <w:r>
        <w:fldChar w:fldCharType="begin"/>
      </w:r>
      <w:r>
        <w:instrText xml:space="preserve"> PAGEREF _Toc21367 \h </w:instrText>
      </w:r>
      <w:r>
        <w:fldChar w:fldCharType="separate"/>
      </w:r>
      <w:r>
        <w:t>21</w:t>
      </w:r>
      <w:r>
        <w:fldChar w:fldCharType="end"/>
      </w:r>
      <w:r>
        <w:rPr>
          <w:rFonts w:ascii="方正小标宋简体" w:hAnsi="宋体" w:eastAsia="方正小标宋简体"/>
          <w:szCs w:val="36"/>
        </w:rPr>
        <w:fldChar w:fldCharType="end"/>
      </w:r>
    </w:p>
    <w:p>
      <w:pPr>
        <w:pStyle w:val="7"/>
        <w:tabs>
          <w:tab w:val="right" w:leader="dot" w:pos="830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_Toc5776 </w:instrText>
      </w:r>
      <w:r>
        <w:rPr>
          <w:rFonts w:ascii="方正小标宋简体" w:hAnsi="宋体" w:eastAsia="方正小标宋简体"/>
          <w:szCs w:val="36"/>
        </w:rPr>
        <w:fldChar w:fldCharType="separate"/>
      </w:r>
      <w:r>
        <w:rPr>
          <w:rFonts w:hint="eastAsia" w:ascii="楷体" w:hAnsi="楷体" w:eastAsia="楷体" w:cs="楷体"/>
          <w:szCs w:val="32"/>
        </w:rPr>
        <w:t>（</w:t>
      </w:r>
      <w:r>
        <w:rPr>
          <w:rFonts w:hint="eastAsia" w:ascii="楷体" w:hAnsi="楷体" w:eastAsia="楷体" w:cs="楷体"/>
          <w:szCs w:val="32"/>
          <w:lang w:eastAsia="zh-CN"/>
        </w:rPr>
        <w:t>五</w:t>
      </w:r>
      <w:r>
        <w:rPr>
          <w:rFonts w:hint="eastAsia" w:ascii="楷体" w:hAnsi="楷体" w:eastAsia="楷体" w:cs="楷体"/>
          <w:szCs w:val="32"/>
        </w:rPr>
        <w:t>）</w:t>
      </w:r>
      <w:r>
        <w:rPr>
          <w:rFonts w:hint="eastAsia" w:ascii="楷体" w:hAnsi="楷体" w:eastAsia="楷体" w:cs="楷体"/>
          <w:szCs w:val="32"/>
          <w:lang w:eastAsia="zh-CN"/>
        </w:rPr>
        <w:t>其他需说明的情况</w:t>
      </w:r>
      <w:r>
        <w:tab/>
      </w:r>
      <w:r>
        <w:fldChar w:fldCharType="begin"/>
      </w:r>
      <w:r>
        <w:instrText xml:space="preserve"> PAGEREF _Toc5776 \h </w:instrText>
      </w:r>
      <w:r>
        <w:fldChar w:fldCharType="separate"/>
      </w:r>
      <w:r>
        <w:t>24</w:t>
      </w:r>
      <w:r>
        <w:fldChar w:fldCharType="end"/>
      </w:r>
      <w:r>
        <w:rPr>
          <w:rFonts w:ascii="方正小标宋简体" w:hAnsi="宋体" w:eastAsia="方正小标宋简体"/>
          <w:szCs w:val="36"/>
        </w:rPr>
        <w:fldChar w:fldCharType="end"/>
      </w:r>
    </w:p>
    <w:p>
      <w:pPr>
        <w:pStyle w:val="10"/>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_Toc22073 </w:instrText>
      </w:r>
      <w:r>
        <w:rPr>
          <w:rFonts w:ascii="方正小标宋简体" w:hAnsi="宋体" w:eastAsia="方正小标宋简体"/>
          <w:szCs w:val="36"/>
        </w:rPr>
        <w:fldChar w:fldCharType="separate"/>
      </w:r>
      <w:r>
        <w:rPr>
          <w:rFonts w:hint="eastAsia" w:ascii="黑体" w:hAnsi="黑体" w:eastAsia="黑体" w:cs="黑体"/>
          <w:bCs w:val="0"/>
        </w:rPr>
        <w:t>第三部分 名词解释</w:t>
      </w:r>
      <w:r>
        <w:tab/>
      </w:r>
      <w:r>
        <w:fldChar w:fldCharType="begin"/>
      </w:r>
      <w:r>
        <w:instrText xml:space="preserve"> PAGEREF _Toc22073 \h </w:instrText>
      </w:r>
      <w:r>
        <w:fldChar w:fldCharType="separate"/>
      </w:r>
      <w:r>
        <w:t>25</w:t>
      </w:r>
      <w:r>
        <w:fldChar w:fldCharType="end"/>
      </w:r>
      <w:r>
        <w:rPr>
          <w:rFonts w:ascii="方正小标宋简体" w:hAnsi="宋体" w:eastAsia="方正小标宋简体"/>
          <w:szCs w:val="36"/>
        </w:rPr>
        <w:fldChar w:fldCharType="end"/>
      </w:r>
    </w:p>
    <w:p>
      <w:pPr>
        <w:pStyle w:val="10"/>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_Toc12180 </w:instrText>
      </w:r>
      <w:r>
        <w:rPr>
          <w:rFonts w:ascii="方正小标宋简体" w:hAnsi="宋体" w:eastAsia="方正小标宋简体"/>
          <w:szCs w:val="36"/>
        </w:rP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_Toc12180 \h </w:instrText>
      </w:r>
      <w:r>
        <w:fldChar w:fldCharType="separate"/>
      </w:r>
      <w:r>
        <w:t>29</w:t>
      </w:r>
      <w:r>
        <w:fldChar w:fldCharType="end"/>
      </w:r>
      <w:r>
        <w:rPr>
          <w:rFonts w:ascii="方正小标宋简体" w:hAnsi="宋体" w:eastAsia="方正小标宋简体"/>
          <w:szCs w:val="36"/>
        </w:rPr>
        <w:fldChar w:fldCharType="end"/>
      </w:r>
    </w:p>
    <w:p>
      <w:pPr>
        <w:pStyle w:val="10"/>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_Toc237 </w:instrText>
      </w:r>
      <w:r>
        <w:rPr>
          <w:rFonts w:ascii="方正小标宋简体" w:hAnsi="宋体" w:eastAsia="方正小标宋简体"/>
          <w:szCs w:val="36"/>
        </w:rPr>
        <w:fldChar w:fldCharType="separate"/>
      </w:r>
      <w:r>
        <w:rPr>
          <w:rFonts w:hint="eastAsia" w:ascii="黑体" w:hAnsi="黑体" w:eastAsia="黑体" w:cs="黑体"/>
          <w:szCs w:val="32"/>
        </w:rPr>
        <w:t>附件1</w:t>
      </w:r>
      <w:r>
        <w:tab/>
      </w:r>
      <w:r>
        <w:fldChar w:fldCharType="begin"/>
      </w:r>
      <w:r>
        <w:instrText xml:space="preserve"> PAGEREF _Toc237 \h </w:instrText>
      </w:r>
      <w:r>
        <w:fldChar w:fldCharType="separate"/>
      </w:r>
      <w:r>
        <w:t>29</w:t>
      </w:r>
      <w:r>
        <w:fldChar w:fldCharType="end"/>
      </w:r>
      <w:r>
        <w:rPr>
          <w:rFonts w:ascii="方正小标宋简体" w:hAnsi="宋体" w:eastAsia="方正小标宋简体"/>
          <w:szCs w:val="36"/>
        </w:rPr>
        <w:fldChar w:fldCharType="end"/>
      </w:r>
    </w:p>
    <w:p>
      <w:pPr>
        <w:pStyle w:val="10"/>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_Toc16721 </w:instrText>
      </w:r>
      <w:r>
        <w:rPr>
          <w:rFonts w:ascii="方正小标宋简体" w:hAnsi="宋体" w:eastAsia="方正小标宋简体"/>
          <w:szCs w:val="36"/>
        </w:rPr>
        <w:fldChar w:fldCharType="separate"/>
      </w:r>
      <w:r>
        <w:rPr>
          <w:rFonts w:hint="eastAsia" w:ascii="黑体" w:hAnsi="黑体" w:eastAsia="黑体"/>
          <w:szCs w:val="44"/>
        </w:rPr>
        <w:t>第</w:t>
      </w:r>
      <w:r>
        <w:rPr>
          <w:rFonts w:hint="eastAsia" w:ascii="黑体" w:hAnsi="黑体" w:eastAsia="黑体"/>
        </w:rPr>
        <w:t>五部分</w:t>
      </w:r>
      <w:r>
        <w:rPr>
          <w:rFonts w:ascii="黑体" w:hAnsi="黑体" w:eastAsia="黑体"/>
        </w:rPr>
        <w:t xml:space="preserve"> </w:t>
      </w:r>
      <w:r>
        <w:rPr>
          <w:rFonts w:hint="eastAsia" w:ascii="黑体" w:hAnsi="黑体" w:eastAsia="黑体"/>
        </w:rPr>
        <w:t>附表</w:t>
      </w:r>
      <w:r>
        <w:tab/>
      </w:r>
      <w:r>
        <w:fldChar w:fldCharType="begin"/>
      </w:r>
      <w:r>
        <w:instrText xml:space="preserve"> PAGEREF _Toc16721 \h </w:instrText>
      </w:r>
      <w:r>
        <w:fldChar w:fldCharType="separate"/>
      </w:r>
      <w:r>
        <w:t>40</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_Toc15563 </w:instrText>
      </w:r>
      <w:r>
        <w:rPr>
          <w:rFonts w:ascii="方正小标宋简体" w:hAnsi="宋体" w:eastAsia="方正小标宋简体"/>
          <w:szCs w:val="36"/>
        </w:rP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_Toc15563 \h </w:instrText>
      </w:r>
      <w:r>
        <w:fldChar w:fldCharType="separate"/>
      </w:r>
      <w:r>
        <w:t>40</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_Toc18075 </w:instrText>
      </w:r>
      <w:r>
        <w:rPr>
          <w:rFonts w:ascii="方正小标宋简体" w:hAnsi="宋体" w:eastAsia="方正小标宋简体"/>
          <w:szCs w:val="36"/>
        </w:rP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_Toc18075 \h </w:instrText>
      </w:r>
      <w:r>
        <w:fldChar w:fldCharType="separate"/>
      </w:r>
      <w:r>
        <w:t>40</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_Toc24040 </w:instrText>
      </w:r>
      <w:r>
        <w:rPr>
          <w:rFonts w:ascii="方正小标宋简体" w:hAnsi="宋体" w:eastAsia="方正小标宋简体"/>
          <w:szCs w:val="36"/>
        </w:rP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_Toc24040 \h </w:instrText>
      </w:r>
      <w:r>
        <w:fldChar w:fldCharType="separate"/>
      </w:r>
      <w:r>
        <w:t>40</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_Toc15736 </w:instrText>
      </w:r>
      <w:r>
        <w:rPr>
          <w:rFonts w:ascii="方正小标宋简体" w:hAnsi="宋体" w:eastAsia="方正小标宋简体"/>
          <w:szCs w:val="36"/>
        </w:rP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_Toc15736 \h </w:instrText>
      </w:r>
      <w:r>
        <w:fldChar w:fldCharType="separate"/>
      </w:r>
      <w:r>
        <w:t>40</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_Toc9040 </w:instrText>
      </w:r>
      <w:r>
        <w:rPr>
          <w:rFonts w:ascii="方正小标宋简体" w:hAnsi="宋体" w:eastAsia="方正小标宋简体"/>
          <w:szCs w:val="36"/>
        </w:rP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_Toc9040 \h </w:instrText>
      </w:r>
      <w:r>
        <w:fldChar w:fldCharType="separate"/>
      </w:r>
      <w:r>
        <w:t>40</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_Toc17764 </w:instrText>
      </w:r>
      <w:r>
        <w:rPr>
          <w:rFonts w:ascii="方正小标宋简体" w:hAnsi="宋体" w:eastAsia="方正小标宋简体"/>
          <w:szCs w:val="36"/>
        </w:rP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_Toc17764 \h </w:instrText>
      </w:r>
      <w:r>
        <w:fldChar w:fldCharType="separate"/>
      </w:r>
      <w:r>
        <w:t>40</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_Toc195 </w:instrText>
      </w:r>
      <w:r>
        <w:rPr>
          <w:rFonts w:ascii="方正小标宋简体" w:hAnsi="宋体" w:eastAsia="方正小标宋简体"/>
          <w:szCs w:val="36"/>
        </w:rP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_Toc195 \h </w:instrText>
      </w:r>
      <w:r>
        <w:fldChar w:fldCharType="separate"/>
      </w:r>
      <w:r>
        <w:t>40</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_Toc21637 </w:instrText>
      </w:r>
      <w:r>
        <w:rPr>
          <w:rFonts w:ascii="方正小标宋简体" w:hAnsi="宋体" w:eastAsia="方正小标宋简体"/>
          <w:szCs w:val="36"/>
        </w:rP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_Toc21637 \h </w:instrText>
      </w:r>
      <w:r>
        <w:fldChar w:fldCharType="separate"/>
      </w:r>
      <w:r>
        <w:t>40</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_Toc18321 </w:instrText>
      </w:r>
      <w:r>
        <w:rPr>
          <w:rFonts w:ascii="方正小标宋简体" w:hAnsi="宋体" w:eastAsia="方正小标宋简体"/>
          <w:szCs w:val="36"/>
        </w:rP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_Toc18321 \h </w:instrText>
      </w:r>
      <w:r>
        <w:fldChar w:fldCharType="separate"/>
      </w:r>
      <w:r>
        <w:t>40</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_Toc25509 </w:instrText>
      </w:r>
      <w:r>
        <w:rPr>
          <w:rFonts w:ascii="方正小标宋简体" w:hAnsi="宋体" w:eastAsia="方正小标宋简体"/>
          <w:szCs w:val="36"/>
        </w:rP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_Toc25509 \h </w:instrText>
      </w:r>
      <w:r>
        <w:fldChar w:fldCharType="separate"/>
      </w:r>
      <w:r>
        <w:t>40</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_Toc12078 </w:instrText>
      </w:r>
      <w:r>
        <w:rPr>
          <w:rFonts w:ascii="方正小标宋简体" w:hAnsi="宋体" w:eastAsia="方正小标宋简体"/>
          <w:szCs w:val="36"/>
        </w:rP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_Toc12078 \h </w:instrText>
      </w:r>
      <w:r>
        <w:fldChar w:fldCharType="separate"/>
      </w:r>
      <w:r>
        <w:t>40</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_Toc12021 </w:instrText>
      </w:r>
      <w:r>
        <w:rPr>
          <w:rFonts w:ascii="方正小标宋简体" w:hAnsi="宋体" w:eastAsia="方正小标宋简体"/>
          <w:szCs w:val="36"/>
        </w:rP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_Toc12021 \h </w:instrText>
      </w:r>
      <w:r>
        <w:fldChar w:fldCharType="separate"/>
      </w:r>
      <w:r>
        <w:t>40</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_Toc873 </w:instrText>
      </w:r>
      <w:r>
        <w:rPr>
          <w:rFonts w:ascii="方正小标宋简体" w:hAnsi="宋体" w:eastAsia="方正小标宋简体"/>
          <w:szCs w:val="36"/>
        </w:rP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有资本经营预算财政拨款支出决算表</w:t>
      </w:r>
      <w:r>
        <w:tab/>
      </w:r>
      <w:r>
        <w:fldChar w:fldCharType="begin"/>
      </w:r>
      <w:r>
        <w:instrText xml:space="preserve"> PAGEREF _Toc873 \h </w:instrText>
      </w:r>
      <w:r>
        <w:fldChar w:fldCharType="separate"/>
      </w:r>
      <w:r>
        <w:t>40</w:t>
      </w:r>
      <w:r>
        <w:fldChar w:fldCharType="end"/>
      </w:r>
      <w:r>
        <w:rPr>
          <w:rFonts w:ascii="方正小标宋简体" w:hAnsi="宋体" w:eastAsia="方正小标宋简体"/>
          <w:szCs w:val="36"/>
        </w:rPr>
        <w:fldChar w:fldCharType="end"/>
      </w:r>
    </w:p>
    <w:p>
      <w:pPr>
        <w:pStyle w:val="11"/>
        <w:tabs>
          <w:tab w:val="right" w:leader="dot" w:pos="8306"/>
          <w:tab w:val="clear" w:pos="8296"/>
        </w:tabs>
      </w:pPr>
      <w:r>
        <w:rPr>
          <w:rFonts w:ascii="方正小标宋简体" w:hAnsi="宋体" w:eastAsia="方正小标宋简体"/>
          <w:szCs w:val="36"/>
        </w:rPr>
        <w:fldChar w:fldCharType="begin"/>
      </w:r>
      <w:r>
        <w:rPr>
          <w:rFonts w:ascii="方正小标宋简体" w:hAnsi="宋体" w:eastAsia="方正小标宋简体"/>
          <w:szCs w:val="36"/>
        </w:rPr>
        <w:instrText xml:space="preserve"> HYPERLINK \l _Toc23008 </w:instrText>
      </w:r>
      <w:r>
        <w:rPr>
          <w:rFonts w:ascii="方正小标宋简体" w:hAnsi="宋体" w:eastAsia="方正小标宋简体"/>
          <w:szCs w:val="36"/>
        </w:rPr>
        <w:fldChar w:fldCharType="separate"/>
      </w:r>
      <w:r>
        <w:rPr>
          <w:rFonts w:hint="eastAsia" w:ascii="仿宋" w:hAnsi="仿宋" w:eastAsia="仿宋"/>
          <w:bCs w:val="0"/>
        </w:rPr>
        <w:t>十四、国有资本经营预算财政拨款支出决算表</w:t>
      </w:r>
      <w:r>
        <w:tab/>
      </w:r>
      <w:r>
        <w:fldChar w:fldCharType="begin"/>
      </w:r>
      <w:r>
        <w:instrText xml:space="preserve"> PAGEREF _Toc23008 \h </w:instrText>
      </w:r>
      <w:r>
        <w:fldChar w:fldCharType="separate"/>
      </w:r>
      <w:r>
        <w:t>40</w:t>
      </w:r>
      <w:r>
        <w:fldChar w:fldCharType="end"/>
      </w:r>
      <w:r>
        <w:rPr>
          <w:rFonts w:ascii="方正小标宋简体" w:hAnsi="宋体" w:eastAsia="方正小标宋简体"/>
          <w:szCs w:val="36"/>
        </w:rPr>
        <w:fldChar w:fldCharType="end"/>
      </w:r>
    </w:p>
    <w:p>
      <w:pPr>
        <w:rPr>
          <w:rFonts w:ascii="方正小标宋简体" w:hAnsi="宋体" w:eastAsia="方正小标宋简体"/>
          <w:sz w:val="36"/>
          <w:szCs w:val="36"/>
        </w:rPr>
      </w:pPr>
      <w:r>
        <w:rPr>
          <w:rFonts w:ascii="方正小标宋简体" w:hAnsi="宋体" w:eastAsia="方正小标宋简体"/>
          <w:szCs w:val="36"/>
        </w:rPr>
        <w:fldChar w:fldCharType="end"/>
      </w:r>
      <w:r>
        <w:rPr>
          <w:rFonts w:ascii="方正小标宋简体" w:hAnsi="宋体" w:eastAsia="方正小标宋简体"/>
          <w:sz w:val="36"/>
          <w:szCs w:val="36"/>
        </w:rPr>
        <w:br w:type="page"/>
      </w:r>
    </w:p>
    <w:p>
      <w:pPr>
        <w:pStyle w:val="3"/>
        <w:jc w:val="center"/>
        <w:rPr>
          <w:rStyle w:val="16"/>
          <w:rFonts w:ascii="黑体" w:hAnsi="黑体" w:eastAsia="黑体"/>
          <w:b/>
          <w:bCs w:val="0"/>
        </w:rPr>
      </w:pPr>
      <w:bookmarkStart w:id="21" w:name="_Toc15377196"/>
      <w:bookmarkStart w:id="22" w:name="_Toc15396599"/>
      <w:bookmarkStart w:id="23" w:name="_Toc3984"/>
      <w:r>
        <w:rPr>
          <w:rFonts w:hint="eastAsia" w:ascii="黑体" w:hAnsi="黑体" w:eastAsia="黑体"/>
          <w:b w:val="0"/>
        </w:rPr>
        <w:t xml:space="preserve">第一部分 </w:t>
      </w:r>
      <w:r>
        <w:rPr>
          <w:rStyle w:val="16"/>
          <w:rFonts w:hint="eastAsia" w:ascii="黑体" w:hAnsi="黑体" w:eastAsia="黑体"/>
          <w:b w:val="0"/>
          <w:bCs w:val="0"/>
        </w:rPr>
        <w:t>部门概况</w:t>
      </w:r>
      <w:bookmarkEnd w:id="21"/>
      <w:bookmarkEnd w:id="22"/>
      <w:bookmarkEnd w:id="23"/>
    </w:p>
    <w:p>
      <w:pPr>
        <w:pStyle w:val="4"/>
        <w:bidi w:val="0"/>
      </w:pPr>
      <w:bookmarkStart w:id="24" w:name="_Toc15396600"/>
      <w:bookmarkStart w:id="25" w:name="_Toc15377197"/>
      <w:bookmarkStart w:id="26" w:name="_Toc3673"/>
      <w:r>
        <w:rPr>
          <w:rFonts w:hint="eastAsia"/>
        </w:rPr>
        <w:t>一、基本职能及主要工作</w:t>
      </w:r>
      <w:bookmarkEnd w:id="24"/>
      <w:bookmarkEnd w:id="25"/>
      <w:bookmarkEnd w:id="26"/>
    </w:p>
    <w:p>
      <w:pPr>
        <w:pStyle w:val="5"/>
        <w:bidi w:val="0"/>
        <w:ind w:firstLine="640" w:firstLineChars="200"/>
        <w:rPr>
          <w:rFonts w:hint="eastAsia" w:ascii="仿宋" w:hAnsi="仿宋" w:eastAsia="仿宋" w:cs="仿宋"/>
          <w:b w:val="0"/>
          <w:bCs/>
        </w:rPr>
      </w:pPr>
      <w:bookmarkStart w:id="27" w:name="_Toc15378445"/>
      <w:bookmarkStart w:id="28" w:name="_Toc15377198"/>
      <w:bookmarkStart w:id="29" w:name="_Toc25727"/>
      <w:r>
        <w:rPr>
          <w:rFonts w:hint="eastAsia" w:ascii="仿宋" w:hAnsi="仿宋" w:eastAsia="仿宋" w:cs="仿宋"/>
          <w:b w:val="0"/>
          <w:bCs/>
        </w:rPr>
        <w:t>（一）</w:t>
      </w:r>
      <w:bookmarkEnd w:id="27"/>
      <w:bookmarkEnd w:id="28"/>
      <w:r>
        <w:rPr>
          <w:rFonts w:hint="eastAsia" w:ascii="仿宋" w:hAnsi="仿宋" w:eastAsia="仿宋" w:cs="仿宋"/>
          <w:b w:val="0"/>
          <w:bCs/>
          <w:lang w:eastAsia="zh-CN"/>
        </w:rPr>
        <w:t>主要职能</w:t>
      </w:r>
      <w:bookmarkEnd w:id="29"/>
    </w:p>
    <w:p>
      <w:pPr>
        <w:widowControl/>
        <w:spacing w:line="560" w:lineRule="exact"/>
        <w:ind w:firstLine="640" w:firstLineChars="200"/>
        <w:jc w:val="left"/>
        <w:rPr>
          <w:rFonts w:hint="eastAsia" w:ascii="仿宋_GB2312" w:hAnsi="Calibri" w:eastAsia="仿宋_GB2312" w:cs="仿宋_GB2312"/>
          <w:sz w:val="32"/>
          <w:szCs w:val="32"/>
          <w:lang w:eastAsia="zh-CN"/>
        </w:rPr>
      </w:pPr>
      <w:bookmarkStart w:id="30" w:name="_Toc15377199"/>
      <w:bookmarkStart w:id="31" w:name="_Toc15378446"/>
      <w:r>
        <w:rPr>
          <w:rFonts w:hint="eastAsia" w:ascii="仿宋_GB2312" w:hAnsi="Calibri" w:eastAsia="仿宋_GB2312" w:cs="仿宋_GB2312"/>
          <w:sz w:val="32"/>
          <w:szCs w:val="32"/>
          <w:lang w:eastAsia="zh-CN"/>
        </w:rPr>
        <w:t>根据中共壤塘县委办公室、壤塘县人民政府办公室批准的《壤塘县审计局职能配置、内设机构和人员编制规定》（壤委办〔201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w:t>
      </w:r>
      <w:r>
        <w:rPr>
          <w:rFonts w:hint="eastAsia" w:ascii="仿宋_GB2312" w:hAnsi="Calibri" w:eastAsia="仿宋_GB2312" w:cs="仿宋_GB2312"/>
          <w:sz w:val="32"/>
          <w:szCs w:val="32"/>
          <w:lang w:val="en-US" w:eastAsia="zh-CN"/>
        </w:rPr>
        <w:t>39</w:t>
      </w:r>
      <w:r>
        <w:rPr>
          <w:rFonts w:hint="eastAsia" w:ascii="仿宋_GB2312" w:hAnsi="Calibri" w:eastAsia="仿宋_GB2312" w:cs="仿宋_GB2312"/>
          <w:sz w:val="32"/>
          <w:szCs w:val="32"/>
          <w:lang w:eastAsia="zh-CN"/>
        </w:rPr>
        <w:t>号）及中共壤塘县委机构编制委员会办公室批准的《壤塘县审计局所属事业单位的设置、职责和编制事项方案》（壤编办〔201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w:t>
      </w:r>
      <w:r>
        <w:rPr>
          <w:rFonts w:hint="eastAsia" w:ascii="仿宋_GB2312" w:hAnsi="Calibri" w:eastAsia="仿宋_GB2312" w:cs="仿宋_GB2312"/>
          <w:sz w:val="32"/>
          <w:szCs w:val="32"/>
          <w:lang w:val="en-US" w:eastAsia="zh-CN"/>
        </w:rPr>
        <w:t>64</w:t>
      </w:r>
      <w:r>
        <w:rPr>
          <w:rFonts w:hint="eastAsia" w:ascii="仿宋_GB2312" w:hAnsi="Calibri" w:eastAsia="仿宋_GB2312" w:cs="仿宋_GB2312"/>
          <w:sz w:val="32"/>
          <w:szCs w:val="32"/>
          <w:lang w:eastAsia="zh-CN"/>
        </w:rPr>
        <w:t>号）的规定，县审计局为县政府工作部门。主要职责是：</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w:t>
      </w:r>
      <w:r>
        <w:rPr>
          <w:rFonts w:hint="eastAsia" w:ascii="仿宋_GB2312" w:hAnsi="Calibri" w:eastAsia="仿宋_GB2312" w:cs="仿宋_GB2312"/>
          <w:b/>
          <w:bCs/>
          <w:sz w:val="32"/>
          <w:szCs w:val="32"/>
          <w:lang w:val="en-US" w:eastAsia="zh-CN"/>
        </w:rPr>
        <w:t>1</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主管全县审计工作。负责对县级财政收支和法律法规规定属于审计监督范围的财务收支的真实、合法和效益进行审计监督，对公共资金、国有资产、国有资源和领导干部履行经济责任情况实行审计全覆盖，对领导干部实行自然资源资产离任审计，对国家和省、州、县有关重大政策措施贯彻落实情况进行跟踪审计。对审计、专项审计调查和核查社会审计机构相关审计报告的结果承担责任，并负有督促被审计单位整改的责任。</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w:t>
      </w:r>
      <w:r>
        <w:rPr>
          <w:rFonts w:hint="eastAsia" w:ascii="仿宋_GB2312" w:hAnsi="Calibri" w:eastAsia="仿宋_GB2312" w:cs="仿宋_GB2312"/>
          <w:b/>
          <w:bCs/>
          <w:sz w:val="32"/>
          <w:szCs w:val="32"/>
          <w:lang w:val="en-US" w:eastAsia="zh-CN"/>
        </w:rPr>
        <w:t>2</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贯彻执行国家和省、州有关审计工作的方针政策和法律法规。拟订本县审计业务规章制度，制定并组织实施审计工作发展规划、专业领域审计工作规划和年度审计计划，对直接审计、调查和核查的事项依法进行审计评价，依法出具审计报告，做出审计决定或提出审计意见和建议。</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w:t>
      </w:r>
      <w:r>
        <w:rPr>
          <w:rFonts w:hint="eastAsia" w:ascii="仿宋_GB2312" w:hAnsi="Calibri" w:eastAsia="仿宋_GB2312" w:cs="仿宋_GB2312"/>
          <w:b/>
          <w:bCs/>
          <w:sz w:val="32"/>
          <w:szCs w:val="32"/>
          <w:lang w:val="en-US" w:eastAsia="zh-CN"/>
        </w:rPr>
        <w:t>3</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向县委审计委员会、县人民政府和阿坝州审计局提出年度县本级预算执行和其他财政收支情况的审计报告，受县人民政府委托向县人大常委会提出县本级预算执行和其他财政收支情况的审计工作报告；向县人民政府提出政府投资工程项目投资管理和财务收支情况的审计结果报告，受县人民政府委托向县人大常委会提出政府投资工程项目投资管理和财务收支情况的审计工作报告；向县人民政府和州审计局报告对其他事项的审计和专项审计调查情况及结果，依法向社会公布审计结果。</w:t>
      </w:r>
    </w:p>
    <w:p>
      <w:pPr>
        <w:widowControl/>
        <w:spacing w:line="560" w:lineRule="exact"/>
        <w:ind w:firstLine="643" w:firstLineChars="200"/>
        <w:jc w:val="left"/>
        <w:rPr>
          <w:rFonts w:hint="eastAsia" w:ascii="仿宋_GB2312" w:hAnsi="Calibri" w:eastAsia="仿宋_GB2312" w:cs="仿宋_GB2312"/>
          <w:b/>
          <w:bCs/>
          <w:sz w:val="32"/>
          <w:szCs w:val="32"/>
          <w:lang w:eastAsia="zh-CN"/>
        </w:rPr>
      </w:pPr>
      <w:r>
        <w:rPr>
          <w:rFonts w:hint="eastAsia" w:ascii="仿宋_GB2312" w:hAnsi="Calibri" w:eastAsia="仿宋_GB2312" w:cs="仿宋_GB2312"/>
          <w:b/>
          <w:bCs/>
          <w:sz w:val="32"/>
          <w:szCs w:val="32"/>
          <w:lang w:eastAsia="zh-CN"/>
        </w:rPr>
        <w:t>（</w:t>
      </w:r>
      <w:r>
        <w:rPr>
          <w:rFonts w:hint="eastAsia" w:ascii="仿宋_GB2312" w:hAnsi="Calibri" w:eastAsia="仿宋_GB2312" w:cs="仿宋_GB2312"/>
          <w:b/>
          <w:bCs/>
          <w:sz w:val="32"/>
          <w:szCs w:val="32"/>
          <w:lang w:val="en-US" w:eastAsia="zh-CN"/>
        </w:rPr>
        <w:t>4</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直接审计下列事项，出具审计报告，在法定职权范围内作出审计决定，包括国家和省、州、县有关重大政策措施贯彻落实情况。县级预算执行情况和其他财政收支，县直各部门（含直属单位）预算执行情况、决算草案和其他财政收支。各乡（镇）政府预算执行情况、决算草案和其他财政收支，县级财政转移支付资金。使用县级财政资金的事业单位（含直属单位）和社会团体的财务收支。县级政府投资和以县级政府投资为主的建设项目的预算执行情况和决算，县级重大公共工程项目的资金管理使用和建设运营情况。自然资源管理、污染防治和生态保护与修复情况。县属国有企业和地方金融机构，县属国有资本占控股或主导地位的企业的资产、负债和损益。有关社会保障基金、社会捐赠资金、安全生产和职业健康财政资金以及其他基金、资金的财务收支。上级审计机关授权审计的驻县单位和直属企事业单位的财务收支和经济效益，以及国际组织和外国政府贷款、援助项目的财务收支。法律法规规定应由县审计局审计的其他事项。</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w:t>
      </w:r>
      <w:r>
        <w:rPr>
          <w:rFonts w:hint="eastAsia" w:ascii="仿宋_GB2312" w:hAnsi="Calibri" w:eastAsia="仿宋_GB2312" w:cs="仿宋_GB2312"/>
          <w:b/>
          <w:bCs/>
          <w:sz w:val="32"/>
          <w:szCs w:val="32"/>
          <w:lang w:val="en-US" w:eastAsia="zh-CN"/>
        </w:rPr>
        <w:t>5</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加强重大项目稽查，监督重大建设项目资金安全，提高投资效益。</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（6）</w:t>
      </w:r>
      <w:r>
        <w:rPr>
          <w:rFonts w:hint="eastAsia" w:ascii="仿宋_GB2312" w:hAnsi="Calibri" w:eastAsia="仿宋_GB2312" w:cs="仿宋_GB2312"/>
          <w:sz w:val="32"/>
          <w:szCs w:val="32"/>
          <w:lang w:eastAsia="zh-CN"/>
        </w:rPr>
        <w:t>按规定对县管党政主要领导干部及其他单位主要负责人实施经济责任审计和自然资源资产离任审计。</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（7）</w:t>
      </w:r>
      <w:r>
        <w:rPr>
          <w:rFonts w:hint="eastAsia" w:ascii="仿宋_GB2312" w:hAnsi="Calibri" w:eastAsia="仿宋_GB2312" w:cs="仿宋_GB2312"/>
          <w:sz w:val="32"/>
          <w:szCs w:val="32"/>
          <w:lang w:eastAsia="zh-CN"/>
        </w:rPr>
        <w:t>组织实施对国家财经法律法规、规章、政策和宏观调控措施执行情况、财政预算管理及国有资产管理使用等与县级财政收支有关的特定事项进行专项审计调查。</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（8）</w:t>
      </w:r>
      <w:r>
        <w:rPr>
          <w:rFonts w:hint="eastAsia" w:ascii="仿宋_GB2312" w:hAnsi="Calibri" w:eastAsia="仿宋_GB2312" w:cs="仿宋_GB2312"/>
          <w:sz w:val="32"/>
          <w:szCs w:val="32"/>
          <w:lang w:eastAsia="zh-CN"/>
        </w:rPr>
        <w:t>依法检查审计决定执行情况，督促整改审计查出的问题，依法办理被审计单位对审计决定提请行政复议、行政诉讼或县政府裁决中的有关事项，协助配合有关部门查处相关重大案件。</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（9）</w:t>
      </w:r>
      <w:r>
        <w:rPr>
          <w:rFonts w:hint="eastAsia" w:ascii="仿宋_GB2312" w:hAnsi="Calibri" w:eastAsia="仿宋_GB2312" w:cs="仿宋_GB2312"/>
          <w:sz w:val="32"/>
          <w:szCs w:val="32"/>
          <w:lang w:eastAsia="zh-CN"/>
        </w:rPr>
        <w:t>指导和监督内部审计工作，核查社会审计机构对依法属于审计监督对象的单位出具的相关审计报告。</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（10）</w:t>
      </w:r>
      <w:r>
        <w:rPr>
          <w:rFonts w:hint="eastAsia" w:ascii="仿宋_GB2312" w:hAnsi="Calibri" w:eastAsia="仿宋_GB2312" w:cs="仿宋_GB2312"/>
          <w:sz w:val="32"/>
          <w:szCs w:val="32"/>
          <w:lang w:eastAsia="zh-CN"/>
        </w:rPr>
        <w:t xml:space="preserve">组织实施审计信息化建设规划、制度，强化审计数据采集、管理和使用。 </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（11）</w:t>
      </w:r>
      <w:r>
        <w:rPr>
          <w:rFonts w:hint="eastAsia" w:ascii="仿宋_GB2312" w:hAnsi="Calibri" w:eastAsia="仿宋_GB2312" w:cs="仿宋_GB2312"/>
          <w:sz w:val="32"/>
          <w:szCs w:val="32"/>
          <w:lang w:eastAsia="zh-CN"/>
        </w:rPr>
        <w:t>负责职责范围内的安全生产和职业健康、生态环境保护、审批服务便民化等工作。</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（12）</w:t>
      </w:r>
      <w:r>
        <w:rPr>
          <w:rFonts w:hint="eastAsia" w:ascii="仿宋_GB2312" w:hAnsi="Calibri" w:eastAsia="仿宋_GB2312" w:cs="仿宋_GB2312"/>
          <w:sz w:val="32"/>
          <w:szCs w:val="32"/>
          <w:lang w:eastAsia="zh-CN"/>
        </w:rPr>
        <w:t>完成县委和县政府交办的其他任务。</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（13）</w:t>
      </w:r>
      <w:r>
        <w:rPr>
          <w:rFonts w:hint="eastAsia" w:ascii="仿宋_GB2312" w:hAnsi="Calibri" w:eastAsia="仿宋_GB2312" w:cs="仿宋_GB2312"/>
          <w:sz w:val="32"/>
          <w:szCs w:val="32"/>
          <w:lang w:eastAsia="zh-CN"/>
        </w:rPr>
        <w:t>职能转变。进一步完善审计管理体制，加强全县审计工作统筹，明晰县审计机关职能定位，理顺内部职责关系，优化审计资源配置，充实加强一线审计力量，构建集中统一、全面覆盖、权威高效的审计监督体系。优化审计工作机制，坚持科技强审，完善业务流程，改进工作方式，加强与有关部门的沟通协调，充分调动内部审计和社会审计力量，增强监督合力。</w:t>
      </w:r>
    </w:p>
    <w:p>
      <w:pPr>
        <w:spacing w:line="560" w:lineRule="exact"/>
        <w:ind w:firstLine="643" w:firstLineChars="200"/>
        <w:rPr>
          <w:rFonts w:ascii="楷体" w:hAnsi="楷体" w:eastAsia="楷体"/>
          <w:b/>
          <w:bCs/>
          <w:sz w:val="32"/>
          <w:szCs w:val="32"/>
        </w:rPr>
      </w:pPr>
      <w:r>
        <w:rPr>
          <w:rFonts w:hint="eastAsia" w:ascii="楷体" w:hAnsi="楷体" w:eastAsia="楷体" w:cs="楷体"/>
          <w:b/>
          <w:bCs/>
          <w:sz w:val="32"/>
          <w:szCs w:val="32"/>
        </w:rPr>
        <w:t>主要工作任务</w:t>
      </w:r>
    </w:p>
    <w:p>
      <w:pPr>
        <w:widowControl/>
        <w:spacing w:line="560" w:lineRule="exact"/>
        <w:ind w:firstLine="643" w:firstLineChars="200"/>
        <w:jc w:val="left"/>
        <w:rPr>
          <w:rFonts w:hint="eastAsia" w:ascii="仿宋_GB2312" w:hAnsi="Calibri" w:eastAsia="仿宋_GB2312" w:cs="仿宋_GB2312"/>
          <w:b/>
          <w:bCs/>
          <w:sz w:val="32"/>
          <w:szCs w:val="32"/>
          <w:lang w:eastAsia="zh-CN"/>
        </w:rPr>
      </w:pPr>
      <w:r>
        <w:rPr>
          <w:rFonts w:hint="eastAsia" w:ascii="仿宋_GB2312" w:hAnsi="Calibri" w:eastAsia="仿宋_GB2312" w:cs="仿宋_GB2312"/>
          <w:b/>
          <w:bCs/>
          <w:sz w:val="32"/>
          <w:szCs w:val="32"/>
          <w:lang w:eastAsia="zh-CN"/>
        </w:rPr>
        <w:t>20</w:t>
      </w:r>
      <w:r>
        <w:rPr>
          <w:rFonts w:hint="eastAsia" w:ascii="仿宋_GB2312" w:hAnsi="Calibri" w:eastAsia="仿宋_GB2312" w:cs="仿宋_GB2312"/>
          <w:b/>
          <w:bCs/>
          <w:sz w:val="32"/>
          <w:szCs w:val="32"/>
          <w:lang w:val="en-US" w:eastAsia="zh-CN"/>
        </w:rPr>
        <w:t>20</w:t>
      </w:r>
      <w:r>
        <w:rPr>
          <w:rFonts w:hint="eastAsia" w:ascii="仿宋_GB2312" w:hAnsi="Calibri" w:eastAsia="仿宋_GB2312" w:cs="仿宋_GB2312"/>
          <w:b/>
          <w:bCs/>
          <w:sz w:val="32"/>
          <w:szCs w:val="32"/>
          <w:lang w:eastAsia="zh-CN"/>
        </w:rPr>
        <w:t>年主要工作任务是：</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w:t>
      </w:r>
      <w:r>
        <w:rPr>
          <w:rFonts w:hint="eastAsia" w:ascii="仿宋_GB2312" w:hAnsi="Calibri" w:eastAsia="仿宋_GB2312" w:cs="仿宋_GB2312"/>
          <w:b/>
          <w:bCs/>
          <w:sz w:val="32"/>
          <w:szCs w:val="32"/>
          <w:lang w:val="en-US" w:eastAsia="zh-CN"/>
        </w:rPr>
        <w:t>1</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年县级财政预算执行情况和其他财政收支；</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w:t>
      </w:r>
      <w:r>
        <w:rPr>
          <w:rFonts w:hint="eastAsia" w:ascii="仿宋_GB2312" w:hAnsi="Calibri" w:eastAsia="仿宋_GB2312" w:cs="仿宋_GB2312"/>
          <w:b/>
          <w:bCs/>
          <w:sz w:val="32"/>
          <w:szCs w:val="32"/>
          <w:lang w:val="en-US" w:eastAsia="zh-CN"/>
        </w:rPr>
        <w:t>2</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县级各部门财务收支、县人民政府有关部门管理和受县人民政府委托由社会团体管理的社会保障基金、环境保护资金、社会捐赠资金及其他有关基金、资金的财务收支；</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w:t>
      </w:r>
      <w:r>
        <w:rPr>
          <w:rFonts w:hint="eastAsia" w:ascii="仿宋_GB2312" w:hAnsi="Calibri" w:eastAsia="仿宋_GB2312" w:cs="仿宋_GB2312"/>
          <w:b/>
          <w:bCs/>
          <w:sz w:val="32"/>
          <w:szCs w:val="32"/>
          <w:lang w:val="en-US" w:eastAsia="zh-CN"/>
        </w:rPr>
        <w:t>3</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组织实施对贯彻执行国家财经方针政策和区域经济调控措施情况的行业审计、专项审计和审计调查，农业专项资金、资源能源和生态环境保护资金、扶贫开发和大中型水库移民资金等；</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w:t>
      </w:r>
      <w:r>
        <w:rPr>
          <w:rFonts w:hint="eastAsia" w:ascii="仿宋_GB2312" w:hAnsi="Calibri" w:eastAsia="仿宋_GB2312" w:cs="仿宋_GB2312"/>
          <w:b/>
          <w:bCs/>
          <w:sz w:val="32"/>
          <w:szCs w:val="32"/>
          <w:lang w:val="en-US" w:eastAsia="zh-CN"/>
        </w:rPr>
        <w:t>4</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对县级党政机关及乡镇主要领导干部进行任期经济责任审计；</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w:t>
      </w:r>
      <w:r>
        <w:rPr>
          <w:rFonts w:hint="eastAsia" w:ascii="仿宋_GB2312" w:hAnsi="Calibri" w:eastAsia="仿宋_GB2312" w:cs="仿宋_GB2312"/>
          <w:b/>
          <w:bCs/>
          <w:sz w:val="32"/>
          <w:szCs w:val="32"/>
          <w:lang w:val="en-US" w:eastAsia="zh-CN"/>
        </w:rPr>
        <w:t>5</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负责审计壤塘县政府投资和以县政府投资为主的建设项目的预算执行情况和结（决）算、县管国家重大工程项目资金的筹集、使用情况；组织对县管其他国家建设项目的审计监督；开展相关专项审计调查；组织协调对社会审计机构出具的属于审计机关审计监督对象的单位的相关审计报告核查工作；负责对县内对投资较大、建设周期较长或者关系国计民生的重点建设项目全程跟踪审计监督等。</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w:t>
      </w:r>
      <w:r>
        <w:rPr>
          <w:rFonts w:hint="eastAsia" w:ascii="仿宋_GB2312" w:hAnsi="Calibri" w:eastAsia="仿宋_GB2312" w:cs="仿宋_GB2312"/>
          <w:b/>
          <w:bCs/>
          <w:sz w:val="32"/>
          <w:szCs w:val="32"/>
          <w:lang w:val="en-US" w:eastAsia="zh-CN"/>
        </w:rPr>
        <w:t>6</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承办县政府交办的其他事项。</w:t>
      </w:r>
    </w:p>
    <w:p>
      <w:pPr>
        <w:pStyle w:val="2"/>
        <w:rPr>
          <w:rFonts w:hint="eastAsia"/>
          <w:lang w:eastAsia="zh-CN"/>
        </w:rPr>
      </w:pPr>
    </w:p>
    <w:p>
      <w:pPr>
        <w:pStyle w:val="5"/>
        <w:bidi w:val="0"/>
        <w:ind w:firstLine="640" w:firstLineChars="200"/>
        <w:rPr>
          <w:rFonts w:hint="eastAsia" w:ascii="仿宋" w:hAnsi="仿宋" w:eastAsia="仿宋" w:cs="仿宋"/>
          <w:b w:val="0"/>
          <w:bCs/>
        </w:rPr>
      </w:pPr>
      <w:bookmarkStart w:id="32" w:name="_Toc13887"/>
      <w:r>
        <w:rPr>
          <w:rFonts w:hint="eastAsia" w:ascii="仿宋" w:hAnsi="仿宋" w:eastAsia="仿宋" w:cs="仿宋"/>
          <w:b w:val="0"/>
          <w:bCs/>
        </w:rPr>
        <w:t>（二）20</w:t>
      </w:r>
      <w:r>
        <w:rPr>
          <w:rFonts w:hint="eastAsia" w:ascii="仿宋" w:hAnsi="仿宋" w:eastAsia="仿宋" w:cs="仿宋"/>
          <w:b w:val="0"/>
          <w:bCs/>
          <w:lang w:val="en-US" w:eastAsia="zh-CN"/>
        </w:rPr>
        <w:t>20</w:t>
      </w:r>
      <w:r>
        <w:rPr>
          <w:rFonts w:hint="eastAsia" w:ascii="仿宋" w:hAnsi="仿宋" w:eastAsia="仿宋" w:cs="仿宋"/>
          <w:b w:val="0"/>
          <w:bCs/>
        </w:rPr>
        <w:t>年重点工作完成情况。</w:t>
      </w:r>
      <w:bookmarkEnd w:id="30"/>
      <w:bookmarkEnd w:id="31"/>
      <w:bookmarkEnd w:id="32"/>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完成年内计划审计项目及县政府临时交办的其他事宜，其中：每个季度重大政策跟踪审计；“三公经费”审计；本级预算执行及其他财政资金审计；扶贫资金审计；经济责任审计；固定资产投资审计；自然资源审计；财政专项审计；投资结算审计等项目审计。以及完成了审计局日常事务、办公室党建、党风廉政建设及财务日常事务 。</w:t>
      </w:r>
    </w:p>
    <w:p>
      <w:pPr>
        <w:pStyle w:val="4"/>
        <w:bidi w:val="0"/>
      </w:pPr>
      <w:bookmarkStart w:id="33" w:name="_Toc15396601"/>
      <w:bookmarkStart w:id="34" w:name="_Toc15377200"/>
      <w:bookmarkStart w:id="35" w:name="_Toc8535"/>
      <w:r>
        <w:rPr>
          <w:rFonts w:hint="eastAsia"/>
        </w:rPr>
        <w:t>二、机构设置</w:t>
      </w:r>
      <w:bookmarkEnd w:id="33"/>
      <w:bookmarkEnd w:id="34"/>
      <w:bookmarkEnd w:id="35"/>
    </w:p>
    <w:p>
      <w:pPr>
        <w:spacing w:line="560" w:lineRule="exact"/>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（一）</w:t>
      </w:r>
      <w:r>
        <w:rPr>
          <w:rFonts w:hint="eastAsia" w:ascii="仿宋" w:hAnsi="仿宋" w:eastAsia="仿宋" w:cs="仿宋"/>
          <w:b w:val="0"/>
          <w:bCs w:val="0"/>
          <w:sz w:val="32"/>
          <w:szCs w:val="32"/>
        </w:rPr>
        <w:t>本部门机构</w:t>
      </w:r>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壤塘县审计局属一级预算单位，其中行政单位1个。下设股所级事业单位壤塘县投资审计中心及壤塘县审计事务服务中心。其中内设机构三股一办，即：综合办、财政金融和行政事业审计股、经济责任审计股、固定资产和经贸审计股。</w:t>
      </w:r>
    </w:p>
    <w:p>
      <w:pPr>
        <w:spacing w:line="560" w:lineRule="exact"/>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（二）</w:t>
      </w:r>
      <w:r>
        <w:rPr>
          <w:rFonts w:hint="eastAsia" w:ascii="仿宋" w:hAnsi="仿宋" w:eastAsia="仿宋" w:cs="仿宋"/>
          <w:b w:val="0"/>
          <w:bCs w:val="0"/>
          <w:sz w:val="32"/>
          <w:szCs w:val="32"/>
        </w:rPr>
        <w:t>人员情况</w:t>
      </w:r>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总编制15名,其中:行政编制7名,机关工勤人员编制1  名，事业编制7名(投资审计中心)。在职人员总数13名，其中：行政人员7名、工勤人员1名、事业人员5名。编外长期聘用投资审计人员1名，退休人员4人，遗属人员2人。</w:t>
      </w:r>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我局2020年12月底新进一名事业人员，该人员工资2021年1月开始由我局发放。</w:t>
      </w:r>
    </w:p>
    <w:p>
      <w:pPr>
        <w:spacing w:line="560" w:lineRule="exact"/>
        <w:ind w:firstLine="640" w:firstLineChars="200"/>
        <w:rPr>
          <w:rFonts w:ascii="仿宋" w:hAnsi="仿宋" w:eastAsia="仿宋"/>
          <w:sz w:val="32"/>
          <w:szCs w:val="32"/>
        </w:rPr>
      </w:pPr>
    </w:p>
    <w:p>
      <w:pPr>
        <w:pStyle w:val="6"/>
        <w:adjustRightInd w:val="0"/>
        <w:snapToGrid w:val="0"/>
        <w:spacing w:before="93" w:line="600" w:lineRule="exact"/>
        <w:ind w:firstLine="1120" w:firstLineChars="350"/>
        <w:rPr>
          <w:rFonts w:ascii="仿宋" w:hAnsi="仿宋" w:eastAsia="仿宋" w:cs="Times New Roman"/>
          <w:color w:val="000000"/>
          <w:sz w:val="32"/>
          <w:szCs w:val="32"/>
        </w:rPr>
      </w:pPr>
    </w:p>
    <w:p>
      <w:pPr>
        <w:widowControl/>
        <w:jc w:val="left"/>
        <w:rPr>
          <w:rFonts w:ascii="仿宋" w:hAnsi="仿宋" w:eastAsia="仿宋"/>
          <w:color w:val="000000"/>
          <w:kern w:val="0"/>
          <w:sz w:val="32"/>
          <w:szCs w:val="32"/>
        </w:rPr>
      </w:pPr>
    </w:p>
    <w:p>
      <w:pPr>
        <w:pStyle w:val="3"/>
        <w:bidi w:val="0"/>
        <w:jc w:val="center"/>
        <w:rPr>
          <w:rFonts w:hint="eastAsia" w:ascii="黑体" w:hAnsi="黑体" w:eastAsia="黑体" w:cs="黑体"/>
        </w:rPr>
      </w:pPr>
      <w:bookmarkStart w:id="36" w:name="_Toc15396602"/>
      <w:bookmarkStart w:id="37" w:name="_Toc15377204"/>
      <w:bookmarkStart w:id="38" w:name="_Toc26678"/>
      <w:r>
        <w:rPr>
          <w:rFonts w:hint="eastAsia" w:ascii="黑体" w:hAnsi="黑体" w:eastAsia="黑体" w:cs="黑体"/>
        </w:rPr>
        <w:t>第二部分 20</w:t>
      </w:r>
      <w:r>
        <w:rPr>
          <w:rFonts w:hint="eastAsia" w:ascii="黑体" w:hAnsi="黑体" w:eastAsia="黑体" w:cs="黑体"/>
          <w:lang w:val="en-US" w:eastAsia="zh-CN"/>
        </w:rPr>
        <w:t>20</w:t>
      </w:r>
      <w:r>
        <w:rPr>
          <w:rFonts w:hint="eastAsia" w:ascii="黑体" w:hAnsi="黑体" w:eastAsia="黑体" w:cs="黑体"/>
        </w:rPr>
        <w:t>年度部门决算情况说明</w:t>
      </w:r>
      <w:bookmarkEnd w:id="36"/>
      <w:bookmarkEnd w:id="37"/>
      <w:bookmarkEnd w:id="38"/>
    </w:p>
    <w:p/>
    <w:p>
      <w:pPr>
        <w:pStyle w:val="4"/>
        <w:numPr>
          <w:ilvl w:val="0"/>
          <w:numId w:val="1"/>
        </w:numPr>
        <w:bidi w:val="0"/>
      </w:pPr>
      <w:bookmarkStart w:id="39" w:name="_Toc15377205"/>
      <w:bookmarkStart w:id="40" w:name="_Toc15396603"/>
      <w:bookmarkStart w:id="41" w:name="_Toc16278"/>
      <w:r>
        <w:rPr>
          <w:rFonts w:hint="eastAsia"/>
        </w:rPr>
        <w:t>收入支出决算总体情况说明</w:t>
      </w:r>
      <w:bookmarkEnd w:id="39"/>
      <w:bookmarkEnd w:id="40"/>
      <w:bookmarkEnd w:id="41"/>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20</w:t>
      </w:r>
      <w:r>
        <w:rPr>
          <w:rFonts w:hint="eastAsia" w:ascii="仿宋_GB2312" w:hAnsi="Calibri" w:eastAsia="仿宋_GB2312" w:cs="仿宋_GB2312"/>
          <w:sz w:val="32"/>
          <w:szCs w:val="32"/>
          <w:lang w:val="en-US" w:eastAsia="zh-CN"/>
        </w:rPr>
        <w:t>20</w:t>
      </w:r>
      <w:r>
        <w:rPr>
          <w:rFonts w:hint="eastAsia" w:ascii="仿宋_GB2312" w:hAnsi="Calibri" w:eastAsia="仿宋_GB2312" w:cs="仿宋_GB2312"/>
          <w:sz w:val="32"/>
          <w:szCs w:val="32"/>
          <w:lang w:eastAsia="zh-CN"/>
        </w:rPr>
        <w:t>年度年初结转和结余</w:t>
      </w:r>
      <w:r>
        <w:rPr>
          <w:rFonts w:hint="eastAsia" w:ascii="仿宋_GB2312" w:hAnsi="Calibri" w:eastAsia="仿宋_GB2312" w:cs="仿宋_GB2312"/>
          <w:sz w:val="32"/>
          <w:szCs w:val="32"/>
          <w:lang w:val="en-US" w:eastAsia="zh-CN"/>
        </w:rPr>
        <w:t>6.80</w:t>
      </w:r>
      <w:r>
        <w:rPr>
          <w:rFonts w:hint="eastAsia" w:ascii="仿宋_GB2312" w:hAnsi="Calibri" w:eastAsia="仿宋_GB2312" w:cs="仿宋_GB2312"/>
          <w:sz w:val="32"/>
          <w:szCs w:val="32"/>
          <w:lang w:eastAsia="zh-CN"/>
        </w:rPr>
        <w:t>万元，</w:t>
      </w:r>
      <w:r>
        <w:rPr>
          <w:rFonts w:hint="eastAsia" w:ascii="仿宋_GB2312" w:hAnsi="Calibri" w:eastAsia="仿宋_GB2312" w:cs="仿宋_GB2312"/>
          <w:sz w:val="32"/>
          <w:szCs w:val="32"/>
          <w:lang w:val="en-US" w:eastAsia="zh-CN"/>
        </w:rPr>
        <w:t>2020</w:t>
      </w:r>
      <w:r>
        <w:rPr>
          <w:rFonts w:hint="eastAsia" w:ascii="仿宋_GB2312" w:hAnsi="Calibri" w:eastAsia="仿宋_GB2312" w:cs="仿宋_GB2312"/>
          <w:sz w:val="32"/>
          <w:szCs w:val="32"/>
          <w:lang w:eastAsia="zh-CN"/>
        </w:rPr>
        <w:t>年本年收入决算总额为</w:t>
      </w:r>
      <w:r>
        <w:rPr>
          <w:rFonts w:hint="eastAsia" w:ascii="仿宋_GB2312" w:hAnsi="Calibri" w:eastAsia="仿宋_GB2312" w:cs="仿宋_GB2312"/>
          <w:sz w:val="32"/>
          <w:szCs w:val="32"/>
          <w:lang w:val="en-US" w:eastAsia="zh-CN"/>
        </w:rPr>
        <w:t>455.61万</w:t>
      </w:r>
      <w:r>
        <w:rPr>
          <w:rFonts w:hint="eastAsia" w:ascii="仿宋_GB2312" w:hAnsi="Calibri" w:eastAsia="仿宋_GB2312" w:cs="仿宋_GB2312"/>
          <w:sz w:val="32"/>
          <w:szCs w:val="32"/>
          <w:lang w:eastAsia="zh-CN"/>
        </w:rPr>
        <w:t>元，其中：一般公共预算财政拨款收入</w:t>
      </w:r>
      <w:r>
        <w:rPr>
          <w:rFonts w:hint="eastAsia" w:ascii="仿宋_GB2312" w:hAnsi="Calibri" w:eastAsia="仿宋_GB2312" w:cs="仿宋_GB2312"/>
          <w:sz w:val="32"/>
          <w:szCs w:val="32"/>
          <w:lang w:val="en-US" w:eastAsia="zh-CN"/>
        </w:rPr>
        <w:t>455.61</w:t>
      </w:r>
      <w:r>
        <w:rPr>
          <w:rFonts w:hint="eastAsia" w:ascii="仿宋_GB2312" w:hAnsi="Calibri" w:eastAsia="仿宋_GB2312" w:cs="仿宋_GB2312"/>
          <w:sz w:val="32"/>
          <w:szCs w:val="32"/>
          <w:lang w:eastAsia="zh-CN"/>
        </w:rPr>
        <w:t>万元。与201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年相比，本年收入增加</w:t>
      </w:r>
      <w:r>
        <w:rPr>
          <w:rFonts w:hint="eastAsia" w:ascii="仿宋_GB2312" w:hAnsi="Calibri" w:eastAsia="仿宋_GB2312" w:cs="仿宋_GB2312"/>
          <w:sz w:val="32"/>
          <w:szCs w:val="32"/>
          <w:lang w:val="en-US" w:eastAsia="zh-CN"/>
        </w:rPr>
        <w:t>51.22</w:t>
      </w:r>
      <w:r>
        <w:rPr>
          <w:rFonts w:hint="eastAsia" w:ascii="仿宋_GB2312" w:hAnsi="Calibri" w:eastAsia="仿宋_GB2312" w:cs="仿宋_GB2312"/>
          <w:sz w:val="32"/>
          <w:szCs w:val="32"/>
          <w:lang w:eastAsia="zh-CN"/>
        </w:rPr>
        <w:t>万元，增长12.6</w:t>
      </w:r>
      <w:r>
        <w:rPr>
          <w:rFonts w:hint="eastAsia" w:ascii="仿宋_GB2312" w:hAnsi="Calibri" w:eastAsia="仿宋_GB2312" w:cs="仿宋_GB2312"/>
          <w:sz w:val="32"/>
          <w:szCs w:val="32"/>
          <w:lang w:val="en-US" w:eastAsia="zh-CN"/>
        </w:rPr>
        <w:t>7</w:t>
      </w:r>
      <w:r>
        <w:rPr>
          <w:rFonts w:hint="eastAsia" w:ascii="仿宋_GB2312" w:hAnsi="Calibri" w:eastAsia="仿宋_GB2312" w:cs="仿宋_GB2312"/>
          <w:sz w:val="32"/>
          <w:szCs w:val="32"/>
          <w:lang w:eastAsia="zh-CN"/>
        </w:rPr>
        <w:t>%。主要变动原因是人员工资增加导致人员经费增加、工程结算审计费增加、物价上涨、工作经费增加等。</w:t>
      </w:r>
    </w:p>
    <w:p>
      <w:pPr>
        <w:widowControl/>
        <w:spacing w:line="560" w:lineRule="exact"/>
        <w:ind w:firstLine="640" w:firstLineChars="200"/>
        <w:jc w:val="left"/>
        <w:rPr>
          <w:rFonts w:ascii="仿宋" w:hAnsi="仿宋" w:eastAsia="仿宋"/>
          <w:color w:val="000000"/>
          <w:sz w:val="32"/>
          <w:szCs w:val="32"/>
        </w:rPr>
      </w:pPr>
      <w:r>
        <w:rPr>
          <w:rFonts w:hint="eastAsia" w:ascii="仿宋_GB2312" w:hAnsi="Calibri" w:eastAsia="仿宋_GB2312" w:cs="仿宋_GB2312"/>
          <w:sz w:val="32"/>
          <w:szCs w:val="32"/>
          <w:lang w:val="en-US" w:eastAsia="zh-CN"/>
        </w:rPr>
        <w:t>2020</w:t>
      </w:r>
      <w:r>
        <w:rPr>
          <w:rFonts w:hint="eastAsia" w:ascii="仿宋_GB2312" w:hAnsi="Calibri" w:eastAsia="仿宋_GB2312" w:cs="仿宋_GB2312"/>
          <w:sz w:val="32"/>
          <w:szCs w:val="32"/>
          <w:lang w:eastAsia="zh-CN"/>
        </w:rPr>
        <w:t>年本年支出决算总额为</w:t>
      </w:r>
      <w:r>
        <w:rPr>
          <w:rFonts w:hint="eastAsia" w:ascii="仿宋_GB2312" w:hAnsi="Calibri" w:eastAsia="仿宋_GB2312" w:cs="仿宋_GB2312"/>
          <w:sz w:val="32"/>
          <w:szCs w:val="32"/>
          <w:lang w:val="en-US" w:eastAsia="zh-CN"/>
        </w:rPr>
        <w:t>462.41</w:t>
      </w:r>
      <w:r>
        <w:rPr>
          <w:rFonts w:hint="eastAsia" w:ascii="仿宋_GB2312" w:hAnsi="Calibri" w:eastAsia="仿宋_GB2312" w:cs="仿宋_GB2312"/>
          <w:sz w:val="32"/>
          <w:szCs w:val="32"/>
          <w:lang w:eastAsia="zh-CN"/>
        </w:rPr>
        <w:t>万元，其中：基本支出</w:t>
      </w:r>
      <w:r>
        <w:rPr>
          <w:rFonts w:hint="eastAsia" w:ascii="仿宋_GB2312" w:hAnsi="Calibri" w:eastAsia="仿宋_GB2312" w:cs="仿宋_GB2312"/>
          <w:sz w:val="32"/>
          <w:szCs w:val="32"/>
          <w:lang w:val="en-US" w:eastAsia="zh-CN"/>
        </w:rPr>
        <w:t>244.83</w:t>
      </w:r>
      <w:r>
        <w:rPr>
          <w:rFonts w:hint="eastAsia" w:ascii="仿宋_GB2312" w:hAnsi="Calibri" w:eastAsia="仿宋_GB2312" w:cs="仿宋_GB2312"/>
          <w:sz w:val="32"/>
          <w:szCs w:val="32"/>
          <w:lang w:eastAsia="zh-CN"/>
        </w:rPr>
        <w:t>万元、项目支出</w:t>
      </w:r>
      <w:r>
        <w:rPr>
          <w:rFonts w:hint="eastAsia" w:ascii="仿宋_GB2312" w:hAnsi="Calibri" w:eastAsia="仿宋_GB2312" w:cs="仿宋_GB2312"/>
          <w:sz w:val="32"/>
          <w:szCs w:val="32"/>
          <w:lang w:val="en-US" w:eastAsia="zh-CN"/>
        </w:rPr>
        <w:t>217.58</w:t>
      </w:r>
      <w:r>
        <w:rPr>
          <w:rFonts w:hint="eastAsia" w:ascii="仿宋_GB2312" w:hAnsi="Calibri" w:eastAsia="仿宋_GB2312" w:cs="仿宋_GB2312"/>
          <w:sz w:val="32"/>
          <w:szCs w:val="32"/>
          <w:lang w:eastAsia="zh-CN"/>
        </w:rPr>
        <w:t>万元。与201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年相比，支出总计增加</w:t>
      </w:r>
      <w:r>
        <w:rPr>
          <w:rFonts w:hint="eastAsia" w:ascii="仿宋_GB2312" w:hAnsi="Calibri" w:eastAsia="仿宋_GB2312" w:cs="仿宋_GB2312"/>
          <w:sz w:val="32"/>
          <w:szCs w:val="32"/>
          <w:lang w:val="en-US" w:eastAsia="zh-CN"/>
        </w:rPr>
        <w:t>54.55</w:t>
      </w:r>
      <w:r>
        <w:rPr>
          <w:rFonts w:hint="eastAsia" w:ascii="仿宋_GB2312" w:hAnsi="Calibri" w:eastAsia="仿宋_GB2312" w:cs="仿宋_GB2312"/>
          <w:sz w:val="32"/>
          <w:szCs w:val="32"/>
          <w:lang w:eastAsia="zh-CN"/>
        </w:rPr>
        <w:t>万元，增长13.38%。主要变动原因是人员工资增加导致人员经费增加、工程结算审计费增加、物价上涨、工作经费增加等。</w:t>
      </w:r>
    </w:p>
    <w:p>
      <w:pPr>
        <w:pStyle w:val="2"/>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2"/>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drawing>
          <wp:inline distT="0" distB="0" distL="114300" distR="114300">
            <wp:extent cx="5080000" cy="3810000"/>
            <wp:effectExtent l="4445" t="4445" r="20955" b="1460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
      </w:pPr>
    </w:p>
    <w:p>
      <w:pPr>
        <w:pStyle w:val="4"/>
        <w:numPr>
          <w:ilvl w:val="0"/>
          <w:numId w:val="1"/>
        </w:numPr>
        <w:bidi w:val="0"/>
      </w:pPr>
      <w:bookmarkStart w:id="42" w:name="_Toc15396604"/>
      <w:bookmarkStart w:id="43" w:name="_Toc15377206"/>
      <w:bookmarkStart w:id="44" w:name="_Toc10288"/>
      <w:r>
        <w:rPr>
          <w:rFonts w:hint="eastAsia"/>
        </w:rPr>
        <w:t>收入决算情况说明</w:t>
      </w:r>
      <w:bookmarkEnd w:id="42"/>
      <w:bookmarkEnd w:id="43"/>
      <w:bookmarkEnd w:id="44"/>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20</w:t>
      </w:r>
      <w:r>
        <w:rPr>
          <w:rFonts w:hint="eastAsia" w:ascii="仿宋_GB2312" w:hAnsi="Calibri" w:eastAsia="仿宋_GB2312" w:cs="仿宋_GB2312"/>
          <w:sz w:val="32"/>
          <w:szCs w:val="32"/>
          <w:lang w:val="en-US" w:eastAsia="zh-CN"/>
        </w:rPr>
        <w:t>20</w:t>
      </w:r>
      <w:r>
        <w:rPr>
          <w:rFonts w:hint="eastAsia" w:ascii="仿宋_GB2312" w:hAnsi="Calibri" w:eastAsia="仿宋_GB2312" w:cs="仿宋_GB2312"/>
          <w:sz w:val="32"/>
          <w:szCs w:val="32"/>
          <w:lang w:eastAsia="zh-CN"/>
        </w:rPr>
        <w:t>年本年收入合计</w:t>
      </w:r>
      <w:r>
        <w:rPr>
          <w:rFonts w:hint="eastAsia" w:ascii="仿宋_GB2312" w:hAnsi="Calibri" w:eastAsia="仿宋_GB2312" w:cs="仿宋_GB2312"/>
          <w:sz w:val="32"/>
          <w:szCs w:val="32"/>
          <w:lang w:val="en-US" w:eastAsia="zh-CN"/>
        </w:rPr>
        <w:t>455.61</w:t>
      </w:r>
      <w:r>
        <w:rPr>
          <w:rFonts w:hint="eastAsia" w:ascii="仿宋_GB2312" w:hAnsi="Calibri" w:eastAsia="仿宋_GB2312" w:cs="仿宋_GB2312"/>
          <w:sz w:val="32"/>
          <w:szCs w:val="32"/>
          <w:lang w:eastAsia="zh-CN"/>
        </w:rPr>
        <w:t>万元，其中：一般公共预算财政拨款收入</w:t>
      </w:r>
      <w:r>
        <w:rPr>
          <w:rFonts w:hint="eastAsia" w:ascii="仿宋_GB2312" w:hAnsi="Calibri" w:eastAsia="仿宋_GB2312" w:cs="仿宋_GB2312"/>
          <w:sz w:val="32"/>
          <w:szCs w:val="32"/>
          <w:lang w:val="en-US" w:eastAsia="zh-CN"/>
        </w:rPr>
        <w:t>455.61</w:t>
      </w:r>
      <w:r>
        <w:rPr>
          <w:rFonts w:hint="eastAsia" w:ascii="仿宋_GB2312" w:hAnsi="Calibri" w:eastAsia="仿宋_GB2312" w:cs="仿宋_GB2312"/>
          <w:sz w:val="32"/>
          <w:szCs w:val="32"/>
          <w:lang w:eastAsia="zh-CN"/>
        </w:rPr>
        <w:t>万元，占</w:t>
      </w:r>
      <w:r>
        <w:rPr>
          <w:rFonts w:hint="eastAsia" w:ascii="仿宋_GB2312" w:hAnsi="Calibri" w:eastAsia="仿宋_GB2312" w:cs="仿宋_GB2312"/>
          <w:sz w:val="32"/>
          <w:szCs w:val="32"/>
          <w:lang w:val="en-US" w:eastAsia="zh-CN"/>
        </w:rPr>
        <w:t>100</w:t>
      </w:r>
      <w:r>
        <w:rPr>
          <w:rFonts w:hint="eastAsia" w:ascii="仿宋_GB2312" w:hAnsi="Calibri" w:eastAsia="仿宋_GB2312" w:cs="仿宋_GB2312"/>
          <w:sz w:val="32"/>
          <w:szCs w:val="32"/>
          <w:lang w:eastAsia="zh-CN"/>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2"/>
        <w:rPr>
          <w:rFonts w:hint="eastAsia" w:ascii="仿宋" w:hAnsi="仿宋" w:eastAsia="仿宋"/>
          <w:color w:val="000000" w:themeColor="text1"/>
          <w:sz w:val="32"/>
          <w:szCs w:val="32"/>
          <w14:textFill>
            <w14:solidFill>
              <w14:schemeClr w14:val="tx1"/>
            </w14:solidFill>
          </w14:textFill>
        </w:rPr>
      </w:pPr>
    </w:p>
    <w:p>
      <w:pPr>
        <w:rPr>
          <w:rFonts w:hint="eastAsia" w:ascii="仿宋" w:hAnsi="仿宋" w:eastAsia="仿宋"/>
          <w:color w:val="000000" w:themeColor="text1"/>
          <w:sz w:val="32"/>
          <w:szCs w:val="32"/>
          <w14:textFill>
            <w14:solidFill>
              <w14:schemeClr w14:val="tx1"/>
            </w14:solidFill>
          </w14:textFill>
        </w:rPr>
      </w:pPr>
    </w:p>
    <w:p>
      <w:pPr>
        <w:pStyle w:val="2"/>
        <w:rPr>
          <w:rFonts w:hint="eastAsia" w:ascii="仿宋" w:hAnsi="仿宋" w:eastAsia="仿宋"/>
          <w:color w:val="000000" w:themeColor="text1"/>
          <w:sz w:val="32"/>
          <w:szCs w:val="32"/>
          <w14:textFill>
            <w14:solidFill>
              <w14:schemeClr w14:val="tx1"/>
            </w14:solidFill>
          </w14:textFill>
        </w:rPr>
      </w:pPr>
    </w:p>
    <w:p>
      <w:pPr>
        <w:rPr>
          <w:rFonts w:hint="eastAsia" w:ascii="仿宋" w:hAnsi="仿宋" w:eastAsia="仿宋"/>
          <w:color w:val="000000" w:themeColor="text1"/>
          <w:sz w:val="32"/>
          <w:szCs w:val="32"/>
          <w14:textFill>
            <w14:solidFill>
              <w14:schemeClr w14:val="tx1"/>
            </w14:solidFill>
          </w14:textFill>
        </w:rPr>
      </w:pPr>
    </w:p>
    <w:p>
      <w:pPr>
        <w:pStyle w:val="2"/>
        <w:rPr>
          <w:rFonts w:hint="eastAsia" w:eastAsia="仿宋"/>
          <w:lang w:val="en-US" w:eastAsia="zh-CN"/>
        </w:rPr>
      </w:pPr>
      <w:r>
        <w:rPr>
          <w:rFonts w:hint="eastAsia" w:ascii="仿宋" w:hAnsi="仿宋" w:eastAsia="仿宋"/>
          <w:color w:val="000000" w:themeColor="text1"/>
          <w:sz w:val="32"/>
          <w:szCs w:val="32"/>
          <w:lang w:val="en-US" w:eastAsia="zh-CN"/>
          <w14:textFill>
            <w14:solidFill>
              <w14:schemeClr w14:val="tx1"/>
            </w14:solidFill>
          </w14:textFill>
        </w:rPr>
        <w:t xml:space="preserve">                                          </w:t>
      </w:r>
    </w:p>
    <w:p>
      <w:pPr>
        <w:pStyle w:val="2"/>
        <w:rPr>
          <w:rFonts w:hint="eastAsia" w:eastAsia="仿宋"/>
          <w:lang w:eastAsia="zh-CN"/>
        </w:rPr>
      </w:pPr>
      <w:r>
        <w:rPr>
          <w:rFonts w:hint="eastAsia" w:eastAsia="仿宋"/>
          <w:lang w:eastAsia="zh-CN"/>
        </w:rPr>
        <w:drawing>
          <wp:inline distT="0" distB="0" distL="114300" distR="114300">
            <wp:extent cx="5080000" cy="381000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rPr>
          <w:rFonts w:hint="eastAsia" w:eastAsia="仿宋"/>
          <w:lang w:eastAsia="zh-CN"/>
        </w:rPr>
      </w:pPr>
    </w:p>
    <w:p>
      <w:pPr>
        <w:pStyle w:val="2"/>
      </w:pPr>
    </w:p>
    <w:p>
      <w:pPr>
        <w:pStyle w:val="4"/>
        <w:numPr>
          <w:ilvl w:val="0"/>
          <w:numId w:val="1"/>
        </w:numPr>
        <w:bidi w:val="0"/>
      </w:pPr>
      <w:bookmarkStart w:id="45" w:name="_Toc15396605"/>
      <w:bookmarkStart w:id="46" w:name="_Toc15377207"/>
      <w:bookmarkStart w:id="47" w:name="_Toc2596"/>
      <w:r>
        <w:rPr>
          <w:rFonts w:hint="eastAsia"/>
        </w:rPr>
        <w:t>支出决算情况说明</w:t>
      </w:r>
      <w:bookmarkEnd w:id="45"/>
      <w:bookmarkEnd w:id="46"/>
      <w:bookmarkEnd w:id="47"/>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20</w:t>
      </w:r>
      <w:r>
        <w:rPr>
          <w:rFonts w:hint="eastAsia" w:ascii="仿宋_GB2312" w:hAnsi="Calibri" w:eastAsia="仿宋_GB2312" w:cs="仿宋_GB2312"/>
          <w:sz w:val="32"/>
          <w:szCs w:val="32"/>
          <w:lang w:val="en-US" w:eastAsia="zh-CN"/>
        </w:rPr>
        <w:t>20</w:t>
      </w:r>
      <w:r>
        <w:rPr>
          <w:rFonts w:hint="eastAsia" w:ascii="仿宋_GB2312" w:hAnsi="Calibri" w:eastAsia="仿宋_GB2312" w:cs="仿宋_GB2312"/>
          <w:sz w:val="32"/>
          <w:szCs w:val="32"/>
          <w:lang w:eastAsia="zh-CN"/>
        </w:rPr>
        <w:t>年本年支出合计</w:t>
      </w:r>
      <w:r>
        <w:rPr>
          <w:rFonts w:hint="eastAsia" w:ascii="仿宋_GB2312" w:hAnsi="Calibri" w:eastAsia="仿宋_GB2312" w:cs="仿宋_GB2312"/>
          <w:sz w:val="32"/>
          <w:szCs w:val="32"/>
          <w:lang w:val="en-US" w:eastAsia="zh-CN"/>
        </w:rPr>
        <w:t>462.41</w:t>
      </w:r>
      <w:r>
        <w:rPr>
          <w:rFonts w:hint="eastAsia" w:ascii="仿宋_GB2312" w:hAnsi="Calibri" w:eastAsia="仿宋_GB2312" w:cs="仿宋_GB2312"/>
          <w:sz w:val="32"/>
          <w:szCs w:val="32"/>
          <w:lang w:eastAsia="zh-CN"/>
        </w:rPr>
        <w:t>万元，其中：基本支出</w:t>
      </w:r>
      <w:r>
        <w:rPr>
          <w:rFonts w:hint="eastAsia" w:ascii="仿宋_GB2312" w:hAnsi="Calibri" w:eastAsia="仿宋_GB2312" w:cs="仿宋_GB2312"/>
          <w:sz w:val="32"/>
          <w:szCs w:val="32"/>
          <w:lang w:val="en-US" w:eastAsia="zh-CN"/>
        </w:rPr>
        <w:t>244.83</w:t>
      </w:r>
      <w:r>
        <w:rPr>
          <w:rFonts w:hint="eastAsia" w:ascii="仿宋_GB2312" w:hAnsi="Calibri" w:eastAsia="仿宋_GB2312" w:cs="仿宋_GB2312"/>
          <w:sz w:val="32"/>
          <w:szCs w:val="32"/>
          <w:lang w:eastAsia="zh-CN"/>
        </w:rPr>
        <w:t>万元，占</w:t>
      </w:r>
      <w:r>
        <w:rPr>
          <w:rFonts w:hint="eastAsia" w:ascii="仿宋_GB2312" w:hAnsi="Calibri" w:eastAsia="仿宋_GB2312" w:cs="仿宋_GB2312"/>
          <w:sz w:val="32"/>
          <w:szCs w:val="32"/>
          <w:lang w:val="en-US" w:eastAsia="zh-CN"/>
        </w:rPr>
        <w:t>52.95</w:t>
      </w:r>
      <w:r>
        <w:rPr>
          <w:rFonts w:hint="eastAsia" w:ascii="仿宋_GB2312" w:hAnsi="Calibri" w:eastAsia="仿宋_GB2312" w:cs="仿宋_GB2312"/>
          <w:sz w:val="32"/>
          <w:szCs w:val="32"/>
          <w:lang w:eastAsia="zh-CN"/>
        </w:rPr>
        <w:t>%；项目支出</w:t>
      </w:r>
      <w:r>
        <w:rPr>
          <w:rFonts w:hint="eastAsia" w:ascii="仿宋_GB2312" w:hAnsi="Calibri" w:eastAsia="仿宋_GB2312" w:cs="仿宋_GB2312"/>
          <w:sz w:val="32"/>
          <w:szCs w:val="32"/>
          <w:lang w:val="en-US" w:eastAsia="zh-CN"/>
        </w:rPr>
        <w:t>217.58</w:t>
      </w:r>
      <w:r>
        <w:rPr>
          <w:rFonts w:hint="eastAsia" w:ascii="仿宋_GB2312" w:hAnsi="Calibri" w:eastAsia="仿宋_GB2312" w:cs="仿宋_GB2312"/>
          <w:sz w:val="32"/>
          <w:szCs w:val="32"/>
          <w:lang w:eastAsia="zh-CN"/>
        </w:rPr>
        <w:t>万元，占</w:t>
      </w:r>
      <w:r>
        <w:rPr>
          <w:rFonts w:hint="eastAsia" w:ascii="仿宋_GB2312" w:hAnsi="Calibri" w:eastAsia="仿宋_GB2312" w:cs="仿宋_GB2312"/>
          <w:sz w:val="32"/>
          <w:szCs w:val="32"/>
          <w:lang w:val="en-US" w:eastAsia="zh-CN"/>
        </w:rPr>
        <w:t>47.05</w:t>
      </w:r>
      <w:r>
        <w:rPr>
          <w:rFonts w:hint="eastAsia" w:ascii="仿宋_GB2312" w:hAnsi="Calibri" w:eastAsia="仿宋_GB2312" w:cs="仿宋_GB2312"/>
          <w:sz w:val="32"/>
          <w:szCs w:val="32"/>
          <w:lang w:eastAsia="zh-CN"/>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pStyle w:val="2"/>
        <w:rPr>
          <w:rFonts w:hint="eastAsia" w:eastAsia="宋体"/>
          <w:lang w:eastAsia="zh-CN"/>
        </w:rPr>
      </w:pPr>
      <w:r>
        <w:rPr>
          <w:rFonts w:hint="eastAsia" w:eastAsia="宋体"/>
          <w:lang w:eastAsia="zh-CN"/>
        </w:rPr>
        <w:drawing>
          <wp:inline distT="0" distB="0" distL="114300" distR="114300">
            <wp:extent cx="5080000" cy="3810000"/>
            <wp:effectExtent l="4445" t="4445" r="20955"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17"/>
          <w:rFonts w:ascii="黑体" w:hAnsi="黑体" w:eastAsia="黑体"/>
          <w:b w:val="0"/>
        </w:rPr>
      </w:pPr>
      <w:bookmarkStart w:id="48" w:name="_Toc15377208"/>
      <w:bookmarkStart w:id="49" w:name="_Toc15396606"/>
      <w:bookmarkStart w:id="50" w:name="_Toc6443"/>
      <w:r>
        <w:rPr>
          <w:rFonts w:hint="eastAsia" w:ascii="黑体" w:hAnsi="黑体" w:eastAsia="黑体"/>
          <w:color w:val="000000"/>
          <w:sz w:val="32"/>
          <w:szCs w:val="32"/>
        </w:rPr>
        <w:t>四、</w:t>
      </w:r>
      <w:r>
        <w:rPr>
          <w:rStyle w:val="19"/>
          <w:rFonts w:hint="eastAsia"/>
        </w:rPr>
        <w:t>财政拨款收入支出决算总体情况说明</w:t>
      </w:r>
      <w:bookmarkEnd w:id="48"/>
      <w:bookmarkEnd w:id="49"/>
      <w:bookmarkEnd w:id="50"/>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20</w:t>
      </w:r>
      <w:r>
        <w:rPr>
          <w:rFonts w:hint="eastAsia" w:ascii="仿宋_GB2312" w:hAnsi="Calibri" w:eastAsia="仿宋_GB2312" w:cs="仿宋_GB2312"/>
          <w:sz w:val="32"/>
          <w:szCs w:val="32"/>
          <w:lang w:val="en-US" w:eastAsia="zh-CN"/>
        </w:rPr>
        <w:t>20</w:t>
      </w:r>
      <w:r>
        <w:rPr>
          <w:rFonts w:hint="eastAsia" w:ascii="仿宋_GB2312" w:hAnsi="Calibri" w:eastAsia="仿宋_GB2312" w:cs="仿宋_GB2312"/>
          <w:sz w:val="32"/>
          <w:szCs w:val="32"/>
          <w:lang w:eastAsia="zh-CN"/>
        </w:rPr>
        <w:t>年年初财政拨款结转和结余</w:t>
      </w:r>
      <w:r>
        <w:rPr>
          <w:rFonts w:hint="eastAsia" w:ascii="仿宋_GB2312" w:hAnsi="Calibri" w:eastAsia="仿宋_GB2312" w:cs="仿宋_GB2312"/>
          <w:sz w:val="32"/>
          <w:szCs w:val="32"/>
          <w:lang w:val="en-US" w:eastAsia="zh-CN"/>
        </w:rPr>
        <w:t>6.8</w:t>
      </w:r>
      <w:r>
        <w:rPr>
          <w:rFonts w:hint="eastAsia" w:ascii="仿宋_GB2312" w:hAnsi="Calibri" w:eastAsia="仿宋_GB2312" w:cs="仿宋_GB2312"/>
          <w:sz w:val="32"/>
          <w:szCs w:val="32"/>
          <w:lang w:eastAsia="zh-CN"/>
        </w:rPr>
        <w:t>万元，20</w:t>
      </w:r>
      <w:r>
        <w:rPr>
          <w:rFonts w:hint="eastAsia" w:ascii="仿宋_GB2312" w:hAnsi="Calibri" w:eastAsia="仿宋_GB2312" w:cs="仿宋_GB2312"/>
          <w:sz w:val="32"/>
          <w:szCs w:val="32"/>
          <w:lang w:val="en-US" w:eastAsia="zh-CN"/>
        </w:rPr>
        <w:t>20</w:t>
      </w:r>
      <w:r>
        <w:rPr>
          <w:rFonts w:hint="eastAsia" w:ascii="仿宋_GB2312" w:hAnsi="Calibri" w:eastAsia="仿宋_GB2312" w:cs="仿宋_GB2312"/>
          <w:sz w:val="32"/>
          <w:szCs w:val="32"/>
          <w:lang w:eastAsia="zh-CN"/>
        </w:rPr>
        <w:t>年财政拨款收入决算总计</w:t>
      </w:r>
      <w:r>
        <w:rPr>
          <w:rFonts w:hint="eastAsia" w:ascii="仿宋_GB2312" w:hAnsi="Calibri" w:eastAsia="仿宋_GB2312" w:cs="仿宋_GB2312"/>
          <w:sz w:val="32"/>
          <w:szCs w:val="32"/>
          <w:lang w:val="en-US" w:eastAsia="zh-CN"/>
        </w:rPr>
        <w:t>455.61</w:t>
      </w:r>
      <w:r>
        <w:rPr>
          <w:rFonts w:hint="eastAsia" w:ascii="仿宋_GB2312" w:hAnsi="Calibri" w:eastAsia="仿宋_GB2312" w:cs="仿宋_GB2312"/>
          <w:sz w:val="32"/>
          <w:szCs w:val="32"/>
          <w:lang w:eastAsia="zh-CN"/>
        </w:rPr>
        <w:t>万元，其中：一般公共预算财政拨款</w:t>
      </w:r>
      <w:r>
        <w:rPr>
          <w:rFonts w:hint="eastAsia" w:ascii="仿宋_GB2312" w:hAnsi="Calibri" w:eastAsia="仿宋_GB2312" w:cs="仿宋_GB2312"/>
          <w:sz w:val="32"/>
          <w:szCs w:val="32"/>
          <w:lang w:val="en-US" w:eastAsia="zh-CN"/>
        </w:rPr>
        <w:t>455.61</w:t>
      </w:r>
      <w:r>
        <w:rPr>
          <w:rFonts w:hint="eastAsia" w:ascii="仿宋_GB2312" w:hAnsi="Calibri" w:eastAsia="仿宋_GB2312" w:cs="仿宋_GB2312"/>
          <w:sz w:val="32"/>
          <w:szCs w:val="32"/>
          <w:lang w:eastAsia="zh-CN"/>
        </w:rPr>
        <w:t>万元。与201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年相比，财政拨款收入增加</w:t>
      </w:r>
      <w:r>
        <w:rPr>
          <w:rFonts w:hint="eastAsia" w:ascii="仿宋_GB2312" w:hAnsi="Calibri" w:eastAsia="仿宋_GB2312" w:cs="仿宋_GB2312"/>
          <w:sz w:val="32"/>
          <w:szCs w:val="32"/>
          <w:lang w:val="en-US" w:eastAsia="zh-CN"/>
        </w:rPr>
        <w:t>51.22</w:t>
      </w:r>
      <w:r>
        <w:rPr>
          <w:rFonts w:hint="eastAsia" w:ascii="仿宋_GB2312" w:hAnsi="Calibri" w:eastAsia="仿宋_GB2312" w:cs="仿宋_GB2312"/>
          <w:sz w:val="32"/>
          <w:szCs w:val="32"/>
          <w:lang w:eastAsia="zh-CN"/>
        </w:rPr>
        <w:t>万元，增长</w:t>
      </w:r>
      <w:r>
        <w:rPr>
          <w:rFonts w:hint="eastAsia" w:ascii="仿宋_GB2312" w:hAnsi="Calibri" w:eastAsia="仿宋_GB2312" w:cs="仿宋_GB2312"/>
          <w:sz w:val="32"/>
          <w:szCs w:val="32"/>
          <w:lang w:val="en-US" w:eastAsia="zh-CN"/>
        </w:rPr>
        <w:t>12.67</w:t>
      </w:r>
      <w:r>
        <w:rPr>
          <w:rFonts w:hint="eastAsia" w:ascii="仿宋_GB2312" w:hAnsi="Calibri" w:eastAsia="仿宋_GB2312" w:cs="仿宋_GB2312"/>
          <w:sz w:val="32"/>
          <w:szCs w:val="32"/>
          <w:lang w:eastAsia="zh-CN"/>
        </w:rPr>
        <w:t>%。主要变动原因是人员工资增加导致人员经费增加、工程结算审计费增加、物价上涨、工作经费增加等。</w:t>
      </w:r>
    </w:p>
    <w:p>
      <w:pPr>
        <w:widowControl/>
        <w:spacing w:line="560" w:lineRule="exact"/>
        <w:ind w:firstLine="640" w:firstLineChars="200"/>
        <w:jc w:val="left"/>
        <w:rPr>
          <w:rFonts w:ascii="仿宋" w:hAnsi="仿宋" w:eastAsia="仿宋"/>
          <w:color w:val="000000"/>
          <w:sz w:val="32"/>
          <w:szCs w:val="32"/>
        </w:rPr>
      </w:pPr>
      <w:r>
        <w:rPr>
          <w:rFonts w:hint="eastAsia" w:ascii="仿宋_GB2312" w:hAnsi="Calibri" w:eastAsia="仿宋_GB2312" w:cs="仿宋_GB2312"/>
          <w:sz w:val="32"/>
          <w:szCs w:val="32"/>
          <w:lang w:eastAsia="zh-CN"/>
        </w:rPr>
        <w:t>20</w:t>
      </w:r>
      <w:r>
        <w:rPr>
          <w:rFonts w:hint="eastAsia" w:ascii="仿宋_GB2312" w:hAnsi="Calibri" w:eastAsia="仿宋_GB2312" w:cs="仿宋_GB2312"/>
          <w:sz w:val="32"/>
          <w:szCs w:val="32"/>
          <w:lang w:val="en-US" w:eastAsia="zh-CN"/>
        </w:rPr>
        <w:t>20</w:t>
      </w:r>
      <w:r>
        <w:rPr>
          <w:rFonts w:hint="eastAsia" w:ascii="仿宋_GB2312" w:hAnsi="Calibri" w:eastAsia="仿宋_GB2312" w:cs="仿宋_GB2312"/>
          <w:sz w:val="32"/>
          <w:szCs w:val="32"/>
          <w:lang w:eastAsia="zh-CN"/>
        </w:rPr>
        <w:t>年财政拨款支出决算总计</w:t>
      </w:r>
      <w:r>
        <w:rPr>
          <w:rFonts w:hint="eastAsia" w:ascii="仿宋_GB2312" w:hAnsi="Calibri" w:eastAsia="仿宋_GB2312" w:cs="仿宋_GB2312"/>
          <w:sz w:val="32"/>
          <w:szCs w:val="32"/>
          <w:lang w:val="en-US" w:eastAsia="zh-CN"/>
        </w:rPr>
        <w:t>462.41</w:t>
      </w:r>
      <w:r>
        <w:rPr>
          <w:rFonts w:hint="eastAsia" w:ascii="仿宋_GB2312" w:hAnsi="Calibri" w:eastAsia="仿宋_GB2312" w:cs="仿宋_GB2312"/>
          <w:sz w:val="32"/>
          <w:szCs w:val="32"/>
          <w:lang w:eastAsia="zh-CN"/>
        </w:rPr>
        <w:t>万元，其中：一般公共服务支出</w:t>
      </w:r>
      <w:r>
        <w:rPr>
          <w:rFonts w:hint="eastAsia" w:ascii="仿宋_GB2312" w:hAnsi="Calibri" w:eastAsia="仿宋_GB2312" w:cs="仿宋_GB2312"/>
          <w:sz w:val="32"/>
          <w:szCs w:val="32"/>
          <w:lang w:val="en-US" w:eastAsia="zh-CN"/>
        </w:rPr>
        <w:t>400.96</w:t>
      </w:r>
      <w:r>
        <w:rPr>
          <w:rFonts w:hint="eastAsia" w:ascii="仿宋_GB2312" w:hAnsi="Calibri" w:eastAsia="仿宋_GB2312" w:cs="仿宋_GB2312"/>
          <w:sz w:val="32"/>
          <w:szCs w:val="32"/>
          <w:lang w:eastAsia="zh-CN"/>
        </w:rPr>
        <w:t>万元；社会保障和就业支出</w:t>
      </w:r>
      <w:r>
        <w:rPr>
          <w:rFonts w:hint="eastAsia" w:ascii="仿宋_GB2312" w:hAnsi="Calibri" w:eastAsia="仿宋_GB2312" w:cs="仿宋_GB2312"/>
          <w:sz w:val="32"/>
          <w:szCs w:val="32"/>
          <w:lang w:val="en-US" w:eastAsia="zh-CN"/>
        </w:rPr>
        <w:t>29.98</w:t>
      </w:r>
      <w:r>
        <w:rPr>
          <w:rFonts w:hint="eastAsia" w:ascii="仿宋_GB2312" w:hAnsi="Calibri" w:eastAsia="仿宋_GB2312" w:cs="仿宋_GB2312"/>
          <w:sz w:val="32"/>
          <w:szCs w:val="32"/>
          <w:lang w:eastAsia="zh-CN"/>
        </w:rPr>
        <w:t>万元；卫生健康支出</w:t>
      </w:r>
      <w:r>
        <w:rPr>
          <w:rFonts w:hint="eastAsia" w:ascii="仿宋_GB2312" w:hAnsi="Calibri" w:eastAsia="仿宋_GB2312" w:cs="仿宋_GB2312"/>
          <w:sz w:val="32"/>
          <w:szCs w:val="32"/>
          <w:lang w:val="en-US" w:eastAsia="zh-CN"/>
        </w:rPr>
        <w:t>11.15</w:t>
      </w:r>
      <w:r>
        <w:rPr>
          <w:rFonts w:hint="eastAsia" w:ascii="仿宋_GB2312" w:hAnsi="Calibri" w:eastAsia="仿宋_GB2312" w:cs="仿宋_GB2312"/>
          <w:sz w:val="32"/>
          <w:szCs w:val="32"/>
          <w:lang w:eastAsia="zh-CN"/>
        </w:rPr>
        <w:t>万元；住房保障支出</w:t>
      </w:r>
      <w:r>
        <w:rPr>
          <w:rFonts w:hint="eastAsia" w:ascii="仿宋_GB2312" w:hAnsi="Calibri" w:eastAsia="仿宋_GB2312" w:cs="仿宋_GB2312"/>
          <w:sz w:val="32"/>
          <w:szCs w:val="32"/>
          <w:lang w:val="en-US" w:eastAsia="zh-CN"/>
        </w:rPr>
        <w:t>20.32</w:t>
      </w:r>
      <w:r>
        <w:rPr>
          <w:rFonts w:hint="eastAsia" w:ascii="仿宋_GB2312" w:hAnsi="Calibri" w:eastAsia="仿宋_GB2312" w:cs="仿宋_GB2312"/>
          <w:sz w:val="32"/>
          <w:szCs w:val="32"/>
          <w:lang w:eastAsia="zh-CN"/>
        </w:rPr>
        <w:t>万元。与201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年相比，财政拨款支出增加</w:t>
      </w:r>
      <w:r>
        <w:rPr>
          <w:rFonts w:hint="eastAsia" w:ascii="仿宋_GB2312" w:hAnsi="Calibri" w:eastAsia="仿宋_GB2312" w:cs="仿宋_GB2312"/>
          <w:sz w:val="32"/>
          <w:szCs w:val="32"/>
          <w:lang w:val="en-US" w:eastAsia="zh-CN"/>
        </w:rPr>
        <w:t>54.55</w:t>
      </w:r>
      <w:r>
        <w:rPr>
          <w:rFonts w:hint="eastAsia" w:ascii="仿宋_GB2312" w:hAnsi="Calibri" w:eastAsia="仿宋_GB2312" w:cs="仿宋_GB2312"/>
          <w:sz w:val="32"/>
          <w:szCs w:val="32"/>
          <w:lang w:eastAsia="zh-CN"/>
        </w:rPr>
        <w:t>万元，增长</w:t>
      </w:r>
      <w:r>
        <w:rPr>
          <w:rFonts w:hint="eastAsia" w:ascii="仿宋_GB2312" w:hAnsi="Calibri" w:eastAsia="仿宋_GB2312" w:cs="仿宋_GB2312"/>
          <w:sz w:val="32"/>
          <w:szCs w:val="32"/>
          <w:lang w:val="en-US" w:eastAsia="zh-CN"/>
        </w:rPr>
        <w:t>13.38</w:t>
      </w:r>
      <w:r>
        <w:rPr>
          <w:rFonts w:hint="eastAsia" w:ascii="仿宋_GB2312" w:hAnsi="Calibri" w:eastAsia="仿宋_GB2312" w:cs="仿宋_GB2312"/>
          <w:sz w:val="32"/>
          <w:szCs w:val="32"/>
          <w:lang w:eastAsia="zh-CN"/>
        </w:rPr>
        <w:t>%。主要变动原因是人员工资增加导致人员经费增加、工程结算审计费增加、物价上涨、工作经费增加等。</w:t>
      </w:r>
    </w:p>
    <w:p>
      <w:pPr>
        <w:widowControl/>
        <w:spacing w:line="560" w:lineRule="exact"/>
        <w:ind w:firstLine="640" w:firstLineChars="200"/>
        <w:jc w:val="left"/>
        <w:rPr>
          <w:rFonts w:ascii="仿宋" w:hAnsi="仿宋" w:eastAsia="仿宋"/>
          <w:color w:val="000000"/>
          <w:sz w:val="32"/>
          <w:szCs w:val="32"/>
        </w:rPr>
      </w:pPr>
    </w:p>
    <w:p>
      <w:pPr>
        <w:spacing w:line="600" w:lineRule="exact"/>
        <w:ind w:firstLine="640" w:firstLineChars="200"/>
        <w:rPr>
          <w:rFonts w:ascii="仿宋" w:hAnsi="仿宋" w:eastAsia="仿宋"/>
          <w:b/>
          <w:color w:val="00B050"/>
          <w:sz w:val="32"/>
          <w:szCs w:val="32"/>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rPr>
          <w:rFonts w:hint="eastAsia" w:ascii="仿宋" w:hAnsi="仿宋" w:eastAsia="仿宋"/>
          <w:b/>
          <w:color w:val="00B050"/>
          <w:sz w:val="32"/>
          <w:szCs w:val="32"/>
          <w:lang w:eastAsia="zh-CN"/>
        </w:rPr>
      </w:pPr>
    </w:p>
    <w:p>
      <w:pPr>
        <w:pStyle w:val="2"/>
        <w:rPr>
          <w:rFonts w:hint="eastAsia" w:ascii="仿宋" w:hAnsi="仿宋" w:eastAsia="仿宋"/>
          <w:b/>
          <w:color w:val="00B050"/>
          <w:sz w:val="32"/>
          <w:szCs w:val="32"/>
          <w:lang w:eastAsia="zh-CN"/>
        </w:rPr>
      </w:pPr>
      <w:r>
        <w:rPr>
          <w:rFonts w:hint="eastAsia" w:eastAsia="宋体"/>
          <w:lang w:eastAsia="zh-CN"/>
        </w:rPr>
        <w:drawing>
          <wp:inline distT="0" distB="0" distL="114300" distR="114300">
            <wp:extent cx="5080000" cy="3810000"/>
            <wp:effectExtent l="4445" t="4445" r="2095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rPr>
          <w:rFonts w:hint="eastAsia" w:ascii="仿宋" w:hAnsi="仿宋" w:eastAsia="仿宋"/>
          <w:b/>
          <w:color w:val="00B050"/>
          <w:sz w:val="32"/>
          <w:szCs w:val="32"/>
          <w:lang w:eastAsia="zh-CN"/>
        </w:rPr>
      </w:pPr>
    </w:p>
    <w:p>
      <w:pPr>
        <w:pStyle w:val="2"/>
        <w:rPr>
          <w:rFonts w:hint="eastAsia" w:eastAsia="宋体"/>
          <w:lang w:eastAsia="zh-CN"/>
        </w:rPr>
      </w:pPr>
    </w:p>
    <w:p>
      <w:pPr>
        <w:spacing w:line="600" w:lineRule="exact"/>
        <w:ind w:firstLine="640" w:firstLineChars="200"/>
        <w:outlineLvl w:val="1"/>
        <w:rPr>
          <w:rStyle w:val="17"/>
          <w:rFonts w:ascii="黑体" w:hAnsi="黑体" w:eastAsia="黑体"/>
          <w:b w:val="0"/>
        </w:rPr>
      </w:pPr>
      <w:bookmarkStart w:id="51" w:name="_Toc15396607"/>
      <w:bookmarkStart w:id="52" w:name="_Toc15377209"/>
      <w:bookmarkStart w:id="53" w:name="_Toc29919"/>
      <w:r>
        <w:rPr>
          <w:rFonts w:hint="eastAsia" w:ascii="黑体" w:hAnsi="黑体" w:eastAsia="黑体"/>
          <w:color w:val="000000"/>
          <w:sz w:val="32"/>
          <w:szCs w:val="32"/>
        </w:rPr>
        <w:t>五、</w:t>
      </w:r>
      <w:r>
        <w:rPr>
          <w:rStyle w:val="19"/>
          <w:rFonts w:hint="eastAsia"/>
        </w:rPr>
        <w:t>一般公共预算财政拨款支出决算情况说明</w:t>
      </w:r>
      <w:bookmarkEnd w:id="51"/>
      <w:bookmarkEnd w:id="52"/>
      <w:bookmarkEnd w:id="53"/>
    </w:p>
    <w:p>
      <w:pPr>
        <w:pStyle w:val="5"/>
        <w:keepNext/>
        <w:keepLines/>
        <w:pageBreakBefore w:val="0"/>
        <w:widowControl w:val="0"/>
        <w:kinsoku/>
        <w:wordWrap/>
        <w:overflowPunct/>
        <w:topLinePunct w:val="0"/>
        <w:autoSpaceDE/>
        <w:autoSpaceDN/>
        <w:bidi w:val="0"/>
        <w:adjustRightInd/>
        <w:snapToGrid/>
        <w:spacing w:line="413" w:lineRule="auto"/>
        <w:ind w:firstLine="643" w:firstLineChars="200"/>
        <w:textAlignment w:val="auto"/>
        <w:rPr>
          <w:rFonts w:hint="eastAsia" w:ascii="仿宋" w:hAnsi="仿宋" w:eastAsia="仿宋" w:cs="仿宋"/>
        </w:rPr>
      </w:pPr>
      <w:bookmarkStart w:id="54" w:name="_Toc15377210"/>
      <w:bookmarkStart w:id="55" w:name="_Toc4383"/>
      <w:r>
        <w:rPr>
          <w:rFonts w:hint="eastAsia" w:ascii="仿宋" w:hAnsi="仿宋" w:eastAsia="仿宋" w:cs="仿宋"/>
        </w:rPr>
        <w:t>（一）一般公共预算财政拨款支出决算总体情况</w:t>
      </w:r>
      <w:bookmarkEnd w:id="54"/>
      <w:bookmarkEnd w:id="55"/>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20</w:t>
      </w:r>
      <w:r>
        <w:rPr>
          <w:rFonts w:hint="eastAsia" w:ascii="仿宋_GB2312" w:hAnsi="Calibri" w:eastAsia="仿宋_GB2312" w:cs="仿宋_GB2312"/>
          <w:sz w:val="32"/>
          <w:szCs w:val="32"/>
          <w:lang w:val="en-US" w:eastAsia="zh-CN"/>
        </w:rPr>
        <w:t>20</w:t>
      </w:r>
      <w:r>
        <w:rPr>
          <w:rFonts w:hint="eastAsia" w:ascii="仿宋_GB2312" w:hAnsi="Calibri" w:eastAsia="仿宋_GB2312" w:cs="仿宋_GB2312"/>
          <w:sz w:val="32"/>
          <w:szCs w:val="32"/>
          <w:lang w:eastAsia="zh-CN"/>
        </w:rPr>
        <w:t>年一般公共预算财政拨款支出</w:t>
      </w:r>
      <w:r>
        <w:rPr>
          <w:rFonts w:hint="eastAsia" w:ascii="仿宋_GB2312" w:hAnsi="Calibri" w:eastAsia="仿宋_GB2312" w:cs="仿宋_GB2312"/>
          <w:sz w:val="32"/>
          <w:szCs w:val="32"/>
          <w:lang w:val="en-US" w:eastAsia="zh-CN"/>
        </w:rPr>
        <w:t>462.41</w:t>
      </w:r>
      <w:r>
        <w:rPr>
          <w:rFonts w:hint="eastAsia" w:ascii="仿宋_GB2312" w:hAnsi="Calibri" w:eastAsia="仿宋_GB2312" w:cs="仿宋_GB2312"/>
          <w:sz w:val="32"/>
          <w:szCs w:val="32"/>
          <w:lang w:eastAsia="zh-CN"/>
        </w:rPr>
        <w:t>万元，占本年支出合计的</w:t>
      </w:r>
      <w:r>
        <w:rPr>
          <w:rFonts w:hint="eastAsia" w:ascii="仿宋_GB2312" w:hAnsi="Calibri" w:eastAsia="仿宋_GB2312" w:cs="仿宋_GB2312"/>
          <w:sz w:val="32"/>
          <w:szCs w:val="32"/>
          <w:lang w:val="en-US" w:eastAsia="zh-CN"/>
        </w:rPr>
        <w:t>100</w:t>
      </w:r>
      <w:r>
        <w:rPr>
          <w:rFonts w:hint="eastAsia" w:ascii="仿宋_GB2312" w:hAnsi="Calibri" w:eastAsia="仿宋_GB2312" w:cs="仿宋_GB2312"/>
          <w:sz w:val="32"/>
          <w:szCs w:val="32"/>
          <w:lang w:eastAsia="zh-CN"/>
        </w:rPr>
        <w:t>%。与201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年相比，一般公共预算财政拨款增加</w:t>
      </w:r>
      <w:r>
        <w:rPr>
          <w:rFonts w:hint="eastAsia" w:ascii="仿宋_GB2312" w:hAnsi="Calibri" w:eastAsia="仿宋_GB2312" w:cs="仿宋_GB2312"/>
          <w:sz w:val="32"/>
          <w:szCs w:val="32"/>
          <w:lang w:val="en-US" w:eastAsia="zh-CN"/>
        </w:rPr>
        <w:t>54.7</w:t>
      </w:r>
      <w:r>
        <w:rPr>
          <w:rFonts w:hint="eastAsia" w:ascii="仿宋_GB2312" w:hAnsi="Calibri" w:eastAsia="仿宋_GB2312" w:cs="仿宋_GB2312"/>
          <w:sz w:val="32"/>
          <w:szCs w:val="32"/>
          <w:lang w:eastAsia="zh-CN"/>
        </w:rPr>
        <w:t>万元，增长</w:t>
      </w:r>
      <w:r>
        <w:rPr>
          <w:rFonts w:hint="eastAsia" w:ascii="仿宋_GB2312" w:hAnsi="Calibri" w:eastAsia="仿宋_GB2312" w:cs="仿宋_GB2312"/>
          <w:sz w:val="32"/>
          <w:szCs w:val="32"/>
          <w:lang w:val="en-US" w:eastAsia="zh-CN"/>
        </w:rPr>
        <w:t>13.41</w:t>
      </w:r>
      <w:r>
        <w:rPr>
          <w:rFonts w:hint="eastAsia" w:ascii="仿宋_GB2312" w:hAnsi="Calibri" w:eastAsia="仿宋_GB2312" w:cs="仿宋_GB2312"/>
          <w:sz w:val="32"/>
          <w:szCs w:val="32"/>
          <w:lang w:eastAsia="zh-CN"/>
        </w:rPr>
        <w:t>%。主要变动原因是人员工资增加导致人员经费增加、工程结算审计费增加、物价上涨、工作经费增加等。</w:t>
      </w: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080000" cy="3810000"/>
            <wp:effectExtent l="4445" t="4445" r="20955" b="1460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
      <w:pPr>
        <w:pStyle w:val="5"/>
        <w:keepNext/>
        <w:keepLines/>
        <w:pageBreakBefore w:val="0"/>
        <w:widowControl w:val="0"/>
        <w:kinsoku/>
        <w:wordWrap/>
        <w:overflowPunct/>
        <w:topLinePunct w:val="0"/>
        <w:autoSpaceDE/>
        <w:autoSpaceDN/>
        <w:bidi w:val="0"/>
        <w:adjustRightInd/>
        <w:snapToGrid/>
        <w:spacing w:line="413" w:lineRule="auto"/>
        <w:ind w:firstLine="643" w:firstLineChars="200"/>
        <w:textAlignment w:val="auto"/>
        <w:rPr>
          <w:rFonts w:hint="eastAsia" w:ascii="仿宋" w:hAnsi="仿宋" w:eastAsia="仿宋" w:cs="仿宋"/>
        </w:rPr>
      </w:pPr>
      <w:bookmarkStart w:id="56" w:name="_Toc15377211"/>
      <w:bookmarkStart w:id="57" w:name="_Toc4409"/>
      <w:r>
        <w:rPr>
          <w:rFonts w:hint="eastAsia" w:ascii="仿宋" w:hAnsi="仿宋" w:eastAsia="仿宋" w:cs="仿宋"/>
        </w:rPr>
        <w:t>（二）一般公共预算财政拨款支出决算结构情况</w:t>
      </w:r>
      <w:bookmarkEnd w:id="56"/>
      <w:bookmarkEnd w:id="57"/>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20</w:t>
      </w:r>
      <w:r>
        <w:rPr>
          <w:rFonts w:hint="eastAsia" w:ascii="仿宋_GB2312" w:hAnsi="Calibri" w:eastAsia="仿宋_GB2312" w:cs="仿宋_GB2312"/>
          <w:sz w:val="32"/>
          <w:szCs w:val="32"/>
          <w:lang w:val="en-US" w:eastAsia="zh-CN"/>
        </w:rPr>
        <w:t>20</w:t>
      </w:r>
      <w:r>
        <w:rPr>
          <w:rFonts w:hint="eastAsia" w:ascii="仿宋_GB2312" w:hAnsi="Calibri" w:eastAsia="仿宋_GB2312" w:cs="仿宋_GB2312"/>
          <w:sz w:val="32"/>
          <w:szCs w:val="32"/>
          <w:lang w:eastAsia="zh-CN"/>
        </w:rPr>
        <w:t>年一般公共预算财政拨款支出</w:t>
      </w:r>
      <w:r>
        <w:rPr>
          <w:rFonts w:hint="eastAsia" w:ascii="仿宋_GB2312" w:hAnsi="Calibri" w:eastAsia="仿宋_GB2312" w:cs="仿宋_GB2312"/>
          <w:sz w:val="32"/>
          <w:szCs w:val="32"/>
          <w:lang w:val="en-US" w:eastAsia="zh-CN"/>
        </w:rPr>
        <w:t>462.41</w:t>
      </w:r>
      <w:r>
        <w:rPr>
          <w:rFonts w:hint="eastAsia" w:ascii="仿宋_GB2312" w:hAnsi="Calibri" w:eastAsia="仿宋_GB2312" w:cs="仿宋_GB2312"/>
          <w:sz w:val="32"/>
          <w:szCs w:val="32"/>
          <w:lang w:eastAsia="zh-CN"/>
        </w:rPr>
        <w:t>万元，主要用于以下方面:</w:t>
      </w:r>
      <w:r>
        <w:rPr>
          <w:rFonts w:hint="eastAsia" w:ascii="仿宋_GB2312" w:hAnsi="Calibri" w:eastAsia="仿宋_GB2312" w:cs="仿宋_GB2312"/>
          <w:b/>
          <w:bCs/>
          <w:sz w:val="32"/>
          <w:szCs w:val="32"/>
          <w:lang w:eastAsia="zh-CN"/>
        </w:rPr>
        <w:t>一般公共服务（</w:t>
      </w:r>
      <w:r>
        <w:rPr>
          <w:rFonts w:hint="eastAsia" w:ascii="仿宋_GB2312" w:hAnsi="Calibri" w:eastAsia="仿宋_GB2312" w:cs="仿宋_GB2312"/>
          <w:b/>
          <w:bCs/>
          <w:sz w:val="32"/>
          <w:szCs w:val="32"/>
          <w:lang w:val="en-US" w:eastAsia="zh-CN"/>
        </w:rPr>
        <w:t>201</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支出</w:t>
      </w:r>
      <w:r>
        <w:rPr>
          <w:rFonts w:hint="eastAsia" w:ascii="仿宋_GB2312" w:hAnsi="Calibri" w:eastAsia="仿宋_GB2312" w:cs="仿宋_GB2312"/>
          <w:sz w:val="32"/>
          <w:szCs w:val="32"/>
          <w:lang w:val="en-US" w:eastAsia="zh-CN"/>
        </w:rPr>
        <w:t>400.96</w:t>
      </w:r>
      <w:r>
        <w:rPr>
          <w:rFonts w:hint="eastAsia" w:ascii="仿宋_GB2312" w:hAnsi="Calibri" w:eastAsia="仿宋_GB2312" w:cs="仿宋_GB2312"/>
          <w:sz w:val="32"/>
          <w:szCs w:val="32"/>
          <w:lang w:eastAsia="zh-CN"/>
        </w:rPr>
        <w:t>万元，占</w:t>
      </w:r>
      <w:r>
        <w:rPr>
          <w:rFonts w:hint="eastAsia" w:ascii="仿宋_GB2312" w:hAnsi="Calibri" w:eastAsia="仿宋_GB2312" w:cs="仿宋_GB2312"/>
          <w:sz w:val="32"/>
          <w:szCs w:val="32"/>
          <w:lang w:val="en-US" w:eastAsia="zh-CN"/>
        </w:rPr>
        <w:t>86.71</w:t>
      </w:r>
      <w:r>
        <w:rPr>
          <w:rFonts w:hint="eastAsia" w:ascii="仿宋_GB2312" w:hAnsi="Calibri" w:eastAsia="仿宋_GB2312" w:cs="仿宋_GB2312"/>
          <w:sz w:val="32"/>
          <w:szCs w:val="32"/>
          <w:lang w:eastAsia="zh-CN"/>
        </w:rPr>
        <w:t>%；</w:t>
      </w:r>
      <w:r>
        <w:rPr>
          <w:rFonts w:hint="eastAsia" w:ascii="仿宋_GB2312" w:hAnsi="Calibri" w:eastAsia="仿宋_GB2312" w:cs="仿宋_GB2312"/>
          <w:b/>
          <w:bCs/>
          <w:sz w:val="32"/>
          <w:szCs w:val="32"/>
          <w:lang w:eastAsia="zh-CN"/>
        </w:rPr>
        <w:t>社会保障和就业（</w:t>
      </w:r>
      <w:r>
        <w:rPr>
          <w:rFonts w:hint="eastAsia" w:ascii="仿宋_GB2312" w:hAnsi="Calibri" w:eastAsia="仿宋_GB2312" w:cs="仿宋_GB2312"/>
          <w:b/>
          <w:bCs/>
          <w:sz w:val="32"/>
          <w:szCs w:val="32"/>
          <w:lang w:val="en-US" w:eastAsia="zh-CN"/>
        </w:rPr>
        <w:t>208</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支出</w:t>
      </w:r>
      <w:r>
        <w:rPr>
          <w:rFonts w:hint="eastAsia" w:ascii="仿宋_GB2312" w:hAnsi="Calibri" w:eastAsia="仿宋_GB2312" w:cs="仿宋_GB2312"/>
          <w:sz w:val="32"/>
          <w:szCs w:val="32"/>
          <w:lang w:val="en-US" w:eastAsia="zh-CN"/>
        </w:rPr>
        <w:t>29.98</w:t>
      </w:r>
      <w:r>
        <w:rPr>
          <w:rFonts w:hint="eastAsia" w:ascii="仿宋_GB2312" w:hAnsi="Calibri" w:eastAsia="仿宋_GB2312" w:cs="仿宋_GB2312"/>
          <w:sz w:val="32"/>
          <w:szCs w:val="32"/>
          <w:lang w:eastAsia="zh-CN"/>
        </w:rPr>
        <w:t>万元，占</w:t>
      </w:r>
      <w:r>
        <w:rPr>
          <w:rFonts w:hint="eastAsia" w:ascii="仿宋_GB2312" w:hAnsi="Calibri" w:eastAsia="仿宋_GB2312" w:cs="仿宋_GB2312"/>
          <w:sz w:val="32"/>
          <w:szCs w:val="32"/>
          <w:lang w:val="en-US" w:eastAsia="zh-CN"/>
        </w:rPr>
        <w:t>6.48</w:t>
      </w:r>
      <w:r>
        <w:rPr>
          <w:rFonts w:hint="eastAsia" w:ascii="仿宋_GB2312" w:hAnsi="Calibri" w:eastAsia="仿宋_GB2312" w:cs="仿宋_GB2312"/>
          <w:sz w:val="32"/>
          <w:szCs w:val="32"/>
          <w:lang w:eastAsia="zh-CN"/>
        </w:rPr>
        <w:t>%；</w:t>
      </w:r>
      <w:r>
        <w:rPr>
          <w:rFonts w:hint="eastAsia" w:ascii="仿宋_GB2312" w:hAnsi="Calibri" w:eastAsia="仿宋_GB2312" w:cs="仿宋_GB2312"/>
          <w:b/>
          <w:bCs/>
          <w:sz w:val="32"/>
          <w:szCs w:val="32"/>
          <w:lang w:eastAsia="zh-CN"/>
        </w:rPr>
        <w:t>卫生健康（</w:t>
      </w:r>
      <w:r>
        <w:rPr>
          <w:rFonts w:hint="eastAsia" w:ascii="仿宋_GB2312" w:hAnsi="Calibri" w:eastAsia="仿宋_GB2312" w:cs="仿宋_GB2312"/>
          <w:b/>
          <w:bCs/>
          <w:sz w:val="32"/>
          <w:szCs w:val="32"/>
          <w:lang w:val="en-US" w:eastAsia="zh-CN"/>
        </w:rPr>
        <w:t>210</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支出</w:t>
      </w:r>
      <w:r>
        <w:rPr>
          <w:rFonts w:hint="eastAsia" w:ascii="仿宋_GB2312" w:hAnsi="Calibri" w:eastAsia="仿宋_GB2312" w:cs="仿宋_GB2312"/>
          <w:sz w:val="32"/>
          <w:szCs w:val="32"/>
          <w:lang w:val="en-US" w:eastAsia="zh-CN"/>
        </w:rPr>
        <w:t>11.15</w:t>
      </w:r>
      <w:r>
        <w:rPr>
          <w:rFonts w:hint="eastAsia" w:ascii="仿宋_GB2312" w:hAnsi="Calibri" w:eastAsia="仿宋_GB2312" w:cs="仿宋_GB2312"/>
          <w:sz w:val="32"/>
          <w:szCs w:val="32"/>
          <w:lang w:eastAsia="zh-CN"/>
        </w:rPr>
        <w:t>万元，占</w:t>
      </w:r>
      <w:r>
        <w:rPr>
          <w:rFonts w:hint="eastAsia" w:ascii="仿宋_GB2312" w:hAnsi="Calibri" w:eastAsia="仿宋_GB2312" w:cs="仿宋_GB2312"/>
          <w:sz w:val="32"/>
          <w:szCs w:val="32"/>
          <w:lang w:val="en-US" w:eastAsia="zh-CN"/>
        </w:rPr>
        <w:t>2.41</w:t>
      </w:r>
      <w:r>
        <w:rPr>
          <w:rFonts w:hint="eastAsia" w:ascii="仿宋_GB2312" w:hAnsi="Calibri" w:eastAsia="仿宋_GB2312" w:cs="仿宋_GB2312"/>
          <w:sz w:val="32"/>
          <w:szCs w:val="32"/>
          <w:lang w:eastAsia="zh-CN"/>
        </w:rPr>
        <w:t>%；</w:t>
      </w:r>
      <w:r>
        <w:rPr>
          <w:rFonts w:hint="eastAsia" w:ascii="仿宋_GB2312" w:hAnsi="Calibri" w:eastAsia="仿宋_GB2312" w:cs="仿宋_GB2312"/>
          <w:b/>
          <w:bCs/>
          <w:sz w:val="32"/>
          <w:szCs w:val="32"/>
          <w:lang w:eastAsia="zh-CN"/>
        </w:rPr>
        <w:t>住房保障（</w:t>
      </w:r>
      <w:r>
        <w:rPr>
          <w:rFonts w:hint="eastAsia" w:ascii="仿宋_GB2312" w:hAnsi="Calibri" w:eastAsia="仿宋_GB2312" w:cs="仿宋_GB2312"/>
          <w:b/>
          <w:bCs/>
          <w:sz w:val="32"/>
          <w:szCs w:val="32"/>
          <w:lang w:val="en-US" w:eastAsia="zh-CN"/>
        </w:rPr>
        <w:t>221</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支出</w:t>
      </w:r>
      <w:r>
        <w:rPr>
          <w:rFonts w:hint="eastAsia" w:ascii="仿宋_GB2312" w:hAnsi="Calibri" w:eastAsia="仿宋_GB2312" w:cs="仿宋_GB2312"/>
          <w:sz w:val="32"/>
          <w:szCs w:val="32"/>
          <w:lang w:val="en-US" w:eastAsia="zh-CN"/>
        </w:rPr>
        <w:t>20.32</w:t>
      </w:r>
      <w:r>
        <w:rPr>
          <w:rFonts w:hint="eastAsia" w:ascii="仿宋_GB2312" w:hAnsi="Calibri" w:eastAsia="仿宋_GB2312" w:cs="仿宋_GB2312"/>
          <w:sz w:val="32"/>
          <w:szCs w:val="32"/>
          <w:lang w:eastAsia="zh-CN"/>
        </w:rPr>
        <w:t>万元，占</w:t>
      </w:r>
      <w:r>
        <w:rPr>
          <w:rFonts w:hint="eastAsia" w:ascii="仿宋_GB2312" w:hAnsi="Calibri" w:eastAsia="仿宋_GB2312" w:cs="仿宋_GB2312"/>
          <w:sz w:val="32"/>
          <w:szCs w:val="32"/>
          <w:lang w:val="en-US" w:eastAsia="zh-CN"/>
        </w:rPr>
        <w:t>4.39</w:t>
      </w:r>
      <w:r>
        <w:rPr>
          <w:rFonts w:hint="eastAsia" w:ascii="仿宋_GB2312" w:hAnsi="Calibri" w:eastAsia="仿宋_GB2312" w:cs="仿宋_GB2312"/>
          <w:sz w:val="32"/>
          <w:szCs w:val="32"/>
          <w:lang w:eastAsia="zh-CN"/>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pStyle w:val="2"/>
        <w:rPr>
          <w:rFonts w:hint="eastAsia" w:ascii="仿宋" w:hAnsi="仿宋" w:eastAsia="仿宋"/>
          <w:color w:val="000000"/>
          <w:sz w:val="32"/>
          <w:szCs w:val="32"/>
        </w:rPr>
      </w:pPr>
    </w:p>
    <w:p>
      <w:pPr>
        <w:rPr>
          <w:rFonts w:hint="eastAsia" w:ascii="仿宋" w:hAnsi="仿宋" w:eastAsia="仿宋"/>
          <w:color w:val="000000"/>
          <w:sz w:val="32"/>
          <w:szCs w:val="32"/>
        </w:rPr>
      </w:pPr>
    </w:p>
    <w:p>
      <w:pPr>
        <w:pStyle w:val="2"/>
        <w:rPr>
          <w:rFonts w:hint="eastAsia" w:eastAsia="宋体"/>
          <w:lang w:eastAsia="zh-CN"/>
        </w:rPr>
      </w:pPr>
      <w:r>
        <w:rPr>
          <w:rFonts w:hint="eastAsia" w:eastAsia="宋体"/>
          <w:lang w:eastAsia="zh-CN"/>
        </w:rPr>
        <w:drawing>
          <wp:inline distT="0" distB="0" distL="114300" distR="114300">
            <wp:extent cx="5070475" cy="3420745"/>
            <wp:effectExtent l="4445" t="4445" r="11430" b="22860"/>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rPr>
          <w:rFonts w:hint="eastAsia"/>
          <w:lang w:eastAsia="zh-CN"/>
        </w:rPr>
      </w:pPr>
    </w:p>
    <w:p>
      <w:pPr>
        <w:rPr>
          <w:rFonts w:hint="eastAsia"/>
          <w:lang w:eastAsia="zh-CN"/>
        </w:rPr>
      </w:pPr>
    </w:p>
    <w:p>
      <w:pPr>
        <w:pStyle w:val="5"/>
        <w:keepNext/>
        <w:keepLines/>
        <w:pageBreakBefore w:val="0"/>
        <w:widowControl w:val="0"/>
        <w:kinsoku/>
        <w:wordWrap/>
        <w:overflowPunct/>
        <w:topLinePunct w:val="0"/>
        <w:autoSpaceDE/>
        <w:autoSpaceDN/>
        <w:bidi w:val="0"/>
        <w:adjustRightInd/>
        <w:snapToGrid/>
        <w:spacing w:line="413" w:lineRule="auto"/>
        <w:ind w:firstLine="643" w:firstLineChars="200"/>
        <w:textAlignment w:val="auto"/>
        <w:rPr>
          <w:rFonts w:hint="eastAsia" w:ascii="仿宋" w:hAnsi="仿宋" w:eastAsia="仿宋" w:cs="仿宋"/>
        </w:rPr>
      </w:pPr>
      <w:bookmarkStart w:id="58" w:name="_Toc15377212"/>
      <w:bookmarkStart w:id="59" w:name="_Toc10630"/>
      <w:r>
        <w:rPr>
          <w:rFonts w:hint="eastAsia" w:ascii="仿宋" w:hAnsi="仿宋" w:eastAsia="仿宋" w:cs="仿宋"/>
        </w:rPr>
        <w:t>（三）一般公共预算财政拨款支出决算具体情况</w:t>
      </w:r>
      <w:bookmarkEnd w:id="58"/>
      <w:bookmarkEnd w:id="59"/>
    </w:p>
    <w:p>
      <w:pPr>
        <w:spacing w:line="600" w:lineRule="exact"/>
        <w:ind w:firstLine="640" w:firstLineChars="200"/>
        <w:rPr>
          <w:rFonts w:hint="eastAsia" w:ascii="仿宋_GB2312" w:hAnsi="Calibri" w:eastAsia="仿宋_GB2312" w:cs="仿宋_GB2312"/>
          <w:color w:val="000000" w:themeColor="text1"/>
          <w:sz w:val="32"/>
          <w:szCs w:val="32"/>
          <w:lang w:eastAsia="zh-CN"/>
          <w14:textFill>
            <w14:solidFill>
              <w14:schemeClr w14:val="tx1"/>
            </w14:solidFill>
          </w14:textFill>
        </w:rPr>
      </w:pPr>
      <w:bookmarkStart w:id="60" w:name="_Toc15378460"/>
      <w:bookmarkStart w:id="61" w:name="_Toc15377444"/>
      <w:bookmarkStart w:id="62" w:name="_Toc5853"/>
      <w:bookmarkStart w:id="63" w:name="_Toc15377213"/>
      <w:r>
        <w:rPr>
          <w:rFonts w:hint="eastAsia" w:ascii="仿宋_GB2312" w:hAnsi="Calibri" w:eastAsia="仿宋_GB2312" w:cs="仿宋_GB2312"/>
          <w:color w:val="000000" w:themeColor="text1"/>
          <w:sz w:val="32"/>
          <w:szCs w:val="32"/>
          <w:lang w:eastAsia="zh-CN"/>
          <w14:textFill>
            <w14:solidFill>
              <w14:schemeClr w14:val="tx1"/>
            </w14:solidFill>
          </w14:textFill>
        </w:rPr>
        <w:t>20</w:t>
      </w:r>
      <w:r>
        <w:rPr>
          <w:rFonts w:hint="eastAsia" w:ascii="仿宋_GB2312" w:hAnsi="Calibri" w:eastAsia="仿宋_GB2312" w:cs="仿宋_GB2312"/>
          <w:color w:val="000000" w:themeColor="text1"/>
          <w:sz w:val="32"/>
          <w:szCs w:val="32"/>
          <w:lang w:val="en-US" w:eastAsia="zh-CN"/>
          <w14:textFill>
            <w14:solidFill>
              <w14:schemeClr w14:val="tx1"/>
            </w14:solidFill>
          </w14:textFill>
        </w:rPr>
        <w:t>20</w:t>
      </w:r>
      <w:r>
        <w:rPr>
          <w:rFonts w:hint="eastAsia" w:ascii="仿宋_GB2312" w:hAnsi="Calibri" w:eastAsia="仿宋_GB2312" w:cs="仿宋_GB2312"/>
          <w:color w:val="000000" w:themeColor="text1"/>
          <w:sz w:val="32"/>
          <w:szCs w:val="32"/>
          <w:lang w:eastAsia="zh-CN"/>
          <w14:textFill>
            <w14:solidFill>
              <w14:schemeClr w14:val="tx1"/>
            </w14:solidFill>
          </w14:textFill>
        </w:rPr>
        <w:t>年一般公共预算支出决算数为</w:t>
      </w:r>
      <w:r>
        <w:rPr>
          <w:rFonts w:hint="eastAsia" w:ascii="仿宋_GB2312" w:hAnsi="Calibri" w:eastAsia="仿宋_GB2312" w:cs="仿宋_GB2312"/>
          <w:color w:val="000000" w:themeColor="text1"/>
          <w:sz w:val="32"/>
          <w:szCs w:val="32"/>
          <w:lang w:val="en-US" w:eastAsia="zh-CN"/>
          <w14:textFill>
            <w14:solidFill>
              <w14:schemeClr w14:val="tx1"/>
            </w14:solidFill>
          </w14:textFill>
        </w:rPr>
        <w:t>462.41万元</w:t>
      </w:r>
      <w:r>
        <w:rPr>
          <w:rFonts w:hint="eastAsia" w:ascii="仿宋_GB2312" w:hAnsi="Calibri" w:eastAsia="仿宋_GB2312" w:cs="仿宋_GB2312"/>
          <w:color w:val="000000" w:themeColor="text1"/>
          <w:sz w:val="32"/>
          <w:szCs w:val="32"/>
          <w:lang w:eastAsia="zh-CN"/>
          <w14:textFill>
            <w14:solidFill>
              <w14:schemeClr w14:val="tx1"/>
            </w14:solidFill>
          </w14:textFill>
        </w:rPr>
        <w:t>，预算是完成预算</w:t>
      </w:r>
      <w:r>
        <w:rPr>
          <w:rFonts w:hint="eastAsia" w:ascii="仿宋_GB2312" w:hAnsi="Calibri" w:eastAsia="仿宋_GB2312" w:cs="仿宋_GB2312"/>
          <w:color w:val="000000" w:themeColor="text1"/>
          <w:sz w:val="32"/>
          <w:szCs w:val="32"/>
          <w:lang w:val="en-US" w:eastAsia="zh-CN"/>
          <w14:textFill>
            <w14:solidFill>
              <w14:schemeClr w14:val="tx1"/>
            </w14:solidFill>
          </w14:textFill>
        </w:rPr>
        <w:t>100</w:t>
      </w:r>
      <w:r>
        <w:rPr>
          <w:rFonts w:hint="eastAsia" w:ascii="仿宋_GB2312" w:hAnsi="Calibri" w:eastAsia="仿宋_GB2312" w:cs="仿宋_GB2312"/>
          <w:color w:val="000000" w:themeColor="text1"/>
          <w:sz w:val="32"/>
          <w:szCs w:val="32"/>
          <w:lang w:eastAsia="zh-CN"/>
          <w14:textFill>
            <w14:solidFill>
              <w14:schemeClr w14:val="tx1"/>
            </w14:solidFill>
          </w14:textFill>
        </w:rPr>
        <w:t>%。其中：</w:t>
      </w:r>
      <w:bookmarkEnd w:id="60"/>
      <w:bookmarkEnd w:id="61"/>
      <w:bookmarkEnd w:id="62"/>
      <w:bookmarkEnd w:id="63"/>
    </w:p>
    <w:p>
      <w:pPr>
        <w:spacing w:line="600" w:lineRule="exact"/>
        <w:ind w:firstLine="643" w:firstLineChars="200"/>
        <w:rPr>
          <w:rFonts w:hint="eastAsia" w:ascii="仿宋_GB2312" w:hAnsi="Calibri" w:eastAsia="仿宋_GB2312" w:cs="仿宋_GB2312"/>
          <w:color w:val="FF0000"/>
          <w:sz w:val="32"/>
          <w:szCs w:val="32"/>
          <w:lang w:eastAsia="zh-CN"/>
        </w:rPr>
      </w:pPr>
      <w:r>
        <w:rPr>
          <w:rFonts w:hint="eastAsia" w:ascii="仿宋_GB2312" w:hAnsi="宋体" w:eastAsia="仿宋_GB2312" w:cs="宋体"/>
          <w:b/>
          <w:bCs/>
          <w:color w:val="000000"/>
          <w:kern w:val="0"/>
          <w:sz w:val="32"/>
          <w:szCs w:val="32"/>
          <w:shd w:val="clear" w:color="auto" w:fill="FFFFFF"/>
          <w:lang w:val="zh-CN"/>
        </w:rPr>
        <w:t>1.一般公共服务</w:t>
      </w:r>
      <w:r>
        <w:rPr>
          <w:rFonts w:hint="eastAsia" w:ascii="仿宋_GB2312" w:hAnsi="宋体" w:eastAsia="仿宋_GB2312" w:cs="宋体"/>
          <w:b/>
          <w:bCs/>
          <w:color w:val="000000"/>
          <w:kern w:val="0"/>
          <w:sz w:val="32"/>
          <w:szCs w:val="32"/>
          <w:shd w:val="clear" w:color="auto" w:fill="FFFFFF"/>
          <w:lang w:val="zh-CN" w:eastAsia="zh-CN"/>
        </w:rPr>
        <w:t>支出</w:t>
      </w:r>
      <w:r>
        <w:rPr>
          <w:rFonts w:hint="eastAsia" w:ascii="仿宋_GB2312" w:hAnsi="宋体" w:eastAsia="仿宋_GB2312" w:cs="宋体"/>
          <w:b/>
          <w:bCs/>
          <w:color w:val="000000"/>
          <w:kern w:val="0"/>
          <w:sz w:val="32"/>
          <w:szCs w:val="32"/>
          <w:shd w:val="clear" w:color="auto" w:fill="FFFFFF"/>
          <w:lang w:val="zh-CN"/>
        </w:rPr>
        <w:t>（</w:t>
      </w:r>
      <w:r>
        <w:rPr>
          <w:rFonts w:hint="eastAsia" w:ascii="仿宋_GB2312" w:hAnsi="宋体" w:eastAsia="仿宋_GB2312" w:cs="宋体"/>
          <w:b/>
          <w:bCs/>
          <w:color w:val="000000"/>
          <w:kern w:val="0"/>
          <w:sz w:val="32"/>
          <w:szCs w:val="32"/>
          <w:shd w:val="clear" w:color="auto" w:fill="FFFFFF"/>
          <w:lang w:val="en-US" w:eastAsia="zh-CN"/>
        </w:rPr>
        <w:t>201</w:t>
      </w:r>
      <w:r>
        <w:rPr>
          <w:rFonts w:hint="eastAsia" w:ascii="仿宋_GB2312" w:hAnsi="宋体" w:eastAsia="仿宋_GB2312" w:cs="宋体"/>
          <w:b/>
          <w:bCs/>
          <w:color w:val="000000"/>
          <w:kern w:val="0"/>
          <w:sz w:val="32"/>
          <w:szCs w:val="32"/>
          <w:shd w:val="clear" w:color="auto" w:fill="FFFFFF"/>
          <w:lang w:val="zh-CN"/>
        </w:rPr>
        <w:t>）:</w:t>
      </w:r>
      <w:r>
        <w:rPr>
          <w:rStyle w:val="14"/>
          <w:rFonts w:ascii="仿宋" w:hAnsi="仿宋" w:eastAsia="仿宋"/>
          <w:b w:val="0"/>
          <w:bCs/>
          <w:color w:val="FF0000"/>
          <w:sz w:val="32"/>
          <w:szCs w:val="32"/>
        </w:rPr>
        <w:t xml:space="preserve"> </w:t>
      </w:r>
      <w:r>
        <w:rPr>
          <w:rFonts w:hint="eastAsia" w:ascii="仿宋_GB2312" w:hAnsi="Calibri" w:eastAsia="仿宋_GB2312" w:cs="仿宋_GB2312"/>
          <w:color w:val="000000" w:themeColor="text1"/>
          <w:sz w:val="32"/>
          <w:szCs w:val="32"/>
          <w:lang w:eastAsia="zh-CN"/>
          <w14:textFill>
            <w14:solidFill>
              <w14:schemeClr w14:val="tx1"/>
            </w14:solidFill>
          </w14:textFill>
        </w:rPr>
        <w:t>支出决算为</w:t>
      </w:r>
      <w:r>
        <w:rPr>
          <w:rFonts w:hint="eastAsia" w:ascii="仿宋_GB2312" w:hAnsi="Calibri" w:eastAsia="仿宋_GB2312" w:cs="仿宋_GB2312"/>
          <w:color w:val="000000" w:themeColor="text1"/>
          <w:sz w:val="32"/>
          <w:szCs w:val="32"/>
          <w:lang w:val="en-US" w:eastAsia="zh-CN"/>
          <w14:textFill>
            <w14:solidFill>
              <w14:schemeClr w14:val="tx1"/>
            </w14:solidFill>
          </w14:textFill>
        </w:rPr>
        <w:t>400.96</w:t>
      </w:r>
      <w:r>
        <w:rPr>
          <w:rFonts w:hint="eastAsia" w:ascii="仿宋_GB2312" w:hAnsi="Calibri" w:eastAsia="仿宋_GB2312" w:cs="仿宋_GB2312"/>
          <w:color w:val="000000" w:themeColor="text1"/>
          <w:sz w:val="32"/>
          <w:szCs w:val="32"/>
          <w:lang w:eastAsia="zh-CN"/>
          <w14:textFill>
            <w14:solidFill>
              <w14:schemeClr w14:val="tx1"/>
            </w14:solidFill>
          </w14:textFill>
        </w:rPr>
        <w:t>万元，完成预算</w:t>
      </w:r>
      <w:r>
        <w:rPr>
          <w:rFonts w:hint="eastAsia" w:ascii="仿宋_GB2312" w:hAnsi="Calibri" w:eastAsia="仿宋_GB2312" w:cs="仿宋_GB2312"/>
          <w:color w:val="000000" w:themeColor="text1"/>
          <w:sz w:val="32"/>
          <w:szCs w:val="32"/>
          <w:lang w:val="en-US" w:eastAsia="zh-CN"/>
          <w14:textFill>
            <w14:solidFill>
              <w14:schemeClr w14:val="tx1"/>
            </w14:solidFill>
          </w14:textFill>
        </w:rPr>
        <w:t>100</w:t>
      </w:r>
      <w:r>
        <w:rPr>
          <w:rFonts w:hint="eastAsia" w:ascii="仿宋_GB2312" w:hAnsi="Calibri" w:eastAsia="仿宋_GB2312" w:cs="仿宋_GB2312"/>
          <w:color w:val="000000" w:themeColor="text1"/>
          <w:sz w:val="32"/>
          <w:szCs w:val="32"/>
          <w:lang w:eastAsia="zh-CN"/>
          <w14:textFill>
            <w14:solidFill>
              <w14:schemeClr w14:val="tx1"/>
            </w14:solidFill>
          </w14:textFill>
        </w:rPr>
        <w:t>%，决算数与预算数持平。其中：</w:t>
      </w:r>
      <w:r>
        <w:rPr>
          <w:rFonts w:hint="eastAsia" w:ascii="仿宋_GB2312" w:hAnsi="Calibri" w:eastAsia="仿宋_GB2312" w:cs="仿宋_GB2312"/>
          <w:b/>
          <w:bCs/>
          <w:color w:val="000000" w:themeColor="text1"/>
          <w:sz w:val="32"/>
          <w:szCs w:val="32"/>
          <w:lang w:eastAsia="zh-CN"/>
          <w14:textFill>
            <w14:solidFill>
              <w14:schemeClr w14:val="tx1"/>
            </w14:solidFill>
          </w14:textFill>
        </w:rPr>
        <w:t>行政运行（2010801）</w:t>
      </w:r>
      <w:r>
        <w:rPr>
          <w:rFonts w:hint="eastAsia" w:ascii="仿宋_GB2312" w:hAnsi="Calibri" w:eastAsia="仿宋_GB2312" w:cs="仿宋_GB2312"/>
          <w:color w:val="000000" w:themeColor="text1"/>
          <w:sz w:val="32"/>
          <w:szCs w:val="32"/>
          <w:lang w:eastAsia="zh-CN"/>
          <w14:textFill>
            <w14:solidFill>
              <w14:schemeClr w14:val="tx1"/>
            </w14:solidFill>
          </w14:textFill>
        </w:rPr>
        <w:t>支出决算为</w:t>
      </w:r>
      <w:r>
        <w:rPr>
          <w:rFonts w:hint="eastAsia" w:ascii="仿宋_GB2312" w:hAnsi="Calibri" w:eastAsia="仿宋_GB2312" w:cs="仿宋_GB2312"/>
          <w:color w:val="000000" w:themeColor="text1"/>
          <w:sz w:val="32"/>
          <w:szCs w:val="32"/>
          <w:lang w:val="en-US" w:eastAsia="zh-CN"/>
          <w14:textFill>
            <w14:solidFill>
              <w14:schemeClr w14:val="tx1"/>
            </w14:solidFill>
          </w14:textFill>
        </w:rPr>
        <w:t>183.38</w:t>
      </w:r>
      <w:r>
        <w:rPr>
          <w:rFonts w:hint="eastAsia" w:ascii="仿宋_GB2312" w:hAnsi="Calibri" w:eastAsia="仿宋_GB2312" w:cs="仿宋_GB2312"/>
          <w:color w:val="000000" w:themeColor="text1"/>
          <w:sz w:val="32"/>
          <w:szCs w:val="32"/>
          <w:lang w:eastAsia="zh-CN"/>
          <w14:textFill>
            <w14:solidFill>
              <w14:schemeClr w14:val="tx1"/>
            </w14:solidFill>
          </w14:textFill>
        </w:rPr>
        <w:t>万元，完成预算100%，决算数与预算数持平；</w:t>
      </w:r>
      <w:r>
        <w:rPr>
          <w:rFonts w:hint="eastAsia" w:ascii="仿宋_GB2312" w:hAnsi="Calibri" w:eastAsia="仿宋_GB2312" w:cs="仿宋_GB2312"/>
          <w:b/>
          <w:bCs/>
          <w:color w:val="000000" w:themeColor="text1"/>
          <w:sz w:val="32"/>
          <w:szCs w:val="32"/>
          <w:lang w:eastAsia="zh-CN"/>
          <w14:textFill>
            <w14:solidFill>
              <w14:schemeClr w14:val="tx1"/>
            </w14:solidFill>
          </w14:textFill>
        </w:rPr>
        <w:t>一般行政管理事务（2010802）</w:t>
      </w:r>
      <w:r>
        <w:rPr>
          <w:rFonts w:hint="eastAsia" w:ascii="仿宋_GB2312" w:hAnsi="Calibri" w:eastAsia="仿宋_GB2312" w:cs="仿宋_GB2312"/>
          <w:color w:val="000000" w:themeColor="text1"/>
          <w:sz w:val="32"/>
          <w:szCs w:val="32"/>
          <w:lang w:eastAsia="zh-CN"/>
          <w14:textFill>
            <w14:solidFill>
              <w14:schemeClr w14:val="tx1"/>
            </w14:solidFill>
          </w14:textFill>
        </w:rPr>
        <w:t>支出决算为</w:t>
      </w:r>
      <w:r>
        <w:rPr>
          <w:rFonts w:hint="eastAsia" w:ascii="仿宋_GB2312" w:hAnsi="Calibri" w:eastAsia="仿宋_GB2312" w:cs="仿宋_GB2312"/>
          <w:color w:val="000000" w:themeColor="text1"/>
          <w:sz w:val="32"/>
          <w:szCs w:val="32"/>
          <w:lang w:val="en-US" w:eastAsia="zh-CN"/>
          <w14:textFill>
            <w14:solidFill>
              <w14:schemeClr w14:val="tx1"/>
            </w14:solidFill>
          </w14:textFill>
        </w:rPr>
        <w:t>6.8</w:t>
      </w:r>
      <w:r>
        <w:rPr>
          <w:rFonts w:hint="eastAsia" w:ascii="仿宋_GB2312" w:hAnsi="Calibri" w:eastAsia="仿宋_GB2312" w:cs="仿宋_GB2312"/>
          <w:color w:val="000000" w:themeColor="text1"/>
          <w:sz w:val="32"/>
          <w:szCs w:val="32"/>
          <w:lang w:eastAsia="zh-CN"/>
          <w14:textFill>
            <w14:solidFill>
              <w14:schemeClr w14:val="tx1"/>
            </w14:solidFill>
          </w14:textFill>
        </w:rPr>
        <w:t>万元，完成预算</w:t>
      </w:r>
      <w:r>
        <w:rPr>
          <w:rFonts w:hint="eastAsia" w:ascii="仿宋_GB2312" w:hAnsi="Calibri" w:eastAsia="仿宋_GB2312" w:cs="仿宋_GB2312"/>
          <w:color w:val="000000" w:themeColor="text1"/>
          <w:sz w:val="32"/>
          <w:szCs w:val="32"/>
          <w:lang w:val="en-US" w:eastAsia="zh-CN"/>
          <w14:textFill>
            <w14:solidFill>
              <w14:schemeClr w14:val="tx1"/>
            </w14:solidFill>
          </w14:textFill>
        </w:rPr>
        <w:t>100</w:t>
      </w:r>
      <w:r>
        <w:rPr>
          <w:rFonts w:hint="eastAsia" w:ascii="仿宋_GB2312" w:hAnsi="Calibri" w:eastAsia="仿宋_GB2312" w:cs="仿宋_GB2312"/>
          <w:color w:val="000000" w:themeColor="text1"/>
          <w:sz w:val="32"/>
          <w:szCs w:val="32"/>
          <w:lang w:eastAsia="zh-CN"/>
          <w14:textFill>
            <w14:solidFill>
              <w14:schemeClr w14:val="tx1"/>
            </w14:solidFill>
          </w14:textFill>
        </w:rPr>
        <w:t>%，决算数与预算数持平；</w:t>
      </w:r>
      <w:r>
        <w:rPr>
          <w:rFonts w:hint="eastAsia" w:ascii="仿宋_GB2312" w:hAnsi="Calibri" w:eastAsia="仿宋_GB2312" w:cs="仿宋_GB2312"/>
          <w:b/>
          <w:bCs/>
          <w:color w:val="000000" w:themeColor="text1"/>
          <w:sz w:val="32"/>
          <w:szCs w:val="32"/>
          <w:lang w:eastAsia="zh-CN"/>
          <w14:textFill>
            <w14:solidFill>
              <w14:schemeClr w14:val="tx1"/>
            </w14:solidFill>
          </w14:textFill>
        </w:rPr>
        <w:t>审计业务（2010804）</w:t>
      </w:r>
      <w:r>
        <w:rPr>
          <w:rFonts w:hint="eastAsia" w:ascii="仿宋_GB2312" w:hAnsi="Calibri" w:eastAsia="仿宋_GB2312" w:cs="仿宋_GB2312"/>
          <w:color w:val="000000" w:themeColor="text1"/>
          <w:sz w:val="32"/>
          <w:szCs w:val="32"/>
          <w:lang w:eastAsia="zh-CN"/>
          <w14:textFill>
            <w14:solidFill>
              <w14:schemeClr w14:val="tx1"/>
            </w14:solidFill>
          </w14:textFill>
        </w:rPr>
        <w:t>支出决算为</w:t>
      </w:r>
      <w:r>
        <w:rPr>
          <w:rFonts w:hint="eastAsia" w:ascii="仿宋_GB2312" w:hAnsi="Calibri" w:eastAsia="仿宋_GB2312" w:cs="仿宋_GB2312"/>
          <w:color w:val="000000" w:themeColor="text1"/>
          <w:sz w:val="32"/>
          <w:szCs w:val="32"/>
          <w:lang w:val="en-US" w:eastAsia="zh-CN"/>
          <w14:textFill>
            <w14:solidFill>
              <w14:schemeClr w14:val="tx1"/>
            </w14:solidFill>
          </w14:textFill>
        </w:rPr>
        <w:t>210.78</w:t>
      </w:r>
      <w:r>
        <w:rPr>
          <w:rFonts w:hint="eastAsia" w:ascii="仿宋_GB2312" w:hAnsi="Calibri" w:eastAsia="仿宋_GB2312" w:cs="仿宋_GB2312"/>
          <w:color w:val="000000" w:themeColor="text1"/>
          <w:sz w:val="32"/>
          <w:szCs w:val="32"/>
          <w:lang w:eastAsia="zh-CN"/>
          <w14:textFill>
            <w14:solidFill>
              <w14:schemeClr w14:val="tx1"/>
            </w14:solidFill>
          </w14:textFill>
        </w:rPr>
        <w:t>万元，完成预算</w:t>
      </w:r>
      <w:r>
        <w:rPr>
          <w:rFonts w:hint="eastAsia" w:ascii="仿宋_GB2312" w:hAnsi="Calibri" w:eastAsia="仿宋_GB2312" w:cs="仿宋_GB2312"/>
          <w:color w:val="000000" w:themeColor="text1"/>
          <w:sz w:val="32"/>
          <w:szCs w:val="32"/>
          <w:lang w:val="en-US" w:eastAsia="zh-CN"/>
          <w14:textFill>
            <w14:solidFill>
              <w14:schemeClr w14:val="tx1"/>
            </w14:solidFill>
          </w14:textFill>
        </w:rPr>
        <w:t>100</w:t>
      </w:r>
      <w:r>
        <w:rPr>
          <w:rFonts w:hint="eastAsia" w:ascii="仿宋_GB2312" w:hAnsi="Calibri" w:eastAsia="仿宋_GB2312" w:cs="仿宋_GB2312"/>
          <w:color w:val="000000" w:themeColor="text1"/>
          <w:sz w:val="32"/>
          <w:szCs w:val="32"/>
          <w:lang w:eastAsia="zh-CN"/>
          <w14:textFill>
            <w14:solidFill>
              <w14:schemeClr w14:val="tx1"/>
            </w14:solidFill>
          </w14:textFill>
        </w:rPr>
        <w:t>%，决算数与预算数持平。</w:t>
      </w:r>
    </w:p>
    <w:p>
      <w:pPr>
        <w:spacing w:line="600" w:lineRule="exact"/>
        <w:ind w:firstLine="643" w:firstLineChars="200"/>
        <w:rPr>
          <w:rFonts w:hint="eastAsia" w:ascii="仿宋_GB2312" w:hAnsi="Calibri" w:eastAsia="仿宋_GB2312" w:cs="仿宋_GB2312"/>
          <w:sz w:val="32"/>
          <w:szCs w:val="32"/>
          <w:lang w:eastAsia="zh-CN"/>
        </w:rPr>
      </w:pPr>
      <w:r>
        <w:rPr>
          <w:rFonts w:hint="eastAsia" w:ascii="仿宋_GB2312" w:hAnsi="宋体" w:eastAsia="仿宋_GB2312" w:cs="宋体"/>
          <w:b/>
          <w:bCs/>
          <w:color w:val="000000"/>
          <w:kern w:val="0"/>
          <w:sz w:val="32"/>
          <w:szCs w:val="32"/>
          <w:shd w:val="clear" w:color="auto" w:fill="FFFFFF"/>
          <w:lang w:val="en-US" w:eastAsia="zh-CN"/>
        </w:rPr>
        <w:t>2</w:t>
      </w:r>
      <w:r>
        <w:rPr>
          <w:rFonts w:hint="eastAsia" w:ascii="仿宋_GB2312" w:hAnsi="宋体" w:eastAsia="仿宋_GB2312" w:cs="宋体"/>
          <w:b/>
          <w:bCs/>
          <w:color w:val="000000"/>
          <w:kern w:val="0"/>
          <w:sz w:val="32"/>
          <w:szCs w:val="32"/>
          <w:shd w:val="clear" w:color="auto" w:fill="FFFFFF"/>
          <w:lang w:val="zh-CN"/>
        </w:rPr>
        <w:t>.社会保障和就业</w:t>
      </w:r>
      <w:r>
        <w:rPr>
          <w:rFonts w:hint="eastAsia" w:ascii="仿宋_GB2312" w:hAnsi="宋体" w:eastAsia="仿宋_GB2312" w:cs="宋体"/>
          <w:b/>
          <w:bCs/>
          <w:color w:val="000000"/>
          <w:kern w:val="0"/>
          <w:sz w:val="32"/>
          <w:szCs w:val="32"/>
          <w:shd w:val="clear" w:color="auto" w:fill="FFFFFF"/>
          <w:lang w:val="zh-CN" w:eastAsia="zh-CN"/>
        </w:rPr>
        <w:t>支出</w:t>
      </w:r>
      <w:r>
        <w:rPr>
          <w:rFonts w:hint="eastAsia" w:ascii="仿宋_GB2312" w:hAnsi="宋体" w:eastAsia="仿宋_GB2312" w:cs="宋体"/>
          <w:b/>
          <w:bCs/>
          <w:color w:val="000000"/>
          <w:kern w:val="0"/>
          <w:sz w:val="32"/>
          <w:szCs w:val="32"/>
          <w:shd w:val="clear" w:color="auto" w:fill="FFFFFF"/>
          <w:lang w:val="zh-CN"/>
        </w:rPr>
        <w:t>（</w:t>
      </w:r>
      <w:r>
        <w:rPr>
          <w:rFonts w:hint="eastAsia" w:ascii="仿宋_GB2312" w:hAnsi="宋体" w:eastAsia="仿宋_GB2312" w:cs="宋体"/>
          <w:b/>
          <w:bCs/>
          <w:color w:val="000000"/>
          <w:kern w:val="0"/>
          <w:sz w:val="32"/>
          <w:szCs w:val="32"/>
          <w:shd w:val="clear" w:color="auto" w:fill="FFFFFF"/>
          <w:lang w:val="en-US" w:eastAsia="zh-CN"/>
        </w:rPr>
        <w:t>208</w:t>
      </w:r>
      <w:r>
        <w:rPr>
          <w:rFonts w:hint="eastAsia" w:ascii="仿宋_GB2312" w:hAnsi="宋体" w:eastAsia="仿宋_GB2312" w:cs="宋体"/>
          <w:b/>
          <w:bCs/>
          <w:color w:val="000000"/>
          <w:kern w:val="0"/>
          <w:sz w:val="32"/>
          <w:szCs w:val="32"/>
          <w:shd w:val="clear" w:color="auto" w:fill="FFFFFF"/>
          <w:lang w:val="zh-CN"/>
        </w:rPr>
        <w:t xml:space="preserve">）: </w:t>
      </w:r>
      <w:r>
        <w:rPr>
          <w:rFonts w:hint="eastAsia" w:ascii="仿宋_GB2312" w:hAnsi="Calibri" w:eastAsia="仿宋_GB2312" w:cs="仿宋_GB2312"/>
          <w:sz w:val="32"/>
          <w:szCs w:val="32"/>
          <w:lang w:eastAsia="zh-CN"/>
        </w:rPr>
        <w:t>支出决算为</w:t>
      </w:r>
      <w:r>
        <w:rPr>
          <w:rFonts w:hint="eastAsia" w:ascii="仿宋_GB2312" w:hAnsi="Calibri" w:eastAsia="仿宋_GB2312" w:cs="仿宋_GB2312"/>
          <w:sz w:val="32"/>
          <w:szCs w:val="32"/>
          <w:lang w:val="en-US" w:eastAsia="zh-CN"/>
        </w:rPr>
        <w:t>29.98</w:t>
      </w:r>
      <w:r>
        <w:rPr>
          <w:rFonts w:hint="eastAsia" w:ascii="仿宋_GB2312" w:hAnsi="Calibri" w:eastAsia="仿宋_GB2312" w:cs="仿宋_GB2312"/>
          <w:sz w:val="32"/>
          <w:szCs w:val="32"/>
          <w:lang w:eastAsia="zh-CN"/>
        </w:rPr>
        <w:t>万元，完成预算100%，决算数与预算数持平。其中：</w:t>
      </w:r>
      <w:r>
        <w:rPr>
          <w:rFonts w:hint="eastAsia" w:ascii="仿宋_GB2312" w:hAnsi="Calibri" w:eastAsia="仿宋_GB2312" w:cs="仿宋_GB2312"/>
          <w:b/>
          <w:bCs/>
          <w:sz w:val="32"/>
          <w:szCs w:val="32"/>
          <w:lang w:eastAsia="zh-CN"/>
        </w:rPr>
        <w:t>机关事业单位基本养老保险缴费支出（2080505）</w:t>
      </w:r>
      <w:r>
        <w:rPr>
          <w:rFonts w:hint="eastAsia" w:ascii="仿宋_GB2312" w:hAnsi="Calibri" w:eastAsia="仿宋_GB2312" w:cs="仿宋_GB2312"/>
          <w:sz w:val="32"/>
          <w:szCs w:val="32"/>
          <w:lang w:eastAsia="zh-CN"/>
        </w:rPr>
        <w:t>决算为</w:t>
      </w:r>
      <w:r>
        <w:rPr>
          <w:rFonts w:hint="eastAsia" w:ascii="仿宋_GB2312" w:hAnsi="Calibri" w:eastAsia="仿宋_GB2312" w:cs="仿宋_GB2312"/>
          <w:sz w:val="32"/>
          <w:szCs w:val="32"/>
          <w:lang w:val="en-US" w:eastAsia="zh-CN"/>
        </w:rPr>
        <w:t>19.99</w:t>
      </w:r>
      <w:r>
        <w:rPr>
          <w:rFonts w:hint="eastAsia" w:ascii="仿宋_GB2312" w:hAnsi="Calibri" w:eastAsia="仿宋_GB2312" w:cs="仿宋_GB2312"/>
          <w:sz w:val="32"/>
          <w:szCs w:val="32"/>
          <w:lang w:eastAsia="zh-CN"/>
        </w:rPr>
        <w:t>万元，完成预算100%，决算数与预算数持平；</w:t>
      </w:r>
      <w:r>
        <w:rPr>
          <w:rFonts w:hint="eastAsia" w:ascii="仿宋_GB2312" w:hAnsi="Calibri" w:eastAsia="仿宋_GB2312" w:cs="仿宋_GB2312"/>
          <w:b/>
          <w:bCs/>
          <w:sz w:val="32"/>
          <w:szCs w:val="32"/>
          <w:lang w:eastAsia="zh-CN"/>
        </w:rPr>
        <w:t>机关事业单位职业年金缴费支出（2080506）</w:t>
      </w:r>
      <w:r>
        <w:rPr>
          <w:rFonts w:hint="eastAsia" w:ascii="仿宋_GB2312" w:hAnsi="Calibri" w:eastAsia="仿宋_GB2312" w:cs="仿宋_GB2312"/>
          <w:sz w:val="32"/>
          <w:szCs w:val="32"/>
          <w:lang w:eastAsia="zh-CN"/>
        </w:rPr>
        <w:t>决算为</w:t>
      </w:r>
      <w:r>
        <w:rPr>
          <w:rFonts w:hint="eastAsia" w:ascii="仿宋_GB2312" w:hAnsi="Calibri" w:eastAsia="仿宋_GB2312" w:cs="仿宋_GB2312"/>
          <w:sz w:val="32"/>
          <w:szCs w:val="32"/>
          <w:lang w:val="en-US" w:eastAsia="zh-CN"/>
        </w:rPr>
        <w:t>9.99</w:t>
      </w:r>
      <w:r>
        <w:rPr>
          <w:rFonts w:hint="eastAsia" w:ascii="仿宋_GB2312" w:hAnsi="Calibri" w:eastAsia="仿宋_GB2312" w:cs="仿宋_GB2312"/>
          <w:sz w:val="32"/>
          <w:szCs w:val="32"/>
          <w:lang w:eastAsia="zh-CN"/>
        </w:rPr>
        <w:t>万元，完成预算数100%，决算数与预算数持平。</w:t>
      </w:r>
    </w:p>
    <w:p>
      <w:pPr>
        <w:spacing w:line="600" w:lineRule="exact"/>
        <w:ind w:firstLine="643" w:firstLineChars="200"/>
        <w:rPr>
          <w:rFonts w:hint="eastAsia" w:ascii="仿宋_GB2312" w:hAnsi="Calibri" w:eastAsia="仿宋_GB2312" w:cs="仿宋_GB2312"/>
          <w:sz w:val="32"/>
          <w:szCs w:val="32"/>
          <w:lang w:eastAsia="zh-CN"/>
        </w:rPr>
      </w:pPr>
      <w:r>
        <w:rPr>
          <w:rFonts w:hint="eastAsia" w:ascii="仿宋_GB2312" w:hAnsi="宋体" w:eastAsia="仿宋_GB2312" w:cs="宋体"/>
          <w:b/>
          <w:bCs/>
          <w:color w:val="000000"/>
          <w:kern w:val="0"/>
          <w:sz w:val="32"/>
          <w:szCs w:val="32"/>
          <w:shd w:val="clear" w:color="auto" w:fill="FFFFFF"/>
          <w:lang w:val="en-US" w:eastAsia="zh-CN"/>
        </w:rPr>
        <w:t>3</w:t>
      </w:r>
      <w:r>
        <w:rPr>
          <w:rFonts w:hint="eastAsia" w:ascii="仿宋_GB2312" w:hAnsi="宋体" w:eastAsia="仿宋_GB2312" w:cs="宋体"/>
          <w:b/>
          <w:bCs/>
          <w:color w:val="000000"/>
          <w:kern w:val="0"/>
          <w:sz w:val="32"/>
          <w:szCs w:val="32"/>
          <w:shd w:val="clear" w:color="auto" w:fill="FFFFFF"/>
          <w:lang w:val="zh-CN"/>
        </w:rPr>
        <w:t>.卫生健康</w:t>
      </w:r>
      <w:r>
        <w:rPr>
          <w:rFonts w:hint="eastAsia" w:ascii="仿宋_GB2312" w:hAnsi="宋体" w:eastAsia="仿宋_GB2312" w:cs="宋体"/>
          <w:b/>
          <w:bCs/>
          <w:color w:val="000000"/>
          <w:kern w:val="0"/>
          <w:sz w:val="32"/>
          <w:szCs w:val="32"/>
          <w:shd w:val="clear" w:color="auto" w:fill="FFFFFF"/>
          <w:lang w:val="zh-CN" w:eastAsia="zh-CN"/>
        </w:rPr>
        <w:t>支出</w:t>
      </w:r>
      <w:r>
        <w:rPr>
          <w:rFonts w:hint="eastAsia" w:ascii="仿宋_GB2312" w:hAnsi="宋体" w:eastAsia="仿宋_GB2312" w:cs="宋体"/>
          <w:b/>
          <w:bCs/>
          <w:color w:val="000000"/>
          <w:kern w:val="0"/>
          <w:sz w:val="32"/>
          <w:szCs w:val="32"/>
          <w:shd w:val="clear" w:color="auto" w:fill="FFFFFF"/>
          <w:lang w:val="zh-CN"/>
        </w:rPr>
        <w:t>（</w:t>
      </w:r>
      <w:r>
        <w:rPr>
          <w:rFonts w:hint="eastAsia" w:ascii="仿宋_GB2312" w:hAnsi="宋体" w:eastAsia="仿宋_GB2312" w:cs="宋体"/>
          <w:b/>
          <w:bCs/>
          <w:color w:val="000000"/>
          <w:kern w:val="0"/>
          <w:sz w:val="32"/>
          <w:szCs w:val="32"/>
          <w:shd w:val="clear" w:color="auto" w:fill="FFFFFF"/>
          <w:lang w:val="en-US" w:eastAsia="zh-CN"/>
        </w:rPr>
        <w:t>210</w:t>
      </w:r>
      <w:r>
        <w:rPr>
          <w:rFonts w:hint="eastAsia" w:ascii="仿宋_GB2312" w:hAnsi="宋体" w:eastAsia="仿宋_GB2312" w:cs="宋体"/>
          <w:b/>
          <w:bCs/>
          <w:color w:val="000000"/>
          <w:kern w:val="0"/>
          <w:sz w:val="32"/>
          <w:szCs w:val="32"/>
          <w:shd w:val="clear" w:color="auto" w:fill="FFFFFF"/>
          <w:lang w:val="zh-CN"/>
        </w:rPr>
        <w:t>）:</w:t>
      </w:r>
      <w:r>
        <w:rPr>
          <w:rFonts w:hint="eastAsia" w:ascii="仿宋_GB2312" w:hAnsi="Calibri" w:eastAsia="仿宋_GB2312" w:cs="仿宋_GB2312"/>
          <w:sz w:val="32"/>
          <w:szCs w:val="32"/>
          <w:lang w:eastAsia="zh-CN"/>
        </w:rPr>
        <w:t>支出决算为</w:t>
      </w:r>
      <w:r>
        <w:rPr>
          <w:rFonts w:hint="eastAsia" w:ascii="仿宋_GB2312" w:hAnsi="Calibri" w:eastAsia="仿宋_GB2312" w:cs="仿宋_GB2312"/>
          <w:sz w:val="32"/>
          <w:szCs w:val="32"/>
          <w:lang w:val="en-US" w:eastAsia="zh-CN"/>
        </w:rPr>
        <w:t>11.15万元，完成预算100%，决算数与预算数持平。其中：</w:t>
      </w:r>
      <w:r>
        <w:rPr>
          <w:rFonts w:hint="eastAsia" w:ascii="仿宋_GB2312" w:hAnsi="Calibri" w:eastAsia="仿宋_GB2312" w:cs="仿宋_GB2312"/>
          <w:b/>
          <w:bCs/>
          <w:sz w:val="32"/>
          <w:szCs w:val="32"/>
          <w:lang w:val="en-US" w:eastAsia="zh-CN"/>
        </w:rPr>
        <w:t>行政单位医疗（2101101）</w:t>
      </w:r>
      <w:r>
        <w:rPr>
          <w:rFonts w:hint="eastAsia" w:ascii="仿宋_GB2312" w:hAnsi="Calibri" w:eastAsia="仿宋_GB2312" w:cs="仿宋_GB2312"/>
          <w:sz w:val="32"/>
          <w:szCs w:val="32"/>
          <w:lang w:val="en-US" w:eastAsia="zh-CN"/>
        </w:rPr>
        <w:t>支出决算为11.15万元，</w:t>
      </w:r>
      <w:r>
        <w:rPr>
          <w:rFonts w:hint="eastAsia" w:ascii="仿宋_GB2312" w:hAnsi="Calibri" w:eastAsia="仿宋_GB2312" w:cs="仿宋_GB2312"/>
          <w:sz w:val="32"/>
          <w:szCs w:val="32"/>
          <w:lang w:eastAsia="zh-CN"/>
        </w:rPr>
        <w:t>完成预算数100%，决算数与预算数持平。</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宋体" w:eastAsia="仿宋_GB2312" w:cs="宋体"/>
          <w:b/>
          <w:bCs/>
          <w:color w:val="000000"/>
          <w:kern w:val="0"/>
          <w:sz w:val="32"/>
          <w:szCs w:val="32"/>
          <w:shd w:val="clear" w:color="auto" w:fill="FFFFFF"/>
          <w:lang w:val="en-US" w:eastAsia="zh-CN"/>
        </w:rPr>
        <w:t>4</w:t>
      </w:r>
      <w:r>
        <w:rPr>
          <w:rFonts w:hint="eastAsia" w:ascii="仿宋_GB2312" w:hAnsi="宋体" w:eastAsia="仿宋_GB2312" w:cs="宋体"/>
          <w:b/>
          <w:bCs/>
          <w:color w:val="000000"/>
          <w:kern w:val="0"/>
          <w:sz w:val="32"/>
          <w:szCs w:val="32"/>
          <w:shd w:val="clear" w:color="auto" w:fill="FFFFFF"/>
          <w:lang w:val="zh-CN"/>
        </w:rPr>
        <w:t>.住房保障支出（221）:</w:t>
      </w:r>
      <w:r>
        <w:rPr>
          <w:rFonts w:hint="eastAsia" w:ascii="仿宋_GB2312" w:hAnsi="Calibri" w:eastAsia="仿宋_GB2312" w:cs="仿宋_GB2312"/>
          <w:sz w:val="32"/>
          <w:szCs w:val="32"/>
          <w:lang w:val="en-US" w:eastAsia="zh-CN"/>
        </w:rPr>
        <w:t>支出决算为20.32万元，完成预算100%，决算数与预算数持平。其中：</w:t>
      </w:r>
      <w:r>
        <w:rPr>
          <w:rFonts w:hint="eastAsia" w:ascii="仿宋_GB2312" w:hAnsi="Calibri" w:eastAsia="仿宋_GB2312" w:cs="仿宋_GB2312"/>
          <w:b/>
          <w:bCs/>
          <w:sz w:val="32"/>
          <w:szCs w:val="32"/>
          <w:lang w:val="en-US" w:eastAsia="zh-CN"/>
        </w:rPr>
        <w:t>住房公积金（2210201）</w:t>
      </w:r>
      <w:r>
        <w:rPr>
          <w:rFonts w:hint="eastAsia" w:ascii="仿宋_GB2312" w:hAnsi="Calibri" w:eastAsia="仿宋_GB2312" w:cs="仿宋_GB2312"/>
          <w:sz w:val="32"/>
          <w:szCs w:val="32"/>
          <w:lang w:val="en-US" w:eastAsia="zh-CN"/>
        </w:rPr>
        <w:t xml:space="preserve">支出决算为20.32万元，完成预算100%，决算数与预算数持平。 </w:t>
      </w:r>
    </w:p>
    <w:p>
      <w:pPr>
        <w:pStyle w:val="4"/>
        <w:keepNext/>
        <w:keepLines/>
        <w:pageBreakBefore w:val="0"/>
        <w:widowControl w:val="0"/>
        <w:kinsoku/>
        <w:wordWrap/>
        <w:overflowPunct/>
        <w:topLinePunct w:val="0"/>
        <w:autoSpaceDE/>
        <w:autoSpaceDN/>
        <w:bidi w:val="0"/>
        <w:adjustRightInd/>
        <w:snapToGrid/>
        <w:spacing w:line="416" w:lineRule="auto"/>
        <w:ind w:firstLine="643" w:firstLineChars="200"/>
        <w:textAlignment w:val="auto"/>
      </w:pPr>
      <w:bookmarkStart w:id="64" w:name="_Toc4412"/>
      <w:r>
        <w:rPr>
          <w:rFonts w:hint="eastAsia"/>
        </w:rPr>
        <w:t>六、一般公共预算财政拨款支出决算情况说明</w:t>
      </w:r>
      <w:bookmarkEnd w:id="64"/>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2020年一般公共预算财政拨款支出462.41万元，其中基本支出244.85万元、项目支出217.56万元。</w:t>
      </w:r>
    </w:p>
    <w:p>
      <w:pPr>
        <w:tabs>
          <w:tab w:val="right" w:pos="8306"/>
        </w:tabs>
        <w:spacing w:line="600" w:lineRule="exact"/>
        <w:ind w:firstLine="640"/>
        <w:outlineLvl w:val="1"/>
        <w:rPr>
          <w:rStyle w:val="19"/>
        </w:rPr>
      </w:pPr>
      <w:bookmarkStart w:id="65" w:name="_Toc17046"/>
      <w:bookmarkStart w:id="66" w:name="_Toc6389"/>
      <w:r>
        <w:rPr>
          <w:rStyle w:val="21"/>
          <w:rFonts w:hint="eastAsia" w:ascii="仿宋" w:hAnsi="仿宋" w:eastAsia="仿宋" w:cs="仿宋"/>
        </w:rPr>
        <w:t>（一）一般公共预算财政拨款基本支出决算情况说明</w:t>
      </w:r>
      <w:bookmarkEnd w:id="65"/>
      <w:bookmarkEnd w:id="66"/>
      <w:r>
        <w:rPr>
          <w:rStyle w:val="19"/>
          <w:rFonts w:ascii="黑体" w:hAnsi="黑体" w:eastAsia="黑体" w:cs="Times New Roman"/>
          <w:b w:val="0"/>
          <w:bCs w:val="0"/>
        </w:rPr>
        <w:tab/>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2020年一般公共预算财政拨款基本支出244.85万元，其中：</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zh-CN" w:eastAsia="zh-CN"/>
        </w:rPr>
        <w:t>1.人员经费</w:t>
      </w:r>
      <w:r>
        <w:rPr>
          <w:rFonts w:hint="eastAsia" w:ascii="仿宋_GB2312" w:hAnsi="Calibri" w:eastAsia="仿宋_GB2312" w:cs="仿宋_GB2312"/>
          <w:b/>
          <w:bCs/>
          <w:sz w:val="32"/>
          <w:szCs w:val="32"/>
          <w:lang w:val="en-US" w:eastAsia="zh-CN"/>
        </w:rPr>
        <w:t>233.91</w:t>
      </w:r>
      <w:r>
        <w:rPr>
          <w:rFonts w:hint="eastAsia" w:ascii="仿宋_GB2312" w:hAnsi="Calibri" w:eastAsia="仿宋_GB2312" w:cs="仿宋_GB2312"/>
          <w:b/>
          <w:bCs/>
          <w:sz w:val="32"/>
          <w:szCs w:val="32"/>
          <w:lang w:val="zh-CN" w:eastAsia="zh-CN"/>
        </w:rPr>
        <w:t>万元，</w:t>
      </w:r>
      <w:r>
        <w:rPr>
          <w:rFonts w:hint="eastAsia" w:ascii="仿宋_GB2312" w:hAnsi="Calibri" w:eastAsia="仿宋_GB2312" w:cs="仿宋_GB2312"/>
          <w:sz w:val="32"/>
          <w:szCs w:val="32"/>
          <w:lang w:val="en-US" w:eastAsia="zh-CN"/>
        </w:rPr>
        <w:t>其中：基本工资44.70万元、津贴补贴86.09万元、奖金33.82万元、机关事业单位基本养老保险缴费19.99万元、职业年金缴费9.99万元、职工基本医疗保险缴费11.15万元、其他社会保障缴费2.48万元、住房公积金20.32万元、生活补助5.10万元、医疗费补助0.27万元。</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zh-CN" w:eastAsia="zh-CN"/>
        </w:rPr>
        <w:t>2.公用经费</w:t>
      </w:r>
      <w:r>
        <w:rPr>
          <w:rFonts w:hint="eastAsia" w:ascii="仿宋_GB2312" w:hAnsi="Calibri" w:eastAsia="仿宋_GB2312" w:cs="仿宋_GB2312"/>
          <w:b/>
          <w:bCs/>
          <w:sz w:val="32"/>
          <w:szCs w:val="32"/>
          <w:lang w:val="en-US" w:eastAsia="zh-CN"/>
        </w:rPr>
        <w:t>10.94</w:t>
      </w:r>
      <w:r>
        <w:rPr>
          <w:rFonts w:hint="eastAsia" w:ascii="仿宋_GB2312" w:hAnsi="Calibri" w:eastAsia="仿宋_GB2312" w:cs="仿宋_GB2312"/>
          <w:b/>
          <w:bCs/>
          <w:sz w:val="32"/>
          <w:szCs w:val="32"/>
          <w:lang w:val="zh-CN" w:eastAsia="zh-CN"/>
        </w:rPr>
        <w:t>万元，</w:t>
      </w:r>
      <w:r>
        <w:rPr>
          <w:rFonts w:hint="eastAsia" w:ascii="仿宋_GB2312" w:hAnsi="Calibri" w:eastAsia="仿宋_GB2312" w:cs="仿宋_GB2312"/>
          <w:sz w:val="32"/>
          <w:szCs w:val="32"/>
          <w:lang w:val="en-US" w:eastAsia="zh-CN"/>
        </w:rPr>
        <w:t>其中：办公费3.20万元、手续费0.10万元、水费0.02万元、电费0.20万元、邮电费0.50万元、取暖费1.29万元、物业管理费0.59万元、差旅费0.50万元、维修（护）费0.40万元、公务接待费0.14万元、公务用车运行维护费4.00万元。</w:t>
      </w:r>
    </w:p>
    <w:p>
      <w:pPr>
        <w:spacing w:line="600" w:lineRule="exact"/>
        <w:ind w:firstLine="643" w:firstLineChars="200"/>
        <w:rPr>
          <w:rFonts w:hint="eastAsia" w:ascii="仿宋" w:hAnsi="仿宋" w:eastAsia="仿宋" w:cs="仿宋"/>
          <w:sz w:val="32"/>
          <w:szCs w:val="32"/>
        </w:rPr>
      </w:pPr>
      <w:bookmarkStart w:id="67" w:name="_Toc21366"/>
      <w:bookmarkStart w:id="68" w:name="_Toc4907"/>
      <w:r>
        <w:rPr>
          <w:rStyle w:val="21"/>
          <w:rFonts w:hint="eastAsia" w:ascii="仿宋" w:hAnsi="仿宋" w:eastAsia="仿宋" w:cs="仿宋"/>
          <w:b/>
        </w:rPr>
        <w:t>（二）一般公共预算财政拨款项目支出决算情况说明</w:t>
      </w:r>
      <w:bookmarkEnd w:id="67"/>
      <w:bookmarkEnd w:id="68"/>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2020年一般公共预算财政拨款项目支出217.58万元，其中：</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en-US" w:eastAsia="zh-CN"/>
        </w:rPr>
        <w:t>公用经费217.56万元，</w:t>
      </w:r>
      <w:r>
        <w:rPr>
          <w:rFonts w:hint="eastAsia" w:ascii="仿宋_GB2312" w:hAnsi="Calibri" w:eastAsia="仿宋_GB2312" w:cs="仿宋_GB2312"/>
          <w:sz w:val="32"/>
          <w:szCs w:val="32"/>
          <w:lang w:val="en-US" w:eastAsia="zh-CN"/>
        </w:rPr>
        <w:t>其中：办公费14.90万元、电费2.30万元、邮电费1.15万元、差旅费18.81万元、租赁费2.00万元、劳务费10.59万元、委托业务费165.79万元、公务用车运行维护费2.02万元。</w:t>
      </w: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rPr>
      </w:pPr>
      <w:bookmarkStart w:id="69" w:name="_Toc15377215"/>
      <w:bookmarkStart w:id="70" w:name="_Toc15396609"/>
      <w:bookmarkStart w:id="71" w:name="_Toc18072"/>
      <w:r>
        <w:rPr>
          <w:rFonts w:hint="eastAsia" w:ascii="黑体" w:hAnsi="黑体" w:eastAsia="黑体" w:cs="黑体"/>
          <w:b w:val="0"/>
          <w:bCs w:val="0"/>
        </w:rPr>
        <w:t>七、“三公”经费财政拨款支出决算情况说明</w:t>
      </w:r>
      <w:bookmarkEnd w:id="69"/>
      <w:bookmarkEnd w:id="70"/>
      <w:bookmarkEnd w:id="71"/>
    </w:p>
    <w:p>
      <w:pPr>
        <w:pStyle w:val="5"/>
        <w:keepNext/>
        <w:keepLines/>
        <w:pageBreakBefore w:val="0"/>
        <w:widowControl w:val="0"/>
        <w:kinsoku/>
        <w:wordWrap/>
        <w:overflowPunct/>
        <w:topLinePunct w:val="0"/>
        <w:autoSpaceDE/>
        <w:autoSpaceDN/>
        <w:bidi w:val="0"/>
        <w:adjustRightInd/>
        <w:snapToGrid/>
        <w:spacing w:line="413" w:lineRule="auto"/>
        <w:ind w:firstLine="643" w:firstLineChars="200"/>
        <w:textAlignment w:val="auto"/>
        <w:rPr>
          <w:rFonts w:hint="eastAsia" w:ascii="仿宋" w:hAnsi="仿宋" w:eastAsia="仿宋" w:cs="仿宋"/>
        </w:rPr>
      </w:pPr>
      <w:bookmarkStart w:id="72" w:name="_Toc15377216"/>
      <w:bookmarkStart w:id="73" w:name="_Toc913"/>
      <w:r>
        <w:rPr>
          <w:rFonts w:hint="eastAsia" w:ascii="仿宋" w:hAnsi="仿宋" w:eastAsia="仿宋" w:cs="仿宋"/>
        </w:rPr>
        <w:t>（一）“三公”经费财政拨款支出决算总体情况说明</w:t>
      </w:r>
      <w:bookmarkEnd w:id="72"/>
      <w:bookmarkEnd w:id="73"/>
    </w:p>
    <w:p>
      <w:pPr>
        <w:spacing w:line="600" w:lineRule="exact"/>
        <w:ind w:firstLine="640"/>
        <w:rPr>
          <w:rFonts w:ascii="仿宋" w:hAnsi="仿宋" w:eastAsia="仿宋"/>
          <w:color w:val="000000"/>
          <w:sz w:val="32"/>
          <w:szCs w:val="32"/>
        </w:rPr>
      </w:pPr>
      <w:r>
        <w:rPr>
          <w:rFonts w:hint="eastAsia" w:ascii="仿宋_GB2312" w:hAnsi="Calibri" w:eastAsia="仿宋_GB2312" w:cs="仿宋_GB2312"/>
          <w:sz w:val="32"/>
          <w:szCs w:val="32"/>
          <w:lang w:val="en-US" w:eastAsia="zh-CN"/>
        </w:rPr>
        <w:t>2020年“三公”经费财政拨款支出决算为6.16万元，完成预算100%，决算数预算数持平的主要原因是我局严格厉行节约规定。</w:t>
      </w:r>
    </w:p>
    <w:p>
      <w:pPr>
        <w:pStyle w:val="5"/>
        <w:keepNext/>
        <w:keepLines/>
        <w:pageBreakBefore w:val="0"/>
        <w:widowControl w:val="0"/>
        <w:kinsoku/>
        <w:wordWrap/>
        <w:overflowPunct/>
        <w:topLinePunct w:val="0"/>
        <w:autoSpaceDE/>
        <w:autoSpaceDN/>
        <w:bidi w:val="0"/>
        <w:adjustRightInd/>
        <w:snapToGrid/>
        <w:spacing w:line="413" w:lineRule="auto"/>
        <w:ind w:firstLine="643" w:firstLineChars="200"/>
        <w:textAlignment w:val="auto"/>
        <w:rPr>
          <w:rFonts w:hint="eastAsia"/>
        </w:rPr>
      </w:pPr>
      <w:bookmarkStart w:id="74" w:name="_Toc15377217"/>
      <w:bookmarkStart w:id="75" w:name="_Toc20124"/>
      <w:r>
        <w:rPr>
          <w:rFonts w:hint="eastAsia"/>
        </w:rPr>
        <w:t>（二）“三公”经费财政拨款支出决算具体情况说明</w:t>
      </w:r>
      <w:bookmarkEnd w:id="74"/>
      <w:bookmarkEnd w:id="75"/>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2020年“三公”经费财政拨款支出决算中，因公出国（境）费支出决算0万元，占0%；公务用车购置及运行维护费支出决算6.02万元，占97.73%；公务接待费支出决算0.14万元，占2.27%。具体情况如下：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Style w:val="2"/>
        <w:rPr>
          <w:rFonts w:hint="eastAsia" w:ascii="仿宋" w:hAnsi="仿宋" w:eastAsia="仿宋"/>
          <w:color w:val="000000"/>
          <w:sz w:val="32"/>
          <w:szCs w:val="32"/>
        </w:rPr>
      </w:pPr>
    </w:p>
    <w:p>
      <w:pPr>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2"/>
        <w:rPr>
          <w:rFonts w:hint="eastAsia" w:ascii="仿宋" w:hAnsi="仿宋" w:eastAsia="仿宋"/>
          <w:color w:val="000000"/>
          <w:sz w:val="32"/>
          <w:szCs w:val="32"/>
        </w:rPr>
      </w:pPr>
    </w:p>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zh-CN" w:eastAsia="zh-CN"/>
        </w:rPr>
        <w:t>1.因公出国（境）经费支出</w:t>
      </w:r>
      <w:r>
        <w:rPr>
          <w:rFonts w:hint="eastAsia" w:ascii="仿宋_GB2312" w:hAnsi="Calibri" w:eastAsia="仿宋_GB2312" w:cs="仿宋_GB2312"/>
          <w:b/>
          <w:bCs/>
          <w:sz w:val="32"/>
          <w:szCs w:val="32"/>
          <w:lang w:val="en-US" w:eastAsia="zh-CN"/>
        </w:rPr>
        <w:t>0万元，</w:t>
      </w:r>
      <w:r>
        <w:rPr>
          <w:rFonts w:hint="eastAsia" w:ascii="仿宋_GB2312" w:hAnsi="Calibri" w:eastAsia="仿宋_GB2312" w:cs="仿宋_GB2312"/>
          <w:sz w:val="32"/>
          <w:szCs w:val="32"/>
          <w:lang w:val="en-US" w:eastAsia="zh-CN"/>
        </w:rPr>
        <w:t>完成预算100%。全年安排因公出国（境）团组0次，出国（境）0人。因公出国（境）支出决算于2019年持平。主要原因是我局2019年和2020年都无因公出国（境）事项。</w:t>
      </w:r>
    </w:p>
    <w:p>
      <w:pPr>
        <w:spacing w:line="600" w:lineRule="exact"/>
        <w:ind w:firstLine="64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zh-CN" w:eastAsia="zh-CN"/>
        </w:rPr>
        <w:t>2.公务用车购置及运行维护费</w:t>
      </w:r>
      <w:r>
        <w:rPr>
          <w:rFonts w:hint="eastAsia" w:ascii="仿宋_GB2312" w:hAnsi="Calibri" w:eastAsia="仿宋_GB2312" w:cs="仿宋_GB2312"/>
          <w:b/>
          <w:bCs/>
          <w:i w:val="0"/>
          <w:iCs w:val="0"/>
          <w:sz w:val="32"/>
          <w:szCs w:val="32"/>
          <w:lang w:val="zh-CN" w:eastAsia="zh-CN"/>
        </w:rPr>
        <w:t>支出</w:t>
      </w:r>
      <w:r>
        <w:rPr>
          <w:rFonts w:hint="eastAsia" w:ascii="仿宋_GB2312" w:hAnsi="Calibri" w:eastAsia="仿宋_GB2312" w:cs="仿宋_GB2312"/>
          <w:b/>
          <w:bCs/>
          <w:i w:val="0"/>
          <w:iCs w:val="0"/>
          <w:sz w:val="32"/>
          <w:szCs w:val="32"/>
          <w:lang w:val="en-US" w:eastAsia="zh-CN"/>
        </w:rPr>
        <w:t>6.02万元,</w:t>
      </w:r>
      <w:r>
        <w:rPr>
          <w:rFonts w:hint="eastAsia" w:ascii="仿宋_GB2312" w:hAnsi="Calibri" w:eastAsia="仿宋_GB2312" w:cs="仿宋_GB2312"/>
          <w:sz w:val="32"/>
          <w:szCs w:val="32"/>
          <w:lang w:val="en-US" w:eastAsia="zh-CN"/>
        </w:rPr>
        <w:t>完成预算100%。公务用车购置及运行维护费支出决算比2019年持平。</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其中：</w:t>
      </w:r>
      <w:r>
        <w:rPr>
          <w:rFonts w:hint="eastAsia" w:ascii="仿宋_GB2312" w:hAnsi="Calibri" w:eastAsia="仿宋_GB2312" w:cs="仿宋_GB2312"/>
          <w:b/>
          <w:bCs/>
          <w:sz w:val="32"/>
          <w:szCs w:val="32"/>
          <w:lang w:val="en-US" w:eastAsia="zh-CN"/>
        </w:rPr>
        <w:t>公务用车购置支出0万元。</w:t>
      </w:r>
      <w:r>
        <w:rPr>
          <w:rFonts w:hint="eastAsia" w:ascii="仿宋_GB2312" w:hAnsi="Calibri" w:eastAsia="仿宋_GB2312" w:cs="仿宋_GB2312"/>
          <w:sz w:val="32"/>
          <w:szCs w:val="32"/>
          <w:lang w:val="en-US" w:eastAsia="zh-CN"/>
        </w:rPr>
        <w:t>全年按规定更新购置公务用车0辆，金额0元。截至2020年12月底，单位共有公务用车1辆，其中：越野车1辆。</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en-US" w:eastAsia="zh-CN"/>
        </w:rPr>
        <w:t>公务用车运行维护费支出6.02万元。</w:t>
      </w:r>
      <w:r>
        <w:rPr>
          <w:rFonts w:hint="eastAsia" w:ascii="仿宋_GB2312" w:hAnsi="Calibri" w:eastAsia="仿宋_GB2312" w:cs="仿宋_GB2312"/>
          <w:sz w:val="32"/>
          <w:szCs w:val="32"/>
          <w:lang w:val="en-US" w:eastAsia="zh-CN"/>
        </w:rPr>
        <w:t>主要用于要用于人员出差、下乡、车辆年检、车辆维修等所需的公务用车燃料费、维修费、过路过桥费、保险费、停车费、洗车费等支出。</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zh-CN" w:eastAsia="zh-CN"/>
        </w:rPr>
        <w:t>3.公务接待费支出</w:t>
      </w:r>
      <w:r>
        <w:rPr>
          <w:rFonts w:hint="eastAsia" w:ascii="仿宋_GB2312" w:hAnsi="Calibri" w:eastAsia="仿宋_GB2312" w:cs="仿宋_GB2312"/>
          <w:b/>
          <w:bCs/>
          <w:sz w:val="32"/>
          <w:szCs w:val="32"/>
          <w:lang w:val="en-US" w:eastAsia="zh-CN"/>
        </w:rPr>
        <w:t>0.14万元，</w:t>
      </w:r>
      <w:r>
        <w:rPr>
          <w:rFonts w:hint="eastAsia" w:ascii="仿宋_GB2312" w:hAnsi="Calibri" w:eastAsia="仿宋_GB2312" w:cs="仿宋_GB2312"/>
          <w:sz w:val="32"/>
          <w:szCs w:val="32"/>
          <w:lang w:val="en-US" w:eastAsia="zh-CN"/>
        </w:rPr>
        <w:t>完成预算100%。公务接待费支出决算与2019年持平。</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其中：</w:t>
      </w:r>
      <w:r>
        <w:rPr>
          <w:rFonts w:hint="eastAsia" w:ascii="仿宋_GB2312" w:hAnsi="Calibri" w:eastAsia="仿宋_GB2312" w:cs="仿宋_GB2312"/>
          <w:b/>
          <w:bCs/>
          <w:sz w:val="32"/>
          <w:szCs w:val="32"/>
          <w:lang w:val="en-US" w:eastAsia="zh-CN"/>
        </w:rPr>
        <w:t>（1）国内公务接待支出0.14万元，</w:t>
      </w:r>
      <w:r>
        <w:rPr>
          <w:rFonts w:hint="eastAsia" w:ascii="仿宋_GB2312" w:hAnsi="Calibri" w:eastAsia="仿宋_GB2312" w:cs="仿宋_GB2312"/>
          <w:sz w:val="32"/>
          <w:szCs w:val="32"/>
          <w:lang w:val="en-US" w:eastAsia="zh-CN"/>
        </w:rPr>
        <w:t>主要用于执行公务、开展业务活动开支用餐费。国内公务接待2批次，12人次（不包括陪同人员），共计支出0.14万元，具体内容包括：绵阳对口帮扶资金专项审计检查接待0.06万元、州审计局开展审计业务督查及质量检查接待支出0.08万元。</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en-US" w:eastAsia="zh-CN"/>
        </w:rPr>
        <w:t>（2）外事接待支出0万元，</w:t>
      </w:r>
      <w:r>
        <w:rPr>
          <w:rFonts w:hint="eastAsia" w:ascii="仿宋_GB2312" w:hAnsi="Calibri" w:eastAsia="仿宋_GB2312" w:cs="仿宋_GB2312"/>
          <w:sz w:val="32"/>
          <w:szCs w:val="32"/>
          <w:lang w:val="en-US" w:eastAsia="zh-CN"/>
        </w:rPr>
        <w:t>外事接待0批次，0人，共计支出0万元，2020年我局无外事接待事项。</w:t>
      </w:r>
      <w:bookmarkStart w:id="76" w:name="_Toc15396610"/>
      <w:bookmarkStart w:id="77" w:name="_Toc15377218"/>
    </w:p>
    <w:p>
      <w:pPr>
        <w:pStyle w:val="4"/>
        <w:keepNext/>
        <w:keepLines/>
        <w:pageBreakBefore w:val="0"/>
        <w:widowControl w:val="0"/>
        <w:kinsoku/>
        <w:wordWrap/>
        <w:overflowPunct/>
        <w:topLinePunct w:val="0"/>
        <w:autoSpaceDE/>
        <w:autoSpaceDN/>
        <w:bidi w:val="0"/>
        <w:adjustRightInd/>
        <w:snapToGrid/>
        <w:spacing w:line="416" w:lineRule="auto"/>
        <w:ind w:firstLine="643" w:firstLineChars="200"/>
        <w:textAlignment w:val="auto"/>
        <w:rPr>
          <w:rFonts w:hint="eastAsia" w:ascii="黑体" w:hAnsi="黑体" w:eastAsia="黑体" w:cs="黑体"/>
        </w:rPr>
      </w:pPr>
      <w:bookmarkStart w:id="78" w:name="_Toc4233"/>
      <w:r>
        <w:rPr>
          <w:rFonts w:hint="eastAsia" w:ascii="黑体" w:hAnsi="黑体" w:eastAsia="黑体" w:cs="黑体"/>
        </w:rPr>
        <w:t>八、政府性基金预算支出决算情况说明</w:t>
      </w:r>
      <w:bookmarkEnd w:id="76"/>
      <w:bookmarkEnd w:id="77"/>
      <w:bookmarkEnd w:id="78"/>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2020年政府性基金预算拨款支出0万元。</w:t>
      </w:r>
    </w:p>
    <w:p>
      <w:pPr>
        <w:pStyle w:val="4"/>
        <w:keepNext/>
        <w:keepLines/>
        <w:pageBreakBefore w:val="0"/>
        <w:widowControl w:val="0"/>
        <w:numPr>
          <w:ilvl w:val="0"/>
          <w:numId w:val="2"/>
        </w:numPr>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rPr>
      </w:pPr>
      <w:bookmarkStart w:id="79" w:name="_Toc15377219"/>
      <w:bookmarkStart w:id="80" w:name="_Toc15396611"/>
      <w:bookmarkStart w:id="81" w:name="_Toc9924"/>
      <w:r>
        <w:rPr>
          <w:rFonts w:hint="eastAsia" w:ascii="黑体" w:hAnsi="黑体" w:eastAsia="黑体" w:cs="黑体"/>
          <w:b w:val="0"/>
          <w:bCs w:val="0"/>
        </w:rPr>
        <w:t>国有资本经营预算支出决算情况说明</w:t>
      </w:r>
      <w:bookmarkEnd w:id="79"/>
      <w:bookmarkEnd w:id="80"/>
      <w:bookmarkEnd w:id="81"/>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小标宋简体" w:hAnsi="方正小标宋简体" w:eastAsia="方正小标宋简体" w:cs="方正小标宋简体"/>
          <w:sz w:val="44"/>
          <w:szCs w:val="44"/>
        </w:rPr>
      </w:pPr>
      <w:r>
        <w:rPr>
          <w:rFonts w:hint="eastAsia" w:ascii="仿宋_GB2312" w:hAnsi="Calibri" w:eastAsia="仿宋_GB2312" w:cs="仿宋_GB2312"/>
          <w:sz w:val="32"/>
          <w:szCs w:val="32"/>
          <w:lang w:val="en-US" w:eastAsia="zh-CN"/>
        </w:rPr>
        <w:t>2020年国有资本经营预算拨款支出0万元。</w:t>
      </w: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hAnsi="黑体" w:eastAsia="黑体" w:cs="黑体"/>
          <w:b w:val="0"/>
          <w:bCs w:val="0"/>
        </w:rPr>
      </w:pPr>
      <w:bookmarkStart w:id="82" w:name="_Toc15377221"/>
      <w:bookmarkStart w:id="83" w:name="_Toc15396612"/>
      <w:bookmarkStart w:id="84" w:name="_Toc16512"/>
      <w:r>
        <w:rPr>
          <w:rFonts w:hint="eastAsia" w:ascii="黑体" w:hAnsi="黑体" w:eastAsia="黑体" w:cs="黑体"/>
          <w:b w:val="0"/>
          <w:bCs w:val="0"/>
        </w:rPr>
        <w:t>十、其他重要事项的情况说明</w:t>
      </w:r>
      <w:bookmarkEnd w:id="82"/>
      <w:bookmarkEnd w:id="83"/>
      <w:bookmarkEnd w:id="84"/>
    </w:p>
    <w:p>
      <w:pPr>
        <w:autoSpaceDE w:val="0"/>
        <w:autoSpaceDN w:val="0"/>
        <w:adjustRightInd w:val="0"/>
        <w:spacing w:line="600" w:lineRule="exact"/>
        <w:ind w:firstLine="643" w:firstLineChars="200"/>
        <w:jc w:val="left"/>
        <w:outlineLvl w:val="2"/>
        <w:rPr>
          <w:rFonts w:hint="eastAsia" w:ascii="仿宋" w:hAnsi="仿宋" w:eastAsia="仿宋" w:cs="仿宋"/>
          <w:b/>
          <w:color w:val="000000"/>
          <w:sz w:val="32"/>
          <w:szCs w:val="32"/>
        </w:rPr>
      </w:pPr>
      <w:bookmarkStart w:id="85" w:name="_Toc15377222"/>
      <w:bookmarkStart w:id="86" w:name="_Toc19639"/>
      <w:r>
        <w:rPr>
          <w:rFonts w:hint="eastAsia" w:ascii="仿宋" w:hAnsi="仿宋" w:eastAsia="仿宋" w:cs="仿宋"/>
          <w:b/>
          <w:color w:val="000000"/>
          <w:sz w:val="32"/>
          <w:szCs w:val="32"/>
        </w:rPr>
        <w:t>（一）机关运行经费支出情况</w:t>
      </w:r>
      <w:bookmarkEnd w:id="85"/>
      <w:bookmarkEnd w:id="86"/>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2020年，壤塘县审计局机关运行经费支出10.93万元，比2019年减少0.83万元，下降7.06%。主要原因是我单位下派一名第一书记、一名驻村工作人员，将该两名职工公用经费转入所在乡镇。</w:t>
      </w:r>
    </w:p>
    <w:p>
      <w:pPr>
        <w:autoSpaceDE w:val="0"/>
        <w:autoSpaceDN w:val="0"/>
        <w:adjustRightInd w:val="0"/>
        <w:spacing w:line="600" w:lineRule="exact"/>
        <w:ind w:firstLine="643" w:firstLineChars="200"/>
        <w:jc w:val="left"/>
        <w:outlineLvl w:val="2"/>
        <w:rPr>
          <w:rFonts w:hint="eastAsia" w:ascii="仿宋" w:hAnsi="仿宋" w:eastAsia="仿宋" w:cs="仿宋"/>
          <w:b/>
          <w:color w:val="000000"/>
          <w:sz w:val="32"/>
          <w:szCs w:val="32"/>
        </w:rPr>
      </w:pPr>
      <w:bookmarkStart w:id="87" w:name="_Toc15377223"/>
      <w:bookmarkStart w:id="88" w:name="_Toc4030"/>
      <w:r>
        <w:rPr>
          <w:rFonts w:hint="eastAsia" w:ascii="仿宋" w:hAnsi="仿宋" w:eastAsia="仿宋" w:cs="仿宋"/>
          <w:b/>
          <w:color w:val="000000"/>
          <w:sz w:val="32"/>
          <w:szCs w:val="32"/>
        </w:rPr>
        <w:t>（二）政府采购支出情况</w:t>
      </w:r>
      <w:bookmarkEnd w:id="87"/>
      <w:bookmarkEnd w:id="88"/>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2020年，壤塘县审计局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2020年，壤塘县审计局政府采购支出总额0万元，主要原因是2020年我局无政府采购项目。</w:t>
      </w:r>
    </w:p>
    <w:p>
      <w:pPr>
        <w:autoSpaceDE w:val="0"/>
        <w:autoSpaceDN w:val="0"/>
        <w:adjustRightInd w:val="0"/>
        <w:spacing w:line="600" w:lineRule="exact"/>
        <w:ind w:firstLine="643" w:firstLineChars="200"/>
        <w:jc w:val="left"/>
        <w:outlineLvl w:val="2"/>
        <w:rPr>
          <w:rFonts w:hint="eastAsia" w:ascii="楷体" w:hAnsi="楷体" w:eastAsia="楷体" w:cs="楷体"/>
          <w:b/>
          <w:color w:val="000000"/>
          <w:sz w:val="32"/>
          <w:szCs w:val="32"/>
        </w:rPr>
      </w:pPr>
      <w:bookmarkStart w:id="89" w:name="_Toc15377224"/>
      <w:bookmarkStart w:id="90" w:name="_Toc29653"/>
      <w:r>
        <w:rPr>
          <w:rFonts w:hint="eastAsia" w:ascii="楷体" w:hAnsi="楷体" w:eastAsia="楷体" w:cs="楷体"/>
          <w:b/>
          <w:color w:val="000000"/>
          <w:sz w:val="32"/>
          <w:szCs w:val="32"/>
        </w:rPr>
        <w:t>（三）国有资产占有使用情况</w:t>
      </w:r>
      <w:bookmarkEnd w:id="89"/>
      <w:bookmarkEnd w:id="90"/>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截至2020年12月31日，壤塘县审计局共有车辆1辆，其中：其他用车1辆（越野车1辆），其他用车主要是用于我局人员公务出差、下乡、车辆年检、车辆维修等事项。单价50万元以上通用设备0台（套），单价100万元以上专用设备0台（套）。</w:t>
      </w:r>
    </w:p>
    <w:p>
      <w:pPr>
        <w:autoSpaceDE w:val="0"/>
        <w:autoSpaceDN w:val="0"/>
        <w:adjustRightInd w:val="0"/>
        <w:spacing w:line="600" w:lineRule="exact"/>
        <w:ind w:firstLine="643" w:firstLineChars="200"/>
        <w:jc w:val="left"/>
        <w:outlineLvl w:val="2"/>
        <w:rPr>
          <w:rFonts w:hint="eastAsia" w:ascii="楷体" w:hAnsi="楷体" w:eastAsia="楷体" w:cs="楷体"/>
          <w:b/>
          <w:color w:val="000000"/>
          <w:sz w:val="32"/>
          <w:szCs w:val="32"/>
        </w:rPr>
      </w:pPr>
      <w:bookmarkStart w:id="91" w:name="_Toc21367"/>
      <w:r>
        <w:rPr>
          <w:rFonts w:hint="eastAsia" w:ascii="楷体" w:hAnsi="楷体" w:eastAsia="楷体" w:cs="楷体"/>
          <w:b/>
          <w:color w:val="000000"/>
          <w:sz w:val="32"/>
          <w:szCs w:val="32"/>
        </w:rPr>
        <w:t>（四）预算绩效管理情况</w:t>
      </w:r>
      <w:bookmarkEnd w:id="91"/>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根据预算绩效管理要求，本部门（壤塘县审计局）在年初预算编制阶段，组织对“一般行政事务管理&lt;2019年中央及省对地方审计机关的经费补助&gt;”、“审计业务&lt;2020年审计工作经费及工程审计项目审计费&gt;”项目开展了预算事前绩效评估，对</w:t>
      </w:r>
      <w:r>
        <w:rPr>
          <w:rFonts w:hint="eastAsia" w:ascii="仿宋_GB2312" w:hAnsi="Calibri" w:cs="仿宋_GB2312"/>
          <w:sz w:val="32"/>
          <w:szCs w:val="32"/>
          <w:lang w:val="en-US" w:eastAsia="zh-CN"/>
        </w:rPr>
        <w:t>2</w:t>
      </w:r>
      <w:r>
        <w:rPr>
          <w:rFonts w:hint="eastAsia" w:ascii="仿宋_GB2312" w:hAnsi="Calibri" w:eastAsia="仿宋_GB2312" w:cs="仿宋_GB2312"/>
          <w:sz w:val="32"/>
          <w:szCs w:val="32"/>
          <w:lang w:val="en-US" w:eastAsia="zh-CN"/>
        </w:rPr>
        <w:t>个项目编制了绩效目标，预算执行过程中，选取1个项目开展绩效监控，年终执行完毕后，对1个项目开展了绩效目标完成情况自评。</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本部门按要求对2020年部门整体支出开展绩效自评，从评价情况来看较好完成了年初预算安排（2020年完成了2019年度县本级预算执行及其他专项资金情况审计、两个部门预算执行审计、四个季度重大政策跟踪审计、三公经费审计、2019年度扶贫资金审计、疫情资金审计、财务收支审计、领导干部经济责任审计、岗木达镇自然资源审计、新增财政资金审计、寺庙审计、工程项目审计决算等审计）。本部门还自行组织了1个项目支出绩效评价，从评价情况来看项目资金基本按照预算安排完成。因我局专项资金预算均为运转类资金，因此采用的绩效评价均为自评，以及选择一个项目开展自评。</w:t>
      </w:r>
    </w:p>
    <w:p>
      <w:pPr>
        <w:spacing w:line="600" w:lineRule="exact"/>
        <w:ind w:firstLine="643" w:firstLineChars="200"/>
        <w:rPr>
          <w:rFonts w:hint="eastAsia" w:ascii="仿宋_GB2312" w:hAnsi="宋体" w:eastAsia="仿宋_GB2312" w:cs="宋体"/>
          <w:b/>
          <w:bCs/>
          <w:color w:val="000000"/>
          <w:kern w:val="0"/>
          <w:sz w:val="32"/>
          <w:szCs w:val="32"/>
          <w:shd w:val="clear" w:color="auto" w:fill="FFFFFF"/>
          <w:lang w:val="zh-CN" w:eastAsia="zh-CN"/>
        </w:rPr>
      </w:pPr>
      <w:r>
        <w:rPr>
          <w:rFonts w:hint="eastAsia" w:ascii="仿宋_GB2312" w:hAnsi="宋体" w:eastAsia="仿宋_GB2312" w:cs="宋体"/>
          <w:b/>
          <w:bCs/>
          <w:color w:val="000000"/>
          <w:kern w:val="0"/>
          <w:sz w:val="32"/>
          <w:szCs w:val="32"/>
          <w:shd w:val="clear" w:color="auto" w:fill="FFFFFF"/>
          <w:lang w:val="en-US" w:eastAsia="zh-CN"/>
        </w:rPr>
        <w:t>1.</w:t>
      </w:r>
      <w:r>
        <w:rPr>
          <w:rFonts w:hint="eastAsia" w:ascii="仿宋_GB2312" w:hAnsi="宋体" w:eastAsia="仿宋_GB2312" w:cs="宋体"/>
          <w:b/>
          <w:bCs/>
          <w:color w:val="000000"/>
          <w:kern w:val="0"/>
          <w:sz w:val="32"/>
          <w:szCs w:val="32"/>
          <w:shd w:val="clear" w:color="auto" w:fill="FFFFFF"/>
          <w:lang w:val="zh-CN"/>
        </w:rPr>
        <w:t>项目绩效目标完成情况</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本部门在20</w:t>
      </w:r>
      <w:r>
        <w:rPr>
          <w:rFonts w:hint="eastAsia" w:ascii="仿宋_GB2312" w:hAnsi="Calibri" w:cs="仿宋_GB2312"/>
          <w:sz w:val="32"/>
          <w:szCs w:val="32"/>
          <w:lang w:val="en-US" w:eastAsia="zh-CN"/>
        </w:rPr>
        <w:t>20</w:t>
      </w:r>
      <w:r>
        <w:rPr>
          <w:rFonts w:hint="eastAsia" w:ascii="仿宋_GB2312" w:hAnsi="Calibri" w:eastAsia="仿宋_GB2312" w:cs="仿宋_GB2312"/>
          <w:sz w:val="32"/>
          <w:szCs w:val="32"/>
          <w:lang w:val="en-US" w:eastAsia="zh-CN"/>
        </w:rPr>
        <w:t>年度部门决算中反映“一般行政事务管理”、“审计业务”等</w:t>
      </w:r>
      <w:r>
        <w:rPr>
          <w:rFonts w:hint="eastAsia" w:ascii="仿宋_GB2312" w:hAnsi="Calibri" w:cs="仿宋_GB2312"/>
          <w:sz w:val="32"/>
          <w:szCs w:val="32"/>
          <w:lang w:val="en-US" w:eastAsia="zh-CN"/>
        </w:rPr>
        <w:t>2</w:t>
      </w:r>
      <w:r>
        <w:rPr>
          <w:rFonts w:hint="eastAsia" w:ascii="仿宋_GB2312" w:hAnsi="Calibri" w:eastAsia="仿宋_GB2312" w:cs="仿宋_GB2312"/>
          <w:sz w:val="32"/>
          <w:szCs w:val="32"/>
          <w:lang w:val="en-US" w:eastAsia="zh-CN"/>
        </w:rPr>
        <w:t>个项目绩效目标实际完成情况。</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（1）“一般行政事务管理”项目绩效目标完成情况综述。项目全年预算数</w:t>
      </w:r>
      <w:r>
        <w:rPr>
          <w:rFonts w:hint="eastAsia" w:ascii="仿宋_GB2312" w:hAnsi="Calibri" w:cs="仿宋_GB2312"/>
          <w:sz w:val="32"/>
          <w:szCs w:val="32"/>
          <w:lang w:val="en-US" w:eastAsia="zh-CN"/>
        </w:rPr>
        <w:t>6.8</w:t>
      </w:r>
      <w:r>
        <w:rPr>
          <w:rFonts w:hint="eastAsia" w:ascii="仿宋_GB2312" w:hAnsi="Calibri" w:eastAsia="仿宋_GB2312" w:cs="仿宋_GB2312"/>
          <w:sz w:val="32"/>
          <w:szCs w:val="32"/>
          <w:lang w:val="en-US" w:eastAsia="zh-CN"/>
        </w:rPr>
        <w:t>万元，执行数为</w:t>
      </w:r>
      <w:r>
        <w:rPr>
          <w:rFonts w:hint="eastAsia" w:ascii="仿宋_GB2312" w:hAnsi="Calibri" w:cs="仿宋_GB2312"/>
          <w:sz w:val="32"/>
          <w:szCs w:val="32"/>
          <w:lang w:val="en-US" w:eastAsia="zh-CN"/>
        </w:rPr>
        <w:t>6.8</w:t>
      </w:r>
      <w:r>
        <w:rPr>
          <w:rFonts w:hint="eastAsia" w:ascii="仿宋_GB2312" w:hAnsi="Calibri" w:eastAsia="仿宋_GB2312" w:cs="仿宋_GB2312"/>
          <w:sz w:val="32"/>
          <w:szCs w:val="32"/>
          <w:lang w:val="en-US" w:eastAsia="zh-CN"/>
        </w:rPr>
        <w:t>万元，完成预算的</w:t>
      </w:r>
      <w:r>
        <w:rPr>
          <w:rFonts w:hint="eastAsia" w:ascii="仿宋_GB2312" w:hAnsi="Calibri" w:cs="仿宋_GB2312"/>
          <w:sz w:val="32"/>
          <w:szCs w:val="32"/>
          <w:lang w:val="en-US" w:eastAsia="zh-CN"/>
        </w:rPr>
        <w:t>100</w:t>
      </w:r>
      <w:r>
        <w:rPr>
          <w:rFonts w:hint="eastAsia" w:ascii="仿宋_GB2312" w:hAnsi="Calibri" w:eastAsia="仿宋_GB2312" w:cs="仿宋_GB2312"/>
          <w:sz w:val="32"/>
          <w:szCs w:val="32"/>
          <w:lang w:val="en-US" w:eastAsia="zh-CN"/>
        </w:rPr>
        <w:t>%。通过项目实施，保障了审计后勤工作开展，发现的主要问题：经费留存较少，为保障经费在下一年能有结存，尽可能的少使用该笔资金。下一步改进措施：厉行节约，合理安排经费支出。</w:t>
      </w:r>
    </w:p>
    <w:p>
      <w:pPr>
        <w:spacing w:line="600" w:lineRule="exact"/>
        <w:ind w:firstLine="640" w:firstLineChars="200"/>
        <w:rPr>
          <w:rFonts w:hint="eastAsia" w:ascii="仿宋_GB2312" w:hAnsi="Calibri" w:eastAsia="仿宋_GB2312" w:cs="仿宋_GB2312"/>
          <w:color w:val="FFFFFF"/>
          <w:sz w:val="32"/>
          <w:szCs w:val="32"/>
          <w:lang w:val="en-US" w:eastAsia="zh-CN"/>
        </w:rPr>
      </w:pPr>
      <w:r>
        <w:rPr>
          <w:rFonts w:hint="eastAsia" w:ascii="仿宋_GB2312" w:hAnsi="Calibri" w:eastAsia="仿宋_GB2312" w:cs="仿宋_GB2312"/>
          <w:sz w:val="32"/>
          <w:szCs w:val="32"/>
          <w:lang w:val="en-US" w:eastAsia="zh-CN"/>
        </w:rPr>
        <w:t>（2）“审计业务”项目绩效目标完成情况综述。项目全年预算数</w:t>
      </w:r>
      <w:r>
        <w:rPr>
          <w:rFonts w:hint="eastAsia" w:ascii="仿宋_GB2312" w:hAnsi="Calibri" w:cs="仿宋_GB2312"/>
          <w:sz w:val="32"/>
          <w:szCs w:val="32"/>
          <w:lang w:val="en-US" w:eastAsia="zh-CN"/>
        </w:rPr>
        <w:t>245</w:t>
      </w:r>
      <w:r>
        <w:rPr>
          <w:rFonts w:hint="eastAsia" w:ascii="仿宋_GB2312" w:hAnsi="Calibri" w:eastAsia="仿宋_GB2312" w:cs="仿宋_GB2312"/>
          <w:sz w:val="32"/>
          <w:szCs w:val="32"/>
          <w:lang w:val="en-US" w:eastAsia="zh-CN"/>
        </w:rPr>
        <w:t>万元，执行数为</w:t>
      </w:r>
      <w:r>
        <w:rPr>
          <w:rFonts w:hint="eastAsia" w:ascii="仿宋_GB2312" w:hAnsi="Calibri" w:cs="仿宋_GB2312"/>
          <w:sz w:val="32"/>
          <w:szCs w:val="32"/>
          <w:lang w:val="en-US" w:eastAsia="zh-CN"/>
        </w:rPr>
        <w:t>210.78</w:t>
      </w:r>
      <w:r>
        <w:rPr>
          <w:rFonts w:hint="eastAsia" w:ascii="仿宋_GB2312" w:hAnsi="Calibri" w:eastAsia="仿宋_GB2312" w:cs="仿宋_GB2312"/>
          <w:sz w:val="32"/>
          <w:szCs w:val="32"/>
          <w:lang w:val="en-US" w:eastAsia="zh-CN"/>
        </w:rPr>
        <w:t>万元，完成预算的</w:t>
      </w:r>
      <w:r>
        <w:rPr>
          <w:rFonts w:hint="eastAsia" w:ascii="仿宋_GB2312" w:hAnsi="Calibri" w:cs="仿宋_GB2312"/>
          <w:sz w:val="32"/>
          <w:szCs w:val="32"/>
          <w:lang w:val="en-US" w:eastAsia="zh-CN"/>
        </w:rPr>
        <w:t>86</w:t>
      </w:r>
      <w:r>
        <w:rPr>
          <w:rFonts w:hint="eastAsia" w:ascii="仿宋_GB2312" w:hAnsi="Calibri" w:eastAsia="仿宋_GB2312" w:cs="仿宋_GB2312"/>
          <w:sz w:val="32"/>
          <w:szCs w:val="32"/>
          <w:lang w:val="en-US" w:eastAsia="zh-CN"/>
        </w:rPr>
        <w:t>%。通过项目实施，保障了全县工程项目审计审计费以及财政审计、专项审计、经济责任审计、投资审计等审计项目的经费支出，2020年我局投资决算审计152个项目，发</w:t>
      </w:r>
      <w:r>
        <w:rPr>
          <w:rFonts w:hint="eastAsia" w:ascii="仿宋_GB2312" w:hAnsi="Calibri" w:eastAsia="仿宋_GB2312" w:cs="仿宋_GB2312"/>
          <w:color w:val="auto"/>
          <w:sz w:val="32"/>
          <w:szCs w:val="32"/>
          <w:lang w:val="en-US" w:eastAsia="zh-CN"/>
        </w:rPr>
        <w:t>现的主要问题：审计中介公司不及时履行报账手续，导致审计费不能按进度支付。下一步改进措施：提高审计项目完成效率，督促审计中介公司及时履行报账程序</w:t>
      </w:r>
      <w:r>
        <w:rPr>
          <w:rFonts w:hint="eastAsia" w:ascii="仿宋_GB2312" w:hAnsi="Calibri" w:eastAsia="仿宋_GB2312" w:cs="仿宋_GB2312"/>
          <w:sz w:val="32"/>
          <w:szCs w:val="32"/>
          <w:lang w:val="en-US" w:eastAsia="zh-CN"/>
        </w:rPr>
        <w:t>。</w:t>
      </w:r>
    </w:p>
    <w:p>
      <w:pPr>
        <w:spacing w:line="600" w:lineRule="exact"/>
        <w:ind w:firstLine="640" w:firstLineChars="200"/>
        <w:rPr>
          <w:rFonts w:hint="eastAsia" w:ascii="仿宋_GB2312" w:hAnsi="Calibri" w:eastAsia="仿宋_GB2312" w:cs="仿宋_GB2312"/>
          <w:sz w:val="32"/>
          <w:szCs w:val="32"/>
          <w:lang w:val="en-US" w:eastAsia="zh-CN"/>
        </w:rPr>
      </w:pPr>
    </w:p>
    <w:p>
      <w:pPr>
        <w:spacing w:line="600" w:lineRule="exact"/>
        <w:ind w:firstLine="640" w:firstLineChars="200"/>
        <w:rPr>
          <w:rFonts w:hint="eastAsia" w:ascii="仿宋_GB2312" w:hAnsi="Calibri" w:eastAsia="仿宋_GB2312" w:cs="仿宋_GB2312"/>
          <w:color w:val="FFFFFF"/>
          <w:sz w:val="32"/>
          <w:szCs w:val="32"/>
          <w:lang w:val="en-US" w:eastAsia="zh-CN"/>
        </w:rPr>
      </w:pP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251"/>
        <w:gridCol w:w="2166"/>
        <w:gridCol w:w="2394"/>
        <w:gridCol w:w="2392"/>
      </w:tblGrid>
      <w:tr>
        <w:tblPrEx>
          <w:tblCellMar>
            <w:top w:w="0" w:type="dxa"/>
            <w:left w:w="0" w:type="dxa"/>
            <w:bottom w:w="0" w:type="dxa"/>
            <w:right w:w="0" w:type="dxa"/>
          </w:tblCellMar>
        </w:tblPrEx>
        <w:trPr>
          <w:trHeight w:val="1395"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hAnsi="宋体" w:cs="宋体"/>
                <w:color w:val="000000"/>
                <w:sz w:val="36"/>
                <w:szCs w:val="36"/>
              </w:rPr>
            </w:pP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 xml:space="preserve"> 年度)</w:t>
            </w:r>
          </w:p>
        </w:tc>
      </w:tr>
      <w:tr>
        <w:tblPrEx>
          <w:tblCellMar>
            <w:top w:w="0" w:type="dxa"/>
            <w:left w:w="0" w:type="dxa"/>
            <w:bottom w:w="0" w:type="dxa"/>
            <w:right w:w="0" w:type="dxa"/>
          </w:tblCellMar>
        </w:tblPrEx>
        <w:trPr>
          <w:trHeight w:val="276" w:hRule="atLeast"/>
          <w:jc w:val="center"/>
        </w:trPr>
        <w:tc>
          <w:tcPr>
            <w:tcW w:w="300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69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审计业务费</w:t>
            </w:r>
          </w:p>
        </w:tc>
      </w:tr>
      <w:tr>
        <w:tblPrEx>
          <w:tblCellMar>
            <w:top w:w="0" w:type="dxa"/>
            <w:left w:w="0" w:type="dxa"/>
            <w:bottom w:w="0" w:type="dxa"/>
            <w:right w:w="0" w:type="dxa"/>
          </w:tblCellMar>
        </w:tblPrEx>
        <w:trPr>
          <w:trHeight w:val="276" w:hRule="atLeast"/>
          <w:jc w:val="center"/>
        </w:trPr>
        <w:tc>
          <w:tcPr>
            <w:tcW w:w="300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69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6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245万元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210.78万元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6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245万元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245万元</w:t>
            </w:r>
          </w:p>
        </w:tc>
      </w:tr>
      <w:tr>
        <w:tblPrEx>
          <w:tblCellMar>
            <w:top w:w="0" w:type="dxa"/>
            <w:left w:w="0" w:type="dxa"/>
            <w:bottom w:w="0" w:type="dxa"/>
            <w:right w:w="0" w:type="dxa"/>
          </w:tblCellMar>
        </w:tblPrEx>
        <w:trPr>
          <w:trHeight w:val="114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6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宋体" w:hAnsi="宋体" w:eastAsia="宋体" w:cs="宋体"/>
                <w:color w:val="000000"/>
                <w:sz w:val="24"/>
                <w:lang w:eastAsia="zh-CN"/>
              </w:rPr>
            </w:pPr>
            <w:r>
              <w:rPr>
                <w:rFonts w:hint="eastAsia" w:ascii="宋体" w:hAnsi="宋体" w:cs="宋体"/>
                <w:color w:val="000000"/>
                <w:kern w:val="0"/>
                <w:sz w:val="24"/>
                <w:lang w:val="en-US" w:eastAsia="zh-CN"/>
              </w:rPr>
              <w:t>2020年度完成：</w:t>
            </w:r>
            <w:r>
              <w:rPr>
                <w:rFonts w:hint="eastAsia" w:ascii="宋体" w:hAnsi="宋体" w:cs="宋体"/>
                <w:color w:val="000000"/>
                <w:kern w:val="0"/>
                <w:sz w:val="24"/>
              </w:rPr>
              <w:t>每个季度重大政策跟踪审计；半年一次“三公经费”审计；本级预算执行审计；</w:t>
            </w:r>
            <w:r>
              <w:rPr>
                <w:rFonts w:hint="eastAsia" w:ascii="宋体" w:hAnsi="宋体" w:cs="宋体"/>
                <w:color w:val="000000"/>
                <w:kern w:val="0"/>
                <w:sz w:val="24"/>
                <w:lang w:eastAsia="zh-CN"/>
              </w:rPr>
              <w:t>部门预算执行审计</w:t>
            </w:r>
            <w:r>
              <w:rPr>
                <w:rFonts w:hint="eastAsia" w:ascii="宋体" w:hAnsi="宋体" w:cs="宋体"/>
                <w:color w:val="000000"/>
                <w:kern w:val="0"/>
                <w:sz w:val="24"/>
              </w:rPr>
              <w:t>；经济责任审计；固定资产投资审计；自然资源审计；扶贫审计；财政专项</w:t>
            </w:r>
            <w:r>
              <w:rPr>
                <w:rFonts w:hint="eastAsia" w:ascii="宋体" w:hAnsi="宋体" w:cs="宋体"/>
                <w:color w:val="000000"/>
                <w:kern w:val="0"/>
                <w:sz w:val="24"/>
                <w:lang w:eastAsia="zh-CN"/>
              </w:rPr>
              <w:t>资金</w:t>
            </w:r>
            <w:r>
              <w:rPr>
                <w:rFonts w:hint="eastAsia" w:ascii="宋体" w:hAnsi="宋体" w:cs="宋体"/>
                <w:color w:val="000000"/>
                <w:kern w:val="0"/>
                <w:sz w:val="24"/>
              </w:rPr>
              <w:t>审计；投资结算审计等项目审计。以及完成了审计局日常事务</w:t>
            </w:r>
            <w:r>
              <w:rPr>
                <w:rFonts w:hint="eastAsia" w:ascii="宋体" w:hAnsi="宋体" w:cs="宋体"/>
                <w:color w:val="000000"/>
                <w:kern w:val="0"/>
                <w:sz w:val="24"/>
                <w:lang w:eastAsia="zh-CN"/>
              </w:rPr>
              <w:t>、</w:t>
            </w:r>
            <w:r>
              <w:rPr>
                <w:rFonts w:hint="eastAsia" w:ascii="宋体" w:hAnsi="宋体" w:cs="宋体"/>
                <w:color w:val="000000"/>
                <w:kern w:val="0"/>
                <w:sz w:val="24"/>
              </w:rPr>
              <w:t>办公室党建</w:t>
            </w:r>
            <w:r>
              <w:rPr>
                <w:rFonts w:hint="eastAsia" w:ascii="宋体" w:hAnsi="宋体" w:cs="宋体"/>
                <w:color w:val="000000"/>
                <w:kern w:val="0"/>
                <w:sz w:val="24"/>
                <w:lang w:eastAsia="zh-CN"/>
              </w:rPr>
              <w:t>、</w:t>
            </w:r>
            <w:r>
              <w:rPr>
                <w:rFonts w:hint="eastAsia" w:ascii="宋体" w:hAnsi="宋体" w:cs="宋体"/>
                <w:color w:val="000000"/>
                <w:kern w:val="0"/>
                <w:sz w:val="24"/>
              </w:rPr>
              <w:t>党风廉政建设</w:t>
            </w:r>
            <w:r>
              <w:rPr>
                <w:rFonts w:hint="eastAsia" w:ascii="宋体" w:hAnsi="宋体" w:cs="宋体"/>
                <w:color w:val="000000"/>
                <w:kern w:val="0"/>
                <w:sz w:val="24"/>
                <w:lang w:eastAsia="zh-CN"/>
              </w:rPr>
              <w:t>及财务日常事务</w:t>
            </w:r>
            <w:r>
              <w:rPr>
                <w:rFonts w:hint="eastAsia" w:ascii="宋体" w:hAnsi="宋体" w:cs="宋体"/>
                <w:color w:val="000000"/>
                <w:kern w:val="0"/>
                <w:sz w:val="24"/>
              </w:rPr>
              <w:t xml:space="preserve">。 </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kern w:val="0"/>
                <w:sz w:val="24"/>
                <w:lang w:val="en-US" w:eastAsia="zh-CN"/>
              </w:rPr>
              <w:t>2020年度完成：</w:t>
            </w:r>
            <w:r>
              <w:rPr>
                <w:rFonts w:hint="eastAsia" w:ascii="宋体" w:hAnsi="宋体" w:cs="宋体"/>
                <w:color w:val="000000"/>
                <w:kern w:val="0"/>
                <w:sz w:val="24"/>
              </w:rPr>
              <w:t>每个季度重大政策跟踪审计；半年一次“三公经费”审计；本级预算执行审计；</w:t>
            </w:r>
            <w:r>
              <w:rPr>
                <w:rFonts w:hint="eastAsia" w:ascii="宋体" w:hAnsi="宋体" w:cs="宋体"/>
                <w:color w:val="000000"/>
                <w:kern w:val="0"/>
                <w:sz w:val="24"/>
                <w:lang w:eastAsia="zh-CN"/>
              </w:rPr>
              <w:t>部门预算执行审计</w:t>
            </w:r>
            <w:r>
              <w:rPr>
                <w:rFonts w:hint="eastAsia" w:ascii="宋体" w:hAnsi="宋体" w:cs="宋体"/>
                <w:color w:val="000000"/>
                <w:kern w:val="0"/>
                <w:sz w:val="24"/>
              </w:rPr>
              <w:t>；经济责任审计；固定资产投资审计；自然资源审计；扶贫审计；财政专项</w:t>
            </w:r>
            <w:r>
              <w:rPr>
                <w:rFonts w:hint="eastAsia" w:ascii="宋体" w:hAnsi="宋体" w:cs="宋体"/>
                <w:color w:val="000000"/>
                <w:kern w:val="0"/>
                <w:sz w:val="24"/>
                <w:lang w:eastAsia="zh-CN"/>
              </w:rPr>
              <w:t>资金</w:t>
            </w:r>
            <w:r>
              <w:rPr>
                <w:rFonts w:hint="eastAsia" w:ascii="宋体" w:hAnsi="宋体" w:cs="宋体"/>
                <w:color w:val="000000"/>
                <w:kern w:val="0"/>
                <w:sz w:val="24"/>
              </w:rPr>
              <w:t>审计；投资结算审计等项目审计。以及完成了审计局日常事务</w:t>
            </w:r>
            <w:r>
              <w:rPr>
                <w:rFonts w:hint="eastAsia" w:ascii="宋体" w:hAnsi="宋体" w:cs="宋体"/>
                <w:color w:val="000000"/>
                <w:kern w:val="0"/>
                <w:sz w:val="24"/>
                <w:lang w:eastAsia="zh-CN"/>
              </w:rPr>
              <w:t>、</w:t>
            </w:r>
            <w:r>
              <w:rPr>
                <w:rFonts w:hint="eastAsia" w:ascii="宋体" w:hAnsi="宋体" w:cs="宋体"/>
                <w:color w:val="000000"/>
                <w:kern w:val="0"/>
                <w:sz w:val="24"/>
              </w:rPr>
              <w:t>办公室党建</w:t>
            </w:r>
            <w:r>
              <w:rPr>
                <w:rFonts w:hint="eastAsia" w:ascii="宋体" w:hAnsi="宋体" w:cs="宋体"/>
                <w:color w:val="000000"/>
                <w:kern w:val="0"/>
                <w:sz w:val="24"/>
                <w:lang w:eastAsia="zh-CN"/>
              </w:rPr>
              <w:t>、</w:t>
            </w:r>
            <w:r>
              <w:rPr>
                <w:rFonts w:hint="eastAsia" w:ascii="宋体" w:hAnsi="宋体" w:cs="宋体"/>
                <w:color w:val="000000"/>
                <w:kern w:val="0"/>
                <w:sz w:val="24"/>
              </w:rPr>
              <w:t>党风廉政建设</w:t>
            </w:r>
            <w:r>
              <w:rPr>
                <w:rFonts w:hint="eastAsia" w:ascii="宋体" w:hAnsi="宋体" w:cs="宋体"/>
                <w:color w:val="000000"/>
                <w:kern w:val="0"/>
                <w:sz w:val="24"/>
                <w:lang w:eastAsia="zh-CN"/>
              </w:rPr>
              <w:t>及财务日常事务</w:t>
            </w:r>
            <w:r>
              <w:rPr>
                <w:rFonts w:hint="eastAsia" w:ascii="宋体" w:hAnsi="宋体" w:cs="宋体"/>
                <w:color w:val="000000"/>
                <w:kern w:val="0"/>
                <w:sz w:val="24"/>
              </w:rPr>
              <w:t>。</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审计项目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eastAsia="zh-CN"/>
              </w:rPr>
              <w:t>预算执行审计</w:t>
            </w:r>
            <w:r>
              <w:rPr>
                <w:rFonts w:hint="eastAsia" w:ascii="宋体" w:hAnsi="宋体" w:cs="宋体"/>
                <w:color w:val="000000"/>
                <w:sz w:val="24"/>
                <w:lang w:val="en-US" w:eastAsia="zh-CN"/>
              </w:rPr>
              <w:t>2个项目；经济责任审计1个；自然资源审计1个；项目结算审计50项目。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完成了预算执行审计</w:t>
            </w:r>
            <w:r>
              <w:rPr>
                <w:rFonts w:hint="eastAsia" w:ascii="宋体" w:hAnsi="宋体" w:cs="宋体"/>
                <w:color w:val="000000"/>
                <w:sz w:val="24"/>
                <w:lang w:val="en-US" w:eastAsia="zh-CN"/>
              </w:rPr>
              <w:t>3个；重大政策跟踪审计4个；新增财政资金跟踪审计1个；疫情资金审计经济责任审个；财务收支审计4个；自然资源审计1个；项目结算审计152项目等。</w:t>
            </w:r>
          </w:p>
        </w:tc>
      </w:tr>
      <w:tr>
        <w:tblPrEx>
          <w:tblCellMar>
            <w:top w:w="0" w:type="dxa"/>
            <w:left w:w="0" w:type="dxa"/>
            <w:bottom w:w="0" w:type="dxa"/>
            <w:right w:w="0" w:type="dxa"/>
          </w:tblCellMar>
        </w:tblPrEx>
        <w:trPr>
          <w:trHeight w:val="2395"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质量指标</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审计项目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cs="宋体"/>
                <w:sz w:val="24"/>
                <w:szCs w:val="24"/>
              </w:rPr>
              <w:t>审计发现的问题、处理处罚情况、审计建议</w:t>
            </w:r>
            <w:r>
              <w:rPr>
                <w:rFonts w:hint="eastAsia" w:ascii="宋体" w:cs="宋体"/>
                <w:sz w:val="24"/>
                <w:szCs w:val="24"/>
                <w:lang w:eastAsia="zh-CN"/>
              </w:rPr>
              <w:t>；结算项目审计的审减金额。</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cs="宋体"/>
                <w:sz w:val="24"/>
                <w:szCs w:val="24"/>
              </w:rPr>
              <w:t>根据审计发现问题，并出具审计报告及审计决定，提出处理处罚及审计建议</w:t>
            </w:r>
            <w:r>
              <w:rPr>
                <w:rFonts w:hint="eastAsia" w:ascii="宋体" w:cs="宋体"/>
                <w:sz w:val="24"/>
                <w:szCs w:val="24"/>
                <w:lang w:eastAsia="zh-CN"/>
              </w:rPr>
              <w:t>；结算项目审减金额为我县财政节约资金。</w:t>
            </w:r>
          </w:p>
        </w:tc>
      </w:tr>
      <w:tr>
        <w:tblPrEx>
          <w:tblCellMar>
            <w:top w:w="0" w:type="dxa"/>
            <w:left w:w="0" w:type="dxa"/>
            <w:bottom w:w="0" w:type="dxa"/>
            <w:right w:w="0" w:type="dxa"/>
          </w:tblCellMar>
        </w:tblPrEx>
        <w:trPr>
          <w:trHeight w:val="7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时效性</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审计时间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cs="宋体"/>
                <w:sz w:val="24"/>
                <w:szCs w:val="24"/>
              </w:rPr>
              <w:t>当年</w:t>
            </w:r>
            <w:r>
              <w:rPr>
                <w:rFonts w:ascii="宋体" w:cs="宋体"/>
                <w:sz w:val="24"/>
                <w:szCs w:val="24"/>
              </w:rPr>
              <w:t>12</w:t>
            </w:r>
            <w:r>
              <w:rPr>
                <w:rFonts w:hint="eastAsia" w:ascii="宋体" w:cs="宋体"/>
                <w:sz w:val="24"/>
                <w:szCs w:val="24"/>
              </w:rPr>
              <w:t>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cs="宋体"/>
                <w:sz w:val="24"/>
                <w:szCs w:val="24"/>
              </w:rPr>
              <w:t>12</w:t>
            </w:r>
            <w:r>
              <w:rPr>
                <w:rFonts w:hint="eastAsia" w:ascii="宋体" w:cs="宋体"/>
                <w:sz w:val="24"/>
                <w:szCs w:val="24"/>
              </w:rPr>
              <w:t>月底前完成</w:t>
            </w:r>
          </w:p>
        </w:tc>
      </w:tr>
      <w:tr>
        <w:tblPrEx>
          <w:tblCellMar>
            <w:top w:w="0" w:type="dxa"/>
            <w:left w:w="0" w:type="dxa"/>
            <w:bottom w:w="0" w:type="dxa"/>
            <w:right w:w="0" w:type="dxa"/>
          </w:tblCellMar>
        </w:tblPrEx>
        <w:trPr>
          <w:trHeight w:val="79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组织工作满意度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cs="宋体"/>
                <w:sz w:val="24"/>
                <w:szCs w:val="24"/>
              </w:rPr>
              <w:t>〉</w:t>
            </w:r>
            <w:r>
              <w:rPr>
                <w:rFonts w:ascii="宋体" w:cs="宋体"/>
                <w:sz w:val="24"/>
                <w:szCs w:val="24"/>
              </w:rPr>
              <w:t>97%</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cs="宋体"/>
                <w:sz w:val="24"/>
                <w:szCs w:val="24"/>
              </w:rPr>
              <w:t>〉</w:t>
            </w:r>
            <w:r>
              <w:rPr>
                <w:rFonts w:ascii="宋体" w:cs="宋体"/>
                <w:sz w:val="24"/>
                <w:szCs w:val="24"/>
              </w:rPr>
              <w:t>97%</w:t>
            </w:r>
          </w:p>
        </w:tc>
      </w:tr>
    </w:tbl>
    <w:p>
      <w:pPr>
        <w:pStyle w:val="2"/>
        <w:rPr>
          <w:rFonts w:hint="eastAsia"/>
          <w:lang w:val="en-US" w:eastAsia="zh-CN"/>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widowControl/>
        <w:adjustRightInd w:val="0"/>
        <w:snapToGrid w:val="0"/>
        <w:spacing w:line="580" w:lineRule="exact"/>
        <w:ind w:firstLine="643" w:firstLineChars="200"/>
        <w:contextualSpacing/>
        <w:jc w:val="left"/>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2.部门绩效评价结果</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本部门按要求对2020年部门整体支出绩效评价情况开展自评，《壤塘县审计局部2020年部门整体支出绩效评价报告》见附件（附件1）。</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本部门不涉及建设项目及资金，项目资金均为专项公用经费资金，因此无项目绩效评价报告。</w:t>
      </w:r>
    </w:p>
    <w:p>
      <w:pPr>
        <w:autoSpaceDE w:val="0"/>
        <w:autoSpaceDN w:val="0"/>
        <w:adjustRightInd w:val="0"/>
        <w:spacing w:line="600" w:lineRule="exact"/>
        <w:ind w:firstLine="643" w:firstLineChars="200"/>
        <w:jc w:val="left"/>
        <w:outlineLvl w:val="2"/>
        <w:rPr>
          <w:rFonts w:hint="eastAsia" w:ascii="楷体" w:hAnsi="楷体" w:eastAsia="楷体" w:cs="楷体"/>
          <w:b/>
          <w:color w:val="000000"/>
          <w:sz w:val="32"/>
          <w:szCs w:val="32"/>
          <w:lang w:eastAsia="zh-CN"/>
        </w:rPr>
      </w:pPr>
      <w:bookmarkStart w:id="92" w:name="_Toc5776"/>
      <w:r>
        <w:rPr>
          <w:rFonts w:hint="eastAsia" w:ascii="楷体" w:hAnsi="楷体" w:eastAsia="楷体" w:cs="楷体"/>
          <w:b/>
          <w:color w:val="000000"/>
          <w:sz w:val="32"/>
          <w:szCs w:val="32"/>
        </w:rPr>
        <w:t>（</w:t>
      </w:r>
      <w:r>
        <w:rPr>
          <w:rFonts w:hint="eastAsia" w:ascii="楷体" w:hAnsi="楷体" w:eastAsia="楷体" w:cs="楷体"/>
          <w:b/>
          <w:color w:val="000000"/>
          <w:sz w:val="32"/>
          <w:szCs w:val="32"/>
          <w:lang w:eastAsia="zh-CN"/>
        </w:rPr>
        <w:t>五</w:t>
      </w:r>
      <w:r>
        <w:rPr>
          <w:rFonts w:hint="eastAsia" w:ascii="楷体" w:hAnsi="楷体" w:eastAsia="楷体" w:cs="楷体"/>
          <w:b/>
          <w:color w:val="000000"/>
          <w:sz w:val="32"/>
          <w:szCs w:val="32"/>
        </w:rPr>
        <w:t>）</w:t>
      </w:r>
      <w:r>
        <w:rPr>
          <w:rFonts w:hint="eastAsia" w:ascii="楷体" w:hAnsi="楷体" w:eastAsia="楷体" w:cs="楷体"/>
          <w:b/>
          <w:color w:val="000000"/>
          <w:sz w:val="32"/>
          <w:szCs w:val="32"/>
          <w:lang w:eastAsia="zh-CN"/>
        </w:rPr>
        <w:t>其他需说明的情况</w:t>
      </w:r>
      <w:bookmarkEnd w:id="92"/>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2020年决算公开报表及公开编制说明的金额均以万元为单位，因此与账面数据及决算报送数据存在小数点第二位收舍差的情况。</w:t>
      </w:r>
    </w:p>
    <w:p>
      <w:pPr>
        <w:pStyle w:val="2"/>
        <w:rPr>
          <w:rFonts w:hint="eastAsia" w:ascii="仿宋" w:hAnsi="仿宋" w:eastAsia="仿宋" w:cs="仿宋"/>
          <w:color w:val="000000"/>
          <w:sz w:val="32"/>
          <w:szCs w:val="32"/>
        </w:rPr>
      </w:pPr>
    </w:p>
    <w:p>
      <w:pPr>
        <w:rPr>
          <w:rFonts w:hint="eastAsia" w:ascii="仿宋" w:hAnsi="仿宋" w:eastAsia="仿宋" w:cs="仿宋"/>
          <w:color w:val="000000"/>
          <w:sz w:val="32"/>
          <w:szCs w:val="32"/>
        </w:rPr>
      </w:pPr>
    </w:p>
    <w:p>
      <w:pPr>
        <w:pStyle w:val="2"/>
        <w:rPr>
          <w:rFonts w:hint="eastAsia" w:ascii="仿宋" w:hAnsi="仿宋" w:eastAsia="仿宋" w:cs="仿宋"/>
          <w:color w:val="000000"/>
          <w:sz w:val="32"/>
          <w:szCs w:val="32"/>
        </w:rPr>
      </w:pPr>
    </w:p>
    <w:p>
      <w:pPr>
        <w:rPr>
          <w:rFonts w:hint="eastAsia" w:ascii="仿宋" w:hAnsi="仿宋" w:eastAsia="仿宋" w:cs="仿宋"/>
          <w:color w:val="000000"/>
          <w:sz w:val="32"/>
          <w:szCs w:val="32"/>
        </w:rPr>
      </w:pPr>
    </w:p>
    <w:p>
      <w:pPr>
        <w:pStyle w:val="2"/>
        <w:rPr>
          <w:rFonts w:hint="eastAsia" w:ascii="仿宋" w:hAnsi="仿宋" w:eastAsia="仿宋" w:cs="仿宋"/>
          <w:color w:val="000000"/>
          <w:sz w:val="32"/>
          <w:szCs w:val="32"/>
        </w:rPr>
      </w:pPr>
    </w:p>
    <w:p>
      <w:pPr>
        <w:rPr>
          <w:rFonts w:hint="eastAsia" w:ascii="仿宋" w:hAnsi="仿宋" w:eastAsia="仿宋" w:cs="仿宋"/>
          <w:color w:val="000000"/>
          <w:sz w:val="32"/>
          <w:szCs w:val="32"/>
        </w:rPr>
      </w:pPr>
    </w:p>
    <w:p>
      <w:pPr>
        <w:pStyle w:val="2"/>
        <w:rPr>
          <w:rFonts w:hint="eastAsia" w:ascii="仿宋" w:hAnsi="仿宋" w:eastAsia="仿宋" w:cs="仿宋"/>
          <w:color w:val="000000"/>
          <w:sz w:val="32"/>
          <w:szCs w:val="32"/>
        </w:rPr>
      </w:pPr>
    </w:p>
    <w:p>
      <w:pPr>
        <w:rPr>
          <w:rFonts w:hint="eastAsia" w:ascii="仿宋" w:hAnsi="仿宋" w:eastAsia="仿宋" w:cs="仿宋"/>
          <w:color w:val="000000"/>
          <w:sz w:val="32"/>
          <w:szCs w:val="32"/>
        </w:rPr>
      </w:pPr>
    </w:p>
    <w:p>
      <w:pPr>
        <w:pStyle w:val="2"/>
        <w:rPr>
          <w:rFonts w:hint="eastAsia" w:ascii="仿宋" w:hAnsi="仿宋" w:eastAsia="仿宋" w:cs="仿宋"/>
          <w:color w:val="000000"/>
          <w:sz w:val="32"/>
          <w:szCs w:val="32"/>
        </w:rPr>
      </w:pPr>
    </w:p>
    <w:p>
      <w:pPr>
        <w:rPr>
          <w:rFonts w:hint="eastAsia" w:ascii="仿宋" w:hAnsi="仿宋" w:eastAsia="仿宋" w:cs="仿宋"/>
          <w:color w:val="000000"/>
          <w:sz w:val="32"/>
          <w:szCs w:val="32"/>
        </w:rPr>
      </w:pPr>
    </w:p>
    <w:p>
      <w:pPr>
        <w:pStyle w:val="2"/>
        <w:rPr>
          <w:rFonts w:hint="eastAsia" w:ascii="仿宋" w:hAnsi="仿宋" w:eastAsia="仿宋" w:cs="仿宋"/>
          <w:color w:val="000000"/>
          <w:sz w:val="32"/>
          <w:szCs w:val="32"/>
        </w:rPr>
      </w:pPr>
    </w:p>
    <w:p>
      <w:pPr>
        <w:rPr>
          <w:rFonts w:hint="eastAsia" w:ascii="仿宋" w:hAnsi="仿宋" w:eastAsia="仿宋" w:cs="仿宋"/>
          <w:color w:val="000000"/>
          <w:sz w:val="32"/>
          <w:szCs w:val="32"/>
        </w:rPr>
      </w:pPr>
    </w:p>
    <w:p>
      <w:pPr>
        <w:pStyle w:val="2"/>
        <w:rPr>
          <w:rFonts w:hint="eastAsia" w:ascii="仿宋" w:hAnsi="仿宋" w:eastAsia="仿宋" w:cs="仿宋"/>
          <w:color w:val="000000"/>
          <w:sz w:val="32"/>
          <w:szCs w:val="32"/>
        </w:rPr>
      </w:pPr>
    </w:p>
    <w:p/>
    <w:p>
      <w:pPr>
        <w:widowControl/>
        <w:jc w:val="left"/>
        <w:rPr>
          <w:rFonts w:ascii="仿宋_GB2312" w:eastAsia="仿宋_GB2312"/>
          <w:b/>
          <w:color w:val="000000"/>
          <w:sz w:val="32"/>
          <w:szCs w:val="32"/>
        </w:rPr>
      </w:pPr>
    </w:p>
    <w:p>
      <w:pPr>
        <w:pStyle w:val="3"/>
        <w:numPr>
          <w:ilvl w:val="0"/>
          <w:numId w:val="3"/>
        </w:numPr>
        <w:bidi w:val="0"/>
        <w:jc w:val="center"/>
        <w:rPr>
          <w:rFonts w:hint="eastAsia" w:ascii="黑体" w:hAnsi="黑体" w:eastAsia="黑体" w:cs="黑体"/>
          <w:b w:val="0"/>
          <w:bCs w:val="0"/>
        </w:rPr>
      </w:pPr>
      <w:bookmarkStart w:id="93" w:name="_Toc15377225"/>
      <w:bookmarkStart w:id="94" w:name="_Toc15396613"/>
      <w:bookmarkStart w:id="95" w:name="_Toc22073"/>
      <w:r>
        <w:rPr>
          <w:rFonts w:hint="eastAsia" w:ascii="黑体" w:hAnsi="黑体" w:eastAsia="黑体" w:cs="黑体"/>
          <w:b w:val="0"/>
          <w:bCs w:val="0"/>
        </w:rPr>
        <w:t>名词解释</w:t>
      </w:r>
      <w:bookmarkEnd w:id="93"/>
      <w:bookmarkEnd w:id="94"/>
      <w:bookmarkEnd w:id="95"/>
    </w:p>
    <w:p>
      <w:pPr>
        <w:spacing w:line="600" w:lineRule="exact"/>
        <w:jc w:val="left"/>
        <w:rPr>
          <w:rFonts w:ascii="宋体"/>
          <w:b/>
          <w:color w:val="000000"/>
          <w:sz w:val="44"/>
          <w:szCs w:val="44"/>
        </w:rPr>
      </w:pPr>
    </w:p>
    <w:p>
      <w:pPr>
        <w:pStyle w:val="20"/>
        <w:spacing w:line="560" w:lineRule="exact"/>
        <w:ind w:firstLine="640" w:firstLineChars="200"/>
        <w:rPr>
          <w:rFonts w:hint="eastAsia" w:ascii="仿宋_GB2312" w:hAnsi="Calibri" w:eastAsia="仿宋_GB2312" w:cs="仿宋_GB2312"/>
          <w:kern w:val="2"/>
          <w:sz w:val="32"/>
          <w:szCs w:val="32"/>
          <w:lang w:val="en-US" w:eastAsia="zh-CN" w:bidi="ar-SA"/>
        </w:rPr>
      </w:pPr>
      <w:bookmarkStart w:id="96" w:name="_Toc15377226"/>
      <w:r>
        <w:rPr>
          <w:rFonts w:hint="eastAsia" w:ascii="仿宋_GB2312" w:hAnsi="Calibri" w:eastAsia="仿宋_GB2312" w:cs="仿宋_GB2312"/>
          <w:kern w:val="2"/>
          <w:sz w:val="32"/>
          <w:szCs w:val="32"/>
          <w:lang w:val="en-US" w:eastAsia="zh-CN" w:bidi="ar-SA"/>
        </w:rPr>
        <w:t>1.财政拨款收入：指单位从同级财政部门取得的财政预算资金。</w:t>
      </w:r>
    </w:p>
    <w:p>
      <w:pPr>
        <w:pStyle w:val="20"/>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2.事业收入：指事业单位开展专业业务活动及辅助活动取得的收入。</w:t>
      </w:r>
    </w:p>
    <w:p>
      <w:pPr>
        <w:pStyle w:val="20"/>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3.经营收入：指事业单位在专业业务活动及其辅助活动之外开展非独立核算经营活动取得的收入。</w:t>
      </w:r>
    </w:p>
    <w:p>
      <w:pPr>
        <w:pStyle w:val="20"/>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4.其他收入：指单位取得的除上述收入以外的各项收入。</w:t>
      </w:r>
    </w:p>
    <w:p>
      <w:pPr>
        <w:pStyle w:val="20"/>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0"/>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6.年初结转和结余：指以前年度尚未完成、结转到本年按有关规定继续使用的资金。</w:t>
      </w:r>
    </w:p>
    <w:p>
      <w:pPr>
        <w:pStyle w:val="20"/>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7.结余分配：指事业单位按照事业单位会计制度的规定从非财政补助结余中分配的事业基金和职工福利基金等。</w:t>
      </w:r>
    </w:p>
    <w:p>
      <w:pPr>
        <w:pStyle w:val="20"/>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8、年末结转和结余：指单位按有关规定结转到下年或以后年度继续使用的资金。</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9.一般公共服务支出（201）：指政府提供一般公共服务的支出。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10.审计事务（20108）：指政府审计方面的支出。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11.行政运行（2010801）：指行政范围（包括实行公务员管理的事业单位）的基本支出。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12.一般行政管理事务（2010802）：指行政单位（包括实行公务员管理的事业单位）未单独设置项级科目的其他项目支出。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13.审计业务（2010804）：指各级审计机构的审计、专项审计调查、聘请社会审计组织人员及技术专家等方面的支出。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14.民族事务（20123）：指用于民族事务管理方面的支出。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15.其他民政事务支出（2012399）：指上述项目以外其他用于民族事务方面的支出。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16.社会保障和就业支出（208）：指政府在社会保障与就业方面的支出。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17.行政事业单位离退休（20805）：指用于行政事业单位离退休方面的支出。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18.机关事业单位基本养老保险缴费支出（2080505）：指机关事业单位实施养老保险制度由单位缴纳的基本养老保险支出。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19.机关事业单位职业年金缴费支出（2080506）：指机关事业单位实施养老保险制度由单位实施缴纳的职业年金支出。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20.医疗卫生与计划生育支出（210）：指政府医疗卫生与计划生育管理方面的支出。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21.行政事业单位医疗（21011）：指行政事业单位医疗方面的支出。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22.行政单位医疗（2101101）：指财政部门集中安排的行政单位基本医疗保险缴费经费，未参加医疗保险的行政单位的公费医疗经费，按国家规定享受离休人员、红军老战士待遇人员的医疗经费。</w:t>
      </w:r>
    </w:p>
    <w:p>
      <w:pPr>
        <w:ind w:firstLine="645"/>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23.住房保障支出（221）：指政府用于住房方面的支出。</w:t>
      </w:r>
    </w:p>
    <w:p>
      <w:pPr>
        <w:ind w:firstLine="645"/>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24.住房改革支出（22102）：指行政事业单位用财政拨款资金和其他资金等安排的住房改革支出。</w:t>
      </w:r>
    </w:p>
    <w:p>
      <w:pPr>
        <w:ind w:firstLine="645"/>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25.住房公积金（2210201）：指行政事业单位按人力资源和社会保障部、财政部规定的基本工资和津贴补贴以及规定比例为职工缴纳的住房公积金。</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26.基本支出：指为保障机构正常运转、完成日常工作任务而发生的人员支出和公用支出。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27.项目支出：指在基本支出之外为完成特定行政任务和事业发展目标所发生的支出。</w:t>
      </w:r>
    </w:p>
    <w:p>
      <w:pPr>
        <w:pStyle w:val="20"/>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28</w:t>
      </w:r>
      <w:r>
        <w:rPr>
          <w:rFonts w:hint="eastAsia" w:ascii="仿宋_GB2312" w:hAnsi="Calibri" w:eastAsia="仿宋_GB2312" w:cs="仿宋_GB2312"/>
          <w:kern w:val="2"/>
          <w:sz w:val="32"/>
          <w:szCs w:val="32"/>
          <w:lang w:val="en-US" w:eastAsia="zh-CN" w:bidi="ar-SA"/>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0"/>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29</w:t>
      </w:r>
      <w:r>
        <w:rPr>
          <w:rFonts w:hint="eastAsia" w:ascii="仿宋_GB2312" w:hAnsi="Calibri" w:eastAsia="仿宋_GB2312" w:cs="仿宋_GB2312"/>
          <w:kern w:val="2"/>
          <w:sz w:val="32"/>
          <w:szCs w:val="32"/>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16"/>
          <w:rFonts w:ascii="黑体" w:hAnsi="黑体" w:eastAsia="黑体"/>
          <w:b w:val="0"/>
        </w:rPr>
      </w:pPr>
      <w:r>
        <w:rPr>
          <w:rFonts w:ascii="宋体"/>
          <w:b/>
          <w:color w:val="000000"/>
          <w:sz w:val="44"/>
          <w:szCs w:val="44"/>
        </w:rPr>
        <w:br w:type="page"/>
      </w:r>
      <w:bookmarkStart w:id="97" w:name="_Toc15396614"/>
      <w:bookmarkStart w:id="98" w:name="_Toc12180"/>
      <w:r>
        <w:rPr>
          <w:rFonts w:hint="eastAsia" w:ascii="黑体" w:hAnsi="黑体" w:eastAsia="黑体"/>
          <w:color w:val="000000"/>
          <w:sz w:val="44"/>
          <w:szCs w:val="44"/>
        </w:rPr>
        <w:t>第</w:t>
      </w:r>
      <w:r>
        <w:rPr>
          <w:rStyle w:val="16"/>
          <w:rFonts w:hint="eastAsia" w:ascii="黑体" w:hAnsi="黑体" w:eastAsia="黑体"/>
          <w:b w:val="0"/>
        </w:rPr>
        <w:t>四部分 附件</w:t>
      </w:r>
      <w:bookmarkEnd w:id="97"/>
      <w:bookmarkEnd w:id="98"/>
    </w:p>
    <w:p>
      <w:pPr>
        <w:spacing w:line="600" w:lineRule="exact"/>
        <w:jc w:val="left"/>
        <w:outlineLvl w:val="0"/>
        <w:rPr>
          <w:rFonts w:ascii="方正小标宋简体" w:hAnsi="方正小标宋简体" w:eastAsia="方正小标宋简体" w:cs="方正小标宋简体"/>
          <w:sz w:val="32"/>
          <w:szCs w:val="32"/>
        </w:rPr>
      </w:pPr>
      <w:bookmarkStart w:id="99" w:name="_Toc237"/>
      <w:r>
        <w:rPr>
          <w:rFonts w:hint="eastAsia" w:ascii="黑体" w:hAnsi="黑体" w:eastAsia="黑体" w:cs="黑体"/>
          <w:sz w:val="32"/>
          <w:szCs w:val="32"/>
        </w:rPr>
        <w:t>附件1</w:t>
      </w:r>
      <w:bookmarkEnd w:id="99"/>
    </w:p>
    <w:p>
      <w:pPr>
        <w:widowControl/>
        <w:spacing w:line="560" w:lineRule="exact"/>
        <w:contextualSpacing/>
        <w:jc w:val="center"/>
        <w:rPr>
          <w:rFonts w:hint="default" w:ascii="方正小标宋简体" w:hAnsi="宋体" w:eastAsia="方正小标宋简体"/>
          <w:b/>
          <w:sz w:val="44"/>
          <w:szCs w:val="44"/>
          <w:shd w:val="clear" w:color="auto" w:fill="FFFFFF"/>
          <w:lang w:val="en-US" w:eastAsia="zh-CN"/>
        </w:rPr>
      </w:pPr>
      <w:r>
        <w:rPr>
          <w:rFonts w:hint="eastAsia" w:ascii="方正小标宋简体" w:hAnsi="宋体" w:eastAsia="方正小标宋简体"/>
          <w:b/>
          <w:sz w:val="44"/>
          <w:szCs w:val="44"/>
          <w:shd w:val="clear" w:color="auto" w:fill="FFFFFF"/>
          <w:lang w:eastAsia="zh-CN"/>
        </w:rPr>
        <w:t>壤塘县</w:t>
      </w:r>
      <w:r>
        <w:rPr>
          <w:rFonts w:hint="eastAsia" w:ascii="方正小标宋简体" w:hAnsi="宋体" w:eastAsia="方正小标宋简体"/>
          <w:b/>
          <w:sz w:val="44"/>
          <w:szCs w:val="44"/>
          <w:shd w:val="clear" w:color="auto" w:fill="FFFFFF"/>
          <w:lang w:val="en-US" w:eastAsia="zh-CN"/>
        </w:rPr>
        <w:t>审计局</w:t>
      </w:r>
    </w:p>
    <w:p>
      <w:pPr>
        <w:widowControl/>
        <w:spacing w:line="560" w:lineRule="exact"/>
        <w:contextualSpacing/>
        <w:jc w:val="center"/>
        <w:rPr>
          <w:rFonts w:hint="eastAsia" w:ascii="方正小标宋简体" w:hAnsi="宋体" w:eastAsia="方正小标宋简体"/>
          <w:b/>
          <w:sz w:val="44"/>
          <w:szCs w:val="44"/>
          <w:shd w:val="clear" w:color="auto" w:fill="FFFFFF"/>
        </w:rPr>
      </w:pPr>
      <w:r>
        <w:rPr>
          <w:rFonts w:hint="eastAsia" w:ascii="方正小标宋简体" w:hAnsi="宋体" w:eastAsia="方正小标宋简体"/>
          <w:b/>
          <w:sz w:val="44"/>
          <w:szCs w:val="44"/>
          <w:shd w:val="clear" w:color="auto" w:fill="FFFFFF"/>
        </w:rPr>
        <w:t>2</w:t>
      </w:r>
      <w:r>
        <w:rPr>
          <w:rFonts w:hint="eastAsia" w:ascii="方正小标宋简体" w:hAnsi="宋体" w:eastAsia="方正小标宋简体"/>
          <w:b/>
          <w:sz w:val="44"/>
          <w:szCs w:val="44"/>
          <w:shd w:val="clear" w:color="auto" w:fill="FFFFFF"/>
          <w:lang w:val="en-US" w:eastAsia="zh-CN"/>
        </w:rPr>
        <w:t>020</w:t>
      </w:r>
      <w:r>
        <w:rPr>
          <w:rFonts w:hint="eastAsia" w:ascii="方正小标宋简体" w:hAnsi="宋体" w:eastAsia="方正小标宋简体"/>
          <w:b/>
          <w:sz w:val="44"/>
          <w:szCs w:val="44"/>
          <w:shd w:val="clear" w:color="auto" w:fill="FFFFFF"/>
        </w:rPr>
        <w:t>年部门整体支出绩效评价</w:t>
      </w:r>
    </w:p>
    <w:p>
      <w:pPr>
        <w:widowControl/>
        <w:spacing w:line="560" w:lineRule="exact"/>
        <w:contextualSpacing/>
        <w:jc w:val="center"/>
        <w:rPr>
          <w:rFonts w:hint="eastAsia" w:ascii="方正小标宋简体" w:hAnsi="宋体" w:eastAsia="方正小标宋简体"/>
          <w:b/>
          <w:sz w:val="44"/>
          <w:szCs w:val="44"/>
          <w:shd w:val="clear" w:color="auto" w:fill="FFFFFF"/>
        </w:rPr>
      </w:pPr>
      <w:r>
        <w:rPr>
          <w:rFonts w:hint="eastAsia" w:ascii="方正小标宋简体" w:hAnsi="宋体" w:eastAsia="方正小标宋简体"/>
          <w:b/>
          <w:sz w:val="44"/>
          <w:szCs w:val="44"/>
          <w:shd w:val="clear" w:color="auto" w:fill="FFFFFF"/>
          <w:lang w:eastAsia="zh-CN"/>
        </w:rPr>
        <w:t>自评</w:t>
      </w:r>
      <w:r>
        <w:rPr>
          <w:rFonts w:hint="eastAsia" w:ascii="方正小标宋简体" w:hAnsi="宋体" w:eastAsia="方正小标宋简体"/>
          <w:b/>
          <w:sz w:val="44"/>
          <w:szCs w:val="44"/>
          <w:shd w:val="clear" w:color="auto" w:fill="FFFFFF"/>
        </w:rPr>
        <w:t>报告</w:t>
      </w:r>
    </w:p>
    <w:p>
      <w:pPr>
        <w:widowControl/>
        <w:adjustRightInd w:val="0"/>
        <w:snapToGrid w:val="0"/>
        <w:spacing w:line="56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spacing w:line="580" w:lineRule="exact"/>
        <w:ind w:firstLine="643" w:firstLineChars="200"/>
        <w:rPr>
          <w:rFonts w:ascii="楷体" w:hAnsi="楷体" w:eastAsia="楷体"/>
          <w:b/>
          <w:bCs/>
          <w:sz w:val="32"/>
          <w:szCs w:val="32"/>
        </w:rPr>
      </w:pPr>
      <w:r>
        <w:rPr>
          <w:rFonts w:hint="eastAsia" w:ascii="楷体" w:hAnsi="楷体" w:eastAsia="楷体" w:cs="楷体"/>
          <w:b/>
          <w:bCs/>
          <w:sz w:val="32"/>
          <w:szCs w:val="32"/>
        </w:rPr>
        <w:t>（一）机构组成</w:t>
      </w:r>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壤塘县审计局属一级预算单位，其中行政单位1个。下设股所级事业单位壤塘县投资审计中心及壤塘县审计事务服务中心。其中内设机构三股一办，即：综合办、财政金融和行政事业审计股、经济责任审计股、固定资产和经贸审计股。</w:t>
      </w:r>
    </w:p>
    <w:p>
      <w:pPr>
        <w:numPr>
          <w:ilvl w:val="0"/>
          <w:numId w:val="4"/>
        </w:numPr>
        <w:spacing w:line="58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机构职能</w:t>
      </w:r>
    </w:p>
    <w:p>
      <w:pPr>
        <w:numPr>
          <w:ilvl w:val="0"/>
          <w:numId w:val="0"/>
        </w:numPr>
        <w:spacing w:line="580" w:lineRule="exact"/>
        <w:ind w:firstLine="640" w:firstLineChars="200"/>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根据中共壤塘县委办公室、壤塘县人民政府办公室批准的《壤塘县审计局职能配置、内设机构和人员编制规定》（壤委办〔201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w:t>
      </w:r>
      <w:r>
        <w:rPr>
          <w:rFonts w:hint="eastAsia" w:ascii="仿宋_GB2312" w:hAnsi="Calibri" w:eastAsia="仿宋_GB2312" w:cs="仿宋_GB2312"/>
          <w:sz w:val="32"/>
          <w:szCs w:val="32"/>
          <w:lang w:val="en-US" w:eastAsia="zh-CN"/>
        </w:rPr>
        <w:t>39</w:t>
      </w:r>
      <w:r>
        <w:rPr>
          <w:rFonts w:hint="eastAsia" w:ascii="仿宋_GB2312" w:hAnsi="Calibri" w:eastAsia="仿宋_GB2312" w:cs="仿宋_GB2312"/>
          <w:sz w:val="32"/>
          <w:szCs w:val="32"/>
          <w:lang w:eastAsia="zh-CN"/>
        </w:rPr>
        <w:t>号）及中共壤塘县委机构编制委员会办公室批准的《壤塘县审计局所属事业单位的设置、职责和编制事项方案》（壤编办〔201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w:t>
      </w:r>
      <w:r>
        <w:rPr>
          <w:rFonts w:hint="eastAsia" w:ascii="仿宋_GB2312" w:hAnsi="Calibri" w:eastAsia="仿宋_GB2312" w:cs="仿宋_GB2312"/>
          <w:sz w:val="32"/>
          <w:szCs w:val="32"/>
          <w:lang w:val="en-US" w:eastAsia="zh-CN"/>
        </w:rPr>
        <w:t>64</w:t>
      </w:r>
      <w:r>
        <w:rPr>
          <w:rFonts w:hint="eastAsia" w:ascii="仿宋_GB2312" w:hAnsi="Calibri" w:eastAsia="仿宋_GB2312" w:cs="仿宋_GB2312"/>
          <w:sz w:val="32"/>
          <w:szCs w:val="32"/>
          <w:lang w:eastAsia="zh-CN"/>
        </w:rPr>
        <w:t>号）的规定，县审计局为县政府工作部门。主要职责是：</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1、</w:t>
      </w:r>
      <w:r>
        <w:rPr>
          <w:rFonts w:hint="eastAsia" w:ascii="仿宋_GB2312" w:hAnsi="Calibri" w:eastAsia="仿宋_GB2312" w:cs="仿宋_GB2312"/>
          <w:sz w:val="32"/>
          <w:szCs w:val="32"/>
          <w:lang w:eastAsia="zh-CN"/>
        </w:rPr>
        <w:t>主管全县审计工作。负责对县级财政收支和法律法规规定属于审计监督范围的财务收支的真实、合法和效益进行审计监督，对公共资金、国有资产、国有资源和领导干部履行经济责任情况实行审计全覆盖，对领导干部实行自然资源资产离任审计，对国家和省、州、县有关重大政策措施贯彻落实情况进行跟踪审计。对审计、专项审计调查和核查社会审计机构相关审计报告的结果承担责任，并负有督促被审计单位整改的责任。</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2、</w:t>
      </w:r>
      <w:r>
        <w:rPr>
          <w:rFonts w:hint="eastAsia" w:ascii="仿宋_GB2312" w:hAnsi="Calibri" w:eastAsia="仿宋_GB2312" w:cs="仿宋_GB2312"/>
          <w:sz w:val="32"/>
          <w:szCs w:val="32"/>
          <w:lang w:eastAsia="zh-CN"/>
        </w:rPr>
        <w:t>贯彻执行国家和省、州有关审计工作的方针政策和法律法规。拟订本县审计业务规章制度，制定并组织实施审计工作发展规划、专业领域审计工作规划和年度审计计划，对直接审计、调查和核查的事项依法进行审计评价，依法出具审计报告，做出审计决定或提出审计意见和建议。</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3、</w:t>
      </w:r>
      <w:r>
        <w:rPr>
          <w:rFonts w:hint="eastAsia" w:ascii="仿宋_GB2312" w:hAnsi="Calibri" w:eastAsia="仿宋_GB2312" w:cs="仿宋_GB2312"/>
          <w:sz w:val="32"/>
          <w:szCs w:val="32"/>
          <w:lang w:eastAsia="zh-CN"/>
        </w:rPr>
        <w:t>向县委审计委员会、县人民政府和阿坝州审计局提出年度县本级预算执行和其他财政收支情况的审计报告，受县人民政府委托向县人大常委会提出县本级预算执行和其他财政收支情况的审计工作报告；向县人民政府提出政府投资工程项目投资管理和财务收支情况的审计结果报告，受县人民政府委托向县人大常委会提出政府投资工程项目投资管理和财务收支情况的审计工作报告；向县人民政府和州审计局报告对其他事项的审计和专项审计调查情况及结果，依法向社会公布审计结果。</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4、</w:t>
      </w:r>
      <w:r>
        <w:rPr>
          <w:rFonts w:hint="eastAsia" w:ascii="仿宋_GB2312" w:hAnsi="Calibri" w:eastAsia="仿宋_GB2312" w:cs="仿宋_GB2312"/>
          <w:sz w:val="32"/>
          <w:szCs w:val="32"/>
          <w:lang w:eastAsia="zh-CN"/>
        </w:rPr>
        <w:t>直接审计下列事项，出具审计报告，在法定职权范围内作出审计决定，包括国家和省、州、县有关重大政策措施贯彻落实情况。县级预算执行情况和其他财政收支，县直各部门（含直属单位）预算执行情况、决算草案和其他财政收支。各乡（镇）政府预算执行情况、决算草案和其他财政收支，县级财政转移支付资金。使用县级财政资金的事业单位（含直属单位）和社会团体的财务收支。县级政府投资和以县级政府投资为主的建设项目的预算执行情况和决算，县级重大公共工程项目的资金管理使用和建设运营情况。自然资源管理、污染防治和生态保护与修复情况。县属国有企业和地方金融机构，县属国有资本占控股或主导地位的企业的资产、负债和损益。有关社会保障基金、社会捐赠资金、安全生产和职业健康财政资金以及其他基金、资金的财务收支。上级审计机关授权审计的驻县单位和直属企事业单位的财务收支和经济效益，以及国际组织和外国政府贷款、援助项目的财务收支。法律法规规定应由县审计局审计的其他事项。</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5、</w:t>
      </w:r>
      <w:r>
        <w:rPr>
          <w:rFonts w:hint="eastAsia" w:ascii="仿宋_GB2312" w:hAnsi="Calibri" w:eastAsia="仿宋_GB2312" w:cs="仿宋_GB2312"/>
          <w:sz w:val="32"/>
          <w:szCs w:val="32"/>
          <w:lang w:eastAsia="zh-CN"/>
        </w:rPr>
        <w:t>加强重大项目稽查，监督重大建设项目资金安全，提高投资效益。</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6、</w:t>
      </w:r>
      <w:r>
        <w:rPr>
          <w:rFonts w:hint="eastAsia" w:ascii="仿宋_GB2312" w:hAnsi="Calibri" w:eastAsia="仿宋_GB2312" w:cs="仿宋_GB2312"/>
          <w:sz w:val="32"/>
          <w:szCs w:val="32"/>
          <w:lang w:eastAsia="zh-CN"/>
        </w:rPr>
        <w:t>按规定对县管党政主要领导干部及其他单位主要负责人实施经济责任审计和自然资源资产离任审计。</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7、</w:t>
      </w:r>
      <w:r>
        <w:rPr>
          <w:rFonts w:hint="eastAsia" w:ascii="仿宋_GB2312" w:hAnsi="Calibri" w:eastAsia="仿宋_GB2312" w:cs="仿宋_GB2312"/>
          <w:sz w:val="32"/>
          <w:szCs w:val="32"/>
          <w:lang w:eastAsia="zh-CN"/>
        </w:rPr>
        <w:t>组织实施对国家财经法律法规、规章、政策和宏观调控措施执行情况、财政预算管理及国有资产管理使用等与县级财政收支有关的特定事项进行专项审计调查。</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8、</w:t>
      </w:r>
      <w:r>
        <w:rPr>
          <w:rFonts w:hint="eastAsia" w:ascii="仿宋_GB2312" w:hAnsi="Calibri" w:eastAsia="仿宋_GB2312" w:cs="仿宋_GB2312"/>
          <w:sz w:val="32"/>
          <w:szCs w:val="32"/>
          <w:lang w:eastAsia="zh-CN"/>
        </w:rPr>
        <w:t>依法检查审计决定执行情况，督促整改审计查出的问题，依法办理被审计单位对审计决定提请行政复议、行政诉讼或县政府裁决中的有关事项，协助配合有关部门查处相关重大案件。</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9、</w:t>
      </w:r>
      <w:r>
        <w:rPr>
          <w:rFonts w:hint="eastAsia" w:ascii="仿宋_GB2312" w:hAnsi="Calibri" w:eastAsia="仿宋_GB2312" w:cs="仿宋_GB2312"/>
          <w:sz w:val="32"/>
          <w:szCs w:val="32"/>
          <w:lang w:eastAsia="zh-CN"/>
        </w:rPr>
        <w:t>指导和监督内部审计工作，核查社会审计机构对依法属于审计监督对象的单位出具的相关审计报告。</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10、</w:t>
      </w:r>
      <w:r>
        <w:rPr>
          <w:rFonts w:hint="eastAsia" w:ascii="仿宋_GB2312" w:hAnsi="Calibri" w:eastAsia="仿宋_GB2312" w:cs="仿宋_GB2312"/>
          <w:sz w:val="32"/>
          <w:szCs w:val="32"/>
          <w:lang w:eastAsia="zh-CN"/>
        </w:rPr>
        <w:t xml:space="preserve">组织实施审计信息化建设规划、制度，强化审计数据采集、管理和使用。 </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11、</w:t>
      </w:r>
      <w:r>
        <w:rPr>
          <w:rFonts w:hint="eastAsia" w:ascii="仿宋_GB2312" w:hAnsi="Calibri" w:eastAsia="仿宋_GB2312" w:cs="仿宋_GB2312"/>
          <w:sz w:val="32"/>
          <w:szCs w:val="32"/>
          <w:lang w:eastAsia="zh-CN"/>
        </w:rPr>
        <w:t>负责职责范围内的安全生产和职业健康、生态环境保护、审批服务便民化等工作。</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12、</w:t>
      </w:r>
      <w:r>
        <w:rPr>
          <w:rFonts w:hint="eastAsia" w:ascii="仿宋_GB2312" w:hAnsi="Calibri" w:eastAsia="仿宋_GB2312" w:cs="仿宋_GB2312"/>
          <w:sz w:val="32"/>
          <w:szCs w:val="32"/>
          <w:lang w:eastAsia="zh-CN"/>
        </w:rPr>
        <w:t>完成县委和县政府交办的其他任务。</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13、</w:t>
      </w:r>
      <w:r>
        <w:rPr>
          <w:rFonts w:hint="eastAsia" w:ascii="仿宋_GB2312" w:hAnsi="Calibri" w:eastAsia="仿宋_GB2312" w:cs="仿宋_GB2312"/>
          <w:sz w:val="32"/>
          <w:szCs w:val="32"/>
          <w:lang w:eastAsia="zh-CN"/>
        </w:rPr>
        <w:t>职能转变。进一步完善审计管理体制，加强全县审计工作统筹，明晰县审计机关职能定位，理顺内部职责关系，优化审计资源配置，充实加强一线审计力量，构建集中统一、全面覆盖、权威高效的审计监督体系。优化审计工作机制，坚持科技强审，完善业务流程，改进工作方式，加强与有关部门的沟通协调，充分调动内部审计和社会审计力量，增强监督合力。</w:t>
      </w:r>
    </w:p>
    <w:p>
      <w:pPr>
        <w:spacing w:line="560" w:lineRule="exact"/>
        <w:ind w:firstLine="643" w:firstLineChars="200"/>
        <w:rPr>
          <w:rFonts w:ascii="楷体" w:hAnsi="楷体" w:eastAsia="楷体"/>
          <w:b/>
          <w:bCs/>
          <w:sz w:val="32"/>
          <w:szCs w:val="32"/>
        </w:rPr>
      </w:pPr>
      <w:r>
        <w:rPr>
          <w:rFonts w:hint="eastAsia" w:ascii="楷体" w:hAnsi="楷体" w:eastAsia="楷体" w:cs="楷体"/>
          <w:b/>
          <w:bCs/>
          <w:sz w:val="32"/>
          <w:szCs w:val="32"/>
        </w:rPr>
        <w:t>主要工作任务</w:t>
      </w:r>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20</w:t>
      </w:r>
      <w:r>
        <w:rPr>
          <w:rFonts w:hint="eastAsia" w:ascii="仿宋_GB2312" w:hAnsi="Calibri" w:eastAsia="仿宋_GB2312" w:cs="仿宋_GB2312"/>
          <w:sz w:val="32"/>
          <w:szCs w:val="32"/>
          <w:lang w:val="en-US" w:eastAsia="zh-CN"/>
        </w:rPr>
        <w:t>20</w:t>
      </w:r>
      <w:r>
        <w:rPr>
          <w:rFonts w:hint="eastAsia" w:ascii="仿宋_GB2312" w:hAnsi="Calibri" w:eastAsia="仿宋_GB2312" w:cs="仿宋_GB2312"/>
          <w:sz w:val="32"/>
          <w:szCs w:val="32"/>
          <w:lang w:eastAsia="zh-CN"/>
        </w:rPr>
        <w:t>年主要工作任务是：</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1、</w:t>
      </w:r>
      <w:r>
        <w:rPr>
          <w:rFonts w:hint="eastAsia" w:ascii="仿宋_GB2312" w:hAnsi="Calibri" w:eastAsia="仿宋_GB2312" w:cs="仿宋_GB2312"/>
          <w:sz w:val="32"/>
          <w:szCs w:val="32"/>
          <w:lang w:eastAsia="zh-CN"/>
        </w:rPr>
        <w:t>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年县级财政预算执行情况和其他财政收支；</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2、</w:t>
      </w:r>
      <w:r>
        <w:rPr>
          <w:rFonts w:hint="eastAsia" w:ascii="仿宋_GB2312" w:hAnsi="Calibri" w:eastAsia="仿宋_GB2312" w:cs="仿宋_GB2312"/>
          <w:sz w:val="32"/>
          <w:szCs w:val="32"/>
          <w:lang w:eastAsia="zh-CN"/>
        </w:rPr>
        <w:t>县级各部门财务收支、县人民政府有关部门管理和受县人民政府委托由社会团体管理的社会保障基金、环境保护资金、社会捐赠资金及其他有关基金、资金的财务收支；</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3、</w:t>
      </w:r>
      <w:r>
        <w:rPr>
          <w:rFonts w:hint="eastAsia" w:ascii="仿宋_GB2312" w:hAnsi="Calibri" w:eastAsia="仿宋_GB2312" w:cs="仿宋_GB2312"/>
          <w:sz w:val="32"/>
          <w:szCs w:val="32"/>
          <w:lang w:eastAsia="zh-CN"/>
        </w:rPr>
        <w:t>组织实施对贯彻执行国家财经方针政策和区域经济调控措施情况的行业审计、专项审计和审计调查，农业专项资金、资源能源和生态环境保护资金、扶贫开发和大中型水库移民资金等；</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4、</w:t>
      </w:r>
      <w:r>
        <w:rPr>
          <w:rFonts w:hint="eastAsia" w:ascii="仿宋_GB2312" w:hAnsi="Calibri" w:eastAsia="仿宋_GB2312" w:cs="仿宋_GB2312"/>
          <w:sz w:val="32"/>
          <w:szCs w:val="32"/>
          <w:lang w:eastAsia="zh-CN"/>
        </w:rPr>
        <w:t>对县级党政机关及乡镇主要领导干部进行任期经济责任审计；</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5、</w:t>
      </w:r>
      <w:r>
        <w:rPr>
          <w:rFonts w:hint="eastAsia" w:ascii="仿宋_GB2312" w:hAnsi="Calibri" w:eastAsia="仿宋_GB2312" w:cs="仿宋_GB2312"/>
          <w:sz w:val="32"/>
          <w:szCs w:val="32"/>
          <w:lang w:eastAsia="zh-CN"/>
        </w:rPr>
        <w:t>负责审计壤塘县政府投资和以县政府投资为主的建设项目的预算执行情况和结（决）算、县管国家重大工程项目资金的筹集、使用情况；组织对县管其他国家建设项目的审计监督；开展相关专项审计调查；组织协调对社会审计机构出具的属于审计机关审计监督对象的单位的相关审计报告核查工作；负责对县内对投资较大、建设周期较长或者关系国计民生的重点建设项目全程跟踪审计监督等。</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6、</w:t>
      </w:r>
      <w:r>
        <w:rPr>
          <w:rFonts w:hint="eastAsia" w:ascii="仿宋_GB2312" w:hAnsi="Calibri" w:eastAsia="仿宋_GB2312" w:cs="仿宋_GB2312"/>
          <w:sz w:val="32"/>
          <w:szCs w:val="32"/>
          <w:lang w:eastAsia="zh-CN"/>
        </w:rPr>
        <w:t>承办县政府交办的其他事项。</w:t>
      </w:r>
    </w:p>
    <w:p>
      <w:pPr>
        <w:numPr>
          <w:ilvl w:val="0"/>
          <w:numId w:val="0"/>
        </w:numPr>
        <w:spacing w:line="580" w:lineRule="exact"/>
        <w:ind w:firstLine="643" w:firstLineChars="200"/>
        <w:rPr>
          <w:rFonts w:hint="eastAsia" w:ascii="楷体" w:hAnsi="楷体" w:eastAsia="楷体" w:cs="楷体"/>
          <w:b/>
          <w:bCs/>
          <w:sz w:val="32"/>
          <w:szCs w:val="32"/>
          <w:lang w:val="zh-CN"/>
        </w:rPr>
      </w:pPr>
      <w:r>
        <w:rPr>
          <w:rFonts w:hint="eastAsia" w:ascii="楷体" w:hAnsi="楷体" w:eastAsia="楷体" w:cs="楷体"/>
          <w:b/>
          <w:bCs/>
          <w:sz w:val="32"/>
          <w:szCs w:val="32"/>
          <w:lang w:val="zh-CN"/>
        </w:rPr>
        <w:t>（三）人员概况</w:t>
      </w:r>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总编制15名,其中:行政编制7名,机关工勤人员编制1  名，事业编制7名(投资审计中心)。在职人员总数13名，其中：行政人员7名、工勤人员1名、事业人员5名。编外长期聘用投资审计人员1名，退休人员4人，遗属人员2人。</w:t>
      </w:r>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我局2020年12月底新进一名事业人员，该人员工资2021年1月开始由我局发放。</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（一）部门财政资金收入情况</w:t>
      </w:r>
    </w:p>
    <w:p>
      <w:pPr>
        <w:widowControl/>
        <w:spacing w:line="560" w:lineRule="exact"/>
        <w:ind w:firstLine="640" w:firstLineChars="200"/>
        <w:jc w:val="left"/>
        <w:rPr>
          <w:rFonts w:hint="eastAsia" w:ascii="仿宋_GB2312" w:hAnsi="Calibri" w:eastAsia="仿宋_GB2312" w:cs="仿宋_GB2312"/>
          <w:sz w:val="32"/>
          <w:szCs w:val="32"/>
          <w:lang w:val="zh-CN" w:eastAsia="zh-CN"/>
        </w:rPr>
      </w:pPr>
      <w:r>
        <w:rPr>
          <w:rFonts w:hint="eastAsia" w:ascii="仿宋_GB2312" w:hAnsi="Calibri" w:eastAsia="仿宋_GB2312" w:cs="仿宋_GB2312"/>
          <w:sz w:val="32"/>
          <w:szCs w:val="32"/>
          <w:lang w:val="zh-CN" w:eastAsia="zh-CN"/>
        </w:rPr>
        <w:t>2020年年初结转和结余67967.08元，2020预算收入5,954</w:t>
      </w:r>
      <w:r>
        <w:rPr>
          <w:rFonts w:hint="eastAsia" w:ascii="仿宋_GB2312" w:hAnsi="Calibri" w:eastAsia="仿宋_GB2312" w:cs="仿宋_GB2312"/>
          <w:sz w:val="32"/>
          <w:szCs w:val="32"/>
          <w:lang w:val="en-US" w:eastAsia="zh-CN"/>
        </w:rPr>
        <w:t>,</w:t>
      </w:r>
      <w:r>
        <w:rPr>
          <w:rFonts w:hint="eastAsia" w:ascii="仿宋_GB2312" w:hAnsi="Calibri" w:eastAsia="仿宋_GB2312" w:cs="仿宋_GB2312"/>
          <w:sz w:val="32"/>
          <w:szCs w:val="32"/>
          <w:lang w:val="zh-CN" w:eastAsia="zh-CN"/>
        </w:rPr>
        <w:t>166.00元，2019年预算收入7,437,313.00元，比去年减少了19.94%；主要原因是我局减少一名正科副局长及我局工程项目结算审计费减少。2020年决算收入4,556,055.14元，其中</w:t>
      </w:r>
      <w:r>
        <w:rPr>
          <w:rFonts w:hint="eastAsia" w:ascii="仿宋_GB2312" w:hAnsi="Calibri" w:cs="仿宋_GB2312"/>
          <w:sz w:val="32"/>
          <w:szCs w:val="32"/>
          <w:lang w:val="en-US" w:eastAsia="zh-CN"/>
        </w:rPr>
        <w:t>:</w:t>
      </w:r>
      <w:r>
        <w:rPr>
          <w:rFonts w:hint="eastAsia" w:ascii="仿宋_GB2312" w:hAnsi="Calibri" w:eastAsia="仿宋_GB2312" w:cs="仿宋_GB2312"/>
          <w:sz w:val="32"/>
          <w:szCs w:val="32"/>
          <w:lang w:val="zh-CN" w:eastAsia="zh-CN"/>
        </w:rPr>
        <w:t>一般公共预算财政拨款收入4,556,055.14元。本年收入调整预算数为4,556,055.14元，2019年收入调整预算数4,043,943.48元，比去年增加12.66%；主要原因是人员工资增加导致人员经费增加、工程结算审计费增加、物价上涨、工作经费增加等。</w:t>
      </w:r>
    </w:p>
    <w:p>
      <w:pPr>
        <w:widowControl/>
        <w:numPr>
          <w:ilvl w:val="0"/>
          <w:numId w:val="5"/>
        </w:numPr>
        <w:adjustRightInd w:val="0"/>
        <w:snapToGrid w:val="0"/>
        <w:spacing w:line="580" w:lineRule="exact"/>
        <w:ind w:left="-13" w:leftChars="0" w:firstLine="643" w:firstLineChars="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部门财政资金支出情况</w:t>
      </w:r>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20</w:t>
      </w:r>
      <w:r>
        <w:rPr>
          <w:rFonts w:hint="eastAsia" w:ascii="仿宋_GB2312" w:hAnsi="Calibri" w:cs="仿宋_GB2312"/>
          <w:sz w:val="32"/>
          <w:szCs w:val="32"/>
          <w:lang w:val="en-US" w:eastAsia="zh-CN"/>
        </w:rPr>
        <w:t>20</w:t>
      </w:r>
      <w:r>
        <w:rPr>
          <w:rFonts w:hint="eastAsia" w:ascii="仿宋_GB2312" w:hAnsi="Calibri" w:eastAsia="仿宋_GB2312" w:cs="仿宋_GB2312"/>
          <w:sz w:val="32"/>
          <w:szCs w:val="32"/>
          <w:lang w:eastAsia="zh-CN"/>
        </w:rPr>
        <w:t>年本年支出决算总额为4,624,022.22元，其中：一般公共服务支出4,009,568.17元；社会保障保障支出299,781.20元;卫生健康支出111,464.85元；住房保障支出203,208.00元。较上年相比，支出增加545,515.80元，上涨13.38%,主要原因是人员工资增加导致人员经费增加、工程结算审计费增加、物价上涨、工作经费增加等。</w:t>
      </w:r>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我局</w:t>
      </w:r>
      <w:r>
        <w:rPr>
          <w:rFonts w:hint="eastAsia" w:ascii="仿宋_GB2312" w:hAnsi="Calibri" w:eastAsia="仿宋_GB2312" w:cs="仿宋_GB2312"/>
          <w:sz w:val="32"/>
          <w:szCs w:val="32"/>
          <w:lang w:val="en-US" w:eastAsia="zh-CN"/>
        </w:rPr>
        <w:t>2020</w:t>
      </w:r>
      <w:r>
        <w:rPr>
          <w:rFonts w:hint="eastAsia" w:ascii="仿宋_GB2312" w:hAnsi="Calibri" w:eastAsia="仿宋_GB2312" w:cs="仿宋_GB2312"/>
          <w:sz w:val="32"/>
          <w:szCs w:val="32"/>
          <w:lang w:eastAsia="zh-CN"/>
        </w:rPr>
        <w:t>年末结转和结余</w:t>
      </w:r>
      <w:r>
        <w:rPr>
          <w:rFonts w:hint="eastAsia" w:ascii="仿宋_GB2312" w:hAnsi="Calibri" w:eastAsia="仿宋_GB2312" w:cs="仿宋_GB2312"/>
          <w:sz w:val="32"/>
          <w:szCs w:val="32"/>
          <w:lang w:val="en-US" w:eastAsia="zh-CN"/>
        </w:rPr>
        <w:t>0</w:t>
      </w:r>
      <w:r>
        <w:rPr>
          <w:rFonts w:hint="eastAsia" w:ascii="仿宋_GB2312" w:hAnsi="Calibri" w:eastAsia="仿宋_GB2312" w:cs="仿宋_GB2312"/>
          <w:sz w:val="32"/>
          <w:szCs w:val="32"/>
          <w:lang w:eastAsia="zh-CN"/>
        </w:rPr>
        <w:t>元，其中：一般行政管理事务</w:t>
      </w:r>
      <w:r>
        <w:rPr>
          <w:rFonts w:hint="eastAsia" w:ascii="仿宋_GB2312" w:hAnsi="Calibri" w:eastAsia="仿宋_GB2312" w:cs="仿宋_GB2312"/>
          <w:sz w:val="32"/>
          <w:szCs w:val="32"/>
          <w:lang w:val="en-US" w:eastAsia="zh-CN"/>
        </w:rPr>
        <w:t>0</w:t>
      </w:r>
      <w:r>
        <w:rPr>
          <w:rFonts w:hint="eastAsia" w:ascii="仿宋_GB2312" w:hAnsi="Calibri" w:eastAsia="仿宋_GB2312" w:cs="仿宋_GB2312"/>
          <w:sz w:val="32"/>
          <w:szCs w:val="32"/>
          <w:lang w:eastAsia="zh-CN"/>
        </w:rPr>
        <w:t>元</w:t>
      </w:r>
      <w:r>
        <w:rPr>
          <w:rFonts w:hint="eastAsia" w:ascii="仿宋_GB2312" w:hAnsi="Calibri" w:eastAsia="仿宋_GB2312" w:cs="仿宋_GB2312"/>
          <w:sz w:val="32"/>
          <w:szCs w:val="32"/>
          <w:lang w:val="en-US" w:eastAsia="zh-CN"/>
        </w:rPr>
        <w:t>,主要原因是我局2020年度无中央及省对地方审计机关专项工作经费补助资金，因此我局2020年末无结转结余资金</w:t>
      </w:r>
      <w:r>
        <w:rPr>
          <w:rFonts w:hint="eastAsia" w:ascii="仿宋_GB2312" w:hAnsi="Calibri" w:eastAsia="仿宋_GB2312" w:cs="仿宋_GB2312"/>
          <w:sz w:val="32"/>
          <w:szCs w:val="32"/>
          <w:lang w:eastAsia="zh-CN"/>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（一）部门预算管理</w:t>
      </w:r>
    </w:p>
    <w:p>
      <w:pPr>
        <w:spacing w:line="600" w:lineRule="exact"/>
        <w:ind w:firstLine="640" w:firstLineChars="200"/>
        <w:rPr>
          <w:rFonts w:hint="eastAsia"/>
          <w:lang w:val="zh-CN" w:eastAsia="zh-CN"/>
        </w:rPr>
      </w:pPr>
      <w:r>
        <w:rPr>
          <w:rFonts w:hint="eastAsia" w:ascii="仿宋_GB2312" w:hAnsi="Calibri" w:eastAsia="仿宋_GB2312" w:cs="仿宋_GB2312"/>
          <w:sz w:val="32"/>
          <w:szCs w:val="32"/>
          <w:lang w:val="en-US" w:eastAsia="zh-CN"/>
        </w:rPr>
        <w:t>我局严格按照预算编制的基本要求和时间节点认真编制20</w:t>
      </w:r>
      <w:r>
        <w:rPr>
          <w:rFonts w:hint="eastAsia" w:ascii="仿宋_GB2312" w:hAnsi="Calibri" w:cs="仿宋_GB2312"/>
          <w:sz w:val="32"/>
          <w:szCs w:val="32"/>
          <w:lang w:val="en-US" w:eastAsia="zh-CN"/>
        </w:rPr>
        <w:t>20</w:t>
      </w:r>
      <w:r>
        <w:rPr>
          <w:rFonts w:hint="eastAsia" w:ascii="仿宋_GB2312" w:hAnsi="Calibri" w:eastAsia="仿宋_GB2312" w:cs="仿宋_GB2312"/>
          <w:sz w:val="32"/>
          <w:szCs w:val="32"/>
          <w:lang w:val="en-US" w:eastAsia="zh-CN"/>
        </w:rPr>
        <w:t>部门预算及20</w:t>
      </w:r>
      <w:r>
        <w:rPr>
          <w:rFonts w:hint="eastAsia" w:ascii="仿宋_GB2312" w:hAnsi="Calibri" w:cs="仿宋_GB2312"/>
          <w:sz w:val="32"/>
          <w:szCs w:val="32"/>
          <w:lang w:val="en-US" w:eastAsia="zh-CN"/>
        </w:rPr>
        <w:t>20</w:t>
      </w:r>
      <w:r>
        <w:rPr>
          <w:rFonts w:hint="eastAsia" w:ascii="仿宋_GB2312" w:hAnsi="Calibri" w:eastAsia="仿宋_GB2312" w:cs="仿宋_GB2312"/>
          <w:sz w:val="32"/>
          <w:szCs w:val="32"/>
          <w:lang w:val="en-US" w:eastAsia="zh-CN"/>
        </w:rPr>
        <w:t>年部门决算。在预算编制中进一步夯实预算编制基础，及时更新相关基础数据，严格控制“三公”经费预算及支出，预算编制及决算编制做到了及时、完整、准确、合理、高效。</w:t>
      </w:r>
    </w:p>
    <w:p>
      <w:pPr>
        <w:spacing w:line="580" w:lineRule="exact"/>
        <w:ind w:firstLine="643" w:firstLineChars="200"/>
        <w:rPr>
          <w:rFonts w:ascii="楷体" w:hAnsi="楷体" w:eastAsia="楷体"/>
          <w:b/>
          <w:bCs/>
          <w:sz w:val="32"/>
          <w:szCs w:val="32"/>
        </w:rPr>
      </w:pPr>
      <w:r>
        <w:rPr>
          <w:rFonts w:hint="eastAsia" w:ascii="楷体" w:hAnsi="楷体" w:eastAsia="楷体" w:cs="楷体"/>
          <w:b/>
          <w:bCs/>
          <w:sz w:val="32"/>
          <w:szCs w:val="32"/>
        </w:rPr>
        <w:t>（二）专项预算管理</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w:t>
      </w:r>
      <w:r>
        <w:rPr>
          <w:rFonts w:hint="eastAsia" w:ascii="仿宋_GB2312" w:hAnsi="Calibri" w:cs="仿宋_GB2312"/>
          <w:sz w:val="32"/>
          <w:szCs w:val="32"/>
          <w:lang w:val="en-US" w:eastAsia="zh-CN"/>
        </w:rPr>
        <w:t>20</w:t>
      </w:r>
      <w:r>
        <w:rPr>
          <w:rFonts w:hint="eastAsia" w:ascii="仿宋_GB2312" w:hAnsi="Calibri" w:eastAsia="仿宋_GB2312" w:cs="仿宋_GB2312"/>
          <w:sz w:val="32"/>
          <w:szCs w:val="32"/>
          <w:lang w:val="en-US" w:eastAsia="zh-CN"/>
        </w:rPr>
        <w:t>年我局专项公用经费预算项目严格按照项目支出规定预算，预算程序严密、规划合理、结果符合、分配科学、分配及时，由于我局项目支出完全是公用经费因此严格执行预算管理。</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根据预算绩效管理要求，本部门（壤塘县审计局）在年初预算编制阶段，组织对“一般行政事务管理&lt;2019年中央及省对地方审计机关的经费补助&gt;”、“审计业务&lt;2020年审计工作经费及工程审计项目审计费&gt;”项目开展了预算事前绩效评估，对</w:t>
      </w:r>
      <w:r>
        <w:rPr>
          <w:rFonts w:hint="eastAsia" w:ascii="仿宋_GB2312" w:hAnsi="Calibri" w:cs="仿宋_GB2312"/>
          <w:sz w:val="32"/>
          <w:szCs w:val="32"/>
          <w:lang w:val="en-US" w:eastAsia="zh-CN"/>
        </w:rPr>
        <w:t>2</w:t>
      </w:r>
      <w:r>
        <w:rPr>
          <w:rFonts w:hint="eastAsia" w:ascii="仿宋_GB2312" w:hAnsi="Calibri" w:eastAsia="仿宋_GB2312" w:cs="仿宋_GB2312"/>
          <w:sz w:val="32"/>
          <w:szCs w:val="32"/>
          <w:lang w:val="en-US" w:eastAsia="zh-CN"/>
        </w:rPr>
        <w:t>个项目编制了绩效目标，预算执行过程中，选取1个项目开展绩效监控，年终执行完毕后，对1个项目开展了绩效目标完成情况自评。</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本部门按要求对20</w:t>
      </w:r>
      <w:r>
        <w:rPr>
          <w:rFonts w:hint="eastAsia" w:ascii="仿宋_GB2312" w:hAnsi="Calibri" w:cs="仿宋_GB2312"/>
          <w:sz w:val="32"/>
          <w:szCs w:val="32"/>
          <w:lang w:val="en-US" w:eastAsia="zh-CN"/>
        </w:rPr>
        <w:t>20</w:t>
      </w:r>
      <w:r>
        <w:rPr>
          <w:rFonts w:hint="eastAsia" w:ascii="仿宋_GB2312" w:hAnsi="Calibri" w:eastAsia="仿宋_GB2312" w:cs="仿宋_GB2312"/>
          <w:sz w:val="32"/>
          <w:szCs w:val="32"/>
          <w:lang w:val="en-US" w:eastAsia="zh-CN"/>
        </w:rPr>
        <w:t>年部门整体支出开展绩效自评，从评价情况来看较好完成了年初预算安排</w:t>
      </w:r>
      <w:r>
        <w:rPr>
          <w:rFonts w:hint="eastAsia" w:ascii="仿宋_GB2312" w:hAnsi="Calibri" w:cs="仿宋_GB2312"/>
          <w:sz w:val="32"/>
          <w:szCs w:val="32"/>
          <w:lang w:val="en-US" w:eastAsia="zh-CN"/>
        </w:rPr>
        <w:t>（2020年完成了</w:t>
      </w:r>
      <w:r>
        <w:rPr>
          <w:rFonts w:hint="eastAsia" w:ascii="仿宋_GB2312" w:hAnsi="Calibri" w:eastAsia="仿宋_GB2312" w:cs="仿宋_GB2312"/>
          <w:sz w:val="32"/>
          <w:szCs w:val="32"/>
          <w:lang w:val="en-US" w:eastAsia="zh-CN"/>
        </w:rPr>
        <w:t>2019年度县本级预算执行及其他专项资金情况审计、两个部门预算执行审计、四个季度重大政策跟踪审计、三公经费审计、2019年度扶贫资金审计、疫情资金审计、财务收支审计、领导干部经济责任审计、岗木达镇自然资源审计、新增财政资金审计、寺庙审计、工程项目审计决算等审计）。本部门还自行组织了1个项目支出绩效评价，从评价情况来看项目资金基本按照预算安排完成。因我局专项资金预算均为运转类资金，因此采用的绩效评价均为自评，以及选择一个项目开展自评。</w:t>
      </w:r>
    </w:p>
    <w:p>
      <w:pPr>
        <w:spacing w:line="600" w:lineRule="exact"/>
        <w:ind w:firstLine="643" w:firstLineChars="200"/>
        <w:rPr>
          <w:rFonts w:hint="eastAsia" w:ascii="仿宋_GB2312" w:hAnsi="宋体" w:eastAsia="仿宋_GB2312" w:cs="宋体"/>
          <w:b/>
          <w:bCs/>
          <w:color w:val="000000"/>
          <w:kern w:val="0"/>
          <w:sz w:val="32"/>
          <w:szCs w:val="32"/>
          <w:shd w:val="clear" w:color="auto" w:fill="FFFFFF"/>
          <w:lang w:val="zh-CN" w:eastAsia="zh-CN"/>
        </w:rPr>
      </w:pPr>
      <w:r>
        <w:rPr>
          <w:rFonts w:hint="eastAsia" w:ascii="仿宋_GB2312" w:hAnsi="宋体" w:eastAsia="仿宋_GB2312" w:cs="宋体"/>
          <w:b/>
          <w:bCs/>
          <w:color w:val="000000"/>
          <w:kern w:val="0"/>
          <w:sz w:val="32"/>
          <w:szCs w:val="32"/>
          <w:shd w:val="clear" w:color="auto" w:fill="FFFFFF"/>
          <w:lang w:val="zh-CN"/>
        </w:rPr>
        <w:t>项目绩效目标完成情况</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本部门在20</w:t>
      </w:r>
      <w:r>
        <w:rPr>
          <w:rFonts w:hint="eastAsia" w:ascii="仿宋_GB2312" w:hAnsi="Calibri" w:cs="仿宋_GB2312"/>
          <w:sz w:val="32"/>
          <w:szCs w:val="32"/>
          <w:lang w:val="en-US" w:eastAsia="zh-CN"/>
        </w:rPr>
        <w:t>20</w:t>
      </w:r>
      <w:r>
        <w:rPr>
          <w:rFonts w:hint="eastAsia" w:ascii="仿宋_GB2312" w:hAnsi="Calibri" w:eastAsia="仿宋_GB2312" w:cs="仿宋_GB2312"/>
          <w:sz w:val="32"/>
          <w:szCs w:val="32"/>
          <w:lang w:val="en-US" w:eastAsia="zh-CN"/>
        </w:rPr>
        <w:t>年度部门决算中反映“一般行政事务管理”、“审计业务”等</w:t>
      </w:r>
      <w:r>
        <w:rPr>
          <w:rFonts w:hint="eastAsia" w:ascii="仿宋_GB2312" w:hAnsi="Calibri" w:cs="仿宋_GB2312"/>
          <w:sz w:val="32"/>
          <w:szCs w:val="32"/>
          <w:lang w:val="en-US" w:eastAsia="zh-CN"/>
        </w:rPr>
        <w:t>2</w:t>
      </w:r>
      <w:r>
        <w:rPr>
          <w:rFonts w:hint="eastAsia" w:ascii="仿宋_GB2312" w:hAnsi="Calibri" w:eastAsia="仿宋_GB2312" w:cs="仿宋_GB2312"/>
          <w:sz w:val="32"/>
          <w:szCs w:val="32"/>
          <w:lang w:val="en-US" w:eastAsia="zh-CN"/>
        </w:rPr>
        <w:t>个项目绩效目标实际完成情况。</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（1）“一般行政事务管理”项目绩效目标完成情况综述。项目全年预算数</w:t>
      </w:r>
      <w:r>
        <w:rPr>
          <w:rFonts w:hint="eastAsia" w:ascii="仿宋_GB2312" w:hAnsi="Calibri" w:cs="仿宋_GB2312"/>
          <w:sz w:val="32"/>
          <w:szCs w:val="32"/>
          <w:lang w:val="en-US" w:eastAsia="zh-CN"/>
        </w:rPr>
        <w:t>6.8</w:t>
      </w:r>
      <w:r>
        <w:rPr>
          <w:rFonts w:hint="eastAsia" w:ascii="仿宋_GB2312" w:hAnsi="Calibri" w:eastAsia="仿宋_GB2312" w:cs="仿宋_GB2312"/>
          <w:sz w:val="32"/>
          <w:szCs w:val="32"/>
          <w:lang w:val="en-US" w:eastAsia="zh-CN"/>
        </w:rPr>
        <w:t>万元，执行数为</w:t>
      </w:r>
      <w:r>
        <w:rPr>
          <w:rFonts w:hint="eastAsia" w:ascii="仿宋_GB2312" w:hAnsi="Calibri" w:cs="仿宋_GB2312"/>
          <w:sz w:val="32"/>
          <w:szCs w:val="32"/>
          <w:lang w:val="en-US" w:eastAsia="zh-CN"/>
        </w:rPr>
        <w:t>6.8</w:t>
      </w:r>
      <w:r>
        <w:rPr>
          <w:rFonts w:hint="eastAsia" w:ascii="仿宋_GB2312" w:hAnsi="Calibri" w:eastAsia="仿宋_GB2312" w:cs="仿宋_GB2312"/>
          <w:sz w:val="32"/>
          <w:szCs w:val="32"/>
          <w:lang w:val="en-US" w:eastAsia="zh-CN"/>
        </w:rPr>
        <w:t>万元，完成预算的</w:t>
      </w:r>
      <w:r>
        <w:rPr>
          <w:rFonts w:hint="eastAsia" w:ascii="仿宋_GB2312" w:hAnsi="Calibri" w:cs="仿宋_GB2312"/>
          <w:sz w:val="32"/>
          <w:szCs w:val="32"/>
          <w:lang w:val="en-US" w:eastAsia="zh-CN"/>
        </w:rPr>
        <w:t>100</w:t>
      </w:r>
      <w:r>
        <w:rPr>
          <w:rFonts w:hint="eastAsia" w:ascii="仿宋_GB2312" w:hAnsi="Calibri" w:eastAsia="仿宋_GB2312" w:cs="仿宋_GB2312"/>
          <w:sz w:val="32"/>
          <w:szCs w:val="32"/>
          <w:lang w:val="en-US" w:eastAsia="zh-CN"/>
        </w:rPr>
        <w:t>%。通过项目实施，保障了审计后勤工作开展，发现的主要问题：经费留存较少，为保障经费在下一年能有结存，尽可能的少使用该笔资金。下一步改进措施：厉行节约，合理安排经费支出。</w:t>
      </w:r>
    </w:p>
    <w:p>
      <w:pPr>
        <w:spacing w:line="600" w:lineRule="exact"/>
        <w:ind w:firstLine="640" w:firstLineChars="200"/>
        <w:rPr>
          <w:rFonts w:hint="eastAsia" w:ascii="仿宋_GB2312" w:hAnsi="Calibri" w:eastAsia="仿宋_GB2312" w:cs="仿宋_GB2312"/>
          <w:color w:val="FFFFFF"/>
          <w:sz w:val="32"/>
          <w:szCs w:val="32"/>
          <w:lang w:val="en-US" w:eastAsia="zh-CN"/>
        </w:rPr>
      </w:pPr>
      <w:r>
        <w:rPr>
          <w:rFonts w:hint="eastAsia" w:ascii="仿宋_GB2312" w:hAnsi="Calibri" w:eastAsia="仿宋_GB2312" w:cs="仿宋_GB2312"/>
          <w:sz w:val="32"/>
          <w:szCs w:val="32"/>
          <w:lang w:val="en-US" w:eastAsia="zh-CN"/>
        </w:rPr>
        <w:t>（2）“审计业务”项目绩效目标完成情况综述。项目全年预算数</w:t>
      </w:r>
      <w:r>
        <w:rPr>
          <w:rFonts w:hint="eastAsia" w:ascii="仿宋_GB2312" w:hAnsi="Calibri" w:cs="仿宋_GB2312"/>
          <w:sz w:val="32"/>
          <w:szCs w:val="32"/>
          <w:lang w:val="en-US" w:eastAsia="zh-CN"/>
        </w:rPr>
        <w:t>245</w:t>
      </w:r>
      <w:r>
        <w:rPr>
          <w:rFonts w:hint="eastAsia" w:ascii="仿宋_GB2312" w:hAnsi="Calibri" w:eastAsia="仿宋_GB2312" w:cs="仿宋_GB2312"/>
          <w:sz w:val="32"/>
          <w:szCs w:val="32"/>
          <w:lang w:val="en-US" w:eastAsia="zh-CN"/>
        </w:rPr>
        <w:t>万元，执行数为</w:t>
      </w:r>
      <w:r>
        <w:rPr>
          <w:rFonts w:hint="eastAsia" w:ascii="仿宋_GB2312" w:hAnsi="Calibri" w:cs="仿宋_GB2312"/>
          <w:sz w:val="32"/>
          <w:szCs w:val="32"/>
          <w:lang w:val="en-US" w:eastAsia="zh-CN"/>
        </w:rPr>
        <w:t>210.78</w:t>
      </w:r>
      <w:r>
        <w:rPr>
          <w:rFonts w:hint="eastAsia" w:ascii="仿宋_GB2312" w:hAnsi="Calibri" w:eastAsia="仿宋_GB2312" w:cs="仿宋_GB2312"/>
          <w:sz w:val="32"/>
          <w:szCs w:val="32"/>
          <w:lang w:val="en-US" w:eastAsia="zh-CN"/>
        </w:rPr>
        <w:t>万元，完成预算的</w:t>
      </w:r>
      <w:r>
        <w:rPr>
          <w:rFonts w:hint="eastAsia" w:ascii="仿宋_GB2312" w:hAnsi="Calibri" w:cs="仿宋_GB2312"/>
          <w:sz w:val="32"/>
          <w:szCs w:val="32"/>
          <w:lang w:val="en-US" w:eastAsia="zh-CN"/>
        </w:rPr>
        <w:t>86</w:t>
      </w:r>
      <w:r>
        <w:rPr>
          <w:rFonts w:hint="eastAsia" w:ascii="仿宋_GB2312" w:hAnsi="Calibri" w:eastAsia="仿宋_GB2312" w:cs="仿宋_GB2312"/>
          <w:sz w:val="32"/>
          <w:szCs w:val="32"/>
          <w:lang w:val="en-US" w:eastAsia="zh-CN"/>
        </w:rPr>
        <w:t>%。通过项目实施，保障了全县工程项目审计审计费以及财政审计、专项审计、经济责任审计、投资审计等审计项目的经费支出，2020年我局投资决算审计152个项目</w:t>
      </w:r>
      <w:r>
        <w:rPr>
          <w:rFonts w:hint="eastAsia" w:ascii="仿宋_GB2312" w:hAnsi="Calibri" w:cs="仿宋_GB2312"/>
          <w:sz w:val="32"/>
          <w:szCs w:val="32"/>
          <w:lang w:val="en-US" w:eastAsia="zh-CN"/>
        </w:rPr>
        <w:t>，</w:t>
      </w:r>
      <w:r>
        <w:rPr>
          <w:rFonts w:hint="eastAsia" w:ascii="仿宋_GB2312" w:hAnsi="Calibri" w:eastAsia="仿宋_GB2312" w:cs="仿宋_GB2312"/>
          <w:color w:val="auto"/>
          <w:sz w:val="32"/>
          <w:szCs w:val="32"/>
          <w:lang w:val="en-US" w:eastAsia="zh-CN"/>
        </w:rPr>
        <w:t>发现的主要问题：审计中介公司不及时履行报账手续，导致审计费不能按进度支付。下一步改进措施：提高审计项目完成效率，督促审计中介公司及时履行报账程序</w:t>
      </w:r>
      <w:r>
        <w:rPr>
          <w:rFonts w:hint="eastAsia" w:ascii="仿宋_GB2312" w:hAnsi="Calibri" w:eastAsia="仿宋_GB2312" w:cs="仿宋_GB2312"/>
          <w:sz w:val="32"/>
          <w:szCs w:val="32"/>
          <w:lang w:val="en-US" w:eastAsia="zh-CN"/>
        </w:rPr>
        <w:t>。</w:t>
      </w: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251"/>
        <w:gridCol w:w="2166"/>
        <w:gridCol w:w="2394"/>
        <w:gridCol w:w="2392"/>
      </w:tblGrid>
      <w:tr>
        <w:tblPrEx>
          <w:tblCellMar>
            <w:top w:w="0" w:type="dxa"/>
            <w:left w:w="0" w:type="dxa"/>
            <w:bottom w:w="0" w:type="dxa"/>
            <w:right w:w="0" w:type="dxa"/>
          </w:tblCellMar>
        </w:tblPrEx>
        <w:trPr>
          <w:trHeight w:val="1395"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hAnsi="宋体" w:cs="宋体"/>
                <w:color w:val="000000"/>
                <w:sz w:val="36"/>
                <w:szCs w:val="36"/>
              </w:rPr>
            </w:pP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 xml:space="preserve"> 年度)</w:t>
            </w:r>
          </w:p>
        </w:tc>
      </w:tr>
      <w:tr>
        <w:tblPrEx>
          <w:tblCellMar>
            <w:top w:w="0" w:type="dxa"/>
            <w:left w:w="0" w:type="dxa"/>
            <w:bottom w:w="0" w:type="dxa"/>
            <w:right w:w="0" w:type="dxa"/>
          </w:tblCellMar>
        </w:tblPrEx>
        <w:trPr>
          <w:trHeight w:val="276" w:hRule="atLeast"/>
          <w:jc w:val="center"/>
        </w:trPr>
        <w:tc>
          <w:tcPr>
            <w:tcW w:w="300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69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审计业务费</w:t>
            </w:r>
          </w:p>
        </w:tc>
      </w:tr>
      <w:tr>
        <w:tblPrEx>
          <w:tblCellMar>
            <w:top w:w="0" w:type="dxa"/>
            <w:left w:w="0" w:type="dxa"/>
            <w:bottom w:w="0" w:type="dxa"/>
            <w:right w:w="0" w:type="dxa"/>
          </w:tblCellMar>
        </w:tblPrEx>
        <w:trPr>
          <w:trHeight w:val="276" w:hRule="atLeast"/>
          <w:jc w:val="center"/>
        </w:trPr>
        <w:tc>
          <w:tcPr>
            <w:tcW w:w="300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69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6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245万元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210.78万元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6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245万元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245万元</w:t>
            </w:r>
          </w:p>
        </w:tc>
      </w:tr>
      <w:tr>
        <w:tblPrEx>
          <w:tblCellMar>
            <w:top w:w="0" w:type="dxa"/>
            <w:left w:w="0" w:type="dxa"/>
            <w:bottom w:w="0" w:type="dxa"/>
            <w:right w:w="0" w:type="dxa"/>
          </w:tblCellMar>
        </w:tblPrEx>
        <w:trPr>
          <w:trHeight w:val="114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6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宋体" w:hAnsi="宋体" w:eastAsia="宋体" w:cs="宋体"/>
                <w:color w:val="000000"/>
                <w:sz w:val="24"/>
                <w:lang w:eastAsia="zh-CN"/>
              </w:rPr>
            </w:pPr>
            <w:r>
              <w:rPr>
                <w:rFonts w:hint="eastAsia" w:ascii="宋体" w:hAnsi="宋体" w:cs="宋体"/>
                <w:color w:val="000000"/>
                <w:kern w:val="0"/>
                <w:sz w:val="24"/>
                <w:lang w:val="en-US" w:eastAsia="zh-CN"/>
              </w:rPr>
              <w:t>2020年度完成：</w:t>
            </w:r>
            <w:r>
              <w:rPr>
                <w:rFonts w:hint="eastAsia" w:ascii="宋体" w:hAnsi="宋体" w:cs="宋体"/>
                <w:color w:val="000000"/>
                <w:kern w:val="0"/>
                <w:sz w:val="24"/>
              </w:rPr>
              <w:t>每个季度重大政策跟踪审计；半年一次“三公经费”审计；本级预算执行审计；</w:t>
            </w:r>
            <w:r>
              <w:rPr>
                <w:rFonts w:hint="eastAsia" w:ascii="宋体" w:hAnsi="宋体" w:cs="宋体"/>
                <w:color w:val="000000"/>
                <w:kern w:val="0"/>
                <w:sz w:val="24"/>
                <w:lang w:eastAsia="zh-CN"/>
              </w:rPr>
              <w:t>部门预算执行审计</w:t>
            </w:r>
            <w:r>
              <w:rPr>
                <w:rFonts w:hint="eastAsia" w:ascii="宋体" w:hAnsi="宋体" w:cs="宋体"/>
                <w:color w:val="000000"/>
                <w:kern w:val="0"/>
                <w:sz w:val="24"/>
              </w:rPr>
              <w:t>；经济责任审计；固定资产投资审计；自然资源审计；扶贫审计；财政专项</w:t>
            </w:r>
            <w:r>
              <w:rPr>
                <w:rFonts w:hint="eastAsia" w:ascii="宋体" w:hAnsi="宋体" w:cs="宋体"/>
                <w:color w:val="000000"/>
                <w:kern w:val="0"/>
                <w:sz w:val="24"/>
                <w:lang w:eastAsia="zh-CN"/>
              </w:rPr>
              <w:t>资金</w:t>
            </w:r>
            <w:r>
              <w:rPr>
                <w:rFonts w:hint="eastAsia" w:ascii="宋体" w:hAnsi="宋体" w:cs="宋体"/>
                <w:color w:val="000000"/>
                <w:kern w:val="0"/>
                <w:sz w:val="24"/>
              </w:rPr>
              <w:t>审计；投资结算审计等项目审计。以及完成了审计局日常事务</w:t>
            </w:r>
            <w:r>
              <w:rPr>
                <w:rFonts w:hint="eastAsia" w:ascii="宋体" w:hAnsi="宋体" w:cs="宋体"/>
                <w:color w:val="000000"/>
                <w:kern w:val="0"/>
                <w:sz w:val="24"/>
                <w:lang w:eastAsia="zh-CN"/>
              </w:rPr>
              <w:t>、</w:t>
            </w:r>
            <w:r>
              <w:rPr>
                <w:rFonts w:hint="eastAsia" w:ascii="宋体" w:hAnsi="宋体" w:cs="宋体"/>
                <w:color w:val="000000"/>
                <w:kern w:val="0"/>
                <w:sz w:val="24"/>
              </w:rPr>
              <w:t>办公室党建</w:t>
            </w:r>
            <w:r>
              <w:rPr>
                <w:rFonts w:hint="eastAsia" w:ascii="宋体" w:hAnsi="宋体" w:cs="宋体"/>
                <w:color w:val="000000"/>
                <w:kern w:val="0"/>
                <w:sz w:val="24"/>
                <w:lang w:eastAsia="zh-CN"/>
              </w:rPr>
              <w:t>、</w:t>
            </w:r>
            <w:r>
              <w:rPr>
                <w:rFonts w:hint="eastAsia" w:ascii="宋体" w:hAnsi="宋体" w:cs="宋体"/>
                <w:color w:val="000000"/>
                <w:kern w:val="0"/>
                <w:sz w:val="24"/>
              </w:rPr>
              <w:t>党风廉政建设</w:t>
            </w:r>
            <w:r>
              <w:rPr>
                <w:rFonts w:hint="eastAsia" w:ascii="宋体" w:hAnsi="宋体" w:cs="宋体"/>
                <w:color w:val="000000"/>
                <w:kern w:val="0"/>
                <w:sz w:val="24"/>
                <w:lang w:eastAsia="zh-CN"/>
              </w:rPr>
              <w:t>及财务日常事务</w:t>
            </w:r>
            <w:r>
              <w:rPr>
                <w:rFonts w:hint="eastAsia" w:ascii="宋体" w:hAnsi="宋体" w:cs="宋体"/>
                <w:color w:val="000000"/>
                <w:kern w:val="0"/>
                <w:sz w:val="24"/>
              </w:rPr>
              <w:t xml:space="preserve">。 </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kern w:val="0"/>
                <w:sz w:val="24"/>
                <w:lang w:val="en-US" w:eastAsia="zh-CN"/>
              </w:rPr>
              <w:t>2020年度完成：</w:t>
            </w:r>
            <w:r>
              <w:rPr>
                <w:rFonts w:hint="eastAsia" w:ascii="宋体" w:hAnsi="宋体" w:cs="宋体"/>
                <w:color w:val="000000"/>
                <w:kern w:val="0"/>
                <w:sz w:val="24"/>
              </w:rPr>
              <w:t>每个季度重大政策跟踪审计；半年一次“三公经费”审计；本级预算执行审计；</w:t>
            </w:r>
            <w:r>
              <w:rPr>
                <w:rFonts w:hint="eastAsia" w:ascii="宋体" w:hAnsi="宋体" w:cs="宋体"/>
                <w:color w:val="000000"/>
                <w:kern w:val="0"/>
                <w:sz w:val="24"/>
                <w:lang w:eastAsia="zh-CN"/>
              </w:rPr>
              <w:t>部门预算执行审计</w:t>
            </w:r>
            <w:r>
              <w:rPr>
                <w:rFonts w:hint="eastAsia" w:ascii="宋体" w:hAnsi="宋体" w:cs="宋体"/>
                <w:color w:val="000000"/>
                <w:kern w:val="0"/>
                <w:sz w:val="24"/>
              </w:rPr>
              <w:t>；经济责任审计；固定资产投资审计；自然资源审计；扶贫审计；财政专项</w:t>
            </w:r>
            <w:r>
              <w:rPr>
                <w:rFonts w:hint="eastAsia" w:ascii="宋体" w:hAnsi="宋体" w:cs="宋体"/>
                <w:color w:val="000000"/>
                <w:kern w:val="0"/>
                <w:sz w:val="24"/>
                <w:lang w:eastAsia="zh-CN"/>
              </w:rPr>
              <w:t>资金</w:t>
            </w:r>
            <w:r>
              <w:rPr>
                <w:rFonts w:hint="eastAsia" w:ascii="宋体" w:hAnsi="宋体" w:cs="宋体"/>
                <w:color w:val="000000"/>
                <w:kern w:val="0"/>
                <w:sz w:val="24"/>
              </w:rPr>
              <w:t>审计；投资结算审计等项目审计。以及完成了审计局日常事务</w:t>
            </w:r>
            <w:r>
              <w:rPr>
                <w:rFonts w:hint="eastAsia" w:ascii="宋体" w:hAnsi="宋体" w:cs="宋体"/>
                <w:color w:val="000000"/>
                <w:kern w:val="0"/>
                <w:sz w:val="24"/>
                <w:lang w:eastAsia="zh-CN"/>
              </w:rPr>
              <w:t>、</w:t>
            </w:r>
            <w:r>
              <w:rPr>
                <w:rFonts w:hint="eastAsia" w:ascii="宋体" w:hAnsi="宋体" w:cs="宋体"/>
                <w:color w:val="000000"/>
                <w:kern w:val="0"/>
                <w:sz w:val="24"/>
              </w:rPr>
              <w:t>办公室党建</w:t>
            </w:r>
            <w:r>
              <w:rPr>
                <w:rFonts w:hint="eastAsia" w:ascii="宋体" w:hAnsi="宋体" w:cs="宋体"/>
                <w:color w:val="000000"/>
                <w:kern w:val="0"/>
                <w:sz w:val="24"/>
                <w:lang w:eastAsia="zh-CN"/>
              </w:rPr>
              <w:t>、</w:t>
            </w:r>
            <w:r>
              <w:rPr>
                <w:rFonts w:hint="eastAsia" w:ascii="宋体" w:hAnsi="宋体" w:cs="宋体"/>
                <w:color w:val="000000"/>
                <w:kern w:val="0"/>
                <w:sz w:val="24"/>
              </w:rPr>
              <w:t>党风廉政建设</w:t>
            </w:r>
            <w:r>
              <w:rPr>
                <w:rFonts w:hint="eastAsia" w:ascii="宋体" w:hAnsi="宋体" w:cs="宋体"/>
                <w:color w:val="000000"/>
                <w:kern w:val="0"/>
                <w:sz w:val="24"/>
                <w:lang w:eastAsia="zh-CN"/>
              </w:rPr>
              <w:t>及财务日常事务</w:t>
            </w:r>
            <w:r>
              <w:rPr>
                <w:rFonts w:hint="eastAsia" w:ascii="宋体" w:hAnsi="宋体" w:cs="宋体"/>
                <w:color w:val="000000"/>
                <w:kern w:val="0"/>
                <w:sz w:val="24"/>
              </w:rPr>
              <w:t>。</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审计项目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eastAsia="zh-CN"/>
              </w:rPr>
              <w:t>预算执行审计</w:t>
            </w:r>
            <w:r>
              <w:rPr>
                <w:rFonts w:hint="eastAsia" w:ascii="宋体" w:hAnsi="宋体" w:cs="宋体"/>
                <w:color w:val="000000"/>
                <w:sz w:val="24"/>
                <w:lang w:val="en-US" w:eastAsia="zh-CN"/>
              </w:rPr>
              <w:t>2个项目；经济责任审计1个；自然资源审计1个；项目结算审计50项目。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完成了预算执行审计</w:t>
            </w:r>
            <w:r>
              <w:rPr>
                <w:rFonts w:hint="eastAsia" w:ascii="宋体" w:hAnsi="宋体" w:cs="宋体"/>
                <w:color w:val="000000"/>
                <w:sz w:val="24"/>
                <w:lang w:val="en-US" w:eastAsia="zh-CN"/>
              </w:rPr>
              <w:t>3个；重大政策跟踪审计4个；新增财政资金跟踪审计1个；疫情资金审计经济责任审个；财务收支审计4个；自然资源审计1个；项目结算审计152项目等。</w:t>
            </w:r>
          </w:p>
        </w:tc>
      </w:tr>
      <w:tr>
        <w:tblPrEx>
          <w:tblCellMar>
            <w:top w:w="0" w:type="dxa"/>
            <w:left w:w="0" w:type="dxa"/>
            <w:bottom w:w="0" w:type="dxa"/>
            <w:right w:w="0" w:type="dxa"/>
          </w:tblCellMar>
        </w:tblPrEx>
        <w:trPr>
          <w:trHeight w:val="2395"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质量指标</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审计项目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cs="宋体"/>
                <w:sz w:val="24"/>
                <w:szCs w:val="24"/>
              </w:rPr>
              <w:t>审计发现的问题、处理处罚情况、审计建议</w:t>
            </w:r>
            <w:r>
              <w:rPr>
                <w:rFonts w:hint="eastAsia" w:ascii="宋体" w:cs="宋体"/>
                <w:sz w:val="24"/>
                <w:szCs w:val="24"/>
                <w:lang w:eastAsia="zh-CN"/>
              </w:rPr>
              <w:t>；结算项目审计的审减金额。</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cs="宋体"/>
                <w:sz w:val="24"/>
                <w:szCs w:val="24"/>
              </w:rPr>
              <w:t>根据审计发现问题，并出具审计报告及审计决定，提出处理处罚及审计建议</w:t>
            </w:r>
            <w:r>
              <w:rPr>
                <w:rFonts w:hint="eastAsia" w:ascii="宋体" w:cs="宋体"/>
                <w:sz w:val="24"/>
                <w:szCs w:val="24"/>
                <w:lang w:eastAsia="zh-CN"/>
              </w:rPr>
              <w:t>；结算项目审减金额为我县财政节约资金。</w:t>
            </w:r>
          </w:p>
        </w:tc>
      </w:tr>
      <w:tr>
        <w:tblPrEx>
          <w:tblCellMar>
            <w:top w:w="0" w:type="dxa"/>
            <w:left w:w="0" w:type="dxa"/>
            <w:bottom w:w="0" w:type="dxa"/>
            <w:right w:w="0" w:type="dxa"/>
          </w:tblCellMar>
        </w:tblPrEx>
        <w:trPr>
          <w:trHeight w:val="7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时效性</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审计时间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cs="宋体"/>
                <w:sz w:val="24"/>
                <w:szCs w:val="24"/>
              </w:rPr>
              <w:t>当年</w:t>
            </w:r>
            <w:r>
              <w:rPr>
                <w:rFonts w:ascii="宋体" w:cs="宋体"/>
                <w:sz w:val="24"/>
                <w:szCs w:val="24"/>
              </w:rPr>
              <w:t>12</w:t>
            </w:r>
            <w:r>
              <w:rPr>
                <w:rFonts w:hint="eastAsia" w:ascii="宋体" w:cs="宋体"/>
                <w:sz w:val="24"/>
                <w:szCs w:val="24"/>
              </w:rPr>
              <w:t>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cs="宋体"/>
                <w:sz w:val="24"/>
                <w:szCs w:val="24"/>
              </w:rPr>
              <w:t>12</w:t>
            </w:r>
            <w:r>
              <w:rPr>
                <w:rFonts w:hint="eastAsia" w:ascii="宋体" w:cs="宋体"/>
                <w:sz w:val="24"/>
                <w:szCs w:val="24"/>
              </w:rPr>
              <w:t>月底前完成</w:t>
            </w:r>
          </w:p>
        </w:tc>
      </w:tr>
      <w:tr>
        <w:tblPrEx>
          <w:tblCellMar>
            <w:top w:w="0" w:type="dxa"/>
            <w:left w:w="0" w:type="dxa"/>
            <w:bottom w:w="0" w:type="dxa"/>
            <w:right w:w="0" w:type="dxa"/>
          </w:tblCellMar>
        </w:tblPrEx>
        <w:trPr>
          <w:trHeight w:val="79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组织工作满意度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cs="宋体"/>
                <w:sz w:val="24"/>
                <w:szCs w:val="24"/>
              </w:rPr>
              <w:t>〉</w:t>
            </w:r>
            <w:r>
              <w:rPr>
                <w:rFonts w:ascii="宋体" w:cs="宋体"/>
                <w:sz w:val="24"/>
                <w:szCs w:val="24"/>
              </w:rPr>
              <w:t>97%</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cs="宋体"/>
                <w:sz w:val="24"/>
                <w:szCs w:val="24"/>
              </w:rPr>
              <w:t>〉</w:t>
            </w:r>
            <w:r>
              <w:rPr>
                <w:rFonts w:ascii="宋体" w:cs="宋体"/>
                <w:sz w:val="24"/>
                <w:szCs w:val="24"/>
              </w:rPr>
              <w:t>97%</w:t>
            </w:r>
          </w:p>
        </w:tc>
      </w:tr>
    </w:tbl>
    <w:p>
      <w:pPr>
        <w:pStyle w:val="2"/>
        <w:rPr>
          <w:rFonts w:hint="eastAsia"/>
          <w:lang w:val="en-US" w:eastAsia="zh-CN"/>
        </w:rPr>
      </w:pPr>
    </w:p>
    <w:p>
      <w:pPr>
        <w:spacing w:line="580" w:lineRule="exact"/>
        <w:ind w:firstLine="643" w:firstLineChars="200"/>
        <w:rPr>
          <w:rFonts w:ascii="楷体" w:hAnsi="楷体" w:eastAsia="楷体"/>
          <w:b/>
          <w:bCs/>
          <w:sz w:val="32"/>
          <w:szCs w:val="32"/>
        </w:rPr>
      </w:pPr>
      <w:r>
        <w:rPr>
          <w:rFonts w:hint="eastAsia" w:ascii="楷体" w:hAnsi="楷体" w:eastAsia="楷体" w:cs="楷体"/>
          <w:b/>
          <w:bCs/>
          <w:sz w:val="32"/>
          <w:szCs w:val="32"/>
        </w:rPr>
        <w:t>（三）执行管理情况</w:t>
      </w:r>
    </w:p>
    <w:p>
      <w:pPr>
        <w:spacing w:line="580" w:lineRule="exact"/>
        <w:ind w:firstLine="640" w:firstLineChars="200"/>
        <w:rPr>
          <w:rFonts w:ascii="仿宋" w:hAnsi="仿宋" w:eastAsia="仿宋"/>
          <w:sz w:val="32"/>
          <w:szCs w:val="32"/>
        </w:rPr>
      </w:pPr>
      <w:r>
        <w:rPr>
          <w:rFonts w:hint="eastAsia" w:ascii="仿宋_GB2312" w:hAnsi="Calibri" w:eastAsia="仿宋_GB2312" w:cs="仿宋_GB2312"/>
          <w:sz w:val="32"/>
          <w:szCs w:val="32"/>
          <w:lang w:val="en-US" w:eastAsia="zh-CN"/>
        </w:rPr>
        <w:t>我局严格按照《预算法》及其相关规定、严格执行预算管理。全年预算按照计划执行，在保障单位的正常运行基础上合理使用预算经费，贯彻落实中央八项规定、省委十项规定及其实施细则和州委州政府八条意见，严控“三公”经费，厉行节约，合理安排经费支出。</w:t>
      </w:r>
    </w:p>
    <w:p>
      <w:pPr>
        <w:spacing w:line="580" w:lineRule="exact"/>
        <w:ind w:firstLine="643" w:firstLineChars="200"/>
        <w:rPr>
          <w:rFonts w:ascii="楷体" w:hAnsi="楷体" w:eastAsia="楷体"/>
          <w:b/>
          <w:bCs/>
          <w:sz w:val="32"/>
          <w:szCs w:val="32"/>
        </w:rPr>
      </w:pPr>
      <w:r>
        <w:rPr>
          <w:rFonts w:hint="eastAsia" w:ascii="楷体" w:hAnsi="楷体" w:eastAsia="楷体" w:cs="楷体"/>
          <w:b/>
          <w:bCs/>
          <w:sz w:val="32"/>
          <w:szCs w:val="32"/>
        </w:rPr>
        <w:t>（三）结果应用情况</w:t>
      </w:r>
    </w:p>
    <w:p>
      <w:pPr>
        <w:spacing w:line="600" w:lineRule="exact"/>
        <w:ind w:firstLine="640" w:firstLineChars="200"/>
        <w:rPr>
          <w:rFonts w:hint="eastAsia" w:ascii="仿宋_GB2312" w:hAnsi="Calibri" w:eastAsia="仿宋_GB2312" w:cs="仿宋_GB2312"/>
          <w:sz w:val="32"/>
          <w:szCs w:val="32"/>
          <w:lang w:val="zh-CN" w:eastAsia="zh-CN"/>
        </w:rPr>
      </w:pPr>
      <w:r>
        <w:rPr>
          <w:rFonts w:hint="eastAsia" w:ascii="仿宋_GB2312" w:hAnsi="Calibri" w:eastAsia="仿宋_GB2312" w:cs="仿宋_GB2312"/>
          <w:sz w:val="32"/>
          <w:szCs w:val="32"/>
          <w:lang w:val="en-US" w:eastAsia="zh-CN"/>
        </w:rPr>
        <w:t>我局在县委、县政府和州审计局的坚强领导下，坚持以习近平新时代中国特色社会主义思想武装头脑、指导实践、推动工作，牢固树立依法审计理念、科学审计、大数据审计、创新审计、精准发力，在科学谋划、依法履职、队伍建设等方面持续发力，克服人少事多的诸多问题，将各项工作合理安排、稳步推进、成效明显。</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spacing w:line="580" w:lineRule="exact"/>
        <w:ind w:firstLine="643" w:firstLineChars="200"/>
        <w:rPr>
          <w:rFonts w:ascii="楷体" w:hAnsi="楷体" w:eastAsia="楷体"/>
          <w:b/>
          <w:bCs/>
          <w:sz w:val="32"/>
          <w:szCs w:val="32"/>
        </w:rPr>
      </w:pPr>
      <w:r>
        <w:rPr>
          <w:rFonts w:hint="eastAsia" w:ascii="楷体" w:hAnsi="楷体" w:eastAsia="楷体" w:cs="楷体"/>
          <w:b/>
          <w:bCs/>
          <w:sz w:val="32"/>
          <w:szCs w:val="32"/>
        </w:rPr>
        <w:t>（一）评价结论</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加强预算管理，不断完善内部控制制度，预算执行达到预期效果，保障了本单位的正常运转，降低了行政运行成本，促进了社会和谐稳定，充分发挥了财政资金的经济效益、社会效益。并认真完成了20</w:t>
      </w:r>
      <w:r>
        <w:rPr>
          <w:rFonts w:hint="eastAsia" w:ascii="仿宋_GB2312" w:hAnsi="Calibri" w:cs="仿宋_GB2312"/>
          <w:sz w:val="32"/>
          <w:szCs w:val="32"/>
          <w:lang w:val="en-US" w:eastAsia="zh-CN"/>
        </w:rPr>
        <w:t>20</w:t>
      </w:r>
      <w:r>
        <w:rPr>
          <w:rFonts w:hint="eastAsia" w:ascii="仿宋_GB2312" w:hAnsi="Calibri" w:eastAsia="仿宋_GB2312" w:cs="仿宋_GB2312"/>
          <w:sz w:val="32"/>
          <w:szCs w:val="32"/>
          <w:lang w:val="en-US" w:eastAsia="zh-CN"/>
        </w:rPr>
        <w:t>年部门决算工作及20</w:t>
      </w:r>
      <w:r>
        <w:rPr>
          <w:rFonts w:hint="eastAsia" w:ascii="仿宋_GB2312" w:hAnsi="Calibri" w:cs="仿宋_GB2312"/>
          <w:sz w:val="32"/>
          <w:szCs w:val="32"/>
          <w:lang w:val="en-US" w:eastAsia="zh-CN"/>
        </w:rPr>
        <w:t>20</w:t>
      </w:r>
      <w:r>
        <w:rPr>
          <w:rFonts w:hint="eastAsia" w:ascii="仿宋_GB2312" w:hAnsi="Calibri" w:eastAsia="仿宋_GB2312" w:cs="仿宋_GB2312"/>
          <w:sz w:val="32"/>
          <w:szCs w:val="32"/>
          <w:lang w:val="en-US" w:eastAsia="zh-CN"/>
        </w:rPr>
        <w:t>年部门预算工作。严格按照财政制度、财经纪律，合理安排和使用预算经费，提升财政资金使用效率。</w:t>
      </w:r>
    </w:p>
    <w:p>
      <w:pPr>
        <w:spacing w:line="580" w:lineRule="exact"/>
        <w:ind w:firstLine="643" w:firstLineChars="200"/>
        <w:rPr>
          <w:rFonts w:ascii="楷体" w:hAnsi="楷体" w:eastAsia="楷体"/>
          <w:b/>
          <w:bCs/>
          <w:sz w:val="32"/>
          <w:szCs w:val="32"/>
        </w:rPr>
      </w:pPr>
      <w:r>
        <w:rPr>
          <w:rFonts w:hint="eastAsia" w:ascii="楷体" w:hAnsi="楷体" w:eastAsia="楷体" w:cs="楷体"/>
          <w:b/>
          <w:bCs/>
          <w:sz w:val="32"/>
          <w:szCs w:val="32"/>
        </w:rPr>
        <w:t>（二）存在问题</w:t>
      </w:r>
    </w:p>
    <w:p>
      <w:pPr>
        <w:spacing w:line="580" w:lineRule="exact"/>
        <w:ind w:firstLine="640" w:firstLineChars="200"/>
        <w:rPr>
          <w:rFonts w:ascii="仿宋" w:hAnsi="仿宋" w:eastAsia="仿宋"/>
          <w:sz w:val="32"/>
          <w:szCs w:val="32"/>
        </w:rPr>
      </w:pPr>
      <w:r>
        <w:rPr>
          <w:rFonts w:hint="eastAsia" w:ascii="仿宋_GB2312" w:hAnsi="Calibri" w:eastAsia="仿宋_GB2312" w:cs="仿宋_GB2312"/>
          <w:sz w:val="32"/>
          <w:szCs w:val="32"/>
          <w:lang w:val="en-US" w:eastAsia="zh-CN"/>
        </w:rPr>
        <w:t>我局在编制部门预算时，严格根据本单位职能职责和年度工作计划进行编制。整体预算绩效管理存在以下两个问题：一是因本部门整体支出预算资金的安排及使用上有不可预见性；二是单位对部门支出整体绩效评价指标无法量化，因此我局整体绩效评价的指标比较粗。</w:t>
      </w:r>
    </w:p>
    <w:p>
      <w:pPr>
        <w:spacing w:line="580" w:lineRule="exact"/>
        <w:ind w:firstLine="643" w:firstLineChars="200"/>
        <w:rPr>
          <w:rFonts w:ascii="楷体" w:hAnsi="楷体" w:eastAsia="楷体"/>
          <w:b/>
          <w:bCs/>
          <w:sz w:val="32"/>
          <w:szCs w:val="32"/>
        </w:rPr>
      </w:pPr>
      <w:r>
        <w:rPr>
          <w:rFonts w:hint="eastAsia" w:ascii="楷体" w:hAnsi="楷体" w:eastAsia="楷体" w:cs="楷体"/>
          <w:b/>
          <w:bCs/>
          <w:sz w:val="32"/>
          <w:szCs w:val="32"/>
        </w:rPr>
        <w:t>（三）改进建议</w:t>
      </w:r>
    </w:p>
    <w:p>
      <w:pPr>
        <w:spacing w:line="560" w:lineRule="exact"/>
        <w:ind w:firstLine="643" w:firstLineChars="200"/>
        <w:rPr>
          <w:rFonts w:hint="eastAsia" w:ascii="仿宋_GB2312" w:hAnsi="Calibri" w:eastAsia="仿宋_GB2312" w:cs="仿宋_GB2312"/>
          <w:sz w:val="32"/>
          <w:szCs w:val="32"/>
          <w:lang w:val="en-US" w:eastAsia="zh-CN"/>
        </w:rPr>
      </w:pPr>
      <w:r>
        <w:rPr>
          <w:rFonts w:hint="eastAsia" w:ascii="仿宋_GB2312" w:hAnsi="仿宋_GB2312" w:eastAsia="仿宋_GB2312" w:cs="仿宋_GB2312"/>
          <w:b/>
          <w:bCs/>
          <w:sz w:val="32"/>
          <w:szCs w:val="32"/>
        </w:rPr>
        <w:t>一是重视绩效管理，切实履行好职责。</w:t>
      </w:r>
      <w:r>
        <w:rPr>
          <w:rFonts w:hint="eastAsia" w:ascii="仿宋_GB2312" w:hAnsi="Calibri" w:eastAsia="仿宋_GB2312" w:cs="仿宋_GB2312"/>
          <w:sz w:val="32"/>
          <w:szCs w:val="32"/>
          <w:lang w:val="en-US" w:eastAsia="zh-CN"/>
        </w:rPr>
        <w:t>努力提升工作绩效，围绕审计项目计划安排，合理使用财政资金，让审计监督职责发挥作用。</w:t>
      </w:r>
    </w:p>
    <w:p>
      <w:pPr>
        <w:spacing w:line="560" w:lineRule="exact"/>
        <w:ind w:firstLine="643" w:firstLineChars="200"/>
        <w:rPr>
          <w:rFonts w:hint="eastAsia" w:ascii="仿宋_GB2312" w:hAnsi="Calibri" w:eastAsia="仿宋_GB2312" w:cs="仿宋_GB2312"/>
          <w:sz w:val="32"/>
          <w:szCs w:val="32"/>
          <w:lang w:val="en-US" w:eastAsia="zh-CN"/>
        </w:rPr>
      </w:pPr>
      <w:r>
        <w:rPr>
          <w:rFonts w:hint="eastAsia" w:ascii="仿宋_GB2312" w:hAnsi="仿宋_GB2312" w:eastAsia="仿宋_GB2312" w:cs="仿宋_GB2312"/>
          <w:b/>
          <w:bCs/>
          <w:sz w:val="32"/>
          <w:szCs w:val="32"/>
        </w:rPr>
        <w:t>二是建立长效机制。</w:t>
      </w:r>
      <w:r>
        <w:rPr>
          <w:rFonts w:hint="eastAsia" w:ascii="仿宋_GB2312" w:hAnsi="Calibri" w:eastAsia="仿宋_GB2312" w:cs="仿宋_GB2312"/>
          <w:sz w:val="32"/>
          <w:szCs w:val="32"/>
          <w:lang w:val="en-US" w:eastAsia="zh-CN"/>
        </w:rPr>
        <w:t>把绩效评价作为部门内控的日常工作，建立绩效评价管理工作考核长效机制。科学设定绩效目标，加强预算执行管理。</w:t>
      </w:r>
    </w:p>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Style w:val="16"/>
          <w:rFonts w:ascii="黑体" w:hAnsi="黑体" w:eastAsia="黑体"/>
          <w:b w:val="0"/>
        </w:rPr>
      </w:pPr>
    </w:p>
    <w:p>
      <w:pPr>
        <w:rPr>
          <w:rStyle w:val="16"/>
          <w:rFonts w:ascii="黑体" w:hAnsi="黑体" w:eastAsia="黑体"/>
          <w:b w:val="0"/>
        </w:rPr>
      </w:pPr>
    </w:p>
    <w:p>
      <w:pPr>
        <w:pStyle w:val="2"/>
        <w:rPr>
          <w:rStyle w:val="16"/>
          <w:rFonts w:ascii="黑体" w:hAnsi="黑体" w:eastAsia="黑体"/>
          <w:b w:val="0"/>
        </w:rPr>
      </w:pPr>
    </w:p>
    <w:p/>
    <w:p>
      <w:pPr>
        <w:pStyle w:val="2"/>
        <w:rPr>
          <w:rStyle w:val="16"/>
          <w:rFonts w:ascii="黑体" w:hAnsi="黑体" w:eastAsia="黑体"/>
          <w:b w:val="0"/>
        </w:rPr>
      </w:pPr>
    </w:p>
    <w:p>
      <w:pPr>
        <w:rPr>
          <w:rStyle w:val="16"/>
          <w:rFonts w:ascii="黑体" w:hAnsi="黑体" w:eastAsia="黑体"/>
          <w:b w:val="0"/>
        </w:rPr>
      </w:pPr>
    </w:p>
    <w:p>
      <w:pPr>
        <w:pStyle w:val="2"/>
        <w:rPr>
          <w:rStyle w:val="16"/>
          <w:rFonts w:ascii="黑体" w:hAnsi="黑体" w:eastAsia="黑体"/>
          <w:b w:val="0"/>
        </w:rPr>
      </w:pPr>
    </w:p>
    <w:p>
      <w:pPr>
        <w:rPr>
          <w:rStyle w:val="16"/>
          <w:rFonts w:ascii="黑体" w:hAnsi="黑体" w:eastAsia="黑体"/>
          <w:b w:val="0"/>
        </w:rPr>
      </w:pPr>
    </w:p>
    <w:p>
      <w:pPr>
        <w:pStyle w:val="2"/>
        <w:rPr>
          <w:rStyle w:val="16"/>
          <w:rFonts w:ascii="黑体" w:hAnsi="黑体" w:eastAsia="黑体"/>
          <w:b w:val="0"/>
        </w:rPr>
      </w:pPr>
    </w:p>
    <w:p>
      <w:pPr>
        <w:rPr>
          <w:rStyle w:val="16"/>
          <w:rFonts w:ascii="黑体" w:hAnsi="黑体" w:eastAsia="黑体"/>
          <w:b w:val="0"/>
        </w:rPr>
      </w:pPr>
    </w:p>
    <w:p>
      <w:pPr>
        <w:pStyle w:val="2"/>
        <w:rPr>
          <w:rStyle w:val="16"/>
          <w:rFonts w:ascii="黑体" w:hAnsi="黑体" w:eastAsia="黑体"/>
          <w:b w:val="0"/>
        </w:rPr>
      </w:pPr>
    </w:p>
    <w:p>
      <w:pPr>
        <w:rPr>
          <w:rStyle w:val="16"/>
          <w:rFonts w:ascii="黑体" w:hAnsi="黑体" w:eastAsia="黑体"/>
          <w:b w:val="0"/>
        </w:rPr>
      </w:pPr>
    </w:p>
    <w:p>
      <w:pPr>
        <w:pStyle w:val="2"/>
      </w:pPr>
    </w:p>
    <w:p>
      <w:pPr>
        <w:spacing w:line="600" w:lineRule="exact"/>
        <w:jc w:val="center"/>
        <w:outlineLvl w:val="0"/>
        <w:rPr>
          <w:rFonts w:hint="eastAsia" w:ascii="黑体" w:hAnsi="黑体" w:eastAsia="黑体"/>
          <w:color w:val="000000"/>
          <w:sz w:val="44"/>
          <w:szCs w:val="44"/>
        </w:rPr>
      </w:pPr>
      <w:bookmarkStart w:id="100" w:name="_Toc15396618"/>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bookmarkEnd w:id="96"/>
    <w:bookmarkEnd w:id="100"/>
    <w:p>
      <w:pPr>
        <w:spacing w:line="600" w:lineRule="exact"/>
        <w:jc w:val="center"/>
        <w:outlineLvl w:val="0"/>
        <w:rPr>
          <w:rStyle w:val="16"/>
          <w:rFonts w:ascii="黑体" w:hAnsi="黑体" w:eastAsia="黑体"/>
          <w:b w:val="0"/>
        </w:rPr>
      </w:pPr>
      <w:bookmarkStart w:id="101" w:name="_Toc79163635"/>
      <w:bookmarkStart w:id="102" w:name="_Toc79163885"/>
      <w:bookmarkStart w:id="103" w:name="_Toc16721"/>
      <w:r>
        <w:rPr>
          <w:rFonts w:hint="eastAsia" w:ascii="黑体" w:hAnsi="黑体" w:eastAsia="黑体"/>
          <w:color w:val="000000"/>
          <w:sz w:val="44"/>
          <w:szCs w:val="44"/>
        </w:rPr>
        <w:t>第</w:t>
      </w:r>
      <w:r>
        <w:rPr>
          <w:rStyle w:val="16"/>
          <w:rFonts w:hint="eastAsia" w:ascii="黑体" w:hAnsi="黑体" w:eastAsia="黑体"/>
          <w:b w:val="0"/>
        </w:rPr>
        <w:t>五部分</w:t>
      </w:r>
      <w:r>
        <w:rPr>
          <w:rStyle w:val="16"/>
          <w:rFonts w:ascii="黑体" w:hAnsi="黑体" w:eastAsia="黑体"/>
          <w:b w:val="0"/>
        </w:rPr>
        <w:t xml:space="preserve"> </w:t>
      </w:r>
      <w:r>
        <w:rPr>
          <w:rStyle w:val="16"/>
          <w:rFonts w:hint="eastAsia" w:ascii="黑体" w:hAnsi="黑体" w:eastAsia="黑体"/>
          <w:b w:val="0"/>
        </w:rPr>
        <w:t>附表</w:t>
      </w:r>
      <w:bookmarkEnd w:id="101"/>
      <w:bookmarkEnd w:id="102"/>
      <w:bookmarkEnd w:id="103"/>
    </w:p>
    <w:p>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ascii="仿宋" w:hAnsi="仿宋" w:eastAsia="仿宋"/>
          <w:color w:val="000000"/>
        </w:rPr>
      </w:pPr>
      <w:bookmarkStart w:id="104" w:name="_Toc15396619"/>
      <w:bookmarkStart w:id="105" w:name="_Toc79163886"/>
      <w:bookmarkStart w:id="106" w:name="_Toc79163636"/>
      <w:bookmarkStart w:id="107" w:name="_Toc15563"/>
      <w:r>
        <w:rPr>
          <w:rFonts w:hint="eastAsia" w:ascii="仿宋" w:hAnsi="仿宋" w:eastAsia="仿宋"/>
          <w:b w:val="0"/>
          <w:color w:val="000000"/>
        </w:rPr>
        <w:t>一、收</w:t>
      </w:r>
      <w:r>
        <w:rPr>
          <w:rStyle w:val="17"/>
          <w:rFonts w:hint="eastAsia" w:ascii="仿宋" w:hAnsi="仿宋" w:eastAsia="仿宋"/>
          <w:b w:val="0"/>
          <w:bCs w:val="0"/>
        </w:rPr>
        <w:t>入支出决算总表</w:t>
      </w:r>
      <w:bookmarkEnd w:id="104"/>
      <w:bookmarkEnd w:id="105"/>
      <w:bookmarkEnd w:id="106"/>
      <w:bookmarkEnd w:id="107"/>
    </w:p>
    <w:p>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ascii="仿宋" w:hAnsi="仿宋" w:eastAsia="仿宋"/>
          <w:color w:val="000000"/>
        </w:rPr>
      </w:pPr>
      <w:bookmarkStart w:id="108" w:name="_Toc15396620"/>
      <w:bookmarkStart w:id="109" w:name="_Toc79163637"/>
      <w:bookmarkStart w:id="110" w:name="_Toc79163887"/>
      <w:bookmarkStart w:id="111" w:name="_Toc18075"/>
      <w:r>
        <w:rPr>
          <w:rFonts w:hint="eastAsia" w:ascii="仿宋" w:hAnsi="仿宋" w:eastAsia="仿宋"/>
          <w:b w:val="0"/>
          <w:color w:val="000000"/>
        </w:rPr>
        <w:t>二、收</w:t>
      </w:r>
      <w:r>
        <w:rPr>
          <w:rStyle w:val="17"/>
          <w:rFonts w:hint="eastAsia" w:ascii="仿宋" w:hAnsi="仿宋" w:eastAsia="仿宋"/>
          <w:b w:val="0"/>
          <w:bCs w:val="0"/>
        </w:rPr>
        <w:t>入决算表</w:t>
      </w:r>
      <w:bookmarkEnd w:id="108"/>
      <w:bookmarkEnd w:id="109"/>
      <w:bookmarkEnd w:id="110"/>
      <w:bookmarkEnd w:id="111"/>
    </w:p>
    <w:p>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ascii="仿宋" w:hAnsi="仿宋" w:eastAsia="仿宋"/>
          <w:color w:val="000000"/>
        </w:rPr>
      </w:pPr>
      <w:bookmarkStart w:id="112" w:name="_Toc15396621"/>
      <w:bookmarkStart w:id="113" w:name="_Toc79163638"/>
      <w:bookmarkStart w:id="114" w:name="_Toc79163888"/>
      <w:bookmarkStart w:id="115" w:name="_Toc24040"/>
      <w:r>
        <w:rPr>
          <w:rStyle w:val="17"/>
          <w:rFonts w:hint="eastAsia" w:ascii="仿宋" w:hAnsi="仿宋" w:eastAsia="仿宋"/>
          <w:b w:val="0"/>
          <w:bCs w:val="0"/>
        </w:rPr>
        <w:t>三、</w:t>
      </w:r>
      <w:r>
        <w:rPr>
          <w:rFonts w:hint="eastAsia" w:ascii="仿宋" w:hAnsi="仿宋" w:eastAsia="仿宋"/>
          <w:b w:val="0"/>
          <w:color w:val="000000"/>
        </w:rPr>
        <w:t>支</w:t>
      </w:r>
      <w:r>
        <w:rPr>
          <w:rStyle w:val="17"/>
          <w:rFonts w:hint="eastAsia" w:ascii="仿宋" w:hAnsi="仿宋" w:eastAsia="仿宋"/>
          <w:b w:val="0"/>
          <w:bCs w:val="0"/>
        </w:rPr>
        <w:t>出决算表</w:t>
      </w:r>
      <w:bookmarkEnd w:id="112"/>
      <w:bookmarkEnd w:id="113"/>
      <w:bookmarkEnd w:id="114"/>
      <w:bookmarkEnd w:id="115"/>
    </w:p>
    <w:p>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ascii="仿宋" w:hAnsi="仿宋" w:eastAsia="仿宋"/>
          <w:b w:val="0"/>
          <w:color w:val="000000"/>
        </w:rPr>
      </w:pPr>
      <w:bookmarkStart w:id="116" w:name="_Toc15396622"/>
      <w:bookmarkStart w:id="117" w:name="_Toc79163889"/>
      <w:bookmarkStart w:id="118" w:name="_Toc79163639"/>
      <w:bookmarkStart w:id="119" w:name="_Toc15736"/>
      <w:r>
        <w:rPr>
          <w:rStyle w:val="17"/>
          <w:rFonts w:hint="eastAsia" w:ascii="仿宋" w:hAnsi="仿宋" w:eastAsia="仿宋"/>
          <w:b w:val="0"/>
          <w:bCs w:val="0"/>
        </w:rPr>
        <w:t>四、</w:t>
      </w:r>
      <w:r>
        <w:rPr>
          <w:rFonts w:hint="eastAsia" w:ascii="仿宋" w:hAnsi="仿宋" w:eastAsia="仿宋"/>
          <w:b w:val="0"/>
          <w:color w:val="000000"/>
        </w:rPr>
        <w:t>财</w:t>
      </w:r>
      <w:r>
        <w:rPr>
          <w:rStyle w:val="17"/>
          <w:rFonts w:hint="eastAsia" w:ascii="仿宋" w:hAnsi="仿宋" w:eastAsia="仿宋"/>
          <w:b w:val="0"/>
          <w:bCs w:val="0"/>
        </w:rPr>
        <w:t>政拨款收入支出决算总表</w:t>
      </w:r>
      <w:bookmarkEnd w:id="116"/>
      <w:bookmarkEnd w:id="117"/>
      <w:bookmarkEnd w:id="118"/>
      <w:bookmarkEnd w:id="119"/>
    </w:p>
    <w:p>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Style w:val="17"/>
          <w:rFonts w:ascii="仿宋" w:hAnsi="仿宋" w:eastAsia="仿宋"/>
          <w:b w:val="0"/>
          <w:bCs w:val="0"/>
        </w:rPr>
      </w:pPr>
      <w:bookmarkStart w:id="120" w:name="_Toc15396623"/>
      <w:bookmarkStart w:id="121" w:name="_Toc79163640"/>
      <w:bookmarkStart w:id="122" w:name="_Toc79163890"/>
      <w:bookmarkStart w:id="123" w:name="_Toc9040"/>
      <w:r>
        <w:rPr>
          <w:rStyle w:val="17"/>
          <w:rFonts w:hint="eastAsia" w:ascii="仿宋" w:hAnsi="仿宋" w:eastAsia="仿宋"/>
          <w:b w:val="0"/>
          <w:bCs w:val="0"/>
        </w:rPr>
        <w:t>五、</w:t>
      </w:r>
      <w:r>
        <w:rPr>
          <w:rFonts w:hint="eastAsia" w:ascii="仿宋" w:hAnsi="仿宋" w:eastAsia="仿宋"/>
          <w:b w:val="0"/>
          <w:color w:val="000000"/>
        </w:rPr>
        <w:t>财</w:t>
      </w:r>
      <w:r>
        <w:rPr>
          <w:rStyle w:val="17"/>
          <w:rFonts w:hint="eastAsia" w:ascii="仿宋" w:hAnsi="仿宋" w:eastAsia="仿宋"/>
          <w:b w:val="0"/>
          <w:bCs w:val="0"/>
        </w:rPr>
        <w:t>政拨款支出决算明细表</w:t>
      </w:r>
      <w:bookmarkEnd w:id="120"/>
      <w:bookmarkEnd w:id="121"/>
      <w:bookmarkEnd w:id="122"/>
      <w:bookmarkEnd w:id="123"/>
      <w:bookmarkStart w:id="124" w:name="_Toc15396624"/>
    </w:p>
    <w:p>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ascii="仿宋" w:hAnsi="仿宋" w:eastAsia="仿宋"/>
          <w:color w:val="000000"/>
        </w:rPr>
      </w:pPr>
      <w:bookmarkStart w:id="125" w:name="_Toc79163641"/>
      <w:bookmarkStart w:id="126" w:name="_Toc79163891"/>
      <w:bookmarkStart w:id="127" w:name="_Toc17764"/>
      <w:r>
        <w:rPr>
          <w:rStyle w:val="17"/>
          <w:rFonts w:hint="eastAsia" w:ascii="仿宋" w:hAnsi="仿宋" w:eastAsia="仿宋"/>
          <w:b w:val="0"/>
          <w:bCs w:val="0"/>
        </w:rPr>
        <w:t>六、</w:t>
      </w:r>
      <w:r>
        <w:rPr>
          <w:rFonts w:hint="eastAsia" w:ascii="仿宋" w:hAnsi="仿宋" w:eastAsia="仿宋"/>
          <w:b w:val="0"/>
          <w:color w:val="000000"/>
        </w:rPr>
        <w:t>一</w:t>
      </w:r>
      <w:r>
        <w:rPr>
          <w:rStyle w:val="17"/>
          <w:rFonts w:hint="eastAsia" w:ascii="仿宋" w:hAnsi="仿宋" w:eastAsia="仿宋"/>
          <w:b w:val="0"/>
          <w:bCs w:val="0"/>
        </w:rPr>
        <w:t>般公共预算财政拨款支出决算表</w:t>
      </w:r>
      <w:bookmarkEnd w:id="124"/>
      <w:bookmarkEnd w:id="125"/>
      <w:bookmarkEnd w:id="126"/>
      <w:bookmarkEnd w:id="127"/>
    </w:p>
    <w:p>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ascii="仿宋" w:hAnsi="仿宋" w:eastAsia="仿宋"/>
          <w:color w:val="000000"/>
        </w:rPr>
      </w:pPr>
      <w:bookmarkStart w:id="128" w:name="_Toc79163892"/>
      <w:bookmarkStart w:id="129" w:name="_Toc79163642"/>
      <w:bookmarkStart w:id="130" w:name="_Toc15396625"/>
      <w:bookmarkStart w:id="131" w:name="_Toc195"/>
      <w:r>
        <w:rPr>
          <w:rStyle w:val="17"/>
          <w:rFonts w:hint="eastAsia" w:ascii="仿宋" w:hAnsi="仿宋" w:eastAsia="仿宋"/>
          <w:b w:val="0"/>
          <w:bCs w:val="0"/>
        </w:rPr>
        <w:t>七、</w:t>
      </w:r>
      <w:r>
        <w:rPr>
          <w:rFonts w:hint="eastAsia" w:ascii="仿宋" w:hAnsi="仿宋" w:eastAsia="仿宋"/>
          <w:b w:val="0"/>
          <w:color w:val="000000"/>
        </w:rPr>
        <w:t>一</w:t>
      </w:r>
      <w:r>
        <w:rPr>
          <w:rStyle w:val="17"/>
          <w:rFonts w:hint="eastAsia" w:ascii="仿宋" w:hAnsi="仿宋" w:eastAsia="仿宋"/>
          <w:b w:val="0"/>
          <w:bCs w:val="0"/>
        </w:rPr>
        <w:t>般公共预算财政拨款支出决算明细表</w:t>
      </w:r>
      <w:bookmarkEnd w:id="128"/>
      <w:bookmarkEnd w:id="129"/>
      <w:bookmarkEnd w:id="130"/>
      <w:bookmarkEnd w:id="131"/>
    </w:p>
    <w:p>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ascii="仿宋" w:hAnsi="仿宋" w:eastAsia="仿宋"/>
          <w:color w:val="000000"/>
        </w:rPr>
      </w:pPr>
      <w:bookmarkStart w:id="132" w:name="_Toc79163893"/>
      <w:bookmarkStart w:id="133" w:name="_Toc15396626"/>
      <w:bookmarkStart w:id="134" w:name="_Toc79163643"/>
      <w:bookmarkStart w:id="135" w:name="_Toc21637"/>
      <w:r>
        <w:rPr>
          <w:rStyle w:val="17"/>
          <w:rFonts w:hint="eastAsia" w:ascii="仿宋" w:hAnsi="仿宋" w:eastAsia="仿宋"/>
          <w:b w:val="0"/>
          <w:bCs w:val="0"/>
        </w:rPr>
        <w:t>八、</w:t>
      </w:r>
      <w:r>
        <w:rPr>
          <w:rFonts w:hint="eastAsia" w:ascii="仿宋" w:hAnsi="仿宋" w:eastAsia="仿宋"/>
          <w:b w:val="0"/>
          <w:color w:val="000000"/>
        </w:rPr>
        <w:t>一</w:t>
      </w:r>
      <w:r>
        <w:rPr>
          <w:rStyle w:val="17"/>
          <w:rFonts w:hint="eastAsia" w:ascii="仿宋" w:hAnsi="仿宋" w:eastAsia="仿宋"/>
          <w:b w:val="0"/>
          <w:bCs w:val="0"/>
        </w:rPr>
        <w:t>般公共预算财政拨款基本支出决算表</w:t>
      </w:r>
      <w:bookmarkEnd w:id="132"/>
      <w:bookmarkEnd w:id="133"/>
      <w:bookmarkEnd w:id="134"/>
      <w:bookmarkEnd w:id="135"/>
    </w:p>
    <w:p>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ascii="仿宋" w:hAnsi="仿宋" w:eastAsia="仿宋"/>
          <w:color w:val="000000"/>
        </w:rPr>
      </w:pPr>
      <w:bookmarkStart w:id="136" w:name="_Toc15396627"/>
      <w:bookmarkStart w:id="137" w:name="_Toc79163644"/>
      <w:bookmarkStart w:id="138" w:name="_Toc79163894"/>
      <w:bookmarkStart w:id="139" w:name="_Toc18321"/>
      <w:r>
        <w:rPr>
          <w:rStyle w:val="17"/>
          <w:rFonts w:hint="eastAsia" w:ascii="仿宋" w:hAnsi="仿宋" w:eastAsia="仿宋"/>
          <w:b w:val="0"/>
          <w:bCs w:val="0"/>
        </w:rPr>
        <w:t>九、</w:t>
      </w:r>
      <w:r>
        <w:rPr>
          <w:rFonts w:hint="eastAsia" w:ascii="仿宋" w:hAnsi="仿宋" w:eastAsia="仿宋"/>
          <w:b w:val="0"/>
          <w:color w:val="000000"/>
        </w:rPr>
        <w:t>一</w:t>
      </w:r>
      <w:r>
        <w:rPr>
          <w:rStyle w:val="17"/>
          <w:rFonts w:hint="eastAsia" w:ascii="仿宋" w:hAnsi="仿宋" w:eastAsia="仿宋"/>
          <w:b w:val="0"/>
          <w:bCs w:val="0"/>
        </w:rPr>
        <w:t>般公共预算财政拨款项目支出决算表</w:t>
      </w:r>
      <w:bookmarkEnd w:id="136"/>
      <w:bookmarkEnd w:id="137"/>
      <w:bookmarkEnd w:id="138"/>
      <w:bookmarkEnd w:id="139"/>
    </w:p>
    <w:p>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ascii="仿宋" w:hAnsi="仿宋" w:eastAsia="仿宋"/>
          <w:color w:val="000000"/>
        </w:rPr>
      </w:pPr>
      <w:bookmarkStart w:id="140" w:name="_Toc15396628"/>
      <w:bookmarkStart w:id="141" w:name="_Toc79163645"/>
      <w:bookmarkStart w:id="142" w:name="_Toc79163895"/>
      <w:bookmarkStart w:id="143" w:name="_Toc25509"/>
      <w:r>
        <w:rPr>
          <w:rStyle w:val="17"/>
          <w:rFonts w:hint="eastAsia" w:ascii="仿宋" w:hAnsi="仿宋" w:eastAsia="仿宋"/>
          <w:b w:val="0"/>
          <w:bCs w:val="0"/>
        </w:rPr>
        <w:t>十、</w:t>
      </w:r>
      <w:r>
        <w:rPr>
          <w:rFonts w:hint="eastAsia" w:ascii="仿宋" w:hAnsi="仿宋" w:eastAsia="仿宋"/>
          <w:b w:val="0"/>
          <w:color w:val="000000"/>
        </w:rPr>
        <w:t>一</w:t>
      </w:r>
      <w:r>
        <w:rPr>
          <w:rStyle w:val="17"/>
          <w:rFonts w:hint="eastAsia" w:ascii="仿宋" w:hAnsi="仿宋" w:eastAsia="仿宋"/>
          <w:b w:val="0"/>
          <w:bCs w:val="0"/>
        </w:rPr>
        <w:t>般公共预算财政拨款“三公”经费支出决算表</w:t>
      </w:r>
      <w:bookmarkEnd w:id="140"/>
      <w:bookmarkEnd w:id="141"/>
      <w:bookmarkEnd w:id="142"/>
      <w:bookmarkEnd w:id="143"/>
    </w:p>
    <w:p>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ascii="仿宋" w:hAnsi="仿宋" w:eastAsia="仿宋"/>
          <w:color w:val="000000"/>
        </w:rPr>
      </w:pPr>
      <w:bookmarkStart w:id="144" w:name="_Toc79163646"/>
      <w:bookmarkStart w:id="145" w:name="_Toc15396629"/>
      <w:bookmarkStart w:id="146" w:name="_Toc79163896"/>
      <w:bookmarkStart w:id="147" w:name="_Toc12078"/>
      <w:r>
        <w:rPr>
          <w:rStyle w:val="17"/>
          <w:rFonts w:hint="eastAsia" w:ascii="仿宋" w:hAnsi="仿宋" w:eastAsia="仿宋"/>
          <w:b w:val="0"/>
          <w:bCs w:val="0"/>
        </w:rPr>
        <w:t>十一、</w:t>
      </w:r>
      <w:r>
        <w:rPr>
          <w:rFonts w:hint="eastAsia" w:ascii="仿宋" w:hAnsi="仿宋" w:eastAsia="仿宋"/>
          <w:b w:val="0"/>
          <w:color w:val="000000"/>
        </w:rPr>
        <w:t>政</w:t>
      </w:r>
      <w:r>
        <w:rPr>
          <w:rStyle w:val="17"/>
          <w:rFonts w:hint="eastAsia" w:ascii="仿宋" w:hAnsi="仿宋" w:eastAsia="仿宋"/>
          <w:b w:val="0"/>
          <w:bCs w:val="0"/>
        </w:rPr>
        <w:t>府性基金预算财政拨款收入支出决算表</w:t>
      </w:r>
      <w:bookmarkEnd w:id="144"/>
      <w:bookmarkEnd w:id="145"/>
      <w:bookmarkEnd w:id="146"/>
      <w:bookmarkEnd w:id="147"/>
    </w:p>
    <w:p>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ascii="仿宋" w:hAnsi="仿宋" w:eastAsia="仿宋"/>
          <w:color w:val="000000"/>
        </w:rPr>
      </w:pPr>
      <w:bookmarkStart w:id="148" w:name="_Toc79163897"/>
      <w:bookmarkStart w:id="149" w:name="_Toc79163647"/>
      <w:bookmarkStart w:id="150" w:name="_Toc15396630"/>
      <w:bookmarkStart w:id="151" w:name="_Toc12021"/>
      <w:r>
        <w:rPr>
          <w:rStyle w:val="17"/>
          <w:rFonts w:hint="eastAsia" w:ascii="仿宋" w:hAnsi="仿宋" w:eastAsia="仿宋"/>
          <w:b w:val="0"/>
          <w:bCs w:val="0"/>
        </w:rPr>
        <w:t>十二、</w:t>
      </w:r>
      <w:r>
        <w:rPr>
          <w:rFonts w:hint="eastAsia" w:ascii="仿宋" w:hAnsi="仿宋" w:eastAsia="仿宋"/>
          <w:b w:val="0"/>
          <w:color w:val="000000"/>
        </w:rPr>
        <w:t>政</w:t>
      </w:r>
      <w:r>
        <w:rPr>
          <w:rStyle w:val="17"/>
          <w:rFonts w:hint="eastAsia" w:ascii="仿宋" w:hAnsi="仿宋" w:eastAsia="仿宋"/>
          <w:b w:val="0"/>
          <w:bCs w:val="0"/>
        </w:rPr>
        <w:t>府性基金预算财政拨款“三公”经费支出决算表</w:t>
      </w:r>
      <w:bookmarkEnd w:id="148"/>
      <w:bookmarkEnd w:id="149"/>
      <w:bookmarkEnd w:id="150"/>
      <w:bookmarkEnd w:id="151"/>
    </w:p>
    <w:p>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Style w:val="17"/>
          <w:rFonts w:ascii="仿宋" w:hAnsi="仿宋" w:eastAsia="仿宋"/>
          <w:b w:val="0"/>
          <w:bCs w:val="0"/>
        </w:rPr>
      </w:pPr>
      <w:bookmarkStart w:id="152" w:name="_Toc15396631"/>
      <w:bookmarkStart w:id="153" w:name="_Toc79163898"/>
      <w:bookmarkStart w:id="154" w:name="_Toc79163648"/>
      <w:bookmarkStart w:id="155" w:name="_Toc873"/>
      <w:r>
        <w:rPr>
          <w:rStyle w:val="17"/>
          <w:rFonts w:hint="eastAsia" w:ascii="仿宋" w:hAnsi="仿宋" w:eastAsia="仿宋"/>
          <w:b w:val="0"/>
          <w:bCs w:val="0"/>
        </w:rPr>
        <w:t>十三、</w:t>
      </w:r>
      <w:r>
        <w:rPr>
          <w:rFonts w:hint="eastAsia" w:ascii="仿宋" w:hAnsi="仿宋" w:eastAsia="仿宋"/>
          <w:b w:val="0"/>
          <w:color w:val="000000"/>
        </w:rPr>
        <w:t>国</w:t>
      </w:r>
      <w:r>
        <w:rPr>
          <w:rStyle w:val="17"/>
          <w:rFonts w:hint="eastAsia" w:ascii="仿宋" w:hAnsi="仿宋" w:eastAsia="仿宋"/>
          <w:b w:val="0"/>
          <w:bCs w:val="0"/>
        </w:rPr>
        <w:t>有资本经营预算财政拨款支出决算表</w:t>
      </w:r>
      <w:bookmarkEnd w:id="152"/>
      <w:bookmarkEnd w:id="153"/>
      <w:bookmarkEnd w:id="154"/>
      <w:bookmarkEnd w:id="155"/>
    </w:p>
    <w:p>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Style w:val="17"/>
          <w:rFonts w:ascii="仿宋" w:hAnsi="仿宋" w:eastAsia="仿宋"/>
          <w:b w:val="0"/>
          <w:bCs w:val="0"/>
        </w:rPr>
      </w:pPr>
      <w:bookmarkStart w:id="156" w:name="_Toc79163649"/>
      <w:bookmarkStart w:id="157" w:name="_Toc79163899"/>
      <w:bookmarkStart w:id="158" w:name="_Toc23008"/>
      <w:r>
        <w:rPr>
          <w:rStyle w:val="17"/>
          <w:rFonts w:hint="eastAsia" w:ascii="仿宋" w:hAnsi="仿宋" w:eastAsia="仿宋"/>
          <w:b w:val="0"/>
          <w:bCs w:val="0"/>
        </w:rPr>
        <w:t>十四、国有资本经营预算财政拨款支出决算表</w:t>
      </w:r>
      <w:bookmarkEnd w:id="156"/>
      <w:bookmarkEnd w:id="157"/>
      <w:bookmarkEnd w:id="158"/>
    </w:p>
    <w:p>
      <w:pPr>
        <w:pStyle w:val="4"/>
        <w:rPr>
          <w:rFonts w:ascii="仿宋" w:hAnsi="仿宋" w:eastAsia="仿宋"/>
          <w:color w:val="000000" w:themeColor="text1"/>
          <w:sz w:val="32"/>
          <w:szCs w:val="32"/>
          <w14:textFill>
            <w14:solidFill>
              <w14:schemeClr w14:val="tx1"/>
            </w14:solidFill>
          </w14:textFill>
        </w:rPr>
      </w:pPr>
    </w:p>
    <w:p>
      <w:pPr>
        <w:rPr>
          <w:sz w:val="32"/>
          <w:szCs w:val="32"/>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方正小标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5E5664"/>
    <w:multiLevelType w:val="singleLevel"/>
    <w:tmpl w:val="B45E5664"/>
    <w:lvl w:ilvl="0" w:tentative="0">
      <w:start w:val="2"/>
      <w:numFmt w:val="chineseCounting"/>
      <w:suff w:val="nothing"/>
      <w:lvlText w:val="（%1）"/>
      <w:lvlJc w:val="left"/>
      <w:pPr>
        <w:ind w:left="630"/>
      </w:pPr>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403B5A16"/>
    <w:multiLevelType w:val="singleLevel"/>
    <w:tmpl w:val="403B5A16"/>
    <w:lvl w:ilvl="0" w:tentative="0">
      <w:start w:val="2"/>
      <w:numFmt w:val="chineseCounting"/>
      <w:suff w:val="nothing"/>
      <w:lvlText w:val="（%1）"/>
      <w:lvlJc w:val="left"/>
      <w:rPr>
        <w:rFonts w:hint="eastAsia"/>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B76E98"/>
    <w:rsid w:val="03BF4058"/>
    <w:rsid w:val="04FC3B0F"/>
    <w:rsid w:val="05CA6E93"/>
    <w:rsid w:val="08424949"/>
    <w:rsid w:val="091D2DAA"/>
    <w:rsid w:val="0B3C713F"/>
    <w:rsid w:val="0C490990"/>
    <w:rsid w:val="0F8F6C0B"/>
    <w:rsid w:val="13B76E98"/>
    <w:rsid w:val="16131BEC"/>
    <w:rsid w:val="1874509C"/>
    <w:rsid w:val="20614F70"/>
    <w:rsid w:val="212A3431"/>
    <w:rsid w:val="213623B8"/>
    <w:rsid w:val="268D7140"/>
    <w:rsid w:val="29557961"/>
    <w:rsid w:val="2A821C60"/>
    <w:rsid w:val="2AEE362A"/>
    <w:rsid w:val="2FBE7520"/>
    <w:rsid w:val="377A2977"/>
    <w:rsid w:val="37D27181"/>
    <w:rsid w:val="37E216E2"/>
    <w:rsid w:val="3E85763A"/>
    <w:rsid w:val="44643A23"/>
    <w:rsid w:val="453356C7"/>
    <w:rsid w:val="45B566AC"/>
    <w:rsid w:val="498049A0"/>
    <w:rsid w:val="4AF64AC7"/>
    <w:rsid w:val="4C9254CD"/>
    <w:rsid w:val="4EF234BD"/>
    <w:rsid w:val="509165EF"/>
    <w:rsid w:val="53281E45"/>
    <w:rsid w:val="53C34543"/>
    <w:rsid w:val="56D70560"/>
    <w:rsid w:val="5A7855DF"/>
    <w:rsid w:val="5A9E4351"/>
    <w:rsid w:val="5F2224B8"/>
    <w:rsid w:val="60D435F9"/>
    <w:rsid w:val="68747181"/>
    <w:rsid w:val="6C1F7D40"/>
    <w:rsid w:val="71337DC9"/>
    <w:rsid w:val="73225DF5"/>
    <w:rsid w:val="7557452E"/>
    <w:rsid w:val="75C50505"/>
    <w:rsid w:val="77057BFA"/>
    <w:rsid w:val="78A92C64"/>
    <w:rsid w:val="7A03243E"/>
    <w:rsid w:val="7C5D4599"/>
    <w:rsid w:val="7F1203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99"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99"/>
  </w:style>
  <w:style w:type="paragraph" w:styleId="6">
    <w:name w:val="Body Text"/>
    <w:basedOn w:val="1"/>
    <w:qFormat/>
    <w:uiPriority w:val="99"/>
    <w:pPr>
      <w:spacing w:beforeLines="30"/>
    </w:pPr>
    <w:rPr>
      <w:rFonts w:ascii="仿宋_GB2312" w:eastAsia="仿宋_GB2312"/>
      <w:kern w:val="0"/>
      <w:sz w:val="30"/>
    </w:rPr>
  </w:style>
  <w:style w:type="paragraph" w:styleId="7">
    <w:name w:val="toc 3"/>
    <w:basedOn w:val="1"/>
    <w:next w:val="1"/>
    <w:uiPriority w:val="0"/>
    <w:pPr>
      <w:ind w:left="840" w:leftChars="400"/>
    </w:pPr>
  </w:style>
  <w:style w:type="paragraph" w:styleId="8">
    <w:name w:val="footer"/>
    <w:basedOn w:val="1"/>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563C1" w:themeColor="hyperlink"/>
      <w:u w:val="single"/>
      <w14:textFill>
        <w14:solidFill>
          <w14:schemeClr w14:val="hlink"/>
        </w14:solidFill>
      </w14:textFill>
    </w:rPr>
  </w:style>
  <w:style w:type="character" w:customStyle="1" w:styleId="16">
    <w:name w:val="标题 1 字符"/>
    <w:basedOn w:val="13"/>
    <w:link w:val="3"/>
    <w:qFormat/>
    <w:uiPriority w:val="9"/>
    <w:rPr>
      <w:b/>
      <w:bCs/>
      <w:kern w:val="44"/>
      <w:sz w:val="44"/>
      <w:szCs w:val="44"/>
    </w:rPr>
  </w:style>
  <w:style w:type="character" w:customStyle="1" w:styleId="17">
    <w:name w:val="标题 2 字符"/>
    <w:basedOn w:val="13"/>
    <w:link w:val="4"/>
    <w:qFormat/>
    <w:uiPriority w:val="9"/>
    <w:rPr>
      <w:rFonts w:asciiTheme="majorHAnsi" w:hAnsiTheme="majorHAnsi" w:eastAsiaTheme="majorEastAsia" w:cstheme="majorBidi"/>
      <w:b/>
      <w:bCs/>
      <w:sz w:val="32"/>
      <w:szCs w:val="32"/>
    </w:rPr>
  </w:style>
  <w:style w:type="paragraph" w:styleId="18">
    <w:name w:val="List Paragraph"/>
    <w:basedOn w:val="1"/>
    <w:qFormat/>
    <w:uiPriority w:val="34"/>
    <w:pPr>
      <w:ind w:firstLine="420" w:firstLineChars="200"/>
    </w:pPr>
  </w:style>
  <w:style w:type="character" w:customStyle="1" w:styleId="19">
    <w:name w:val="Heading 2 Char"/>
    <w:basedOn w:val="13"/>
    <w:link w:val="4"/>
    <w:qFormat/>
    <w:locked/>
    <w:uiPriority w:val="99"/>
    <w:rPr>
      <w:rFonts w:ascii="Cambria" w:hAnsi="Cambria" w:eastAsia="宋体" w:cs="Cambria"/>
      <w:b/>
      <w:bCs/>
      <w:kern w:val="2"/>
      <w:sz w:val="32"/>
      <w:szCs w:val="32"/>
    </w:rPr>
  </w:style>
  <w:style w:type="paragraph" w:customStyle="1" w:styleId="2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1">
    <w:name w:val="标题 3 Char"/>
    <w:link w:val="5"/>
    <w:qFormat/>
    <w:uiPriority w:val="0"/>
    <w:rPr>
      <w:b/>
      <w:sz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收、支决算变动                                 </a:t>
            </a:r>
            <a:r>
              <a:rPr sz="900"/>
              <a:t>单位：万元</a:t>
            </a:r>
            <a:endParaRPr sz="900"/>
          </a:p>
        </c:rich>
      </c:tx>
      <c:layout>
        <c:manualLayout>
          <c:xMode val="edge"/>
          <c:yMode val="edge"/>
          <c:x val="0.2180625"/>
          <c:y val="0.03"/>
        </c:manualLayout>
      </c:layout>
      <c:overlay val="0"/>
      <c:spPr>
        <a:noFill/>
        <a:ln>
          <a:noFill/>
        </a:ln>
        <a:effectLst/>
      </c:spPr>
    </c:title>
    <c:autoTitleDeleted val="0"/>
    <c:plotArea>
      <c:layout>
        <c:manualLayout>
          <c:layoutTarget val="inner"/>
          <c:xMode val="edge"/>
          <c:yMode val="edge"/>
          <c:x val="0.0790535714285714"/>
          <c:y val="0.1275"/>
          <c:w val="0.573571428571429"/>
          <c:h val="0.6489"/>
        </c:manualLayout>
      </c:layout>
      <c:barChart>
        <c:barDir val="col"/>
        <c:grouping val="clustered"/>
        <c:varyColors val="0"/>
        <c:ser>
          <c:idx val="0"/>
          <c:order val="0"/>
          <c:tx>
            <c:strRef>
              <c:f>Sheet1!$B$1</c:f>
              <c:strCache>
                <c:ptCount val="1"/>
                <c:pt idx="0">
                  <c:v>一般公共预算财政拨款收入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2020年本年收入</c:v>
                </c:pt>
                <c:pt idx="1">
                  <c:v>2020年本年支出</c:v>
                </c:pt>
                <c:pt idx="2">
                  <c:v>2019年本年收入</c:v>
                </c:pt>
                <c:pt idx="3">
                  <c:v>2019本年支出</c:v>
                </c:pt>
              </c:strCache>
            </c:strRef>
          </c:cat>
          <c:val>
            <c:numRef>
              <c:f>Sheet1!$B$2:$B$5</c:f>
              <c:numCache>
                <c:formatCode>General</c:formatCode>
                <c:ptCount val="4"/>
                <c:pt idx="0">
                  <c:v>455.61</c:v>
                </c:pt>
                <c:pt idx="2">
                  <c:v>404.39</c:v>
                </c:pt>
              </c:numCache>
            </c:numRef>
          </c:val>
        </c:ser>
        <c:ser>
          <c:idx val="1"/>
          <c:order val="1"/>
          <c:tx>
            <c:strRef>
              <c:f>Sheet1!$C$1</c:f>
              <c:strCache>
                <c:ptCount val="1"/>
                <c:pt idx="0">
                  <c:v>一般公共服务支出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2020年本年收入</c:v>
                </c:pt>
                <c:pt idx="1">
                  <c:v>2020年本年支出</c:v>
                </c:pt>
                <c:pt idx="2">
                  <c:v>2019年本年收入</c:v>
                </c:pt>
                <c:pt idx="3">
                  <c:v>2019本年支出</c:v>
                </c:pt>
              </c:strCache>
            </c:strRef>
          </c:cat>
          <c:val>
            <c:numRef>
              <c:f>Sheet1!$C$2:$C$5</c:f>
              <c:numCache>
                <c:formatCode>General</c:formatCode>
                <c:ptCount val="4"/>
                <c:pt idx="1">
                  <c:v>400.96</c:v>
                </c:pt>
                <c:pt idx="3">
                  <c:v>341.74</c:v>
                </c:pt>
              </c:numCache>
            </c:numRef>
          </c:val>
        </c:ser>
        <c:ser>
          <c:idx val="2"/>
          <c:order val="2"/>
          <c:tx>
            <c:strRef>
              <c:f>Sheet1!$D$1</c:f>
              <c:strCache>
                <c:ptCount val="1"/>
                <c:pt idx="0">
                  <c:v>社会保障和就业支出</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2020年本年收入</c:v>
                </c:pt>
                <c:pt idx="1">
                  <c:v>2020年本年支出</c:v>
                </c:pt>
                <c:pt idx="2">
                  <c:v>2019年本年收入</c:v>
                </c:pt>
                <c:pt idx="3">
                  <c:v>2019本年支出</c:v>
                </c:pt>
              </c:strCache>
            </c:strRef>
          </c:cat>
          <c:val>
            <c:numRef>
              <c:f>Sheet1!$D$2:$D$5</c:f>
              <c:numCache>
                <c:formatCode>General</c:formatCode>
                <c:ptCount val="4"/>
                <c:pt idx="1">
                  <c:v>29.98</c:v>
                </c:pt>
                <c:pt idx="3">
                  <c:v>34.59</c:v>
                </c:pt>
              </c:numCache>
            </c:numRef>
          </c:val>
        </c:ser>
        <c:ser>
          <c:idx val="3"/>
          <c:order val="3"/>
          <c:tx>
            <c:strRef>
              <c:f>Sheet1!$E$1</c:f>
              <c:strCache>
                <c:ptCount val="1"/>
                <c:pt idx="0">
                  <c:v>卫生健康支出</c:v>
                </c:pt>
              </c:strCache>
            </c:strRef>
          </c:tx>
          <c:spPr>
            <a:solidFill>
              <a:schemeClr val="accent4"/>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2020年本年收入</c:v>
                </c:pt>
                <c:pt idx="1">
                  <c:v>2020年本年支出</c:v>
                </c:pt>
                <c:pt idx="2">
                  <c:v>2019年本年收入</c:v>
                </c:pt>
                <c:pt idx="3">
                  <c:v>2019本年支出</c:v>
                </c:pt>
              </c:strCache>
            </c:strRef>
          </c:cat>
          <c:val>
            <c:numRef>
              <c:f>Sheet1!$E$2:$E$5</c:f>
              <c:numCache>
                <c:formatCode>General</c:formatCode>
                <c:ptCount val="4"/>
                <c:pt idx="1">
                  <c:v>11.15</c:v>
                </c:pt>
                <c:pt idx="3">
                  <c:v>11.14</c:v>
                </c:pt>
              </c:numCache>
            </c:numRef>
          </c:val>
        </c:ser>
        <c:ser>
          <c:idx val="4"/>
          <c:order val="4"/>
          <c:tx>
            <c:strRef>
              <c:f>Sheet1!$F$1</c:f>
              <c:strCache>
                <c:ptCount val="1"/>
                <c:pt idx="0">
                  <c:v>农林水支出</c:v>
                </c:pt>
              </c:strCache>
            </c:strRef>
          </c:tx>
          <c:spPr>
            <a:solidFill>
              <a:schemeClr val="accent5"/>
            </a:solidFill>
            <a:ln>
              <a:noFill/>
            </a:ln>
            <a:effectLst>
              <a:outerShdw blurRad="50800" dist="114300" dir="5400000" algn="ctr" rotWithShape="0">
                <a:srgbClr val="000000">
                  <a:alpha val="43000"/>
                </a:srgbClr>
              </a:outerShdw>
            </a:effectLst>
          </c:spPr>
          <c:invertIfNegative val="0"/>
          <c:dLbls>
            <c:delete val="1"/>
          </c:dLbls>
          <c:cat>
            <c:strRef>
              <c:f>Sheet1!$A$2:$A$5</c:f>
              <c:strCache>
                <c:ptCount val="4"/>
                <c:pt idx="0">
                  <c:v>2020年本年收入</c:v>
                </c:pt>
                <c:pt idx="1">
                  <c:v>2020年本年支出</c:v>
                </c:pt>
                <c:pt idx="2">
                  <c:v>2019年本年收入</c:v>
                </c:pt>
                <c:pt idx="3">
                  <c:v>2019本年支出</c:v>
                </c:pt>
              </c:strCache>
            </c:strRef>
          </c:cat>
          <c:val>
            <c:numRef>
              <c:f>Sheet1!$F$2:$F$5</c:f>
              <c:numCache>
                <c:formatCode>General</c:formatCode>
                <c:ptCount val="4"/>
                <c:pt idx="1">
                  <c:v>0</c:v>
                </c:pt>
                <c:pt idx="3">
                  <c:v>1.2</c:v>
                </c:pt>
              </c:numCache>
            </c:numRef>
          </c:val>
        </c:ser>
        <c:ser>
          <c:idx val="5"/>
          <c:order val="5"/>
          <c:tx>
            <c:strRef>
              <c:f>Sheet1!$G$1</c:f>
              <c:strCache>
                <c:ptCount val="1"/>
                <c:pt idx="0">
                  <c:v>住房保障支出</c:v>
                </c:pt>
              </c:strCache>
            </c:strRef>
          </c:tx>
          <c:spPr>
            <a:solidFill>
              <a:schemeClr val="accent6"/>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2020年本年收入</c:v>
                </c:pt>
                <c:pt idx="1">
                  <c:v>2020年本年支出</c:v>
                </c:pt>
                <c:pt idx="2">
                  <c:v>2019年本年收入</c:v>
                </c:pt>
                <c:pt idx="3">
                  <c:v>2019本年支出</c:v>
                </c:pt>
              </c:strCache>
            </c:strRef>
          </c:cat>
          <c:val>
            <c:numRef>
              <c:f>Sheet1!$G$2:$G$5</c:f>
              <c:numCache>
                <c:formatCode>General</c:formatCode>
                <c:ptCount val="4"/>
                <c:pt idx="1">
                  <c:v>20.32</c:v>
                </c:pt>
                <c:pt idx="3">
                  <c:v>19.18</c:v>
                </c:pt>
              </c:numCache>
            </c:numRef>
          </c:val>
        </c:ser>
        <c:ser>
          <c:idx val="6"/>
          <c:order val="6"/>
          <c:tx>
            <c:strRef>
              <c:f>Sheet1!#REF!</c:f>
              <c:strCache>
                <c:ptCount val="1"/>
                <c:pt idx="0">
                  <c:v/>
                </c:pt>
              </c:strCache>
            </c:strRef>
          </c:tx>
          <c:spPr>
            <a:solidFill>
              <a:schemeClr val="accent1">
                <a:lumMod val="60000"/>
              </a:schemeClr>
            </a:solidFill>
            <a:ln>
              <a:noFill/>
            </a:ln>
            <a:effectLst/>
          </c:spPr>
          <c:invertIfNegative val="0"/>
          <c:dLbls>
            <c:delete val="1"/>
          </c:dLbls>
          <c:cat>
            <c:strRef>
              <c:f>Sheet1!$A$2:$A$5</c:f>
              <c:strCache>
                <c:ptCount val="4"/>
                <c:pt idx="0">
                  <c:v>2020年本年收入</c:v>
                </c:pt>
                <c:pt idx="1">
                  <c:v>2020年本年支出</c:v>
                </c:pt>
                <c:pt idx="2">
                  <c:v>2019年本年收入</c:v>
                </c:pt>
                <c:pt idx="3">
                  <c:v>2019本年支出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0200136"/>
        <c:axId val="254689539"/>
      </c:barChart>
      <c:catAx>
        <c:axId val="1020013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4689539"/>
        <c:crosses val="autoZero"/>
        <c:auto val="1"/>
        <c:lblAlgn val="ctr"/>
        <c:lblOffset val="100"/>
        <c:noMultiLvlLbl val="0"/>
      </c:catAx>
      <c:valAx>
        <c:axId val="2546895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200136"/>
        <c:crosses val="autoZero"/>
        <c:crossBetween val="between"/>
      </c:valAx>
      <c:spPr>
        <a:noFill/>
        <a:ln>
          <a:noFill/>
        </a:ln>
        <a:effectLst/>
      </c:spPr>
    </c:plotArea>
    <c:legend>
      <c:legendPos val="r"/>
      <c:layout>
        <c:manualLayout>
          <c:xMode val="edge"/>
          <c:yMode val="edge"/>
          <c:x val="0.682"/>
          <c:y val="0.1625"/>
          <c:w val="0.30675"/>
          <c:h val="0.530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       20</a:t>
            </a:r>
            <a:r>
              <a:rPr lang="en-US" altLang="zh-CN"/>
              <a:t>20</a:t>
            </a:r>
            <a:r>
              <a:t>年本年收入                              </a:t>
            </a:r>
            <a:r>
              <a:rPr sz="900"/>
              <a:t>单位：万元</a:t>
            </a:r>
            <a:endParaRPr sz="900"/>
          </a:p>
        </c:rich>
      </c:tx>
      <c:layout>
        <c:manualLayout>
          <c:xMode val="edge"/>
          <c:yMode val="edge"/>
          <c:x val="0.20825"/>
          <c:y val="0.03"/>
        </c:manualLayout>
      </c:layout>
      <c:overlay val="0"/>
      <c:spPr>
        <a:noFill/>
        <a:ln>
          <a:noFill/>
        </a:ln>
        <a:effectLst/>
      </c:spPr>
    </c:title>
    <c:autoTitleDeleted val="0"/>
    <c:plotArea>
      <c:layout/>
      <c:pieChart>
        <c:varyColors val="1"/>
        <c:ser>
          <c:idx val="0"/>
          <c:order val="0"/>
          <c:tx>
            <c:strRef>
              <c:f>Sheet1!$B$1</c:f>
              <c:strCache>
                <c:ptCount val="1"/>
                <c:pt idx="0">
                  <c:v>2020年本年收入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General</c:formatCode>
                <c:ptCount val="7"/>
                <c:pt idx="0">
                  <c:v>455.61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  20</a:t>
            </a:r>
            <a:r>
              <a:rPr lang="en-US" altLang="zh-CN"/>
              <a:t>20</a:t>
            </a:r>
            <a:r>
              <a:t>年本年支出                                     </a:t>
            </a:r>
            <a:r>
              <a:rPr sz="900">
                <a:latin typeface="仿宋" panose="02010609060101010101" charset="-122"/>
                <a:ea typeface="仿宋" panose="02010609060101010101" charset="-122"/>
              </a:rPr>
              <a:t>单位：万元</a:t>
            </a:r>
            <a:endParaRPr sz="900">
              <a:latin typeface="仿宋" panose="02010609060101010101" charset="-122"/>
              <a:ea typeface="仿宋" panose="02010609060101010101" charset="-122"/>
            </a:endParaRPr>
          </a:p>
        </c:rich>
      </c:tx>
      <c:layout>
        <c:manualLayout>
          <c:xMode val="edge"/>
          <c:yMode val="edge"/>
          <c:x val="0.22975"/>
          <c:y val="0.015"/>
        </c:manualLayout>
      </c:layout>
      <c:overlay val="0"/>
      <c:spPr>
        <a:noFill/>
        <a:ln>
          <a:noFill/>
        </a:ln>
        <a:effectLst/>
      </c:spPr>
    </c:title>
    <c:autoTitleDeleted val="0"/>
    <c:plotArea>
      <c:layout/>
      <c:pieChart>
        <c:varyColors val="1"/>
        <c:ser>
          <c:idx val="0"/>
          <c:order val="0"/>
          <c:tx>
            <c:strRef>
              <c:f>Sheet1!$B$1</c:f>
              <c:strCache>
                <c:ptCount val="1"/>
                <c:pt idx="0">
                  <c:v>2020年本年支出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1"/>
              <c:layout>
                <c:manualLayout>
                  <c:x val="0.211694110113348"/>
                  <c:y val="0.0995406989910453"/>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non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244.83</c:v>
                </c:pt>
                <c:pt idx="1">
                  <c:v>217.58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600">
                <a:latin typeface="+mj-ea"/>
                <a:ea typeface="+mj-ea"/>
              </a:rPr>
              <a:t>财政拨款收、支决算变动表</a:t>
            </a:r>
            <a:r>
              <a:rPr lang="en-US" altLang="zh-CN" b="1"/>
              <a:t>   </a:t>
            </a:r>
            <a:r>
              <a:rPr lang="en-US" altLang="zh-CN"/>
              <a:t>                </a:t>
            </a:r>
            <a:r>
              <a:rPr lang="en-US" altLang="zh-CN" sz="900"/>
              <a:t> </a:t>
            </a:r>
            <a:r>
              <a:rPr altLang="en-US" sz="900"/>
              <a:t>单位：万元</a:t>
            </a:r>
            <a:endParaRPr altLang="en-US" sz="900"/>
          </a:p>
        </c:rich>
      </c:tx>
      <c:layout>
        <c:manualLayout>
          <c:xMode val="edge"/>
          <c:yMode val="edge"/>
          <c:x val="0.127625"/>
          <c:y val="0.0175"/>
        </c:manualLayout>
      </c:layout>
      <c:overlay val="0"/>
      <c:spPr>
        <a:noFill/>
        <a:ln>
          <a:noFill/>
        </a:ln>
        <a:effectLst/>
      </c:spPr>
    </c:title>
    <c:autoTitleDeleted val="0"/>
    <c:plotArea>
      <c:layout>
        <c:manualLayout>
          <c:layoutTarget val="inner"/>
          <c:xMode val="edge"/>
          <c:yMode val="edge"/>
          <c:x val="0.067325"/>
          <c:y val="0.127"/>
          <c:w val="0.5438"/>
          <c:h val="0.783566666666667"/>
        </c:manualLayout>
      </c:layout>
      <c:barChart>
        <c:barDir val="col"/>
        <c:grouping val="clustered"/>
        <c:varyColors val="0"/>
        <c:ser>
          <c:idx val="0"/>
          <c:order val="0"/>
          <c:tx>
            <c:strRef>
              <c:f>Sheet1!$B$1</c:f>
              <c:strCache>
                <c:ptCount val="1"/>
                <c:pt idx="0">
                  <c:v>一般公共预算财政拨款收入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2020年财政拨款收入</c:v>
                </c:pt>
                <c:pt idx="1">
                  <c:v>2020年财政拨款支出</c:v>
                </c:pt>
              </c:strCache>
            </c:strRef>
          </c:cat>
          <c:val>
            <c:numRef>
              <c:f>Sheet1!$B$2:$B$3</c:f>
              <c:numCache>
                <c:formatCode>General</c:formatCode>
                <c:ptCount val="2"/>
                <c:pt idx="0">
                  <c:v>455.51</c:v>
                </c:pt>
              </c:numCache>
            </c:numRef>
          </c:val>
        </c:ser>
        <c:ser>
          <c:idx val="1"/>
          <c:order val="1"/>
          <c:tx>
            <c:strRef>
              <c:f>Sheet1!$C$1</c:f>
              <c:strCache>
                <c:ptCount val="1"/>
                <c:pt idx="0">
                  <c:v>一般公共服务支出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2020年财政拨款收入</c:v>
                </c:pt>
                <c:pt idx="1">
                  <c:v>2020年财政拨款支出</c:v>
                </c:pt>
              </c:strCache>
            </c:strRef>
          </c:cat>
          <c:val>
            <c:numRef>
              <c:f>Sheet1!$C$2:$C$3</c:f>
              <c:numCache>
                <c:formatCode>General</c:formatCode>
                <c:ptCount val="2"/>
                <c:pt idx="1">
                  <c:v>400.96</c:v>
                </c:pt>
              </c:numCache>
            </c:numRef>
          </c:val>
        </c:ser>
        <c:ser>
          <c:idx val="2"/>
          <c:order val="2"/>
          <c:tx>
            <c:strRef>
              <c:f>Sheet1!$D$1</c:f>
              <c:strCache>
                <c:ptCount val="1"/>
                <c:pt idx="0">
                  <c:v>社会保障和就业支出</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2020年财政拨款收入</c:v>
                </c:pt>
                <c:pt idx="1">
                  <c:v>2020年财政拨款支出</c:v>
                </c:pt>
              </c:strCache>
            </c:strRef>
          </c:cat>
          <c:val>
            <c:numRef>
              <c:f>Sheet1!$D$2:$D$3</c:f>
              <c:numCache>
                <c:formatCode>General</c:formatCode>
                <c:ptCount val="2"/>
                <c:pt idx="1">
                  <c:v>29.98</c:v>
                </c:pt>
              </c:numCache>
            </c:numRef>
          </c:val>
        </c:ser>
        <c:ser>
          <c:idx val="3"/>
          <c:order val="3"/>
          <c:tx>
            <c:strRef>
              <c:f>Sheet1!$E$1</c:f>
              <c:strCache>
                <c:ptCount val="1"/>
                <c:pt idx="0">
                  <c:v>卫生健康支出</c:v>
                </c:pt>
              </c:strCache>
            </c:strRef>
          </c:tx>
          <c:spPr>
            <a:solidFill>
              <a:schemeClr val="accent4"/>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2020年财政拨款收入</c:v>
                </c:pt>
                <c:pt idx="1">
                  <c:v>2020年财政拨款支出</c:v>
                </c:pt>
              </c:strCache>
            </c:strRef>
          </c:cat>
          <c:val>
            <c:numRef>
              <c:f>Sheet1!$E$2:$E$3</c:f>
              <c:numCache>
                <c:formatCode>General</c:formatCode>
                <c:ptCount val="2"/>
                <c:pt idx="1">
                  <c:v>11.15</c:v>
                </c:pt>
              </c:numCache>
            </c:numRef>
          </c:val>
        </c:ser>
        <c:ser>
          <c:idx val="4"/>
          <c:order val="4"/>
          <c:tx>
            <c:strRef>
              <c:f>Sheet1!$F$1</c:f>
              <c:strCache>
                <c:ptCount val="1"/>
                <c:pt idx="0">
                  <c:v>住房保障支出</c:v>
                </c:pt>
              </c:strCache>
            </c:strRef>
          </c:tx>
          <c:spPr>
            <a:solidFill>
              <a:schemeClr val="accent5"/>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2020年财政拨款收入</c:v>
                </c:pt>
                <c:pt idx="1">
                  <c:v>2020年财政拨款支出</c:v>
                </c:pt>
              </c:strCache>
            </c:strRef>
          </c:cat>
          <c:val>
            <c:numRef>
              <c:f>Sheet1!$F$2:$F$3</c:f>
              <c:numCache>
                <c:formatCode>General</c:formatCode>
                <c:ptCount val="2"/>
                <c:pt idx="1">
                  <c:v>20.32</c:v>
                </c:pt>
              </c:numCache>
            </c:numRef>
          </c:val>
        </c:ser>
        <c:dLbls>
          <c:showLegendKey val="0"/>
          <c:showVal val="0"/>
          <c:showCatName val="0"/>
          <c:showSerName val="0"/>
          <c:showPercent val="0"/>
          <c:showBubbleSize val="0"/>
        </c:dLbls>
        <c:gapWidth val="219"/>
        <c:overlap val="-27"/>
        <c:axId val="93820386"/>
        <c:axId val="406432981"/>
      </c:barChart>
      <c:catAx>
        <c:axId val="9382038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6432981"/>
        <c:crosses val="autoZero"/>
        <c:auto val="1"/>
        <c:lblAlgn val="ctr"/>
        <c:lblOffset val="100"/>
        <c:noMultiLvlLbl val="0"/>
      </c:catAx>
      <c:valAx>
        <c:axId val="40643298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820386"/>
        <c:crosses val="autoZero"/>
        <c:crossBetween val="between"/>
      </c:valAx>
      <c:spPr>
        <a:noFill/>
        <a:ln>
          <a:noFill/>
        </a:ln>
        <a:effectLst/>
      </c:spPr>
    </c:plotArea>
    <c:legend>
      <c:legendPos val="b"/>
      <c:layout>
        <c:manualLayout>
          <c:xMode val="edge"/>
          <c:yMode val="edge"/>
          <c:x val="0.658"/>
          <c:y val="0.3105"/>
          <c:w val="0.301875"/>
          <c:h val="0.3848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             </a:t>
            </a:r>
            <a:r>
              <a:rPr sz="900"/>
              <a:t>单位：万元</a:t>
            </a:r>
            <a:endParaRPr sz="900"/>
          </a:p>
        </c:rich>
      </c:tx>
      <c:layout>
        <c:manualLayout>
          <c:xMode val="edge"/>
          <c:yMode val="edge"/>
          <c:x val="0.146625"/>
          <c:y val="0.0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基本支出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183.38</c:v>
                </c:pt>
                <c:pt idx="1">
                  <c:v>29.98</c:v>
                </c:pt>
                <c:pt idx="2">
                  <c:v>11.15</c:v>
                </c:pt>
                <c:pt idx="3">
                  <c:v>20.32</c:v>
                </c:pt>
              </c:numCache>
            </c:numRef>
          </c:val>
        </c:ser>
        <c:ser>
          <c:idx val="1"/>
          <c:order val="1"/>
          <c:tx>
            <c:strRef>
              <c:f>Sheet1!$C$1</c:f>
              <c:strCache>
                <c:ptCount val="1"/>
                <c:pt idx="0">
                  <c:v>项目支出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Sheet1!$C$2:$C$5</c:f>
              <c:numCache>
                <c:formatCode>General</c:formatCode>
                <c:ptCount val="4"/>
                <c:pt idx="0">
                  <c:v>217.58</c:v>
                </c:pt>
              </c:numCache>
            </c:numRef>
          </c:val>
        </c:ser>
        <c:dLbls>
          <c:showLegendKey val="0"/>
          <c:showVal val="1"/>
          <c:showCatName val="0"/>
          <c:showSerName val="0"/>
          <c:showPercent val="0"/>
          <c:showBubbleSize val="0"/>
        </c:dLbls>
        <c:gapWidth val="219"/>
        <c:overlap val="-27"/>
        <c:axId val="736049617"/>
        <c:axId val="532929660"/>
      </c:barChart>
      <c:catAx>
        <c:axId val="73604961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2929660"/>
        <c:crosses val="autoZero"/>
        <c:auto val="1"/>
        <c:lblAlgn val="ctr"/>
        <c:lblOffset val="100"/>
        <c:noMultiLvlLbl val="0"/>
      </c:catAx>
      <c:valAx>
        <c:axId val="5329296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6049617"/>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                  </a:t>
            </a:r>
            <a:r>
              <a:rPr sz="900"/>
              <a:t>单位：万元</a:t>
            </a:r>
            <a:endParaRPr sz="900"/>
          </a:p>
        </c:rich>
      </c:tx>
      <c:layout>
        <c:manualLayout>
          <c:xMode val="edge"/>
          <c:yMode val="edge"/>
          <c:x val="0.1335"/>
          <c:y val="0.01"/>
        </c:manualLayout>
      </c:layout>
      <c:overlay val="0"/>
      <c:spPr>
        <a:noFill/>
        <a:ln>
          <a:noFill/>
        </a:ln>
        <a:effectLst/>
      </c:spPr>
    </c:title>
    <c:autoTitleDeleted val="0"/>
    <c:plotArea>
      <c:layout/>
      <c:pieChart>
        <c:varyColors val="1"/>
        <c:ser>
          <c:idx val="0"/>
          <c:order val="0"/>
          <c:tx>
            <c:strRef>
              <c:f>Sheet1!$B$1</c:f>
              <c:strCache>
                <c:ptCount val="1"/>
                <c:pt idx="0">
                  <c:v>2020年一般公共预算财政拨款支出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1"/>
              <c:layout/>
              <c:dLblPos val="ctr"/>
              <c:showLegendKey val="0"/>
              <c:showVal val="0"/>
              <c:showCatName val="0"/>
              <c:showSerName val="0"/>
              <c:showPercent val="1"/>
              <c:showBubbleSize val="0"/>
              <c:separator>
</c:separator>
              <c:extLst>
                <c:ext xmlns:c15="http://schemas.microsoft.com/office/drawing/2012/chart" uri="{CE6537A1-D6FC-4f65-9D91-7224C49458BB}">
                  <c15:layout>
                    <c:manualLayout>
                      <c:w val="0.208"/>
                      <c:h val="0.133166666666667"/>
                    </c:manualLayout>
                  </c15:layout>
                </c:ext>
              </c:extLst>
            </c:dLbl>
            <c:dLbl>
              <c:idx val="2"/>
              <c:layout/>
              <c:dLblPos val="ctr"/>
              <c:showLegendKey val="0"/>
              <c:showVal val="0"/>
              <c:showCatName val="0"/>
              <c:showSerName val="0"/>
              <c:showPercent val="1"/>
              <c:showBubbleSize val="0"/>
              <c:separator>
</c:separator>
              <c:extLst>
                <c:ext xmlns:c15="http://schemas.microsoft.com/office/drawing/2012/chart" uri="{CE6537A1-D6FC-4f65-9D91-7224C49458BB}">
                  <c15:layout>
                    <c:manualLayout>
                      <c:w val="0.096125"/>
                      <c:h val="0.0443333333333333"/>
                    </c:manualLayout>
                  </c15:layout>
                </c:ext>
              </c:extLst>
            </c:dLbl>
            <c:dLbl>
              <c:idx val="3"/>
              <c:layout>
                <c:manualLayout>
                  <c:x val="0.0122804993049556"/>
                  <c:y val="-0.005038255630578"/>
                </c:manualLayout>
              </c:layout>
              <c:dLblPos val="bestFit"/>
              <c:showLegendKey val="0"/>
              <c:showVal val="0"/>
              <c:showCatName val="0"/>
              <c:showSerName val="0"/>
              <c:showPercent val="1"/>
              <c:showBubbleSize val="0"/>
              <c:separator>
</c:separator>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400.96</c:v>
                </c:pt>
                <c:pt idx="1">
                  <c:v>29.98</c:v>
                </c:pt>
                <c:pt idx="2">
                  <c:v>11.15</c:v>
                </c:pt>
                <c:pt idx="3">
                  <c:v>20.32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                   </a:t>
            </a:r>
            <a:r>
              <a:rPr sz="900"/>
              <a:t>         单位：万元</a:t>
            </a:r>
            <a:endParaRPr sz="900"/>
          </a:p>
        </c:rich>
      </c:tx>
      <c:layout>
        <c:manualLayout>
          <c:xMode val="edge"/>
          <c:yMode val="edge"/>
          <c:x val="0.222875"/>
          <c:y val="0.02"/>
        </c:manualLayout>
      </c:layout>
      <c:overlay val="0"/>
      <c:spPr>
        <a:noFill/>
        <a:ln>
          <a:noFill/>
        </a:ln>
        <a:effectLst/>
      </c:spPr>
    </c:title>
    <c:autoTitleDeleted val="0"/>
    <c:plotArea>
      <c:layout>
        <c:manualLayout>
          <c:layoutTarget val="inner"/>
          <c:xMode val="edge"/>
          <c:yMode val="edge"/>
          <c:x val="0.20925"/>
          <c:y val="0.125"/>
          <c:w val="0.57025"/>
          <c:h val="0.760333333333333"/>
        </c:manualLayout>
      </c:layout>
      <c:pieChart>
        <c:varyColors val="1"/>
        <c:ser>
          <c:idx val="0"/>
          <c:order val="0"/>
          <c:tx>
            <c:strRef>
              <c:f>Sheet1!$B$1</c:f>
              <c:strCache>
                <c:ptCount val="1"/>
                <c:pt idx="0">
                  <c:v>三公经费</c:v>
                </c:pt>
              </c:strCache>
            </c:strRef>
          </c:tx>
          <c:spPr/>
          <c:explosion val="0"/>
          <c:dPt>
            <c:idx val="0"/>
            <c:bubble3D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dLbl>
              <c:idx val="1"/>
              <c:layout>
                <c:manualLayout>
                  <c:x val="0.0044667522982229"/>
                  <c:y val="0.107821952540689"/>
                </c:manualLayout>
              </c:layout>
              <c:dLblPos val="bestFit"/>
              <c:showLegendKey val="0"/>
              <c:showVal val="0"/>
              <c:showCatName val="0"/>
              <c:showSerName val="0"/>
              <c:showPercent val="1"/>
              <c:showBubbleSize val="0"/>
              <c:extLst>
                <c:ext xmlns:c15="http://schemas.microsoft.com/office/drawing/2012/chart" uri="{CE6537A1-D6FC-4f65-9D91-7224C49458BB}">
                  <c15:layout>
                    <c:manualLayout>
                      <c:w val="0.070875"/>
                      <c:h val="0.0513333333333333"/>
                    </c:manualLayout>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公务用车运行维护费</c:v>
                </c:pt>
                <c:pt idx="1">
                  <c:v>公务接待费</c:v>
                </c:pt>
              </c:strCache>
            </c:strRef>
          </c:cat>
          <c:val>
            <c:numRef>
              <c:f>Sheet1!$B$2:$B$3</c:f>
              <c:numCache>
                <c:formatCode>General</c:formatCode>
                <c:ptCount val="2"/>
                <c:pt idx="0">
                  <c:v>6.02</c:v>
                </c:pt>
                <c:pt idx="1">
                  <c:v>0.14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57"/>
          <c:y val="0.2522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2021-10-19T11:38:00Z</dcterms:created>
  <dc:creator>Administrator</dc:creator>
  <cp:lastModifiedBy>Administrator</cp:lastModifiedBy>
  <cp:lastPrinted>2021-10-22T08:56:01Z</cp:lastPrinted>
  <dcterms:modified xsi:type="dcterms:W3CDTF">2021-10-22T08:56:20Z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31CC232297474D1AA69E929729F1809D</vt:lpwstr>
  </property>
</Properties>
</file>