
<file path=[Content_Types].xml><?xml version="1.0" encoding="utf-8"?>
<Types xmlns="http://schemas.openxmlformats.org/package/2006/content-types">
  <Default Extension="xlsx" ContentType="application/vnd.openxmlformats-officedocument.spreadsheetml.sheet"/>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jc w:val="center"/>
        <w:rPr>
          <w:rFonts w:ascii="黑体" w:hAnsi="黑体" w:eastAsia="黑体"/>
          <w:sz w:val="72"/>
          <w:szCs w:val="72"/>
        </w:rPr>
      </w:pPr>
      <w:bookmarkStart w:id="1" w:name="_Toc15378441"/>
      <w:bookmarkStart w:id="2" w:name="_Toc15377425"/>
      <w:bookmarkStart w:id="3" w:name="_Toc15396475"/>
      <w:bookmarkStart w:id="4" w:name="_Toc15377193"/>
      <w:bookmarkStart w:id="5" w:name="_Toc15396597"/>
      <w:r>
        <w:rPr>
          <w:rFonts w:ascii="黑体" w:hAnsi="黑体" w:eastAsia="黑体"/>
          <w:sz w:val="72"/>
          <w:szCs w:val="72"/>
        </w:rPr>
        <w:t>202</w:t>
      </w:r>
      <w:r>
        <w:rPr>
          <w:rFonts w:hint="eastAsia" w:ascii="黑体" w:hAnsi="黑体" w:eastAsia="黑体"/>
          <w:sz w:val="72"/>
          <w:szCs w:val="72"/>
        </w:rPr>
        <w:t>1年度</w:t>
      </w:r>
      <w:bookmarkEnd w:id="1"/>
      <w:bookmarkEnd w:id="2"/>
      <w:bookmarkEnd w:id="3"/>
      <w:bookmarkEnd w:id="4"/>
      <w:bookmarkEnd w:id="5"/>
    </w:p>
    <w:p>
      <w:pPr>
        <w:jc w:val="center"/>
        <w:rPr>
          <w:rFonts w:ascii="方正小标宋简体" w:eastAsia="方正小标宋简体"/>
          <w:sz w:val="72"/>
          <w:szCs w:val="72"/>
        </w:rPr>
      </w:pPr>
      <w:bookmarkStart w:id="6" w:name="_Toc15396598"/>
      <w:bookmarkStart w:id="7" w:name="_Toc15378442"/>
      <w:bookmarkStart w:id="8" w:name="_Toc15377194"/>
      <w:bookmarkStart w:id="9" w:name="_Toc15396476"/>
      <w:bookmarkStart w:id="10" w:name="_Toc15377426"/>
      <w:r>
        <w:rPr>
          <w:rFonts w:hint="eastAsia" w:ascii="方正小标宋简体" w:eastAsia="方正小标宋简体"/>
          <w:sz w:val="72"/>
          <w:szCs w:val="72"/>
        </w:rPr>
        <w:t>阿坝州壤塘县</w:t>
      </w:r>
      <w:bookmarkEnd w:id="0"/>
      <w:bookmarkStart w:id="11" w:name="_Toc15306268"/>
      <w:r>
        <w:rPr>
          <w:rFonts w:hint="eastAsia" w:ascii="方正小标宋简体" w:eastAsia="方正小标宋简体"/>
          <w:sz w:val="72"/>
          <w:szCs w:val="72"/>
          <w:lang w:eastAsia="zh-CN"/>
        </w:rPr>
        <w:t>审计局</w:t>
      </w:r>
      <w:r>
        <w:rPr>
          <w:rFonts w:hint="eastAsia" w:ascii="方正小标宋简体" w:eastAsia="方正小标宋简体"/>
          <w:sz w:val="72"/>
          <w:szCs w:val="72"/>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hint="eastAsia" w:ascii="方正小标宋简体" w:hAnsi="宋体" w:eastAsia="方正小标宋简体"/>
          <w:sz w:val="36"/>
          <w:szCs w:val="36"/>
          <w:lang w:val="en-US" w:eastAsia="zh-CN"/>
        </w:rPr>
      </w:pPr>
      <w:r>
        <w:rPr>
          <w:rFonts w:hint="eastAsia" w:ascii="方正小标宋简体" w:hAnsi="宋体" w:eastAsia="方正小标宋简体"/>
          <w:sz w:val="36"/>
          <w:szCs w:val="36"/>
          <w:lang w:val="en-US" w:eastAsia="zh-CN"/>
        </w:rPr>
        <w:t xml:space="preserve">            </w:t>
      </w:r>
    </w:p>
    <w:p>
      <w:pPr>
        <w:rPr>
          <w:rFonts w:hint="eastAsia" w:ascii="方正小标宋简体" w:hAnsi="宋体" w:eastAsia="方正小标宋简体"/>
          <w:sz w:val="36"/>
          <w:szCs w:val="36"/>
          <w:lang w:val="en-US" w:eastAsia="zh-CN"/>
        </w:rPr>
      </w:pPr>
    </w:p>
    <w:p>
      <w:pPr>
        <w:rPr>
          <w:rFonts w:hint="eastAsia" w:ascii="方正小标宋简体" w:hAnsi="宋体" w:eastAsia="方正小标宋简体"/>
          <w:sz w:val="36"/>
          <w:szCs w:val="36"/>
          <w:lang w:val="en-US" w:eastAsia="zh-CN"/>
        </w:rPr>
      </w:pPr>
    </w:p>
    <w:p>
      <w:pPr>
        <w:rPr>
          <w:rFonts w:hint="eastAsia" w:ascii="方正小标宋简体" w:hAnsi="宋体" w:eastAsia="方正小标宋简体"/>
          <w:sz w:val="36"/>
          <w:szCs w:val="36"/>
          <w:lang w:val="en-US" w:eastAsia="zh-CN"/>
        </w:rPr>
      </w:pPr>
    </w:p>
    <w:p>
      <w:pPr>
        <w:rPr>
          <w:rFonts w:hint="eastAsia" w:ascii="方正小标宋简体" w:hAnsi="宋体" w:eastAsia="方正小标宋简体"/>
          <w:sz w:val="36"/>
          <w:szCs w:val="36"/>
          <w:lang w:val="en-US" w:eastAsia="zh-CN"/>
        </w:rPr>
      </w:pPr>
    </w:p>
    <w:p>
      <w:pPr>
        <w:rPr>
          <w:rFonts w:hint="eastAsia" w:ascii="方正小标宋简体" w:hAnsi="宋体" w:eastAsia="方正小标宋简体"/>
          <w:sz w:val="36"/>
          <w:szCs w:val="36"/>
          <w:lang w:val="en-US" w:eastAsia="zh-CN"/>
        </w:rPr>
      </w:pPr>
    </w:p>
    <w:p>
      <w:pPr>
        <w:rPr>
          <w:rFonts w:hint="default" w:ascii="方正小标宋简体" w:hAnsi="宋体" w:eastAsia="方正小标宋简体"/>
          <w:sz w:val="36"/>
          <w:szCs w:val="36"/>
          <w:lang w:val="en-US" w:eastAsia="zh-CN"/>
        </w:rPr>
      </w:pPr>
      <w:bookmarkStart w:id="165" w:name="_GoBack"/>
      <w:bookmarkEnd w:id="165"/>
      <w:r>
        <w:rPr>
          <w:rFonts w:hint="eastAsia" w:ascii="方正小标宋简体" w:hAnsi="宋体" w:eastAsia="方正小标宋简体"/>
          <w:sz w:val="36"/>
          <w:szCs w:val="36"/>
          <w:lang w:val="en-US" w:eastAsia="zh-CN"/>
        </w:rPr>
        <w:t xml:space="preserve">                                </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保密审查情况：已审查，内容审定</w:t>
      </w:r>
    </w:p>
    <w:p>
      <w:pPr>
        <w:autoSpaceDE w:val="0"/>
        <w:autoSpaceDN w:val="0"/>
        <w:adjustRightInd w:val="0"/>
        <w:ind w:left="420" w:leftChars="200"/>
        <w:jc w:val="left"/>
        <w:rPr>
          <w:rFonts w:ascii="宋体" w:hAnsi="宋体"/>
          <w:sz w:val="32"/>
          <w:szCs w:val="32"/>
        </w:rPr>
      </w:pPr>
      <w:r>
        <w:rPr>
          <w:rFonts w:hint="eastAsia" w:ascii="宋体" w:hAnsi="宋体" w:cs="仿宋_GB2312"/>
          <w:sz w:val="32"/>
          <w:szCs w:val="32"/>
        </w:rPr>
        <w:t>部门主要负责人审签情况：已审签，同意对外公开</w:t>
      </w:r>
    </w:p>
    <w:p>
      <w:pPr>
        <w:widowControl/>
        <w:jc w:val="center"/>
        <w:rPr>
          <w:rFonts w:ascii="方正小标宋简体" w:hAnsi="宋体" w:eastAsia="方正小标宋简体"/>
          <w:color w:val="000000"/>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Pr>
        <w:pStyle w:val="10"/>
        <w:jc w:val="center"/>
        <w:rPr>
          <w:rFonts w:hAnsiTheme="minorHAnsi"/>
          <w:b w:val="0"/>
          <w:bCs w:val="0"/>
          <w:sz w:val="24"/>
          <w:szCs w:val="24"/>
        </w:rPr>
      </w:pPr>
      <w:r>
        <w:rPr>
          <w:rFonts w:hint="eastAsia" w:hAnsiTheme="minorHAnsi"/>
          <w:b w:val="0"/>
          <w:bCs w:val="0"/>
          <w:sz w:val="24"/>
          <w:szCs w:val="24"/>
        </w:rPr>
        <w:t xml:space="preserve">公开时间：2022年 </w:t>
      </w:r>
      <w:r>
        <w:rPr>
          <w:rFonts w:hint="eastAsia" w:eastAsia="宋体" w:hAnsiTheme="minorHAnsi"/>
          <w:b w:val="0"/>
          <w:bCs w:val="0"/>
          <w:sz w:val="24"/>
          <w:szCs w:val="24"/>
          <w:lang w:val="en-US" w:eastAsia="zh-CN"/>
        </w:rPr>
        <w:t>10</w:t>
      </w:r>
      <w:r>
        <w:rPr>
          <w:rFonts w:hint="eastAsia" w:hAnsiTheme="minorHAnsi"/>
          <w:b w:val="0"/>
          <w:bCs w:val="0"/>
          <w:sz w:val="24"/>
          <w:szCs w:val="24"/>
        </w:rPr>
        <w:t xml:space="preserve">月 </w:t>
      </w:r>
      <w:r>
        <w:rPr>
          <w:rFonts w:hint="eastAsia" w:eastAsia="宋体" w:hAnsiTheme="minorHAnsi"/>
          <w:b w:val="0"/>
          <w:bCs w:val="0"/>
          <w:sz w:val="24"/>
          <w:szCs w:val="24"/>
          <w:lang w:val="en-US" w:eastAsia="zh-CN"/>
        </w:rPr>
        <w:t>19</w:t>
      </w:r>
      <w:r>
        <w:rPr>
          <w:rFonts w:hint="eastAsia" w:hAnsiTheme="minorHAnsi"/>
          <w:b w:val="0"/>
          <w:bCs w:val="0"/>
          <w:sz w:val="24"/>
          <w:szCs w:val="24"/>
        </w:rPr>
        <w:t>日</w:t>
      </w:r>
    </w:p>
    <w:p>
      <w:pPr>
        <w:pStyle w:val="10"/>
        <w:tabs>
          <w:tab w:val="right" w:leader="dot" w:pos="8306"/>
        </w:tabs>
      </w:pPr>
      <w:r>
        <w:rPr>
          <w:b w:val="0"/>
          <w:bCs w:val="0"/>
          <w:caps w:val="0"/>
        </w:rPr>
        <w:fldChar w:fldCharType="begin"/>
      </w:r>
      <w:r>
        <w:rPr>
          <w:b w:val="0"/>
          <w:bCs w:val="0"/>
          <w:caps w:val="0"/>
        </w:rPr>
        <w:instrText xml:space="preserve"> TOC \o \u </w:instrText>
      </w:r>
      <w:r>
        <w:rPr>
          <w:b w:val="0"/>
          <w:bCs w:val="0"/>
          <w:caps w:val="0"/>
        </w:rPr>
        <w:fldChar w:fldCharType="separate"/>
      </w:r>
      <w:r>
        <w:rPr>
          <w:rFonts w:hint="eastAsia" w:ascii="黑体" w:hAnsi="黑体" w:eastAsia="黑体"/>
        </w:rPr>
        <w:t>第一部分</w:t>
      </w:r>
      <w:r>
        <w:rPr>
          <w:rFonts w:ascii="黑体" w:hAnsi="黑体" w:eastAsia="黑体"/>
        </w:rPr>
        <w:t xml:space="preserve"> </w:t>
      </w:r>
      <w:r>
        <w:rPr>
          <w:rFonts w:hint="eastAsia" w:ascii="黑体" w:hAnsi="黑体" w:eastAsia="黑体"/>
          <w:bCs w:val="0"/>
        </w:rPr>
        <w:t>部门概况</w:t>
      </w:r>
      <w:r>
        <w:tab/>
      </w:r>
      <w:r>
        <w:fldChar w:fldCharType="begin"/>
      </w:r>
      <w:r>
        <w:instrText xml:space="preserve"> PAGEREF _Toc23919 \h </w:instrText>
      </w:r>
      <w:r>
        <w:fldChar w:fldCharType="separate"/>
      </w:r>
      <w:r>
        <w:t>5</w:t>
      </w:r>
      <w:r>
        <w:fldChar w:fldCharType="end"/>
      </w:r>
    </w:p>
    <w:p>
      <w:pPr>
        <w:pStyle w:val="11"/>
        <w:tabs>
          <w:tab w:val="right" w:leader="dot" w:pos="8306"/>
        </w:tabs>
      </w:pPr>
      <w:r>
        <w:rPr>
          <w:rFonts w:hint="eastAsia" w:ascii="黑体" w:hAnsi="黑体" w:eastAsia="黑体"/>
          <w:color w:val="000000"/>
        </w:rPr>
        <w:t>一、基</w:t>
      </w:r>
      <w:r>
        <w:rPr>
          <w:rFonts w:hint="eastAsia" w:ascii="黑体" w:hAnsi="黑体" w:eastAsia="黑体"/>
          <w:bCs w:val="0"/>
        </w:rPr>
        <w:t>本职能及主要工作</w:t>
      </w:r>
      <w:r>
        <w:tab/>
      </w:r>
      <w:r>
        <w:fldChar w:fldCharType="begin"/>
      </w:r>
      <w:r>
        <w:instrText xml:space="preserve"> PAGEREF _Toc29953 \h </w:instrText>
      </w:r>
      <w:r>
        <w:fldChar w:fldCharType="separate"/>
      </w:r>
      <w:r>
        <w:t>5</w:t>
      </w:r>
      <w:r>
        <w:fldChar w:fldCharType="end"/>
      </w:r>
    </w:p>
    <w:p>
      <w:pPr>
        <w:pStyle w:val="7"/>
        <w:tabs>
          <w:tab w:val="right" w:leader="dot" w:pos="8306"/>
        </w:tabs>
      </w:pPr>
      <w:r>
        <w:rPr>
          <w:rFonts w:hint="eastAsia" w:ascii="仿宋" w:hAnsi="仿宋" w:eastAsia="仿宋"/>
          <w:bCs/>
          <w:color w:val="000000"/>
          <w:szCs w:val="32"/>
        </w:rPr>
        <w:t>（一）主要职能</w:t>
      </w:r>
      <w:r>
        <w:tab/>
      </w:r>
      <w:r>
        <w:fldChar w:fldCharType="begin"/>
      </w:r>
      <w:r>
        <w:instrText xml:space="preserve"> PAGEREF _Toc21768 \h </w:instrText>
      </w:r>
      <w:r>
        <w:fldChar w:fldCharType="separate"/>
      </w:r>
      <w:r>
        <w:t>5</w:t>
      </w:r>
      <w:r>
        <w:fldChar w:fldCharType="end"/>
      </w:r>
    </w:p>
    <w:p>
      <w:pPr>
        <w:pStyle w:val="7"/>
        <w:tabs>
          <w:tab w:val="right" w:leader="dot" w:pos="8306"/>
        </w:tabs>
      </w:pPr>
      <w:r>
        <w:rPr>
          <w:rFonts w:hint="eastAsia" w:ascii="仿宋" w:hAnsi="仿宋" w:eastAsia="仿宋" w:cs="仿宋"/>
          <w:bCs/>
        </w:rPr>
        <w:t>（二）20</w:t>
      </w:r>
      <w:r>
        <w:rPr>
          <w:rFonts w:hint="eastAsia" w:ascii="仿宋" w:hAnsi="仿宋" w:eastAsia="仿宋" w:cs="仿宋"/>
          <w:bCs/>
          <w:lang w:val="en-US" w:eastAsia="zh-CN"/>
        </w:rPr>
        <w:t>20</w:t>
      </w:r>
      <w:r>
        <w:rPr>
          <w:rFonts w:hint="eastAsia" w:ascii="仿宋" w:hAnsi="仿宋" w:eastAsia="仿宋" w:cs="仿宋"/>
          <w:bCs/>
        </w:rPr>
        <w:t>年重点工作完成情况</w:t>
      </w:r>
      <w:r>
        <w:tab/>
      </w:r>
      <w:r>
        <w:fldChar w:fldCharType="begin"/>
      </w:r>
      <w:r>
        <w:instrText xml:space="preserve"> PAGEREF _Toc30515 \h </w:instrText>
      </w:r>
      <w:r>
        <w:fldChar w:fldCharType="separate"/>
      </w:r>
      <w:r>
        <w:t>9</w:t>
      </w:r>
      <w:r>
        <w:fldChar w:fldCharType="end"/>
      </w:r>
    </w:p>
    <w:p>
      <w:pPr>
        <w:pStyle w:val="11"/>
        <w:tabs>
          <w:tab w:val="right" w:leader="dot" w:pos="8306"/>
        </w:tabs>
      </w:pPr>
      <w:r>
        <w:rPr>
          <w:rFonts w:hint="eastAsia" w:ascii="黑体" w:eastAsia="黑体"/>
          <w:color w:val="000000"/>
        </w:rPr>
        <w:t>二、</w:t>
      </w:r>
      <w:r>
        <w:rPr>
          <w:rFonts w:hint="eastAsia" w:ascii="黑体" w:hAnsi="黑体" w:eastAsia="黑体"/>
          <w:color w:val="000000"/>
        </w:rPr>
        <w:t>机</w:t>
      </w:r>
      <w:r>
        <w:rPr>
          <w:rFonts w:hint="eastAsia" w:ascii="黑体" w:hAnsi="黑体" w:eastAsia="黑体"/>
          <w:bCs w:val="0"/>
        </w:rPr>
        <w:t>构设置</w:t>
      </w:r>
      <w:r>
        <w:tab/>
      </w:r>
      <w:r>
        <w:fldChar w:fldCharType="begin"/>
      </w:r>
      <w:r>
        <w:instrText xml:space="preserve"> PAGEREF _Toc26275 \h </w:instrText>
      </w:r>
      <w:r>
        <w:fldChar w:fldCharType="separate"/>
      </w:r>
      <w:r>
        <w:t>9</w:t>
      </w:r>
      <w:r>
        <w:fldChar w:fldCharType="end"/>
      </w:r>
    </w:p>
    <w:p>
      <w:pPr>
        <w:pStyle w:val="10"/>
        <w:tabs>
          <w:tab w:val="right" w:leader="dot" w:pos="8306"/>
        </w:tabs>
      </w:pPr>
      <w:r>
        <w:rPr>
          <w:rFonts w:hint="eastAsia" w:ascii="黑体" w:hAnsi="黑体" w:eastAsia="黑体"/>
          <w:color w:val="000000"/>
        </w:rPr>
        <w:t>第二部分</w:t>
      </w:r>
      <w:r>
        <w:rPr>
          <w:rFonts w:ascii="黑体" w:hAnsi="黑体" w:eastAsia="黑体"/>
          <w:color w:val="000000"/>
        </w:rPr>
        <w:t xml:space="preserve"> </w:t>
      </w:r>
      <w:r>
        <w:rPr>
          <w:rFonts w:ascii="黑体" w:hAnsi="黑体" w:eastAsia="黑体"/>
          <w:bCs w:val="0"/>
        </w:rPr>
        <w:t>202</w:t>
      </w:r>
      <w:r>
        <w:rPr>
          <w:rFonts w:hint="eastAsia" w:ascii="黑体" w:hAnsi="黑体" w:eastAsia="黑体"/>
          <w:bCs w:val="0"/>
        </w:rPr>
        <w:t>1年度部门决算情况说明</w:t>
      </w:r>
      <w:r>
        <w:tab/>
      </w:r>
      <w:r>
        <w:fldChar w:fldCharType="begin"/>
      </w:r>
      <w:r>
        <w:instrText xml:space="preserve"> PAGEREF _Toc108 \h </w:instrText>
      </w:r>
      <w:r>
        <w:fldChar w:fldCharType="separate"/>
      </w:r>
      <w:r>
        <w:t>10</w:t>
      </w:r>
      <w:r>
        <w:fldChar w:fldCharType="end"/>
      </w:r>
    </w:p>
    <w:p>
      <w:pPr>
        <w:pStyle w:val="11"/>
        <w:tabs>
          <w:tab w:val="right" w:leader="dot" w:pos="8306"/>
        </w:tabs>
      </w:pPr>
      <w:r>
        <w:rPr>
          <w:rFonts w:hint="default" w:ascii="黑体" w:hAnsi="黑体" w:eastAsia="黑体" w:cs="Times New Roman"/>
        </w:rPr>
        <w:t xml:space="preserve">一、 </w:t>
      </w:r>
      <w:r>
        <w:rPr>
          <w:rFonts w:hint="eastAsia" w:ascii="黑体" w:hAnsi="黑体" w:eastAsia="黑体"/>
          <w:color w:val="000000"/>
          <w:szCs w:val="32"/>
        </w:rPr>
        <w:t>收</w:t>
      </w:r>
      <w:r>
        <w:rPr>
          <w:rFonts w:hint="eastAsia" w:ascii="黑体" w:hAnsi="黑体" w:eastAsia="黑体"/>
        </w:rPr>
        <w:t>入支出决算总体情况说明</w:t>
      </w:r>
      <w:r>
        <w:tab/>
      </w:r>
      <w:r>
        <w:fldChar w:fldCharType="begin"/>
      </w:r>
      <w:r>
        <w:instrText xml:space="preserve"> PAGEREF _Toc31986 \h </w:instrText>
      </w:r>
      <w:r>
        <w:fldChar w:fldCharType="separate"/>
      </w:r>
      <w:r>
        <w:t>10</w:t>
      </w:r>
      <w:r>
        <w:fldChar w:fldCharType="end"/>
      </w:r>
    </w:p>
    <w:p>
      <w:pPr>
        <w:pStyle w:val="11"/>
        <w:tabs>
          <w:tab w:val="right" w:leader="dot" w:pos="8306"/>
        </w:tabs>
      </w:pPr>
      <w:r>
        <w:rPr>
          <w:rFonts w:hint="default" w:ascii="黑体" w:hAnsi="黑体" w:eastAsia="黑体" w:cs="Times New Roman"/>
        </w:rPr>
        <w:t xml:space="preserve">二、 </w:t>
      </w:r>
      <w:r>
        <w:rPr>
          <w:rFonts w:hint="eastAsia" w:ascii="黑体" w:hAnsi="黑体" w:eastAsia="黑体"/>
          <w:color w:val="000000"/>
          <w:szCs w:val="32"/>
        </w:rPr>
        <w:t>收</w:t>
      </w:r>
      <w:r>
        <w:rPr>
          <w:rFonts w:hint="eastAsia" w:ascii="黑体" w:hAnsi="黑体" w:eastAsia="黑体"/>
        </w:rPr>
        <w:t>入决算情况说明</w:t>
      </w:r>
      <w:r>
        <w:tab/>
      </w:r>
      <w:r>
        <w:fldChar w:fldCharType="begin"/>
      </w:r>
      <w:r>
        <w:instrText xml:space="preserve"> PAGEREF _Toc25392 \h </w:instrText>
      </w:r>
      <w:r>
        <w:fldChar w:fldCharType="separate"/>
      </w:r>
      <w:r>
        <w:t>11</w:t>
      </w:r>
      <w:r>
        <w:fldChar w:fldCharType="end"/>
      </w:r>
    </w:p>
    <w:p>
      <w:pPr>
        <w:pStyle w:val="11"/>
        <w:tabs>
          <w:tab w:val="right" w:leader="dot" w:pos="8306"/>
        </w:tabs>
      </w:pPr>
      <w:r>
        <w:rPr>
          <w:rFonts w:hint="default" w:ascii="黑体" w:hAnsi="黑体" w:eastAsia="黑体" w:cs="Times New Roman"/>
        </w:rPr>
        <w:t xml:space="preserve">三、 </w:t>
      </w:r>
      <w:r>
        <w:rPr>
          <w:rFonts w:hint="eastAsia" w:ascii="黑体" w:hAnsi="黑体" w:eastAsia="黑体"/>
          <w:color w:val="000000"/>
          <w:szCs w:val="32"/>
        </w:rPr>
        <w:t>支</w:t>
      </w:r>
      <w:r>
        <w:rPr>
          <w:rFonts w:hint="eastAsia" w:ascii="黑体" w:hAnsi="黑体" w:eastAsia="黑体"/>
        </w:rPr>
        <w:t>出决算情况说明</w:t>
      </w:r>
      <w:r>
        <w:tab/>
      </w:r>
      <w:r>
        <w:fldChar w:fldCharType="begin"/>
      </w:r>
      <w:r>
        <w:instrText xml:space="preserve"> PAGEREF _Toc12468 \h </w:instrText>
      </w:r>
      <w:r>
        <w:fldChar w:fldCharType="separate"/>
      </w:r>
      <w:r>
        <w:t>11</w:t>
      </w:r>
      <w:r>
        <w:fldChar w:fldCharType="end"/>
      </w:r>
    </w:p>
    <w:p>
      <w:pPr>
        <w:pStyle w:val="11"/>
        <w:tabs>
          <w:tab w:val="right" w:leader="dot" w:pos="8306"/>
        </w:tabs>
      </w:pPr>
      <w:r>
        <w:rPr>
          <w:rFonts w:hint="eastAsia" w:ascii="黑体" w:hAnsi="黑体" w:eastAsia="黑体"/>
          <w:color w:val="000000"/>
          <w:szCs w:val="32"/>
        </w:rPr>
        <w:t>四、财</w:t>
      </w:r>
      <w:r>
        <w:rPr>
          <w:rFonts w:hint="eastAsia" w:ascii="黑体" w:hAnsi="黑体" w:eastAsia="黑体"/>
        </w:rPr>
        <w:t>政拨款收入支出决算总体情况说明</w:t>
      </w:r>
      <w:r>
        <w:tab/>
      </w:r>
      <w:r>
        <w:fldChar w:fldCharType="begin"/>
      </w:r>
      <w:r>
        <w:instrText xml:space="preserve"> PAGEREF _Toc19555 \h </w:instrText>
      </w:r>
      <w:r>
        <w:fldChar w:fldCharType="separate"/>
      </w:r>
      <w:r>
        <w:t>12</w:t>
      </w:r>
      <w:r>
        <w:fldChar w:fldCharType="end"/>
      </w:r>
    </w:p>
    <w:p>
      <w:pPr>
        <w:pStyle w:val="11"/>
        <w:tabs>
          <w:tab w:val="right" w:leader="dot" w:pos="8306"/>
        </w:tabs>
      </w:pPr>
      <w:r>
        <w:rPr>
          <w:rFonts w:hint="eastAsia" w:ascii="黑体" w:hAnsi="黑体" w:eastAsia="黑体"/>
          <w:color w:val="000000"/>
          <w:szCs w:val="32"/>
        </w:rPr>
        <w:t>五、一</w:t>
      </w:r>
      <w:r>
        <w:rPr>
          <w:rFonts w:hint="eastAsia" w:ascii="黑体" w:hAnsi="黑体" w:eastAsia="黑体"/>
        </w:rPr>
        <w:t>般公共预算财政拨款支出决算情况说明</w:t>
      </w:r>
      <w:r>
        <w:tab/>
      </w:r>
      <w:r>
        <w:fldChar w:fldCharType="begin"/>
      </w:r>
      <w:r>
        <w:instrText xml:space="preserve"> PAGEREF _Toc7638 \h </w:instrText>
      </w:r>
      <w:r>
        <w:fldChar w:fldCharType="separate"/>
      </w:r>
      <w:r>
        <w:t>13</w:t>
      </w:r>
      <w:r>
        <w:fldChar w:fldCharType="end"/>
      </w:r>
    </w:p>
    <w:p>
      <w:pPr>
        <w:pStyle w:val="7"/>
        <w:tabs>
          <w:tab w:val="right" w:leader="dot" w:pos="8306"/>
        </w:tabs>
      </w:pPr>
      <w:r>
        <w:rPr>
          <w:rFonts w:hint="eastAsia" w:ascii="仿宋" w:hAnsi="仿宋" w:eastAsia="仿宋"/>
          <w:color w:val="000000"/>
          <w:szCs w:val="32"/>
        </w:rPr>
        <w:t>（一）一般公共预算财政拨款支出决算总体情况</w:t>
      </w:r>
      <w:r>
        <w:tab/>
      </w:r>
      <w:r>
        <w:fldChar w:fldCharType="begin"/>
      </w:r>
      <w:r>
        <w:instrText xml:space="preserve"> PAGEREF _Toc26731 \h </w:instrText>
      </w:r>
      <w:r>
        <w:fldChar w:fldCharType="separate"/>
      </w:r>
      <w:r>
        <w:t>13</w:t>
      </w:r>
      <w:r>
        <w:fldChar w:fldCharType="end"/>
      </w:r>
    </w:p>
    <w:p>
      <w:pPr>
        <w:pStyle w:val="7"/>
        <w:tabs>
          <w:tab w:val="right" w:leader="dot" w:pos="8306"/>
        </w:tabs>
      </w:pPr>
      <w:r>
        <w:rPr>
          <w:rFonts w:hint="eastAsia" w:ascii="仿宋" w:hAnsi="仿宋" w:eastAsia="仿宋"/>
          <w:color w:val="000000"/>
          <w:szCs w:val="32"/>
        </w:rPr>
        <w:t>（二）一般公共预算财政拨款支出决算结构情况</w:t>
      </w:r>
      <w:r>
        <w:tab/>
      </w:r>
      <w:r>
        <w:fldChar w:fldCharType="begin"/>
      </w:r>
      <w:r>
        <w:instrText xml:space="preserve"> PAGEREF _Toc1679 \h </w:instrText>
      </w:r>
      <w:r>
        <w:fldChar w:fldCharType="separate"/>
      </w:r>
      <w:r>
        <w:t>14</w:t>
      </w:r>
      <w:r>
        <w:fldChar w:fldCharType="end"/>
      </w:r>
    </w:p>
    <w:p>
      <w:pPr>
        <w:pStyle w:val="7"/>
        <w:tabs>
          <w:tab w:val="right" w:leader="dot" w:pos="8306"/>
        </w:tabs>
      </w:pPr>
      <w:r>
        <w:rPr>
          <w:rFonts w:hint="eastAsia" w:ascii="仿宋" w:hAnsi="仿宋" w:eastAsia="仿宋"/>
          <w:color w:val="000000"/>
          <w:szCs w:val="32"/>
        </w:rPr>
        <w:t>（三）一般公共预算财政拨款支出决算具体情况</w:t>
      </w:r>
      <w:r>
        <w:tab/>
      </w:r>
      <w:r>
        <w:fldChar w:fldCharType="begin"/>
      </w:r>
      <w:r>
        <w:instrText xml:space="preserve"> PAGEREF _Toc17003 \h </w:instrText>
      </w:r>
      <w:r>
        <w:fldChar w:fldCharType="separate"/>
      </w:r>
      <w:r>
        <w:t>15</w:t>
      </w:r>
      <w:r>
        <w:fldChar w:fldCharType="end"/>
      </w:r>
    </w:p>
    <w:p>
      <w:pPr>
        <w:pStyle w:val="11"/>
        <w:tabs>
          <w:tab w:val="right" w:leader="dot" w:pos="8306"/>
        </w:tabs>
      </w:pPr>
      <w:r>
        <w:rPr>
          <w:rFonts w:hint="eastAsia" w:ascii="黑体" w:eastAsia="黑体"/>
          <w:color w:val="000000"/>
          <w:szCs w:val="32"/>
        </w:rPr>
        <w:t>六、</w:t>
      </w:r>
      <w:r>
        <w:rPr>
          <w:rFonts w:hint="eastAsia" w:ascii="黑体" w:hAnsi="黑体" w:eastAsia="黑体"/>
          <w:color w:val="000000"/>
          <w:szCs w:val="32"/>
        </w:rPr>
        <w:t>一</w:t>
      </w:r>
      <w:r>
        <w:rPr>
          <w:rFonts w:hint="eastAsia" w:ascii="黑体" w:hAnsi="黑体" w:eastAsia="黑体"/>
        </w:rPr>
        <w:t>般公共预算财政拨款基本支出决算情况说明</w:t>
      </w:r>
      <w:r>
        <w:tab/>
      </w:r>
      <w:r>
        <w:fldChar w:fldCharType="begin"/>
      </w:r>
      <w:r>
        <w:instrText xml:space="preserve"> PAGEREF _Toc23603 \h </w:instrText>
      </w:r>
      <w:r>
        <w:fldChar w:fldCharType="separate"/>
      </w:r>
      <w:r>
        <w:t>16</w:t>
      </w:r>
      <w:r>
        <w:fldChar w:fldCharType="end"/>
      </w:r>
    </w:p>
    <w:p>
      <w:pPr>
        <w:pStyle w:val="7"/>
        <w:tabs>
          <w:tab w:val="right" w:leader="dot" w:pos="8306"/>
        </w:tabs>
      </w:pPr>
      <w:r>
        <w:rPr>
          <w:rFonts w:hint="eastAsia" w:ascii="仿宋" w:hAnsi="仿宋" w:eastAsia="仿宋" w:cs="仿宋"/>
        </w:rPr>
        <w:t>（一）一般公共预算财政拨款基本支出决算情况说明</w:t>
      </w:r>
      <w:r>
        <w:tab/>
      </w:r>
      <w:r>
        <w:fldChar w:fldCharType="begin"/>
      </w:r>
      <w:r>
        <w:instrText xml:space="preserve"> PAGEREF _Toc13874 \h </w:instrText>
      </w:r>
      <w:r>
        <w:fldChar w:fldCharType="separate"/>
      </w:r>
      <w:r>
        <w:t>16</w:t>
      </w:r>
      <w:r>
        <w:fldChar w:fldCharType="end"/>
      </w:r>
    </w:p>
    <w:p>
      <w:pPr>
        <w:pStyle w:val="7"/>
        <w:tabs>
          <w:tab w:val="right" w:leader="dot" w:pos="8306"/>
        </w:tabs>
      </w:pPr>
      <w:r>
        <w:rPr>
          <w:rFonts w:hint="eastAsia" w:ascii="仿宋" w:hAnsi="仿宋" w:eastAsia="仿宋" w:cs="仿宋"/>
        </w:rPr>
        <w:t>（二）一般公共预算财政拨款项目支出决算情况说明</w:t>
      </w:r>
      <w:r>
        <w:tab/>
      </w:r>
      <w:r>
        <w:fldChar w:fldCharType="begin"/>
      </w:r>
      <w:r>
        <w:instrText xml:space="preserve"> PAGEREF _Toc17373 \h </w:instrText>
      </w:r>
      <w:r>
        <w:fldChar w:fldCharType="separate"/>
      </w:r>
      <w:r>
        <w:t>17</w:t>
      </w:r>
      <w:r>
        <w:fldChar w:fldCharType="end"/>
      </w:r>
    </w:p>
    <w:p>
      <w:pPr>
        <w:pStyle w:val="11"/>
        <w:tabs>
          <w:tab w:val="right" w:leader="dot" w:pos="8306"/>
        </w:tabs>
      </w:pPr>
      <w:r>
        <w:rPr>
          <w:rFonts w:hint="eastAsia" w:ascii="黑体" w:eastAsia="黑体"/>
          <w:color w:val="000000"/>
          <w:szCs w:val="32"/>
        </w:rPr>
        <w:t>七、</w:t>
      </w:r>
      <w:r>
        <w:rPr>
          <w:rFonts w:hint="eastAsia" w:ascii="黑体" w:hAnsi="黑体" w:eastAsia="黑体"/>
        </w:rPr>
        <w:t>“三公”经费财政拨款支出决算情况说明</w:t>
      </w:r>
      <w:r>
        <w:tab/>
      </w:r>
      <w:r>
        <w:fldChar w:fldCharType="begin"/>
      </w:r>
      <w:r>
        <w:instrText xml:space="preserve"> PAGEREF _Toc21210 \h </w:instrText>
      </w:r>
      <w:r>
        <w:fldChar w:fldCharType="separate"/>
      </w:r>
      <w:r>
        <w:t>17</w:t>
      </w:r>
      <w:r>
        <w:fldChar w:fldCharType="end"/>
      </w:r>
    </w:p>
    <w:p>
      <w:pPr>
        <w:pStyle w:val="7"/>
        <w:tabs>
          <w:tab w:val="right" w:leader="dot" w:pos="8306"/>
        </w:tabs>
      </w:pPr>
      <w:r>
        <w:rPr>
          <w:rFonts w:hint="eastAsia" w:ascii="仿宋" w:hAnsi="仿宋" w:eastAsia="仿宋"/>
          <w:color w:val="000000"/>
          <w:szCs w:val="32"/>
        </w:rPr>
        <w:t>（一）“三公”经费财政拨款支出决算总体情况说明</w:t>
      </w:r>
      <w:r>
        <w:tab/>
      </w:r>
      <w:r>
        <w:fldChar w:fldCharType="begin"/>
      </w:r>
      <w:r>
        <w:instrText xml:space="preserve"> PAGEREF _Toc7448 \h </w:instrText>
      </w:r>
      <w:r>
        <w:fldChar w:fldCharType="separate"/>
      </w:r>
      <w:r>
        <w:t>17</w:t>
      </w:r>
      <w:r>
        <w:fldChar w:fldCharType="end"/>
      </w:r>
    </w:p>
    <w:p>
      <w:pPr>
        <w:pStyle w:val="11"/>
        <w:tabs>
          <w:tab w:val="right" w:leader="dot" w:pos="8306"/>
        </w:tabs>
      </w:pPr>
      <w:r>
        <w:rPr>
          <w:rFonts w:hint="eastAsia" w:ascii="黑体" w:hAnsi="Times New Roman" w:eastAsia="黑体" w:cs="Times New Roman"/>
          <w:color w:val="000000"/>
          <w:szCs w:val="32"/>
        </w:rPr>
        <w:t>八、政府性基金预算支出决算情况说明</w:t>
      </w:r>
      <w:r>
        <w:tab/>
      </w:r>
      <w:r>
        <w:fldChar w:fldCharType="begin"/>
      </w:r>
      <w:r>
        <w:instrText xml:space="preserve"> PAGEREF _Toc15148 \h </w:instrText>
      </w:r>
      <w:r>
        <w:fldChar w:fldCharType="separate"/>
      </w:r>
      <w:r>
        <w:t>19</w:t>
      </w:r>
      <w:r>
        <w:fldChar w:fldCharType="end"/>
      </w:r>
    </w:p>
    <w:p>
      <w:pPr>
        <w:pStyle w:val="11"/>
        <w:tabs>
          <w:tab w:val="right" w:leader="dot" w:pos="8306"/>
        </w:tabs>
      </w:pPr>
      <w:r>
        <w:rPr>
          <w:rFonts w:hint="eastAsia" w:ascii="仿宋_GB2312" w:eastAsia="仿宋_GB2312" w:cs="Times New Roman"/>
          <w:color w:val="000000"/>
          <w:szCs w:val="32"/>
        </w:rPr>
        <w:t xml:space="preserve">九、 </w:t>
      </w:r>
      <w:r>
        <w:rPr>
          <w:rFonts w:hint="eastAsia" w:ascii="黑体" w:hAnsi="黑体" w:eastAsia="黑体"/>
        </w:rPr>
        <w:t>国有资本经营预算支出决算情况说明</w:t>
      </w:r>
      <w:r>
        <w:tab/>
      </w:r>
      <w:r>
        <w:fldChar w:fldCharType="begin"/>
      </w:r>
      <w:r>
        <w:instrText xml:space="preserve"> PAGEREF _Toc821 \h </w:instrText>
      </w:r>
      <w:r>
        <w:fldChar w:fldCharType="separate"/>
      </w:r>
      <w:r>
        <w:t>19</w:t>
      </w:r>
      <w:r>
        <w:fldChar w:fldCharType="end"/>
      </w:r>
    </w:p>
    <w:p>
      <w:pPr>
        <w:pStyle w:val="11"/>
        <w:tabs>
          <w:tab w:val="right" w:leader="dot" w:pos="8306"/>
        </w:tabs>
      </w:pPr>
      <w:r>
        <w:rPr>
          <w:rFonts w:hint="eastAsia" w:ascii="黑体" w:hAnsi="黑体" w:eastAsia="黑体"/>
          <w:color w:val="000000"/>
          <w:szCs w:val="32"/>
        </w:rPr>
        <w:t>十</w:t>
      </w:r>
      <w:r>
        <w:rPr>
          <w:rFonts w:hint="eastAsia" w:ascii="黑体" w:hAnsi="黑体" w:eastAsia="黑体"/>
        </w:rPr>
        <w:t>、其他重要事项的情况说明</w:t>
      </w:r>
      <w:r>
        <w:tab/>
      </w:r>
      <w:r>
        <w:fldChar w:fldCharType="begin"/>
      </w:r>
      <w:r>
        <w:instrText xml:space="preserve"> PAGEREF _Toc14908 \h </w:instrText>
      </w:r>
      <w:r>
        <w:fldChar w:fldCharType="separate"/>
      </w:r>
      <w:r>
        <w:t>19</w:t>
      </w:r>
      <w:r>
        <w:fldChar w:fldCharType="end"/>
      </w:r>
    </w:p>
    <w:p>
      <w:pPr>
        <w:pStyle w:val="7"/>
        <w:tabs>
          <w:tab w:val="right" w:leader="dot" w:pos="8306"/>
        </w:tabs>
      </w:pPr>
      <w:r>
        <w:rPr>
          <w:rFonts w:hint="eastAsia" w:ascii="仿宋" w:hAnsi="仿宋" w:eastAsia="仿宋"/>
          <w:color w:val="000000"/>
          <w:szCs w:val="32"/>
        </w:rPr>
        <w:t>（一）机关运行经费支出情况</w:t>
      </w:r>
      <w:r>
        <w:tab/>
      </w:r>
      <w:r>
        <w:fldChar w:fldCharType="begin"/>
      </w:r>
      <w:r>
        <w:instrText xml:space="preserve"> PAGEREF _Toc17905 \h </w:instrText>
      </w:r>
      <w:r>
        <w:fldChar w:fldCharType="separate"/>
      </w:r>
      <w:r>
        <w:t>19</w:t>
      </w:r>
      <w:r>
        <w:fldChar w:fldCharType="end"/>
      </w:r>
    </w:p>
    <w:p>
      <w:pPr>
        <w:pStyle w:val="7"/>
        <w:tabs>
          <w:tab w:val="right" w:leader="dot" w:pos="8306"/>
        </w:tabs>
      </w:pPr>
      <w:r>
        <w:rPr>
          <w:rFonts w:hint="eastAsia" w:ascii="仿宋" w:hAnsi="仿宋" w:eastAsia="仿宋"/>
          <w:color w:val="000000"/>
          <w:szCs w:val="32"/>
        </w:rPr>
        <w:t>（二）政府采购支出情况</w:t>
      </w:r>
      <w:r>
        <w:tab/>
      </w:r>
      <w:r>
        <w:fldChar w:fldCharType="begin"/>
      </w:r>
      <w:r>
        <w:instrText xml:space="preserve"> PAGEREF _Toc13794 \h </w:instrText>
      </w:r>
      <w:r>
        <w:fldChar w:fldCharType="separate"/>
      </w:r>
      <w:r>
        <w:t>20</w:t>
      </w:r>
      <w:r>
        <w:fldChar w:fldCharType="end"/>
      </w:r>
    </w:p>
    <w:p>
      <w:pPr>
        <w:pStyle w:val="7"/>
        <w:tabs>
          <w:tab w:val="right" w:leader="dot" w:pos="8306"/>
        </w:tabs>
      </w:pPr>
      <w:r>
        <w:rPr>
          <w:rFonts w:hint="eastAsia" w:ascii="仿宋" w:hAnsi="仿宋" w:eastAsia="仿宋"/>
          <w:color w:val="000000"/>
          <w:szCs w:val="32"/>
        </w:rPr>
        <w:t>（三）国有资产占有使用情况</w:t>
      </w:r>
      <w:r>
        <w:tab/>
      </w:r>
      <w:r>
        <w:fldChar w:fldCharType="begin"/>
      </w:r>
      <w:r>
        <w:instrText xml:space="preserve"> PAGEREF _Toc31888 \h </w:instrText>
      </w:r>
      <w:r>
        <w:fldChar w:fldCharType="separate"/>
      </w:r>
      <w:r>
        <w:t>20</w:t>
      </w:r>
      <w:r>
        <w:fldChar w:fldCharType="end"/>
      </w:r>
    </w:p>
    <w:p>
      <w:pPr>
        <w:pStyle w:val="7"/>
        <w:tabs>
          <w:tab w:val="right" w:leader="dot" w:pos="8306"/>
        </w:tabs>
      </w:pPr>
      <w:r>
        <w:rPr>
          <w:rFonts w:hint="eastAsia" w:ascii="仿宋" w:hAnsi="仿宋" w:eastAsia="仿宋"/>
          <w:color w:val="000000"/>
          <w:szCs w:val="32"/>
        </w:rPr>
        <w:t>（四）预算绩效管理情况。</w:t>
      </w:r>
      <w:r>
        <w:tab/>
      </w:r>
      <w:r>
        <w:fldChar w:fldCharType="begin"/>
      </w:r>
      <w:r>
        <w:instrText xml:space="preserve"> PAGEREF _Toc13814 \h </w:instrText>
      </w:r>
      <w:r>
        <w:fldChar w:fldCharType="separate"/>
      </w:r>
      <w:r>
        <w:t>20</w:t>
      </w:r>
      <w:r>
        <w:fldChar w:fldCharType="end"/>
      </w:r>
    </w:p>
    <w:p>
      <w:pPr>
        <w:pStyle w:val="7"/>
        <w:tabs>
          <w:tab w:val="right" w:leader="dot" w:pos="8306"/>
        </w:tabs>
      </w:pPr>
      <w:r>
        <w:rPr>
          <w:rFonts w:hint="eastAsia" w:ascii="楷体" w:hAnsi="楷体" w:eastAsia="楷体" w:cs="楷体"/>
          <w:color w:val="000000"/>
          <w:szCs w:val="32"/>
        </w:rPr>
        <w:t>（</w:t>
      </w:r>
      <w:r>
        <w:rPr>
          <w:rFonts w:hint="eastAsia" w:ascii="楷体" w:hAnsi="楷体" w:eastAsia="楷体" w:cs="楷体"/>
          <w:color w:val="000000"/>
          <w:szCs w:val="32"/>
          <w:lang w:eastAsia="zh-CN"/>
        </w:rPr>
        <w:t>五</w:t>
      </w:r>
      <w:r>
        <w:rPr>
          <w:rFonts w:hint="eastAsia" w:ascii="楷体" w:hAnsi="楷体" w:eastAsia="楷体" w:cs="楷体"/>
          <w:color w:val="000000"/>
          <w:szCs w:val="32"/>
        </w:rPr>
        <w:t>）</w:t>
      </w:r>
      <w:r>
        <w:rPr>
          <w:rFonts w:hint="eastAsia" w:ascii="楷体" w:hAnsi="楷体" w:eastAsia="楷体" w:cs="楷体"/>
          <w:color w:val="000000"/>
          <w:szCs w:val="32"/>
          <w:lang w:eastAsia="zh-CN"/>
        </w:rPr>
        <w:t>其他需说明的情况</w:t>
      </w:r>
      <w:r>
        <w:tab/>
      </w:r>
      <w:r>
        <w:fldChar w:fldCharType="begin"/>
      </w:r>
      <w:r>
        <w:instrText xml:space="preserve"> PAGEREF _Toc11937 \h </w:instrText>
      </w:r>
      <w:r>
        <w:fldChar w:fldCharType="separate"/>
      </w:r>
      <w:r>
        <w:t>23</w:t>
      </w:r>
      <w:r>
        <w:fldChar w:fldCharType="end"/>
      </w:r>
    </w:p>
    <w:p>
      <w:pPr>
        <w:pStyle w:val="10"/>
        <w:tabs>
          <w:tab w:val="right" w:leader="dot" w:pos="8306"/>
        </w:tabs>
      </w:pPr>
      <w:r>
        <w:rPr>
          <w:rFonts w:hint="eastAsia" w:ascii="黑体" w:hAnsi="黑体" w:eastAsia="黑体" w:cs="Times New Roman"/>
        </w:rPr>
        <w:t xml:space="preserve">第三部分 </w:t>
      </w:r>
      <w:r>
        <w:rPr>
          <w:rFonts w:hint="eastAsia" w:ascii="黑体" w:hAnsi="黑体" w:eastAsia="黑体"/>
          <w:color w:val="000000"/>
          <w:szCs w:val="44"/>
        </w:rPr>
        <w:t>名</w:t>
      </w:r>
      <w:r>
        <w:rPr>
          <w:rFonts w:hint="eastAsia" w:ascii="黑体" w:hAnsi="黑体" w:eastAsia="黑体"/>
        </w:rPr>
        <w:t>词解释</w:t>
      </w:r>
      <w:r>
        <w:tab/>
      </w:r>
      <w:r>
        <w:fldChar w:fldCharType="begin"/>
      </w:r>
      <w:r>
        <w:instrText xml:space="preserve"> PAGEREF _Toc11901 \h </w:instrText>
      </w:r>
      <w:r>
        <w:fldChar w:fldCharType="separate"/>
      </w:r>
      <w:r>
        <w:t>24</w:t>
      </w:r>
      <w:r>
        <w:fldChar w:fldCharType="end"/>
      </w:r>
    </w:p>
    <w:p>
      <w:pPr>
        <w:pStyle w:val="10"/>
        <w:tabs>
          <w:tab w:val="right" w:leader="dot" w:pos="8306"/>
        </w:tabs>
      </w:pPr>
      <w:r>
        <w:rPr>
          <w:rFonts w:hint="eastAsia" w:ascii="黑体" w:hAnsi="黑体" w:eastAsia="黑体" w:cs="Times New Roman"/>
          <w:color w:val="000000"/>
          <w:szCs w:val="44"/>
        </w:rPr>
        <w:t>第四部分 附件</w:t>
      </w:r>
      <w:r>
        <w:tab/>
      </w:r>
      <w:r>
        <w:fldChar w:fldCharType="begin"/>
      </w:r>
      <w:r>
        <w:instrText xml:space="preserve"> PAGEREF _Toc10238 \h </w:instrText>
      </w:r>
      <w:r>
        <w:fldChar w:fldCharType="separate"/>
      </w:r>
      <w:r>
        <w:t>28</w:t>
      </w:r>
      <w:r>
        <w:fldChar w:fldCharType="end"/>
      </w:r>
    </w:p>
    <w:p>
      <w:pPr>
        <w:pStyle w:val="10"/>
        <w:tabs>
          <w:tab w:val="right" w:leader="dot" w:pos="8306"/>
        </w:tabs>
      </w:pPr>
      <w:r>
        <w:rPr>
          <w:rFonts w:hint="eastAsia" w:ascii="黑体" w:hAnsi="黑体" w:eastAsia="黑体" w:cs="黑体"/>
          <w:szCs w:val="32"/>
        </w:rPr>
        <w:t>附件1</w:t>
      </w:r>
      <w:r>
        <w:tab/>
      </w:r>
      <w:r>
        <w:fldChar w:fldCharType="begin"/>
      </w:r>
      <w:r>
        <w:instrText xml:space="preserve"> PAGEREF _Toc27689 \h </w:instrText>
      </w:r>
      <w:r>
        <w:fldChar w:fldCharType="separate"/>
      </w:r>
      <w:r>
        <w:t>28</w:t>
      </w:r>
      <w:r>
        <w:fldChar w:fldCharType="end"/>
      </w:r>
    </w:p>
    <w:p>
      <w:pPr>
        <w:pStyle w:val="10"/>
        <w:tabs>
          <w:tab w:val="right" w:leader="dot" w:pos="8306"/>
        </w:tabs>
      </w:pPr>
      <w:r>
        <w:rPr>
          <w:rFonts w:hint="eastAsia" w:ascii="黑体" w:hAnsi="黑体" w:eastAsia="黑体"/>
          <w:color w:val="000000"/>
          <w:szCs w:val="44"/>
        </w:rPr>
        <w:t>第</w:t>
      </w:r>
      <w:r>
        <w:rPr>
          <w:rFonts w:hint="eastAsia" w:ascii="黑体" w:hAnsi="黑体" w:eastAsia="黑体"/>
        </w:rPr>
        <w:t>五部分</w:t>
      </w:r>
      <w:r>
        <w:rPr>
          <w:rFonts w:ascii="黑体" w:hAnsi="黑体" w:eastAsia="黑体"/>
        </w:rPr>
        <w:t xml:space="preserve"> </w:t>
      </w:r>
      <w:r>
        <w:rPr>
          <w:rFonts w:hint="eastAsia" w:ascii="黑体" w:hAnsi="黑体" w:eastAsia="黑体"/>
        </w:rPr>
        <w:t>附表</w:t>
      </w:r>
      <w:r>
        <w:tab/>
      </w:r>
      <w:r>
        <w:fldChar w:fldCharType="begin"/>
      </w:r>
      <w:r>
        <w:instrText xml:space="preserve"> PAGEREF _Toc31185 \h </w:instrText>
      </w:r>
      <w:r>
        <w:fldChar w:fldCharType="separate"/>
      </w:r>
      <w:r>
        <w:t>40</w:t>
      </w:r>
      <w:r>
        <w:fldChar w:fldCharType="end"/>
      </w:r>
    </w:p>
    <w:p>
      <w:pPr>
        <w:pStyle w:val="11"/>
        <w:tabs>
          <w:tab w:val="right" w:leader="dot" w:pos="8306"/>
        </w:tabs>
      </w:pPr>
      <w:r>
        <w:rPr>
          <w:rFonts w:hint="eastAsia" w:ascii="仿宋" w:hAnsi="仿宋" w:eastAsia="仿宋"/>
          <w:color w:val="000000"/>
        </w:rPr>
        <w:t>一、收</w:t>
      </w:r>
      <w:r>
        <w:rPr>
          <w:rFonts w:hint="eastAsia" w:ascii="仿宋" w:hAnsi="仿宋" w:eastAsia="仿宋"/>
          <w:bCs w:val="0"/>
        </w:rPr>
        <w:t>入支出决算总表</w:t>
      </w:r>
      <w:r>
        <w:tab/>
      </w:r>
      <w:r>
        <w:fldChar w:fldCharType="begin"/>
      </w:r>
      <w:r>
        <w:instrText xml:space="preserve"> PAGEREF _Toc15825 \h </w:instrText>
      </w:r>
      <w:r>
        <w:fldChar w:fldCharType="separate"/>
      </w:r>
      <w:r>
        <w:t>40</w:t>
      </w:r>
      <w:r>
        <w:fldChar w:fldCharType="end"/>
      </w:r>
    </w:p>
    <w:p>
      <w:pPr>
        <w:pStyle w:val="11"/>
        <w:tabs>
          <w:tab w:val="right" w:leader="dot" w:pos="8306"/>
        </w:tabs>
      </w:pPr>
      <w:r>
        <w:rPr>
          <w:rFonts w:hint="eastAsia" w:ascii="仿宋" w:hAnsi="仿宋" w:eastAsia="仿宋"/>
          <w:color w:val="000000"/>
        </w:rPr>
        <w:t>二、收</w:t>
      </w:r>
      <w:r>
        <w:rPr>
          <w:rFonts w:hint="eastAsia" w:ascii="仿宋" w:hAnsi="仿宋" w:eastAsia="仿宋"/>
          <w:bCs w:val="0"/>
        </w:rPr>
        <w:t>入决算表</w:t>
      </w:r>
      <w:r>
        <w:tab/>
      </w:r>
      <w:r>
        <w:fldChar w:fldCharType="begin"/>
      </w:r>
      <w:r>
        <w:instrText xml:space="preserve"> PAGEREF _Toc30872 \h </w:instrText>
      </w:r>
      <w:r>
        <w:fldChar w:fldCharType="separate"/>
      </w:r>
      <w:r>
        <w:t>40</w:t>
      </w:r>
      <w:r>
        <w:fldChar w:fldCharType="end"/>
      </w:r>
    </w:p>
    <w:p>
      <w:pPr>
        <w:pStyle w:val="11"/>
        <w:tabs>
          <w:tab w:val="right" w:leader="dot" w:pos="8306"/>
        </w:tabs>
      </w:pPr>
      <w:r>
        <w:rPr>
          <w:rFonts w:hint="eastAsia" w:ascii="仿宋" w:hAnsi="仿宋" w:eastAsia="仿宋"/>
          <w:bCs w:val="0"/>
        </w:rPr>
        <w:t>三、</w:t>
      </w:r>
      <w:r>
        <w:rPr>
          <w:rFonts w:hint="eastAsia" w:ascii="仿宋" w:hAnsi="仿宋" w:eastAsia="仿宋"/>
          <w:color w:val="000000"/>
        </w:rPr>
        <w:t>支</w:t>
      </w:r>
      <w:r>
        <w:rPr>
          <w:rFonts w:hint="eastAsia" w:ascii="仿宋" w:hAnsi="仿宋" w:eastAsia="仿宋"/>
          <w:bCs w:val="0"/>
        </w:rPr>
        <w:t>出决算表</w:t>
      </w:r>
      <w:r>
        <w:tab/>
      </w:r>
      <w:r>
        <w:fldChar w:fldCharType="begin"/>
      </w:r>
      <w:r>
        <w:instrText xml:space="preserve"> PAGEREF _Toc2777 \h </w:instrText>
      </w:r>
      <w:r>
        <w:fldChar w:fldCharType="separate"/>
      </w:r>
      <w:r>
        <w:t>40</w:t>
      </w:r>
      <w:r>
        <w:fldChar w:fldCharType="end"/>
      </w:r>
    </w:p>
    <w:p>
      <w:pPr>
        <w:pStyle w:val="11"/>
        <w:tabs>
          <w:tab w:val="right" w:leader="dot" w:pos="8306"/>
        </w:tabs>
      </w:pPr>
      <w:r>
        <w:rPr>
          <w:rFonts w:hint="eastAsia" w:ascii="仿宋" w:hAnsi="仿宋" w:eastAsia="仿宋"/>
          <w:bCs w:val="0"/>
        </w:rPr>
        <w:t>四、</w:t>
      </w:r>
      <w:r>
        <w:rPr>
          <w:rFonts w:hint="eastAsia" w:ascii="仿宋" w:hAnsi="仿宋" w:eastAsia="仿宋"/>
          <w:color w:val="000000"/>
        </w:rPr>
        <w:t>财</w:t>
      </w:r>
      <w:r>
        <w:rPr>
          <w:rFonts w:hint="eastAsia" w:ascii="仿宋" w:hAnsi="仿宋" w:eastAsia="仿宋"/>
          <w:bCs w:val="0"/>
        </w:rPr>
        <w:t>政拨款收入支出决算总表</w:t>
      </w:r>
      <w:r>
        <w:tab/>
      </w:r>
      <w:r>
        <w:fldChar w:fldCharType="begin"/>
      </w:r>
      <w:r>
        <w:instrText xml:space="preserve"> PAGEREF _Toc18311 \h </w:instrText>
      </w:r>
      <w:r>
        <w:fldChar w:fldCharType="separate"/>
      </w:r>
      <w:r>
        <w:t>40</w:t>
      </w:r>
      <w:r>
        <w:fldChar w:fldCharType="end"/>
      </w:r>
    </w:p>
    <w:p>
      <w:pPr>
        <w:pStyle w:val="11"/>
        <w:tabs>
          <w:tab w:val="right" w:leader="dot" w:pos="8306"/>
        </w:tabs>
      </w:pPr>
      <w:r>
        <w:rPr>
          <w:rFonts w:hint="eastAsia" w:ascii="仿宋" w:hAnsi="仿宋" w:eastAsia="仿宋"/>
          <w:bCs w:val="0"/>
        </w:rPr>
        <w:t>五、</w:t>
      </w:r>
      <w:r>
        <w:rPr>
          <w:rFonts w:hint="eastAsia" w:ascii="仿宋" w:hAnsi="仿宋" w:eastAsia="仿宋"/>
          <w:color w:val="000000"/>
        </w:rPr>
        <w:t>财</w:t>
      </w:r>
      <w:r>
        <w:rPr>
          <w:rFonts w:hint="eastAsia" w:ascii="仿宋" w:hAnsi="仿宋" w:eastAsia="仿宋"/>
          <w:bCs w:val="0"/>
        </w:rPr>
        <w:t>政拨款支出决算明细表</w:t>
      </w:r>
      <w:r>
        <w:tab/>
      </w:r>
      <w:r>
        <w:fldChar w:fldCharType="begin"/>
      </w:r>
      <w:r>
        <w:instrText xml:space="preserve"> PAGEREF _Toc17819 \h </w:instrText>
      </w:r>
      <w:r>
        <w:fldChar w:fldCharType="separate"/>
      </w:r>
      <w:r>
        <w:t>40</w:t>
      </w:r>
      <w:r>
        <w:fldChar w:fldCharType="end"/>
      </w:r>
    </w:p>
    <w:p>
      <w:pPr>
        <w:pStyle w:val="11"/>
        <w:tabs>
          <w:tab w:val="right" w:leader="dot" w:pos="8306"/>
        </w:tabs>
      </w:pPr>
      <w:r>
        <w:rPr>
          <w:rFonts w:hint="eastAsia" w:ascii="仿宋" w:hAnsi="仿宋" w:eastAsia="仿宋"/>
          <w:bCs w:val="0"/>
        </w:rPr>
        <w:t>六、</w:t>
      </w:r>
      <w:r>
        <w:rPr>
          <w:rFonts w:hint="eastAsia" w:ascii="仿宋" w:hAnsi="仿宋" w:eastAsia="仿宋"/>
          <w:color w:val="000000"/>
        </w:rPr>
        <w:t>一</w:t>
      </w:r>
      <w:r>
        <w:rPr>
          <w:rFonts w:hint="eastAsia" w:ascii="仿宋" w:hAnsi="仿宋" w:eastAsia="仿宋"/>
          <w:bCs w:val="0"/>
        </w:rPr>
        <w:t>般公共预算财政拨款支出决算表</w:t>
      </w:r>
      <w:r>
        <w:tab/>
      </w:r>
      <w:r>
        <w:fldChar w:fldCharType="begin"/>
      </w:r>
      <w:r>
        <w:instrText xml:space="preserve"> PAGEREF _Toc17334 \h </w:instrText>
      </w:r>
      <w:r>
        <w:fldChar w:fldCharType="separate"/>
      </w:r>
      <w:r>
        <w:t>40</w:t>
      </w:r>
      <w:r>
        <w:fldChar w:fldCharType="end"/>
      </w:r>
    </w:p>
    <w:p>
      <w:pPr>
        <w:pStyle w:val="11"/>
        <w:tabs>
          <w:tab w:val="right" w:leader="dot" w:pos="8306"/>
        </w:tabs>
      </w:pPr>
      <w:r>
        <w:rPr>
          <w:rFonts w:hint="eastAsia" w:ascii="仿宋" w:hAnsi="仿宋" w:eastAsia="仿宋"/>
          <w:bCs w:val="0"/>
        </w:rPr>
        <w:t>七、</w:t>
      </w:r>
      <w:r>
        <w:rPr>
          <w:rFonts w:hint="eastAsia" w:ascii="仿宋" w:hAnsi="仿宋" w:eastAsia="仿宋"/>
          <w:color w:val="000000"/>
        </w:rPr>
        <w:t>一</w:t>
      </w:r>
      <w:r>
        <w:rPr>
          <w:rFonts w:hint="eastAsia" w:ascii="仿宋" w:hAnsi="仿宋" w:eastAsia="仿宋"/>
          <w:bCs w:val="0"/>
        </w:rPr>
        <w:t>般公共预算财政拨款支出决算明细表</w:t>
      </w:r>
      <w:r>
        <w:tab/>
      </w:r>
      <w:r>
        <w:fldChar w:fldCharType="begin"/>
      </w:r>
      <w:r>
        <w:instrText xml:space="preserve"> PAGEREF _Toc25167 \h </w:instrText>
      </w:r>
      <w:r>
        <w:fldChar w:fldCharType="separate"/>
      </w:r>
      <w:r>
        <w:t>40</w:t>
      </w:r>
      <w:r>
        <w:fldChar w:fldCharType="end"/>
      </w:r>
    </w:p>
    <w:p>
      <w:pPr>
        <w:pStyle w:val="11"/>
        <w:tabs>
          <w:tab w:val="right" w:leader="dot" w:pos="8306"/>
        </w:tabs>
      </w:pPr>
      <w:r>
        <w:rPr>
          <w:rFonts w:hint="eastAsia" w:ascii="仿宋" w:hAnsi="仿宋" w:eastAsia="仿宋"/>
          <w:bCs w:val="0"/>
        </w:rPr>
        <w:t>八、</w:t>
      </w:r>
      <w:r>
        <w:rPr>
          <w:rFonts w:hint="eastAsia" w:ascii="仿宋" w:hAnsi="仿宋" w:eastAsia="仿宋"/>
          <w:color w:val="000000"/>
        </w:rPr>
        <w:t>一</w:t>
      </w:r>
      <w:r>
        <w:rPr>
          <w:rFonts w:hint="eastAsia" w:ascii="仿宋" w:hAnsi="仿宋" w:eastAsia="仿宋"/>
          <w:bCs w:val="0"/>
        </w:rPr>
        <w:t>般公共预算财政拨款基本支出决算表</w:t>
      </w:r>
      <w:r>
        <w:tab/>
      </w:r>
      <w:r>
        <w:fldChar w:fldCharType="begin"/>
      </w:r>
      <w:r>
        <w:instrText xml:space="preserve"> PAGEREF _Toc30202 \h </w:instrText>
      </w:r>
      <w:r>
        <w:fldChar w:fldCharType="separate"/>
      </w:r>
      <w:r>
        <w:t>40</w:t>
      </w:r>
      <w:r>
        <w:fldChar w:fldCharType="end"/>
      </w:r>
    </w:p>
    <w:p>
      <w:pPr>
        <w:pStyle w:val="11"/>
        <w:tabs>
          <w:tab w:val="right" w:leader="dot" w:pos="8306"/>
        </w:tabs>
      </w:pPr>
      <w:r>
        <w:rPr>
          <w:rFonts w:hint="eastAsia" w:ascii="仿宋" w:hAnsi="仿宋" w:eastAsia="仿宋"/>
          <w:bCs w:val="0"/>
        </w:rPr>
        <w:t>九、</w:t>
      </w:r>
      <w:r>
        <w:rPr>
          <w:rFonts w:hint="eastAsia" w:ascii="仿宋" w:hAnsi="仿宋" w:eastAsia="仿宋"/>
          <w:color w:val="000000"/>
        </w:rPr>
        <w:t>一</w:t>
      </w:r>
      <w:r>
        <w:rPr>
          <w:rFonts w:hint="eastAsia" w:ascii="仿宋" w:hAnsi="仿宋" w:eastAsia="仿宋"/>
          <w:bCs w:val="0"/>
        </w:rPr>
        <w:t>般公共预算财政拨款项目支出决算表</w:t>
      </w:r>
      <w:r>
        <w:tab/>
      </w:r>
      <w:r>
        <w:fldChar w:fldCharType="begin"/>
      </w:r>
      <w:r>
        <w:instrText xml:space="preserve"> PAGEREF _Toc32263 \h </w:instrText>
      </w:r>
      <w:r>
        <w:fldChar w:fldCharType="separate"/>
      </w:r>
      <w:r>
        <w:t>40</w:t>
      </w:r>
      <w:r>
        <w:fldChar w:fldCharType="end"/>
      </w:r>
    </w:p>
    <w:p>
      <w:pPr>
        <w:pStyle w:val="11"/>
        <w:tabs>
          <w:tab w:val="right" w:leader="dot" w:pos="8306"/>
        </w:tabs>
      </w:pPr>
      <w:r>
        <w:rPr>
          <w:rFonts w:hint="eastAsia" w:ascii="仿宋" w:hAnsi="仿宋" w:eastAsia="仿宋"/>
          <w:bCs w:val="0"/>
        </w:rPr>
        <w:t>十、</w:t>
      </w:r>
      <w:r>
        <w:rPr>
          <w:rFonts w:hint="eastAsia" w:ascii="仿宋" w:hAnsi="仿宋" w:eastAsia="仿宋"/>
          <w:color w:val="000000"/>
        </w:rPr>
        <w:t>一</w:t>
      </w:r>
      <w:r>
        <w:rPr>
          <w:rFonts w:hint="eastAsia" w:ascii="仿宋" w:hAnsi="仿宋" w:eastAsia="仿宋"/>
          <w:bCs w:val="0"/>
        </w:rPr>
        <w:t>般公共预算财政拨款“三公”经费支出决算表</w:t>
      </w:r>
      <w:r>
        <w:tab/>
      </w:r>
      <w:r>
        <w:fldChar w:fldCharType="begin"/>
      </w:r>
      <w:r>
        <w:instrText xml:space="preserve"> PAGEREF _Toc10338 \h </w:instrText>
      </w:r>
      <w:r>
        <w:fldChar w:fldCharType="separate"/>
      </w:r>
      <w:r>
        <w:t>40</w:t>
      </w:r>
      <w:r>
        <w:fldChar w:fldCharType="end"/>
      </w:r>
    </w:p>
    <w:p>
      <w:pPr>
        <w:pStyle w:val="11"/>
        <w:tabs>
          <w:tab w:val="right" w:leader="dot" w:pos="8306"/>
        </w:tabs>
      </w:pPr>
      <w:r>
        <w:rPr>
          <w:rFonts w:hint="eastAsia" w:ascii="仿宋" w:hAnsi="仿宋" w:eastAsia="仿宋"/>
          <w:bCs w:val="0"/>
        </w:rPr>
        <w:t>十一、</w:t>
      </w:r>
      <w:r>
        <w:rPr>
          <w:rFonts w:hint="eastAsia" w:ascii="仿宋" w:hAnsi="仿宋" w:eastAsia="仿宋"/>
          <w:color w:val="000000"/>
        </w:rPr>
        <w:t>政</w:t>
      </w:r>
      <w:r>
        <w:rPr>
          <w:rFonts w:hint="eastAsia" w:ascii="仿宋" w:hAnsi="仿宋" w:eastAsia="仿宋"/>
          <w:bCs w:val="0"/>
        </w:rPr>
        <w:t>府性基金预算财政拨款收入支出决算表</w:t>
      </w:r>
      <w:r>
        <w:tab/>
      </w:r>
      <w:r>
        <w:fldChar w:fldCharType="begin"/>
      </w:r>
      <w:r>
        <w:instrText xml:space="preserve"> PAGEREF _Toc32443 \h </w:instrText>
      </w:r>
      <w:r>
        <w:fldChar w:fldCharType="separate"/>
      </w:r>
      <w:r>
        <w:t>40</w:t>
      </w:r>
      <w:r>
        <w:fldChar w:fldCharType="end"/>
      </w:r>
    </w:p>
    <w:p>
      <w:pPr>
        <w:pStyle w:val="11"/>
        <w:tabs>
          <w:tab w:val="right" w:leader="dot" w:pos="8306"/>
        </w:tabs>
      </w:pPr>
      <w:r>
        <w:rPr>
          <w:rFonts w:hint="eastAsia" w:ascii="仿宋" w:hAnsi="仿宋" w:eastAsia="仿宋"/>
          <w:bCs w:val="0"/>
        </w:rPr>
        <w:t>十二、</w:t>
      </w:r>
      <w:r>
        <w:rPr>
          <w:rFonts w:hint="eastAsia" w:ascii="仿宋" w:hAnsi="仿宋" w:eastAsia="仿宋"/>
          <w:color w:val="000000"/>
        </w:rPr>
        <w:t>政</w:t>
      </w:r>
      <w:r>
        <w:rPr>
          <w:rFonts w:hint="eastAsia" w:ascii="仿宋" w:hAnsi="仿宋" w:eastAsia="仿宋"/>
          <w:bCs w:val="0"/>
        </w:rPr>
        <w:t>府性基金预算财政拨款“三公”经费支出决算表</w:t>
      </w:r>
      <w:r>
        <w:tab/>
      </w:r>
      <w:r>
        <w:fldChar w:fldCharType="begin"/>
      </w:r>
      <w:r>
        <w:instrText xml:space="preserve"> PAGEREF _Toc25765 \h </w:instrText>
      </w:r>
      <w:r>
        <w:fldChar w:fldCharType="separate"/>
      </w:r>
      <w:r>
        <w:t>40</w:t>
      </w:r>
      <w:r>
        <w:fldChar w:fldCharType="end"/>
      </w:r>
    </w:p>
    <w:p>
      <w:pPr>
        <w:pStyle w:val="11"/>
        <w:tabs>
          <w:tab w:val="right" w:leader="dot" w:pos="8306"/>
        </w:tabs>
      </w:pPr>
      <w:r>
        <w:rPr>
          <w:rFonts w:hint="eastAsia" w:ascii="仿宋" w:hAnsi="仿宋" w:eastAsia="仿宋"/>
          <w:bCs w:val="0"/>
        </w:rPr>
        <w:t>十三、</w:t>
      </w:r>
      <w:r>
        <w:rPr>
          <w:rFonts w:hint="eastAsia" w:ascii="仿宋" w:hAnsi="仿宋" w:eastAsia="仿宋"/>
          <w:color w:val="000000"/>
        </w:rPr>
        <w:t>国</w:t>
      </w:r>
      <w:r>
        <w:rPr>
          <w:rFonts w:hint="eastAsia" w:ascii="仿宋" w:hAnsi="仿宋" w:eastAsia="仿宋"/>
          <w:bCs w:val="0"/>
        </w:rPr>
        <w:t>有资本经营预算财政拨款支出决算表</w:t>
      </w:r>
      <w:r>
        <w:tab/>
      </w:r>
      <w:r>
        <w:fldChar w:fldCharType="begin"/>
      </w:r>
      <w:r>
        <w:instrText xml:space="preserve"> PAGEREF _Toc31862 \h </w:instrText>
      </w:r>
      <w:r>
        <w:fldChar w:fldCharType="separate"/>
      </w:r>
      <w:r>
        <w:t>40</w:t>
      </w:r>
      <w:r>
        <w:fldChar w:fldCharType="end"/>
      </w:r>
    </w:p>
    <w:p>
      <w:pPr>
        <w:pStyle w:val="11"/>
        <w:tabs>
          <w:tab w:val="right" w:leader="dot" w:pos="8306"/>
        </w:tabs>
      </w:pPr>
      <w:r>
        <w:rPr>
          <w:rFonts w:hint="eastAsia" w:ascii="仿宋" w:hAnsi="仿宋" w:eastAsia="仿宋"/>
          <w:bCs w:val="0"/>
        </w:rPr>
        <w:t>十四、国有资本经营预算财政拨款支出决算表</w:t>
      </w:r>
      <w:r>
        <w:tab/>
      </w:r>
      <w:r>
        <w:fldChar w:fldCharType="begin"/>
      </w:r>
      <w:r>
        <w:instrText xml:space="preserve"> PAGEREF _Toc2828 \h </w:instrText>
      </w:r>
      <w:r>
        <w:fldChar w:fldCharType="separate"/>
      </w:r>
      <w:r>
        <w:t>40</w:t>
      </w:r>
      <w:r>
        <w:fldChar w:fldCharType="end"/>
      </w:r>
    </w:p>
    <w:p>
      <w:r>
        <w:rPr>
          <w:rFonts w:asciiTheme="minorHAnsi" w:eastAsiaTheme="minorHAnsi"/>
          <w:bCs/>
          <w:caps/>
          <w:szCs w:val="20"/>
        </w:rPr>
        <w:fldChar w:fldCharType="end"/>
      </w:r>
    </w:p>
    <w:p>
      <w:pPr>
        <w:widowControl/>
        <w:adjustRightInd w:val="0"/>
        <w:snapToGrid w:val="0"/>
        <w:spacing w:line="440" w:lineRule="exact"/>
        <w:ind w:firstLine="1320" w:firstLineChars="550"/>
        <w:jc w:val="left"/>
        <w:rPr>
          <w:rFonts w:ascii="仿宋" w:hAnsi="仿宋" w:eastAsia="仿宋"/>
          <w:color w:val="FF0000"/>
          <w:sz w:val="24"/>
        </w:rPr>
      </w:pPr>
      <w:r>
        <w:rPr>
          <w:rFonts w:ascii="仿宋" w:hAnsi="仿宋" w:eastAsia="仿宋"/>
          <w:color w:val="FF0000"/>
          <w:sz w:val="24"/>
        </w:rPr>
        <w:t>(</w:t>
      </w:r>
      <w:r>
        <w:rPr>
          <w:rFonts w:hint="eastAsia" w:ascii="仿宋" w:hAnsi="仿宋" w:eastAsia="仿宋"/>
          <w:color w:val="FF0000"/>
          <w:sz w:val="24"/>
        </w:rPr>
        <w:t>注：请部门根据实际注明页码</w:t>
      </w:r>
      <w:r>
        <w:rPr>
          <w:rFonts w:ascii="仿宋" w:hAnsi="仿宋" w:eastAsia="仿宋"/>
          <w:color w:val="FF0000"/>
          <w:sz w:val="24"/>
        </w:rPr>
        <w:t>)</w:t>
      </w:r>
    </w:p>
    <w:p>
      <w:pPr>
        <w:widowControl/>
        <w:spacing w:line="440" w:lineRule="exact"/>
        <w:jc w:val="left"/>
        <w:rPr>
          <w:rFonts w:ascii="仿宋" w:hAnsi="仿宋" w:eastAsia="仿宋"/>
          <w:bCs/>
          <w:kern w:val="44"/>
          <w:sz w:val="24"/>
        </w:rPr>
      </w:pPr>
      <w:bookmarkStart w:id="12" w:name="_Toc15377196"/>
      <w:bookmarkStart w:id="13" w:name="_Toc15396599"/>
      <w:r>
        <w:rPr>
          <w:rFonts w:ascii="仿宋" w:hAnsi="仿宋" w:eastAsia="仿宋"/>
          <w:b/>
          <w:sz w:val="24"/>
        </w:rPr>
        <w:br w:type="page"/>
      </w:r>
    </w:p>
    <w:p>
      <w:pPr>
        <w:pStyle w:val="3"/>
        <w:jc w:val="center"/>
        <w:rPr>
          <w:rStyle w:val="15"/>
          <w:rFonts w:ascii="黑体" w:hAnsi="黑体" w:eastAsia="黑体"/>
          <w:b/>
          <w:bCs w:val="0"/>
        </w:rPr>
      </w:pPr>
      <w:bookmarkStart w:id="14" w:name="_Toc79163601"/>
      <w:bookmarkStart w:id="15" w:name="_Toc23919"/>
      <w:r>
        <w:rPr>
          <w:rFonts w:hint="eastAsia" w:ascii="黑体" w:hAnsi="黑体" w:eastAsia="黑体"/>
          <w:b w:val="0"/>
        </w:rPr>
        <w:t>第一部分</w:t>
      </w:r>
      <w:r>
        <w:rPr>
          <w:rFonts w:ascii="黑体" w:hAnsi="黑体" w:eastAsia="黑体"/>
          <w:b w:val="0"/>
        </w:rPr>
        <w:t xml:space="preserve"> </w:t>
      </w:r>
      <w:r>
        <w:rPr>
          <w:rStyle w:val="15"/>
          <w:rFonts w:hint="eastAsia" w:ascii="黑体" w:hAnsi="黑体" w:eastAsia="黑体"/>
          <w:b w:val="0"/>
          <w:bCs w:val="0"/>
        </w:rPr>
        <w:t>部门概况</w:t>
      </w:r>
      <w:bookmarkEnd w:id="12"/>
      <w:bookmarkEnd w:id="13"/>
      <w:bookmarkEnd w:id="14"/>
      <w:bookmarkEnd w:id="15"/>
    </w:p>
    <w:p>
      <w:pPr>
        <w:widowControl/>
        <w:jc w:val="left"/>
        <w:rPr>
          <w:rFonts w:ascii="黑体" w:eastAsia="黑体"/>
          <w:color w:val="000000"/>
          <w:sz w:val="32"/>
          <w:szCs w:val="32"/>
        </w:rPr>
      </w:pPr>
    </w:p>
    <w:p>
      <w:pPr>
        <w:pStyle w:val="4"/>
        <w:rPr>
          <w:rStyle w:val="16"/>
          <w:rFonts w:ascii="仿宋" w:hAnsi="仿宋" w:eastAsia="仿宋"/>
          <w:b w:val="0"/>
          <w:bCs w:val="0"/>
        </w:rPr>
      </w:pPr>
      <w:bookmarkStart w:id="16" w:name="_Toc79163602"/>
      <w:bookmarkStart w:id="17" w:name="_Toc15396600"/>
      <w:bookmarkStart w:id="18" w:name="_Toc15377197"/>
      <w:bookmarkStart w:id="19" w:name="_Toc29953"/>
      <w:r>
        <w:rPr>
          <w:rFonts w:hint="eastAsia" w:ascii="黑体" w:hAnsi="黑体" w:eastAsia="黑体"/>
          <w:b w:val="0"/>
          <w:color w:val="000000"/>
        </w:rPr>
        <w:t>一、基</w:t>
      </w:r>
      <w:r>
        <w:rPr>
          <w:rStyle w:val="16"/>
          <w:rFonts w:hint="eastAsia" w:ascii="黑体" w:hAnsi="黑体" w:eastAsia="黑体"/>
          <w:b w:val="0"/>
          <w:bCs w:val="0"/>
        </w:rPr>
        <w:t>本职能及主要工作</w:t>
      </w:r>
      <w:bookmarkEnd w:id="16"/>
      <w:bookmarkEnd w:id="17"/>
      <w:bookmarkEnd w:id="18"/>
      <w:bookmarkEnd w:id="19"/>
    </w:p>
    <w:p>
      <w:pPr>
        <w:pStyle w:val="6"/>
        <w:adjustRightInd w:val="0"/>
        <w:snapToGrid w:val="0"/>
        <w:spacing w:before="93" w:line="600" w:lineRule="exact"/>
        <w:ind w:firstLine="672" w:firstLineChars="210"/>
        <w:outlineLvl w:val="2"/>
        <w:rPr>
          <w:rFonts w:ascii="仿宋" w:hAnsi="仿宋" w:eastAsia="仿宋"/>
          <w:bCs/>
          <w:color w:val="000000"/>
          <w:sz w:val="32"/>
          <w:szCs w:val="32"/>
        </w:rPr>
      </w:pPr>
      <w:bookmarkStart w:id="20" w:name="_Toc79163603"/>
      <w:bookmarkStart w:id="21" w:name="_Toc21768"/>
      <w:bookmarkStart w:id="22" w:name="_Toc15378445"/>
      <w:bookmarkStart w:id="23" w:name="_Toc15377198"/>
      <w:r>
        <w:rPr>
          <w:rFonts w:hint="eastAsia" w:ascii="仿宋" w:hAnsi="仿宋" w:eastAsia="仿宋"/>
          <w:bCs/>
          <w:color w:val="000000"/>
          <w:sz w:val="32"/>
          <w:szCs w:val="32"/>
        </w:rPr>
        <w:t>（一）主要职能</w:t>
      </w:r>
      <w:bookmarkEnd w:id="20"/>
      <w:bookmarkEnd w:id="21"/>
    </w:p>
    <w:bookmarkEnd w:id="22"/>
    <w:bookmarkEnd w:id="23"/>
    <w:p>
      <w:pPr>
        <w:widowControl/>
        <w:spacing w:line="560" w:lineRule="exact"/>
        <w:ind w:firstLine="640" w:firstLineChars="200"/>
        <w:jc w:val="left"/>
        <w:rPr>
          <w:rFonts w:hint="eastAsia" w:ascii="仿宋_GB2312" w:hAnsi="Calibri" w:eastAsia="仿宋_GB2312" w:cs="仿宋_GB2312"/>
          <w:sz w:val="32"/>
          <w:szCs w:val="32"/>
          <w:lang w:eastAsia="zh-CN"/>
        </w:rPr>
      </w:pPr>
      <w:bookmarkStart w:id="24" w:name="_Toc15378446"/>
      <w:bookmarkStart w:id="25" w:name="_Toc15377199"/>
      <w:bookmarkStart w:id="26" w:name="_Toc79163605"/>
      <w:bookmarkStart w:id="27" w:name="_Toc15396601"/>
      <w:bookmarkStart w:id="28" w:name="_Toc15377200"/>
      <w:r>
        <w:rPr>
          <w:rFonts w:hint="eastAsia" w:ascii="仿宋_GB2312" w:hAnsi="Calibri" w:eastAsia="仿宋_GB2312" w:cs="仿宋_GB2312"/>
          <w:sz w:val="32"/>
          <w:szCs w:val="32"/>
          <w:lang w:eastAsia="zh-CN"/>
        </w:rPr>
        <w:t>根据中共壤塘县委办公室、壤塘县人民政府办公室批准的《壤塘县审计局职能配置、内设机构和人员编制规定》（壤委办〔201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39</w:t>
      </w:r>
      <w:r>
        <w:rPr>
          <w:rFonts w:hint="eastAsia" w:ascii="仿宋_GB2312" w:hAnsi="Calibri" w:eastAsia="仿宋_GB2312" w:cs="仿宋_GB2312"/>
          <w:sz w:val="32"/>
          <w:szCs w:val="32"/>
          <w:lang w:eastAsia="zh-CN"/>
        </w:rPr>
        <w:t>号）及中共壤塘县委机构编制委员会办公室批准的《壤塘县审计局所属事业单位的设置、职责和编制事项方案》（壤编办〔201</w:t>
      </w: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64</w:t>
      </w:r>
      <w:r>
        <w:rPr>
          <w:rFonts w:hint="eastAsia" w:ascii="仿宋_GB2312" w:hAnsi="Calibri" w:eastAsia="仿宋_GB2312" w:cs="仿宋_GB2312"/>
          <w:sz w:val="32"/>
          <w:szCs w:val="32"/>
          <w:lang w:eastAsia="zh-CN"/>
        </w:rPr>
        <w:t>号）的规定，县审计局为县政府工作部门。主要职责是：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主管全县审计工作。负责对县级财政收支和法律法规规定属于审计监督范围的财务收支的真实、合法和效益进行审计监督，对公共资金、国有资产、国有资源和领导干部履行经济责任情况实行审计全覆盖，对领导干部实行自然资源资产离任审计，对国家和省、州、县有关重大政策措施贯彻落实情况进行跟踪审计。对审计、专项审计调查和核查社会审计机构相关审计报告的结果承担责任，并负有督促被审计单位整改的责任。</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贯彻执行国家和省、州有关审计工作的方针政策和法律法规。拟订本县审计业务规章制度，制定并组织实施审计工作发展规划、专业领域审计工作规划和年度审计计划，对直接审计、调查和核查的事项依法进行审计评价，依法出具审计报告，做出审计决定或提出审计意见和建议。</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向县委审计委员会、县人民政府和阿坝州审计局提出年度县本级预算执行和其他财政收支情况的审计报告，受县人民政府委托向县人大常委会提出县本级预算执行和其他财政收支情况的审计工作报告；向县人民政府提出政府投资工程项目投资管理和财务收支情况的审计结果报告，受县人民政府委托向县人大常委会提出政府投资工程项目投资管理和财务收支情况的审计工作报告；向县人民政府和州审计局报告对其他事项的审计和专项审计调查情况及结果，依法向社会公布审计结果。</w:t>
      </w:r>
    </w:p>
    <w:p>
      <w:pPr>
        <w:widowControl/>
        <w:spacing w:line="560" w:lineRule="exact"/>
        <w:ind w:firstLine="643" w:firstLineChars="200"/>
        <w:jc w:val="left"/>
        <w:rPr>
          <w:rFonts w:hint="eastAsia" w:ascii="仿宋_GB2312" w:hAnsi="Calibri" w:eastAsia="仿宋_GB2312" w:cs="仿宋_GB2312"/>
          <w:b/>
          <w:bCs/>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直接审计下列事项，出具审计报告，在法定职权范围内作出审计决定，包括国家和省、州、县有关重大政策措施贯彻落实情况。县级预算执行情况和其他财政收支，县直各部门（含直属单位）预算执行情况、决算草案和其他财政收支。各乡（镇）政府预算执行情况、决算草案和其他财政收支，县级财政转移支付资金。使用县级财政资金的事业单位（含直属单位）和社会团体的财务收支。县级政府投资和以县级政府投资为主的建设项目的预算执行情况和决算，县级重大公共工程项目的资金管理使用和建设运营情况。自然资源管理、污染防治和生态保护与修复情况。县属国有企业和地方金融机构，县属国有资本占控股或主导地位的企业的资产、负债和损益。有关社会保障基金、社会捐赠资金、安全生产和职业健康财政资金以及其他基金、资金的财务收支。上级审计机关授权审计的驻县单位和直属企事业单位的财务收支和经济效益，以及国际组织和外国政府贷款、援助项目的财务收支。法律法规规定应由县审计局审计的其他事项。</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加强重大项目稽查，监督重大建设项目资金安全，提高投资效益。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sz w:val="32"/>
          <w:szCs w:val="32"/>
          <w:lang w:eastAsia="zh-CN"/>
        </w:rPr>
        <w:t>按规定对县管党政主要领导干部及其他单位主要负责人实施经济责任审计和自然资源资产离任审计。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（7）</w:t>
      </w:r>
      <w:r>
        <w:rPr>
          <w:rFonts w:hint="eastAsia" w:ascii="仿宋_GB2312" w:hAnsi="Calibri" w:eastAsia="仿宋_GB2312" w:cs="仿宋_GB2312"/>
          <w:sz w:val="32"/>
          <w:szCs w:val="32"/>
          <w:lang w:eastAsia="zh-CN"/>
        </w:rPr>
        <w:t>组织实施对国家财经法律法规、规章、政策和宏观调控措施执行情况、财政预算管理及国有资产管理使用等与县级财政收支有关的特定事项进行专项审计调查。</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（8）</w:t>
      </w:r>
      <w:r>
        <w:rPr>
          <w:rFonts w:hint="eastAsia" w:ascii="仿宋_GB2312" w:hAnsi="Calibri" w:eastAsia="仿宋_GB2312" w:cs="仿宋_GB2312"/>
          <w:sz w:val="32"/>
          <w:szCs w:val="32"/>
          <w:lang w:eastAsia="zh-CN"/>
        </w:rPr>
        <w:t>依法检查审计决定执行情况，督促整改审计查出的问题，依法办理被审计单位对审计决定提请行政复议、行政诉讼或县政府裁决中的有关事项，协助配合有关部门查处相关重大案件。</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（9）</w:t>
      </w:r>
      <w:r>
        <w:rPr>
          <w:rFonts w:hint="eastAsia" w:ascii="仿宋_GB2312" w:hAnsi="Calibri" w:eastAsia="仿宋_GB2312" w:cs="仿宋_GB2312"/>
          <w:sz w:val="32"/>
          <w:szCs w:val="32"/>
          <w:lang w:eastAsia="zh-CN"/>
        </w:rPr>
        <w:t>指导和监督内部审计工作，核查社会审计机构对依法属于审计监督对象的单位出具的相关审计报告。</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（10）</w:t>
      </w:r>
      <w:r>
        <w:rPr>
          <w:rFonts w:hint="eastAsia" w:ascii="仿宋_GB2312" w:hAnsi="Calibri" w:eastAsia="仿宋_GB2312" w:cs="仿宋_GB2312"/>
          <w:sz w:val="32"/>
          <w:szCs w:val="32"/>
          <w:lang w:eastAsia="zh-CN"/>
        </w:rPr>
        <w:t xml:space="preserve">组织实施审计信息化建设规划、制度，强化审计数据采集、管理和使用。 </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（11）</w:t>
      </w:r>
      <w:r>
        <w:rPr>
          <w:rFonts w:hint="eastAsia" w:ascii="仿宋_GB2312" w:hAnsi="Calibri" w:eastAsia="仿宋_GB2312" w:cs="仿宋_GB2312"/>
          <w:sz w:val="32"/>
          <w:szCs w:val="32"/>
          <w:lang w:eastAsia="zh-CN"/>
        </w:rPr>
        <w:t>负责职责范围内的安全生产和职业健康、生态环境保护、审批服务便民化等工作。</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（12）</w:t>
      </w:r>
      <w:r>
        <w:rPr>
          <w:rFonts w:hint="eastAsia" w:ascii="仿宋_GB2312" w:hAnsi="Calibri" w:eastAsia="仿宋_GB2312" w:cs="仿宋_GB2312"/>
          <w:sz w:val="32"/>
          <w:szCs w:val="32"/>
          <w:lang w:eastAsia="zh-CN"/>
        </w:rPr>
        <w:t>完成县委和县政府交办的其他任务。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val="en-US" w:eastAsia="zh-CN"/>
        </w:rPr>
        <w:t>（13）</w:t>
      </w:r>
      <w:r>
        <w:rPr>
          <w:rFonts w:hint="eastAsia" w:ascii="仿宋_GB2312" w:hAnsi="Calibri" w:eastAsia="仿宋_GB2312" w:cs="仿宋_GB2312"/>
          <w:sz w:val="32"/>
          <w:szCs w:val="32"/>
          <w:lang w:eastAsia="zh-CN"/>
        </w:rPr>
        <w:t>职能转变。进一步完善审计管理体制，加强全县审计工作统筹，明晰县审计机关职能定位，理顺内部职责关系，优化审计资源配置，充实加强一线审计力量，构建集中统一、全面覆盖、权威高效的审计监督体系。优化审计工作机制，坚持科技强审，完善业务流程，改进工作方式，加强与有关部门的沟通协调，充分调动内部审计和社会审计力量，增强监督合力。</w:t>
      </w:r>
    </w:p>
    <w:p>
      <w:pPr>
        <w:spacing w:line="560" w:lineRule="exact"/>
        <w:ind w:firstLine="643" w:firstLineChars="200"/>
        <w:rPr>
          <w:rFonts w:ascii="楷体" w:hAnsi="楷体" w:eastAsia="楷体"/>
          <w:b/>
          <w:bCs/>
          <w:sz w:val="32"/>
          <w:szCs w:val="32"/>
        </w:rPr>
      </w:pPr>
      <w:r>
        <w:rPr>
          <w:rFonts w:hint="eastAsia" w:ascii="楷体" w:hAnsi="楷体" w:eastAsia="楷体" w:cs="楷体"/>
          <w:b/>
          <w:bCs/>
          <w:sz w:val="32"/>
          <w:szCs w:val="32"/>
        </w:rPr>
        <w:t>主要工作任务</w:t>
      </w:r>
    </w:p>
    <w:p>
      <w:pPr>
        <w:widowControl/>
        <w:spacing w:line="560" w:lineRule="exact"/>
        <w:ind w:firstLine="643" w:firstLineChars="200"/>
        <w:jc w:val="left"/>
        <w:rPr>
          <w:rFonts w:hint="eastAsia" w:ascii="仿宋_GB2312" w:hAnsi="Calibri" w:eastAsia="仿宋_GB2312" w:cs="仿宋_GB2312"/>
          <w:b/>
          <w:bCs/>
          <w:sz w:val="32"/>
          <w:szCs w:val="32"/>
          <w:lang w:eastAsia="zh-CN"/>
        </w:rPr>
      </w:pPr>
      <w:r>
        <w:rPr>
          <w:rFonts w:hint="eastAsia" w:ascii="仿宋_GB2312" w:hAnsi="Calibri" w:eastAsia="仿宋_GB2312" w:cs="仿宋_GB2312"/>
          <w:b/>
          <w:bCs/>
          <w:sz w:val="32"/>
          <w:szCs w:val="32"/>
          <w:lang w:eastAsia="zh-CN"/>
        </w:rPr>
        <w:t>20</w:t>
      </w:r>
      <w:r>
        <w:rPr>
          <w:rFonts w:hint="eastAsia" w:ascii="仿宋_GB2312" w:hAnsi="Calibri" w:eastAsia="仿宋_GB2312" w:cs="仿宋_GB2312"/>
          <w:b/>
          <w:bCs/>
          <w:sz w:val="32"/>
          <w:szCs w:val="32"/>
          <w:lang w:val="en-US" w:eastAsia="zh-CN"/>
        </w:rPr>
        <w:t>21</w:t>
      </w:r>
      <w:r>
        <w:rPr>
          <w:rFonts w:hint="eastAsia" w:ascii="仿宋_GB2312" w:hAnsi="Calibri" w:eastAsia="仿宋_GB2312" w:cs="仿宋_GB2312"/>
          <w:b/>
          <w:bCs/>
          <w:sz w:val="32"/>
          <w:szCs w:val="32"/>
          <w:lang w:eastAsia="zh-CN"/>
        </w:rPr>
        <w:t>年主要工作任务是：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年县级财政预算执行情况和其他财政收支；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2</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县级各部门财务收支、县人民政府有关部门管理和受县人民政府委托由社会团体管理的社会保障基金、环境保护资金、社会捐赠资金及其他有关基金、资金的财务收支；</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3</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组织实施对贯彻执行国家财经方针政策和区域经济调控措施情况的行业审计、专项审计和审计调查，农业专项资金、资源能源和生态环境保护资金、扶贫开发和大中型水库移民资金等；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4</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对县级党政机关及乡镇主要领导干部进行任期经济责任审计；</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5</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负责审计壤塘县政府投资和以县政府投资为主的建设项目的预算执行情况和结（决）算、县管国家重大工程项目资金的筹集、使用情况；组织对县管其他国家建设项目的审计监督；开展相关专项审计调查；组织协调对社会审计机构出具的属于审计机关审计监督对象的单位的相关审计报告核查工作；负责对县内对投资较大、建设周期较长或者关系国计民生的重点建设项目全程跟踪审计监督等。</w:t>
      </w:r>
    </w:p>
    <w:p>
      <w:pPr>
        <w:widowControl/>
        <w:spacing w:line="560" w:lineRule="exact"/>
        <w:ind w:firstLine="643"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b/>
          <w:bCs/>
          <w:sz w:val="32"/>
          <w:szCs w:val="32"/>
          <w:lang w:eastAsia="zh-CN"/>
        </w:rPr>
        <w:t>（</w:t>
      </w:r>
      <w:r>
        <w:rPr>
          <w:rFonts w:hint="eastAsia" w:ascii="仿宋_GB2312" w:hAnsi="Calibri" w:eastAsia="仿宋_GB2312" w:cs="仿宋_GB2312"/>
          <w:b/>
          <w:bCs/>
          <w:sz w:val="32"/>
          <w:szCs w:val="32"/>
          <w:lang w:val="en-US" w:eastAsia="zh-CN"/>
        </w:rPr>
        <w:t>6</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承办县政府交办的其他事项。</w:t>
      </w:r>
    </w:p>
    <w:p>
      <w:pPr>
        <w:pStyle w:val="2"/>
        <w:rPr>
          <w:rFonts w:hint="eastAsia"/>
          <w:lang w:eastAsia="zh-CN"/>
        </w:rPr>
      </w:pPr>
    </w:p>
    <w:p>
      <w:pPr>
        <w:pStyle w:val="5"/>
        <w:bidi w:val="0"/>
        <w:ind w:firstLine="640" w:firstLineChars="200"/>
        <w:rPr>
          <w:rFonts w:hint="eastAsia" w:ascii="仿宋" w:hAnsi="仿宋" w:eastAsia="仿宋" w:cs="仿宋"/>
          <w:b w:val="0"/>
          <w:bCs/>
        </w:rPr>
      </w:pPr>
      <w:bookmarkStart w:id="29" w:name="_Toc13887"/>
      <w:bookmarkStart w:id="30" w:name="_Toc30515"/>
      <w:r>
        <w:rPr>
          <w:rFonts w:hint="eastAsia" w:ascii="仿宋" w:hAnsi="仿宋" w:eastAsia="仿宋" w:cs="仿宋"/>
          <w:b w:val="0"/>
          <w:bCs/>
        </w:rPr>
        <w:t>（二）20</w:t>
      </w:r>
      <w:r>
        <w:rPr>
          <w:rFonts w:hint="eastAsia" w:ascii="仿宋" w:hAnsi="仿宋" w:eastAsia="仿宋" w:cs="仿宋"/>
          <w:b w:val="0"/>
          <w:bCs/>
          <w:lang w:val="en-US" w:eastAsia="zh-CN"/>
        </w:rPr>
        <w:t>20</w:t>
      </w:r>
      <w:r>
        <w:rPr>
          <w:rFonts w:hint="eastAsia" w:ascii="仿宋" w:hAnsi="仿宋" w:eastAsia="仿宋" w:cs="仿宋"/>
          <w:b w:val="0"/>
          <w:bCs/>
        </w:rPr>
        <w:t>年重点工作完成情况</w:t>
      </w:r>
      <w:bookmarkEnd w:id="24"/>
      <w:bookmarkEnd w:id="25"/>
      <w:bookmarkEnd w:id="29"/>
      <w:bookmarkEnd w:id="30"/>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完成年内计划审计项目及县政府临时交办的其他事宜，其中：每个季度重大政策跟踪审计；“三公经费”审计；本级预算执行及其他财政资金审计；经济责任审计；固定资产投资复核审计；自然资源审计；财政专项审计；投资结算审计等项目审计。以及完成了审计局日常事务、办公室党建、党风廉政建设及财务日常事务 。</w:t>
      </w:r>
    </w:p>
    <w:p>
      <w:pPr>
        <w:pStyle w:val="4"/>
        <w:rPr>
          <w:rStyle w:val="16"/>
          <w:b w:val="0"/>
          <w:bCs w:val="0"/>
        </w:rPr>
      </w:pPr>
      <w:bookmarkStart w:id="31" w:name="_Toc26275"/>
      <w:r>
        <w:rPr>
          <w:rFonts w:hint="eastAsia" w:ascii="黑体" w:eastAsia="黑体"/>
          <w:b w:val="0"/>
          <w:color w:val="000000"/>
        </w:rPr>
        <w:t>二、</w:t>
      </w:r>
      <w:r>
        <w:rPr>
          <w:rFonts w:hint="eastAsia" w:ascii="黑体" w:hAnsi="黑体" w:eastAsia="黑体"/>
          <w:b w:val="0"/>
          <w:color w:val="000000"/>
        </w:rPr>
        <w:t>机</w:t>
      </w:r>
      <w:r>
        <w:rPr>
          <w:rStyle w:val="16"/>
          <w:rFonts w:hint="eastAsia" w:ascii="黑体" w:hAnsi="黑体" w:eastAsia="黑体"/>
          <w:b w:val="0"/>
          <w:bCs w:val="0"/>
        </w:rPr>
        <w:t>构设置</w:t>
      </w:r>
      <w:bookmarkEnd w:id="26"/>
      <w:bookmarkEnd w:id="27"/>
      <w:bookmarkEnd w:id="28"/>
      <w:bookmarkEnd w:id="31"/>
    </w:p>
    <w:p>
      <w:pPr>
        <w:spacing w:line="560" w:lineRule="exact"/>
        <w:ind w:firstLine="640" w:firstLineChars="200"/>
        <w:rPr>
          <w:rFonts w:hint="eastAsia" w:ascii="仿宋" w:hAnsi="仿宋" w:eastAsia="仿宋" w:cs="仿宋"/>
          <w:b w:val="0"/>
          <w:bCs w:val="0"/>
          <w:sz w:val="32"/>
          <w:szCs w:val="32"/>
        </w:rPr>
      </w:pPr>
      <w:bookmarkStart w:id="32" w:name="_Toc79163609"/>
      <w:bookmarkStart w:id="33" w:name="_Toc15377204"/>
      <w:bookmarkStart w:id="34" w:name="_Toc15396602"/>
      <w:r>
        <w:rPr>
          <w:rFonts w:hint="eastAsia" w:ascii="仿宋" w:hAnsi="仿宋" w:eastAsia="仿宋" w:cs="仿宋"/>
          <w:b w:val="0"/>
          <w:bCs w:val="0"/>
          <w:sz w:val="32"/>
          <w:szCs w:val="32"/>
          <w:lang w:eastAsia="zh-CN"/>
        </w:rPr>
        <w:t>（一）</w:t>
      </w:r>
      <w:r>
        <w:rPr>
          <w:rFonts w:hint="eastAsia" w:ascii="仿宋" w:hAnsi="仿宋" w:eastAsia="仿宋" w:cs="仿宋"/>
          <w:b w:val="0"/>
          <w:bCs w:val="0"/>
          <w:sz w:val="32"/>
          <w:szCs w:val="32"/>
        </w:rPr>
        <w:t>本部门机构</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壤塘县审计局属一级预算单位，其中行政单位1个。下设股所级事业单位壤塘县投资审计中心及壤塘县审计事务服务中心。其中内设机构三股一办，即：综合办、财政金融和行政事业审计股、经济责任审计股、固定资产和经贸审计股。</w:t>
      </w:r>
    </w:p>
    <w:p>
      <w:pPr>
        <w:spacing w:line="560" w:lineRule="exact"/>
        <w:ind w:firstLine="640" w:firstLineChars="200"/>
        <w:rPr>
          <w:rFonts w:hint="eastAsia" w:ascii="仿宋" w:hAnsi="仿宋" w:eastAsia="仿宋" w:cs="仿宋"/>
          <w:b w:val="0"/>
          <w:bCs w:val="0"/>
          <w:sz w:val="32"/>
          <w:szCs w:val="32"/>
        </w:rPr>
      </w:pPr>
      <w:r>
        <w:rPr>
          <w:rFonts w:hint="eastAsia" w:ascii="仿宋" w:hAnsi="仿宋" w:eastAsia="仿宋" w:cs="仿宋"/>
          <w:b w:val="0"/>
          <w:bCs w:val="0"/>
          <w:sz w:val="32"/>
          <w:szCs w:val="32"/>
          <w:lang w:eastAsia="zh-CN"/>
        </w:rPr>
        <w:t>（二）</w:t>
      </w:r>
      <w:r>
        <w:rPr>
          <w:rFonts w:hint="eastAsia" w:ascii="仿宋" w:hAnsi="仿宋" w:eastAsia="仿宋" w:cs="仿宋"/>
          <w:b w:val="0"/>
          <w:bCs w:val="0"/>
          <w:sz w:val="32"/>
          <w:szCs w:val="32"/>
        </w:rPr>
        <w:t>人员情况</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总编制15名,其中:行政编制7名,机关工勤人员编制1  名，事业编制7名(投资审计中心)。在职人员总数13名，其中：行政人员</w:t>
      </w: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名、工勤人员1名、事业人员</w:t>
      </w: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名。退休人员</w:t>
      </w:r>
      <w:r>
        <w:rPr>
          <w:rFonts w:hint="eastAsia" w:ascii="仿宋_GB2312" w:hAnsi="Calibri" w:eastAsia="仿宋_GB2312" w:cs="仿宋_GB2312"/>
          <w:sz w:val="32"/>
          <w:szCs w:val="32"/>
          <w:lang w:val="en-US" w:eastAsia="zh-CN"/>
        </w:rPr>
        <w:t>5</w:t>
      </w:r>
      <w:r>
        <w:rPr>
          <w:rFonts w:hint="eastAsia" w:ascii="仿宋_GB2312" w:hAnsi="Calibri" w:eastAsia="仿宋_GB2312" w:cs="仿宋_GB2312"/>
          <w:sz w:val="32"/>
          <w:szCs w:val="32"/>
          <w:lang w:eastAsia="zh-CN"/>
        </w:rPr>
        <w:t>人，遗属人员2人。</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我局202</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年</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月底新进一名事业人员，该人员工资2021年</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月开始由我局发放。</w:t>
      </w:r>
    </w:p>
    <w:p>
      <w:pPr>
        <w:pStyle w:val="3"/>
        <w:ind w:right="440"/>
        <w:jc w:val="right"/>
        <w:rPr>
          <w:rStyle w:val="15"/>
          <w:rFonts w:ascii="黑体" w:hAnsi="黑体" w:eastAsia="黑体"/>
          <w:b w:val="0"/>
          <w:bCs w:val="0"/>
        </w:rPr>
      </w:pPr>
      <w:bookmarkStart w:id="35" w:name="_Toc108"/>
      <w:r>
        <w:rPr>
          <w:rFonts w:hint="eastAsia" w:ascii="黑体" w:hAnsi="黑体" w:eastAsia="黑体"/>
          <w:b w:val="0"/>
          <w:color w:val="000000"/>
        </w:rPr>
        <w:t>第二部分</w:t>
      </w:r>
      <w:r>
        <w:rPr>
          <w:rFonts w:ascii="黑体" w:hAnsi="黑体" w:eastAsia="黑体"/>
          <w:color w:val="000000"/>
        </w:rPr>
        <w:t xml:space="preserve"> </w:t>
      </w:r>
      <w:r>
        <w:rPr>
          <w:rStyle w:val="15"/>
          <w:rFonts w:ascii="黑体" w:hAnsi="黑体" w:eastAsia="黑体"/>
          <w:b w:val="0"/>
          <w:bCs w:val="0"/>
        </w:rPr>
        <w:t>202</w:t>
      </w:r>
      <w:r>
        <w:rPr>
          <w:rStyle w:val="15"/>
          <w:rFonts w:hint="eastAsia" w:ascii="黑体" w:hAnsi="黑体" w:eastAsia="黑体"/>
          <w:b w:val="0"/>
          <w:bCs w:val="0"/>
        </w:rPr>
        <w:t>1年度部门决算情况说明</w:t>
      </w:r>
      <w:bookmarkEnd w:id="32"/>
      <w:bookmarkEnd w:id="33"/>
      <w:bookmarkEnd w:id="34"/>
      <w:bookmarkEnd w:id="35"/>
    </w:p>
    <w:p/>
    <w:p>
      <w:pPr>
        <w:pStyle w:val="17"/>
        <w:numPr>
          <w:ilvl w:val="0"/>
          <w:numId w:val="1"/>
        </w:numPr>
        <w:spacing w:line="600" w:lineRule="exact"/>
        <w:ind w:firstLineChars="0"/>
        <w:outlineLvl w:val="1"/>
        <w:rPr>
          <w:rStyle w:val="16"/>
          <w:rFonts w:ascii="黑体" w:hAnsi="黑体" w:eastAsia="黑体"/>
          <w:b w:val="0"/>
        </w:rPr>
      </w:pPr>
      <w:bookmarkStart w:id="36" w:name="_Toc31986"/>
      <w:bookmarkStart w:id="37" w:name="_Toc15377205"/>
      <w:bookmarkStart w:id="38" w:name="_Toc79163610"/>
      <w:bookmarkStart w:id="39" w:name="_Toc15396603"/>
      <w:r>
        <w:rPr>
          <w:rFonts w:hint="eastAsia" w:ascii="黑体" w:hAnsi="黑体" w:eastAsia="黑体"/>
          <w:color w:val="000000"/>
          <w:sz w:val="32"/>
          <w:szCs w:val="32"/>
        </w:rPr>
        <w:t>收</w:t>
      </w:r>
      <w:r>
        <w:rPr>
          <w:rStyle w:val="16"/>
          <w:rFonts w:hint="eastAsia" w:ascii="黑体" w:hAnsi="黑体" w:eastAsia="黑体"/>
          <w:b w:val="0"/>
        </w:rPr>
        <w:t>入支出决算总体情况说明</w:t>
      </w:r>
      <w:bookmarkEnd w:id="36"/>
      <w:bookmarkEnd w:id="37"/>
      <w:bookmarkEnd w:id="38"/>
      <w:bookmarkEnd w:id="39"/>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年度年初结转和结余</w:t>
      </w:r>
      <w:r>
        <w:rPr>
          <w:rFonts w:hint="eastAsia" w:ascii="仿宋_GB2312" w:hAnsi="Calibri" w:eastAsia="仿宋_GB2312" w:cs="仿宋_GB2312"/>
          <w:sz w:val="32"/>
          <w:szCs w:val="32"/>
          <w:lang w:val="en-US" w:eastAsia="zh-CN"/>
        </w:rPr>
        <w:t>15.36</w:t>
      </w:r>
      <w:r>
        <w:rPr>
          <w:rFonts w:hint="eastAsia" w:ascii="仿宋_GB2312" w:hAnsi="Calibri" w:eastAsia="仿宋_GB2312" w:cs="仿宋_GB2312"/>
          <w:sz w:val="32"/>
          <w:szCs w:val="32"/>
          <w:lang w:eastAsia="zh-CN"/>
        </w:rPr>
        <w:t>万元，</w:t>
      </w:r>
      <w:r>
        <w:rPr>
          <w:rFonts w:hint="eastAsia" w:ascii="仿宋_GB2312" w:hAnsi="Calibri" w:eastAsia="仿宋_GB2312" w:cs="仿宋_GB2312"/>
          <w:sz w:val="32"/>
          <w:szCs w:val="32"/>
          <w:lang w:val="en-US" w:eastAsia="zh-CN"/>
        </w:rPr>
        <w:t>2021</w:t>
      </w:r>
      <w:r>
        <w:rPr>
          <w:rFonts w:hint="eastAsia" w:ascii="仿宋_GB2312" w:hAnsi="Calibri" w:eastAsia="仿宋_GB2312" w:cs="仿宋_GB2312"/>
          <w:sz w:val="32"/>
          <w:szCs w:val="32"/>
          <w:lang w:eastAsia="zh-CN"/>
        </w:rPr>
        <w:t>年本年收入决算总额为</w:t>
      </w:r>
      <w:r>
        <w:rPr>
          <w:rFonts w:hint="eastAsia" w:ascii="仿宋_GB2312" w:hAnsi="Calibri" w:eastAsia="仿宋_GB2312" w:cs="仿宋_GB2312"/>
          <w:sz w:val="32"/>
          <w:szCs w:val="32"/>
          <w:lang w:val="en-US" w:eastAsia="zh-CN"/>
        </w:rPr>
        <w:t>488.90万</w:t>
      </w:r>
      <w:r>
        <w:rPr>
          <w:rFonts w:hint="eastAsia" w:ascii="仿宋_GB2312" w:hAnsi="Calibri" w:eastAsia="仿宋_GB2312" w:cs="仿宋_GB2312"/>
          <w:sz w:val="32"/>
          <w:szCs w:val="32"/>
          <w:lang w:eastAsia="zh-CN"/>
        </w:rPr>
        <w:t>元，其中：一般公共预算财政拨款收入</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eastAsia="zh-CN"/>
        </w:rPr>
        <w:t>万元。与20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年相比，本年收入增加</w:t>
      </w:r>
      <w:r>
        <w:rPr>
          <w:rFonts w:hint="eastAsia" w:ascii="仿宋_GB2312" w:hAnsi="Calibri" w:eastAsia="仿宋_GB2312" w:cs="仿宋_GB2312"/>
          <w:sz w:val="32"/>
          <w:szCs w:val="32"/>
          <w:lang w:val="en-US" w:eastAsia="zh-CN"/>
        </w:rPr>
        <w:t>33.29</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7.731</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spacing w:line="600" w:lineRule="exact"/>
        <w:ind w:firstLine="640" w:firstLineChars="200"/>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val="en-US" w:eastAsia="zh-CN"/>
        </w:rPr>
        <w:t>2021</w:t>
      </w:r>
      <w:r>
        <w:rPr>
          <w:rFonts w:hint="eastAsia" w:ascii="仿宋_GB2312" w:hAnsi="Calibri" w:eastAsia="仿宋_GB2312" w:cs="仿宋_GB2312"/>
          <w:sz w:val="32"/>
          <w:szCs w:val="32"/>
          <w:lang w:eastAsia="zh-CN"/>
        </w:rPr>
        <w:t>年本年支出决算总额为</w:t>
      </w:r>
      <w:r>
        <w:rPr>
          <w:rFonts w:hint="eastAsia" w:ascii="仿宋_GB2312" w:hAnsi="Calibri" w:eastAsia="仿宋_GB2312" w:cs="仿宋_GB2312"/>
          <w:sz w:val="32"/>
          <w:szCs w:val="32"/>
          <w:lang w:val="en-US" w:eastAsia="zh-CN"/>
        </w:rPr>
        <w:t>504.26</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275.76</w:t>
      </w:r>
      <w:r>
        <w:rPr>
          <w:rFonts w:hint="eastAsia" w:ascii="仿宋_GB2312" w:hAnsi="Calibri" w:eastAsia="仿宋_GB2312" w:cs="仿宋_GB2312"/>
          <w:sz w:val="32"/>
          <w:szCs w:val="32"/>
          <w:lang w:eastAsia="zh-CN"/>
        </w:rPr>
        <w:t>万元、项目支出</w:t>
      </w:r>
      <w:r>
        <w:rPr>
          <w:rFonts w:hint="eastAsia" w:ascii="仿宋_GB2312" w:hAnsi="Calibri" w:eastAsia="仿宋_GB2312" w:cs="仿宋_GB2312"/>
          <w:sz w:val="32"/>
          <w:szCs w:val="32"/>
          <w:lang w:val="en-US" w:eastAsia="zh-CN"/>
        </w:rPr>
        <w:t>228.50</w:t>
      </w:r>
      <w:r>
        <w:rPr>
          <w:rFonts w:hint="eastAsia" w:ascii="仿宋_GB2312" w:hAnsi="Calibri" w:eastAsia="仿宋_GB2312" w:cs="仿宋_GB2312"/>
          <w:sz w:val="32"/>
          <w:szCs w:val="32"/>
          <w:lang w:eastAsia="zh-CN"/>
        </w:rPr>
        <w:t>万元。与20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年相比，支出总计增加</w:t>
      </w:r>
      <w:r>
        <w:rPr>
          <w:rFonts w:hint="eastAsia" w:ascii="仿宋_GB2312" w:hAnsi="Calibri" w:eastAsia="仿宋_GB2312" w:cs="仿宋_GB2312"/>
          <w:sz w:val="32"/>
          <w:szCs w:val="32"/>
          <w:lang w:val="en-US" w:eastAsia="zh-CN"/>
        </w:rPr>
        <w:t>41.85</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9.05</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pStyle w:val="2"/>
        <w:rPr>
          <w:rFonts w:hint="eastAsia" w:ascii="仿宋_GB2312" w:eastAsia="仿宋_GB2312"/>
          <w:color w:val="000000"/>
          <w:sz w:val="32"/>
          <w:szCs w:val="32"/>
          <w:lang w:eastAsia="zh-CN"/>
        </w:rPr>
      </w:pPr>
      <w:r>
        <w:rPr>
          <w:rFonts w:hint="eastAsia" w:ascii="仿宋_GB2312" w:eastAsia="仿宋_GB2312"/>
          <w:color w:val="000000"/>
          <w:sz w:val="32"/>
          <w:szCs w:val="32"/>
          <w:lang w:eastAsia="zh-CN"/>
        </w:rPr>
        <w:drawing>
          <wp:inline distT="0" distB="0" distL="114300" distR="114300">
            <wp:extent cx="5080000" cy="3448050"/>
            <wp:effectExtent l="4445" t="4445" r="20955" b="14605"/>
            <wp:docPr id="12" name="图表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
      </w:pPr>
    </w:p>
    <w:p>
      <w:pPr>
        <w:spacing w:line="600" w:lineRule="exact"/>
        <w:ind w:firstLine="640" w:firstLineChars="200"/>
        <w:jc w:val="left"/>
        <w:rPr>
          <w:rFonts w:ascii="仿宋_GB2312" w:eastAsia="仿宋_GB2312"/>
          <w:color w:val="000000"/>
          <w:sz w:val="32"/>
          <w:szCs w:val="32"/>
        </w:rPr>
      </w:pPr>
    </w:p>
    <w:p>
      <w:pPr>
        <w:pStyle w:val="17"/>
        <w:numPr>
          <w:ilvl w:val="0"/>
          <w:numId w:val="1"/>
        </w:numPr>
        <w:spacing w:line="600" w:lineRule="exact"/>
        <w:ind w:firstLineChars="0"/>
        <w:outlineLvl w:val="1"/>
        <w:rPr>
          <w:rStyle w:val="16"/>
          <w:rFonts w:ascii="黑体" w:hAnsi="黑体" w:eastAsia="黑体"/>
          <w:b w:val="0"/>
        </w:rPr>
      </w:pPr>
      <w:bookmarkStart w:id="40" w:name="_Toc79163611"/>
      <w:bookmarkStart w:id="41" w:name="_Toc15396604"/>
      <w:bookmarkStart w:id="42" w:name="_Toc15377206"/>
      <w:bookmarkStart w:id="43" w:name="_Toc25392"/>
      <w:r>
        <w:rPr>
          <w:rFonts w:hint="eastAsia" w:ascii="黑体" w:hAnsi="黑体" w:eastAsia="黑体"/>
          <w:color w:val="000000"/>
          <w:sz w:val="32"/>
          <w:szCs w:val="32"/>
        </w:rPr>
        <w:t>收</w:t>
      </w:r>
      <w:r>
        <w:rPr>
          <w:rStyle w:val="16"/>
          <w:rFonts w:hint="eastAsia" w:ascii="黑体" w:hAnsi="黑体" w:eastAsia="黑体"/>
          <w:b w:val="0"/>
        </w:rPr>
        <w:t>入决算情况说明</w:t>
      </w:r>
      <w:bookmarkEnd w:id="40"/>
      <w:bookmarkEnd w:id="41"/>
      <w:bookmarkEnd w:id="42"/>
      <w:bookmarkEnd w:id="43"/>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年本年收入合计</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eastAsia="zh-CN"/>
        </w:rPr>
        <w:t>万元，其中：一般公共预算财政拨款收入</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w:t>
      </w:r>
    </w:p>
    <w:p>
      <w:pPr>
        <w:spacing w:line="600" w:lineRule="exact"/>
        <w:ind w:firstLine="640" w:firstLineChars="200"/>
        <w:rPr>
          <w:rFonts w:ascii="仿宋_GB2312" w:eastAsia="仿宋_GB2312"/>
          <w:color w:val="FF0000"/>
          <w:sz w:val="32"/>
          <w:szCs w:val="32"/>
        </w:rPr>
      </w:pPr>
      <w:r>
        <w:rPr>
          <w:rFonts w:hint="eastAsia" w:ascii="仿宋" w:hAnsi="仿宋" w:eastAsia="仿宋"/>
          <w:color w:val="000000" w:themeColor="text1"/>
          <w:sz w:val="32"/>
          <w:szCs w:val="32"/>
          <w14:textFill>
            <w14:solidFill>
              <w14:schemeClr w14:val="tx1"/>
            </w14:solidFill>
          </w14:textFill>
        </w:rPr>
        <w:t>（图2：收入决算结构图）（饼状图）</w:t>
      </w:r>
    </w:p>
    <w:p>
      <w:pPr>
        <w:pStyle w:val="2"/>
        <w:rPr>
          <w:rFonts w:hint="eastAsia" w:eastAsia="仿宋"/>
          <w:lang w:eastAsia="zh-CN"/>
        </w:rPr>
      </w:pPr>
      <w:r>
        <w:rPr>
          <w:rFonts w:hint="eastAsia" w:eastAsia="仿宋"/>
          <w:lang w:eastAsia="zh-CN"/>
        </w:rPr>
        <w:drawing>
          <wp:inline distT="0" distB="0" distL="114300" distR="114300">
            <wp:extent cx="5080000" cy="3810000"/>
            <wp:effectExtent l="4445" t="4445" r="20955" b="14605"/>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Style w:val="17"/>
        <w:numPr>
          <w:ilvl w:val="0"/>
          <w:numId w:val="1"/>
        </w:numPr>
        <w:spacing w:line="600" w:lineRule="exact"/>
        <w:ind w:firstLineChars="0"/>
        <w:outlineLvl w:val="1"/>
        <w:rPr>
          <w:rStyle w:val="16"/>
          <w:rFonts w:ascii="黑体" w:hAnsi="黑体" w:eastAsia="黑体"/>
          <w:b w:val="0"/>
        </w:rPr>
      </w:pPr>
      <w:bookmarkStart w:id="44" w:name="_Toc15377207"/>
      <w:bookmarkStart w:id="45" w:name="_Toc79163612"/>
      <w:bookmarkStart w:id="46" w:name="_Toc15396605"/>
      <w:bookmarkStart w:id="47" w:name="_Toc12468"/>
      <w:r>
        <w:rPr>
          <w:rFonts w:hint="eastAsia" w:ascii="黑体" w:hAnsi="黑体" w:eastAsia="黑体"/>
          <w:color w:val="000000"/>
          <w:sz w:val="32"/>
          <w:szCs w:val="32"/>
        </w:rPr>
        <w:t>支</w:t>
      </w:r>
      <w:r>
        <w:rPr>
          <w:rStyle w:val="16"/>
          <w:rFonts w:hint="eastAsia" w:ascii="黑体" w:hAnsi="黑体" w:eastAsia="黑体"/>
          <w:b w:val="0"/>
        </w:rPr>
        <w:t>出决算情况说明</w:t>
      </w:r>
      <w:bookmarkEnd w:id="44"/>
      <w:bookmarkEnd w:id="45"/>
      <w:bookmarkEnd w:id="46"/>
      <w:bookmarkEnd w:id="47"/>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年本年支出合计</w:t>
      </w:r>
      <w:r>
        <w:rPr>
          <w:rFonts w:hint="eastAsia" w:ascii="仿宋_GB2312" w:hAnsi="Calibri" w:eastAsia="仿宋_GB2312" w:cs="仿宋_GB2312"/>
          <w:sz w:val="32"/>
          <w:szCs w:val="32"/>
          <w:lang w:val="en-US" w:eastAsia="zh-CN"/>
        </w:rPr>
        <w:t>504.26</w:t>
      </w:r>
      <w:r>
        <w:rPr>
          <w:rFonts w:hint="eastAsia" w:ascii="仿宋_GB2312" w:hAnsi="Calibri" w:eastAsia="仿宋_GB2312" w:cs="仿宋_GB2312"/>
          <w:sz w:val="32"/>
          <w:szCs w:val="32"/>
          <w:lang w:eastAsia="zh-CN"/>
        </w:rPr>
        <w:t>万元，其中：基本支出</w:t>
      </w:r>
      <w:r>
        <w:rPr>
          <w:rFonts w:hint="eastAsia" w:ascii="仿宋_GB2312" w:hAnsi="Calibri" w:eastAsia="仿宋_GB2312" w:cs="仿宋_GB2312"/>
          <w:sz w:val="32"/>
          <w:szCs w:val="32"/>
          <w:lang w:val="en-US" w:eastAsia="zh-CN"/>
        </w:rPr>
        <w:t>275.76</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54.69</w:t>
      </w:r>
      <w:r>
        <w:rPr>
          <w:rFonts w:hint="eastAsia" w:ascii="仿宋_GB2312" w:hAnsi="Calibri" w:eastAsia="仿宋_GB2312" w:cs="仿宋_GB2312"/>
          <w:sz w:val="32"/>
          <w:szCs w:val="32"/>
          <w:lang w:eastAsia="zh-CN"/>
        </w:rPr>
        <w:t>%；项目支出</w:t>
      </w:r>
      <w:r>
        <w:rPr>
          <w:rFonts w:hint="eastAsia" w:ascii="仿宋_GB2312" w:hAnsi="Calibri" w:eastAsia="仿宋_GB2312" w:cs="仿宋_GB2312"/>
          <w:sz w:val="32"/>
          <w:szCs w:val="32"/>
          <w:lang w:val="en-US" w:eastAsia="zh-CN"/>
        </w:rPr>
        <w:t>228.50</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45.31</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（图3：支出决算结构图）（饼状图）</w:t>
      </w:r>
    </w:p>
    <w:p>
      <w:pPr>
        <w:spacing w:line="600" w:lineRule="exact"/>
        <w:ind w:firstLine="640"/>
        <w:rPr>
          <w:rFonts w:ascii="仿宋" w:hAnsi="仿宋" w:eastAsia="仿宋"/>
          <w:color w:val="000000"/>
          <w:sz w:val="32"/>
          <w:szCs w:val="32"/>
          <w:shd w:val="pct10" w:color="auto" w:fill="FFFFFF"/>
        </w:rPr>
      </w:pPr>
    </w:p>
    <w:p>
      <w:pPr>
        <w:spacing w:line="600" w:lineRule="exact"/>
        <w:ind w:firstLine="640" w:firstLineChars="200"/>
        <w:rPr>
          <w:rFonts w:ascii="仿宋_GB2312" w:eastAsia="仿宋_GB2312"/>
          <w:color w:val="FF0000"/>
          <w:sz w:val="32"/>
          <w:szCs w:val="32"/>
        </w:rPr>
      </w:pPr>
    </w:p>
    <w:p>
      <w:pPr>
        <w:pStyle w:val="2"/>
        <w:rPr>
          <w:rFonts w:ascii="仿宋_GB2312" w:eastAsia="仿宋_GB2312"/>
          <w:color w:val="FF0000"/>
          <w:sz w:val="32"/>
          <w:szCs w:val="32"/>
        </w:rPr>
      </w:pPr>
    </w:p>
    <w:p>
      <w:pPr>
        <w:rPr>
          <w:rFonts w:ascii="仿宋_GB2312" w:eastAsia="仿宋_GB2312"/>
          <w:color w:val="FF0000"/>
          <w:sz w:val="32"/>
          <w:szCs w:val="32"/>
        </w:rPr>
      </w:pPr>
      <w:r>
        <w:rPr>
          <w:rFonts w:hint="eastAsia" w:eastAsia="宋体"/>
          <w:lang w:eastAsia="zh-CN"/>
        </w:rPr>
        <w:drawing>
          <wp:inline distT="0" distB="0" distL="114300" distR="114300">
            <wp:extent cx="5080000" cy="3810000"/>
            <wp:effectExtent l="4445" t="4445" r="20955" b="14605"/>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Style w:val="2"/>
      </w:pPr>
    </w:p>
    <w:p>
      <w:pPr>
        <w:spacing w:line="600" w:lineRule="exact"/>
        <w:ind w:firstLine="640" w:firstLineChars="200"/>
        <w:outlineLvl w:val="1"/>
        <w:rPr>
          <w:rStyle w:val="16"/>
          <w:rFonts w:ascii="黑体" w:hAnsi="黑体" w:eastAsia="黑体"/>
          <w:b w:val="0"/>
        </w:rPr>
      </w:pPr>
      <w:bookmarkStart w:id="48" w:name="_Toc15377208"/>
      <w:bookmarkStart w:id="49" w:name="_Toc79163613"/>
      <w:bookmarkStart w:id="50" w:name="_Toc15396606"/>
      <w:bookmarkStart w:id="51" w:name="_Toc19555"/>
      <w:r>
        <w:rPr>
          <w:rFonts w:hint="eastAsia" w:ascii="黑体" w:hAnsi="黑体" w:eastAsia="黑体"/>
          <w:color w:val="000000"/>
          <w:sz w:val="32"/>
          <w:szCs w:val="32"/>
        </w:rPr>
        <w:t>四、财</w:t>
      </w:r>
      <w:r>
        <w:rPr>
          <w:rStyle w:val="16"/>
          <w:rFonts w:hint="eastAsia" w:ascii="黑体" w:hAnsi="黑体" w:eastAsia="黑体"/>
          <w:b w:val="0"/>
        </w:rPr>
        <w:t>政拨款收入支出决算总体情况说明</w:t>
      </w:r>
      <w:bookmarkEnd w:id="48"/>
      <w:bookmarkEnd w:id="49"/>
      <w:bookmarkEnd w:id="50"/>
      <w:bookmarkEnd w:id="51"/>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年年初财政拨款结转和结余</w:t>
      </w:r>
      <w:r>
        <w:rPr>
          <w:rFonts w:hint="eastAsia" w:ascii="仿宋_GB2312" w:hAnsi="Calibri" w:eastAsia="仿宋_GB2312" w:cs="仿宋_GB2312"/>
          <w:sz w:val="32"/>
          <w:szCs w:val="32"/>
          <w:lang w:val="en-US" w:eastAsia="zh-CN"/>
        </w:rPr>
        <w:t>15.36</w:t>
      </w:r>
      <w:r>
        <w:rPr>
          <w:rFonts w:hint="eastAsia" w:ascii="仿宋_GB2312" w:hAnsi="Calibri" w:eastAsia="仿宋_GB2312" w:cs="仿宋_GB2312"/>
          <w:sz w:val="32"/>
          <w:szCs w:val="32"/>
          <w:lang w:eastAsia="zh-CN"/>
        </w:rPr>
        <w:t>万元，20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年财政拨款收入决算总计</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eastAsia="zh-CN"/>
        </w:rPr>
        <w:t>万元，其中：一般公共预算财政拨款</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eastAsia="zh-CN"/>
        </w:rPr>
        <w:t>万元。与20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年相比，财政拨款收入增加</w:t>
      </w:r>
      <w:r>
        <w:rPr>
          <w:rFonts w:hint="eastAsia" w:ascii="仿宋_GB2312" w:hAnsi="Calibri" w:eastAsia="仿宋_GB2312" w:cs="仿宋_GB2312"/>
          <w:sz w:val="32"/>
          <w:szCs w:val="32"/>
          <w:lang w:val="en-US" w:eastAsia="zh-CN"/>
        </w:rPr>
        <w:t>33.29</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7.31</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widowControl/>
        <w:spacing w:line="560" w:lineRule="exact"/>
        <w:ind w:firstLine="640" w:firstLineChars="200"/>
        <w:jc w:val="left"/>
        <w:rPr>
          <w:rFonts w:ascii="仿宋" w:hAnsi="仿宋" w:eastAsia="仿宋"/>
          <w:color w:val="000000"/>
          <w:sz w:val="32"/>
          <w:szCs w:val="32"/>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年财政拨款支出决算总计</w:t>
      </w:r>
      <w:r>
        <w:rPr>
          <w:rFonts w:hint="eastAsia" w:ascii="仿宋_GB2312" w:hAnsi="Calibri" w:eastAsia="仿宋_GB2312" w:cs="仿宋_GB2312"/>
          <w:sz w:val="32"/>
          <w:szCs w:val="32"/>
          <w:lang w:val="en-US" w:eastAsia="zh-CN"/>
        </w:rPr>
        <w:t>504.26</w:t>
      </w:r>
      <w:r>
        <w:rPr>
          <w:rFonts w:hint="eastAsia" w:ascii="仿宋_GB2312" w:hAnsi="Calibri" w:eastAsia="仿宋_GB2312" w:cs="仿宋_GB2312"/>
          <w:sz w:val="32"/>
          <w:szCs w:val="32"/>
          <w:lang w:eastAsia="zh-CN"/>
        </w:rPr>
        <w:t>万元，其中：一般公共服务支出</w:t>
      </w:r>
      <w:r>
        <w:rPr>
          <w:rFonts w:hint="eastAsia" w:ascii="仿宋_GB2312" w:hAnsi="Calibri" w:eastAsia="仿宋_GB2312" w:cs="仿宋_GB2312"/>
          <w:sz w:val="32"/>
          <w:szCs w:val="32"/>
          <w:lang w:val="en-US" w:eastAsia="zh-CN"/>
        </w:rPr>
        <w:t>441.52</w:t>
      </w:r>
      <w:r>
        <w:rPr>
          <w:rFonts w:hint="eastAsia" w:ascii="仿宋_GB2312" w:hAnsi="Calibri" w:eastAsia="仿宋_GB2312" w:cs="仿宋_GB2312"/>
          <w:sz w:val="32"/>
          <w:szCs w:val="32"/>
          <w:lang w:eastAsia="zh-CN"/>
        </w:rPr>
        <w:t>万元；社会保障和就业支出</w:t>
      </w:r>
      <w:r>
        <w:rPr>
          <w:rFonts w:hint="eastAsia" w:ascii="仿宋_GB2312" w:hAnsi="Calibri" w:eastAsia="仿宋_GB2312" w:cs="仿宋_GB2312"/>
          <w:sz w:val="32"/>
          <w:szCs w:val="32"/>
          <w:lang w:val="en-US" w:eastAsia="zh-CN"/>
        </w:rPr>
        <w:t>28.89</w:t>
      </w:r>
      <w:r>
        <w:rPr>
          <w:rFonts w:hint="eastAsia" w:ascii="仿宋_GB2312" w:hAnsi="Calibri" w:eastAsia="仿宋_GB2312" w:cs="仿宋_GB2312"/>
          <w:sz w:val="32"/>
          <w:szCs w:val="32"/>
          <w:lang w:eastAsia="zh-CN"/>
        </w:rPr>
        <w:t>万元；卫生健康支出</w:t>
      </w:r>
      <w:r>
        <w:rPr>
          <w:rFonts w:hint="eastAsia" w:ascii="仿宋_GB2312" w:hAnsi="Calibri" w:eastAsia="仿宋_GB2312" w:cs="仿宋_GB2312"/>
          <w:sz w:val="32"/>
          <w:szCs w:val="32"/>
          <w:lang w:val="en-US" w:eastAsia="zh-CN"/>
        </w:rPr>
        <w:t>13.12</w:t>
      </w:r>
      <w:r>
        <w:rPr>
          <w:rFonts w:hint="eastAsia" w:ascii="仿宋_GB2312" w:hAnsi="Calibri" w:eastAsia="仿宋_GB2312" w:cs="仿宋_GB2312"/>
          <w:sz w:val="32"/>
          <w:szCs w:val="32"/>
          <w:lang w:eastAsia="zh-CN"/>
        </w:rPr>
        <w:t>万元；住房保障支出</w:t>
      </w:r>
      <w:r>
        <w:rPr>
          <w:rFonts w:hint="eastAsia" w:ascii="仿宋_GB2312" w:hAnsi="Calibri" w:eastAsia="仿宋_GB2312" w:cs="仿宋_GB2312"/>
          <w:sz w:val="32"/>
          <w:szCs w:val="32"/>
          <w:lang w:val="en-US" w:eastAsia="zh-CN"/>
        </w:rPr>
        <w:t>20.72</w:t>
      </w:r>
      <w:r>
        <w:rPr>
          <w:rFonts w:hint="eastAsia" w:ascii="仿宋_GB2312" w:hAnsi="Calibri" w:eastAsia="仿宋_GB2312" w:cs="仿宋_GB2312"/>
          <w:sz w:val="32"/>
          <w:szCs w:val="32"/>
          <w:lang w:eastAsia="zh-CN"/>
        </w:rPr>
        <w:t>万元。与20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年相比，财政拨款支出增加</w:t>
      </w:r>
      <w:r>
        <w:rPr>
          <w:rFonts w:hint="eastAsia" w:ascii="仿宋_GB2312" w:hAnsi="Calibri" w:eastAsia="仿宋_GB2312" w:cs="仿宋_GB2312"/>
          <w:sz w:val="32"/>
          <w:szCs w:val="32"/>
          <w:lang w:val="en-US" w:eastAsia="zh-CN"/>
        </w:rPr>
        <w:t>41.85</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9.05</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4</w:t>
      </w:r>
      <w:r>
        <w:rPr>
          <w:rFonts w:hint="eastAsia" w:ascii="仿宋" w:hAnsi="仿宋" w:eastAsia="仿宋"/>
          <w:color w:val="000000"/>
          <w:sz w:val="32"/>
          <w:szCs w:val="32"/>
        </w:rPr>
        <w:t>：财政拨款收、支决算总计变动情况）（柱状图）</w:t>
      </w:r>
    </w:p>
    <w:p>
      <w:pPr>
        <w:spacing w:line="600" w:lineRule="exact"/>
        <w:ind w:firstLine="640"/>
        <w:rPr>
          <w:rFonts w:ascii="仿宋" w:hAnsi="仿宋" w:eastAsia="仿宋"/>
          <w:b/>
          <w:color w:val="00B050"/>
          <w:sz w:val="32"/>
          <w:szCs w:val="32"/>
        </w:rPr>
      </w:pPr>
    </w:p>
    <w:p>
      <w:pPr>
        <w:pStyle w:val="2"/>
        <w:rPr>
          <w:rFonts w:hint="eastAsia" w:ascii="仿宋" w:hAnsi="仿宋" w:eastAsia="仿宋"/>
          <w:b/>
          <w:color w:val="00B050"/>
          <w:sz w:val="32"/>
          <w:szCs w:val="32"/>
          <w:lang w:eastAsia="zh-CN"/>
        </w:rPr>
      </w:pPr>
      <w:r>
        <w:rPr>
          <w:rFonts w:hint="eastAsia" w:eastAsia="宋体"/>
          <w:lang w:eastAsia="zh-CN"/>
        </w:rPr>
        <w:drawing>
          <wp:inline distT="0" distB="0" distL="114300" distR="114300">
            <wp:extent cx="5080000" cy="3562985"/>
            <wp:effectExtent l="4445" t="4445" r="20955" b="13970"/>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Style w:val="2"/>
      </w:pPr>
    </w:p>
    <w:p>
      <w:pPr>
        <w:spacing w:line="600" w:lineRule="exact"/>
        <w:ind w:firstLine="640" w:firstLineChars="200"/>
        <w:outlineLvl w:val="1"/>
        <w:rPr>
          <w:rStyle w:val="16"/>
          <w:rFonts w:ascii="黑体" w:hAnsi="黑体" w:eastAsia="黑体"/>
          <w:b w:val="0"/>
        </w:rPr>
      </w:pPr>
      <w:bookmarkStart w:id="52" w:name="_Toc15377209"/>
      <w:bookmarkStart w:id="53" w:name="_Toc15396607"/>
      <w:bookmarkStart w:id="54" w:name="_Toc79163614"/>
      <w:bookmarkStart w:id="55" w:name="_Toc7638"/>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16"/>
          <w:rFonts w:hint="eastAsia" w:ascii="黑体" w:hAnsi="黑体" w:eastAsia="黑体"/>
          <w:b w:val="0"/>
        </w:rPr>
        <w:t>般公共预算财政拨款支出决算情况说明</w:t>
      </w:r>
      <w:bookmarkEnd w:id="52"/>
      <w:bookmarkEnd w:id="53"/>
      <w:bookmarkEnd w:id="54"/>
      <w:bookmarkEnd w:id="55"/>
    </w:p>
    <w:p>
      <w:pPr>
        <w:spacing w:line="600" w:lineRule="exact"/>
        <w:ind w:firstLine="643" w:firstLineChars="200"/>
        <w:outlineLvl w:val="2"/>
        <w:rPr>
          <w:rFonts w:ascii="仿宋" w:hAnsi="仿宋" w:eastAsia="仿宋"/>
          <w:b/>
          <w:color w:val="000000"/>
          <w:sz w:val="32"/>
          <w:szCs w:val="32"/>
        </w:rPr>
      </w:pPr>
      <w:bookmarkStart w:id="56" w:name="_Toc79163615"/>
      <w:bookmarkStart w:id="57" w:name="_Toc15377210"/>
      <w:bookmarkStart w:id="58" w:name="_Toc26731"/>
      <w:r>
        <w:rPr>
          <w:rFonts w:hint="eastAsia" w:ascii="仿宋" w:hAnsi="仿宋" w:eastAsia="仿宋"/>
          <w:b/>
          <w:color w:val="000000"/>
          <w:sz w:val="32"/>
          <w:szCs w:val="32"/>
        </w:rPr>
        <w:t>（一）一般公共预算财政拨款支出决算总体情况</w:t>
      </w:r>
      <w:bookmarkEnd w:id="56"/>
      <w:bookmarkEnd w:id="57"/>
      <w:bookmarkEnd w:id="58"/>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年一般公共预算财政拨款支出</w:t>
      </w:r>
      <w:r>
        <w:rPr>
          <w:rFonts w:hint="eastAsia" w:ascii="仿宋_GB2312" w:hAnsi="Calibri" w:eastAsia="仿宋_GB2312" w:cs="仿宋_GB2312"/>
          <w:sz w:val="32"/>
          <w:szCs w:val="32"/>
          <w:lang w:val="en-US" w:eastAsia="zh-CN"/>
        </w:rPr>
        <w:t>504.26</w:t>
      </w:r>
      <w:r>
        <w:rPr>
          <w:rFonts w:hint="eastAsia" w:ascii="仿宋_GB2312" w:hAnsi="Calibri" w:eastAsia="仿宋_GB2312" w:cs="仿宋_GB2312"/>
          <w:sz w:val="32"/>
          <w:szCs w:val="32"/>
          <w:lang w:eastAsia="zh-CN"/>
        </w:rPr>
        <w:t>万元，占本年支出合计的</w:t>
      </w:r>
      <w:r>
        <w:rPr>
          <w:rFonts w:hint="eastAsia" w:ascii="仿宋_GB2312" w:hAnsi="Calibri" w:eastAsia="仿宋_GB2312" w:cs="仿宋_GB2312"/>
          <w:sz w:val="32"/>
          <w:szCs w:val="32"/>
          <w:lang w:val="en-US" w:eastAsia="zh-CN"/>
        </w:rPr>
        <w:t>100</w:t>
      </w:r>
      <w:r>
        <w:rPr>
          <w:rFonts w:hint="eastAsia" w:ascii="仿宋_GB2312" w:hAnsi="Calibri" w:eastAsia="仿宋_GB2312" w:cs="仿宋_GB2312"/>
          <w:sz w:val="32"/>
          <w:szCs w:val="32"/>
          <w:lang w:eastAsia="zh-CN"/>
        </w:rPr>
        <w:t>%。与20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eastAsia="zh-CN"/>
        </w:rPr>
        <w:t>年相比，一般公共预算财政拨款增加</w:t>
      </w:r>
      <w:r>
        <w:rPr>
          <w:rFonts w:hint="eastAsia" w:ascii="仿宋_GB2312" w:hAnsi="Calibri" w:eastAsia="仿宋_GB2312" w:cs="仿宋_GB2312"/>
          <w:sz w:val="32"/>
          <w:szCs w:val="32"/>
          <w:lang w:val="en-US" w:eastAsia="zh-CN"/>
        </w:rPr>
        <w:t>41.85</w:t>
      </w:r>
      <w:r>
        <w:rPr>
          <w:rFonts w:hint="eastAsia" w:ascii="仿宋_GB2312" w:hAnsi="Calibri" w:eastAsia="仿宋_GB2312" w:cs="仿宋_GB2312"/>
          <w:sz w:val="32"/>
          <w:szCs w:val="32"/>
          <w:lang w:eastAsia="zh-CN"/>
        </w:rPr>
        <w:t>万元，增长</w:t>
      </w:r>
      <w:r>
        <w:rPr>
          <w:rFonts w:hint="eastAsia" w:ascii="仿宋_GB2312" w:hAnsi="Calibri" w:eastAsia="仿宋_GB2312" w:cs="仿宋_GB2312"/>
          <w:sz w:val="32"/>
          <w:szCs w:val="32"/>
          <w:lang w:val="en-US" w:eastAsia="zh-CN"/>
        </w:rPr>
        <w:t>9.05</w:t>
      </w:r>
      <w:r>
        <w:rPr>
          <w:rFonts w:hint="eastAsia" w:ascii="仿宋_GB2312" w:hAnsi="Calibri" w:eastAsia="仿宋_GB2312" w:cs="仿宋_GB2312"/>
          <w:sz w:val="32"/>
          <w:szCs w:val="32"/>
          <w:lang w:eastAsia="zh-CN"/>
        </w:rPr>
        <w:t>%。主要变动原因是人员工资增加导致人员经费增加、工程结算审计费增加、物价上涨、工作经费增加等。</w:t>
      </w:r>
    </w:p>
    <w:p>
      <w:pPr>
        <w:spacing w:line="600" w:lineRule="exac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（图5：一般公共预算财政拨款支出决算变动情况）（柱状图）</w:t>
      </w:r>
    </w:p>
    <w:p>
      <w:pPr>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lang w:eastAsia="zh-CN"/>
          <w14:textFill>
            <w14:solidFill>
              <w14:schemeClr w14:val="tx1"/>
            </w14:solidFill>
          </w14:textFill>
        </w:rPr>
        <w:drawing>
          <wp:inline distT="0" distB="0" distL="114300" distR="114300">
            <wp:extent cx="5080000" cy="3810000"/>
            <wp:effectExtent l="4445" t="4445" r="20955" b="14605"/>
            <wp:docPr id="11" name="图表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679"/>
      <w:bookmarkStart w:id="60" w:name="_Toc79163616"/>
      <w:bookmarkStart w:id="61" w:name="_Toc15377211"/>
      <w:r>
        <w:rPr>
          <w:rFonts w:hint="eastAsia" w:ascii="仿宋" w:hAnsi="仿宋" w:eastAsia="仿宋"/>
          <w:b/>
          <w:color w:val="000000"/>
          <w:sz w:val="32"/>
          <w:szCs w:val="32"/>
        </w:rPr>
        <w:t>（二）一般公共预算财政拨款支出决算结构情况</w:t>
      </w:r>
      <w:bookmarkEnd w:id="59"/>
      <w:bookmarkEnd w:id="60"/>
      <w:bookmarkEnd w:id="61"/>
    </w:p>
    <w:p>
      <w:pPr>
        <w:widowControl/>
        <w:spacing w:line="560" w:lineRule="exact"/>
        <w:ind w:firstLine="640" w:firstLineChars="200"/>
        <w:jc w:val="left"/>
        <w:rPr>
          <w:rFonts w:hint="eastAsia" w:ascii="仿宋_GB2312" w:hAnsi="Calibri" w:eastAsia="仿宋_GB2312" w:cs="仿宋_GB2312"/>
          <w:sz w:val="32"/>
          <w:szCs w:val="32"/>
          <w:lang w:eastAsia="zh-CN"/>
        </w:rPr>
      </w:pPr>
      <w:bookmarkStart w:id="62" w:name="_Toc15377212"/>
      <w:bookmarkStart w:id="63" w:name="_Toc79163617"/>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年一般公共预算财政拨款支出</w:t>
      </w:r>
      <w:r>
        <w:rPr>
          <w:rFonts w:hint="eastAsia" w:ascii="仿宋_GB2312" w:hAnsi="Calibri" w:eastAsia="仿宋_GB2312" w:cs="仿宋_GB2312"/>
          <w:sz w:val="32"/>
          <w:szCs w:val="32"/>
          <w:lang w:val="en-US" w:eastAsia="zh-CN"/>
        </w:rPr>
        <w:t>504.26</w:t>
      </w:r>
      <w:r>
        <w:rPr>
          <w:rFonts w:hint="eastAsia" w:ascii="仿宋_GB2312" w:hAnsi="Calibri" w:eastAsia="仿宋_GB2312" w:cs="仿宋_GB2312"/>
          <w:sz w:val="32"/>
          <w:szCs w:val="32"/>
          <w:lang w:eastAsia="zh-CN"/>
        </w:rPr>
        <w:t>万元，主要用于以下方面:</w:t>
      </w:r>
      <w:r>
        <w:rPr>
          <w:rFonts w:hint="eastAsia" w:ascii="仿宋_GB2312" w:hAnsi="Calibri" w:eastAsia="仿宋_GB2312" w:cs="仿宋_GB2312"/>
          <w:b/>
          <w:bCs/>
          <w:sz w:val="32"/>
          <w:szCs w:val="32"/>
          <w:lang w:eastAsia="zh-CN"/>
        </w:rPr>
        <w:t>一般公共服务（</w:t>
      </w:r>
      <w:r>
        <w:rPr>
          <w:rFonts w:hint="eastAsia" w:ascii="仿宋_GB2312" w:hAnsi="Calibri" w:eastAsia="仿宋_GB2312" w:cs="仿宋_GB2312"/>
          <w:b/>
          <w:bCs/>
          <w:sz w:val="32"/>
          <w:szCs w:val="32"/>
          <w:lang w:val="en-US" w:eastAsia="zh-CN"/>
        </w:rPr>
        <w:t>201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441.53</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87.56</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社会保障和就业（</w:t>
      </w:r>
      <w:r>
        <w:rPr>
          <w:rFonts w:hint="eastAsia" w:ascii="仿宋_GB2312" w:hAnsi="Calibri" w:eastAsia="仿宋_GB2312" w:cs="仿宋_GB2312"/>
          <w:b/>
          <w:bCs/>
          <w:sz w:val="32"/>
          <w:szCs w:val="32"/>
          <w:lang w:val="en-US" w:eastAsia="zh-CN"/>
        </w:rPr>
        <w:t>208</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28.89</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5.73</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卫生健康（</w:t>
      </w:r>
      <w:r>
        <w:rPr>
          <w:rFonts w:hint="eastAsia" w:ascii="仿宋_GB2312" w:hAnsi="Calibri" w:eastAsia="仿宋_GB2312" w:cs="仿宋_GB2312"/>
          <w:b/>
          <w:bCs/>
          <w:sz w:val="32"/>
          <w:szCs w:val="32"/>
          <w:lang w:val="en-US" w:eastAsia="zh-CN"/>
        </w:rPr>
        <w:t>210</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13.12</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2.6</w:t>
      </w:r>
      <w:r>
        <w:rPr>
          <w:rFonts w:hint="eastAsia" w:ascii="仿宋_GB2312" w:hAnsi="Calibri" w:eastAsia="仿宋_GB2312" w:cs="仿宋_GB2312"/>
          <w:sz w:val="32"/>
          <w:szCs w:val="32"/>
          <w:lang w:eastAsia="zh-CN"/>
        </w:rPr>
        <w:t>%；</w:t>
      </w:r>
      <w:r>
        <w:rPr>
          <w:rFonts w:hint="eastAsia" w:ascii="仿宋_GB2312" w:hAnsi="Calibri" w:eastAsia="仿宋_GB2312" w:cs="仿宋_GB2312"/>
          <w:b/>
          <w:bCs/>
          <w:sz w:val="32"/>
          <w:szCs w:val="32"/>
          <w:lang w:eastAsia="zh-CN"/>
        </w:rPr>
        <w:t>住房保障（</w:t>
      </w:r>
      <w:r>
        <w:rPr>
          <w:rFonts w:hint="eastAsia" w:ascii="仿宋_GB2312" w:hAnsi="Calibri" w:eastAsia="仿宋_GB2312" w:cs="仿宋_GB2312"/>
          <w:b/>
          <w:bCs/>
          <w:sz w:val="32"/>
          <w:szCs w:val="32"/>
          <w:lang w:val="en-US" w:eastAsia="zh-CN"/>
        </w:rPr>
        <w:t>221</w:t>
      </w:r>
      <w:r>
        <w:rPr>
          <w:rFonts w:hint="eastAsia" w:ascii="仿宋_GB2312" w:hAnsi="Calibri" w:eastAsia="仿宋_GB2312" w:cs="仿宋_GB2312"/>
          <w:b/>
          <w:bCs/>
          <w:sz w:val="32"/>
          <w:szCs w:val="32"/>
          <w:lang w:eastAsia="zh-CN"/>
        </w:rPr>
        <w:t>）</w:t>
      </w:r>
      <w:r>
        <w:rPr>
          <w:rFonts w:hint="eastAsia" w:ascii="仿宋_GB2312" w:hAnsi="Calibri" w:eastAsia="仿宋_GB2312" w:cs="仿宋_GB2312"/>
          <w:sz w:val="32"/>
          <w:szCs w:val="32"/>
          <w:lang w:eastAsia="zh-CN"/>
        </w:rPr>
        <w:t>支出</w:t>
      </w:r>
      <w:r>
        <w:rPr>
          <w:rFonts w:hint="eastAsia" w:ascii="仿宋_GB2312" w:hAnsi="Calibri" w:eastAsia="仿宋_GB2312" w:cs="仿宋_GB2312"/>
          <w:sz w:val="32"/>
          <w:szCs w:val="32"/>
          <w:lang w:val="en-US" w:eastAsia="zh-CN"/>
        </w:rPr>
        <w:t>20.72</w:t>
      </w:r>
      <w:r>
        <w:rPr>
          <w:rFonts w:hint="eastAsia" w:ascii="仿宋_GB2312" w:hAnsi="Calibri" w:eastAsia="仿宋_GB2312" w:cs="仿宋_GB2312"/>
          <w:sz w:val="32"/>
          <w:szCs w:val="32"/>
          <w:lang w:eastAsia="zh-CN"/>
        </w:rPr>
        <w:t>万元，占</w:t>
      </w:r>
      <w:r>
        <w:rPr>
          <w:rFonts w:hint="eastAsia" w:ascii="仿宋_GB2312" w:hAnsi="Calibri" w:eastAsia="仿宋_GB2312" w:cs="仿宋_GB2312"/>
          <w:sz w:val="32"/>
          <w:szCs w:val="32"/>
          <w:lang w:val="en-US" w:eastAsia="zh-CN"/>
        </w:rPr>
        <w:t>4.11</w:t>
      </w:r>
      <w:r>
        <w:rPr>
          <w:rFonts w:hint="eastAsia" w:ascii="仿宋_GB2312" w:hAnsi="Calibri" w:eastAsia="仿宋_GB2312" w:cs="仿宋_GB2312"/>
          <w:sz w:val="32"/>
          <w:szCs w:val="32"/>
          <w:lang w:eastAsia="zh-CN"/>
        </w:rPr>
        <w:t>%。</w:t>
      </w:r>
    </w:p>
    <w:p>
      <w:pPr>
        <w:spacing w:line="600" w:lineRule="exact"/>
        <w:ind w:firstLine="640" w:firstLineChars="200"/>
        <w:rPr>
          <w:rFonts w:hint="eastAsia"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p>
    <w:p>
      <w:pPr>
        <w:pStyle w:val="2"/>
        <w:rPr>
          <w:rFonts w:hint="eastAsia" w:eastAsia="宋体"/>
          <w:lang w:eastAsia="zh-CN"/>
        </w:rPr>
      </w:pPr>
      <w:r>
        <w:rPr>
          <w:rFonts w:hint="eastAsia" w:eastAsia="宋体"/>
          <w:lang w:eastAsia="zh-CN"/>
        </w:rPr>
        <w:drawing>
          <wp:inline distT="0" distB="0" distL="114300" distR="114300">
            <wp:extent cx="5070475" cy="3420745"/>
            <wp:effectExtent l="4445" t="4445" r="11430" b="22860"/>
            <wp:docPr id="14" name="图表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rPr>
          <w:rFonts w:hint="eastAsia"/>
          <w:lang w:eastAsia="zh-CN"/>
        </w:rPr>
      </w:pPr>
    </w:p>
    <w:p>
      <w:pPr>
        <w:spacing w:line="600" w:lineRule="exact"/>
        <w:ind w:firstLine="643" w:firstLineChars="200"/>
        <w:outlineLvl w:val="2"/>
        <w:rPr>
          <w:rFonts w:ascii="仿宋" w:hAnsi="仿宋" w:eastAsia="仿宋"/>
          <w:b/>
          <w:color w:val="000000"/>
          <w:sz w:val="32"/>
          <w:szCs w:val="32"/>
        </w:rPr>
      </w:pPr>
      <w:bookmarkStart w:id="64" w:name="_Toc17003"/>
      <w:r>
        <w:rPr>
          <w:rFonts w:hint="eastAsia" w:ascii="仿宋" w:hAnsi="仿宋" w:eastAsia="仿宋"/>
          <w:b/>
          <w:color w:val="000000"/>
          <w:sz w:val="32"/>
          <w:szCs w:val="32"/>
        </w:rPr>
        <w:t>（三）一般公共预算财政拨款支出决算具体情况</w:t>
      </w:r>
      <w:bookmarkEnd w:id="62"/>
      <w:bookmarkEnd w:id="63"/>
      <w:bookmarkEnd w:id="64"/>
    </w:p>
    <w:p>
      <w:pPr>
        <w:spacing w:line="600" w:lineRule="exact"/>
        <w:ind w:firstLine="640" w:firstLineChars="200"/>
        <w:rPr>
          <w:rFonts w:hint="eastAsia" w:ascii="仿宋_GB2312" w:hAnsi="Calibri" w:eastAsia="仿宋_GB2312" w:cs="仿宋_GB2312"/>
          <w:color w:val="000000" w:themeColor="text1"/>
          <w:sz w:val="32"/>
          <w:szCs w:val="32"/>
          <w:lang w:eastAsia="zh-CN"/>
          <w14:textFill>
            <w14:solidFill>
              <w14:schemeClr w14:val="tx1"/>
            </w14:solidFill>
          </w14:textFill>
        </w:rPr>
      </w:pPr>
      <w:bookmarkStart w:id="65" w:name="_Toc15377213"/>
      <w:bookmarkStart w:id="66" w:name="_Toc5853"/>
      <w:bookmarkStart w:id="67" w:name="_Toc15378460"/>
      <w:bookmarkStart w:id="68" w:name="_Toc15377444"/>
      <w:r>
        <w:rPr>
          <w:rFonts w:hint="eastAsia" w:ascii="仿宋_GB2312" w:hAnsi="Calibri" w:eastAsia="仿宋_GB2312" w:cs="仿宋_GB2312"/>
          <w:color w:val="000000" w:themeColor="text1"/>
          <w:sz w:val="32"/>
          <w:szCs w:val="32"/>
          <w:lang w:eastAsia="zh-CN"/>
          <w14:textFill>
            <w14:solidFill>
              <w14:schemeClr w14:val="tx1"/>
            </w14:solidFill>
          </w14:textFill>
        </w:rPr>
        <w:t>20</w:t>
      </w:r>
      <w:r>
        <w:rPr>
          <w:rFonts w:hint="eastAsia" w:ascii="仿宋_GB2312" w:hAnsi="Calibri" w:eastAsia="仿宋_GB2312" w:cs="仿宋_GB2312"/>
          <w:color w:val="000000" w:themeColor="text1"/>
          <w:sz w:val="32"/>
          <w:szCs w:val="32"/>
          <w:lang w:val="en-US" w:eastAsia="zh-CN"/>
          <w14:textFill>
            <w14:solidFill>
              <w14:schemeClr w14:val="tx1"/>
            </w14:solidFill>
          </w14:textFill>
        </w:rPr>
        <w:t>21</w:t>
      </w:r>
      <w:r>
        <w:rPr>
          <w:rFonts w:hint="eastAsia" w:ascii="仿宋_GB2312" w:hAnsi="Calibri" w:eastAsia="仿宋_GB2312" w:cs="仿宋_GB2312"/>
          <w:color w:val="000000" w:themeColor="text1"/>
          <w:sz w:val="32"/>
          <w:szCs w:val="32"/>
          <w:lang w:eastAsia="zh-CN"/>
          <w14:textFill>
            <w14:solidFill>
              <w14:schemeClr w14:val="tx1"/>
            </w14:solidFill>
          </w14:textFill>
        </w:rPr>
        <w:t>年一般公共预算支出决算数为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504.26万元</w:t>
      </w:r>
      <w:r>
        <w:rPr>
          <w:rFonts w:hint="eastAsia" w:ascii="仿宋_GB2312" w:hAnsi="Calibri" w:eastAsia="仿宋_GB2312" w:cs="仿宋_GB2312"/>
          <w:color w:val="000000" w:themeColor="text1"/>
          <w:sz w:val="32"/>
          <w:szCs w:val="32"/>
          <w:lang w:eastAsia="zh-CN"/>
          <w14:textFill>
            <w14:solidFill>
              <w14:schemeClr w14:val="tx1"/>
            </w14:solidFill>
          </w14:textFill>
        </w:rPr>
        <w:t>，预算是完成预算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%。其中：</w:t>
      </w:r>
      <w:bookmarkEnd w:id="65"/>
      <w:bookmarkEnd w:id="66"/>
      <w:bookmarkEnd w:id="67"/>
      <w:bookmarkEnd w:id="68"/>
    </w:p>
    <w:p>
      <w:pPr>
        <w:spacing w:line="600" w:lineRule="exact"/>
        <w:ind w:firstLine="643" w:firstLineChars="200"/>
        <w:rPr>
          <w:rFonts w:hint="eastAsia" w:ascii="仿宋_GB2312" w:hAnsi="Calibri" w:eastAsia="仿宋_GB2312" w:cs="仿宋_GB2312"/>
          <w:color w:val="FF0000"/>
          <w:sz w:val="32"/>
          <w:szCs w:val="32"/>
          <w:lang w:eastAsia="zh-CN"/>
        </w:rPr>
      </w:pPr>
      <w:r>
        <w:rPr>
          <w:rFonts w:hint="eastAsia" w:ascii="仿宋_GB2312" w:hAnsi="宋体" w:eastAsia="仿宋_GB2312" w:cs="宋体"/>
          <w:b/>
          <w:bCs/>
          <w:color w:val="000000"/>
          <w:kern w:val="0"/>
          <w:sz w:val="32"/>
          <w:szCs w:val="32"/>
          <w:shd w:val="clear" w:color="auto" w:fill="FFFFFF"/>
          <w:lang w:val="zh-CN"/>
        </w:rPr>
        <w:t>1.一般公共服务</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201</w:t>
      </w:r>
      <w:r>
        <w:rPr>
          <w:rFonts w:hint="eastAsia" w:ascii="仿宋_GB2312" w:hAnsi="宋体" w:eastAsia="仿宋_GB2312" w:cs="宋体"/>
          <w:b/>
          <w:bCs/>
          <w:color w:val="000000"/>
          <w:kern w:val="0"/>
          <w:sz w:val="32"/>
          <w:szCs w:val="32"/>
          <w:shd w:val="clear" w:color="auto" w:fill="FFFFFF"/>
          <w:lang w:val="zh-CN"/>
        </w:rPr>
        <w:t>）:</w:t>
      </w:r>
      <w:r>
        <w:rPr>
          <w:rStyle w:val="14"/>
          <w:rFonts w:ascii="仿宋" w:hAnsi="仿宋" w:eastAsia="仿宋"/>
          <w:b w:val="0"/>
          <w:bCs/>
          <w:color w:val="FF0000"/>
          <w:sz w:val="32"/>
          <w:szCs w:val="32"/>
        </w:rPr>
        <w:t xml:space="preserve"> </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441.52</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%，决算数与预算数持平。其中：</w:t>
      </w:r>
      <w:r>
        <w:rPr>
          <w:rFonts w:hint="eastAsia" w:ascii="仿宋_GB2312" w:hAnsi="Calibri" w:eastAsia="仿宋_GB2312" w:cs="仿宋_GB2312"/>
          <w:b/>
          <w:bCs/>
          <w:color w:val="000000" w:themeColor="text1"/>
          <w:sz w:val="32"/>
          <w:szCs w:val="32"/>
          <w:lang w:eastAsia="zh-CN"/>
          <w14:textFill>
            <w14:solidFill>
              <w14:schemeClr w14:val="tx1"/>
            </w14:solidFill>
          </w14:textFill>
        </w:rPr>
        <w:t>行政运行（2010801）</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213.02</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万元，完成预算100%，决算数与预算数持平；</w:t>
      </w:r>
      <w:r>
        <w:rPr>
          <w:rFonts w:hint="eastAsia" w:ascii="仿宋_GB2312" w:hAnsi="Calibri" w:eastAsia="仿宋_GB2312" w:cs="仿宋_GB2312"/>
          <w:b/>
          <w:bCs/>
          <w:color w:val="000000" w:themeColor="text1"/>
          <w:sz w:val="32"/>
          <w:szCs w:val="32"/>
          <w:lang w:eastAsia="zh-CN"/>
          <w14:textFill>
            <w14:solidFill>
              <w14:schemeClr w14:val="tx1"/>
            </w14:solidFill>
          </w14:textFill>
        </w:rPr>
        <w:t>审计业务（2010804）</w:t>
      </w:r>
      <w:r>
        <w:rPr>
          <w:rFonts w:hint="eastAsia" w:ascii="仿宋_GB2312" w:hAnsi="Calibri" w:eastAsia="仿宋_GB2312" w:cs="仿宋_GB2312"/>
          <w:color w:val="000000" w:themeColor="text1"/>
          <w:sz w:val="32"/>
          <w:szCs w:val="32"/>
          <w:lang w:eastAsia="zh-CN"/>
          <w14:textFill>
            <w14:solidFill>
              <w14:schemeClr w14:val="tx1"/>
            </w14:solidFill>
          </w14:textFill>
        </w:rPr>
        <w:t>支出决算为</w:t>
      </w:r>
      <w:r>
        <w:rPr>
          <w:rFonts w:hint="eastAsia" w:ascii="仿宋_GB2312" w:hAnsi="Calibri" w:eastAsia="仿宋_GB2312" w:cs="仿宋_GB2312"/>
          <w:color w:val="000000" w:themeColor="text1"/>
          <w:sz w:val="32"/>
          <w:szCs w:val="32"/>
          <w:lang w:val="en-US" w:eastAsia="zh-CN"/>
          <w14:textFill>
            <w14:solidFill>
              <w14:schemeClr w14:val="tx1"/>
            </w14:solidFill>
          </w14:textFill>
        </w:rPr>
        <w:t>228.50</w:t>
      </w:r>
      <w:r>
        <w:rPr>
          <w:rFonts w:hint="eastAsia" w:ascii="仿宋_GB2312" w:hAnsi="Calibri" w:eastAsia="仿宋_GB2312" w:cs="仿宋_GB2312"/>
          <w:color w:val="000000" w:themeColor="text1"/>
          <w:sz w:val="32"/>
          <w:szCs w:val="32"/>
          <w:lang w:eastAsia="zh-CN"/>
          <w14:textFill>
            <w14:solidFill>
              <w14:schemeClr w14:val="tx1"/>
            </w14:solidFill>
          </w14:textFill>
        </w:rPr>
        <w:t>万元，完成预算</w:t>
      </w:r>
      <w:r>
        <w:rPr>
          <w:rFonts w:hint="eastAsia" w:ascii="仿宋_GB2312" w:hAnsi="Calibri" w:eastAsia="仿宋_GB2312" w:cs="仿宋_GB2312"/>
          <w:color w:val="000000" w:themeColor="text1"/>
          <w:sz w:val="32"/>
          <w:szCs w:val="32"/>
          <w:lang w:val="en-US" w:eastAsia="zh-CN"/>
          <w14:textFill>
            <w14:solidFill>
              <w14:schemeClr w14:val="tx1"/>
            </w14:solidFill>
          </w14:textFill>
        </w:rPr>
        <w:t>100</w:t>
      </w:r>
      <w:r>
        <w:rPr>
          <w:rFonts w:hint="eastAsia" w:ascii="仿宋_GB2312" w:hAnsi="Calibri" w:eastAsia="仿宋_GB2312" w:cs="仿宋_GB2312"/>
          <w:color w:val="000000" w:themeColor="text1"/>
          <w:sz w:val="32"/>
          <w:szCs w:val="32"/>
          <w:lang w:eastAsia="zh-CN"/>
          <w14:textFill>
            <w14:solidFill>
              <w14:schemeClr w14:val="tx1"/>
            </w14:solidFill>
          </w14:textFill>
        </w:rPr>
        <w:t>%，决算数与预算数持平。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2</w:t>
      </w:r>
      <w:r>
        <w:rPr>
          <w:rFonts w:hint="eastAsia" w:ascii="仿宋_GB2312" w:hAnsi="宋体" w:eastAsia="仿宋_GB2312" w:cs="宋体"/>
          <w:b/>
          <w:bCs/>
          <w:color w:val="000000"/>
          <w:kern w:val="0"/>
          <w:sz w:val="32"/>
          <w:szCs w:val="32"/>
          <w:shd w:val="clear" w:color="auto" w:fill="FFFFFF"/>
          <w:lang w:val="zh-CN"/>
        </w:rPr>
        <w:t>.社会保障和就业</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208</w:t>
      </w:r>
      <w:r>
        <w:rPr>
          <w:rFonts w:hint="eastAsia" w:ascii="仿宋_GB2312" w:hAnsi="宋体" w:eastAsia="仿宋_GB2312" w:cs="宋体"/>
          <w:b/>
          <w:bCs/>
          <w:color w:val="000000"/>
          <w:kern w:val="0"/>
          <w:sz w:val="32"/>
          <w:szCs w:val="32"/>
          <w:shd w:val="clear" w:color="auto" w:fill="FFFFFF"/>
          <w:lang w:val="zh-CN"/>
        </w:rPr>
        <w:t xml:space="preserve">）: </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28.89</w:t>
      </w:r>
      <w:r>
        <w:rPr>
          <w:rFonts w:hint="eastAsia" w:ascii="仿宋_GB2312" w:hAnsi="Calibri" w:eastAsia="仿宋_GB2312" w:cs="仿宋_GB2312"/>
          <w:sz w:val="32"/>
          <w:szCs w:val="32"/>
          <w:lang w:eastAsia="zh-CN"/>
        </w:rPr>
        <w:t>万元，完成预算100%，决算数与预算数持平。其中：</w:t>
      </w:r>
      <w:r>
        <w:rPr>
          <w:rFonts w:hint="eastAsia" w:ascii="仿宋_GB2312" w:hAnsi="Calibri" w:eastAsia="仿宋_GB2312" w:cs="仿宋_GB2312"/>
          <w:b/>
          <w:bCs/>
          <w:sz w:val="32"/>
          <w:szCs w:val="32"/>
          <w:lang w:eastAsia="zh-CN"/>
        </w:rPr>
        <w:t>机关事业单位基本养老保险缴费支出（2080505）</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19.26</w:t>
      </w:r>
      <w:r>
        <w:rPr>
          <w:rFonts w:hint="eastAsia" w:ascii="仿宋_GB2312" w:hAnsi="Calibri" w:eastAsia="仿宋_GB2312" w:cs="仿宋_GB2312"/>
          <w:sz w:val="32"/>
          <w:szCs w:val="32"/>
          <w:lang w:eastAsia="zh-CN"/>
        </w:rPr>
        <w:t>万元，完成预算100%，决算数与预算数持平；</w:t>
      </w:r>
      <w:r>
        <w:rPr>
          <w:rFonts w:hint="eastAsia" w:ascii="仿宋_GB2312" w:hAnsi="Calibri" w:eastAsia="仿宋_GB2312" w:cs="仿宋_GB2312"/>
          <w:b/>
          <w:bCs/>
          <w:sz w:val="32"/>
          <w:szCs w:val="32"/>
          <w:lang w:eastAsia="zh-CN"/>
        </w:rPr>
        <w:t>机关事业单位职业年金缴费支出（2080506）</w:t>
      </w:r>
      <w:r>
        <w:rPr>
          <w:rFonts w:hint="eastAsia" w:ascii="仿宋_GB2312" w:hAnsi="Calibri" w:eastAsia="仿宋_GB2312" w:cs="仿宋_GB2312"/>
          <w:sz w:val="32"/>
          <w:szCs w:val="32"/>
          <w:lang w:eastAsia="zh-CN"/>
        </w:rPr>
        <w:t>决算为</w:t>
      </w:r>
      <w:r>
        <w:rPr>
          <w:rFonts w:hint="eastAsia" w:ascii="仿宋_GB2312" w:hAnsi="Calibri" w:eastAsia="仿宋_GB2312" w:cs="仿宋_GB2312"/>
          <w:sz w:val="32"/>
          <w:szCs w:val="32"/>
          <w:lang w:val="en-US" w:eastAsia="zh-CN"/>
        </w:rPr>
        <w:t>9.63</w:t>
      </w:r>
      <w:r>
        <w:rPr>
          <w:rFonts w:hint="eastAsia" w:ascii="仿宋_GB2312" w:hAnsi="Calibri" w:eastAsia="仿宋_GB2312" w:cs="仿宋_GB2312"/>
          <w:sz w:val="32"/>
          <w:szCs w:val="32"/>
          <w:lang w:eastAsia="zh-CN"/>
        </w:rPr>
        <w:t>万元，完成预算数100%，决算数与预算数持平。</w:t>
      </w:r>
    </w:p>
    <w:p>
      <w:pPr>
        <w:spacing w:line="600" w:lineRule="exact"/>
        <w:ind w:firstLine="643" w:firstLineChars="200"/>
        <w:rPr>
          <w:rFonts w:hint="eastAsia" w:ascii="仿宋_GB2312" w:hAnsi="Calibri" w:eastAsia="仿宋_GB2312" w:cs="仿宋_GB2312"/>
          <w:sz w:val="32"/>
          <w:szCs w:val="32"/>
          <w:lang w:eastAsia="zh-CN"/>
        </w:rPr>
      </w:pPr>
      <w:r>
        <w:rPr>
          <w:rFonts w:hint="eastAsia" w:ascii="仿宋_GB2312" w:hAnsi="宋体" w:eastAsia="仿宋_GB2312" w:cs="宋体"/>
          <w:b/>
          <w:bCs/>
          <w:color w:val="000000"/>
          <w:kern w:val="0"/>
          <w:sz w:val="32"/>
          <w:szCs w:val="32"/>
          <w:shd w:val="clear" w:color="auto" w:fill="FFFFFF"/>
          <w:lang w:val="en-US" w:eastAsia="zh-CN"/>
        </w:rPr>
        <w:t>3</w:t>
      </w:r>
      <w:r>
        <w:rPr>
          <w:rFonts w:hint="eastAsia" w:ascii="仿宋_GB2312" w:hAnsi="宋体" w:eastAsia="仿宋_GB2312" w:cs="宋体"/>
          <w:b/>
          <w:bCs/>
          <w:color w:val="000000"/>
          <w:kern w:val="0"/>
          <w:sz w:val="32"/>
          <w:szCs w:val="32"/>
          <w:shd w:val="clear" w:color="auto" w:fill="FFFFFF"/>
          <w:lang w:val="zh-CN"/>
        </w:rPr>
        <w:t>.卫生健康</w:t>
      </w:r>
      <w:r>
        <w:rPr>
          <w:rFonts w:hint="eastAsia" w:ascii="仿宋_GB2312" w:hAnsi="宋体" w:eastAsia="仿宋_GB2312" w:cs="宋体"/>
          <w:b/>
          <w:bCs/>
          <w:color w:val="000000"/>
          <w:kern w:val="0"/>
          <w:sz w:val="32"/>
          <w:szCs w:val="32"/>
          <w:shd w:val="clear" w:color="auto" w:fill="FFFFFF"/>
          <w:lang w:val="zh-CN" w:eastAsia="zh-CN"/>
        </w:rPr>
        <w:t>支出</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宋体" w:eastAsia="仿宋_GB2312" w:cs="宋体"/>
          <w:b/>
          <w:bCs/>
          <w:color w:val="000000"/>
          <w:kern w:val="0"/>
          <w:sz w:val="32"/>
          <w:szCs w:val="32"/>
          <w:shd w:val="clear" w:color="auto" w:fill="FFFFFF"/>
          <w:lang w:val="en-US" w:eastAsia="zh-CN"/>
        </w:rPr>
        <w:t>210</w:t>
      </w:r>
      <w:r>
        <w:rPr>
          <w:rFonts w:hint="eastAsia" w:ascii="仿宋_GB2312" w:hAnsi="宋体" w:eastAsia="仿宋_GB2312" w:cs="宋体"/>
          <w:b/>
          <w:bCs/>
          <w:color w:val="000000"/>
          <w:kern w:val="0"/>
          <w:sz w:val="32"/>
          <w:szCs w:val="32"/>
          <w:shd w:val="clear" w:color="auto" w:fill="FFFFFF"/>
          <w:lang w:val="zh-CN"/>
        </w:rPr>
        <w:t>）:</w:t>
      </w:r>
      <w:r>
        <w:rPr>
          <w:rFonts w:hint="eastAsia" w:ascii="仿宋_GB2312" w:hAnsi="Calibri" w:eastAsia="仿宋_GB2312" w:cs="仿宋_GB2312"/>
          <w:sz w:val="32"/>
          <w:szCs w:val="32"/>
          <w:lang w:eastAsia="zh-CN"/>
        </w:rPr>
        <w:t>支出决算为</w:t>
      </w:r>
      <w:r>
        <w:rPr>
          <w:rFonts w:hint="eastAsia" w:ascii="仿宋_GB2312" w:hAnsi="Calibri" w:eastAsia="仿宋_GB2312" w:cs="仿宋_GB2312"/>
          <w:sz w:val="32"/>
          <w:szCs w:val="32"/>
          <w:lang w:val="en-US" w:eastAsia="zh-CN"/>
        </w:rPr>
        <w:t>13.12万元，完成预算100%，决算数与预算数持平。其中：</w:t>
      </w:r>
      <w:r>
        <w:rPr>
          <w:rFonts w:hint="eastAsia" w:ascii="仿宋_GB2312" w:hAnsi="Calibri" w:eastAsia="仿宋_GB2312" w:cs="仿宋_GB2312"/>
          <w:b/>
          <w:bCs/>
          <w:sz w:val="32"/>
          <w:szCs w:val="32"/>
          <w:lang w:val="en-US" w:eastAsia="zh-CN"/>
        </w:rPr>
        <w:t>行政单位医疗（2101101）</w:t>
      </w:r>
      <w:r>
        <w:rPr>
          <w:rFonts w:hint="eastAsia" w:ascii="仿宋_GB2312" w:hAnsi="Calibri" w:eastAsia="仿宋_GB2312" w:cs="仿宋_GB2312"/>
          <w:sz w:val="32"/>
          <w:szCs w:val="32"/>
          <w:lang w:val="en-US" w:eastAsia="zh-CN"/>
        </w:rPr>
        <w:t>支出决算为9.85万元，</w:t>
      </w:r>
      <w:r>
        <w:rPr>
          <w:rFonts w:hint="eastAsia" w:ascii="仿宋_GB2312" w:hAnsi="Calibri" w:eastAsia="仿宋_GB2312" w:cs="仿宋_GB2312"/>
          <w:sz w:val="32"/>
          <w:szCs w:val="32"/>
          <w:lang w:eastAsia="zh-CN"/>
        </w:rPr>
        <w:t>完成预算数100%，决算数与预算数持平，</w:t>
      </w:r>
      <w:r>
        <w:rPr>
          <w:rFonts w:hint="eastAsia" w:ascii="仿宋_GB2312" w:hAnsi="Calibri" w:eastAsia="仿宋_GB2312" w:cs="仿宋_GB2312"/>
          <w:b/>
          <w:bCs/>
          <w:sz w:val="32"/>
          <w:szCs w:val="32"/>
          <w:lang w:val="en-US" w:eastAsia="zh-CN"/>
        </w:rPr>
        <w:t>公务员医疗补助（2101103）</w:t>
      </w:r>
      <w:r>
        <w:rPr>
          <w:rFonts w:hint="eastAsia" w:ascii="仿宋_GB2312" w:hAnsi="Calibri" w:eastAsia="仿宋_GB2312" w:cs="仿宋_GB2312"/>
          <w:sz w:val="32"/>
          <w:szCs w:val="32"/>
          <w:lang w:val="en-US" w:eastAsia="zh-CN"/>
        </w:rPr>
        <w:t>支出决算为3.27万元，</w:t>
      </w:r>
      <w:r>
        <w:rPr>
          <w:rFonts w:hint="eastAsia" w:ascii="仿宋_GB2312" w:hAnsi="Calibri" w:eastAsia="仿宋_GB2312" w:cs="仿宋_GB2312"/>
          <w:sz w:val="32"/>
          <w:szCs w:val="32"/>
          <w:lang w:eastAsia="zh-CN"/>
        </w:rPr>
        <w:t>完成预算数100%，决算数与预算数持平。</w:t>
      </w:r>
    </w:p>
    <w:p>
      <w:pPr>
        <w:spacing w:line="600" w:lineRule="exact"/>
        <w:ind w:firstLine="643" w:firstLineChars="200"/>
        <w:rPr>
          <w:rFonts w:ascii="仿宋" w:hAnsi="仿宋" w:eastAsia="仿宋"/>
          <w:b/>
          <w:color w:val="000000"/>
          <w:sz w:val="32"/>
          <w:szCs w:val="32"/>
        </w:rPr>
      </w:pPr>
      <w:r>
        <w:rPr>
          <w:rFonts w:hint="eastAsia" w:ascii="仿宋_GB2312" w:hAnsi="宋体" w:eastAsia="仿宋_GB2312" w:cs="宋体"/>
          <w:b/>
          <w:bCs/>
          <w:color w:val="000000"/>
          <w:kern w:val="0"/>
          <w:sz w:val="32"/>
          <w:szCs w:val="32"/>
          <w:shd w:val="clear" w:color="auto" w:fill="FFFFFF"/>
          <w:lang w:val="en-US" w:eastAsia="zh-CN"/>
        </w:rPr>
        <w:t>4</w:t>
      </w:r>
      <w:r>
        <w:rPr>
          <w:rFonts w:hint="eastAsia" w:ascii="仿宋_GB2312" w:hAnsi="宋体" w:eastAsia="仿宋_GB2312" w:cs="宋体"/>
          <w:b/>
          <w:bCs/>
          <w:color w:val="000000"/>
          <w:kern w:val="0"/>
          <w:sz w:val="32"/>
          <w:szCs w:val="32"/>
          <w:shd w:val="clear" w:color="auto" w:fill="FFFFFF"/>
          <w:lang w:val="zh-CN"/>
        </w:rPr>
        <w:t>.住房保障支出（221）:</w:t>
      </w:r>
      <w:r>
        <w:rPr>
          <w:rFonts w:hint="eastAsia" w:ascii="仿宋_GB2312" w:hAnsi="Calibri" w:eastAsia="仿宋_GB2312" w:cs="仿宋_GB2312"/>
          <w:sz w:val="32"/>
          <w:szCs w:val="32"/>
          <w:lang w:val="en-US" w:eastAsia="zh-CN"/>
        </w:rPr>
        <w:t>支出决算为20.72万元，完成预算100%，决算数与预算数持平。其中：</w:t>
      </w:r>
      <w:r>
        <w:rPr>
          <w:rFonts w:hint="eastAsia" w:ascii="仿宋_GB2312" w:hAnsi="Calibri" w:eastAsia="仿宋_GB2312" w:cs="仿宋_GB2312"/>
          <w:b/>
          <w:bCs/>
          <w:sz w:val="32"/>
          <w:szCs w:val="32"/>
          <w:lang w:val="en-US" w:eastAsia="zh-CN"/>
        </w:rPr>
        <w:t>住房公积金（2210201）</w:t>
      </w:r>
      <w:r>
        <w:rPr>
          <w:rFonts w:hint="eastAsia" w:ascii="仿宋_GB2312" w:hAnsi="Calibri" w:eastAsia="仿宋_GB2312" w:cs="仿宋_GB2312"/>
          <w:sz w:val="32"/>
          <w:szCs w:val="32"/>
          <w:lang w:val="en-US" w:eastAsia="zh-CN"/>
        </w:rPr>
        <w:t>支出决算为19.45万元，完成预算100%，决算数与预算数持平；</w:t>
      </w:r>
      <w:r>
        <w:rPr>
          <w:rFonts w:hint="eastAsia" w:ascii="仿宋_GB2312" w:hAnsi="Calibri" w:eastAsia="仿宋_GB2312" w:cs="仿宋_GB2312"/>
          <w:b/>
          <w:bCs/>
          <w:sz w:val="32"/>
          <w:szCs w:val="32"/>
          <w:lang w:val="en-US" w:eastAsia="zh-CN"/>
        </w:rPr>
        <w:t>购房补贴（2210203）</w:t>
      </w:r>
      <w:r>
        <w:rPr>
          <w:rFonts w:hint="eastAsia" w:ascii="仿宋_GB2312" w:hAnsi="Calibri" w:eastAsia="仿宋_GB2312" w:cs="仿宋_GB2312"/>
          <w:sz w:val="32"/>
          <w:szCs w:val="32"/>
          <w:lang w:val="en-US" w:eastAsia="zh-CN"/>
        </w:rPr>
        <w:t xml:space="preserve">支出决算为1.27万元，完成预算100%，决算数与预算数持平。 </w:t>
      </w:r>
    </w:p>
    <w:p>
      <w:pPr>
        <w:tabs>
          <w:tab w:val="right" w:pos="8306"/>
        </w:tabs>
        <w:spacing w:line="600" w:lineRule="exact"/>
        <w:ind w:firstLine="640"/>
        <w:outlineLvl w:val="1"/>
        <w:rPr>
          <w:rStyle w:val="16"/>
        </w:rPr>
      </w:pPr>
      <w:bookmarkStart w:id="69" w:name="_Toc15377214"/>
      <w:bookmarkStart w:id="70" w:name="_Toc23603"/>
      <w:bookmarkStart w:id="71" w:name="_Toc79163618"/>
      <w:bookmarkStart w:id="72"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16"/>
          <w:rFonts w:hint="eastAsia" w:ascii="黑体" w:hAnsi="黑体" w:eastAsia="黑体"/>
          <w:b w:val="0"/>
        </w:rPr>
        <w:t>般公共预算财政拨款基本支出决算情况说明</w:t>
      </w:r>
      <w:bookmarkEnd w:id="69"/>
      <w:bookmarkEnd w:id="70"/>
      <w:bookmarkEnd w:id="71"/>
      <w:bookmarkEnd w:id="72"/>
      <w:r>
        <w:rPr>
          <w:rStyle w:val="16"/>
          <w:rFonts w:ascii="黑体" w:hAnsi="黑体" w:eastAsia="黑体"/>
          <w:b w:val="0"/>
        </w:rPr>
        <w:tab/>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2021年一般公共预算财政拨款支出504.26万元，其中基本支出275.76万元、项目支出228.50万元。</w:t>
      </w:r>
      <w:bookmarkStart w:id="73" w:name="_Toc17046"/>
      <w:bookmarkStart w:id="74" w:name="_Toc6389"/>
    </w:p>
    <w:p>
      <w:pPr>
        <w:spacing w:line="600" w:lineRule="exact"/>
        <w:ind w:firstLine="643" w:firstLineChars="200"/>
        <w:rPr>
          <w:rStyle w:val="20"/>
        </w:rPr>
      </w:pPr>
      <w:bookmarkStart w:id="75" w:name="_Toc13874"/>
      <w:r>
        <w:rPr>
          <w:rStyle w:val="19"/>
          <w:rFonts w:hint="eastAsia" w:ascii="仿宋" w:hAnsi="仿宋" w:eastAsia="仿宋" w:cs="仿宋"/>
        </w:rPr>
        <w:t>（一）一般公共预算财政拨款基本支出决算情况说明</w:t>
      </w:r>
      <w:bookmarkEnd w:id="73"/>
      <w:bookmarkEnd w:id="74"/>
      <w:bookmarkEnd w:id="75"/>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2021年一般公共预算财政拨款基本支出275.76万元，其中：</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1.人员经费</w:t>
      </w:r>
      <w:r>
        <w:rPr>
          <w:rFonts w:hint="eastAsia" w:ascii="仿宋_GB2312" w:hAnsi="Calibri" w:eastAsia="仿宋_GB2312" w:cs="仿宋_GB2312"/>
          <w:b/>
          <w:bCs/>
          <w:sz w:val="32"/>
          <w:szCs w:val="32"/>
          <w:lang w:val="en-US" w:eastAsia="zh-CN"/>
        </w:rPr>
        <w:t>258.00</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基本工资43.30万元、津贴补贴83.10万元、奖金59.13万元、机关事业单位基本养老保险缴费19.26万元、职业年金缴费9.63万元、职工基本医疗保险缴费9.85万元、公务员医疗补助3.27万元，其他社会保障缴费2.60万元、住房公积金19.45万元、生活补助6.41万元、医疗费补助2.01万元。</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2.公用经费</w:t>
      </w:r>
      <w:r>
        <w:rPr>
          <w:rFonts w:hint="eastAsia" w:ascii="仿宋_GB2312" w:hAnsi="Calibri" w:eastAsia="仿宋_GB2312" w:cs="仿宋_GB2312"/>
          <w:b/>
          <w:bCs/>
          <w:sz w:val="32"/>
          <w:szCs w:val="32"/>
          <w:lang w:val="en-US" w:eastAsia="zh-CN"/>
        </w:rPr>
        <w:t>17.76</w:t>
      </w:r>
      <w:r>
        <w:rPr>
          <w:rFonts w:hint="eastAsia" w:ascii="仿宋_GB2312" w:hAnsi="Calibri" w:eastAsia="仿宋_GB2312" w:cs="仿宋_GB2312"/>
          <w:b/>
          <w:bCs/>
          <w:sz w:val="32"/>
          <w:szCs w:val="32"/>
          <w:lang w:val="zh-CN" w:eastAsia="zh-CN"/>
        </w:rPr>
        <w:t>万元，</w:t>
      </w:r>
      <w:r>
        <w:rPr>
          <w:rFonts w:hint="eastAsia" w:ascii="仿宋_GB2312" w:hAnsi="Calibri" w:eastAsia="仿宋_GB2312" w:cs="仿宋_GB2312"/>
          <w:sz w:val="32"/>
          <w:szCs w:val="32"/>
          <w:lang w:val="en-US" w:eastAsia="zh-CN"/>
        </w:rPr>
        <w:t>其中：办公费6.49万元、手续费0.02万元、水费0.02万元、电费0.5万元、邮电费1.63万元、取暖费0.77万元、物业管理费0.59万元、差旅费2.74万元、维修（护）费0.40万元、公务接待费0.08万元、培训费0.5万元、公务用车运行维护费4.00万元。</w:t>
      </w:r>
    </w:p>
    <w:p>
      <w:pPr>
        <w:spacing w:line="600" w:lineRule="exact"/>
        <w:ind w:firstLine="643" w:firstLineChars="200"/>
        <w:rPr>
          <w:rFonts w:hint="eastAsia" w:ascii="仿宋" w:hAnsi="仿宋" w:eastAsia="仿宋" w:cs="仿宋"/>
          <w:sz w:val="32"/>
          <w:szCs w:val="32"/>
        </w:rPr>
      </w:pPr>
      <w:bookmarkStart w:id="76" w:name="_Toc21366"/>
      <w:bookmarkStart w:id="77" w:name="_Toc4907"/>
      <w:bookmarkStart w:id="78" w:name="_Toc17373"/>
      <w:r>
        <w:rPr>
          <w:rStyle w:val="19"/>
          <w:rFonts w:hint="eastAsia" w:ascii="仿宋" w:hAnsi="仿宋" w:eastAsia="仿宋" w:cs="仿宋"/>
          <w:b/>
        </w:rPr>
        <w:t>（二）一般公共预算财政拨款项目支出决算情况说明</w:t>
      </w:r>
      <w:bookmarkEnd w:id="76"/>
      <w:bookmarkEnd w:id="77"/>
      <w:bookmarkEnd w:id="78"/>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2021年一般公共预算财政拨款项目支出228.50万元，其中：</w:t>
      </w:r>
    </w:p>
    <w:p>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ascii="仿宋" w:hAnsi="仿宋" w:eastAsia="仿宋"/>
          <w:b/>
          <w:color w:val="FF0000"/>
          <w:sz w:val="32"/>
          <w:szCs w:val="32"/>
        </w:rPr>
      </w:pPr>
      <w:r>
        <w:rPr>
          <w:rFonts w:hint="eastAsia" w:ascii="仿宋_GB2312" w:hAnsi="Calibri" w:eastAsia="仿宋_GB2312" w:cs="仿宋_GB2312"/>
          <w:b/>
          <w:bCs/>
          <w:sz w:val="32"/>
          <w:szCs w:val="32"/>
          <w:lang w:val="en-US" w:eastAsia="zh-CN"/>
        </w:rPr>
        <w:t>公用经费228.50万元，</w:t>
      </w:r>
      <w:r>
        <w:rPr>
          <w:rFonts w:hint="eastAsia" w:ascii="仿宋_GB2312" w:hAnsi="Calibri" w:eastAsia="仿宋_GB2312" w:cs="仿宋_GB2312"/>
          <w:sz w:val="32"/>
          <w:szCs w:val="32"/>
          <w:lang w:val="en-US" w:eastAsia="zh-CN"/>
        </w:rPr>
        <w:t>其中：办公费11.70万元、电费1.50万元、邮电费0.07万元、差旅费15.91万元、租赁费2.00万元、培训费0.02万元；劳务费7.15万元、委托业务费184.58万元、公务用车运行维护费3.06万元、信息网络及软件购置更新2.52万元。</w:t>
      </w:r>
    </w:p>
    <w:p>
      <w:pPr>
        <w:spacing w:line="600" w:lineRule="exact"/>
        <w:ind w:firstLine="640"/>
        <w:outlineLvl w:val="1"/>
        <w:rPr>
          <w:rStyle w:val="16"/>
          <w:rFonts w:ascii="黑体" w:hAnsi="黑体" w:eastAsia="黑体"/>
          <w:b w:val="0"/>
        </w:rPr>
      </w:pPr>
      <w:bookmarkStart w:id="79" w:name="_Toc15396609"/>
      <w:bookmarkStart w:id="80" w:name="_Toc15377215"/>
      <w:bookmarkStart w:id="81" w:name="_Toc79163619"/>
      <w:bookmarkStart w:id="82" w:name="_Toc21210"/>
      <w:r>
        <w:rPr>
          <w:rFonts w:hint="eastAsia" w:ascii="黑体" w:eastAsia="黑体"/>
          <w:color w:val="000000"/>
          <w:sz w:val="32"/>
          <w:szCs w:val="32"/>
        </w:rPr>
        <w:t>七、</w:t>
      </w:r>
      <w:r>
        <w:rPr>
          <w:rStyle w:val="16"/>
          <w:rFonts w:hint="eastAsia" w:ascii="黑体" w:hAnsi="黑体" w:eastAsia="黑体"/>
        </w:rPr>
        <w:t>“</w:t>
      </w:r>
      <w:r>
        <w:rPr>
          <w:rStyle w:val="16"/>
          <w:rFonts w:hint="eastAsia" w:ascii="黑体" w:hAnsi="黑体" w:eastAsia="黑体"/>
          <w:b w:val="0"/>
        </w:rPr>
        <w:t>三公”经费财政拨款支出决算情况说明</w:t>
      </w:r>
      <w:bookmarkEnd w:id="79"/>
      <w:bookmarkEnd w:id="80"/>
      <w:bookmarkEnd w:id="81"/>
      <w:bookmarkEnd w:id="82"/>
    </w:p>
    <w:p>
      <w:pPr>
        <w:spacing w:line="600" w:lineRule="exact"/>
        <w:ind w:firstLine="640"/>
        <w:outlineLvl w:val="2"/>
        <w:rPr>
          <w:rFonts w:ascii="仿宋" w:hAnsi="仿宋" w:eastAsia="仿宋"/>
          <w:b/>
          <w:color w:val="000000"/>
          <w:sz w:val="32"/>
          <w:szCs w:val="32"/>
        </w:rPr>
      </w:pPr>
      <w:bookmarkStart w:id="83" w:name="_Toc15377216"/>
      <w:bookmarkStart w:id="84" w:name="_Toc79163620"/>
      <w:bookmarkStart w:id="85" w:name="_Toc7448"/>
      <w:r>
        <w:rPr>
          <w:rFonts w:hint="eastAsia" w:ascii="仿宋" w:hAnsi="仿宋" w:eastAsia="仿宋"/>
          <w:b/>
          <w:color w:val="000000"/>
          <w:sz w:val="32"/>
          <w:szCs w:val="32"/>
        </w:rPr>
        <w:t>（一）“三公”经费财政拨款支出决算总体情况说明</w:t>
      </w:r>
      <w:bookmarkEnd w:id="83"/>
      <w:bookmarkEnd w:id="84"/>
      <w:bookmarkEnd w:id="85"/>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2021年“三公”经费财政拨款支出决算中，因公出国（境）费支出决算0万元，占0%；公务用车购置及运行维护费支出决算7.06万元，占98.88%；公务接待费支出决算0.08万元，占1.12%。具体情况如下：</w:t>
      </w:r>
    </w:p>
    <w:p>
      <w:pPr>
        <w:spacing w:line="600" w:lineRule="exact"/>
        <w:ind w:firstLine="640"/>
        <w:rPr>
          <w:rFonts w:hint="eastAsia"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pStyle w:val="2"/>
        <w:rPr>
          <w:rFonts w:hint="eastAsia" w:ascii="仿宋" w:hAnsi="仿宋" w:eastAsia="仿宋"/>
          <w:color w:val="000000"/>
          <w:sz w:val="32"/>
          <w:szCs w:val="32"/>
        </w:rPr>
      </w:pPr>
    </w:p>
    <w:p>
      <w:pPr>
        <w:rPr>
          <w:rFonts w:hint="eastAsia" w:ascii="仿宋" w:hAnsi="仿宋" w:eastAsia="仿宋"/>
          <w:color w:val="000000"/>
          <w:sz w:val="32"/>
          <w:szCs w:val="32"/>
        </w:rPr>
      </w:pPr>
      <w:r>
        <w:rPr>
          <w:rFonts w:hint="eastAsia" w:ascii="仿宋" w:hAnsi="仿宋" w:eastAsia="仿宋"/>
          <w:color w:val="000000"/>
          <w:sz w:val="32"/>
          <w:szCs w:val="32"/>
          <w:lang w:eastAsia="zh-CN"/>
        </w:rPr>
        <w:drawing>
          <wp:inline distT="0" distB="0" distL="114300" distR="114300">
            <wp:extent cx="5080000" cy="3810000"/>
            <wp:effectExtent l="4445" t="4445" r="20955" b="1460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1.因公出国（境）经费支出</w:t>
      </w:r>
      <w:r>
        <w:rPr>
          <w:rFonts w:hint="eastAsia" w:ascii="仿宋_GB2312" w:hAnsi="Calibri" w:eastAsia="仿宋_GB2312" w:cs="仿宋_GB2312"/>
          <w:b/>
          <w:bCs/>
          <w:sz w:val="32"/>
          <w:szCs w:val="32"/>
          <w:lang w:val="en-US" w:eastAsia="zh-CN"/>
        </w:rPr>
        <w:t>0万元，</w:t>
      </w:r>
      <w:r>
        <w:rPr>
          <w:rFonts w:hint="eastAsia" w:ascii="仿宋_GB2312" w:hAnsi="Calibri" w:eastAsia="仿宋_GB2312" w:cs="仿宋_GB2312"/>
          <w:sz w:val="32"/>
          <w:szCs w:val="32"/>
          <w:lang w:val="en-US" w:eastAsia="zh-CN"/>
        </w:rPr>
        <w:t>完成预算100%。全年安排因公出国（境）团组0次，出国（境）0人。因公出国（境）支出决算于2020年持平。主要原因是我局2020年和2021年都无因公出国（境）事项。</w:t>
      </w:r>
    </w:p>
    <w:p>
      <w:pPr>
        <w:spacing w:line="600" w:lineRule="exact"/>
        <w:ind w:firstLine="64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2.公务用车购置及运行维护费</w:t>
      </w:r>
      <w:r>
        <w:rPr>
          <w:rFonts w:hint="eastAsia" w:ascii="仿宋_GB2312" w:hAnsi="Calibri" w:eastAsia="仿宋_GB2312" w:cs="仿宋_GB2312"/>
          <w:b/>
          <w:bCs/>
          <w:i w:val="0"/>
          <w:iCs w:val="0"/>
          <w:sz w:val="32"/>
          <w:szCs w:val="32"/>
          <w:lang w:val="zh-CN" w:eastAsia="zh-CN"/>
        </w:rPr>
        <w:t>支出</w:t>
      </w:r>
      <w:r>
        <w:rPr>
          <w:rFonts w:hint="eastAsia" w:ascii="仿宋_GB2312" w:hAnsi="Calibri" w:eastAsia="仿宋_GB2312" w:cs="仿宋_GB2312"/>
          <w:b/>
          <w:bCs/>
          <w:i w:val="0"/>
          <w:iCs w:val="0"/>
          <w:sz w:val="32"/>
          <w:szCs w:val="32"/>
          <w:lang w:val="en-US" w:eastAsia="zh-CN"/>
        </w:rPr>
        <w:t>7.06万元,</w:t>
      </w:r>
      <w:r>
        <w:rPr>
          <w:rFonts w:hint="eastAsia" w:ascii="仿宋_GB2312" w:hAnsi="Calibri" w:eastAsia="仿宋_GB2312" w:cs="仿宋_GB2312"/>
          <w:sz w:val="32"/>
          <w:szCs w:val="32"/>
          <w:lang w:val="en-US" w:eastAsia="zh-CN"/>
        </w:rPr>
        <w:t>完成预算100%。公务用车购置及运行维护费支出决算比2020年增加1.04万元，增加17.27%，主要原因是我局车辆老化维修维护费增加。</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公务用车购置支出0万元。</w:t>
      </w:r>
      <w:r>
        <w:rPr>
          <w:rFonts w:hint="eastAsia" w:ascii="仿宋_GB2312" w:hAnsi="Calibri" w:eastAsia="仿宋_GB2312" w:cs="仿宋_GB2312"/>
          <w:sz w:val="32"/>
          <w:szCs w:val="32"/>
          <w:lang w:val="en-US" w:eastAsia="zh-CN"/>
        </w:rPr>
        <w:t>全年按规定更新购置公务用车0辆，金额0元。截至2021年12月底，单位共有公务用车1辆，其中：越野车1辆。</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en-US" w:eastAsia="zh-CN"/>
        </w:rPr>
        <w:t>公务用车运行维护费支出7.06万元。</w:t>
      </w:r>
      <w:r>
        <w:rPr>
          <w:rFonts w:hint="eastAsia" w:ascii="仿宋_GB2312" w:hAnsi="Calibri" w:eastAsia="仿宋_GB2312" w:cs="仿宋_GB2312"/>
          <w:sz w:val="32"/>
          <w:szCs w:val="32"/>
          <w:lang w:val="en-US" w:eastAsia="zh-CN"/>
        </w:rPr>
        <w:t>主要用于要用于人员出差、下乡、车辆年检、车辆维修等所需的公务用车燃料费、维修费、过路过桥费、保险费、停车费、洗车费等支出。</w:t>
      </w:r>
    </w:p>
    <w:p>
      <w:pPr>
        <w:spacing w:line="600" w:lineRule="exact"/>
        <w:ind w:firstLine="643"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b/>
          <w:bCs/>
          <w:sz w:val="32"/>
          <w:szCs w:val="32"/>
          <w:lang w:val="zh-CN" w:eastAsia="zh-CN"/>
        </w:rPr>
        <w:t>3.公务接待费支出</w:t>
      </w:r>
      <w:r>
        <w:rPr>
          <w:rFonts w:hint="eastAsia" w:ascii="仿宋_GB2312" w:hAnsi="Calibri" w:eastAsia="仿宋_GB2312" w:cs="仿宋_GB2312"/>
          <w:b/>
          <w:bCs/>
          <w:sz w:val="32"/>
          <w:szCs w:val="32"/>
          <w:lang w:val="en-US" w:eastAsia="zh-CN"/>
        </w:rPr>
        <w:t>0.08万元，</w:t>
      </w:r>
      <w:r>
        <w:rPr>
          <w:rFonts w:hint="eastAsia" w:ascii="仿宋_GB2312" w:hAnsi="Calibri" w:eastAsia="仿宋_GB2312" w:cs="仿宋_GB2312"/>
          <w:sz w:val="32"/>
          <w:szCs w:val="32"/>
          <w:lang w:val="en-US" w:eastAsia="zh-CN"/>
        </w:rPr>
        <w:t>完成预算100%。公务接待费支出决算比2020年减少0.05万元，主要原因是我局严格执行厉行节约。</w:t>
      </w:r>
    </w:p>
    <w:p>
      <w:pPr>
        <w:spacing w:line="600" w:lineRule="exact"/>
        <w:ind w:firstLine="640" w:firstLineChars="200"/>
        <w:rPr>
          <w:rFonts w:hint="eastAsia" w:ascii="仿宋_GB2312" w:hAnsi="Calibri" w:eastAsia="仿宋_GB2312" w:cs="仿宋_GB2312"/>
          <w:sz w:val="32"/>
          <w:szCs w:val="32"/>
          <w:highlight w:val="none"/>
          <w:lang w:val="en-US" w:eastAsia="zh-CN"/>
        </w:rPr>
      </w:pPr>
      <w:r>
        <w:rPr>
          <w:rFonts w:hint="eastAsia" w:ascii="仿宋_GB2312" w:hAnsi="Calibri" w:eastAsia="仿宋_GB2312" w:cs="仿宋_GB2312"/>
          <w:sz w:val="32"/>
          <w:szCs w:val="32"/>
          <w:lang w:val="en-US" w:eastAsia="zh-CN"/>
        </w:rPr>
        <w:t>其中：</w:t>
      </w:r>
      <w:r>
        <w:rPr>
          <w:rFonts w:hint="eastAsia" w:ascii="仿宋_GB2312" w:hAnsi="Calibri" w:eastAsia="仿宋_GB2312" w:cs="仿宋_GB2312"/>
          <w:b/>
          <w:bCs/>
          <w:sz w:val="32"/>
          <w:szCs w:val="32"/>
          <w:lang w:val="en-US" w:eastAsia="zh-CN"/>
        </w:rPr>
        <w:t>（1）国内公务接待支出0.08万元，</w:t>
      </w:r>
      <w:r>
        <w:rPr>
          <w:rFonts w:hint="eastAsia" w:ascii="仿宋_GB2312" w:hAnsi="Calibri" w:eastAsia="仿宋_GB2312" w:cs="仿宋_GB2312"/>
          <w:sz w:val="32"/>
          <w:szCs w:val="32"/>
          <w:lang w:val="en-US" w:eastAsia="zh-CN"/>
        </w:rPr>
        <w:t>主要用于执行公务、开展业务活动开支用餐费。</w:t>
      </w:r>
      <w:r>
        <w:rPr>
          <w:rFonts w:hint="eastAsia" w:ascii="仿宋_GB2312" w:hAnsi="Calibri" w:eastAsia="仿宋_GB2312" w:cs="仿宋_GB2312"/>
          <w:color w:val="000000" w:themeColor="text1"/>
          <w:sz w:val="32"/>
          <w:szCs w:val="32"/>
          <w:highlight w:val="none"/>
          <w:lang w:val="en-US" w:eastAsia="zh-CN"/>
          <w14:textFill>
            <w14:solidFill>
              <w14:schemeClr w14:val="tx1"/>
            </w14:solidFill>
          </w14:textFill>
        </w:rPr>
        <w:t>国内公务接待1批次，5人次（不包括陪同人员），共计支出0.08万元，</w:t>
      </w:r>
      <w:r>
        <w:rPr>
          <w:rFonts w:hint="eastAsia" w:ascii="仿宋_GB2312" w:hAnsi="Calibri" w:eastAsia="仿宋_GB2312" w:cs="仿宋_GB2312"/>
          <w:sz w:val="32"/>
          <w:szCs w:val="32"/>
          <w:highlight w:val="none"/>
          <w:lang w:val="en-US" w:eastAsia="zh-CN"/>
        </w:rPr>
        <w:t>具体内容包括：四川省审计厅厅党组成员赴壤塘县审计局开展工作调研接待支出0.08万元。</w:t>
      </w:r>
    </w:p>
    <w:p>
      <w:pPr>
        <w:spacing w:line="600" w:lineRule="exact"/>
        <w:ind w:firstLine="643" w:firstLineChars="200"/>
        <w:rPr>
          <w:rFonts w:ascii="仿宋_GB2312" w:eastAsia="仿宋_GB2312"/>
          <w:color w:val="000000"/>
          <w:sz w:val="32"/>
          <w:szCs w:val="32"/>
        </w:rPr>
      </w:pPr>
      <w:r>
        <w:rPr>
          <w:rFonts w:hint="eastAsia" w:ascii="仿宋_GB2312" w:hAnsi="Calibri" w:eastAsia="仿宋_GB2312" w:cs="仿宋_GB2312"/>
          <w:b/>
          <w:bCs/>
          <w:sz w:val="32"/>
          <w:szCs w:val="32"/>
          <w:lang w:val="en-US" w:eastAsia="zh-CN"/>
        </w:rPr>
        <w:t>（2）外事接待支出0万元，</w:t>
      </w:r>
      <w:r>
        <w:rPr>
          <w:rFonts w:hint="eastAsia" w:ascii="仿宋_GB2312" w:hAnsi="Calibri" w:eastAsia="仿宋_GB2312" w:cs="仿宋_GB2312"/>
          <w:sz w:val="32"/>
          <w:szCs w:val="32"/>
          <w:lang w:val="en-US" w:eastAsia="zh-CN"/>
        </w:rPr>
        <w:t>外事接待0批次，0人，共计支出0万元，2020年我局无外事接待事项。</w:t>
      </w:r>
    </w:p>
    <w:p>
      <w:pPr>
        <w:spacing w:line="600" w:lineRule="exact"/>
        <w:ind w:firstLine="640"/>
        <w:outlineLvl w:val="1"/>
        <w:rPr>
          <w:rFonts w:hint="eastAsia" w:ascii="黑体" w:hAnsi="Times New Roman" w:eastAsia="黑体" w:cs="Times New Roman"/>
          <w:color w:val="000000"/>
          <w:sz w:val="32"/>
          <w:szCs w:val="32"/>
          <w:lang w:val="en-US" w:eastAsia="zh-CN"/>
        </w:rPr>
      </w:pPr>
      <w:bookmarkStart w:id="86" w:name="_Toc79163622"/>
      <w:bookmarkStart w:id="87" w:name="_Toc15377218"/>
      <w:bookmarkStart w:id="88" w:name="_Toc15396610"/>
      <w:bookmarkStart w:id="89" w:name="_Toc15148"/>
      <w:r>
        <w:rPr>
          <w:rFonts w:hint="eastAsia" w:ascii="黑体" w:hAnsi="Times New Roman" w:eastAsia="黑体" w:cs="Times New Roman"/>
          <w:color w:val="000000"/>
          <w:sz w:val="32"/>
          <w:szCs w:val="32"/>
        </w:rPr>
        <w:t>八、政府性基金预算支出决算情况说明</w:t>
      </w:r>
      <w:bookmarkEnd w:id="86"/>
      <w:bookmarkEnd w:id="87"/>
      <w:bookmarkEnd w:id="88"/>
      <w:bookmarkEnd w:id="89"/>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2021年政府性基金预算拨款支出0万元。</w:t>
      </w:r>
    </w:p>
    <w:p>
      <w:pPr>
        <w:pStyle w:val="2"/>
      </w:pPr>
    </w:p>
    <w:p>
      <w:pPr>
        <w:numPr>
          <w:ilvl w:val="0"/>
          <w:numId w:val="2"/>
        </w:numPr>
        <w:spacing w:line="600" w:lineRule="exact"/>
        <w:ind w:firstLine="640"/>
        <w:outlineLvl w:val="1"/>
        <w:rPr>
          <w:rFonts w:ascii="仿宋_GB2312" w:eastAsia="仿宋_GB2312"/>
          <w:color w:val="000000"/>
          <w:sz w:val="32"/>
          <w:szCs w:val="32"/>
        </w:rPr>
      </w:pPr>
      <w:bookmarkStart w:id="90" w:name="_Toc15396611"/>
      <w:bookmarkStart w:id="91" w:name="_Toc15377219"/>
      <w:bookmarkStart w:id="92" w:name="_Toc79163623"/>
      <w:bookmarkStart w:id="93" w:name="_Toc821"/>
      <w:r>
        <w:rPr>
          <w:rStyle w:val="16"/>
          <w:rFonts w:hint="eastAsia" w:ascii="黑体" w:hAnsi="黑体" w:eastAsia="黑体"/>
          <w:b w:val="0"/>
        </w:rPr>
        <w:t>国有资本经营预算支出决算情况说明</w:t>
      </w:r>
      <w:bookmarkEnd w:id="90"/>
      <w:bookmarkEnd w:id="91"/>
      <w:bookmarkEnd w:id="92"/>
      <w:bookmarkEnd w:id="93"/>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2021年国有资本经营预算拨款支出0万元。</w:t>
      </w:r>
    </w:p>
    <w:p>
      <w:pPr>
        <w:pStyle w:val="2"/>
      </w:pPr>
    </w:p>
    <w:p>
      <w:pPr>
        <w:spacing w:line="600" w:lineRule="exact"/>
        <w:ind w:firstLine="800" w:firstLineChars="250"/>
        <w:outlineLvl w:val="1"/>
        <w:rPr>
          <w:rFonts w:hint="eastAsia" w:ascii="仿宋" w:hAnsi="仿宋" w:eastAsia="仿宋"/>
          <w:b/>
          <w:color w:val="000000"/>
          <w:sz w:val="32"/>
          <w:szCs w:val="32"/>
        </w:rPr>
      </w:pPr>
      <w:bookmarkStart w:id="94" w:name="_Toc15377221"/>
      <w:bookmarkStart w:id="95" w:name="_Toc15396612"/>
      <w:bookmarkStart w:id="96" w:name="_Toc79163624"/>
      <w:bookmarkStart w:id="97" w:name="_Toc14908"/>
      <w:r>
        <w:rPr>
          <w:rFonts w:hint="eastAsia" w:ascii="黑体" w:hAnsi="黑体" w:eastAsia="黑体"/>
          <w:color w:val="000000"/>
          <w:sz w:val="32"/>
          <w:szCs w:val="32"/>
        </w:rPr>
        <w:t>十</w:t>
      </w:r>
      <w:r>
        <w:rPr>
          <w:rStyle w:val="16"/>
          <w:rFonts w:hint="eastAsia" w:ascii="黑体" w:hAnsi="黑体" w:eastAsia="黑体"/>
        </w:rPr>
        <w:t>、</w:t>
      </w:r>
      <w:r>
        <w:rPr>
          <w:rStyle w:val="16"/>
          <w:rFonts w:hint="eastAsia" w:ascii="黑体" w:hAnsi="黑体" w:eastAsia="黑体"/>
          <w:b w:val="0"/>
        </w:rPr>
        <w:t>其他重要事项的情况说明</w:t>
      </w:r>
      <w:bookmarkEnd w:id="94"/>
      <w:bookmarkEnd w:id="95"/>
      <w:bookmarkEnd w:id="96"/>
      <w:bookmarkEnd w:id="97"/>
      <w:bookmarkStart w:id="98" w:name="_Toc79163625"/>
      <w:bookmarkStart w:id="99" w:name="_Toc15377222"/>
    </w:p>
    <w:p>
      <w:pPr>
        <w:spacing w:line="600" w:lineRule="exact"/>
        <w:ind w:firstLine="643" w:firstLineChars="200"/>
        <w:outlineLvl w:val="2"/>
        <w:rPr>
          <w:rFonts w:ascii="仿宋" w:hAnsi="仿宋" w:eastAsia="仿宋"/>
          <w:color w:val="000000"/>
          <w:sz w:val="32"/>
          <w:szCs w:val="32"/>
        </w:rPr>
      </w:pPr>
      <w:bookmarkStart w:id="100" w:name="_Toc17905"/>
      <w:r>
        <w:rPr>
          <w:rFonts w:hint="eastAsia" w:ascii="仿宋" w:hAnsi="仿宋" w:eastAsia="仿宋"/>
          <w:b/>
          <w:color w:val="000000"/>
          <w:sz w:val="32"/>
          <w:szCs w:val="32"/>
        </w:rPr>
        <w:t>（一）机关运行经费支出情况</w:t>
      </w:r>
      <w:bookmarkEnd w:id="98"/>
      <w:bookmarkEnd w:id="99"/>
      <w:bookmarkEnd w:id="100"/>
    </w:p>
    <w:p>
      <w:pPr>
        <w:spacing w:line="600" w:lineRule="exact"/>
        <w:ind w:firstLine="640" w:firstLineChars="200"/>
        <w:rPr>
          <w:rFonts w:hint="eastAsia" w:ascii="仿宋_GB2312" w:hAnsi="Calibri" w:eastAsia="仿宋" w:cs="仿宋_GB2312"/>
          <w:sz w:val="32"/>
          <w:szCs w:val="32"/>
          <w:lang w:val="en-US" w:eastAsia="zh-CN"/>
        </w:rPr>
      </w:pPr>
      <w:r>
        <w:rPr>
          <w:rFonts w:hint="eastAsia" w:ascii="仿宋_GB2312" w:hAnsi="Calibri" w:eastAsia="仿宋_GB2312" w:cs="仿宋_GB2312"/>
          <w:sz w:val="32"/>
          <w:szCs w:val="32"/>
          <w:lang w:val="en-US" w:eastAsia="zh-CN"/>
        </w:rPr>
        <w:t>2021年，壤塘县审计局机关运行经费支出17.76万元，比2020年增加6.83万元，增加62.49%。</w:t>
      </w:r>
      <w:r>
        <w:rPr>
          <w:rFonts w:hint="eastAsia" w:ascii="仿宋" w:hAnsi="仿宋" w:eastAsia="仿宋" w:cs="仿宋"/>
          <w:color w:val="000000"/>
          <w:sz w:val="32"/>
          <w:szCs w:val="32"/>
        </w:rPr>
        <w:t>主要原因是我局人员调整导致人员经费增加、工程结算审计费增加、物价上涨工作经费增加等</w:t>
      </w:r>
      <w:r>
        <w:rPr>
          <w:rFonts w:hint="eastAsia" w:ascii="仿宋" w:hAnsi="仿宋" w:eastAsia="仿宋" w:cs="仿宋"/>
          <w:color w:val="000000"/>
          <w:sz w:val="32"/>
          <w:szCs w:val="32"/>
          <w:lang w:eastAsia="zh-CN"/>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1" w:name="_Toc15377223"/>
      <w:bookmarkStart w:id="102" w:name="_Toc79163626"/>
      <w:bookmarkStart w:id="103" w:name="_Toc13794"/>
      <w:r>
        <w:rPr>
          <w:rFonts w:hint="eastAsia" w:ascii="仿宋" w:hAnsi="仿宋" w:eastAsia="仿宋"/>
          <w:b/>
          <w:color w:val="000000"/>
          <w:sz w:val="32"/>
          <w:szCs w:val="32"/>
        </w:rPr>
        <w:t>（二）政府采购支出情况</w:t>
      </w:r>
      <w:bookmarkEnd w:id="101"/>
      <w:bookmarkEnd w:id="102"/>
      <w:bookmarkEnd w:id="103"/>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壤塘县审计局政府采购支出总额0万元，其中：政府采购货物支出0万元、政府采购工程支出0万元、政府采购服务支出0万元。授予中小企业合同金额0万元，占政府采购支出总额的0%，其中：授予小微企业合同金额0万元，占政府采购支出总额的0%。</w:t>
      </w:r>
    </w:p>
    <w:p>
      <w:pPr>
        <w:spacing w:line="600" w:lineRule="exact"/>
        <w:ind w:firstLine="640" w:firstLineChars="200"/>
        <w:rPr>
          <w:rFonts w:ascii="仿宋_GB2312" w:eastAsia="仿宋_GB2312"/>
          <w:color w:val="000000"/>
          <w:sz w:val="32"/>
          <w:szCs w:val="32"/>
        </w:rPr>
      </w:pPr>
      <w:r>
        <w:rPr>
          <w:rFonts w:hint="eastAsia" w:ascii="仿宋_GB2312" w:hAnsi="Calibri" w:eastAsia="仿宋_GB2312" w:cs="仿宋_GB2312"/>
          <w:sz w:val="32"/>
          <w:szCs w:val="32"/>
          <w:lang w:val="en-US" w:eastAsia="zh-CN"/>
        </w:rPr>
        <w:t>2021年，壤塘县审计局政府采购支出总额0万元，主要原因是2021年我局无政府采购项目。</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4" w:name="_Toc79163627"/>
      <w:bookmarkStart w:id="105" w:name="_Toc15377224"/>
      <w:bookmarkStart w:id="106" w:name="_Toc31888"/>
      <w:r>
        <w:rPr>
          <w:rFonts w:hint="eastAsia" w:ascii="仿宋" w:hAnsi="仿宋" w:eastAsia="仿宋"/>
          <w:b/>
          <w:color w:val="000000"/>
          <w:sz w:val="32"/>
          <w:szCs w:val="32"/>
        </w:rPr>
        <w:t>（三）国有资产占有使用情况</w:t>
      </w:r>
      <w:bookmarkEnd w:id="104"/>
      <w:bookmarkEnd w:id="105"/>
      <w:bookmarkEnd w:id="106"/>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截至2021年12月31日，壤塘县审计局共有车辆1辆，其中：其他用车1辆（越野车1辆），其他用车主要是用于我局人员公务出差、下乡、车辆年检、车辆维修等事项。单价50万元以上通用设备0台（套），单价100万元以上专用设备0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107" w:name="_Toc79163628"/>
      <w:bookmarkStart w:id="108" w:name="_Toc13814"/>
      <w:r>
        <w:rPr>
          <w:rFonts w:hint="eastAsia" w:ascii="仿宋" w:hAnsi="仿宋" w:eastAsia="仿宋"/>
          <w:b/>
          <w:color w:val="000000"/>
          <w:sz w:val="32"/>
          <w:szCs w:val="32"/>
        </w:rPr>
        <w:t>（四）预算绩效管理情况。</w:t>
      </w:r>
      <w:bookmarkEnd w:id="107"/>
      <w:bookmarkEnd w:id="108"/>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审计局）在年初预算编制阶段，组织对“审计业务&lt;2021年审计工作经费及工程审计项目审计费&gt;”项目开展了预算事前绩效评估，对1个项目编制了绩效目标，预算执行过程中，选取1个项目开展绩效监控，年终执行完毕后，对1个项目开展了绩效目标完成情况自评。</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2021年部门整体支出开展绩效自评，从评价情况来看较好完成了年初预算安排（2021年完成了每个季度重大政策跟踪审计；巩固脱贫攻坚成果跟踪审计；本级预算执行及其他财政资金审计；上下联动中央直达资金审计；经济责任审计；财政专项审计；投资结算审计等项目审计。本部门还自行组织了1个项目支出绩效评价，从评价情况来看项目资金基本按照预算安排完成。因我局专项资金预算均为运转类资金，因此采用的绩效评价均为自评，以及选择一个项目开展自评。</w:t>
      </w:r>
    </w:p>
    <w:p>
      <w:pPr>
        <w:spacing w:line="580" w:lineRule="exact"/>
        <w:ind w:firstLine="640" w:firstLineChars="200"/>
        <w:rPr>
          <w:rFonts w:hint="eastAsia" w:ascii="楷体_GB2312" w:hAnsi="楷体_GB2312" w:eastAsia="楷体_GB2312" w:cs="楷体_GB2312"/>
          <w:sz w:val="32"/>
          <w:szCs w:val="32"/>
          <w:lang w:eastAsia="zh-CN"/>
        </w:rPr>
      </w:pPr>
      <w:r>
        <w:rPr>
          <w:rFonts w:ascii="楷体_GB2312" w:hAnsi="楷体_GB2312" w:eastAsia="楷体_GB2312" w:cs="楷体_GB2312"/>
          <w:sz w:val="32"/>
          <w:szCs w:val="32"/>
        </w:rPr>
        <w:t>1.</w:t>
      </w:r>
      <w:r>
        <w:rPr>
          <w:rFonts w:hint="eastAsia" w:ascii="楷体_GB2312" w:hAnsi="楷体_GB2312" w:eastAsia="楷体_GB2312" w:cs="楷体_GB2312"/>
          <w:sz w:val="32"/>
          <w:szCs w:val="32"/>
        </w:rPr>
        <w:t>项目绩效目标完成情况。</w:t>
      </w:r>
    </w:p>
    <w:p>
      <w:pPr>
        <w:numPr>
          <w:ilvl w:val="0"/>
          <w:numId w:val="0"/>
        </w:numPr>
        <w:spacing w:line="600" w:lineRule="exact"/>
        <w:ind w:firstLine="640" w:firstLineChars="200"/>
        <w:rPr>
          <w:rFonts w:hint="eastAsia" w:ascii="仿宋_GB2312" w:hAnsi="Calibri" w:eastAsia="仿宋_GB2312" w:cs="仿宋_GB2312"/>
          <w:sz w:val="32"/>
          <w:szCs w:val="32"/>
          <w:lang w:val="en-US" w:eastAsia="zh-CN"/>
        </w:rPr>
      </w:pPr>
      <w:r>
        <w:rPr>
          <w:rFonts w:ascii="仿宋_GB2312" w:hAnsi="仿宋_GB2312" w:eastAsia="仿宋_GB2312" w:cs="仿宋_GB2312"/>
          <w:sz w:val="32"/>
          <w:szCs w:val="32"/>
        </w:rPr>
        <w:t xml:space="preserve">  </w:t>
      </w:r>
      <w:r>
        <w:rPr>
          <w:rFonts w:hint="eastAsia" w:ascii="仿宋_GB2312" w:hAnsi="Calibri" w:eastAsia="仿宋_GB2312" w:cs="仿宋_GB2312"/>
          <w:sz w:val="32"/>
          <w:szCs w:val="32"/>
          <w:lang w:val="en-US" w:eastAsia="zh-CN"/>
        </w:rPr>
        <w:t>本部门在2021年度部门决算中反映“审计业务”1个项目绩效目标实际完成情况。</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审计业务”项目绩效目标完成情况综述。项目全年预算数267.61万元，执行数为228.50万元，完成预算的85.39%。通过项目实施，保障了全县工程项目审计审计费以及财政审计、专项审计、经济责任审计、投资审计等审计项目的经费支出，2021年我局投资</w:t>
      </w:r>
      <w:r>
        <w:rPr>
          <w:rFonts w:hint="eastAsia" w:ascii="仿宋_GB2312" w:hAnsi="Calibri" w:cs="仿宋_GB2312"/>
          <w:sz w:val="32"/>
          <w:szCs w:val="32"/>
          <w:lang w:val="en-US" w:eastAsia="zh-CN"/>
        </w:rPr>
        <w:t>结算</w:t>
      </w:r>
      <w:r>
        <w:rPr>
          <w:rFonts w:hint="eastAsia" w:ascii="仿宋_GB2312" w:hAnsi="Calibri" w:eastAsia="仿宋_GB2312" w:cs="仿宋_GB2312"/>
          <w:sz w:val="32"/>
          <w:szCs w:val="32"/>
          <w:lang w:val="en-US" w:eastAsia="zh-CN"/>
        </w:rPr>
        <w:t>审计156个项目，发现的主要问题：审计中介公司不及时履行报账手续，导致审计费不能按进度支付。下一步改进措施：提高审计项目完成效率，督促审计中介公司及时履行报账程序。</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51"/>
        <w:gridCol w:w="2166"/>
        <w:gridCol w:w="2394"/>
        <w:gridCol w:w="2392"/>
      </w:tblGrid>
      <w:tr>
        <w:tblPrEx>
          <w:tblCellMar>
            <w:top w:w="0" w:type="dxa"/>
            <w:left w:w="0" w:type="dxa"/>
            <w:bottom w:w="0" w:type="dxa"/>
            <w:right w:w="0" w:type="dxa"/>
          </w:tblCellMar>
        </w:tblPrEx>
        <w:trPr>
          <w:trHeight w:val="1395"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仿宋_GB2312"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审计业务费</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228.50万元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r>
      <w:tr>
        <w:tblPrEx>
          <w:tblCellMar>
            <w:top w:w="0" w:type="dxa"/>
            <w:left w:w="0" w:type="dxa"/>
            <w:bottom w:w="0" w:type="dxa"/>
            <w:right w:w="0" w:type="dxa"/>
          </w:tblCellMar>
        </w:tblPrEx>
        <w:trPr>
          <w:trHeight w:val="114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 xml:space="preserve">2021年度完成：每个季度重大政策跟踪审计；巩固脱贫攻坚成果跟踪审计；本级预算执行及其他财政资金审计；上下联动中央直达资金审计；经济责任审计；财政专项审计；投资结算审计等项目审计。以及完成了审计局日常事务、办公室党建、党风廉政建设及财务日常事务。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kern w:val="0"/>
                <w:sz w:val="24"/>
                <w:lang w:val="en-US" w:eastAsia="zh-CN"/>
              </w:rPr>
            </w:pPr>
            <w:r>
              <w:rPr>
                <w:rFonts w:hint="eastAsia" w:ascii="宋体" w:hAnsi="宋体" w:eastAsia="宋体" w:cs="宋体"/>
                <w:color w:val="000000"/>
                <w:kern w:val="0"/>
                <w:sz w:val="24"/>
                <w:lang w:val="en-US" w:eastAsia="zh-CN"/>
              </w:rPr>
              <w:t xml:space="preserve">2021年度完成：每个季度重大政策跟踪审计；巩固脱贫攻坚成果跟踪审计；本级预算执行及其他财政资金审计；上下联动中央直达资金审计；经济责任审计；财政专项审计；投资结算审计等项目审计。以及完成了审计局日常事务、办公室党建、党风廉政建设及财务日常事务。 </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Calibri" w:eastAsia="仿宋_GB2312" w:cs="仿宋_GB2312"/>
                <w:sz w:val="24"/>
                <w:szCs w:val="24"/>
                <w:lang w:val="en-US" w:eastAsia="zh-CN"/>
              </w:rPr>
              <w:t>一级指</w:t>
            </w:r>
            <w:r>
              <w:rPr>
                <w:rFonts w:hint="eastAsia" w:ascii="宋体" w:hAnsi="宋体" w:cs="宋体"/>
                <w:color w:val="000000"/>
                <w:kern w:val="0"/>
                <w:sz w:val="24"/>
              </w:rPr>
              <w:t>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预算执行审计</w:t>
            </w:r>
            <w:r>
              <w:rPr>
                <w:rFonts w:hint="eastAsia" w:ascii="宋体" w:hAnsi="宋体" w:cs="宋体"/>
                <w:color w:val="000000"/>
                <w:sz w:val="24"/>
                <w:lang w:val="en-US" w:eastAsia="zh-CN"/>
              </w:rPr>
              <w:t>2个项目；经济责任审计1个；自然资源审计1个；项目结算审计50项目。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eastAsia="宋体" w:cs="宋体"/>
                <w:color w:val="000000"/>
                <w:kern w:val="0"/>
                <w:sz w:val="24"/>
                <w:lang w:val="en-US" w:eastAsia="zh-CN"/>
              </w:rPr>
              <w:t>完成了预算执行审计2个；重大政策跟踪审计4个；经济责任审1个；寺庙审计4个；自然资源审计1个；专项审计2个；项目结算审计156项目等。</w:t>
            </w:r>
          </w:p>
        </w:tc>
      </w:tr>
      <w:tr>
        <w:tblPrEx>
          <w:tblCellMar>
            <w:top w:w="0" w:type="dxa"/>
            <w:left w:w="0" w:type="dxa"/>
            <w:bottom w:w="0" w:type="dxa"/>
            <w:right w:w="0" w:type="dxa"/>
          </w:tblCellMar>
        </w:tblPrEx>
        <w:trPr>
          <w:trHeight w:val="239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审计发现的问题、处理处罚情况、审计建议</w:t>
            </w:r>
            <w:r>
              <w:rPr>
                <w:rFonts w:hint="eastAsia" w:ascii="宋体" w:cs="宋体"/>
                <w:sz w:val="24"/>
                <w:szCs w:val="24"/>
                <w:lang w:eastAsia="zh-CN"/>
              </w:rPr>
              <w:t>；结算项目审计的审减金额。</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根据审计发现问题，并出具审计报告及审计决定，提出处理处罚及审计建议</w:t>
            </w:r>
            <w:r>
              <w:rPr>
                <w:rFonts w:hint="eastAsia" w:ascii="宋体" w:cs="宋体"/>
                <w:sz w:val="24"/>
                <w:szCs w:val="24"/>
                <w:lang w:eastAsia="zh-CN"/>
              </w:rPr>
              <w:t>；结算项目审减金额为我县财政节约资金。</w:t>
            </w:r>
          </w:p>
        </w:tc>
      </w:tr>
      <w:tr>
        <w:tblPrEx>
          <w:tblCellMar>
            <w:top w:w="0" w:type="dxa"/>
            <w:left w:w="0" w:type="dxa"/>
            <w:bottom w:w="0" w:type="dxa"/>
            <w:right w:w="0" w:type="dxa"/>
          </w:tblCellMar>
        </w:tblPrEx>
        <w:trPr>
          <w:trHeight w:val="7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当年</w:t>
            </w:r>
            <w:r>
              <w:rPr>
                <w:rFonts w:ascii="宋体" w:cs="宋体"/>
                <w:sz w:val="24"/>
                <w:szCs w:val="24"/>
              </w:rPr>
              <w:t>12</w:t>
            </w:r>
            <w:r>
              <w:rPr>
                <w:rFonts w:hint="eastAsia" w:ascii="宋体"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sz w:val="24"/>
                <w:szCs w:val="24"/>
              </w:rPr>
              <w:t>12</w:t>
            </w:r>
            <w:r>
              <w:rPr>
                <w:rFonts w:hint="eastAsia" w:ascii="宋体" w:cs="宋体"/>
                <w:sz w:val="24"/>
                <w:szCs w:val="24"/>
              </w:rPr>
              <w:t>月底前完成</w:t>
            </w:r>
          </w:p>
        </w:tc>
      </w:tr>
      <w:tr>
        <w:tblPrEx>
          <w:tblCellMar>
            <w:top w:w="0" w:type="dxa"/>
            <w:left w:w="0" w:type="dxa"/>
            <w:bottom w:w="0" w:type="dxa"/>
            <w:right w:w="0" w:type="dxa"/>
          </w:tblCellMar>
        </w:tblPrEx>
        <w:trPr>
          <w:trHeight w:val="7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cs="宋体"/>
                <w:sz w:val="24"/>
                <w:szCs w:val="24"/>
              </w:rPr>
              <w:t>〉</w:t>
            </w:r>
            <w:r>
              <w:rPr>
                <w:rFonts w:hint="eastAsia" w:ascii="宋体" w:cs="宋体"/>
                <w:sz w:val="24"/>
                <w:szCs w:val="24"/>
                <w:lang w:val="en-US" w:eastAsia="zh-CN"/>
              </w:rPr>
              <w:t>80</w:t>
            </w:r>
            <w:r>
              <w:rPr>
                <w:rFonts w:ascii="宋体" w:cs="宋体"/>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w:t>
            </w:r>
            <w:r>
              <w:rPr>
                <w:rFonts w:hint="eastAsia" w:ascii="宋体" w:cs="宋体"/>
                <w:sz w:val="24"/>
                <w:szCs w:val="24"/>
                <w:lang w:val="en-US" w:eastAsia="zh-CN"/>
              </w:rPr>
              <w:t>80</w:t>
            </w:r>
            <w:r>
              <w:rPr>
                <w:rFonts w:ascii="宋体" w:cs="宋体"/>
                <w:sz w:val="24"/>
                <w:szCs w:val="24"/>
              </w:rPr>
              <w:t>%</w:t>
            </w:r>
          </w:p>
        </w:tc>
      </w:tr>
    </w:tbl>
    <w:p>
      <w:pPr>
        <w:spacing w:line="580" w:lineRule="exact"/>
        <w:ind w:left="630"/>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ascii="楷体_GB2312" w:hAnsi="楷体_GB2312" w:eastAsia="楷体_GB2312" w:cs="楷体_GB2312"/>
          <w:sz w:val="32"/>
          <w:szCs w:val="32"/>
        </w:rPr>
        <w:t>2.</w:t>
      </w:r>
      <w:r>
        <w:rPr>
          <w:rFonts w:hint="eastAsia" w:ascii="楷体_GB2312" w:hAnsi="楷体_GB2312" w:eastAsia="楷体_GB2312" w:cs="楷体_GB2312"/>
          <w:sz w:val="32"/>
          <w:szCs w:val="32"/>
        </w:rPr>
        <w:t>部门绩效评价结果。</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本部门按要求对2020年部门整体支出绩效评价情况开展自评，《壤塘县审计局部2020年部门整体支出绩效评价报告》见附件（附件1）。</w:t>
      </w:r>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本部门不涉及建设项目及资金，项目资金均为专项公用经费资金，因此无项目绩效评价报告。</w:t>
      </w:r>
    </w:p>
    <w:p>
      <w:pPr>
        <w:numPr>
          <w:ilvl w:val="0"/>
          <w:numId w:val="3"/>
        </w:numPr>
        <w:autoSpaceDE w:val="0"/>
        <w:autoSpaceDN w:val="0"/>
        <w:adjustRightInd w:val="0"/>
        <w:spacing w:line="600" w:lineRule="exact"/>
        <w:ind w:firstLine="643" w:firstLineChars="200"/>
        <w:jc w:val="left"/>
        <w:outlineLvl w:val="2"/>
        <w:rPr>
          <w:rFonts w:hint="eastAsia"/>
          <w:lang w:eastAsia="zh-CN"/>
        </w:rPr>
      </w:pPr>
      <w:bookmarkStart w:id="109" w:name="_Toc5776"/>
      <w:bookmarkStart w:id="110" w:name="_Toc11937"/>
      <w:r>
        <w:rPr>
          <w:rFonts w:hint="eastAsia" w:ascii="楷体" w:hAnsi="楷体" w:eastAsia="楷体" w:cs="楷体"/>
          <w:b/>
          <w:color w:val="000000"/>
          <w:sz w:val="32"/>
          <w:szCs w:val="32"/>
          <w:lang w:eastAsia="zh-CN"/>
        </w:rPr>
        <w:t>其他需说明的情况</w:t>
      </w:r>
      <w:bookmarkEnd w:id="109"/>
      <w:bookmarkEnd w:id="110"/>
    </w:p>
    <w:p>
      <w:pPr>
        <w:spacing w:line="60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2021年决算公开报表及公开编制说明的金额均以万元为单位，因此与账面数据及决算报送数据存在小数点第二位收舍差的情况。</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4"/>
        </w:numPr>
        <w:spacing w:line="600" w:lineRule="exact"/>
        <w:ind w:firstLine="660" w:firstLineChars="150"/>
        <w:jc w:val="center"/>
        <w:outlineLvl w:val="0"/>
        <w:rPr>
          <w:rStyle w:val="15"/>
          <w:rFonts w:ascii="黑体" w:hAnsi="黑体" w:eastAsia="黑体"/>
          <w:b w:val="0"/>
        </w:rPr>
      </w:pPr>
      <w:bookmarkStart w:id="111" w:name="_Toc79163629"/>
      <w:bookmarkStart w:id="112" w:name="_Toc15377225"/>
      <w:bookmarkStart w:id="113" w:name="_Toc15396613"/>
      <w:bookmarkStart w:id="114" w:name="_Toc11901"/>
      <w:r>
        <w:rPr>
          <w:rFonts w:hint="eastAsia" w:ascii="黑体" w:hAnsi="黑体" w:eastAsia="黑体"/>
          <w:color w:val="000000"/>
          <w:sz w:val="44"/>
          <w:szCs w:val="44"/>
        </w:rPr>
        <w:t>名</w:t>
      </w:r>
      <w:r>
        <w:rPr>
          <w:rStyle w:val="15"/>
          <w:rFonts w:hint="eastAsia" w:ascii="黑体" w:hAnsi="黑体" w:eastAsia="黑体"/>
          <w:b w:val="0"/>
        </w:rPr>
        <w:t>词解释</w:t>
      </w:r>
      <w:bookmarkEnd w:id="111"/>
      <w:bookmarkEnd w:id="112"/>
      <w:bookmarkEnd w:id="113"/>
      <w:bookmarkEnd w:id="114"/>
    </w:p>
    <w:p>
      <w:pPr>
        <w:spacing w:line="600" w:lineRule="exact"/>
        <w:jc w:val="left"/>
        <w:rPr>
          <w:rFonts w:ascii="宋体"/>
          <w:b/>
          <w:color w:val="000000"/>
          <w:sz w:val="44"/>
          <w:szCs w:val="44"/>
        </w:rPr>
      </w:pP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1.财政拨款收入：指单位从同级财政部门取得的财政预算资金。</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2.事业收入：指事业单位开展专业业务活动及辅助活动取得的收入。</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3.经营收入：指事业单位在专业业务活动及其辅助活动之外开展非独立核算经营活动取得的收入。</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4.其他收入：指单位取得的除上述收入以外的各项收入。</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5.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6.年初结转和结余：指以前年度尚未完成、结转到本年按有关规定继续使用的资金。</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7.结余分配：指事业单位按照事业单位会计制度的规定从非财政补助结余中分配的事业基金和职工福利基金等。</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8、年末结转和结余：指单位按有关规定结转到下年或以后年度继续使用的资金。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9.一般公共服务支出（201）：指政府提供一般公共服务的支出。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10.审计事务（20108）：指政府审计方面的支出。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11.行政运行（2010801）：指行政范围（包括实行公务员管理的事业单位）的基本支出。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12.一般行政管理事务（2010802）：指行政单位（包括实行公务员管理的事业单位）未单独设置项级科目的其他项目支出。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13.审计业务（2010804）：指各级审计机构的审计、专项审计调查、聘请社会审计组织人员及技术专家等方面的支出。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14.社会保障和就业支出（208）：指政府在社会保障与就业方面的支出。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15.行政事业单位离退休（20805）：指用于行政事业单位离退休方面的支出。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16.机关事业单位基本养老保险缴费支出（2080505）：指机关事业单位实施养老保险制度由单位缴纳的基本养老保险支出。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17.机关事业单位职业年金缴费支出（2080506）：指机关事业单位实施养老保险制度由单位实施缴纳的职业年金支出。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18.医疗卫生与计划生育支出（210）：指政府医疗卫生与计划生育管理方面的支出。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19.行政事业单位医疗（21011）：指行政事业单位医疗方面的支出。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20.行政单位医疗（2101101）：指财政部门集中安排的行政单位基本医疗保险缴费经费，未参加医疗保险的行政单位的公费医疗经费，按国家规定享受离休人员、红军老战士待遇人员的医疗经费。</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21.住房保障支出（221）：指政府用于住房方面的支出。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22.住房改革支出（22102）：指行政事业单位用财政拨款资金和其他资金等安排的住房改革支出。</w:t>
      </w:r>
    </w:p>
    <w:p>
      <w:pPr>
        <w:ind w:firstLine="645"/>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23.住房公积金（2210201）：指行政事业单位按人力资源和社会保障部、财政部规定的基本工资和津贴补贴以及规定比例为职工缴纳的住房公积金。</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24.基本支出：指为保障机构正常运转、完成日常工作任务而发生的人员支出和公用支出。</w:t>
      </w:r>
    </w:p>
    <w:p>
      <w:pPr>
        <w:ind w:firstLine="640" w:firstLineChars="200"/>
        <w:rPr>
          <w:rFonts w:hint="eastAsia" w:ascii="仿宋_GB2312" w:hAnsi="Calibri" w:eastAsia="仿宋_GB2312" w:cs="仿宋_GB2312"/>
          <w:kern w:val="2"/>
          <w:sz w:val="32"/>
          <w:szCs w:val="32"/>
          <w:lang w:val="en-US" w:eastAsia="zh-CN" w:bidi="ar-SA"/>
        </w:rPr>
      </w:pPr>
      <w:r>
        <w:rPr>
          <w:rFonts w:hint="eastAsia" w:ascii="仿宋_GB2312" w:hAnsi="Calibri" w:eastAsia="仿宋_GB2312" w:cs="仿宋_GB2312"/>
          <w:kern w:val="2"/>
          <w:sz w:val="32"/>
          <w:szCs w:val="32"/>
          <w:lang w:val="en-US" w:eastAsia="zh-CN" w:bidi="ar-SA"/>
        </w:rPr>
        <w:t>25.项目支出：指在基本支出之外为完成特定行政任务和事业发展目标所发生的支出。</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26</w:t>
      </w:r>
      <w:r>
        <w:rPr>
          <w:rFonts w:hint="eastAsia" w:ascii="仿宋_GB2312" w:hAnsi="Calibri" w:eastAsia="仿宋_GB2312" w:cs="仿宋_GB2312"/>
          <w:kern w:val="2"/>
          <w:sz w:val="32"/>
          <w:szCs w:val="32"/>
          <w:lang w:val="en-US" w:eastAsia="zh-CN" w:bidi="ar-SA"/>
        </w:rPr>
        <w:t>.“三公”经费：</w:t>
      </w:r>
      <w:r>
        <w:rPr>
          <w:rFonts w:hint="eastAsia" w:ascii="仿宋_GB2312" w:eastAsia="仿宋_GB2312"/>
          <w:sz w:val="32"/>
          <w:szCs w:val="32"/>
        </w:rPr>
        <w:t>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hint="eastAsia" w:ascii="仿宋_GB2312" w:hAnsi="Calibri" w:eastAsia="仿宋_GB2312" w:cs="仿宋_GB2312"/>
          <w:kern w:val="2"/>
          <w:sz w:val="32"/>
          <w:szCs w:val="32"/>
          <w:lang w:val="en-US" w:eastAsia="zh-CN" w:bidi="ar-SA"/>
        </w:rPr>
      </w:pPr>
      <w:r>
        <w:rPr>
          <w:rFonts w:hint="eastAsia" w:ascii="仿宋_GB2312" w:eastAsia="仿宋_GB2312" w:cs="仿宋_GB2312"/>
          <w:kern w:val="2"/>
          <w:sz w:val="32"/>
          <w:szCs w:val="32"/>
          <w:lang w:val="en-US" w:eastAsia="zh-CN" w:bidi="ar-SA"/>
        </w:rPr>
        <w:t>27</w:t>
      </w:r>
      <w:r>
        <w:rPr>
          <w:rFonts w:hint="eastAsia" w:ascii="仿宋_GB2312" w:hAnsi="Calibri" w:eastAsia="仿宋_GB2312" w:cs="仿宋_GB2312"/>
          <w:kern w:val="2"/>
          <w:sz w:val="32"/>
          <w:szCs w:val="32"/>
          <w:lang w:val="en-US" w:eastAsia="zh-CN" w:bidi="ar-SA"/>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Style w:val="15"/>
          <w:rFonts w:ascii="黑体" w:hAnsi="黑体" w:eastAsia="黑体"/>
          <w:b w:val="0"/>
        </w:rPr>
      </w:pPr>
      <w:bookmarkStart w:id="115" w:name="_Toc15377226"/>
      <w:r>
        <w:rPr>
          <w:rFonts w:ascii="宋体"/>
          <w:b/>
          <w:color w:val="000000"/>
          <w:sz w:val="44"/>
          <w:szCs w:val="44"/>
        </w:rPr>
        <w:br w:type="page"/>
      </w:r>
      <w:bookmarkStart w:id="116" w:name="_Toc15396614"/>
      <w:bookmarkStart w:id="117" w:name="_Toc79163630"/>
      <w:bookmarkStart w:id="118" w:name="_Toc10238"/>
      <w:r>
        <w:rPr>
          <w:rFonts w:hint="eastAsia" w:ascii="黑体" w:hAnsi="黑体" w:eastAsia="黑体" w:cs="Times New Roman"/>
          <w:color w:val="000000"/>
          <w:sz w:val="44"/>
          <w:szCs w:val="44"/>
        </w:rPr>
        <w:t>第四部分 附件</w:t>
      </w:r>
      <w:bookmarkEnd w:id="116"/>
      <w:bookmarkEnd w:id="117"/>
      <w:bookmarkEnd w:id="118"/>
    </w:p>
    <w:p>
      <w:pPr>
        <w:spacing w:line="600" w:lineRule="exact"/>
        <w:jc w:val="left"/>
        <w:outlineLvl w:val="0"/>
        <w:rPr>
          <w:rFonts w:hint="eastAsia" w:ascii="黑体" w:hAnsi="黑体" w:eastAsia="黑体" w:cs="黑体"/>
          <w:sz w:val="32"/>
          <w:szCs w:val="32"/>
          <w:lang w:val="en-US" w:eastAsia="zh-CN"/>
        </w:rPr>
      </w:pPr>
      <w:bookmarkStart w:id="119" w:name="_Toc79163631"/>
      <w:bookmarkStart w:id="120" w:name="_Toc27689"/>
      <w:r>
        <w:rPr>
          <w:rFonts w:hint="eastAsia" w:ascii="黑体" w:hAnsi="黑体" w:eastAsia="黑体" w:cs="黑体"/>
          <w:sz w:val="32"/>
          <w:szCs w:val="32"/>
        </w:rPr>
        <w:t>附件1</w:t>
      </w:r>
      <w:bookmarkEnd w:id="119"/>
      <w:bookmarkEnd w:id="120"/>
    </w:p>
    <w:p>
      <w:pPr>
        <w:widowControl/>
        <w:spacing w:line="560" w:lineRule="exact"/>
        <w:contextualSpacing/>
        <w:jc w:val="center"/>
        <w:rPr>
          <w:rFonts w:hint="default" w:ascii="方正小标宋简体" w:hAnsi="宋体" w:eastAsia="方正小标宋简体" w:cs="Times New Roman"/>
          <w:b/>
          <w:sz w:val="44"/>
          <w:szCs w:val="44"/>
          <w:shd w:val="clear" w:color="auto" w:fill="FFFFFF"/>
          <w:lang w:val="en-US" w:eastAsia="zh-CN"/>
        </w:rPr>
      </w:pPr>
      <w:r>
        <w:rPr>
          <w:rFonts w:hint="eastAsia" w:ascii="方正小标宋简体" w:hAnsi="宋体" w:eastAsia="方正小标宋简体" w:cs="Times New Roman"/>
          <w:b/>
          <w:sz w:val="44"/>
          <w:szCs w:val="44"/>
          <w:shd w:val="clear" w:color="auto" w:fill="FFFFFF"/>
          <w:lang w:eastAsia="zh-CN"/>
        </w:rPr>
        <w:t>壤塘县</w:t>
      </w:r>
      <w:r>
        <w:rPr>
          <w:rFonts w:hint="eastAsia" w:ascii="方正小标宋简体" w:hAnsi="宋体" w:eastAsia="方正小标宋简体" w:cs="Times New Roman"/>
          <w:b/>
          <w:sz w:val="44"/>
          <w:szCs w:val="44"/>
          <w:shd w:val="clear" w:color="auto" w:fill="FFFFFF"/>
          <w:lang w:val="en-US" w:eastAsia="zh-CN"/>
        </w:rPr>
        <w:t>审计局</w:t>
      </w:r>
    </w:p>
    <w:p>
      <w:pPr>
        <w:widowControl/>
        <w:spacing w:line="560" w:lineRule="exact"/>
        <w:contextualSpacing/>
        <w:jc w:val="center"/>
        <w:rPr>
          <w:rFonts w:hint="eastAsia" w:ascii="方正小标宋简体" w:hAnsi="宋体" w:eastAsia="方正小标宋简体" w:cs="Times New Roman"/>
          <w:b/>
          <w:sz w:val="44"/>
          <w:szCs w:val="44"/>
          <w:shd w:val="clear" w:color="auto" w:fill="FFFFFF"/>
          <w:lang w:eastAsia="zh-CN"/>
        </w:rPr>
      </w:pPr>
      <w:r>
        <w:rPr>
          <w:rFonts w:hint="eastAsia" w:ascii="方正小标宋简体" w:hAnsi="宋体" w:eastAsia="方正小标宋简体" w:cs="Times New Roman"/>
          <w:b/>
          <w:sz w:val="44"/>
          <w:szCs w:val="44"/>
          <w:shd w:val="clear" w:color="auto" w:fill="FFFFFF"/>
          <w:lang w:eastAsia="zh-CN"/>
        </w:rPr>
        <w:t>2</w:t>
      </w:r>
      <w:r>
        <w:rPr>
          <w:rFonts w:hint="eastAsia" w:ascii="方正小标宋简体" w:hAnsi="宋体" w:eastAsia="方正小标宋简体" w:cs="Times New Roman"/>
          <w:b/>
          <w:sz w:val="44"/>
          <w:szCs w:val="44"/>
          <w:shd w:val="clear" w:color="auto" w:fill="FFFFFF"/>
          <w:lang w:val="en-US" w:eastAsia="zh-CN"/>
        </w:rPr>
        <w:t>021</w:t>
      </w:r>
      <w:r>
        <w:rPr>
          <w:rFonts w:hint="eastAsia" w:ascii="方正小标宋简体" w:hAnsi="宋体" w:eastAsia="方正小标宋简体" w:cs="Times New Roman"/>
          <w:b/>
          <w:sz w:val="44"/>
          <w:szCs w:val="44"/>
          <w:shd w:val="clear" w:color="auto" w:fill="FFFFFF"/>
          <w:lang w:eastAsia="zh-CN"/>
        </w:rPr>
        <w:t>年部门整体支出绩效评价</w:t>
      </w:r>
    </w:p>
    <w:p>
      <w:pPr>
        <w:widowControl/>
        <w:spacing w:line="560" w:lineRule="exact"/>
        <w:contextualSpacing/>
        <w:jc w:val="center"/>
        <w:rPr>
          <w:rFonts w:hint="eastAsia" w:ascii="方正小标宋简体" w:hAnsi="宋体" w:eastAsia="方正小标宋简体" w:cs="Times New Roman"/>
          <w:b/>
          <w:sz w:val="44"/>
          <w:szCs w:val="44"/>
          <w:shd w:val="clear" w:color="auto" w:fill="FFFFFF"/>
          <w:lang w:eastAsia="zh-CN"/>
        </w:rPr>
      </w:pPr>
      <w:r>
        <w:rPr>
          <w:rFonts w:hint="eastAsia" w:ascii="方正小标宋简体" w:hAnsi="宋体" w:eastAsia="方正小标宋简体" w:cs="Times New Roman"/>
          <w:b/>
          <w:sz w:val="44"/>
          <w:szCs w:val="44"/>
          <w:shd w:val="clear" w:color="auto" w:fill="FFFFFF"/>
          <w:lang w:eastAsia="zh-CN"/>
        </w:rPr>
        <w:t>自评报告</w:t>
      </w:r>
    </w:p>
    <w:p>
      <w:pPr>
        <w:widowControl/>
        <w:adjustRightInd w:val="0"/>
        <w:snapToGrid w:val="0"/>
        <w:spacing w:line="56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spacing w:line="580" w:lineRule="exact"/>
        <w:ind w:firstLine="643" w:firstLineChars="200"/>
        <w:rPr>
          <w:rFonts w:hint="eastAsia" w:ascii="楷体" w:hAnsi="楷体" w:eastAsia="楷体" w:cs="楷体"/>
          <w:b/>
          <w:bCs/>
          <w:sz w:val="32"/>
          <w:szCs w:val="32"/>
          <w:lang w:val="zh-CN"/>
        </w:rPr>
      </w:pPr>
      <w:r>
        <w:rPr>
          <w:rFonts w:hint="eastAsia" w:ascii="楷体" w:hAnsi="楷体" w:eastAsia="楷体" w:cs="楷体"/>
          <w:b/>
          <w:bCs/>
          <w:sz w:val="32"/>
          <w:szCs w:val="32"/>
          <w:lang w:val="zh-CN"/>
        </w:rPr>
        <w:t>（一）机构组成</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壤塘县审计局属一级预算单位，其中行政单位1个，总编制15人。其中内设机构三股一室两中心，即：财政金融和行政事业审计股、经济责任审计股、经贸和固定资产投资审计股、投资审计中心、审计事务服务中心、综合办。</w:t>
      </w:r>
    </w:p>
    <w:p>
      <w:pPr>
        <w:numPr>
          <w:ilvl w:val="0"/>
          <w:numId w:val="5"/>
        </w:numPr>
        <w:spacing w:line="580" w:lineRule="exact"/>
        <w:ind w:firstLine="643" w:firstLineChars="200"/>
        <w:rPr>
          <w:rFonts w:hint="eastAsia" w:ascii="楷体" w:hAnsi="楷体" w:eastAsia="楷体" w:cs="楷体"/>
          <w:b/>
          <w:bCs/>
          <w:sz w:val="32"/>
          <w:szCs w:val="32"/>
          <w:lang w:val="zh-CN"/>
        </w:rPr>
      </w:pPr>
      <w:r>
        <w:rPr>
          <w:rFonts w:hint="eastAsia" w:ascii="楷体" w:hAnsi="楷体" w:eastAsia="楷体" w:cs="楷体"/>
          <w:b/>
          <w:bCs/>
          <w:sz w:val="32"/>
          <w:szCs w:val="32"/>
          <w:lang w:val="zh-CN"/>
        </w:rPr>
        <w:t>机构职能</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根据中共阿坝州委、阿坝州人民政府批准的《壤塘县人民政府机构改革方案》（阿委办〔</w:t>
      </w:r>
      <w:r>
        <w:rPr>
          <w:rFonts w:hint="eastAsia" w:ascii="仿宋_GB2312" w:hAnsi="Calibri" w:eastAsia="仿宋_GB2312" w:cs="仿宋_GB2312"/>
          <w:sz w:val="32"/>
          <w:szCs w:val="32"/>
          <w:lang w:val="en-US" w:eastAsia="zh-CN"/>
        </w:rPr>
        <w:t>2014</w:t>
      </w: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80</w:t>
      </w:r>
      <w:r>
        <w:rPr>
          <w:rFonts w:hint="eastAsia" w:ascii="仿宋_GB2312" w:hAnsi="Calibri" w:eastAsia="仿宋_GB2312" w:cs="仿宋_GB2312"/>
          <w:sz w:val="32"/>
          <w:szCs w:val="32"/>
          <w:lang w:eastAsia="zh-CN"/>
        </w:rPr>
        <w:t>号）规定，设立壤塘县审计局，为县政府工作部门。主要职责是：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贯彻执行国家有关审计工作的法律法规和方针政策。负责本部门依法行政工作，落实行政执法责任制，制订并组织实施审计工作发展规划，制订并组织实施年度审计计划，组织对全县性重大投资项目、重大突发性公共事项、重要专项资金及国家、省、州、县重大政策措施执行情况的审计和专项审计调查，对直接审计、审计调查和核查的事项依法进行审计评价，作出审计决定或提出审计建议。</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w:t>
      </w:r>
      <w:r>
        <w:rPr>
          <w:rFonts w:hint="eastAsia" w:ascii="仿宋_GB2312" w:hAnsi="Calibri" w:eastAsia="仿宋_GB2312" w:cs="仿宋_GB2312"/>
          <w:sz w:val="32"/>
          <w:szCs w:val="32"/>
          <w:lang w:eastAsia="zh-CN"/>
        </w:rPr>
        <w:t>负责对县级财政收支和法律法规规定属审计监督范围的财务收支的真实、合法和效益进行审计监督，维护国家财政经济秩序，提高财政资金使用效益，促进廉政建设，保障国民经济和社会健康发展，对审计、专项审计调查和核查社会审计机构相关审计报告的结果承担责任并负有督促被审计单位整改的责任。</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3.</w:t>
      </w:r>
      <w:r>
        <w:rPr>
          <w:rFonts w:hint="eastAsia" w:ascii="仿宋_GB2312" w:hAnsi="Calibri" w:eastAsia="仿宋_GB2312" w:cs="仿宋_GB2312"/>
          <w:sz w:val="32"/>
          <w:szCs w:val="32"/>
          <w:lang w:eastAsia="zh-CN"/>
        </w:rPr>
        <w:t>向县长提出县级预算执行和其他财政收支情况的审计结果报告，受县政府委托向县人大常委会提出县级预算执行和其他财政收支情况的审计工作报告、审计发现问题的纠正和处理结果报告，向政府报告对其他事项的审计和专项审计调查情况及结果，依法向社会公布审计结果。</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4.</w:t>
      </w:r>
      <w:r>
        <w:rPr>
          <w:rFonts w:hint="eastAsia" w:ascii="仿宋_GB2312" w:hAnsi="Calibri" w:eastAsia="仿宋_GB2312" w:cs="仿宋_GB2312"/>
          <w:sz w:val="32"/>
          <w:szCs w:val="32"/>
          <w:lang w:eastAsia="zh-CN"/>
        </w:rPr>
        <w:t>依据《中华人民共和国审计法》等规定，直接审计下列事项，出具审计报告，在法定职权范围内作出审计决定或向有关主管机关提出处理处罚的建议：</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）县级人民政府预算的执行情况和其他财政收支，县直各部门（含直属单位）的预算执行情况、决算和其他财政收支。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2</w:t>
      </w:r>
      <w:r>
        <w:rPr>
          <w:rFonts w:hint="eastAsia" w:ascii="仿宋_GB2312" w:hAnsi="Calibri" w:eastAsia="仿宋_GB2312" w:cs="仿宋_GB2312"/>
          <w:sz w:val="32"/>
          <w:szCs w:val="32"/>
          <w:lang w:eastAsia="zh-CN"/>
        </w:rPr>
        <w:t>）乡镇人民政府预算的执行情况和决算以及其他财政收支。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3</w:t>
      </w:r>
      <w:r>
        <w:rPr>
          <w:rFonts w:hint="eastAsia" w:ascii="仿宋_GB2312" w:hAnsi="Calibri" w:eastAsia="仿宋_GB2312" w:cs="仿宋_GB2312"/>
          <w:sz w:val="32"/>
          <w:szCs w:val="32"/>
          <w:lang w:eastAsia="zh-CN"/>
        </w:rPr>
        <w:t>）使用县级财政资金的事业单位及直属单位和社会团体的财务收支。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4</w:t>
      </w:r>
      <w:r>
        <w:rPr>
          <w:rFonts w:hint="eastAsia" w:ascii="仿宋_GB2312" w:hAnsi="Calibri" w:eastAsia="仿宋_GB2312" w:cs="仿宋_GB2312"/>
          <w:sz w:val="32"/>
          <w:szCs w:val="32"/>
          <w:lang w:eastAsia="zh-CN"/>
        </w:rPr>
        <w:t>）县政府投资和以县政府投资为主的建设项目预算执行情况、单项工程结算和决算。</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5</w:t>
      </w:r>
      <w:r>
        <w:rPr>
          <w:rFonts w:hint="eastAsia" w:ascii="仿宋_GB2312" w:hAnsi="Calibri" w:eastAsia="仿宋_GB2312" w:cs="仿宋_GB2312"/>
          <w:sz w:val="32"/>
          <w:szCs w:val="32"/>
          <w:lang w:eastAsia="zh-CN"/>
        </w:rPr>
        <w:t>）县属国有企业和地方金融机构、县属国有资本占控股或主导地位的企业和金融机构的资产、负债和损益。</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）县政府部门以及其他单位受县政府及其部门委托管理的社会保障基金、环境保护资金、社会捐赠资金及其他有关基金、资金的财务收支。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）国际组织和外国政府在县援助、贷款项目的财务收支。</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w:t>
      </w: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）法律、行政法规和地方性法规、政府规章规定应由审计机关审计的其他事项。</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5.</w:t>
      </w:r>
      <w:r>
        <w:rPr>
          <w:rFonts w:hint="eastAsia" w:ascii="仿宋_GB2312" w:hAnsi="Calibri" w:eastAsia="仿宋_GB2312" w:cs="仿宋_GB2312"/>
          <w:sz w:val="32"/>
          <w:szCs w:val="32"/>
          <w:lang w:eastAsia="zh-CN"/>
        </w:rPr>
        <w:t>按国家有关规定对县级机关和依法属县审计局审计监督的其他单位主要负责人，在任职期间对本单位本部门的财政收支、财务收支以及有关经济活动实施经济责任审计。</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组织实施对国家财经法律、法规、规章、政策和宏观调控措施执行情况、财政预算管理或国有资产管理使用等与县级财政财务收支有关的特定事项进行专项审计调查。</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依法检查审计决定执行情况，督促纠正和处理审计发现的问题，依法办理被审计单位对审计决定提请行政复议、行政诉讼或县政府裁决中的有关事项，协助配合有关部门查处相关重大案件。</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8.</w:t>
      </w:r>
      <w:r>
        <w:rPr>
          <w:rFonts w:hint="eastAsia" w:ascii="仿宋_GB2312" w:hAnsi="Calibri" w:eastAsia="仿宋_GB2312" w:cs="仿宋_GB2312"/>
          <w:sz w:val="32"/>
          <w:szCs w:val="32"/>
          <w:lang w:eastAsia="zh-CN"/>
        </w:rPr>
        <w:t>指导和监督内部审计工作，核查社会审计机构对依法属审计监督对象的单位出具的相关审计报告。</w:t>
      </w:r>
    </w:p>
    <w:p>
      <w:pPr>
        <w:numPr>
          <w:ilvl w:val="0"/>
          <w:numId w:val="0"/>
        </w:num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9.</w:t>
      </w:r>
      <w:r>
        <w:rPr>
          <w:rFonts w:hint="eastAsia" w:ascii="仿宋_GB2312" w:hAnsi="Calibri" w:eastAsia="仿宋_GB2312" w:cs="仿宋_GB2312"/>
          <w:sz w:val="32"/>
          <w:szCs w:val="32"/>
          <w:lang w:eastAsia="zh-CN"/>
        </w:rPr>
        <w:t>壤塘县投资审计中心为县审计局下属股所级事业单位。主要职责：对使用国有资金投资、社会公共资金投资的建设项目预算执行情况、结算和竣工决算进行审计监督</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对与国有资金投资或社会公共投资项目直接有关的建设、设计、施工、采购等单位的财务收支进行审计监督</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对国有资金投资和社会公共投资项目进行绩效审计或专项审计调查</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对重大财政性资金或社会公共资金投入大、建设周期长、工程复杂的项目实施全过程跟踪审计</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承办县人民政府和上级审计机关交办的审计事项。</w:t>
      </w:r>
    </w:p>
    <w:p>
      <w:pPr>
        <w:numPr>
          <w:ilvl w:val="0"/>
          <w:numId w:val="0"/>
        </w:numPr>
        <w:spacing w:line="580" w:lineRule="exact"/>
        <w:ind w:firstLine="640" w:firstLineChars="200"/>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val="en-US" w:eastAsia="zh-CN"/>
        </w:rPr>
        <w:t>10.</w:t>
      </w:r>
      <w:r>
        <w:rPr>
          <w:rFonts w:hint="eastAsia" w:ascii="仿宋_GB2312" w:hAnsi="Calibri" w:eastAsia="仿宋_GB2312" w:cs="仿宋_GB2312"/>
          <w:sz w:val="32"/>
          <w:szCs w:val="32"/>
          <w:lang w:eastAsia="zh-CN"/>
        </w:rPr>
        <w:t>承办县政府交办的其他事项。</w:t>
      </w:r>
    </w:p>
    <w:p>
      <w:pPr>
        <w:spacing w:line="56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主要工作任务</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eastAsia="zh-CN"/>
        </w:rPr>
        <w:t>年主要工作任务是：</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1、202</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年县级财政预算执行情况和其他财政收支；</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2、县级各部门财务收支、县人民政府有关部门管理和受县人民政府委托由社会团体管理的社会保障基金、环境保护资金、社会捐赠资金及其他有关基金、资金的财务收支；</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3、组织实施对贯彻执行国家财经方针政策和区域经济调控措施情况的行业审计、专项审计和审计调查，农业专项资金、资源能源和生态环境保护资金、扶贫开发和大中型水库移民资金等；</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4、对县级党政机关及乡镇主要领导干部进行任期经济责任审计；</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5、负责审计壤塘县政府投资和以县政府投资为主的建设项目的预算执行情况和结（决）算、县管国家重大工程项目资金的筹集、使用情况；组织对县管其他国家建设项目的审计监督；开展相关专项审计调查；组织协调对社会审计机构出具的属于审计机关审计监督对象的单位的相关审计报告核查工作；负责对县内对投资较大、建设周期较长或者关系国计民生的重点建设项目全程跟踪审计监督等。</w:t>
      </w:r>
    </w:p>
    <w:p>
      <w:pPr>
        <w:widowControl/>
        <w:spacing w:line="560" w:lineRule="exact"/>
        <w:ind w:firstLine="640" w:firstLineChars="200"/>
        <w:jc w:val="left"/>
        <w:rPr>
          <w:rFonts w:hint="eastAsia" w:ascii="仿宋_GB2312" w:hAnsi="Calibri" w:eastAsia="仿宋_GB2312" w:cs="仿宋_GB2312"/>
          <w:sz w:val="32"/>
          <w:szCs w:val="32"/>
          <w:lang w:eastAsia="zh-CN"/>
        </w:rPr>
      </w:pPr>
      <w:r>
        <w:rPr>
          <w:rFonts w:hint="eastAsia" w:ascii="仿宋_GB2312" w:hAnsi="Calibri" w:eastAsia="仿宋_GB2312" w:cs="仿宋_GB2312"/>
          <w:sz w:val="32"/>
          <w:szCs w:val="32"/>
          <w:lang w:eastAsia="zh-CN"/>
        </w:rPr>
        <w:t>6、承办县政府交办的其他事项。</w:t>
      </w:r>
    </w:p>
    <w:p>
      <w:pPr>
        <w:numPr>
          <w:ilvl w:val="0"/>
          <w:numId w:val="0"/>
        </w:numPr>
        <w:spacing w:line="580" w:lineRule="exact"/>
        <w:ind w:firstLine="643" w:firstLineChars="200"/>
        <w:rPr>
          <w:rFonts w:hint="eastAsia" w:ascii="楷体" w:hAnsi="楷体" w:eastAsia="楷体" w:cs="楷体"/>
          <w:b/>
          <w:bCs/>
          <w:sz w:val="32"/>
          <w:szCs w:val="32"/>
          <w:lang w:val="zh-CN"/>
        </w:rPr>
      </w:pPr>
      <w:r>
        <w:rPr>
          <w:rFonts w:hint="eastAsia" w:ascii="楷体" w:hAnsi="楷体" w:eastAsia="楷体" w:cs="楷体"/>
          <w:b/>
          <w:bCs/>
          <w:sz w:val="32"/>
          <w:szCs w:val="32"/>
          <w:lang w:val="zh-CN"/>
        </w:rPr>
        <w:t>（三）人员概况</w:t>
      </w:r>
    </w:p>
    <w:p>
      <w:pPr>
        <w:widowControl/>
        <w:spacing w:line="560" w:lineRule="exact"/>
        <w:ind w:firstLine="640" w:firstLineChars="200"/>
        <w:jc w:val="left"/>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总编制</w:t>
      </w:r>
      <w:r>
        <w:rPr>
          <w:rFonts w:hint="eastAsia" w:ascii="仿宋_GB2312" w:hAnsi="Calibri" w:eastAsia="仿宋_GB2312" w:cs="仿宋_GB2312"/>
          <w:sz w:val="32"/>
          <w:szCs w:val="32"/>
          <w:lang w:val="en-US" w:eastAsia="zh-CN"/>
        </w:rPr>
        <w:t>15</w:t>
      </w:r>
      <w:r>
        <w:rPr>
          <w:rFonts w:hint="eastAsia" w:ascii="仿宋_GB2312" w:hAnsi="Calibri" w:eastAsia="仿宋_GB2312" w:cs="仿宋_GB2312"/>
          <w:sz w:val="32"/>
          <w:szCs w:val="32"/>
          <w:lang w:eastAsia="zh-CN"/>
        </w:rPr>
        <w:t>名</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其中</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行政编制</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名</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机关工勤人员编制</w:t>
      </w:r>
      <w:r>
        <w:rPr>
          <w:rFonts w:hint="eastAsia" w:ascii="仿宋_GB2312" w:hAnsi="Calibri" w:eastAsia="仿宋_GB2312" w:cs="仿宋_GB2312"/>
          <w:sz w:val="32"/>
          <w:szCs w:val="32"/>
          <w:lang w:val="en-US" w:eastAsia="zh-CN"/>
        </w:rPr>
        <w:t xml:space="preserve">1 </w:t>
      </w:r>
      <w:r>
        <w:rPr>
          <w:rFonts w:hint="eastAsia" w:ascii="仿宋_GB2312" w:hAnsi="Calibri" w:eastAsia="仿宋_GB2312" w:cs="仿宋_GB2312"/>
          <w:sz w:val="32"/>
          <w:szCs w:val="32"/>
          <w:lang w:eastAsia="zh-CN"/>
        </w:rPr>
        <w:t>名，事业编制</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名</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投资审计中心</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eastAsia="zh-CN"/>
        </w:rPr>
        <w:t>。本单位本年度年末实有人数为</w:t>
      </w:r>
      <w:r>
        <w:rPr>
          <w:rFonts w:hint="eastAsia" w:ascii="仿宋_GB2312" w:hAnsi="Calibri" w:eastAsia="仿宋_GB2312" w:cs="仿宋_GB2312"/>
          <w:sz w:val="32"/>
          <w:szCs w:val="32"/>
          <w:lang w:val="en-US" w:eastAsia="zh-CN"/>
        </w:rPr>
        <w:t>13</w:t>
      </w:r>
      <w:r>
        <w:rPr>
          <w:rFonts w:hint="eastAsia" w:ascii="仿宋_GB2312" w:hAnsi="Calibri" w:eastAsia="仿宋_GB2312" w:cs="仿宋_GB2312"/>
          <w:sz w:val="32"/>
          <w:szCs w:val="32"/>
          <w:lang w:eastAsia="zh-CN"/>
        </w:rPr>
        <w:t>人名，其中：行政人员</w:t>
      </w: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名、工勤人员</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名、事业人员</w:t>
      </w:r>
      <w:r>
        <w:rPr>
          <w:rFonts w:hint="eastAsia" w:ascii="仿宋_GB2312" w:hAnsi="Calibri" w:eastAsia="仿宋_GB2312" w:cs="仿宋_GB2312"/>
          <w:sz w:val="32"/>
          <w:szCs w:val="32"/>
          <w:lang w:val="en-US" w:eastAsia="zh-CN"/>
        </w:rPr>
        <w:t>6</w:t>
      </w:r>
      <w:r>
        <w:rPr>
          <w:rFonts w:hint="eastAsia" w:ascii="仿宋_GB2312" w:hAnsi="Calibri" w:eastAsia="仿宋_GB2312" w:cs="仿宋_GB2312"/>
          <w:sz w:val="32"/>
          <w:szCs w:val="32"/>
          <w:lang w:eastAsia="zh-CN"/>
        </w:rPr>
        <w:t>名。编外长期聘用人员</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eastAsia="zh-CN"/>
        </w:rPr>
        <w:t>名，退休人员</w:t>
      </w:r>
      <w:r>
        <w:rPr>
          <w:rFonts w:hint="eastAsia" w:ascii="仿宋_GB2312" w:hAnsi="Calibri" w:eastAsia="仿宋_GB2312" w:cs="仿宋_GB2312"/>
          <w:sz w:val="32"/>
          <w:szCs w:val="32"/>
          <w:lang w:val="en-US" w:eastAsia="zh-CN"/>
        </w:rPr>
        <w:t>5</w:t>
      </w:r>
      <w:r>
        <w:rPr>
          <w:rFonts w:hint="eastAsia" w:ascii="仿宋_GB2312" w:hAnsi="Calibri" w:eastAsia="仿宋_GB2312" w:cs="仿宋_GB2312"/>
          <w:sz w:val="32"/>
          <w:szCs w:val="32"/>
          <w:lang w:eastAsia="zh-CN"/>
        </w:rPr>
        <w:t>人，遗属人员</w:t>
      </w:r>
      <w:r>
        <w:rPr>
          <w:rFonts w:hint="eastAsia" w:ascii="仿宋_GB2312" w:hAnsi="Calibri" w:eastAsia="仿宋_GB2312" w:cs="仿宋_GB2312"/>
          <w:sz w:val="32"/>
          <w:szCs w:val="32"/>
          <w:lang w:val="en-US" w:eastAsia="zh-CN"/>
        </w:rPr>
        <w:t>2</w:t>
      </w:r>
      <w:r>
        <w:rPr>
          <w:rFonts w:hint="eastAsia" w:ascii="仿宋_GB2312" w:hAnsi="Calibri" w:eastAsia="仿宋_GB2312" w:cs="仿宋_GB2312"/>
          <w:sz w:val="32"/>
          <w:szCs w:val="32"/>
          <w:lang w:eastAsia="zh-CN"/>
        </w:rPr>
        <w:t>人。</w:t>
      </w:r>
    </w:p>
    <w:p>
      <w:pPr>
        <w:widowControl/>
        <w:spacing w:line="560" w:lineRule="exact"/>
        <w:ind w:firstLine="640" w:firstLineChars="200"/>
        <w:jc w:val="left"/>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eastAsia="zh-CN"/>
        </w:rPr>
        <w:t>我局</w:t>
      </w:r>
      <w:r>
        <w:rPr>
          <w:rFonts w:hint="eastAsia" w:ascii="仿宋_GB2312" w:hAnsi="Calibri" w:eastAsia="仿宋_GB2312" w:cs="仿宋_GB2312"/>
          <w:sz w:val="32"/>
          <w:szCs w:val="32"/>
          <w:lang w:val="en-US" w:eastAsia="zh-CN"/>
        </w:rPr>
        <w:t>2021</w:t>
      </w:r>
      <w:r>
        <w:rPr>
          <w:rFonts w:hint="eastAsia" w:ascii="仿宋_GB2312" w:hAnsi="Calibri" w:eastAsia="仿宋_GB2312" w:cs="仿宋_GB2312"/>
          <w:sz w:val="32"/>
          <w:szCs w:val="32"/>
          <w:lang w:eastAsia="zh-CN"/>
        </w:rPr>
        <w:t>年</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月底新进一名事业人员，该人员工资</w:t>
      </w:r>
      <w:r>
        <w:rPr>
          <w:rFonts w:hint="eastAsia" w:ascii="仿宋_GB2312" w:hAnsi="Calibri" w:eastAsia="仿宋_GB2312" w:cs="仿宋_GB2312"/>
          <w:sz w:val="32"/>
          <w:szCs w:val="32"/>
          <w:lang w:val="en-US" w:eastAsia="zh-CN"/>
        </w:rPr>
        <w:t>2021</w:t>
      </w:r>
      <w:r>
        <w:rPr>
          <w:rFonts w:hint="eastAsia" w:ascii="仿宋_GB2312" w:hAnsi="Calibri" w:eastAsia="仿宋_GB2312" w:cs="仿宋_GB2312"/>
          <w:sz w:val="32"/>
          <w:szCs w:val="32"/>
          <w:lang w:eastAsia="zh-CN"/>
        </w:rPr>
        <w:t>年</w:t>
      </w:r>
      <w:r>
        <w:rPr>
          <w:rFonts w:hint="eastAsia" w:ascii="仿宋_GB2312" w:hAnsi="Calibri" w:eastAsia="仿宋_GB2312" w:cs="仿宋_GB2312"/>
          <w:sz w:val="32"/>
          <w:szCs w:val="32"/>
          <w:lang w:val="en-US" w:eastAsia="zh-CN"/>
        </w:rPr>
        <w:t>7</w:t>
      </w:r>
      <w:r>
        <w:rPr>
          <w:rFonts w:hint="eastAsia" w:ascii="仿宋_GB2312" w:hAnsi="Calibri" w:eastAsia="仿宋_GB2312" w:cs="仿宋_GB2312"/>
          <w:sz w:val="32"/>
          <w:szCs w:val="32"/>
          <w:lang w:eastAsia="zh-CN"/>
        </w:rPr>
        <w:t>月开始由我局发放。</w:t>
      </w:r>
      <w:r>
        <w:rPr>
          <w:rFonts w:hint="eastAsia" w:ascii="仿宋_GB2312" w:hAnsi="Calibri" w:eastAsia="仿宋_GB2312" w:cs="仿宋_GB2312"/>
          <w:sz w:val="32"/>
          <w:szCs w:val="32"/>
          <w:lang w:val="en-US" w:eastAsia="zh-CN"/>
        </w:rPr>
        <w:t> </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widowControl/>
        <w:spacing w:line="560" w:lineRule="exact"/>
        <w:ind w:firstLine="640" w:firstLineChars="200"/>
        <w:jc w:val="left"/>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zh-CN" w:eastAsia="zh-CN"/>
        </w:rPr>
        <w:t>202</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val="zh-CN" w:eastAsia="zh-CN"/>
        </w:rPr>
        <w:t>年年初结转和结余</w:t>
      </w:r>
      <w:r>
        <w:rPr>
          <w:rFonts w:hint="eastAsia" w:ascii="仿宋_GB2312" w:hAnsi="Calibri" w:eastAsia="仿宋_GB2312" w:cs="仿宋_GB2312"/>
          <w:sz w:val="32"/>
          <w:szCs w:val="32"/>
          <w:lang w:val="en-US" w:eastAsia="zh-CN"/>
        </w:rPr>
        <w:t>0</w:t>
      </w:r>
      <w:r>
        <w:rPr>
          <w:rFonts w:hint="eastAsia" w:ascii="仿宋_GB2312" w:hAnsi="Calibri" w:eastAsia="仿宋_GB2312" w:cs="仿宋_GB2312"/>
          <w:sz w:val="32"/>
          <w:szCs w:val="32"/>
          <w:lang w:val="zh-CN" w:eastAsia="zh-CN"/>
        </w:rPr>
        <w:t>元，202</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val="zh-CN" w:eastAsia="zh-CN"/>
        </w:rPr>
        <w:t>预算收入</w:t>
      </w:r>
      <w:r>
        <w:rPr>
          <w:rFonts w:hint="eastAsia" w:ascii="仿宋_GB2312" w:hAnsi="Calibri" w:eastAsia="仿宋_GB2312" w:cs="仿宋_GB2312"/>
          <w:sz w:val="32"/>
          <w:szCs w:val="32"/>
          <w:lang w:val="en-US" w:eastAsia="zh-CN"/>
        </w:rPr>
        <w:t>250.50</w:t>
      </w:r>
      <w:r>
        <w:rPr>
          <w:rFonts w:hint="eastAsia" w:ascii="仿宋_GB2312" w:hAnsi="Calibri" w:eastAsia="仿宋_GB2312" w:cs="仿宋_GB2312"/>
          <w:sz w:val="32"/>
          <w:szCs w:val="32"/>
          <w:lang w:val="zh-CN" w:eastAsia="zh-CN"/>
        </w:rPr>
        <w:t>万元，20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val="zh-CN" w:eastAsia="zh-CN"/>
        </w:rPr>
        <w:t>年预算收入</w:t>
      </w:r>
      <w:r>
        <w:rPr>
          <w:rFonts w:hint="eastAsia" w:ascii="仿宋_GB2312" w:hAnsi="Calibri" w:eastAsia="仿宋_GB2312" w:cs="仿宋_GB2312"/>
          <w:sz w:val="32"/>
          <w:szCs w:val="32"/>
          <w:lang w:val="en-US" w:eastAsia="zh-CN"/>
        </w:rPr>
        <w:t>230.42</w:t>
      </w:r>
      <w:r>
        <w:rPr>
          <w:rFonts w:hint="eastAsia" w:ascii="仿宋_GB2312" w:hAnsi="Calibri" w:eastAsia="仿宋_GB2312" w:cs="仿宋_GB2312"/>
          <w:sz w:val="32"/>
          <w:szCs w:val="32"/>
          <w:lang w:val="zh-CN" w:eastAsia="zh-CN"/>
        </w:rPr>
        <w:t>万元，比去年增加</w:t>
      </w:r>
      <w:r>
        <w:rPr>
          <w:rFonts w:hint="eastAsia" w:ascii="仿宋_GB2312" w:hAnsi="Calibri" w:eastAsia="仿宋_GB2312" w:cs="仿宋_GB2312"/>
          <w:sz w:val="32"/>
          <w:szCs w:val="32"/>
          <w:lang w:val="en-US" w:eastAsia="zh-CN"/>
        </w:rPr>
        <w:t>8.71</w:t>
      </w:r>
      <w:r>
        <w:rPr>
          <w:rFonts w:hint="eastAsia" w:ascii="仿宋_GB2312" w:hAnsi="Calibri" w:eastAsia="仿宋_GB2312" w:cs="仿宋_GB2312"/>
          <w:sz w:val="32"/>
          <w:szCs w:val="32"/>
          <w:lang w:val="zh-CN" w:eastAsia="zh-CN"/>
        </w:rPr>
        <w:t>%；主要原因是我局工程项目结算审计费增加。202</w:t>
      </w:r>
      <w:r>
        <w:rPr>
          <w:rFonts w:hint="eastAsia" w:ascii="仿宋_GB2312" w:hAnsi="Calibri" w:eastAsia="仿宋_GB2312" w:cs="仿宋_GB2312"/>
          <w:sz w:val="32"/>
          <w:szCs w:val="32"/>
          <w:lang w:val="en-US" w:eastAsia="zh-CN"/>
        </w:rPr>
        <w:t>1</w:t>
      </w:r>
      <w:r>
        <w:rPr>
          <w:rFonts w:hint="eastAsia" w:ascii="仿宋_GB2312" w:hAnsi="Calibri" w:eastAsia="仿宋_GB2312" w:cs="仿宋_GB2312"/>
          <w:sz w:val="32"/>
          <w:szCs w:val="32"/>
          <w:lang w:val="zh-CN" w:eastAsia="zh-CN"/>
        </w:rPr>
        <w:t>年决算收入</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val="zh-CN" w:eastAsia="zh-CN"/>
        </w:rPr>
        <w:t>万元，其中</w:t>
      </w:r>
      <w:r>
        <w:rPr>
          <w:rFonts w:hint="eastAsia" w:ascii="仿宋_GB2312" w:hAnsi="Calibri" w:eastAsia="仿宋_GB2312" w:cs="仿宋_GB2312"/>
          <w:sz w:val="32"/>
          <w:szCs w:val="32"/>
          <w:lang w:val="en-US" w:eastAsia="zh-CN"/>
        </w:rPr>
        <w:t>:</w:t>
      </w:r>
      <w:r>
        <w:rPr>
          <w:rFonts w:hint="eastAsia" w:ascii="仿宋_GB2312" w:hAnsi="Calibri" w:eastAsia="仿宋_GB2312" w:cs="仿宋_GB2312"/>
          <w:sz w:val="32"/>
          <w:szCs w:val="32"/>
          <w:lang w:val="zh-CN" w:eastAsia="zh-CN"/>
        </w:rPr>
        <w:t>一般公共预算财政拨款收入</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val="zh-CN" w:eastAsia="zh-CN"/>
        </w:rPr>
        <w:t>万元。本年收入调整预算数为</w:t>
      </w:r>
      <w:r>
        <w:rPr>
          <w:rFonts w:hint="eastAsia" w:ascii="仿宋_GB2312" w:hAnsi="Calibri" w:eastAsia="仿宋_GB2312" w:cs="仿宋_GB2312"/>
          <w:sz w:val="32"/>
          <w:szCs w:val="32"/>
          <w:lang w:val="en-US" w:eastAsia="zh-CN"/>
        </w:rPr>
        <w:t>488.90</w:t>
      </w:r>
      <w:r>
        <w:rPr>
          <w:rFonts w:hint="eastAsia" w:ascii="仿宋_GB2312" w:hAnsi="Calibri" w:eastAsia="仿宋_GB2312" w:cs="仿宋_GB2312"/>
          <w:sz w:val="32"/>
          <w:szCs w:val="32"/>
          <w:lang w:val="zh-CN" w:eastAsia="zh-CN"/>
        </w:rPr>
        <w:t>万元，20</w:t>
      </w:r>
      <w:r>
        <w:rPr>
          <w:rFonts w:hint="eastAsia" w:ascii="仿宋_GB2312" w:hAnsi="Calibri" w:eastAsia="仿宋_GB2312" w:cs="仿宋_GB2312"/>
          <w:sz w:val="32"/>
          <w:szCs w:val="32"/>
          <w:lang w:val="en-US" w:eastAsia="zh-CN"/>
        </w:rPr>
        <w:t>20</w:t>
      </w:r>
      <w:r>
        <w:rPr>
          <w:rFonts w:hint="eastAsia" w:ascii="仿宋_GB2312" w:hAnsi="Calibri" w:eastAsia="仿宋_GB2312" w:cs="仿宋_GB2312"/>
          <w:sz w:val="32"/>
          <w:szCs w:val="32"/>
          <w:lang w:val="zh-CN" w:eastAsia="zh-CN"/>
        </w:rPr>
        <w:t>年收入调整预算</w:t>
      </w:r>
      <w:r>
        <w:rPr>
          <w:rFonts w:hint="eastAsia" w:ascii="仿宋_GB2312" w:hAnsi="Calibri" w:eastAsia="仿宋_GB2312" w:cs="仿宋_GB2312"/>
          <w:sz w:val="32"/>
          <w:szCs w:val="32"/>
          <w:lang w:val="en-US" w:eastAsia="zh-CN"/>
        </w:rPr>
        <w:t>455.61万元</w:t>
      </w:r>
      <w:r>
        <w:rPr>
          <w:rFonts w:hint="eastAsia" w:ascii="仿宋_GB2312" w:hAnsi="Calibri" w:eastAsia="仿宋_GB2312" w:cs="仿宋_GB2312"/>
          <w:sz w:val="32"/>
          <w:szCs w:val="32"/>
          <w:lang w:val="zh-CN" w:eastAsia="zh-CN"/>
        </w:rPr>
        <w:t>，比去年增加</w:t>
      </w:r>
      <w:r>
        <w:rPr>
          <w:rFonts w:hint="eastAsia" w:ascii="仿宋_GB2312" w:hAnsi="Calibri" w:eastAsia="仿宋_GB2312" w:cs="仿宋_GB2312"/>
          <w:sz w:val="32"/>
          <w:szCs w:val="32"/>
          <w:lang w:val="en-US" w:eastAsia="zh-CN"/>
        </w:rPr>
        <w:t>7.31</w:t>
      </w:r>
      <w:r>
        <w:rPr>
          <w:rFonts w:hint="eastAsia" w:ascii="仿宋_GB2312" w:hAnsi="Calibri" w:eastAsia="仿宋_GB2312" w:cs="仿宋_GB2312"/>
          <w:sz w:val="32"/>
          <w:szCs w:val="32"/>
          <w:lang w:val="zh-CN" w:eastAsia="zh-CN"/>
        </w:rPr>
        <w:t>%；主要原因是人员工资增加导致人员经费增加、工程结算审计费增加、物价上涨、工作经费增加等。</w:t>
      </w:r>
    </w:p>
    <w:p>
      <w:pPr>
        <w:widowControl/>
        <w:numPr>
          <w:ilvl w:val="0"/>
          <w:numId w:val="6"/>
        </w:numPr>
        <w:adjustRightInd w:val="0"/>
        <w:snapToGrid w:val="0"/>
        <w:spacing w:line="580" w:lineRule="exact"/>
        <w:ind w:left="-13" w:leftChars="0" w:firstLine="643" w:firstLineChars="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部门财政资金支出情况</w:t>
      </w:r>
    </w:p>
    <w:p>
      <w:pPr>
        <w:widowControl/>
        <w:spacing w:line="560" w:lineRule="exact"/>
        <w:ind w:firstLine="640" w:firstLineChars="200"/>
        <w:jc w:val="left"/>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zh-CN" w:eastAsia="zh-CN"/>
        </w:rPr>
        <w:t>20</w:t>
      </w:r>
      <w:r>
        <w:rPr>
          <w:rFonts w:hint="eastAsia" w:ascii="仿宋_GB2312" w:hAnsi="Calibri" w:eastAsia="仿宋_GB2312" w:cs="仿宋_GB2312"/>
          <w:sz w:val="32"/>
          <w:szCs w:val="32"/>
          <w:lang w:val="en-US" w:eastAsia="zh-CN"/>
        </w:rPr>
        <w:t>21</w:t>
      </w:r>
      <w:r>
        <w:rPr>
          <w:rFonts w:hint="eastAsia" w:ascii="仿宋_GB2312" w:hAnsi="Calibri" w:eastAsia="仿宋_GB2312" w:cs="仿宋_GB2312"/>
          <w:sz w:val="32"/>
          <w:szCs w:val="32"/>
          <w:lang w:val="zh-CN" w:eastAsia="zh-CN"/>
        </w:rPr>
        <w:t>年本年支出决算总额为</w:t>
      </w:r>
      <w:r>
        <w:rPr>
          <w:rFonts w:hint="eastAsia" w:ascii="仿宋_GB2312" w:hAnsi="Calibri" w:eastAsia="仿宋_GB2312" w:cs="仿宋_GB2312"/>
          <w:sz w:val="32"/>
          <w:szCs w:val="32"/>
          <w:lang w:val="en-US" w:eastAsia="zh-CN"/>
        </w:rPr>
        <w:t>504.26万元</w:t>
      </w:r>
      <w:r>
        <w:rPr>
          <w:rFonts w:hint="eastAsia" w:ascii="仿宋_GB2312" w:hAnsi="Calibri" w:eastAsia="仿宋_GB2312" w:cs="仿宋_GB2312"/>
          <w:sz w:val="32"/>
          <w:szCs w:val="32"/>
          <w:lang w:val="zh-CN" w:eastAsia="zh-CN"/>
        </w:rPr>
        <w:t>，其中：一般公共服务支出</w:t>
      </w:r>
      <w:r>
        <w:rPr>
          <w:rFonts w:hint="eastAsia" w:ascii="仿宋_GB2312" w:hAnsi="Calibri" w:eastAsia="仿宋_GB2312" w:cs="仿宋_GB2312"/>
          <w:sz w:val="32"/>
          <w:szCs w:val="32"/>
          <w:lang w:val="en-US" w:eastAsia="zh-CN"/>
        </w:rPr>
        <w:t>414.52万</w:t>
      </w:r>
      <w:r>
        <w:rPr>
          <w:rFonts w:hint="eastAsia" w:ascii="仿宋_GB2312" w:hAnsi="Calibri" w:eastAsia="仿宋_GB2312" w:cs="仿宋_GB2312"/>
          <w:sz w:val="32"/>
          <w:szCs w:val="32"/>
          <w:lang w:val="zh-CN" w:eastAsia="zh-CN"/>
        </w:rPr>
        <w:t>元；社会保障保障支出</w:t>
      </w:r>
      <w:r>
        <w:rPr>
          <w:rFonts w:hint="eastAsia" w:ascii="仿宋_GB2312" w:hAnsi="Calibri" w:eastAsia="仿宋_GB2312" w:cs="仿宋_GB2312"/>
          <w:sz w:val="32"/>
          <w:szCs w:val="32"/>
          <w:lang w:val="en-US" w:eastAsia="zh-CN"/>
        </w:rPr>
        <w:t>28.89万</w:t>
      </w:r>
      <w:r>
        <w:rPr>
          <w:rFonts w:hint="eastAsia" w:ascii="仿宋_GB2312" w:hAnsi="Calibri" w:eastAsia="仿宋_GB2312" w:cs="仿宋_GB2312"/>
          <w:sz w:val="32"/>
          <w:szCs w:val="32"/>
          <w:lang w:val="zh-CN" w:eastAsia="zh-CN"/>
        </w:rPr>
        <w:t>元;卫生健康支出</w:t>
      </w:r>
      <w:r>
        <w:rPr>
          <w:rFonts w:hint="eastAsia" w:ascii="仿宋_GB2312" w:hAnsi="Calibri" w:eastAsia="仿宋_GB2312" w:cs="仿宋_GB2312"/>
          <w:sz w:val="32"/>
          <w:szCs w:val="32"/>
          <w:lang w:val="en-US" w:eastAsia="zh-CN"/>
        </w:rPr>
        <w:t>13.12万</w:t>
      </w:r>
      <w:r>
        <w:rPr>
          <w:rFonts w:hint="eastAsia" w:ascii="仿宋_GB2312" w:hAnsi="Calibri" w:eastAsia="仿宋_GB2312" w:cs="仿宋_GB2312"/>
          <w:sz w:val="32"/>
          <w:szCs w:val="32"/>
          <w:lang w:val="zh-CN" w:eastAsia="zh-CN"/>
        </w:rPr>
        <w:t>元；住房保障支出</w:t>
      </w:r>
      <w:r>
        <w:rPr>
          <w:rFonts w:hint="eastAsia" w:ascii="仿宋_GB2312" w:hAnsi="Calibri" w:eastAsia="仿宋_GB2312" w:cs="仿宋_GB2312"/>
          <w:sz w:val="32"/>
          <w:szCs w:val="32"/>
          <w:lang w:val="en-US" w:eastAsia="zh-CN"/>
        </w:rPr>
        <w:t>20.72万</w:t>
      </w:r>
      <w:r>
        <w:rPr>
          <w:rFonts w:hint="eastAsia" w:ascii="仿宋_GB2312" w:hAnsi="Calibri" w:eastAsia="仿宋_GB2312" w:cs="仿宋_GB2312"/>
          <w:sz w:val="32"/>
          <w:szCs w:val="32"/>
          <w:lang w:val="zh-CN" w:eastAsia="zh-CN"/>
        </w:rPr>
        <w:t>元。较上年相比，支出增加</w:t>
      </w:r>
      <w:r>
        <w:rPr>
          <w:rFonts w:hint="eastAsia" w:ascii="仿宋_GB2312" w:hAnsi="Calibri" w:eastAsia="仿宋_GB2312" w:cs="仿宋_GB2312"/>
          <w:sz w:val="32"/>
          <w:szCs w:val="32"/>
          <w:lang w:val="en-US" w:eastAsia="zh-CN"/>
        </w:rPr>
        <w:t>41.86万</w:t>
      </w:r>
      <w:r>
        <w:rPr>
          <w:rFonts w:hint="eastAsia" w:ascii="仿宋_GB2312" w:hAnsi="Calibri" w:eastAsia="仿宋_GB2312" w:cs="仿宋_GB2312"/>
          <w:sz w:val="32"/>
          <w:szCs w:val="32"/>
          <w:lang w:val="zh-CN" w:eastAsia="zh-CN"/>
        </w:rPr>
        <w:t>元，上涨</w:t>
      </w:r>
      <w:r>
        <w:rPr>
          <w:rFonts w:hint="eastAsia" w:ascii="仿宋_GB2312" w:hAnsi="Calibri" w:eastAsia="仿宋_GB2312" w:cs="仿宋_GB2312"/>
          <w:sz w:val="32"/>
          <w:szCs w:val="32"/>
          <w:lang w:val="en-US" w:eastAsia="zh-CN"/>
        </w:rPr>
        <w:t>9.05%</w:t>
      </w:r>
      <w:r>
        <w:rPr>
          <w:rFonts w:hint="eastAsia" w:ascii="仿宋_GB2312" w:hAnsi="Calibri" w:eastAsia="仿宋_GB2312" w:cs="仿宋_GB2312"/>
          <w:sz w:val="32"/>
          <w:szCs w:val="32"/>
          <w:lang w:val="zh-CN" w:eastAsia="zh-CN"/>
        </w:rPr>
        <w:t>,主要原因是人员工资增加导致人员经费增加、工程结算审计费增加、物价上涨、工作经费增加等。</w:t>
      </w:r>
    </w:p>
    <w:p>
      <w:pPr>
        <w:widowControl/>
        <w:spacing w:line="560" w:lineRule="exact"/>
        <w:ind w:firstLine="640" w:firstLineChars="200"/>
        <w:jc w:val="left"/>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zh-CN" w:eastAsia="zh-CN"/>
        </w:rPr>
        <w:t>我局</w:t>
      </w:r>
      <w:r>
        <w:rPr>
          <w:rFonts w:hint="eastAsia" w:ascii="仿宋_GB2312" w:hAnsi="Calibri" w:eastAsia="仿宋_GB2312" w:cs="仿宋_GB2312"/>
          <w:sz w:val="32"/>
          <w:szCs w:val="32"/>
          <w:lang w:val="en-US" w:eastAsia="zh-CN"/>
        </w:rPr>
        <w:t>2021</w:t>
      </w:r>
      <w:r>
        <w:rPr>
          <w:rFonts w:hint="eastAsia" w:ascii="仿宋_GB2312" w:hAnsi="Calibri" w:eastAsia="仿宋_GB2312" w:cs="仿宋_GB2312"/>
          <w:sz w:val="32"/>
          <w:szCs w:val="32"/>
          <w:lang w:val="zh-CN" w:eastAsia="zh-CN"/>
        </w:rPr>
        <w:t>年末结转和结余</w:t>
      </w:r>
      <w:r>
        <w:rPr>
          <w:rFonts w:hint="eastAsia" w:ascii="仿宋_GB2312" w:hAnsi="Calibri" w:eastAsia="仿宋_GB2312" w:cs="仿宋_GB2312"/>
          <w:sz w:val="32"/>
          <w:szCs w:val="32"/>
          <w:lang w:val="en-US" w:eastAsia="zh-CN"/>
        </w:rPr>
        <w:t>15.36万</w:t>
      </w:r>
      <w:r>
        <w:rPr>
          <w:rFonts w:hint="eastAsia" w:ascii="仿宋_GB2312" w:hAnsi="Calibri" w:eastAsia="仿宋_GB2312" w:cs="仿宋_GB2312"/>
          <w:sz w:val="32"/>
          <w:szCs w:val="32"/>
          <w:lang w:val="zh-CN" w:eastAsia="zh-CN"/>
        </w:rPr>
        <w:t>元，其中：其中：行政运行</w:t>
      </w:r>
      <w:r>
        <w:rPr>
          <w:rFonts w:hint="eastAsia" w:ascii="仿宋_GB2312" w:hAnsi="Calibri" w:eastAsia="仿宋_GB2312" w:cs="仿宋_GB2312"/>
          <w:sz w:val="32"/>
          <w:szCs w:val="32"/>
          <w:lang w:val="en-US" w:eastAsia="zh-CN"/>
        </w:rPr>
        <w:t>15.36万</w:t>
      </w:r>
      <w:r>
        <w:rPr>
          <w:rFonts w:hint="eastAsia" w:ascii="仿宋_GB2312" w:hAnsi="Calibri" w:eastAsia="仿宋_GB2312" w:cs="仿宋_GB2312"/>
          <w:sz w:val="32"/>
          <w:szCs w:val="32"/>
          <w:lang w:val="zh-CN" w:eastAsia="zh-CN"/>
        </w:rPr>
        <w:t>元，该笔资金为财政返还资金文件号为壤结余</w:t>
      </w:r>
      <w:r>
        <w:rPr>
          <w:rFonts w:hint="eastAsia" w:ascii="仿宋_GB2312" w:hAnsi="Calibri" w:eastAsia="仿宋_GB2312" w:cs="仿宋_GB2312"/>
          <w:sz w:val="32"/>
          <w:szCs w:val="32"/>
          <w:lang w:val="en-US" w:eastAsia="zh-CN"/>
        </w:rPr>
        <w:t>[2021]673号</w:t>
      </w:r>
      <w:r>
        <w:rPr>
          <w:rFonts w:hint="eastAsia" w:ascii="仿宋_GB2312" w:hAnsi="Calibri" w:eastAsia="仿宋_GB2312" w:cs="仿宋_GB2312"/>
          <w:sz w:val="32"/>
          <w:szCs w:val="32"/>
          <w:lang w:val="zh-CN" w:eastAsia="zh-CN"/>
        </w:rPr>
        <w:t>。</w:t>
      </w:r>
    </w:p>
    <w:p>
      <w:pPr>
        <w:widowControl/>
        <w:adjustRightInd w:val="0"/>
        <w:snapToGrid w:val="0"/>
        <w:spacing w:line="580" w:lineRule="exact"/>
        <w:ind w:firstLine="640" w:firstLineChars="200"/>
        <w:contextualSpacing/>
        <w:jc w:val="left"/>
        <w:rPr>
          <w:rFonts w:hint="eastAsia"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lang w:eastAsia="zh-CN"/>
        </w:rPr>
        <w:t>三、</w:t>
      </w:r>
      <w:r>
        <w:rPr>
          <w:rFonts w:hint="eastAsia" w:ascii="黑体" w:hAnsi="宋体" w:eastAsia="黑体" w:cs="宋体"/>
          <w:color w:val="000000"/>
          <w:kern w:val="0"/>
          <w:sz w:val="32"/>
          <w:szCs w:val="32"/>
          <w:shd w:val="clear" w:color="auto" w:fill="FFFFFF"/>
        </w:rPr>
        <w:t>部门整体预算绩效管理情况</w:t>
      </w:r>
    </w:p>
    <w:p>
      <w:pPr>
        <w:widowControl/>
        <w:adjustRightInd w:val="0"/>
        <w:snapToGrid w:val="0"/>
        <w:spacing w:line="580" w:lineRule="exact"/>
        <w:ind w:firstLine="643"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（一）基础管理</w:t>
      </w:r>
    </w:p>
    <w:p>
      <w:pPr>
        <w:spacing w:line="600" w:lineRule="exact"/>
        <w:ind w:firstLine="643" w:firstLineChars="200"/>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1、管理制度健全性</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县财政部《行政单位内部控制规范》要求，结合单位实际情况，在对单位主要经济活动及业务流程梳理分析的基础上，初步建立覆盖本单位经济活动的内部控制体系，形成一系列的内部管理制度。我局的内部控制建设制度适用于:预算管理、收支管理、政府采购管理、资产管理、建设项目管理、合同管理六大经济业务活动。相关管理制度合法、合规、完整，均得到了有效执行。</w:t>
      </w:r>
    </w:p>
    <w:p>
      <w:pPr>
        <w:spacing w:line="600" w:lineRule="exact"/>
        <w:ind w:firstLine="643" w:firstLineChars="200"/>
        <w:rPr>
          <w:rFonts w:hint="eastAsia" w:ascii="仿宋_GB2312" w:hAnsi="宋体" w:eastAsia="仿宋_GB2312" w:cs="宋体"/>
          <w:b/>
          <w:bCs/>
          <w:color w:val="000000"/>
          <w:kern w:val="0"/>
          <w:sz w:val="32"/>
          <w:szCs w:val="32"/>
          <w:shd w:val="clear" w:color="auto" w:fill="FFFFFF"/>
          <w:lang w:val="zh-CN"/>
        </w:rPr>
      </w:pPr>
      <w:r>
        <w:rPr>
          <w:rFonts w:hint="eastAsia" w:ascii="仿宋_GB2312" w:hAnsi="宋体" w:eastAsia="仿宋_GB2312" w:cs="宋体"/>
          <w:b/>
          <w:bCs/>
          <w:color w:val="000000"/>
          <w:kern w:val="0"/>
          <w:sz w:val="32"/>
          <w:szCs w:val="32"/>
          <w:shd w:val="clear" w:color="auto" w:fill="FFFFFF"/>
          <w:lang w:val="zh-CN"/>
        </w:rPr>
        <w:t>2、财务管理以及资金使用合规性</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资金使用过程中严格按照单位财务管理制度要求执行，资金使用的合规性体现在：</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1.所有经费开支坚持财务审批制度，重大资金支出由局党组会研究决定。</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在报销经费时，经办人使用统一规范的费用报销审批单，在审批单上写明报销日期、单位（部门）、费用项目、用途、经办人员、科室负责人、金额、财务审核、财务主管审核、单位负责人审核、单据张数等内容。</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 xml:space="preserve">3.费用报销审批程序  </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经办人填写《费用报销审批单》→由业务科室负责人确认签字→财务审核签字→财务分管领导财务确认签字→单位负责人批准后，到出纳处办理支付手续。</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各个审批环节的具体职责：</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业务科室负责人及其分管领导对其发生的支出用途及金额的真实性、准确性负责，并对其科室填写的费用报销审批单内容、大小写金额、票据张数进行审核。</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财务对科室提供的原始票据的合法性进行审核监督。审核发票是否真实合法、填写是否规范、印章是否齐全、报销金额与原始票据是否相符；审核是否符合审批程序；审核是否在预算额度内、在审计金额内按进度、按比例、按范围付款。对不符合规定的票据，财务有权拒绝受理。</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各审批领导审查财务收支的真实性、合法性、必要性，并在报销凭证上明确签署报销意见。</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出纳人员对已经审批后的支出票据必须进行复核（复核票据张数、金额、审批程序），对不符合规定的票据有权拒绝支付并立即向单位领导报告。</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（二）行政成本</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三公”经费控制。我局2021年“三公”经费预算96,600.00元，决算支出71,392.74元。其中公务用车购置及运行维护费预算95,000.00元，决算支出70,552.74元（均为公务用车运行维护费）、公务接待费预算1,600.00元、决算支出840.00元(均为国内接待费)、未发生因公出国（境）费，2021年“三公”经费决算均未超过预算。</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（三）政府采购</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2021年我局无政府采购。</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 xml:space="preserve">（四）资产管理  </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固定资产在用率。我局固定资产合计1,101,372.00元，其中：通用设备1,004,375.00元，占总资产91.19%。（其中：车辆36,988.00元，占通用设备3.68%，单价50万（含）以上（不含车辆）设备0万元，占0.00%）；家具、用具、装具及动植物96,997.00元，占总资产8.81%。</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我局无形资产合计16,659.00元，其中：计算机软件16,659.00元，占无形资产100%。</w:t>
      </w:r>
    </w:p>
    <w:p>
      <w:pPr>
        <w:spacing w:line="580" w:lineRule="exact"/>
        <w:ind w:firstLine="640" w:firstLineChars="200"/>
        <w:rPr>
          <w:rFonts w:hint="default"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我单位固定资产均在使用。不存在出租出借、对外投资等情况。</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（五）信息公开</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信息公开。我局已经按财政要求及时完成预算、决算、绩效等信息公开工作，信息公开在壤塘县政府门户网站中。</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（六）部门预算管理</w:t>
      </w:r>
    </w:p>
    <w:p>
      <w:pPr>
        <w:spacing w:line="580" w:lineRule="exact"/>
        <w:ind w:firstLine="640" w:firstLineChars="200"/>
        <w:rPr>
          <w:rFonts w:hint="eastAsia" w:ascii="仿宋_GB2312" w:hAnsi="Calibri" w:eastAsia="仿宋_GB2312" w:cs="仿宋_GB2312"/>
          <w:sz w:val="32"/>
          <w:szCs w:val="32"/>
          <w:lang w:val="zh-CN" w:eastAsia="zh-CN"/>
        </w:rPr>
      </w:pPr>
      <w:r>
        <w:rPr>
          <w:rFonts w:hint="eastAsia" w:ascii="仿宋_GB2312" w:hAnsi="Calibri" w:eastAsia="仿宋_GB2312" w:cs="仿宋_GB2312"/>
          <w:sz w:val="32"/>
          <w:szCs w:val="32"/>
          <w:lang w:val="en-US" w:eastAsia="zh-CN"/>
        </w:rPr>
        <w:t>我局严格按照预算编制的基本要求和时间节点认真编制2021部门预算及2021年部门决算。在预算编制中进一步夯实预算编制基础，及时更新相关基础数据，严格控制“三公”经费预算及支出，预算编制及决算编制做到了及时、完整、准确、合理、高效。</w:t>
      </w:r>
    </w:p>
    <w:p>
      <w:pPr>
        <w:spacing w:line="580" w:lineRule="exact"/>
        <w:ind w:firstLine="643" w:firstLineChars="200"/>
        <w:rPr>
          <w:rFonts w:hint="eastAsia" w:ascii="楷体" w:hAnsi="楷体" w:eastAsia="楷体" w:cs="楷体"/>
          <w:b/>
          <w:bCs/>
          <w:sz w:val="32"/>
          <w:szCs w:val="32"/>
          <w:lang w:val="en-US" w:eastAsia="zh-CN"/>
        </w:rPr>
      </w:pPr>
      <w:r>
        <w:rPr>
          <w:rFonts w:hint="eastAsia" w:ascii="楷体" w:hAnsi="楷体" w:eastAsia="楷体" w:cs="楷体"/>
          <w:b/>
          <w:bCs/>
          <w:sz w:val="32"/>
          <w:szCs w:val="32"/>
          <w:lang w:val="en-US" w:eastAsia="zh-CN"/>
        </w:rPr>
        <w:t>（七）专项预算管理</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2021年我局专项公用经费预算项目严格按照项目支出规定预算，预算程序严密、规划合理、结果符合、分配科学、分配及时，由于我局项目支出完全是公用经费因此严格执行预算管理。</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根据预算绩效管理要求，本部门（壤塘县审计局）在年初预算编制阶段，组织对“审计业务&lt;2021年审计工作经费及工程审计项目审计费&gt;”项目开展了预算事前绩效评估，对1个项目编制了绩效目标，预算执行过程中，选取1个项目开展绩效监控，年终执行完毕后，对1个项目开展了绩效目标完成情况自评。</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按要求对2021年部门整体支出开展绩效自评，从评价情况来看较好完成了年初预算安排（2021年完成了每个季度重大政策跟踪审计；巩固脱贫攻坚成果跟踪审计；本级预算执行及其他财政资金审计；上下联动中央直达资金审计；经济责任审计；财政专项审计；投资结算审计等项目审计。本部门还自行组织了1个项目支出绩效评价，从评价情况来看项目资金基本按照预算安排完成。因我局专项资金预算均为运转类资金，因此采用的绩效评价均为自评，以及选择一个项目开展自评。</w:t>
      </w:r>
    </w:p>
    <w:p>
      <w:pPr>
        <w:spacing w:line="580" w:lineRule="exact"/>
        <w:ind w:firstLine="643" w:firstLineChars="200"/>
        <w:rPr>
          <w:rFonts w:hint="eastAsia" w:ascii="楷体" w:hAnsi="楷体" w:eastAsia="楷体" w:cs="楷体"/>
          <w:b/>
          <w:bCs/>
          <w:sz w:val="32"/>
          <w:szCs w:val="32"/>
          <w:lang w:val="zh-CN" w:eastAsia="zh-CN"/>
        </w:rPr>
      </w:pPr>
      <w:r>
        <w:rPr>
          <w:rFonts w:hint="eastAsia" w:ascii="楷体" w:hAnsi="楷体" w:eastAsia="楷体" w:cs="楷体"/>
          <w:b/>
          <w:bCs/>
          <w:sz w:val="32"/>
          <w:szCs w:val="32"/>
          <w:lang w:val="zh-CN" w:eastAsia="zh-CN"/>
        </w:rPr>
        <w:t>（八）项目绩效目标完成情况</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本部门在2021年度部门决算中反映“审计业务”1个项目绩效目标实际完成情况。</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审计业务”项目绩效目标完成情况综述。项目全年预算数267.61万元，执行数为228.50万元，完成预算的85.39%。通过项目实施，保障了全县工程项目审计审计费以及财政审计、专项审计、经济责任审计、投资审计等审计项目的经费支出，2021年我局投资结算审计156个项目，发现的主要问题：审计中介公司不及时履行报账手续，导致审计费不能按进度支付。下一步改进措施：提高审计项目完成效率，督促审计中介公司及时履行报账程序。</w:t>
      </w:r>
    </w:p>
    <w:tbl>
      <w:tblPr>
        <w:tblStyle w:val="12"/>
        <w:tblpPr w:leftFromText="180" w:rightFromText="180" w:vertAnchor="text" w:horzAnchor="page" w:tblpXSpec="center" w:tblpY="423"/>
        <w:tblOverlap w:val="never"/>
        <w:tblW w:w="9960" w:type="dxa"/>
        <w:jc w:val="center"/>
        <w:tblLayout w:type="fixed"/>
        <w:tblCellMar>
          <w:top w:w="0" w:type="dxa"/>
          <w:left w:w="0" w:type="dxa"/>
          <w:bottom w:w="0" w:type="dxa"/>
          <w:right w:w="0" w:type="dxa"/>
        </w:tblCellMar>
      </w:tblPr>
      <w:tblGrid>
        <w:gridCol w:w="390"/>
        <w:gridCol w:w="1367"/>
        <w:gridCol w:w="1251"/>
        <w:gridCol w:w="2166"/>
        <w:gridCol w:w="2394"/>
        <w:gridCol w:w="2392"/>
      </w:tblGrid>
      <w:tr>
        <w:tblPrEx>
          <w:tblCellMar>
            <w:top w:w="0" w:type="dxa"/>
            <w:left w:w="0" w:type="dxa"/>
            <w:bottom w:w="0" w:type="dxa"/>
            <w:right w:w="0" w:type="dxa"/>
          </w:tblCellMar>
        </w:tblPrEx>
        <w:trPr>
          <w:trHeight w:val="1395" w:hRule="atLeast"/>
          <w:jc w:val="center"/>
        </w:trPr>
        <w:tc>
          <w:tcPr>
            <w:tcW w:w="9960" w:type="dxa"/>
            <w:gridSpan w:val="6"/>
            <w:tcBorders>
              <w:top w:val="nil"/>
              <w:left w:val="nil"/>
              <w:bottom w:val="nil"/>
              <w:right w:val="nil"/>
            </w:tcBorders>
            <w:tcMar>
              <w:top w:w="15" w:type="dxa"/>
              <w:left w:w="15" w:type="dxa"/>
              <w:right w:w="15" w:type="dxa"/>
            </w:tcMar>
            <w:vAlign w:val="center"/>
          </w:tcPr>
          <w:p>
            <w:pPr>
              <w:widowControl/>
              <w:jc w:val="center"/>
              <w:textAlignment w:val="center"/>
              <w:rPr>
                <w:rFonts w:hint="eastAsia" w:ascii="宋体" w:hAnsi="宋体" w:eastAsia="仿宋_GB2312" w:cs="宋体"/>
                <w:b/>
                <w:bCs/>
                <w:color w:val="000000"/>
                <w:kern w:val="0"/>
                <w:sz w:val="36"/>
                <w:szCs w:val="36"/>
                <w:lang w:eastAsia="zh-CN"/>
              </w:rPr>
            </w:pPr>
            <w:r>
              <w:rPr>
                <w:rFonts w:hint="eastAsia" w:ascii="宋体" w:hAnsi="宋体" w:cs="宋体"/>
                <w:b/>
                <w:bCs/>
                <w:color w:val="000000"/>
                <w:kern w:val="0"/>
                <w:sz w:val="36"/>
                <w:szCs w:val="36"/>
              </w:rPr>
              <w:t>项目绩效目标完成情况表</w:t>
            </w:r>
          </w:p>
          <w:p>
            <w:pPr>
              <w:widowControl/>
              <w:jc w:val="center"/>
              <w:textAlignment w:val="center"/>
              <w:rPr>
                <w:rFonts w:ascii="宋体" w:hAnsi="宋体" w:cs="宋体"/>
                <w:color w:val="000000"/>
                <w:sz w:val="36"/>
                <w:szCs w:val="36"/>
              </w:rPr>
            </w:pPr>
            <w:r>
              <w:rPr>
                <w:rFonts w:hint="eastAsia" w:ascii="宋体" w:hAnsi="宋体" w:cs="宋体"/>
                <w:color w:val="000000"/>
                <w:kern w:val="0"/>
                <w:sz w:val="36"/>
                <w:szCs w:val="36"/>
              </w:rPr>
              <w:t>(20</w:t>
            </w:r>
            <w:r>
              <w:rPr>
                <w:rFonts w:hint="eastAsia" w:ascii="宋体" w:hAnsi="宋体" w:cs="宋体"/>
                <w:color w:val="000000"/>
                <w:kern w:val="0"/>
                <w:sz w:val="36"/>
                <w:szCs w:val="36"/>
                <w:lang w:val="en-US" w:eastAsia="zh-CN"/>
              </w:rPr>
              <w:t>21</w:t>
            </w:r>
            <w:r>
              <w:rPr>
                <w:rFonts w:hint="eastAsia" w:ascii="宋体" w:hAnsi="宋体" w:cs="宋体"/>
                <w:color w:val="000000"/>
                <w:kern w:val="0"/>
                <w:sz w:val="36"/>
                <w:szCs w:val="36"/>
              </w:rPr>
              <w:t>年度)</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审计业务费</w:t>
            </w:r>
          </w:p>
        </w:tc>
      </w:tr>
      <w:tr>
        <w:tblPrEx>
          <w:tblCellMar>
            <w:top w:w="0" w:type="dxa"/>
            <w:left w:w="0" w:type="dxa"/>
            <w:bottom w:w="0" w:type="dxa"/>
            <w:right w:w="0" w:type="dxa"/>
          </w:tblCellMar>
        </w:tblPrEx>
        <w:trPr>
          <w:trHeight w:val="276" w:hRule="atLeast"/>
          <w:jc w:val="center"/>
        </w:trPr>
        <w:tc>
          <w:tcPr>
            <w:tcW w:w="3008"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6952"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228.50万元</w:t>
            </w:r>
          </w:p>
        </w:tc>
      </w:tr>
      <w:tr>
        <w:tblPrEx>
          <w:tblCellMar>
            <w:top w:w="0" w:type="dxa"/>
            <w:left w:w="0" w:type="dxa"/>
            <w:bottom w:w="0" w:type="dxa"/>
            <w:right w:w="0" w:type="dxa"/>
          </w:tblCellMar>
        </w:tblPrEx>
        <w:trPr>
          <w:trHeight w:val="276"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val="en-US" w:eastAsia="zh-CN"/>
              </w:rPr>
              <w:t>267.61万元</w:t>
            </w:r>
          </w:p>
        </w:tc>
      </w:tr>
      <w:tr>
        <w:tblPrEx>
          <w:tblCellMar>
            <w:top w:w="0" w:type="dxa"/>
            <w:left w:w="0" w:type="dxa"/>
            <w:bottom w:w="0" w:type="dxa"/>
            <w:right w:w="0" w:type="dxa"/>
          </w:tblCellMar>
        </w:tblPrEx>
        <w:trPr>
          <w:trHeight w:val="1140"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2618"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r>
      <w:tr>
        <w:tblPrEx>
          <w:tblCellMar>
            <w:top w:w="0" w:type="dxa"/>
            <w:left w:w="0" w:type="dxa"/>
            <w:bottom w:w="0" w:type="dxa"/>
            <w:right w:w="0" w:type="dxa"/>
          </w:tblCellMar>
        </w:tblPrEx>
        <w:trPr>
          <w:trHeight w:val="276" w:hRule="atLeast"/>
          <w:jc w:val="center"/>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trHeight w:val="1159" w:hRule="atLeast"/>
          <w:jc w:val="center"/>
        </w:trPr>
        <w:tc>
          <w:tcPr>
            <w:tcW w:w="390" w:type="dxa"/>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jc w:val="center"/>
              <w:rPr>
                <w:rFonts w:ascii="宋体" w:hAnsi="宋体" w:cs="宋体"/>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both"/>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rPr>
              <w:t xml:space="preserve">2021年度完成：每个季度重大政策跟踪审计；巩固脱贫攻坚成果跟踪审计；本级预算执行及其他财政资金审计；上下联动中央直达资金审计；经济责任审计；财政专项审计；投资结算审计等项目审计。以及完成了审计局日常事务、办公室党建、党风廉政建设及财务日常事务。 </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left"/>
              <w:textAlignment w:val="center"/>
              <w:rPr>
                <w:rFonts w:hint="eastAsia" w:ascii="宋体" w:hAnsi="宋体" w:eastAsia="宋体" w:cs="宋体"/>
                <w:color w:val="000000"/>
                <w:sz w:val="24"/>
                <w:lang w:val="en-US" w:eastAsia="zh-CN"/>
              </w:rPr>
            </w:pPr>
            <w:r>
              <w:rPr>
                <w:rFonts w:hint="eastAsia" w:ascii="宋体" w:hAnsi="宋体" w:cs="宋体"/>
                <w:color w:val="000000"/>
                <w:kern w:val="0"/>
                <w:sz w:val="24"/>
                <w:lang w:val="en-US" w:eastAsia="zh-CN"/>
              </w:rPr>
              <w:t xml:space="preserve">2021年度完成：每个季度重大政策跟踪审计；巩固脱贫攻坚成果跟踪审计；本级预算执行及其他财政资金审计；上下联动中央直达资金审计；经济责任审计；财政专项审计；投资结算审计等项目审计。以及完成了审计局日常事务、办公室党建、党风廉政建设及财务日常事务。 </w:t>
            </w:r>
          </w:p>
        </w:tc>
      </w:tr>
      <w:tr>
        <w:tblPrEx>
          <w:tblCellMar>
            <w:top w:w="0" w:type="dxa"/>
            <w:left w:w="0" w:type="dxa"/>
            <w:bottom w:w="0" w:type="dxa"/>
            <w:right w:w="0" w:type="dxa"/>
          </w:tblCellMar>
        </w:tblPrEx>
        <w:trPr>
          <w:trHeight w:val="1042" w:hRule="atLeast"/>
          <w:jc w:val="center"/>
        </w:trPr>
        <w:tc>
          <w:tcPr>
            <w:tcW w:w="390" w:type="dxa"/>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仿宋_GB2312" w:hAnsi="Calibri" w:eastAsia="仿宋_GB2312" w:cs="仿宋_GB2312"/>
                <w:sz w:val="24"/>
                <w:szCs w:val="24"/>
                <w:lang w:val="en-US" w:eastAsia="zh-CN"/>
              </w:rPr>
              <w:t>一级指</w:t>
            </w:r>
            <w:r>
              <w:rPr>
                <w:rFonts w:hint="eastAsia" w:ascii="宋体" w:hAnsi="宋体" w:cs="宋体"/>
                <w:color w:val="000000"/>
                <w:kern w:val="0"/>
                <w:sz w:val="24"/>
              </w:rPr>
              <w:t>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lang w:val="en-US" w:eastAsia="zh-CN"/>
              </w:rPr>
              <w:t>实际完成指标值(包含数字及文字描述)</w:t>
            </w:r>
          </w:p>
        </w:tc>
      </w:tr>
      <w:tr>
        <w:tblPrEx>
          <w:tblCellMar>
            <w:top w:w="0" w:type="dxa"/>
            <w:left w:w="0" w:type="dxa"/>
            <w:bottom w:w="0" w:type="dxa"/>
            <w:right w:w="0" w:type="dxa"/>
          </w:tblCellMar>
        </w:tblPrEx>
        <w:trPr>
          <w:trHeight w:val="953"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数量指标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hAnsi="宋体" w:cs="宋体"/>
                <w:color w:val="000000"/>
                <w:sz w:val="24"/>
                <w:lang w:eastAsia="zh-CN"/>
              </w:rPr>
              <w:t>预算执行审计</w:t>
            </w:r>
            <w:r>
              <w:rPr>
                <w:rFonts w:hint="eastAsia" w:ascii="宋体" w:hAnsi="宋体" w:cs="宋体"/>
                <w:color w:val="000000"/>
                <w:sz w:val="24"/>
                <w:lang w:val="en-US" w:eastAsia="zh-CN"/>
              </w:rPr>
              <w:t>2个项目；经济责任审计1个；自然资源审计1个；项目结算审计50项目。</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kern w:val="0"/>
                <w:sz w:val="24"/>
                <w:lang w:val="en-US" w:eastAsia="zh-CN"/>
              </w:rPr>
              <w:t>完成了预算执行审计2个；重大政策跟踪审计4个；经济责任审1个；寺庙审计4个；自然资源审计1个；专项审计2个；项目结算审计156项目等。</w:t>
            </w:r>
          </w:p>
        </w:tc>
      </w:tr>
      <w:tr>
        <w:tblPrEx>
          <w:tblCellMar>
            <w:top w:w="0" w:type="dxa"/>
            <w:left w:w="0" w:type="dxa"/>
            <w:bottom w:w="0" w:type="dxa"/>
            <w:right w:w="0" w:type="dxa"/>
          </w:tblCellMar>
        </w:tblPrEx>
        <w:trPr>
          <w:trHeight w:val="2395"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社会效益指标</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审计项目</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审计发现的问题、处理处罚情况、审计建议</w:t>
            </w:r>
            <w:r>
              <w:rPr>
                <w:rFonts w:hint="eastAsia" w:ascii="宋体" w:cs="宋体"/>
                <w:sz w:val="24"/>
                <w:szCs w:val="24"/>
                <w:lang w:eastAsia="zh-CN"/>
              </w:rPr>
              <w:t>；结算项目审计的审减金额。</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cs="宋体"/>
                <w:sz w:val="24"/>
                <w:szCs w:val="24"/>
              </w:rPr>
              <w:t>根据审计发现问题，并出具审计报告及审计决定，提出处理处罚及审计建议</w:t>
            </w:r>
            <w:r>
              <w:rPr>
                <w:rFonts w:hint="eastAsia" w:ascii="宋体" w:cs="宋体"/>
                <w:sz w:val="24"/>
                <w:szCs w:val="24"/>
                <w:lang w:eastAsia="zh-CN"/>
              </w:rPr>
              <w:t>；结算项目审减金额为我县财政节约资金。</w:t>
            </w:r>
          </w:p>
        </w:tc>
      </w:tr>
      <w:tr>
        <w:tblPrEx>
          <w:tblCellMar>
            <w:top w:w="0" w:type="dxa"/>
            <w:left w:w="0" w:type="dxa"/>
            <w:bottom w:w="0" w:type="dxa"/>
            <w:right w:w="0" w:type="dxa"/>
          </w:tblCellMar>
        </w:tblPrEx>
        <w:trPr>
          <w:trHeight w:val="797"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时效性</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审计时间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当年</w:t>
            </w:r>
            <w:r>
              <w:rPr>
                <w:rFonts w:ascii="宋体" w:cs="宋体"/>
                <w:sz w:val="24"/>
                <w:szCs w:val="24"/>
              </w:rPr>
              <w:t>12</w:t>
            </w:r>
            <w:r>
              <w:rPr>
                <w:rFonts w:hint="eastAsia" w:ascii="宋体" w:cs="宋体"/>
                <w:sz w:val="24"/>
                <w:szCs w:val="24"/>
              </w:rPr>
              <w:t>月底前</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ascii="宋体" w:cs="宋体"/>
                <w:sz w:val="24"/>
                <w:szCs w:val="24"/>
              </w:rPr>
              <w:t>12</w:t>
            </w:r>
            <w:r>
              <w:rPr>
                <w:rFonts w:hint="eastAsia" w:ascii="宋体" w:cs="宋体"/>
                <w:sz w:val="24"/>
                <w:szCs w:val="24"/>
              </w:rPr>
              <w:t>月底前完成</w:t>
            </w:r>
          </w:p>
        </w:tc>
      </w:tr>
      <w:tr>
        <w:tblPrEx>
          <w:tblCellMar>
            <w:top w:w="0" w:type="dxa"/>
            <w:left w:w="0" w:type="dxa"/>
            <w:bottom w:w="0" w:type="dxa"/>
            <w:right w:w="0" w:type="dxa"/>
          </w:tblCellMar>
        </w:tblPrEx>
        <w:trPr>
          <w:trHeight w:val="792" w:hRule="atLeast"/>
          <w:jc w:val="center"/>
        </w:trPr>
        <w:tc>
          <w:tcPr>
            <w:tcW w:w="390" w:type="dxa"/>
            <w:vMerge w:val="continue"/>
            <w:tcBorders>
              <w:left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kern w:val="0"/>
                <w:sz w:val="24"/>
              </w:rPr>
            </w:pPr>
            <w:r>
              <w:rPr>
                <w:rFonts w:hint="eastAsia" w:ascii="宋体" w:hAnsi="宋体" w:cs="宋体"/>
                <w:color w:val="000000"/>
                <w:kern w:val="0"/>
                <w:sz w:val="24"/>
              </w:rPr>
              <w:t>满意度指标</w:t>
            </w:r>
          </w:p>
        </w:tc>
        <w:tc>
          <w:tcPr>
            <w:tcW w:w="1251"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满意度</w:t>
            </w:r>
          </w:p>
        </w:tc>
        <w:tc>
          <w:tcPr>
            <w:tcW w:w="2166"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eastAsia="zh-CN"/>
              </w:rPr>
            </w:pPr>
            <w:r>
              <w:rPr>
                <w:rFonts w:hint="eastAsia" w:ascii="宋体" w:hAnsi="宋体" w:cs="宋体"/>
                <w:color w:val="000000"/>
                <w:sz w:val="24"/>
                <w:lang w:eastAsia="zh-CN"/>
              </w:rPr>
              <w:t>组织工作满意度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hint="eastAsia" w:ascii="宋体" w:hAnsi="宋体" w:eastAsia="宋体" w:cs="宋体"/>
                <w:color w:val="000000"/>
                <w:sz w:val="24"/>
                <w:lang w:val="en-US" w:eastAsia="zh-CN"/>
              </w:rPr>
            </w:pPr>
            <w:r>
              <w:rPr>
                <w:rFonts w:hint="eastAsia" w:ascii="宋体" w:cs="宋体"/>
                <w:sz w:val="24"/>
                <w:szCs w:val="24"/>
              </w:rPr>
              <w:t>〉</w:t>
            </w:r>
            <w:r>
              <w:rPr>
                <w:rFonts w:hint="eastAsia" w:ascii="宋体" w:cs="宋体"/>
                <w:sz w:val="24"/>
                <w:szCs w:val="24"/>
                <w:lang w:val="en-US" w:eastAsia="zh-CN"/>
              </w:rPr>
              <w:t>80</w:t>
            </w:r>
            <w:r>
              <w:rPr>
                <w:rFonts w:ascii="宋体" w:cs="宋体"/>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widowControl/>
              <w:jc w:val="center"/>
              <w:textAlignment w:val="center"/>
              <w:rPr>
                <w:rFonts w:ascii="宋体" w:hAnsi="宋体" w:cs="宋体"/>
                <w:color w:val="000000"/>
                <w:sz w:val="24"/>
              </w:rPr>
            </w:pPr>
            <w:r>
              <w:rPr>
                <w:rFonts w:hint="eastAsia" w:ascii="宋体" w:cs="宋体"/>
                <w:sz w:val="24"/>
                <w:szCs w:val="24"/>
              </w:rPr>
              <w:t>〉</w:t>
            </w:r>
            <w:r>
              <w:rPr>
                <w:rFonts w:hint="eastAsia" w:ascii="宋体" w:cs="宋体"/>
                <w:sz w:val="24"/>
                <w:szCs w:val="24"/>
                <w:lang w:val="en-US" w:eastAsia="zh-CN"/>
              </w:rPr>
              <w:t>80</w:t>
            </w:r>
            <w:r>
              <w:rPr>
                <w:rFonts w:ascii="宋体" w:cs="宋体"/>
                <w:sz w:val="24"/>
                <w:szCs w:val="24"/>
              </w:rPr>
              <w:t>%</w:t>
            </w:r>
          </w:p>
        </w:tc>
      </w:tr>
    </w:tbl>
    <w:p>
      <w:pPr>
        <w:pStyle w:val="2"/>
        <w:rPr>
          <w:rFonts w:hint="eastAsia"/>
          <w:lang w:val="en-US" w:eastAsia="zh-CN"/>
        </w:rPr>
      </w:pP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eastAsia="zh-CN"/>
        </w:rPr>
        <w:t>九</w:t>
      </w:r>
      <w:r>
        <w:rPr>
          <w:rFonts w:hint="eastAsia" w:ascii="楷体" w:hAnsi="楷体" w:eastAsia="楷体" w:cs="楷体"/>
          <w:b/>
          <w:bCs/>
          <w:sz w:val="32"/>
          <w:szCs w:val="32"/>
        </w:rPr>
        <w:t>）执行管理情况</w:t>
      </w:r>
    </w:p>
    <w:p>
      <w:pPr>
        <w:adjustRightInd w:val="0"/>
        <w:snapToGrid w:val="0"/>
        <w:spacing w:line="600" w:lineRule="exact"/>
        <w:ind w:firstLine="640" w:firstLineChars="200"/>
        <w:rPr>
          <w:rFonts w:hint="eastAsia" w:ascii="仿宋_GB2312" w:hAnsi="宋体" w:eastAsia="仿宋_GB2312" w:cs="Times New Roman"/>
          <w:sz w:val="32"/>
          <w:szCs w:val="32"/>
          <w:lang w:val="en-US" w:eastAsia="zh-CN"/>
        </w:rPr>
      </w:pPr>
      <w:r>
        <w:rPr>
          <w:rFonts w:hint="eastAsia" w:ascii="仿宋_GB2312" w:hAnsi="宋体" w:eastAsia="仿宋_GB2312" w:cs="Times New Roman"/>
          <w:sz w:val="32"/>
          <w:szCs w:val="32"/>
          <w:lang w:val="en-US" w:eastAsia="zh-CN"/>
        </w:rPr>
        <w:t>我局严格按照《预算法》及其相关规定、严格执行预算管理。全年预算按照计划执行，在保障单位的正常运行基础上合理使用预算经费，贯彻落实中央八项规定、省委十项规定及其实施细则和州委州政府八条意见，严控“三公”经费，厉行节约，合理安排经费支出。</w:t>
      </w:r>
    </w:p>
    <w:p>
      <w:pPr>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w:t>
      </w:r>
      <w:r>
        <w:rPr>
          <w:rFonts w:hint="eastAsia" w:ascii="楷体" w:hAnsi="楷体" w:eastAsia="楷体" w:cs="楷体"/>
          <w:b/>
          <w:bCs/>
          <w:sz w:val="32"/>
          <w:szCs w:val="32"/>
          <w:lang w:eastAsia="zh-CN"/>
        </w:rPr>
        <w:t>十</w:t>
      </w:r>
      <w:r>
        <w:rPr>
          <w:rFonts w:hint="eastAsia" w:ascii="楷体" w:hAnsi="楷体" w:eastAsia="楷体" w:cs="楷体"/>
          <w:b/>
          <w:bCs/>
          <w:sz w:val="32"/>
          <w:szCs w:val="32"/>
        </w:rPr>
        <w:t>）结果应用情况</w:t>
      </w:r>
    </w:p>
    <w:p>
      <w:pPr>
        <w:adjustRightInd w:val="0"/>
        <w:snapToGrid w:val="0"/>
        <w:spacing w:line="600" w:lineRule="exact"/>
        <w:ind w:firstLine="640" w:firstLineChars="200"/>
        <w:rPr>
          <w:rFonts w:hint="eastAsia" w:ascii="仿宋_GB2312" w:hAnsi="宋体" w:eastAsia="仿宋_GB2312" w:cs="Times New Roman"/>
          <w:sz w:val="32"/>
          <w:szCs w:val="32"/>
          <w:lang w:val="zh-CN" w:eastAsia="zh-CN"/>
        </w:rPr>
      </w:pPr>
      <w:r>
        <w:rPr>
          <w:rFonts w:hint="eastAsia" w:ascii="仿宋_GB2312" w:hAnsi="宋体" w:eastAsia="仿宋_GB2312" w:cs="Times New Roman"/>
          <w:sz w:val="32"/>
          <w:szCs w:val="32"/>
          <w:lang w:val="en-US" w:eastAsia="zh-CN"/>
        </w:rPr>
        <w:t>我局在县委、县政府和州审计局的坚强领导下，坚持以习近平新时代中国特色社会主义思想武装头脑、指导实践、推动工作，牢固树立依法审计理念、科学审计、大数据审计、创新审计、精准发力，在科学谋划、依法履职、队伍建设等方面持续发力，克服人少事多的诸多问题，将各项工作合理安排、稳步推进、成效明显。</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（一）评价结论</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加强预算管理，不断完善内部控制制度，预算执行达到预期效果，保障了本单位的正常运转，降低了行政运行成本，促进了社会和谐稳定，充分发挥了财政资金的经济效益、社会效益。并认真完成了2021年部门决算工作及2021年部门预算工作。严格按照财政制度、财经纪律，合理安排和使用预算经费，提升财政资金使用效率。</w:t>
      </w:r>
    </w:p>
    <w:p>
      <w:pPr>
        <w:spacing w:line="580" w:lineRule="exact"/>
        <w:ind w:firstLine="643" w:firstLineChars="200"/>
        <w:rPr>
          <w:rFonts w:ascii="楷体" w:hAnsi="楷体" w:eastAsia="楷体"/>
          <w:b/>
          <w:bCs/>
          <w:sz w:val="32"/>
          <w:szCs w:val="32"/>
        </w:rPr>
      </w:pPr>
      <w:r>
        <w:rPr>
          <w:rFonts w:hint="eastAsia" w:ascii="楷体" w:hAnsi="楷体" w:eastAsia="楷体" w:cs="楷体"/>
          <w:b/>
          <w:bCs/>
          <w:sz w:val="32"/>
          <w:szCs w:val="32"/>
        </w:rPr>
        <w:t>（二）存在问题</w:t>
      </w:r>
    </w:p>
    <w:p>
      <w:pPr>
        <w:spacing w:line="580" w:lineRule="exact"/>
        <w:ind w:firstLine="640" w:firstLineChars="200"/>
        <w:rPr>
          <w:rFonts w:hint="eastAsia" w:ascii="仿宋_GB2312" w:hAnsi="Calibri" w:eastAsia="仿宋_GB2312" w:cs="仿宋_GB2312"/>
          <w:sz w:val="32"/>
          <w:szCs w:val="32"/>
          <w:lang w:val="en-US" w:eastAsia="zh-CN"/>
        </w:rPr>
      </w:pPr>
      <w:r>
        <w:rPr>
          <w:rFonts w:hint="eastAsia" w:ascii="仿宋_GB2312" w:hAnsi="Calibri" w:eastAsia="仿宋_GB2312" w:cs="仿宋_GB2312"/>
          <w:sz w:val="32"/>
          <w:szCs w:val="32"/>
          <w:lang w:val="en-US" w:eastAsia="zh-CN"/>
        </w:rPr>
        <w:t>我局在编制部门预算时，严格根据本单位职能职责和年度工作计划进行编制。整体预算绩效管理存在以下两个问题：一是因本部门整体支出预算资金的安排及使用上有不可预见性；二是单位对部门支出整体绩效评价指标无法量化，因此我局整体绩效评价的指标比较粗。</w:t>
      </w:r>
    </w:p>
    <w:p>
      <w:pPr>
        <w:spacing w:line="580"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（三）改进建议</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一是重视绩效管理，切实履行好职责。</w:t>
      </w:r>
      <w:r>
        <w:rPr>
          <w:rFonts w:hint="eastAsia" w:ascii="仿宋_GB2312" w:hAnsi="Calibri" w:eastAsia="仿宋_GB2312" w:cs="仿宋_GB2312"/>
          <w:sz w:val="32"/>
          <w:szCs w:val="32"/>
          <w:lang w:val="en-US" w:eastAsia="zh-CN"/>
        </w:rPr>
        <w:t>努力提升工作绩效，围绕审计项目计划安排，合理使用财政资金，让审计监督职责发挥作用。</w:t>
      </w:r>
    </w:p>
    <w:p>
      <w:pPr>
        <w:spacing w:line="560" w:lineRule="exact"/>
        <w:ind w:firstLine="643" w:firstLineChars="200"/>
        <w:rPr>
          <w:rFonts w:hint="eastAsia" w:ascii="仿宋_GB2312" w:hAnsi="Calibri" w:eastAsia="仿宋_GB2312" w:cs="仿宋_GB2312"/>
          <w:sz w:val="32"/>
          <w:szCs w:val="32"/>
          <w:lang w:val="en-US" w:eastAsia="zh-CN"/>
        </w:rPr>
      </w:pPr>
      <w:r>
        <w:rPr>
          <w:rFonts w:hint="eastAsia" w:ascii="仿宋_GB2312" w:hAnsi="仿宋_GB2312" w:eastAsia="仿宋_GB2312" w:cs="仿宋_GB2312"/>
          <w:b/>
          <w:bCs/>
          <w:sz w:val="32"/>
          <w:szCs w:val="32"/>
        </w:rPr>
        <w:t>二是建立长效机制。</w:t>
      </w:r>
      <w:r>
        <w:rPr>
          <w:rFonts w:hint="eastAsia" w:ascii="仿宋_GB2312" w:hAnsi="Calibri" w:eastAsia="仿宋_GB2312" w:cs="仿宋_GB2312"/>
          <w:sz w:val="32"/>
          <w:szCs w:val="32"/>
          <w:lang w:val="en-US" w:eastAsia="zh-CN"/>
        </w:rPr>
        <w:t>把绩效评价作为部门内控的日常工作，建立绩效评价管理工作考核长效机制。科学设定绩效目标，加强预算执行管理。</w:t>
      </w:r>
    </w:p>
    <w:p>
      <w:pPr>
        <w:widowControl/>
        <w:adjustRightInd w:val="0"/>
        <w:snapToGrid w:val="0"/>
        <w:spacing w:line="560" w:lineRule="exact"/>
        <w:ind w:firstLine="420" w:firstLineChars="200"/>
        <w:contextualSpacing/>
        <w:jc w:val="left"/>
        <w:rPr>
          <w:rFonts w:ascii="仿宋_GB2312" w:hAnsi="宋体" w:cs="宋体"/>
          <w:color w:val="000000"/>
          <w:kern w:val="0"/>
          <w:szCs w:val="32"/>
          <w:shd w:val="clear" w:color="auto" w:fill="FFFFFF"/>
          <w:lang w:val="zh-CN"/>
        </w:rPr>
      </w:pPr>
    </w:p>
    <w:p>
      <w:pPr>
        <w:pStyle w:val="2"/>
        <w:rPr>
          <w:rFonts w:ascii="仿宋_GB2312" w:hAnsi="宋体" w:cs="宋体"/>
          <w:color w:val="000000"/>
          <w:kern w:val="0"/>
          <w:szCs w:val="32"/>
          <w:shd w:val="clear" w:color="auto" w:fill="FFFFFF"/>
          <w:lang w:val="zh-CN"/>
        </w:rPr>
      </w:pPr>
    </w:p>
    <w:p>
      <w:pPr>
        <w:widowControl/>
        <w:jc w:val="left"/>
        <w:rPr>
          <w:rStyle w:val="15"/>
          <w:rFonts w:ascii="黑体" w:hAnsi="黑体" w:eastAsia="黑体"/>
          <w:b w:val="0"/>
        </w:rPr>
      </w:pPr>
      <w:r>
        <w:rPr>
          <w:rStyle w:val="15"/>
          <w:rFonts w:ascii="黑体" w:hAnsi="黑体" w:eastAsia="黑体"/>
          <w:b w:val="0"/>
        </w:rPr>
        <w:br w:type="page"/>
      </w:r>
    </w:p>
    <w:p>
      <w:pPr>
        <w:spacing w:line="600" w:lineRule="exact"/>
        <w:jc w:val="center"/>
        <w:outlineLvl w:val="0"/>
        <w:rPr>
          <w:rStyle w:val="15"/>
          <w:rFonts w:ascii="黑体" w:hAnsi="黑体" w:eastAsia="黑体"/>
          <w:b w:val="0"/>
        </w:rPr>
      </w:pPr>
      <w:bookmarkStart w:id="121" w:name="_Toc79163635"/>
      <w:bookmarkStart w:id="122" w:name="_Toc15396618"/>
      <w:bookmarkStart w:id="123" w:name="_Toc31185"/>
      <w:r>
        <w:rPr>
          <w:rFonts w:hint="eastAsia" w:ascii="黑体" w:hAnsi="黑体" w:eastAsia="黑体"/>
          <w:color w:val="000000"/>
          <w:sz w:val="44"/>
          <w:szCs w:val="44"/>
        </w:rPr>
        <w:t>第</w:t>
      </w:r>
      <w:r>
        <w:rPr>
          <w:rStyle w:val="15"/>
          <w:rFonts w:hint="eastAsia" w:ascii="黑体" w:hAnsi="黑体" w:eastAsia="黑体"/>
          <w:b w:val="0"/>
        </w:rPr>
        <w:t>五部分</w:t>
      </w:r>
      <w:r>
        <w:rPr>
          <w:rStyle w:val="15"/>
          <w:rFonts w:ascii="黑体" w:hAnsi="黑体" w:eastAsia="黑体"/>
          <w:b w:val="0"/>
        </w:rPr>
        <w:t xml:space="preserve"> </w:t>
      </w:r>
      <w:r>
        <w:rPr>
          <w:rStyle w:val="15"/>
          <w:rFonts w:hint="eastAsia" w:ascii="黑体" w:hAnsi="黑体" w:eastAsia="黑体"/>
          <w:b w:val="0"/>
        </w:rPr>
        <w:t>附表</w:t>
      </w:r>
      <w:bookmarkEnd w:id="115"/>
      <w:bookmarkEnd w:id="121"/>
      <w:bookmarkEnd w:id="122"/>
      <w:bookmarkEnd w:id="123"/>
    </w:p>
    <w:p>
      <w:pPr>
        <w:pStyle w:val="4"/>
        <w:rPr>
          <w:rFonts w:ascii="仿宋" w:hAnsi="仿宋" w:eastAsia="仿宋"/>
          <w:color w:val="000000"/>
        </w:rPr>
      </w:pPr>
      <w:bookmarkStart w:id="124" w:name="_Toc79163636"/>
      <w:bookmarkStart w:id="125" w:name="_Toc15396619"/>
      <w:bookmarkStart w:id="126" w:name="_Toc15825"/>
      <w:r>
        <w:rPr>
          <w:rFonts w:hint="eastAsia" w:ascii="仿宋" w:hAnsi="仿宋" w:eastAsia="仿宋"/>
          <w:b w:val="0"/>
          <w:color w:val="000000"/>
        </w:rPr>
        <w:t>一、收</w:t>
      </w:r>
      <w:r>
        <w:rPr>
          <w:rStyle w:val="16"/>
          <w:rFonts w:hint="eastAsia" w:ascii="仿宋" w:hAnsi="仿宋" w:eastAsia="仿宋"/>
          <w:b w:val="0"/>
          <w:bCs w:val="0"/>
        </w:rPr>
        <w:t>入支出决算总表</w:t>
      </w:r>
      <w:bookmarkEnd w:id="124"/>
      <w:bookmarkEnd w:id="125"/>
      <w:bookmarkEnd w:id="126"/>
    </w:p>
    <w:p>
      <w:pPr>
        <w:pStyle w:val="4"/>
        <w:rPr>
          <w:rFonts w:ascii="仿宋" w:hAnsi="仿宋" w:eastAsia="仿宋"/>
          <w:color w:val="000000"/>
        </w:rPr>
      </w:pPr>
      <w:bookmarkStart w:id="127" w:name="_Toc79163637"/>
      <w:bookmarkStart w:id="128" w:name="_Toc15396620"/>
      <w:bookmarkStart w:id="129" w:name="_Toc30872"/>
      <w:r>
        <w:rPr>
          <w:rFonts w:hint="eastAsia" w:ascii="仿宋" w:hAnsi="仿宋" w:eastAsia="仿宋"/>
          <w:b w:val="0"/>
          <w:color w:val="000000"/>
        </w:rPr>
        <w:t>二、收</w:t>
      </w:r>
      <w:r>
        <w:rPr>
          <w:rStyle w:val="16"/>
          <w:rFonts w:hint="eastAsia" w:ascii="仿宋" w:hAnsi="仿宋" w:eastAsia="仿宋"/>
          <w:b w:val="0"/>
          <w:bCs w:val="0"/>
        </w:rPr>
        <w:t>入决算表</w:t>
      </w:r>
      <w:bookmarkEnd w:id="127"/>
      <w:bookmarkEnd w:id="128"/>
      <w:bookmarkEnd w:id="129"/>
    </w:p>
    <w:p>
      <w:pPr>
        <w:pStyle w:val="4"/>
        <w:rPr>
          <w:rFonts w:ascii="仿宋" w:hAnsi="仿宋" w:eastAsia="仿宋"/>
          <w:color w:val="000000"/>
        </w:rPr>
      </w:pPr>
      <w:bookmarkStart w:id="130" w:name="_Toc79163638"/>
      <w:bookmarkStart w:id="131" w:name="_Toc15396621"/>
      <w:bookmarkStart w:id="132" w:name="_Toc2777"/>
      <w:r>
        <w:rPr>
          <w:rStyle w:val="16"/>
          <w:rFonts w:hint="eastAsia" w:ascii="仿宋" w:hAnsi="仿宋" w:eastAsia="仿宋"/>
          <w:b w:val="0"/>
          <w:bCs w:val="0"/>
        </w:rPr>
        <w:t>三、</w:t>
      </w:r>
      <w:r>
        <w:rPr>
          <w:rFonts w:hint="eastAsia" w:ascii="仿宋" w:hAnsi="仿宋" w:eastAsia="仿宋"/>
          <w:b w:val="0"/>
          <w:color w:val="000000"/>
        </w:rPr>
        <w:t>支</w:t>
      </w:r>
      <w:r>
        <w:rPr>
          <w:rStyle w:val="16"/>
          <w:rFonts w:hint="eastAsia" w:ascii="仿宋" w:hAnsi="仿宋" w:eastAsia="仿宋"/>
          <w:b w:val="0"/>
          <w:bCs w:val="0"/>
        </w:rPr>
        <w:t>出决算表</w:t>
      </w:r>
      <w:bookmarkEnd w:id="130"/>
      <w:bookmarkEnd w:id="131"/>
      <w:bookmarkEnd w:id="132"/>
    </w:p>
    <w:p>
      <w:pPr>
        <w:pStyle w:val="4"/>
        <w:rPr>
          <w:rFonts w:ascii="仿宋" w:hAnsi="仿宋" w:eastAsia="仿宋"/>
          <w:b w:val="0"/>
          <w:color w:val="000000"/>
        </w:rPr>
      </w:pPr>
      <w:bookmarkStart w:id="133" w:name="_Toc79163639"/>
      <w:bookmarkStart w:id="134" w:name="_Toc15396622"/>
      <w:bookmarkStart w:id="135" w:name="_Toc18311"/>
      <w:r>
        <w:rPr>
          <w:rStyle w:val="16"/>
          <w:rFonts w:hint="eastAsia" w:ascii="仿宋" w:hAnsi="仿宋" w:eastAsia="仿宋"/>
          <w:b w:val="0"/>
          <w:bCs w:val="0"/>
        </w:rPr>
        <w:t>四、</w:t>
      </w:r>
      <w:r>
        <w:rPr>
          <w:rFonts w:hint="eastAsia" w:ascii="仿宋" w:hAnsi="仿宋" w:eastAsia="仿宋"/>
          <w:b w:val="0"/>
          <w:color w:val="000000"/>
        </w:rPr>
        <w:t>财</w:t>
      </w:r>
      <w:r>
        <w:rPr>
          <w:rStyle w:val="16"/>
          <w:rFonts w:hint="eastAsia" w:ascii="仿宋" w:hAnsi="仿宋" w:eastAsia="仿宋"/>
          <w:b w:val="0"/>
          <w:bCs w:val="0"/>
        </w:rPr>
        <w:t>政拨款收入支出决算总表</w:t>
      </w:r>
      <w:bookmarkEnd w:id="133"/>
      <w:bookmarkEnd w:id="134"/>
      <w:bookmarkEnd w:id="135"/>
    </w:p>
    <w:p>
      <w:pPr>
        <w:pStyle w:val="4"/>
        <w:rPr>
          <w:rStyle w:val="16"/>
          <w:rFonts w:ascii="仿宋" w:hAnsi="仿宋" w:eastAsia="仿宋"/>
          <w:b w:val="0"/>
          <w:bCs w:val="0"/>
        </w:rPr>
      </w:pPr>
      <w:bookmarkStart w:id="136" w:name="_Toc15396623"/>
      <w:bookmarkStart w:id="137" w:name="_Toc79163640"/>
      <w:bookmarkStart w:id="138" w:name="_Toc17819"/>
      <w:r>
        <w:rPr>
          <w:rStyle w:val="16"/>
          <w:rFonts w:hint="eastAsia" w:ascii="仿宋" w:hAnsi="仿宋" w:eastAsia="仿宋"/>
          <w:b w:val="0"/>
          <w:bCs w:val="0"/>
        </w:rPr>
        <w:t>五、</w:t>
      </w:r>
      <w:r>
        <w:rPr>
          <w:rFonts w:hint="eastAsia" w:ascii="仿宋" w:hAnsi="仿宋" w:eastAsia="仿宋"/>
          <w:b w:val="0"/>
          <w:color w:val="000000"/>
        </w:rPr>
        <w:t>财</w:t>
      </w:r>
      <w:r>
        <w:rPr>
          <w:rStyle w:val="16"/>
          <w:rFonts w:hint="eastAsia" w:ascii="仿宋" w:hAnsi="仿宋" w:eastAsia="仿宋"/>
          <w:b w:val="0"/>
          <w:bCs w:val="0"/>
        </w:rPr>
        <w:t>政拨款支出决算明细表</w:t>
      </w:r>
      <w:bookmarkEnd w:id="136"/>
      <w:bookmarkEnd w:id="137"/>
      <w:bookmarkEnd w:id="138"/>
      <w:bookmarkStart w:id="139" w:name="_Toc15396624"/>
    </w:p>
    <w:p>
      <w:pPr>
        <w:pStyle w:val="4"/>
        <w:rPr>
          <w:rFonts w:ascii="仿宋" w:hAnsi="仿宋" w:eastAsia="仿宋"/>
          <w:color w:val="000000"/>
        </w:rPr>
      </w:pPr>
      <w:bookmarkStart w:id="140" w:name="_Toc79163641"/>
      <w:bookmarkStart w:id="141" w:name="_Toc17334"/>
      <w:r>
        <w:rPr>
          <w:rStyle w:val="16"/>
          <w:rFonts w:hint="eastAsia" w:ascii="仿宋" w:hAnsi="仿宋" w:eastAsia="仿宋"/>
          <w:b w:val="0"/>
          <w:bCs w:val="0"/>
        </w:rPr>
        <w:t>六、</w:t>
      </w:r>
      <w:r>
        <w:rPr>
          <w:rFonts w:hint="eastAsia" w:ascii="仿宋" w:hAnsi="仿宋" w:eastAsia="仿宋"/>
          <w:b w:val="0"/>
          <w:color w:val="000000"/>
        </w:rPr>
        <w:t>一</w:t>
      </w:r>
      <w:r>
        <w:rPr>
          <w:rStyle w:val="16"/>
          <w:rFonts w:hint="eastAsia" w:ascii="仿宋" w:hAnsi="仿宋" w:eastAsia="仿宋"/>
          <w:b w:val="0"/>
          <w:bCs w:val="0"/>
        </w:rPr>
        <w:t>般公共预算财政拨款支出决算表</w:t>
      </w:r>
      <w:bookmarkEnd w:id="139"/>
      <w:bookmarkEnd w:id="140"/>
      <w:bookmarkEnd w:id="141"/>
    </w:p>
    <w:p>
      <w:pPr>
        <w:pStyle w:val="4"/>
        <w:rPr>
          <w:rFonts w:ascii="仿宋" w:hAnsi="仿宋" w:eastAsia="仿宋"/>
          <w:color w:val="000000"/>
        </w:rPr>
      </w:pPr>
      <w:bookmarkStart w:id="142" w:name="_Toc79163642"/>
      <w:bookmarkStart w:id="143" w:name="_Toc15396625"/>
      <w:bookmarkStart w:id="144" w:name="_Toc25167"/>
      <w:r>
        <w:rPr>
          <w:rStyle w:val="16"/>
          <w:rFonts w:hint="eastAsia" w:ascii="仿宋" w:hAnsi="仿宋" w:eastAsia="仿宋"/>
          <w:b w:val="0"/>
          <w:bCs w:val="0"/>
        </w:rPr>
        <w:t>七、</w:t>
      </w:r>
      <w:r>
        <w:rPr>
          <w:rFonts w:hint="eastAsia" w:ascii="仿宋" w:hAnsi="仿宋" w:eastAsia="仿宋"/>
          <w:b w:val="0"/>
          <w:color w:val="000000"/>
        </w:rPr>
        <w:t>一</w:t>
      </w:r>
      <w:r>
        <w:rPr>
          <w:rStyle w:val="16"/>
          <w:rFonts w:hint="eastAsia" w:ascii="仿宋" w:hAnsi="仿宋" w:eastAsia="仿宋"/>
          <w:b w:val="0"/>
          <w:bCs w:val="0"/>
        </w:rPr>
        <w:t>般公共预算财政拨款支出决算明细表</w:t>
      </w:r>
      <w:bookmarkEnd w:id="142"/>
      <w:bookmarkEnd w:id="143"/>
      <w:bookmarkEnd w:id="144"/>
    </w:p>
    <w:p>
      <w:pPr>
        <w:pStyle w:val="4"/>
        <w:rPr>
          <w:rFonts w:ascii="仿宋" w:hAnsi="仿宋" w:eastAsia="仿宋"/>
          <w:color w:val="000000"/>
        </w:rPr>
      </w:pPr>
      <w:bookmarkStart w:id="145" w:name="_Toc15396626"/>
      <w:bookmarkStart w:id="146" w:name="_Toc79163643"/>
      <w:bookmarkStart w:id="147" w:name="_Toc30202"/>
      <w:r>
        <w:rPr>
          <w:rStyle w:val="16"/>
          <w:rFonts w:hint="eastAsia" w:ascii="仿宋" w:hAnsi="仿宋" w:eastAsia="仿宋"/>
          <w:b w:val="0"/>
          <w:bCs w:val="0"/>
        </w:rPr>
        <w:t>八、</w:t>
      </w:r>
      <w:r>
        <w:rPr>
          <w:rFonts w:hint="eastAsia" w:ascii="仿宋" w:hAnsi="仿宋" w:eastAsia="仿宋"/>
          <w:b w:val="0"/>
          <w:color w:val="000000"/>
        </w:rPr>
        <w:t>一</w:t>
      </w:r>
      <w:r>
        <w:rPr>
          <w:rStyle w:val="16"/>
          <w:rFonts w:hint="eastAsia" w:ascii="仿宋" w:hAnsi="仿宋" w:eastAsia="仿宋"/>
          <w:b w:val="0"/>
          <w:bCs w:val="0"/>
        </w:rPr>
        <w:t>般公共预算财政拨款基本支出决算表</w:t>
      </w:r>
      <w:bookmarkEnd w:id="145"/>
      <w:bookmarkEnd w:id="146"/>
      <w:bookmarkEnd w:id="147"/>
    </w:p>
    <w:p>
      <w:pPr>
        <w:pStyle w:val="4"/>
        <w:rPr>
          <w:rFonts w:ascii="仿宋" w:hAnsi="仿宋" w:eastAsia="仿宋"/>
          <w:color w:val="000000"/>
        </w:rPr>
      </w:pPr>
      <w:bookmarkStart w:id="148" w:name="_Toc15396627"/>
      <w:bookmarkStart w:id="149" w:name="_Toc79163644"/>
      <w:bookmarkStart w:id="150" w:name="_Toc32263"/>
      <w:r>
        <w:rPr>
          <w:rStyle w:val="16"/>
          <w:rFonts w:hint="eastAsia" w:ascii="仿宋" w:hAnsi="仿宋" w:eastAsia="仿宋"/>
          <w:b w:val="0"/>
          <w:bCs w:val="0"/>
        </w:rPr>
        <w:t>九、</w:t>
      </w:r>
      <w:r>
        <w:rPr>
          <w:rFonts w:hint="eastAsia" w:ascii="仿宋" w:hAnsi="仿宋" w:eastAsia="仿宋"/>
          <w:b w:val="0"/>
          <w:color w:val="000000"/>
        </w:rPr>
        <w:t>一</w:t>
      </w:r>
      <w:r>
        <w:rPr>
          <w:rStyle w:val="16"/>
          <w:rFonts w:hint="eastAsia" w:ascii="仿宋" w:hAnsi="仿宋" w:eastAsia="仿宋"/>
          <w:b w:val="0"/>
          <w:bCs w:val="0"/>
        </w:rPr>
        <w:t>般公共预算财政拨款项目支出决算表</w:t>
      </w:r>
      <w:bookmarkEnd w:id="148"/>
      <w:bookmarkEnd w:id="149"/>
      <w:bookmarkEnd w:id="150"/>
    </w:p>
    <w:p>
      <w:pPr>
        <w:pStyle w:val="4"/>
        <w:rPr>
          <w:rFonts w:ascii="仿宋" w:hAnsi="仿宋" w:eastAsia="仿宋"/>
          <w:color w:val="000000"/>
        </w:rPr>
      </w:pPr>
      <w:bookmarkStart w:id="151" w:name="_Toc79163645"/>
      <w:bookmarkStart w:id="152" w:name="_Toc15396628"/>
      <w:bookmarkStart w:id="153" w:name="_Toc10338"/>
      <w:r>
        <w:rPr>
          <w:rStyle w:val="16"/>
          <w:rFonts w:hint="eastAsia" w:ascii="仿宋" w:hAnsi="仿宋" w:eastAsia="仿宋"/>
          <w:b w:val="0"/>
          <w:bCs w:val="0"/>
        </w:rPr>
        <w:t>十、</w:t>
      </w:r>
      <w:r>
        <w:rPr>
          <w:rFonts w:hint="eastAsia" w:ascii="仿宋" w:hAnsi="仿宋" w:eastAsia="仿宋"/>
          <w:b w:val="0"/>
          <w:color w:val="000000"/>
        </w:rPr>
        <w:t>一</w:t>
      </w:r>
      <w:r>
        <w:rPr>
          <w:rStyle w:val="16"/>
          <w:rFonts w:hint="eastAsia" w:ascii="仿宋" w:hAnsi="仿宋" w:eastAsia="仿宋"/>
          <w:b w:val="0"/>
          <w:bCs w:val="0"/>
        </w:rPr>
        <w:t>般公共预算财政拨款“三公”经费支出决算表</w:t>
      </w:r>
      <w:bookmarkEnd w:id="151"/>
      <w:bookmarkEnd w:id="152"/>
      <w:bookmarkEnd w:id="153"/>
    </w:p>
    <w:p>
      <w:pPr>
        <w:pStyle w:val="4"/>
        <w:rPr>
          <w:rFonts w:ascii="仿宋" w:hAnsi="仿宋" w:eastAsia="仿宋"/>
          <w:color w:val="000000"/>
        </w:rPr>
      </w:pPr>
      <w:bookmarkStart w:id="154" w:name="_Toc79163646"/>
      <w:bookmarkStart w:id="155" w:name="_Toc15396629"/>
      <w:bookmarkStart w:id="156" w:name="_Toc32443"/>
      <w:r>
        <w:rPr>
          <w:rStyle w:val="16"/>
          <w:rFonts w:hint="eastAsia" w:ascii="仿宋" w:hAnsi="仿宋" w:eastAsia="仿宋"/>
          <w:b w:val="0"/>
          <w:bCs w:val="0"/>
        </w:rPr>
        <w:t>十一、</w:t>
      </w:r>
      <w:r>
        <w:rPr>
          <w:rFonts w:hint="eastAsia" w:ascii="仿宋" w:hAnsi="仿宋" w:eastAsia="仿宋"/>
          <w:b w:val="0"/>
          <w:color w:val="000000"/>
        </w:rPr>
        <w:t>政</w:t>
      </w:r>
      <w:r>
        <w:rPr>
          <w:rStyle w:val="16"/>
          <w:rFonts w:hint="eastAsia" w:ascii="仿宋" w:hAnsi="仿宋" w:eastAsia="仿宋"/>
          <w:b w:val="0"/>
          <w:bCs w:val="0"/>
        </w:rPr>
        <w:t>府性基金预算财政拨款收入支出决算表</w:t>
      </w:r>
      <w:bookmarkEnd w:id="154"/>
      <w:bookmarkEnd w:id="155"/>
      <w:bookmarkEnd w:id="156"/>
    </w:p>
    <w:p>
      <w:pPr>
        <w:pStyle w:val="4"/>
        <w:rPr>
          <w:rFonts w:ascii="仿宋" w:hAnsi="仿宋" w:eastAsia="仿宋"/>
          <w:color w:val="000000"/>
        </w:rPr>
      </w:pPr>
      <w:bookmarkStart w:id="157" w:name="_Toc15396630"/>
      <w:bookmarkStart w:id="158" w:name="_Toc79163647"/>
      <w:bookmarkStart w:id="159" w:name="_Toc25765"/>
      <w:r>
        <w:rPr>
          <w:rStyle w:val="16"/>
          <w:rFonts w:hint="eastAsia" w:ascii="仿宋" w:hAnsi="仿宋" w:eastAsia="仿宋"/>
          <w:b w:val="0"/>
          <w:bCs w:val="0"/>
        </w:rPr>
        <w:t>十二、</w:t>
      </w:r>
      <w:r>
        <w:rPr>
          <w:rFonts w:hint="eastAsia" w:ascii="仿宋" w:hAnsi="仿宋" w:eastAsia="仿宋"/>
          <w:b w:val="0"/>
          <w:color w:val="000000"/>
        </w:rPr>
        <w:t>政</w:t>
      </w:r>
      <w:r>
        <w:rPr>
          <w:rStyle w:val="16"/>
          <w:rFonts w:hint="eastAsia" w:ascii="仿宋" w:hAnsi="仿宋" w:eastAsia="仿宋"/>
          <w:b w:val="0"/>
          <w:bCs w:val="0"/>
        </w:rPr>
        <w:t>府性基金预算财政拨款“三公”经费支出决算表</w:t>
      </w:r>
      <w:bookmarkEnd w:id="157"/>
      <w:bookmarkEnd w:id="158"/>
      <w:bookmarkEnd w:id="159"/>
    </w:p>
    <w:p>
      <w:pPr>
        <w:pStyle w:val="4"/>
        <w:rPr>
          <w:rStyle w:val="16"/>
          <w:rFonts w:ascii="仿宋" w:hAnsi="仿宋" w:eastAsia="仿宋"/>
          <w:b w:val="0"/>
          <w:bCs w:val="0"/>
        </w:rPr>
      </w:pPr>
      <w:bookmarkStart w:id="160" w:name="_Toc79163648"/>
      <w:bookmarkStart w:id="161" w:name="_Toc15396631"/>
      <w:bookmarkStart w:id="162" w:name="_Toc31862"/>
      <w:r>
        <w:rPr>
          <w:rStyle w:val="16"/>
          <w:rFonts w:hint="eastAsia" w:ascii="仿宋" w:hAnsi="仿宋" w:eastAsia="仿宋"/>
          <w:b w:val="0"/>
          <w:bCs w:val="0"/>
        </w:rPr>
        <w:t>十三、</w:t>
      </w:r>
      <w:r>
        <w:rPr>
          <w:rFonts w:hint="eastAsia" w:ascii="仿宋" w:hAnsi="仿宋" w:eastAsia="仿宋"/>
          <w:b w:val="0"/>
          <w:color w:val="000000"/>
        </w:rPr>
        <w:t>国</w:t>
      </w:r>
      <w:r>
        <w:rPr>
          <w:rStyle w:val="16"/>
          <w:rFonts w:hint="eastAsia" w:ascii="仿宋" w:hAnsi="仿宋" w:eastAsia="仿宋"/>
          <w:b w:val="0"/>
          <w:bCs w:val="0"/>
        </w:rPr>
        <w:t>有资本经营预算财政拨款支出决算表</w:t>
      </w:r>
      <w:bookmarkEnd w:id="160"/>
      <w:bookmarkEnd w:id="161"/>
      <w:bookmarkEnd w:id="162"/>
    </w:p>
    <w:p>
      <w:pPr>
        <w:pStyle w:val="4"/>
        <w:rPr>
          <w:rStyle w:val="16"/>
          <w:rFonts w:ascii="仿宋" w:hAnsi="仿宋" w:eastAsia="仿宋"/>
          <w:b w:val="0"/>
          <w:bCs w:val="0"/>
        </w:rPr>
      </w:pPr>
      <w:bookmarkStart w:id="163" w:name="_Toc79163649"/>
      <w:bookmarkStart w:id="164" w:name="_Toc2828"/>
      <w:r>
        <w:rPr>
          <w:rStyle w:val="16"/>
          <w:rFonts w:hint="eastAsia" w:ascii="仿宋" w:hAnsi="仿宋" w:eastAsia="仿宋"/>
          <w:b w:val="0"/>
          <w:bCs w:val="0"/>
        </w:rPr>
        <w:t>十四、国有资本经营预算财政拨款支出决算表</w:t>
      </w:r>
      <w:bookmarkEnd w:id="163"/>
      <w:bookmarkEnd w:id="164"/>
    </w:p>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Calibri Light">
    <w:panose1 w:val="020F0302020204030204"/>
    <w:charset w:val="00"/>
    <w:family w:val="auto"/>
    <w:pitch w:val="default"/>
    <w:sig w:usb0="A00002EF" w:usb1="4000207B" w:usb2="00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25</w:t>
    </w:r>
    <w:r>
      <w:fldChar w:fldCharType="end"/>
    </w:r>
  </w:p>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45E5664"/>
    <w:multiLevelType w:val="singleLevel"/>
    <w:tmpl w:val="B45E5664"/>
    <w:lvl w:ilvl="0" w:tentative="0">
      <w:start w:val="2"/>
      <w:numFmt w:val="chineseCounting"/>
      <w:suff w:val="nothing"/>
      <w:lvlText w:val="（%1）"/>
      <w:lvlJc w:val="left"/>
      <w:pPr>
        <w:ind w:left="630"/>
      </w:pPr>
      <w:rPr>
        <w:rFonts w:hint="eastAsia"/>
      </w:rPr>
    </w:lvl>
  </w:abstractNum>
  <w:abstractNum w:abstractNumId="1">
    <w:nsid w:val="CF652CEC"/>
    <w:multiLevelType w:val="singleLevel"/>
    <w:tmpl w:val="CF652CEC"/>
    <w:lvl w:ilvl="0" w:tentative="0">
      <w:start w:val="9"/>
      <w:numFmt w:val="chineseCounting"/>
      <w:suff w:val="nothing"/>
      <w:lvlText w:val="%1、"/>
      <w:lvlJc w:val="left"/>
      <w:rPr>
        <w:rFonts w:hint="eastAsia" w:cs="Times New Roman"/>
      </w:rPr>
    </w:lvl>
  </w:abstractNum>
  <w:abstractNum w:abstractNumId="2">
    <w:nsid w:val="E2FA047D"/>
    <w:multiLevelType w:val="singleLevel"/>
    <w:tmpl w:val="E2FA047D"/>
    <w:lvl w:ilvl="0" w:tentative="0">
      <w:start w:val="3"/>
      <w:numFmt w:val="chineseCounting"/>
      <w:suff w:val="space"/>
      <w:lvlText w:val="第%1部分"/>
      <w:lvlJc w:val="left"/>
      <w:rPr>
        <w:rFonts w:hint="eastAsia" w:cs="Times New Roman"/>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cs="Times New Roman"/>
        <w:b w:val="0"/>
      </w:rPr>
    </w:lvl>
    <w:lvl w:ilvl="1" w:tentative="0">
      <w:start w:val="1"/>
      <w:numFmt w:val="lowerLetter"/>
      <w:lvlText w:val="%2)"/>
      <w:lvlJc w:val="left"/>
      <w:pPr>
        <w:ind w:left="1480" w:hanging="420"/>
      </w:pPr>
      <w:rPr>
        <w:rFonts w:cs="Times New Roman"/>
      </w:rPr>
    </w:lvl>
    <w:lvl w:ilvl="2" w:tentative="0">
      <w:start w:val="1"/>
      <w:numFmt w:val="lowerRoman"/>
      <w:lvlText w:val="%3."/>
      <w:lvlJc w:val="right"/>
      <w:pPr>
        <w:ind w:left="1900" w:hanging="420"/>
      </w:pPr>
      <w:rPr>
        <w:rFonts w:cs="Times New Roman"/>
      </w:rPr>
    </w:lvl>
    <w:lvl w:ilvl="3" w:tentative="0">
      <w:start w:val="1"/>
      <w:numFmt w:val="decimal"/>
      <w:lvlText w:val="%4."/>
      <w:lvlJc w:val="left"/>
      <w:pPr>
        <w:ind w:left="2320" w:hanging="420"/>
      </w:pPr>
      <w:rPr>
        <w:rFonts w:cs="Times New Roman"/>
      </w:rPr>
    </w:lvl>
    <w:lvl w:ilvl="4" w:tentative="0">
      <w:start w:val="1"/>
      <w:numFmt w:val="lowerLetter"/>
      <w:lvlText w:val="%5)"/>
      <w:lvlJc w:val="left"/>
      <w:pPr>
        <w:ind w:left="2740" w:hanging="420"/>
      </w:pPr>
      <w:rPr>
        <w:rFonts w:cs="Times New Roman"/>
      </w:rPr>
    </w:lvl>
    <w:lvl w:ilvl="5" w:tentative="0">
      <w:start w:val="1"/>
      <w:numFmt w:val="lowerRoman"/>
      <w:lvlText w:val="%6."/>
      <w:lvlJc w:val="right"/>
      <w:pPr>
        <w:ind w:left="3160" w:hanging="420"/>
      </w:pPr>
      <w:rPr>
        <w:rFonts w:cs="Times New Roman"/>
      </w:rPr>
    </w:lvl>
    <w:lvl w:ilvl="6" w:tentative="0">
      <w:start w:val="1"/>
      <w:numFmt w:val="decimal"/>
      <w:lvlText w:val="%7."/>
      <w:lvlJc w:val="left"/>
      <w:pPr>
        <w:ind w:left="3580" w:hanging="420"/>
      </w:pPr>
      <w:rPr>
        <w:rFonts w:cs="Times New Roman"/>
      </w:rPr>
    </w:lvl>
    <w:lvl w:ilvl="7" w:tentative="0">
      <w:start w:val="1"/>
      <w:numFmt w:val="lowerLetter"/>
      <w:lvlText w:val="%8)"/>
      <w:lvlJc w:val="left"/>
      <w:pPr>
        <w:ind w:left="4000" w:hanging="420"/>
      </w:pPr>
      <w:rPr>
        <w:rFonts w:cs="Times New Roman"/>
      </w:rPr>
    </w:lvl>
    <w:lvl w:ilvl="8" w:tentative="0">
      <w:start w:val="1"/>
      <w:numFmt w:val="lowerRoman"/>
      <w:lvlText w:val="%9."/>
      <w:lvlJc w:val="right"/>
      <w:pPr>
        <w:ind w:left="4420" w:hanging="420"/>
      </w:pPr>
      <w:rPr>
        <w:rFonts w:cs="Times New Roman"/>
      </w:rPr>
    </w:lvl>
  </w:abstractNum>
  <w:abstractNum w:abstractNumId="4">
    <w:nsid w:val="403B5A16"/>
    <w:multiLevelType w:val="singleLevel"/>
    <w:tmpl w:val="403B5A16"/>
    <w:lvl w:ilvl="0" w:tentative="0">
      <w:start w:val="2"/>
      <w:numFmt w:val="chineseCounting"/>
      <w:suff w:val="nothing"/>
      <w:lvlText w:val="（%1）"/>
      <w:lvlJc w:val="left"/>
      <w:rPr>
        <w:rFonts w:hint="eastAsia"/>
      </w:rPr>
    </w:lvl>
  </w:abstractNum>
  <w:abstractNum w:abstractNumId="5">
    <w:nsid w:val="736A4C63"/>
    <w:multiLevelType w:val="singleLevel"/>
    <w:tmpl w:val="736A4C63"/>
    <w:lvl w:ilvl="0" w:tentative="0">
      <w:start w:val="5"/>
      <w:numFmt w:val="chineseCounting"/>
      <w:suff w:val="nothing"/>
      <w:lvlText w:val="（%1）"/>
      <w:lvlJc w:val="left"/>
      <w:rPr>
        <w:rFonts w:hint="eastAsia"/>
      </w:rPr>
    </w:lvl>
  </w:abstractNum>
  <w:num w:numId="1">
    <w:abstractNumId w:val="3"/>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I0MWI3MThiYzM3ZGJjNjc2YmMxZTM5ZDc0MjAwMWMifQ=="/>
  </w:docVars>
  <w:rsids>
    <w:rsidRoot w:val="291725A0"/>
    <w:rsid w:val="00A4569D"/>
    <w:rsid w:val="02E4080E"/>
    <w:rsid w:val="05A17052"/>
    <w:rsid w:val="0D9229F2"/>
    <w:rsid w:val="135A334F"/>
    <w:rsid w:val="175E4279"/>
    <w:rsid w:val="1F9A5210"/>
    <w:rsid w:val="202A17BC"/>
    <w:rsid w:val="21D40771"/>
    <w:rsid w:val="23E15A7C"/>
    <w:rsid w:val="240A5555"/>
    <w:rsid w:val="24223064"/>
    <w:rsid w:val="27135897"/>
    <w:rsid w:val="2797479A"/>
    <w:rsid w:val="291725A0"/>
    <w:rsid w:val="39B203A1"/>
    <w:rsid w:val="3B426B4D"/>
    <w:rsid w:val="3C7B1ED6"/>
    <w:rsid w:val="3DC56D68"/>
    <w:rsid w:val="3ECD4126"/>
    <w:rsid w:val="3EF01478"/>
    <w:rsid w:val="434F15AD"/>
    <w:rsid w:val="4D8E361A"/>
    <w:rsid w:val="4F7515F5"/>
    <w:rsid w:val="50447FC0"/>
    <w:rsid w:val="5EB72FD9"/>
    <w:rsid w:val="5EF3065B"/>
    <w:rsid w:val="65813CBA"/>
    <w:rsid w:val="6AC87D14"/>
    <w:rsid w:val="6D0927B9"/>
    <w:rsid w:val="6DC05C76"/>
    <w:rsid w:val="6F6B6EC0"/>
    <w:rsid w:val="7D5947F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qFormat="1" w:uiPriority="39"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15"/>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20"/>
    <w:qFormat/>
    <w:uiPriority w:val="9"/>
    <w:pPr>
      <w:keepNext/>
      <w:keepLines/>
      <w:spacing w:before="260" w:after="260" w:line="416" w:lineRule="auto"/>
      <w:outlineLvl w:val="1"/>
    </w:pPr>
    <w:rPr>
      <w:rFonts w:ascii="Cambria" w:hAnsi="Cambria"/>
      <w:b/>
      <w:bCs/>
      <w:sz w:val="32"/>
      <w:szCs w:val="32"/>
    </w:rPr>
  </w:style>
  <w:style w:type="paragraph" w:styleId="5">
    <w:name w:val="heading 3"/>
    <w:basedOn w:val="1"/>
    <w:next w:val="1"/>
    <w:link w:val="19"/>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13">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2">
    <w:name w:val="Salutation"/>
    <w:basedOn w:val="1"/>
    <w:next w:val="1"/>
    <w:qFormat/>
    <w:uiPriority w:val="99"/>
  </w:style>
  <w:style w:type="paragraph" w:styleId="6">
    <w:name w:val="Body Text"/>
    <w:basedOn w:val="1"/>
    <w:qFormat/>
    <w:uiPriority w:val="99"/>
    <w:pPr>
      <w:spacing w:beforeLines="30"/>
    </w:pPr>
    <w:rPr>
      <w:rFonts w:ascii="仿宋_GB2312" w:eastAsia="仿宋_GB2312"/>
      <w:kern w:val="0"/>
      <w:sz w:val="24"/>
      <w:szCs w:val="20"/>
      <w:lang w:val="zh-CN"/>
    </w:rPr>
  </w:style>
  <w:style w:type="paragraph" w:styleId="7">
    <w:name w:val="toc 3"/>
    <w:basedOn w:val="1"/>
    <w:next w:val="1"/>
    <w:unhideWhenUsed/>
    <w:qFormat/>
    <w:uiPriority w:val="39"/>
    <w:pPr>
      <w:ind w:left="420"/>
      <w:jc w:val="left"/>
    </w:pPr>
    <w:rPr>
      <w:rFonts w:asciiTheme="minorHAnsi" w:eastAsiaTheme="minorHAnsi"/>
      <w:i/>
      <w:iCs/>
      <w:sz w:val="20"/>
      <w:szCs w:val="20"/>
    </w:rPr>
  </w:style>
  <w:style w:type="paragraph" w:styleId="8">
    <w:name w:val="footer"/>
    <w:basedOn w:val="1"/>
    <w:qFormat/>
    <w:uiPriority w:val="99"/>
    <w:pPr>
      <w:tabs>
        <w:tab w:val="center" w:pos="4153"/>
        <w:tab w:val="right" w:pos="8306"/>
      </w:tabs>
      <w:snapToGrid w:val="0"/>
      <w:jc w:val="left"/>
    </w:pPr>
    <w:rPr>
      <w:rFonts w:ascii="Calibri" w:hAnsi="Calibri"/>
      <w:kern w:val="0"/>
      <w:sz w:val="18"/>
      <w:szCs w:val="20"/>
      <w:lang w:val="zh-CN"/>
    </w:rPr>
  </w:style>
  <w:style w:type="paragraph" w:styleId="9">
    <w:name w:val="header"/>
    <w:basedOn w:val="1"/>
    <w:semiHidden/>
    <w:qFormat/>
    <w:uiPriority w:val="99"/>
    <w:pPr>
      <w:pBdr>
        <w:bottom w:val="single" w:color="auto" w:sz="6" w:space="1"/>
      </w:pBdr>
      <w:tabs>
        <w:tab w:val="center" w:pos="4153"/>
        <w:tab w:val="right" w:pos="8306"/>
      </w:tabs>
      <w:snapToGrid w:val="0"/>
      <w:jc w:val="center"/>
    </w:pPr>
    <w:rPr>
      <w:rFonts w:ascii="Calibri" w:hAnsi="Calibri"/>
      <w:kern w:val="0"/>
      <w:sz w:val="18"/>
      <w:szCs w:val="20"/>
      <w:lang w:val="zh-CN"/>
    </w:rPr>
  </w:style>
  <w:style w:type="paragraph" w:styleId="10">
    <w:name w:val="toc 1"/>
    <w:basedOn w:val="1"/>
    <w:next w:val="1"/>
    <w:unhideWhenUsed/>
    <w:qFormat/>
    <w:uiPriority w:val="39"/>
    <w:pPr>
      <w:spacing w:before="120" w:after="120"/>
      <w:jc w:val="left"/>
    </w:pPr>
    <w:rPr>
      <w:rFonts w:asciiTheme="minorHAnsi" w:eastAsiaTheme="minorHAnsi"/>
      <w:b/>
      <w:bCs/>
      <w:caps/>
      <w:sz w:val="20"/>
      <w:szCs w:val="20"/>
    </w:rPr>
  </w:style>
  <w:style w:type="paragraph" w:styleId="11">
    <w:name w:val="toc 2"/>
    <w:basedOn w:val="1"/>
    <w:next w:val="1"/>
    <w:unhideWhenUsed/>
    <w:qFormat/>
    <w:uiPriority w:val="39"/>
    <w:pPr>
      <w:ind w:left="210"/>
      <w:jc w:val="left"/>
    </w:pPr>
    <w:rPr>
      <w:rFonts w:asciiTheme="minorHAnsi" w:eastAsiaTheme="minorHAnsi"/>
      <w:smallCaps/>
      <w:sz w:val="20"/>
      <w:szCs w:val="20"/>
    </w:rPr>
  </w:style>
  <w:style w:type="character" w:styleId="14">
    <w:name w:val="Strong"/>
    <w:basedOn w:val="13"/>
    <w:qFormat/>
    <w:uiPriority w:val="99"/>
    <w:rPr>
      <w:rFonts w:cs="Times New Roman"/>
      <w:b/>
    </w:rPr>
  </w:style>
  <w:style w:type="character" w:customStyle="1" w:styleId="15">
    <w:name w:val="标题 1 Char"/>
    <w:basedOn w:val="13"/>
    <w:link w:val="3"/>
    <w:qFormat/>
    <w:locked/>
    <w:uiPriority w:val="9"/>
    <w:rPr>
      <w:b/>
      <w:bCs/>
      <w:kern w:val="44"/>
      <w:sz w:val="44"/>
      <w:szCs w:val="44"/>
    </w:rPr>
  </w:style>
  <w:style w:type="character" w:customStyle="1" w:styleId="16">
    <w:name w:val="标题 2 Char"/>
    <w:basedOn w:val="13"/>
    <w:link w:val="4"/>
    <w:qFormat/>
    <w:locked/>
    <w:uiPriority w:val="9"/>
    <w:rPr>
      <w:rFonts w:ascii="Cambria" w:hAnsi="Cambria"/>
      <w:b/>
      <w:bCs/>
      <w:sz w:val="32"/>
      <w:szCs w:val="32"/>
    </w:rPr>
  </w:style>
  <w:style w:type="paragraph" w:customStyle="1" w:styleId="17">
    <w:name w:val="列表段落1"/>
    <w:basedOn w:val="1"/>
    <w:qFormat/>
    <w:uiPriority w:val="34"/>
    <w:pPr>
      <w:ind w:firstLine="420" w:firstLineChars="200"/>
    </w:p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19">
    <w:name w:val="标题 3 Char"/>
    <w:link w:val="5"/>
    <w:qFormat/>
    <w:uiPriority w:val="0"/>
    <w:rPr>
      <w:b/>
      <w:sz w:val="32"/>
    </w:rPr>
  </w:style>
  <w:style w:type="character" w:customStyle="1" w:styleId="20">
    <w:name w:val="Heading 2 Char"/>
    <w:basedOn w:val="13"/>
    <w:link w:val="4"/>
    <w:qFormat/>
    <w:locked/>
    <w:uiPriority w:val="99"/>
    <w:rPr>
      <w:rFonts w:asciiTheme="majorHAnsi" w:hAnsiTheme="majorHAnsi" w:eastAsiaTheme="majorEastAsia" w:cstheme="majorBidi"/>
      <w:b/>
      <w:bCs/>
      <w:sz w:val="32"/>
      <w:szCs w:val="32"/>
    </w:rPr>
  </w:style>
  <w:style w:type="paragraph" w:customStyle="1" w:styleId="21">
    <w:name w:val="列出段落1"/>
    <w:basedOn w:val="1"/>
    <w:qFormat/>
    <w:uiPriority w:val="34"/>
    <w:pPr>
      <w:ind w:firstLine="420" w:firstLineChars="200"/>
    </w:pPr>
    <w:rPr>
      <w:rFonts w:ascii="Calibri" w:hAnsi="Calibri" w:eastAsia="宋体" w:cs="Times New Roman"/>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numbering" Target="numbering.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2.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5.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6.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package" Target="../embeddings/Workbook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收、支决算变动                                 </a:t>
            </a:r>
            <a:r>
              <a:rPr sz="900"/>
              <a:t>单位：万元</a:t>
            </a:r>
            <a:endParaRPr sz="900"/>
          </a:p>
        </c:rich>
      </c:tx>
      <c:layout>
        <c:manualLayout>
          <c:xMode val="edge"/>
          <c:yMode val="edge"/>
          <c:x val="0.2180625"/>
          <c:y val="0.03"/>
        </c:manualLayout>
      </c:layout>
      <c:overlay val="0"/>
      <c:spPr>
        <a:noFill/>
        <a:ln>
          <a:noFill/>
        </a:ln>
        <a:effectLst/>
      </c:spPr>
    </c:title>
    <c:autoTitleDeleted val="0"/>
    <c:plotArea>
      <c:layout>
        <c:manualLayout>
          <c:layoutTarget val="inner"/>
          <c:xMode val="edge"/>
          <c:yMode val="edge"/>
          <c:x val="0.0790535714285714"/>
          <c:y val="0.1275"/>
          <c:w val="0.573571428571429"/>
          <c:h val="0.6489"/>
        </c:manualLayout>
      </c:layout>
      <c:barChart>
        <c:barDir val="col"/>
        <c:grouping val="clustered"/>
        <c:varyColors val="0"/>
        <c:ser>
          <c:idx val="0"/>
          <c:order val="0"/>
          <c:tx>
            <c:strRef>
              <c:f>Sheet1!$B$1</c:f>
              <c:strCache>
                <c:ptCount val="1"/>
                <c:pt idx="0">
                  <c:v>一般公共预算财政拨款收入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2021年本年收入</c:v>
                </c:pt>
                <c:pt idx="3">
                  <c:v>2021本年支出</c:v>
                </c:pt>
              </c:strCache>
            </c:strRef>
          </c:cat>
          <c:val>
            <c:numRef>
              <c:f>Sheet1!$B$2:$B$5</c:f>
              <c:numCache>
                <c:formatCode>General</c:formatCode>
                <c:ptCount val="4"/>
                <c:pt idx="0">
                  <c:v>455.61</c:v>
                </c:pt>
                <c:pt idx="2">
                  <c:v>488.9</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2021年本年收入</c:v>
                </c:pt>
                <c:pt idx="3">
                  <c:v>2021本年支出</c:v>
                </c:pt>
              </c:strCache>
            </c:strRef>
          </c:cat>
          <c:val>
            <c:numRef>
              <c:f>Sheet1!$C$2:$C$5</c:f>
              <c:numCache>
                <c:formatCode>General</c:formatCode>
                <c:ptCount val="4"/>
                <c:pt idx="1">
                  <c:v>400.96</c:v>
                </c:pt>
                <c:pt idx="3">
                  <c:v>441.52</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2021年本年收入</c:v>
                </c:pt>
                <c:pt idx="3">
                  <c:v>2021本年支出</c:v>
                </c:pt>
              </c:strCache>
            </c:strRef>
          </c:cat>
          <c:val>
            <c:numRef>
              <c:f>Sheet1!$D$2:$D$5</c:f>
              <c:numCache>
                <c:formatCode>General</c:formatCode>
                <c:ptCount val="4"/>
                <c:pt idx="1">
                  <c:v>29.98</c:v>
                </c:pt>
                <c:pt idx="3">
                  <c:v>28.89</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2021年本年收入</c:v>
                </c:pt>
                <c:pt idx="3">
                  <c:v>2021本年支出</c:v>
                </c:pt>
              </c:strCache>
            </c:strRef>
          </c:cat>
          <c:val>
            <c:numRef>
              <c:f>Sheet1!$E$2:$E$5</c:f>
              <c:numCache>
                <c:formatCode>General</c:formatCode>
                <c:ptCount val="4"/>
                <c:pt idx="1">
                  <c:v>11.15</c:v>
                </c:pt>
                <c:pt idx="3">
                  <c:v>13.12</c:v>
                </c:pt>
              </c:numCache>
            </c:numRef>
          </c:val>
        </c:ser>
        <c:ser>
          <c:idx val="4"/>
          <c:order val="4"/>
          <c:tx>
            <c:strRef>
              <c:f>Sheet1!$F$1</c:f>
              <c:strCache>
                <c:ptCount val="1"/>
                <c:pt idx="0">
                  <c:v>农林水支出</c:v>
                </c:pt>
              </c:strCache>
            </c:strRef>
          </c:tx>
          <c:spPr>
            <a:solidFill>
              <a:schemeClr val="accent5"/>
            </a:solidFill>
            <a:ln>
              <a:noFill/>
            </a:ln>
            <a:effectLst>
              <a:outerShdw blurRad="50800" dist="114300" dir="5400000" algn="ctr" rotWithShape="0">
                <a:srgbClr val="000000">
                  <a:alpha val="43000"/>
                </a:srgbClr>
              </a:outerShdw>
            </a:effectLst>
          </c:spPr>
          <c:invertIfNegative val="0"/>
          <c:dLbls>
            <c:delete val="1"/>
          </c:dLbls>
          <c:cat>
            <c:strRef>
              <c:f>Sheet1!$A$2:$A$5</c:f>
              <c:strCache>
                <c:ptCount val="4"/>
                <c:pt idx="0">
                  <c:v>2020年本年收入</c:v>
                </c:pt>
                <c:pt idx="1">
                  <c:v>2020年本年支出</c:v>
                </c:pt>
                <c:pt idx="2">
                  <c:v>2021年本年收入</c:v>
                </c:pt>
                <c:pt idx="3">
                  <c:v>2021本年支出</c:v>
                </c:pt>
              </c:strCache>
            </c:strRef>
          </c:cat>
          <c:val>
            <c:numRef>
              <c:f>Sheet1!$F$2:$F$5</c:f>
              <c:numCache>
                <c:formatCode>General</c:formatCode>
                <c:ptCount val="4"/>
                <c:pt idx="1">
                  <c:v>0</c:v>
                </c:pt>
                <c:pt idx="3">
                  <c:v>0</c:v>
                </c:pt>
              </c:numCache>
            </c:numRef>
          </c:val>
        </c:ser>
        <c:ser>
          <c:idx val="5"/>
          <c:order val="5"/>
          <c:tx>
            <c:strRef>
              <c:f>Sheet1!$G$1</c:f>
              <c:strCache>
                <c:ptCount val="1"/>
                <c:pt idx="0">
                  <c:v>住房保障支出</c:v>
                </c:pt>
              </c:strCache>
            </c:strRef>
          </c:tx>
          <c:spPr>
            <a:solidFill>
              <a:schemeClr val="accent6"/>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2020年本年收入</c:v>
                </c:pt>
                <c:pt idx="1">
                  <c:v>2020年本年支出</c:v>
                </c:pt>
                <c:pt idx="2">
                  <c:v>2021年本年收入</c:v>
                </c:pt>
                <c:pt idx="3">
                  <c:v>2021本年支出</c:v>
                </c:pt>
              </c:strCache>
            </c:strRef>
          </c:cat>
          <c:val>
            <c:numRef>
              <c:f>Sheet1!$G$2:$G$5</c:f>
              <c:numCache>
                <c:formatCode>General</c:formatCode>
                <c:ptCount val="4"/>
                <c:pt idx="1">
                  <c:v>20.32</c:v>
                </c:pt>
                <c:pt idx="3">
                  <c:v>20.72</c:v>
                </c:pt>
              </c:numCache>
            </c:numRef>
          </c:val>
        </c:ser>
        <c:ser>
          <c:idx val="6"/>
          <c:order val="6"/>
          <c:tx>
            <c:strRef>
              <c:f>Sheet1!#REF!</c:f>
              <c:strCache>
                <c:ptCount val="1"/>
                <c:pt idx="0">
                  <c:v/>
                </c:pt>
              </c:strCache>
            </c:strRef>
          </c:tx>
          <c:spPr>
            <a:solidFill>
              <a:schemeClr val="accent1">
                <a:lumMod val="60000"/>
              </a:schemeClr>
            </a:solidFill>
            <a:ln>
              <a:noFill/>
            </a:ln>
            <a:effectLst/>
          </c:spPr>
          <c:invertIfNegative val="0"/>
          <c:dLbls>
            <c:delete val="1"/>
          </c:dLbls>
          <c:cat>
            <c:strRef>
              <c:f>Sheet1!$A$2:$A$5</c:f>
              <c:strCache>
                <c:ptCount val="4"/>
                <c:pt idx="0">
                  <c:v>2020年本年收入</c:v>
                </c:pt>
                <c:pt idx="1">
                  <c:v>2020年本年支出</c:v>
                </c:pt>
                <c:pt idx="2">
                  <c:v>2021年本年收入</c:v>
                </c:pt>
                <c:pt idx="3">
                  <c:v>2021本年支出</c:v>
                </c:pt>
              </c:strCache>
            </c:strRef>
          </c:cat>
          <c:val>
            <c:numRef>
              <c:f>Sheet1!#REF!</c:f>
              <c:numCache>
                <c:formatCode>General</c:formatCode>
                <c:ptCount val="1"/>
                <c:pt idx="0">
                  <c:v>1</c:v>
                </c:pt>
              </c:numCache>
            </c:numRef>
          </c:val>
        </c:ser>
        <c:dLbls>
          <c:showLegendKey val="0"/>
          <c:showVal val="0"/>
          <c:showCatName val="0"/>
          <c:showSerName val="0"/>
          <c:showPercent val="0"/>
          <c:showBubbleSize val="0"/>
        </c:dLbls>
        <c:gapWidth val="219"/>
        <c:overlap val="-27"/>
        <c:axId val="10200136"/>
        <c:axId val="254689539"/>
      </c:barChart>
      <c:catAx>
        <c:axId val="1020013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254689539"/>
        <c:crosses val="autoZero"/>
        <c:auto val="1"/>
        <c:lblAlgn val="ctr"/>
        <c:lblOffset val="100"/>
        <c:noMultiLvlLbl val="0"/>
      </c:catAx>
      <c:valAx>
        <c:axId val="2546895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10200136"/>
        <c:crosses val="autoZero"/>
        <c:crossBetween val="between"/>
      </c:valAx>
      <c:spPr>
        <a:noFill/>
        <a:ln>
          <a:noFill/>
        </a:ln>
        <a:effectLst/>
      </c:spPr>
    </c:plotArea>
    <c:legend>
      <c:legendPos val="r"/>
      <c:layout>
        <c:manualLayout>
          <c:xMode val="edge"/>
          <c:yMode val="edge"/>
          <c:x val="0.682"/>
          <c:y val="0.1625"/>
          <c:w val="0.30675"/>
          <c:h val="0.530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202</a:t>
            </a:r>
            <a:r>
              <a:rPr lang="en-US" altLang="zh-CN"/>
              <a:t>1</a:t>
            </a:r>
            <a:r>
              <a:t>年本年收入                              单位：万元</a:t>
            </a:r>
          </a:p>
        </c:rich>
      </c:tx>
      <c:layout>
        <c:manualLayout>
          <c:xMode val="edge"/>
          <c:yMode val="edge"/>
          <c:x val="0.20825"/>
          <c:y val="0.03"/>
        </c:manualLayout>
      </c:layout>
      <c:overlay val="0"/>
      <c:spPr>
        <a:noFill/>
        <a:ln>
          <a:noFill/>
        </a:ln>
        <a:effectLst/>
      </c:spPr>
    </c:title>
    <c:autoTitleDeleted val="0"/>
    <c:plotArea>
      <c:layout/>
      <c:pieChart>
        <c:varyColors val="1"/>
        <c:ser>
          <c:idx val="0"/>
          <c:order val="0"/>
          <c:tx>
            <c:strRef>
              <c:f>Sheet1!$B$1</c:f>
              <c:strCache>
                <c:ptCount val="1"/>
                <c:pt idx="0">
                  <c:v>2021年本年收入</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Sheet1!$A$2:$A$8</c:f>
              <c:strCache>
                <c:ptCount val="7"/>
                <c:pt idx="0">
                  <c:v>一般公共预算财政拨款收入</c:v>
                </c:pt>
                <c:pt idx="1">
                  <c:v>政府性基金预算财政拨款收入</c:v>
                </c:pt>
                <c:pt idx="2">
                  <c:v>上级补助收入</c:v>
                </c:pt>
                <c:pt idx="3">
                  <c:v>事业收入</c:v>
                </c:pt>
                <c:pt idx="4">
                  <c:v>经营收入</c:v>
                </c:pt>
                <c:pt idx="5">
                  <c:v>附属单位上缴收入</c:v>
                </c:pt>
                <c:pt idx="6">
                  <c:v>其他收入</c:v>
                </c:pt>
              </c:strCache>
            </c:strRef>
          </c:cat>
          <c:val>
            <c:numRef>
              <c:f>Sheet1!$B$2:$B$8</c:f>
              <c:numCache>
                <c:formatCode>General</c:formatCode>
                <c:ptCount val="7"/>
                <c:pt idx="0">
                  <c:v>488.9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  20</a:t>
            </a:r>
            <a:r>
              <a:rPr lang="en-US" altLang="zh-CN"/>
              <a:t>21</a:t>
            </a:r>
            <a:r>
              <a:t>年本年支出                                     </a:t>
            </a:r>
            <a:r>
              <a:rPr sz="900">
                <a:latin typeface="仿宋" panose="02010609060101010101" charset="-122"/>
                <a:ea typeface="仿宋" panose="02010609060101010101" charset="-122"/>
              </a:rPr>
              <a:t>单位：万元</a:t>
            </a:r>
            <a:endParaRPr sz="900">
              <a:latin typeface="仿宋" panose="02010609060101010101" charset="-122"/>
              <a:ea typeface="仿宋" panose="02010609060101010101" charset="-122"/>
            </a:endParaRPr>
          </a:p>
        </c:rich>
      </c:tx>
      <c:layout>
        <c:manualLayout>
          <c:xMode val="edge"/>
          <c:yMode val="edge"/>
          <c:x val="0.22975"/>
          <c:y val="0.015"/>
        </c:manualLayout>
      </c:layout>
      <c:overlay val="0"/>
      <c:spPr>
        <a:noFill/>
        <a:ln>
          <a:noFill/>
        </a:ln>
        <a:effectLst/>
      </c:spPr>
    </c:title>
    <c:autoTitleDeleted val="0"/>
    <c:plotArea>
      <c:layout/>
      <c:pieChart>
        <c:varyColors val="1"/>
        <c:ser>
          <c:idx val="0"/>
          <c:order val="0"/>
          <c:tx>
            <c:strRef>
              <c:f>Sheet1!$B$1</c:f>
              <c:strCache>
                <c:ptCount val="1"/>
                <c:pt idx="0">
                  <c:v>2021年本年支出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Lbls>
            <c:dLbl>
              <c:idx val="1"/>
              <c:layout>
                <c:manualLayout>
                  <c:x val="0.211694110113348"/>
                  <c:y val="0.0995406989910453"/>
                </c:manualLayout>
              </c:layout>
              <c:dLblPos val="bestFit"/>
              <c:showLegendKey val="0"/>
              <c:showVal val="0"/>
              <c:showCatName val="1"/>
              <c:showSerName val="0"/>
              <c:showPercent val="1"/>
              <c:showBubbleSize val="0"/>
              <c:separator>
</c:separator>
              <c:extLst>
                <c:ext xmlns:c15="http://schemas.microsoft.com/office/drawing/2012/chart" uri="{CE6537A1-D6FC-4f65-9D91-7224C49458BB}">
                  <c15:layout/>
                </c:ext>
              </c:extLst>
            </c:dLbl>
            <c:spPr>
              <a:noFill/>
              <a:ln>
                <a:noFill/>
              </a:ln>
              <a:effectLst/>
            </c:spPr>
            <c:txPr>
              <a:bodyPr rot="0" spcFirstLastPara="0" vertOverflow="ellipsis" vert="horz" wrap="non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1"/>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基本支出</c:v>
                </c:pt>
                <c:pt idx="1">
                  <c:v>项目支出</c:v>
                </c:pt>
                <c:pt idx="2">
                  <c:v>上缴上级支出</c:v>
                </c:pt>
                <c:pt idx="3">
                  <c:v>经营支出</c:v>
                </c:pt>
                <c:pt idx="4">
                  <c:v>对附属单位补助支出</c:v>
                </c:pt>
              </c:strCache>
            </c:strRef>
          </c:cat>
          <c:val>
            <c:numRef>
              <c:f>Sheet1!$B$2:$B$6</c:f>
              <c:numCache>
                <c:formatCode>General</c:formatCode>
                <c:ptCount val="5"/>
                <c:pt idx="0">
                  <c:v>275.76</c:v>
                </c:pt>
                <c:pt idx="1">
                  <c:v>228.5</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rPr sz="1600">
                <a:latin typeface="+mj-ea"/>
                <a:ea typeface="+mj-ea"/>
              </a:rPr>
              <a:t>财政拨款收、支决算变动表</a:t>
            </a:r>
            <a:r>
              <a:rPr lang="en-US" altLang="zh-CN" b="1"/>
              <a:t>   </a:t>
            </a:r>
            <a:r>
              <a:rPr lang="en-US" altLang="zh-CN"/>
              <a:t>                </a:t>
            </a:r>
            <a:r>
              <a:rPr lang="en-US" altLang="zh-CN" sz="900"/>
              <a:t> </a:t>
            </a:r>
            <a:r>
              <a:rPr altLang="en-US" sz="900"/>
              <a:t>单位：万元</a:t>
            </a:r>
            <a:endParaRPr altLang="en-US" sz="900"/>
          </a:p>
        </c:rich>
      </c:tx>
      <c:layout>
        <c:manualLayout>
          <c:xMode val="edge"/>
          <c:yMode val="edge"/>
          <c:x val="0.127625"/>
          <c:y val="0.0175"/>
        </c:manualLayout>
      </c:layout>
      <c:overlay val="0"/>
      <c:spPr>
        <a:noFill/>
        <a:ln>
          <a:noFill/>
        </a:ln>
        <a:effectLst/>
      </c:spPr>
    </c:title>
    <c:autoTitleDeleted val="0"/>
    <c:plotArea>
      <c:layout>
        <c:manualLayout>
          <c:layoutTarget val="inner"/>
          <c:xMode val="edge"/>
          <c:yMode val="edge"/>
          <c:x val="0.067325"/>
          <c:y val="0.127"/>
          <c:w val="0.5438"/>
          <c:h val="0.783566666666667"/>
        </c:manualLayout>
      </c:layout>
      <c:barChart>
        <c:barDir val="col"/>
        <c:grouping val="clustered"/>
        <c:varyColors val="0"/>
        <c:ser>
          <c:idx val="0"/>
          <c:order val="0"/>
          <c:tx>
            <c:strRef>
              <c:f>Sheet1!$B$1</c:f>
              <c:strCache>
                <c:ptCount val="1"/>
                <c:pt idx="0">
                  <c:v>一般公共预算财政拨款收入</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2021年财政拨款收入</c:v>
                </c:pt>
                <c:pt idx="1">
                  <c:v>2021年财政拨款支出</c:v>
                </c:pt>
              </c:strCache>
            </c:strRef>
          </c:cat>
          <c:val>
            <c:numRef>
              <c:f>Sheet1!$B$2:$B$3</c:f>
              <c:numCache>
                <c:formatCode>General</c:formatCode>
                <c:ptCount val="2"/>
                <c:pt idx="0">
                  <c:v>488.9</c:v>
                </c:pt>
              </c:numCache>
            </c:numRef>
          </c:val>
        </c:ser>
        <c:ser>
          <c:idx val="1"/>
          <c:order val="1"/>
          <c:tx>
            <c:strRef>
              <c:f>Sheet1!$C$1</c:f>
              <c:strCache>
                <c:ptCount val="1"/>
                <c:pt idx="0">
                  <c:v>一般公共服务支出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2021年财政拨款收入</c:v>
                </c:pt>
                <c:pt idx="1">
                  <c:v>2021年财政拨款支出</c:v>
                </c:pt>
              </c:strCache>
            </c:strRef>
          </c:cat>
          <c:val>
            <c:numRef>
              <c:f>Sheet1!$C$2:$C$3</c:f>
              <c:numCache>
                <c:formatCode>General</c:formatCode>
                <c:ptCount val="2"/>
                <c:pt idx="1">
                  <c:v>441.52</c:v>
                </c:pt>
              </c:numCache>
            </c:numRef>
          </c:val>
        </c:ser>
        <c:ser>
          <c:idx val="2"/>
          <c:order val="2"/>
          <c:tx>
            <c:strRef>
              <c:f>Sheet1!$D$1</c:f>
              <c:strCache>
                <c:ptCount val="1"/>
                <c:pt idx="0">
                  <c:v>社会保障和就业支出</c:v>
                </c:pt>
              </c:strCache>
            </c:strRef>
          </c:tx>
          <c:spPr>
            <a:solidFill>
              <a:schemeClr val="accent3"/>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2021年财政拨款收入</c:v>
                </c:pt>
                <c:pt idx="1">
                  <c:v>2021年财政拨款支出</c:v>
                </c:pt>
              </c:strCache>
            </c:strRef>
          </c:cat>
          <c:val>
            <c:numRef>
              <c:f>Sheet1!$D$2:$D$3</c:f>
              <c:numCache>
                <c:formatCode>General</c:formatCode>
                <c:ptCount val="2"/>
                <c:pt idx="1">
                  <c:v>28.89</c:v>
                </c:pt>
              </c:numCache>
            </c:numRef>
          </c:val>
        </c:ser>
        <c:ser>
          <c:idx val="3"/>
          <c:order val="3"/>
          <c:tx>
            <c:strRef>
              <c:f>Sheet1!$E$1</c:f>
              <c:strCache>
                <c:ptCount val="1"/>
                <c:pt idx="0">
                  <c:v>卫生健康支出</c:v>
                </c:pt>
              </c:strCache>
            </c:strRef>
          </c:tx>
          <c:spPr>
            <a:solidFill>
              <a:schemeClr val="accent4"/>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2021年财政拨款收入</c:v>
                </c:pt>
                <c:pt idx="1">
                  <c:v>2021年财政拨款支出</c:v>
                </c:pt>
              </c:strCache>
            </c:strRef>
          </c:cat>
          <c:val>
            <c:numRef>
              <c:f>Sheet1!$E$2:$E$3</c:f>
              <c:numCache>
                <c:formatCode>General</c:formatCode>
                <c:ptCount val="2"/>
                <c:pt idx="1">
                  <c:v>13.12</c:v>
                </c:pt>
              </c:numCache>
            </c:numRef>
          </c:val>
        </c:ser>
        <c:ser>
          <c:idx val="4"/>
          <c:order val="4"/>
          <c:tx>
            <c:strRef>
              <c:f>Sheet1!$F$1</c:f>
              <c:strCache>
                <c:ptCount val="1"/>
                <c:pt idx="0">
                  <c:v>住房保障支出</c:v>
                </c:pt>
              </c:strCache>
            </c:strRef>
          </c:tx>
          <c:spPr>
            <a:solidFill>
              <a:schemeClr val="accent5"/>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2021年财政拨款收入</c:v>
                </c:pt>
                <c:pt idx="1">
                  <c:v>2021年财政拨款支出</c:v>
                </c:pt>
              </c:strCache>
            </c:strRef>
          </c:cat>
          <c:val>
            <c:numRef>
              <c:f>Sheet1!$F$2:$F$3</c:f>
              <c:numCache>
                <c:formatCode>General</c:formatCode>
                <c:ptCount val="2"/>
                <c:pt idx="1">
                  <c:v>20.72</c:v>
                </c:pt>
              </c:numCache>
            </c:numRef>
          </c:val>
        </c:ser>
        <c:dLbls>
          <c:showLegendKey val="0"/>
          <c:showVal val="0"/>
          <c:showCatName val="0"/>
          <c:showSerName val="0"/>
          <c:showPercent val="0"/>
          <c:showBubbleSize val="0"/>
        </c:dLbls>
        <c:gapWidth val="219"/>
        <c:overlap val="-27"/>
        <c:axId val="93820386"/>
        <c:axId val="406432981"/>
      </c:barChart>
      <c:catAx>
        <c:axId val="93820386"/>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406432981"/>
        <c:crosses val="autoZero"/>
        <c:auto val="1"/>
        <c:lblAlgn val="ctr"/>
        <c:lblOffset val="100"/>
        <c:noMultiLvlLbl val="0"/>
      </c:catAx>
      <c:valAx>
        <c:axId val="40643298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3820386"/>
        <c:crosses val="autoZero"/>
        <c:crossBetween val="between"/>
      </c:valAx>
      <c:spPr>
        <a:noFill/>
        <a:ln>
          <a:noFill/>
        </a:ln>
        <a:effectLst/>
      </c:spPr>
    </c:plotArea>
    <c:legend>
      <c:legendPos val="b"/>
      <c:layout>
        <c:manualLayout>
          <c:xMode val="edge"/>
          <c:yMode val="edge"/>
          <c:x val="0.658"/>
          <c:y val="0.3105"/>
          <c:w val="0.301875"/>
          <c:h val="0.384833333333333"/>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一般公共预算财政拨款支出决算变动             </a:t>
            </a:r>
            <a:r>
              <a:rPr sz="900"/>
              <a:t>单位：万元</a:t>
            </a:r>
            <a:endParaRPr sz="900"/>
          </a:p>
        </c:rich>
      </c:tx>
      <c:layout>
        <c:manualLayout>
          <c:xMode val="edge"/>
          <c:yMode val="edge"/>
          <c:x val="0.146625"/>
          <c:y val="0.02"/>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基本支出</c:v>
                </c:pt>
              </c:strCache>
            </c:strRef>
          </c:tx>
          <c:spPr>
            <a:solidFill>
              <a:schemeClr val="accent1"/>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213.03</c:v>
                </c:pt>
                <c:pt idx="1">
                  <c:v>28.89</c:v>
                </c:pt>
                <c:pt idx="2">
                  <c:v>13.12</c:v>
                </c:pt>
                <c:pt idx="3">
                  <c:v>20.72</c:v>
                </c:pt>
              </c:numCache>
            </c:numRef>
          </c:val>
        </c:ser>
        <c:ser>
          <c:idx val="1"/>
          <c:order val="1"/>
          <c:tx>
            <c:strRef>
              <c:f>Sheet1!$C$1</c:f>
              <c:strCache>
                <c:ptCount val="1"/>
                <c:pt idx="0">
                  <c:v>项目支出</c:v>
                </c:pt>
              </c:strCache>
            </c:strRef>
          </c:tx>
          <c:spPr>
            <a:solidFill>
              <a:schemeClr val="accent2"/>
            </a:solidFill>
            <a:ln>
              <a:noFill/>
            </a:ln>
            <a:effectLst/>
          </c:spPr>
          <c:invertIfNegative val="0"/>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Sheet1!$C$2:$C$5</c:f>
              <c:numCache>
                <c:formatCode>General</c:formatCode>
                <c:ptCount val="4"/>
                <c:pt idx="0">
                  <c:v>288.5</c:v>
                </c:pt>
              </c:numCache>
            </c:numRef>
          </c:val>
        </c:ser>
        <c:dLbls>
          <c:showLegendKey val="0"/>
          <c:showVal val="1"/>
          <c:showCatName val="0"/>
          <c:showSerName val="0"/>
          <c:showPercent val="0"/>
          <c:showBubbleSize val="0"/>
        </c:dLbls>
        <c:gapWidth val="219"/>
        <c:overlap val="-27"/>
        <c:axId val="736049617"/>
        <c:axId val="532929660"/>
      </c:barChart>
      <c:catAx>
        <c:axId val="736049617"/>
        <c:scaling>
          <c:orientation val="minMax"/>
        </c:scaling>
        <c:delete val="0"/>
        <c:axPos val="b"/>
        <c:minorGridlines>
          <c:spPr>
            <a:ln w="9525" cap="flat" cmpd="sng" algn="ctr">
              <a:solidFill>
                <a:schemeClr val="tx1">
                  <a:lumMod val="5000"/>
                  <a:lumOff val="95000"/>
                </a:schemeClr>
              </a:solidFill>
              <a:round/>
            </a:ln>
            <a:effectLst/>
          </c:spPr>
        </c:minorGridlines>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32929660"/>
        <c:crosses val="autoZero"/>
        <c:auto val="1"/>
        <c:lblAlgn val="ctr"/>
        <c:lblOffset val="100"/>
        <c:noMultiLvlLbl val="0"/>
      </c:catAx>
      <c:valAx>
        <c:axId val="53292966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736049617"/>
        <c:crosses val="autoZero"/>
        <c:crossBetween val="between"/>
      </c:valAx>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一般公共预算财政拨款支出决算                  </a:t>
            </a:r>
            <a:r>
              <a:rPr sz="900"/>
              <a:t>单位：万元</a:t>
            </a:r>
            <a:endParaRPr sz="900"/>
          </a:p>
        </c:rich>
      </c:tx>
      <c:layout>
        <c:manualLayout>
          <c:xMode val="edge"/>
          <c:yMode val="edge"/>
          <c:x val="0.1335"/>
          <c:y val="0.01"/>
        </c:manualLayout>
      </c:layout>
      <c:overlay val="0"/>
      <c:spPr>
        <a:noFill/>
        <a:ln>
          <a:noFill/>
        </a:ln>
        <a:effectLst/>
      </c:spPr>
    </c:title>
    <c:autoTitleDeleted val="0"/>
    <c:plotArea>
      <c:layout/>
      <c:pieChart>
        <c:varyColors val="1"/>
        <c:ser>
          <c:idx val="0"/>
          <c:order val="0"/>
          <c:tx>
            <c:strRef>
              <c:f>Sheet1!$B$1</c:f>
              <c:strCache>
                <c:ptCount val="1"/>
                <c:pt idx="0">
                  <c:v>2021年一般公共预算财政拨款支出</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Lbls>
            <c:dLbl>
              <c:idx val="1"/>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208"/>
                      <c:h val="0.133166666666667"/>
                    </c:manualLayout>
                  </c15:layout>
                </c:ext>
              </c:extLst>
            </c:dLbl>
            <c:dLbl>
              <c:idx val="2"/>
              <c:layout/>
              <c:dLblPos val="ctr"/>
              <c:showLegendKey val="0"/>
              <c:showVal val="0"/>
              <c:showCatName val="0"/>
              <c:showSerName val="0"/>
              <c:showPercent val="1"/>
              <c:showBubbleSize val="0"/>
              <c:separator>
</c:separator>
              <c:extLst>
                <c:ext xmlns:c15="http://schemas.microsoft.com/office/drawing/2012/chart" uri="{CE6537A1-D6FC-4f65-9D91-7224C49458BB}">
                  <c15:layout>
                    <c:manualLayout>
                      <c:w val="0.096125"/>
                      <c:h val="0.0443333333333333"/>
                    </c:manualLayout>
                  </c15:layout>
                </c:ext>
              </c:extLst>
            </c:dLbl>
            <c:dLbl>
              <c:idx val="3"/>
              <c:layout>
                <c:manualLayout>
                  <c:x val="0.0122804993049556"/>
                  <c:y val="-0.005038255630578"/>
                </c:manualLayout>
              </c:layout>
              <c:dLblPos val="bestFit"/>
              <c:showLegendKey val="0"/>
              <c:showVal val="0"/>
              <c:showCatName val="0"/>
              <c:showSerName val="0"/>
              <c:showPercent val="1"/>
              <c:showBubbleSize val="0"/>
              <c:separator>
</c:separator>
              <c:extLst>
                <c:ext xmlns:c15="http://schemas.microsoft.com/office/drawing/2012/chart" uri="{CE6537A1-D6FC-4f65-9D91-7224C49458BB}">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eparator>
</c:separator>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Sheet1!$A$2:$A$5</c:f>
              <c:strCache>
                <c:ptCount val="4"/>
                <c:pt idx="0">
                  <c:v>一般公共服务支出</c:v>
                </c:pt>
                <c:pt idx="1">
                  <c:v>社会保障和就业支出</c:v>
                </c:pt>
                <c:pt idx="2">
                  <c:v>卫生健康支出</c:v>
                </c:pt>
                <c:pt idx="3">
                  <c:v>住房保障支出</c:v>
                </c:pt>
              </c:strCache>
            </c:strRef>
          </c:cat>
          <c:val>
            <c:numRef>
              <c:f>Sheet1!$B$2:$B$5</c:f>
              <c:numCache>
                <c:formatCode>General</c:formatCode>
                <c:ptCount val="4"/>
                <c:pt idx="0">
                  <c:v>441.53</c:v>
                </c:pt>
                <c:pt idx="1">
                  <c:v>28.89</c:v>
                </c:pt>
                <c:pt idx="2">
                  <c:v>13.12</c:v>
                </c:pt>
                <c:pt idx="3">
                  <c:v>20.72</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0" i="0" u="none" strike="noStrike" kern="1200" spc="0" baseline="0">
                <a:solidFill>
                  <a:schemeClr val="tx1">
                    <a:lumMod val="65000"/>
                    <a:lumOff val="35000"/>
                  </a:schemeClr>
                </a:solidFill>
                <a:latin typeface="+mn-lt"/>
                <a:ea typeface="+mn-ea"/>
                <a:cs typeface="+mn-cs"/>
              </a:defRPr>
            </a:pPr>
            <a:r>
              <a:t>“三公”经费财政拨款支出                   </a:t>
            </a:r>
            <a:r>
              <a:rPr sz="900"/>
              <a:t>         单位：万元</a:t>
            </a:r>
            <a:endParaRPr sz="900"/>
          </a:p>
        </c:rich>
      </c:tx>
      <c:layout>
        <c:manualLayout>
          <c:xMode val="edge"/>
          <c:yMode val="edge"/>
          <c:x val="0.222875"/>
          <c:y val="0.02"/>
        </c:manualLayout>
      </c:layout>
      <c:overlay val="0"/>
      <c:spPr>
        <a:noFill/>
        <a:ln>
          <a:noFill/>
        </a:ln>
        <a:effectLst/>
      </c:spPr>
    </c:title>
    <c:autoTitleDeleted val="0"/>
    <c:plotArea>
      <c:layout>
        <c:manualLayout>
          <c:layoutTarget val="inner"/>
          <c:xMode val="edge"/>
          <c:yMode val="edge"/>
          <c:x val="0.20925"/>
          <c:y val="0.125"/>
          <c:w val="0.57025"/>
          <c:h val="0.760333333333333"/>
        </c:manualLayout>
      </c:layout>
      <c:pieChart>
        <c:varyColors val="1"/>
        <c:ser>
          <c:idx val="0"/>
          <c:order val="0"/>
          <c:tx>
            <c:strRef>
              <c:f>Sheet1!$B$1</c:f>
              <c:strCache>
                <c:ptCount val="1"/>
                <c:pt idx="0">
                  <c:v>三公经费</c:v>
                </c:pt>
              </c:strCache>
            </c:strRef>
          </c:tx>
          <c:spPr/>
          <c:explosion val="0"/>
          <c:dPt>
            <c:idx val="0"/>
            <c:bubble3D val="0"/>
            <c:spPr>
              <a:solidFill>
                <a:schemeClr val="accent1"/>
              </a:solidFill>
              <a:ln w="19050">
                <a:solidFill>
                  <a:schemeClr val="lt1"/>
                </a:solidFill>
              </a:ln>
              <a:effectLst/>
            </c:spPr>
          </c:dPt>
          <c:dPt>
            <c:idx val="1"/>
            <c:bubble3D val="0"/>
            <c:explosion val="0"/>
            <c:spPr>
              <a:solidFill>
                <a:schemeClr val="accent2"/>
              </a:solidFill>
              <a:ln w="19050">
                <a:solidFill>
                  <a:schemeClr val="lt1"/>
                </a:solidFill>
              </a:ln>
              <a:effectLst/>
            </c:spPr>
          </c:dPt>
          <c:dLbls>
            <c:dLbl>
              <c:idx val="1"/>
              <c:layout>
                <c:manualLayout>
                  <c:x val="0.0044667522982229"/>
                  <c:y val="0.107821952540689"/>
                </c:manualLayout>
              </c:layout>
              <c:dLblPos val="bestFit"/>
              <c:showLegendKey val="0"/>
              <c:showVal val="0"/>
              <c:showCatName val="0"/>
              <c:showSerName val="0"/>
              <c:showPercent val="1"/>
              <c:showBubbleSize val="0"/>
              <c:extLst>
                <c:ext xmlns:c15="http://schemas.microsoft.com/office/drawing/2012/chart" uri="{CE6537A1-D6FC-4f65-9D91-7224C49458BB}">
                  <c15:layout>
                    <c:manualLayout>
                      <c:w val="0.070875"/>
                      <c:h val="0.0513333333333333"/>
                    </c:manualLayout>
                  </c15:layout>
                </c:ext>
              </c:extLst>
            </c:dLbl>
            <c:numFmt formatCode="0.00%" sourceLinked="0"/>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ctr"/>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公务用车运行维护费</c:v>
                </c:pt>
                <c:pt idx="1">
                  <c:v>公务接待费</c:v>
                </c:pt>
              </c:strCache>
            </c:strRef>
          </c:cat>
          <c:val>
            <c:numRef>
              <c:f>Sheet1!$B$2:$B$3</c:f>
              <c:numCache>
                <c:formatCode>General</c:formatCode>
                <c:ptCount val="2"/>
                <c:pt idx="0">
                  <c:v>7.06</c:v>
                </c:pt>
                <c:pt idx="1">
                  <c:v>0.08</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r"/>
      <c:layout>
        <c:manualLayout>
          <c:xMode val="edge"/>
          <c:yMode val="edge"/>
          <c:x val="0.757"/>
          <c:y val="0.25225"/>
        </c:manualLayou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39</Pages>
  <Words>15147</Words>
  <Characters>16461</Characters>
  <Lines>0</Lines>
  <Paragraphs>0</Paragraphs>
  <TotalTime>199</TotalTime>
  <ScaleCrop>false</ScaleCrop>
  <LinksUpToDate>false</LinksUpToDate>
  <CharactersWithSpaces>16586</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2022-10-11T11:49:00Z</dcterms:created>
  <dc:creator>浮若年华1386906398</dc:creator>
  <cp:lastModifiedBy>Administrator</cp:lastModifiedBy>
  <cp:lastPrinted>2022-10-19T06:59:11Z</cp:lastPrinted>
  <dcterms:modified xsi:type="dcterms:W3CDTF">2022-10-19T07:00:03Z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2A135249AE0441DC9ED5FEB0304021A4</vt:lpwstr>
  </property>
</Properties>
</file>