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96475"/>
      <w:bookmarkStart w:id="3" w:name="_Toc15377193"/>
      <w:bookmarkStart w:id="4" w:name="_Toc15378441"/>
      <w:bookmarkStart w:id="5" w:name="_Toc15377425"/>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77194"/>
      <w:bookmarkStart w:id="9" w:name="_Toc15396476"/>
      <w:bookmarkStart w:id="10" w:name="_Toc15396598"/>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rPr>
        <w:t>壤塘县</w:t>
      </w:r>
    </w:p>
    <w:p>
      <w:pPr>
        <w:jc w:val="center"/>
        <w:rPr>
          <w:rFonts w:ascii="方正小标宋简体" w:eastAsia="方正小标宋简体"/>
          <w:sz w:val="72"/>
          <w:szCs w:val="72"/>
        </w:rPr>
      </w:pPr>
      <w:r>
        <w:rPr>
          <w:rFonts w:hint="eastAsia" w:ascii="方正小标宋简体" w:eastAsia="方正小标宋简体"/>
          <w:sz w:val="72"/>
          <w:szCs w:val="72"/>
        </w:rPr>
        <w:t>统计局部门决算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r>
        <w:rPr>
          <w:rFonts w:hint="eastAsia" w:ascii="方正小标宋简体" w:hAnsi="宋体" w:eastAsia="方正小标宋简体"/>
          <w:sz w:val="36"/>
          <w:szCs w:val="36"/>
        </w:rPr>
        <w:t xml:space="preserve">  </w:t>
      </w: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公开时间：2022年10月21日</w:t>
      </w:r>
    </w:p>
    <w:p>
      <w:pPr>
        <w:pStyle w:val="14"/>
        <w:tabs>
          <w:tab w:val="right" w:leader="dot" w:pos="8306"/>
        </w:tabs>
        <w:rPr>
          <w:rFonts w:ascii="宋体" w:hAnsi="宋体" w:eastAsia="宋体" w:cs="宋体"/>
          <w:sz w:val="24"/>
          <w:szCs w:val="24"/>
        </w:rPr>
      </w:pPr>
      <w:r>
        <w:rPr>
          <w:rFonts w:hint="eastAsia" w:ascii="宋体" w:hAnsi="宋体" w:eastAsia="宋体" w:cs="宋体"/>
          <w:b w:val="0"/>
          <w:bCs w:val="0"/>
          <w:caps w:val="0"/>
          <w:sz w:val="24"/>
          <w:szCs w:val="24"/>
        </w:rPr>
        <w:fldChar w:fldCharType="begin"/>
      </w:r>
      <w:r>
        <w:rPr>
          <w:rFonts w:hint="eastAsia" w:ascii="宋体" w:hAnsi="宋体" w:eastAsia="宋体" w:cs="宋体"/>
          <w:b w:val="0"/>
          <w:bCs w:val="0"/>
          <w:caps w:val="0"/>
          <w:sz w:val="24"/>
          <w:szCs w:val="24"/>
        </w:rPr>
        <w:instrText xml:space="preserve"> TOC \o \u </w:instrText>
      </w:r>
      <w:r>
        <w:rPr>
          <w:rFonts w:hint="eastAsia" w:ascii="宋体" w:hAnsi="宋体" w:eastAsia="宋体" w:cs="宋体"/>
          <w:b w:val="0"/>
          <w:bCs w:val="0"/>
          <w:caps w:val="0"/>
          <w:sz w:val="24"/>
          <w:szCs w:val="24"/>
        </w:rPr>
        <w:fldChar w:fldCharType="separate"/>
      </w:r>
      <w:r>
        <w:rPr>
          <w:rFonts w:hint="eastAsia" w:ascii="宋体" w:hAnsi="宋体" w:eastAsia="宋体" w:cs="宋体"/>
          <w:sz w:val="24"/>
          <w:szCs w:val="24"/>
        </w:rPr>
        <w:t xml:space="preserve">第一部分 </w:t>
      </w:r>
      <w:r>
        <w:rPr>
          <w:rFonts w:hint="eastAsia" w:ascii="宋体" w:hAnsi="宋体" w:eastAsia="宋体" w:cs="宋体"/>
          <w:bCs w:val="0"/>
          <w:sz w:val="24"/>
          <w:szCs w:val="24"/>
        </w:rPr>
        <w:t>部门概况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_Toc15224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一、基</w:t>
      </w:r>
      <w:r>
        <w:rPr>
          <w:rFonts w:hint="eastAsia" w:ascii="宋体" w:hAnsi="宋体" w:eastAsia="宋体" w:cs="宋体"/>
          <w:sz w:val="24"/>
          <w:szCs w:val="24"/>
        </w:rPr>
        <w:t>本职能及主要工作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_Toc14424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bCs/>
          <w:i w:val="0"/>
          <w:iCs w:val="0"/>
          <w:color w:val="000000"/>
          <w:sz w:val="24"/>
          <w:szCs w:val="24"/>
        </w:rPr>
        <w:t>（一）主要职能。</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_Toc22378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4</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bCs/>
          <w:i w:val="0"/>
          <w:iCs w:val="0"/>
          <w:color w:val="000000"/>
          <w:sz w:val="24"/>
          <w:szCs w:val="24"/>
        </w:rPr>
        <w:t>（二）2021年重点工作完成情况。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_Toc23695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w:t>
      </w:r>
      <w:r>
        <w:rPr>
          <w:rFonts w:hint="eastAsia" w:ascii="宋体" w:hAnsi="宋体" w:eastAsia="宋体" w:cs="宋体"/>
          <w:i w:val="0"/>
          <w:iCs w:val="0"/>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 xml:space="preserve">二、 </w:t>
      </w:r>
      <w:r>
        <w:rPr>
          <w:rFonts w:hint="eastAsia" w:ascii="宋体" w:hAnsi="宋体" w:eastAsia="宋体" w:cs="宋体"/>
          <w:color w:val="000000"/>
          <w:sz w:val="24"/>
          <w:szCs w:val="24"/>
        </w:rPr>
        <w:t>机</w:t>
      </w:r>
      <w:r>
        <w:rPr>
          <w:rFonts w:hint="eastAsia" w:ascii="宋体" w:hAnsi="宋体" w:eastAsia="宋体" w:cs="宋体"/>
          <w:sz w:val="24"/>
          <w:szCs w:val="24"/>
        </w:rPr>
        <w:t>构设置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_Toc31683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bCs/>
          <w:i w:val="0"/>
          <w:iCs w:val="0"/>
          <w:kern w:val="0"/>
          <w:sz w:val="24"/>
          <w:szCs w:val="24"/>
        </w:rPr>
        <w:t>1.职能股室设置</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_Toc20782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bCs/>
          <w:i w:val="0"/>
          <w:iCs w:val="0"/>
          <w:kern w:val="0"/>
          <w:sz w:val="24"/>
          <w:szCs w:val="24"/>
        </w:rPr>
        <w:t>2.人员情况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_Toc15113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p>
    <w:p>
      <w:pPr>
        <w:pStyle w:val="14"/>
        <w:tabs>
          <w:tab w:val="right" w:leader="dot" w:pos="8306"/>
        </w:tabs>
        <w:rPr>
          <w:rFonts w:ascii="宋体" w:hAnsi="宋体" w:eastAsia="宋体" w:cs="宋体"/>
          <w:sz w:val="24"/>
          <w:szCs w:val="24"/>
        </w:rPr>
      </w:pPr>
      <w:r>
        <w:rPr>
          <w:rFonts w:hint="eastAsia" w:ascii="宋体" w:hAnsi="宋体" w:eastAsia="宋体" w:cs="宋体"/>
          <w:color w:val="000000"/>
          <w:sz w:val="24"/>
          <w:szCs w:val="24"/>
        </w:rPr>
        <w:t xml:space="preserve">第二部分 </w:t>
      </w:r>
      <w:r>
        <w:rPr>
          <w:rFonts w:hint="eastAsia" w:ascii="宋体" w:hAnsi="宋体" w:eastAsia="宋体" w:cs="宋体"/>
          <w:bCs w:val="0"/>
          <w:sz w:val="24"/>
          <w:szCs w:val="24"/>
        </w:rPr>
        <w:t>2021年度部门决算情况说明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_Toc30104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 xml:space="preserve">一、 </w:t>
      </w:r>
      <w:r>
        <w:rPr>
          <w:rFonts w:hint="eastAsia" w:ascii="宋体" w:hAnsi="宋体" w:eastAsia="宋体" w:cs="宋体"/>
          <w:color w:val="000000"/>
          <w:sz w:val="24"/>
          <w:szCs w:val="24"/>
        </w:rPr>
        <w:t>收</w:t>
      </w:r>
      <w:r>
        <w:rPr>
          <w:rFonts w:hint="eastAsia" w:ascii="宋体" w:hAnsi="宋体" w:eastAsia="宋体" w:cs="宋体"/>
          <w:sz w:val="24"/>
          <w:szCs w:val="24"/>
        </w:rPr>
        <w:t>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_Toc31292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 xml:space="preserve">二、 </w:t>
      </w:r>
      <w:r>
        <w:rPr>
          <w:rFonts w:hint="eastAsia" w:ascii="宋体" w:hAnsi="宋体" w:eastAsia="宋体" w:cs="宋体"/>
          <w:color w:val="000000"/>
          <w:sz w:val="24"/>
          <w:szCs w:val="24"/>
        </w:rPr>
        <w:t>收</w:t>
      </w:r>
      <w:r>
        <w:rPr>
          <w:rFonts w:hint="eastAsia" w:ascii="宋体" w:hAnsi="宋体" w:eastAsia="宋体" w:cs="宋体"/>
          <w:sz w:val="24"/>
          <w:szCs w:val="24"/>
        </w:rPr>
        <w:t>入决算情况说明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_Toc14665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 xml:space="preserve">三、 </w:t>
      </w:r>
      <w:r>
        <w:rPr>
          <w:rFonts w:hint="eastAsia" w:ascii="宋体" w:hAnsi="宋体" w:eastAsia="宋体" w:cs="宋体"/>
          <w:color w:val="000000"/>
          <w:sz w:val="24"/>
          <w:szCs w:val="24"/>
        </w:rPr>
        <w:t>支</w:t>
      </w:r>
      <w:r>
        <w:rPr>
          <w:rFonts w:hint="eastAsia" w:ascii="宋体" w:hAnsi="宋体" w:eastAsia="宋体" w:cs="宋体"/>
          <w:sz w:val="24"/>
          <w:szCs w:val="24"/>
        </w:rPr>
        <w:t>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_Toc5985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四、财</w:t>
      </w:r>
      <w:r>
        <w:rPr>
          <w:rFonts w:hint="eastAsia" w:ascii="宋体" w:hAnsi="宋体" w:eastAsia="宋体" w:cs="宋体"/>
          <w:sz w:val="24"/>
          <w:szCs w:val="24"/>
        </w:rPr>
        <w:t>政拨款收入支出决算总体情况说明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_Toc25803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五、一</w:t>
      </w:r>
      <w:r>
        <w:rPr>
          <w:rFonts w:hint="eastAsia" w:ascii="宋体" w:hAnsi="宋体" w:eastAsia="宋体" w:cs="宋体"/>
          <w:sz w:val="24"/>
          <w:szCs w:val="24"/>
        </w:rPr>
        <w:t>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_Toc22828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（一）一般公共预算财政拨款支出决算总体情况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_Toc27427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14</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（二）一般公共预算财政拨款支出决算结构情况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_Toc6429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15</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（三）一般公共预算财政拨款支出决算具体情况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_Toc4094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16</w:t>
      </w:r>
      <w:r>
        <w:rPr>
          <w:rFonts w:hint="eastAsia" w:ascii="宋体" w:hAnsi="宋体" w:eastAsia="宋体" w:cs="宋体"/>
          <w:i w:val="0"/>
          <w:iCs w:val="0"/>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六、一</w:t>
      </w:r>
      <w:r>
        <w:rPr>
          <w:rFonts w:hint="eastAsia" w:ascii="宋体" w:hAnsi="宋体" w:eastAsia="宋体" w:cs="宋体"/>
          <w:sz w:val="24"/>
          <w:szCs w:val="24"/>
        </w:rPr>
        <w:t>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_Toc25504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七、</w:t>
      </w:r>
      <w:r>
        <w:rPr>
          <w:rFonts w:hint="eastAsia" w:ascii="宋体" w:hAnsi="宋体" w:eastAsia="宋体" w:cs="宋体"/>
          <w:sz w:val="24"/>
          <w:szCs w:val="24"/>
        </w:rPr>
        <w:t>“三公”经费财政拨款支出决算情况说明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_Toc20448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（一）“三公”经费财政拨款支出决算总体情况说明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_Toc26077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17</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（二）“三公”经费财政拨款支出决算具体情况说明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_Toc8990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17</w:t>
      </w:r>
      <w:r>
        <w:rPr>
          <w:rFonts w:hint="eastAsia" w:ascii="宋体" w:hAnsi="宋体" w:eastAsia="宋体" w:cs="宋体"/>
          <w:i w:val="0"/>
          <w:iCs w:val="0"/>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八、</w:t>
      </w:r>
      <w:r>
        <w:rPr>
          <w:rFonts w:hint="eastAsia" w:ascii="宋体" w:hAnsi="宋体" w:eastAsia="宋体" w:cs="宋体"/>
          <w:sz w:val="24"/>
          <w:szCs w:val="24"/>
        </w:rPr>
        <w:t>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_Toc32609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九、 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_Toc14710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十</w:t>
      </w:r>
      <w:r>
        <w:rPr>
          <w:rFonts w:hint="eastAsia" w:ascii="宋体" w:hAnsi="宋体" w:eastAsia="宋体" w:cs="宋体"/>
          <w:sz w:val="24"/>
          <w:szCs w:val="24"/>
        </w:rPr>
        <w:t>、其他重要事项的情况说明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_Toc15822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（一）机关运行经费支出情况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_Toc31604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19</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sz w:val="24"/>
          <w:szCs w:val="24"/>
        </w:rPr>
        <w:t>（二）国有资产占有使用情况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_Toc31526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19</w:t>
      </w:r>
      <w:r>
        <w:rPr>
          <w:rFonts w:hint="eastAsia" w:ascii="宋体" w:hAnsi="宋体" w:eastAsia="宋体" w:cs="宋体"/>
          <w:i w:val="0"/>
          <w:iCs w:val="0"/>
          <w:sz w:val="24"/>
          <w:szCs w:val="24"/>
        </w:rPr>
        <w:fldChar w:fldCharType="end"/>
      </w:r>
    </w:p>
    <w:p>
      <w:pPr>
        <w:pStyle w:val="14"/>
        <w:tabs>
          <w:tab w:val="right" w:leader="dot" w:pos="8306"/>
        </w:tabs>
        <w:rPr>
          <w:rFonts w:ascii="宋体" w:hAnsi="宋体" w:eastAsia="宋体" w:cs="宋体"/>
          <w:sz w:val="24"/>
          <w:szCs w:val="24"/>
        </w:rPr>
      </w:pPr>
      <w:r>
        <w:rPr>
          <w:rFonts w:hint="eastAsia" w:ascii="宋体" w:hAnsi="宋体" w:eastAsia="宋体" w:cs="宋体"/>
          <w:sz w:val="24"/>
          <w:szCs w:val="24"/>
        </w:rPr>
        <w:t xml:space="preserve">第三部分 </w:t>
      </w:r>
      <w:r>
        <w:rPr>
          <w:rFonts w:hint="eastAsia" w:ascii="宋体" w:hAnsi="宋体" w:eastAsia="宋体" w:cs="宋体"/>
          <w:color w:val="000000"/>
          <w:sz w:val="24"/>
          <w:szCs w:val="24"/>
        </w:rPr>
        <w:t>名</w:t>
      </w:r>
      <w:r>
        <w:rPr>
          <w:rFonts w:hint="eastAsia" w:ascii="宋体" w:hAnsi="宋体" w:eastAsia="宋体" w:cs="宋体"/>
          <w:sz w:val="24"/>
          <w:szCs w:val="24"/>
        </w:rPr>
        <w:t>词解释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_Toc18448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p>
    <w:p>
      <w:pPr>
        <w:pStyle w:val="14"/>
        <w:tabs>
          <w:tab w:val="right" w:leader="dot" w:pos="8306"/>
        </w:tabs>
        <w:rPr>
          <w:rFonts w:ascii="宋体" w:hAnsi="宋体" w:eastAsia="宋体" w:cs="宋体"/>
          <w:sz w:val="24"/>
          <w:szCs w:val="24"/>
        </w:rPr>
      </w:pPr>
      <w:r>
        <w:rPr>
          <w:rFonts w:hint="eastAsia" w:ascii="宋体" w:hAnsi="宋体" w:eastAsia="宋体" w:cs="宋体"/>
          <w:color w:val="000000"/>
          <w:sz w:val="24"/>
          <w:szCs w:val="24"/>
        </w:rPr>
        <w:t>第</w:t>
      </w:r>
      <w:r>
        <w:rPr>
          <w:rFonts w:hint="eastAsia" w:ascii="宋体" w:hAnsi="宋体" w:eastAsia="宋体" w:cs="宋体"/>
          <w:sz w:val="24"/>
          <w:szCs w:val="24"/>
        </w:rPr>
        <w:t>四部分 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_Toc23421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p>
    <w:p>
      <w:pPr>
        <w:pStyle w:val="14"/>
        <w:tabs>
          <w:tab w:val="right" w:leader="dot" w:pos="8306"/>
        </w:tabs>
        <w:rPr>
          <w:rFonts w:ascii="宋体" w:hAnsi="宋体" w:eastAsia="宋体" w:cs="宋体"/>
          <w:sz w:val="24"/>
          <w:szCs w:val="24"/>
        </w:rPr>
      </w:pPr>
      <w:r>
        <w:rPr>
          <w:rFonts w:hint="eastAsia" w:ascii="宋体" w:hAnsi="宋体" w:eastAsia="宋体" w:cs="宋体"/>
          <w:sz w:val="24"/>
          <w:szCs w:val="24"/>
        </w:rPr>
        <w:t>壤塘县统计局2021年部门整体支出绩效评价报告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_Toc22567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kern w:val="0"/>
          <w:sz w:val="24"/>
          <w:szCs w:val="24"/>
          <w:shd w:val="clear" w:color="auto" w:fill="FFFFFF"/>
        </w:rPr>
        <w:t>一、</w:t>
      </w:r>
      <w:r>
        <w:rPr>
          <w:rFonts w:hint="eastAsia" w:ascii="宋体" w:hAnsi="宋体" w:eastAsia="宋体" w:cs="宋体"/>
          <w:color w:val="000000"/>
          <w:kern w:val="0"/>
          <w:sz w:val="24"/>
          <w:szCs w:val="24"/>
          <w:shd w:val="clear" w:color="auto" w:fill="FFFFFF"/>
          <w:lang w:val="zh-CN"/>
        </w:rPr>
        <w:t>部门（单位）概况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_Toc3337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（一）机构组成</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_Toc16053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22</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（二） 机构职能</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_Toc1517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22</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（三）人员概况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_Toc29698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23</w:t>
      </w:r>
      <w:r>
        <w:rPr>
          <w:rFonts w:hint="eastAsia" w:ascii="宋体" w:hAnsi="宋体" w:eastAsia="宋体" w:cs="宋体"/>
          <w:i w:val="0"/>
          <w:iCs w:val="0"/>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kern w:val="0"/>
          <w:sz w:val="24"/>
          <w:szCs w:val="24"/>
          <w:shd w:val="clear" w:color="auto" w:fill="FFFFFF"/>
        </w:rPr>
        <w:t>二、部门财政资金收支情况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_Toc5432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（一）部门财政资金收入情况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_Toc2852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23</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（二）部门财政资金支出情况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_Toc2279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24</w:t>
      </w:r>
      <w:r>
        <w:rPr>
          <w:rFonts w:hint="eastAsia" w:ascii="宋体" w:hAnsi="宋体" w:eastAsia="宋体" w:cs="宋体"/>
          <w:i w:val="0"/>
          <w:iCs w:val="0"/>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kern w:val="0"/>
          <w:sz w:val="24"/>
          <w:szCs w:val="24"/>
          <w:shd w:val="clear" w:color="auto" w:fill="FFFFFF"/>
        </w:rPr>
        <w:t>三、部门整体预算绩效管理情况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_Toc27768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（一）部门预算管理。</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_Toc30957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24</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（二）结果应用情况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_Toc1283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24</w:t>
      </w:r>
      <w:r>
        <w:rPr>
          <w:rFonts w:hint="eastAsia" w:ascii="宋体" w:hAnsi="宋体" w:eastAsia="宋体" w:cs="宋体"/>
          <w:i w:val="0"/>
          <w:iCs w:val="0"/>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kern w:val="0"/>
          <w:sz w:val="24"/>
          <w:szCs w:val="24"/>
          <w:shd w:val="clear" w:color="auto" w:fill="FFFFFF"/>
          <w:lang w:val="zh-CN"/>
        </w:rPr>
        <w:t>四、评价结论及建议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_Toc1937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（一）评价结论</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_Toc6629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25</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（二） 存在问题</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_Toc10656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25</w:t>
      </w:r>
      <w:r>
        <w:rPr>
          <w:rFonts w:hint="eastAsia" w:ascii="宋体" w:hAnsi="宋体" w:eastAsia="宋体" w:cs="宋体"/>
          <w:i w:val="0"/>
          <w:iCs w:val="0"/>
          <w:sz w:val="24"/>
          <w:szCs w:val="24"/>
        </w:rPr>
        <w:fldChar w:fldCharType="end"/>
      </w:r>
    </w:p>
    <w:p>
      <w:pPr>
        <w:pStyle w:val="9"/>
        <w:tabs>
          <w:tab w:val="right" w:leader="dot" w:pos="8306"/>
        </w:tabs>
        <w:rPr>
          <w:rFonts w:ascii="宋体" w:hAnsi="宋体" w:eastAsia="宋体" w:cs="宋体"/>
          <w:i w:val="0"/>
          <w:iCs w:val="0"/>
          <w:sz w:val="24"/>
          <w:szCs w:val="24"/>
        </w:rPr>
      </w:pPr>
      <w:r>
        <w:rPr>
          <w:rFonts w:hint="eastAsia" w:ascii="宋体" w:hAnsi="宋体" w:eastAsia="宋体" w:cs="宋体"/>
          <w:i w:val="0"/>
          <w:iCs w:val="0"/>
          <w:color w:val="000000"/>
          <w:kern w:val="0"/>
          <w:sz w:val="24"/>
          <w:szCs w:val="24"/>
          <w:shd w:val="clear" w:color="auto" w:fill="FFFFFF"/>
          <w:lang w:val="zh-CN"/>
        </w:rPr>
        <w:t>（三） 改进建议</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_Toc10297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25</w:t>
      </w:r>
      <w:r>
        <w:rPr>
          <w:rFonts w:hint="eastAsia" w:ascii="宋体" w:hAnsi="宋体" w:eastAsia="宋体" w:cs="宋体"/>
          <w:i w:val="0"/>
          <w:iCs w:val="0"/>
          <w:sz w:val="24"/>
          <w:szCs w:val="24"/>
        </w:rPr>
        <w:fldChar w:fldCharType="end"/>
      </w:r>
    </w:p>
    <w:p>
      <w:pPr>
        <w:pStyle w:val="14"/>
        <w:tabs>
          <w:tab w:val="right" w:leader="dot" w:pos="8306"/>
        </w:tabs>
        <w:rPr>
          <w:rFonts w:ascii="宋体" w:hAnsi="宋体" w:eastAsia="宋体" w:cs="宋体"/>
          <w:sz w:val="24"/>
          <w:szCs w:val="24"/>
        </w:rPr>
      </w:pPr>
      <w:r>
        <w:rPr>
          <w:rFonts w:hint="eastAsia" w:ascii="宋体" w:hAnsi="宋体" w:eastAsia="宋体" w:cs="宋体"/>
          <w:color w:val="000000"/>
          <w:sz w:val="24"/>
          <w:szCs w:val="24"/>
        </w:rPr>
        <w:t>第</w:t>
      </w:r>
      <w:r>
        <w:rPr>
          <w:rFonts w:hint="eastAsia" w:ascii="宋体" w:hAnsi="宋体" w:eastAsia="宋体" w:cs="宋体"/>
          <w:sz w:val="24"/>
          <w:szCs w:val="24"/>
        </w:rPr>
        <w:t>五部分 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_Toc23874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一、收</w:t>
      </w:r>
      <w:r>
        <w:rPr>
          <w:rFonts w:hint="eastAsia" w:ascii="宋体" w:hAnsi="宋体" w:eastAsia="宋体" w:cs="宋体"/>
          <w:sz w:val="24"/>
          <w:szCs w:val="24"/>
        </w:rPr>
        <w:t>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_Toc15639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color w:val="000000"/>
          <w:sz w:val="24"/>
          <w:szCs w:val="24"/>
        </w:rPr>
        <w:t>二、收</w:t>
      </w:r>
      <w:r>
        <w:rPr>
          <w:rFonts w:hint="eastAsia" w:ascii="宋体" w:hAnsi="宋体" w:eastAsia="宋体" w:cs="宋体"/>
          <w:sz w:val="24"/>
          <w:szCs w:val="24"/>
        </w:rPr>
        <w:t>入决算表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_Toc11387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color w:val="000000"/>
          <w:sz w:val="24"/>
          <w:szCs w:val="24"/>
        </w:rPr>
        <w:t>支</w:t>
      </w:r>
      <w:r>
        <w:rPr>
          <w:rFonts w:hint="eastAsia" w:ascii="宋体" w:hAnsi="宋体" w:eastAsia="宋体" w:cs="宋体"/>
          <w:sz w:val="24"/>
          <w:szCs w:val="24"/>
        </w:rPr>
        <w:t>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_Toc20121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color w:val="000000"/>
          <w:sz w:val="24"/>
          <w:szCs w:val="24"/>
        </w:rPr>
        <w:t>财</w:t>
      </w:r>
      <w:r>
        <w:rPr>
          <w:rFonts w:hint="eastAsia" w:ascii="宋体" w:hAnsi="宋体" w:eastAsia="宋体" w:cs="宋体"/>
          <w:sz w:val="24"/>
          <w:szCs w:val="24"/>
        </w:rPr>
        <w:t>政拨款收入支出决算总表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color w:val="000000"/>
          <w:sz w:val="24"/>
          <w:szCs w:val="24"/>
        </w:rPr>
        <w:t>财</w:t>
      </w:r>
      <w:r>
        <w:rPr>
          <w:rFonts w:hint="eastAsia" w:ascii="宋体" w:hAnsi="宋体" w:eastAsia="宋体" w:cs="宋体"/>
          <w:sz w:val="24"/>
          <w:szCs w:val="24"/>
        </w:rPr>
        <w:t>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_Toc9741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六、</w:t>
      </w:r>
      <w:r>
        <w:rPr>
          <w:rFonts w:hint="eastAsia" w:ascii="宋体" w:hAnsi="宋体" w:eastAsia="宋体" w:cs="宋体"/>
          <w:color w:val="000000"/>
          <w:sz w:val="24"/>
          <w:szCs w:val="24"/>
        </w:rPr>
        <w:t>一</w:t>
      </w:r>
      <w:r>
        <w:rPr>
          <w:rFonts w:hint="eastAsia" w:ascii="宋体" w:hAnsi="宋体" w:eastAsia="宋体" w:cs="宋体"/>
          <w:sz w:val="24"/>
          <w:szCs w:val="24"/>
        </w:rPr>
        <w:t>般公共预算财政拨款支出决算表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_Toc13838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七、</w:t>
      </w:r>
      <w:r>
        <w:rPr>
          <w:rFonts w:hint="eastAsia" w:ascii="宋体" w:hAnsi="宋体" w:eastAsia="宋体" w:cs="宋体"/>
          <w:color w:val="000000"/>
          <w:sz w:val="24"/>
          <w:szCs w:val="24"/>
        </w:rPr>
        <w:t>一</w:t>
      </w:r>
      <w:r>
        <w:rPr>
          <w:rFonts w:hint="eastAsia" w:ascii="宋体" w:hAnsi="宋体" w:eastAsia="宋体" w:cs="宋体"/>
          <w:sz w:val="24"/>
          <w:szCs w:val="24"/>
        </w:rPr>
        <w:t>般公共预算财政拨款支出决算明细表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_Toc11456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八、</w:t>
      </w:r>
      <w:r>
        <w:rPr>
          <w:rFonts w:hint="eastAsia" w:ascii="宋体" w:hAnsi="宋体" w:eastAsia="宋体" w:cs="宋体"/>
          <w:color w:val="000000"/>
          <w:sz w:val="24"/>
          <w:szCs w:val="24"/>
        </w:rPr>
        <w:t>一</w:t>
      </w:r>
      <w:r>
        <w:rPr>
          <w:rFonts w:hint="eastAsia" w:ascii="宋体" w:hAnsi="宋体" w:eastAsia="宋体" w:cs="宋体"/>
          <w:sz w:val="24"/>
          <w:szCs w:val="24"/>
        </w:rPr>
        <w:t>般公共预算财政拨款基本支出决算表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_Toc7356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九、</w:t>
      </w:r>
      <w:r>
        <w:rPr>
          <w:rFonts w:hint="eastAsia" w:ascii="宋体" w:hAnsi="宋体" w:eastAsia="宋体" w:cs="宋体"/>
          <w:color w:val="000000"/>
          <w:sz w:val="24"/>
          <w:szCs w:val="24"/>
        </w:rPr>
        <w:t>一</w:t>
      </w:r>
      <w:r>
        <w:rPr>
          <w:rFonts w:hint="eastAsia" w:ascii="宋体" w:hAnsi="宋体" w:eastAsia="宋体" w:cs="宋体"/>
          <w:sz w:val="24"/>
          <w:szCs w:val="24"/>
        </w:rPr>
        <w:t>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_Toc14334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color w:val="000000"/>
          <w:sz w:val="24"/>
          <w:szCs w:val="24"/>
        </w:rPr>
        <w:t>一</w:t>
      </w:r>
      <w:r>
        <w:rPr>
          <w:rFonts w:hint="eastAsia" w:ascii="宋体" w:hAnsi="宋体" w:eastAsia="宋体" w:cs="宋体"/>
          <w:sz w:val="24"/>
          <w:szCs w:val="24"/>
        </w:rPr>
        <w:t>般公共预算财政拨款“三公”经费支出决算表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_Toc11844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十一、</w:t>
      </w:r>
      <w:r>
        <w:rPr>
          <w:rFonts w:hint="eastAsia" w:ascii="宋体" w:hAnsi="宋体" w:eastAsia="宋体" w:cs="宋体"/>
          <w:color w:val="000000"/>
          <w:sz w:val="24"/>
          <w:szCs w:val="24"/>
        </w:rPr>
        <w:t>政</w:t>
      </w:r>
      <w:r>
        <w:rPr>
          <w:rFonts w:hint="eastAsia" w:ascii="宋体" w:hAnsi="宋体" w:eastAsia="宋体" w:cs="宋体"/>
          <w:sz w:val="24"/>
          <w:szCs w:val="24"/>
        </w:rPr>
        <w:t>府性基金预算财政拨款收入支出决算表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_Toc5696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十二、</w:t>
      </w:r>
      <w:r>
        <w:rPr>
          <w:rFonts w:hint="eastAsia" w:ascii="宋体" w:hAnsi="宋体" w:eastAsia="宋体" w:cs="宋体"/>
          <w:color w:val="000000"/>
          <w:sz w:val="24"/>
          <w:szCs w:val="24"/>
        </w:rPr>
        <w:t>政</w:t>
      </w:r>
      <w:r>
        <w:rPr>
          <w:rFonts w:hint="eastAsia" w:ascii="宋体" w:hAnsi="宋体" w:eastAsia="宋体" w:cs="宋体"/>
          <w:sz w:val="24"/>
          <w:szCs w:val="24"/>
        </w:rPr>
        <w:t>府性基金预算财政拨款“三公”经费支出决算表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_Toc21783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十三、</w:t>
      </w:r>
      <w:r>
        <w:rPr>
          <w:rFonts w:hint="eastAsia" w:ascii="宋体" w:hAnsi="宋体" w:eastAsia="宋体" w:cs="宋体"/>
          <w:color w:val="000000"/>
          <w:sz w:val="24"/>
          <w:szCs w:val="24"/>
        </w:rPr>
        <w:t>国</w:t>
      </w:r>
      <w:r>
        <w:rPr>
          <w:rFonts w:hint="eastAsia" w:ascii="宋体" w:hAnsi="宋体" w:eastAsia="宋体" w:cs="宋体"/>
          <w:sz w:val="24"/>
          <w:szCs w:val="24"/>
        </w:rPr>
        <w:t>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_Toc28318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pStyle w:val="17"/>
        <w:tabs>
          <w:tab w:val="right" w:leader="dot" w:pos="8306"/>
        </w:tabs>
        <w:rPr>
          <w:rFonts w:ascii="宋体" w:hAnsi="宋体" w:eastAsia="宋体" w:cs="宋体"/>
          <w:sz w:val="24"/>
          <w:szCs w:val="24"/>
        </w:rPr>
      </w:pPr>
      <w:r>
        <w:rPr>
          <w:rFonts w:hint="eastAsia" w:ascii="宋体" w:hAnsi="宋体" w:eastAsia="宋体" w:cs="宋体"/>
          <w:sz w:val="24"/>
          <w:szCs w:val="24"/>
        </w:rPr>
        <w:t>十四、国有资本经营预算财政拨款支出决算表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_Toc12437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p>
    <w:p>
      <w:pPr>
        <w:rPr>
          <w:rFonts w:ascii="仿宋" w:hAnsi="仿宋" w:eastAsia="仿宋"/>
          <w:bCs/>
          <w:kern w:val="44"/>
          <w:sz w:val="24"/>
        </w:rPr>
      </w:pPr>
      <w:r>
        <w:rPr>
          <w:rFonts w:hint="eastAsia" w:ascii="宋体" w:hAnsi="宋体" w:cs="宋体"/>
          <w:bCs/>
          <w:caps/>
          <w:sz w:val="24"/>
        </w:rPr>
        <w:fldChar w:fldCharType="end"/>
      </w:r>
      <w:bookmarkStart w:id="12" w:name="_Toc15396599"/>
      <w:bookmarkStart w:id="13" w:name="_Toc15377196"/>
      <w:r>
        <w:rPr>
          <w:rFonts w:ascii="仿宋" w:hAnsi="仿宋" w:eastAsia="仿宋"/>
          <w:b/>
          <w:sz w:val="24"/>
        </w:rPr>
        <w:br w:type="page"/>
      </w:r>
    </w:p>
    <w:p>
      <w:pPr>
        <w:pStyle w:val="2"/>
        <w:jc w:val="center"/>
        <w:rPr>
          <w:rStyle w:val="23"/>
          <w:rFonts w:ascii="黑体" w:hAnsi="黑体" w:eastAsia="黑体"/>
          <w:b/>
          <w:bCs w:val="0"/>
        </w:rPr>
      </w:pPr>
      <w:bookmarkStart w:id="14" w:name="_Toc15224"/>
      <w:bookmarkStart w:id="15" w:name="_Toc79163601"/>
      <w:r>
        <w:rPr>
          <w:rFonts w:hint="eastAsia" w:ascii="黑体" w:hAnsi="黑体" w:eastAsia="黑体"/>
          <w:b w:val="0"/>
        </w:rPr>
        <w:t>第一部分</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15377197"/>
      <w:bookmarkStart w:id="17" w:name="_Toc15396600"/>
      <w:bookmarkStart w:id="18" w:name="_Toc14424"/>
      <w:bookmarkStart w:id="19" w:name="_Toc7916360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7"/>
        <w:adjustRightInd w:val="0"/>
        <w:snapToGrid w:val="0"/>
        <w:spacing w:beforeLines="0" w:line="500" w:lineRule="exact"/>
        <w:ind w:firstLine="672" w:firstLineChars="210"/>
        <w:outlineLvl w:val="2"/>
        <w:rPr>
          <w:rFonts w:ascii="仿宋" w:hAnsi="仿宋" w:eastAsia="仿宋"/>
          <w:bCs/>
          <w:color w:val="000000"/>
          <w:sz w:val="32"/>
          <w:szCs w:val="32"/>
        </w:rPr>
      </w:pPr>
      <w:bookmarkStart w:id="20" w:name="_Toc79163603"/>
      <w:bookmarkStart w:id="21" w:name="_Toc22378"/>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widowControl/>
        <w:autoSpaceDN w:val="0"/>
        <w:spacing w:line="500" w:lineRule="exact"/>
        <w:ind w:firstLine="800" w:firstLineChars="250"/>
        <w:jc w:val="left"/>
        <w:rPr>
          <w:rFonts w:ascii="仿宋" w:hAnsi="仿宋" w:eastAsia="仿宋"/>
          <w:bCs/>
          <w:color w:val="000000"/>
          <w:kern w:val="0"/>
          <w:sz w:val="32"/>
          <w:szCs w:val="32"/>
          <w:lang w:val="zh-CN"/>
        </w:rPr>
      </w:pPr>
      <w:bookmarkStart w:id="24" w:name="_Toc15377199"/>
      <w:bookmarkStart w:id="25" w:name="_Toc79163604"/>
      <w:bookmarkStart w:id="26" w:name="_Toc15378446"/>
      <w:r>
        <w:rPr>
          <w:rFonts w:hint="eastAsia" w:ascii="仿宋" w:hAnsi="仿宋" w:eastAsia="仿宋"/>
          <w:bCs/>
          <w:color w:val="000000"/>
          <w:kern w:val="0"/>
          <w:sz w:val="32"/>
          <w:szCs w:val="32"/>
          <w:lang w:val="zh-CN"/>
        </w:rPr>
        <w:t>(1)贯彻执行国家统计工作的方针、政策和法律、法规以及统计制度、统计标准,承担组织领导和协调全县统计工作,确保统计数据真实、准确、及时的责任。</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(2)组织实施全县国民经济核算制度,核算全县地区生产总值,整理提供国民经济核算资料,开展分析研究。</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(3)在县政府统一领导下,会同有关部门组织实施重大的国情国力普查;负责组织协调各乡镇、各部门的统计调查、社会经济调查、社会监测;审查和审批各乡镇、各部门统计调查计划、调查方案;组织全县统计报表的管理工作。</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(4)组织实施农林牧渔业、工业、建筑业、批发和零售业、住宿和餐饮业等国民经济行业以及能源、投资、人口、收入、科技社会发展基本情况、环境基本状况等领域的统计调查,建立全县经济社会发展监测评价制度及指标体系,对重点区域和重要领域实施监测评价,牵头综合整理和提供全县基本统计资料。</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(5)建立健全全县统计数据质量审核、监控和评估制度,依法对全县各单位、各部门重要统计数据进行审核、监控和评估,组织指导统计基层基础建设。</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(6)对国民经济、社会发展、科技进步和资源环境等情况进行统计分析和预测,定期发布全县经济社会发展情况的统计信息,向县委、县政府及有关部门提供统计咨询建议,向社会公众提供统计信息服务。</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(7)建立健全全县统计数据库系统和统计信息自动化系统建立健统计信息共享制度,搞好统计信息化建设。</w:t>
      </w:r>
    </w:p>
    <w:p>
      <w:pPr>
        <w:widowControl/>
        <w:autoSpaceDN w:val="0"/>
        <w:spacing w:line="500" w:lineRule="exact"/>
        <w:ind w:firstLine="800" w:firstLineChars="250"/>
        <w:jc w:val="left"/>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(8)承办县政府交办的其他事项。</w:t>
      </w:r>
    </w:p>
    <w:p>
      <w:pPr>
        <w:pStyle w:val="7"/>
        <w:adjustRightInd w:val="0"/>
        <w:snapToGrid w:val="0"/>
        <w:spacing w:beforeLines="0" w:line="500" w:lineRule="exact"/>
        <w:ind w:firstLine="672" w:firstLineChars="210"/>
        <w:outlineLvl w:val="2"/>
        <w:rPr>
          <w:rFonts w:ascii="仿宋" w:hAnsi="仿宋" w:eastAsia="仿宋"/>
          <w:bCs/>
          <w:color w:val="000000"/>
          <w:sz w:val="32"/>
          <w:szCs w:val="32"/>
        </w:rPr>
      </w:pPr>
      <w:bookmarkStart w:id="27" w:name="_Toc23695"/>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4"/>
      <w:bookmarkEnd w:id="25"/>
      <w:bookmarkEnd w:id="26"/>
      <w:bookmarkEnd w:id="27"/>
    </w:p>
    <w:p>
      <w:pPr>
        <w:spacing w:line="500" w:lineRule="exact"/>
        <w:ind w:firstLine="640" w:firstLineChars="200"/>
        <w:rPr>
          <w:rFonts w:ascii="仿宋" w:hAnsi="仿宋" w:eastAsia="仿宋"/>
          <w:sz w:val="32"/>
          <w:szCs w:val="32"/>
        </w:rPr>
      </w:pPr>
      <w:r>
        <w:rPr>
          <w:rFonts w:hint="eastAsia" w:ascii="仿宋" w:hAnsi="仿宋" w:eastAsia="仿宋"/>
          <w:bCs/>
          <w:sz w:val="32"/>
          <w:szCs w:val="32"/>
        </w:rPr>
        <w:t>（1）狠抓数据质量、确保统计数据准确真实。首先，加大统计法律法规宣传力度，不定期深入各单位（企业）核查统计数据。上半年核查单位（企业）6个，发现问题8个，责令限期整改。其次</w:t>
      </w:r>
      <w:r>
        <w:rPr>
          <w:rFonts w:hint="eastAsia" w:ascii="仿宋" w:hAnsi="仿宋" w:eastAsia="仿宋"/>
          <w:sz w:val="32"/>
          <w:szCs w:val="32"/>
        </w:rPr>
        <w:t>严格执行审签制度，对收集的基层统计报表进行认真审核；按季度、半年、年度的不同频率对基层统计报表数据进行比较分析，发现问题及时查询原因，大大促进了我县统计工作的健康发展。</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（2）关注固投项目，提高入库效率。每月</w:t>
      </w:r>
      <w:r>
        <w:rPr>
          <w:rFonts w:ascii="仿宋" w:hAnsi="仿宋" w:eastAsia="仿宋"/>
          <w:sz w:val="32"/>
          <w:szCs w:val="32"/>
        </w:rPr>
        <w:t>、每季度组织相关项目单位召开部门联席会，群策群力共商固定资产投资统计中存在的问题和解决办法。</w:t>
      </w:r>
      <w:r>
        <w:rPr>
          <w:rFonts w:ascii="仿宋" w:hAnsi="仿宋" w:eastAsia="仿宋"/>
          <w:bCs/>
          <w:sz w:val="32"/>
          <w:szCs w:val="32"/>
        </w:rPr>
        <w:t>一是</w:t>
      </w:r>
      <w:r>
        <w:rPr>
          <w:rFonts w:ascii="仿宋" w:hAnsi="仿宋" w:eastAsia="仿宋"/>
          <w:sz w:val="32"/>
          <w:szCs w:val="32"/>
        </w:rPr>
        <w:t>全面梳理全县项目情况，加强对新开工项目的查找力度，主动与县发改局及相关职能部门沟通交流，全面排查和梳理全县未入库的投资项目，并在每月实地核查各项项目真实性和准确性，确保在建项目应统尽统。</w:t>
      </w:r>
      <w:r>
        <w:rPr>
          <w:rFonts w:ascii="仿宋" w:hAnsi="仿宋" w:eastAsia="仿宋"/>
          <w:bCs/>
          <w:sz w:val="32"/>
          <w:szCs w:val="32"/>
        </w:rPr>
        <w:t>二是</w:t>
      </w:r>
      <w:r>
        <w:rPr>
          <w:rFonts w:ascii="仿宋" w:hAnsi="仿宋" w:eastAsia="仿宋"/>
          <w:sz w:val="32"/>
          <w:szCs w:val="32"/>
        </w:rPr>
        <w:t>加强项目入库培训指导。积极主动与县发改局沟通协调，掌握每月固定资产投资入库项目，积极指导相关部门项目入库工作</w:t>
      </w:r>
      <w:r>
        <w:rPr>
          <w:rFonts w:hint="eastAsia" w:ascii="仿宋" w:hAnsi="仿宋" w:eastAsia="仿宋"/>
          <w:sz w:val="32"/>
          <w:szCs w:val="32"/>
        </w:rPr>
        <w:t>，确保每个项目及时入库。三是积极向上争取农户投资，为全年固定资产投资争取农户投资1.6亿元。</w:t>
      </w:r>
    </w:p>
    <w:p>
      <w:pPr>
        <w:spacing w:line="500" w:lineRule="exact"/>
        <w:ind w:firstLine="640" w:firstLineChars="200"/>
        <w:rPr>
          <w:rFonts w:ascii="仿宋" w:hAnsi="仿宋" w:eastAsia="仿宋"/>
          <w:bCs/>
          <w:sz w:val="32"/>
          <w:szCs w:val="32"/>
        </w:rPr>
      </w:pPr>
      <w:r>
        <w:rPr>
          <w:rFonts w:hint="eastAsia" w:ascii="仿宋" w:hAnsi="仿宋" w:eastAsia="仿宋"/>
          <w:bCs/>
          <w:sz w:val="32"/>
          <w:szCs w:val="32"/>
        </w:rPr>
        <w:t>（3）强化基础工作，提升住户调查记</w:t>
      </w:r>
      <w:r>
        <w:rPr>
          <w:rFonts w:hint="default" w:ascii="仿宋" w:hAnsi="仿宋" w:eastAsia="仿宋"/>
          <w:bCs/>
          <w:sz w:val="32"/>
          <w:szCs w:val="32"/>
        </w:rPr>
        <w:t>账</w:t>
      </w:r>
      <w:r>
        <w:rPr>
          <w:rFonts w:hint="eastAsia" w:ascii="仿宋" w:hAnsi="仿宋" w:eastAsia="仿宋"/>
          <w:bCs/>
          <w:sz w:val="32"/>
          <w:szCs w:val="32"/>
        </w:rPr>
        <w:t>质量。深入全县15个城镇、农村住户调查点开展评星定级初评工作。加强代记账监管，深入全县9个农村住户调查点开展代记账摸排工作，掌握77户代记账户的基本情况，加强记</w:t>
      </w:r>
      <w:r>
        <w:rPr>
          <w:rFonts w:hint="default" w:ascii="仿宋" w:hAnsi="仿宋" w:eastAsia="仿宋"/>
          <w:bCs/>
          <w:sz w:val="32"/>
          <w:szCs w:val="32"/>
        </w:rPr>
        <w:t>账</w:t>
      </w:r>
      <w:r>
        <w:rPr>
          <w:rFonts w:hint="eastAsia" w:ascii="仿宋" w:hAnsi="仿宋" w:eastAsia="仿宋"/>
          <w:bCs/>
          <w:sz w:val="32"/>
          <w:szCs w:val="32"/>
        </w:rPr>
        <w:t>业务指导，提高记</w:t>
      </w:r>
      <w:r>
        <w:rPr>
          <w:rFonts w:hint="default" w:ascii="仿宋" w:hAnsi="仿宋" w:eastAsia="仿宋"/>
          <w:bCs/>
          <w:sz w:val="32"/>
          <w:szCs w:val="32"/>
        </w:rPr>
        <w:t>账</w:t>
      </w:r>
      <w:r>
        <w:rPr>
          <w:rFonts w:hint="eastAsia" w:ascii="仿宋" w:hAnsi="仿宋" w:eastAsia="仿宋"/>
          <w:bCs/>
          <w:sz w:val="32"/>
          <w:szCs w:val="32"/>
        </w:rPr>
        <w:t>真实性、准确性。针对辅助调查员业务水平参差不平的现状，每季度深入各乡（镇）点对点开展业务指导；10月份召开集中培训，参训人数约30人。积极开展住户调查星级网点争创工作，2021年创建四星级网点1个、三星级网点1个；上杜柯乡人民政府辅助调查员尕娃同志被评为国家统计局四川调查总队“优秀辅助调查员”。</w:t>
      </w:r>
    </w:p>
    <w:p>
      <w:pPr>
        <w:spacing w:line="500" w:lineRule="exact"/>
        <w:ind w:firstLine="640" w:firstLineChars="200"/>
        <w:rPr>
          <w:rFonts w:ascii="仿宋" w:hAnsi="仿宋" w:eastAsia="仿宋"/>
          <w:bCs/>
          <w:sz w:val="32"/>
          <w:szCs w:val="32"/>
        </w:rPr>
      </w:pPr>
      <w:r>
        <w:rPr>
          <w:rFonts w:hint="eastAsia" w:ascii="仿宋" w:hAnsi="仿宋" w:eastAsia="仿宋"/>
          <w:bCs/>
          <w:sz w:val="32"/>
          <w:szCs w:val="32"/>
        </w:rPr>
        <w:t>（4）加大“四上企业”升规入统力度，全面反映县域经济发展。积极开展规模以上企业的摸底调查，深入中壤塘镇壤巴拉文化创业园，了解壤塘县</w:t>
      </w:r>
      <w:r>
        <w:rPr>
          <w:rFonts w:hint="eastAsia" w:ascii="仿宋" w:hAnsi="仿宋" w:eastAsia="仿宋" w:cs="仿宋_GB2312"/>
          <w:sz w:val="32"/>
          <w:szCs w:val="32"/>
        </w:rPr>
        <w:t>阿如藏科技发展有限公司、</w:t>
      </w:r>
      <w:r>
        <w:rPr>
          <w:rFonts w:hint="eastAsia" w:ascii="仿宋" w:hAnsi="仿宋" w:eastAsia="仿宋"/>
          <w:bCs/>
          <w:sz w:val="32"/>
          <w:szCs w:val="32"/>
        </w:rPr>
        <w:t>藏拉诺林文化科技发展有限责任公司、壤塘县壤巴拉时轮藏香文化有限公司基本情况等非遗传习公司的生产经营情况，深入上寨、岗木达镇对慧科公司、刘三粮油批发部、壤塘县泰鸿商贸、琼红农畜产品销售公司等企业（个体户）经营情况及3家建筑业企业进行了调研，为企业升规入统打下基础。截</w:t>
      </w:r>
      <w:r>
        <w:rPr>
          <w:rFonts w:hint="default" w:ascii="仿宋" w:hAnsi="仿宋" w:eastAsia="仿宋"/>
          <w:sz w:val="32"/>
          <w:szCs w:val="32"/>
        </w:rPr>
        <w:t>至</w:t>
      </w:r>
      <w:r>
        <w:rPr>
          <w:rFonts w:hint="eastAsia" w:ascii="仿宋" w:hAnsi="仿宋" w:eastAsia="仿宋"/>
          <w:bCs/>
          <w:sz w:val="32"/>
          <w:szCs w:val="32"/>
        </w:rPr>
        <w:t>目前3家建筑企业已升规入统；1家服务业企业和1户商贸个体户已向上申报，待上级部门审核批准。</w:t>
      </w:r>
    </w:p>
    <w:p>
      <w:pPr>
        <w:spacing w:line="500" w:lineRule="exact"/>
        <w:rPr>
          <w:rFonts w:ascii="仿宋" w:hAnsi="仿宋" w:eastAsia="仿宋"/>
          <w:sz w:val="32"/>
          <w:szCs w:val="32"/>
        </w:rPr>
      </w:pPr>
      <w:r>
        <w:rPr>
          <w:rFonts w:hint="eastAsia" w:ascii="仿宋" w:hAnsi="仿宋" w:eastAsia="仿宋"/>
          <w:sz w:val="32"/>
          <w:szCs w:val="32"/>
        </w:rPr>
        <w:t xml:space="preserve">   （5）加强分析研究，切实搞好统计服务。</w:t>
      </w:r>
      <w:r>
        <w:rPr>
          <w:rFonts w:hint="default" w:ascii="仿宋" w:hAnsi="仿宋" w:eastAsia="仿宋"/>
          <w:sz w:val="32"/>
          <w:szCs w:val="32"/>
        </w:rPr>
        <w:t>截至</w:t>
      </w:r>
      <w:r>
        <w:rPr>
          <w:rFonts w:hint="eastAsia" w:ascii="仿宋" w:hAnsi="仿宋" w:eastAsia="仿宋"/>
          <w:sz w:val="32"/>
          <w:szCs w:val="32"/>
        </w:rPr>
        <w:t>目前，编印《国民经济季度手册》2期，撰写了《2020年壤塘县国民经济和社会发展统计公报》《川甘青结合部区域强县建设2020年度主要经济指标对比分析》《壤塘县2021年一季度国民经济运行分析报告》《壤塘县2021年上半年国民经济运行预测分析报告》《壤塘县2021年前三季度国民经济运行预测分析暨全年经济展望报告》等分析材料，从静态和动态对我县经济发展状况进行分析，增强对苗头性、趋势性、全局性重大问题的监测和分析，努力提高分析研判的精准性和服务的针对性。报送的《壤塘县统计局关于2021年“四上”企业培育纳统的方案》得到时任县人民政府县长张德发的批示。向相关单位提供数据查询服务87次，提供数据3800余个。</w:t>
      </w:r>
    </w:p>
    <w:p>
      <w:pPr>
        <w:spacing w:line="500" w:lineRule="exact"/>
        <w:rPr>
          <w:rFonts w:ascii="仿宋" w:hAnsi="仿宋" w:eastAsia="仿宋"/>
          <w:sz w:val="32"/>
          <w:szCs w:val="32"/>
        </w:rPr>
      </w:pPr>
      <w:r>
        <w:rPr>
          <w:rFonts w:hint="eastAsia" w:ascii="仿宋" w:hAnsi="仿宋" w:eastAsia="仿宋"/>
          <w:sz w:val="32"/>
          <w:szCs w:val="32"/>
        </w:rPr>
        <w:t xml:space="preserve">   （6）严格审核，抓好第七次人口普查数据发布工作。严格按照国家、省、州要求，严格审核数据后，精心撰写人口普查数据6期公报，按照程序经州人普办、审核，报请县政府审定后，对公报进行一一发布。</w:t>
      </w:r>
    </w:p>
    <w:p>
      <w:pPr>
        <w:spacing w:line="500" w:lineRule="exact"/>
        <w:rPr>
          <w:rFonts w:ascii="仿宋" w:hAnsi="仿宋" w:eastAsia="仿宋"/>
          <w:sz w:val="32"/>
          <w:szCs w:val="32"/>
        </w:rPr>
      </w:pPr>
      <w:r>
        <w:rPr>
          <w:rFonts w:hint="eastAsia" w:ascii="仿宋" w:hAnsi="仿宋" w:eastAsia="仿宋"/>
          <w:bCs/>
          <w:sz w:val="32"/>
          <w:szCs w:val="32"/>
        </w:rPr>
        <w:t xml:space="preserve">   （7）创新工作方式，推进统计信息化建设。</w:t>
      </w:r>
      <w:r>
        <w:rPr>
          <w:rFonts w:hint="eastAsia" w:ascii="仿宋" w:hAnsi="仿宋" w:eastAsia="仿宋" w:cs="楷体_GB2312"/>
          <w:sz w:val="32"/>
          <w:szCs w:val="32"/>
        </w:rPr>
        <w:t>积极深入各乡（镇）督促指导</w:t>
      </w:r>
      <w:r>
        <w:rPr>
          <w:rFonts w:hint="eastAsia" w:ascii="仿宋" w:hAnsi="仿宋" w:eastAsia="仿宋"/>
          <w:sz w:val="32"/>
          <w:szCs w:val="32"/>
        </w:rPr>
        <w:t>智慧壤巴拉大数据平台的乡、村、户情的数据录入工作，</w:t>
      </w:r>
      <w:r>
        <w:rPr>
          <w:rFonts w:hint="default" w:ascii="仿宋" w:hAnsi="仿宋" w:eastAsia="仿宋"/>
          <w:sz w:val="32"/>
          <w:szCs w:val="32"/>
        </w:rPr>
        <w:t>截至</w:t>
      </w:r>
      <w:r>
        <w:rPr>
          <w:rFonts w:hint="eastAsia" w:ascii="仿宋" w:hAnsi="仿宋" w:eastAsia="仿宋"/>
          <w:sz w:val="32"/>
          <w:szCs w:val="32"/>
        </w:rPr>
        <w:t>目前，各乡镇2020年农情台</w:t>
      </w:r>
      <w:r>
        <w:rPr>
          <w:rFonts w:hint="default" w:ascii="仿宋" w:hAnsi="仿宋" w:eastAsia="仿宋"/>
          <w:sz w:val="32"/>
          <w:szCs w:val="32"/>
        </w:rPr>
        <w:t>账</w:t>
      </w:r>
      <w:r>
        <w:rPr>
          <w:rFonts w:hint="eastAsia" w:ascii="仿宋" w:hAnsi="仿宋" w:eastAsia="仿宋"/>
          <w:sz w:val="32"/>
          <w:szCs w:val="32"/>
        </w:rPr>
        <w:t>基本录入完毕，目前各乡镇进入数据的“清洗”阶段。录入全县近10年宏观经济数据，实现横向、纵向平台自动对比分析，为县委</w:t>
      </w:r>
      <w:r>
        <w:rPr>
          <w:rFonts w:hint="default" w:ascii="仿宋" w:hAnsi="仿宋" w:eastAsia="仿宋"/>
          <w:sz w:val="32"/>
          <w:szCs w:val="32"/>
        </w:rPr>
        <w:t>县</w:t>
      </w:r>
      <w:r>
        <w:rPr>
          <w:rFonts w:hint="eastAsia" w:ascii="仿宋" w:hAnsi="仿宋" w:eastAsia="仿宋"/>
          <w:sz w:val="32"/>
          <w:szCs w:val="32"/>
        </w:rPr>
        <w:t>政府决策提供参考依据。</w:t>
      </w:r>
    </w:p>
    <w:p>
      <w:pPr>
        <w:tabs>
          <w:tab w:val="left" w:pos="2274"/>
        </w:tabs>
        <w:spacing w:line="500" w:lineRule="exact"/>
        <w:jc w:val="left"/>
        <w:rPr>
          <w:rFonts w:ascii="仿宋" w:hAnsi="仿宋" w:eastAsia="仿宋" w:cs="仿宋_GB2312"/>
          <w:sz w:val="32"/>
          <w:szCs w:val="32"/>
        </w:rPr>
      </w:pPr>
      <w:r>
        <w:rPr>
          <w:rFonts w:hint="eastAsia" w:ascii="仿宋" w:hAnsi="仿宋" w:eastAsia="仿宋"/>
          <w:sz w:val="32"/>
          <w:szCs w:val="32"/>
        </w:rPr>
        <w:t xml:space="preserve">   （8）有序开展劳动力调查工作。</w:t>
      </w:r>
      <w:r>
        <w:rPr>
          <w:rFonts w:hint="eastAsia" w:ascii="仿宋" w:hAnsi="仿宋" w:eastAsia="仿宋" w:cs="仿宋_GB2312"/>
          <w:sz w:val="32"/>
          <w:szCs w:val="32"/>
        </w:rPr>
        <w:t>积极参加省、州调查队举办的培训班，认真学习劳动力调查工作业务知识。从11月份开始全积极与县人社局衔接，加强宣传力度，加大业务培训，在岗木达镇两个社区有序开展抽中调查户的入户调查工作。</w:t>
      </w:r>
    </w:p>
    <w:p>
      <w:pPr>
        <w:spacing w:line="500" w:lineRule="exact"/>
        <w:rPr>
          <w:rFonts w:ascii="仿宋" w:hAnsi="仿宋" w:eastAsia="仿宋"/>
          <w:sz w:val="32"/>
          <w:szCs w:val="32"/>
        </w:rPr>
      </w:pPr>
      <w:r>
        <w:rPr>
          <w:rFonts w:hint="eastAsia" w:ascii="仿宋" w:hAnsi="仿宋" w:eastAsia="仿宋"/>
          <w:bCs/>
          <w:sz w:val="32"/>
          <w:szCs w:val="32"/>
        </w:rPr>
        <w:t xml:space="preserve">    （9）党建统领、规范管理，统计队伍呈朝气</w:t>
      </w:r>
    </w:p>
    <w:p>
      <w:pPr>
        <w:shd w:val="clear" w:color="auto" w:fill="FFFFFF"/>
        <w:spacing w:line="500" w:lineRule="exact"/>
        <w:ind w:firstLine="640" w:firstLineChars="200"/>
        <w:jc w:val="left"/>
        <w:rPr>
          <w:rFonts w:ascii="仿宋" w:hAnsi="仿宋" w:eastAsia="仿宋" w:cs="楷体_GB2312"/>
          <w:bCs/>
          <w:color w:val="000000"/>
          <w:sz w:val="32"/>
          <w:szCs w:val="32"/>
          <w:shd w:val="clear" w:color="auto" w:fill="FFFFFF"/>
        </w:rPr>
      </w:pPr>
      <w:r>
        <w:rPr>
          <w:rFonts w:hint="eastAsia" w:ascii="仿宋" w:hAnsi="仿宋" w:eastAsia="仿宋" w:cs="楷体_GB2312"/>
          <w:color w:val="000000"/>
          <w:sz w:val="32"/>
          <w:szCs w:val="32"/>
          <w:shd w:val="clear" w:color="auto" w:fill="FFFFFF"/>
        </w:rPr>
        <w:t>1.抓好党建及党风廉政建设工作。一是以</w:t>
      </w:r>
      <w:r>
        <w:rPr>
          <w:rFonts w:hint="eastAsia" w:ascii="仿宋" w:hAnsi="仿宋" w:eastAsia="仿宋" w:cs="楷体_GB2312"/>
          <w:bCs/>
          <w:color w:val="000000"/>
          <w:sz w:val="32"/>
          <w:szCs w:val="32"/>
          <w:shd w:val="clear" w:color="auto" w:fill="FFFFFF"/>
        </w:rPr>
        <w:t>扎实开展党史学习教育为主题，抓好党建工作。</w:t>
      </w:r>
      <w:r>
        <w:rPr>
          <w:rFonts w:hint="eastAsia" w:ascii="仿宋" w:hAnsi="仿宋" w:eastAsia="仿宋" w:cs="楷体_GB2312"/>
          <w:color w:val="000000"/>
          <w:sz w:val="32"/>
          <w:szCs w:val="32"/>
          <w:shd w:val="clear" w:color="auto" w:fill="FFFFFF"/>
        </w:rPr>
        <w:t>严格按照县委</w:t>
      </w:r>
      <w:r>
        <w:rPr>
          <w:rFonts w:hint="default" w:ascii="仿宋" w:hAnsi="仿宋" w:eastAsia="仿宋" w:cs="楷体_GB2312"/>
          <w:color w:val="000000"/>
          <w:sz w:val="32"/>
          <w:szCs w:val="32"/>
          <w:shd w:val="clear" w:color="auto" w:fill="FFFFFF"/>
        </w:rPr>
        <w:t>县</w:t>
      </w:r>
      <w:r>
        <w:rPr>
          <w:rFonts w:hint="eastAsia" w:ascii="仿宋" w:hAnsi="仿宋" w:eastAsia="仿宋" w:cs="楷体_GB2312"/>
          <w:color w:val="000000"/>
          <w:sz w:val="32"/>
          <w:szCs w:val="32"/>
          <w:shd w:val="clear" w:color="auto" w:fill="FFFFFF"/>
        </w:rPr>
        <w:t>政府安排部署，及时召开动员会、开展专题学习、举办读书班。开展“我为群众办实事”实践活动，收集群众诉求4条，办结2条，向相关部门积极反映2条。二是</w:t>
      </w:r>
      <w:r>
        <w:rPr>
          <w:rFonts w:hint="eastAsia" w:ascii="仿宋" w:hAnsi="仿宋" w:eastAsia="仿宋"/>
          <w:sz w:val="32"/>
          <w:szCs w:val="32"/>
        </w:rPr>
        <w:t>建立了以党支部书记为第一负责人的工作责任制，</w:t>
      </w:r>
      <w:r>
        <w:rPr>
          <w:rFonts w:hint="eastAsia" w:ascii="仿宋" w:hAnsi="仿宋" w:eastAsia="仿宋" w:cs="楷体_GB2312"/>
          <w:bCs/>
          <w:color w:val="000000"/>
          <w:sz w:val="32"/>
          <w:szCs w:val="32"/>
          <w:shd w:val="clear" w:color="auto" w:fill="FFFFFF"/>
        </w:rPr>
        <w:t>层层签订责任书，</w:t>
      </w:r>
      <w:r>
        <w:rPr>
          <w:rFonts w:hint="eastAsia" w:ascii="仿宋" w:hAnsi="仿宋" w:eastAsia="仿宋"/>
          <w:sz w:val="32"/>
          <w:szCs w:val="32"/>
        </w:rPr>
        <w:t>认真落实党风廉政建设“两个责任”，使惩治预防腐败体系和廉政风险防控机制更加完善，党风廉政建设各项任务有效落实。</w:t>
      </w:r>
    </w:p>
    <w:p>
      <w:pPr>
        <w:spacing w:line="500" w:lineRule="exact"/>
        <w:ind w:firstLine="640" w:firstLineChars="200"/>
        <w:rPr>
          <w:rFonts w:ascii="仿宋" w:hAnsi="仿宋" w:eastAsia="仿宋"/>
          <w:sz w:val="32"/>
          <w:szCs w:val="32"/>
        </w:rPr>
      </w:pPr>
      <w:r>
        <w:rPr>
          <w:rFonts w:hint="eastAsia" w:ascii="仿宋" w:hAnsi="仿宋" w:eastAsia="仿宋"/>
          <w:bCs/>
          <w:sz w:val="32"/>
          <w:szCs w:val="32"/>
        </w:rPr>
        <w:t>2.加强队伍建设，提高全局党员干部政治素质。</w:t>
      </w:r>
      <w:r>
        <w:rPr>
          <w:rFonts w:hint="eastAsia" w:ascii="仿宋" w:hAnsi="仿宋" w:eastAsia="仿宋"/>
          <w:sz w:val="32"/>
          <w:szCs w:val="32"/>
        </w:rPr>
        <w:t>狠抓教育培训，提高党员政治理论和业务水平，结合党史学习教育，坚持学习制度，提高了党员队伍的整体素质和业务能力。加强统计局机关文化建设，秉承“壤塘家”理念，发扬“干则干成、干就干好、干就一流”精神，打造优美、整洁、规范、积极向上的统计工作环境。</w:t>
      </w:r>
    </w:p>
    <w:p>
      <w:pPr>
        <w:spacing w:line="500" w:lineRule="exact"/>
        <w:ind w:firstLine="640" w:firstLineChars="200"/>
        <w:rPr>
          <w:rFonts w:ascii="仿宋" w:hAnsi="仿宋" w:eastAsia="仿宋"/>
          <w:sz w:val="32"/>
          <w:szCs w:val="32"/>
        </w:rPr>
      </w:pPr>
      <w:r>
        <w:rPr>
          <w:rFonts w:hint="eastAsia" w:ascii="仿宋" w:hAnsi="仿宋" w:eastAsia="仿宋"/>
          <w:bCs/>
          <w:sz w:val="32"/>
          <w:szCs w:val="32"/>
        </w:rPr>
        <w:t>3.建立规章制度，推进机关规范化建设。</w:t>
      </w:r>
      <w:r>
        <w:rPr>
          <w:rFonts w:ascii="仿宋" w:hAnsi="仿宋" w:eastAsia="仿宋"/>
          <w:sz w:val="32"/>
          <w:szCs w:val="32"/>
        </w:rPr>
        <w:t>为了保障统计工作正常运行，全局紧紧围绕</w:t>
      </w:r>
      <w:r>
        <w:rPr>
          <w:rFonts w:hint="eastAsia" w:ascii="仿宋" w:hAnsi="仿宋" w:eastAsia="仿宋"/>
          <w:sz w:val="32"/>
          <w:szCs w:val="32"/>
        </w:rPr>
        <w:t>2021</w:t>
      </w:r>
      <w:r>
        <w:rPr>
          <w:rFonts w:ascii="仿宋" w:hAnsi="仿宋" w:eastAsia="仿宋"/>
          <w:sz w:val="32"/>
          <w:szCs w:val="32"/>
        </w:rPr>
        <w:t>年度工作要点，细化部门职责和股室职责，建立了统计业务工作“AB岗”等</w:t>
      </w:r>
      <w:r>
        <w:rPr>
          <w:rFonts w:hint="eastAsia" w:ascii="仿宋" w:hAnsi="仿宋" w:eastAsia="仿宋"/>
          <w:sz w:val="32"/>
          <w:szCs w:val="32"/>
        </w:rPr>
        <w:t>各项规章</w:t>
      </w:r>
      <w:r>
        <w:rPr>
          <w:rFonts w:ascii="仿宋" w:hAnsi="仿宋" w:eastAsia="仿宋"/>
          <w:sz w:val="32"/>
          <w:szCs w:val="32"/>
        </w:rPr>
        <w:t>制度，确保机关有序、高效运行。</w:t>
      </w:r>
    </w:p>
    <w:p>
      <w:pPr>
        <w:shd w:val="clear" w:color="auto" w:fill="FFFFFF"/>
        <w:spacing w:line="500" w:lineRule="exact"/>
        <w:ind w:firstLine="640" w:firstLineChars="200"/>
        <w:jc w:val="left"/>
        <w:rPr>
          <w:rFonts w:ascii="仿宋" w:hAnsi="仿宋" w:eastAsia="仿宋" w:cs="楷体_GB2312"/>
          <w:bCs/>
          <w:color w:val="000000"/>
          <w:sz w:val="32"/>
          <w:szCs w:val="32"/>
          <w:shd w:val="clear" w:color="auto" w:fill="FFFFFF"/>
        </w:rPr>
      </w:pPr>
      <w:r>
        <w:rPr>
          <w:rFonts w:hint="eastAsia" w:ascii="仿宋" w:hAnsi="仿宋" w:eastAsia="仿宋" w:cs="楷体_GB2312"/>
          <w:color w:val="000000"/>
          <w:sz w:val="32"/>
          <w:szCs w:val="32"/>
          <w:shd w:val="clear" w:color="auto" w:fill="FFFFFF"/>
        </w:rPr>
        <w:t>4.切实抓好森林防灭火、疫情防控工作。严格按照县委</w:t>
      </w:r>
      <w:r>
        <w:rPr>
          <w:rFonts w:hint="default" w:ascii="仿宋" w:hAnsi="仿宋" w:eastAsia="仿宋" w:cs="楷体_GB2312"/>
          <w:color w:val="000000"/>
          <w:sz w:val="32"/>
          <w:szCs w:val="32"/>
          <w:shd w:val="clear" w:color="auto" w:fill="FFFFFF"/>
        </w:rPr>
        <w:t>县</w:t>
      </w:r>
      <w:r>
        <w:rPr>
          <w:rFonts w:hint="eastAsia" w:ascii="仿宋" w:hAnsi="仿宋" w:eastAsia="仿宋" w:cs="楷体_GB2312"/>
          <w:color w:val="000000"/>
          <w:sz w:val="32"/>
          <w:szCs w:val="32"/>
          <w:shd w:val="clear" w:color="auto" w:fill="FFFFFF"/>
        </w:rPr>
        <w:t>政府安排部署，做好了森林防灭火的宣传，做好机关安全工作；</w:t>
      </w:r>
      <w:r>
        <w:rPr>
          <w:rFonts w:hint="eastAsia" w:ascii="仿宋" w:hAnsi="仿宋" w:eastAsia="仿宋" w:cs="楷体_GB2312"/>
          <w:bCs/>
          <w:color w:val="000000"/>
          <w:sz w:val="32"/>
          <w:szCs w:val="32"/>
          <w:shd w:val="clear" w:color="auto" w:fill="FFFFFF"/>
        </w:rPr>
        <w:t xml:space="preserve">严格按照部署，做好了全局疫情防控各项措施，确保全局职工、退休人员人身安全。     </w:t>
      </w:r>
    </w:p>
    <w:p>
      <w:pPr>
        <w:shd w:val="clear" w:color="auto" w:fill="FFFFFF"/>
        <w:spacing w:line="500" w:lineRule="exact"/>
        <w:ind w:firstLine="640" w:firstLineChars="200"/>
        <w:jc w:val="left"/>
        <w:rPr>
          <w:rFonts w:ascii="仿宋" w:hAnsi="仿宋" w:eastAsia="仿宋"/>
          <w:sz w:val="32"/>
          <w:szCs w:val="32"/>
        </w:rPr>
      </w:pPr>
      <w:r>
        <w:rPr>
          <w:rFonts w:hint="eastAsia" w:ascii="仿宋" w:hAnsi="仿宋" w:eastAsia="仿宋"/>
          <w:sz w:val="32"/>
          <w:szCs w:val="32"/>
        </w:rPr>
        <w:t>（10）其他工作。</w:t>
      </w:r>
    </w:p>
    <w:p>
      <w:pPr>
        <w:shd w:val="clear" w:color="auto" w:fill="FFFFFF"/>
        <w:spacing w:line="500" w:lineRule="exact"/>
        <w:ind w:firstLine="640" w:firstLineChars="200"/>
        <w:jc w:val="left"/>
        <w:rPr>
          <w:rFonts w:ascii="仿宋" w:hAnsi="仿宋" w:eastAsia="仿宋"/>
          <w:sz w:val="32"/>
          <w:szCs w:val="32"/>
        </w:rPr>
      </w:pPr>
      <w:r>
        <w:rPr>
          <w:rFonts w:hint="eastAsia" w:ascii="仿宋" w:hAnsi="仿宋" w:eastAsia="仿宋"/>
          <w:sz w:val="32"/>
          <w:szCs w:val="32"/>
        </w:rPr>
        <w:t>1.积极协助上级部门做好现场培训会。我局积极配合州统计局，顺利完成全州固定资产投资工作会议在壤塘召开。</w:t>
      </w:r>
    </w:p>
    <w:p>
      <w:pPr>
        <w:shd w:val="clear" w:color="auto" w:fill="FFFFFF"/>
        <w:spacing w:line="500" w:lineRule="exact"/>
        <w:ind w:firstLine="640" w:firstLineChars="200"/>
        <w:jc w:val="left"/>
        <w:rPr>
          <w:rFonts w:ascii="仿宋" w:hAnsi="仿宋" w:eastAsia="仿宋"/>
          <w:sz w:val="32"/>
          <w:szCs w:val="32"/>
        </w:rPr>
      </w:pPr>
      <w:r>
        <w:rPr>
          <w:rFonts w:hint="eastAsia" w:ascii="仿宋" w:hAnsi="仿宋" w:eastAsia="仿宋"/>
          <w:sz w:val="32"/>
          <w:szCs w:val="32"/>
        </w:rPr>
        <w:t>2.积极开展秋粮实割实测工作。严格按照上级部门要求，积极参加全州秋粮实割实测现场培训会，并与县科农局一起完成了我县的秋粮实割实测工作。</w:t>
      </w:r>
    </w:p>
    <w:p>
      <w:pPr>
        <w:shd w:val="clear" w:color="auto" w:fill="FFFFFF"/>
        <w:spacing w:line="500" w:lineRule="exact"/>
        <w:ind w:firstLine="640" w:firstLineChars="200"/>
        <w:jc w:val="left"/>
        <w:rPr>
          <w:rFonts w:ascii="仿宋" w:hAnsi="仿宋" w:eastAsia="仿宋"/>
          <w:sz w:val="32"/>
          <w:szCs w:val="32"/>
        </w:rPr>
      </w:pPr>
      <w:r>
        <w:rPr>
          <w:rFonts w:hint="eastAsia" w:ascii="仿宋" w:hAnsi="仿宋" w:eastAsia="仿宋"/>
          <w:sz w:val="32"/>
          <w:szCs w:val="32"/>
        </w:rPr>
        <w:t>3.切实开展</w:t>
      </w:r>
      <w:r>
        <w:rPr>
          <w:rFonts w:hint="eastAsia" w:ascii="仿宋" w:hAnsi="仿宋" w:eastAsia="仿宋" w:cs="楷体_GB2312"/>
          <w:sz w:val="32"/>
          <w:szCs w:val="32"/>
        </w:rPr>
        <w:t>帮村工作。</w:t>
      </w:r>
      <w:r>
        <w:rPr>
          <w:rFonts w:hint="eastAsia" w:ascii="仿宋" w:hAnsi="仿宋" w:eastAsia="仿宋"/>
          <w:sz w:val="32"/>
          <w:szCs w:val="32"/>
        </w:rPr>
        <w:t>利用春节、三月群众工作、“三八”妇女节、“六一”儿童节、“七一”建党节等契机，组织单位干部职工积极开展“两联一进”结对认亲帮扶工作，先后20余次深入吾伊乡松得村章腊小组，开展与结对户的帮扶工作，送去大米、清油等慰问物资共计6000余元，认真了解结对户生产生活情况，及时向乡党委政府和相关部门反映他们的诉求，努力帮助他们解决实际困难和问题</w:t>
      </w:r>
      <w:r>
        <w:rPr>
          <w:rFonts w:hint="eastAsia" w:ascii="仿宋" w:hAnsi="仿宋" w:eastAsia="仿宋"/>
          <w:bCs/>
          <w:sz w:val="32"/>
          <w:szCs w:val="32"/>
        </w:rPr>
        <w:t>。</w:t>
      </w:r>
    </w:p>
    <w:p>
      <w:pPr>
        <w:pStyle w:val="7"/>
        <w:adjustRightInd w:val="0"/>
        <w:snapToGrid w:val="0"/>
        <w:spacing w:before="93" w:line="600" w:lineRule="exact"/>
        <w:rPr>
          <w:rFonts w:ascii="仿宋" w:hAnsi="仿宋" w:eastAsia="仿宋"/>
          <w:bCs/>
          <w:color w:val="000000"/>
          <w:sz w:val="32"/>
          <w:szCs w:val="32"/>
        </w:rPr>
      </w:pPr>
    </w:p>
    <w:p>
      <w:pPr>
        <w:pStyle w:val="3"/>
        <w:numPr>
          <w:ilvl w:val="0"/>
          <w:numId w:val="1"/>
        </w:numPr>
        <w:rPr>
          <w:rStyle w:val="24"/>
          <w:rFonts w:ascii="黑体" w:hAnsi="黑体" w:eastAsia="黑体"/>
          <w:b w:val="0"/>
          <w:bCs w:val="0"/>
        </w:rPr>
      </w:pPr>
      <w:bookmarkStart w:id="28" w:name="_Toc15396601"/>
      <w:bookmarkStart w:id="29" w:name="_Toc79163605"/>
      <w:bookmarkStart w:id="30" w:name="_Toc15377200"/>
      <w:bookmarkStart w:id="31" w:name="_Toc31683"/>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pStyle w:val="4"/>
        <w:spacing w:line="600" w:lineRule="exact"/>
        <w:ind w:firstLine="963" w:firstLineChars="300"/>
        <w:rPr>
          <w:rFonts w:hAnsi="楷体" w:eastAsia="楷体" w:cs="楷体"/>
          <w:kern w:val="0"/>
        </w:rPr>
      </w:pPr>
      <w:bookmarkStart w:id="32" w:name="_Toc20782"/>
      <w:r>
        <w:rPr>
          <w:rFonts w:hint="eastAsia" w:hAnsi="楷体" w:eastAsia="楷体" w:cs="楷体"/>
          <w:kern w:val="0"/>
        </w:rPr>
        <w:t>1.职能股室设置</w:t>
      </w:r>
      <w:bookmarkEnd w:id="32"/>
    </w:p>
    <w:p>
      <w:pPr>
        <w:widowControl/>
        <w:autoSpaceDN w:val="0"/>
        <w:spacing w:line="600" w:lineRule="exact"/>
        <w:ind w:firstLine="800" w:firstLineChars="250"/>
        <w:jc w:val="left"/>
        <w:rPr>
          <w:rFonts w:eastAsia="仿宋_GB2312"/>
          <w:b/>
          <w:bCs/>
          <w:kern w:val="0"/>
          <w:sz w:val="32"/>
          <w:szCs w:val="32"/>
        </w:rPr>
      </w:pPr>
      <w:r>
        <w:rPr>
          <w:rFonts w:hint="eastAsia" w:eastAsia="仿宋_GB2312" w:cs="仿宋_GB2312"/>
          <w:kern w:val="0"/>
          <w:sz w:val="32"/>
          <w:szCs w:val="32"/>
        </w:rPr>
        <w:t>办公室、综合股、执法队、普查中心。</w:t>
      </w:r>
    </w:p>
    <w:p>
      <w:pPr>
        <w:widowControl/>
        <w:autoSpaceDN w:val="0"/>
        <w:spacing w:line="600" w:lineRule="exact"/>
        <w:ind w:left="210" w:leftChars="100" w:firstLine="642" w:firstLineChars="200"/>
        <w:jc w:val="left"/>
        <w:outlineLvl w:val="2"/>
        <w:rPr>
          <w:rFonts w:eastAsia="楷体"/>
          <w:b/>
          <w:bCs/>
          <w:kern w:val="0"/>
          <w:sz w:val="32"/>
          <w:szCs w:val="32"/>
        </w:rPr>
      </w:pPr>
      <w:bookmarkStart w:id="33" w:name="_Toc15113"/>
      <w:r>
        <w:rPr>
          <w:rFonts w:hint="eastAsia" w:eastAsia="楷体"/>
          <w:b/>
          <w:bCs/>
          <w:kern w:val="0"/>
          <w:sz w:val="32"/>
          <w:szCs w:val="32"/>
        </w:rPr>
        <w:t>2</w:t>
      </w:r>
      <w:r>
        <w:rPr>
          <w:rFonts w:eastAsia="楷体"/>
          <w:b/>
          <w:bCs/>
          <w:kern w:val="0"/>
          <w:sz w:val="32"/>
          <w:szCs w:val="32"/>
        </w:rPr>
        <w:t>.</w:t>
      </w:r>
      <w:r>
        <w:rPr>
          <w:rFonts w:hint="eastAsia" w:hAnsi="楷体" w:eastAsia="楷体" w:cs="楷体"/>
          <w:b/>
          <w:bCs/>
          <w:kern w:val="0"/>
          <w:sz w:val="32"/>
          <w:szCs w:val="32"/>
        </w:rPr>
        <w:t>人员情况</w:t>
      </w:r>
      <w:bookmarkEnd w:id="33"/>
    </w:p>
    <w:p>
      <w:pPr>
        <w:widowControl/>
        <w:autoSpaceDN w:val="0"/>
        <w:spacing w:line="600" w:lineRule="exact"/>
        <w:ind w:left="210" w:leftChars="100" w:firstLine="640" w:firstLineChars="200"/>
        <w:jc w:val="left"/>
        <w:rPr>
          <w:rFonts w:ascii="仿宋_GB2312" w:eastAsia="仿宋_GB2312"/>
          <w:sz w:val="32"/>
          <w:szCs w:val="32"/>
        </w:rPr>
      </w:pPr>
      <w:r>
        <w:rPr>
          <w:rFonts w:hint="eastAsia" w:eastAsia="仿宋_GB2312" w:cs="仿宋_GB2312"/>
          <w:kern w:val="0"/>
          <w:sz w:val="32"/>
          <w:szCs w:val="32"/>
        </w:rPr>
        <w:t>总编制</w:t>
      </w:r>
      <w:r>
        <w:rPr>
          <w:rFonts w:eastAsia="仿宋_GB2312"/>
          <w:kern w:val="0"/>
          <w:sz w:val="32"/>
          <w:szCs w:val="32"/>
        </w:rPr>
        <w:t>1</w:t>
      </w:r>
      <w:r>
        <w:rPr>
          <w:rFonts w:hint="eastAsia" w:eastAsia="仿宋_GB2312"/>
          <w:kern w:val="0"/>
          <w:sz w:val="32"/>
          <w:szCs w:val="32"/>
        </w:rPr>
        <w:t>6</w:t>
      </w:r>
      <w:r>
        <w:rPr>
          <w:rFonts w:hint="eastAsia" w:eastAsia="仿宋_GB2312" w:cs="仿宋_GB2312"/>
          <w:kern w:val="0"/>
          <w:sz w:val="32"/>
          <w:szCs w:val="32"/>
        </w:rPr>
        <w:t>名</w:t>
      </w:r>
      <w:r>
        <w:rPr>
          <w:rFonts w:eastAsia="仿宋_GB2312"/>
          <w:kern w:val="0"/>
          <w:sz w:val="32"/>
          <w:szCs w:val="32"/>
        </w:rPr>
        <w:t>,</w:t>
      </w:r>
      <w:r>
        <w:rPr>
          <w:rFonts w:hint="eastAsia" w:eastAsia="仿宋_GB2312" w:cs="仿宋_GB2312"/>
          <w:kern w:val="0"/>
          <w:sz w:val="32"/>
          <w:szCs w:val="32"/>
        </w:rPr>
        <w:t>其中</w:t>
      </w:r>
      <w:r>
        <w:rPr>
          <w:rFonts w:eastAsia="仿宋_GB2312"/>
          <w:kern w:val="0"/>
          <w:sz w:val="32"/>
          <w:szCs w:val="32"/>
        </w:rPr>
        <w:t>:</w:t>
      </w:r>
      <w:r>
        <w:rPr>
          <w:rFonts w:hint="eastAsia" w:eastAsia="仿宋_GB2312" w:cs="仿宋_GB2312"/>
          <w:kern w:val="0"/>
          <w:sz w:val="32"/>
          <w:szCs w:val="32"/>
        </w:rPr>
        <w:t>行政编制6人（含行政工勤</w:t>
      </w:r>
      <w:r>
        <w:rPr>
          <w:rFonts w:eastAsia="仿宋_GB2312"/>
          <w:kern w:val="0"/>
          <w:sz w:val="32"/>
          <w:szCs w:val="32"/>
        </w:rPr>
        <w:t>1</w:t>
      </w:r>
      <w:r>
        <w:rPr>
          <w:rFonts w:hint="eastAsia" w:eastAsia="仿宋_GB2312" w:cs="仿宋_GB2312"/>
          <w:kern w:val="0"/>
          <w:sz w:val="32"/>
          <w:szCs w:val="32"/>
        </w:rPr>
        <w:t>人）；参照公务员管理的事业人员6人；事业编制</w:t>
      </w:r>
      <w:r>
        <w:rPr>
          <w:rFonts w:hint="eastAsia" w:eastAsia="仿宋_GB2312"/>
          <w:kern w:val="0"/>
          <w:sz w:val="32"/>
          <w:szCs w:val="32"/>
        </w:rPr>
        <w:t>4</w:t>
      </w:r>
      <w:r>
        <w:rPr>
          <w:rFonts w:hint="eastAsia" w:eastAsia="仿宋_GB2312" w:cs="仿宋_GB2312"/>
          <w:kern w:val="0"/>
          <w:sz w:val="32"/>
          <w:szCs w:val="32"/>
        </w:rPr>
        <w:t>人；调入1人；招录2人;现有人员</w:t>
      </w:r>
      <w:r>
        <w:rPr>
          <w:rFonts w:eastAsia="仿宋_GB2312" w:cs="仿宋_GB2312"/>
          <w:kern w:val="0"/>
          <w:sz w:val="32"/>
          <w:szCs w:val="32"/>
        </w:rPr>
        <w:t>1</w:t>
      </w:r>
      <w:r>
        <w:rPr>
          <w:rFonts w:hint="eastAsia" w:eastAsia="仿宋_GB2312" w:cs="仿宋_GB2312"/>
          <w:kern w:val="0"/>
          <w:sz w:val="32"/>
          <w:szCs w:val="32"/>
        </w:rPr>
        <w:t>3名。</w:t>
      </w: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2"/>
        <w:ind w:right="440"/>
        <w:jc w:val="right"/>
        <w:rPr>
          <w:rStyle w:val="23"/>
          <w:rFonts w:ascii="黑体" w:hAnsi="黑体" w:eastAsia="黑体"/>
          <w:b w:val="0"/>
          <w:bCs w:val="0"/>
        </w:rPr>
      </w:pPr>
      <w:bookmarkStart w:id="34" w:name="_Toc79163609"/>
      <w:bookmarkStart w:id="35" w:name="_Toc30104"/>
      <w:bookmarkStart w:id="36" w:name="_Toc15377204"/>
      <w:bookmarkStart w:id="37" w:name="_Toc15396602"/>
      <w:r>
        <w:rPr>
          <w:rFonts w:hint="eastAsia" w:ascii="黑体" w:hAnsi="黑体" w:eastAsia="黑体"/>
          <w:b w:val="0"/>
          <w:color w:val="000000"/>
        </w:rPr>
        <w:t>第二部分</w:t>
      </w:r>
      <w:r>
        <w:rPr>
          <w:rStyle w:val="23"/>
          <w:rFonts w:ascii="黑体" w:hAnsi="黑体" w:eastAsia="黑体"/>
          <w:b w:val="0"/>
          <w:bCs w:val="0"/>
        </w:rPr>
        <w:t>202</w:t>
      </w:r>
      <w:r>
        <w:rPr>
          <w:rStyle w:val="23"/>
          <w:rFonts w:hint="eastAsia" w:ascii="黑体" w:hAnsi="黑体" w:eastAsia="黑体"/>
          <w:b w:val="0"/>
          <w:bCs w:val="0"/>
        </w:rPr>
        <w:t>1年度部门决算情况说明</w:t>
      </w:r>
      <w:bookmarkEnd w:id="34"/>
      <w:bookmarkEnd w:id="35"/>
      <w:bookmarkEnd w:id="36"/>
      <w:bookmarkEnd w:id="37"/>
      <w:bookmarkStart w:id="38" w:name="_Toc15396603"/>
      <w:bookmarkStart w:id="39" w:name="_Toc79163610"/>
      <w:bookmarkStart w:id="40" w:name="_Toc15377205"/>
      <w:bookmarkStart w:id="41" w:name="_Toc31292"/>
    </w:p>
    <w:p>
      <w:pPr>
        <w:pStyle w:val="2"/>
        <w:ind w:right="440"/>
        <w:jc w:val="both"/>
        <w:rPr>
          <w:rStyle w:val="24"/>
          <w:rFonts w:hint="eastAsia" w:ascii="黑体" w:hAnsi="黑体" w:eastAsia="黑体"/>
          <w:b w:val="0"/>
          <w:bCs/>
          <w:lang w:val="en-US" w:eastAsia="zh-CN" w:bidi="ar-SA"/>
        </w:rPr>
      </w:pPr>
      <w:r>
        <w:rPr>
          <w:rStyle w:val="24"/>
          <w:rFonts w:hint="eastAsia" w:ascii="黑体" w:hAnsi="黑体" w:eastAsia="黑体"/>
          <w:b w:val="0"/>
          <w:bCs/>
          <w:lang w:val="en-US" w:eastAsia="zh-CN" w:bidi="ar-SA"/>
        </w:rPr>
        <w:t>一、收入支出决算总体情况说明</w:t>
      </w:r>
      <w:bookmarkEnd w:id="38"/>
      <w:bookmarkEnd w:id="39"/>
      <w:bookmarkEnd w:id="40"/>
      <w:bookmarkEnd w:id="41"/>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本年财政预算收入326.33万元，2020年财政预算收入440.41万元，比去年减少114.08万元，下降25.9%。本年支出预算数326.33万元，2020年支出预算数440.41万元，比去年减少114.08万元，下降25.9%。主要变动原因是第七次全国人口普查</w:t>
      </w:r>
      <w:r>
        <w:rPr>
          <w:rFonts w:hint="eastAsia" w:ascii="仿宋" w:hAnsi="仿宋" w:eastAsia="仿宋"/>
          <w:color w:val="000000"/>
          <w:sz w:val="32"/>
          <w:szCs w:val="32"/>
          <w:lang w:eastAsia="zh-CN"/>
        </w:rPr>
        <w:t>和其他普查</w:t>
      </w:r>
      <w:r>
        <w:rPr>
          <w:rFonts w:hint="eastAsia" w:ascii="仿宋" w:hAnsi="仿宋" w:eastAsia="仿宋"/>
          <w:color w:val="000000"/>
          <w:sz w:val="32"/>
          <w:szCs w:val="32"/>
        </w:rPr>
        <w:t>工作结束,经费减少。</w:t>
      </w:r>
    </w:p>
    <w:p>
      <w:pPr>
        <w:spacing w:line="600" w:lineRule="exact"/>
        <w:jc w:val="left"/>
        <w:rPr>
          <w:rFonts w:ascii="仿宋_GB2312" w:eastAsia="仿宋_GB2312"/>
          <w:color w:val="000000"/>
          <w:sz w:val="32"/>
          <w:szCs w:val="32"/>
        </w:rPr>
      </w:pPr>
      <w:r>
        <w:rPr>
          <w:rFonts w:hint="eastAsia" w:ascii="黑体" w:hAnsi="黑体" w:eastAsia="黑体"/>
          <w:color w:val="000000"/>
          <w:sz w:val="32"/>
          <w:szCs w:val="32"/>
          <w:lang w:eastAsia="zh-CN"/>
        </w:rPr>
        <w:drawing>
          <wp:anchor distT="0" distB="0" distL="114300" distR="114300" simplePos="0" relativeHeight="251665408" behindDoc="0" locked="0" layoutInCell="1" allowOverlap="1">
            <wp:simplePos x="0" y="0"/>
            <wp:positionH relativeFrom="column">
              <wp:posOffset>439420</wp:posOffset>
            </wp:positionH>
            <wp:positionV relativeFrom="paragraph">
              <wp:posOffset>109220</wp:posOffset>
            </wp:positionV>
            <wp:extent cx="5080000" cy="3810000"/>
            <wp:effectExtent l="4445" t="4445" r="2095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34"/>
        <w:spacing w:line="600" w:lineRule="exact"/>
        <w:ind w:left="640" w:firstLine="0" w:firstLineChars="0"/>
        <w:outlineLvl w:val="1"/>
        <w:rPr>
          <w:rFonts w:hint="eastAsia" w:ascii="黑体" w:hAnsi="黑体" w:eastAsia="黑体"/>
          <w:color w:val="000000"/>
          <w:sz w:val="32"/>
          <w:szCs w:val="32"/>
          <w:lang w:eastAsia="zh-CN"/>
        </w:rPr>
      </w:pPr>
      <w:bookmarkStart w:id="42" w:name="_Toc15377206"/>
      <w:bookmarkStart w:id="43" w:name="_Toc14665"/>
      <w:bookmarkStart w:id="44" w:name="_Toc15396604"/>
      <w:bookmarkStart w:id="45" w:name="_Toc79163611"/>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ascii="黑体" w:hAnsi="黑体" w:eastAsia="黑体"/>
          <w:color w:val="000000"/>
          <w:sz w:val="32"/>
          <w:szCs w:val="32"/>
        </w:rPr>
      </w:pPr>
    </w:p>
    <w:p>
      <w:pPr>
        <w:pStyle w:val="34"/>
        <w:spacing w:line="600" w:lineRule="exact"/>
        <w:ind w:left="640" w:firstLine="0" w:firstLineChars="0"/>
        <w:outlineLvl w:val="1"/>
        <w:rPr>
          <w:rFonts w:hint="eastAsia" w:ascii="仿宋_GB2312" w:hAnsi="仿宋_GB2312" w:eastAsia="仿宋_GB2312" w:cs="仿宋_GB2312"/>
          <w:color w:val="000000"/>
          <w:sz w:val="32"/>
          <w:szCs w:val="32"/>
          <w:lang w:val="en-US" w:eastAsia="zh-CN"/>
        </w:rPr>
      </w:pPr>
      <w:r>
        <w:rPr>
          <w:rFonts w:hint="eastAsia" w:ascii="黑体" w:hAnsi="黑体" w:eastAsia="黑体"/>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 xml:space="preserve">   图1</w:t>
      </w:r>
    </w:p>
    <w:p>
      <w:pPr>
        <w:pStyle w:val="34"/>
        <w:spacing w:line="600" w:lineRule="exact"/>
        <w:ind w:left="640" w:firstLine="0" w:firstLineChars="0"/>
        <w:outlineLvl w:val="1"/>
        <w:rPr>
          <w:rFonts w:hint="eastAsia" w:ascii="仿宋_GB2312" w:hAnsi="仿宋_GB2312" w:eastAsia="仿宋_GB2312" w:cs="仿宋_GB2312"/>
          <w:color w:val="000000"/>
          <w:sz w:val="32"/>
          <w:szCs w:val="32"/>
          <w:lang w:val="en-US" w:eastAsia="zh-CN"/>
        </w:rPr>
      </w:pPr>
    </w:p>
    <w:p>
      <w:pPr>
        <w:pStyle w:val="34"/>
        <w:spacing w:line="600" w:lineRule="exact"/>
        <w:ind w:left="640" w:firstLine="0" w:firstLineChars="0"/>
        <w:outlineLvl w:val="1"/>
        <w:rPr>
          <w:rFonts w:hint="default" w:ascii="仿宋_GB2312" w:hAnsi="仿宋_GB2312" w:eastAsia="仿宋_GB2312" w:cs="仿宋_GB2312"/>
          <w:color w:val="000000"/>
          <w:sz w:val="32"/>
          <w:szCs w:val="32"/>
          <w:lang w:val="en-US" w:eastAsia="zh-CN"/>
        </w:rPr>
      </w:pPr>
    </w:p>
    <w:p>
      <w:pPr>
        <w:pStyle w:val="34"/>
        <w:spacing w:line="600" w:lineRule="exact"/>
        <w:ind w:left="640" w:firstLine="0" w:firstLineChars="0"/>
        <w:outlineLvl w:val="1"/>
        <w:rPr>
          <w:rStyle w:val="24"/>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4"/>
          <w:rFonts w:hint="eastAsia" w:ascii="黑体" w:hAnsi="黑体" w:eastAsia="黑体"/>
          <w:b w:val="0"/>
        </w:rPr>
        <w:t>入决算情况说明</w:t>
      </w:r>
      <w:bookmarkEnd w:id="42"/>
      <w:bookmarkEnd w:id="43"/>
      <w:bookmarkEnd w:id="44"/>
      <w:bookmarkEnd w:id="4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w:t>
      </w:r>
      <w:r>
        <w:rPr>
          <w:rFonts w:hint="eastAsia" w:ascii="仿宋" w:hAnsi="仿宋" w:eastAsia="仿宋"/>
          <w:color w:val="000000"/>
          <w:sz w:val="32"/>
          <w:szCs w:val="32"/>
          <w:lang w:val="en-US" w:eastAsia="zh-CN"/>
        </w:rPr>
        <w:t>312.29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312.29</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295275</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 xml:space="preserve">                     图2</w:t>
      </w:r>
    </w:p>
    <w:p>
      <w:pPr>
        <w:pStyle w:val="34"/>
        <w:numPr>
          <w:ilvl w:val="0"/>
          <w:numId w:val="0"/>
        </w:numPr>
        <w:spacing w:line="600" w:lineRule="exact"/>
        <w:ind w:left="640" w:leftChars="0"/>
        <w:outlineLvl w:val="1"/>
        <w:rPr>
          <w:rStyle w:val="24"/>
          <w:rFonts w:ascii="黑体" w:hAnsi="黑体" w:eastAsia="黑体"/>
          <w:b w:val="0"/>
        </w:rPr>
      </w:pPr>
      <w:bookmarkStart w:id="46" w:name="_Toc15396605"/>
      <w:bookmarkStart w:id="47" w:name="_Toc5985"/>
      <w:bookmarkStart w:id="48" w:name="_Toc15377207"/>
      <w:bookmarkStart w:id="49" w:name="_Toc7916361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4"/>
          <w:rFonts w:hint="eastAsia" w:ascii="黑体" w:hAnsi="黑体" w:eastAsia="黑体"/>
          <w:b w:val="0"/>
        </w:rPr>
        <w:t>出决算情况说明</w:t>
      </w:r>
      <w:bookmarkEnd w:id="46"/>
      <w:bookmarkEnd w:id="47"/>
      <w:bookmarkEnd w:id="48"/>
      <w:bookmarkEnd w:id="49"/>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326.33</w:t>
      </w:r>
      <w:r>
        <w:rPr>
          <w:rFonts w:hint="eastAsia" w:ascii="仿宋_GB2312" w:eastAsia="仿宋_GB2312"/>
          <w:sz w:val="32"/>
          <w:szCs w:val="32"/>
        </w:rPr>
        <w:t>万元，其中：基本支出</w:t>
      </w:r>
      <w:r>
        <w:rPr>
          <w:rFonts w:hint="eastAsia" w:ascii="仿宋_GB2312" w:eastAsia="仿宋_GB2312"/>
          <w:sz w:val="32"/>
          <w:szCs w:val="32"/>
          <w:lang w:val="en-US" w:eastAsia="zh-CN"/>
        </w:rPr>
        <w:t>247.09</w:t>
      </w:r>
      <w:r>
        <w:rPr>
          <w:rFonts w:hint="eastAsia" w:ascii="仿宋_GB2312" w:eastAsia="仿宋_GB2312"/>
          <w:sz w:val="32"/>
          <w:szCs w:val="32"/>
        </w:rPr>
        <w:t>万元，占</w:t>
      </w:r>
      <w:r>
        <w:rPr>
          <w:rFonts w:hint="eastAsia" w:ascii="仿宋_GB2312" w:eastAsia="仿宋_GB2312"/>
          <w:sz w:val="32"/>
          <w:szCs w:val="32"/>
          <w:lang w:val="en-US" w:eastAsia="zh-CN"/>
        </w:rPr>
        <w:t>75.7</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79.24</w:t>
      </w:r>
      <w:r>
        <w:rPr>
          <w:rFonts w:hint="eastAsia" w:ascii="仿宋_GB2312" w:eastAsia="仿宋_GB2312"/>
          <w:sz w:val="32"/>
          <w:szCs w:val="32"/>
        </w:rPr>
        <w:t>万元，占</w:t>
      </w:r>
      <w:r>
        <w:rPr>
          <w:rFonts w:hint="eastAsia" w:ascii="仿宋_GB2312" w:eastAsia="仿宋_GB2312"/>
          <w:sz w:val="32"/>
          <w:szCs w:val="32"/>
          <w:lang w:val="en-US" w:eastAsia="zh-CN"/>
        </w:rPr>
        <w:t>24.3</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pPr>
        <w:spacing w:line="600" w:lineRule="exact"/>
        <w:ind w:firstLine="4160" w:firstLineChars="1300"/>
        <w:rPr>
          <w:rFonts w:ascii="仿宋" w:hAnsi="仿宋" w:eastAsia="仿宋"/>
          <w:color w:val="auto"/>
          <w:sz w:val="32"/>
          <w:szCs w:val="32"/>
        </w:rPr>
      </w:pPr>
      <w:r>
        <w:rPr>
          <w:rFonts w:hint="eastAsia" w:ascii="仿宋_GB2312" w:eastAsia="仿宋_GB2312"/>
          <w:color w:val="auto"/>
          <w:sz w:val="32"/>
          <w:szCs w:val="32"/>
        </w:rPr>
        <w:drawing>
          <wp:anchor distT="0" distB="0" distL="114300" distR="114300" simplePos="0" relativeHeight="251660288" behindDoc="0" locked="0" layoutInCell="1" allowOverlap="1">
            <wp:simplePos x="0" y="0"/>
            <wp:positionH relativeFrom="column">
              <wp:posOffset>315595</wp:posOffset>
            </wp:positionH>
            <wp:positionV relativeFrom="paragraph">
              <wp:posOffset>58420</wp:posOffset>
            </wp:positionV>
            <wp:extent cx="5080000" cy="3810000"/>
            <wp:effectExtent l="4445" t="4445" r="2095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auto"/>
          <w:sz w:val="32"/>
          <w:szCs w:val="32"/>
        </w:rPr>
        <w:t>图3</w:t>
      </w:r>
    </w:p>
    <w:p>
      <w:pPr>
        <w:spacing w:line="600" w:lineRule="exact"/>
        <w:ind w:firstLine="640" w:firstLineChars="200"/>
        <w:outlineLvl w:val="1"/>
        <w:rPr>
          <w:rStyle w:val="24"/>
          <w:rFonts w:ascii="黑体" w:hAnsi="黑体" w:eastAsia="黑体"/>
          <w:b w:val="0"/>
        </w:rPr>
      </w:pPr>
      <w:bookmarkStart w:id="50" w:name="_Toc25803"/>
      <w:bookmarkStart w:id="51" w:name="_Toc15396606"/>
      <w:bookmarkStart w:id="52" w:name="_Toc15377208"/>
      <w:bookmarkStart w:id="53" w:name="_Toc7916361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50"/>
      <w:bookmarkEnd w:id="51"/>
      <w:bookmarkEnd w:id="52"/>
      <w:bookmarkEnd w:id="53"/>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326</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33</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14.08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25.9</w:t>
      </w:r>
      <w:r>
        <w:rPr>
          <w:rFonts w:ascii="仿宋" w:hAnsi="仿宋" w:eastAsia="仿宋"/>
          <w:color w:val="000000"/>
          <w:sz w:val="32"/>
          <w:szCs w:val="32"/>
        </w:rPr>
        <w:t>%</w:t>
      </w:r>
      <w:r>
        <w:rPr>
          <w:rFonts w:hint="eastAsia" w:ascii="仿宋" w:hAnsi="仿宋" w:eastAsia="仿宋"/>
          <w:color w:val="000000"/>
          <w:sz w:val="32"/>
          <w:szCs w:val="32"/>
        </w:rPr>
        <w:t>。主要变动原因是第七次全国人口普查</w:t>
      </w:r>
      <w:r>
        <w:rPr>
          <w:rFonts w:hint="eastAsia" w:ascii="仿宋" w:hAnsi="仿宋" w:eastAsia="仿宋"/>
          <w:color w:val="000000"/>
          <w:sz w:val="32"/>
          <w:szCs w:val="32"/>
          <w:lang w:eastAsia="zh-CN"/>
        </w:rPr>
        <w:t>和其他普查</w:t>
      </w:r>
      <w:r>
        <w:rPr>
          <w:rFonts w:hint="eastAsia" w:ascii="仿宋" w:hAnsi="仿宋" w:eastAsia="仿宋"/>
          <w:color w:val="000000"/>
          <w:sz w:val="32"/>
          <w:szCs w:val="32"/>
        </w:rPr>
        <w:t>工作</w:t>
      </w:r>
      <w:r>
        <w:rPr>
          <w:rFonts w:hint="eastAsia" w:ascii="仿宋" w:hAnsi="仿宋" w:eastAsia="仿宋"/>
          <w:color w:val="000000"/>
          <w:sz w:val="32"/>
          <w:szCs w:val="32"/>
          <w:lang w:eastAsia="zh-CN"/>
        </w:rPr>
        <w:t>结束</w:t>
      </w:r>
      <w:r>
        <w:rPr>
          <w:rFonts w:hint="eastAsia" w:ascii="仿宋" w:hAnsi="仿宋" w:eastAsia="仿宋"/>
          <w:color w:val="000000"/>
          <w:sz w:val="32"/>
          <w:szCs w:val="32"/>
        </w:rPr>
        <w:t>。</w:t>
      </w: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016"/>
        </w:tabs>
        <w:bidi w:val="0"/>
        <w:jc w:val="left"/>
        <w:rPr>
          <w:rFonts w:hint="eastAsia"/>
          <w:lang w:val="en-US" w:eastAsia="zh-CN"/>
        </w:rPr>
      </w:pPr>
      <w:r>
        <w:rPr>
          <w:rFonts w:hint="eastAsia"/>
          <w:lang w:val="en-US" w:eastAsia="zh-CN"/>
        </w:rPr>
        <w:tab/>
      </w:r>
    </w:p>
    <w:p>
      <w:pPr>
        <w:tabs>
          <w:tab w:val="left" w:pos="2016"/>
        </w:tabs>
        <w:bidi w:val="0"/>
        <w:jc w:val="left"/>
        <w:rPr>
          <w:rFonts w:hint="eastAsia"/>
          <w:lang w:val="en-US" w:eastAsia="zh-CN"/>
        </w:rPr>
      </w:pPr>
    </w:p>
    <w:p>
      <w:pPr>
        <w:tabs>
          <w:tab w:val="left" w:pos="2016"/>
        </w:tabs>
        <w:bidi w:val="0"/>
        <w:jc w:val="left"/>
        <w:rPr>
          <w:rFonts w:hint="eastAsia"/>
          <w:lang w:val="en-US" w:eastAsia="zh-CN"/>
        </w:rPr>
      </w:pPr>
    </w:p>
    <w:p>
      <w:pPr>
        <w:tabs>
          <w:tab w:val="left" w:pos="2016"/>
        </w:tabs>
        <w:bidi w:val="0"/>
        <w:jc w:val="left"/>
        <w:rPr>
          <w:rFonts w:ascii="仿宋" w:hAnsi="仿宋" w:eastAsia="仿宋"/>
          <w:b/>
          <w:color w:val="00B050"/>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271145</wp:posOffset>
            </wp:positionH>
            <wp:positionV relativeFrom="paragraph">
              <wp:posOffset>175895</wp:posOffset>
            </wp:positionV>
            <wp:extent cx="4928235" cy="3238500"/>
            <wp:effectExtent l="4445" t="4445" r="20320" b="1460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lang w:val="en-US" w:eastAsia="zh-CN"/>
        </w:rPr>
        <w:t xml:space="preserve">                        </w:t>
      </w:r>
      <w:r>
        <w:rPr>
          <w:rFonts w:hint="eastAsia" w:ascii="仿宋" w:hAnsi="仿宋" w:eastAsia="仿宋"/>
          <w:b/>
          <w:color w:val="00B050"/>
          <w:sz w:val="32"/>
          <w:szCs w:val="32"/>
          <w:lang w:val="en-US" w:eastAsia="zh-CN"/>
        </w:rPr>
        <w:t xml:space="preserve"> </w:t>
      </w:r>
      <w:r>
        <w:rPr>
          <w:rFonts w:hint="eastAsia" w:ascii="仿宋" w:hAnsi="仿宋" w:eastAsia="仿宋"/>
          <w:b w:val="0"/>
          <w:bCs/>
          <w:color w:val="00B050"/>
          <w:sz w:val="32"/>
          <w:szCs w:val="32"/>
        </w:rPr>
        <w:t xml:space="preserve"> </w:t>
      </w:r>
      <w:r>
        <w:rPr>
          <w:rFonts w:hint="eastAsia" w:ascii="仿宋" w:hAnsi="仿宋" w:eastAsia="仿宋"/>
          <w:b w:val="0"/>
          <w:bCs/>
          <w:color w:val="auto"/>
          <w:sz w:val="32"/>
          <w:szCs w:val="32"/>
        </w:rPr>
        <w:t>图4</w:t>
      </w:r>
    </w:p>
    <w:p>
      <w:pPr>
        <w:spacing w:line="600" w:lineRule="exact"/>
        <w:ind w:firstLine="640" w:firstLineChars="200"/>
        <w:outlineLvl w:val="1"/>
        <w:rPr>
          <w:rStyle w:val="24"/>
          <w:rFonts w:ascii="黑体" w:hAnsi="黑体" w:eastAsia="黑体"/>
          <w:b w:val="0"/>
        </w:rPr>
      </w:pPr>
      <w:bookmarkStart w:id="54" w:name="_Toc79163614"/>
      <w:bookmarkStart w:id="55" w:name="_Toc15396607"/>
      <w:bookmarkStart w:id="56" w:name="_Toc22828"/>
      <w:bookmarkStart w:id="5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4"/>
      <w:bookmarkEnd w:id="55"/>
      <w:bookmarkEnd w:id="56"/>
      <w:bookmarkEnd w:id="57"/>
    </w:p>
    <w:p>
      <w:pPr>
        <w:spacing w:line="600" w:lineRule="exact"/>
        <w:ind w:firstLine="642" w:firstLineChars="200"/>
        <w:outlineLvl w:val="2"/>
        <w:rPr>
          <w:rFonts w:ascii="仿宋" w:hAnsi="仿宋" w:eastAsia="仿宋"/>
          <w:b/>
          <w:color w:val="000000"/>
          <w:sz w:val="32"/>
          <w:szCs w:val="32"/>
        </w:rPr>
      </w:pPr>
      <w:bookmarkStart w:id="58" w:name="_Toc79163615"/>
      <w:bookmarkStart w:id="59" w:name="_Toc27427"/>
      <w:bookmarkStart w:id="60" w:name="_Toc15377210"/>
      <w:r>
        <w:rPr>
          <w:rFonts w:hint="eastAsia" w:ascii="仿宋" w:hAnsi="仿宋" w:eastAsia="仿宋"/>
          <w:b/>
          <w:color w:val="000000"/>
          <w:sz w:val="32"/>
          <w:szCs w:val="32"/>
        </w:rPr>
        <w:t>（一）一般公共预算财政拨款支出决算总体情况</w:t>
      </w:r>
      <w:bookmarkEnd w:id="58"/>
      <w:bookmarkEnd w:id="59"/>
      <w:bookmarkEnd w:id="60"/>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789940</wp:posOffset>
            </wp:positionH>
            <wp:positionV relativeFrom="paragraph">
              <wp:posOffset>1955165</wp:posOffset>
            </wp:positionV>
            <wp:extent cx="3729355" cy="1687830"/>
            <wp:effectExtent l="4445" t="4445" r="19050" b="222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eastAsia="zh-CN"/>
        </w:rPr>
        <w:t>：</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326.33</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128.12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29.1</w:t>
      </w:r>
      <w:r>
        <w:rPr>
          <w:rFonts w:ascii="仿宋" w:hAnsi="仿宋" w:eastAsia="仿宋"/>
          <w:color w:val="000000"/>
          <w:sz w:val="32"/>
          <w:szCs w:val="32"/>
        </w:rPr>
        <w:t>%</w:t>
      </w:r>
      <w:r>
        <w:rPr>
          <w:rFonts w:hint="eastAsia" w:ascii="仿宋" w:hAnsi="仿宋" w:eastAsia="仿宋"/>
          <w:color w:val="000000"/>
          <w:sz w:val="32"/>
          <w:szCs w:val="32"/>
        </w:rPr>
        <w:t>。主要变动原因是第七次全国人口普查</w:t>
      </w:r>
      <w:r>
        <w:rPr>
          <w:rFonts w:hint="eastAsia" w:ascii="仿宋" w:hAnsi="仿宋" w:eastAsia="仿宋"/>
          <w:color w:val="000000"/>
          <w:sz w:val="32"/>
          <w:szCs w:val="32"/>
          <w:lang w:eastAsia="zh-CN"/>
        </w:rPr>
        <w:t>和其他普查</w:t>
      </w:r>
      <w:r>
        <w:rPr>
          <w:rFonts w:hint="eastAsia" w:ascii="仿宋" w:hAnsi="仿宋" w:eastAsia="仿宋"/>
          <w:color w:val="000000"/>
          <w:sz w:val="32"/>
          <w:szCs w:val="32"/>
        </w:rPr>
        <w:t>工作</w:t>
      </w:r>
      <w:r>
        <w:rPr>
          <w:rFonts w:hint="eastAsia" w:ascii="仿宋" w:hAnsi="仿宋" w:eastAsia="仿宋"/>
          <w:color w:val="000000"/>
          <w:sz w:val="32"/>
          <w:szCs w:val="32"/>
          <w:lang w:eastAsia="zh-CN"/>
        </w:rPr>
        <w:t>结束</w:t>
      </w:r>
      <w:r>
        <w:rPr>
          <w:rFonts w:hint="eastAsia" w:ascii="仿宋" w:hAnsi="仿宋" w:eastAsia="仿宋"/>
          <w:color w:val="000000"/>
          <w:sz w:val="32"/>
          <w:szCs w:val="32"/>
        </w:rPr>
        <w:t>。</w:t>
      </w:r>
    </w:p>
    <w:p>
      <w:pPr>
        <w:numPr>
          <w:ilvl w:val="0"/>
          <w:numId w:val="0"/>
        </w:numPr>
        <w:spacing w:line="600" w:lineRule="exact"/>
        <w:outlineLvl w:val="2"/>
        <w:rPr>
          <w:rFonts w:hint="default" w:ascii="仿宋" w:hAnsi="仿宋" w:eastAsia="仿宋"/>
          <w:b/>
          <w:color w:val="000000"/>
          <w:sz w:val="32"/>
          <w:szCs w:val="32"/>
          <w:lang w:val="en-US" w:eastAsia="zh-CN"/>
        </w:rPr>
      </w:pPr>
      <w:bookmarkStart w:id="61" w:name="_Toc15377211"/>
      <w:bookmarkStart w:id="62" w:name="_Toc79163616"/>
      <w:bookmarkStart w:id="63" w:name="_Toc6429"/>
      <w:r>
        <w:rPr>
          <w:rFonts w:hint="eastAsia" w:ascii="仿宋" w:hAnsi="仿宋" w:eastAsia="仿宋"/>
          <w:b/>
          <w:color w:val="000000"/>
          <w:sz w:val="32"/>
          <w:szCs w:val="32"/>
          <w:lang w:val="en-US" w:eastAsia="zh-CN"/>
        </w:rPr>
        <w:t xml:space="preserve">                         </w:t>
      </w:r>
      <w:r>
        <w:rPr>
          <w:rFonts w:hint="eastAsia" w:ascii="仿宋" w:hAnsi="仿宋" w:eastAsia="仿宋"/>
          <w:b w:val="0"/>
          <w:bCs/>
          <w:color w:val="000000"/>
          <w:sz w:val="32"/>
          <w:szCs w:val="32"/>
          <w:lang w:val="en-US" w:eastAsia="zh-CN"/>
        </w:rPr>
        <w:t xml:space="preserve"> 图5</w:t>
      </w:r>
    </w:p>
    <w:p>
      <w:pPr>
        <w:numPr>
          <w:ilvl w:val="0"/>
          <w:numId w:val="0"/>
        </w:numPr>
        <w:spacing w:line="600" w:lineRule="exact"/>
        <w:ind w:firstLine="642"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lang w:eastAsia="zh-CN"/>
        </w:rPr>
        <w:t>（二）</w:t>
      </w:r>
      <w:r>
        <w:rPr>
          <w:rFonts w:hint="eastAsia" w:ascii="仿宋" w:hAnsi="仿宋" w:eastAsia="仿宋"/>
          <w:b/>
          <w:color w:val="000000"/>
          <w:sz w:val="32"/>
          <w:szCs w:val="32"/>
        </w:rPr>
        <w:t>一般公共预算财政拨款支出决算结构情况</w:t>
      </w:r>
      <w:bookmarkEnd w:id="61"/>
      <w:bookmarkEnd w:id="62"/>
      <w:bookmarkEnd w:id="63"/>
    </w:p>
    <w:p>
      <w:pPr>
        <w:spacing w:line="600" w:lineRule="exact"/>
        <w:ind w:firstLine="640"/>
        <w:rPr>
          <w:rFonts w:hint="default"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326.33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256.25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78.5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rPr>
        <w:t>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文化旅游体育与传媒（类）支出0万元，占0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27.47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eastAsia="zh-CN"/>
        </w:rPr>
        <w:t>（类）</w:t>
      </w:r>
      <w:r>
        <w:rPr>
          <w:rFonts w:hint="eastAsia" w:ascii="仿宋" w:hAnsi="仿宋" w:eastAsia="仿宋"/>
          <w:b/>
          <w:bCs/>
          <w:color w:val="000000"/>
          <w:sz w:val="32"/>
          <w:szCs w:val="32"/>
        </w:rPr>
        <w:t>支出</w:t>
      </w:r>
      <w:r>
        <w:rPr>
          <w:rFonts w:hint="eastAsia" w:ascii="仿宋" w:hAnsi="仿宋" w:eastAsia="仿宋"/>
          <w:b w:val="0"/>
          <w:bCs w:val="0"/>
          <w:color w:val="000000"/>
          <w:sz w:val="32"/>
          <w:szCs w:val="32"/>
          <w:lang w:val="en-US" w:eastAsia="zh-CN"/>
        </w:rPr>
        <w:t>11.95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val="0"/>
          <w:bCs w:val="0"/>
          <w:color w:val="000000"/>
          <w:sz w:val="32"/>
          <w:szCs w:val="32"/>
          <w:lang w:val="en-US" w:eastAsia="zh-CN"/>
        </w:rPr>
        <w:t>17.61</w:t>
      </w:r>
      <w:r>
        <w:rPr>
          <w:rFonts w:hint="eastAsia" w:ascii="仿宋" w:hAnsi="仿宋" w:eastAsia="仿宋"/>
          <w:color w:val="000000"/>
          <w:sz w:val="32"/>
          <w:szCs w:val="32"/>
        </w:rPr>
        <w:t>万元，占5</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农林水（类）支出</w:t>
      </w:r>
      <w:r>
        <w:rPr>
          <w:rFonts w:hint="eastAsia" w:ascii="仿宋" w:hAnsi="仿宋" w:eastAsia="仿宋"/>
          <w:color w:val="000000"/>
          <w:sz w:val="32"/>
          <w:szCs w:val="32"/>
          <w:lang w:val="en-US" w:eastAsia="zh-CN"/>
        </w:rPr>
        <w:t>13.05万元，占4%。</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306070</wp:posOffset>
            </wp:positionH>
            <wp:positionV relativeFrom="paragraph">
              <wp:posOffset>223520</wp:posOffset>
            </wp:positionV>
            <wp:extent cx="5080000" cy="3810000"/>
            <wp:effectExtent l="4445" t="4445" r="20955" b="1460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 xml:space="preserve"> 图6</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4" w:name="_Toc79163617"/>
      <w:bookmarkStart w:id="65" w:name="_Toc15377212"/>
      <w:bookmarkStart w:id="66" w:name="_Toc4094"/>
      <w:r>
        <w:rPr>
          <w:rFonts w:hint="eastAsia" w:ascii="仿宋" w:hAnsi="仿宋" w:eastAsia="仿宋"/>
          <w:b/>
          <w:color w:val="000000"/>
          <w:sz w:val="32"/>
          <w:szCs w:val="32"/>
        </w:rPr>
        <w:t>（三）一般公共预算财政拨款支出决算具体情况</w:t>
      </w:r>
      <w:bookmarkEnd w:id="64"/>
      <w:bookmarkEnd w:id="65"/>
      <w:bookmarkEnd w:id="66"/>
    </w:p>
    <w:p>
      <w:pPr>
        <w:spacing w:line="600" w:lineRule="exact"/>
        <w:ind w:firstLine="642" w:firstLineChars="200"/>
        <w:rPr>
          <w:rFonts w:ascii="仿宋_GB2312" w:eastAsia="仿宋_GB2312"/>
          <w:b/>
          <w:bCs/>
          <w:sz w:val="32"/>
          <w:szCs w:val="32"/>
        </w:rPr>
      </w:pPr>
      <w:bookmarkStart w:id="67" w:name="_Toc15377213"/>
      <w:bookmarkStart w:id="68" w:name="_Toc15377444"/>
      <w:bookmarkStart w:id="69" w:name="_Toc15378460"/>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val="0"/>
          <w:bCs w:val="0"/>
          <w:sz w:val="32"/>
          <w:szCs w:val="32"/>
          <w:lang w:val="en-US" w:eastAsia="zh-CN"/>
        </w:rPr>
        <w:t>326.33万元</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67"/>
      <w:bookmarkEnd w:id="68"/>
      <w:bookmarkEnd w:id="69"/>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1.</w:t>
      </w:r>
      <w:r>
        <w:rPr>
          <w:rStyle w:val="21"/>
          <w:rFonts w:hint="eastAsia" w:ascii="仿宋" w:hAnsi="仿宋" w:eastAsia="仿宋"/>
          <w:bCs/>
          <w:color w:val="000000"/>
          <w:sz w:val="32"/>
          <w:szCs w:val="32"/>
        </w:rPr>
        <w:t>一般公共服务（类）</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Fonts w:hint="eastAsia" w:ascii="仿宋" w:hAnsi="仿宋" w:eastAsia="仿宋"/>
          <w:color w:val="000000"/>
          <w:sz w:val="32"/>
          <w:szCs w:val="32"/>
          <w:lang w:val="en-US" w:eastAsia="zh-CN"/>
        </w:rPr>
        <w:t>256.25</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，决算等于预算数。</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2.</w:t>
      </w:r>
      <w:r>
        <w:rPr>
          <w:rStyle w:val="21"/>
          <w:rFonts w:hint="eastAsia" w:ascii="仿宋" w:hAnsi="仿宋" w:eastAsia="仿宋"/>
          <w:bCs/>
          <w:color w:val="000000"/>
          <w:sz w:val="32"/>
          <w:szCs w:val="32"/>
        </w:rPr>
        <w:t>教育（类）</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支出决算为0万元，完成预算0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3.</w:t>
      </w:r>
      <w:r>
        <w:rPr>
          <w:rStyle w:val="21"/>
          <w:rFonts w:hint="eastAsia" w:ascii="仿宋" w:hAnsi="仿宋" w:eastAsia="仿宋"/>
          <w:bCs/>
          <w:color w:val="000000"/>
          <w:sz w:val="32"/>
          <w:szCs w:val="32"/>
        </w:rPr>
        <w:t>科学技术（类）</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支出决算为0万元，完成预算0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4.</w:t>
      </w:r>
      <w:r>
        <w:rPr>
          <w:rStyle w:val="21"/>
          <w:rFonts w:hint="eastAsia" w:ascii="仿宋" w:hAnsi="仿宋" w:eastAsia="仿宋"/>
          <w:bCs/>
          <w:color w:val="000000"/>
          <w:sz w:val="32"/>
          <w:szCs w:val="32"/>
        </w:rPr>
        <w:t>文化旅游体育与传媒（类）</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支出决算为0万元，完成预算0%，决算数等于预算数。</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5.</w:t>
      </w:r>
      <w:r>
        <w:rPr>
          <w:rStyle w:val="21"/>
          <w:rFonts w:hint="eastAsia" w:ascii="仿宋" w:hAnsi="仿宋" w:eastAsia="仿宋"/>
          <w:bCs/>
          <w:color w:val="000000"/>
          <w:sz w:val="32"/>
          <w:szCs w:val="32"/>
        </w:rPr>
        <w:t>社会保障和就业（类）</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27.47</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spacing w:line="600" w:lineRule="exact"/>
        <w:ind w:firstLine="642" w:firstLineChars="200"/>
        <w:rPr>
          <w:rStyle w:val="21"/>
          <w:rFonts w:hint="eastAsia" w:ascii="仿宋" w:hAnsi="仿宋" w:eastAsia="仿宋"/>
          <w:b w:val="0"/>
          <w:bCs/>
          <w:color w:val="000000"/>
          <w:sz w:val="32"/>
          <w:szCs w:val="32"/>
        </w:rPr>
      </w:pPr>
      <w:r>
        <w:rPr>
          <w:rStyle w:val="21"/>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（类）</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11.95</w:t>
      </w:r>
      <w:r>
        <w:rPr>
          <w:rStyle w:val="21"/>
          <w:rFonts w:hint="eastAsia" w:ascii="仿宋" w:hAnsi="仿宋" w:eastAsia="仿宋"/>
          <w:b w:val="0"/>
          <w:bCs/>
          <w:color w:val="000000"/>
          <w:sz w:val="32"/>
          <w:szCs w:val="32"/>
        </w:rPr>
        <w:t>万元，完成预算100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spacing w:line="600" w:lineRule="exact"/>
        <w:ind w:firstLine="642" w:firstLineChars="200"/>
        <w:rPr>
          <w:rStyle w:val="21"/>
          <w:rFonts w:hint="eastAsia" w:ascii="仿宋" w:hAnsi="仿宋" w:eastAsia="仿宋"/>
          <w:b w:val="0"/>
          <w:bCs/>
          <w:color w:val="000000"/>
          <w:sz w:val="32"/>
          <w:szCs w:val="32"/>
        </w:rPr>
      </w:pPr>
      <w:r>
        <w:rPr>
          <w:rStyle w:val="21"/>
          <w:rFonts w:hint="eastAsia" w:ascii="仿宋" w:hAnsi="仿宋" w:eastAsia="仿宋"/>
          <w:b/>
          <w:bCs w:val="0"/>
          <w:color w:val="000000"/>
          <w:sz w:val="32"/>
          <w:szCs w:val="32"/>
          <w:lang w:val="en-US" w:eastAsia="zh-CN"/>
        </w:rPr>
        <w:t>7.农林水（类）：</w:t>
      </w:r>
      <w:r>
        <w:rPr>
          <w:rStyle w:val="21"/>
          <w:rFonts w:hint="eastAsia" w:ascii="仿宋" w:hAnsi="仿宋" w:eastAsia="仿宋"/>
          <w:b w:val="0"/>
          <w:bCs/>
          <w:color w:val="000000"/>
          <w:sz w:val="32"/>
          <w:szCs w:val="32"/>
          <w:lang w:val="en-US" w:eastAsia="zh-CN"/>
        </w:rPr>
        <w:t>支出决算为13.05万元，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spacing w:line="600" w:lineRule="exact"/>
        <w:ind w:firstLine="642" w:firstLineChars="200"/>
        <w:rPr>
          <w:rStyle w:val="21"/>
          <w:rFonts w:hint="default" w:ascii="仿宋" w:hAnsi="仿宋" w:eastAsia="仿宋"/>
          <w:b w:val="0"/>
          <w:bCs/>
          <w:color w:val="000000"/>
          <w:sz w:val="32"/>
          <w:szCs w:val="32"/>
          <w:lang w:val="en-US" w:eastAsia="zh-CN"/>
        </w:rPr>
      </w:pPr>
      <w:r>
        <w:rPr>
          <w:rStyle w:val="21"/>
          <w:rFonts w:hint="eastAsia" w:ascii="仿宋" w:hAnsi="仿宋" w:eastAsia="仿宋"/>
          <w:b/>
          <w:bCs w:val="0"/>
          <w:color w:val="000000"/>
          <w:sz w:val="32"/>
          <w:szCs w:val="32"/>
          <w:lang w:val="en-US" w:eastAsia="zh-CN"/>
        </w:rPr>
        <w:t>8.住房保障（类）：</w:t>
      </w:r>
      <w:r>
        <w:rPr>
          <w:rStyle w:val="21"/>
          <w:rFonts w:hint="eastAsia" w:ascii="仿宋" w:hAnsi="仿宋" w:eastAsia="仿宋"/>
          <w:b w:val="0"/>
          <w:bCs/>
          <w:color w:val="000000"/>
          <w:sz w:val="32"/>
          <w:szCs w:val="32"/>
          <w:lang w:val="en-US" w:eastAsia="zh-CN"/>
        </w:rPr>
        <w:t>支出决算为17.61万元，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4"/>
        </w:rPr>
      </w:pPr>
      <w:bookmarkStart w:id="70" w:name="_Toc25504"/>
      <w:bookmarkStart w:id="71" w:name="_Toc15396608"/>
      <w:bookmarkStart w:id="72" w:name="_Toc15377214"/>
      <w:bookmarkStart w:id="73"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70"/>
      <w:bookmarkEnd w:id="71"/>
      <w:bookmarkEnd w:id="72"/>
      <w:bookmarkEnd w:id="73"/>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年一般公共预算财政拨款基本支出239.4万元，其中：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247.09</w:t>
      </w:r>
      <w:r>
        <w:rPr>
          <w:rFonts w:hint="eastAsia" w:ascii="仿宋" w:hAnsi="仿宋" w:eastAsia="仿宋"/>
          <w:color w:val="000000"/>
          <w:sz w:val="32"/>
          <w:szCs w:val="32"/>
        </w:rPr>
        <w:t>万元，主要包括：基本工资、津贴补贴、奖金、绩效工资、机关事业单位基本养老保险缴费、职业年金缴费、其他社会保障缴费、对个人和家庭的补助、生活补助、奖励金、住房公积金等。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24.06</w:t>
      </w:r>
      <w:r>
        <w:rPr>
          <w:rFonts w:hint="eastAsia" w:ascii="仿宋" w:hAnsi="仿宋" w:eastAsia="仿宋"/>
          <w:color w:val="000000"/>
          <w:sz w:val="32"/>
          <w:szCs w:val="32"/>
        </w:rPr>
        <w:t>万元，主要包括：办公费、印刷费、水费、电费、邮电费、差旅费、公务用车运行维护费等。</w:t>
      </w:r>
    </w:p>
    <w:p>
      <w:pPr>
        <w:spacing w:line="600" w:lineRule="exact"/>
        <w:ind w:firstLine="640"/>
        <w:outlineLvl w:val="1"/>
        <w:rPr>
          <w:rStyle w:val="24"/>
          <w:rFonts w:ascii="黑体" w:hAnsi="黑体" w:eastAsia="黑体"/>
          <w:b w:val="0"/>
        </w:rPr>
      </w:pPr>
      <w:bookmarkStart w:id="74" w:name="_Toc20448"/>
      <w:bookmarkStart w:id="75" w:name="_Toc15377215"/>
      <w:bookmarkStart w:id="76" w:name="_Toc79163619"/>
      <w:bookmarkStart w:id="77" w:name="_Toc1539660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79163620"/>
      <w:bookmarkStart w:id="79" w:name="_Toc26077"/>
      <w:bookmarkStart w:id="80" w:name="_Toc15377216"/>
      <w:r>
        <w:rPr>
          <w:rFonts w:hint="eastAsia" w:ascii="仿宋" w:hAnsi="仿宋" w:eastAsia="仿宋"/>
          <w:b/>
          <w:color w:val="000000"/>
          <w:sz w:val="32"/>
          <w:szCs w:val="32"/>
        </w:rPr>
        <w:t>（一）“三公”经费财政拨款支出决算总体情况说明</w:t>
      </w:r>
      <w:bookmarkEnd w:id="78"/>
      <w:bookmarkEnd w:id="79"/>
      <w:bookmarkEnd w:id="8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7.04</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高于</w:t>
      </w:r>
      <w:r>
        <w:rPr>
          <w:rFonts w:hint="eastAsia" w:ascii="仿宋" w:hAnsi="仿宋" w:eastAsia="仿宋"/>
          <w:color w:val="000000"/>
          <w:sz w:val="32"/>
          <w:szCs w:val="32"/>
        </w:rPr>
        <w:t>预算数持平，上年度支出4万元，比上年度</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3.04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76</w:t>
      </w:r>
      <w:r>
        <w:rPr>
          <w:rFonts w:hint="eastAsia" w:ascii="仿宋" w:hAnsi="仿宋" w:eastAsia="仿宋"/>
          <w:color w:val="000000"/>
          <w:sz w:val="32"/>
          <w:szCs w:val="32"/>
        </w:rPr>
        <w:t>%，原因是本年度公车维修次数</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81" w:name="_Toc8990"/>
      <w:bookmarkStart w:id="82" w:name="_Toc15377217"/>
      <w:bookmarkStart w:id="83" w:name="_Toc79163621"/>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210185</wp:posOffset>
            </wp:positionH>
            <wp:positionV relativeFrom="paragraph">
              <wp:posOffset>1575435</wp:posOffset>
            </wp:positionV>
            <wp:extent cx="4481195" cy="1849120"/>
            <wp:effectExtent l="4445" t="4445" r="10160" b="1333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99.3</w:t>
      </w:r>
      <w:r>
        <w:rPr>
          <w:rFonts w:ascii="仿宋" w:hAnsi="仿宋" w:eastAsia="仿宋"/>
          <w:color w:val="000000"/>
          <w:sz w:val="32"/>
          <w:szCs w:val="32"/>
        </w:rPr>
        <w:t>%</w:t>
      </w:r>
      <w:r>
        <w:rPr>
          <w:rFonts w:hint="eastAsia" w:ascii="仿宋" w:hAnsi="仿宋" w:eastAsia="仿宋"/>
          <w:color w:val="000000"/>
          <w:sz w:val="32"/>
          <w:szCs w:val="32"/>
        </w:rPr>
        <w:t>；公务接待费支出决算0</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万元，占0</w:t>
      </w: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                   图7</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hAnsi="仿宋" w:eastAsia="仿宋"/>
          <w:b w:val="0"/>
          <w:bCs/>
          <w:color w:val="000000"/>
          <w:sz w:val="32"/>
          <w:szCs w:val="32"/>
        </w:rPr>
        <w:t>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6.99</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2.99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%，原因是本年度公车维修次数</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6.99</w:t>
      </w:r>
      <w:r>
        <w:rPr>
          <w:rFonts w:hint="eastAsia" w:ascii="仿宋_GB2312" w:eastAsia="仿宋_GB2312"/>
          <w:color w:val="000000"/>
          <w:sz w:val="32"/>
          <w:szCs w:val="32"/>
        </w:rPr>
        <w:t>万元。主要用于日常工作所需的出差、下乡的公务用车燃料费、维修费、过路过桥费、保险费等支出。</w:t>
      </w:r>
    </w:p>
    <w:p>
      <w:pPr>
        <w:numPr>
          <w:ilvl w:val="0"/>
          <w:numId w:val="0"/>
        </w:numPr>
        <w:spacing w:line="600" w:lineRule="exact"/>
        <w:ind w:firstLine="642"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0.0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rPr>
        <w:t>100</w:t>
      </w:r>
      <w:r>
        <w:rPr>
          <w:rFonts w:ascii="仿宋_GB2312" w:eastAsia="仿宋_GB2312"/>
          <w:color w:val="000000"/>
          <w:sz w:val="32"/>
          <w:szCs w:val="32"/>
        </w:rPr>
        <w:t>%</w:t>
      </w:r>
      <w:r>
        <w:rPr>
          <w:rFonts w:hint="eastAsia" w:ascii="仿宋_GB2312" w:eastAsia="仿宋_GB2312"/>
          <w:color w:val="000000"/>
          <w:sz w:val="32"/>
          <w:szCs w:val="32"/>
        </w:rPr>
        <w:t>。主要原因是202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公务接待</w:t>
      </w:r>
      <w:r>
        <w:rPr>
          <w:rFonts w:hint="eastAsia" w:ascii="仿宋_GB2312" w:eastAsia="仿宋_GB2312"/>
          <w:color w:val="000000"/>
          <w:sz w:val="32"/>
          <w:szCs w:val="32"/>
          <w:lang w:eastAsia="zh-CN"/>
        </w:rPr>
        <w:t>增加。</w:t>
      </w:r>
    </w:p>
    <w:p>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 w:hAnsi="仿宋" w:eastAsia="仿宋"/>
          <w:color w:val="000000"/>
          <w:sz w:val="32"/>
          <w:szCs w:val="32"/>
          <w:lang w:val="en-US" w:eastAsia="zh-CN"/>
        </w:rPr>
        <w:t>.05</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人次（不包括陪同人员），共计支出0</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640"/>
        <w:outlineLvl w:val="1"/>
        <w:rPr>
          <w:rStyle w:val="24"/>
          <w:rFonts w:ascii="黑体" w:hAnsi="黑体" w:eastAsia="黑体"/>
        </w:rPr>
      </w:pPr>
      <w:bookmarkStart w:id="84" w:name="_Toc15377218"/>
      <w:bookmarkStart w:id="85" w:name="_Toc15396610"/>
      <w:bookmarkStart w:id="86" w:name="_Toc79163622"/>
      <w:bookmarkStart w:id="87" w:name="_Toc32609"/>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4"/>
          <w:rFonts w:ascii="黑体" w:hAnsi="黑体" w:eastAsia="黑体"/>
          <w:b w:val="0"/>
        </w:rPr>
      </w:pPr>
      <w:bookmarkStart w:id="88" w:name="_Toc14710"/>
      <w:bookmarkStart w:id="89" w:name="_Toc79163623"/>
      <w:bookmarkStart w:id="90" w:name="_Toc15377219"/>
      <w:bookmarkStart w:id="91" w:name="_Toc15396611"/>
      <w:r>
        <w:rPr>
          <w:rStyle w:val="24"/>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4"/>
          <w:rFonts w:ascii="黑体" w:hAnsi="黑体" w:eastAsia="黑体"/>
        </w:rPr>
      </w:pPr>
      <w:bookmarkStart w:id="92" w:name="_Toc15396612"/>
      <w:bookmarkStart w:id="93" w:name="_Toc15822"/>
      <w:bookmarkStart w:id="94" w:name="_Toc15377221"/>
      <w:bookmarkStart w:id="95"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2"/>
      <w:bookmarkEnd w:id="93"/>
      <w:bookmarkEnd w:id="94"/>
      <w:bookmarkEnd w:id="95"/>
    </w:p>
    <w:p>
      <w:pPr>
        <w:spacing w:line="600" w:lineRule="exact"/>
        <w:ind w:firstLine="642" w:firstLineChars="200"/>
        <w:outlineLvl w:val="2"/>
        <w:rPr>
          <w:rFonts w:ascii="仿宋" w:hAnsi="仿宋" w:eastAsia="仿宋"/>
          <w:color w:val="000000"/>
          <w:sz w:val="32"/>
          <w:szCs w:val="32"/>
        </w:rPr>
      </w:pPr>
      <w:bookmarkStart w:id="96" w:name="_Toc15377222"/>
      <w:bookmarkStart w:id="97" w:name="_Toc79163625"/>
      <w:bookmarkStart w:id="98" w:name="_Toc31604"/>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ascii="仿宋" w:hAnsi="仿宋" w:eastAsia="仿宋"/>
          <w:b/>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年，本单位机关运行经费支出</w:t>
      </w:r>
      <w:r>
        <w:rPr>
          <w:rFonts w:hint="eastAsia" w:ascii="仿宋_GB2312" w:eastAsia="仿宋_GB2312"/>
          <w:color w:val="auto"/>
          <w:sz w:val="32"/>
          <w:szCs w:val="32"/>
          <w:lang w:val="en-US" w:eastAsia="zh-CN"/>
        </w:rPr>
        <w:t>24.06</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14.45万元</w:t>
      </w:r>
      <w:r>
        <w:rPr>
          <w:rFonts w:hint="eastAsia" w:ascii="仿宋_GB2312" w:eastAsia="仿宋_GB2312"/>
          <w:color w:val="auto"/>
          <w:sz w:val="32"/>
          <w:szCs w:val="32"/>
        </w:rPr>
        <w:t>，</w:t>
      </w:r>
      <w:r>
        <w:rPr>
          <w:rFonts w:hint="eastAsia" w:ascii="仿宋_GB2312" w:eastAsia="仿宋_GB2312"/>
          <w:color w:val="auto"/>
          <w:sz w:val="32"/>
          <w:szCs w:val="32"/>
          <w:lang w:eastAsia="zh-CN"/>
        </w:rPr>
        <w:t>增长</w:t>
      </w:r>
      <w:r>
        <w:rPr>
          <w:rFonts w:hint="eastAsia" w:ascii="仿宋_GB2312" w:eastAsia="仿宋_GB2312"/>
          <w:color w:val="auto"/>
          <w:sz w:val="32"/>
          <w:szCs w:val="32"/>
          <w:lang w:val="en-US" w:eastAsia="zh-CN"/>
        </w:rPr>
        <w:t>150.4</w:t>
      </w:r>
      <w:r>
        <w:rPr>
          <w:rFonts w:ascii="仿宋_GB2312" w:eastAsia="仿宋_GB2312"/>
          <w:color w:val="auto"/>
          <w:sz w:val="32"/>
          <w:szCs w:val="32"/>
        </w:rPr>
        <w:t>%</w:t>
      </w:r>
      <w:r>
        <w:rPr>
          <w:rFonts w:hint="eastAsia" w:ascii="仿宋_GB2312" w:eastAsia="仿宋_GB2312"/>
          <w:color w:val="auto"/>
          <w:sz w:val="32"/>
          <w:szCs w:val="32"/>
        </w:rPr>
        <w:t>，主要原因是印刷费、办公费、差旅费</w:t>
      </w:r>
      <w:r>
        <w:rPr>
          <w:rFonts w:hint="eastAsia" w:ascii="仿宋_GB2312" w:eastAsia="仿宋_GB2312"/>
          <w:color w:val="auto"/>
          <w:sz w:val="32"/>
          <w:szCs w:val="32"/>
          <w:lang w:eastAsia="zh-CN"/>
        </w:rPr>
        <w:t>、公车运行费</w:t>
      </w:r>
      <w:r>
        <w:rPr>
          <w:rFonts w:hint="eastAsia" w:ascii="仿宋_GB2312" w:eastAsia="仿宋_GB2312"/>
          <w:color w:val="auto"/>
          <w:sz w:val="32"/>
          <w:szCs w:val="32"/>
        </w:rPr>
        <w:t>等支出</w:t>
      </w:r>
      <w:r>
        <w:rPr>
          <w:rFonts w:hint="eastAsia" w:ascii="仿宋_GB2312" w:eastAsia="仿宋_GB2312"/>
          <w:color w:val="auto"/>
          <w:sz w:val="32"/>
          <w:szCs w:val="32"/>
          <w:lang w:eastAsia="zh-CN"/>
        </w:rPr>
        <w:t>增加</w:t>
      </w:r>
      <w:r>
        <w:rPr>
          <w:rFonts w:hint="eastAsia" w:ascii="仿宋_GB2312" w:eastAsia="仿宋_GB2312"/>
          <w:color w:val="auto"/>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9" w:name="_Toc79163627"/>
      <w:bookmarkStart w:id="100" w:name="_Toc31526"/>
      <w:bookmarkStart w:id="101" w:name="_Toc15377224"/>
      <w:r>
        <w:rPr>
          <w:rFonts w:hint="eastAsia" w:ascii="仿宋" w:hAnsi="仿宋" w:eastAsia="仿宋"/>
          <w:b/>
          <w:color w:val="000000"/>
          <w:sz w:val="32"/>
          <w:szCs w:val="32"/>
        </w:rPr>
        <w:t>（二）国有资产占有使用情况</w:t>
      </w:r>
      <w:bookmarkEnd w:id="99"/>
      <w:bookmarkEnd w:id="100"/>
      <w:bookmarkEnd w:id="101"/>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w:t>
      </w:r>
      <w:bookmarkStart w:id="171" w:name="_GoBack"/>
      <w:bookmarkEnd w:id="171"/>
      <w:r>
        <w:rPr>
          <w:rFonts w:hint="eastAsia" w:ascii="仿宋_GB2312" w:eastAsia="仿宋_GB2312"/>
          <w:color w:val="000000"/>
          <w:sz w:val="32"/>
          <w:szCs w:val="32"/>
        </w:rPr>
        <w:t>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日，本单位共有车辆1辆，其中：主要领导干部用车0辆、机要通信用车0辆、应急保障用车1辆、其他用车0辆，单价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numPr>
          <w:ilvl w:val="0"/>
          <w:numId w:val="3"/>
        </w:numPr>
        <w:spacing w:line="600" w:lineRule="exact"/>
        <w:ind w:firstLine="660" w:firstLineChars="150"/>
        <w:jc w:val="center"/>
        <w:outlineLvl w:val="0"/>
        <w:rPr>
          <w:rStyle w:val="23"/>
          <w:rFonts w:ascii="黑体" w:hAnsi="黑体" w:eastAsia="黑体"/>
          <w:b w:val="0"/>
        </w:rPr>
      </w:pPr>
      <w:bookmarkStart w:id="102" w:name="_Toc79163629"/>
      <w:bookmarkStart w:id="103" w:name="_Toc15396613"/>
      <w:bookmarkStart w:id="104" w:name="_Toc15377225"/>
      <w:bookmarkStart w:id="105" w:name="_Toc18448"/>
      <w:r>
        <w:rPr>
          <w:rFonts w:hint="eastAsia" w:ascii="黑体" w:hAnsi="黑体" w:eastAsia="黑体"/>
          <w:color w:val="000000"/>
          <w:sz w:val="44"/>
          <w:szCs w:val="44"/>
        </w:rPr>
        <w:t>名</w:t>
      </w:r>
      <w:r>
        <w:rPr>
          <w:rStyle w:val="23"/>
          <w:rFonts w:hint="eastAsia" w:ascii="黑体" w:hAnsi="黑体" w:eastAsia="黑体"/>
          <w:b w:val="0"/>
        </w:rPr>
        <w:t>词解释</w:t>
      </w:r>
      <w:bookmarkEnd w:id="102"/>
      <w:bookmarkEnd w:id="103"/>
      <w:bookmarkEnd w:id="104"/>
      <w:bookmarkEnd w:id="105"/>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一般公共服务（类）指统计信息事务支出。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社会保障和就业（类）指行政事业单位职工的社会保障。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hAnsi="黑体" w:eastAsia="黑体"/>
          <w:b w:val="0"/>
        </w:rPr>
      </w:pPr>
      <w:bookmarkStart w:id="106" w:name="_Toc15377226"/>
      <w:r>
        <w:rPr>
          <w:rFonts w:ascii="宋体"/>
          <w:b/>
          <w:color w:val="000000"/>
          <w:sz w:val="44"/>
          <w:szCs w:val="44"/>
        </w:rPr>
        <w:br w:type="page"/>
      </w:r>
      <w:bookmarkStart w:id="107" w:name="_Toc23421"/>
      <w:bookmarkStart w:id="108" w:name="_Toc79163630"/>
      <w:bookmarkStart w:id="109" w:name="_Toc15396614"/>
      <w:r>
        <w:rPr>
          <w:rFonts w:hint="eastAsia" w:ascii="黑体" w:hAnsi="黑体" w:eastAsia="黑体"/>
          <w:color w:val="000000"/>
          <w:sz w:val="44"/>
          <w:szCs w:val="44"/>
        </w:rPr>
        <w:t>第</w:t>
      </w:r>
      <w:r>
        <w:rPr>
          <w:rStyle w:val="23"/>
          <w:rFonts w:hint="eastAsia" w:ascii="黑体" w:hAnsi="黑体" w:eastAsia="黑体"/>
          <w:b w:val="0"/>
        </w:rPr>
        <w:t>四部分附件</w:t>
      </w:r>
      <w:bookmarkEnd w:id="107"/>
      <w:bookmarkEnd w:id="108"/>
      <w:bookmarkEnd w:id="109"/>
    </w:p>
    <w:p>
      <w:pPr>
        <w:spacing w:line="600" w:lineRule="exact"/>
        <w:jc w:val="left"/>
        <w:rPr>
          <w:rFonts w:ascii="方正小标宋简体" w:hAnsi="方正小标宋简体" w:eastAsia="方正小标宋简体" w:cs="方正小标宋简体"/>
          <w:sz w:val="32"/>
          <w:szCs w:val="32"/>
        </w:rPr>
      </w:pPr>
      <w:bookmarkStart w:id="110" w:name="_Toc79163631"/>
      <w:r>
        <w:rPr>
          <w:rFonts w:hint="eastAsia" w:ascii="黑体" w:hAnsi="黑体" w:eastAsia="黑体" w:cs="黑体"/>
          <w:sz w:val="32"/>
          <w:szCs w:val="32"/>
        </w:rPr>
        <w:t>附件</w:t>
      </w:r>
      <w:r>
        <w:rPr>
          <w:rFonts w:ascii="黑体" w:hAnsi="黑体" w:eastAsia="黑体" w:cs="黑体"/>
          <w:sz w:val="32"/>
          <w:szCs w:val="32"/>
        </w:rPr>
        <w:t>1</w:t>
      </w:r>
      <w:bookmarkEnd w:id="11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11" w:name="_Toc79163632"/>
      <w:bookmarkStart w:id="112" w:name="_Toc22567"/>
      <w:r>
        <w:rPr>
          <w:rFonts w:hint="eastAsia" w:ascii="方正小标宋简体" w:hAnsi="黑体" w:eastAsia="方正小标宋简体" w:cs="黑体"/>
          <w:sz w:val="44"/>
          <w:szCs w:val="44"/>
        </w:rPr>
        <w:t>壤塘县统计局</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年部门整体支出绩效</w:t>
      </w:r>
    </w:p>
    <w:p>
      <w:pPr>
        <w:spacing w:line="600" w:lineRule="exact"/>
        <w:jc w:val="center"/>
        <w:outlineLvl w:val="0"/>
        <w:rPr>
          <w:rFonts w:ascii="黑体" w:hAnsi="宋体" w:eastAsia="黑体" w:cs="宋体"/>
          <w:color w:val="000000"/>
          <w:kern w:val="0"/>
          <w:sz w:val="24"/>
          <w:szCs w:val="32"/>
          <w:shd w:val="clear" w:color="auto" w:fill="FFFFFF"/>
        </w:rPr>
      </w:pPr>
      <w:r>
        <w:rPr>
          <w:rFonts w:hint="eastAsia" w:ascii="方正小标宋简体" w:hAnsi="黑体" w:eastAsia="方正小标宋简体" w:cs="黑体"/>
          <w:sz w:val="44"/>
          <w:szCs w:val="44"/>
        </w:rPr>
        <w:t>评价报告</w:t>
      </w:r>
      <w:bookmarkEnd w:id="111"/>
      <w:bookmarkEnd w:id="112"/>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lang w:val="zh-CN"/>
        </w:rPr>
      </w:pPr>
      <w:bookmarkStart w:id="113" w:name="_Toc3337"/>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113"/>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14" w:name="_Toc16053"/>
      <w:r>
        <w:rPr>
          <w:rFonts w:hint="eastAsia" w:ascii="仿宋_GB2312" w:hAnsi="宋体" w:eastAsia="仿宋_GB2312" w:cs="宋体"/>
          <w:color w:val="000000"/>
          <w:kern w:val="0"/>
          <w:sz w:val="32"/>
          <w:szCs w:val="32"/>
          <w:shd w:val="clear" w:color="auto" w:fill="FFFFFF"/>
          <w:lang w:val="zh-CN"/>
        </w:rPr>
        <w:t>（一）机构组成</w:t>
      </w:r>
      <w:bookmarkEnd w:id="114"/>
    </w:p>
    <w:p>
      <w:pPr>
        <w:widowControl/>
        <w:autoSpaceDN w:val="0"/>
        <w:spacing w:line="600" w:lineRule="exact"/>
        <w:ind w:firstLine="803" w:firstLineChars="250"/>
        <w:jc w:val="left"/>
        <w:rPr>
          <w:rFonts w:ascii="仿宋_GB2312" w:hAnsi="宋体" w:eastAsia="仿宋_GB2312" w:cs="宋体"/>
          <w:color w:val="000000"/>
          <w:kern w:val="0"/>
          <w:sz w:val="32"/>
          <w:szCs w:val="32"/>
          <w:shd w:val="clear" w:color="auto" w:fill="FFFFFF"/>
          <w:lang w:val="zh-CN"/>
        </w:rPr>
      </w:pPr>
      <w:r>
        <w:rPr>
          <w:rFonts w:hint="eastAsia" w:hAnsi="楷体" w:eastAsia="楷体" w:cs="楷体"/>
          <w:b/>
          <w:bCs/>
          <w:kern w:val="0"/>
          <w:sz w:val="32"/>
          <w:szCs w:val="32"/>
        </w:rPr>
        <w:t>职能股室设置</w:t>
      </w:r>
      <w:r>
        <w:rPr>
          <w:rFonts w:eastAsia="楷体"/>
          <w:b/>
          <w:bCs/>
          <w:kern w:val="0"/>
          <w:sz w:val="32"/>
          <w:szCs w:val="32"/>
        </w:rPr>
        <w:t>4</w:t>
      </w:r>
      <w:r>
        <w:rPr>
          <w:rFonts w:hint="eastAsia" w:hAnsi="楷体" w:eastAsia="楷体" w:cs="楷体"/>
          <w:b/>
          <w:bCs/>
          <w:kern w:val="0"/>
          <w:sz w:val="32"/>
          <w:szCs w:val="32"/>
        </w:rPr>
        <w:t>个：</w:t>
      </w:r>
      <w:r>
        <w:rPr>
          <w:rFonts w:hint="eastAsia" w:eastAsia="仿宋_GB2312" w:cs="仿宋_GB2312"/>
          <w:kern w:val="0"/>
          <w:sz w:val="32"/>
          <w:szCs w:val="32"/>
        </w:rPr>
        <w:t>办公室、综合股、执法队、普查中心。</w:t>
      </w:r>
    </w:p>
    <w:p>
      <w:pPr>
        <w:widowControl/>
        <w:numPr>
          <w:ilvl w:val="0"/>
          <w:numId w:val="4"/>
        </w:numPr>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15" w:name="_Toc1517"/>
      <w:r>
        <w:rPr>
          <w:rFonts w:hint="eastAsia" w:ascii="仿宋_GB2312" w:hAnsi="宋体" w:eastAsia="仿宋_GB2312" w:cs="宋体"/>
          <w:color w:val="000000"/>
          <w:kern w:val="0"/>
          <w:sz w:val="32"/>
          <w:szCs w:val="32"/>
          <w:shd w:val="clear" w:color="auto" w:fill="FFFFFF"/>
          <w:lang w:val="zh-CN"/>
        </w:rPr>
        <w:t>机构职能</w:t>
      </w:r>
      <w:bookmarkEnd w:id="115"/>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(1)</w:t>
      </w:r>
      <w:r>
        <w:rPr>
          <w:rFonts w:hint="eastAsia" w:eastAsia="仿宋_GB2312" w:cs="仿宋_GB2312"/>
          <w:sz w:val="32"/>
          <w:szCs w:val="32"/>
        </w:rPr>
        <w:t>贯彻执行</w:t>
      </w:r>
      <w:r>
        <w:rPr>
          <w:rFonts w:hint="eastAsia" w:ascii="宋体" w:hAnsi="宋体" w:eastAsia="仿宋_GB2312" w:cs="宋体"/>
          <w:sz w:val="32"/>
          <w:szCs w:val="32"/>
        </w:rPr>
        <w:t>国</w:t>
      </w:r>
      <w:r>
        <w:rPr>
          <w:rFonts w:hint="eastAsia" w:ascii="仿宋_GB2312" w:hAnsi="仿宋_GB2312" w:eastAsia="仿宋_GB2312" w:cs="仿宋_GB2312"/>
          <w:sz w:val="32"/>
          <w:szCs w:val="32"/>
        </w:rPr>
        <w:t>家统计工作的方针、政策和法律、法规以及统计制度、统计标准</w:t>
      </w:r>
      <w:r>
        <w:rPr>
          <w:rFonts w:eastAsia="仿宋_GB2312" w:cs="仿宋_GB2312"/>
          <w:sz w:val="32"/>
          <w:szCs w:val="32"/>
        </w:rPr>
        <w:t>,</w:t>
      </w:r>
      <w:r>
        <w:rPr>
          <w:rFonts w:hint="eastAsia" w:eastAsia="仿宋_GB2312" w:cs="仿宋_GB2312"/>
          <w:sz w:val="32"/>
          <w:szCs w:val="32"/>
        </w:rPr>
        <w:t>承担组织领导和协调全县统计工作</w:t>
      </w:r>
      <w:r>
        <w:rPr>
          <w:rFonts w:eastAsia="仿宋_GB2312" w:cs="仿宋_GB2312"/>
          <w:sz w:val="32"/>
          <w:szCs w:val="32"/>
        </w:rPr>
        <w:t>,</w:t>
      </w:r>
      <w:r>
        <w:rPr>
          <w:rFonts w:hint="eastAsia" w:eastAsia="仿宋_GB2312" w:cs="仿宋_GB2312"/>
          <w:sz w:val="32"/>
          <w:szCs w:val="32"/>
        </w:rPr>
        <w:t>确保统计数据真实、准确、及时的责任。</w:t>
      </w:r>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(2)</w:t>
      </w:r>
      <w:r>
        <w:rPr>
          <w:rFonts w:hint="eastAsia" w:eastAsia="仿宋_GB2312" w:cs="仿宋_GB2312"/>
          <w:sz w:val="32"/>
          <w:szCs w:val="32"/>
        </w:rPr>
        <w:t>组织实施全县国民经济核算制度</w:t>
      </w:r>
      <w:r>
        <w:rPr>
          <w:rFonts w:eastAsia="仿宋_GB2312" w:cs="仿宋_GB2312"/>
          <w:sz w:val="32"/>
          <w:szCs w:val="32"/>
        </w:rPr>
        <w:t>,</w:t>
      </w:r>
      <w:r>
        <w:rPr>
          <w:rFonts w:hint="eastAsia" w:eastAsia="仿宋_GB2312" w:cs="仿宋_GB2312"/>
          <w:sz w:val="32"/>
          <w:szCs w:val="32"/>
        </w:rPr>
        <w:t>核算全县地区生产总值</w:t>
      </w:r>
      <w:r>
        <w:rPr>
          <w:rFonts w:eastAsia="仿宋_GB2312" w:cs="仿宋_GB2312"/>
          <w:sz w:val="32"/>
          <w:szCs w:val="32"/>
        </w:rPr>
        <w:t>,</w:t>
      </w:r>
      <w:r>
        <w:rPr>
          <w:rFonts w:hint="eastAsia" w:eastAsia="仿宋_GB2312" w:cs="仿宋_GB2312"/>
          <w:sz w:val="32"/>
          <w:szCs w:val="32"/>
        </w:rPr>
        <w:t>整理提供国</w:t>
      </w:r>
      <w:r>
        <w:rPr>
          <w:rFonts w:hint="eastAsia" w:ascii="仿宋_GB2312" w:hAnsi="仿宋_GB2312" w:eastAsia="仿宋_GB2312" w:cs="仿宋_GB2312"/>
          <w:sz w:val="32"/>
          <w:szCs w:val="32"/>
        </w:rPr>
        <w:t>民经济核算资料</w:t>
      </w:r>
      <w:r>
        <w:rPr>
          <w:rFonts w:eastAsia="仿宋_GB2312" w:cs="仿宋_GB2312"/>
          <w:sz w:val="32"/>
          <w:szCs w:val="32"/>
        </w:rPr>
        <w:t>,</w:t>
      </w:r>
      <w:r>
        <w:rPr>
          <w:rFonts w:hint="eastAsia" w:eastAsia="仿宋_GB2312" w:cs="仿宋_GB2312"/>
          <w:sz w:val="32"/>
          <w:szCs w:val="32"/>
        </w:rPr>
        <w:t>开展分析研究。</w:t>
      </w:r>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(3)</w:t>
      </w:r>
      <w:r>
        <w:rPr>
          <w:rFonts w:hint="eastAsia" w:eastAsia="仿宋_GB2312" w:cs="仿宋_GB2312"/>
          <w:sz w:val="32"/>
          <w:szCs w:val="32"/>
        </w:rPr>
        <w:t>在县政府统一领导下</w:t>
      </w:r>
      <w:r>
        <w:rPr>
          <w:rFonts w:eastAsia="仿宋_GB2312" w:cs="仿宋_GB2312"/>
          <w:sz w:val="32"/>
          <w:szCs w:val="32"/>
        </w:rPr>
        <w:t>,</w:t>
      </w:r>
      <w:r>
        <w:rPr>
          <w:rFonts w:hint="eastAsia" w:eastAsia="仿宋_GB2312" w:cs="仿宋_GB2312"/>
          <w:sz w:val="32"/>
          <w:szCs w:val="32"/>
        </w:rPr>
        <w:t>会同有关部门组织实施重大的国情国力普查</w:t>
      </w:r>
      <w:r>
        <w:rPr>
          <w:rFonts w:eastAsia="仿宋_GB2312" w:cs="仿宋_GB2312"/>
          <w:sz w:val="32"/>
          <w:szCs w:val="32"/>
        </w:rPr>
        <w:t>;</w:t>
      </w:r>
      <w:r>
        <w:rPr>
          <w:rFonts w:hint="eastAsia" w:eastAsia="仿宋_GB2312" w:cs="仿宋_GB2312"/>
          <w:sz w:val="32"/>
          <w:szCs w:val="32"/>
        </w:rPr>
        <w:t>负责组织协调各乡镇、各部门的统计调查、社会经济调查、社会监测</w:t>
      </w:r>
      <w:r>
        <w:rPr>
          <w:rFonts w:eastAsia="仿宋_GB2312" w:cs="仿宋_GB2312"/>
          <w:sz w:val="32"/>
          <w:szCs w:val="32"/>
        </w:rPr>
        <w:t>;</w:t>
      </w:r>
      <w:r>
        <w:rPr>
          <w:rFonts w:hint="eastAsia" w:eastAsia="仿宋_GB2312" w:cs="仿宋_GB2312"/>
          <w:sz w:val="32"/>
          <w:szCs w:val="32"/>
        </w:rPr>
        <w:t>审查和审批各乡镇、各部门统计调查计划、调查方案</w:t>
      </w:r>
      <w:r>
        <w:rPr>
          <w:rFonts w:eastAsia="仿宋_GB2312" w:cs="仿宋_GB2312"/>
          <w:sz w:val="32"/>
          <w:szCs w:val="32"/>
        </w:rPr>
        <w:t>;</w:t>
      </w:r>
      <w:r>
        <w:rPr>
          <w:rFonts w:hint="eastAsia" w:eastAsia="仿宋_GB2312" w:cs="仿宋_GB2312"/>
          <w:sz w:val="32"/>
          <w:szCs w:val="32"/>
        </w:rPr>
        <w:t>组织全县统计报表的管理工作。</w:t>
      </w:r>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(4)</w:t>
      </w:r>
      <w:r>
        <w:rPr>
          <w:rFonts w:hint="eastAsia" w:eastAsia="仿宋_GB2312" w:cs="仿宋_GB2312"/>
          <w:sz w:val="32"/>
          <w:szCs w:val="32"/>
        </w:rPr>
        <w:t>组织实施农林牧渔业、工业、建筑业、批发和零售业、住宿和餐饮业等国民经济行业以及能源、投资、人口、收入、科技社会发展基本情况、环境基本状况等领域的统计调查</w:t>
      </w:r>
      <w:r>
        <w:rPr>
          <w:rFonts w:eastAsia="仿宋_GB2312" w:cs="仿宋_GB2312"/>
          <w:sz w:val="32"/>
          <w:szCs w:val="32"/>
        </w:rPr>
        <w:t>,</w:t>
      </w:r>
      <w:r>
        <w:rPr>
          <w:rFonts w:hint="eastAsia" w:eastAsia="仿宋_GB2312" w:cs="仿宋_GB2312"/>
          <w:sz w:val="32"/>
          <w:szCs w:val="32"/>
        </w:rPr>
        <w:t>建立全县经济社会发展监测评价制度及指标体系</w:t>
      </w:r>
      <w:r>
        <w:rPr>
          <w:rFonts w:eastAsia="仿宋_GB2312" w:cs="仿宋_GB2312"/>
          <w:sz w:val="32"/>
          <w:szCs w:val="32"/>
        </w:rPr>
        <w:t>,</w:t>
      </w:r>
      <w:r>
        <w:rPr>
          <w:rFonts w:hint="eastAsia" w:eastAsia="仿宋_GB2312" w:cs="仿宋_GB2312"/>
          <w:sz w:val="32"/>
          <w:szCs w:val="32"/>
        </w:rPr>
        <w:t>对重点区域和重要领域实施监测评价</w:t>
      </w:r>
      <w:r>
        <w:rPr>
          <w:rFonts w:eastAsia="仿宋_GB2312" w:cs="仿宋_GB2312"/>
          <w:sz w:val="32"/>
          <w:szCs w:val="32"/>
        </w:rPr>
        <w:t>,</w:t>
      </w:r>
      <w:r>
        <w:rPr>
          <w:rFonts w:hint="eastAsia" w:eastAsia="仿宋_GB2312" w:cs="仿宋_GB2312"/>
          <w:sz w:val="32"/>
          <w:szCs w:val="32"/>
        </w:rPr>
        <w:t>牵头综合整理和提供全县基本统计资料。</w:t>
      </w:r>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(5)</w:t>
      </w:r>
      <w:r>
        <w:rPr>
          <w:rFonts w:hint="eastAsia" w:eastAsia="仿宋_GB2312" w:cs="仿宋_GB2312"/>
          <w:sz w:val="32"/>
          <w:szCs w:val="32"/>
        </w:rPr>
        <w:t>建立健全全县统计数据质量审核、监控和评估制度</w:t>
      </w:r>
      <w:r>
        <w:rPr>
          <w:rFonts w:eastAsia="仿宋_GB2312" w:cs="仿宋_GB2312"/>
          <w:sz w:val="32"/>
          <w:szCs w:val="32"/>
        </w:rPr>
        <w:t>,</w:t>
      </w:r>
      <w:r>
        <w:rPr>
          <w:rFonts w:hint="eastAsia" w:eastAsia="仿宋_GB2312" w:cs="仿宋_GB2312"/>
          <w:sz w:val="32"/>
          <w:szCs w:val="32"/>
        </w:rPr>
        <w:t>依法对全县各单位、各部门重要统计数据进行审核、监控和评估</w:t>
      </w:r>
      <w:r>
        <w:rPr>
          <w:rFonts w:eastAsia="仿宋_GB2312" w:cs="仿宋_GB2312"/>
          <w:sz w:val="32"/>
          <w:szCs w:val="32"/>
        </w:rPr>
        <w:t>,</w:t>
      </w:r>
      <w:r>
        <w:rPr>
          <w:rFonts w:hint="eastAsia" w:eastAsia="仿宋_GB2312" w:cs="仿宋_GB2312"/>
          <w:sz w:val="32"/>
          <w:szCs w:val="32"/>
        </w:rPr>
        <w:t>组织指导统计基层基础建设。</w:t>
      </w:r>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(6)</w:t>
      </w:r>
      <w:r>
        <w:rPr>
          <w:rFonts w:hint="eastAsia" w:eastAsia="仿宋_GB2312" w:cs="仿宋_GB2312"/>
          <w:sz w:val="32"/>
          <w:szCs w:val="32"/>
        </w:rPr>
        <w:t>对国民经济、社会发展、科技进步和资源环境等情况进行统计分析和预测</w:t>
      </w:r>
      <w:r>
        <w:rPr>
          <w:rFonts w:eastAsia="仿宋_GB2312" w:cs="仿宋_GB2312"/>
          <w:sz w:val="32"/>
          <w:szCs w:val="32"/>
        </w:rPr>
        <w:t>,</w:t>
      </w:r>
      <w:r>
        <w:rPr>
          <w:rFonts w:hint="eastAsia" w:eastAsia="仿宋_GB2312" w:cs="仿宋_GB2312"/>
          <w:sz w:val="32"/>
          <w:szCs w:val="32"/>
        </w:rPr>
        <w:t>定期发布全县经济社会发展情况的统计信息</w:t>
      </w:r>
      <w:r>
        <w:rPr>
          <w:rFonts w:eastAsia="仿宋_GB2312" w:cs="仿宋_GB2312"/>
          <w:sz w:val="32"/>
          <w:szCs w:val="32"/>
        </w:rPr>
        <w:t>,</w:t>
      </w:r>
      <w:r>
        <w:rPr>
          <w:rFonts w:hint="eastAsia" w:eastAsia="仿宋_GB2312" w:cs="仿宋_GB2312"/>
          <w:sz w:val="32"/>
          <w:szCs w:val="32"/>
        </w:rPr>
        <w:t>向县委、县政府及有关部门提供统计咨询建议</w:t>
      </w:r>
      <w:r>
        <w:rPr>
          <w:rFonts w:eastAsia="仿宋_GB2312" w:cs="仿宋_GB2312"/>
          <w:sz w:val="32"/>
          <w:szCs w:val="32"/>
        </w:rPr>
        <w:t>,</w:t>
      </w:r>
      <w:r>
        <w:rPr>
          <w:rFonts w:hint="eastAsia" w:eastAsia="仿宋_GB2312" w:cs="仿宋_GB2312"/>
          <w:sz w:val="32"/>
          <w:szCs w:val="32"/>
        </w:rPr>
        <w:t>向社会公众提供统计信息服务。</w:t>
      </w:r>
    </w:p>
    <w:p>
      <w:pPr>
        <w:widowControl/>
        <w:autoSpaceDN w:val="0"/>
        <w:spacing w:line="600" w:lineRule="exact"/>
        <w:ind w:firstLine="640" w:firstLineChars="200"/>
        <w:jc w:val="left"/>
        <w:rPr>
          <w:rFonts w:eastAsia="仿宋_GB2312" w:cs="仿宋_GB2312"/>
          <w:sz w:val="32"/>
          <w:szCs w:val="32"/>
        </w:rPr>
      </w:pPr>
      <w:r>
        <w:rPr>
          <w:rFonts w:eastAsia="仿宋_GB2312" w:cs="仿宋_GB2312"/>
          <w:sz w:val="32"/>
          <w:szCs w:val="32"/>
        </w:rPr>
        <w:t>(7)</w:t>
      </w:r>
      <w:r>
        <w:rPr>
          <w:rFonts w:hint="eastAsia" w:eastAsia="仿宋_GB2312" w:cs="仿宋_GB2312"/>
          <w:sz w:val="32"/>
          <w:szCs w:val="32"/>
        </w:rPr>
        <w:t>建立健全全县统计数据库系统和统计信息自动化系统建立健统计信息共享制度</w:t>
      </w:r>
      <w:r>
        <w:rPr>
          <w:rFonts w:eastAsia="仿宋_GB2312" w:cs="仿宋_GB2312"/>
          <w:sz w:val="32"/>
          <w:szCs w:val="32"/>
        </w:rPr>
        <w:t>,</w:t>
      </w:r>
      <w:r>
        <w:rPr>
          <w:rFonts w:hint="eastAsia" w:eastAsia="仿宋_GB2312" w:cs="仿宋_GB2312"/>
          <w:sz w:val="32"/>
          <w:szCs w:val="32"/>
        </w:rPr>
        <w:t>搞好统计信息化建设。</w:t>
      </w:r>
    </w:p>
    <w:p>
      <w:pPr>
        <w:widowControl/>
        <w:autoSpaceDN w:val="0"/>
        <w:spacing w:line="600" w:lineRule="exact"/>
        <w:ind w:firstLine="640" w:firstLineChars="200"/>
        <w:jc w:val="left"/>
        <w:rPr>
          <w:rFonts w:ascii="仿宋_GB2312" w:hAnsi="宋体" w:eastAsia="仿宋_GB2312" w:cs="宋体"/>
          <w:color w:val="000000"/>
          <w:kern w:val="0"/>
          <w:sz w:val="32"/>
          <w:szCs w:val="32"/>
          <w:shd w:val="clear" w:color="auto" w:fill="FFFFFF"/>
        </w:rPr>
      </w:pPr>
      <w:r>
        <w:rPr>
          <w:rFonts w:eastAsia="仿宋_GB2312" w:cs="仿宋_GB2312"/>
          <w:sz w:val="32"/>
          <w:szCs w:val="32"/>
        </w:rPr>
        <w:t>(8)</w:t>
      </w:r>
      <w:r>
        <w:rPr>
          <w:rFonts w:hint="eastAsia" w:eastAsia="仿宋_GB2312" w:cs="仿宋_GB2312"/>
          <w:sz w:val="32"/>
          <w:szCs w:val="32"/>
        </w:rPr>
        <w:t>承办县政府交办的其他事项。</w:t>
      </w:r>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16" w:name="_Toc29698"/>
      <w:r>
        <w:rPr>
          <w:rFonts w:hint="eastAsia" w:ascii="仿宋_GB2312" w:hAnsi="宋体" w:eastAsia="仿宋_GB2312" w:cs="宋体"/>
          <w:color w:val="000000"/>
          <w:kern w:val="0"/>
          <w:sz w:val="32"/>
          <w:szCs w:val="32"/>
          <w:shd w:val="clear" w:color="auto" w:fill="FFFFFF"/>
          <w:lang w:val="zh-CN"/>
        </w:rPr>
        <w:t>（三）人员概况</w:t>
      </w:r>
      <w:bookmarkEnd w:id="116"/>
    </w:p>
    <w:p>
      <w:pPr>
        <w:widowControl/>
        <w:autoSpaceDN w:val="0"/>
        <w:spacing w:line="600" w:lineRule="exact"/>
        <w:ind w:left="210" w:leftChars="100" w:firstLine="640" w:firstLineChars="200"/>
        <w:jc w:val="left"/>
        <w:rPr>
          <w:rFonts w:ascii="仿宋_GB2312" w:eastAsia="仿宋_GB2312"/>
          <w:sz w:val="32"/>
          <w:szCs w:val="32"/>
        </w:rPr>
      </w:pPr>
      <w:bookmarkStart w:id="117" w:name="_Toc5432"/>
      <w:r>
        <w:rPr>
          <w:rFonts w:hint="eastAsia" w:eastAsia="仿宋_GB2312" w:cs="仿宋_GB2312"/>
          <w:kern w:val="0"/>
          <w:sz w:val="32"/>
          <w:szCs w:val="32"/>
        </w:rPr>
        <w:t>总编制</w:t>
      </w:r>
      <w:r>
        <w:rPr>
          <w:rFonts w:eastAsia="仿宋_GB2312"/>
          <w:kern w:val="0"/>
          <w:sz w:val="32"/>
          <w:szCs w:val="32"/>
        </w:rPr>
        <w:t>1</w:t>
      </w:r>
      <w:r>
        <w:rPr>
          <w:rFonts w:hint="eastAsia" w:eastAsia="仿宋_GB2312"/>
          <w:kern w:val="0"/>
          <w:sz w:val="32"/>
          <w:szCs w:val="32"/>
        </w:rPr>
        <w:t>6</w:t>
      </w:r>
      <w:r>
        <w:rPr>
          <w:rFonts w:hint="eastAsia" w:eastAsia="仿宋_GB2312" w:cs="仿宋_GB2312"/>
          <w:kern w:val="0"/>
          <w:sz w:val="32"/>
          <w:szCs w:val="32"/>
        </w:rPr>
        <w:t>名</w:t>
      </w:r>
      <w:r>
        <w:rPr>
          <w:rFonts w:eastAsia="仿宋_GB2312"/>
          <w:kern w:val="0"/>
          <w:sz w:val="32"/>
          <w:szCs w:val="32"/>
        </w:rPr>
        <w:t>,</w:t>
      </w:r>
      <w:r>
        <w:rPr>
          <w:rFonts w:hint="eastAsia" w:eastAsia="仿宋_GB2312" w:cs="仿宋_GB2312"/>
          <w:kern w:val="0"/>
          <w:sz w:val="32"/>
          <w:szCs w:val="32"/>
        </w:rPr>
        <w:t>其中</w:t>
      </w:r>
      <w:r>
        <w:rPr>
          <w:rFonts w:eastAsia="仿宋_GB2312"/>
          <w:kern w:val="0"/>
          <w:sz w:val="32"/>
          <w:szCs w:val="32"/>
        </w:rPr>
        <w:t>:</w:t>
      </w:r>
      <w:r>
        <w:rPr>
          <w:rFonts w:hint="eastAsia" w:eastAsia="仿宋_GB2312" w:cs="仿宋_GB2312"/>
          <w:kern w:val="0"/>
          <w:sz w:val="32"/>
          <w:szCs w:val="32"/>
        </w:rPr>
        <w:t>行政编制6人（含行政工勤</w:t>
      </w:r>
      <w:r>
        <w:rPr>
          <w:rFonts w:eastAsia="仿宋_GB2312"/>
          <w:kern w:val="0"/>
          <w:sz w:val="32"/>
          <w:szCs w:val="32"/>
        </w:rPr>
        <w:t>1</w:t>
      </w:r>
      <w:r>
        <w:rPr>
          <w:rFonts w:hint="eastAsia" w:eastAsia="仿宋_GB2312" w:cs="仿宋_GB2312"/>
          <w:kern w:val="0"/>
          <w:sz w:val="32"/>
          <w:szCs w:val="32"/>
        </w:rPr>
        <w:t>人）；参照公务员管理的事业人员6人；事业编制</w:t>
      </w:r>
      <w:r>
        <w:rPr>
          <w:rFonts w:hint="eastAsia" w:eastAsia="仿宋_GB2312"/>
          <w:kern w:val="0"/>
          <w:sz w:val="32"/>
          <w:szCs w:val="32"/>
        </w:rPr>
        <w:t>4</w:t>
      </w:r>
      <w:r>
        <w:rPr>
          <w:rFonts w:hint="eastAsia" w:eastAsia="仿宋_GB2312" w:cs="仿宋_GB2312"/>
          <w:kern w:val="0"/>
          <w:sz w:val="32"/>
          <w:szCs w:val="32"/>
        </w:rPr>
        <w:t>人；调入1人；招录2人;现有人员</w:t>
      </w:r>
      <w:r>
        <w:rPr>
          <w:rFonts w:eastAsia="仿宋_GB2312" w:cs="仿宋_GB2312"/>
          <w:kern w:val="0"/>
          <w:sz w:val="32"/>
          <w:szCs w:val="32"/>
        </w:rPr>
        <w:t>1</w:t>
      </w:r>
      <w:r>
        <w:rPr>
          <w:rFonts w:hint="eastAsia" w:eastAsia="仿宋_GB2312" w:cs="仿宋_GB2312"/>
          <w:kern w:val="0"/>
          <w:sz w:val="32"/>
          <w:szCs w:val="32"/>
        </w:rPr>
        <w:t>3名。</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bookmarkEnd w:id="117"/>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18" w:name="_Toc2852"/>
      <w:r>
        <w:rPr>
          <w:rFonts w:hint="eastAsia" w:ascii="仿宋_GB2312" w:hAnsi="宋体" w:eastAsia="仿宋_GB2312" w:cs="宋体"/>
          <w:color w:val="000000"/>
          <w:kern w:val="0"/>
          <w:sz w:val="32"/>
          <w:szCs w:val="32"/>
          <w:shd w:val="clear" w:color="auto" w:fill="FFFFFF"/>
          <w:lang w:val="zh-CN"/>
        </w:rPr>
        <w:t>（一）部门财政资金收入情况</w:t>
      </w:r>
      <w:bookmarkEnd w:id="11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326.33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326.33</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2"/>
        <w:rPr>
          <w:rFonts w:ascii="仿宋_GB2312" w:hAnsi="宋体" w:eastAsia="仿宋_GB2312" w:cs="宋体"/>
          <w:color w:val="000000"/>
          <w:kern w:val="0"/>
          <w:sz w:val="32"/>
          <w:szCs w:val="32"/>
          <w:shd w:val="clear" w:color="auto" w:fill="FFFFFF"/>
          <w:lang w:val="zh-CN"/>
        </w:rPr>
      </w:pPr>
      <w:bookmarkStart w:id="119" w:name="_Toc2279"/>
      <w:r>
        <w:rPr>
          <w:rFonts w:hint="eastAsia" w:ascii="仿宋_GB2312" w:hAnsi="宋体" w:eastAsia="仿宋_GB2312" w:cs="宋体"/>
          <w:color w:val="000000"/>
          <w:kern w:val="0"/>
          <w:sz w:val="32"/>
          <w:szCs w:val="32"/>
          <w:shd w:val="clear" w:color="auto" w:fill="FFFFFF"/>
          <w:lang w:val="zh-CN"/>
        </w:rPr>
        <w:t>（二）部门财政资金支出情况</w:t>
      </w:r>
      <w:bookmarkEnd w:id="119"/>
    </w:p>
    <w:p>
      <w:pPr>
        <w:widowControl/>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年本年支出合计</w:t>
      </w:r>
      <w:r>
        <w:rPr>
          <w:rFonts w:hint="eastAsia" w:ascii="仿宋_GB2312" w:hAnsi="宋体" w:eastAsia="仿宋_GB2312" w:cs="宋体"/>
          <w:color w:val="000000"/>
          <w:kern w:val="0"/>
          <w:sz w:val="32"/>
          <w:szCs w:val="32"/>
          <w:shd w:val="clear" w:color="auto" w:fill="FFFFFF"/>
          <w:lang w:val="en-US" w:eastAsia="zh-CN"/>
        </w:rPr>
        <w:t>326.33</w:t>
      </w:r>
      <w:r>
        <w:rPr>
          <w:rFonts w:hint="eastAsia" w:ascii="仿宋_GB2312" w:hAnsi="宋体" w:eastAsia="仿宋_GB2312" w:cs="宋体"/>
          <w:color w:val="000000"/>
          <w:kern w:val="0"/>
          <w:sz w:val="32"/>
          <w:szCs w:val="32"/>
          <w:shd w:val="clear" w:color="auto" w:fill="FFFFFF"/>
          <w:lang w:val="zh-CN"/>
        </w:rPr>
        <w:t>万元，其中：基本支出</w:t>
      </w:r>
      <w:r>
        <w:rPr>
          <w:rFonts w:hint="eastAsia" w:ascii="仿宋_GB2312" w:hAnsi="宋体" w:eastAsia="仿宋_GB2312" w:cs="宋体"/>
          <w:color w:val="000000"/>
          <w:kern w:val="0"/>
          <w:sz w:val="32"/>
          <w:szCs w:val="32"/>
          <w:shd w:val="clear" w:color="auto" w:fill="FFFFFF"/>
          <w:lang w:val="en-US" w:eastAsia="zh-CN"/>
        </w:rPr>
        <w:t>247.09</w:t>
      </w:r>
      <w:r>
        <w:rPr>
          <w:rFonts w:hint="eastAsia" w:ascii="仿宋_GB2312" w:hAnsi="宋体" w:eastAsia="仿宋_GB2312" w:cs="宋体"/>
          <w:color w:val="000000"/>
          <w:kern w:val="0"/>
          <w:sz w:val="32"/>
          <w:szCs w:val="32"/>
          <w:shd w:val="clear" w:color="auto" w:fill="FFFFFF"/>
          <w:lang w:val="zh-CN"/>
        </w:rPr>
        <w:t>万元，占</w:t>
      </w:r>
      <w:r>
        <w:rPr>
          <w:rFonts w:hint="eastAsia" w:ascii="仿宋_GB2312" w:hAnsi="宋体" w:eastAsia="仿宋_GB2312" w:cs="宋体"/>
          <w:color w:val="000000"/>
          <w:kern w:val="0"/>
          <w:sz w:val="32"/>
          <w:szCs w:val="32"/>
          <w:shd w:val="clear" w:color="auto" w:fill="FFFFFF"/>
          <w:lang w:val="en-US" w:eastAsia="zh-CN"/>
        </w:rPr>
        <w:t>75.7</w:t>
      </w:r>
      <w:r>
        <w:rPr>
          <w:rFonts w:hint="eastAsia" w:ascii="仿宋_GB2312" w:hAnsi="宋体" w:eastAsia="仿宋_GB2312" w:cs="宋体"/>
          <w:color w:val="000000"/>
          <w:kern w:val="0"/>
          <w:sz w:val="32"/>
          <w:szCs w:val="32"/>
          <w:shd w:val="clear" w:color="auto" w:fill="FFFFFF"/>
          <w:lang w:val="zh-CN"/>
        </w:rPr>
        <w:t>%；项目支出</w:t>
      </w:r>
      <w:r>
        <w:rPr>
          <w:rFonts w:hint="eastAsia" w:ascii="仿宋_GB2312" w:hAnsi="宋体" w:eastAsia="仿宋_GB2312" w:cs="宋体"/>
          <w:color w:val="000000"/>
          <w:kern w:val="0"/>
          <w:sz w:val="32"/>
          <w:szCs w:val="32"/>
          <w:shd w:val="clear" w:color="auto" w:fill="FFFFFF"/>
          <w:lang w:val="en-US" w:eastAsia="zh-CN"/>
        </w:rPr>
        <w:t>79.24</w:t>
      </w:r>
      <w:r>
        <w:rPr>
          <w:rFonts w:hint="eastAsia" w:ascii="仿宋_GB2312" w:hAnsi="宋体" w:eastAsia="仿宋_GB2312" w:cs="宋体"/>
          <w:color w:val="000000"/>
          <w:kern w:val="0"/>
          <w:sz w:val="32"/>
          <w:szCs w:val="32"/>
          <w:shd w:val="clear" w:color="auto" w:fill="FFFFFF"/>
          <w:lang w:val="zh-CN"/>
        </w:rPr>
        <w:t>万元，占</w:t>
      </w:r>
      <w:r>
        <w:rPr>
          <w:rFonts w:hint="eastAsia" w:ascii="仿宋_GB2312" w:hAnsi="宋体" w:eastAsia="仿宋_GB2312" w:cs="宋体"/>
          <w:color w:val="000000"/>
          <w:kern w:val="0"/>
          <w:sz w:val="32"/>
          <w:szCs w:val="32"/>
          <w:shd w:val="clear" w:color="auto" w:fill="FFFFFF"/>
          <w:lang w:val="en-US" w:eastAsia="zh-CN"/>
        </w:rPr>
        <w:t>24.3</w:t>
      </w:r>
      <w:r>
        <w:rPr>
          <w:rFonts w:hint="eastAsia" w:ascii="仿宋_GB2312" w:hAnsi="宋体" w:eastAsia="仿宋_GB2312" w:cs="宋体"/>
          <w:color w:val="000000"/>
          <w:kern w:val="0"/>
          <w:sz w:val="32"/>
          <w:szCs w:val="32"/>
          <w:shd w:val="clear" w:color="auto" w:fill="FFFFFF"/>
          <w:lang w:val="zh-CN"/>
        </w:rPr>
        <w:t>%；上缴上级支出0万元，占0%；经营支出0万元，占0%；对附属单位补助支出0万元，占0%。</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120" w:name="_Toc27768"/>
      <w:r>
        <w:rPr>
          <w:rFonts w:hint="eastAsia" w:ascii="黑体" w:hAnsi="宋体" w:eastAsia="黑体" w:cs="宋体"/>
          <w:color w:val="000000"/>
          <w:kern w:val="0"/>
          <w:sz w:val="32"/>
          <w:szCs w:val="32"/>
          <w:shd w:val="clear" w:color="auto" w:fill="FFFFFF"/>
        </w:rPr>
        <w:t>三、部门整体预算绩效管理情况</w:t>
      </w:r>
      <w:bookmarkEnd w:id="120"/>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21" w:name="_Toc30957"/>
      <w:r>
        <w:rPr>
          <w:rFonts w:hint="eastAsia" w:ascii="仿宋_GB2312" w:hAnsi="宋体" w:eastAsia="仿宋_GB2312" w:cs="宋体"/>
          <w:color w:val="000000"/>
          <w:kern w:val="0"/>
          <w:sz w:val="32"/>
          <w:szCs w:val="32"/>
          <w:shd w:val="clear" w:color="auto" w:fill="FFFFFF"/>
          <w:lang w:val="zh-CN"/>
        </w:rPr>
        <w:t>（一）部门预算管理。</w:t>
      </w:r>
      <w:bookmarkEnd w:id="121"/>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22" w:name="_Toc1283"/>
      <w:r>
        <w:rPr>
          <w:rFonts w:hint="eastAsia" w:ascii="仿宋_GB2312" w:hAnsi="宋体" w:eastAsia="仿宋_GB2312" w:cs="宋体"/>
          <w:color w:val="000000"/>
          <w:kern w:val="0"/>
          <w:sz w:val="32"/>
          <w:szCs w:val="32"/>
          <w:shd w:val="clear" w:color="auto" w:fill="FFFFFF"/>
          <w:lang w:val="zh-CN"/>
        </w:rPr>
        <w:t>（二）结果应用情况</w:t>
      </w:r>
      <w:bookmarkEnd w:id="122"/>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（1）套表审核完全正确。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（2）本单位决算公开工作开展情况。我局历年来都严格按照决算财政批复数编制年度决算公开表并及时、完整地在壤塘县人民政府门户网站上予以公示，接受社会广泛监督。</w:t>
      </w:r>
    </w:p>
    <w:p>
      <w:pPr>
        <w:widowControl/>
        <w:adjustRightInd w:val="0"/>
        <w:snapToGrid w:val="0"/>
        <w:spacing w:line="580" w:lineRule="exact"/>
        <w:ind w:firstLine="640" w:firstLineChars="200"/>
        <w:contextualSpacing/>
        <w:jc w:val="left"/>
        <w:outlineLvl w:val="1"/>
        <w:rPr>
          <w:rFonts w:ascii="仿宋_GB2312" w:hAnsi="宋体" w:eastAsia="仿宋_GB2312" w:cs="宋体"/>
          <w:color w:val="000000"/>
          <w:kern w:val="0"/>
          <w:sz w:val="32"/>
          <w:szCs w:val="32"/>
          <w:shd w:val="clear" w:color="auto" w:fill="FFFFFF"/>
          <w:lang w:val="zh-CN"/>
        </w:rPr>
      </w:pPr>
      <w:bookmarkStart w:id="123" w:name="_Toc1937"/>
      <w:r>
        <w:rPr>
          <w:rFonts w:hint="eastAsia" w:ascii="黑体" w:hAnsi="宋体" w:eastAsia="黑体" w:cs="宋体"/>
          <w:color w:val="000000"/>
          <w:kern w:val="0"/>
          <w:sz w:val="32"/>
          <w:szCs w:val="32"/>
          <w:shd w:val="clear" w:color="auto" w:fill="FFFFFF"/>
          <w:lang w:val="zh-CN"/>
        </w:rPr>
        <w:t>四、评价结论及建议</w:t>
      </w:r>
      <w:bookmarkEnd w:id="123"/>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24" w:name="_Toc6629"/>
      <w:r>
        <w:rPr>
          <w:rFonts w:hint="eastAsia" w:ascii="仿宋_GB2312" w:hAnsi="宋体" w:eastAsia="仿宋_GB2312" w:cs="宋体"/>
          <w:color w:val="000000"/>
          <w:kern w:val="0"/>
          <w:sz w:val="32"/>
          <w:szCs w:val="32"/>
          <w:shd w:val="clear" w:color="auto" w:fill="FFFFFF"/>
          <w:lang w:val="zh-CN"/>
        </w:rPr>
        <w:t>（一）评价结论</w:t>
      </w:r>
      <w:bookmarkEnd w:id="124"/>
    </w:p>
    <w:p>
      <w:pPr>
        <w:widowControl/>
        <w:adjustRightInd w:val="0"/>
        <w:snapToGrid w:val="0"/>
        <w:spacing w:line="580"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部门整体支出绩效评价重点是厉行节约保运转，降低行政运行成本。</w:t>
      </w:r>
      <w:r>
        <w:rPr>
          <w:rFonts w:hint="eastAsia" w:ascii="仿宋_GB2312" w:hAnsi="宋体" w:eastAsia="仿宋_GB2312" w:cs="宋体"/>
          <w:color w:val="000000"/>
          <w:kern w:val="0"/>
          <w:sz w:val="32"/>
          <w:szCs w:val="32"/>
          <w:shd w:val="clear" w:color="auto" w:fill="FFFFFF"/>
        </w:rPr>
        <w:t>202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rPr>
        <w:t>年我单位严格按照《财务管理制度》执行财务收支管理，认真执行县财政国库支付核算制度。202</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rPr>
        <w:t>年部门整体支出绩效管理情况较为理想，达到年初设定的各项绩效目表。</w:t>
      </w:r>
    </w:p>
    <w:p>
      <w:pPr>
        <w:widowControl/>
        <w:numPr>
          <w:ilvl w:val="0"/>
          <w:numId w:val="5"/>
        </w:numPr>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25" w:name="_Toc10656"/>
      <w:r>
        <w:rPr>
          <w:rFonts w:hint="eastAsia" w:ascii="仿宋_GB2312" w:hAnsi="宋体" w:eastAsia="仿宋_GB2312" w:cs="宋体"/>
          <w:color w:val="000000"/>
          <w:kern w:val="0"/>
          <w:sz w:val="32"/>
          <w:szCs w:val="32"/>
          <w:shd w:val="clear" w:color="auto" w:fill="FFFFFF"/>
          <w:lang w:val="zh-CN"/>
        </w:rPr>
        <w:t>存在问题</w:t>
      </w:r>
      <w:bookmarkEnd w:id="125"/>
    </w:p>
    <w:p>
      <w:pPr>
        <w:widowControl/>
        <w:adjustRightInd w:val="0"/>
        <w:snapToGrid w:val="0"/>
        <w:spacing w:line="580" w:lineRule="exact"/>
        <w:ind w:firstLine="642" w:firstLineChars="200"/>
        <w:contextualSpacing/>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一是</w:t>
      </w:r>
      <w:r>
        <w:rPr>
          <w:rFonts w:hint="eastAsia" w:ascii="仿宋_GB2312" w:hAnsi="宋体" w:eastAsia="仿宋_GB2312" w:cs="宋体"/>
          <w:color w:val="000000"/>
          <w:kern w:val="0"/>
          <w:sz w:val="32"/>
          <w:szCs w:val="32"/>
          <w:shd w:val="clear" w:color="auto" w:fill="FFFFFF"/>
          <w:lang w:val="zh-CN"/>
        </w:rPr>
        <w:t>部门项目资金支付进度滞后，</w:t>
      </w:r>
      <w:r>
        <w:rPr>
          <w:rFonts w:hint="eastAsia" w:ascii="仿宋_GB2312" w:hAnsi="宋体" w:eastAsia="仿宋_GB2312" w:cs="宋体"/>
          <w:b/>
          <w:bCs/>
          <w:color w:val="000000"/>
          <w:kern w:val="0"/>
          <w:sz w:val="32"/>
          <w:szCs w:val="32"/>
          <w:shd w:val="clear" w:color="auto" w:fill="FFFFFF"/>
          <w:lang w:val="zh-CN"/>
        </w:rPr>
        <w:t>二是</w:t>
      </w:r>
      <w:r>
        <w:rPr>
          <w:rFonts w:hint="eastAsia" w:ascii="仿宋_GB2312" w:hAnsi="宋体" w:eastAsia="仿宋_GB2312" w:cs="宋体"/>
          <w:color w:val="000000"/>
          <w:kern w:val="0"/>
          <w:sz w:val="32"/>
          <w:szCs w:val="32"/>
          <w:shd w:val="clear" w:color="auto" w:fill="FFFFFF"/>
          <w:lang w:val="zh-CN"/>
        </w:rPr>
        <w:t>内控制度需进一步完善。</w:t>
      </w:r>
    </w:p>
    <w:p>
      <w:pPr>
        <w:widowControl/>
        <w:numPr>
          <w:ilvl w:val="0"/>
          <w:numId w:val="5"/>
        </w:numPr>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26" w:name="_Toc10297"/>
      <w:r>
        <w:rPr>
          <w:rFonts w:hint="eastAsia" w:ascii="仿宋_GB2312" w:hAnsi="宋体" w:eastAsia="仿宋_GB2312" w:cs="宋体"/>
          <w:color w:val="000000"/>
          <w:kern w:val="0"/>
          <w:sz w:val="32"/>
          <w:szCs w:val="32"/>
          <w:shd w:val="clear" w:color="auto" w:fill="FFFFFF"/>
          <w:lang w:val="zh-CN"/>
        </w:rPr>
        <w:t>改进建议</w:t>
      </w:r>
      <w:bookmarkEnd w:id="126"/>
    </w:p>
    <w:p>
      <w:pPr>
        <w:widowControl/>
        <w:adjustRightInd w:val="0"/>
        <w:snapToGrid w:val="0"/>
        <w:spacing w:line="580" w:lineRule="exact"/>
        <w:ind w:left="420" w:leftChars="200" w:firstLine="321" w:firstLineChars="100"/>
        <w:contextualSpacing/>
        <w:rPr>
          <w:rFonts w:ascii="仿宋_GB2312" w:hAnsi="宋体" w:eastAsia="仿宋_GB2312" w:cs="宋体"/>
          <w:color w:val="000000"/>
          <w:kern w:val="0"/>
          <w:sz w:val="32"/>
          <w:szCs w:val="32"/>
          <w:shd w:val="clear" w:color="auto" w:fill="FFFFFF"/>
        </w:rPr>
      </w:pPr>
      <w:r>
        <w:rPr>
          <w:rFonts w:hint="eastAsia" w:ascii="仿宋_GB2312" w:hAnsi="宋体" w:eastAsia="仿宋_GB2312" w:cs="宋体"/>
          <w:b/>
          <w:bCs/>
          <w:color w:val="000000"/>
          <w:kern w:val="0"/>
          <w:sz w:val="32"/>
          <w:szCs w:val="32"/>
          <w:shd w:val="clear" w:color="auto" w:fill="FFFFFF"/>
          <w:lang w:val="zh-CN"/>
        </w:rPr>
        <w:t>一是</w:t>
      </w:r>
      <w:r>
        <w:rPr>
          <w:rFonts w:hint="eastAsia" w:ascii="仿宋_GB2312" w:hAnsi="宋体" w:eastAsia="仿宋_GB2312" w:cs="宋体"/>
          <w:color w:val="000000"/>
          <w:kern w:val="0"/>
          <w:sz w:val="32"/>
          <w:szCs w:val="32"/>
          <w:shd w:val="clear" w:color="auto" w:fill="FFFFFF"/>
          <w:lang w:val="zh-CN"/>
        </w:rPr>
        <w:t>进一步加强资金管理，二是合理编制预算，严格按照预算执行。</w:t>
      </w:r>
      <w:r>
        <w:rPr>
          <w:rFonts w:hint="eastAsia" w:ascii="仿宋_GB2312" w:hAnsi="宋体" w:eastAsia="仿宋_GB2312" w:cs="宋体"/>
          <w:b/>
          <w:bCs/>
          <w:color w:val="000000"/>
          <w:kern w:val="0"/>
          <w:sz w:val="32"/>
          <w:szCs w:val="32"/>
          <w:shd w:val="clear" w:color="auto" w:fill="FFFFFF"/>
          <w:lang w:val="zh-CN"/>
        </w:rPr>
        <w:t>三是</w:t>
      </w:r>
      <w:r>
        <w:rPr>
          <w:rFonts w:hint="eastAsia" w:ascii="仿宋_GB2312" w:hAnsi="宋体" w:eastAsia="仿宋_GB2312" w:cs="宋体"/>
          <w:color w:val="000000"/>
          <w:kern w:val="0"/>
          <w:sz w:val="32"/>
          <w:szCs w:val="32"/>
          <w:shd w:val="clear" w:color="auto" w:fill="FFFFFF"/>
          <w:lang w:val="zh-CN"/>
        </w:rPr>
        <w:t>进一步</w:t>
      </w:r>
      <w:r>
        <w:rPr>
          <w:rFonts w:hint="eastAsia" w:ascii="仿宋_GB2312" w:hAnsi="宋体" w:eastAsia="仿宋_GB2312" w:cs="宋体"/>
          <w:color w:val="000000"/>
          <w:kern w:val="0"/>
          <w:sz w:val="32"/>
          <w:szCs w:val="32"/>
          <w:shd w:val="clear" w:color="auto" w:fill="FFFFFF"/>
        </w:rPr>
        <w:t xml:space="preserve"> 完善内部管理制度。</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3"/>
          <w:rFonts w:ascii="黑体" w:hAnsi="黑体" w:eastAsia="黑体"/>
          <w:b w:val="0"/>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Style w:val="23"/>
          <w:rFonts w:ascii="黑体" w:hAnsi="黑体" w:eastAsia="黑体"/>
          <w:b w:val="0"/>
        </w:rPr>
      </w:pPr>
      <w:bookmarkStart w:id="127" w:name="_Toc79163635"/>
      <w:bookmarkStart w:id="128" w:name="_Toc15396618"/>
      <w:bookmarkStart w:id="129" w:name="_Toc23874"/>
      <w:r>
        <w:rPr>
          <w:rFonts w:hint="eastAsia" w:ascii="黑体" w:hAnsi="黑体" w:eastAsia="黑体"/>
          <w:color w:val="000000"/>
          <w:sz w:val="44"/>
          <w:szCs w:val="44"/>
        </w:rPr>
        <w:t>第</w:t>
      </w:r>
      <w:r>
        <w:rPr>
          <w:rStyle w:val="23"/>
          <w:rFonts w:hint="eastAsia" w:ascii="黑体" w:hAnsi="黑体" w:eastAsia="黑体"/>
          <w:b w:val="0"/>
        </w:rPr>
        <w:t>五部分附表</w:t>
      </w:r>
      <w:bookmarkEnd w:id="106"/>
      <w:bookmarkEnd w:id="127"/>
      <w:bookmarkEnd w:id="128"/>
      <w:bookmarkEnd w:id="129"/>
    </w:p>
    <w:p>
      <w:pPr>
        <w:pStyle w:val="3"/>
        <w:rPr>
          <w:rFonts w:ascii="仿宋" w:hAnsi="仿宋" w:eastAsia="仿宋"/>
          <w:color w:val="000000"/>
        </w:rPr>
      </w:pPr>
      <w:bookmarkStart w:id="130" w:name="_Toc15396619"/>
      <w:bookmarkStart w:id="131" w:name="_Toc15639"/>
      <w:bookmarkStart w:id="132" w:name="_Toc79163636"/>
      <w:r>
        <w:rPr>
          <w:rFonts w:hint="eastAsia" w:ascii="仿宋" w:hAnsi="仿宋" w:eastAsia="仿宋"/>
          <w:b w:val="0"/>
          <w:color w:val="000000"/>
        </w:rPr>
        <w:t>一、收</w:t>
      </w:r>
      <w:r>
        <w:rPr>
          <w:rStyle w:val="24"/>
          <w:rFonts w:hint="eastAsia" w:ascii="仿宋" w:hAnsi="仿宋" w:eastAsia="仿宋"/>
          <w:b w:val="0"/>
          <w:bCs w:val="0"/>
        </w:rPr>
        <w:t>入支出决算总表</w:t>
      </w:r>
      <w:bookmarkEnd w:id="130"/>
      <w:bookmarkEnd w:id="131"/>
      <w:bookmarkEnd w:id="132"/>
    </w:p>
    <w:p>
      <w:pPr>
        <w:pStyle w:val="3"/>
        <w:rPr>
          <w:rFonts w:ascii="仿宋" w:hAnsi="仿宋" w:eastAsia="仿宋"/>
          <w:color w:val="000000"/>
        </w:rPr>
      </w:pPr>
      <w:bookmarkStart w:id="133" w:name="_Toc15396620"/>
      <w:bookmarkStart w:id="134" w:name="_Toc79163637"/>
      <w:bookmarkStart w:id="135" w:name="_Toc11387"/>
      <w:r>
        <w:rPr>
          <w:rFonts w:hint="eastAsia" w:ascii="仿宋" w:hAnsi="仿宋" w:eastAsia="仿宋"/>
          <w:b w:val="0"/>
          <w:color w:val="000000"/>
        </w:rPr>
        <w:t>二、收</w:t>
      </w:r>
      <w:r>
        <w:rPr>
          <w:rStyle w:val="24"/>
          <w:rFonts w:hint="eastAsia" w:ascii="仿宋" w:hAnsi="仿宋" w:eastAsia="仿宋"/>
          <w:b w:val="0"/>
          <w:bCs w:val="0"/>
        </w:rPr>
        <w:t>入决算表</w:t>
      </w:r>
      <w:bookmarkEnd w:id="133"/>
      <w:bookmarkEnd w:id="134"/>
      <w:bookmarkEnd w:id="135"/>
    </w:p>
    <w:p>
      <w:pPr>
        <w:pStyle w:val="3"/>
        <w:rPr>
          <w:rFonts w:ascii="仿宋" w:hAnsi="仿宋" w:eastAsia="仿宋"/>
          <w:color w:val="000000"/>
        </w:rPr>
      </w:pPr>
      <w:bookmarkStart w:id="136" w:name="_Toc15396621"/>
      <w:bookmarkStart w:id="137" w:name="_Toc79163638"/>
      <w:bookmarkStart w:id="138" w:name="_Toc201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36"/>
      <w:bookmarkEnd w:id="137"/>
      <w:bookmarkEnd w:id="138"/>
    </w:p>
    <w:p>
      <w:pPr>
        <w:pStyle w:val="3"/>
        <w:rPr>
          <w:rFonts w:ascii="仿宋" w:hAnsi="仿宋" w:eastAsia="仿宋"/>
          <w:b w:val="0"/>
          <w:color w:val="000000"/>
        </w:rPr>
      </w:pPr>
      <w:bookmarkStart w:id="139" w:name="_Toc79163639"/>
      <w:bookmarkStart w:id="140" w:name="_Toc149"/>
      <w:bookmarkStart w:id="141"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9"/>
      <w:bookmarkEnd w:id="140"/>
      <w:bookmarkEnd w:id="141"/>
    </w:p>
    <w:p>
      <w:pPr>
        <w:pStyle w:val="3"/>
        <w:rPr>
          <w:rStyle w:val="24"/>
          <w:rFonts w:ascii="仿宋" w:hAnsi="仿宋" w:eastAsia="仿宋"/>
          <w:b w:val="0"/>
          <w:bCs w:val="0"/>
        </w:rPr>
      </w:pPr>
      <w:bookmarkStart w:id="142" w:name="_Toc15396623"/>
      <w:bookmarkStart w:id="143" w:name="_Toc79163640"/>
      <w:bookmarkStart w:id="144" w:name="_Toc9741"/>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42"/>
      <w:bookmarkEnd w:id="143"/>
      <w:bookmarkEnd w:id="144"/>
      <w:bookmarkStart w:id="145" w:name="_Toc15396624"/>
    </w:p>
    <w:p>
      <w:pPr>
        <w:pStyle w:val="3"/>
        <w:rPr>
          <w:rFonts w:ascii="仿宋" w:hAnsi="仿宋" w:eastAsia="仿宋"/>
          <w:color w:val="000000"/>
        </w:rPr>
      </w:pPr>
      <w:bookmarkStart w:id="146" w:name="_Toc79163641"/>
      <w:bookmarkStart w:id="147" w:name="_Toc13838"/>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45"/>
      <w:bookmarkEnd w:id="146"/>
      <w:bookmarkEnd w:id="147"/>
    </w:p>
    <w:p>
      <w:pPr>
        <w:pStyle w:val="3"/>
        <w:rPr>
          <w:rFonts w:ascii="仿宋" w:hAnsi="仿宋" w:eastAsia="仿宋"/>
          <w:color w:val="000000"/>
        </w:rPr>
      </w:pPr>
      <w:bookmarkStart w:id="148" w:name="_Toc15396625"/>
      <w:bookmarkStart w:id="149" w:name="_Toc79163642"/>
      <w:bookmarkStart w:id="150" w:name="_Toc11456"/>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8"/>
      <w:bookmarkEnd w:id="149"/>
      <w:bookmarkEnd w:id="150"/>
    </w:p>
    <w:p>
      <w:pPr>
        <w:pStyle w:val="3"/>
        <w:rPr>
          <w:rFonts w:ascii="仿宋" w:hAnsi="仿宋" w:eastAsia="仿宋"/>
          <w:color w:val="000000"/>
        </w:rPr>
      </w:pPr>
      <w:bookmarkStart w:id="151" w:name="_Toc15396626"/>
      <w:bookmarkStart w:id="152" w:name="_Toc79163643"/>
      <w:bookmarkStart w:id="153" w:name="_Toc7356"/>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51"/>
      <w:bookmarkEnd w:id="152"/>
      <w:bookmarkEnd w:id="153"/>
    </w:p>
    <w:p>
      <w:pPr>
        <w:pStyle w:val="3"/>
        <w:rPr>
          <w:rFonts w:ascii="仿宋" w:hAnsi="仿宋" w:eastAsia="仿宋"/>
          <w:color w:val="000000"/>
        </w:rPr>
      </w:pPr>
      <w:bookmarkStart w:id="154" w:name="_Toc14334"/>
      <w:bookmarkStart w:id="155" w:name="_Toc79163644"/>
      <w:bookmarkStart w:id="156" w:name="_Toc15396627"/>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54"/>
      <w:bookmarkEnd w:id="155"/>
      <w:bookmarkEnd w:id="156"/>
    </w:p>
    <w:p>
      <w:pPr>
        <w:pStyle w:val="3"/>
        <w:rPr>
          <w:rFonts w:ascii="仿宋" w:hAnsi="仿宋" w:eastAsia="仿宋"/>
          <w:color w:val="000000"/>
        </w:rPr>
      </w:pPr>
      <w:bookmarkStart w:id="157" w:name="_Toc15396628"/>
      <w:bookmarkStart w:id="158" w:name="_Toc79163645"/>
      <w:bookmarkStart w:id="159" w:name="_Toc11844"/>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57"/>
      <w:bookmarkEnd w:id="158"/>
      <w:bookmarkEnd w:id="159"/>
    </w:p>
    <w:p>
      <w:pPr>
        <w:pStyle w:val="3"/>
        <w:rPr>
          <w:rFonts w:ascii="仿宋" w:hAnsi="仿宋" w:eastAsia="仿宋"/>
          <w:color w:val="000000"/>
        </w:rPr>
      </w:pPr>
      <w:bookmarkStart w:id="160" w:name="_Toc15396629"/>
      <w:bookmarkStart w:id="161" w:name="_Toc79163646"/>
      <w:bookmarkStart w:id="162" w:name="_Toc569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60"/>
      <w:bookmarkEnd w:id="161"/>
      <w:bookmarkEnd w:id="162"/>
    </w:p>
    <w:p>
      <w:pPr>
        <w:pStyle w:val="3"/>
        <w:rPr>
          <w:rFonts w:ascii="仿宋" w:hAnsi="仿宋" w:eastAsia="仿宋"/>
          <w:color w:val="000000"/>
        </w:rPr>
      </w:pPr>
      <w:bookmarkStart w:id="163" w:name="_Toc15396630"/>
      <w:bookmarkStart w:id="164" w:name="_Toc79163647"/>
      <w:bookmarkStart w:id="165" w:name="_Toc21783"/>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63"/>
      <w:bookmarkEnd w:id="164"/>
      <w:bookmarkEnd w:id="165"/>
    </w:p>
    <w:p>
      <w:pPr>
        <w:pStyle w:val="3"/>
        <w:rPr>
          <w:rStyle w:val="24"/>
          <w:rFonts w:ascii="仿宋" w:hAnsi="仿宋" w:eastAsia="仿宋"/>
          <w:b w:val="0"/>
          <w:bCs w:val="0"/>
        </w:rPr>
      </w:pPr>
      <w:bookmarkStart w:id="166" w:name="_Toc15396631"/>
      <w:bookmarkStart w:id="167" w:name="_Toc79163648"/>
      <w:bookmarkStart w:id="168" w:name="_Toc2831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66"/>
      <w:bookmarkEnd w:id="167"/>
      <w:bookmarkEnd w:id="168"/>
    </w:p>
    <w:p>
      <w:pPr>
        <w:pStyle w:val="3"/>
        <w:rPr>
          <w:rStyle w:val="24"/>
          <w:rFonts w:ascii="仿宋" w:hAnsi="仿宋" w:eastAsia="仿宋"/>
          <w:b w:val="0"/>
          <w:bCs w:val="0"/>
        </w:rPr>
      </w:pPr>
      <w:bookmarkStart w:id="169" w:name="_Toc79163649"/>
      <w:bookmarkStart w:id="170" w:name="_Toc12437"/>
      <w:r>
        <w:rPr>
          <w:rStyle w:val="24"/>
          <w:rFonts w:hint="eastAsia" w:ascii="仿宋" w:hAnsi="仿宋" w:eastAsia="仿宋"/>
          <w:b w:val="0"/>
          <w:bCs w:val="0"/>
        </w:rPr>
        <w:t>十四、国有资本经营预算财政拨款支出决算表</w:t>
      </w:r>
      <w:bookmarkEnd w:id="169"/>
      <w:bookmarkEnd w:id="1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10</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A62BE9"/>
    <w:multiLevelType w:val="singleLevel"/>
    <w:tmpl w:val="91A62BE9"/>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3FC20E2"/>
    <w:multiLevelType w:val="singleLevel"/>
    <w:tmpl w:val="E3FC20E2"/>
    <w:lvl w:ilvl="0" w:tentative="0">
      <w:start w:val="2"/>
      <w:numFmt w:val="chineseCounting"/>
      <w:suff w:val="nothing"/>
      <w:lvlText w:val="（%1）"/>
      <w:lvlJc w:val="left"/>
      <w:rPr>
        <w:rFonts w:hint="eastAsia"/>
      </w:rPr>
    </w:lvl>
  </w:abstractNum>
  <w:abstractNum w:abstractNumId="4">
    <w:nsid w:val="7BFFCD59"/>
    <w:multiLevelType w:val="singleLevel"/>
    <w:tmpl w:val="7BFFCD59"/>
    <w:lvl w:ilvl="0" w:tentative="0">
      <w:start w:val="2"/>
      <w:numFmt w:val="chineseCounting"/>
      <w:suff w:val="nothing"/>
      <w:lvlText w:val="%1、"/>
      <w:lvlJc w:val="left"/>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RmZTQ0MmE3NGYxZTBjZTA2NjRlMTRhMDZjMjcxYj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03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5F4129"/>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E752B"/>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C4D56"/>
    <w:rsid w:val="007D1682"/>
    <w:rsid w:val="007D312A"/>
    <w:rsid w:val="007D3F19"/>
    <w:rsid w:val="007D7307"/>
    <w:rsid w:val="007E23B0"/>
    <w:rsid w:val="007E23E5"/>
    <w:rsid w:val="007F1991"/>
    <w:rsid w:val="007F2C2F"/>
    <w:rsid w:val="007F55FC"/>
    <w:rsid w:val="007F5665"/>
    <w:rsid w:val="00800112"/>
    <w:rsid w:val="00813348"/>
    <w:rsid w:val="00823F8B"/>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13D1D"/>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776FE"/>
    <w:rsid w:val="0098660A"/>
    <w:rsid w:val="009931C3"/>
    <w:rsid w:val="00997593"/>
    <w:rsid w:val="009A3054"/>
    <w:rsid w:val="009B2C43"/>
    <w:rsid w:val="009B4EAE"/>
    <w:rsid w:val="009B7573"/>
    <w:rsid w:val="009C22F4"/>
    <w:rsid w:val="009C2A4B"/>
    <w:rsid w:val="009C2E98"/>
    <w:rsid w:val="009D3447"/>
    <w:rsid w:val="009D4711"/>
    <w:rsid w:val="009D57F0"/>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4BE"/>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2873"/>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D7E2B"/>
    <w:rsid w:val="00BF5BD6"/>
    <w:rsid w:val="00C03E31"/>
    <w:rsid w:val="00C33E72"/>
    <w:rsid w:val="00C354B2"/>
    <w:rsid w:val="00C35554"/>
    <w:rsid w:val="00C35919"/>
    <w:rsid w:val="00C42709"/>
    <w:rsid w:val="00C533CC"/>
    <w:rsid w:val="00C5751C"/>
    <w:rsid w:val="00C61BFC"/>
    <w:rsid w:val="00C62B85"/>
    <w:rsid w:val="00C65438"/>
    <w:rsid w:val="00C87FD8"/>
    <w:rsid w:val="00C91381"/>
    <w:rsid w:val="00C91CBB"/>
    <w:rsid w:val="00CB290E"/>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364C6"/>
    <w:rsid w:val="00E472B1"/>
    <w:rsid w:val="00E50624"/>
    <w:rsid w:val="00E568DF"/>
    <w:rsid w:val="00E64269"/>
    <w:rsid w:val="00E70975"/>
    <w:rsid w:val="00E82267"/>
    <w:rsid w:val="00E853CE"/>
    <w:rsid w:val="00E867B6"/>
    <w:rsid w:val="00E86D23"/>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D37896"/>
    <w:rsid w:val="042229D1"/>
    <w:rsid w:val="05ED4C3E"/>
    <w:rsid w:val="06E30871"/>
    <w:rsid w:val="07A37081"/>
    <w:rsid w:val="08380931"/>
    <w:rsid w:val="087171D2"/>
    <w:rsid w:val="0A2032A3"/>
    <w:rsid w:val="0ABF03C1"/>
    <w:rsid w:val="0B6A30E3"/>
    <w:rsid w:val="0ECF52E2"/>
    <w:rsid w:val="0EE06B2A"/>
    <w:rsid w:val="0FDF3286"/>
    <w:rsid w:val="107134C5"/>
    <w:rsid w:val="10C055FF"/>
    <w:rsid w:val="10C5247C"/>
    <w:rsid w:val="11690229"/>
    <w:rsid w:val="118107EC"/>
    <w:rsid w:val="11FB5587"/>
    <w:rsid w:val="121374FA"/>
    <w:rsid w:val="124B5BA1"/>
    <w:rsid w:val="152A333F"/>
    <w:rsid w:val="16BB723D"/>
    <w:rsid w:val="181C23F3"/>
    <w:rsid w:val="1856117B"/>
    <w:rsid w:val="18D45411"/>
    <w:rsid w:val="1A1625AF"/>
    <w:rsid w:val="1BB43819"/>
    <w:rsid w:val="1C1E6710"/>
    <w:rsid w:val="1CC5206B"/>
    <w:rsid w:val="1D155CEE"/>
    <w:rsid w:val="1D4D5CD3"/>
    <w:rsid w:val="1E1D2767"/>
    <w:rsid w:val="1EAE0C12"/>
    <w:rsid w:val="1EE011D6"/>
    <w:rsid w:val="1EF34658"/>
    <w:rsid w:val="1F432109"/>
    <w:rsid w:val="1FE219D7"/>
    <w:rsid w:val="2090533D"/>
    <w:rsid w:val="236D3A06"/>
    <w:rsid w:val="240371BF"/>
    <w:rsid w:val="245A1EB4"/>
    <w:rsid w:val="24AA10D3"/>
    <w:rsid w:val="24CE537C"/>
    <w:rsid w:val="27190E5A"/>
    <w:rsid w:val="271F5AA0"/>
    <w:rsid w:val="272F6449"/>
    <w:rsid w:val="2803085A"/>
    <w:rsid w:val="29FD04D3"/>
    <w:rsid w:val="2A2D2C92"/>
    <w:rsid w:val="2A88727B"/>
    <w:rsid w:val="2CBE19E7"/>
    <w:rsid w:val="2CEE2730"/>
    <w:rsid w:val="2DDC527B"/>
    <w:rsid w:val="2E734A7F"/>
    <w:rsid w:val="2F012479"/>
    <w:rsid w:val="2F482205"/>
    <w:rsid w:val="30662EDC"/>
    <w:rsid w:val="319F7F4E"/>
    <w:rsid w:val="326B7F22"/>
    <w:rsid w:val="32AC6713"/>
    <w:rsid w:val="34874534"/>
    <w:rsid w:val="34CA5AA9"/>
    <w:rsid w:val="35393A14"/>
    <w:rsid w:val="35B71453"/>
    <w:rsid w:val="378D4153"/>
    <w:rsid w:val="3AA82343"/>
    <w:rsid w:val="3C814BF9"/>
    <w:rsid w:val="3D371013"/>
    <w:rsid w:val="406E7178"/>
    <w:rsid w:val="416A3ABA"/>
    <w:rsid w:val="41D204D6"/>
    <w:rsid w:val="42941F38"/>
    <w:rsid w:val="42AA0F3F"/>
    <w:rsid w:val="46146872"/>
    <w:rsid w:val="47B66025"/>
    <w:rsid w:val="481E0468"/>
    <w:rsid w:val="48314ACA"/>
    <w:rsid w:val="4C2C4C27"/>
    <w:rsid w:val="4C5F02AD"/>
    <w:rsid w:val="4E69583F"/>
    <w:rsid w:val="4E730B11"/>
    <w:rsid w:val="4EC05A55"/>
    <w:rsid w:val="4ECE2238"/>
    <w:rsid w:val="4ED51B78"/>
    <w:rsid w:val="4FF43C08"/>
    <w:rsid w:val="50E02BB2"/>
    <w:rsid w:val="52A35472"/>
    <w:rsid w:val="53A571B0"/>
    <w:rsid w:val="53B80220"/>
    <w:rsid w:val="53DC23FC"/>
    <w:rsid w:val="541F6C1F"/>
    <w:rsid w:val="551C150B"/>
    <w:rsid w:val="56F05862"/>
    <w:rsid w:val="57713501"/>
    <w:rsid w:val="577928F5"/>
    <w:rsid w:val="5A3E7BAA"/>
    <w:rsid w:val="5A77679F"/>
    <w:rsid w:val="5AB64CF5"/>
    <w:rsid w:val="5B5868DB"/>
    <w:rsid w:val="5B72115F"/>
    <w:rsid w:val="5BA34735"/>
    <w:rsid w:val="5C267521"/>
    <w:rsid w:val="5C8F6968"/>
    <w:rsid w:val="5C947720"/>
    <w:rsid w:val="5EF62698"/>
    <w:rsid w:val="5FEB79FA"/>
    <w:rsid w:val="613D4E9E"/>
    <w:rsid w:val="615743C3"/>
    <w:rsid w:val="61EA7525"/>
    <w:rsid w:val="62EB6D1D"/>
    <w:rsid w:val="63A41687"/>
    <w:rsid w:val="64661DD2"/>
    <w:rsid w:val="655B06C1"/>
    <w:rsid w:val="675451C4"/>
    <w:rsid w:val="688102E0"/>
    <w:rsid w:val="68E364BF"/>
    <w:rsid w:val="6ADC36A6"/>
    <w:rsid w:val="6B6F63E1"/>
    <w:rsid w:val="6C4A05C8"/>
    <w:rsid w:val="6CB11207"/>
    <w:rsid w:val="6DCA3D37"/>
    <w:rsid w:val="6E2A05E2"/>
    <w:rsid w:val="6EC46AB2"/>
    <w:rsid w:val="72734D90"/>
    <w:rsid w:val="72FD42DF"/>
    <w:rsid w:val="73AE33FD"/>
    <w:rsid w:val="740A4021"/>
    <w:rsid w:val="745218CB"/>
    <w:rsid w:val="749173C8"/>
    <w:rsid w:val="75221E02"/>
    <w:rsid w:val="75BB0753"/>
    <w:rsid w:val="763B6C7F"/>
    <w:rsid w:val="795B7FA5"/>
    <w:rsid w:val="79674800"/>
    <w:rsid w:val="7A427628"/>
    <w:rsid w:val="7A541F30"/>
    <w:rsid w:val="7BA20589"/>
    <w:rsid w:val="7BD40907"/>
    <w:rsid w:val="7C541C7B"/>
    <w:rsid w:val="7C890528"/>
    <w:rsid w:val="7D4C5B9E"/>
    <w:rsid w:val="7E520C33"/>
    <w:rsid w:val="7EE51FB5"/>
    <w:rsid w:val="7F733EDD"/>
    <w:rsid w:val="E7EE92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paragraph" w:styleId="5">
    <w:name w:val="heading 4"/>
    <w:basedOn w:val="4"/>
    <w:next w:val="1"/>
    <w:qFormat/>
    <w:uiPriority w:val="99"/>
    <w:pPr>
      <w:spacing w:before="280" w:after="290" w:line="240" w:lineRule="auto"/>
      <w:ind w:firstLine="200" w:firstLineChars="200"/>
      <w:jc w:val="left"/>
      <w:outlineLvl w:val="3"/>
    </w:pPr>
    <w:rPr>
      <w:rFonts w:ascii="Cambria" w:hAnsi="Cambria" w:eastAsia="仿宋_GB2312" w:cs="宋体"/>
      <w:sz w:val="30"/>
      <w:szCs w:val="30"/>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7"/>
    <w:semiHidden/>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lang w:val="zh-CN"/>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3"/>
    <w:semiHidden/>
    <w:qFormat/>
    <w:locked/>
    <w:uiPriority w:val="99"/>
    <w:rPr>
      <w:sz w:val="18"/>
    </w:rPr>
  </w:style>
  <w:style w:type="character" w:customStyle="1" w:styleId="31">
    <w:name w:val="页脚 Char"/>
    <w:link w:val="12"/>
    <w:qFormat/>
    <w:locked/>
    <w:uiPriority w:val="99"/>
    <w:rPr>
      <w:sz w:val="18"/>
    </w:rPr>
  </w:style>
  <w:style w:type="character" w:customStyle="1" w:styleId="32">
    <w:name w:val="正文文本 Char"/>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38">
    <w:name w:val="无间隔1"/>
    <w:basedOn w:val="1"/>
    <w:qFormat/>
    <w:uiPriority w:val="0"/>
    <w:rPr>
      <w:rFonts w:ascii="Calibri" w:hAnsi="Calibri" w:cs="宋体"/>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2020、2021收入支出情况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2021</c:v>
                </c:pt>
                <c:pt idx="1">
                  <c:v>2020</c:v>
                </c:pt>
              </c:numCache>
            </c:numRef>
          </c:cat>
          <c:val>
            <c:numRef>
              <c:f>Sheet1!$B$2:$B$5</c:f>
              <c:numCache>
                <c:formatCode>General</c:formatCode>
                <c:ptCount val="4"/>
                <c:pt idx="0">
                  <c:v>326.33</c:v>
                </c:pt>
                <c:pt idx="1">
                  <c:v>440.41</c:v>
                </c:pt>
              </c:numCache>
            </c:numRef>
          </c:val>
        </c:ser>
        <c:ser>
          <c:idx val="1"/>
          <c:order val="1"/>
          <c:tx>
            <c:strRef>
              <c:f>Sheet1!$C$1</c:f>
              <c:strCache>
                <c:ptCount val="1"/>
                <c:pt idx="0">
                  <c:v>支出</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2021</c:v>
                </c:pt>
                <c:pt idx="1">
                  <c:v>2020</c:v>
                </c:pt>
              </c:numCache>
            </c:numRef>
          </c:cat>
          <c:val>
            <c:numRef>
              <c:f>Sheet1!$C$2:$C$5</c:f>
              <c:numCache>
                <c:formatCode>General</c:formatCode>
                <c:ptCount val="4"/>
                <c:pt idx="0">
                  <c:v>326.33</c:v>
                </c:pt>
                <c:pt idx="1">
                  <c:v>440.41</c:v>
                </c:pt>
              </c:numCache>
            </c:numRef>
          </c:val>
        </c:ser>
        <c:dLbls>
          <c:showLegendKey val="0"/>
          <c:showVal val="0"/>
          <c:showCatName val="0"/>
          <c:showSerName val="0"/>
          <c:showPercent val="0"/>
          <c:showBubbleSize val="0"/>
        </c:dLbls>
        <c:gapWidth val="100"/>
        <c:overlap val="-24"/>
        <c:axId val="443371423"/>
        <c:axId val="18121383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delete val="1"/>
                </c:dLbls>
                <c:cat>
                  <c:numRef>
                    <c:extLst>
                      <c:ext uri="{02D57815-91ED-43cb-92C2-25804820EDAC}">
                        <c15:fullRef>
                          <c15:sqref/>
                        </c15:fullRef>
                        <c15:formulaRef>
                          <c15:sqref>Sheet1!$A$2:$A$5</c15:sqref>
                        </c15:formulaRef>
                      </c:ext>
                    </c:extLst>
                    <c:numCache>
                      <c:formatCode>General</c:formatCode>
                      <c:ptCount val="4"/>
                      <c:pt idx="0">
                        <c:v>2021</c:v>
                      </c:pt>
                      <c:pt idx="1">
                        <c:v>2020</c:v>
                      </c:pt>
                    </c:numCache>
                  </c:num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4433714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81213833"/>
        <c:crosses val="autoZero"/>
        <c:auto val="1"/>
        <c:lblAlgn val="ctr"/>
        <c:lblOffset val="100"/>
        <c:noMultiLvlLbl val="0"/>
      </c:catAx>
      <c:valAx>
        <c:axId val="18121383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433714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manualLayout>
          <c:layoutTarget val="inner"/>
          <c:xMode val="edge"/>
          <c:yMode val="edge"/>
          <c:x val="0.2170625"/>
          <c:y val="0.133333333333333"/>
          <c:w val="0.565875"/>
          <c:h val="0.7545"/>
        </c:manualLayout>
      </c:layout>
      <c:pieChart>
        <c:varyColors val="1"/>
        <c:ser>
          <c:idx val="0"/>
          <c:order val="0"/>
          <c:tx>
            <c:strRef>
              <c:f>Sheet1!$B$1</c:f>
              <c:strCache>
                <c:ptCount val="1"/>
                <c:pt idx="0">
                  <c:v>收入额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312.29</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12625"/>
          <c:y val="0.937000000000001"/>
          <c:w val="0.981625000000001"/>
          <c:h val="0.05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247.09</c:v>
                </c:pt>
                <c:pt idx="1">
                  <c:v>79.24</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收入</c:v>
                </c:pt>
                <c:pt idx="1">
                  <c:v>支出</c:v>
                </c:pt>
                <c:pt idx="2">
                  <c:v>减少额</c:v>
                </c:pt>
                <c:pt idx="3">
                  <c:v>下降率</c:v>
                </c:pt>
              </c:strCache>
            </c:strRef>
          </c:cat>
          <c:val>
            <c:numRef>
              <c:f>Sheet1!$B$2:$B$5</c:f>
              <c:numCache>
                <c:formatCode>General</c:formatCode>
                <c:ptCount val="4"/>
                <c:pt idx="0">
                  <c:v>440.41</c:v>
                </c:pt>
                <c:pt idx="1">
                  <c:v>440.41</c:v>
                </c:pt>
              </c:numCache>
            </c:numRef>
          </c:val>
        </c:ser>
        <c:ser>
          <c:idx val="1"/>
          <c:order val="1"/>
          <c:tx>
            <c:strRef>
              <c:f>Sheet1!$C$1</c:f>
              <c:strCache>
                <c:ptCount val="1"/>
                <c:pt idx="0">
                  <c:v>2021年</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收入</c:v>
                </c:pt>
                <c:pt idx="1">
                  <c:v>支出</c:v>
                </c:pt>
                <c:pt idx="2">
                  <c:v>减少额</c:v>
                </c:pt>
                <c:pt idx="3">
                  <c:v>下降率</c:v>
                </c:pt>
              </c:strCache>
            </c:strRef>
          </c:cat>
          <c:val>
            <c:numRef>
              <c:f>Sheet1!$C$2:$C$5</c:f>
              <c:numCache>
                <c:formatCode>General</c:formatCode>
                <c:ptCount val="4"/>
                <c:pt idx="0">
                  <c:v>326.33</c:v>
                </c:pt>
                <c:pt idx="1">
                  <c:v>326.33</c:v>
                </c:pt>
                <c:pt idx="2">
                  <c:v>114.08</c:v>
                </c:pt>
                <c:pt idx="3">
                  <c:v>25.9</c:v>
                </c:pt>
              </c:numCache>
            </c:numRef>
          </c:val>
        </c:ser>
        <c:ser>
          <c:idx val="2"/>
          <c:order val="2"/>
          <c:tx>
            <c:strRef>
              <c:f>Sheet1!#REF!</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收入</c:v>
                </c:pt>
                <c:pt idx="1">
                  <c:v>支出</c:v>
                </c:pt>
                <c:pt idx="2">
                  <c:v>减少额</c:v>
                </c:pt>
                <c:pt idx="3">
                  <c:v>下降率</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65"/>
        <c:axId val="181198848"/>
        <c:axId val="181200384"/>
      </c:barChart>
      <c:catAx>
        <c:axId val="181198848"/>
        <c:scaling>
          <c:orientation val="minMax"/>
        </c:scaling>
        <c:delete val="0"/>
        <c:axPos val="b"/>
        <c:majorTickMark val="none"/>
        <c:minorTickMark val="none"/>
        <c:tickLblPos val="nextTo"/>
        <c:spPr>
          <a:noFill/>
          <a:ln w="19050" cap="flat" cmpd="sng" algn="ctr">
            <a:solidFill>
              <a:schemeClr val="dk1">
                <a:lumMod val="75000"/>
                <a:lumOff val="25000"/>
              </a:schemeClr>
            </a:solidFill>
            <a:prstDash val="solid"/>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81200384"/>
        <c:crosses val="autoZero"/>
        <c:auto val="1"/>
        <c:lblAlgn val="ctr"/>
        <c:lblOffset val="100"/>
        <c:noMultiLvlLbl val="0"/>
      </c:catAx>
      <c:valAx>
        <c:axId val="1812003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olid"/>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1198848"/>
        <c:crosses val="autoZero"/>
        <c:crossBetween val="between"/>
      </c:valAx>
      <c:spPr>
        <a:noFill/>
        <a:ln>
          <a:noFill/>
        </a:ln>
        <a:effectLst/>
      </c:spPr>
    </c:plotArea>
    <c:legend>
      <c:legendPos val="b"/>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cap="all" spc="120" normalizeH="0" baseline="0">
                <a:solidFill>
                  <a:schemeClr val="tx1">
                    <a:lumMod val="65000"/>
                    <a:lumOff val="35000"/>
                  </a:schemeClr>
                </a:solidFill>
                <a:latin typeface="+mn-lt"/>
                <a:ea typeface="+mn-ea"/>
                <a:cs typeface="+mn-cs"/>
              </a:defRPr>
            </a:pPr>
            <a:r>
              <a:rPr sz="1080"/>
              <a:t>一般公共预算财政拨款支出决算变动表</a:t>
            </a:r>
            <a:endParaRPr sz="1080"/>
          </a:p>
        </c:rich>
      </c:tx>
      <c:layout>
        <c:manualLayout>
          <c:xMode val="edge"/>
          <c:yMode val="edge"/>
          <c:x val="0.240405405405405"/>
          <c:y val="0.0181781458291254"/>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2021年一般公共预算财政拨款支出</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财政拨款支出</c:v>
                </c:pt>
                <c:pt idx="1">
                  <c:v>减少额</c:v>
                </c:pt>
                <c:pt idx="2">
                  <c:v>降幅（%）</c:v>
                </c:pt>
              </c:strCache>
            </c:strRef>
          </c:cat>
          <c:val>
            <c:numRef>
              <c:f>Sheet1!$B$2:$B$4</c:f>
              <c:numCache>
                <c:formatCode>General</c:formatCode>
                <c:ptCount val="3"/>
                <c:pt idx="0">
                  <c:v>326.33</c:v>
                </c:pt>
                <c:pt idx="1">
                  <c:v>128.12</c:v>
                </c:pt>
                <c:pt idx="2">
                  <c:v>29.1</c:v>
                </c:pt>
              </c:numCache>
            </c:numRef>
          </c:val>
        </c:ser>
        <c:dLbls>
          <c:showLegendKey val="0"/>
          <c:showVal val="1"/>
          <c:showCatName val="0"/>
          <c:showSerName val="0"/>
          <c:showPercent val="0"/>
          <c:showBubbleSize val="0"/>
        </c:dLbls>
        <c:gapWidth val="444"/>
        <c:overlap val="-90"/>
        <c:axId val="181291648"/>
        <c:axId val="181297536"/>
      </c:barChart>
      <c:catAx>
        <c:axId val="181291648"/>
        <c:scaling>
          <c:orientation val="minMax"/>
        </c:scaling>
        <c:delete val="0"/>
        <c:axPos val="b"/>
        <c:majorGridlines>
          <c:spPr>
            <a:ln w="9525" cap="flat" cmpd="sng" algn="ctr">
              <a:solidFill>
                <a:schemeClr val="tx1">
                  <a:lumMod val="15000"/>
                  <a:lumOff val="85000"/>
                </a:schemeClr>
              </a:solidFill>
              <a:prstDash val="solid"/>
              <a:round/>
            </a:ln>
            <a:effectLst/>
          </c:spPr>
        </c:majorGridlines>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cap="all" spc="120" normalizeH="0" baseline="0">
                <a:solidFill>
                  <a:schemeClr val="tx1">
                    <a:lumMod val="65000"/>
                    <a:lumOff val="35000"/>
                  </a:schemeClr>
                </a:solidFill>
                <a:latin typeface="+mn-lt"/>
                <a:ea typeface="+mn-ea"/>
                <a:cs typeface="+mn-cs"/>
              </a:defRPr>
            </a:pPr>
          </a:p>
        </c:txPr>
        <c:crossAx val="181297536"/>
        <c:crosses val="autoZero"/>
        <c:auto val="1"/>
        <c:lblAlgn val="ctr"/>
        <c:lblOffset val="100"/>
        <c:noMultiLvlLbl val="0"/>
      </c:catAx>
      <c:valAx>
        <c:axId val="18129753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crossAx val="181291648"/>
        <c:crosses val="autoZero"/>
        <c:crossBetween val="between"/>
      </c:valAx>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prstDash val="solid"/>
      <a:round/>
    </a:ln>
    <a:effectLst/>
  </c:spPr>
  <c:txPr>
    <a:bodyPr/>
    <a:lstStyle/>
    <a:p>
      <a:pPr>
        <a:defRPr lang="zh-CN" sz="90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0">
                  <c:v>一般公共服务（类）</c:v>
                </c:pt>
                <c:pt idx="1">
                  <c:v>教育支出（类）</c:v>
                </c:pt>
                <c:pt idx="2">
                  <c:v>科学技术（类）</c:v>
                </c:pt>
                <c:pt idx="3">
                  <c:v>文化旅游体育与传媒（类）</c:v>
                </c:pt>
                <c:pt idx="4">
                  <c:v>社会保障和就业（类）</c:v>
                </c:pt>
                <c:pt idx="5">
                  <c:v>卫生健康（类）</c:v>
                </c:pt>
                <c:pt idx="6">
                  <c:v>住房保障支出</c:v>
                </c:pt>
              </c:strCache>
            </c:strRef>
          </c:cat>
          <c:val>
            <c:numRef>
              <c:f>Sheet1!$B$2:$B$8</c:f>
              <c:numCache>
                <c:formatCode>General</c:formatCode>
                <c:ptCount val="7"/>
                <c:pt idx="0">
                  <c:v>256.25</c:v>
                </c:pt>
                <c:pt idx="4">
                  <c:v>27.47</c:v>
                </c:pt>
                <c:pt idx="5">
                  <c:v>11.95</c:v>
                </c:pt>
                <c:pt idx="6">
                  <c:v>17.61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“三公”经费财政拨款支出结构表</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6.99</c:v>
                </c:pt>
                <c:pt idx="2">
                  <c:v>0.05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8711</Words>
  <Characters>9331</Characters>
  <Lines>77</Lines>
  <Paragraphs>21</Paragraphs>
  <TotalTime>6</TotalTime>
  <ScaleCrop>false</ScaleCrop>
  <LinksUpToDate>false</LinksUpToDate>
  <CharactersWithSpaces>9560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2022-10-21T23:24:00Z</cp:lastPrinted>
  <dcterms:modified xsi:type="dcterms:W3CDTF">2022-11-29T16:15:20Z</dcterms:modified>
  <dc:title>阿坝州部门决算说明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27F0C3B25BB7429FA3B1C052DB7AF4C5</vt:lpwstr>
  </property>
</Properties>
</file>