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黑体" w:eastAsia="黑体" w:cs="Times New Roman"/>
          <w:sz w:val="44"/>
          <w:szCs w:val="44"/>
        </w:rPr>
      </w:pPr>
    </w:p>
    <w:p>
      <w:pPr>
        <w:rPr>
          <w:rFonts w:ascii="黑体" w:eastAsia="黑体" w:cs="Times New Roman"/>
          <w:sz w:val="44"/>
          <w:szCs w:val="44"/>
        </w:rPr>
      </w:pPr>
    </w:p>
    <w:p>
      <w:pPr>
        <w:rPr>
          <w:rFonts w:ascii="黑体" w:eastAsia="黑体" w:cs="Times New Roman"/>
          <w:sz w:val="44"/>
          <w:szCs w:val="44"/>
        </w:rPr>
      </w:pPr>
    </w:p>
    <w:p>
      <w:pPr>
        <w:rPr>
          <w:rFonts w:ascii="黑体" w:eastAsia="黑体" w:cs="Times New Roman"/>
          <w:sz w:val="44"/>
          <w:szCs w:val="44"/>
        </w:rPr>
      </w:pPr>
    </w:p>
    <w:p>
      <w:pPr>
        <w:rPr>
          <w:rFonts w:ascii="黑体" w:eastAsia="黑体" w:cs="Times New Roman"/>
          <w:sz w:val="44"/>
          <w:szCs w:val="44"/>
        </w:rPr>
      </w:pPr>
    </w:p>
    <w:p>
      <w:pPr>
        <w:jc w:val="center"/>
        <w:rPr>
          <w:rFonts w:ascii="黑体" w:eastAsia="黑体" w:cs="黑体" w:hint="eastAsia"/>
          <w:sz w:val="72"/>
          <w:szCs w:val="72"/>
        </w:rPr>
      </w:pPr>
    </w:p>
    <w:p>
      <w:pPr>
        <w:jc w:val="center"/>
        <w:rPr>
          <w:rFonts w:ascii="黑体" w:eastAsia="黑体" w:cs="黑体" w:hint="eastAsia"/>
          <w:sz w:val="72"/>
          <w:szCs w:val="72"/>
        </w:rPr>
      </w:pPr>
    </w:p>
    <w:p>
      <w:pPr>
        <w:jc w:val="center"/>
        <w:rPr>
          <w:rFonts w:ascii="黑体" w:eastAsia="黑体" w:cs="黑体" w:hint="eastAsia"/>
          <w:sz w:val="72"/>
          <w:szCs w:val="72"/>
        </w:rPr>
      </w:pPr>
      <w:r>
        <w:rPr>
          <w:rFonts w:ascii="黑体" w:eastAsia="黑体" w:cs="黑体" w:hint="eastAsia"/>
          <w:sz w:val="72"/>
          <w:szCs w:val="72"/>
        </w:rPr>
        <w:t>壤塘县应急管理局</w:t>
      </w:r>
    </w:p>
    <w:p>
      <w:pPr>
        <w:jc w:val="center"/>
        <w:rPr>
          <w:rFonts w:ascii="方正小标宋简体" w:eastAsia="方正小标宋简体" w:cs="方正小标宋简体" w:hint="eastAsia"/>
          <w:sz w:val="72"/>
          <w:szCs w:val="72"/>
        </w:rPr>
      </w:pPr>
      <w:r>
        <w:rPr>
          <w:rFonts w:ascii="黑体" w:eastAsia="黑体" w:cs="黑体" w:hint="eastAsia"/>
          <w:sz w:val="72"/>
          <w:szCs w:val="72"/>
        </w:rPr>
        <w:t>202</w:t>
      </w:r>
      <w:r>
        <w:rPr>
          <w:rFonts w:ascii="黑体" w:eastAsia="黑体" w:cs="黑体" w:hint="eastAsia"/>
          <w:sz w:val="72"/>
          <w:szCs w:val="72"/>
          <w:lang w:val="en-US" w:eastAsia="zh-CN"/>
        </w:rPr>
        <w:t>2</w:t>
      </w:r>
      <w:r>
        <w:rPr>
          <w:rFonts w:ascii="黑体" w:eastAsia="黑体" w:cs="黑体" w:hint="eastAsia"/>
          <w:sz w:val="72"/>
          <w:szCs w:val="72"/>
        </w:rPr>
        <w:t>年部门预算</w:t>
      </w:r>
    </w:p>
    <w:p>
      <w:pPr>
        <w:jc w:val="center"/>
        <w:rPr>
          <w:rFonts w:ascii="方正小标宋简体" w:eastAsia="方正小标宋简体" w:cs="方正小标宋简体" w:hint="eastAsia"/>
          <w:sz w:val="44"/>
          <w:szCs w:val="44"/>
        </w:rPr>
      </w:pPr>
    </w:p>
    <w:p>
      <w:pPr>
        <w:jc w:val="center"/>
        <w:rPr>
          <w:rFonts w:ascii="黑体" w:eastAsia="黑体" w:cs="Times New Roman"/>
          <w:sz w:val="44"/>
          <w:szCs w:val="44"/>
        </w:rPr>
      </w:pPr>
    </w:p>
    <w:p>
      <w:pPr>
        <w:rPr>
          <w:rFonts w:ascii="黑体" w:eastAsia="黑体" w:cs="Times New Roman"/>
          <w:sz w:val="44"/>
          <w:szCs w:val="44"/>
        </w:rPr>
      </w:pPr>
    </w:p>
    <w:p>
      <w:pPr>
        <w:jc w:val="center"/>
        <w:rPr>
          <w:rFonts w:ascii="黑体" w:eastAsia="黑体" w:cs="Times New Roman"/>
          <w:sz w:val="44"/>
          <w:szCs w:val="44"/>
        </w:rPr>
      </w:pPr>
    </w:p>
    <w:p>
      <w:pPr>
        <w:jc w:val="center"/>
        <w:rPr>
          <w:rFonts w:ascii="黑体" w:eastAsia="黑体" w:cs="Times New Roman"/>
          <w:sz w:val="44"/>
          <w:szCs w:val="44"/>
        </w:rPr>
      </w:pPr>
    </w:p>
    <w:p>
      <w:pPr>
        <w:jc w:val="center"/>
        <w:rPr>
          <w:rFonts w:ascii="黑体" w:eastAsia="黑体" w:cs="Times New Roman"/>
          <w:sz w:val="44"/>
          <w:szCs w:val="44"/>
        </w:rPr>
      </w:pPr>
    </w:p>
    <w:p>
      <w:pPr>
        <w:jc w:val="center"/>
        <w:rPr>
          <w:rFonts w:ascii="黑体" w:eastAsia="黑体" w:cs="Times New Roman"/>
          <w:sz w:val="52"/>
          <w:szCs w:val="52"/>
        </w:rPr>
      </w:pPr>
      <w:r>
        <w:rPr>
          <w:rFonts w:ascii="黑体" w:eastAsia="黑体" w:cs="黑体" w:hint="eastAsia"/>
          <w:sz w:val="52"/>
          <w:szCs w:val="52"/>
          <w:lang w:val="en-US" w:eastAsia="zh-CN"/>
        </w:rPr>
        <w:t>2021</w:t>
      </w:r>
      <w:r>
        <w:rPr>
          <w:rFonts w:ascii="黑体" w:eastAsia="黑体" w:cs="黑体" w:hint="eastAsia"/>
          <w:sz w:val="52"/>
          <w:szCs w:val="52"/>
        </w:rPr>
        <w:t>年</w:t>
      </w:r>
      <w:r>
        <w:rPr>
          <w:rFonts w:ascii="黑体" w:eastAsia="黑体" w:cs="黑体"/>
          <w:sz w:val="52"/>
          <w:szCs w:val="52"/>
        </w:rPr>
        <w:t xml:space="preserve"> </w:t>
      </w:r>
      <w:r>
        <w:rPr>
          <w:rFonts w:ascii="黑体" w:eastAsia="黑体" w:cs="黑体" w:hint="eastAsia"/>
          <w:sz w:val="52"/>
          <w:szCs w:val="52"/>
          <w:lang w:val="en-US" w:eastAsia="zh-CN"/>
        </w:rPr>
        <w:t>1</w:t>
      </w:r>
      <w:r>
        <w:rPr>
          <w:rFonts w:ascii="黑体" w:eastAsia="黑体" w:cs="黑体" w:hint="eastAsia"/>
          <w:sz w:val="52"/>
          <w:szCs w:val="52"/>
        </w:rPr>
        <w:t>月</w:t>
      </w:r>
      <w:r>
        <w:rPr>
          <w:rFonts w:ascii="黑体" w:eastAsia="黑体" w:cs="黑体"/>
          <w:sz w:val="52"/>
          <w:szCs w:val="52"/>
        </w:rPr>
        <w:t xml:space="preserve"> </w:t>
      </w:r>
      <w:r>
        <w:rPr>
          <w:rFonts w:ascii="黑体" w:eastAsia="黑体" w:cs="黑体" w:hint="eastAsia"/>
          <w:sz w:val="52"/>
          <w:szCs w:val="52"/>
          <w:lang w:val="en-US" w:eastAsia="zh-CN"/>
        </w:rPr>
        <w:t>21</w:t>
      </w:r>
      <w:r>
        <w:rPr>
          <w:rFonts w:ascii="黑体" w:eastAsia="黑体" w:cs="黑体" w:hint="eastAsia"/>
          <w:sz w:val="52"/>
          <w:szCs w:val="52"/>
        </w:rPr>
        <w:t>日</w:t>
      </w:r>
    </w:p>
    <w:p>
      <w:pPr>
        <w:rPr>
          <w:rFonts w:ascii="黑体" w:eastAsia="黑体" w:cs="Times New Roman"/>
          <w:sz w:val="44"/>
          <w:szCs w:val="44"/>
        </w:rPr>
      </w:pPr>
    </w:p>
    <w:p>
      <w:pPr>
        <w:rPr>
          <w:rFonts w:ascii="黑体" w:eastAsia="黑体" w:cs="Times New Roman"/>
          <w:sz w:val="44"/>
          <w:szCs w:val="44"/>
        </w:rPr>
      </w:pPr>
    </w:p>
    <w:p>
      <w:pPr>
        <w:rPr>
          <w:rFonts w:ascii="黑体" w:eastAsia="黑体" w:cs="Times New Roman"/>
          <w:sz w:val="44"/>
          <w:szCs w:val="44"/>
        </w:rPr>
      </w:pPr>
    </w:p>
    <w:p>
      <w:pPr>
        <w:rPr>
          <w:rFonts w:ascii="黑体" w:eastAsia="黑体" w:cs="Times New Roman"/>
          <w:sz w:val="44"/>
          <w:szCs w:val="44"/>
        </w:rPr>
      </w:pPr>
    </w:p>
    <w:sdt>
      <w:sdtPr>
        <w:rPr>
          <w:rFonts w:ascii="宋体" w:eastAsia="宋体" w:cs="Calibri"/>
          <w:kern w:val="2"/>
          <w:sz w:val="52"/>
          <w:szCs w:val="52"/>
          <w:lang w:val="en-US" w:eastAsia="zh-CN" w:bidi="ar-SA"/>
        </w:rPr>
        <w:id w:val="1017883873"/>
        <w15:color w:val="DBDBDB"/>
        <w:docPartObj>
          <w:docPartGallery w:val="Table of Contents"/>
          <w:docPartUnique/>
        </w:docPartObj>
      </w:sdtPr>
      <w:sdtEndPr>
        <w:rPr>
          <w:rFonts w:ascii="黑体" w:eastAsia="黑体" w:cs="Times New Roman"/>
          <w:sz w:val="21"/>
          <w:szCs w:val="32"/>
        </w:rPr>
      </w:sdtEndPr>
      <w:sdtContent>
        <w:p>
          <w:pPr>
            <w:spacing w:before="0" w:after="0" w:line="240" w:lineRule="auto"/>
            <w:ind w:left="0" w:right="0" w:firstLine="0"/>
            <w:jc w:val="center"/>
            <w:rPr>
              <w:sz w:val="52"/>
              <w:szCs w:val="52"/>
            </w:rPr>
          </w:pPr>
          <w:r>
            <w:rPr>
              <w:rFonts w:ascii="宋体" w:eastAsia="宋体"/>
              <w:sz w:val="52"/>
              <w:szCs w:val="52"/>
            </w:rPr>
            <w:t>目录</w:t>
          </w:r>
        </w:p>
        <w:p>
          <w:pPr>
            <w:pStyle w:val="18"/>
            <w:tabs>
              <w:tab w:val="right" w:leader="dot" w:pos="8306"/>
            </w:tabs>
          </w:pPr>
          <w:r>
            <w:rPr>
              <w:rFonts w:ascii="黑体" w:eastAsia="黑体" w:cs="Times New Roman"/>
              <w:sz w:val="32"/>
              <w:szCs w:val="32"/>
            </w:rPr>
            <w:fldChar w:fldCharType="begin"/>
          </w:r>
          <w:r>
            <w:rPr>
              <w:rFonts w:ascii="黑体" w:eastAsia="黑体" w:cs="Times New Roman"/>
              <w:sz w:val="32"/>
              <w:szCs w:val="32"/>
            </w:rPr>
            <w:instrText xml:space="preserve">TOC \o "1-3" \h \u </w:instrText>
          </w:r>
          <w:r>
            <w:rPr>
              <w:rFonts w:ascii="黑体" w:eastAsia="黑体" w:cs="Times New Roman"/>
              <w:sz w:val="32"/>
              <w:szCs w:val="32"/>
            </w:rPr>
            <w:fldChar w:fldCharType="separate"/>
          </w:r>
          <w:r>
            <w:rPr>
              <w:rFonts w:ascii="黑体" w:eastAsia="黑体" w:cs="Times New Roman"/>
              <w:szCs w:val="32"/>
            </w:rPr>
            <w:fldChar w:fldCharType="begin"/>
          </w:r>
          <w:r>
            <w:rPr>
              <w:rFonts w:ascii="黑体" w:eastAsia="黑体" w:cs="Times New Roman"/>
              <w:szCs w:val="32"/>
            </w:rPr>
            <w:instrText xml:space="preserve"> HYPERLINK \l _Toc17445 </w:instrText>
          </w:r>
          <w:r>
            <w:rPr>
              <w:rFonts w:ascii="黑体" w:eastAsia="黑体" w:cs="Times New Roman"/>
              <w:szCs w:val="32"/>
            </w:rPr>
            <w:fldChar w:fldCharType="separate"/>
          </w:r>
          <w:r>
            <w:rPr>
              <w:rFonts w:ascii="黑体" w:eastAsia="黑体" w:cs="黑体" w:hint="eastAsia"/>
              <w:kern w:val="2"/>
              <w:szCs w:val="32"/>
            </w:rPr>
            <w:t>一、 基本职能及主要工作</w:t>
          </w:r>
          <w:r>
            <w:tab/>
          </w:r>
          <w:r>
            <w:fldChar w:fldCharType="begin"/>
          </w:r>
          <w:r>
            <w:instrText xml:space="preserve"> PAGEREF _Toc17445 \h </w:instrText>
          </w:r>
          <w:r>
            <w:fldChar w:fldCharType="separate"/>
          </w:r>
          <w:r>
            <w:t>3</w:t>
          </w:r>
          <w:r>
            <w:fldChar w:fldCharType="end"/>
          </w:r>
          <w:r>
            <w:rPr>
              <w:rFonts w:ascii="黑体" w:eastAsia="黑体" w:cs="Times New Roman"/>
              <w:szCs w:val="32"/>
            </w:rPr>
            <w:fldChar w:fldCharType="end"/>
          </w:r>
        </w:p>
        <w:p>
          <w:pPr>
            <w:pStyle w:val="20"/>
            <w:tabs>
              <w:tab w:val="right" w:leader="dot" w:pos="8306"/>
            </w:tabs>
          </w:pPr>
          <w:r>
            <w:rPr>
              <w:rFonts w:ascii="黑体" w:eastAsia="黑体" w:cs="Times New Roman"/>
              <w:szCs w:val="32"/>
            </w:rPr>
            <w:fldChar w:fldCharType="begin"/>
          </w:r>
          <w:r>
            <w:rPr>
              <w:rFonts w:ascii="黑体" w:eastAsia="黑体" w:cs="Times New Roman"/>
              <w:szCs w:val="32"/>
            </w:rPr>
            <w:instrText xml:space="preserve"> HYPERLINK \l _Toc9878 </w:instrText>
          </w:r>
          <w:r>
            <w:rPr>
              <w:rFonts w:ascii="黑体" w:eastAsia="黑体" w:cs="Times New Roman"/>
              <w:szCs w:val="32"/>
            </w:rPr>
            <w:fldChar w:fldCharType="separate"/>
          </w:r>
          <w:r>
            <w:rPr>
              <w:rFonts w:ascii="楷体_GB2312" w:eastAsia="楷体_GB2312" w:cs="楷体_GB2312" w:hint="eastAsia"/>
              <w:bCs/>
              <w:kern w:val="2"/>
              <w:szCs w:val="32"/>
            </w:rPr>
            <w:t>（一） 应急管理局职能简介</w:t>
          </w:r>
          <w:r>
            <w:tab/>
          </w:r>
          <w:r>
            <w:fldChar w:fldCharType="begin"/>
          </w:r>
          <w:r>
            <w:instrText xml:space="preserve"> PAGEREF _Toc9878 \h </w:instrText>
          </w:r>
          <w:r>
            <w:fldChar w:fldCharType="separate"/>
          </w:r>
          <w:r>
            <w:t>3</w:t>
          </w:r>
          <w:r>
            <w:fldChar w:fldCharType="end"/>
          </w:r>
          <w:r>
            <w:rPr>
              <w:rFonts w:ascii="黑体" w:eastAsia="黑体" w:cs="Times New Roman"/>
              <w:szCs w:val="32"/>
            </w:rPr>
            <w:fldChar w:fldCharType="end"/>
          </w:r>
        </w:p>
        <w:p>
          <w:pPr>
            <w:pStyle w:val="20"/>
            <w:tabs>
              <w:tab w:val="right" w:leader="dot" w:pos="8306"/>
            </w:tabs>
          </w:pPr>
          <w:r>
            <w:rPr>
              <w:rFonts w:ascii="黑体" w:eastAsia="黑体" w:cs="Times New Roman"/>
              <w:szCs w:val="32"/>
            </w:rPr>
            <w:fldChar w:fldCharType="begin"/>
          </w:r>
          <w:r>
            <w:rPr>
              <w:rFonts w:ascii="黑体" w:eastAsia="黑体" w:cs="Times New Roman"/>
              <w:szCs w:val="32"/>
            </w:rPr>
            <w:instrText xml:space="preserve"> HYPERLINK \l _Toc29052 </w:instrText>
          </w:r>
          <w:r>
            <w:rPr>
              <w:rFonts w:ascii="黑体" w:eastAsia="黑体" w:cs="Times New Roman"/>
              <w:szCs w:val="32"/>
            </w:rPr>
            <w:fldChar w:fldCharType="separate"/>
          </w:r>
          <w:r>
            <w:rPr>
              <w:rFonts w:ascii="仿宋_GB2312" w:eastAsia="仿宋_GB2312" w:cs="仿宋_GB2312" w:hint="eastAsia"/>
              <w:bCs/>
              <w:kern w:val="2"/>
              <w:szCs w:val="32"/>
            </w:rPr>
            <w:t>（二） 应急管理局202</w:t>
          </w:r>
          <w:r>
            <w:rPr>
              <w:rFonts w:cs="仿宋_GB2312" w:hint="eastAsia"/>
              <w:bCs/>
              <w:kern w:val="2"/>
              <w:szCs w:val="32"/>
              <w:lang w:val="en-US" w:eastAsia="zh-CN"/>
            </w:rPr>
            <w:t>2</w:t>
          </w:r>
          <w:r>
            <w:rPr>
              <w:rFonts w:ascii="仿宋_GB2312" w:eastAsia="仿宋_GB2312" w:cs="仿宋_GB2312" w:hint="eastAsia"/>
              <w:bCs/>
              <w:kern w:val="2"/>
              <w:szCs w:val="32"/>
            </w:rPr>
            <w:t>年重点工作</w:t>
          </w:r>
          <w:r>
            <w:tab/>
          </w:r>
          <w:r>
            <w:fldChar w:fldCharType="begin"/>
          </w:r>
          <w:r>
            <w:instrText xml:space="preserve"> PAGEREF _Toc29052 \h </w:instrText>
          </w:r>
          <w:r>
            <w:fldChar w:fldCharType="separate"/>
          </w:r>
          <w:r>
            <w:t>5</w:t>
          </w:r>
          <w:r>
            <w:fldChar w:fldCharType="end"/>
          </w:r>
          <w:r>
            <w:rPr>
              <w:rFonts w:ascii="黑体" w:eastAsia="黑体" w:cs="Times New Roman"/>
              <w:szCs w:val="32"/>
            </w:rPr>
            <w:fldChar w:fldCharType="end"/>
          </w:r>
        </w:p>
        <w:p>
          <w:pPr>
            <w:pStyle w:val="18"/>
            <w:tabs>
              <w:tab w:val="right" w:leader="dot" w:pos="8306"/>
            </w:tabs>
          </w:pPr>
          <w:r>
            <w:rPr>
              <w:rFonts w:ascii="黑体" w:eastAsia="黑体" w:cs="Times New Roman"/>
              <w:szCs w:val="32"/>
            </w:rPr>
            <w:fldChar w:fldCharType="begin"/>
          </w:r>
          <w:r>
            <w:rPr>
              <w:rFonts w:ascii="黑体" w:eastAsia="黑体" w:cs="Times New Roman"/>
              <w:szCs w:val="32"/>
            </w:rPr>
            <w:instrText xml:space="preserve"> HYPERLINK \l _Toc10062 </w:instrText>
          </w:r>
          <w:r>
            <w:rPr>
              <w:rFonts w:ascii="黑体" w:eastAsia="黑体" w:cs="Times New Roman"/>
              <w:szCs w:val="32"/>
            </w:rPr>
            <w:fldChar w:fldCharType="separate"/>
          </w:r>
          <w:r>
            <w:rPr>
              <w:rFonts w:ascii="黑体" w:eastAsia="黑体" w:cs="黑体" w:hint="eastAsia"/>
              <w:szCs w:val="32"/>
            </w:rPr>
            <w:t>二、预算单位构成</w:t>
          </w:r>
          <w:r>
            <w:tab/>
          </w:r>
          <w:r>
            <w:fldChar w:fldCharType="begin"/>
          </w:r>
          <w:r>
            <w:instrText xml:space="preserve"> PAGEREF _Toc10062 \h </w:instrText>
          </w:r>
          <w:r>
            <w:fldChar w:fldCharType="separate"/>
          </w:r>
          <w:r>
            <w:t>6</w:t>
          </w:r>
          <w:r>
            <w:fldChar w:fldCharType="end"/>
          </w:r>
          <w:r>
            <w:rPr>
              <w:rFonts w:ascii="黑体" w:eastAsia="黑体" w:cs="Times New Roman"/>
              <w:szCs w:val="32"/>
            </w:rPr>
            <w:fldChar w:fldCharType="end"/>
          </w:r>
        </w:p>
        <w:p>
          <w:pPr>
            <w:pStyle w:val="18"/>
            <w:tabs>
              <w:tab w:val="right" w:leader="dot" w:pos="8306"/>
            </w:tabs>
          </w:pPr>
          <w:r>
            <w:rPr>
              <w:rFonts w:ascii="黑体" w:eastAsia="黑体" w:cs="Times New Roman"/>
              <w:szCs w:val="32"/>
            </w:rPr>
            <w:fldChar w:fldCharType="begin"/>
          </w:r>
          <w:r>
            <w:rPr>
              <w:rFonts w:ascii="黑体" w:eastAsia="黑体" w:cs="Times New Roman"/>
              <w:szCs w:val="32"/>
            </w:rPr>
            <w:instrText xml:space="preserve"> HYPERLINK \l _Toc15037 </w:instrText>
          </w:r>
          <w:r>
            <w:rPr>
              <w:rFonts w:ascii="黑体" w:eastAsia="黑体" w:cs="Times New Roman"/>
              <w:szCs w:val="32"/>
            </w:rPr>
            <w:fldChar w:fldCharType="separate"/>
          </w:r>
          <w:r>
            <w:rPr>
              <w:rFonts w:ascii="楷体_GB2312" w:eastAsia="楷体_GB2312" w:cs="楷体_GB2312" w:hint="eastAsia"/>
              <w:bCs/>
              <w:kern w:val="2"/>
              <w:szCs w:val="32"/>
            </w:rPr>
            <w:t xml:space="preserve">二、 </w:t>
          </w:r>
          <w:r>
            <w:rPr>
              <w:rFonts w:ascii="黑体" w:eastAsia="黑体" w:cs="黑体" w:hint="eastAsia"/>
              <w:kern w:val="2"/>
              <w:szCs w:val="32"/>
            </w:rPr>
            <w:t>收支预算情况说</w:t>
          </w:r>
          <w:r>
            <w:rPr>
              <w:rFonts w:ascii="黑体" w:eastAsia="黑体" w:cs="黑体" w:hint="eastAsia"/>
              <w:kern w:val="2"/>
              <w:szCs w:val="32"/>
              <w:lang w:val="en-US" w:eastAsia="zh-CN"/>
            </w:rPr>
            <w:t>明</w:t>
          </w:r>
          <w:r>
            <w:tab/>
          </w:r>
          <w:r>
            <w:fldChar w:fldCharType="begin"/>
          </w:r>
          <w:r>
            <w:instrText xml:space="preserve"> PAGEREF _Toc15037 \h </w:instrText>
          </w:r>
          <w:r>
            <w:fldChar w:fldCharType="separate"/>
          </w:r>
          <w:r>
            <w:t>6</w:t>
          </w:r>
          <w:r>
            <w:fldChar w:fldCharType="end"/>
          </w:r>
          <w:r>
            <w:rPr>
              <w:rFonts w:ascii="黑体" w:eastAsia="黑体" w:cs="Times New Roman"/>
              <w:szCs w:val="32"/>
            </w:rPr>
            <w:fldChar w:fldCharType="end"/>
          </w:r>
        </w:p>
        <w:p>
          <w:pPr>
            <w:pStyle w:val="20"/>
            <w:tabs>
              <w:tab w:val="right" w:leader="dot" w:pos="8306"/>
            </w:tabs>
          </w:pPr>
          <w:r>
            <w:rPr>
              <w:rFonts w:ascii="黑体" w:eastAsia="黑体" w:cs="Times New Roman"/>
              <w:szCs w:val="32"/>
            </w:rPr>
            <w:fldChar w:fldCharType="begin"/>
          </w:r>
          <w:r>
            <w:rPr>
              <w:rFonts w:ascii="黑体" w:eastAsia="黑体" w:cs="Times New Roman"/>
              <w:szCs w:val="32"/>
            </w:rPr>
            <w:instrText xml:space="preserve"> HYPERLINK \l _Toc14446 </w:instrText>
          </w:r>
          <w:r>
            <w:rPr>
              <w:rFonts w:ascii="黑体" w:eastAsia="黑体" w:cs="Times New Roman"/>
              <w:szCs w:val="32"/>
            </w:rPr>
            <w:fldChar w:fldCharType="separate"/>
          </w:r>
          <w:r>
            <w:rPr>
              <w:rFonts w:ascii="楷体_GB2312" w:eastAsia="楷体_GB2312" w:cs="楷体_GB2312" w:hint="eastAsia"/>
              <w:bCs/>
              <w:kern w:val="2"/>
              <w:szCs w:val="32"/>
            </w:rPr>
            <w:t>（一）收入预算情况</w:t>
          </w:r>
          <w:r>
            <w:tab/>
          </w:r>
          <w:r>
            <w:fldChar w:fldCharType="begin"/>
          </w:r>
          <w:r>
            <w:instrText xml:space="preserve"> PAGEREF _Toc14446 \h </w:instrText>
          </w:r>
          <w:r>
            <w:fldChar w:fldCharType="separate"/>
          </w:r>
          <w:r>
            <w:t>7</w:t>
          </w:r>
          <w:r>
            <w:fldChar w:fldCharType="end"/>
          </w:r>
          <w:r>
            <w:rPr>
              <w:rFonts w:ascii="黑体" w:eastAsia="黑体" w:cs="Times New Roman"/>
              <w:szCs w:val="32"/>
            </w:rPr>
            <w:fldChar w:fldCharType="end"/>
          </w:r>
        </w:p>
        <w:p>
          <w:pPr>
            <w:pStyle w:val="20"/>
            <w:tabs>
              <w:tab w:val="right" w:leader="dot" w:pos="8306"/>
            </w:tabs>
          </w:pPr>
          <w:r>
            <w:rPr>
              <w:rFonts w:ascii="黑体" w:eastAsia="黑体" w:cs="Times New Roman"/>
              <w:szCs w:val="32"/>
            </w:rPr>
            <w:fldChar w:fldCharType="begin"/>
          </w:r>
          <w:r>
            <w:rPr>
              <w:rFonts w:ascii="黑体" w:eastAsia="黑体" w:cs="Times New Roman"/>
              <w:szCs w:val="32"/>
            </w:rPr>
            <w:instrText xml:space="preserve"> HYPERLINK \l _Toc21328 </w:instrText>
          </w:r>
          <w:r>
            <w:rPr>
              <w:rFonts w:ascii="黑体" w:eastAsia="黑体" w:cs="Times New Roman"/>
              <w:szCs w:val="32"/>
            </w:rPr>
            <w:fldChar w:fldCharType="separate"/>
          </w:r>
          <w:r>
            <w:rPr>
              <w:rFonts w:hint="eastAsia"/>
              <w:bCs/>
              <w:kern w:val="2"/>
              <w:szCs w:val="32"/>
              <w:lang w:eastAsia="zh-CN"/>
            </w:rPr>
            <w:t>（</w:t>
          </w:r>
          <w:r>
            <w:rPr>
              <w:rFonts w:hint="eastAsia"/>
              <w:bCs/>
              <w:kern w:val="2"/>
              <w:szCs w:val="32"/>
              <w:lang w:val="en-US" w:eastAsia="zh-CN"/>
            </w:rPr>
            <w:t>二）</w:t>
          </w:r>
          <w:r>
            <w:rPr>
              <w:rFonts w:hint="eastAsia"/>
              <w:bCs/>
              <w:kern w:val="2"/>
              <w:szCs w:val="32"/>
            </w:rPr>
            <w:t>支出预算情况</w:t>
          </w:r>
          <w:r>
            <w:tab/>
          </w:r>
          <w:r>
            <w:fldChar w:fldCharType="begin"/>
          </w:r>
          <w:r>
            <w:instrText xml:space="preserve"> PAGEREF _Toc21328 \h </w:instrText>
          </w:r>
          <w:r>
            <w:fldChar w:fldCharType="separate"/>
          </w:r>
          <w:r>
            <w:t>7</w:t>
          </w:r>
          <w:r>
            <w:fldChar w:fldCharType="end"/>
          </w:r>
          <w:r>
            <w:rPr>
              <w:rFonts w:ascii="黑体" w:eastAsia="黑体" w:cs="Times New Roman"/>
              <w:szCs w:val="32"/>
            </w:rPr>
            <w:fldChar w:fldCharType="end"/>
          </w:r>
        </w:p>
        <w:p>
          <w:pPr>
            <w:pStyle w:val="18"/>
            <w:tabs>
              <w:tab w:val="right" w:leader="dot" w:pos="8306"/>
            </w:tabs>
          </w:pPr>
          <w:r>
            <w:rPr>
              <w:rFonts w:ascii="黑体" w:eastAsia="黑体" w:cs="Times New Roman"/>
              <w:szCs w:val="32"/>
            </w:rPr>
            <w:fldChar w:fldCharType="begin"/>
          </w:r>
          <w:r>
            <w:rPr>
              <w:rFonts w:ascii="黑体" w:eastAsia="黑体" w:cs="Times New Roman"/>
              <w:szCs w:val="32"/>
            </w:rPr>
            <w:instrText xml:space="preserve"> HYPERLINK \l _Toc21242 </w:instrText>
          </w:r>
          <w:r>
            <w:rPr>
              <w:rFonts w:ascii="黑体" w:eastAsia="黑体" w:cs="Times New Roman"/>
              <w:szCs w:val="32"/>
            </w:rPr>
            <w:fldChar w:fldCharType="separate"/>
          </w:r>
          <w:r>
            <w:rPr>
              <w:kern w:val="2"/>
              <w:szCs w:val="32"/>
              <w:lang w:val="en-US" w:eastAsia="zh-CN"/>
            </w:rPr>
            <w:t xml:space="preserve">一、 </w:t>
          </w:r>
          <w:r>
            <w:rPr>
              <w:rFonts w:ascii="黑体" w:eastAsia="黑体" w:cs="黑体" w:hint="eastAsia"/>
              <w:kern w:val="2"/>
              <w:szCs w:val="32"/>
            </w:rPr>
            <w:t>财政拨款收支预算情况说明</w:t>
          </w:r>
          <w:r>
            <w:tab/>
          </w:r>
          <w:r>
            <w:fldChar w:fldCharType="begin"/>
          </w:r>
          <w:r>
            <w:instrText xml:space="preserve"> PAGEREF _Toc21242 \h </w:instrText>
          </w:r>
          <w:r>
            <w:fldChar w:fldCharType="separate"/>
          </w:r>
          <w:r>
            <w:t>7</w:t>
          </w:r>
          <w:r>
            <w:fldChar w:fldCharType="end"/>
          </w:r>
          <w:r>
            <w:rPr>
              <w:rFonts w:ascii="黑体" w:eastAsia="黑体" w:cs="Times New Roman"/>
              <w:szCs w:val="32"/>
            </w:rPr>
            <w:fldChar w:fldCharType="end"/>
          </w:r>
        </w:p>
        <w:p>
          <w:pPr>
            <w:pStyle w:val="18"/>
            <w:tabs>
              <w:tab w:val="right" w:leader="dot" w:pos="8306"/>
            </w:tabs>
          </w:pPr>
          <w:r>
            <w:rPr>
              <w:rFonts w:ascii="黑体" w:eastAsia="黑体" w:cs="Times New Roman"/>
              <w:szCs w:val="32"/>
            </w:rPr>
            <w:fldChar w:fldCharType="begin"/>
          </w:r>
          <w:r>
            <w:rPr>
              <w:rFonts w:ascii="黑体" w:eastAsia="黑体" w:cs="Times New Roman"/>
              <w:szCs w:val="32"/>
            </w:rPr>
            <w:instrText xml:space="preserve"> HYPERLINK \l _Toc32381 </w:instrText>
          </w:r>
          <w:r>
            <w:rPr>
              <w:rFonts w:ascii="黑体" w:eastAsia="黑体" w:cs="Times New Roman"/>
              <w:szCs w:val="32"/>
            </w:rPr>
            <w:fldChar w:fldCharType="separate"/>
          </w:r>
          <w:r>
            <w:rPr>
              <w:rFonts w:ascii="黑体" w:eastAsia="黑体" w:cs="黑体"/>
              <w:kern w:val="2"/>
              <w:szCs w:val="32"/>
            </w:rPr>
            <w:t xml:space="preserve">二、 </w:t>
          </w:r>
          <w:r>
            <w:rPr>
              <w:rFonts w:ascii="黑体" w:eastAsia="黑体" w:cs="黑体" w:hint="eastAsia"/>
              <w:kern w:val="2"/>
              <w:szCs w:val="32"/>
            </w:rPr>
            <w:t>一般公共预算当年拨款情况说明</w:t>
          </w:r>
          <w:r>
            <w:tab/>
          </w:r>
          <w:r>
            <w:fldChar w:fldCharType="begin"/>
          </w:r>
          <w:r>
            <w:instrText xml:space="preserve"> PAGEREF _Toc32381 \h </w:instrText>
          </w:r>
          <w:r>
            <w:fldChar w:fldCharType="separate"/>
          </w:r>
          <w:r>
            <w:t>7</w:t>
          </w:r>
          <w:r>
            <w:fldChar w:fldCharType="end"/>
          </w:r>
          <w:r>
            <w:rPr>
              <w:rFonts w:ascii="黑体" w:eastAsia="黑体" w:cs="Times New Roman"/>
              <w:szCs w:val="32"/>
            </w:rPr>
            <w:fldChar w:fldCharType="end"/>
          </w:r>
        </w:p>
        <w:p>
          <w:pPr>
            <w:pStyle w:val="20"/>
            <w:tabs>
              <w:tab w:val="right" w:leader="dot" w:pos="8306"/>
            </w:tabs>
          </w:pPr>
          <w:r>
            <w:rPr>
              <w:rFonts w:ascii="黑体" w:eastAsia="黑体" w:cs="Times New Roman"/>
              <w:szCs w:val="32"/>
            </w:rPr>
            <w:fldChar w:fldCharType="begin"/>
          </w:r>
          <w:r>
            <w:rPr>
              <w:rFonts w:ascii="黑体" w:eastAsia="黑体" w:cs="Times New Roman"/>
              <w:szCs w:val="32"/>
            </w:rPr>
            <w:instrText xml:space="preserve"> HYPERLINK \l _Toc27172 </w:instrText>
          </w:r>
          <w:r>
            <w:rPr>
              <w:rFonts w:ascii="黑体" w:eastAsia="黑体" w:cs="Times New Roman"/>
              <w:szCs w:val="32"/>
            </w:rPr>
            <w:fldChar w:fldCharType="separate"/>
          </w:r>
          <w:r>
            <w:rPr>
              <w:rFonts w:ascii="仿宋_GB2312" w:eastAsia="仿宋_GB2312" w:cs="仿宋_GB2312" w:hint="eastAsia"/>
              <w:bCs/>
              <w:kern w:val="2"/>
              <w:szCs w:val="32"/>
            </w:rPr>
            <w:t>（一） 一般公共预算当年拨款规模变化情况</w:t>
          </w:r>
          <w:r>
            <w:tab/>
          </w:r>
          <w:r>
            <w:fldChar w:fldCharType="begin"/>
          </w:r>
          <w:r>
            <w:instrText xml:space="preserve"> PAGEREF _Toc27172 \h </w:instrText>
          </w:r>
          <w:r>
            <w:fldChar w:fldCharType="separate"/>
          </w:r>
          <w:r>
            <w:t>7</w:t>
          </w:r>
          <w:r>
            <w:fldChar w:fldCharType="end"/>
          </w:r>
          <w:r>
            <w:rPr>
              <w:rFonts w:ascii="黑体" w:eastAsia="黑体" w:cs="Times New Roman"/>
              <w:szCs w:val="32"/>
            </w:rPr>
            <w:fldChar w:fldCharType="end"/>
          </w:r>
        </w:p>
        <w:p>
          <w:pPr>
            <w:pStyle w:val="20"/>
            <w:tabs>
              <w:tab w:val="right" w:leader="dot" w:pos="8306"/>
            </w:tabs>
          </w:pPr>
          <w:r>
            <w:rPr>
              <w:rFonts w:ascii="黑体" w:eastAsia="黑体" w:cs="Times New Roman"/>
              <w:szCs w:val="32"/>
            </w:rPr>
            <w:fldChar w:fldCharType="begin"/>
          </w:r>
          <w:r>
            <w:rPr>
              <w:rFonts w:ascii="黑体" w:eastAsia="黑体" w:cs="Times New Roman"/>
              <w:szCs w:val="32"/>
            </w:rPr>
            <w:instrText xml:space="preserve"> HYPERLINK \l _Toc21389 </w:instrText>
          </w:r>
          <w:r>
            <w:rPr>
              <w:rFonts w:ascii="黑体" w:eastAsia="黑体" w:cs="Times New Roman"/>
              <w:szCs w:val="32"/>
            </w:rPr>
            <w:fldChar w:fldCharType="separate"/>
          </w:r>
          <w:r>
            <w:rPr>
              <w:rFonts w:ascii="仿宋_GB2312" w:eastAsia="仿宋_GB2312" w:cs="仿宋_GB2312" w:hint="eastAsia"/>
              <w:bCs/>
              <w:kern w:val="2"/>
              <w:szCs w:val="32"/>
            </w:rPr>
            <w:t>（二） 一般公共预算当年拨款结构情况</w:t>
          </w:r>
          <w:r>
            <w:tab/>
          </w:r>
          <w:r>
            <w:fldChar w:fldCharType="begin"/>
          </w:r>
          <w:r>
            <w:instrText xml:space="preserve"> PAGEREF _Toc21389 \h </w:instrText>
          </w:r>
          <w:r>
            <w:fldChar w:fldCharType="separate"/>
          </w:r>
          <w:r>
            <w:t>7</w:t>
          </w:r>
          <w:r>
            <w:fldChar w:fldCharType="end"/>
          </w:r>
          <w:r>
            <w:rPr>
              <w:rFonts w:ascii="黑体" w:eastAsia="黑体" w:cs="Times New Roman"/>
              <w:szCs w:val="32"/>
            </w:rPr>
            <w:fldChar w:fldCharType="end"/>
          </w:r>
        </w:p>
        <w:p>
          <w:pPr>
            <w:pStyle w:val="20"/>
            <w:tabs>
              <w:tab w:val="right" w:leader="dot" w:pos="8306"/>
            </w:tabs>
          </w:pPr>
          <w:r>
            <w:rPr>
              <w:rFonts w:ascii="黑体" w:eastAsia="黑体" w:cs="Times New Roman"/>
              <w:szCs w:val="32"/>
            </w:rPr>
            <w:fldChar w:fldCharType="begin"/>
          </w:r>
          <w:r>
            <w:rPr>
              <w:rFonts w:ascii="黑体" w:eastAsia="黑体" w:cs="Times New Roman"/>
              <w:szCs w:val="32"/>
            </w:rPr>
            <w:instrText xml:space="preserve"> HYPERLINK \l _Toc28009 </w:instrText>
          </w:r>
          <w:r>
            <w:rPr>
              <w:rFonts w:ascii="黑体" w:eastAsia="黑体" w:cs="Times New Roman"/>
              <w:szCs w:val="32"/>
            </w:rPr>
            <w:fldChar w:fldCharType="separate"/>
          </w:r>
          <w:r>
            <w:rPr>
              <w:rFonts w:ascii="仿宋_GB2312" w:eastAsia="仿宋_GB2312" w:cs="仿宋_GB2312" w:hint="eastAsia"/>
              <w:bCs/>
              <w:kern w:val="2"/>
              <w:szCs w:val="32"/>
            </w:rPr>
            <w:t>（三） 一般公共预算当年拨款具体使用情况</w:t>
          </w:r>
          <w:r>
            <w:tab/>
          </w:r>
          <w:r>
            <w:fldChar w:fldCharType="begin"/>
          </w:r>
          <w:r>
            <w:instrText xml:space="preserve"> PAGEREF _Toc28009 \h </w:instrText>
          </w:r>
          <w:r>
            <w:fldChar w:fldCharType="separate"/>
          </w:r>
          <w:r>
            <w:t>8</w:t>
          </w:r>
          <w:r>
            <w:fldChar w:fldCharType="end"/>
          </w:r>
          <w:r>
            <w:rPr>
              <w:rFonts w:ascii="黑体" w:eastAsia="黑体" w:cs="Times New Roman"/>
              <w:szCs w:val="32"/>
            </w:rPr>
            <w:fldChar w:fldCharType="end"/>
          </w:r>
        </w:p>
        <w:p>
          <w:pPr>
            <w:pStyle w:val="18"/>
            <w:tabs>
              <w:tab w:val="right" w:leader="dot" w:pos="8306"/>
            </w:tabs>
          </w:pPr>
          <w:r>
            <w:rPr>
              <w:rFonts w:ascii="黑体" w:eastAsia="黑体" w:cs="Times New Roman"/>
              <w:szCs w:val="32"/>
            </w:rPr>
            <w:fldChar w:fldCharType="begin"/>
          </w:r>
          <w:r>
            <w:rPr>
              <w:rFonts w:ascii="黑体" w:eastAsia="黑体" w:cs="Times New Roman"/>
              <w:szCs w:val="32"/>
            </w:rPr>
            <w:instrText xml:space="preserve"> HYPERLINK \l _Toc19450 </w:instrText>
          </w:r>
          <w:r>
            <w:rPr>
              <w:rFonts w:ascii="黑体" w:eastAsia="黑体" w:cs="Times New Roman"/>
              <w:szCs w:val="32"/>
            </w:rPr>
            <w:fldChar w:fldCharType="separate"/>
          </w:r>
          <w:r>
            <w:rPr>
              <w:rFonts w:ascii="黑体" w:eastAsia="黑体" w:cs="黑体" w:hint="eastAsia"/>
              <w:kern w:val="2"/>
              <w:szCs w:val="32"/>
            </w:rPr>
            <w:t>六、一般公共预算基本支出情况说明</w:t>
          </w:r>
          <w:r>
            <w:tab/>
          </w:r>
          <w:r>
            <w:fldChar w:fldCharType="begin"/>
          </w:r>
          <w:r>
            <w:instrText xml:space="preserve"> PAGEREF _Toc19450 \h </w:instrText>
          </w:r>
          <w:r>
            <w:fldChar w:fldCharType="separate"/>
          </w:r>
          <w:r>
            <w:t>8</w:t>
          </w:r>
          <w:r>
            <w:fldChar w:fldCharType="end"/>
          </w:r>
          <w:r>
            <w:rPr>
              <w:rFonts w:ascii="黑体" w:eastAsia="黑体" w:cs="Times New Roman"/>
              <w:szCs w:val="32"/>
            </w:rPr>
            <w:fldChar w:fldCharType="end"/>
          </w:r>
        </w:p>
        <w:p>
          <w:pPr>
            <w:pStyle w:val="18"/>
            <w:tabs>
              <w:tab w:val="right" w:leader="dot" w:pos="8306"/>
            </w:tabs>
          </w:pPr>
          <w:r>
            <w:rPr>
              <w:rFonts w:ascii="黑体" w:eastAsia="黑体" w:cs="Times New Roman"/>
              <w:szCs w:val="32"/>
            </w:rPr>
            <w:fldChar w:fldCharType="begin"/>
          </w:r>
          <w:r>
            <w:rPr>
              <w:rFonts w:ascii="黑体" w:eastAsia="黑体" w:cs="Times New Roman"/>
              <w:szCs w:val="32"/>
            </w:rPr>
            <w:instrText xml:space="preserve"> HYPERLINK \l _Toc24710 </w:instrText>
          </w:r>
          <w:r>
            <w:rPr>
              <w:rFonts w:ascii="黑体" w:eastAsia="黑体" w:cs="Times New Roman"/>
              <w:szCs w:val="32"/>
            </w:rPr>
            <w:fldChar w:fldCharType="separate"/>
          </w:r>
          <w:r>
            <w:rPr>
              <w:rFonts w:ascii="黑体" w:eastAsia="黑体" w:cs="黑体" w:hint="eastAsia"/>
              <w:kern w:val="2"/>
              <w:szCs w:val="32"/>
            </w:rPr>
            <w:t xml:space="preserve">七、 </w:t>
          </w:r>
          <w:r>
            <w:rPr>
              <w:rFonts w:ascii="黑体" w:eastAsia="黑体" w:cs="Times New Roman"/>
              <w:kern w:val="2"/>
              <w:szCs w:val="32"/>
            </w:rPr>
            <w:t>“</w:t>
          </w:r>
          <w:r>
            <w:rPr>
              <w:rFonts w:ascii="黑体" w:eastAsia="黑体" w:cs="黑体" w:hint="eastAsia"/>
              <w:kern w:val="2"/>
              <w:szCs w:val="32"/>
            </w:rPr>
            <w:t>三公</w:t>
          </w:r>
          <w:r>
            <w:rPr>
              <w:rFonts w:ascii="黑体" w:eastAsia="黑体" w:cs="Times New Roman"/>
              <w:kern w:val="2"/>
              <w:szCs w:val="32"/>
            </w:rPr>
            <w:t>”</w:t>
          </w:r>
          <w:r>
            <w:rPr>
              <w:rFonts w:ascii="黑体" w:eastAsia="黑体" w:cs="黑体" w:hint="eastAsia"/>
              <w:kern w:val="2"/>
              <w:szCs w:val="32"/>
            </w:rPr>
            <w:t>经费财政拨款预算安排情况说明</w:t>
          </w:r>
          <w:r>
            <w:tab/>
          </w:r>
          <w:r>
            <w:fldChar w:fldCharType="begin"/>
          </w:r>
          <w:r>
            <w:instrText xml:space="preserve"> PAGEREF _Toc24710 \h </w:instrText>
          </w:r>
          <w:r>
            <w:fldChar w:fldCharType="separate"/>
          </w:r>
          <w:r>
            <w:t>9</w:t>
          </w:r>
          <w:r>
            <w:fldChar w:fldCharType="end"/>
          </w:r>
          <w:r>
            <w:rPr>
              <w:rFonts w:ascii="黑体" w:eastAsia="黑体" w:cs="Times New Roman"/>
              <w:szCs w:val="32"/>
            </w:rPr>
            <w:fldChar w:fldCharType="end"/>
          </w:r>
        </w:p>
        <w:p>
          <w:pPr>
            <w:pStyle w:val="18"/>
            <w:tabs>
              <w:tab w:val="right" w:leader="dot" w:pos="8306"/>
            </w:tabs>
          </w:pPr>
          <w:r>
            <w:rPr>
              <w:rFonts w:ascii="黑体" w:eastAsia="黑体" w:cs="Times New Roman"/>
              <w:szCs w:val="32"/>
            </w:rPr>
            <w:fldChar w:fldCharType="begin"/>
          </w:r>
          <w:r>
            <w:rPr>
              <w:rFonts w:ascii="黑体" w:eastAsia="黑体" w:cs="Times New Roman"/>
              <w:szCs w:val="32"/>
            </w:rPr>
            <w:instrText xml:space="preserve"> HYPERLINK \l _Toc13331 </w:instrText>
          </w:r>
          <w:r>
            <w:rPr>
              <w:rFonts w:ascii="黑体" w:eastAsia="黑体" w:cs="Times New Roman"/>
              <w:szCs w:val="32"/>
            </w:rPr>
            <w:fldChar w:fldCharType="separate"/>
          </w:r>
          <w:r>
            <w:rPr>
              <w:rFonts w:ascii="黑体" w:eastAsia="黑体" w:cs="黑体" w:hint="eastAsia"/>
              <w:kern w:val="2"/>
              <w:szCs w:val="32"/>
              <w:lang w:val="en-US" w:eastAsia="zh-CN"/>
            </w:rPr>
            <w:t xml:space="preserve">八、 </w:t>
          </w:r>
          <w:r>
            <w:rPr>
              <w:rFonts w:ascii="黑体" w:eastAsia="黑体" w:cs="黑体" w:hint="eastAsia"/>
              <w:kern w:val="2"/>
              <w:szCs w:val="32"/>
            </w:rPr>
            <w:t>政府性基金预算支出情况说</w:t>
          </w:r>
          <w:r>
            <w:rPr>
              <w:rFonts w:ascii="黑体" w:eastAsia="黑体" w:cs="黑体" w:hint="eastAsia"/>
              <w:kern w:val="2"/>
              <w:szCs w:val="32"/>
              <w:lang w:val="en-US" w:eastAsia="zh-CN"/>
            </w:rPr>
            <w:t>明</w:t>
          </w:r>
          <w:r>
            <w:tab/>
          </w:r>
          <w:r>
            <w:fldChar w:fldCharType="begin"/>
          </w:r>
          <w:r>
            <w:instrText xml:space="preserve"> PAGEREF _Toc13331 \h </w:instrText>
          </w:r>
          <w:r>
            <w:fldChar w:fldCharType="separate"/>
          </w:r>
          <w:r>
            <w:t>9</w:t>
          </w:r>
          <w:r>
            <w:fldChar w:fldCharType="end"/>
          </w:r>
          <w:r>
            <w:rPr>
              <w:rFonts w:ascii="黑体" w:eastAsia="黑体" w:cs="Times New Roman"/>
              <w:szCs w:val="32"/>
            </w:rPr>
            <w:fldChar w:fldCharType="end"/>
          </w:r>
        </w:p>
        <w:p>
          <w:pPr>
            <w:pStyle w:val="18"/>
            <w:tabs>
              <w:tab w:val="right" w:leader="dot" w:pos="8306"/>
            </w:tabs>
          </w:pPr>
          <w:r>
            <w:rPr>
              <w:rFonts w:ascii="黑体" w:eastAsia="黑体" w:cs="Times New Roman"/>
              <w:szCs w:val="32"/>
            </w:rPr>
            <w:fldChar w:fldCharType="begin"/>
          </w:r>
          <w:r>
            <w:rPr>
              <w:rFonts w:ascii="黑体" w:eastAsia="黑体" w:cs="Times New Roman"/>
              <w:szCs w:val="32"/>
            </w:rPr>
            <w:instrText xml:space="preserve"> HYPERLINK \l _Toc24587 </w:instrText>
          </w:r>
          <w:r>
            <w:rPr>
              <w:rFonts w:ascii="黑体" w:eastAsia="黑体" w:cs="Times New Roman"/>
              <w:szCs w:val="32"/>
            </w:rPr>
            <w:fldChar w:fldCharType="separate"/>
          </w:r>
          <w:r>
            <w:rPr>
              <w:rFonts w:ascii="黑体" w:eastAsia="黑体" w:cs="黑体" w:hint="eastAsia"/>
              <w:kern w:val="2"/>
              <w:szCs w:val="32"/>
            </w:rPr>
            <w:t>九、 其他重要事项的情况说明</w:t>
          </w:r>
          <w:r>
            <w:tab/>
          </w:r>
          <w:r>
            <w:fldChar w:fldCharType="begin"/>
          </w:r>
          <w:r>
            <w:instrText xml:space="preserve"> PAGEREF _Toc24587 \h </w:instrText>
          </w:r>
          <w:r>
            <w:fldChar w:fldCharType="separate"/>
          </w:r>
          <w:r>
            <w:t>9</w:t>
          </w:r>
          <w:r>
            <w:fldChar w:fldCharType="end"/>
          </w:r>
          <w:r>
            <w:rPr>
              <w:rFonts w:ascii="黑体" w:eastAsia="黑体" w:cs="Times New Roman"/>
              <w:szCs w:val="32"/>
            </w:rPr>
            <w:fldChar w:fldCharType="end"/>
          </w:r>
        </w:p>
        <w:p>
          <w:pPr>
            <w:pStyle w:val="20"/>
            <w:tabs>
              <w:tab w:val="right" w:leader="dot" w:pos="8306"/>
            </w:tabs>
          </w:pPr>
          <w:r>
            <w:rPr>
              <w:rFonts w:ascii="黑体" w:eastAsia="黑体" w:cs="Times New Roman"/>
              <w:szCs w:val="32"/>
            </w:rPr>
            <w:fldChar w:fldCharType="begin"/>
          </w:r>
          <w:r>
            <w:rPr>
              <w:rFonts w:ascii="黑体" w:eastAsia="黑体" w:cs="Times New Roman"/>
              <w:szCs w:val="32"/>
            </w:rPr>
            <w:instrText xml:space="preserve"> HYPERLINK \l _Toc6586 </w:instrText>
          </w:r>
          <w:r>
            <w:rPr>
              <w:rFonts w:ascii="黑体" w:eastAsia="黑体" w:cs="Times New Roman"/>
              <w:szCs w:val="32"/>
            </w:rPr>
            <w:fldChar w:fldCharType="separate"/>
          </w:r>
          <w:r>
            <w:rPr>
              <w:rFonts w:cs="仿宋_GB2312" w:hint="eastAsia"/>
              <w:bCs/>
              <w:kern w:val="2"/>
              <w:szCs w:val="32"/>
              <w:lang w:val="en-US" w:eastAsia="zh-CN"/>
            </w:rPr>
            <w:t xml:space="preserve">（一） </w:t>
          </w:r>
          <w:r>
            <w:rPr>
              <w:rFonts w:ascii="仿宋_GB2312" w:eastAsia="仿宋_GB2312" w:cs="仿宋_GB2312" w:hint="eastAsia"/>
              <w:bCs/>
              <w:kern w:val="2"/>
              <w:szCs w:val="32"/>
            </w:rPr>
            <w:t>机关运行经</w:t>
          </w:r>
          <w:r>
            <w:rPr>
              <w:rFonts w:cs="仿宋_GB2312" w:hint="eastAsia"/>
              <w:bCs/>
              <w:kern w:val="2"/>
              <w:szCs w:val="32"/>
              <w:lang w:val="en-US" w:eastAsia="zh-CN"/>
            </w:rPr>
            <w:t>费</w:t>
          </w:r>
          <w:r>
            <w:tab/>
          </w:r>
          <w:r>
            <w:fldChar w:fldCharType="begin"/>
          </w:r>
          <w:r>
            <w:instrText xml:space="preserve"> PAGEREF _Toc6586 \h </w:instrText>
          </w:r>
          <w:r>
            <w:fldChar w:fldCharType="separate"/>
          </w:r>
          <w:r>
            <w:t>9</w:t>
          </w:r>
          <w:r>
            <w:fldChar w:fldCharType="end"/>
          </w:r>
          <w:r>
            <w:rPr>
              <w:rFonts w:ascii="黑体" w:eastAsia="黑体" w:cs="Times New Roman"/>
              <w:szCs w:val="32"/>
            </w:rPr>
            <w:fldChar w:fldCharType="end"/>
          </w:r>
        </w:p>
        <w:p>
          <w:pPr>
            <w:pStyle w:val="20"/>
            <w:tabs>
              <w:tab w:val="right" w:leader="dot" w:pos="8306"/>
            </w:tabs>
          </w:pPr>
          <w:r>
            <w:rPr>
              <w:rFonts w:ascii="黑体" w:eastAsia="黑体" w:cs="Times New Roman"/>
              <w:szCs w:val="32"/>
            </w:rPr>
            <w:fldChar w:fldCharType="begin"/>
          </w:r>
          <w:r>
            <w:rPr>
              <w:rFonts w:ascii="黑体" w:eastAsia="黑体" w:cs="Times New Roman"/>
              <w:szCs w:val="32"/>
            </w:rPr>
            <w:instrText xml:space="preserve"> HYPERLINK \l _Toc24473 </w:instrText>
          </w:r>
          <w:r>
            <w:rPr>
              <w:rFonts w:ascii="黑体" w:eastAsia="黑体" w:cs="Times New Roman"/>
              <w:szCs w:val="32"/>
            </w:rPr>
            <w:fldChar w:fldCharType="separate"/>
          </w:r>
          <w:r>
            <w:rPr>
              <w:rFonts w:ascii="仿宋_GB2312" w:eastAsia="仿宋_GB2312" w:cs="仿宋_GB2312" w:hint="eastAsia"/>
              <w:bCs/>
              <w:kern w:val="2"/>
              <w:szCs w:val="32"/>
            </w:rPr>
            <w:t>（二）政府采购情况</w:t>
          </w:r>
          <w:r>
            <w:tab/>
          </w:r>
          <w:r>
            <w:fldChar w:fldCharType="begin"/>
          </w:r>
          <w:r>
            <w:instrText xml:space="preserve"> PAGEREF _Toc24473 \h </w:instrText>
          </w:r>
          <w:r>
            <w:fldChar w:fldCharType="separate"/>
          </w:r>
          <w:r>
            <w:t>9</w:t>
          </w:r>
          <w:r>
            <w:fldChar w:fldCharType="end"/>
          </w:r>
          <w:r>
            <w:rPr>
              <w:rFonts w:ascii="黑体" w:eastAsia="黑体" w:cs="Times New Roman"/>
              <w:szCs w:val="32"/>
            </w:rPr>
            <w:fldChar w:fldCharType="end"/>
          </w:r>
        </w:p>
        <w:p>
          <w:pPr>
            <w:pStyle w:val="20"/>
            <w:tabs>
              <w:tab w:val="right" w:leader="dot" w:pos="8306"/>
            </w:tabs>
          </w:pPr>
          <w:r>
            <w:rPr>
              <w:rFonts w:ascii="黑体" w:eastAsia="黑体" w:cs="Times New Roman"/>
              <w:szCs w:val="32"/>
            </w:rPr>
            <w:fldChar w:fldCharType="begin"/>
          </w:r>
          <w:r>
            <w:rPr>
              <w:rFonts w:ascii="黑体" w:eastAsia="黑体" w:cs="Times New Roman"/>
              <w:szCs w:val="32"/>
            </w:rPr>
            <w:instrText xml:space="preserve"> HYPERLINK \l _Toc29227 </w:instrText>
          </w:r>
          <w:r>
            <w:rPr>
              <w:rFonts w:ascii="黑体" w:eastAsia="黑体" w:cs="Times New Roman"/>
              <w:szCs w:val="32"/>
            </w:rPr>
            <w:fldChar w:fldCharType="separate"/>
          </w:r>
          <w:r>
            <w:rPr>
              <w:rFonts w:cs="仿宋_GB2312" w:hint="eastAsia"/>
              <w:bCs/>
              <w:kern w:val="2"/>
              <w:szCs w:val="32"/>
              <w:lang w:eastAsia="zh-CN"/>
            </w:rPr>
            <w:t>（</w:t>
          </w:r>
          <w:r>
            <w:rPr>
              <w:rFonts w:cs="仿宋_GB2312" w:hint="eastAsia"/>
              <w:bCs/>
              <w:kern w:val="2"/>
              <w:szCs w:val="32"/>
              <w:lang w:val="en-US" w:eastAsia="zh-CN"/>
            </w:rPr>
            <w:t>三</w:t>
          </w:r>
          <w:r>
            <w:rPr>
              <w:rFonts w:cs="仿宋_GB2312" w:hint="eastAsia"/>
              <w:bCs/>
              <w:kern w:val="2"/>
              <w:szCs w:val="32"/>
              <w:lang w:eastAsia="zh-CN"/>
            </w:rPr>
            <w:t>）</w:t>
          </w:r>
          <w:r>
            <w:rPr>
              <w:rFonts w:ascii="仿宋_GB2312" w:eastAsia="仿宋_GB2312" w:cs="仿宋_GB2312" w:hint="eastAsia"/>
              <w:bCs/>
              <w:kern w:val="2"/>
              <w:szCs w:val="32"/>
            </w:rPr>
            <w:t>国有资产占有使用情况</w:t>
          </w:r>
          <w:r>
            <w:tab/>
          </w:r>
          <w:r>
            <w:fldChar w:fldCharType="begin"/>
          </w:r>
          <w:r>
            <w:instrText xml:space="preserve"> PAGEREF _Toc29227 \h </w:instrText>
          </w:r>
          <w:r>
            <w:fldChar w:fldCharType="separate"/>
          </w:r>
          <w:r>
            <w:t>9</w:t>
          </w:r>
          <w:r>
            <w:fldChar w:fldCharType="end"/>
          </w:r>
          <w:r>
            <w:rPr>
              <w:rFonts w:ascii="黑体" w:eastAsia="黑体" w:cs="Times New Roman"/>
              <w:szCs w:val="32"/>
            </w:rPr>
            <w:fldChar w:fldCharType="end"/>
          </w:r>
        </w:p>
        <w:p>
          <w:pPr>
            <w:pStyle w:val="20"/>
            <w:tabs>
              <w:tab w:val="right" w:leader="dot" w:pos="8306"/>
            </w:tabs>
          </w:pPr>
          <w:r>
            <w:rPr>
              <w:rFonts w:ascii="黑体" w:eastAsia="黑体" w:cs="Times New Roman"/>
              <w:szCs w:val="32"/>
            </w:rPr>
            <w:fldChar w:fldCharType="begin"/>
          </w:r>
          <w:r>
            <w:rPr>
              <w:rFonts w:ascii="黑体" w:eastAsia="黑体" w:cs="Times New Roman"/>
              <w:szCs w:val="32"/>
            </w:rPr>
            <w:instrText xml:space="preserve"> HYPERLINK \l _Toc5906 </w:instrText>
          </w:r>
          <w:r>
            <w:rPr>
              <w:rFonts w:ascii="黑体" w:eastAsia="黑体" w:cs="Times New Roman"/>
              <w:szCs w:val="32"/>
            </w:rPr>
            <w:fldChar w:fldCharType="separate"/>
          </w:r>
          <w:r>
            <w:rPr>
              <w:rFonts w:ascii="仿宋_GB2312" w:eastAsia="仿宋_GB2312" w:cs="仿宋_GB2312" w:hint="eastAsia"/>
              <w:bCs/>
              <w:kern w:val="2"/>
              <w:szCs w:val="32"/>
            </w:rPr>
            <w:t>（四）绩效目标设置情况</w:t>
          </w:r>
          <w:r>
            <w:tab/>
          </w:r>
          <w:r>
            <w:fldChar w:fldCharType="begin"/>
          </w:r>
          <w:r>
            <w:instrText xml:space="preserve"> PAGEREF _Toc5906 \h </w:instrText>
          </w:r>
          <w:r>
            <w:fldChar w:fldCharType="separate"/>
          </w:r>
          <w:r>
            <w:t>9</w:t>
          </w:r>
          <w:r>
            <w:fldChar w:fldCharType="end"/>
          </w:r>
          <w:r>
            <w:rPr>
              <w:rFonts w:ascii="黑体" w:eastAsia="黑体" w:cs="Times New Roman"/>
              <w:szCs w:val="32"/>
            </w:rPr>
            <w:fldChar w:fldCharType="end"/>
          </w:r>
        </w:p>
        <w:p>
          <w:pPr>
            <w:pStyle w:val="18"/>
            <w:tabs>
              <w:tab w:val="right" w:leader="dot" w:pos="8306"/>
            </w:tabs>
          </w:pPr>
          <w:r>
            <w:rPr>
              <w:rFonts w:ascii="黑体" w:eastAsia="黑体" w:cs="Times New Roman"/>
              <w:szCs w:val="32"/>
            </w:rPr>
            <w:fldChar w:fldCharType="begin"/>
          </w:r>
          <w:r>
            <w:rPr>
              <w:rFonts w:ascii="黑体" w:eastAsia="黑体" w:cs="Times New Roman"/>
              <w:szCs w:val="32"/>
            </w:rPr>
            <w:instrText xml:space="preserve"> HYPERLINK \l _Toc14067 </w:instrText>
          </w:r>
          <w:r>
            <w:rPr>
              <w:rFonts w:ascii="黑体" w:eastAsia="黑体" w:cs="Times New Roman"/>
              <w:szCs w:val="32"/>
            </w:rPr>
            <w:fldChar w:fldCharType="separate"/>
          </w:r>
          <w:r>
            <w:rPr>
              <w:rFonts w:ascii="黑体" w:eastAsia="黑体" w:cs="黑体" w:hint="eastAsia"/>
              <w:kern w:val="2"/>
              <w:szCs w:val="32"/>
            </w:rPr>
            <w:t>十、名词解释</w:t>
          </w:r>
          <w:r>
            <w:tab/>
          </w:r>
          <w:r>
            <w:fldChar w:fldCharType="begin"/>
          </w:r>
          <w:r>
            <w:instrText xml:space="preserve"> PAGEREF _Toc14067 \h </w:instrText>
          </w:r>
          <w:r>
            <w:fldChar w:fldCharType="separate"/>
          </w:r>
          <w:r>
            <w:t>10</w:t>
          </w:r>
          <w:r>
            <w:fldChar w:fldCharType="end"/>
          </w:r>
          <w:r>
            <w:rPr>
              <w:rFonts w:ascii="黑体" w:eastAsia="黑体" w:cs="Times New Roman"/>
              <w:szCs w:val="32"/>
            </w:rPr>
            <w:fldChar w:fldCharType="end"/>
          </w:r>
        </w:p>
        <w:p>
          <w:pPr>
            <w:rPr>
              <w:rFonts w:ascii="黑体" w:eastAsia="黑体" w:cs="Times New Roman"/>
              <w:kern w:val="2"/>
              <w:sz w:val="21"/>
              <w:szCs w:val="32"/>
              <w:lang w:val="en-US" w:eastAsia="zh-CN" w:bidi="ar-SA"/>
            </w:rPr>
            <w:sectPr>
              <w:pgSz w:w="11906" w:h="16838"/>
              <w:pgMar w:top="1440" w:right="1800" w:bottom="1440" w:left="1800" w:header="851" w:footer="992" w:gutter="0"/>
              <w:docGrid w:type="lines" w:linePitch="312" w:charSpace="0"/>
            </w:sectPr>
          </w:pPr>
          <w:r>
            <w:rPr>
              <w:rFonts w:ascii="黑体" w:eastAsia="黑体" w:cs="Times New Roman"/>
              <w:szCs w:val="32"/>
            </w:rPr>
            <w:fldChar w:fldCharType="end"/>
          </w:r>
        </w:p>
      </w:sdtContent>
    </w:sdt>
    <w:p>
      <w:pPr>
        <w:widowControl/>
        <w:shd w:val="clear" w:color="auto" w:fill="FFFFFF"/>
        <w:spacing w:before="100" w:beforeAutospacing="1" w:after="100" w:afterAutospacing="1" w:line="290" w:lineRule="atLeast"/>
        <w:ind w:right="300"/>
        <w:jc w:val="left"/>
        <w:rPr>
          <w:rFonts w:ascii="??" w:cs="??" w:hAnsi="??"/>
          <w:kern w:val="0"/>
          <w:sz w:val="12"/>
          <w:szCs w:val="12"/>
        </w:rPr>
      </w:pPr>
    </w:p>
    <w:p>
      <w:pPr>
        <w:pStyle w:val="23"/>
        <w:spacing w:before="0" w:line="360" w:lineRule="auto"/>
        <w:ind w:firstLineChars="200" w:firstLine="640"/>
        <w:outlineLvl w:val="0"/>
        <w:rPr>
          <w:rFonts w:ascii="黑体" w:eastAsia="黑体" w:cs="黑体"/>
          <w:kern w:val="2"/>
          <w:sz w:val="32"/>
          <w:szCs w:val="32"/>
        </w:rPr>
      </w:pPr>
      <w:bookmarkStart w:id="0" w:name="_Toc17445"/>
      <w:r>
        <w:rPr>
          <w:rFonts w:ascii="黑体" w:eastAsia="黑体" w:cs="黑体" w:hint="eastAsia"/>
          <w:kern w:val="2"/>
          <w:sz w:val="32"/>
          <w:szCs w:val="32"/>
          <w:lang w:val="en-US" w:eastAsia="zh-CN"/>
        </w:rPr>
        <w:t>一、</w:t>
      </w:r>
      <w:r>
        <w:rPr>
          <w:rFonts w:ascii="黑体" w:eastAsia="黑体" w:cs="黑体" w:hint="eastAsia"/>
          <w:kern w:val="2"/>
          <w:sz w:val="32"/>
          <w:szCs w:val="32"/>
        </w:rPr>
        <w:t>基本职能及主要工作</w:t>
      </w:r>
      <w:bookmarkStart w:id="1" w:name="_Toc9878"/>
      <w:bookmarkEnd w:id="0"/>
    </w:p>
    <w:p>
      <w:pPr>
        <w:pStyle w:val="23"/>
        <w:spacing w:before="0" w:line="360" w:lineRule="auto"/>
        <w:ind w:left="0" w:firstLineChars="150" w:firstLine="480"/>
        <w:outlineLvl w:val="0"/>
        <w:rPr>
          <w:rFonts w:ascii="黑体" w:eastAsia="黑体" w:cs="黑体" w:hint="eastAsia"/>
          <w:kern w:val="2"/>
          <w:sz w:val="32"/>
          <w:szCs w:val="32"/>
        </w:rPr>
      </w:pPr>
      <w:r>
        <w:rPr>
          <w:rFonts w:ascii="楷体_GB2312" w:eastAsia="楷体_GB2312" w:cs="楷体_GB2312"/>
          <w:b/>
          <w:bCs/>
          <w:kern w:val="2"/>
          <w:sz w:val="32"/>
          <w:szCs w:val="32"/>
        </w:rPr>
        <w:t>（一）</w:t>
      </w:r>
      <w:r>
        <w:rPr>
          <w:rFonts w:ascii="楷体_GB2312" w:eastAsia="楷体_GB2312" w:cs="楷体_GB2312" w:hint="eastAsia"/>
          <w:b/>
          <w:bCs/>
          <w:kern w:val="2"/>
          <w:sz w:val="32"/>
          <w:szCs w:val="32"/>
        </w:rPr>
        <w:t>应急管理局职能简介</w:t>
      </w:r>
      <w:bookmarkEnd w:id="1"/>
    </w:p>
    <w:p>
      <w:pPr>
        <w:pStyle w:val="23"/>
        <w:keepNext w:val="0"/>
        <w:keepLines w:val="0"/>
        <w:pageBreakBefore w:val="0"/>
        <w:widowControl w:val="0"/>
        <w:kinsoku/>
        <w:wordWrap/>
        <w:overflowPunct/>
        <w:topLinePunct w:val="0"/>
        <w:autoSpaceDE/>
        <w:autoSpaceDN/>
        <w:bidi w:val="0"/>
        <w:adjustRightInd/>
        <w:snapToGrid/>
        <w:spacing w:before="0" w:line="560" w:lineRule="exact"/>
        <w:ind w:left="0" w:firstLineChars="200" w:firstLine="640"/>
        <w:textAlignment w:val="auto"/>
        <w:rPr>
          <w:rFonts w:ascii="仿宋_GB2312" w:eastAsia="仿宋_GB2312" w:cs="仿宋_GB2312" w:hint="eastAsia"/>
          <w:kern w:val="2"/>
          <w:sz w:val="32"/>
          <w:szCs w:val="32"/>
        </w:rPr>
      </w:pPr>
      <w:r>
        <w:rPr>
          <w:rFonts w:ascii="仿宋_GB2312" w:eastAsia="仿宋_GB2312" w:cs="仿宋_GB2312" w:hint="eastAsia"/>
          <w:kern w:val="2"/>
          <w:sz w:val="32"/>
          <w:szCs w:val="32"/>
        </w:rPr>
        <w:t>负责应急管理工作，组织和指导各乡（镇）、各部门（单位）应对安全生产类、自然灾害类等突发事件和综合防灾减灾救灾工作。负责安全生产综合监督管理和工矿商贸安全生产监督管理工作。</w:t>
      </w:r>
    </w:p>
    <w:p>
      <w:pPr>
        <w:pStyle w:val="23"/>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ascii="仿宋_GB2312" w:eastAsia="仿宋_GB2312" w:cs="仿宋_GB2312" w:hint="eastAsia"/>
          <w:kern w:val="2"/>
          <w:sz w:val="32"/>
          <w:szCs w:val="32"/>
        </w:rPr>
      </w:pPr>
      <w:r>
        <w:rPr>
          <w:rFonts w:ascii="仿宋_GB2312" w:eastAsia="仿宋_GB2312" w:cs="仿宋_GB2312" w:hint="eastAsia"/>
          <w:kern w:val="2"/>
          <w:sz w:val="32"/>
          <w:szCs w:val="32"/>
        </w:rPr>
        <w:t>拟订应急管理、安全生产等有关规范性文件，组织编制应急体系建设、安全生产和综合防灾减灾规划。负责组织、指导应急预案体系建设，建立完善事故灾难和自然灾害分级应对制度，牵头组织编制综合应急防灾减灾预案和安全生产类、自然灾害类专项预案，负责应急预案衔接工作，组织开展预案演练并落实，推动应急避难设施建设。</w:t>
      </w:r>
    </w:p>
    <w:p>
      <w:pPr>
        <w:pStyle w:val="23"/>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ascii="仿宋_GB2312" w:eastAsia="仿宋_GB2312" w:cs="仿宋_GB2312" w:hint="eastAsia"/>
          <w:kern w:val="2"/>
          <w:sz w:val="32"/>
          <w:szCs w:val="32"/>
        </w:rPr>
      </w:pPr>
      <w:r>
        <w:rPr>
          <w:rFonts w:ascii="仿宋_GB2312" w:eastAsia="仿宋_GB2312" w:cs="仿宋_GB2312" w:hint="eastAsia"/>
          <w:kern w:val="2"/>
          <w:sz w:val="32"/>
          <w:szCs w:val="32"/>
        </w:rPr>
        <w:t>牵头建立统一的应急管理信息系统，负责信息传输渠道的规划和布局，建立监测预警和灾情报告制度,健全自然灾害信息资源获取和共享机制，依法统一发布灾情。负责组织、指导、协调安全生产类、自然灾害类等突发事件应急救援，承担全县应对一般、较大及以上灾害指挥部工作，综合研判突发事件发展态势并提出应对建议，负责组织一般、较大及以上灾害应急处置工作。统一协调指挥各类应急专业队伍，建立应急协调联动机制，推进指挥平台对接。提请衔接解放军和武警部队参与应急救援工作。</w:t>
      </w:r>
    </w:p>
    <w:p>
      <w:pPr>
        <w:pStyle w:val="23"/>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ascii="仿宋_GB2312" w:eastAsia="仿宋_GB2312" w:cs="仿宋_GB2312" w:hint="eastAsia"/>
          <w:kern w:val="2"/>
          <w:sz w:val="32"/>
          <w:szCs w:val="32"/>
        </w:rPr>
      </w:pPr>
      <w:r>
        <w:rPr>
          <w:rFonts w:ascii="仿宋_GB2312" w:eastAsia="仿宋_GB2312" w:cs="仿宋_GB2312" w:hint="eastAsia"/>
          <w:kern w:val="2"/>
          <w:sz w:val="32"/>
          <w:szCs w:val="32"/>
        </w:rPr>
        <w:t>按照国家、省、州相关政策和规定负责消防、森林和草原火灾扑救、抗洪抢险、地震和地质灾害救援、生产安全事故救援等专业应急救援力量建设，依法依规统筹指导各乡（镇）及社会应急救援力量和应急保障能力建设。按照国家、省、州相关政策和县委、县政府相关规定负责消防工作，组织和指导消防监督、火灾预防、火灾扑救等工作。负责自然灾害综合监测预警工作，承担自然灾害综合风险评估工作，指导协调森林和草原火灾、水旱灾害、地震和地质灾害等防治工作。负责组织、协调灾害救助工作，组织和指导灾情核查、损失评估、救灾捐赠工作，管理、分配中央、省、州下拨及县级救灾款物并监督使用。</w:t>
      </w:r>
    </w:p>
    <w:p>
      <w:pPr>
        <w:pStyle w:val="23"/>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ascii="仿宋_GB2312" w:eastAsia="仿宋_GB2312" w:cs="仿宋_GB2312" w:hint="eastAsia"/>
          <w:kern w:val="2"/>
          <w:sz w:val="32"/>
          <w:szCs w:val="32"/>
        </w:rPr>
      </w:pPr>
      <w:r>
        <w:rPr>
          <w:rFonts w:ascii="仿宋_GB2312" w:eastAsia="仿宋_GB2312" w:cs="仿宋_GB2312" w:hint="eastAsia"/>
          <w:kern w:val="2"/>
          <w:sz w:val="32"/>
          <w:szCs w:val="32"/>
        </w:rPr>
        <w:t>依法承担县政府安全生产综合监督管理责任，指导协调、监督检查县级有关部门和各乡（镇）政府安全生产工作，组织开展安全生产巡查、督查、考核工作。按照分级、属地原则，依法监督检查工矿商贸生产经营单位贯彻执行安全生产法律法规情况及其安全生产条件和有关设备（特种设备除外）、材料、劳动防护用品的安全生产管理工作。协助做好在县工矿商贸企业安全生产监督管理工作。负责危险化学品综合安全监督管理工作和烟花爆竹安全生产监督管理工作。承担非煤矿山、危险化学品、非药品类易制毒化学品和烟花爆竹等生产经营单位安全生产准入管理责任。</w:t>
      </w:r>
    </w:p>
    <w:p>
      <w:pPr>
        <w:pStyle w:val="23"/>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ascii="仿宋_GB2312" w:eastAsia="仿宋_GB2312" w:cs="仿宋_GB2312" w:hint="eastAsia"/>
          <w:kern w:val="2"/>
          <w:sz w:val="32"/>
          <w:szCs w:val="32"/>
        </w:rPr>
      </w:pPr>
      <w:r>
        <w:rPr>
          <w:rFonts w:ascii="仿宋_GB2312" w:eastAsia="仿宋_GB2312" w:cs="仿宋_GB2312" w:hint="eastAsia"/>
          <w:kern w:val="2"/>
          <w:sz w:val="32"/>
          <w:szCs w:val="32"/>
        </w:rPr>
        <w:t>依法组织、指导生产安全事故调查处理，监督事故查处和责任追究落实情况。组织开展自然灾害类突发事件的调查评估工作。开展应急管理和安全生产方面的交流与合作，组织参与安全生产类、自然灾害类等突发事件的跨区域救援工作。制定应急物资储备和应急救援装备规划并组织实施，会同县发展和改革局等部门建立健全应急物资信息平台和调度拨发制度，在救灾时统一调度。负责应急管理、安全生产宣传教育和培训工作，组织和指导应急管理、安全生产的科学技术工作。负责职责范围内的职业健康机构节能减排、审批服务便民化工作。完成县委和县政府交办的其他工作。</w:t>
      </w:r>
    </w:p>
    <w:p>
      <w:pPr>
        <w:pStyle w:val="23"/>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cs="仿宋_GB2312" w:hint="eastAsia"/>
          <w:kern w:val="2"/>
          <w:sz w:val="32"/>
          <w:szCs w:val="32"/>
          <w:lang w:eastAsia="zh-CN"/>
        </w:rPr>
      </w:pPr>
      <w:r>
        <w:rPr>
          <w:rFonts w:ascii="仿宋_GB2312" w:eastAsia="仿宋_GB2312" w:cs="仿宋_GB2312" w:hint="eastAsia"/>
          <w:kern w:val="2"/>
          <w:sz w:val="32"/>
          <w:szCs w:val="32"/>
        </w:rPr>
        <w:t>职能转变加强、优化、统一领导、权责一致、权威高效的应急能指挥、专常兼备、反应灵敏、上下联动、应急管理体制。一是坚持以防为主、防抗和非常态救灾相统一，努力实现从注重灾转变，从应对单一灾种向综合减灾转变，灾害风险转变，提高全县应急管理水平和范化解重特大安全风险。二是坚持以人生命财产安全放在首位，确保受灾群众基本练，增强全民防灾减灾意识，提升公众知切实减少人员伤亡和财产损失。三是树立命至上、安全第一，完善安全生产责任制事故、遏制较大事故、减少一般事故</w:t>
      </w:r>
      <w:r>
        <w:rPr>
          <w:rFonts w:cs="仿宋_GB2312" w:hint="eastAsia"/>
          <w:kern w:val="2"/>
          <w:sz w:val="32"/>
          <w:szCs w:val="32"/>
          <w:lang w:eastAsia="zh-CN"/>
        </w:rPr>
        <w:t>。</w:t>
      </w:r>
    </w:p>
    <w:p>
      <w:pPr>
        <w:pStyle w:val="23"/>
        <w:spacing w:before="0" w:line="360" w:lineRule="auto"/>
        <w:ind w:firstLineChars="200" w:firstLine="640"/>
        <w:outlineLvl w:val="1"/>
        <w:rPr>
          <w:rFonts w:ascii="仿宋_GB2312" w:eastAsia="仿宋_GB2312" w:cs="仿宋_GB2312" w:hint="eastAsia"/>
          <w:b/>
          <w:bCs/>
          <w:kern w:val="2"/>
          <w:sz w:val="32"/>
          <w:szCs w:val="32"/>
        </w:rPr>
      </w:pPr>
      <w:bookmarkStart w:id="2" w:name="_Toc29052"/>
      <w:r>
        <w:rPr>
          <w:rFonts w:ascii="仿宋_GB2312" w:eastAsia="仿宋_GB2312" w:cs="仿宋_GB2312"/>
          <w:b/>
          <w:bCs/>
          <w:kern w:val="2"/>
          <w:sz w:val="32"/>
          <w:szCs w:val="32"/>
        </w:rPr>
        <w:t>（二）</w:t>
      </w:r>
      <w:r>
        <w:rPr>
          <w:rFonts w:ascii="仿宋_GB2312" w:eastAsia="仿宋_GB2312" w:cs="仿宋_GB2312" w:hint="eastAsia"/>
          <w:b/>
          <w:bCs/>
          <w:kern w:val="2"/>
          <w:sz w:val="32"/>
          <w:szCs w:val="32"/>
        </w:rPr>
        <w:t>应急管理局202</w:t>
      </w:r>
      <w:r>
        <w:rPr>
          <w:rFonts w:cs="仿宋_GB2312" w:hint="eastAsia"/>
          <w:b/>
          <w:bCs/>
          <w:kern w:val="2"/>
          <w:sz w:val="32"/>
          <w:szCs w:val="32"/>
          <w:lang w:val="en-US" w:eastAsia="zh-CN"/>
        </w:rPr>
        <w:t>2</w:t>
      </w:r>
      <w:r>
        <w:rPr>
          <w:rFonts w:ascii="仿宋_GB2312" w:eastAsia="仿宋_GB2312" w:cs="仿宋_GB2312" w:hint="eastAsia"/>
          <w:b/>
          <w:bCs/>
          <w:kern w:val="2"/>
          <w:sz w:val="32"/>
          <w:szCs w:val="32"/>
        </w:rPr>
        <w:t>年重点工作</w:t>
      </w:r>
      <w:bookmarkEnd w:id="2"/>
    </w:p>
    <w:p>
      <w:pPr>
        <w:pStyle w:val="23"/>
        <w:keepNext w:val="0"/>
        <w:keepLines w:val="0"/>
        <w:pageBreakBefore w:val="0"/>
        <w:widowControl w:val="0"/>
        <w:kinsoku/>
        <w:wordWrap/>
        <w:overflowPunct/>
        <w:topLinePunct w:val="0"/>
        <w:autoSpaceDE/>
        <w:autoSpaceDN/>
        <w:bidi w:val="0"/>
        <w:adjustRightInd/>
        <w:snapToGrid/>
        <w:spacing w:before="0" w:line="560" w:lineRule="exact"/>
        <w:ind w:left="0" w:firstLineChars="200" w:firstLine="640"/>
        <w:textAlignment w:val="auto"/>
        <w:rPr>
          <w:rFonts w:ascii="仿宋_GB2312" w:eastAsia="仿宋_GB2312" w:cs="仿宋_GB2312" w:hint="eastAsia"/>
          <w:kern w:val="2"/>
          <w:sz w:val="32"/>
          <w:szCs w:val="32"/>
        </w:rPr>
      </w:pPr>
      <w:r>
        <w:rPr>
          <w:rFonts w:ascii="仿宋_GB2312" w:eastAsia="仿宋_GB2312" w:cs="仿宋_GB2312" w:hint="eastAsia"/>
          <w:kern w:val="2"/>
          <w:sz w:val="32"/>
          <w:szCs w:val="32"/>
        </w:rPr>
        <w:t>（一）以增强“政治三力”为基本，强化学习教育</w:t>
      </w:r>
    </w:p>
    <w:p>
      <w:pPr>
        <w:pStyle w:val="23"/>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ascii="仿宋_GB2312" w:eastAsia="仿宋_GB2312" w:cs="仿宋_GB2312" w:hint="eastAsia"/>
          <w:kern w:val="2"/>
          <w:sz w:val="32"/>
          <w:szCs w:val="32"/>
        </w:rPr>
      </w:pPr>
      <w:r>
        <w:rPr>
          <w:rFonts w:ascii="仿宋_GB2312" w:eastAsia="仿宋_GB2312" w:cs="仿宋_GB2312" w:hint="eastAsia"/>
          <w:kern w:val="2"/>
          <w:sz w:val="32"/>
          <w:szCs w:val="32"/>
        </w:rPr>
        <w:t>1.加强中央、省、州重要决策部署的解读学习，精研细读县委第十四届党代会精神，提升干部职工政治素质和思想意识，把准住时代方位，理清新时代应急管理体系和能力现代化建设发展思路，增强政治领悟力、判断力和执行力。</w:t>
      </w:r>
    </w:p>
    <w:p>
      <w:pPr>
        <w:pStyle w:val="23"/>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ascii="仿宋_GB2312" w:eastAsia="仿宋_GB2312" w:cs="仿宋_GB2312" w:hint="eastAsia"/>
          <w:kern w:val="2"/>
          <w:sz w:val="32"/>
          <w:szCs w:val="32"/>
        </w:rPr>
      </w:pPr>
      <w:r>
        <w:rPr>
          <w:rFonts w:ascii="仿宋_GB2312" w:eastAsia="仿宋_GB2312" w:cs="仿宋_GB2312" w:hint="eastAsia"/>
          <w:kern w:val="2"/>
          <w:sz w:val="32"/>
          <w:szCs w:val="32"/>
        </w:rPr>
        <w:t>（二）以贯彻“发展三新”为基调，以“155”战略为目标，推进重点工作</w:t>
      </w:r>
    </w:p>
    <w:p>
      <w:pPr>
        <w:pStyle w:val="23"/>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ascii="仿宋_GB2312" w:eastAsia="仿宋_GB2312" w:cs="仿宋_GB2312" w:hint="eastAsia"/>
          <w:kern w:val="2"/>
          <w:sz w:val="32"/>
          <w:szCs w:val="32"/>
        </w:rPr>
      </w:pPr>
      <w:r>
        <w:rPr>
          <w:rFonts w:ascii="仿宋_GB2312" w:eastAsia="仿宋_GB2312" w:cs="仿宋_GB2312" w:hint="eastAsia"/>
          <w:kern w:val="2"/>
          <w:sz w:val="32"/>
          <w:szCs w:val="32"/>
        </w:rPr>
        <w:t>2.持续以清单制管理、“三年行动计划”为抓手，推进“2个专题，9个专项”工作落实，树牢安全底线思维，推进隐患风险排查整治，抓好生产领域、森林草原防灭火、地质灾害、防汛抗旱等安全工作。</w:t>
      </w:r>
    </w:p>
    <w:p>
      <w:pPr>
        <w:pStyle w:val="23"/>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ascii="仿宋_GB2312" w:eastAsia="仿宋_GB2312" w:cs="仿宋_GB2312" w:hint="eastAsia"/>
          <w:kern w:val="2"/>
          <w:sz w:val="32"/>
          <w:szCs w:val="32"/>
        </w:rPr>
      </w:pPr>
      <w:r>
        <w:rPr>
          <w:rFonts w:ascii="仿宋_GB2312" w:eastAsia="仿宋_GB2312" w:cs="仿宋_GB2312" w:hint="eastAsia"/>
          <w:kern w:val="2"/>
          <w:sz w:val="32"/>
          <w:szCs w:val="32"/>
        </w:rPr>
        <w:t>3.继续开展全国第一次自然灾害风险普查，摸清县域灾害情况，客观掌握数据，为灾害防范应对提供决策。</w:t>
      </w:r>
    </w:p>
    <w:p>
      <w:pPr>
        <w:pStyle w:val="23"/>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ascii="仿宋_GB2312" w:eastAsia="仿宋_GB2312" w:cs="仿宋_GB2312" w:hint="eastAsia"/>
          <w:kern w:val="2"/>
          <w:sz w:val="32"/>
          <w:szCs w:val="32"/>
        </w:rPr>
      </w:pPr>
      <w:r>
        <w:rPr>
          <w:rFonts w:ascii="仿宋_GB2312" w:eastAsia="仿宋_GB2312" w:cs="仿宋_GB2312" w:hint="eastAsia"/>
          <w:kern w:val="2"/>
          <w:sz w:val="32"/>
          <w:szCs w:val="32"/>
        </w:rPr>
        <w:t>4.建立健全指挥决策机制，规范灾害事故现场处置，推进县综合应急指挥中心和民兵社会救援力量建设，做好“后半篇”文章，提升全县综合应急管理能力。</w:t>
      </w:r>
    </w:p>
    <w:p>
      <w:pPr>
        <w:pStyle w:val="23"/>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ascii="仿宋_GB2312" w:eastAsia="仿宋_GB2312" w:cs="仿宋_GB2312" w:hint="eastAsia"/>
          <w:kern w:val="2"/>
          <w:sz w:val="32"/>
          <w:szCs w:val="32"/>
        </w:rPr>
      </w:pPr>
      <w:r>
        <w:rPr>
          <w:rFonts w:ascii="仿宋_GB2312" w:eastAsia="仿宋_GB2312" w:cs="仿宋_GB2312" w:hint="eastAsia"/>
          <w:kern w:val="2"/>
          <w:sz w:val="32"/>
          <w:szCs w:val="32"/>
        </w:rPr>
        <w:t>5.强化宣教培训和演练，提高县、乡、村三级应急能力和管理水平，科学安全处置各类事故灾害，快速妥善实施救助。</w:t>
      </w:r>
    </w:p>
    <w:p>
      <w:pPr>
        <w:pStyle w:val="23"/>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ascii="仿宋_GB2312" w:eastAsia="仿宋_GB2312" w:cs="仿宋_GB2312" w:hint="eastAsia"/>
          <w:kern w:val="2"/>
          <w:sz w:val="32"/>
          <w:szCs w:val="32"/>
        </w:rPr>
      </w:pPr>
      <w:r>
        <w:rPr>
          <w:rFonts w:ascii="仿宋_GB2312" w:eastAsia="仿宋_GB2312" w:cs="仿宋_GB2312" w:hint="eastAsia"/>
          <w:kern w:val="2"/>
          <w:sz w:val="32"/>
          <w:szCs w:val="32"/>
        </w:rPr>
        <w:t>6.心系壤塘，服从县委、县政府安排部署，深入基层，统筹抓好民生、稳定、生态等工作，竭力服务“美丽幸福壤巴拉家园”建设。</w:t>
      </w:r>
      <w:bookmarkStart w:id="3" w:name="_Toc10062"/>
    </w:p>
    <w:p>
      <w:pPr>
        <w:pStyle w:val="23"/>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outlineLvl w:val="0"/>
        <w:rPr>
          <w:rFonts w:ascii="黑体" w:eastAsia="黑体" w:cs="黑体" w:hint="eastAsia"/>
          <w:sz w:val="32"/>
          <w:szCs w:val="32"/>
        </w:rPr>
      </w:pPr>
      <w:r>
        <w:rPr>
          <w:rFonts w:ascii="黑体" w:eastAsia="黑体" w:cs="黑体" w:hint="eastAsia"/>
          <w:sz w:val="32"/>
          <w:szCs w:val="32"/>
        </w:rPr>
        <w:t>二、预算单位构成</w:t>
      </w:r>
      <w:bookmarkEnd w:id="3"/>
    </w:p>
    <w:p>
      <w:pPr>
        <w:pStyle w:val="23"/>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ascii="仿宋_GB2312" w:eastAsia="仿宋_GB2312" w:cs="仿宋_GB2312" w:hint="eastAsia"/>
          <w:kern w:val="2"/>
          <w:sz w:val="32"/>
          <w:szCs w:val="32"/>
          <w:lang w:val="en-US" w:eastAsia="zh-CN" w:bidi="ar-SA"/>
        </w:rPr>
      </w:pPr>
      <w:r>
        <w:rPr>
          <w:rFonts w:ascii="仿宋_GB2312" w:eastAsia="仿宋_GB2312" w:cs="仿宋_GB2312" w:hint="eastAsia"/>
          <w:kern w:val="2"/>
          <w:sz w:val="32"/>
          <w:szCs w:val="32"/>
          <w:lang w:val="en-US" w:eastAsia="zh-CN" w:bidi="ar-SA"/>
        </w:rPr>
        <w:t>应急管理局属一级预算单位，下属事业单位4个，分别是：安全生产监督执法中队、应急管理服务中心、减灾救灾中心、防震减灾服务中心</w:t>
      </w:r>
      <w:r>
        <w:rPr>
          <w:rFonts w:cs="仿宋_GB2312" w:hint="eastAsia"/>
          <w:kern w:val="2"/>
          <w:sz w:val="32"/>
          <w:szCs w:val="32"/>
          <w:lang w:val="en-US" w:eastAsia="zh-CN" w:bidi="ar-SA"/>
        </w:rPr>
        <w:t>。</w:t>
      </w:r>
    </w:p>
    <w:p>
      <w:pPr>
        <w:pStyle w:val="23"/>
        <w:keepNext w:val="0"/>
        <w:keepLines w:val="0"/>
        <w:pageBreakBefore w:val="0"/>
        <w:widowControl w:val="0"/>
        <w:kinsoku/>
        <w:wordWrap/>
        <w:overflowPunct/>
        <w:topLinePunct w:val="0"/>
        <w:autoSpaceDE/>
        <w:autoSpaceDN/>
        <w:bidi w:val="0"/>
        <w:adjustRightInd/>
        <w:snapToGrid/>
        <w:spacing w:before="0" w:line="560" w:lineRule="exact"/>
        <w:ind w:leftChars="196" w:left="412" w:firstLineChars="100" w:firstLine="320"/>
        <w:textAlignment w:val="auto"/>
        <w:outlineLvl w:val="0"/>
        <w:rPr>
          <w:rFonts w:ascii="楷体_GB2312" w:eastAsia="楷体_GB2312" w:cs="楷体_GB2312" w:hint="eastAsia"/>
          <w:b/>
          <w:bCs/>
          <w:kern w:val="2"/>
          <w:sz w:val="32"/>
          <w:szCs w:val="32"/>
        </w:rPr>
      </w:pPr>
      <w:bookmarkStart w:id="4" w:name="_Toc15037"/>
      <w:r>
        <w:rPr>
          <w:rFonts w:ascii="黑体" w:eastAsia="黑体" w:cs="黑体" w:hint="eastAsia"/>
          <w:kern w:val="2"/>
          <w:sz w:val="32"/>
          <w:szCs w:val="32"/>
          <w:lang w:val="en-US" w:eastAsia="zh-CN"/>
        </w:rPr>
        <w:t>三、</w:t>
      </w:r>
      <w:r>
        <w:rPr>
          <w:rFonts w:ascii="黑体" w:eastAsia="黑体" w:cs="黑体" w:hint="eastAsia"/>
          <w:kern w:val="2"/>
          <w:sz w:val="32"/>
          <w:szCs w:val="32"/>
        </w:rPr>
        <w:t>收支预算情况说</w:t>
      </w:r>
      <w:r>
        <w:rPr>
          <w:rFonts w:ascii="黑体" w:eastAsia="黑体" w:cs="黑体" w:hint="eastAsia"/>
          <w:kern w:val="2"/>
          <w:sz w:val="32"/>
          <w:szCs w:val="32"/>
          <w:lang w:val="en-US" w:eastAsia="zh-CN"/>
        </w:rPr>
        <w:t>明</w:t>
      </w:r>
      <w:bookmarkEnd w:id="4"/>
    </w:p>
    <w:p>
      <w:pPr>
        <w:pStyle w:val="23"/>
        <w:keepNext w:val="0"/>
        <w:keepLines w:val="0"/>
        <w:pageBreakBefore w:val="0"/>
        <w:widowControl w:val="0"/>
        <w:kinsoku/>
        <w:wordWrap/>
        <w:overflowPunct/>
        <w:topLinePunct w:val="0"/>
        <w:autoSpaceDE/>
        <w:autoSpaceDN/>
        <w:bidi w:val="0"/>
        <w:adjustRightInd/>
        <w:snapToGrid/>
        <w:spacing w:before="0" w:line="560" w:lineRule="exact"/>
        <w:ind w:left="0" w:firstLineChars="200" w:firstLine="640"/>
        <w:textAlignment w:val="auto"/>
        <w:outlineLvl w:val="9"/>
        <w:rPr>
          <w:rFonts w:hint="eastAsia"/>
          <w:kern w:val="2"/>
          <w:sz w:val="32"/>
          <w:szCs w:val="32"/>
          <w:lang w:val="en-US" w:eastAsia="zh-CN"/>
        </w:rPr>
      </w:pPr>
      <w:r>
        <w:rPr>
          <w:rFonts w:hint="eastAsia"/>
          <w:kern w:val="2"/>
          <w:sz w:val="32"/>
          <w:szCs w:val="32"/>
        </w:rPr>
        <w:t>按照综合预算的原则，应急管理局所有收入和支出均纳入部门预算管理。收入包括：一般公共预算拨款收入443.65万元，支出包括：社会保障和就业支出</w:t>
      </w:r>
      <w:r>
        <w:rPr>
          <w:rFonts w:cs="Times New Roman" w:hint="eastAsia"/>
          <w:kern w:val="2"/>
          <w:sz w:val="32"/>
          <w:szCs w:val="32"/>
        </w:rPr>
        <w:t>61.52</w:t>
      </w:r>
      <w:r>
        <w:rPr>
          <w:rFonts w:hint="eastAsia"/>
          <w:kern w:val="2"/>
          <w:sz w:val="32"/>
          <w:szCs w:val="32"/>
        </w:rPr>
        <w:t>万元，</w:t>
      </w:r>
      <w:r>
        <w:rPr>
          <w:rFonts w:hint="eastAsia"/>
          <w:kern w:val="2"/>
          <w:sz w:val="32"/>
          <w:szCs w:val="32"/>
          <w:lang w:val="en-US" w:eastAsia="zh-CN"/>
        </w:rPr>
        <w:t>卫生和健康</w:t>
      </w:r>
      <w:r>
        <w:rPr>
          <w:rFonts w:hint="eastAsia"/>
          <w:kern w:val="2"/>
          <w:sz w:val="32"/>
          <w:szCs w:val="32"/>
        </w:rPr>
        <w:t>支出</w:t>
      </w:r>
      <w:r>
        <w:rPr>
          <w:rFonts w:cs="Times New Roman" w:hint="eastAsia"/>
          <w:kern w:val="2"/>
          <w:sz w:val="32"/>
          <w:szCs w:val="32"/>
        </w:rPr>
        <w:t>22.88</w:t>
      </w:r>
      <w:r>
        <w:rPr>
          <w:rFonts w:hint="eastAsia"/>
          <w:kern w:val="2"/>
          <w:sz w:val="32"/>
          <w:szCs w:val="32"/>
        </w:rPr>
        <w:t>万元，住房保障支出</w:t>
      </w:r>
      <w:r>
        <w:rPr>
          <w:rFonts w:cs="Times New Roman" w:hint="eastAsia"/>
          <w:kern w:val="2"/>
          <w:sz w:val="32"/>
          <w:szCs w:val="32"/>
        </w:rPr>
        <w:t>40.43</w:t>
      </w:r>
      <w:r>
        <w:rPr>
          <w:rFonts w:hint="eastAsia"/>
          <w:kern w:val="2"/>
          <w:sz w:val="32"/>
          <w:szCs w:val="32"/>
        </w:rPr>
        <w:t>万元，灾害防治及应急管理支</w:t>
      </w:r>
      <w:r>
        <w:rPr>
          <w:rFonts w:hint="eastAsia"/>
          <w:kern w:val="2"/>
          <w:sz w:val="32"/>
          <w:szCs w:val="32"/>
          <w:lang w:val="en-US" w:eastAsia="zh-CN"/>
        </w:rPr>
        <w:t>出</w:t>
      </w:r>
      <w:r>
        <w:rPr>
          <w:rFonts w:hint="eastAsia"/>
          <w:kern w:val="2"/>
          <w:sz w:val="32"/>
          <w:szCs w:val="32"/>
        </w:rPr>
        <w:t>318.82万元。应急管理局</w:t>
      </w:r>
      <w:r>
        <w:rPr>
          <w:kern w:val="2"/>
          <w:sz w:val="32"/>
          <w:szCs w:val="32"/>
        </w:rPr>
        <w:t>202</w:t>
      </w:r>
      <w:r>
        <w:rPr>
          <w:rFonts w:hint="eastAsia"/>
          <w:kern w:val="2"/>
          <w:sz w:val="32"/>
          <w:szCs w:val="32"/>
          <w:lang w:val="en-US" w:eastAsia="zh-CN"/>
        </w:rPr>
        <w:t>2</w:t>
      </w:r>
      <w:r>
        <w:rPr>
          <w:kern w:val="2"/>
          <w:sz w:val="32"/>
          <w:szCs w:val="32"/>
        </w:rPr>
        <w:t>年</w:t>
      </w:r>
      <w:r>
        <w:rPr>
          <w:rFonts w:hint="eastAsia"/>
          <w:kern w:val="2"/>
          <w:sz w:val="32"/>
          <w:szCs w:val="32"/>
        </w:rPr>
        <w:t>收支总预算</w:t>
      </w:r>
      <w:r>
        <w:rPr>
          <w:rFonts w:cs="Times New Roman" w:hint="eastAsia"/>
          <w:kern w:val="2"/>
          <w:sz w:val="32"/>
          <w:szCs w:val="32"/>
        </w:rPr>
        <w:t>4</w:t>
      </w:r>
      <w:r>
        <w:rPr>
          <w:rFonts w:cs="Times New Roman" w:hint="eastAsia"/>
          <w:kern w:val="2"/>
          <w:sz w:val="32"/>
          <w:szCs w:val="32"/>
          <w:lang w:val="en-US" w:eastAsia="zh-CN"/>
        </w:rPr>
        <w:t>43.65</w:t>
      </w:r>
      <w:r>
        <w:rPr>
          <w:rFonts w:hint="eastAsia"/>
          <w:kern w:val="2"/>
          <w:sz w:val="32"/>
          <w:szCs w:val="32"/>
        </w:rPr>
        <w:t>万元</w:t>
      </w:r>
      <w:r>
        <w:rPr>
          <w:kern w:val="2"/>
          <w:sz w:val="32"/>
          <w:szCs w:val="32"/>
        </w:rPr>
        <w:t>,</w:t>
      </w:r>
      <w:r>
        <w:rPr>
          <w:rFonts w:hint="eastAsia"/>
          <w:kern w:val="2"/>
          <w:sz w:val="32"/>
          <w:szCs w:val="32"/>
        </w:rPr>
        <w:t>比</w:t>
      </w:r>
      <w:r>
        <w:rPr>
          <w:kern w:val="2"/>
          <w:sz w:val="32"/>
          <w:szCs w:val="32"/>
        </w:rPr>
        <w:t>20</w:t>
      </w:r>
      <w:r>
        <w:rPr>
          <w:rFonts w:hint="eastAsia"/>
          <w:kern w:val="2"/>
          <w:sz w:val="32"/>
          <w:szCs w:val="32"/>
        </w:rPr>
        <w:t>2</w:t>
      </w:r>
      <w:r>
        <w:rPr>
          <w:rFonts w:hint="eastAsia"/>
          <w:kern w:val="2"/>
          <w:sz w:val="32"/>
          <w:szCs w:val="32"/>
          <w:lang w:val="en-US" w:eastAsia="zh-CN"/>
        </w:rPr>
        <w:t>1</w:t>
      </w:r>
      <w:r>
        <w:rPr>
          <w:kern w:val="2"/>
          <w:sz w:val="32"/>
          <w:szCs w:val="32"/>
        </w:rPr>
        <w:t>年</w:t>
      </w:r>
      <w:r>
        <w:rPr>
          <w:rFonts w:hint="eastAsia"/>
          <w:kern w:val="2"/>
          <w:sz w:val="32"/>
          <w:szCs w:val="32"/>
        </w:rPr>
        <w:t>收支预算总数457.26万元</w:t>
      </w:r>
      <w:r>
        <w:rPr>
          <w:rFonts w:hint="eastAsia"/>
          <w:kern w:val="2"/>
          <w:sz w:val="32"/>
          <w:szCs w:val="32"/>
          <w:lang w:val="en-US" w:eastAsia="zh-CN"/>
        </w:rPr>
        <w:t>减少</w:t>
      </w:r>
      <w:r>
        <w:rPr>
          <w:rFonts w:hint="eastAsia"/>
          <w:kern w:val="2"/>
          <w:sz w:val="32"/>
          <w:szCs w:val="32"/>
        </w:rPr>
        <w:t>13.61万元，主要原因</w:t>
      </w:r>
      <w:r>
        <w:rPr>
          <w:kern w:val="2"/>
          <w:sz w:val="32"/>
          <w:szCs w:val="32"/>
        </w:rPr>
        <w:t>:202</w:t>
      </w:r>
      <w:r>
        <w:rPr>
          <w:rFonts w:hint="eastAsia"/>
          <w:kern w:val="2"/>
          <w:sz w:val="32"/>
          <w:szCs w:val="32"/>
          <w:lang w:val="en-US" w:eastAsia="zh-CN"/>
        </w:rPr>
        <w:t>2</w:t>
      </w:r>
      <w:r>
        <w:rPr>
          <w:rFonts w:hint="eastAsia"/>
          <w:kern w:val="2"/>
          <w:sz w:val="32"/>
          <w:szCs w:val="32"/>
        </w:rPr>
        <w:t>人员经费预算</w:t>
      </w:r>
      <w:r>
        <w:rPr>
          <w:rFonts w:hint="eastAsia"/>
          <w:kern w:val="2"/>
          <w:sz w:val="32"/>
          <w:szCs w:val="32"/>
          <w:lang w:val="en-US" w:eastAsia="zh-CN"/>
        </w:rPr>
        <w:t>减少。</w:t>
      </w:r>
    </w:p>
    <w:p>
      <w:pPr>
        <w:pStyle w:val="23"/>
        <w:keepNext w:val="0"/>
        <w:keepLines w:val="0"/>
        <w:pageBreakBefore w:val="0"/>
        <w:widowControl w:val="0"/>
        <w:kinsoku/>
        <w:wordWrap/>
        <w:overflowPunct/>
        <w:topLinePunct w:val="0"/>
        <w:autoSpaceDE/>
        <w:autoSpaceDN/>
        <w:bidi w:val="0"/>
        <w:adjustRightInd/>
        <w:snapToGrid/>
        <w:spacing w:before="0" w:line="560" w:lineRule="exact"/>
        <w:ind w:leftChars="196" w:left="412"/>
        <w:textAlignment w:val="auto"/>
        <w:outlineLvl w:val="1"/>
        <w:rPr>
          <w:rFonts w:ascii="楷体_GB2312" w:eastAsia="楷体_GB2312" w:cs="楷体_GB2312" w:hint="eastAsia"/>
          <w:b/>
          <w:bCs/>
          <w:kern w:val="2"/>
          <w:sz w:val="32"/>
          <w:szCs w:val="32"/>
        </w:rPr>
      </w:pPr>
      <w:bookmarkStart w:id="5" w:name="_Toc14446"/>
      <w:r>
        <w:rPr>
          <w:rFonts w:ascii="楷体_GB2312" w:eastAsia="楷体_GB2312" w:cs="楷体_GB2312" w:hint="eastAsia"/>
          <w:b/>
          <w:bCs/>
          <w:kern w:val="2"/>
          <w:sz w:val="32"/>
          <w:szCs w:val="32"/>
        </w:rPr>
        <w:t>（一）收入预算情况</w:t>
      </w:r>
      <w:bookmarkEnd w:id="5"/>
    </w:p>
    <w:p>
      <w:pPr>
        <w:pStyle w:val="23"/>
        <w:keepNext w:val="0"/>
        <w:keepLines w:val="0"/>
        <w:pageBreakBefore w:val="0"/>
        <w:widowControl w:val="0"/>
        <w:kinsoku/>
        <w:wordWrap/>
        <w:overflowPunct/>
        <w:topLinePunct w:val="0"/>
        <w:autoSpaceDE/>
        <w:autoSpaceDN/>
        <w:bidi w:val="0"/>
        <w:adjustRightInd/>
        <w:snapToGrid/>
        <w:spacing w:before="0" w:line="560" w:lineRule="exact"/>
        <w:ind w:left="0" w:firstLineChars="200" w:firstLine="640"/>
        <w:textAlignment w:val="auto"/>
        <w:rPr>
          <w:rFonts w:hint="eastAsia"/>
          <w:kern w:val="2"/>
          <w:sz w:val="32"/>
          <w:szCs w:val="32"/>
          <w:lang w:eastAsia="zh-CN"/>
        </w:rPr>
      </w:pPr>
      <w:r>
        <w:rPr>
          <w:rFonts w:hint="eastAsia"/>
          <w:kern w:val="2"/>
          <w:sz w:val="32"/>
          <w:szCs w:val="32"/>
        </w:rPr>
        <w:t>应急管理局</w:t>
      </w:r>
      <w:r>
        <w:rPr>
          <w:kern w:val="2"/>
          <w:sz w:val="32"/>
          <w:szCs w:val="32"/>
        </w:rPr>
        <w:t>202</w:t>
      </w:r>
      <w:r>
        <w:rPr>
          <w:rFonts w:hint="eastAsia"/>
          <w:kern w:val="2"/>
          <w:sz w:val="32"/>
          <w:szCs w:val="32"/>
          <w:lang w:val="en-US" w:eastAsia="zh-CN"/>
        </w:rPr>
        <w:t>2</w:t>
      </w:r>
      <w:r>
        <w:rPr>
          <w:kern w:val="2"/>
          <w:sz w:val="32"/>
          <w:szCs w:val="32"/>
        </w:rPr>
        <w:t>年</w:t>
      </w:r>
      <w:r>
        <w:rPr>
          <w:rFonts w:hint="eastAsia"/>
          <w:kern w:val="2"/>
          <w:sz w:val="32"/>
          <w:szCs w:val="32"/>
        </w:rPr>
        <w:t>收入预算</w:t>
      </w:r>
      <w:r>
        <w:rPr>
          <w:rFonts w:cs="Times New Roman" w:hint="eastAsia"/>
          <w:kern w:val="2"/>
          <w:sz w:val="32"/>
          <w:szCs w:val="32"/>
        </w:rPr>
        <w:t>4</w:t>
      </w:r>
      <w:r>
        <w:rPr>
          <w:rFonts w:cs="Times New Roman" w:hint="eastAsia"/>
          <w:kern w:val="2"/>
          <w:sz w:val="32"/>
          <w:szCs w:val="32"/>
          <w:lang w:val="en-US" w:eastAsia="zh-CN"/>
        </w:rPr>
        <w:t>43.65</w:t>
      </w:r>
      <w:r>
        <w:rPr>
          <w:rFonts w:hint="eastAsia"/>
          <w:kern w:val="2"/>
          <w:sz w:val="32"/>
          <w:szCs w:val="32"/>
        </w:rPr>
        <w:t>万元，一般公共预算拨款收入</w:t>
      </w:r>
      <w:r>
        <w:rPr>
          <w:rFonts w:cs="Times New Roman" w:hint="eastAsia"/>
          <w:kern w:val="2"/>
          <w:sz w:val="32"/>
          <w:szCs w:val="32"/>
        </w:rPr>
        <w:t>4</w:t>
      </w:r>
      <w:r>
        <w:rPr>
          <w:rFonts w:cs="Times New Roman" w:hint="eastAsia"/>
          <w:kern w:val="2"/>
          <w:sz w:val="32"/>
          <w:szCs w:val="32"/>
          <w:lang w:val="en-US" w:eastAsia="zh-CN"/>
        </w:rPr>
        <w:t>43.65</w:t>
      </w:r>
      <w:r>
        <w:rPr>
          <w:rFonts w:hint="eastAsia"/>
          <w:kern w:val="2"/>
          <w:sz w:val="32"/>
          <w:szCs w:val="32"/>
        </w:rPr>
        <w:t>万元，占</w:t>
      </w:r>
      <w:r>
        <w:rPr>
          <w:rFonts w:cs="Times New Roman" w:hint="eastAsia"/>
          <w:kern w:val="2"/>
          <w:sz w:val="32"/>
          <w:szCs w:val="32"/>
        </w:rPr>
        <w:t>100</w:t>
      </w:r>
      <w:r>
        <w:rPr>
          <w:kern w:val="2"/>
          <w:sz w:val="32"/>
          <w:szCs w:val="32"/>
        </w:rPr>
        <w:t>%</w:t>
      </w:r>
      <w:r>
        <w:rPr>
          <w:rFonts w:hint="eastAsia"/>
          <w:kern w:val="2"/>
          <w:sz w:val="32"/>
          <w:szCs w:val="32"/>
          <w:lang w:eastAsia="zh-CN"/>
        </w:rPr>
        <w:t>。</w:t>
      </w:r>
    </w:p>
    <w:p>
      <w:pPr>
        <w:pStyle w:val="23"/>
        <w:keepNext w:val="0"/>
        <w:keepLines w:val="0"/>
        <w:pageBreakBefore w:val="0"/>
        <w:widowControl w:val="0"/>
        <w:kinsoku/>
        <w:wordWrap/>
        <w:overflowPunct/>
        <w:topLinePunct w:val="0"/>
        <w:autoSpaceDE/>
        <w:autoSpaceDN/>
        <w:bidi w:val="0"/>
        <w:adjustRightInd/>
        <w:snapToGrid/>
        <w:spacing w:before="0" w:line="560" w:lineRule="exact"/>
        <w:ind w:firstLineChars="150" w:firstLine="480"/>
        <w:textAlignment w:val="auto"/>
        <w:outlineLvl w:val="1"/>
        <w:rPr>
          <w:rFonts w:hint="eastAsia"/>
          <w:b/>
          <w:bCs/>
          <w:kern w:val="2"/>
          <w:sz w:val="32"/>
          <w:szCs w:val="32"/>
        </w:rPr>
      </w:pPr>
      <w:bookmarkStart w:id="6" w:name="_Toc21328"/>
      <w:r>
        <w:rPr>
          <w:rFonts w:hint="eastAsia"/>
          <w:b/>
          <w:bCs/>
          <w:kern w:val="2"/>
          <w:sz w:val="32"/>
          <w:szCs w:val="32"/>
          <w:lang w:eastAsia="zh-CN"/>
        </w:rPr>
        <w:t>（</w:t>
      </w:r>
      <w:r>
        <w:rPr>
          <w:rFonts w:hint="eastAsia"/>
          <w:b/>
          <w:bCs/>
          <w:kern w:val="2"/>
          <w:sz w:val="32"/>
          <w:szCs w:val="32"/>
          <w:lang w:val="en-US" w:eastAsia="zh-CN"/>
        </w:rPr>
        <w:t>二）</w:t>
      </w:r>
      <w:r>
        <w:rPr>
          <w:rFonts w:hint="eastAsia"/>
          <w:b/>
          <w:bCs/>
          <w:kern w:val="2"/>
          <w:sz w:val="32"/>
          <w:szCs w:val="32"/>
        </w:rPr>
        <w:t>支出预算情况</w:t>
      </w:r>
      <w:bookmarkEnd w:id="6"/>
    </w:p>
    <w:p>
      <w:pPr>
        <w:pStyle w:val="23"/>
        <w:keepNext w:val="0"/>
        <w:keepLines w:val="0"/>
        <w:pageBreakBefore w:val="0"/>
        <w:widowControl w:val="0"/>
        <w:kinsoku/>
        <w:wordWrap/>
        <w:overflowPunct/>
        <w:topLinePunct w:val="0"/>
        <w:autoSpaceDE/>
        <w:autoSpaceDN/>
        <w:bidi w:val="0"/>
        <w:adjustRightInd/>
        <w:snapToGrid/>
        <w:spacing w:before="0" w:line="560" w:lineRule="exact"/>
        <w:ind w:left="0" w:firstLineChars="200" w:firstLine="640"/>
        <w:textAlignment w:val="auto"/>
        <w:rPr>
          <w:rFonts w:cs="Times New Roman"/>
          <w:kern w:val="2"/>
          <w:sz w:val="32"/>
          <w:szCs w:val="32"/>
        </w:rPr>
      </w:pPr>
      <w:r>
        <w:rPr>
          <w:rFonts w:hint="eastAsia"/>
          <w:kern w:val="2"/>
          <w:sz w:val="32"/>
          <w:szCs w:val="32"/>
        </w:rPr>
        <w:t>应急管理局</w:t>
      </w:r>
      <w:r>
        <w:rPr>
          <w:kern w:val="2"/>
          <w:sz w:val="32"/>
          <w:szCs w:val="32"/>
        </w:rPr>
        <w:t>202</w:t>
      </w:r>
      <w:r>
        <w:rPr>
          <w:rFonts w:hint="eastAsia"/>
          <w:kern w:val="2"/>
          <w:sz w:val="32"/>
          <w:szCs w:val="32"/>
          <w:lang w:val="en-US" w:eastAsia="zh-CN"/>
        </w:rPr>
        <w:t>2</w:t>
      </w:r>
      <w:r>
        <w:rPr>
          <w:kern w:val="2"/>
          <w:sz w:val="32"/>
          <w:szCs w:val="32"/>
        </w:rPr>
        <w:t>年</w:t>
      </w:r>
      <w:r>
        <w:rPr>
          <w:rFonts w:hint="eastAsia"/>
          <w:kern w:val="2"/>
          <w:sz w:val="32"/>
          <w:szCs w:val="32"/>
        </w:rPr>
        <w:t>支出预算</w:t>
      </w:r>
      <w:r>
        <w:rPr>
          <w:rFonts w:cs="Times New Roman" w:hint="eastAsia"/>
          <w:kern w:val="2"/>
          <w:sz w:val="32"/>
          <w:szCs w:val="32"/>
        </w:rPr>
        <w:t>4</w:t>
      </w:r>
      <w:r>
        <w:rPr>
          <w:rFonts w:cs="Times New Roman" w:hint="eastAsia"/>
          <w:kern w:val="2"/>
          <w:sz w:val="32"/>
          <w:szCs w:val="32"/>
          <w:lang w:val="en-US" w:eastAsia="zh-CN"/>
        </w:rPr>
        <w:t>43.65</w:t>
      </w:r>
      <w:r>
        <w:rPr>
          <w:rFonts w:hint="eastAsia"/>
          <w:kern w:val="2"/>
          <w:sz w:val="32"/>
          <w:szCs w:val="32"/>
        </w:rPr>
        <w:t>万元</w:t>
      </w:r>
      <w:r>
        <w:rPr>
          <w:rFonts w:hint="eastAsia"/>
          <w:kern w:val="2"/>
          <w:sz w:val="32"/>
          <w:szCs w:val="32"/>
          <w:lang w:eastAsia="zh-CN"/>
        </w:rPr>
        <w:t>。</w:t>
      </w:r>
      <w:r>
        <w:rPr>
          <w:rFonts w:hint="eastAsia"/>
          <w:kern w:val="2"/>
          <w:sz w:val="32"/>
          <w:szCs w:val="32"/>
          <w:lang w:val="en-US" w:eastAsia="zh-CN"/>
        </w:rPr>
        <w:t>其中：</w:t>
      </w:r>
      <w:r>
        <w:rPr>
          <w:rFonts w:hint="eastAsia"/>
          <w:kern w:val="2"/>
          <w:sz w:val="32"/>
          <w:szCs w:val="32"/>
        </w:rPr>
        <w:t>基本支出</w:t>
      </w:r>
      <w:r>
        <w:rPr>
          <w:rFonts w:cs="Times New Roman" w:hint="eastAsia"/>
          <w:kern w:val="2"/>
          <w:sz w:val="32"/>
          <w:szCs w:val="32"/>
        </w:rPr>
        <w:t>4</w:t>
      </w:r>
      <w:r>
        <w:rPr>
          <w:rFonts w:cs="Times New Roman" w:hint="eastAsia"/>
          <w:kern w:val="2"/>
          <w:sz w:val="32"/>
          <w:szCs w:val="32"/>
          <w:lang w:val="en-US" w:eastAsia="zh-CN"/>
        </w:rPr>
        <w:t>43.65</w:t>
      </w:r>
      <w:r>
        <w:rPr>
          <w:rFonts w:hint="eastAsia"/>
          <w:kern w:val="2"/>
          <w:sz w:val="32"/>
          <w:szCs w:val="32"/>
        </w:rPr>
        <w:t>万元，占</w:t>
      </w:r>
      <w:r>
        <w:rPr>
          <w:rFonts w:cs="Times New Roman" w:hint="eastAsia"/>
          <w:kern w:val="2"/>
          <w:sz w:val="32"/>
          <w:szCs w:val="32"/>
        </w:rPr>
        <w:t>100</w:t>
      </w:r>
      <w:r>
        <w:rPr>
          <w:kern w:val="2"/>
          <w:sz w:val="32"/>
          <w:szCs w:val="32"/>
        </w:rPr>
        <w:t>%</w:t>
      </w:r>
      <w:r>
        <w:rPr>
          <w:rFonts w:hint="eastAsia"/>
          <w:kern w:val="2"/>
          <w:sz w:val="32"/>
          <w:szCs w:val="32"/>
        </w:rPr>
        <w:t>。</w:t>
      </w:r>
    </w:p>
    <w:p>
      <w:pPr>
        <w:pStyle w:val="23"/>
        <w:spacing w:before="0" w:line="360" w:lineRule="auto"/>
        <w:ind w:firstLineChars="200" w:firstLine="640"/>
        <w:outlineLvl w:val="0"/>
        <w:rPr>
          <w:rFonts w:hint="eastAsia"/>
          <w:kern w:val="2"/>
          <w:sz w:val="32"/>
          <w:szCs w:val="32"/>
          <w:lang w:val="en-US" w:eastAsia="zh-CN"/>
        </w:rPr>
      </w:pPr>
      <w:bookmarkStart w:id="7" w:name="_Toc21242"/>
      <w:r>
        <w:rPr>
          <w:rFonts w:ascii="黑体" w:eastAsia="黑体" w:cs="黑体" w:hint="eastAsia"/>
          <w:kern w:val="2"/>
          <w:sz w:val="32"/>
          <w:szCs w:val="32"/>
          <w:lang w:val="en-US" w:eastAsia="zh-CN"/>
        </w:rPr>
        <w:t>四、</w:t>
      </w:r>
      <w:r>
        <w:rPr>
          <w:rFonts w:ascii="黑体" w:eastAsia="黑体" w:cs="黑体" w:hint="eastAsia"/>
          <w:kern w:val="2"/>
          <w:sz w:val="32"/>
          <w:szCs w:val="32"/>
        </w:rPr>
        <w:t>财政拨款收支预算情况说明</w:t>
      </w:r>
      <w:bookmarkEnd w:id="7"/>
    </w:p>
    <w:p>
      <w:pPr>
        <w:pStyle w:val="23"/>
        <w:keepNext w:val="0"/>
        <w:keepLines w:val="0"/>
        <w:pageBreakBefore w:val="0"/>
        <w:widowControl w:val="0"/>
        <w:kinsoku/>
        <w:wordWrap/>
        <w:overflowPunct/>
        <w:topLinePunct w:val="0"/>
        <w:autoSpaceDE/>
        <w:autoSpaceDN/>
        <w:bidi w:val="0"/>
        <w:adjustRightInd/>
        <w:snapToGrid/>
        <w:spacing w:before="0" w:line="560" w:lineRule="exact"/>
        <w:ind w:left="0" w:firstLineChars="200" w:firstLine="640"/>
        <w:textAlignment w:val="auto"/>
        <w:outlineLvl w:val="9"/>
        <w:rPr>
          <w:rFonts w:hint="eastAsia"/>
          <w:kern w:val="2"/>
          <w:sz w:val="32"/>
          <w:szCs w:val="32"/>
          <w:lang w:val="en-US" w:eastAsia="zh-CN"/>
        </w:rPr>
      </w:pPr>
      <w:r>
        <w:rPr>
          <w:rFonts w:hint="eastAsia"/>
          <w:kern w:val="2"/>
          <w:sz w:val="32"/>
          <w:szCs w:val="32"/>
        </w:rPr>
        <w:t>应急管理局</w:t>
      </w:r>
      <w:r>
        <w:rPr>
          <w:kern w:val="2"/>
          <w:sz w:val="32"/>
          <w:szCs w:val="32"/>
        </w:rPr>
        <w:t>202</w:t>
      </w:r>
      <w:r>
        <w:rPr>
          <w:rFonts w:hint="eastAsia"/>
          <w:kern w:val="2"/>
          <w:sz w:val="32"/>
          <w:szCs w:val="32"/>
          <w:lang w:val="en-US" w:eastAsia="zh-CN"/>
        </w:rPr>
        <w:t>2</w:t>
      </w:r>
      <w:r>
        <w:rPr>
          <w:kern w:val="2"/>
          <w:sz w:val="32"/>
          <w:szCs w:val="32"/>
        </w:rPr>
        <w:t>年</w:t>
      </w:r>
      <w:r>
        <w:rPr>
          <w:rFonts w:hint="eastAsia"/>
          <w:kern w:val="2"/>
          <w:sz w:val="32"/>
          <w:szCs w:val="32"/>
        </w:rPr>
        <w:t>财政拨款收支总预算</w:t>
      </w:r>
      <w:r>
        <w:rPr>
          <w:rFonts w:cs="Times New Roman" w:hint="eastAsia"/>
          <w:kern w:val="2"/>
          <w:sz w:val="32"/>
          <w:szCs w:val="32"/>
        </w:rPr>
        <w:t>4</w:t>
      </w:r>
      <w:r>
        <w:rPr>
          <w:rFonts w:cs="Times New Roman" w:hint="eastAsia"/>
          <w:kern w:val="2"/>
          <w:sz w:val="32"/>
          <w:szCs w:val="32"/>
          <w:lang w:val="en-US" w:eastAsia="zh-CN"/>
        </w:rPr>
        <w:t>43.65</w:t>
      </w:r>
      <w:r>
        <w:rPr>
          <w:rFonts w:hint="eastAsia"/>
          <w:kern w:val="2"/>
          <w:sz w:val="32"/>
          <w:szCs w:val="32"/>
        </w:rPr>
        <w:t>万元</w:t>
      </w:r>
      <w:r>
        <w:rPr>
          <w:kern w:val="2"/>
          <w:sz w:val="32"/>
          <w:szCs w:val="32"/>
        </w:rPr>
        <w:t>,</w:t>
      </w:r>
      <w:r>
        <w:rPr>
          <w:rFonts w:hint="eastAsia"/>
          <w:kern w:val="2"/>
          <w:sz w:val="32"/>
          <w:szCs w:val="32"/>
        </w:rPr>
        <w:t>比</w:t>
      </w:r>
      <w:r>
        <w:rPr>
          <w:kern w:val="2"/>
          <w:sz w:val="32"/>
          <w:szCs w:val="32"/>
        </w:rPr>
        <w:t>202</w:t>
      </w:r>
      <w:r>
        <w:rPr>
          <w:rFonts w:hint="eastAsia"/>
          <w:kern w:val="2"/>
          <w:sz w:val="32"/>
          <w:szCs w:val="32"/>
          <w:lang w:val="en-US" w:eastAsia="zh-CN"/>
        </w:rPr>
        <w:t>1</w:t>
      </w:r>
      <w:r>
        <w:rPr>
          <w:kern w:val="2"/>
          <w:sz w:val="32"/>
          <w:szCs w:val="32"/>
        </w:rPr>
        <w:t>年</w:t>
      </w:r>
      <w:r>
        <w:rPr>
          <w:rFonts w:hint="eastAsia"/>
          <w:kern w:val="2"/>
          <w:sz w:val="32"/>
          <w:szCs w:val="32"/>
        </w:rPr>
        <w:t>财政拨款收支总预算元</w:t>
      </w:r>
      <w:r>
        <w:rPr>
          <w:rFonts w:hint="eastAsia"/>
          <w:kern w:val="2"/>
          <w:sz w:val="32"/>
          <w:szCs w:val="32"/>
          <w:lang w:val="en-US" w:eastAsia="zh-CN"/>
        </w:rPr>
        <w:t>减少</w:t>
      </w:r>
      <w:r>
        <w:rPr>
          <w:rFonts w:hint="eastAsia"/>
          <w:kern w:val="2"/>
          <w:sz w:val="32"/>
          <w:szCs w:val="32"/>
        </w:rPr>
        <w:t>13.61万元，主要原因:202</w:t>
      </w:r>
      <w:r>
        <w:rPr>
          <w:rFonts w:hint="eastAsia"/>
          <w:kern w:val="2"/>
          <w:sz w:val="32"/>
          <w:szCs w:val="32"/>
          <w:lang w:val="en-US" w:eastAsia="zh-CN"/>
        </w:rPr>
        <w:t>2</w:t>
      </w:r>
      <w:r>
        <w:rPr>
          <w:rFonts w:hint="eastAsia"/>
          <w:kern w:val="2"/>
          <w:sz w:val="32"/>
          <w:szCs w:val="32"/>
        </w:rPr>
        <w:t>人员经费预算</w:t>
      </w:r>
      <w:r>
        <w:rPr>
          <w:rFonts w:hint="eastAsia"/>
          <w:kern w:val="2"/>
          <w:sz w:val="32"/>
          <w:szCs w:val="32"/>
          <w:lang w:val="en-US" w:eastAsia="zh-CN"/>
        </w:rPr>
        <w:t>减少。</w:t>
      </w:r>
    </w:p>
    <w:p>
      <w:pPr>
        <w:pStyle w:val="23"/>
        <w:keepNext w:val="0"/>
        <w:keepLines w:val="0"/>
        <w:pageBreakBefore w:val="0"/>
        <w:widowControl w:val="0"/>
        <w:kinsoku/>
        <w:wordWrap/>
        <w:overflowPunct/>
        <w:topLinePunct w:val="0"/>
        <w:autoSpaceDE/>
        <w:autoSpaceDN/>
        <w:bidi w:val="0"/>
        <w:adjustRightInd/>
        <w:snapToGrid/>
        <w:spacing w:before="0" w:line="560" w:lineRule="exact"/>
        <w:ind w:left="0" w:firstLineChars="200" w:firstLine="640"/>
        <w:textAlignment w:val="auto"/>
        <w:rPr>
          <w:rFonts w:hint="eastAsia"/>
          <w:kern w:val="2"/>
          <w:sz w:val="32"/>
          <w:szCs w:val="32"/>
        </w:rPr>
      </w:pPr>
      <w:r>
        <w:rPr>
          <w:rFonts w:hint="eastAsia"/>
          <w:kern w:val="2"/>
          <w:sz w:val="32"/>
          <w:szCs w:val="32"/>
        </w:rPr>
        <w:t>收入包括：本年一般公共预算拨款收入4</w:t>
      </w:r>
      <w:r>
        <w:rPr>
          <w:rFonts w:hint="eastAsia"/>
          <w:kern w:val="2"/>
          <w:sz w:val="32"/>
          <w:szCs w:val="32"/>
          <w:lang w:val="en-US" w:eastAsia="zh-CN"/>
        </w:rPr>
        <w:t>43.65</w:t>
      </w:r>
      <w:r>
        <w:rPr>
          <w:rFonts w:hint="eastAsia"/>
          <w:kern w:val="2"/>
          <w:sz w:val="32"/>
          <w:szCs w:val="32"/>
        </w:rPr>
        <w:t>万元。</w:t>
      </w:r>
      <w:r>
        <w:rPr>
          <w:rFonts w:cs="Times New Roman"/>
          <w:kern w:val="2"/>
          <w:sz w:val="32"/>
          <w:szCs w:val="32"/>
        </w:rPr>
        <w:br/>
      </w:r>
      <w:r>
        <w:rPr>
          <w:rFonts w:hint="eastAsia"/>
          <w:kern w:val="2"/>
          <w:sz w:val="32"/>
          <w:szCs w:val="32"/>
        </w:rPr>
        <w:t>　　支出包括：一般公共预算拨款收入443.65万元，支出包括：社会保障和就业支出61.52万元，</w:t>
      </w:r>
      <w:r>
        <w:rPr>
          <w:rFonts w:hint="eastAsia"/>
          <w:kern w:val="2"/>
          <w:sz w:val="32"/>
          <w:szCs w:val="32"/>
          <w:lang w:val="en-US" w:eastAsia="zh-CN"/>
        </w:rPr>
        <w:t>卫生和健康</w:t>
      </w:r>
      <w:r>
        <w:rPr>
          <w:rFonts w:hint="eastAsia"/>
          <w:kern w:val="2"/>
          <w:sz w:val="32"/>
          <w:szCs w:val="32"/>
        </w:rPr>
        <w:t>支出22.88万元，住房保障支出40.43万元，灾害防治及应急管理支</w:t>
      </w:r>
      <w:r>
        <w:rPr>
          <w:rFonts w:hint="eastAsia"/>
          <w:kern w:val="2"/>
          <w:sz w:val="32"/>
          <w:szCs w:val="32"/>
          <w:lang w:val="en-US" w:eastAsia="zh-CN"/>
        </w:rPr>
        <w:t>出</w:t>
      </w:r>
      <w:r>
        <w:rPr>
          <w:rFonts w:hint="eastAsia"/>
          <w:kern w:val="2"/>
          <w:sz w:val="32"/>
          <w:szCs w:val="32"/>
        </w:rPr>
        <w:t>318.82万元。</w:t>
      </w:r>
    </w:p>
    <w:p>
      <w:pPr>
        <w:pStyle w:val="23"/>
        <w:spacing w:before="0" w:line="360" w:lineRule="auto"/>
        <w:ind w:firstLineChars="200" w:firstLine="640"/>
        <w:outlineLvl w:val="0"/>
        <w:rPr>
          <w:rFonts w:ascii="黑体" w:eastAsia="黑体" w:cs="黑体" w:hint="eastAsia"/>
          <w:kern w:val="2"/>
          <w:sz w:val="32"/>
          <w:szCs w:val="32"/>
        </w:rPr>
      </w:pPr>
      <w:bookmarkStart w:id="8" w:name="_Toc32381"/>
      <w:r>
        <w:rPr>
          <w:rFonts w:ascii="黑体" w:eastAsia="黑体" w:cs="黑体" w:hint="eastAsia"/>
          <w:kern w:val="2"/>
          <w:sz w:val="32"/>
          <w:szCs w:val="32"/>
          <w:lang w:val="en-US" w:eastAsia="zh-CN"/>
        </w:rPr>
        <w:t>五、</w:t>
      </w:r>
      <w:r>
        <w:rPr>
          <w:rFonts w:ascii="黑体" w:eastAsia="黑体" w:cs="黑体" w:hint="eastAsia"/>
          <w:kern w:val="2"/>
          <w:sz w:val="32"/>
          <w:szCs w:val="32"/>
        </w:rPr>
        <w:t>一般公共预算当年拨款情况说明</w:t>
      </w:r>
      <w:bookmarkEnd w:id="8"/>
    </w:p>
    <w:p>
      <w:pPr>
        <w:pStyle w:val="23"/>
        <w:spacing w:before="0" w:line="360" w:lineRule="auto"/>
        <w:ind w:left="0" w:firstLineChars="200" w:firstLine="640"/>
        <w:outlineLvl w:val="1"/>
        <w:rPr>
          <w:rFonts w:ascii="仿宋_GB2312" w:eastAsia="仿宋_GB2312" w:cs="仿宋_GB2312" w:hint="eastAsia"/>
          <w:b/>
          <w:bCs/>
          <w:kern w:val="2"/>
          <w:sz w:val="32"/>
          <w:szCs w:val="32"/>
        </w:rPr>
      </w:pPr>
      <w:bookmarkStart w:id="9" w:name="_Toc27172"/>
      <w:r>
        <w:rPr>
          <w:rFonts w:ascii="仿宋_GB2312" w:eastAsia="仿宋_GB2312" w:cs="仿宋_GB2312"/>
          <w:b/>
          <w:bCs/>
          <w:kern w:val="2"/>
          <w:sz w:val="32"/>
          <w:szCs w:val="32"/>
        </w:rPr>
        <w:t>（一）</w:t>
      </w:r>
      <w:r>
        <w:rPr>
          <w:rFonts w:ascii="仿宋_GB2312" w:eastAsia="仿宋_GB2312" w:cs="仿宋_GB2312" w:hint="eastAsia"/>
          <w:b/>
          <w:bCs/>
          <w:kern w:val="2"/>
          <w:sz w:val="32"/>
          <w:szCs w:val="32"/>
        </w:rPr>
        <w:t>一般公共预算当年拨款规模变化情况</w:t>
      </w:r>
      <w:bookmarkEnd w:id="9"/>
    </w:p>
    <w:p>
      <w:pPr>
        <w:pStyle w:val="23"/>
        <w:keepNext w:val="0"/>
        <w:keepLines w:val="0"/>
        <w:pageBreakBefore w:val="0"/>
        <w:widowControl w:val="0"/>
        <w:kinsoku/>
        <w:wordWrap/>
        <w:overflowPunct/>
        <w:topLinePunct w:val="0"/>
        <w:autoSpaceDE/>
        <w:autoSpaceDN/>
        <w:bidi w:val="0"/>
        <w:adjustRightInd/>
        <w:snapToGrid/>
        <w:spacing w:before="0" w:line="560" w:lineRule="exact"/>
        <w:ind w:left="0" w:firstLineChars="200" w:firstLine="640"/>
        <w:textAlignment w:val="auto"/>
        <w:rPr>
          <w:rFonts w:hint="eastAsia"/>
          <w:kern w:val="2"/>
          <w:sz w:val="32"/>
          <w:szCs w:val="32"/>
        </w:rPr>
      </w:pPr>
      <w:r>
        <w:rPr>
          <w:rFonts w:hint="eastAsia"/>
          <w:kern w:val="2"/>
          <w:sz w:val="32"/>
          <w:szCs w:val="32"/>
        </w:rPr>
        <w:t>应急管理局</w:t>
      </w:r>
      <w:r>
        <w:rPr>
          <w:kern w:val="2"/>
          <w:sz w:val="32"/>
          <w:szCs w:val="32"/>
        </w:rPr>
        <w:t>202</w:t>
      </w:r>
      <w:r>
        <w:rPr>
          <w:rFonts w:hint="eastAsia"/>
          <w:kern w:val="2"/>
          <w:sz w:val="32"/>
          <w:szCs w:val="32"/>
          <w:lang w:val="en-US" w:eastAsia="zh-CN"/>
        </w:rPr>
        <w:t>2</w:t>
      </w:r>
      <w:r>
        <w:rPr>
          <w:kern w:val="2"/>
          <w:sz w:val="32"/>
          <w:szCs w:val="32"/>
        </w:rPr>
        <w:t>年</w:t>
      </w:r>
      <w:r>
        <w:rPr>
          <w:rFonts w:hint="eastAsia"/>
          <w:kern w:val="2"/>
          <w:sz w:val="32"/>
          <w:szCs w:val="32"/>
        </w:rPr>
        <w:t>一般公共预算当年拨款443.65万元，比</w:t>
      </w:r>
      <w:r>
        <w:rPr>
          <w:kern w:val="2"/>
          <w:sz w:val="32"/>
          <w:szCs w:val="32"/>
        </w:rPr>
        <w:t>2020年</w:t>
      </w:r>
      <w:r>
        <w:rPr>
          <w:rFonts w:hint="eastAsia"/>
          <w:kern w:val="2"/>
          <w:sz w:val="32"/>
          <w:szCs w:val="32"/>
        </w:rPr>
        <w:t>预算数</w:t>
      </w:r>
      <w:r>
        <w:rPr>
          <w:rFonts w:hint="eastAsia"/>
          <w:kern w:val="2"/>
          <w:sz w:val="32"/>
          <w:szCs w:val="32"/>
          <w:lang w:val="en-US" w:eastAsia="zh-CN"/>
        </w:rPr>
        <w:t>减少</w:t>
      </w:r>
      <w:r>
        <w:rPr>
          <w:rFonts w:hint="eastAsia"/>
          <w:kern w:val="2"/>
          <w:sz w:val="32"/>
          <w:szCs w:val="32"/>
        </w:rPr>
        <w:t>13.61万元，主要是基本支出</w:t>
      </w:r>
      <w:r>
        <w:rPr>
          <w:rFonts w:hint="eastAsia"/>
          <w:kern w:val="2"/>
          <w:sz w:val="32"/>
          <w:szCs w:val="32"/>
          <w:lang w:val="en-US" w:eastAsia="zh-CN"/>
        </w:rPr>
        <w:t>减少</w:t>
      </w:r>
      <w:r>
        <w:rPr>
          <w:rFonts w:hint="eastAsia"/>
          <w:kern w:val="2"/>
          <w:sz w:val="32"/>
          <w:szCs w:val="32"/>
        </w:rPr>
        <w:t>13.61万元，主要原因:202</w:t>
      </w:r>
      <w:r>
        <w:rPr>
          <w:rFonts w:hint="eastAsia"/>
          <w:kern w:val="2"/>
          <w:sz w:val="32"/>
          <w:szCs w:val="32"/>
          <w:lang w:val="en-US" w:eastAsia="zh-CN"/>
        </w:rPr>
        <w:t>2</w:t>
      </w:r>
      <w:r>
        <w:rPr>
          <w:rFonts w:hint="eastAsia"/>
          <w:kern w:val="2"/>
          <w:sz w:val="32"/>
          <w:szCs w:val="32"/>
        </w:rPr>
        <w:t>人员经费预算</w:t>
      </w:r>
      <w:r>
        <w:rPr>
          <w:rFonts w:hint="eastAsia"/>
          <w:kern w:val="2"/>
          <w:sz w:val="32"/>
          <w:szCs w:val="32"/>
          <w:lang w:val="en-US" w:eastAsia="zh-CN"/>
        </w:rPr>
        <w:t>减少</w:t>
      </w:r>
      <w:r>
        <w:rPr>
          <w:rFonts w:hint="eastAsia"/>
          <w:kern w:val="2"/>
          <w:sz w:val="32"/>
          <w:szCs w:val="32"/>
        </w:rPr>
        <w:t>。</w:t>
      </w:r>
    </w:p>
    <w:p>
      <w:pPr>
        <w:pStyle w:val="23"/>
        <w:spacing w:before="0" w:line="360" w:lineRule="auto"/>
        <w:ind w:firstLineChars="200" w:firstLine="640"/>
        <w:outlineLvl w:val="1"/>
        <w:rPr>
          <w:rFonts w:ascii="仿宋_GB2312" w:eastAsia="仿宋_GB2312" w:cs="仿宋_GB2312" w:hint="eastAsia"/>
          <w:b/>
          <w:bCs/>
          <w:kern w:val="2"/>
          <w:sz w:val="32"/>
          <w:szCs w:val="32"/>
        </w:rPr>
      </w:pPr>
      <w:bookmarkStart w:id="10" w:name="_Toc21389"/>
      <w:r>
        <w:rPr>
          <w:rFonts w:ascii="仿宋_GB2312" w:eastAsia="仿宋_GB2312" w:cs="仿宋_GB2312"/>
          <w:b/>
          <w:bCs/>
          <w:kern w:val="2"/>
          <w:sz w:val="32"/>
          <w:szCs w:val="32"/>
        </w:rPr>
        <w:t>（二）</w:t>
      </w:r>
      <w:r>
        <w:rPr>
          <w:rFonts w:ascii="仿宋_GB2312" w:eastAsia="仿宋_GB2312" w:cs="仿宋_GB2312" w:hint="eastAsia"/>
          <w:b/>
          <w:bCs/>
          <w:kern w:val="2"/>
          <w:sz w:val="32"/>
          <w:szCs w:val="32"/>
        </w:rPr>
        <w:t>一般公共预算当年拨款结构情况</w:t>
      </w:r>
      <w:bookmarkEnd w:id="10"/>
    </w:p>
    <w:p>
      <w:pPr>
        <w:pStyle w:val="23"/>
        <w:keepNext w:val="0"/>
        <w:keepLines w:val="0"/>
        <w:pageBreakBefore w:val="0"/>
        <w:widowControl w:val="0"/>
        <w:kinsoku/>
        <w:wordWrap/>
        <w:overflowPunct/>
        <w:topLinePunct w:val="0"/>
        <w:autoSpaceDE/>
        <w:autoSpaceDN/>
        <w:bidi w:val="0"/>
        <w:adjustRightInd/>
        <w:snapToGrid/>
        <w:spacing w:before="0" w:line="560" w:lineRule="exact"/>
        <w:ind w:left="0" w:firstLineChars="200" w:firstLine="640"/>
        <w:textAlignment w:val="auto"/>
        <w:rPr>
          <w:rFonts w:hint="eastAsia"/>
          <w:kern w:val="2"/>
          <w:sz w:val="32"/>
          <w:szCs w:val="32"/>
        </w:rPr>
      </w:pPr>
      <w:r>
        <w:rPr>
          <w:rFonts w:hint="eastAsia"/>
          <w:kern w:val="2"/>
          <w:sz w:val="32"/>
          <w:szCs w:val="32"/>
        </w:rPr>
        <w:t>社会保障和就业支出61.52万元，</w:t>
      </w:r>
      <w:r>
        <w:rPr>
          <w:rFonts w:hint="eastAsia"/>
          <w:kern w:val="2"/>
          <w:sz w:val="32"/>
          <w:szCs w:val="32"/>
          <w:lang w:val="en-US" w:eastAsia="zh-CN"/>
        </w:rPr>
        <w:t>占13.87%；卫生和健康</w:t>
      </w:r>
      <w:r>
        <w:rPr>
          <w:rFonts w:hint="eastAsia"/>
          <w:kern w:val="2"/>
          <w:sz w:val="32"/>
          <w:szCs w:val="32"/>
        </w:rPr>
        <w:t>支出22.88万元，</w:t>
      </w:r>
      <w:r>
        <w:rPr>
          <w:rFonts w:hint="eastAsia"/>
          <w:kern w:val="2"/>
          <w:sz w:val="32"/>
          <w:szCs w:val="32"/>
          <w:lang w:val="en-US" w:eastAsia="zh-CN"/>
        </w:rPr>
        <w:t>占5.16%；</w:t>
      </w:r>
      <w:r>
        <w:rPr>
          <w:rFonts w:hint="eastAsia"/>
          <w:kern w:val="2"/>
          <w:sz w:val="32"/>
          <w:szCs w:val="32"/>
        </w:rPr>
        <w:t>住房保障支出40.43万元，</w:t>
      </w:r>
      <w:r>
        <w:rPr>
          <w:rFonts w:hint="eastAsia"/>
          <w:kern w:val="2"/>
          <w:sz w:val="32"/>
          <w:szCs w:val="32"/>
          <w:lang w:val="en-US" w:eastAsia="zh-CN"/>
        </w:rPr>
        <w:t>占9.11%；</w:t>
      </w:r>
      <w:r>
        <w:rPr>
          <w:rFonts w:hint="eastAsia"/>
          <w:kern w:val="2"/>
          <w:sz w:val="32"/>
          <w:szCs w:val="32"/>
        </w:rPr>
        <w:t>灾害防治及应急管理支</w:t>
      </w:r>
      <w:r>
        <w:rPr>
          <w:rFonts w:hint="eastAsia"/>
          <w:kern w:val="2"/>
          <w:sz w:val="32"/>
          <w:szCs w:val="32"/>
          <w:lang w:val="en-US" w:eastAsia="zh-CN"/>
        </w:rPr>
        <w:t>出</w:t>
      </w:r>
      <w:r>
        <w:rPr>
          <w:rFonts w:hint="eastAsia"/>
          <w:kern w:val="2"/>
          <w:sz w:val="32"/>
          <w:szCs w:val="32"/>
        </w:rPr>
        <w:t>318.82万元</w:t>
      </w:r>
      <w:r>
        <w:rPr>
          <w:rFonts w:hint="eastAsia"/>
          <w:kern w:val="2"/>
          <w:sz w:val="32"/>
          <w:szCs w:val="32"/>
          <w:lang w:eastAsia="zh-CN"/>
        </w:rPr>
        <w:t>，</w:t>
      </w:r>
      <w:r>
        <w:rPr>
          <w:rFonts w:hint="eastAsia"/>
          <w:kern w:val="2"/>
          <w:sz w:val="32"/>
          <w:szCs w:val="32"/>
          <w:lang w:val="en-US" w:eastAsia="zh-CN"/>
        </w:rPr>
        <w:t>占71.86%</w:t>
      </w:r>
      <w:r>
        <w:rPr>
          <w:rFonts w:hint="eastAsia"/>
          <w:kern w:val="2"/>
          <w:sz w:val="32"/>
          <w:szCs w:val="32"/>
        </w:rPr>
        <w:t>。</w:t>
      </w:r>
    </w:p>
    <w:p>
      <w:pPr>
        <w:pStyle w:val="23"/>
        <w:spacing w:before="0" w:line="360" w:lineRule="auto"/>
        <w:ind w:firstLineChars="200" w:firstLine="640"/>
        <w:outlineLvl w:val="1"/>
        <w:rPr>
          <w:rFonts w:ascii="仿宋_GB2312" w:eastAsia="仿宋_GB2312" w:cs="仿宋_GB2312" w:hint="eastAsia"/>
          <w:b/>
          <w:bCs/>
          <w:kern w:val="2"/>
          <w:sz w:val="32"/>
          <w:szCs w:val="32"/>
        </w:rPr>
      </w:pPr>
      <w:bookmarkStart w:id="11" w:name="_Toc28009"/>
      <w:r>
        <w:rPr>
          <w:rFonts w:ascii="仿宋_GB2312" w:eastAsia="仿宋_GB2312" w:cs="仿宋_GB2312"/>
          <w:b/>
          <w:bCs/>
          <w:kern w:val="2"/>
          <w:sz w:val="32"/>
          <w:szCs w:val="32"/>
        </w:rPr>
        <w:t>（三）</w:t>
      </w:r>
      <w:r>
        <w:rPr>
          <w:rFonts w:ascii="仿宋_GB2312" w:eastAsia="仿宋_GB2312" w:cs="仿宋_GB2312" w:hint="eastAsia"/>
          <w:b/>
          <w:bCs/>
          <w:kern w:val="2"/>
          <w:sz w:val="32"/>
          <w:szCs w:val="32"/>
        </w:rPr>
        <w:t>一般公共预算当年拨款具体使用情况</w:t>
      </w:r>
      <w:bookmarkEnd w:id="11"/>
    </w:p>
    <w:p>
      <w:pPr>
        <w:pStyle w:val="23"/>
        <w:keepNext w:val="0"/>
        <w:keepLines w:val="0"/>
        <w:pageBreakBefore w:val="0"/>
        <w:widowControl w:val="0"/>
        <w:kinsoku/>
        <w:wordWrap/>
        <w:overflowPunct/>
        <w:topLinePunct w:val="0"/>
        <w:autoSpaceDE/>
        <w:autoSpaceDN/>
        <w:bidi w:val="0"/>
        <w:adjustRightInd/>
        <w:snapToGrid/>
        <w:spacing w:before="0" w:line="560" w:lineRule="exact"/>
        <w:ind w:left="0" w:firstLineChars="200" w:firstLine="640"/>
        <w:textAlignment w:val="auto"/>
        <w:rPr>
          <w:rFonts w:hint="eastAsia"/>
          <w:kern w:val="2"/>
          <w:sz w:val="32"/>
          <w:szCs w:val="32"/>
        </w:rPr>
      </w:pPr>
      <w:bookmarkStart w:id="12" w:name="_GoBack"/>
      <w:bookmarkEnd w:id="12"/>
      <w:r>
        <w:rPr>
          <w:kern w:val="2"/>
          <w:sz w:val="32"/>
          <w:szCs w:val="32"/>
        </w:rPr>
        <w:t>1</w:t>
      </w:r>
      <w:r>
        <w:rPr>
          <w:rFonts w:hint="eastAsia"/>
          <w:kern w:val="2"/>
          <w:sz w:val="32"/>
          <w:szCs w:val="32"/>
        </w:rPr>
        <w:t>．208（类）</w:t>
      </w:r>
      <w:r>
        <w:rPr>
          <w:kern w:val="2"/>
          <w:sz w:val="32"/>
          <w:szCs w:val="32"/>
        </w:rPr>
        <w:t>05</w:t>
      </w:r>
      <w:r>
        <w:rPr>
          <w:rFonts w:hint="eastAsia"/>
          <w:kern w:val="2"/>
          <w:sz w:val="32"/>
          <w:szCs w:val="32"/>
        </w:rPr>
        <w:t>（款）</w:t>
      </w:r>
      <w:r>
        <w:rPr>
          <w:kern w:val="2"/>
          <w:sz w:val="32"/>
          <w:szCs w:val="32"/>
        </w:rPr>
        <w:t>0</w:t>
      </w:r>
      <w:r>
        <w:rPr>
          <w:rFonts w:hint="eastAsia"/>
          <w:kern w:val="2"/>
          <w:sz w:val="32"/>
          <w:szCs w:val="32"/>
        </w:rPr>
        <w:t>5（项）：  机关事业单位基本养老保险缴费支出41.01万元，主要用于</w:t>
      </w:r>
      <w:r>
        <w:rPr>
          <w:kern w:val="2"/>
          <w:sz w:val="32"/>
          <w:szCs w:val="32"/>
        </w:rPr>
        <w:t xml:space="preserve"> :</w:t>
      </w:r>
      <w:r>
        <w:rPr>
          <w:rFonts w:hint="eastAsia"/>
          <w:kern w:val="2"/>
          <w:sz w:val="32"/>
          <w:szCs w:val="32"/>
        </w:rPr>
        <w:t>202</w:t>
      </w:r>
      <w:r>
        <w:rPr>
          <w:rFonts w:hint="eastAsia"/>
          <w:kern w:val="2"/>
          <w:sz w:val="32"/>
          <w:szCs w:val="32"/>
          <w:lang w:val="en-US" w:eastAsia="zh-CN"/>
        </w:rPr>
        <w:t>2</w:t>
      </w:r>
      <w:r>
        <w:rPr>
          <w:rFonts w:hint="eastAsia"/>
          <w:kern w:val="2"/>
          <w:sz w:val="32"/>
          <w:szCs w:val="32"/>
        </w:rPr>
        <w:t>年单位职工养老</w:t>
      </w:r>
      <w:r>
        <w:rPr>
          <w:rFonts w:ascii="仿宋_GB2312" w:eastAsia="仿宋_GB2312" w:cs="仿宋_GB2312" w:hint="eastAsia"/>
          <w:b w:val="0"/>
          <w:bCs w:val="0"/>
          <w:kern w:val="2"/>
          <w:sz w:val="32"/>
          <w:szCs w:val="32"/>
        </w:rPr>
        <w:t>保险</w:t>
      </w:r>
      <w:r>
        <w:rPr>
          <w:rFonts w:hint="eastAsia"/>
          <w:kern w:val="2"/>
          <w:sz w:val="32"/>
          <w:szCs w:val="32"/>
        </w:rPr>
        <w:t>支出。</w:t>
      </w:r>
      <w:r>
        <w:rPr>
          <w:kern w:val="2"/>
          <w:sz w:val="32"/>
          <w:szCs w:val="32"/>
        </w:rPr>
        <w:br/>
      </w:r>
      <w:r>
        <w:rPr>
          <w:rFonts w:hint="eastAsia"/>
          <w:kern w:val="2"/>
          <w:sz w:val="32"/>
          <w:szCs w:val="32"/>
        </w:rPr>
        <w:t>　　</w:t>
      </w:r>
      <w:r>
        <w:rPr>
          <w:kern w:val="2"/>
          <w:sz w:val="32"/>
          <w:szCs w:val="32"/>
        </w:rPr>
        <w:t>2</w:t>
      </w:r>
      <w:r>
        <w:rPr>
          <w:rFonts w:hint="eastAsia"/>
          <w:kern w:val="2"/>
          <w:sz w:val="32"/>
          <w:szCs w:val="32"/>
        </w:rPr>
        <w:t>．208（类）</w:t>
      </w:r>
      <w:r>
        <w:rPr>
          <w:kern w:val="2"/>
          <w:sz w:val="32"/>
          <w:szCs w:val="32"/>
        </w:rPr>
        <w:t>05</w:t>
      </w:r>
      <w:r>
        <w:rPr>
          <w:rFonts w:hint="eastAsia"/>
          <w:kern w:val="2"/>
          <w:sz w:val="32"/>
          <w:szCs w:val="32"/>
        </w:rPr>
        <w:t>（款）</w:t>
      </w:r>
      <w:r>
        <w:rPr>
          <w:kern w:val="2"/>
          <w:sz w:val="32"/>
          <w:szCs w:val="32"/>
        </w:rPr>
        <w:t>0</w:t>
      </w:r>
      <w:r>
        <w:rPr>
          <w:rFonts w:hint="eastAsia"/>
          <w:kern w:val="2"/>
          <w:sz w:val="32"/>
          <w:szCs w:val="32"/>
        </w:rPr>
        <w:t>6项）：机关事业单位职业年金缴费支出20.</w:t>
      </w:r>
      <w:r>
        <w:rPr>
          <w:rFonts w:hint="eastAsia"/>
          <w:kern w:val="2"/>
          <w:sz w:val="32"/>
          <w:szCs w:val="32"/>
          <w:lang w:val="en-US" w:eastAsia="zh-CN"/>
        </w:rPr>
        <w:t>51</w:t>
      </w:r>
      <w:r>
        <w:rPr>
          <w:rFonts w:hint="eastAsia"/>
          <w:kern w:val="2"/>
          <w:sz w:val="32"/>
          <w:szCs w:val="32"/>
        </w:rPr>
        <w:t>万元，主要用于：202</w:t>
      </w:r>
      <w:r>
        <w:rPr>
          <w:rFonts w:hint="eastAsia"/>
          <w:kern w:val="2"/>
          <w:sz w:val="32"/>
          <w:szCs w:val="32"/>
          <w:lang w:val="en-US" w:eastAsia="zh-CN"/>
        </w:rPr>
        <w:t>2</w:t>
      </w:r>
      <w:r>
        <w:rPr>
          <w:rFonts w:hint="eastAsia"/>
          <w:kern w:val="2"/>
          <w:sz w:val="32"/>
          <w:szCs w:val="32"/>
        </w:rPr>
        <w:t>年单位职工职业年金支出。</w:t>
      </w:r>
    </w:p>
    <w:p>
      <w:pPr>
        <w:pStyle w:val="23"/>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hint="eastAsia"/>
          <w:kern w:val="2"/>
          <w:sz w:val="32"/>
          <w:szCs w:val="32"/>
        </w:rPr>
      </w:pPr>
      <w:r>
        <w:rPr>
          <w:kern w:val="2"/>
          <w:sz w:val="32"/>
          <w:szCs w:val="32"/>
        </w:rPr>
        <w:t>3</w:t>
      </w:r>
      <w:r>
        <w:rPr>
          <w:rFonts w:hint="eastAsia"/>
          <w:kern w:val="2"/>
          <w:sz w:val="32"/>
          <w:szCs w:val="32"/>
        </w:rPr>
        <w:t>．210（类）11（款）</w:t>
      </w:r>
      <w:r>
        <w:rPr>
          <w:kern w:val="2"/>
          <w:sz w:val="32"/>
          <w:szCs w:val="32"/>
        </w:rPr>
        <w:t>0</w:t>
      </w:r>
      <w:r>
        <w:rPr>
          <w:rFonts w:hint="eastAsia"/>
          <w:kern w:val="2"/>
          <w:sz w:val="32"/>
          <w:szCs w:val="32"/>
        </w:rPr>
        <w:t>1项）：行政单位医疗支出14.34万元，主要用于：202</w:t>
      </w:r>
      <w:r>
        <w:rPr>
          <w:rFonts w:hint="eastAsia"/>
          <w:kern w:val="2"/>
          <w:sz w:val="32"/>
          <w:szCs w:val="32"/>
          <w:lang w:val="en-US" w:eastAsia="zh-CN"/>
        </w:rPr>
        <w:t>2</w:t>
      </w:r>
      <w:r>
        <w:rPr>
          <w:rFonts w:hint="eastAsia"/>
          <w:kern w:val="2"/>
          <w:sz w:val="32"/>
          <w:szCs w:val="32"/>
        </w:rPr>
        <w:t>年单位行政人员医疗保险支出。　</w:t>
      </w:r>
    </w:p>
    <w:p>
      <w:pPr>
        <w:pStyle w:val="23"/>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hint="eastAsia"/>
          <w:kern w:val="2"/>
          <w:sz w:val="32"/>
          <w:szCs w:val="32"/>
        </w:rPr>
      </w:pPr>
      <w:r>
        <w:rPr>
          <w:rFonts w:hint="eastAsia"/>
          <w:kern w:val="2"/>
          <w:sz w:val="32"/>
          <w:szCs w:val="32"/>
        </w:rPr>
        <w:t>4. 210（类）11（款）</w:t>
      </w:r>
      <w:r>
        <w:rPr>
          <w:kern w:val="2"/>
          <w:sz w:val="32"/>
          <w:szCs w:val="32"/>
        </w:rPr>
        <w:t>0</w:t>
      </w:r>
      <w:r>
        <w:rPr>
          <w:rFonts w:hint="eastAsia"/>
          <w:kern w:val="2"/>
          <w:sz w:val="32"/>
          <w:szCs w:val="32"/>
        </w:rPr>
        <w:t>2项）：事业单位医疗支出</w:t>
      </w:r>
      <w:r>
        <w:rPr>
          <w:rFonts w:hint="eastAsia"/>
          <w:kern w:val="2"/>
          <w:sz w:val="32"/>
          <w:szCs w:val="32"/>
          <w:lang w:val="en-US" w:eastAsia="zh-CN"/>
        </w:rPr>
        <w:t>3.6</w:t>
      </w:r>
      <w:r>
        <w:rPr>
          <w:rFonts w:hint="eastAsia"/>
          <w:kern w:val="2"/>
          <w:sz w:val="32"/>
          <w:szCs w:val="32"/>
        </w:rPr>
        <w:t>万元，主要用于：202</w:t>
      </w:r>
      <w:r>
        <w:rPr>
          <w:rFonts w:hint="eastAsia"/>
          <w:kern w:val="2"/>
          <w:sz w:val="32"/>
          <w:szCs w:val="32"/>
          <w:lang w:val="en-US" w:eastAsia="zh-CN"/>
        </w:rPr>
        <w:t>2</w:t>
      </w:r>
      <w:r>
        <w:rPr>
          <w:rFonts w:hint="eastAsia"/>
          <w:kern w:val="2"/>
          <w:sz w:val="32"/>
          <w:szCs w:val="32"/>
        </w:rPr>
        <w:t>年单位事业人员医疗保险支出。　</w:t>
      </w:r>
    </w:p>
    <w:p>
      <w:pPr>
        <w:pStyle w:val="23"/>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hint="eastAsia"/>
          <w:kern w:val="2"/>
          <w:sz w:val="32"/>
          <w:szCs w:val="32"/>
        </w:rPr>
      </w:pPr>
      <w:r>
        <w:rPr>
          <w:rFonts w:hint="eastAsia"/>
          <w:kern w:val="2"/>
          <w:sz w:val="32"/>
          <w:szCs w:val="32"/>
        </w:rPr>
        <w:t>5. 210（类）11（款）</w:t>
      </w:r>
      <w:r>
        <w:rPr>
          <w:kern w:val="2"/>
          <w:sz w:val="32"/>
          <w:szCs w:val="32"/>
        </w:rPr>
        <w:t>0</w:t>
      </w:r>
      <w:r>
        <w:rPr>
          <w:rFonts w:hint="eastAsia"/>
          <w:kern w:val="2"/>
          <w:sz w:val="32"/>
          <w:szCs w:val="32"/>
        </w:rPr>
        <w:t>3项）：单位公务员医疗补助支出3.84万元，主要用于：202</w:t>
      </w:r>
      <w:r>
        <w:rPr>
          <w:rFonts w:hint="eastAsia"/>
          <w:kern w:val="2"/>
          <w:sz w:val="32"/>
          <w:szCs w:val="32"/>
          <w:lang w:val="en-US" w:eastAsia="zh-CN"/>
        </w:rPr>
        <w:t>2</w:t>
      </w:r>
      <w:r>
        <w:rPr>
          <w:rFonts w:hint="eastAsia"/>
          <w:kern w:val="2"/>
          <w:sz w:val="32"/>
          <w:szCs w:val="32"/>
        </w:rPr>
        <w:t>年单位公务员医疗补助支出。　</w:t>
      </w:r>
    </w:p>
    <w:p>
      <w:pPr>
        <w:pStyle w:val="23"/>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hint="eastAsia"/>
          <w:kern w:val="2"/>
          <w:sz w:val="32"/>
          <w:szCs w:val="32"/>
        </w:rPr>
      </w:pPr>
      <w:r>
        <w:rPr>
          <w:rFonts w:cs="Times New Roman" w:hint="eastAsia"/>
          <w:kern w:val="2"/>
          <w:sz w:val="32"/>
          <w:szCs w:val="32"/>
        </w:rPr>
        <w:t>6.</w:t>
      </w:r>
      <w:r>
        <w:rPr>
          <w:rFonts w:hint="eastAsia"/>
          <w:kern w:val="2"/>
          <w:sz w:val="32"/>
          <w:szCs w:val="32"/>
        </w:rPr>
        <w:t xml:space="preserve"> 221（类）02（款）</w:t>
      </w:r>
      <w:r>
        <w:rPr>
          <w:kern w:val="2"/>
          <w:sz w:val="32"/>
          <w:szCs w:val="32"/>
        </w:rPr>
        <w:t>0</w:t>
      </w:r>
      <w:r>
        <w:rPr>
          <w:rFonts w:hint="eastAsia"/>
          <w:kern w:val="2"/>
          <w:sz w:val="32"/>
          <w:szCs w:val="32"/>
        </w:rPr>
        <w:t>1项）：单位人员住房公积金支出40.43万元，主要用于：202</w:t>
      </w:r>
      <w:r>
        <w:rPr>
          <w:rFonts w:hint="eastAsia"/>
          <w:kern w:val="2"/>
          <w:sz w:val="32"/>
          <w:szCs w:val="32"/>
          <w:lang w:val="en-US" w:eastAsia="zh-CN"/>
        </w:rPr>
        <w:t>2</w:t>
      </w:r>
      <w:r>
        <w:rPr>
          <w:rFonts w:hint="eastAsia"/>
          <w:kern w:val="2"/>
          <w:sz w:val="32"/>
          <w:szCs w:val="32"/>
        </w:rPr>
        <w:t>年单位人员住房公积金支出。</w:t>
      </w:r>
    </w:p>
    <w:p>
      <w:pPr>
        <w:pStyle w:val="23"/>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hint="eastAsia"/>
          <w:kern w:val="2"/>
          <w:sz w:val="32"/>
          <w:szCs w:val="32"/>
        </w:rPr>
      </w:pPr>
      <w:r>
        <w:rPr>
          <w:rFonts w:hint="eastAsia"/>
          <w:kern w:val="2"/>
          <w:sz w:val="32"/>
          <w:szCs w:val="32"/>
        </w:rPr>
        <w:t>7. 224（类）01（款）</w:t>
      </w:r>
      <w:r>
        <w:rPr>
          <w:kern w:val="2"/>
          <w:sz w:val="32"/>
          <w:szCs w:val="32"/>
        </w:rPr>
        <w:t>0</w:t>
      </w:r>
      <w:r>
        <w:rPr>
          <w:rFonts w:hint="eastAsia"/>
          <w:kern w:val="2"/>
          <w:sz w:val="32"/>
          <w:szCs w:val="32"/>
        </w:rPr>
        <w:t>1项）：行政运行</w:t>
      </w:r>
      <w:r>
        <w:rPr>
          <w:kern w:val="2"/>
          <w:sz w:val="32"/>
          <w:szCs w:val="32"/>
        </w:rPr>
        <w:t>202</w:t>
      </w:r>
      <w:r>
        <w:rPr>
          <w:rFonts w:hint="eastAsia"/>
          <w:kern w:val="2"/>
          <w:sz w:val="32"/>
          <w:szCs w:val="32"/>
          <w:lang w:val="en-US" w:eastAsia="zh-CN"/>
        </w:rPr>
        <w:t>2</w:t>
      </w:r>
      <w:r>
        <w:rPr>
          <w:kern w:val="2"/>
          <w:sz w:val="32"/>
          <w:szCs w:val="32"/>
        </w:rPr>
        <w:t>年</w:t>
      </w:r>
      <w:r>
        <w:rPr>
          <w:rFonts w:hint="eastAsia"/>
          <w:kern w:val="2"/>
          <w:sz w:val="32"/>
          <w:szCs w:val="32"/>
        </w:rPr>
        <w:t>预算数为253.24万元，主要用于</w:t>
      </w:r>
      <w:r>
        <w:rPr>
          <w:kern w:val="2"/>
          <w:sz w:val="32"/>
          <w:szCs w:val="32"/>
        </w:rPr>
        <w:t xml:space="preserve"> :</w:t>
      </w:r>
      <w:r>
        <w:rPr>
          <w:rFonts w:hint="eastAsia"/>
          <w:kern w:val="2"/>
          <w:sz w:val="32"/>
          <w:szCs w:val="32"/>
        </w:rPr>
        <w:t>202</w:t>
      </w:r>
      <w:r>
        <w:rPr>
          <w:rFonts w:hint="eastAsia"/>
          <w:kern w:val="2"/>
          <w:sz w:val="32"/>
          <w:szCs w:val="32"/>
          <w:lang w:val="en-US" w:eastAsia="zh-CN"/>
        </w:rPr>
        <w:t>2</w:t>
      </w:r>
      <w:r>
        <w:rPr>
          <w:rFonts w:hint="eastAsia"/>
          <w:kern w:val="2"/>
          <w:sz w:val="32"/>
          <w:szCs w:val="32"/>
        </w:rPr>
        <w:t>年单位职工工资福利支出（基本工资、津补贴、绩效工资等）、日常公用经费支出（办公费、邮电费、劳务费等）、工会经费和公务用车运行维护费。</w:t>
      </w:r>
    </w:p>
    <w:p>
      <w:pPr>
        <w:pStyle w:val="23"/>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hint="eastAsia"/>
          <w:kern w:val="2"/>
          <w:sz w:val="32"/>
          <w:szCs w:val="32"/>
          <w:lang w:val="en-US" w:eastAsia="zh-CN"/>
        </w:rPr>
      </w:pPr>
      <w:r>
        <w:rPr>
          <w:rFonts w:hint="eastAsia"/>
          <w:kern w:val="2"/>
          <w:sz w:val="32"/>
          <w:szCs w:val="32"/>
          <w:lang w:val="en-US" w:eastAsia="zh-CN"/>
        </w:rPr>
        <w:t>8</w:t>
      </w:r>
      <w:r>
        <w:rPr>
          <w:rFonts w:hint="eastAsia"/>
          <w:kern w:val="2"/>
          <w:sz w:val="32"/>
          <w:szCs w:val="32"/>
        </w:rPr>
        <w:t>. 224（类）01（款）50项）：</w:t>
      </w:r>
      <w:r>
        <w:rPr>
          <w:rFonts w:hint="eastAsia"/>
          <w:kern w:val="2"/>
          <w:sz w:val="32"/>
          <w:szCs w:val="32"/>
          <w:lang w:val="en-US" w:eastAsia="zh-CN"/>
        </w:rPr>
        <w:t>事业运行</w:t>
      </w:r>
      <w:r>
        <w:rPr>
          <w:rFonts w:hint="eastAsia"/>
          <w:kern w:val="2"/>
          <w:sz w:val="32"/>
          <w:szCs w:val="32"/>
        </w:rPr>
        <w:t>202</w:t>
      </w:r>
      <w:r>
        <w:rPr>
          <w:rFonts w:hint="eastAsia"/>
          <w:kern w:val="2"/>
          <w:sz w:val="32"/>
          <w:szCs w:val="32"/>
          <w:lang w:val="en-US" w:eastAsia="zh-CN"/>
        </w:rPr>
        <w:t>2</w:t>
      </w:r>
      <w:r>
        <w:rPr>
          <w:rFonts w:hint="eastAsia"/>
          <w:kern w:val="2"/>
          <w:sz w:val="32"/>
          <w:szCs w:val="32"/>
        </w:rPr>
        <w:t>年</w:t>
      </w:r>
      <w:r>
        <w:rPr>
          <w:rFonts w:hint="eastAsia"/>
          <w:kern w:val="2"/>
          <w:sz w:val="32"/>
          <w:szCs w:val="32"/>
          <w:lang w:val="en-US" w:eastAsia="zh-CN"/>
        </w:rPr>
        <w:t>预算数</w:t>
      </w:r>
      <w:r>
        <w:rPr>
          <w:rFonts w:hint="eastAsia"/>
          <w:kern w:val="2"/>
          <w:sz w:val="32"/>
          <w:szCs w:val="32"/>
        </w:rPr>
        <w:t>65.58万元</w:t>
      </w:r>
      <w:r>
        <w:rPr>
          <w:rFonts w:hint="eastAsia"/>
          <w:kern w:val="2"/>
          <w:sz w:val="32"/>
          <w:szCs w:val="32"/>
          <w:lang w:eastAsia="zh-CN"/>
        </w:rPr>
        <w:t>，</w:t>
      </w:r>
      <w:r>
        <w:rPr>
          <w:rFonts w:hint="eastAsia"/>
          <w:kern w:val="2"/>
          <w:sz w:val="32"/>
          <w:szCs w:val="32"/>
          <w:lang w:val="en-US" w:eastAsia="zh-CN"/>
        </w:rPr>
        <w:t>主要用于事业运行方面的基本支出。</w:t>
      </w:r>
    </w:p>
    <w:p>
      <w:pPr>
        <w:pStyle w:val="23"/>
        <w:spacing w:before="0" w:line="360" w:lineRule="auto"/>
        <w:ind w:firstLineChars="196" w:firstLine="627"/>
        <w:outlineLvl w:val="0"/>
        <w:rPr>
          <w:rFonts w:ascii="黑体" w:eastAsia="黑体" w:cs="黑体" w:hint="eastAsia"/>
          <w:kern w:val="2"/>
          <w:sz w:val="32"/>
          <w:szCs w:val="32"/>
        </w:rPr>
      </w:pPr>
      <w:bookmarkStart w:id="13" w:name="_Toc19450"/>
      <w:r>
        <w:rPr>
          <w:rFonts w:ascii="黑体" w:eastAsia="黑体" w:cs="黑体" w:hint="eastAsia"/>
          <w:kern w:val="2"/>
          <w:sz w:val="32"/>
          <w:szCs w:val="32"/>
        </w:rPr>
        <w:t>六、一般公共预算基本支出情况说明</w:t>
      </w:r>
      <w:bookmarkEnd w:id="13"/>
    </w:p>
    <w:p>
      <w:pPr>
        <w:pStyle w:val="23"/>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hint="eastAsia"/>
          <w:kern w:val="2"/>
          <w:sz w:val="32"/>
          <w:szCs w:val="32"/>
        </w:rPr>
      </w:pPr>
      <w:r>
        <w:rPr>
          <w:rFonts w:hint="eastAsia"/>
          <w:kern w:val="2"/>
          <w:sz w:val="32"/>
          <w:szCs w:val="32"/>
        </w:rPr>
        <w:t>应急管理局</w:t>
      </w:r>
      <w:r>
        <w:rPr>
          <w:kern w:val="2"/>
          <w:sz w:val="32"/>
          <w:szCs w:val="32"/>
        </w:rPr>
        <w:t>202</w:t>
      </w:r>
      <w:r>
        <w:rPr>
          <w:rFonts w:hint="eastAsia"/>
          <w:kern w:val="2"/>
          <w:sz w:val="32"/>
          <w:szCs w:val="32"/>
          <w:lang w:val="en-US" w:eastAsia="zh-CN"/>
        </w:rPr>
        <w:t>2</w:t>
      </w:r>
      <w:r>
        <w:rPr>
          <w:kern w:val="2"/>
          <w:sz w:val="32"/>
          <w:szCs w:val="32"/>
        </w:rPr>
        <w:t>年</w:t>
      </w:r>
      <w:r>
        <w:rPr>
          <w:rFonts w:hint="eastAsia"/>
          <w:kern w:val="2"/>
          <w:sz w:val="32"/>
          <w:szCs w:val="32"/>
        </w:rPr>
        <w:t>一般公共预算基本支出443.65万元，其中：人员经费386.27万元，主要包括：基本工资、津贴补贴、奖金、其他社会保障缴费、绩效工资、机关事业单位基本养老保险缴费、职业年金缴费、其他工资福利支出、离休费、奖励金、住房公积金、其他对个人和家庭的补助支出。公用经费57.38万元，主要包括：办公费、印刷费、手续费、水费、电费、邮电费、差旅费、维修（护）费、租赁费、会议费、培训费、劳务费、工会经费、福利费、其他交通工具运行维护费、其他商品和服务支出。</w:t>
      </w:r>
    </w:p>
    <w:p>
      <w:pPr>
        <w:pStyle w:val="23"/>
        <w:numPr>
          <w:ilvl w:val="0"/>
          <w:numId w:val="1"/>
        </w:numPr>
        <w:spacing w:before="0" w:line="360" w:lineRule="auto"/>
        <w:ind w:left="0" w:firstLineChars="196" w:firstLine="627"/>
        <w:outlineLvl w:val="0"/>
        <w:rPr>
          <w:rFonts w:ascii="黑体" w:eastAsia="黑体" w:cs="黑体" w:hint="eastAsia"/>
          <w:kern w:val="2"/>
          <w:sz w:val="32"/>
          <w:szCs w:val="32"/>
        </w:rPr>
      </w:pPr>
      <w:bookmarkStart w:id="14" w:name="_Toc24710"/>
      <w:r>
        <w:rPr>
          <w:rFonts w:ascii="黑体" w:eastAsia="黑体" w:cs="Times New Roman"/>
          <w:kern w:val="2"/>
          <w:sz w:val="32"/>
          <w:szCs w:val="32"/>
        </w:rPr>
        <w:t>“</w:t>
      </w:r>
      <w:r>
        <w:rPr>
          <w:rFonts w:ascii="黑体" w:eastAsia="黑体" w:cs="黑体" w:hint="eastAsia"/>
          <w:kern w:val="2"/>
          <w:sz w:val="32"/>
          <w:szCs w:val="32"/>
        </w:rPr>
        <w:t>三公</w:t>
      </w:r>
      <w:r>
        <w:rPr>
          <w:rFonts w:ascii="黑体" w:eastAsia="黑体" w:cs="Times New Roman"/>
          <w:kern w:val="2"/>
          <w:sz w:val="32"/>
          <w:szCs w:val="32"/>
        </w:rPr>
        <w:t>”</w:t>
      </w:r>
      <w:r>
        <w:rPr>
          <w:rFonts w:ascii="黑体" w:eastAsia="黑体" w:cs="黑体" w:hint="eastAsia"/>
          <w:kern w:val="2"/>
          <w:sz w:val="32"/>
          <w:szCs w:val="32"/>
        </w:rPr>
        <w:t>经费财政拨款预算安排情况说明</w:t>
      </w:r>
      <w:bookmarkEnd w:id="14"/>
    </w:p>
    <w:p>
      <w:pPr>
        <w:pStyle w:val="23"/>
        <w:keepNext w:val="0"/>
        <w:keepLines w:val="0"/>
        <w:pageBreakBefore w:val="0"/>
        <w:widowControl w:val="0"/>
        <w:kinsoku/>
        <w:wordWrap/>
        <w:overflowPunct/>
        <w:topLinePunct w:val="0"/>
        <w:autoSpaceDE/>
        <w:autoSpaceDN/>
        <w:bidi w:val="0"/>
        <w:adjustRightInd/>
        <w:snapToGrid/>
        <w:spacing w:before="0" w:line="560" w:lineRule="exact"/>
        <w:ind w:left="0" w:firstLineChars="200" w:firstLine="640"/>
        <w:textAlignment w:val="auto"/>
        <w:rPr>
          <w:rFonts w:hint="eastAsia"/>
          <w:kern w:val="2"/>
          <w:sz w:val="32"/>
          <w:szCs w:val="32"/>
        </w:rPr>
      </w:pPr>
      <w:r>
        <w:rPr>
          <w:rFonts w:hint="eastAsia"/>
          <w:kern w:val="2"/>
          <w:sz w:val="32"/>
          <w:szCs w:val="32"/>
        </w:rPr>
        <w:t>应急管理局</w:t>
      </w:r>
      <w:r>
        <w:rPr>
          <w:kern w:val="2"/>
          <w:sz w:val="32"/>
          <w:szCs w:val="32"/>
        </w:rPr>
        <w:t>202</w:t>
      </w:r>
      <w:r>
        <w:rPr>
          <w:rFonts w:hint="eastAsia"/>
          <w:kern w:val="2"/>
          <w:sz w:val="32"/>
          <w:szCs w:val="32"/>
          <w:lang w:val="en-US" w:eastAsia="zh-CN"/>
        </w:rPr>
        <w:t>2</w:t>
      </w:r>
      <w:r>
        <w:rPr>
          <w:kern w:val="2"/>
          <w:sz w:val="32"/>
          <w:szCs w:val="32"/>
        </w:rPr>
        <w:t>年</w:t>
      </w:r>
      <w:r>
        <w:rPr>
          <w:rFonts w:cs="Times New Roman"/>
          <w:kern w:val="2"/>
          <w:sz w:val="32"/>
          <w:szCs w:val="32"/>
        </w:rPr>
        <w:t>“</w:t>
      </w:r>
      <w:r>
        <w:rPr>
          <w:rFonts w:hint="eastAsia"/>
          <w:kern w:val="2"/>
          <w:sz w:val="32"/>
          <w:szCs w:val="32"/>
        </w:rPr>
        <w:t>三公</w:t>
      </w:r>
      <w:r>
        <w:rPr>
          <w:rFonts w:cs="Times New Roman"/>
          <w:kern w:val="2"/>
          <w:sz w:val="32"/>
          <w:szCs w:val="32"/>
        </w:rPr>
        <w:t>”</w:t>
      </w:r>
      <w:r>
        <w:rPr>
          <w:rFonts w:hint="eastAsia"/>
          <w:kern w:val="2"/>
          <w:sz w:val="32"/>
          <w:szCs w:val="32"/>
        </w:rPr>
        <w:t>经费财政拨款预算数</w:t>
      </w:r>
      <w:r>
        <w:rPr>
          <w:rFonts w:hint="eastAsia"/>
          <w:kern w:val="2"/>
          <w:sz w:val="32"/>
          <w:szCs w:val="32"/>
          <w:lang w:val="en-US" w:eastAsia="zh-CN"/>
        </w:rPr>
        <w:t>10</w:t>
      </w:r>
      <w:r>
        <w:rPr>
          <w:rFonts w:hint="eastAsia"/>
          <w:kern w:val="2"/>
          <w:sz w:val="32"/>
          <w:szCs w:val="32"/>
        </w:rPr>
        <w:t>万元，为公务用车购置及运行维护费</w:t>
      </w:r>
      <w:r>
        <w:rPr>
          <w:rFonts w:hint="eastAsia"/>
          <w:kern w:val="2"/>
          <w:sz w:val="32"/>
          <w:szCs w:val="32"/>
          <w:lang w:val="en-US" w:eastAsia="zh-CN"/>
        </w:rPr>
        <w:t>10</w:t>
      </w:r>
      <w:r>
        <w:rPr>
          <w:rFonts w:hint="eastAsia"/>
          <w:kern w:val="2"/>
          <w:sz w:val="32"/>
          <w:szCs w:val="32"/>
        </w:rPr>
        <w:t>万元。</w:t>
      </w:r>
    </w:p>
    <w:p>
      <w:pPr>
        <w:pStyle w:val="23"/>
        <w:numPr>
          <w:ilvl w:val="0"/>
          <w:numId w:val="1"/>
        </w:numPr>
        <w:spacing w:before="0" w:line="360" w:lineRule="auto"/>
        <w:ind w:left="0" w:firstLineChars="196" w:firstLine="627"/>
        <w:outlineLvl w:val="0"/>
        <w:rPr>
          <w:rFonts w:ascii="黑体" w:eastAsia="黑体" w:cs="黑体" w:hint="eastAsia"/>
          <w:kern w:val="2"/>
          <w:sz w:val="32"/>
          <w:szCs w:val="32"/>
          <w:lang w:val="en-US" w:eastAsia="zh-CN"/>
        </w:rPr>
      </w:pPr>
      <w:bookmarkStart w:id="15" w:name="_Toc13331"/>
      <w:r>
        <w:rPr>
          <w:rFonts w:ascii="黑体" w:eastAsia="黑体" w:cs="黑体" w:hint="eastAsia"/>
          <w:kern w:val="2"/>
          <w:sz w:val="32"/>
          <w:szCs w:val="32"/>
        </w:rPr>
        <w:t>政府性基金预算支出情况说</w:t>
      </w:r>
      <w:r>
        <w:rPr>
          <w:rFonts w:ascii="黑体" w:eastAsia="黑体" w:cs="黑体" w:hint="eastAsia"/>
          <w:kern w:val="2"/>
          <w:sz w:val="32"/>
          <w:szCs w:val="32"/>
          <w:lang w:val="en-US" w:eastAsia="zh-CN"/>
        </w:rPr>
        <w:t>明</w:t>
      </w:r>
      <w:bookmarkEnd w:id="15"/>
    </w:p>
    <w:p>
      <w:pPr>
        <w:pStyle w:val="23"/>
        <w:keepNext w:val="0"/>
        <w:keepLines w:val="0"/>
        <w:pageBreakBefore w:val="0"/>
        <w:widowControl w:val="0"/>
        <w:kinsoku/>
        <w:wordWrap/>
        <w:overflowPunct/>
        <w:topLinePunct w:val="0"/>
        <w:autoSpaceDE/>
        <w:autoSpaceDN/>
        <w:bidi w:val="0"/>
        <w:adjustRightInd/>
        <w:snapToGrid/>
        <w:spacing w:before="0" w:line="560" w:lineRule="exact"/>
        <w:ind w:left="0" w:firstLineChars="200" w:firstLine="640"/>
        <w:textAlignment w:val="auto"/>
        <w:rPr>
          <w:rFonts w:hint="eastAsia"/>
          <w:kern w:val="2"/>
          <w:sz w:val="32"/>
          <w:szCs w:val="32"/>
        </w:rPr>
      </w:pPr>
      <w:r>
        <w:rPr>
          <w:rFonts w:hint="eastAsia"/>
          <w:kern w:val="2"/>
          <w:sz w:val="32"/>
          <w:szCs w:val="32"/>
        </w:rPr>
        <w:t>应急管理局</w:t>
      </w:r>
      <w:r>
        <w:rPr>
          <w:kern w:val="2"/>
          <w:sz w:val="32"/>
          <w:szCs w:val="32"/>
        </w:rPr>
        <w:t>202</w:t>
      </w:r>
      <w:r>
        <w:rPr>
          <w:rFonts w:hint="eastAsia"/>
          <w:kern w:val="2"/>
          <w:sz w:val="32"/>
          <w:szCs w:val="32"/>
          <w:lang w:val="en-US" w:eastAsia="zh-CN"/>
        </w:rPr>
        <w:t>2</w:t>
      </w:r>
      <w:r>
        <w:rPr>
          <w:kern w:val="2"/>
          <w:sz w:val="32"/>
          <w:szCs w:val="32"/>
        </w:rPr>
        <w:t>年</w:t>
      </w:r>
      <w:r>
        <w:rPr>
          <w:rFonts w:hint="eastAsia"/>
          <w:kern w:val="2"/>
          <w:sz w:val="32"/>
          <w:szCs w:val="32"/>
        </w:rPr>
        <w:t>无政府性基金预算拨款。</w:t>
      </w:r>
    </w:p>
    <w:p>
      <w:pPr>
        <w:pStyle w:val="23"/>
        <w:numPr>
          <w:ilvl w:val="0"/>
          <w:numId w:val="1"/>
        </w:numPr>
        <w:spacing w:before="0" w:line="360" w:lineRule="auto"/>
        <w:ind w:left="0" w:firstLineChars="196" w:firstLine="627"/>
        <w:outlineLvl w:val="0"/>
        <w:rPr>
          <w:rFonts w:ascii="黑体" w:eastAsia="黑体" w:cs="黑体" w:hint="eastAsia"/>
          <w:kern w:val="2"/>
          <w:sz w:val="32"/>
          <w:szCs w:val="32"/>
        </w:rPr>
      </w:pPr>
      <w:bookmarkStart w:id="16" w:name="_Toc24587"/>
      <w:r>
        <w:rPr>
          <w:rFonts w:ascii="黑体" w:eastAsia="黑体" w:cs="黑体" w:hint="eastAsia"/>
          <w:kern w:val="2"/>
          <w:sz w:val="32"/>
          <w:szCs w:val="32"/>
        </w:rPr>
        <w:t>其他重要事项的情况说明</w:t>
      </w:r>
      <w:bookmarkEnd w:id="16"/>
    </w:p>
    <w:p>
      <w:pPr>
        <w:pStyle w:val="23"/>
        <w:numPr>
          <w:ilvl w:val="0"/>
          <w:numId w:val="2"/>
        </w:numPr>
        <w:spacing w:before="0" w:line="360" w:lineRule="auto"/>
        <w:ind w:leftChars="196" w:left="412"/>
        <w:outlineLvl w:val="1"/>
        <w:rPr>
          <w:rFonts w:cs="仿宋_GB2312" w:hint="eastAsia"/>
          <w:b/>
          <w:bCs/>
          <w:kern w:val="2"/>
          <w:sz w:val="32"/>
          <w:szCs w:val="32"/>
          <w:lang w:val="en-US" w:eastAsia="zh-CN"/>
        </w:rPr>
      </w:pPr>
      <w:bookmarkStart w:id="17" w:name="_Toc6586"/>
      <w:r>
        <w:rPr>
          <w:rFonts w:ascii="仿宋_GB2312" w:eastAsia="仿宋_GB2312" w:cs="仿宋_GB2312" w:hint="eastAsia"/>
          <w:b/>
          <w:bCs/>
          <w:kern w:val="2"/>
          <w:sz w:val="32"/>
          <w:szCs w:val="32"/>
        </w:rPr>
        <w:t>机关运行经</w:t>
      </w:r>
      <w:r>
        <w:rPr>
          <w:rFonts w:cs="仿宋_GB2312" w:hint="eastAsia"/>
          <w:b/>
          <w:bCs/>
          <w:kern w:val="2"/>
          <w:sz w:val="32"/>
          <w:szCs w:val="32"/>
          <w:lang w:val="en-US" w:eastAsia="zh-CN"/>
        </w:rPr>
        <w:t>费</w:t>
      </w:r>
      <w:bookmarkEnd w:id="17"/>
    </w:p>
    <w:p>
      <w:pPr>
        <w:pStyle w:val="23"/>
        <w:keepNext w:val="0"/>
        <w:keepLines w:val="0"/>
        <w:pageBreakBefore w:val="0"/>
        <w:widowControl w:val="0"/>
        <w:kinsoku/>
        <w:wordWrap/>
        <w:overflowPunct/>
        <w:topLinePunct w:val="0"/>
        <w:autoSpaceDE/>
        <w:autoSpaceDN/>
        <w:bidi w:val="0"/>
        <w:adjustRightInd/>
        <w:snapToGrid/>
        <w:spacing w:before="0" w:line="560" w:lineRule="exact"/>
        <w:ind w:left="0" w:firstLineChars="200" w:firstLine="640"/>
        <w:textAlignment w:val="auto"/>
        <w:rPr>
          <w:rFonts w:hint="eastAsia"/>
          <w:kern w:val="2"/>
          <w:sz w:val="32"/>
          <w:szCs w:val="32"/>
        </w:rPr>
      </w:pPr>
      <w:r>
        <w:rPr>
          <w:rFonts w:hint="eastAsia"/>
          <w:kern w:val="2"/>
          <w:sz w:val="32"/>
          <w:szCs w:val="32"/>
        </w:rPr>
        <w:t>应急管理局</w:t>
      </w:r>
      <w:r>
        <w:rPr>
          <w:kern w:val="2"/>
          <w:sz w:val="32"/>
          <w:szCs w:val="32"/>
        </w:rPr>
        <w:t>202</w:t>
      </w:r>
      <w:r>
        <w:rPr>
          <w:rFonts w:hint="eastAsia"/>
          <w:kern w:val="2"/>
          <w:sz w:val="32"/>
          <w:szCs w:val="32"/>
          <w:lang w:val="en-US" w:eastAsia="zh-CN"/>
        </w:rPr>
        <w:t>2</w:t>
      </w:r>
      <w:r>
        <w:rPr>
          <w:kern w:val="2"/>
          <w:sz w:val="32"/>
          <w:szCs w:val="32"/>
        </w:rPr>
        <w:t>年</w:t>
      </w:r>
      <w:r>
        <w:rPr>
          <w:rFonts w:hint="eastAsia"/>
          <w:kern w:val="2"/>
          <w:sz w:val="32"/>
          <w:szCs w:val="32"/>
        </w:rPr>
        <w:t>机关运行经费财政拨款预算为57.38万元，比202</w:t>
      </w:r>
      <w:r>
        <w:rPr>
          <w:rFonts w:hint="eastAsia"/>
          <w:kern w:val="2"/>
          <w:sz w:val="32"/>
          <w:szCs w:val="32"/>
          <w:lang w:val="en-US" w:eastAsia="zh-CN"/>
        </w:rPr>
        <w:t>1</w:t>
      </w:r>
      <w:r>
        <w:rPr>
          <w:rFonts w:hint="eastAsia"/>
          <w:kern w:val="2"/>
          <w:sz w:val="32"/>
          <w:szCs w:val="32"/>
        </w:rPr>
        <w:t>年预算</w:t>
      </w:r>
      <w:r>
        <w:rPr>
          <w:rFonts w:hint="eastAsia"/>
          <w:kern w:val="2"/>
          <w:sz w:val="32"/>
          <w:szCs w:val="32"/>
          <w:lang w:val="en-US" w:eastAsia="zh-CN"/>
        </w:rPr>
        <w:t>60.92</w:t>
      </w:r>
      <w:r>
        <w:rPr>
          <w:rFonts w:hint="eastAsia"/>
          <w:kern w:val="2"/>
          <w:sz w:val="32"/>
          <w:szCs w:val="32"/>
        </w:rPr>
        <w:t>万元，</w:t>
      </w:r>
      <w:r>
        <w:rPr>
          <w:rFonts w:hint="eastAsia"/>
          <w:kern w:val="2"/>
          <w:sz w:val="32"/>
          <w:szCs w:val="32"/>
          <w:lang w:val="en-US" w:eastAsia="zh-CN"/>
        </w:rPr>
        <w:t>减少</w:t>
      </w:r>
      <w:r>
        <w:rPr>
          <w:rFonts w:hint="eastAsia"/>
          <w:kern w:val="2"/>
          <w:sz w:val="32"/>
          <w:szCs w:val="32"/>
        </w:rPr>
        <w:t>3.54万元，</w:t>
      </w:r>
      <w:r>
        <w:rPr>
          <w:rFonts w:hint="eastAsia"/>
          <w:kern w:val="2"/>
          <w:sz w:val="32"/>
          <w:szCs w:val="32"/>
          <w:lang w:val="en-US" w:eastAsia="zh-CN"/>
        </w:rPr>
        <w:t>下降5.8</w:t>
      </w:r>
      <w:r>
        <w:rPr>
          <w:rFonts w:hint="eastAsia"/>
          <w:kern w:val="2"/>
          <w:sz w:val="32"/>
          <w:szCs w:val="32"/>
        </w:rPr>
        <w:t>1</w:t>
      </w:r>
      <w:r>
        <w:rPr>
          <w:kern w:val="2"/>
          <w:sz w:val="32"/>
          <w:szCs w:val="32"/>
        </w:rPr>
        <w:t>%</w:t>
      </w:r>
      <w:r>
        <w:rPr>
          <w:rFonts w:hint="eastAsia"/>
          <w:kern w:val="2"/>
          <w:sz w:val="32"/>
          <w:szCs w:val="32"/>
        </w:rPr>
        <w:t>。　</w:t>
      </w:r>
    </w:p>
    <w:p>
      <w:pPr>
        <w:pStyle w:val="23"/>
        <w:spacing w:before="0" w:line="360" w:lineRule="auto"/>
        <w:ind w:firstLineChars="150" w:firstLine="480"/>
        <w:outlineLvl w:val="1"/>
        <w:rPr>
          <w:rFonts w:ascii="仿宋_GB2312" w:eastAsia="仿宋_GB2312" w:cs="仿宋_GB2312" w:hint="eastAsia"/>
          <w:b/>
          <w:bCs/>
          <w:kern w:val="2"/>
          <w:sz w:val="32"/>
          <w:szCs w:val="32"/>
        </w:rPr>
      </w:pPr>
      <w:bookmarkStart w:id="18" w:name="_Toc24473"/>
      <w:r>
        <w:rPr>
          <w:rFonts w:ascii="仿宋_GB2312" w:eastAsia="仿宋_GB2312" w:cs="仿宋_GB2312" w:hint="eastAsia"/>
          <w:b/>
          <w:bCs/>
          <w:kern w:val="2"/>
          <w:sz w:val="32"/>
          <w:szCs w:val="32"/>
        </w:rPr>
        <w:t>（二）政府采购情况</w:t>
      </w:r>
      <w:bookmarkEnd w:id="18"/>
    </w:p>
    <w:p>
      <w:pPr>
        <w:pStyle w:val="23"/>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cs="Times New Roman"/>
          <w:kern w:val="2"/>
          <w:sz w:val="32"/>
          <w:szCs w:val="32"/>
        </w:rPr>
      </w:pPr>
      <w:r>
        <w:rPr>
          <w:kern w:val="2"/>
          <w:sz w:val="32"/>
          <w:szCs w:val="32"/>
        </w:rPr>
        <w:t>202</w:t>
      </w:r>
      <w:r>
        <w:rPr>
          <w:rFonts w:hint="eastAsia"/>
          <w:kern w:val="2"/>
          <w:sz w:val="32"/>
          <w:szCs w:val="32"/>
          <w:lang w:val="en-US" w:eastAsia="zh-CN"/>
        </w:rPr>
        <w:t>2</w:t>
      </w:r>
      <w:r>
        <w:rPr>
          <w:kern w:val="2"/>
          <w:sz w:val="32"/>
          <w:szCs w:val="32"/>
        </w:rPr>
        <w:t>年</w:t>
      </w:r>
      <w:r>
        <w:rPr>
          <w:rFonts w:hint="eastAsia"/>
          <w:kern w:val="2"/>
          <w:sz w:val="32"/>
          <w:szCs w:val="32"/>
        </w:rPr>
        <w:t>应急管理局未安排政府采购预算。</w:t>
      </w:r>
    </w:p>
    <w:p>
      <w:pPr>
        <w:pStyle w:val="23"/>
        <w:spacing w:before="0" w:line="360" w:lineRule="auto"/>
        <w:ind w:leftChars="196" w:left="412"/>
        <w:outlineLvl w:val="1"/>
        <w:rPr>
          <w:rFonts w:ascii="仿宋_GB2312" w:eastAsia="仿宋_GB2312" w:cs="仿宋_GB2312" w:hint="eastAsia"/>
          <w:b/>
          <w:bCs/>
          <w:kern w:val="2"/>
          <w:sz w:val="32"/>
          <w:szCs w:val="32"/>
        </w:rPr>
      </w:pPr>
      <w:bookmarkStart w:id="19" w:name="_Toc29227"/>
      <w:r>
        <w:rPr>
          <w:rFonts w:cs="仿宋_GB2312" w:hint="eastAsia"/>
          <w:b/>
          <w:bCs/>
          <w:kern w:val="2"/>
          <w:sz w:val="32"/>
          <w:szCs w:val="32"/>
          <w:lang w:eastAsia="zh-CN"/>
        </w:rPr>
        <w:t>（</w:t>
      </w:r>
      <w:r>
        <w:rPr>
          <w:rFonts w:cs="仿宋_GB2312" w:hint="eastAsia"/>
          <w:b/>
          <w:bCs/>
          <w:kern w:val="2"/>
          <w:sz w:val="32"/>
          <w:szCs w:val="32"/>
          <w:lang w:val="en-US" w:eastAsia="zh-CN"/>
        </w:rPr>
        <w:t>三</w:t>
      </w:r>
      <w:r>
        <w:rPr>
          <w:rFonts w:cs="仿宋_GB2312" w:hint="eastAsia"/>
          <w:b/>
          <w:bCs/>
          <w:kern w:val="2"/>
          <w:sz w:val="32"/>
          <w:szCs w:val="32"/>
          <w:lang w:eastAsia="zh-CN"/>
        </w:rPr>
        <w:t>）</w:t>
      </w:r>
      <w:r>
        <w:rPr>
          <w:rFonts w:ascii="仿宋_GB2312" w:eastAsia="仿宋_GB2312" w:cs="仿宋_GB2312" w:hint="eastAsia"/>
          <w:b/>
          <w:bCs/>
          <w:kern w:val="2"/>
          <w:sz w:val="32"/>
          <w:szCs w:val="32"/>
        </w:rPr>
        <w:t>国有资产占有使用情况</w:t>
      </w:r>
      <w:bookmarkEnd w:id="19"/>
    </w:p>
    <w:p>
      <w:pPr>
        <w:pStyle w:val="23"/>
        <w:spacing w:before="0" w:line="360" w:lineRule="auto"/>
        <w:ind w:leftChars="196" w:left="412"/>
        <w:outlineLvl w:val="1"/>
        <w:rPr>
          <w:rFonts w:ascii="仿宋_GB2312" w:eastAsia="仿宋_GB2312" w:cs="仿宋_GB2312" w:hint="eastAsia"/>
          <w:b/>
          <w:bCs/>
          <w:kern w:val="2"/>
          <w:sz w:val="32"/>
          <w:szCs w:val="32"/>
        </w:rPr>
      </w:pPr>
      <w:bookmarkStart w:id="20" w:name="_Toc5906"/>
      <w:r>
        <w:rPr>
          <w:rFonts w:ascii="仿宋_GB2312" w:eastAsia="仿宋_GB2312" w:cs="仿宋_GB2312" w:hint="eastAsia"/>
          <w:b/>
          <w:bCs/>
          <w:kern w:val="2"/>
          <w:sz w:val="32"/>
          <w:szCs w:val="32"/>
        </w:rPr>
        <w:t>（四）绩效目标设置情况</w:t>
      </w:r>
      <w:bookmarkEnd w:id="20"/>
    </w:p>
    <w:p>
      <w:pPr>
        <w:pStyle w:val="23"/>
        <w:keepNext w:val="0"/>
        <w:keepLines w:val="0"/>
        <w:pageBreakBefore w:val="0"/>
        <w:widowControl w:val="0"/>
        <w:kinsoku/>
        <w:wordWrap/>
        <w:overflowPunct/>
        <w:topLinePunct w:val="0"/>
        <w:autoSpaceDE/>
        <w:autoSpaceDN/>
        <w:bidi w:val="0"/>
        <w:adjustRightInd/>
        <w:snapToGrid/>
        <w:spacing w:before="0" w:line="560" w:lineRule="exact"/>
        <w:ind w:left="0" w:firstLineChars="200" w:firstLine="640"/>
        <w:textAlignment w:val="auto"/>
        <w:rPr>
          <w:rFonts w:cs="Times New Roman"/>
          <w:kern w:val="2"/>
          <w:sz w:val="32"/>
          <w:szCs w:val="32"/>
        </w:rPr>
      </w:pPr>
      <w:r>
        <w:rPr>
          <w:kern w:val="2"/>
          <w:sz w:val="32"/>
          <w:szCs w:val="32"/>
        </w:rPr>
        <w:t>202</w:t>
      </w:r>
      <w:r>
        <w:rPr>
          <w:rFonts w:hint="eastAsia"/>
          <w:kern w:val="2"/>
          <w:sz w:val="32"/>
          <w:szCs w:val="32"/>
          <w:lang w:val="en-US" w:eastAsia="zh-CN"/>
        </w:rPr>
        <w:t>2</w:t>
      </w:r>
      <w:r>
        <w:rPr>
          <w:kern w:val="2"/>
          <w:sz w:val="32"/>
          <w:szCs w:val="32"/>
        </w:rPr>
        <w:t>年</w:t>
      </w:r>
      <w:r>
        <w:rPr>
          <w:rFonts w:hint="eastAsia"/>
          <w:kern w:val="2"/>
          <w:sz w:val="32"/>
          <w:szCs w:val="32"/>
        </w:rPr>
        <w:t>应急管理局通用项目和专用项目均按要求实行绩效目标管理。</w:t>
      </w:r>
    </w:p>
    <w:p>
      <w:pPr>
        <w:pStyle w:val="23"/>
        <w:spacing w:before="0" w:line="360" w:lineRule="auto"/>
        <w:ind w:firstLineChars="200" w:firstLine="640"/>
        <w:outlineLvl w:val="0"/>
        <w:rPr>
          <w:rFonts w:ascii="??" w:eastAsia="宋体" w:cs="Times New Roman" w:hAnsi="??" w:hint="eastAsia"/>
          <w:sz w:val="16"/>
          <w:szCs w:val="16"/>
        </w:rPr>
      </w:pPr>
      <w:bookmarkStart w:id="21" w:name="_Toc14067"/>
      <w:r>
        <w:rPr>
          <w:rFonts w:ascii="黑体" w:eastAsia="黑体" w:cs="黑体" w:hint="eastAsia"/>
          <w:kern w:val="2"/>
          <w:sz w:val="32"/>
          <w:szCs w:val="32"/>
        </w:rPr>
        <w:t>十、名词解释</w:t>
      </w:r>
      <w:bookmarkEnd w:id="21"/>
    </w:p>
    <w:p>
      <w:pPr>
        <w:pStyle w:val="23"/>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cs="Times New Roman"/>
          <w:kern w:val="2"/>
          <w:sz w:val="32"/>
          <w:szCs w:val="32"/>
        </w:rPr>
      </w:pPr>
      <w:r>
        <w:rPr>
          <w:rFonts w:hint="eastAsia"/>
          <w:kern w:val="2"/>
          <w:sz w:val="32"/>
          <w:szCs w:val="32"/>
        </w:rPr>
        <w:t>（一）财政拨款收入：指由财政拨款形成的部门收入。按现行管理制度，部门预算中反映的财政拨款仅包括一般公共预算拨款和政府性基金预算拨款。</w:t>
      </w:r>
      <w:r>
        <w:rPr>
          <w:rFonts w:cs="Times New Roman"/>
          <w:kern w:val="2"/>
          <w:sz w:val="32"/>
          <w:szCs w:val="32"/>
        </w:rPr>
        <w:br/>
      </w:r>
      <w:r>
        <w:rPr>
          <w:rFonts w:hint="eastAsia"/>
          <w:kern w:val="2"/>
          <w:sz w:val="32"/>
          <w:szCs w:val="32"/>
        </w:rPr>
        <w:t>　　（二）事业收入：指所属事业单位开展专业业务活动及辅助活动所取得的收入。</w:t>
      </w:r>
      <w:r>
        <w:rPr>
          <w:rFonts w:cs="Times New Roman"/>
          <w:kern w:val="2"/>
          <w:sz w:val="32"/>
          <w:szCs w:val="32"/>
        </w:rPr>
        <w:br/>
      </w:r>
      <w:r>
        <w:rPr>
          <w:rFonts w:hint="eastAsia"/>
          <w:kern w:val="2"/>
          <w:sz w:val="32"/>
          <w:szCs w:val="32"/>
        </w:rPr>
        <w:t>　　（三）事业单位经营收入：指所属事业单位在专业业务活动及其辅助活动之外开展非独立核算经营活动取得的收入。</w:t>
      </w:r>
      <w:r>
        <w:rPr>
          <w:rFonts w:cs="Times New Roman"/>
          <w:kern w:val="2"/>
          <w:sz w:val="32"/>
          <w:szCs w:val="32"/>
        </w:rPr>
        <w:br/>
      </w:r>
      <w:r>
        <w:rPr>
          <w:rFonts w:hint="eastAsia"/>
          <w:kern w:val="2"/>
          <w:sz w:val="32"/>
          <w:szCs w:val="32"/>
        </w:rPr>
        <w:t>　　（四）其他收入：指除上述</w:t>
      </w:r>
      <w:r>
        <w:rPr>
          <w:rFonts w:cs="Times New Roman"/>
          <w:kern w:val="2"/>
          <w:sz w:val="32"/>
          <w:szCs w:val="32"/>
        </w:rPr>
        <w:t>“</w:t>
      </w:r>
      <w:r>
        <w:rPr>
          <w:rFonts w:hint="eastAsia"/>
          <w:kern w:val="2"/>
          <w:sz w:val="32"/>
          <w:szCs w:val="32"/>
        </w:rPr>
        <w:t>财政拨款收入</w:t>
      </w:r>
      <w:r>
        <w:rPr>
          <w:rFonts w:cs="Times New Roman"/>
          <w:kern w:val="2"/>
          <w:sz w:val="32"/>
          <w:szCs w:val="32"/>
        </w:rPr>
        <w:t>”</w:t>
      </w:r>
      <w:r>
        <w:rPr>
          <w:rFonts w:hint="eastAsia"/>
          <w:kern w:val="2"/>
          <w:sz w:val="32"/>
          <w:szCs w:val="32"/>
        </w:rPr>
        <w:t>、</w:t>
      </w:r>
      <w:r>
        <w:rPr>
          <w:rFonts w:cs="Times New Roman"/>
          <w:kern w:val="2"/>
          <w:sz w:val="32"/>
          <w:szCs w:val="32"/>
        </w:rPr>
        <w:t>“</w:t>
      </w:r>
      <w:r>
        <w:rPr>
          <w:rFonts w:hint="eastAsia"/>
          <w:kern w:val="2"/>
          <w:sz w:val="32"/>
          <w:szCs w:val="32"/>
        </w:rPr>
        <w:t>事业收入</w:t>
      </w:r>
      <w:r>
        <w:rPr>
          <w:rFonts w:cs="Times New Roman"/>
          <w:kern w:val="2"/>
          <w:sz w:val="32"/>
          <w:szCs w:val="32"/>
        </w:rPr>
        <w:t>”</w:t>
      </w:r>
      <w:r>
        <w:rPr>
          <w:rFonts w:hint="eastAsia"/>
          <w:kern w:val="2"/>
          <w:sz w:val="32"/>
          <w:szCs w:val="32"/>
        </w:rPr>
        <w:t>、</w:t>
      </w:r>
      <w:r>
        <w:rPr>
          <w:rFonts w:cs="Times New Roman"/>
          <w:kern w:val="2"/>
          <w:sz w:val="32"/>
          <w:szCs w:val="32"/>
        </w:rPr>
        <w:t>“</w:t>
      </w:r>
      <w:r>
        <w:rPr>
          <w:rFonts w:hint="eastAsia"/>
          <w:kern w:val="2"/>
          <w:sz w:val="32"/>
          <w:szCs w:val="32"/>
        </w:rPr>
        <w:t>事业单位经营收入</w:t>
      </w:r>
      <w:r>
        <w:rPr>
          <w:rFonts w:cs="Times New Roman"/>
          <w:kern w:val="2"/>
          <w:sz w:val="32"/>
          <w:szCs w:val="32"/>
        </w:rPr>
        <w:t>”</w:t>
      </w:r>
      <w:r>
        <w:rPr>
          <w:rFonts w:hint="eastAsia"/>
          <w:kern w:val="2"/>
          <w:sz w:val="32"/>
          <w:szCs w:val="32"/>
        </w:rPr>
        <w:t>等以外的收入，主要是所属行政事业单位按规定动用的售房收入、存款利息收入等。</w:t>
      </w:r>
      <w:r>
        <w:rPr>
          <w:rFonts w:cs="Times New Roman"/>
          <w:kern w:val="2"/>
          <w:sz w:val="32"/>
          <w:szCs w:val="32"/>
        </w:rPr>
        <w:br/>
      </w:r>
      <w:r>
        <w:rPr>
          <w:rFonts w:hint="eastAsia"/>
          <w:kern w:val="2"/>
          <w:sz w:val="32"/>
          <w:szCs w:val="32"/>
        </w:rPr>
        <w:t>　　（五）用事业基金弥补收支差额：指所属事业单位在预计用当年的</w:t>
      </w:r>
      <w:r>
        <w:rPr>
          <w:rFonts w:cs="Times New Roman"/>
          <w:kern w:val="2"/>
          <w:sz w:val="32"/>
          <w:szCs w:val="32"/>
        </w:rPr>
        <w:t>“</w:t>
      </w:r>
      <w:r>
        <w:rPr>
          <w:rFonts w:hint="eastAsia"/>
          <w:kern w:val="2"/>
          <w:sz w:val="32"/>
          <w:szCs w:val="32"/>
        </w:rPr>
        <w:t>财政拨款收入</w:t>
      </w:r>
      <w:r>
        <w:rPr>
          <w:rFonts w:cs="Times New Roman"/>
          <w:kern w:val="2"/>
          <w:sz w:val="32"/>
          <w:szCs w:val="32"/>
        </w:rPr>
        <w:t>”</w:t>
      </w:r>
      <w:r>
        <w:rPr>
          <w:rFonts w:hint="eastAsia"/>
          <w:kern w:val="2"/>
          <w:sz w:val="32"/>
          <w:szCs w:val="32"/>
        </w:rPr>
        <w:t>、</w:t>
      </w:r>
      <w:r>
        <w:rPr>
          <w:rFonts w:cs="Times New Roman"/>
          <w:kern w:val="2"/>
          <w:sz w:val="32"/>
          <w:szCs w:val="32"/>
        </w:rPr>
        <w:t>“</w:t>
      </w:r>
      <w:r>
        <w:rPr>
          <w:rFonts w:hint="eastAsia"/>
          <w:kern w:val="2"/>
          <w:sz w:val="32"/>
          <w:szCs w:val="32"/>
        </w:rPr>
        <w:t>事业收入</w:t>
      </w:r>
      <w:r>
        <w:rPr>
          <w:rFonts w:cs="Times New Roman"/>
          <w:kern w:val="2"/>
          <w:sz w:val="32"/>
          <w:szCs w:val="32"/>
        </w:rPr>
        <w:t>”</w:t>
      </w:r>
      <w:r>
        <w:rPr>
          <w:rFonts w:hint="eastAsia"/>
          <w:kern w:val="2"/>
          <w:sz w:val="32"/>
          <w:szCs w:val="32"/>
        </w:rPr>
        <w:t>、</w:t>
      </w:r>
      <w:r>
        <w:rPr>
          <w:rFonts w:cs="Times New Roman"/>
          <w:kern w:val="2"/>
          <w:sz w:val="32"/>
          <w:szCs w:val="32"/>
        </w:rPr>
        <w:t>“</w:t>
      </w:r>
      <w:r>
        <w:rPr>
          <w:rFonts w:hint="eastAsia"/>
          <w:kern w:val="2"/>
          <w:sz w:val="32"/>
          <w:szCs w:val="32"/>
        </w:rPr>
        <w:t>事业单位经营收入</w:t>
      </w:r>
      <w:r>
        <w:rPr>
          <w:rFonts w:cs="Times New Roman"/>
          <w:kern w:val="2"/>
          <w:sz w:val="32"/>
          <w:szCs w:val="32"/>
        </w:rPr>
        <w:t>”</w:t>
      </w:r>
      <w:r>
        <w:rPr>
          <w:rFonts w:hint="eastAsia"/>
          <w:kern w:val="2"/>
          <w:sz w:val="32"/>
          <w:szCs w:val="32"/>
        </w:rPr>
        <w:t>、</w:t>
      </w:r>
      <w:r>
        <w:rPr>
          <w:rFonts w:cs="Times New Roman"/>
          <w:kern w:val="2"/>
          <w:sz w:val="32"/>
          <w:szCs w:val="32"/>
        </w:rPr>
        <w:t>“</w:t>
      </w:r>
      <w:r>
        <w:rPr>
          <w:rFonts w:hint="eastAsia"/>
          <w:kern w:val="2"/>
          <w:sz w:val="32"/>
          <w:szCs w:val="32"/>
        </w:rPr>
        <w:t>其他收入</w:t>
      </w:r>
      <w:r>
        <w:rPr>
          <w:rFonts w:cs="Times New Roman"/>
          <w:kern w:val="2"/>
          <w:sz w:val="32"/>
          <w:szCs w:val="32"/>
        </w:rPr>
        <w:t>”</w:t>
      </w:r>
      <w:r>
        <w:rPr>
          <w:rFonts w:hint="eastAsia"/>
          <w:kern w:val="2"/>
          <w:sz w:val="32"/>
          <w:szCs w:val="32"/>
        </w:rPr>
        <w:t>不足以安排当年支出的情况下，使用以前年度积累的事业基金弥补本年度收支缺口的资金。</w:t>
      </w:r>
      <w:r>
        <w:rPr>
          <w:rFonts w:cs="Times New Roman"/>
          <w:kern w:val="2"/>
          <w:sz w:val="32"/>
          <w:szCs w:val="32"/>
        </w:rPr>
        <w:br/>
      </w:r>
      <w:r>
        <w:rPr>
          <w:rFonts w:hint="eastAsia"/>
          <w:kern w:val="2"/>
          <w:sz w:val="32"/>
          <w:szCs w:val="32"/>
        </w:rPr>
        <w:t>　　（六）上年结转：指所属行政事业单位以前年度尚未完成、结转至本年按原规定用途继续使用的资金和以前年度已完成项目剩余资金经批准用于新用途使用的资金。</w:t>
      </w:r>
    </w:p>
    <w:p>
      <w:pPr>
        <w:rPr>
          <w:rFonts w:ascii="仿宋_GB2312" w:eastAsia="仿宋_GB2312" w:cs="Times New Roman"/>
          <w:sz w:val="32"/>
          <w:szCs w:val="32"/>
        </w:rPr>
      </w:pP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Times New Roman">
    <w:panose1 w:val="02020603050405020304"/>
    <w:charset w:val="00"/>
    <w:family w:val="roman"/>
    <w:pitch w:val="variable"/>
    <w:sig w:usb0="20007A87" w:usb1="80000000" w:usb2="00000008" w:usb3="00000000" w:csb0="000001FF" w:csb1="00000000"/>
  </w:font>
  <w:font w:name="方正小标宋简体">
    <w:altName w:val="方正舒体"/>
    <w:panose1 w:val="02010601030101010101"/>
    <w:charset w:val="86"/>
    <w:family w:val="auto"/>
    <w:pitch w:val="variable"/>
    <w:sig w:usb0="00000000" w:usb1="00000000" w:usb2="00000000" w:usb3="00000000" w:csb0="00040000" w:csb1="00000000"/>
  </w:font>
  <w:font w:name="宋体">
    <w:panose1 w:val="02010600030101010101"/>
    <w:charset w:val="86"/>
    <w:family w:val="auto"/>
    <w:pitch w:val="variable"/>
    <w:sig w:usb0="00000003" w:usb1="288F0000" w:usb2="00000006" w:usb3="00000000" w:csb0="00040001" w:csb1="00000000"/>
  </w:font>
  <w:font w:name="Calibri">
    <w:panose1 w:val="020F0502020204030204"/>
    <w:charset w:val="00"/>
    <w:family w:val="swiss"/>
    <w:pitch w:val="variable"/>
    <w:sig w:usb0="E4002EFF" w:usb1="C000247B" w:usb2="00000009" w:usb3="00000000" w:csb0="200001FF" w:csb1="00000000"/>
  </w:font>
  <w:font w:name="楷体_GB2312">
    <w:altName w:val="楷体"/>
    <w:panose1 w:val="02010609030101010101"/>
    <w:charset w:val="86"/>
    <w:family w:val="modern"/>
    <w:pitch w:val="variable"/>
    <w:sig w:usb0="00000000" w:usb1="00000000" w:usb2="00000000" w:usb3="00000000" w:csb0="00040000" w:csb1="00000000"/>
  </w:font>
  <w:font w:name="仿宋_GB2312">
    <w:altName w:val="仿宋"/>
    <w:panose1 w:val="02010609030101010101"/>
    <w:charset w:val="86"/>
    <w:family w:val="modern"/>
    <w:pitch w:val="variable"/>
    <w:sig w:usb0="00000000" w:usb1="00000000" w:usb2="00000000" w:usb3="00000000" w:csb0="00040000" w:csb1="00000000"/>
  </w:font>
  <w:font w:name="??">
    <w:altName w:val="Times New Roman"/>
    <w:panose1 w:val="00000000000000000000"/>
    <w:charset w:val="00"/>
    <w:family w:val="roman"/>
    <w:pitch w:val="variable"/>
    <w:sig w:usb0="00000000" w:usb1="00000000" w:usb2="00000000" w:usb3="00000000" w:csb0="00000001"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DAE026F9"/>
    <w:multiLevelType w:val="singleLevel"/>
    <w:tmpl w:val="DAE026F9"/>
    <w:lvl w:ilvl="0">
      <w:start w:val="7"/>
      <w:numFmt w:val="chineseCounting"/>
      <w:lvlRestart w:val="0"/>
      <w:suff w:val="nothing"/>
      <w:lvlText w:val="%1、"/>
      <w:lvlJc w:val="left"/>
      <w:pPr>
        <w:ind w:left="0" w:hanging="0"/>
      </w:pPr>
      <w:rPr>
        <w:rFonts w:hint="eastAsia"/>
      </w:rPr>
    </w:lvl>
  </w:abstractNum>
  <w:abstractNum w:abstractNumId="1">
    <w:nsid w:val="CFC957ED"/>
    <w:multiLevelType w:val="singleLevel"/>
    <w:tmpl w:val="CFC957ED"/>
    <w:lvl w:ilvl="0">
      <w:start w:val="1"/>
      <w:numFmt w:val="chineseCounting"/>
      <w:lvlRestart w:val="0"/>
      <w:suff w:val="nothing"/>
      <w:lvlText w:val="（%1）"/>
      <w:lvlJc w:val="left"/>
      <w:pPr>
        <w:ind w:left="0" w:hanging="0"/>
      </w:pPr>
      <w:rPr>
        <w:rFonts w:hint="eastAsia"/>
      </w:r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6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Calibri" w:hAnsi="Calibri"/>
      <w:kern w:val="2"/>
      <w:sz w:val="21"/>
      <w:szCs w:val="21"/>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Salutation"/>
    <w:basedOn w:val="0"/>
    <w:next w:val="0"/>
    <w:pPr>
      <w:widowControl/>
      <w:spacing w:line="540" w:lineRule="exact"/>
      <w:jc w:val="left"/>
    </w:pPr>
    <w:rPr>
      <w:rFonts w:ascii="Times New Roman" w:eastAsia="仿宋_GB2312" w:cs="Times New Roman" w:hAnsi="Times New Roman"/>
      <w:spacing w:val="-2"/>
      <w:kern w:val="0"/>
      <w:sz w:val="32"/>
      <w:szCs w:val="20"/>
    </w:rPr>
  </w:style>
  <w:style w:type="paragraph" w:styleId="16">
    <w:name w:val="footer"/>
    <w:basedOn w:val="0"/>
    <w:pPr>
      <w:tabs>
        <w:tab w:val="center" w:pos="4153"/>
        <w:tab w:val="right" w:pos="8306"/>
      </w:tabs>
      <w:snapToGrid w:val="0"/>
      <w:jc w:val="left"/>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styleId="18">
    <w:name w:val="toc 1"/>
    <w:basedOn w:val="0"/>
    <w:next w:val="0"/>
  </w:style>
  <w:style w:type="paragraph" w:styleId="19">
    <w:name w:val="table of figures"/>
    <w:basedOn w:val="0"/>
    <w:next w:val="0"/>
    <w:pPr>
      <w:ind w:leftChars="200" w:left="400" w:hangingChars="200" w:hanging="200"/>
    </w:pPr>
    <w:rPr>
      <w:rFonts w:ascii="Calibri" w:eastAsia="宋体" w:cs="Times New Roman" w:hAnsi="Calibri"/>
      <w:szCs w:val="24"/>
    </w:rPr>
  </w:style>
  <w:style w:type="paragraph" w:styleId="20">
    <w:name w:val="toc 2"/>
    <w:basedOn w:val="0"/>
    <w:next w:val="0"/>
    <w:pPr>
      <w:ind w:leftChars="200" w:left="200"/>
    </w:pPr>
  </w:style>
  <w:style w:type="character" w:styleId="21">
    <w:name w:val="Emphasis"/>
    <w:basedOn w:val="10"/>
  </w:style>
  <w:style w:type="character" w:customStyle="1" w:styleId="22">
    <w:name w:val="默认段落字体1"/>
    <w:rPr>
      <w:sz w:val="22"/>
      <w:szCs w:val="22"/>
    </w:rPr>
  </w:style>
  <w:style w:type="paragraph" w:customStyle="1" w:styleId="23">
    <w:name w:val="正文文本1"/>
    <w:basedOn w:val="0"/>
    <w:pPr>
      <w:spacing w:before="93"/>
    </w:pPr>
    <w:rPr>
      <w:rFonts w:ascii="仿宋_GB2312" w:eastAsia="仿宋_GB2312" w:cs="仿宋_GB2312"/>
      <w:kern w:val="0"/>
      <w:sz w:val="30"/>
      <w:szCs w:val="30"/>
    </w:rPr>
  </w:style>
  <w:style w:type="paragraph" w:customStyle="1" w:styleId="24">
    <w:name w:val="List Paragraph"/>
    <w:basedOn w:val="0"/>
    <w:pPr>
      <w:ind w:firstLineChars="200" w:firstLine="200"/>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14</TotalTime>
  <Application>Yozo_Office27021597764231179</Application>
  <Pages>10</Pages>
  <Words>4250</Words>
  <Characters>4602</Characters>
  <Lines>230</Lines>
  <Paragraphs>84</Paragraphs>
  <CharactersWithSpaces>4671</CharactersWithSpaces>
  <Company>Sky123.Org</Company>
</Properties>
</file>

<file path=docProps/core.xml><?xml version="1.0" encoding="utf-8"?>
<cp:coreProperties xmlns:cp="http://schemas.openxmlformats.org/package/2006/metadata/core-properties" xmlns:dc="http://purl.org/dc/elements/1.1/" xmlns:dcterms="http://purl.org/dc/terms/" xmlns:xsi="http://www.w3.org/2001/XMLSchema-instance">
  <dc:creator>薛永萍</dc:creator>
  <cp:lastModifiedBy>HP</cp:lastModifiedBy>
  <cp:revision>18</cp:revision>
  <dcterms:created xsi:type="dcterms:W3CDTF">2017-12-15T01:50:00Z</dcterms:created>
  <dcterms:modified xsi:type="dcterms:W3CDTF">2022-01-20T07:19:22Z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2052-11.1.0.11294</vt:lpwstr>
  </property>
  <property fmtid="{D5CDD505-2E9C-101B-9397-08002B2CF9AE}" pid="3" name="ICV">
    <vt:lpwstr>7DD6575C487B474E88D0E73BFDFF7D0F</vt:lpwstr>
  </property>
</Properties>
</file>