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700" w:lineRule="exact"/>
        <w:jc w:val="center"/>
        <w:rPr>
          <w:rFonts w:hint="eastAsia" w:ascii="方正小标宋简体" w:eastAsia="方正小标宋简体" w:cs="方正小标宋简体"/>
          <w:sz w:val="44"/>
          <w:szCs w:val="44"/>
        </w:rPr>
      </w:pPr>
      <w:bookmarkStart w:id="1" w:name="_Toc15378441"/>
      <w:bookmarkStart w:id="2" w:name="_Toc15377193"/>
      <w:bookmarkStart w:id="3" w:name="_Toc15377425"/>
      <w:bookmarkStart w:id="4" w:name="_Toc15396597"/>
      <w:bookmarkStart w:id="5" w:name="_Toc15396475"/>
      <w:r>
        <w:rPr>
          <w:rFonts w:hint="eastAsia" w:ascii="方正小标宋简体" w:eastAsia="方正小标宋简体" w:cs="方正小标宋简体"/>
          <w:sz w:val="44"/>
          <w:szCs w:val="44"/>
          <w:lang w:eastAsia="zh-CN"/>
        </w:rPr>
        <w:t>2021</w:t>
      </w:r>
      <w:r>
        <w:rPr>
          <w:rFonts w:hint="eastAsia" w:ascii="方正小标宋简体" w:eastAsia="方正小标宋简体" w:cs="方正小标宋简体"/>
          <w:sz w:val="44"/>
          <w:szCs w:val="44"/>
        </w:rPr>
        <w:t>年度</w:t>
      </w:r>
      <w:bookmarkEnd w:id="1"/>
      <w:bookmarkEnd w:id="2"/>
      <w:bookmarkEnd w:id="3"/>
      <w:bookmarkEnd w:id="4"/>
      <w:bookmarkEnd w:id="5"/>
      <w:bookmarkStart w:id="6" w:name="_Toc15396476"/>
      <w:bookmarkStart w:id="7" w:name="_Toc15377194"/>
      <w:bookmarkStart w:id="8" w:name="_Toc15377426"/>
      <w:bookmarkStart w:id="9" w:name="_Toc15396598"/>
      <w:bookmarkStart w:id="10" w:name="_Toc15378442"/>
      <w:r>
        <w:rPr>
          <w:rFonts w:hint="eastAsia" w:ascii="方正小标宋简体" w:eastAsia="方正小标宋简体"/>
          <w:sz w:val="44"/>
          <w:szCs w:val="44"/>
        </w:rPr>
        <w:t>四川省阿坝州</w:t>
      </w:r>
      <w:bookmarkEnd w:id="0"/>
      <w:bookmarkStart w:id="11" w:name="_Toc15306268"/>
      <w:r>
        <w:rPr>
          <w:rFonts w:hint="eastAsia" w:ascii="方正小标宋简体" w:eastAsia="方正小标宋简体"/>
          <w:sz w:val="44"/>
          <w:szCs w:val="44"/>
          <w:lang w:val="en-US" w:eastAsia="zh-CN"/>
        </w:rPr>
        <w:t>壤塘县应急管理局</w:t>
      </w:r>
      <w:r>
        <w:rPr>
          <w:rFonts w:hint="eastAsia" w:ascii="方正小标宋简体" w:eastAsia="方正小标宋简体"/>
          <w:sz w:val="44"/>
          <w:szCs w:val="44"/>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hint="eastAsia" w:ascii="仿宋_GB2312" w:eastAsia="仿宋_GB2312"/>
          <w:sz w:val="32"/>
          <w:szCs w:val="32"/>
        </w:rPr>
      </w:pPr>
      <w:r>
        <w:rPr>
          <w:rFonts w:hint="eastAsia" w:ascii="仿宋_GB2312" w:eastAsia="仿宋_GB2312" w:cs="仿宋_GB2312"/>
          <w:sz w:val="32"/>
          <w:szCs w:val="32"/>
        </w:rPr>
        <w:t>保密审查情况：</w:t>
      </w:r>
    </w:p>
    <w:p>
      <w:pPr>
        <w:autoSpaceDE w:val="0"/>
        <w:autoSpaceDN w:val="0"/>
        <w:adjustRightInd w:val="0"/>
        <w:ind w:left="420" w:leftChars="200"/>
        <w:jc w:val="left"/>
        <w:rPr>
          <w:rFonts w:hint="eastAsia" w:ascii="仿宋_GB2312"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eastAsia="方正小标宋简体"/>
          <w:color w:val="000000"/>
          <w:sz w:val="36"/>
          <w:szCs w:val="36"/>
        </w:rPr>
      </w:pPr>
    </w:p>
    <w:p>
      <w:pPr>
        <w:autoSpaceDE w:val="0"/>
        <w:autoSpaceDN w:val="0"/>
        <w:adjustRightInd w:val="0"/>
        <w:ind w:left="420" w:leftChars="200"/>
        <w:jc w:val="center"/>
        <w:rPr>
          <w:rFonts w:hint="eastAsia" w:ascii="仿宋_GB2312" w:eastAsia="仿宋_GB2312" w:cs="仿宋_GB2312"/>
          <w:sz w:val="32"/>
          <w:szCs w:val="32"/>
        </w:rPr>
      </w:pPr>
      <w:r>
        <w:rPr>
          <w:rFonts w:hint="eastAsia" w:ascii="仿宋_GB2312" w:eastAsia="仿宋_GB2312" w:cs="仿宋_GB2312"/>
          <w:sz w:val="32"/>
          <w:szCs w:val="32"/>
        </w:rPr>
        <w:t>公开时间：202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 xml:space="preserve">年 </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日</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bookmarkStart w:id="12" w:name="_Toc15396599"/>
      <w:bookmarkStart w:id="13" w:name="_Toc15377196"/>
    </w:p>
    <w:p>
      <w:pPr>
        <w:pStyle w:val="17"/>
        <w:tabs>
          <w:tab w:val="right" w:leader="dot" w:pos="8306"/>
        </w:tabs>
        <w:rPr>
          <w:rFonts w:hint="eastAsia" w:ascii="仿宋_GB2312" w:eastAsia="仿宋_GB2312"/>
          <w:sz w:val="24"/>
          <w:szCs w:val="24"/>
        </w:rPr>
      </w:pPr>
      <w:r>
        <w:rPr>
          <w:rFonts w:hint="eastAsia" w:ascii="仿宋_GB2312" w:eastAsia="仿宋_GB2312"/>
          <w:b w:val="0"/>
          <w:bCs w:val="0"/>
          <w:caps w:val="0"/>
          <w:smallCaps w:val="0"/>
          <w:sz w:val="24"/>
          <w:szCs w:val="24"/>
        </w:rPr>
        <w:fldChar w:fldCharType="begin"/>
      </w:r>
      <w:r>
        <w:rPr>
          <w:rFonts w:hint="eastAsia" w:ascii="仿宋_GB2312" w:eastAsia="仿宋_GB2312"/>
          <w:b w:val="0"/>
          <w:bCs w:val="0"/>
          <w:caps w:val="0"/>
          <w:smallCaps w:val="0"/>
          <w:sz w:val="24"/>
          <w:szCs w:val="24"/>
        </w:rPr>
        <w:instrText xml:space="preserve"> TOC \o \u </w:instrText>
      </w:r>
      <w:r>
        <w:rPr>
          <w:rFonts w:hint="eastAsia" w:ascii="仿宋_GB2312" w:eastAsia="仿宋_GB2312"/>
          <w:b w:val="0"/>
          <w:bCs w:val="0"/>
          <w:caps w:val="0"/>
          <w:smallCaps w:val="0"/>
          <w:sz w:val="24"/>
          <w:szCs w:val="24"/>
        </w:rPr>
        <w:fldChar w:fldCharType="separate"/>
      </w:r>
      <w:r>
        <w:rPr>
          <w:rFonts w:hint="eastAsia" w:ascii="仿宋_GB2312" w:eastAsia="仿宋_GB2312"/>
          <w:sz w:val="24"/>
          <w:szCs w:val="24"/>
        </w:rPr>
        <w:t xml:space="preserve">第一部分 </w:t>
      </w:r>
      <w:r>
        <w:rPr>
          <w:rFonts w:hint="eastAsia" w:ascii="仿宋_GB2312" w:eastAsia="仿宋_GB2312"/>
          <w:bCs w:val="0"/>
          <w:sz w:val="24"/>
          <w:szCs w:val="24"/>
        </w:rPr>
        <w:t>部门概况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_Toc196 \h </w:instrText>
      </w:r>
      <w:r>
        <w:rPr>
          <w:rFonts w:hint="eastAsia" w:ascii="仿宋_GB2312" w:eastAsia="仿宋_GB2312"/>
          <w:sz w:val="24"/>
          <w:szCs w:val="24"/>
        </w:rPr>
        <w:fldChar w:fldCharType="separate"/>
      </w:r>
      <w:r>
        <w:rPr>
          <w:rFonts w:hint="eastAsia" w:ascii="仿宋_GB2312" w:eastAsia="仿宋_GB2312"/>
          <w:sz w:val="24"/>
          <w:szCs w:val="24"/>
        </w:rPr>
        <w:t>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一、基</w:t>
      </w:r>
      <w:r>
        <w:rPr>
          <w:rFonts w:hint="eastAsia" w:ascii="仿宋_GB2312" w:eastAsia="仿宋_GB2312"/>
          <w:bCs w:val="0"/>
          <w:sz w:val="24"/>
          <w:szCs w:val="24"/>
        </w:rPr>
        <w:t>本职能及主要工作</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_Toc5993 \h </w:instrText>
      </w:r>
      <w:r>
        <w:rPr>
          <w:rFonts w:hint="eastAsia" w:ascii="仿宋_GB2312" w:eastAsia="仿宋_GB2312"/>
          <w:sz w:val="24"/>
          <w:szCs w:val="24"/>
        </w:rPr>
        <w:fldChar w:fldCharType="separate"/>
      </w:r>
      <w:r>
        <w:rPr>
          <w:rFonts w:hint="eastAsia" w:ascii="仿宋_GB2312" w:eastAsia="仿宋_GB2312"/>
          <w:sz w:val="24"/>
          <w:szCs w:val="24"/>
        </w:rPr>
        <w:t>5</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bCs/>
          <w:i w:val="0"/>
          <w:iCs w:val="0"/>
          <w:color w:val="000000"/>
          <w:sz w:val="24"/>
          <w:szCs w:val="24"/>
        </w:rPr>
        <w:t>（一）主要职能。</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_Toc13373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5</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cs="Times New Roman"/>
          <w:bCs/>
          <w:i w:val="0"/>
          <w:iCs w:val="0"/>
          <w:kern w:val="2"/>
          <w:sz w:val="24"/>
          <w:szCs w:val="24"/>
          <w:lang w:val="en-US" w:eastAsia="zh-CN" w:bidi="ar-SA"/>
        </w:rPr>
        <w:t>（二）2021年重点工作完成情况。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_Toc17261 \h </w:instrText>
      </w:r>
      <w:r>
        <w:rPr>
          <w:rFonts w:hint="eastAsia" w:ascii="仿宋_GB2312" w:eastAsia="仿宋_GB2312"/>
          <w:sz w:val="24"/>
          <w:szCs w:val="24"/>
        </w:rPr>
        <w:fldChar w:fldCharType="separate"/>
      </w:r>
      <w:r>
        <w:rPr>
          <w:rFonts w:hint="eastAsia" w:ascii="仿宋_GB2312" w:eastAsia="仿宋_GB2312"/>
          <w:sz w:val="24"/>
          <w:szCs w:val="24"/>
        </w:rPr>
        <w:t>8</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二、机</w:t>
      </w:r>
      <w:r>
        <w:rPr>
          <w:rFonts w:hint="eastAsia" w:ascii="仿宋_GB2312" w:eastAsia="仿宋_GB2312"/>
          <w:bCs w:val="0"/>
          <w:sz w:val="24"/>
          <w:szCs w:val="24"/>
        </w:rPr>
        <w:t>构设置</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_Toc3335 \h </w:instrText>
      </w:r>
      <w:r>
        <w:rPr>
          <w:rFonts w:hint="eastAsia" w:ascii="仿宋_GB2312" w:eastAsia="仿宋_GB2312"/>
          <w:sz w:val="24"/>
          <w:szCs w:val="24"/>
        </w:rPr>
        <w:fldChar w:fldCharType="separate"/>
      </w:r>
      <w:r>
        <w:rPr>
          <w:rFonts w:hint="eastAsia" w:ascii="仿宋_GB2312" w:eastAsia="仿宋_GB2312"/>
          <w:sz w:val="24"/>
          <w:szCs w:val="24"/>
        </w:rPr>
        <w:t>12</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olor w:val="000000"/>
          <w:sz w:val="24"/>
          <w:szCs w:val="24"/>
        </w:rPr>
        <w:t xml:space="preserve">第二部分 </w:t>
      </w:r>
      <w:r>
        <w:rPr>
          <w:rFonts w:hint="eastAsia" w:ascii="仿宋_GB2312" w:eastAsia="仿宋_GB2312"/>
          <w:bCs w:val="0"/>
          <w:sz w:val="24"/>
          <w:szCs w:val="24"/>
          <w:lang w:eastAsia="zh-CN"/>
        </w:rPr>
        <w:t>2021</w:t>
      </w:r>
      <w:r>
        <w:rPr>
          <w:rFonts w:hint="eastAsia" w:ascii="仿宋_GB2312" w:eastAsia="仿宋_GB2312"/>
          <w:bCs w:val="0"/>
          <w:sz w:val="24"/>
          <w:szCs w:val="24"/>
        </w:rPr>
        <w:t>年度部门决算情况说明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_Toc4647 \h </w:instrText>
      </w:r>
      <w:r>
        <w:rPr>
          <w:rFonts w:hint="eastAsia" w:ascii="仿宋_GB2312" w:eastAsia="仿宋_GB2312"/>
          <w:sz w:val="24"/>
          <w:szCs w:val="24"/>
        </w:rPr>
        <w:fldChar w:fldCharType="separate"/>
      </w:r>
      <w:r>
        <w:rPr>
          <w:rFonts w:hint="eastAsia" w:ascii="仿宋_GB2312" w:eastAsia="仿宋_GB2312"/>
          <w:sz w:val="24"/>
          <w:szCs w:val="24"/>
        </w:rPr>
        <w:t>13</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Times New Roman"/>
          <w:sz w:val="24"/>
          <w:szCs w:val="24"/>
        </w:rPr>
        <w:t xml:space="preserve">一、 </w:t>
      </w:r>
      <w:r>
        <w:rPr>
          <w:rFonts w:hint="eastAsia" w:ascii="仿宋_GB2312" w:eastAsia="仿宋_GB2312"/>
          <w:color w:val="000000"/>
          <w:sz w:val="24"/>
          <w:szCs w:val="24"/>
        </w:rPr>
        <w:t>收</w:t>
      </w:r>
      <w:r>
        <w:rPr>
          <w:rFonts w:hint="eastAsia" w:ascii="仿宋_GB2312" w:eastAsia="仿宋_GB2312"/>
          <w:sz w:val="24"/>
          <w:szCs w:val="24"/>
        </w:rPr>
        <w:t>入支出决算总体情况说明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_Toc18093 \h </w:instrText>
      </w:r>
      <w:r>
        <w:rPr>
          <w:rFonts w:hint="eastAsia" w:ascii="仿宋_GB2312" w:eastAsia="仿宋_GB2312"/>
          <w:sz w:val="24"/>
          <w:szCs w:val="24"/>
        </w:rPr>
        <w:fldChar w:fldCharType="separate"/>
      </w:r>
      <w:r>
        <w:rPr>
          <w:rFonts w:hint="eastAsia" w:ascii="仿宋_GB2312" w:eastAsia="仿宋_GB2312"/>
          <w:sz w:val="24"/>
          <w:szCs w:val="24"/>
        </w:rPr>
        <w:t>13</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Times New Roman"/>
          <w:sz w:val="24"/>
          <w:szCs w:val="24"/>
        </w:rPr>
        <w:t xml:space="preserve">二、 </w:t>
      </w:r>
      <w:r>
        <w:rPr>
          <w:rFonts w:hint="eastAsia" w:ascii="仿宋_GB2312" w:eastAsia="仿宋_GB2312"/>
          <w:color w:val="000000"/>
          <w:sz w:val="24"/>
          <w:szCs w:val="24"/>
        </w:rPr>
        <w:t>收</w:t>
      </w:r>
      <w:r>
        <w:rPr>
          <w:rFonts w:hint="eastAsia" w:ascii="仿宋_GB2312" w:eastAsia="仿宋_GB2312"/>
          <w:sz w:val="24"/>
          <w:szCs w:val="24"/>
        </w:rPr>
        <w:t>入决算情况说明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_Toc24671 \h </w:instrText>
      </w:r>
      <w:r>
        <w:rPr>
          <w:rFonts w:hint="eastAsia" w:ascii="仿宋_GB2312" w:eastAsia="仿宋_GB2312"/>
          <w:sz w:val="24"/>
          <w:szCs w:val="24"/>
        </w:rPr>
        <w:fldChar w:fldCharType="separate"/>
      </w:r>
      <w:r>
        <w:rPr>
          <w:rFonts w:hint="eastAsia" w:ascii="仿宋_GB2312" w:eastAsia="仿宋_GB2312"/>
          <w:sz w:val="24"/>
          <w:szCs w:val="24"/>
        </w:rPr>
        <w:t>14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Times New Roman"/>
          <w:sz w:val="24"/>
          <w:szCs w:val="24"/>
        </w:rPr>
        <w:t xml:space="preserve">三、 </w:t>
      </w:r>
      <w:r>
        <w:rPr>
          <w:rFonts w:hint="eastAsia" w:ascii="仿宋_GB2312" w:eastAsia="仿宋_GB2312"/>
          <w:color w:val="000000"/>
          <w:sz w:val="24"/>
          <w:szCs w:val="24"/>
        </w:rPr>
        <w:t>支</w:t>
      </w:r>
      <w:r>
        <w:rPr>
          <w:rFonts w:hint="eastAsia" w:ascii="仿宋_GB2312" w:eastAsia="仿宋_GB2312"/>
          <w:sz w:val="24"/>
          <w:szCs w:val="24"/>
        </w:rPr>
        <w:t>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_Toc9389 \h </w:instrText>
      </w:r>
      <w:r>
        <w:rPr>
          <w:rFonts w:hint="eastAsia" w:ascii="仿宋_GB2312" w:eastAsia="仿宋_GB2312"/>
          <w:sz w:val="24"/>
          <w:szCs w:val="24"/>
        </w:rPr>
        <w:fldChar w:fldCharType="separate"/>
      </w:r>
      <w:r>
        <w:rPr>
          <w:rFonts w:hint="eastAsia" w:ascii="仿宋_GB2312" w:eastAsia="仿宋_GB2312"/>
          <w:sz w:val="24"/>
          <w:szCs w:val="24"/>
        </w:rPr>
        <w:t>15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四、财</w:t>
      </w:r>
      <w:r>
        <w:rPr>
          <w:rFonts w:hint="eastAsia" w:ascii="仿宋_GB2312" w:eastAsia="仿宋_GB2312"/>
          <w:sz w:val="24"/>
          <w:szCs w:val="24"/>
        </w:rPr>
        <w:t>政拨款收入支出决算总体情况说明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_Toc15879 \h </w:instrText>
      </w:r>
      <w:r>
        <w:rPr>
          <w:rFonts w:hint="eastAsia" w:ascii="仿宋_GB2312" w:eastAsia="仿宋_GB2312"/>
          <w:sz w:val="24"/>
          <w:szCs w:val="24"/>
        </w:rPr>
        <w:fldChar w:fldCharType="separate"/>
      </w:r>
      <w:r>
        <w:rPr>
          <w:rFonts w:hint="eastAsia" w:ascii="仿宋_GB2312" w:eastAsia="仿宋_GB2312"/>
          <w:sz w:val="24"/>
          <w:szCs w:val="24"/>
        </w:rPr>
        <w:t>15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五、一</w:t>
      </w:r>
      <w:r>
        <w:rPr>
          <w:rFonts w:hint="eastAsia" w:ascii="仿宋_GB2312" w:eastAsia="仿宋_GB2312"/>
          <w:sz w:val="24"/>
          <w:szCs w:val="24"/>
        </w:rPr>
        <w:t>般公共预算财政拨款支出决算情况说明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_Toc3751 \h </w:instrText>
      </w:r>
      <w:r>
        <w:rPr>
          <w:rFonts w:hint="eastAsia" w:ascii="仿宋_GB2312" w:eastAsia="仿宋_GB2312"/>
          <w:sz w:val="24"/>
          <w:szCs w:val="24"/>
        </w:rPr>
        <w:fldChar w:fldCharType="separate"/>
      </w:r>
      <w:r>
        <w:rPr>
          <w:rFonts w:hint="eastAsia" w:ascii="仿宋_GB2312" w:eastAsia="仿宋_GB2312"/>
          <w:sz w:val="24"/>
          <w:szCs w:val="24"/>
        </w:rPr>
        <w:t>16</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（一）一般公共预算财政拨款支出决算总体情况</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_Toc19356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16</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（二）一般公共预算财政拨款支出决算结构情况</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_Toc26147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17</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i w:val="0"/>
          <w:iCs w:val="0"/>
          <w:color w:val="000000"/>
          <w:sz w:val="24"/>
          <w:szCs w:val="24"/>
        </w:rPr>
        <w:t>（三）一般公共预算财政拨款支出决算具体情况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_Toc18954 \h </w:instrText>
      </w:r>
      <w:r>
        <w:rPr>
          <w:rFonts w:hint="eastAsia" w:ascii="仿宋_GB2312" w:eastAsia="仿宋_GB2312"/>
          <w:sz w:val="24"/>
          <w:szCs w:val="24"/>
        </w:rPr>
        <w:fldChar w:fldCharType="separate"/>
      </w:r>
      <w:r>
        <w:rPr>
          <w:rFonts w:hint="eastAsia" w:ascii="仿宋_GB2312" w:eastAsia="仿宋_GB2312"/>
          <w:sz w:val="24"/>
          <w:szCs w:val="24"/>
        </w:rPr>
        <w:t>18</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六、一</w:t>
      </w:r>
      <w:r>
        <w:rPr>
          <w:rFonts w:hint="eastAsia" w:ascii="仿宋_GB2312" w:eastAsia="仿宋_GB2312"/>
          <w:sz w:val="24"/>
          <w:szCs w:val="24"/>
        </w:rPr>
        <w:t>般公共预算财政拨款基本支出决算情况说明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_Toc19660 \h </w:instrText>
      </w:r>
      <w:r>
        <w:rPr>
          <w:rFonts w:hint="eastAsia" w:ascii="仿宋_GB2312" w:eastAsia="仿宋_GB2312"/>
          <w:sz w:val="24"/>
          <w:szCs w:val="24"/>
        </w:rPr>
        <w:fldChar w:fldCharType="separate"/>
      </w:r>
      <w:r>
        <w:rPr>
          <w:rFonts w:hint="eastAsia" w:ascii="仿宋_GB2312" w:eastAsia="仿宋_GB2312"/>
          <w:sz w:val="24"/>
          <w:szCs w:val="24"/>
        </w:rPr>
        <w:t>20</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七、</w:t>
      </w:r>
      <w:r>
        <w:rPr>
          <w:rFonts w:hint="eastAsia" w:ascii="仿宋_GB2312" w:eastAsia="仿宋_GB2312"/>
          <w:sz w:val="24"/>
          <w:szCs w:val="24"/>
        </w:rPr>
        <w:t>“三公”经费财政拨款支出决算情况说明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_Toc7760 \h </w:instrText>
      </w:r>
      <w:r>
        <w:rPr>
          <w:rFonts w:hint="eastAsia" w:ascii="仿宋_GB2312" w:eastAsia="仿宋_GB2312"/>
          <w:sz w:val="24"/>
          <w:szCs w:val="24"/>
        </w:rPr>
        <w:fldChar w:fldCharType="separate"/>
      </w:r>
      <w:r>
        <w:rPr>
          <w:rFonts w:hint="eastAsia" w:ascii="仿宋_GB2312" w:eastAsia="仿宋_GB2312"/>
          <w:sz w:val="24"/>
          <w:szCs w:val="24"/>
        </w:rPr>
        <w:t>20</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（一）“三公”经费财政拨款支出决算总体情况说明</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_Toc11480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20</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i w:val="0"/>
          <w:iCs w:val="0"/>
          <w:color w:val="000000"/>
          <w:sz w:val="24"/>
          <w:szCs w:val="24"/>
        </w:rPr>
        <w:t>（二）“三公”经费财政拨款支出决算具体情况说明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_Toc1716 \h </w:instrText>
      </w:r>
      <w:r>
        <w:rPr>
          <w:rFonts w:hint="eastAsia" w:ascii="仿宋_GB2312" w:eastAsia="仿宋_GB2312"/>
          <w:sz w:val="24"/>
          <w:szCs w:val="24"/>
        </w:rPr>
        <w:fldChar w:fldCharType="separate"/>
      </w:r>
      <w:r>
        <w:rPr>
          <w:rFonts w:hint="eastAsia" w:ascii="仿宋_GB2312" w:eastAsia="仿宋_GB2312"/>
          <w:sz w:val="24"/>
          <w:szCs w:val="24"/>
        </w:rPr>
        <w:t>20</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八、</w:t>
      </w:r>
      <w:r>
        <w:rPr>
          <w:rFonts w:hint="eastAsia" w:ascii="仿宋_GB2312" w:eastAsia="仿宋_GB2312"/>
          <w:sz w:val="24"/>
          <w:szCs w:val="24"/>
        </w:rPr>
        <w:t>政府性基金预算支出决算情况说明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_Toc31923 \h </w:instrText>
      </w:r>
      <w:r>
        <w:rPr>
          <w:rFonts w:hint="eastAsia" w:ascii="仿宋_GB2312" w:eastAsia="仿宋_GB2312"/>
          <w:sz w:val="24"/>
          <w:szCs w:val="24"/>
        </w:rPr>
        <w:fldChar w:fldCharType="separate"/>
      </w:r>
      <w:r>
        <w:rPr>
          <w:rFonts w:hint="eastAsia" w:ascii="仿宋_GB2312" w:eastAsia="仿宋_GB2312"/>
          <w:sz w:val="24"/>
          <w:szCs w:val="24"/>
        </w:rPr>
        <w:t>22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Times New Roman"/>
          <w:sz w:val="24"/>
          <w:szCs w:val="24"/>
        </w:rPr>
        <w:t xml:space="preserve">九、 </w:t>
      </w:r>
      <w:r>
        <w:rPr>
          <w:rFonts w:hint="eastAsia" w:ascii="仿宋_GB2312" w:eastAsia="仿宋_GB2312"/>
          <w:sz w:val="24"/>
          <w:szCs w:val="24"/>
        </w:rPr>
        <w:t>国有资本经营预算支出决算情况说明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_Toc5166 \h </w:instrText>
      </w:r>
      <w:r>
        <w:rPr>
          <w:rFonts w:hint="eastAsia" w:ascii="仿宋_GB2312" w:eastAsia="仿宋_GB2312"/>
          <w:sz w:val="24"/>
          <w:szCs w:val="24"/>
        </w:rPr>
        <w:fldChar w:fldCharType="separate"/>
      </w:r>
      <w:r>
        <w:rPr>
          <w:rFonts w:hint="eastAsia" w:ascii="仿宋_GB2312" w:eastAsia="仿宋_GB2312"/>
          <w:sz w:val="24"/>
          <w:szCs w:val="24"/>
        </w:rPr>
        <w:t>22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十</w:t>
      </w:r>
      <w:r>
        <w:rPr>
          <w:rFonts w:hint="eastAsia" w:ascii="仿宋_GB2312" w:eastAsia="仿宋_GB2312"/>
          <w:sz w:val="24"/>
          <w:szCs w:val="24"/>
        </w:rPr>
        <w:t>、其他重要事项的情况说明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_Toc5322 \h </w:instrText>
      </w:r>
      <w:r>
        <w:rPr>
          <w:rFonts w:hint="eastAsia" w:ascii="仿宋_GB2312" w:eastAsia="仿宋_GB2312"/>
          <w:sz w:val="24"/>
          <w:szCs w:val="24"/>
        </w:rPr>
        <w:fldChar w:fldCharType="separate"/>
      </w:r>
      <w:r>
        <w:rPr>
          <w:rFonts w:hint="eastAsia" w:ascii="仿宋_GB2312" w:eastAsia="仿宋_GB2312"/>
          <w:sz w:val="24"/>
          <w:szCs w:val="24"/>
        </w:rPr>
        <w:t>22</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（一）机关运行经费支出情况</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_Toc25469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22</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（二）政府采购支出情况</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_Toc21696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22</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i w:val="0"/>
          <w:iCs w:val="0"/>
          <w:sz w:val="24"/>
          <w:szCs w:val="24"/>
        </w:rPr>
      </w:pPr>
      <w:r>
        <w:rPr>
          <w:rFonts w:hint="eastAsia" w:ascii="仿宋_GB2312" w:eastAsia="仿宋_GB2312"/>
          <w:i w:val="0"/>
          <w:iCs w:val="0"/>
          <w:color w:val="000000"/>
          <w:sz w:val="24"/>
          <w:szCs w:val="24"/>
        </w:rPr>
        <w:t>（三）国有资产占有使用情况</w:t>
      </w:r>
      <w:r>
        <w:rPr>
          <w:rFonts w:hint="eastAsia" w:ascii="仿宋_GB2312" w:eastAsia="仿宋_GB2312"/>
          <w:i w:val="0"/>
          <w:iCs w:val="0"/>
          <w:sz w:val="24"/>
          <w:szCs w:val="24"/>
        </w:rPr>
        <w:tab/>
      </w:r>
      <w:r>
        <w:rPr>
          <w:rFonts w:hint="eastAsia" w:ascii="仿宋_GB2312" w:eastAsia="仿宋_GB2312"/>
          <w:i w:val="0"/>
          <w:iCs w:val="0"/>
          <w:sz w:val="24"/>
          <w:szCs w:val="24"/>
        </w:rPr>
        <w:fldChar w:fldCharType="begin"/>
      </w:r>
      <w:r>
        <w:rPr>
          <w:rFonts w:hint="eastAsia" w:ascii="仿宋_GB2312" w:eastAsia="仿宋_GB2312"/>
          <w:i w:val="0"/>
          <w:iCs w:val="0"/>
          <w:sz w:val="24"/>
          <w:szCs w:val="24"/>
        </w:rPr>
        <w:instrText xml:space="preserve"> PAGEREF _Toc15381 \h </w:instrText>
      </w:r>
      <w:r>
        <w:rPr>
          <w:rFonts w:hint="eastAsia" w:ascii="仿宋_GB2312" w:eastAsia="仿宋_GB2312"/>
          <w:i w:val="0"/>
          <w:iCs w:val="0"/>
          <w:sz w:val="24"/>
          <w:szCs w:val="24"/>
        </w:rPr>
        <w:fldChar w:fldCharType="separate"/>
      </w:r>
      <w:r>
        <w:rPr>
          <w:rFonts w:hint="eastAsia" w:ascii="仿宋_GB2312" w:eastAsia="仿宋_GB2312"/>
          <w:i w:val="0"/>
          <w:iCs w:val="0"/>
          <w:sz w:val="24"/>
          <w:szCs w:val="24"/>
        </w:rPr>
        <w:t>23</w:t>
      </w:r>
      <w:r>
        <w:rPr>
          <w:rFonts w:hint="eastAsia" w:ascii="仿宋_GB2312" w:eastAsia="仿宋_GB2312"/>
          <w:i w:val="0"/>
          <w:iCs w:val="0"/>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i w:val="0"/>
          <w:iCs w:val="0"/>
          <w:color w:val="000000"/>
          <w:sz w:val="24"/>
          <w:szCs w:val="24"/>
        </w:rPr>
        <w:t>（四）预算绩效管理情况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_Toc6952 \h </w:instrText>
      </w:r>
      <w:r>
        <w:rPr>
          <w:rFonts w:hint="eastAsia" w:ascii="仿宋_GB2312" w:eastAsia="仿宋_GB2312"/>
          <w:sz w:val="24"/>
          <w:szCs w:val="24"/>
        </w:rPr>
        <w:fldChar w:fldCharType="separate"/>
      </w:r>
      <w:r>
        <w:rPr>
          <w:rFonts w:hint="eastAsia" w:ascii="仿宋_GB2312" w:eastAsia="仿宋_GB2312"/>
          <w:sz w:val="24"/>
          <w:szCs w:val="24"/>
        </w:rPr>
        <w:t>23</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Times New Roman"/>
          <w:sz w:val="24"/>
          <w:szCs w:val="24"/>
        </w:rPr>
        <w:t xml:space="preserve">第三部分 </w:t>
      </w:r>
      <w:r>
        <w:rPr>
          <w:rFonts w:hint="eastAsia" w:ascii="仿宋_GB2312" w:eastAsia="仿宋_GB2312"/>
          <w:color w:val="000000"/>
          <w:sz w:val="24"/>
          <w:szCs w:val="24"/>
        </w:rPr>
        <w:t>名</w:t>
      </w:r>
      <w:r>
        <w:rPr>
          <w:rFonts w:hint="eastAsia" w:ascii="仿宋_GB2312" w:eastAsia="仿宋_GB2312"/>
          <w:sz w:val="24"/>
          <w:szCs w:val="24"/>
        </w:rPr>
        <w:t>词解释</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_Toc11109 \h </w:instrText>
      </w:r>
      <w:r>
        <w:rPr>
          <w:rFonts w:hint="eastAsia" w:ascii="仿宋_GB2312" w:eastAsia="仿宋_GB2312"/>
          <w:sz w:val="24"/>
          <w:szCs w:val="24"/>
        </w:rPr>
        <w:fldChar w:fldCharType="separate"/>
      </w:r>
      <w:r>
        <w:rPr>
          <w:rFonts w:hint="eastAsia" w:ascii="仿宋_GB2312" w:eastAsia="仿宋_GB2312"/>
          <w:sz w:val="24"/>
          <w:szCs w:val="24"/>
        </w:rPr>
        <w:t>24</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olor w:val="000000"/>
          <w:sz w:val="24"/>
          <w:szCs w:val="24"/>
        </w:rPr>
        <w:t>第</w:t>
      </w:r>
      <w:r>
        <w:rPr>
          <w:rFonts w:hint="eastAsia" w:ascii="仿宋_GB2312" w:eastAsia="仿宋_GB2312"/>
          <w:sz w:val="24"/>
          <w:szCs w:val="24"/>
        </w:rPr>
        <w:t>四部分 附件</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_Toc27710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sz w:val="24"/>
          <w:szCs w:val="24"/>
        </w:rPr>
        <w:t>附件</w:t>
      </w:r>
      <w:r>
        <w:rPr>
          <w:rFonts w:hint="eastAsia" w:ascii="仿宋_GB2312" w:eastAsia="仿宋_GB2312" w:cs="黑体"/>
          <w:sz w:val="24"/>
          <w:szCs w:val="24"/>
          <w:lang w:val="en-US" w:eastAsia="zh-CN"/>
        </w:rPr>
        <w:t>1</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_Toc10039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等线"/>
          <w:bCs/>
          <w:kern w:val="0"/>
          <w:sz w:val="24"/>
          <w:szCs w:val="24"/>
        </w:rPr>
        <w:t>20</w:t>
      </w:r>
      <w:r>
        <w:rPr>
          <w:rFonts w:hint="eastAsia" w:ascii="仿宋_GB2312" w:eastAsia="仿宋_GB2312" w:cs="等线"/>
          <w:bCs/>
          <w:kern w:val="0"/>
          <w:sz w:val="24"/>
          <w:szCs w:val="24"/>
          <w:lang w:val="en-US" w:eastAsia="zh-CN"/>
        </w:rPr>
        <w:t>21</w:t>
      </w:r>
      <w:r>
        <w:rPr>
          <w:rFonts w:hint="eastAsia" w:ascii="仿宋_GB2312" w:eastAsia="仿宋_GB2312" w:cs="等线"/>
          <w:bCs/>
          <w:kern w:val="0"/>
          <w:sz w:val="24"/>
          <w:szCs w:val="24"/>
        </w:rPr>
        <w:t>年度壤塘县应急管理局部门整体支出绩效评价自评报告</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_Toc18226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bCs/>
          <w:sz w:val="24"/>
          <w:szCs w:val="24"/>
        </w:rPr>
        <w:t xml:space="preserve">一、 </w:t>
      </w:r>
      <w:r>
        <w:rPr>
          <w:rFonts w:hint="eastAsia" w:ascii="仿宋_GB2312" w:eastAsia="仿宋_GB2312" w:cs="黑体"/>
          <w:bCs/>
          <w:kern w:val="0"/>
          <w:sz w:val="24"/>
          <w:szCs w:val="24"/>
        </w:rPr>
        <w:t>部门（单位）概况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_Toc30247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（一）机构组成</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_Toc21240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（二）机构职能</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_Toc10348 \h </w:instrText>
      </w:r>
      <w:r>
        <w:rPr>
          <w:rFonts w:hint="eastAsia" w:ascii="仿宋_GB2312" w:eastAsia="仿宋_GB2312"/>
          <w:sz w:val="24"/>
          <w:szCs w:val="24"/>
        </w:rPr>
        <w:fldChar w:fldCharType="separate"/>
      </w:r>
      <w:r>
        <w:rPr>
          <w:rFonts w:hint="eastAsia" w:ascii="仿宋_GB2312" w:eastAsia="仿宋_GB2312"/>
          <w:sz w:val="24"/>
          <w:szCs w:val="24"/>
        </w:rPr>
        <w:t>28</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lang w:eastAsia="zh-CN"/>
        </w:rPr>
        <w:t>（三）</w:t>
      </w:r>
      <w:r>
        <w:rPr>
          <w:rFonts w:hint="eastAsia" w:ascii="仿宋_GB2312" w:eastAsia="仿宋_GB2312" w:cs="仿宋_GB2312"/>
          <w:bCs/>
          <w:kern w:val="0"/>
          <w:sz w:val="24"/>
          <w:szCs w:val="24"/>
        </w:rPr>
        <w:t>人员概况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_Toc1097 \h </w:instrText>
      </w:r>
      <w:r>
        <w:rPr>
          <w:rFonts w:hint="eastAsia" w:ascii="仿宋_GB2312" w:eastAsia="仿宋_GB2312"/>
          <w:sz w:val="24"/>
          <w:szCs w:val="24"/>
        </w:rPr>
        <w:fldChar w:fldCharType="separate"/>
      </w:r>
      <w:r>
        <w:rPr>
          <w:rFonts w:hint="eastAsia" w:ascii="仿宋_GB2312" w:eastAsia="仿宋_GB2312"/>
          <w:sz w:val="24"/>
          <w:szCs w:val="24"/>
        </w:rPr>
        <w:t>31</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bCs/>
          <w:kern w:val="0"/>
          <w:sz w:val="24"/>
          <w:szCs w:val="24"/>
        </w:rPr>
        <w:t>二、预算管理情况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_Toc15410 \h </w:instrText>
      </w:r>
      <w:r>
        <w:rPr>
          <w:rFonts w:hint="eastAsia" w:ascii="仿宋_GB2312" w:eastAsia="仿宋_GB2312"/>
          <w:sz w:val="24"/>
          <w:szCs w:val="24"/>
        </w:rPr>
        <w:fldChar w:fldCharType="separate"/>
      </w:r>
      <w:r>
        <w:rPr>
          <w:rFonts w:hint="eastAsia" w:ascii="仿宋_GB2312" w:eastAsia="仿宋_GB2312"/>
          <w:sz w:val="24"/>
          <w:szCs w:val="24"/>
        </w:rPr>
        <w:t>31</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（一）预算编制情况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_Toc20836 \h </w:instrText>
      </w:r>
      <w:r>
        <w:rPr>
          <w:rFonts w:hint="eastAsia" w:ascii="仿宋_GB2312" w:eastAsia="仿宋_GB2312"/>
          <w:sz w:val="24"/>
          <w:szCs w:val="24"/>
        </w:rPr>
        <w:fldChar w:fldCharType="separate"/>
      </w:r>
      <w:r>
        <w:rPr>
          <w:rFonts w:hint="eastAsia" w:ascii="仿宋_GB2312" w:eastAsia="仿宋_GB2312"/>
          <w:sz w:val="24"/>
          <w:szCs w:val="24"/>
        </w:rPr>
        <w:t>32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（二） 预算执行情况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_Toc15546 \h </w:instrText>
      </w:r>
      <w:r>
        <w:rPr>
          <w:rFonts w:hint="eastAsia" w:ascii="仿宋_GB2312" w:eastAsia="仿宋_GB2312"/>
          <w:sz w:val="24"/>
          <w:szCs w:val="24"/>
        </w:rPr>
        <w:fldChar w:fldCharType="separate"/>
      </w:r>
      <w:r>
        <w:rPr>
          <w:rFonts w:hint="eastAsia" w:ascii="仿宋_GB2312" w:eastAsia="仿宋_GB2312"/>
          <w:sz w:val="24"/>
          <w:szCs w:val="24"/>
        </w:rPr>
        <w:t>32</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bCs/>
          <w:kern w:val="0"/>
          <w:sz w:val="24"/>
          <w:szCs w:val="24"/>
        </w:rPr>
        <w:t>三、部门管理情况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_Toc5354 \h </w:instrText>
      </w:r>
      <w:r>
        <w:rPr>
          <w:rFonts w:hint="eastAsia" w:ascii="仿宋_GB2312" w:eastAsia="仿宋_GB2312"/>
          <w:sz w:val="24"/>
          <w:szCs w:val="24"/>
        </w:rPr>
        <w:fldChar w:fldCharType="separate"/>
      </w:r>
      <w:r>
        <w:rPr>
          <w:rFonts w:hint="eastAsia" w:ascii="仿宋_GB2312" w:eastAsia="仿宋_GB2312"/>
          <w:sz w:val="24"/>
          <w:szCs w:val="24"/>
        </w:rPr>
        <w:t>32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（一）基础管理</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_Toc11507 \h </w:instrText>
      </w:r>
      <w:r>
        <w:rPr>
          <w:rFonts w:hint="eastAsia" w:ascii="仿宋_GB2312" w:eastAsia="仿宋_GB2312"/>
          <w:sz w:val="24"/>
          <w:szCs w:val="24"/>
        </w:rPr>
        <w:fldChar w:fldCharType="separate"/>
      </w:r>
      <w:r>
        <w:rPr>
          <w:rFonts w:hint="eastAsia" w:ascii="仿宋_GB2312" w:eastAsia="仿宋_GB2312"/>
          <w:sz w:val="24"/>
          <w:szCs w:val="24"/>
        </w:rPr>
        <w:t>32</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1</w:t>
      </w:r>
      <w:r>
        <w:rPr>
          <w:rFonts w:hint="eastAsia" w:ascii="仿宋_GB2312" w:eastAsia="仿宋_GB2312" w:cs="仿宋_GB2312"/>
          <w:bCs/>
          <w:kern w:val="0"/>
          <w:sz w:val="24"/>
          <w:szCs w:val="24"/>
          <w:lang w:eastAsia="zh-CN"/>
        </w:rPr>
        <w:t>.</w:t>
      </w:r>
      <w:r>
        <w:rPr>
          <w:rFonts w:hint="eastAsia" w:ascii="仿宋_GB2312" w:eastAsia="仿宋_GB2312" w:cs="仿宋_GB2312"/>
          <w:bCs/>
          <w:kern w:val="0"/>
          <w:sz w:val="24"/>
          <w:szCs w:val="24"/>
        </w:rPr>
        <w:t>管理制度健全性</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_Toc30074 \h </w:instrText>
      </w:r>
      <w:r>
        <w:rPr>
          <w:rFonts w:hint="eastAsia" w:ascii="仿宋_GB2312" w:eastAsia="仿宋_GB2312"/>
          <w:sz w:val="24"/>
          <w:szCs w:val="24"/>
        </w:rPr>
        <w:fldChar w:fldCharType="separate"/>
      </w:r>
      <w:r>
        <w:rPr>
          <w:rFonts w:hint="eastAsia" w:ascii="仿宋_GB2312" w:eastAsia="仿宋_GB2312"/>
          <w:sz w:val="24"/>
          <w:szCs w:val="24"/>
        </w:rPr>
        <w:t>32</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2、财务管理以及资金使用合规性</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_Toc21165 \h </w:instrText>
      </w:r>
      <w:r>
        <w:rPr>
          <w:rFonts w:hint="eastAsia" w:ascii="仿宋_GB2312" w:eastAsia="仿宋_GB2312"/>
          <w:sz w:val="24"/>
          <w:szCs w:val="24"/>
        </w:rPr>
        <w:fldChar w:fldCharType="separate"/>
      </w:r>
      <w:r>
        <w:rPr>
          <w:rFonts w:hint="eastAsia" w:ascii="仿宋_GB2312" w:eastAsia="仿宋_GB2312"/>
          <w:sz w:val="24"/>
          <w:szCs w:val="24"/>
        </w:rPr>
        <w:t>33</w:t>
      </w:r>
      <w:r>
        <w:rPr>
          <w:rFonts w:hint="eastAsia" w:ascii="仿宋_GB2312" w:eastAsia="仿宋_GB2312"/>
          <w:sz w:val="24"/>
          <w:szCs w:val="24"/>
        </w:rPr>
        <w:fldChar w:fldCharType="end"/>
      </w:r>
    </w:p>
    <w:p>
      <w:pPr>
        <w:pStyle w:val="12"/>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3、财务监控有效性</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_Toc7338 \h </w:instrText>
      </w:r>
      <w:r>
        <w:rPr>
          <w:rFonts w:hint="eastAsia" w:ascii="仿宋_GB2312" w:eastAsia="仿宋_GB2312"/>
          <w:sz w:val="24"/>
          <w:szCs w:val="24"/>
        </w:rPr>
        <w:fldChar w:fldCharType="separate"/>
      </w:r>
      <w:r>
        <w:rPr>
          <w:rFonts w:hint="eastAsia" w:ascii="仿宋_GB2312" w:eastAsia="仿宋_GB2312"/>
          <w:sz w:val="24"/>
          <w:szCs w:val="24"/>
        </w:rPr>
        <w:t>34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（二）行政成本</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_Toc18466 \h </w:instrText>
      </w:r>
      <w:r>
        <w:rPr>
          <w:rFonts w:hint="eastAsia" w:ascii="仿宋_GB2312" w:eastAsia="仿宋_GB2312"/>
          <w:sz w:val="24"/>
          <w:szCs w:val="24"/>
        </w:rPr>
        <w:fldChar w:fldCharType="separate"/>
      </w:r>
      <w:r>
        <w:rPr>
          <w:rFonts w:hint="eastAsia" w:ascii="仿宋_GB2312" w:eastAsia="仿宋_GB2312"/>
          <w:sz w:val="24"/>
          <w:szCs w:val="24"/>
        </w:rPr>
        <w:t>34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（三）政府采购</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_Toc24287 \h </w:instrText>
      </w:r>
      <w:r>
        <w:rPr>
          <w:rFonts w:hint="eastAsia" w:ascii="仿宋_GB2312" w:eastAsia="仿宋_GB2312"/>
          <w:sz w:val="24"/>
          <w:szCs w:val="24"/>
        </w:rPr>
        <w:fldChar w:fldCharType="separate"/>
      </w:r>
      <w:r>
        <w:rPr>
          <w:rFonts w:hint="eastAsia" w:ascii="仿宋_GB2312" w:eastAsia="仿宋_GB2312"/>
          <w:sz w:val="24"/>
          <w:szCs w:val="24"/>
        </w:rPr>
        <w:t>35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（三） 资产管理</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_Toc28396 \h </w:instrText>
      </w:r>
      <w:r>
        <w:rPr>
          <w:rFonts w:hint="eastAsia" w:ascii="仿宋_GB2312" w:eastAsia="仿宋_GB2312"/>
          <w:sz w:val="24"/>
          <w:szCs w:val="24"/>
        </w:rPr>
        <w:fldChar w:fldCharType="separate"/>
      </w:r>
      <w:r>
        <w:rPr>
          <w:rFonts w:hint="eastAsia" w:ascii="仿宋_GB2312" w:eastAsia="仿宋_GB2312"/>
          <w:sz w:val="24"/>
          <w:szCs w:val="24"/>
        </w:rPr>
        <w:t>35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（五）信息公开</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_Toc8939 \h </w:instrText>
      </w:r>
      <w:r>
        <w:rPr>
          <w:rFonts w:hint="eastAsia" w:ascii="仿宋_GB2312" w:eastAsia="仿宋_GB2312"/>
          <w:sz w:val="24"/>
          <w:szCs w:val="24"/>
        </w:rPr>
        <w:fldChar w:fldCharType="separate"/>
      </w:r>
      <w:r>
        <w:rPr>
          <w:rFonts w:hint="eastAsia" w:ascii="仿宋_GB2312" w:eastAsia="仿宋_GB2312"/>
          <w:sz w:val="24"/>
          <w:szCs w:val="24"/>
        </w:rPr>
        <w:t>35</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bCs/>
          <w:kern w:val="0"/>
          <w:sz w:val="24"/>
          <w:szCs w:val="24"/>
        </w:rPr>
        <w:t>四、部门履职效能</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_Toc30637 \h </w:instrText>
      </w:r>
      <w:r>
        <w:rPr>
          <w:rFonts w:hint="eastAsia" w:ascii="仿宋_GB2312" w:eastAsia="仿宋_GB2312"/>
          <w:sz w:val="24"/>
          <w:szCs w:val="24"/>
        </w:rPr>
        <w:fldChar w:fldCharType="separate"/>
      </w:r>
      <w:r>
        <w:rPr>
          <w:rFonts w:hint="eastAsia" w:ascii="仿宋_GB2312" w:eastAsia="仿宋_GB2312"/>
          <w:sz w:val="24"/>
          <w:szCs w:val="24"/>
        </w:rPr>
        <w:t>35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（一）部门履职的年度总体目标</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_Toc3992 \h </w:instrText>
      </w:r>
      <w:r>
        <w:rPr>
          <w:rFonts w:hint="eastAsia" w:ascii="仿宋_GB2312" w:eastAsia="仿宋_GB2312"/>
          <w:sz w:val="24"/>
          <w:szCs w:val="24"/>
        </w:rPr>
        <w:fldChar w:fldCharType="separate"/>
      </w:r>
      <w:r>
        <w:rPr>
          <w:rFonts w:hint="eastAsia" w:ascii="仿宋_GB2312" w:eastAsia="仿宋_GB2312"/>
          <w:sz w:val="24"/>
          <w:szCs w:val="24"/>
        </w:rPr>
        <w:t>35</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kern w:val="0"/>
          <w:sz w:val="24"/>
          <w:szCs w:val="24"/>
        </w:rPr>
        <w:t>（二）重点工作任务绩效目标完成情况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_Toc3056 \h </w:instrText>
      </w:r>
      <w:r>
        <w:rPr>
          <w:rFonts w:hint="eastAsia" w:ascii="仿宋_GB2312" w:eastAsia="仿宋_GB2312"/>
          <w:sz w:val="24"/>
          <w:szCs w:val="24"/>
        </w:rPr>
        <w:fldChar w:fldCharType="separate"/>
      </w:r>
      <w:r>
        <w:rPr>
          <w:rFonts w:hint="eastAsia" w:ascii="仿宋_GB2312" w:eastAsia="仿宋_GB2312"/>
          <w:sz w:val="24"/>
          <w:szCs w:val="24"/>
        </w:rPr>
        <w:t>38</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s="黑体"/>
          <w:bCs/>
          <w:kern w:val="0"/>
          <w:sz w:val="24"/>
          <w:szCs w:val="24"/>
        </w:rPr>
        <w:t>五、评价结论及措施</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_Toc30346 \h </w:instrText>
      </w:r>
      <w:r>
        <w:rPr>
          <w:rFonts w:hint="eastAsia" w:ascii="仿宋_GB2312" w:eastAsia="仿宋_GB2312"/>
          <w:sz w:val="24"/>
          <w:szCs w:val="24"/>
        </w:rPr>
        <w:fldChar w:fldCharType="separate"/>
      </w:r>
      <w:r>
        <w:rPr>
          <w:rFonts w:hint="eastAsia" w:ascii="仿宋_GB2312" w:eastAsia="仿宋_GB2312"/>
          <w:sz w:val="24"/>
          <w:szCs w:val="24"/>
        </w:rPr>
        <w:t>41</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sz w:val="24"/>
          <w:szCs w:val="24"/>
        </w:rPr>
        <w:t>（一）评价结论：见附表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_Toc21514 \h </w:instrText>
      </w:r>
      <w:r>
        <w:rPr>
          <w:rFonts w:hint="eastAsia" w:ascii="仿宋_GB2312" w:eastAsia="仿宋_GB2312"/>
          <w:sz w:val="24"/>
          <w:szCs w:val="24"/>
        </w:rPr>
        <w:fldChar w:fldCharType="separate"/>
      </w:r>
      <w:r>
        <w:rPr>
          <w:rFonts w:hint="eastAsia" w:ascii="仿宋_GB2312" w:eastAsia="仿宋_GB2312"/>
          <w:sz w:val="24"/>
          <w:szCs w:val="24"/>
        </w:rPr>
        <w:t>41</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sz w:val="24"/>
          <w:szCs w:val="24"/>
        </w:rPr>
        <w:t>（二）存在问题</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_Toc28437 \h </w:instrText>
      </w:r>
      <w:r>
        <w:rPr>
          <w:rFonts w:hint="eastAsia" w:ascii="仿宋_GB2312" w:eastAsia="仿宋_GB2312"/>
          <w:sz w:val="24"/>
          <w:szCs w:val="24"/>
        </w:rPr>
        <w:fldChar w:fldCharType="separate"/>
      </w:r>
      <w:r>
        <w:rPr>
          <w:rFonts w:hint="eastAsia" w:ascii="仿宋_GB2312" w:eastAsia="仿宋_GB2312"/>
          <w:sz w:val="24"/>
          <w:szCs w:val="24"/>
        </w:rPr>
        <w:t>41</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ascii="仿宋_GB2312" w:eastAsia="仿宋_GB2312"/>
          <w:sz w:val="24"/>
          <w:szCs w:val="24"/>
          <w:lang w:eastAsia="zh-CN"/>
        </w:rPr>
        <w:t>1.</w:t>
      </w:r>
      <w:r>
        <w:rPr>
          <w:rFonts w:hint="eastAsia" w:ascii="仿宋_GB2312" w:eastAsia="仿宋_GB2312"/>
          <w:sz w:val="24"/>
          <w:szCs w:val="24"/>
        </w:rPr>
        <w:t>安全形势依然严峻</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_Toc8449 \h </w:instrText>
      </w:r>
      <w:r>
        <w:rPr>
          <w:rFonts w:hint="eastAsia" w:ascii="仿宋_GB2312" w:eastAsia="仿宋_GB2312"/>
          <w:sz w:val="24"/>
          <w:szCs w:val="24"/>
        </w:rPr>
        <w:fldChar w:fldCharType="separate"/>
      </w:r>
      <w:r>
        <w:rPr>
          <w:rFonts w:hint="eastAsia" w:ascii="仿宋_GB2312" w:eastAsia="仿宋_GB2312"/>
          <w:sz w:val="24"/>
          <w:szCs w:val="24"/>
        </w:rPr>
        <w:t>41</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ascii="仿宋_GB2312" w:eastAsia="仿宋_GB2312"/>
          <w:sz w:val="24"/>
          <w:szCs w:val="24"/>
          <w:lang w:eastAsia="zh-CN"/>
        </w:rPr>
        <w:t>2.</w:t>
      </w:r>
      <w:r>
        <w:rPr>
          <w:rFonts w:hint="eastAsia" w:ascii="仿宋_GB2312" w:eastAsia="仿宋_GB2312"/>
          <w:sz w:val="24"/>
          <w:szCs w:val="24"/>
        </w:rPr>
        <w:t>责任落实不到位</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_Toc26886 \h </w:instrText>
      </w:r>
      <w:r>
        <w:rPr>
          <w:rFonts w:hint="eastAsia" w:ascii="仿宋_GB2312" w:eastAsia="仿宋_GB2312"/>
          <w:sz w:val="24"/>
          <w:szCs w:val="24"/>
        </w:rPr>
        <w:fldChar w:fldCharType="separate"/>
      </w:r>
      <w:r>
        <w:rPr>
          <w:rFonts w:hint="eastAsia" w:ascii="仿宋_GB2312" w:eastAsia="仿宋_GB2312"/>
          <w:sz w:val="24"/>
          <w:szCs w:val="24"/>
        </w:rPr>
        <w:t>42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ascii="仿宋_GB2312" w:eastAsia="仿宋_GB2312"/>
          <w:sz w:val="24"/>
          <w:szCs w:val="24"/>
          <w:lang w:eastAsia="zh-CN"/>
        </w:rPr>
        <w:t>3.</w:t>
      </w:r>
      <w:r>
        <w:rPr>
          <w:rFonts w:hint="eastAsia" w:ascii="仿宋_GB2312" w:eastAsia="仿宋_GB2312"/>
          <w:sz w:val="24"/>
          <w:szCs w:val="24"/>
        </w:rPr>
        <w:t>基础保障不足</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_Toc715 \h </w:instrText>
      </w:r>
      <w:r>
        <w:rPr>
          <w:rFonts w:hint="eastAsia" w:ascii="仿宋_GB2312" w:eastAsia="仿宋_GB2312"/>
          <w:sz w:val="24"/>
          <w:szCs w:val="24"/>
        </w:rPr>
        <w:fldChar w:fldCharType="separate"/>
      </w:r>
      <w:r>
        <w:rPr>
          <w:rFonts w:hint="eastAsia" w:ascii="仿宋_GB2312" w:eastAsia="仿宋_GB2312"/>
          <w:sz w:val="24"/>
          <w:szCs w:val="24"/>
        </w:rPr>
        <w:t>42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ascii="仿宋_GB2312" w:eastAsia="仿宋_GB2312"/>
          <w:sz w:val="24"/>
          <w:szCs w:val="24"/>
          <w:lang w:eastAsia="zh-CN"/>
        </w:rPr>
        <w:t>4.</w:t>
      </w:r>
      <w:r>
        <w:rPr>
          <w:rFonts w:hint="eastAsia" w:ascii="仿宋_GB2312" w:eastAsia="仿宋_GB2312"/>
          <w:sz w:val="24"/>
          <w:szCs w:val="24"/>
        </w:rPr>
        <w:t>工作能力水平有待提升</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_Toc32366 \h </w:instrText>
      </w:r>
      <w:r>
        <w:rPr>
          <w:rFonts w:hint="eastAsia" w:ascii="仿宋_GB2312" w:eastAsia="仿宋_GB2312"/>
          <w:sz w:val="24"/>
          <w:szCs w:val="24"/>
        </w:rPr>
        <w:fldChar w:fldCharType="separate"/>
      </w:r>
      <w:r>
        <w:rPr>
          <w:rFonts w:hint="eastAsia" w:ascii="仿宋_GB2312" w:eastAsia="仿宋_GB2312"/>
          <w:sz w:val="24"/>
          <w:szCs w:val="24"/>
        </w:rPr>
        <w:t>42</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s="仿宋_GB2312"/>
          <w:bCs/>
          <w:sz w:val="24"/>
          <w:szCs w:val="24"/>
        </w:rPr>
        <w:t>（三）改进措施</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_Toc5473 \h </w:instrText>
      </w:r>
      <w:r>
        <w:rPr>
          <w:rFonts w:hint="eastAsia" w:ascii="仿宋_GB2312" w:eastAsia="仿宋_GB2312"/>
          <w:sz w:val="24"/>
          <w:szCs w:val="24"/>
        </w:rPr>
        <w:fldChar w:fldCharType="separate"/>
      </w:r>
      <w:r>
        <w:rPr>
          <w:rFonts w:hint="eastAsia" w:ascii="仿宋_GB2312" w:eastAsia="仿宋_GB2312"/>
          <w:sz w:val="24"/>
          <w:szCs w:val="24"/>
        </w:rPr>
        <w:t>42</w:t>
      </w:r>
      <w:r>
        <w:rPr>
          <w:rFonts w:hint="eastAsia" w:ascii="仿宋_GB2312" w:eastAsia="仿宋_GB2312"/>
          <w:sz w:val="24"/>
          <w:szCs w:val="24"/>
        </w:rPr>
        <w:fldChar w:fldCharType="end"/>
      </w:r>
    </w:p>
    <w:p>
      <w:pPr>
        <w:pStyle w:val="17"/>
        <w:tabs>
          <w:tab w:val="right" w:leader="dot" w:pos="8306"/>
        </w:tabs>
        <w:rPr>
          <w:rFonts w:hint="eastAsia" w:ascii="仿宋_GB2312" w:eastAsia="仿宋_GB2312"/>
          <w:sz w:val="24"/>
          <w:szCs w:val="24"/>
        </w:rPr>
      </w:pPr>
      <w:r>
        <w:rPr>
          <w:rFonts w:hint="eastAsia" w:ascii="仿宋_GB2312" w:eastAsia="仿宋_GB2312"/>
          <w:color w:val="000000"/>
          <w:sz w:val="24"/>
          <w:szCs w:val="24"/>
        </w:rPr>
        <w:t>第</w:t>
      </w:r>
      <w:r>
        <w:rPr>
          <w:rFonts w:hint="eastAsia" w:ascii="仿宋_GB2312" w:eastAsia="仿宋_GB2312"/>
          <w:sz w:val="24"/>
          <w:szCs w:val="24"/>
        </w:rPr>
        <w:t>五部分 附表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_Toc17637 \h </w:instrText>
      </w:r>
      <w:r>
        <w:rPr>
          <w:rFonts w:hint="eastAsia" w:ascii="仿宋_GB2312" w:eastAsia="仿宋_GB2312"/>
          <w:sz w:val="24"/>
          <w:szCs w:val="24"/>
        </w:rPr>
        <w:fldChar w:fldCharType="separate"/>
      </w:r>
      <w:r>
        <w:rPr>
          <w:rFonts w:hint="eastAsia" w:ascii="仿宋_GB2312" w:eastAsia="仿宋_GB2312"/>
          <w:sz w:val="24"/>
          <w:szCs w:val="24"/>
        </w:rPr>
        <w:t>43</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一、收</w:t>
      </w:r>
      <w:r>
        <w:rPr>
          <w:rFonts w:hint="eastAsia" w:ascii="仿宋_GB2312" w:eastAsia="仿宋_GB2312"/>
          <w:bCs w:val="0"/>
          <w:sz w:val="24"/>
          <w:szCs w:val="24"/>
        </w:rPr>
        <w:t>入支出决算总表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_Toc25459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color w:val="000000"/>
          <w:sz w:val="24"/>
          <w:szCs w:val="24"/>
        </w:rPr>
        <w:t>二、收</w:t>
      </w:r>
      <w:r>
        <w:rPr>
          <w:rFonts w:hint="eastAsia" w:ascii="仿宋_GB2312" w:eastAsia="仿宋_GB2312"/>
          <w:bCs w:val="0"/>
          <w:sz w:val="24"/>
          <w:szCs w:val="24"/>
        </w:rPr>
        <w:t>入决算表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_Toc8684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三、</w:t>
      </w:r>
      <w:r>
        <w:rPr>
          <w:rFonts w:hint="eastAsia" w:ascii="仿宋_GB2312" w:eastAsia="仿宋_GB2312"/>
          <w:color w:val="000000"/>
          <w:sz w:val="24"/>
          <w:szCs w:val="24"/>
        </w:rPr>
        <w:t>支</w:t>
      </w:r>
      <w:r>
        <w:rPr>
          <w:rFonts w:hint="eastAsia" w:ascii="仿宋_GB2312" w:eastAsia="仿宋_GB2312"/>
          <w:bCs w:val="0"/>
          <w:sz w:val="24"/>
          <w:szCs w:val="24"/>
        </w:rPr>
        <w:t>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_Toc29639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四、</w:t>
      </w:r>
      <w:r>
        <w:rPr>
          <w:rFonts w:hint="eastAsia" w:ascii="仿宋_GB2312" w:eastAsia="仿宋_GB2312"/>
          <w:color w:val="000000"/>
          <w:sz w:val="24"/>
          <w:szCs w:val="24"/>
        </w:rPr>
        <w:t>财</w:t>
      </w:r>
      <w:r>
        <w:rPr>
          <w:rFonts w:hint="eastAsia" w:ascii="仿宋_GB2312" w:eastAsia="仿宋_GB2312"/>
          <w:bCs w:val="0"/>
          <w:sz w:val="24"/>
          <w:szCs w:val="24"/>
        </w:rPr>
        <w:t>政拨款收入支出决算总表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_Toc851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五、</w:t>
      </w:r>
      <w:r>
        <w:rPr>
          <w:rFonts w:hint="eastAsia" w:ascii="仿宋_GB2312" w:eastAsia="仿宋_GB2312"/>
          <w:color w:val="000000"/>
          <w:sz w:val="24"/>
          <w:szCs w:val="24"/>
        </w:rPr>
        <w:t>财</w:t>
      </w:r>
      <w:r>
        <w:rPr>
          <w:rFonts w:hint="eastAsia" w:ascii="仿宋_GB2312" w:eastAsia="仿宋_GB2312"/>
          <w:bCs w:val="0"/>
          <w:sz w:val="24"/>
          <w:szCs w:val="24"/>
        </w:rPr>
        <w:t>政拨款支出决算明细表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_Toc32392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六、</w:t>
      </w:r>
      <w:r>
        <w:rPr>
          <w:rFonts w:hint="eastAsia" w:ascii="仿宋_GB2312" w:eastAsia="仿宋_GB2312"/>
          <w:color w:val="000000"/>
          <w:sz w:val="24"/>
          <w:szCs w:val="24"/>
        </w:rPr>
        <w:t>一</w:t>
      </w:r>
      <w:r>
        <w:rPr>
          <w:rFonts w:hint="eastAsia" w:ascii="仿宋_GB2312" w:eastAsia="仿宋_GB2312"/>
          <w:bCs w:val="0"/>
          <w:sz w:val="24"/>
          <w:szCs w:val="24"/>
        </w:rPr>
        <w:t>般公共预算财政拨款支出决算表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_Toc9163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七、</w:t>
      </w:r>
      <w:r>
        <w:rPr>
          <w:rFonts w:hint="eastAsia" w:ascii="仿宋_GB2312" w:eastAsia="仿宋_GB2312"/>
          <w:color w:val="000000"/>
          <w:sz w:val="24"/>
          <w:szCs w:val="24"/>
        </w:rPr>
        <w:t>一</w:t>
      </w:r>
      <w:r>
        <w:rPr>
          <w:rFonts w:hint="eastAsia" w:ascii="仿宋_GB2312" w:eastAsia="仿宋_GB2312"/>
          <w:bCs w:val="0"/>
          <w:sz w:val="24"/>
          <w:szCs w:val="24"/>
        </w:rPr>
        <w:t>般公共预算财政拨款支出决算明细表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_Toc29198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八、</w:t>
      </w:r>
      <w:r>
        <w:rPr>
          <w:rFonts w:hint="eastAsia" w:ascii="仿宋_GB2312" w:eastAsia="仿宋_GB2312"/>
          <w:color w:val="000000"/>
          <w:sz w:val="24"/>
          <w:szCs w:val="24"/>
        </w:rPr>
        <w:t>一</w:t>
      </w:r>
      <w:r>
        <w:rPr>
          <w:rFonts w:hint="eastAsia" w:ascii="仿宋_GB2312" w:eastAsia="仿宋_GB2312"/>
          <w:bCs w:val="0"/>
          <w:sz w:val="24"/>
          <w:szCs w:val="24"/>
        </w:rPr>
        <w:t>般公共预算财政拨款基本支出决算表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_Toc1293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九、</w:t>
      </w:r>
      <w:r>
        <w:rPr>
          <w:rFonts w:hint="eastAsia" w:ascii="仿宋_GB2312" w:eastAsia="仿宋_GB2312"/>
          <w:color w:val="000000"/>
          <w:sz w:val="24"/>
          <w:szCs w:val="24"/>
        </w:rPr>
        <w:t>一</w:t>
      </w:r>
      <w:r>
        <w:rPr>
          <w:rFonts w:hint="eastAsia" w:ascii="仿宋_GB2312" w:eastAsia="仿宋_GB2312"/>
          <w:bCs w:val="0"/>
          <w:sz w:val="24"/>
          <w:szCs w:val="24"/>
        </w:rPr>
        <w:t>般公共预算财政拨款项目支出决算表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_Toc27369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十、</w:t>
      </w:r>
      <w:r>
        <w:rPr>
          <w:rFonts w:hint="eastAsia" w:ascii="仿宋_GB2312" w:eastAsia="仿宋_GB2312"/>
          <w:color w:val="000000"/>
          <w:sz w:val="24"/>
          <w:szCs w:val="24"/>
        </w:rPr>
        <w:t>一</w:t>
      </w:r>
      <w:r>
        <w:rPr>
          <w:rFonts w:hint="eastAsia" w:ascii="仿宋_GB2312" w:eastAsia="仿宋_GB2312"/>
          <w:bCs w:val="0"/>
          <w:sz w:val="24"/>
          <w:szCs w:val="24"/>
        </w:rPr>
        <w:t>般公共预算财政拨款“三公”经费支出决算表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_Toc21566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十一、</w:t>
      </w:r>
      <w:r>
        <w:rPr>
          <w:rFonts w:hint="eastAsia" w:ascii="仿宋_GB2312" w:eastAsia="仿宋_GB2312"/>
          <w:color w:val="000000"/>
          <w:sz w:val="24"/>
          <w:szCs w:val="24"/>
        </w:rPr>
        <w:t>政</w:t>
      </w:r>
      <w:r>
        <w:rPr>
          <w:rFonts w:hint="eastAsia" w:ascii="仿宋_GB2312" w:eastAsia="仿宋_GB2312"/>
          <w:bCs w:val="0"/>
          <w:sz w:val="24"/>
          <w:szCs w:val="24"/>
        </w:rPr>
        <w:t>府性基金预算财政拨款收入支出决算表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_Toc8495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十二、</w:t>
      </w:r>
      <w:r>
        <w:rPr>
          <w:rFonts w:hint="eastAsia" w:ascii="仿宋_GB2312" w:eastAsia="仿宋_GB2312"/>
          <w:color w:val="000000"/>
          <w:sz w:val="24"/>
          <w:szCs w:val="24"/>
        </w:rPr>
        <w:t>政</w:t>
      </w:r>
      <w:r>
        <w:rPr>
          <w:rFonts w:hint="eastAsia" w:ascii="仿宋_GB2312" w:eastAsia="仿宋_GB2312"/>
          <w:bCs w:val="0"/>
          <w:sz w:val="24"/>
          <w:szCs w:val="24"/>
        </w:rPr>
        <w:t>府性基金预算财政拨款“三公”经费支出决算表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_Toc21117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十三、</w:t>
      </w:r>
      <w:r>
        <w:rPr>
          <w:rFonts w:hint="eastAsia" w:ascii="仿宋_GB2312" w:eastAsia="仿宋_GB2312"/>
          <w:color w:val="000000"/>
          <w:sz w:val="24"/>
          <w:szCs w:val="24"/>
        </w:rPr>
        <w:t>国</w:t>
      </w:r>
      <w:r>
        <w:rPr>
          <w:rFonts w:hint="eastAsia" w:ascii="仿宋_GB2312" w:eastAsia="仿宋_GB2312"/>
          <w:bCs w:val="0"/>
          <w:sz w:val="24"/>
          <w:szCs w:val="24"/>
        </w:rPr>
        <w:t>有资本经营预算财政拨款支出决算表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_Toc7522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pStyle w:val="20"/>
        <w:tabs>
          <w:tab w:val="right" w:leader="dot" w:pos="8306"/>
        </w:tabs>
        <w:rPr>
          <w:rFonts w:hint="eastAsia" w:ascii="仿宋_GB2312" w:eastAsia="仿宋_GB2312"/>
          <w:sz w:val="24"/>
          <w:szCs w:val="24"/>
        </w:rPr>
      </w:pPr>
      <w:r>
        <w:rPr>
          <w:rFonts w:hint="eastAsia" w:ascii="仿宋_GB2312" w:eastAsia="仿宋_GB2312"/>
          <w:bCs w:val="0"/>
          <w:sz w:val="24"/>
          <w:szCs w:val="24"/>
        </w:rPr>
        <w:t>十四、国有资本经营预算财政拨款支出决算表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_Toc27316 \h </w:instrText>
      </w:r>
      <w:r>
        <w:rPr>
          <w:rFonts w:hint="eastAsia" w:ascii="仿宋_GB2312" w:eastAsia="仿宋_GB2312"/>
          <w:sz w:val="24"/>
          <w:szCs w:val="24"/>
        </w:rPr>
        <w:fldChar w:fldCharType="separate"/>
      </w:r>
      <w:r>
        <w:rPr>
          <w:rFonts w:hint="eastAsia" w:ascii="仿宋_GB2312" w:eastAsia="仿宋_GB2312"/>
          <w:sz w:val="24"/>
          <w:szCs w:val="24"/>
        </w:rPr>
        <w:t>44</w:t>
      </w:r>
      <w:r>
        <w:rPr>
          <w:rFonts w:hint="eastAsia" w:ascii="仿宋_GB2312" w:eastAsia="仿宋_GB2312"/>
          <w:sz w:val="24"/>
          <w:szCs w:val="24"/>
        </w:rPr>
        <w:fldChar w:fldCharType="end"/>
      </w:r>
    </w:p>
    <w:p>
      <w:pPr>
        <w:widowControl/>
        <w:spacing w:line="440" w:lineRule="exact"/>
        <w:jc w:val="left"/>
        <w:rPr>
          <w:rFonts w:ascii="仿宋" w:eastAsia="仿宋"/>
          <w:bCs/>
          <w:kern w:val="44"/>
          <w:sz w:val="24"/>
        </w:rPr>
      </w:pPr>
      <w:r>
        <w:rPr>
          <w:rFonts w:hint="eastAsia" w:ascii="仿宋_GB2312" w:eastAsia="仿宋_GB2312"/>
          <w:bCs/>
          <w:caps/>
          <w:smallCaps w:val="0"/>
          <w:sz w:val="24"/>
        </w:rPr>
        <w:fldChar w:fldCharType="end"/>
      </w:r>
      <w:r>
        <w:rPr>
          <w:rFonts w:ascii="仿宋" w:eastAsia="仿宋"/>
          <w:b/>
          <w:sz w:val="24"/>
        </w:rPr>
        <w:br w:type="page"/>
      </w:r>
    </w:p>
    <w:p>
      <w:pPr>
        <w:pStyle w:val="3"/>
        <w:jc w:val="center"/>
        <w:rPr>
          <w:rStyle w:val="27"/>
          <w:rFonts w:ascii="黑体" w:eastAsia="黑体"/>
          <w:b/>
          <w:bCs w:val="0"/>
        </w:rPr>
      </w:pPr>
      <w:bookmarkStart w:id="14" w:name="_Toc79163601"/>
      <w:bookmarkStart w:id="15" w:name="_Toc25421"/>
      <w:r>
        <w:rPr>
          <w:rFonts w:hint="eastAsia" w:ascii="黑体" w:eastAsia="黑体"/>
          <w:b w:val="0"/>
        </w:rPr>
        <w:t>第一部分</w:t>
      </w:r>
      <w:r>
        <w:rPr>
          <w:rFonts w:ascii="黑体" w:eastAsia="黑体"/>
          <w:b w:val="0"/>
        </w:rPr>
        <w:t xml:space="preserve"> </w:t>
      </w:r>
      <w:r>
        <w:rPr>
          <w:rStyle w:val="27"/>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spacing w:before="0" w:after="0" w:line="560" w:lineRule="exact"/>
        <w:rPr>
          <w:rStyle w:val="28"/>
          <w:rFonts w:ascii="仿宋" w:eastAsia="仿宋"/>
          <w:b w:val="0"/>
          <w:bCs w:val="0"/>
        </w:rPr>
      </w:pPr>
      <w:bookmarkStart w:id="16" w:name="_Toc15396600"/>
      <w:bookmarkStart w:id="17" w:name="_Toc32139"/>
      <w:bookmarkStart w:id="18" w:name="_Toc15377197"/>
      <w:bookmarkStart w:id="19" w:name="_Toc79163602"/>
      <w:r>
        <w:rPr>
          <w:rFonts w:hint="eastAsia" w:ascii="黑体" w:eastAsia="黑体"/>
          <w:b w:val="0"/>
          <w:color w:val="000000"/>
        </w:rPr>
        <w:t>一、基</w:t>
      </w:r>
      <w:r>
        <w:rPr>
          <w:rStyle w:val="28"/>
          <w:rFonts w:hint="eastAsia" w:ascii="黑体" w:eastAsia="黑体"/>
          <w:b w:val="0"/>
          <w:bCs w:val="0"/>
        </w:rPr>
        <w:t>本职能及主要工作</w:t>
      </w:r>
      <w:bookmarkEnd w:id="16"/>
      <w:bookmarkEnd w:id="17"/>
      <w:bookmarkEnd w:id="18"/>
      <w:bookmarkEnd w:id="19"/>
    </w:p>
    <w:p>
      <w:pPr>
        <w:pStyle w:val="8"/>
        <w:adjustRightInd w:val="0"/>
        <w:snapToGrid w:val="0"/>
        <w:spacing w:before="0" w:beforeLines="0" w:line="560" w:lineRule="exact"/>
        <w:ind w:firstLine="665" w:firstLineChars="208"/>
        <w:outlineLvl w:val="2"/>
        <w:rPr>
          <w:rFonts w:ascii="仿宋" w:eastAsia="仿宋"/>
          <w:bCs/>
          <w:color w:val="000000"/>
          <w:sz w:val="32"/>
          <w:szCs w:val="32"/>
        </w:rPr>
      </w:pPr>
      <w:bookmarkStart w:id="20" w:name="_Toc29983"/>
      <w:bookmarkStart w:id="21" w:name="_Toc7916360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widowControl/>
        <w:adjustRightInd w:val="0"/>
        <w:snapToGrid w:val="0"/>
        <w:spacing w:line="560" w:lineRule="exact"/>
        <w:ind w:firstLine="640" w:firstLineChars="200"/>
        <w:rPr>
          <w:rFonts w:hint="eastAsia" w:ascii="仿宋_GB2312" w:eastAsia="仿宋_GB2312"/>
          <w:sz w:val="32"/>
          <w:szCs w:val="32"/>
          <w:lang w:val="zh-CN" w:eastAsia="zh-CN"/>
        </w:rPr>
      </w:pPr>
      <w:bookmarkStart w:id="24" w:name="_Toc15378446"/>
      <w:bookmarkStart w:id="25" w:name="_Toc79163604"/>
      <w:bookmarkStart w:id="26" w:name="_Toc15377199"/>
      <w:r>
        <w:rPr>
          <w:rFonts w:hint="eastAsia" w:ascii="仿宋_GB2312" w:eastAsia="仿宋_GB2312"/>
          <w:sz w:val="32"/>
          <w:szCs w:val="32"/>
          <w:lang w:val="zh-CN" w:eastAsia="zh-CN"/>
        </w:rPr>
        <w:t>（1）负责应急管理工作，组织和指导各乡（镇）、各部门（单位）应对安全生产类、自然灾害类等突发事件和综合防灾减灾救灾工作。负责安全生产综合监督管理和工矿商贸安全生产监督管理工作。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（2） 拟订应急管理、安全生产等有关规范性文件，组织编制应急体系建设、安全生产和综合防灾减灾规划。</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（3） 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（4）牵头建立统一的应急管理信息系统，负责信息传输渠道的规划和布局，建立监测预警和灾情报告制度,健全自然灾害信息资源获取和共享机制，依法统一发布灾情。</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（5） 负责组织、指导、协调安全生产类、自然灾害类等突发事件应急救援，承担全县应对一般、较大及以上灾害指挥部工作，综合研判突发事件发展态势并提出应对建议，负责组织一般、较大及以上灾害应急处置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（6）统一协调指挥各类应急专业队伍，建立应急协调联动机制，推进指挥平台对接。提请衔接解放军和武警部队参与应急救援工作。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7）按照国家、省、州相关政策和规定负责消防、森林和草原火灾扑救、抗洪抢险、地震和地质灾害救援、生产安全事故救援等专业应急救援力量建设，依法依规统筹指导各乡（镇）及社会应急救援力量和应急保障能力建设。</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（8）按照国家、省、州相关政策和县委、县政府相关规定负责消防工作，组织和指导消防监督、火灾预防、火灾扑救等工作。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（9）负责自然灾害综合监测预警工作，承担自然灾害综合风险评估工作，指导协调森林和草原火灾、水旱灾害、地震和地质灾害等防治工作。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（10）负责组织、协调灾害救助工作，组织和指导灾情核查、损失评估、救灾捐赠工作，管理、分配中央、省、州下拨及县级救灾款物并监督使用。</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（11）依法承担县政府安全生产综合监督管理责任，指导协调、监督检查县级有关部门和各乡（镇）政府安全生产工作，组织开展安全生产巡查、督查、考核工作。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（12） 按照分级、属地原则，依法监督检查工矿商贸生产经营单位贯彻执行安全生产法律法规情况及其安全生产条件和有关设备（特种设备除外）、材料、劳动防护用品的安全生产管理工作。协助做好在县工矿商贸企业安全生产监督管理工作。负责危险化学品综合安全监督管理工作和烟花爆竹安全生产监督管理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（13）承担非煤矿山、危险化学品、非药品类易制毒化学品和烟花爆竹等生产经营单位安全生产准入管理责任。</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（14）依法组织、指导生产安全事故调查处理，监督事故查处和责任追究落实情况。组织开展自然灾害类突发事件的调查评估工作。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（15）开展应急管理和安全生产方面的交流与合作，组织参与安全生产类、自然灾害类等突发事件的跨区域救援工作。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（16）制定应急物资储备和应急救援装备规划并组织实施，会同县发展和改革局等部门建立健全应急物资信息平台和调度拨发制度，在救灾时统一调度。</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（17）负责应急管理、安全生产宣传教育和培训工作， 组织和指导应急管理、 安全生产的科学技术工作。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（18）负责职责范围内的职业健康机构节能减排、审批服务便民化工作。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（19）完成县委和县政府交办的其他工作。</w:t>
      </w:r>
    </w:p>
    <w:p>
      <w:pPr>
        <w:widowControl/>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（20）</w:t>
      </w:r>
      <w:r>
        <w:rPr>
          <w:rFonts w:hint="eastAsia" w:ascii="Calibri" w:hAnsi="Calibri" w:eastAsia="仿宋_GB2312" w:cs="Times New Roman"/>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知识普及和自救互救技能，切实减少人员伤亡和财产损失。三是树立安全发展理念，坚持生命至上、安全第一，完善安全生产责任制，努力杜绝重特大安全事故、遏制较大事故、减少一般事故。</w:t>
      </w:r>
    </w:p>
    <w:p>
      <w:pPr>
        <w:pStyle w:val="8"/>
        <w:adjustRightInd w:val="0"/>
        <w:snapToGrid w:val="0"/>
        <w:spacing w:before="0" w:beforeLines="0" w:line="560" w:lineRule="exact"/>
        <w:ind w:firstLine="668" w:firstLineChars="208"/>
        <w:outlineLvl w:val="2"/>
        <w:rPr>
          <w:rFonts w:hint="eastAsia" w:ascii="楷体_GB2312" w:eastAsia="楷体_GB2312" w:cs="Times New Roman"/>
          <w:b/>
          <w:bCs/>
          <w:kern w:val="2"/>
          <w:sz w:val="32"/>
          <w:szCs w:val="32"/>
          <w:lang w:val="en-US" w:eastAsia="zh-CN" w:bidi="ar-SA"/>
        </w:rPr>
      </w:pPr>
      <w:bookmarkStart w:id="27" w:name="_Toc20843"/>
      <w:r>
        <w:rPr>
          <w:rFonts w:hint="eastAsia" w:ascii="楷体_GB2312" w:eastAsia="楷体_GB2312" w:cs="Times New Roman"/>
          <w:b/>
          <w:bCs/>
          <w:kern w:val="2"/>
          <w:sz w:val="32"/>
          <w:szCs w:val="32"/>
          <w:lang w:val="en-US" w:eastAsia="zh-CN" w:bidi="ar-SA"/>
        </w:rPr>
        <w:t>（二）2021年重点工作完成情况。</w:t>
      </w:r>
      <w:bookmarkEnd w:id="24"/>
      <w:bookmarkEnd w:id="25"/>
      <w:bookmarkEnd w:id="26"/>
      <w:bookmarkEnd w:id="27"/>
    </w:p>
    <w:p>
      <w:pPr>
        <w:spacing w:line="560" w:lineRule="exact"/>
        <w:ind w:firstLine="640" w:firstLineChars="200"/>
        <w:rPr>
          <w:rFonts w:hint="eastAsia" w:ascii="黑体" w:eastAsia="黑体"/>
          <w:sz w:val="32"/>
          <w:szCs w:val="32"/>
          <w:lang w:eastAsia="zh-CN"/>
        </w:rPr>
      </w:pPr>
      <w:bookmarkStart w:id="28" w:name="_Toc29083"/>
      <w:bookmarkStart w:id="29" w:name="_Toc15377200"/>
      <w:bookmarkStart w:id="30" w:name="_Toc79163605"/>
      <w:bookmarkStart w:id="31" w:name="_Toc15396601"/>
      <w:r>
        <w:rPr>
          <w:rFonts w:hint="eastAsia" w:ascii="黑体" w:eastAsia="黑体"/>
          <w:sz w:val="32"/>
          <w:szCs w:val="32"/>
        </w:rPr>
        <w:t>握紧“基本盘”，抓好安全生产</w:t>
      </w:r>
      <w:r>
        <w:rPr>
          <w:rFonts w:hint="eastAsia" w:ascii="黑体" w:eastAsia="黑体"/>
          <w:sz w:val="32"/>
          <w:szCs w:val="32"/>
          <w:lang w:eastAsia="zh-CN"/>
        </w:rPr>
        <w:t>：</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1.</w:t>
      </w:r>
      <w:r>
        <w:rPr>
          <w:rFonts w:hint="eastAsia" w:ascii="仿宋_GB2312" w:eastAsia="仿宋_GB2312"/>
          <w:sz w:val="32"/>
          <w:szCs w:val="32"/>
        </w:rPr>
        <w:t>提请县委常委会、政府常务会、中心组学习会等集中学习习近平总书记关于安全生产、森林草原防灭火、防灾减灾的重要论述及全国、全省、全州会议精神20余次，筑牢领导干部安全发展理念和底线思维。</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2.</w:t>
      </w:r>
      <w:r>
        <w:rPr>
          <w:rFonts w:hint="eastAsia" w:ascii="仿宋_GB2312" w:eastAsia="仿宋_GB2312"/>
          <w:sz w:val="32"/>
          <w:szCs w:val="32"/>
        </w:rPr>
        <w:t>聚焦重点行业、重点时段、重点领域，制定印发《壤塘县安全生产隐患大排查大整治工作方案》、</w:t>
      </w:r>
      <w:r>
        <w:rPr>
          <w:rFonts w:hint="eastAsia" w:ascii="仿宋_GB2312" w:eastAsia="仿宋_GB2312"/>
          <w:spacing w:val="-20"/>
          <w:sz w:val="32"/>
          <w:szCs w:val="32"/>
        </w:rPr>
        <w:t>《壤塘县安全生产集中整治专项行动实施方案》</w:t>
      </w:r>
      <w:r>
        <w:rPr>
          <w:rFonts w:hint="eastAsia" w:ascii="仿宋_GB2312" w:eastAsia="仿宋_GB2312"/>
          <w:sz w:val="32"/>
          <w:szCs w:val="32"/>
        </w:rPr>
        <w:t>、《壤塘县2021年中秋、国庆期间安全生产集中整治工作方案》等文件，统筹部署安全工作。组织安委会全体会议4次，向县委县政府报告工作10次，总结阶段工作，分析研判形势，研究部署工作，实现工作部署落实闭环管理。</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3.</w:t>
      </w:r>
      <w:r>
        <w:rPr>
          <w:rFonts w:hint="eastAsia" w:ascii="仿宋_GB2312" w:eastAsia="仿宋_GB2312"/>
          <w:sz w:val="32"/>
          <w:szCs w:val="32"/>
        </w:rPr>
        <w:t xml:space="preserve"> 压紧压实“党政同责、一岗双责”责任，修订完善安全生产清单制管理“三张清单”，实施县、乡、村三级包保机制、对口联系机制，将责任落实到最小工作单元。</w:t>
      </w:r>
    </w:p>
    <w:p>
      <w:pPr>
        <w:spacing w:line="560" w:lineRule="exact"/>
        <w:ind w:firstLine="643" w:firstLineChars="200"/>
        <w:rPr>
          <w:rFonts w:hint="eastAsia" w:ascii="仿宋_GB2312" w:eastAsia="仿宋_GB2312"/>
          <w:bCs/>
          <w:sz w:val="32"/>
          <w:szCs w:val="32"/>
        </w:rPr>
      </w:pPr>
      <w:r>
        <w:rPr>
          <w:rFonts w:hint="eastAsia" w:ascii="楷体_GB2312" w:eastAsia="楷体_GB2312"/>
          <w:b/>
          <w:bCs/>
          <w:sz w:val="32"/>
          <w:szCs w:val="32"/>
        </w:rPr>
        <w:t>4．</w:t>
      </w:r>
      <w:r>
        <w:rPr>
          <w:rFonts w:hint="eastAsia" w:ascii="仿宋_GB2312" w:eastAsia="仿宋_GB2312"/>
          <w:bCs/>
          <w:sz w:val="32"/>
          <w:szCs w:val="32"/>
        </w:rPr>
        <w:t>制发《壤塘县安全生产专项整治三年行动“集中攻坚年”实施方案》，紧盯目标任务，聚焦“2个专题”、“9个专项”， 扎实推进道路交通、建筑施工、危化品、特种设备、消防、汛期地灾防治等重点领域安全工作。</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5.</w:t>
      </w:r>
      <w:r>
        <w:rPr>
          <w:rFonts w:hint="eastAsia" w:ascii="仿宋_GB2312" w:eastAsia="仿宋_GB2312"/>
          <w:bCs/>
          <w:sz w:val="32"/>
          <w:szCs w:val="32"/>
        </w:rPr>
        <w:t>迎接国家、省、州工作督导检查15次，对反馈的问题点球到部门到乡镇到企业，并督促整改，</w:t>
      </w:r>
      <w:r>
        <w:rPr>
          <w:rFonts w:hint="eastAsia" w:ascii="仿宋_GB2312" w:eastAsia="仿宋_GB2312"/>
          <w:sz w:val="32"/>
          <w:szCs w:val="32"/>
        </w:rPr>
        <w:t>所有问题隐患全部整改完毕，实现问题隐患排查整改闭环管理。</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6.</w:t>
      </w:r>
      <w:r>
        <w:rPr>
          <w:rFonts w:hint="eastAsia" w:ascii="仿宋_GB2312" w:eastAsia="仿宋_GB2312"/>
          <w:sz w:val="32"/>
          <w:szCs w:val="32"/>
        </w:rPr>
        <w:t>对主管的危险化学品、烟花爆竹和工矿商贸行业严管严查，共检查企业100家（次），查处违法行为54条，指导整改54条。发出提醒敦促函45份、督促限期整改通知书2份、约谈通知书1份。</w:t>
      </w:r>
    </w:p>
    <w:p>
      <w:pPr>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7.</w:t>
      </w:r>
      <w:r>
        <w:rPr>
          <w:rFonts w:hint="eastAsia" w:eastAsia="仿宋_GB2312"/>
          <w:color w:val="000000"/>
          <w:sz w:val="32"/>
          <w:szCs w:val="32"/>
        </w:rPr>
        <w:t>牵头开展综合监管</w:t>
      </w:r>
      <w:r>
        <w:rPr>
          <w:rFonts w:eastAsia="仿宋_GB2312"/>
          <w:color w:val="000000"/>
          <w:sz w:val="32"/>
          <w:szCs w:val="32"/>
        </w:rPr>
        <w:t>检查</w:t>
      </w:r>
      <w:r>
        <w:rPr>
          <w:rFonts w:hint="eastAsia" w:eastAsia="仿宋_GB2312"/>
          <w:color w:val="000000"/>
          <w:sz w:val="32"/>
          <w:szCs w:val="32"/>
        </w:rPr>
        <w:t>10余次，牵头推进</w:t>
      </w:r>
      <w:r>
        <w:rPr>
          <w:rFonts w:hint="eastAsia" w:ascii="仿宋_GB2312" w:eastAsia="仿宋_GB2312" w:cs="Arial"/>
          <w:sz w:val="32"/>
          <w:szCs w:val="32"/>
        </w:rPr>
        <w:t>高层建筑综合整治</w:t>
      </w:r>
      <w:r>
        <w:rPr>
          <w:rFonts w:hint="eastAsia" w:ascii="仿宋_GB2312" w:eastAsia="仿宋_GB2312" w:cs="Arial"/>
          <w:color w:val="000000"/>
          <w:sz w:val="32"/>
          <w:szCs w:val="32"/>
        </w:rPr>
        <w:t>，</w:t>
      </w:r>
      <w:r>
        <w:rPr>
          <w:rFonts w:hint="eastAsia" w:eastAsia="仿宋_GB2312"/>
          <w:color w:val="000000"/>
          <w:sz w:val="32"/>
          <w:szCs w:val="32"/>
        </w:rPr>
        <w:t>查处、督改违法行为203条。</w:t>
      </w:r>
    </w:p>
    <w:p>
      <w:pPr>
        <w:spacing w:line="560" w:lineRule="exact"/>
        <w:ind w:firstLine="643" w:firstLineChars="200"/>
        <w:rPr>
          <w:rFonts w:hint="eastAsia" w:eastAsia="仿宋_GB2312"/>
          <w:color w:val="000000"/>
          <w:sz w:val="32"/>
          <w:szCs w:val="32"/>
        </w:rPr>
      </w:pPr>
      <w:r>
        <w:rPr>
          <w:rFonts w:hint="eastAsia" w:ascii="楷体_GB2312" w:eastAsia="楷体_GB2312"/>
          <w:b/>
          <w:bCs/>
          <w:sz w:val="32"/>
          <w:szCs w:val="32"/>
        </w:rPr>
        <w:t>8.</w:t>
      </w:r>
      <w:r>
        <w:rPr>
          <w:rFonts w:hint="eastAsia" w:eastAsia="仿宋_GB2312"/>
          <w:color w:val="000000"/>
          <w:sz w:val="32"/>
          <w:szCs w:val="32"/>
        </w:rPr>
        <w:t>开展</w:t>
      </w:r>
      <w:r>
        <w:rPr>
          <w:rFonts w:eastAsia="仿宋_GB2312"/>
          <w:color w:val="000000"/>
          <w:sz w:val="32"/>
          <w:szCs w:val="32"/>
        </w:rPr>
        <w:t>安全生产</w:t>
      </w:r>
      <w:r>
        <w:rPr>
          <w:rFonts w:hint="eastAsia" w:eastAsia="仿宋_GB2312"/>
          <w:color w:val="000000"/>
          <w:sz w:val="32"/>
          <w:szCs w:val="32"/>
        </w:rPr>
        <w:t>综合</w:t>
      </w:r>
      <w:r>
        <w:rPr>
          <w:rFonts w:eastAsia="仿宋_GB2312"/>
          <w:color w:val="000000"/>
          <w:sz w:val="32"/>
          <w:szCs w:val="32"/>
        </w:rPr>
        <w:t>监管</w:t>
      </w:r>
      <w:r>
        <w:rPr>
          <w:rFonts w:hint="eastAsia" w:eastAsia="仿宋_GB2312"/>
          <w:color w:val="000000"/>
          <w:sz w:val="32"/>
          <w:szCs w:val="32"/>
        </w:rPr>
        <w:t>行政执法</w:t>
      </w:r>
      <w:r>
        <w:rPr>
          <w:rFonts w:eastAsia="仿宋_GB2312"/>
          <w:color w:val="000000"/>
          <w:sz w:val="32"/>
          <w:szCs w:val="32"/>
        </w:rPr>
        <w:t>，</w:t>
      </w:r>
      <w:r>
        <w:rPr>
          <w:rFonts w:hint="eastAsia" w:eastAsia="仿宋_GB2312"/>
          <w:color w:val="000000"/>
          <w:sz w:val="32"/>
          <w:szCs w:val="32"/>
        </w:rPr>
        <w:t>立案查处4起，其中工贸行业1起、建筑行业3起，处罚金3.1万元，纠正其他违法行业20条。</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9.</w:t>
      </w:r>
      <w:r>
        <w:rPr>
          <w:rFonts w:hint="eastAsia" w:ascii="仿宋_GB2312" w:eastAsia="仿宋_GB2312"/>
          <w:bCs/>
          <w:sz w:val="32"/>
          <w:szCs w:val="32"/>
        </w:rPr>
        <w:t>推进</w:t>
      </w:r>
      <w:r>
        <w:rPr>
          <w:rFonts w:hint="eastAsia" w:ascii="仿宋_GB2312" w:eastAsia="仿宋_GB2312"/>
          <w:sz w:val="32"/>
          <w:szCs w:val="32"/>
        </w:rPr>
        <w:t>“一体化”平台建设，认领行权事项441项，依申请事项12项，材料减免率达100%，一次办事项数100%，网上办事数100%。核查审批化学燃料、工业燃料等其他危化品企业入壤注册3家。</w:t>
      </w:r>
    </w:p>
    <w:p>
      <w:pPr>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10.</w:t>
      </w:r>
      <w:r>
        <w:rPr>
          <w:rFonts w:hint="eastAsia" w:ascii="仿宋_GB2312" w:eastAsia="仿宋_GB2312"/>
          <w:sz w:val="32"/>
          <w:szCs w:val="32"/>
        </w:rPr>
        <w:t>积极推进新《中华人民共和国安全生产法》宣教和执行，印发新《安全生产法十大亮点》宣传资料2000余份，组织应急系统、管理企业“新安法”培训5次，200余人参训。在危化品、建筑施工等高危行业领域推行安全生产责任险，现有7家企业28人购买。</w:t>
      </w:r>
    </w:p>
    <w:p>
      <w:pPr>
        <w:spacing w:line="560" w:lineRule="exact"/>
        <w:ind w:firstLine="640" w:firstLineChars="200"/>
        <w:rPr>
          <w:rFonts w:hint="eastAsia" w:ascii="黑体" w:eastAsia="黑体"/>
          <w:sz w:val="32"/>
          <w:szCs w:val="32"/>
          <w:lang w:eastAsia="zh-CN"/>
        </w:rPr>
      </w:pPr>
      <w:r>
        <w:rPr>
          <w:rFonts w:hint="eastAsia" w:ascii="黑体" w:eastAsia="黑体"/>
          <w:sz w:val="32"/>
          <w:szCs w:val="32"/>
        </w:rPr>
        <w:t>抓住新机遇，推进应急管理</w:t>
      </w:r>
      <w:r>
        <w:rPr>
          <w:rFonts w:hint="eastAsia" w:ascii="黑体" w:eastAsia="黑体"/>
          <w:sz w:val="32"/>
          <w:szCs w:val="32"/>
          <w:lang w:eastAsia="zh-CN"/>
        </w:rPr>
        <w:t>：</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11.</w:t>
      </w:r>
      <w:r>
        <w:rPr>
          <w:rFonts w:hint="eastAsia" w:ascii="仿宋_GB2312" w:eastAsia="仿宋_GB2312" w:cs="仿宋_GB2312"/>
          <w:sz w:val="32"/>
          <w:szCs w:val="32"/>
        </w:rPr>
        <w:t>以壤塘县“十四五”规划、壤塘县两项改革“后半篇”文章为指导，编制县应急管理“十四五”规划和《壤塘县提升基层应急管理能力实施方案》。</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12.</w:t>
      </w:r>
      <w:r>
        <w:rPr>
          <w:rFonts w:hint="eastAsia" w:ascii="仿宋_GB2312" w:eastAsia="仿宋_GB2312" w:cs="仿宋_GB2312"/>
          <w:sz w:val="32"/>
          <w:szCs w:val="32"/>
        </w:rPr>
        <w:t>修订《壤塘县突发事件总体预案（试行）》，督促指导部门、乡（镇）编制修订专项预案、部门预案，预案体系建设正式启动。</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13.</w:t>
      </w:r>
      <w:r>
        <w:rPr>
          <w:rFonts w:hint="eastAsia" w:ascii="仿宋_GB2312" w:eastAsia="仿宋_GB2312" w:cs="仿宋_GB2312"/>
          <w:bCs/>
          <w:sz w:val="32"/>
          <w:szCs w:val="32"/>
        </w:rPr>
        <w:t>指导</w:t>
      </w:r>
      <w:r>
        <w:rPr>
          <w:rFonts w:hint="eastAsia" w:ascii="仿宋_GB2312" w:eastAsia="仿宋_GB2312" w:cs="仿宋_GB2312"/>
          <w:sz w:val="32"/>
          <w:szCs w:val="32"/>
        </w:rPr>
        <w:t>组建11个乡镇，53个村（社区）应急队伍64支700余人。组织县综合应急救援大队（地方专业扑火队）培训1次，指导乡、村应急队伍技能战术、安全培训和应急演练，处置应对能力有所提升。</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14．</w:t>
      </w:r>
      <w:r>
        <w:rPr>
          <w:rFonts w:hint="eastAsia" w:ascii="仿宋_GB2312" w:eastAsia="仿宋_GB2312" w:cs="仿宋_GB2312"/>
          <w:sz w:val="32"/>
          <w:szCs w:val="32"/>
        </w:rPr>
        <w:t>完成11个乡镇11部天通一号卫星电话和220部对讲机配备，强化无人机使用培训和实操，熟悉掌握国家、省、州信息化平台，特别是应急指挥“一张图”大数据的运用。</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15.</w:t>
      </w:r>
      <w:r>
        <w:rPr>
          <w:rFonts w:hint="eastAsia" w:ascii="仿宋_GB2312" w:eastAsia="仿宋_GB2312" w:cs="仿宋_GB2312"/>
          <w:sz w:val="32"/>
          <w:szCs w:val="32"/>
        </w:rPr>
        <w:t>结合灾害防范应对物资消耗及需求情况，查漏补缺采购野外照明灯、森林消防水泵、卫星电话、对讲机、消防水桶、工兵铲、无人机等各类应急物资4.5万余件，总价值500余万元。</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16.</w:t>
      </w:r>
      <w:r>
        <w:rPr>
          <w:rFonts w:hint="eastAsia" w:ascii="仿宋_GB2312" w:eastAsia="仿宋_GB2312" w:cs="仿宋_GB2312"/>
          <w:sz w:val="32"/>
          <w:szCs w:val="32"/>
        </w:rPr>
        <w:t>完成蒲西卡龙沟、中壤塘贡塘坝、南木达停机坪建设，我县航空应急救援能力得到提升。</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17.</w:t>
      </w:r>
      <w:r>
        <w:rPr>
          <w:rFonts w:hint="eastAsia" w:ascii="仿宋_GB2312" w:eastAsia="仿宋_GB2312" w:cs="仿宋_GB2312"/>
          <w:sz w:val="32"/>
          <w:szCs w:val="32"/>
        </w:rPr>
        <w:t>坚持全年24小时值班值守，不定期不定时抽查乡镇部门，紧盯重点时段、重点地区、重大风险隐患实时跟踪、会商研判及预警信息发布，实现突发信息规范报送。</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18.</w:t>
      </w:r>
      <w:r>
        <w:rPr>
          <w:rFonts w:hint="eastAsia" w:ascii="仿宋_GB2312" w:eastAsia="仿宋_GB2312" w:cs="仿宋_GB2312"/>
          <w:sz w:val="32"/>
          <w:szCs w:val="32"/>
        </w:rPr>
        <w:t>持续体制机制改革，完成县森林草原防灭火指挥部办公室、县防汛抗旱指挥部办公室划转，强化磨合克服困难，较短时间适应工作。</w:t>
      </w:r>
    </w:p>
    <w:p>
      <w:pPr>
        <w:pStyle w:val="15"/>
        <w:spacing w:line="560" w:lineRule="exact"/>
        <w:ind w:firstLine="640" w:firstLineChars="200"/>
        <w:rPr>
          <w:rFonts w:hint="eastAsia" w:ascii="黑体" w:eastAsia="黑体" w:cs="仿宋"/>
          <w:sz w:val="32"/>
          <w:szCs w:val="32"/>
          <w:lang w:eastAsia="zh-CN"/>
        </w:rPr>
      </w:pPr>
      <w:r>
        <w:rPr>
          <w:rFonts w:hint="eastAsia" w:ascii="黑体" w:eastAsia="黑体" w:cs="仿宋"/>
          <w:sz w:val="32"/>
          <w:szCs w:val="32"/>
        </w:rPr>
        <w:t>以人民为中心，抓好减灾救灾</w:t>
      </w:r>
      <w:r>
        <w:rPr>
          <w:rFonts w:hint="eastAsia" w:ascii="黑体" w:eastAsia="黑体" w:cs="仿宋"/>
          <w:sz w:val="32"/>
          <w:szCs w:val="32"/>
          <w:lang w:eastAsia="zh-CN"/>
        </w:rPr>
        <w:t>：</w:t>
      </w:r>
    </w:p>
    <w:p>
      <w:pPr>
        <w:pStyle w:val="15"/>
        <w:spacing w:line="560" w:lineRule="exact"/>
        <w:ind w:firstLine="643" w:firstLineChars="200"/>
        <w:rPr>
          <w:rFonts w:hint="eastAsia" w:ascii="仿宋" w:eastAsia="仿宋" w:cs="仿宋"/>
          <w:sz w:val="32"/>
          <w:szCs w:val="32"/>
        </w:rPr>
      </w:pPr>
      <w:r>
        <w:rPr>
          <w:rFonts w:hint="eastAsia" w:ascii="楷体_GB2312" w:eastAsia="楷体_GB2312" w:cs="仿宋"/>
          <w:b/>
          <w:bCs/>
          <w:sz w:val="32"/>
          <w:szCs w:val="32"/>
        </w:rPr>
        <w:t>19.</w:t>
      </w:r>
      <w:r>
        <w:rPr>
          <w:rFonts w:hint="eastAsia" w:ascii="仿宋_GB2312" w:eastAsia="仿宋_GB2312"/>
          <w:color w:val="000000"/>
          <w:sz w:val="32"/>
          <w:szCs w:val="32"/>
        </w:rPr>
        <w:t>充分利用“防灾减灾宣传周”、“国际减灾日”、“安全生产宣传月”、“消防宣传日”、</w:t>
      </w:r>
      <w:r>
        <w:rPr>
          <w:rFonts w:hint="eastAsia" w:ascii="仿宋_GB2312" w:eastAsia="仿宋_GB2312" w:cs="仿宋_GB2312"/>
          <w:kern w:val="0"/>
          <w:sz w:val="32"/>
          <w:shd w:val="clear" w:color="auto" w:fill="FFFFFF"/>
        </w:rPr>
        <w:t>安全宣传“五进”、</w:t>
      </w:r>
      <w:r>
        <w:rPr>
          <w:rFonts w:hint="eastAsia" w:ascii="Times New Roman" w:hAnsi="Times New Roman" w:eastAsia="仿宋_GB2312" w:cs="Times New Roman"/>
          <w:sz w:val="32"/>
          <w:szCs w:val="32"/>
        </w:rPr>
        <w:t>法律政策7+2进</w:t>
      </w:r>
      <w:r>
        <w:rPr>
          <w:rFonts w:hint="eastAsia" w:ascii="仿宋_GB2312" w:eastAsia="仿宋_GB2312"/>
          <w:color w:val="000000"/>
          <w:sz w:val="32"/>
          <w:szCs w:val="32"/>
        </w:rPr>
        <w:t>等，开展形式多样、</w:t>
      </w:r>
      <w:r>
        <w:rPr>
          <w:rFonts w:hint="eastAsia" w:ascii="仿宋_GB2312" w:eastAsia="仿宋_GB2312"/>
          <w:sz w:val="32"/>
          <w:szCs w:val="32"/>
        </w:rPr>
        <w:t>内容丰富的宣传教育活动</w:t>
      </w:r>
      <w:r>
        <w:rPr>
          <w:rFonts w:hint="eastAsia" w:ascii="仿宋_GB2312" w:eastAsia="仿宋_GB2312"/>
          <w:color w:val="000000"/>
          <w:sz w:val="32"/>
          <w:szCs w:val="32"/>
        </w:rPr>
        <w:t>。</w:t>
      </w:r>
      <w:r>
        <w:rPr>
          <w:rFonts w:ascii="Times New Roman" w:hAnsi="Times New Roman" w:eastAsia="仿宋_GB2312"/>
          <w:color w:val="000000"/>
          <w:sz w:val="32"/>
          <w:szCs w:val="32"/>
        </w:rPr>
        <w:t>以群众喜欢易懂的方式，开展</w:t>
      </w:r>
      <w:r>
        <w:rPr>
          <w:rFonts w:ascii="Times New Roman" w:hAnsi="Times New Roman" w:eastAsia="仿宋_GB2312"/>
          <w:sz w:val="32"/>
        </w:rPr>
        <w:t>“三句半”小相声、观看</w:t>
      </w:r>
      <w:r>
        <w:rPr>
          <w:rFonts w:ascii="Times New Roman" w:hAnsi="Times New Roman" w:eastAsia="仿宋_GB2312"/>
          <w:sz w:val="32"/>
          <w:szCs w:val="32"/>
        </w:rPr>
        <w:t>警示教育片、现场演练等多种宣传</w:t>
      </w:r>
      <w:r>
        <w:rPr>
          <w:rFonts w:hint="eastAsia" w:ascii="Times New Roman" w:hAnsi="Times New Roman" w:eastAsia="仿宋_GB2312"/>
          <w:sz w:val="32"/>
          <w:szCs w:val="32"/>
        </w:rPr>
        <w:t>，</w:t>
      </w:r>
      <w:r>
        <w:rPr>
          <w:rFonts w:ascii="Times New Roman" w:hAnsi="Times New Roman" w:eastAsia="仿宋_GB2312"/>
          <w:sz w:val="32"/>
          <w:szCs w:val="32"/>
        </w:rPr>
        <w:t>累计</w:t>
      </w:r>
      <w:r>
        <w:rPr>
          <w:rFonts w:hint="eastAsia" w:ascii="Times New Roman" w:hAnsi="Times New Roman" w:eastAsia="仿宋_GB2312"/>
          <w:sz w:val="32"/>
          <w:szCs w:val="32"/>
        </w:rPr>
        <w:t>发放宣传资料5085余册</w:t>
      </w:r>
      <w:r>
        <w:rPr>
          <w:rFonts w:ascii="Times New Roman" w:hAnsi="Times New Roman" w:eastAsia="仿宋_GB2312"/>
          <w:sz w:val="32"/>
          <w:szCs w:val="32"/>
        </w:rPr>
        <w:t>、</w:t>
      </w:r>
      <w:r>
        <w:rPr>
          <w:rFonts w:hint="eastAsia" w:ascii="Times New Roman" w:hAnsi="Times New Roman" w:eastAsia="仿宋_GB2312"/>
          <w:sz w:val="32"/>
          <w:szCs w:val="32"/>
        </w:rPr>
        <w:t>宣传礼包1500余份，播放安全警示教育片60余场，</w:t>
      </w:r>
      <w:r>
        <w:rPr>
          <w:rFonts w:ascii="Times New Roman" w:hAnsi="Times New Roman" w:eastAsia="仿宋_GB2312"/>
          <w:sz w:val="32"/>
          <w:szCs w:val="32"/>
        </w:rPr>
        <w:t>普遍提升群众安全防范意识、应急处置基本技能等</w:t>
      </w:r>
      <w:r>
        <w:rPr>
          <w:rFonts w:hint="eastAsia" w:ascii="仿宋_GB2312" w:eastAsia="仿宋_GB2312"/>
          <w:color w:val="000000"/>
          <w:sz w:val="32"/>
          <w:szCs w:val="32"/>
        </w:rPr>
        <w:t>。</w:t>
      </w:r>
    </w:p>
    <w:p>
      <w:pPr>
        <w:pStyle w:val="7"/>
        <w:spacing w:line="560" w:lineRule="exact"/>
        <w:ind w:left="0" w:firstLine="643" w:firstLineChars="200"/>
        <w:rPr>
          <w:rFonts w:hint="eastAsia"/>
        </w:rPr>
      </w:pPr>
      <w:r>
        <w:rPr>
          <w:rFonts w:hint="eastAsia" w:ascii="楷体_GB2312" w:eastAsia="楷体_GB2312" w:cs="仿宋"/>
          <w:b/>
          <w:bCs/>
        </w:rPr>
        <w:t>20.</w:t>
      </w:r>
      <w:r>
        <w:rPr>
          <w:rFonts w:hint="eastAsia"/>
        </w:rPr>
        <w:t>对我县的典型地质灾害隐患点吾伊乡修卡村滑坡开展 “一点一案”编制工作，对地质灾害隐患开展应急排查，完工尕日寨左岸河堤加固维修。</w:t>
      </w:r>
    </w:p>
    <w:p>
      <w:pPr>
        <w:spacing w:line="560" w:lineRule="exact"/>
        <w:ind w:firstLine="643" w:firstLineChars="200"/>
        <w:rPr>
          <w:rFonts w:hint="eastAsia" w:ascii="仿宋_GB2312" w:eastAsia="仿宋_GB2312"/>
        </w:rPr>
      </w:pPr>
      <w:r>
        <w:rPr>
          <w:rFonts w:hint="eastAsia" w:ascii="楷体_GB2312" w:eastAsia="楷体_GB2312" w:cs="仿宋"/>
          <w:b/>
          <w:bCs/>
          <w:sz w:val="32"/>
          <w:szCs w:val="32"/>
        </w:rPr>
        <w:t>21.</w:t>
      </w:r>
      <w:r>
        <w:rPr>
          <w:rFonts w:hint="eastAsia" w:ascii="仿宋_GB2312" w:eastAsia="仿宋_GB2312" w:cs="仿宋"/>
          <w:bCs/>
          <w:sz w:val="32"/>
          <w:szCs w:val="32"/>
        </w:rPr>
        <w:t>开展</w:t>
      </w:r>
      <w:r>
        <w:rPr>
          <w:rFonts w:hint="eastAsia" w:ascii="仿宋_GB2312" w:eastAsia="仿宋_GB2312" w:cs="仿宋_GB2312"/>
          <w:sz w:val="32"/>
          <w:szCs w:val="32"/>
        </w:rPr>
        <w:t>第一次全国自然灾害综合风险普查，有序推进普查办、综合体、防灾减灾、地震、住建、水务等领域普查工作。</w:t>
      </w:r>
    </w:p>
    <w:p>
      <w:pPr>
        <w:pStyle w:val="7"/>
        <w:spacing w:line="560" w:lineRule="exact"/>
        <w:ind w:left="0" w:firstLine="626" w:firstLineChars="195"/>
      </w:pPr>
      <w:r>
        <w:rPr>
          <w:rFonts w:hint="eastAsia" w:ascii="楷体_GB2312" w:eastAsia="楷体_GB2312" w:cs="仿宋"/>
          <w:b/>
          <w:bCs/>
        </w:rPr>
        <w:t>22.</w:t>
      </w:r>
      <w:r>
        <w:rPr>
          <w:rFonts w:hint="eastAsia"/>
        </w:rPr>
        <w:t>申报创建全国综合减灾示范社区1个（岗木达镇祥塘社区），打造县域综合减灾示范社区样板。</w:t>
      </w:r>
    </w:p>
    <w:p>
      <w:pPr>
        <w:spacing w:line="560" w:lineRule="exact"/>
        <w:ind w:firstLine="643" w:firstLineChars="200"/>
        <w:rPr>
          <w:rFonts w:hint="eastAsia" w:ascii="仿宋_GB2312" w:eastAsia="仿宋_GB2312"/>
          <w:sz w:val="32"/>
          <w:szCs w:val="32"/>
        </w:rPr>
      </w:pPr>
      <w:r>
        <w:rPr>
          <w:rFonts w:hint="eastAsia" w:ascii="楷体_GB2312" w:eastAsia="楷体_GB2312" w:cs="仿宋"/>
          <w:b/>
          <w:bCs/>
          <w:sz w:val="32"/>
          <w:szCs w:val="32"/>
        </w:rPr>
        <w:t>23.</w:t>
      </w:r>
      <w:r>
        <w:rPr>
          <w:rFonts w:hint="eastAsia" w:ascii="仿宋_GB2312" w:eastAsia="仿宋_GB2312" w:cs="仿宋"/>
          <w:sz w:val="32"/>
          <w:szCs w:val="32"/>
        </w:rPr>
        <w:t>“</w:t>
      </w:r>
      <w:r>
        <w:rPr>
          <w:rFonts w:hint="eastAsia" w:ascii="仿宋_GB2312" w:eastAsia="仿宋_GB2312"/>
          <w:sz w:val="32"/>
          <w:szCs w:val="32"/>
        </w:rPr>
        <w:t>6 ·20</w:t>
      </w:r>
      <w:r>
        <w:rPr>
          <w:rFonts w:hint="eastAsia" w:ascii="仿宋_GB2312" w:eastAsia="仿宋_GB2312" w:cs="仿宋"/>
          <w:sz w:val="32"/>
          <w:szCs w:val="32"/>
        </w:rPr>
        <w:t>”</w:t>
      </w:r>
      <w:r>
        <w:rPr>
          <w:rFonts w:hint="eastAsia" w:ascii="仿宋_GB2312" w:eastAsia="仿宋_GB2312"/>
          <w:sz w:val="32"/>
          <w:szCs w:val="32"/>
        </w:rPr>
        <w:t>尕古玛沟山洪泥石流灾害发生后，闻灾而动，全员参与，组织动员紧急避险转移 ，调派机具、物资及时灾后恢复。在洪灾、雪灾、雹灾、油车翻覆等灾害事故发生后第一时间掌握灾情、第一现场核实灾况，全面如实进行灾统，科学组织抢险救灾。灾情稳定后，及时兑现救助资金，积极推进生活生产恢复。</w:t>
      </w:r>
    </w:p>
    <w:p>
      <w:pPr>
        <w:spacing w:line="560" w:lineRule="exact"/>
        <w:ind w:firstLine="643" w:firstLineChars="200"/>
        <w:rPr>
          <w:rFonts w:hint="eastAsia" w:ascii="仿宋_GB2312" w:eastAsia="仿宋_GB2312"/>
          <w:sz w:val="32"/>
          <w:szCs w:val="32"/>
        </w:rPr>
      </w:pPr>
      <w:r>
        <w:rPr>
          <w:rFonts w:hint="eastAsia" w:ascii="楷体_GB2312" w:eastAsia="楷体_GB2312" w:cs="仿宋"/>
          <w:b/>
          <w:bCs/>
          <w:sz w:val="32"/>
          <w:szCs w:val="32"/>
        </w:rPr>
        <w:t>24.</w:t>
      </w:r>
      <w:r>
        <w:rPr>
          <w:rFonts w:hint="eastAsia" w:ascii="仿宋_GB2312" w:eastAsia="仿宋_GB2312"/>
          <w:sz w:val="32"/>
          <w:szCs w:val="32"/>
        </w:rPr>
        <w:t xml:space="preserve"> 全天候地震台监测和及时地震信息发布，推进乡镇和学校地震监测设施设备建设。</w:t>
      </w:r>
    </w:p>
    <w:p>
      <w:pPr>
        <w:spacing w:line="560" w:lineRule="exact"/>
        <w:ind w:firstLine="640" w:firstLineChars="200"/>
        <w:rPr>
          <w:rFonts w:hint="eastAsia" w:ascii="黑体" w:eastAsia="黑体"/>
          <w:sz w:val="32"/>
          <w:szCs w:val="32"/>
          <w:lang w:eastAsia="zh-CN"/>
        </w:rPr>
      </w:pPr>
      <w:r>
        <w:rPr>
          <w:rFonts w:hint="eastAsia" w:ascii="黑体" w:eastAsia="黑体"/>
          <w:sz w:val="32"/>
          <w:szCs w:val="32"/>
        </w:rPr>
        <w:t>以保障为基础，推进综合工作</w:t>
      </w:r>
      <w:r>
        <w:rPr>
          <w:rFonts w:hint="eastAsia" w:ascii="黑体" w:eastAsia="黑体"/>
          <w:sz w:val="32"/>
          <w:szCs w:val="32"/>
          <w:lang w:eastAsia="zh-CN"/>
        </w:rPr>
        <w:t>：</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25.</w:t>
      </w:r>
      <w:r>
        <w:rPr>
          <w:rFonts w:hint="eastAsia" w:ascii="仿宋_GB2312" w:eastAsia="仿宋_GB2312"/>
          <w:sz w:val="32"/>
          <w:szCs w:val="32"/>
        </w:rPr>
        <w:t>压实书记主体责任和党员干部“一岗双责”， 以党史学习教育为抓手，强化政治理论学习，增强政治思想基础，党建引领全局、党建带动团、妇、工会，为工作推进夯实思想根基。</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26.</w:t>
      </w:r>
      <w:r>
        <w:rPr>
          <w:rFonts w:hint="eastAsia" w:ascii="仿宋_GB2312" w:eastAsia="仿宋_GB2312"/>
          <w:sz w:val="32"/>
          <w:szCs w:val="32"/>
        </w:rPr>
        <w:t>强化集中学习教育、典型案例通报，观看警示教育片，筑牢干部特别是领导干部廉洁、正派观念，做到从严行政、清廉行政。</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27.</w:t>
      </w:r>
      <w:r>
        <w:rPr>
          <w:rFonts w:hint="eastAsia" w:ascii="仿宋_GB2312" w:eastAsia="仿宋_GB2312"/>
          <w:sz w:val="32"/>
          <w:szCs w:val="32"/>
        </w:rPr>
        <w:t>围绕铸牢中华民族共同体意识主线，强化意识形态教育，加强民族团结，推广红色和中华民族文化符号，以</w:t>
      </w:r>
      <w:r>
        <w:rPr>
          <w:rFonts w:hint="eastAsia" w:ascii="仿宋_GB2312" w:eastAsia="仿宋_GB2312"/>
          <w:bCs/>
          <w:sz w:val="32"/>
          <w:szCs w:val="32"/>
        </w:rPr>
        <w:t>“两联一进”群众工作为抓手，切实我为群众办实事，抓实维护稳定、社会治理、平安创建、巩固脱贫攻坚、乡村振兴等工作。</w:t>
      </w:r>
    </w:p>
    <w:p>
      <w:pPr>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28.</w:t>
      </w:r>
      <w:r>
        <w:rPr>
          <w:rFonts w:hint="eastAsia" w:ascii="仿宋_GB2312" w:eastAsia="仿宋_GB2312"/>
          <w:sz w:val="32"/>
          <w:szCs w:val="32"/>
        </w:rPr>
        <w:t>充分发挥党支部堡垒作用，开展好讲党课、“三会一课”、主题党日、节日共建等活动，加大对党员干部的教育管理。年度发展预备党员2名，接收4名同志入党申请，及时足额完成党费收缴。</w:t>
      </w:r>
    </w:p>
    <w:p>
      <w:pPr>
        <w:pStyle w:val="4"/>
        <w:spacing w:before="0" w:after="0" w:line="560" w:lineRule="exact"/>
        <w:ind w:firstLine="640" w:firstLineChars="200"/>
        <w:rPr>
          <w:rStyle w:val="28"/>
          <w:b w:val="0"/>
          <w:bCs w:val="0"/>
        </w:rPr>
      </w:pPr>
      <w:r>
        <w:rPr>
          <w:rFonts w:hint="eastAsia" w:ascii="黑体" w:eastAsia="黑体"/>
          <w:b w:val="0"/>
          <w:color w:val="000000"/>
        </w:rPr>
        <w:t>二、机</w:t>
      </w:r>
      <w:r>
        <w:rPr>
          <w:rStyle w:val="28"/>
          <w:rFonts w:hint="eastAsia" w:ascii="黑体" w:eastAsia="黑体"/>
          <w:b w:val="0"/>
          <w:bCs w:val="0"/>
        </w:rPr>
        <w:t>构设置</w:t>
      </w:r>
      <w:bookmarkEnd w:id="28"/>
      <w:bookmarkEnd w:id="29"/>
      <w:bookmarkEnd w:id="30"/>
      <w:bookmarkEnd w:id="31"/>
    </w:p>
    <w:p>
      <w:pPr>
        <w:pStyle w:val="40"/>
        <w:ind w:firstLine="640" w:firstLineChars="200"/>
        <w:rPr>
          <w:rFonts w:ascii="仿宋_GB2312" w:eastAsia="仿宋_GB2312" w:cs="仿宋_GB2312"/>
          <w:sz w:val="32"/>
          <w:szCs w:val="32"/>
        </w:rPr>
      </w:pPr>
      <w:r>
        <w:rPr>
          <w:rFonts w:hint="eastAsia" w:ascii="仿宋_GB2312" w:eastAsia="仿宋_GB2312" w:cs="仿宋_GB2312"/>
          <w:sz w:val="32"/>
          <w:szCs w:val="32"/>
        </w:rPr>
        <w:t>壤塘县应急管理局下设三个股室（综合股、安监股、应急股），一个指挥中心（应急指挥中心），一个执法中队（安全生产监察执法中队）。下属二级单位</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个，其中行政单位0个，参照公务员法管理的事业单位</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个，其他事业单位0个。</w:t>
      </w:r>
    </w:p>
    <w:p>
      <w:pPr>
        <w:widowControl/>
        <w:spacing w:line="560" w:lineRule="exact"/>
        <w:jc w:val="left"/>
        <w:rPr>
          <w:rFonts w:ascii="仿宋" w:eastAsia="仿宋"/>
          <w:color w:val="000000"/>
          <w:kern w:val="0"/>
          <w:sz w:val="32"/>
          <w:szCs w:val="32"/>
        </w:rPr>
      </w:pPr>
      <w:r>
        <w:rPr>
          <w:rFonts w:ascii="仿宋" w:eastAsia="仿宋"/>
          <w:color w:val="000000"/>
          <w:sz w:val="32"/>
          <w:szCs w:val="32"/>
        </w:rPr>
        <w:br w:type="page"/>
      </w:r>
    </w:p>
    <w:p>
      <w:pPr>
        <w:pStyle w:val="3"/>
        <w:ind w:right="440"/>
        <w:jc w:val="right"/>
      </w:pPr>
      <w:bookmarkStart w:id="32" w:name="_Toc14147"/>
      <w:bookmarkStart w:id="33" w:name="_Toc15377204"/>
      <w:bookmarkStart w:id="34" w:name="_Toc79163609"/>
      <w:bookmarkStart w:id="35" w:name="_Toc15396602"/>
      <w:r>
        <w:rPr>
          <w:rFonts w:hint="eastAsia" w:ascii="黑体" w:eastAsia="黑体"/>
          <w:b w:val="0"/>
          <w:color w:val="000000"/>
        </w:rPr>
        <w:t>第二部分</w:t>
      </w:r>
      <w:r>
        <w:rPr>
          <w:rFonts w:ascii="黑体" w:eastAsia="黑体"/>
          <w:color w:val="000000"/>
        </w:rPr>
        <w:t xml:space="preserve"> </w:t>
      </w:r>
      <w:r>
        <w:rPr>
          <w:rStyle w:val="27"/>
          <w:rFonts w:hint="eastAsia" w:ascii="黑体" w:eastAsia="黑体"/>
          <w:b w:val="0"/>
          <w:bCs w:val="0"/>
          <w:lang w:eastAsia="zh-CN"/>
        </w:rPr>
        <w:t>2021</w:t>
      </w:r>
      <w:r>
        <w:rPr>
          <w:rStyle w:val="27"/>
          <w:rFonts w:hint="eastAsia" w:ascii="黑体" w:eastAsia="黑体"/>
          <w:b w:val="0"/>
          <w:bCs w:val="0"/>
        </w:rPr>
        <w:t>年度部门决算情况说明</w:t>
      </w:r>
      <w:bookmarkEnd w:id="32"/>
      <w:bookmarkEnd w:id="33"/>
      <w:bookmarkEnd w:id="34"/>
      <w:bookmarkEnd w:id="35"/>
    </w:p>
    <w:p>
      <w:pPr>
        <w:pStyle w:val="33"/>
        <w:numPr>
          <w:ilvl w:val="0"/>
          <w:numId w:val="1"/>
        </w:numPr>
        <w:spacing w:line="600" w:lineRule="exact"/>
        <w:ind w:firstLineChars="0"/>
        <w:outlineLvl w:val="1"/>
        <w:rPr>
          <w:rStyle w:val="28"/>
          <w:rFonts w:ascii="黑体" w:eastAsia="黑体"/>
          <w:b w:val="0"/>
        </w:rPr>
      </w:pPr>
      <w:bookmarkStart w:id="36" w:name="_Toc25426"/>
      <w:bookmarkStart w:id="37" w:name="_Toc79163610"/>
      <w:bookmarkStart w:id="38" w:name="_Toc15377205"/>
      <w:bookmarkStart w:id="39" w:name="_Toc15396603"/>
      <w:r>
        <w:rPr>
          <w:rFonts w:hint="eastAsia" w:ascii="黑体" w:eastAsia="黑体"/>
          <w:color w:val="000000"/>
          <w:sz w:val="32"/>
          <w:szCs w:val="32"/>
        </w:rPr>
        <w:t>收</w:t>
      </w:r>
      <w:r>
        <w:rPr>
          <w:rStyle w:val="28"/>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年度收</w:t>
      </w:r>
      <w:r>
        <w:rPr>
          <w:rFonts w:hint="eastAsia" w:ascii="仿宋_GB2312" w:eastAsia="仿宋_GB2312"/>
          <w:color w:val="000000"/>
          <w:sz w:val="32"/>
          <w:szCs w:val="32"/>
          <w:lang w:val="en-US" w:eastAsia="zh-CN"/>
        </w:rPr>
        <w:t>入</w:t>
      </w:r>
      <w:r>
        <w:rPr>
          <w:rFonts w:hint="eastAsia" w:ascii="仿宋_GB2312" w:eastAsia="仿宋_GB2312"/>
          <w:color w:val="000000"/>
          <w:sz w:val="32"/>
          <w:szCs w:val="32"/>
        </w:rPr>
        <w:t>总计</w:t>
      </w:r>
      <w:r>
        <w:rPr>
          <w:rFonts w:hint="eastAsia" w:ascii="仿宋_GB2312" w:eastAsia="仿宋_GB2312"/>
          <w:color w:val="000000"/>
          <w:sz w:val="32"/>
          <w:szCs w:val="32"/>
          <w:lang w:val="en-US" w:eastAsia="zh-CN"/>
        </w:rPr>
        <w:t>1610.8</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年相比，收</w:t>
      </w:r>
      <w:r>
        <w:rPr>
          <w:rFonts w:hint="eastAsia" w:ascii="仿宋_GB2312" w:eastAsia="仿宋_GB2312"/>
          <w:color w:val="000000"/>
          <w:sz w:val="32"/>
          <w:szCs w:val="32"/>
          <w:lang w:val="en-US" w:eastAsia="zh-CN"/>
        </w:rPr>
        <w:t>入</w:t>
      </w:r>
      <w:r>
        <w:rPr>
          <w:rFonts w:hint="eastAsia" w:ascii="仿宋_GB2312" w:eastAsia="仿宋_GB2312"/>
          <w:color w:val="000000"/>
          <w:sz w:val="32"/>
          <w:szCs w:val="32"/>
        </w:rPr>
        <w:t>总计增加</w:t>
      </w:r>
      <w:r>
        <w:rPr>
          <w:rFonts w:hint="eastAsia" w:ascii="仿宋_GB2312" w:eastAsia="仿宋_GB2312"/>
          <w:color w:val="000000"/>
          <w:sz w:val="32"/>
          <w:szCs w:val="32"/>
          <w:lang w:val="en-US" w:eastAsia="zh-CN"/>
        </w:rPr>
        <w:t>291.10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18.07</w:t>
      </w:r>
      <w:r>
        <w:rPr>
          <w:rFonts w:hint="eastAsia" w:ascii="仿宋_GB2312" w:eastAsia="仿宋_GB2312"/>
          <w:color w:val="000000"/>
          <w:sz w:val="32"/>
          <w:szCs w:val="32"/>
        </w:rPr>
        <w:t>%。主要变动原因是</w:t>
      </w:r>
      <w:r>
        <w:rPr>
          <w:rFonts w:hint="eastAsia" w:ascii="仿宋_GB2312" w:eastAsia="仿宋_GB2312"/>
          <w:color w:val="000000"/>
          <w:sz w:val="32"/>
          <w:szCs w:val="32"/>
          <w:lang w:val="en-US" w:eastAsia="zh-CN"/>
        </w:rPr>
        <w:t>随着本县政治经济不断发展，不断提高应急管理机制及应急能力，又因疫情反复、气候变化，本县应急应对事务增多，经费收入增加</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年度</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总计</w:t>
      </w:r>
      <w:r>
        <w:rPr>
          <w:rFonts w:hint="eastAsia" w:ascii="仿宋_GB2312" w:eastAsia="仿宋_GB2312"/>
          <w:color w:val="000000"/>
          <w:sz w:val="32"/>
          <w:szCs w:val="32"/>
          <w:lang w:val="en-US" w:eastAsia="zh-CN"/>
        </w:rPr>
        <w:t>1649.49</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总计增加</w:t>
      </w:r>
      <w:r>
        <w:rPr>
          <w:rFonts w:hint="eastAsia" w:ascii="仿宋_GB2312" w:eastAsia="仿宋_GB2312"/>
          <w:color w:val="000000"/>
          <w:sz w:val="32"/>
          <w:szCs w:val="32"/>
          <w:lang w:val="en-US" w:eastAsia="zh-CN"/>
        </w:rPr>
        <w:t>325.57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19.74</w:t>
      </w:r>
      <w:r>
        <w:rPr>
          <w:rFonts w:hint="eastAsia" w:ascii="仿宋_GB2312" w:eastAsia="仿宋_GB2312"/>
          <w:color w:val="000000"/>
          <w:sz w:val="32"/>
          <w:szCs w:val="32"/>
        </w:rPr>
        <w:t>%。主要变动原因是</w:t>
      </w:r>
      <w:r>
        <w:rPr>
          <w:rFonts w:hint="eastAsia" w:ascii="仿宋_GB2312" w:eastAsia="仿宋_GB2312"/>
          <w:color w:val="000000"/>
          <w:sz w:val="32"/>
          <w:szCs w:val="32"/>
          <w:lang w:val="en-US" w:eastAsia="zh-CN"/>
        </w:rPr>
        <w:t>随着本县政治经济不断发展，不断提高应急管理机制及应急能力，又因疫情反复、气候变化，本县应急应对事务增多，经费支出增加</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（图1：收、支决算总计变动情况图）（柱状图）</w:t>
      </w:r>
    </w:p>
    <w:p>
      <w:pPr>
        <w:pStyle w:val="10"/>
        <w:rPr>
          <w:rFonts w:hint="eastAsia" w:ascii="仿宋_GB2312" w:eastAsia="仿宋_GB2312"/>
          <w:color w:val="000000"/>
          <w:sz w:val="32"/>
          <w:szCs w:val="32"/>
        </w:rPr>
      </w:pPr>
      <w:r>
        <w:drawing>
          <wp:anchor distT="0" distB="0" distL="114300" distR="114300" simplePos="0" relativeHeight="251659264" behindDoc="1" locked="0" layoutInCell="1" allowOverlap="1">
            <wp:simplePos x="0" y="0"/>
            <wp:positionH relativeFrom="column">
              <wp:posOffset>402590</wp:posOffset>
            </wp:positionH>
            <wp:positionV relativeFrom="paragraph">
              <wp:posOffset>240665</wp:posOffset>
            </wp:positionV>
            <wp:extent cx="4419600" cy="2476500"/>
            <wp:effectExtent l="0" t="0" r="0" b="0"/>
            <wp:wrapNone/>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0"/>
      </w:pPr>
    </w:p>
    <w:p>
      <w:pPr>
        <w:pStyle w:val="10"/>
      </w:pPr>
    </w:p>
    <w:p>
      <w:pPr>
        <w:pStyle w:val="10"/>
      </w:pPr>
    </w:p>
    <w:p>
      <w:pPr>
        <w:pStyle w:val="10"/>
      </w:pPr>
    </w:p>
    <w:p>
      <w:pPr>
        <w:pStyle w:val="10"/>
      </w:pPr>
    </w:p>
    <w:p>
      <w:pPr>
        <w:pStyle w:val="10"/>
      </w:pPr>
    </w:p>
    <w:p>
      <w:pPr>
        <w:pStyle w:val="10"/>
      </w:pPr>
    </w:p>
    <w:p>
      <w:pPr>
        <w:pStyle w:val="10"/>
        <w:rPr>
          <w:rFonts w:hint="eastAsia"/>
          <w:lang w:eastAsia="zh-CN"/>
        </w:rPr>
      </w:pPr>
    </w:p>
    <w:p>
      <w:pPr>
        <w:pStyle w:val="10"/>
        <w:rPr>
          <w:rFonts w:hint="eastAsia" w:ascii="仿宋" w:eastAsia="仿宋"/>
          <w:color w:val="000000"/>
          <w:sz w:val="32"/>
          <w:szCs w:val="32"/>
          <w:lang w:eastAsia="zh-CN"/>
        </w:rPr>
      </w:pPr>
    </w:p>
    <w:p>
      <w:pPr>
        <w:pStyle w:val="10"/>
        <w:rPr>
          <w:rFonts w:hint="eastAsia" w:ascii="仿宋" w:eastAsia="仿宋"/>
          <w:color w:val="000000"/>
          <w:sz w:val="32"/>
          <w:szCs w:val="32"/>
          <w:lang w:eastAsia="zh-CN"/>
        </w:rPr>
      </w:pPr>
      <w:r>
        <w:drawing>
          <wp:anchor distT="0" distB="0" distL="114300" distR="114300" simplePos="0" relativeHeight="251659264" behindDoc="1" locked="0" layoutInCell="1" allowOverlap="1">
            <wp:simplePos x="0" y="0"/>
            <wp:positionH relativeFrom="column">
              <wp:posOffset>464185</wp:posOffset>
            </wp:positionH>
            <wp:positionV relativeFrom="paragraph">
              <wp:posOffset>75565</wp:posOffset>
            </wp:positionV>
            <wp:extent cx="4039235" cy="2453640"/>
            <wp:effectExtent l="0" t="0" r="0" b="0"/>
            <wp:wrapNone/>
            <wp:docPr id="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0"/>
        <w:rPr>
          <w:rFonts w:hint="eastAsia" w:ascii="仿宋" w:eastAsia="仿宋"/>
          <w:color w:val="000000"/>
          <w:sz w:val="32"/>
          <w:szCs w:val="32"/>
          <w:lang w:eastAsia="zh-CN"/>
        </w:rPr>
      </w:pPr>
    </w:p>
    <w:p>
      <w:pPr>
        <w:pStyle w:val="10"/>
        <w:rPr>
          <w:rFonts w:hint="eastAsia" w:ascii="仿宋" w:eastAsia="仿宋"/>
          <w:color w:val="000000"/>
          <w:sz w:val="32"/>
          <w:szCs w:val="32"/>
          <w:lang w:eastAsia="zh-CN"/>
        </w:rPr>
      </w:pPr>
    </w:p>
    <w:p>
      <w:pPr>
        <w:pStyle w:val="10"/>
        <w:rPr>
          <w:rFonts w:hint="eastAsia" w:ascii="仿宋" w:eastAsia="仿宋"/>
          <w:color w:val="000000"/>
          <w:sz w:val="32"/>
          <w:szCs w:val="32"/>
          <w:lang w:eastAsia="zh-CN"/>
        </w:rPr>
      </w:pPr>
    </w:p>
    <w:p>
      <w:pPr>
        <w:pStyle w:val="10"/>
        <w:ind w:left="0" w:firstLine="0" w:firstLineChars="0"/>
        <w:rPr>
          <w:rFonts w:hint="eastAsia" w:ascii="仿宋" w:eastAsia="仿宋"/>
          <w:color w:val="000000"/>
          <w:sz w:val="32"/>
          <w:szCs w:val="32"/>
          <w:lang w:val="en-US" w:eastAsia="zh-CN"/>
        </w:rPr>
      </w:pPr>
    </w:p>
    <w:p>
      <w:pPr>
        <w:pStyle w:val="10"/>
        <w:ind w:left="0" w:firstLine="0" w:firstLineChars="0"/>
        <w:rPr>
          <w:rFonts w:hint="eastAsia" w:ascii="仿宋" w:eastAsia="仿宋"/>
          <w:color w:val="000000"/>
          <w:sz w:val="32"/>
          <w:szCs w:val="32"/>
          <w:lang w:val="en-US" w:eastAsia="zh-CN"/>
        </w:rPr>
      </w:pPr>
    </w:p>
    <w:p>
      <w:pPr>
        <w:pStyle w:val="10"/>
        <w:ind w:left="0" w:firstLine="0" w:firstLineChars="0"/>
        <w:rPr>
          <w:rFonts w:hint="eastAsia" w:ascii="仿宋" w:eastAsia="仿宋"/>
          <w:color w:val="000000"/>
          <w:sz w:val="32"/>
          <w:szCs w:val="32"/>
          <w:lang w:val="en-US" w:eastAsia="zh-CN"/>
        </w:rPr>
      </w:pPr>
    </w:p>
    <w:p>
      <w:pPr>
        <w:pStyle w:val="10"/>
        <w:ind w:left="0" w:firstLine="0" w:firstLineChars="0"/>
        <w:rPr>
          <w:rFonts w:hint="eastAsia" w:ascii="仿宋" w:eastAsia="仿宋"/>
          <w:color w:val="000000"/>
          <w:sz w:val="32"/>
          <w:szCs w:val="32"/>
          <w:lang w:val="en-US" w:eastAsia="zh-CN"/>
        </w:rPr>
      </w:pPr>
    </w:p>
    <w:p>
      <w:pPr>
        <w:pStyle w:val="33"/>
        <w:numPr>
          <w:ilvl w:val="0"/>
          <w:numId w:val="1"/>
        </w:numPr>
        <w:spacing w:line="600" w:lineRule="exact"/>
        <w:ind w:firstLineChars="0"/>
        <w:outlineLvl w:val="1"/>
        <w:rPr>
          <w:rStyle w:val="28"/>
          <w:rFonts w:ascii="黑体" w:eastAsia="黑体"/>
          <w:b w:val="0"/>
        </w:rPr>
      </w:pPr>
      <w:bookmarkStart w:id="40" w:name="_Toc15377206"/>
      <w:bookmarkStart w:id="41" w:name="_Toc15396604"/>
      <w:bookmarkStart w:id="42" w:name="_Toc79163611"/>
      <w:bookmarkStart w:id="43" w:name="_Toc22783"/>
      <w:r>
        <w:rPr>
          <w:rFonts w:hint="eastAsia" w:ascii="黑体" w:eastAsia="黑体"/>
          <w:color w:val="000000"/>
          <w:sz w:val="32"/>
          <w:szCs w:val="32"/>
        </w:rPr>
        <w:t>收</w:t>
      </w:r>
      <w:r>
        <w:rPr>
          <w:rStyle w:val="28"/>
          <w:rFonts w:hint="eastAsia" w:ascii="黑体" w:eastAsia="黑体"/>
          <w:b w:val="0"/>
        </w:rPr>
        <w:t>入决算情况说明</w:t>
      </w:r>
      <w:bookmarkEnd w:id="40"/>
      <w:bookmarkEnd w:id="41"/>
      <w:bookmarkEnd w:id="42"/>
      <w:bookmarkEnd w:id="43"/>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年本年收入合计</w:t>
      </w:r>
      <w:r>
        <w:rPr>
          <w:rFonts w:hint="eastAsia" w:ascii="仿宋_GB2312" w:eastAsia="仿宋_GB2312"/>
          <w:color w:val="000000"/>
          <w:sz w:val="32"/>
          <w:szCs w:val="32"/>
          <w:lang w:val="en-US" w:eastAsia="zh-CN"/>
        </w:rPr>
        <w:t>1610.8</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1610.8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%；政府性基金预算财政拨款收入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；上级补助收入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；事业收入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；经营收入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；附属单位上缴收入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；其他收入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r>
        <w:drawing>
          <wp:anchor distT="0" distB="0" distL="114300" distR="114300" simplePos="0" relativeHeight="251659264" behindDoc="1" locked="0" layoutInCell="1" allowOverlap="1">
            <wp:simplePos x="0" y="0"/>
            <wp:positionH relativeFrom="column">
              <wp:posOffset>410210</wp:posOffset>
            </wp:positionH>
            <wp:positionV relativeFrom="paragraph">
              <wp:posOffset>-2479675</wp:posOffset>
            </wp:positionV>
            <wp:extent cx="4572000" cy="2743200"/>
            <wp:effectExtent l="0" t="0" r="0" b="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33"/>
        <w:numPr>
          <w:ilvl w:val="0"/>
          <w:numId w:val="1"/>
        </w:numPr>
        <w:spacing w:line="600" w:lineRule="exact"/>
        <w:ind w:firstLineChars="0"/>
        <w:outlineLvl w:val="1"/>
        <w:rPr>
          <w:rStyle w:val="28"/>
          <w:rFonts w:ascii="黑体" w:eastAsia="黑体"/>
          <w:b w:val="0"/>
        </w:rPr>
      </w:pPr>
      <w:bookmarkStart w:id="44" w:name="_Toc15377207"/>
      <w:bookmarkStart w:id="45" w:name="_Toc79163612"/>
      <w:bookmarkStart w:id="46" w:name="_Toc15396605"/>
      <w:bookmarkStart w:id="47" w:name="_Toc30618"/>
      <w:r>
        <w:rPr>
          <w:rFonts w:hint="eastAsia" w:ascii="黑体" w:eastAsia="黑体"/>
          <w:color w:val="000000"/>
          <w:sz w:val="32"/>
          <w:szCs w:val="32"/>
        </w:rPr>
        <w:t>支</w:t>
      </w:r>
      <w:r>
        <w:rPr>
          <w:rStyle w:val="28"/>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年本年支出合计</w:t>
      </w:r>
      <w:r>
        <w:rPr>
          <w:rFonts w:hint="eastAsia" w:ascii="仿宋_GB2312" w:eastAsia="仿宋_GB2312"/>
          <w:color w:val="000000"/>
          <w:sz w:val="32"/>
          <w:szCs w:val="32"/>
          <w:lang w:val="en-US" w:eastAsia="zh-CN"/>
        </w:rPr>
        <w:t>1649.49</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609.31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36.94</w:t>
      </w:r>
      <w:r>
        <w:rPr>
          <w:rFonts w:hint="eastAsia" w:ascii="仿宋_GB2312" w:eastAsia="仿宋_GB2312"/>
          <w:color w:val="000000"/>
          <w:sz w:val="32"/>
          <w:szCs w:val="32"/>
        </w:rPr>
        <w:t>%；项目支出1040.18万元，占</w:t>
      </w:r>
      <w:r>
        <w:rPr>
          <w:rFonts w:hint="eastAsia" w:ascii="仿宋_GB2312" w:eastAsia="仿宋_GB2312"/>
          <w:color w:val="000000"/>
          <w:sz w:val="32"/>
          <w:szCs w:val="32"/>
          <w:lang w:val="en-US" w:eastAsia="zh-CN"/>
        </w:rPr>
        <w:t>63.06</w:t>
      </w:r>
      <w:r>
        <w:rPr>
          <w:rFonts w:hint="eastAsia" w:ascii="仿宋_GB2312" w:eastAsia="仿宋_GB2312"/>
          <w:color w:val="000000"/>
          <w:sz w:val="32"/>
          <w:szCs w:val="32"/>
        </w:rPr>
        <w:t>%；上缴上级支出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；经营支出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；对附属单位补助支出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占0%</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（图3：支出决算结构图）（饼状图）</w:t>
      </w:r>
    </w:p>
    <w:p>
      <w:pPr>
        <w:spacing w:line="600" w:lineRule="exact"/>
        <w:ind w:firstLine="640" w:firstLineChars="200"/>
        <w:rPr>
          <w:rFonts w:ascii="仿宋_GB2312" w:eastAsia="仿宋_GB2312"/>
          <w:color w:val="FF0000"/>
          <w:sz w:val="32"/>
          <w:szCs w:val="32"/>
        </w:rPr>
      </w:pPr>
    </w:p>
    <w:p>
      <w:pPr>
        <w:pStyle w:val="10"/>
        <w:rPr>
          <w:rFonts w:ascii="仿宋_GB2312" w:eastAsia="仿宋_GB2312"/>
          <w:color w:val="FF0000"/>
          <w:sz w:val="32"/>
          <w:szCs w:val="32"/>
        </w:rPr>
      </w:pPr>
      <w:r>
        <w:drawing>
          <wp:anchor distT="0" distB="0" distL="114300" distR="114300" simplePos="0" relativeHeight="251659264" behindDoc="1" locked="0" layoutInCell="1" allowOverlap="1">
            <wp:simplePos x="0" y="0"/>
            <wp:positionH relativeFrom="column">
              <wp:posOffset>187325</wp:posOffset>
            </wp:positionH>
            <wp:positionV relativeFrom="paragraph">
              <wp:posOffset>41910</wp:posOffset>
            </wp:positionV>
            <wp:extent cx="4572000" cy="2743200"/>
            <wp:effectExtent l="0" t="0" r="0" b="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pStyle w:val="10"/>
        <w:rPr>
          <w:rFonts w:ascii="仿宋_GB2312" w:eastAsia="仿宋_GB2312"/>
          <w:color w:val="FF0000"/>
          <w:sz w:val="32"/>
          <w:szCs w:val="32"/>
        </w:rPr>
      </w:pPr>
    </w:p>
    <w:p>
      <w:pPr>
        <w:spacing w:line="600" w:lineRule="exact"/>
        <w:ind w:firstLine="640" w:firstLineChars="200"/>
        <w:outlineLvl w:val="1"/>
        <w:rPr>
          <w:rStyle w:val="28"/>
          <w:rFonts w:ascii="黑体" w:eastAsia="黑体"/>
          <w:b w:val="0"/>
        </w:rPr>
      </w:pPr>
      <w:bookmarkStart w:id="48" w:name="_Toc15377208"/>
      <w:bookmarkStart w:id="49" w:name="_Toc5455"/>
      <w:bookmarkStart w:id="50" w:name="_Toc79163613"/>
      <w:bookmarkStart w:id="51" w:name="_Toc15396606"/>
      <w:r>
        <w:rPr>
          <w:rFonts w:hint="eastAsia" w:ascii="黑体" w:eastAsia="黑体"/>
          <w:color w:val="000000"/>
          <w:sz w:val="32"/>
          <w:szCs w:val="32"/>
        </w:rPr>
        <w:t>四、财</w:t>
      </w:r>
      <w:r>
        <w:rPr>
          <w:rStyle w:val="28"/>
          <w:rFonts w:hint="eastAsia" w:asci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年财政拨款收</w:t>
      </w:r>
      <w:r>
        <w:rPr>
          <w:rFonts w:hint="eastAsia" w:ascii="仿宋_GB2312" w:eastAsia="仿宋_GB2312"/>
          <w:color w:val="000000"/>
          <w:sz w:val="32"/>
          <w:szCs w:val="32"/>
          <w:lang w:val="en-US" w:eastAsia="zh-CN"/>
        </w:rPr>
        <w:t>入</w:t>
      </w:r>
      <w:r>
        <w:rPr>
          <w:rFonts w:hint="eastAsia" w:ascii="仿宋_GB2312" w:eastAsia="仿宋_GB2312"/>
          <w:color w:val="000000"/>
          <w:sz w:val="32"/>
          <w:szCs w:val="32"/>
        </w:rPr>
        <w:t>总计</w:t>
      </w:r>
      <w:r>
        <w:rPr>
          <w:rFonts w:hint="eastAsia" w:ascii="仿宋_GB2312" w:eastAsia="仿宋_GB2312"/>
          <w:color w:val="000000"/>
          <w:sz w:val="32"/>
          <w:szCs w:val="32"/>
          <w:lang w:val="en-US" w:eastAsia="zh-CN"/>
        </w:rPr>
        <w:t>1610.80</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年相比，财政拨款收</w:t>
      </w:r>
      <w:r>
        <w:rPr>
          <w:rFonts w:hint="eastAsia" w:ascii="仿宋_GB2312" w:eastAsia="仿宋_GB2312"/>
          <w:color w:val="000000"/>
          <w:sz w:val="32"/>
          <w:szCs w:val="32"/>
          <w:lang w:val="en-US" w:eastAsia="zh-CN"/>
        </w:rPr>
        <w:t>入</w:t>
      </w:r>
      <w:r>
        <w:rPr>
          <w:rFonts w:hint="eastAsia" w:ascii="仿宋_GB2312" w:eastAsia="仿宋_GB2312"/>
          <w:color w:val="000000"/>
          <w:sz w:val="32"/>
          <w:szCs w:val="32"/>
        </w:rPr>
        <w:t>总计增加</w:t>
      </w:r>
      <w:r>
        <w:rPr>
          <w:rFonts w:hint="eastAsia" w:ascii="仿宋_GB2312" w:eastAsia="仿宋_GB2312"/>
          <w:color w:val="000000"/>
          <w:sz w:val="32"/>
          <w:szCs w:val="32"/>
          <w:lang w:val="en-US" w:eastAsia="zh-CN"/>
        </w:rPr>
        <w:t>291.10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18.07</w:t>
      </w:r>
      <w:r>
        <w:rPr>
          <w:rFonts w:hint="eastAsia" w:ascii="仿宋_GB2312" w:eastAsia="仿宋_GB2312"/>
          <w:color w:val="000000"/>
          <w:sz w:val="32"/>
          <w:szCs w:val="32"/>
        </w:rPr>
        <w:t>%。主要变动原因是项目增多，</w:t>
      </w:r>
      <w:r>
        <w:rPr>
          <w:rFonts w:hint="eastAsia" w:ascii="仿宋_GB2312" w:eastAsia="仿宋_GB2312"/>
          <w:color w:val="000000"/>
          <w:sz w:val="32"/>
          <w:szCs w:val="32"/>
          <w:lang w:val="en-US" w:eastAsia="zh-CN"/>
        </w:rPr>
        <w:t>财政拨款收入增加</w:t>
      </w:r>
      <w:r>
        <w:rPr>
          <w:rFonts w:hint="eastAsia" w:ascii="仿宋_GB2312" w:eastAsia="仿宋_GB2312"/>
          <w:color w:val="000000"/>
          <w:sz w:val="32"/>
          <w:szCs w:val="32"/>
          <w:lang w:eastAsia="zh-CN"/>
        </w:rPr>
        <w:t>。</w:t>
      </w:r>
    </w:p>
    <w:p>
      <w:pPr>
        <w:pStyle w:val="10"/>
        <w:rPr>
          <w:rFonts w:hint="eastAsia" w:ascii="仿宋_GB2312" w:eastAsia="仿宋_GB2312"/>
          <w:color w:val="000000"/>
          <w:lang w:eastAsia="zh-CN"/>
        </w:rPr>
      </w:pPr>
      <w:r>
        <w:rPr>
          <w:rFonts w:hint="eastAsia" w:ascii="仿宋_GB2312" w:eastAsia="仿宋_GB2312"/>
          <w:color w:val="000000"/>
          <w:lang w:eastAsia="zh-CN"/>
        </w:rPr>
        <w:t>2021</w:t>
      </w:r>
      <w:r>
        <w:rPr>
          <w:rFonts w:hint="eastAsia" w:ascii="仿宋_GB2312" w:eastAsia="仿宋_GB2312"/>
          <w:color w:val="000000"/>
        </w:rPr>
        <w:t>年财政拨款</w:t>
      </w:r>
      <w:r>
        <w:rPr>
          <w:rFonts w:hint="eastAsia" w:ascii="仿宋_GB2312" w:eastAsia="仿宋_GB2312"/>
          <w:color w:val="000000"/>
          <w:lang w:val="en-US" w:eastAsia="zh-CN"/>
        </w:rPr>
        <w:t>支出</w:t>
      </w:r>
      <w:r>
        <w:rPr>
          <w:rFonts w:hint="eastAsia" w:ascii="仿宋_GB2312" w:eastAsia="仿宋_GB2312"/>
          <w:color w:val="000000"/>
        </w:rPr>
        <w:t>总计</w:t>
      </w:r>
      <w:r>
        <w:rPr>
          <w:rFonts w:hint="eastAsia" w:ascii="仿宋_GB2312" w:eastAsia="仿宋_GB2312"/>
          <w:color w:val="000000"/>
          <w:lang w:val="en-US" w:eastAsia="zh-CN"/>
        </w:rPr>
        <w:t>1649.49</w:t>
      </w:r>
      <w:r>
        <w:rPr>
          <w:rFonts w:hint="eastAsia" w:ascii="仿宋_GB2312" w:eastAsia="仿宋_GB2312"/>
          <w:color w:val="000000"/>
        </w:rPr>
        <w:t>万元。与20</w:t>
      </w:r>
      <w:r>
        <w:rPr>
          <w:rFonts w:hint="eastAsia" w:ascii="仿宋_GB2312" w:eastAsia="仿宋_GB2312"/>
          <w:color w:val="000000"/>
          <w:lang w:val="en-US" w:eastAsia="zh-CN"/>
        </w:rPr>
        <w:t>20</w:t>
      </w:r>
      <w:r>
        <w:rPr>
          <w:rFonts w:hint="eastAsia" w:ascii="仿宋_GB2312" w:eastAsia="仿宋_GB2312"/>
          <w:color w:val="000000"/>
        </w:rPr>
        <w:t>年相比，财政拨款</w:t>
      </w:r>
      <w:r>
        <w:rPr>
          <w:rFonts w:hint="eastAsia" w:ascii="仿宋_GB2312" w:eastAsia="仿宋_GB2312"/>
          <w:color w:val="000000"/>
          <w:lang w:val="en-US" w:eastAsia="zh-CN"/>
        </w:rPr>
        <w:t>支出</w:t>
      </w:r>
      <w:r>
        <w:rPr>
          <w:rFonts w:hint="eastAsia" w:ascii="仿宋_GB2312" w:eastAsia="仿宋_GB2312"/>
          <w:color w:val="000000"/>
        </w:rPr>
        <w:t>总计增加</w:t>
      </w:r>
      <w:r>
        <w:rPr>
          <w:rFonts w:hint="eastAsia" w:ascii="仿宋_GB2312" w:eastAsia="仿宋_GB2312"/>
          <w:color w:val="000000"/>
          <w:lang w:val="en-US" w:eastAsia="zh-CN"/>
        </w:rPr>
        <w:t>325.57</w:t>
      </w:r>
      <w:r>
        <w:rPr>
          <w:rFonts w:hint="eastAsia" w:ascii="仿宋_GB2312" w:eastAsia="仿宋_GB2312"/>
          <w:color w:val="000000"/>
        </w:rPr>
        <w:t>万元，增长</w:t>
      </w:r>
      <w:r>
        <w:rPr>
          <w:rFonts w:hint="eastAsia" w:ascii="仿宋_GB2312" w:eastAsia="仿宋_GB2312"/>
          <w:color w:val="000000"/>
          <w:lang w:val="en-US" w:eastAsia="zh-CN"/>
        </w:rPr>
        <w:t>19.74</w:t>
      </w:r>
      <w:r>
        <w:rPr>
          <w:rFonts w:hint="eastAsia" w:ascii="仿宋_GB2312" w:eastAsia="仿宋_GB2312"/>
          <w:color w:val="000000"/>
        </w:rPr>
        <w:t>%。主要变动原因是项目增多，</w:t>
      </w:r>
      <w:r>
        <w:rPr>
          <w:rFonts w:hint="eastAsia" w:ascii="仿宋_GB2312" w:eastAsia="仿宋_GB2312"/>
          <w:color w:val="000000"/>
          <w:lang w:val="en-US" w:eastAsia="zh-CN"/>
        </w:rPr>
        <w:t>财政拨款支出增加</w:t>
      </w:r>
      <w:r>
        <w:rPr>
          <w:rFonts w:hint="eastAsia" w:ascii="仿宋_GB2312" w:eastAsia="仿宋_GB2312"/>
          <w:color w:val="000000"/>
          <w:lang w:eastAsia="zh-CN"/>
        </w:rPr>
        <w:t>。</w:t>
      </w:r>
    </w:p>
    <w:p>
      <w:pPr>
        <w:spacing w:line="600" w:lineRule="exact"/>
        <w:rPr>
          <w:rFonts w:ascii="仿宋" w:eastAsia="仿宋"/>
          <w:color w:val="000000"/>
          <w:sz w:val="32"/>
          <w:szCs w:val="32"/>
        </w:rPr>
      </w:pPr>
      <w:r>
        <w:rPr>
          <w:rFonts w:hint="eastAsia" w:ascii="仿宋_GB2312" w:eastAsia="仿宋_GB2312"/>
          <w:color w:val="000000"/>
          <w:sz w:val="32"/>
          <w:szCs w:val="32"/>
        </w:rPr>
        <w:t>（图4：财政拨款收、支决算总计变动情况）（柱状图）</w:t>
      </w:r>
    </w:p>
    <w:p>
      <w:pPr>
        <w:spacing w:line="600" w:lineRule="exact"/>
        <w:ind w:firstLine="640"/>
        <w:rPr>
          <w:rFonts w:ascii="仿宋" w:eastAsia="仿宋"/>
          <w:b/>
          <w:color w:val="00B050"/>
          <w:sz w:val="32"/>
          <w:szCs w:val="32"/>
        </w:rPr>
      </w:pPr>
      <w:r>
        <w:drawing>
          <wp:anchor distT="0" distB="0" distL="114300" distR="114300" simplePos="0" relativeHeight="251659264" behindDoc="1" locked="0" layoutInCell="1" allowOverlap="1">
            <wp:simplePos x="0" y="0"/>
            <wp:positionH relativeFrom="column">
              <wp:posOffset>250825</wp:posOffset>
            </wp:positionH>
            <wp:positionV relativeFrom="paragraph">
              <wp:posOffset>50165</wp:posOffset>
            </wp:positionV>
            <wp:extent cx="4351655" cy="2614295"/>
            <wp:effectExtent l="0" t="0" r="0" b="0"/>
            <wp:wrapNone/>
            <wp:docPr id="5"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0"/>
        <w:rPr>
          <w:rFonts w:ascii="仿宋" w:eastAsia="仿宋"/>
          <w:b/>
          <w:color w:val="00B050"/>
          <w:sz w:val="32"/>
          <w:szCs w:val="32"/>
        </w:rPr>
      </w:pPr>
    </w:p>
    <w:p>
      <w:pPr>
        <w:pStyle w:val="10"/>
        <w:rPr>
          <w:rFonts w:ascii="仿宋" w:eastAsia="仿宋"/>
          <w:b/>
          <w:color w:val="00B050"/>
          <w:sz w:val="32"/>
          <w:szCs w:val="32"/>
        </w:rPr>
      </w:pPr>
    </w:p>
    <w:p>
      <w:pPr>
        <w:pStyle w:val="10"/>
        <w:rPr>
          <w:rFonts w:ascii="仿宋" w:eastAsia="仿宋"/>
          <w:b/>
          <w:color w:val="00B050"/>
          <w:sz w:val="32"/>
          <w:szCs w:val="32"/>
        </w:rPr>
      </w:pPr>
    </w:p>
    <w:p>
      <w:pPr>
        <w:pStyle w:val="10"/>
        <w:rPr>
          <w:rFonts w:ascii="仿宋" w:eastAsia="仿宋"/>
          <w:b/>
          <w:color w:val="00B050"/>
          <w:sz w:val="32"/>
          <w:szCs w:val="32"/>
        </w:rPr>
      </w:pPr>
    </w:p>
    <w:p>
      <w:pPr>
        <w:pStyle w:val="10"/>
        <w:rPr>
          <w:rFonts w:ascii="仿宋" w:eastAsia="仿宋"/>
          <w:b/>
          <w:color w:val="00B050"/>
          <w:sz w:val="32"/>
          <w:szCs w:val="32"/>
        </w:rPr>
      </w:pPr>
    </w:p>
    <w:p>
      <w:pPr>
        <w:pStyle w:val="10"/>
        <w:rPr>
          <w:rFonts w:ascii="仿宋" w:eastAsia="仿宋"/>
          <w:b/>
          <w:color w:val="00B050"/>
          <w:sz w:val="32"/>
          <w:szCs w:val="32"/>
        </w:rPr>
      </w:pPr>
    </w:p>
    <w:p>
      <w:pPr>
        <w:pStyle w:val="10"/>
        <w:ind w:left="0" w:firstLine="0" w:firstLineChars="0"/>
        <w:rPr>
          <w:rFonts w:hint="eastAsia" w:ascii="黑体" w:eastAsia="黑体"/>
          <w:color w:val="000000"/>
          <w:sz w:val="32"/>
          <w:szCs w:val="32"/>
        </w:rPr>
      </w:pPr>
      <w:bookmarkStart w:id="52" w:name="_Toc15377209"/>
      <w:bookmarkStart w:id="53" w:name="_Toc9806"/>
      <w:bookmarkStart w:id="54" w:name="_Toc15396607"/>
      <w:bookmarkStart w:id="55" w:name="_Toc79163614"/>
    </w:p>
    <w:p>
      <w:pPr>
        <w:spacing w:line="600" w:lineRule="exact"/>
        <w:outlineLvl w:val="1"/>
        <w:rPr>
          <w:rFonts w:hint="eastAsia" w:ascii="黑体" w:eastAsia="黑体"/>
          <w:color w:val="000000"/>
          <w:sz w:val="32"/>
          <w:szCs w:val="32"/>
        </w:rPr>
      </w:pPr>
      <w:r>
        <w:drawing>
          <wp:anchor distT="0" distB="0" distL="114300" distR="114300" simplePos="0" relativeHeight="251659264" behindDoc="1" locked="0" layoutInCell="1" allowOverlap="1">
            <wp:simplePos x="0" y="0"/>
            <wp:positionH relativeFrom="column">
              <wp:posOffset>240665</wp:posOffset>
            </wp:positionH>
            <wp:positionV relativeFrom="paragraph">
              <wp:posOffset>309245</wp:posOffset>
            </wp:positionV>
            <wp:extent cx="4351655" cy="2438400"/>
            <wp:effectExtent l="0" t="0" r="0" b="0"/>
            <wp:wrapNone/>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pStyle w:val="10"/>
        <w:rPr>
          <w:rFonts w:hint="eastAsia" w:ascii="黑体" w:eastAsia="黑体"/>
          <w:color w:val="000000"/>
          <w:sz w:val="32"/>
          <w:szCs w:val="32"/>
        </w:rPr>
      </w:pPr>
    </w:p>
    <w:p>
      <w:pPr>
        <w:pStyle w:val="10"/>
        <w:rPr>
          <w:rFonts w:hint="eastAsia" w:ascii="黑体" w:eastAsia="黑体"/>
          <w:color w:val="000000"/>
          <w:sz w:val="32"/>
          <w:szCs w:val="32"/>
        </w:rPr>
      </w:pPr>
    </w:p>
    <w:p>
      <w:pPr>
        <w:pStyle w:val="10"/>
        <w:rPr>
          <w:rFonts w:hint="eastAsia" w:ascii="黑体" w:eastAsia="黑体"/>
          <w:color w:val="000000"/>
          <w:sz w:val="32"/>
          <w:szCs w:val="32"/>
        </w:rPr>
      </w:pPr>
    </w:p>
    <w:p>
      <w:pPr>
        <w:pStyle w:val="10"/>
        <w:rPr>
          <w:rFonts w:hint="eastAsia" w:ascii="黑体" w:eastAsia="黑体"/>
          <w:color w:val="000000"/>
          <w:sz w:val="32"/>
          <w:szCs w:val="32"/>
        </w:rPr>
      </w:pPr>
    </w:p>
    <w:p>
      <w:pPr>
        <w:pStyle w:val="10"/>
        <w:rPr>
          <w:rFonts w:hint="eastAsia" w:ascii="黑体" w:eastAsia="黑体"/>
          <w:color w:val="000000"/>
          <w:sz w:val="32"/>
          <w:szCs w:val="32"/>
        </w:rPr>
      </w:pPr>
    </w:p>
    <w:p>
      <w:pPr>
        <w:spacing w:line="600" w:lineRule="exact"/>
        <w:ind w:firstLine="640" w:firstLineChars="200"/>
        <w:outlineLvl w:val="1"/>
        <w:rPr>
          <w:rStyle w:val="2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8"/>
          <w:rFonts w:hint="eastAsia" w:asci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eastAsia="仿宋"/>
          <w:b/>
          <w:color w:val="000000"/>
          <w:sz w:val="32"/>
          <w:szCs w:val="32"/>
        </w:rPr>
      </w:pPr>
      <w:bookmarkStart w:id="56" w:name="_Toc28903"/>
      <w:bookmarkStart w:id="57" w:name="_Toc79163615"/>
      <w:bookmarkStart w:id="58" w:name="_Toc15377210"/>
      <w:r>
        <w:rPr>
          <w:rFonts w:hint="eastAsia" w:ascii="仿宋" w:eastAsia="仿宋"/>
          <w:b/>
          <w:color w:val="000000"/>
          <w:sz w:val="32"/>
          <w:szCs w:val="32"/>
        </w:rPr>
        <w:t>（一）一般公共预算财政拨款支出决算总体情况</w:t>
      </w:r>
      <w:bookmarkEnd w:id="56"/>
      <w:bookmarkEnd w:id="57"/>
      <w:bookmarkEnd w:id="58"/>
    </w:p>
    <w:p>
      <w:pPr>
        <w:pStyle w:val="10"/>
        <w:rPr>
          <w:rFonts w:ascii="仿宋" w:eastAsia="仿宋"/>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1649.49</w:t>
      </w:r>
      <w:r>
        <w:rPr>
          <w:rFonts w:hint="eastAsia" w:ascii="仿宋_GB2312" w:eastAsia="仿宋_GB2312"/>
          <w:color w:val="000000"/>
          <w:sz w:val="32"/>
          <w:szCs w:val="32"/>
        </w:rPr>
        <w:t>万元，占本年支出合计的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年相比，一般公共预算财政拨款</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325.57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19.74</w:t>
      </w:r>
      <w:r>
        <w:rPr>
          <w:rFonts w:hint="eastAsia" w:ascii="仿宋_GB2312" w:eastAsia="仿宋_GB2312"/>
          <w:color w:val="000000"/>
          <w:sz w:val="32"/>
          <w:szCs w:val="32"/>
        </w:rPr>
        <w:t>%。主要变动原因是项目增多</w:t>
      </w:r>
      <w:r>
        <w:rPr>
          <w:rFonts w:hint="eastAsia" w:ascii="仿宋_GB2312" w:eastAsia="仿宋_GB2312"/>
          <w:color w:val="000000"/>
          <w:sz w:val="32"/>
          <w:szCs w:val="32"/>
          <w:lang w:eastAsia="zh-CN"/>
        </w:rPr>
        <w:t>，</w:t>
      </w:r>
      <w:r>
        <w:rPr>
          <w:rFonts w:hint="eastAsia" w:ascii="仿宋_GB2312" w:eastAsia="仿宋_GB2312"/>
          <w:color w:val="000000"/>
          <w:sz w:val="32"/>
          <w:szCs w:val="32"/>
        </w:rPr>
        <w:t>经费</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增加</w:t>
      </w:r>
      <w:r>
        <w:rPr>
          <w:rFonts w:hint="eastAsia" w:ascii="仿宋_GB2312" w:eastAsia="仿宋_GB2312"/>
          <w:color w:val="000000"/>
          <w:sz w:val="32"/>
          <w:szCs w:val="32"/>
          <w:lang w:eastAsia="zh-CN"/>
        </w:rPr>
        <w:t>。</w:t>
      </w:r>
    </w:p>
    <w:p>
      <w:pPr>
        <w:spacing w:line="600" w:lineRule="exact"/>
        <w:rPr>
          <w:rFonts w:ascii="仿宋" w:eastAsia="仿宋"/>
          <w:color w:val="000000"/>
          <w:sz w:val="32"/>
          <w:szCs w:val="32"/>
        </w:rPr>
      </w:pPr>
      <w:r>
        <w:rPr>
          <w:rFonts w:hint="eastAsia" w:ascii="仿宋" w:eastAsia="仿宋"/>
          <w:color w:val="000000"/>
          <w:sz w:val="32"/>
          <w:szCs w:val="32"/>
        </w:rPr>
        <w:t>（</w:t>
      </w:r>
      <w:r>
        <w:rPr>
          <w:rFonts w:hint="eastAsia" w:ascii="仿宋_GB2312" w:eastAsia="仿宋_GB2312"/>
          <w:color w:val="000000"/>
          <w:sz w:val="32"/>
          <w:szCs w:val="32"/>
        </w:rPr>
        <w:t>图5：一般公共预算财政拨款支出决算变动情况）（柱状图</w:t>
      </w:r>
      <w:r>
        <w:rPr>
          <w:rFonts w:hint="eastAsia" w:ascii="仿宋" w:eastAsia="仿宋"/>
          <w:color w:val="000000"/>
          <w:sz w:val="32"/>
          <w:szCs w:val="32"/>
        </w:rPr>
        <w:t>）</w:t>
      </w: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1" locked="0" layoutInCell="1" allowOverlap="1">
            <wp:simplePos x="0" y="0"/>
            <wp:positionH relativeFrom="column">
              <wp:posOffset>286385</wp:posOffset>
            </wp:positionH>
            <wp:positionV relativeFrom="paragraph">
              <wp:posOffset>-64135</wp:posOffset>
            </wp:positionV>
            <wp:extent cx="4572000" cy="2743200"/>
            <wp:effectExtent l="0" t="0" r="0" b="0"/>
            <wp:wrapNone/>
            <wp:docPr id="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ind w:left="0" w:firstLine="0" w:firstLineChars="0"/>
        <w:rPr>
          <w:rFonts w:ascii="仿宋" w:eastAsia="仿宋"/>
          <w:color w:val="000000"/>
          <w:sz w:val="32"/>
          <w:szCs w:val="32"/>
        </w:rPr>
      </w:pPr>
    </w:p>
    <w:p>
      <w:pPr>
        <w:spacing w:line="600" w:lineRule="exact"/>
        <w:ind w:firstLine="643" w:firstLineChars="200"/>
        <w:outlineLvl w:val="2"/>
        <w:rPr>
          <w:rFonts w:ascii="仿宋" w:eastAsia="仿宋"/>
          <w:b/>
          <w:color w:val="000000"/>
          <w:sz w:val="32"/>
          <w:szCs w:val="32"/>
        </w:rPr>
      </w:pPr>
      <w:bookmarkStart w:id="59" w:name="_Toc79163616"/>
      <w:bookmarkStart w:id="60" w:name="_Toc9357"/>
      <w:bookmarkStart w:id="61" w:name="_Toc15377211"/>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eastAsia="仿宋" w:cs="Times New Roman"/>
          <w:color w:val="000000"/>
          <w:sz w:val="32"/>
          <w:szCs w:val="32"/>
          <w:lang w:val="en-US"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1649.49</w:t>
      </w:r>
      <w:r>
        <w:rPr>
          <w:rFonts w:hint="eastAsia" w:ascii="仿宋_GB2312" w:eastAsia="仿宋_GB2312"/>
          <w:color w:val="000000"/>
          <w:sz w:val="32"/>
          <w:szCs w:val="32"/>
        </w:rPr>
        <w:t>万元，主要用于以下方面:</w:t>
      </w:r>
      <w:r>
        <w:rPr>
          <w:rFonts w:hint="eastAsia" w:ascii="仿宋" w:eastAsia="仿宋"/>
          <w:b/>
          <w:color w:val="000000"/>
          <w:sz w:val="32"/>
          <w:szCs w:val="32"/>
          <w:lang w:val="en-US" w:eastAsia="zh-CN"/>
        </w:rPr>
        <w:t>一般公共服务支出（类）</w:t>
      </w:r>
      <w:r>
        <w:rPr>
          <w:rFonts w:hint="eastAsia" w:ascii="仿宋_GB2312" w:eastAsia="仿宋_GB2312"/>
          <w:color w:val="000000"/>
          <w:sz w:val="32"/>
          <w:szCs w:val="32"/>
          <w:lang w:val="en-US" w:eastAsia="zh-CN"/>
        </w:rPr>
        <w:t>支出5.78万元，占比0.35%；</w:t>
      </w:r>
      <w:r>
        <w:rPr>
          <w:rFonts w:hint="eastAsia" w:ascii="仿宋" w:eastAsia="仿宋"/>
          <w:b/>
          <w:color w:val="000000"/>
          <w:sz w:val="32"/>
          <w:szCs w:val="32"/>
          <w:lang w:val="en-US" w:eastAsia="zh-CN"/>
        </w:rPr>
        <w:t>社会保障和就业支出（类）</w:t>
      </w:r>
      <w:r>
        <w:rPr>
          <w:rFonts w:hint="eastAsia" w:ascii="仿宋_GB2312" w:eastAsia="仿宋_GB2312"/>
          <w:color w:val="000000"/>
          <w:sz w:val="32"/>
          <w:szCs w:val="32"/>
          <w:lang w:val="en-US" w:eastAsia="zh-CN"/>
        </w:rPr>
        <w:t>支出60.33万元，占比3.66%；</w:t>
      </w:r>
      <w:r>
        <w:rPr>
          <w:rFonts w:hint="eastAsia" w:ascii="仿宋" w:eastAsia="仿宋"/>
          <w:b/>
          <w:color w:val="000000"/>
          <w:sz w:val="32"/>
          <w:szCs w:val="32"/>
          <w:lang w:val="en-US" w:eastAsia="zh-CN"/>
        </w:rPr>
        <w:t>卫生健康支出（类）</w:t>
      </w:r>
      <w:r>
        <w:rPr>
          <w:rFonts w:hint="eastAsia" w:ascii="仿宋_GB2312" w:eastAsia="仿宋_GB2312"/>
          <w:color w:val="000000"/>
          <w:sz w:val="32"/>
          <w:szCs w:val="32"/>
          <w:lang w:val="en-US" w:eastAsia="zh-CN"/>
        </w:rPr>
        <w:t>支出24.89万元，占比1.51%</w:t>
      </w:r>
      <w:r>
        <w:rPr>
          <w:rFonts w:hint="eastAsia" w:ascii="仿宋" w:eastAsia="仿宋" w:cs="Times New Roman"/>
          <w:color w:val="000000"/>
          <w:sz w:val="32"/>
          <w:szCs w:val="32"/>
          <w:lang w:val="en-US" w:eastAsia="zh-CN"/>
        </w:rPr>
        <w:t>；</w:t>
      </w:r>
      <w:r>
        <w:rPr>
          <w:rFonts w:hint="eastAsia" w:ascii="仿宋" w:eastAsia="仿宋"/>
          <w:b/>
          <w:color w:val="000000"/>
          <w:sz w:val="32"/>
          <w:szCs w:val="32"/>
          <w:lang w:val="en-US" w:eastAsia="zh-CN"/>
        </w:rPr>
        <w:t>农林水支出(类）</w:t>
      </w:r>
      <w:r>
        <w:rPr>
          <w:rFonts w:hint="eastAsia" w:ascii="仿宋_GB2312" w:eastAsia="仿宋_GB2312"/>
          <w:color w:val="000000"/>
          <w:sz w:val="32"/>
          <w:szCs w:val="32"/>
          <w:lang w:val="en-US" w:eastAsia="zh-CN"/>
        </w:rPr>
        <w:t>支出329.02万元，占比19.95%</w:t>
      </w:r>
      <w:r>
        <w:rPr>
          <w:rFonts w:hint="eastAsia" w:ascii="仿宋" w:eastAsia="仿宋" w:cs="Times New Roman"/>
          <w:color w:val="000000"/>
          <w:sz w:val="32"/>
          <w:szCs w:val="32"/>
          <w:lang w:val="en-US" w:eastAsia="zh-CN"/>
        </w:rPr>
        <w:t>；</w:t>
      </w:r>
      <w:r>
        <w:rPr>
          <w:rFonts w:hint="eastAsia" w:ascii="仿宋" w:eastAsia="仿宋"/>
          <w:b/>
          <w:color w:val="000000"/>
          <w:sz w:val="32"/>
          <w:szCs w:val="32"/>
          <w:lang w:val="en-US" w:eastAsia="zh-CN"/>
        </w:rPr>
        <w:t>住房保障支出（类）</w:t>
      </w:r>
      <w:r>
        <w:rPr>
          <w:rFonts w:hint="eastAsia" w:ascii="仿宋_GB2312" w:eastAsia="仿宋_GB2312"/>
          <w:color w:val="000000"/>
          <w:sz w:val="32"/>
          <w:szCs w:val="32"/>
          <w:lang w:val="en-US" w:eastAsia="zh-CN"/>
        </w:rPr>
        <w:t>支出40.35万元，占比2.45%</w:t>
      </w:r>
      <w:r>
        <w:rPr>
          <w:rFonts w:hint="eastAsia" w:ascii="仿宋" w:eastAsia="仿宋" w:cs="Times New Roman"/>
          <w:color w:val="000000"/>
          <w:sz w:val="32"/>
          <w:szCs w:val="32"/>
          <w:lang w:val="en-US" w:eastAsia="zh-CN"/>
        </w:rPr>
        <w:t>；</w:t>
      </w:r>
      <w:r>
        <w:rPr>
          <w:rFonts w:hint="eastAsia" w:ascii="仿宋" w:eastAsia="仿宋"/>
          <w:b/>
          <w:color w:val="000000"/>
          <w:sz w:val="32"/>
          <w:szCs w:val="32"/>
          <w:lang w:val="en-US" w:eastAsia="zh-CN"/>
        </w:rPr>
        <w:t>灾害防治及应急管理支出（类）</w:t>
      </w:r>
      <w:r>
        <w:rPr>
          <w:rFonts w:hint="eastAsia" w:ascii="仿宋_GB2312" w:eastAsia="仿宋_GB2312"/>
          <w:color w:val="000000"/>
          <w:sz w:val="32"/>
          <w:szCs w:val="32"/>
          <w:lang w:val="en-US" w:eastAsia="zh-CN"/>
        </w:rPr>
        <w:t>支出997.73万元，占比60.49%；其他支出191.38万元，占比11.60%。</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1" locked="0" layoutInCell="1" allowOverlap="1">
            <wp:simplePos x="0" y="0"/>
            <wp:positionH relativeFrom="column">
              <wp:posOffset>278765</wp:posOffset>
            </wp:positionH>
            <wp:positionV relativeFrom="paragraph">
              <wp:posOffset>140970</wp:posOffset>
            </wp:positionV>
            <wp:extent cx="4601845" cy="2491740"/>
            <wp:effectExtent l="0" t="0" r="0" b="0"/>
            <wp:wrapNone/>
            <wp:docPr id="8"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rPr>
          <w:rFonts w:ascii="仿宋" w:eastAsia="仿宋"/>
          <w:color w:val="000000"/>
          <w:sz w:val="32"/>
          <w:szCs w:val="32"/>
        </w:rPr>
      </w:pPr>
    </w:p>
    <w:p>
      <w:pPr>
        <w:pStyle w:val="10"/>
        <w:ind w:left="0" w:firstLine="0" w:firstLineChars="0"/>
        <w:rPr>
          <w:rFonts w:ascii="仿宋" w:eastAsia="仿宋"/>
          <w:color w:val="000000"/>
          <w:sz w:val="32"/>
          <w:szCs w:val="32"/>
        </w:rPr>
      </w:pPr>
    </w:p>
    <w:p>
      <w:pPr>
        <w:spacing w:line="600" w:lineRule="exact"/>
        <w:ind w:firstLine="643" w:firstLineChars="200"/>
        <w:outlineLvl w:val="2"/>
        <w:rPr>
          <w:rFonts w:ascii="仿宋" w:eastAsia="仿宋"/>
          <w:b/>
          <w:color w:val="000000"/>
          <w:sz w:val="32"/>
          <w:szCs w:val="32"/>
        </w:rPr>
      </w:pPr>
      <w:bookmarkStart w:id="62" w:name="_Toc27321"/>
      <w:bookmarkStart w:id="63" w:name="_Toc79163617"/>
      <w:bookmarkStart w:id="64" w:name="_Toc15377212"/>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hint="eastAsia" w:ascii="仿宋" w:eastAsia="仿宋" w:cs="Times New Roman"/>
          <w:b/>
          <w:color w:val="000000"/>
          <w:sz w:val="32"/>
          <w:szCs w:val="32"/>
          <w:lang w:val="en-US" w:eastAsia="zh-CN"/>
        </w:rPr>
        <w:t>2021年一般公共预算支出决算数为</w:t>
      </w:r>
      <w:r>
        <w:rPr>
          <w:rFonts w:hint="eastAsia" w:ascii="仿宋" w:eastAsia="仿宋"/>
          <w:b/>
          <w:bCs/>
          <w:color w:val="000000"/>
          <w:sz w:val="32"/>
          <w:szCs w:val="32"/>
          <w:lang w:val="en-US" w:eastAsia="zh-CN"/>
        </w:rPr>
        <w:t>1649.49</w:t>
      </w:r>
      <w:r>
        <w:rPr>
          <w:rFonts w:hint="eastAsia" w:ascii="仿宋" w:eastAsia="仿宋" w:cs="Times New Roman"/>
          <w:b/>
          <w:color w:val="000000"/>
          <w:sz w:val="32"/>
          <w:szCs w:val="32"/>
          <w:lang w:val="en-US" w:eastAsia="zh-CN"/>
        </w:rPr>
        <w:t>万元，完成预算95.71%。其中：</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eastAsia" w:ascii="仿宋_GB2312" w:eastAsia="仿宋_GB2312"/>
          <w:bCs/>
          <w:color w:val="000000"/>
          <w:sz w:val="32"/>
          <w:szCs w:val="32"/>
          <w:lang w:eastAsia="zh-CN"/>
        </w:rPr>
      </w:pPr>
      <w:r>
        <w:rPr>
          <w:rStyle w:val="25"/>
          <w:rFonts w:hint="eastAsia" w:ascii="仿宋" w:eastAsia="仿宋" w:cs="Times New Roman"/>
          <w:bCs/>
          <w:color w:val="000000"/>
          <w:kern w:val="2"/>
          <w:sz w:val="32"/>
          <w:szCs w:val="32"/>
          <w:lang w:val="en-US" w:eastAsia="zh-CN" w:bidi="ar-SA"/>
        </w:rPr>
        <w:t>1.一般公共服务支出（类）发展与改革事务（款)社会事业发展规划（项）:</w:t>
      </w:r>
      <w:r>
        <w:rPr>
          <w:rStyle w:val="25"/>
          <w:rFonts w:ascii="仿宋" w:eastAsia="仿宋"/>
          <w:b w:val="0"/>
          <w:bCs/>
          <w:color w:val="000000"/>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5.78</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r>
        <w:rPr>
          <w:rFonts w:hint="eastAsia" w:ascii="仿宋_GB2312" w:eastAsia="仿宋_GB2312"/>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eastAsia" w:ascii="仿宋_GB2312" w:eastAsia="仿宋_GB2312"/>
          <w:bCs/>
          <w:color w:val="000000"/>
          <w:sz w:val="32"/>
          <w:szCs w:val="32"/>
          <w:lang w:eastAsia="zh-CN"/>
        </w:rPr>
      </w:pPr>
      <w:r>
        <w:rPr>
          <w:rStyle w:val="25"/>
          <w:rFonts w:ascii="仿宋" w:eastAsia="仿宋"/>
          <w:bCs/>
          <w:color w:val="000000"/>
          <w:sz w:val="32"/>
          <w:szCs w:val="32"/>
        </w:rPr>
        <w:t>2.</w:t>
      </w:r>
      <w:r>
        <w:rPr>
          <w:rStyle w:val="25"/>
          <w:rFonts w:hint="eastAsia" w:ascii="仿宋" w:eastAsia="仿宋" w:cs="Times New Roman"/>
          <w:bCs/>
          <w:color w:val="000000"/>
          <w:kern w:val="2"/>
          <w:sz w:val="32"/>
          <w:szCs w:val="32"/>
          <w:lang w:val="en-US" w:eastAsia="zh-CN" w:bidi="ar-SA"/>
        </w:rPr>
        <w:t>社会保障和就业（类）行政事业单位养老支出（款)  机关事业单位基本养老保险缴费支出（项）: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40.22</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r>
        <w:rPr>
          <w:rFonts w:hint="eastAsia" w:ascii="仿宋_GB2312" w:eastAsia="仿宋_GB2312"/>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 w:eastAsia="仿宋"/>
          <w:b/>
          <w:color w:val="000000"/>
          <w:sz w:val="32"/>
          <w:szCs w:val="32"/>
        </w:rPr>
      </w:pPr>
      <w:r>
        <w:rPr>
          <w:rStyle w:val="25"/>
          <w:rFonts w:ascii="仿宋" w:eastAsia="仿宋"/>
          <w:bCs/>
          <w:color w:val="000000"/>
          <w:sz w:val="32"/>
          <w:szCs w:val="32"/>
        </w:rPr>
        <w:t>3.</w:t>
      </w:r>
      <w:r>
        <w:rPr>
          <w:rStyle w:val="25"/>
          <w:rFonts w:hint="eastAsia" w:ascii="仿宋" w:eastAsia="仿宋" w:cs="Times New Roman"/>
          <w:bCs/>
          <w:color w:val="000000"/>
          <w:kern w:val="2"/>
          <w:sz w:val="32"/>
          <w:szCs w:val="32"/>
          <w:lang w:val="en-US" w:eastAsia="zh-CN" w:bidi="ar-SA"/>
        </w:rPr>
        <w:t>社会保障和就业（类）行政事业单位养老支出（款) 机关事业单位职业年金缴费支出（项）:</w:t>
      </w:r>
      <w:r>
        <w:rPr>
          <w:rFonts w:hint="eastAsia" w:ascii="仿宋_GB2312" w:eastAsia="仿宋_GB2312"/>
          <w:bCs/>
          <w:color w:val="000000"/>
          <w:sz w:val="32"/>
          <w:szCs w:val="32"/>
        </w:rPr>
        <w:t xml:space="preserve"> 支出决算为</w:t>
      </w:r>
      <w:r>
        <w:rPr>
          <w:rFonts w:hint="eastAsia" w:ascii="仿宋_GB2312" w:eastAsia="仿宋_GB2312"/>
          <w:bCs/>
          <w:color w:val="000000"/>
          <w:sz w:val="32"/>
          <w:szCs w:val="32"/>
          <w:lang w:val="en-US" w:eastAsia="zh-CN"/>
        </w:rPr>
        <w:t>20.11</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，决算数等于预算数</w:t>
      </w:r>
      <w:r>
        <w:rPr>
          <w:rFonts w:hint="eastAsia" w:ascii="仿宋_GB2312" w:eastAsia="仿宋_GB2312"/>
          <w:bCs/>
          <w:color w:val="000000"/>
          <w:sz w:val="32"/>
          <w:szCs w:val="32"/>
        </w:rPr>
        <w:t>。</w:t>
      </w:r>
    </w:p>
    <w:p>
      <w:pPr>
        <w:spacing w:line="600" w:lineRule="exact"/>
        <w:ind w:firstLine="643" w:firstLineChars="200"/>
        <w:rPr>
          <w:rStyle w:val="25"/>
          <w:rFonts w:hint="eastAsia" w:ascii="仿宋" w:eastAsia="仿宋" w:cs="Times New Roman"/>
          <w:b w:val="0"/>
          <w:bCs/>
          <w:color w:val="000000"/>
          <w:sz w:val="32"/>
          <w:szCs w:val="32"/>
          <w:lang w:eastAsia="zh-CN"/>
        </w:rPr>
      </w:pPr>
      <w:r>
        <w:rPr>
          <w:rStyle w:val="25"/>
          <w:rFonts w:ascii="仿宋" w:eastAsia="仿宋"/>
          <w:bCs/>
          <w:color w:val="000000"/>
          <w:sz w:val="32"/>
          <w:szCs w:val="32"/>
        </w:rPr>
        <w:t>4.</w:t>
      </w:r>
      <w:r>
        <w:rPr>
          <w:rStyle w:val="25"/>
          <w:rFonts w:hint="eastAsia" w:ascii="仿宋" w:eastAsia="仿宋" w:cs="Times New Roman"/>
          <w:bCs/>
          <w:color w:val="000000"/>
          <w:kern w:val="2"/>
          <w:sz w:val="32"/>
          <w:szCs w:val="32"/>
          <w:lang w:val="en-US" w:eastAsia="zh-CN" w:bidi="ar-SA"/>
        </w:rPr>
        <w:t>卫生健康支出（类）行政事业单位医疗（款)行政单位医疗（项）:</w:t>
      </w:r>
      <w:r>
        <w:rPr>
          <w:rStyle w:val="25"/>
          <w:rFonts w:ascii="仿宋" w:eastAsia="仿宋"/>
          <w:b w:val="0"/>
          <w:bCs/>
          <w:color w:val="000000"/>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19.94</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，决算数等于预算数</w:t>
      </w:r>
      <w:r>
        <w:rPr>
          <w:rStyle w:val="25"/>
          <w:rFonts w:hint="eastAsia" w:ascii="仿宋" w:eastAsia="仿宋" w:cs="Times New Roman"/>
          <w:b w:val="0"/>
          <w:bCs/>
          <w:color w:val="000000"/>
          <w:sz w:val="32"/>
          <w:szCs w:val="32"/>
          <w:lang w:eastAsia="zh-CN"/>
        </w:rPr>
        <w:t>。</w:t>
      </w:r>
    </w:p>
    <w:p>
      <w:pPr>
        <w:spacing w:line="600" w:lineRule="exact"/>
        <w:ind w:firstLine="643" w:firstLineChars="200"/>
        <w:rPr>
          <w:rFonts w:hint="eastAsia"/>
          <w:lang w:eastAsia="zh-CN"/>
        </w:rPr>
      </w:pPr>
      <w:r>
        <w:rPr>
          <w:rStyle w:val="25"/>
          <w:rFonts w:hint="eastAsia" w:ascii="仿宋" w:eastAsia="仿宋"/>
          <w:bCs/>
          <w:color w:val="000000"/>
          <w:sz w:val="32"/>
          <w:szCs w:val="32"/>
          <w:lang w:val="en-US" w:eastAsia="zh-CN"/>
        </w:rPr>
        <w:t>5</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卫生健康支出（类）行政事业单位医疗（款)公务员医疗补助（项）:</w:t>
      </w:r>
      <w:r>
        <w:rPr>
          <w:rStyle w:val="25"/>
          <w:rFonts w:ascii="仿宋" w:eastAsia="仿宋"/>
          <w:b w:val="0"/>
          <w:bCs/>
          <w:color w:val="000000"/>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4.95</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，决算数等于预算数。</w:t>
      </w:r>
    </w:p>
    <w:p>
      <w:pPr>
        <w:spacing w:line="600" w:lineRule="exact"/>
        <w:ind w:firstLine="643" w:firstLineChars="200"/>
        <w:rPr>
          <w:rFonts w:hint="eastAsia" w:ascii="仿宋_GB2312" w:eastAsia="仿宋_GB2312"/>
          <w:color w:val="000000"/>
          <w:sz w:val="32"/>
          <w:szCs w:val="32"/>
        </w:rPr>
      </w:pPr>
      <w:r>
        <w:rPr>
          <w:rStyle w:val="25"/>
          <w:rFonts w:hint="eastAsia" w:ascii="仿宋" w:eastAsia="仿宋"/>
          <w:bCs/>
          <w:color w:val="000000"/>
          <w:sz w:val="32"/>
          <w:szCs w:val="32"/>
          <w:lang w:val="en-US" w:eastAsia="zh-CN"/>
        </w:rPr>
        <w:t>6</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农林水支出（类）林业和草原（款)林业草原防灾减灾（项）: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1.51</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p>
    <w:p>
      <w:pPr>
        <w:pStyle w:val="10"/>
        <w:rPr>
          <w:rFonts w:hint="eastAsia" w:ascii="仿宋_GB2312" w:eastAsia="仿宋_GB2312"/>
          <w:bCs/>
          <w:color w:val="000000"/>
          <w:sz w:val="32"/>
          <w:szCs w:val="32"/>
        </w:rPr>
      </w:pPr>
      <w:r>
        <w:rPr>
          <w:rStyle w:val="25"/>
          <w:rFonts w:hint="eastAsia" w:ascii="仿宋" w:eastAsia="仿宋"/>
          <w:bCs/>
          <w:color w:val="000000"/>
          <w:sz w:val="32"/>
          <w:szCs w:val="32"/>
          <w:lang w:val="en-US" w:eastAsia="zh-CN"/>
        </w:rPr>
        <w:t>7</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农林水支出（类）水利（款)防汛（项）: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4.95</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p>
    <w:p>
      <w:pPr>
        <w:pStyle w:val="10"/>
        <w:rPr>
          <w:rStyle w:val="25"/>
          <w:rFonts w:hint="eastAsia" w:ascii="仿宋" w:eastAsia="仿宋" w:cs="Times New Roman"/>
          <w:b w:val="0"/>
          <w:bCs/>
          <w:color w:val="000000"/>
          <w:sz w:val="32"/>
          <w:szCs w:val="32"/>
        </w:rPr>
      </w:pPr>
      <w:r>
        <w:rPr>
          <w:rStyle w:val="25"/>
          <w:rFonts w:hint="eastAsia" w:ascii="仿宋" w:eastAsia="仿宋"/>
          <w:bCs/>
          <w:color w:val="000000"/>
          <w:sz w:val="32"/>
          <w:szCs w:val="32"/>
          <w:lang w:val="en-US" w:eastAsia="zh-CN"/>
        </w:rPr>
        <w:t>8</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农林水支出（类）扶贫（款)社会发展（项）: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9.56</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p>
    <w:p>
      <w:pPr>
        <w:pStyle w:val="10"/>
        <w:rPr>
          <w:rStyle w:val="25"/>
          <w:rFonts w:hint="eastAsia" w:ascii="仿宋" w:eastAsia="仿宋" w:cs="Times New Roman"/>
          <w:b w:val="0"/>
          <w:bCs/>
          <w:color w:val="000000"/>
          <w:sz w:val="32"/>
          <w:szCs w:val="32"/>
        </w:rPr>
      </w:pPr>
      <w:r>
        <w:rPr>
          <w:rStyle w:val="25"/>
          <w:rFonts w:hint="eastAsia" w:ascii="仿宋" w:eastAsia="仿宋"/>
          <w:bCs/>
          <w:color w:val="000000"/>
          <w:sz w:val="32"/>
          <w:szCs w:val="32"/>
          <w:lang w:val="en-US" w:eastAsia="zh-CN"/>
        </w:rPr>
        <w:t>9</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农林水支出（类）扶贫（款)其他扶贫支出（项）: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313.00</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p>
    <w:p>
      <w:pPr>
        <w:pStyle w:val="10"/>
        <w:rPr>
          <w:rFonts w:hint="eastAsia" w:eastAsia="仿宋"/>
          <w:lang w:val="en-US" w:eastAsia="zh-CN"/>
        </w:rPr>
      </w:pPr>
      <w:r>
        <w:rPr>
          <w:rStyle w:val="25"/>
          <w:rFonts w:hint="eastAsia" w:ascii="仿宋" w:eastAsia="仿宋"/>
          <w:bCs/>
          <w:color w:val="000000"/>
          <w:sz w:val="32"/>
          <w:szCs w:val="32"/>
          <w:lang w:val="en-US" w:eastAsia="zh-CN"/>
        </w:rPr>
        <w:t>10</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住房保障支出（类）住房改革支出（款）住房公积金（项）: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40.35</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r>
        <w:rPr>
          <w:rFonts w:hint="eastAsia" w:ascii="仿宋_GB2312" w:eastAsia="仿宋_GB2312"/>
          <w:bCs/>
          <w:color w:val="000000"/>
          <w:sz w:val="32"/>
          <w:szCs w:val="32"/>
          <w:lang w:eastAsia="zh-CN"/>
        </w:rPr>
        <w:t>。</w:t>
      </w:r>
    </w:p>
    <w:p>
      <w:pPr>
        <w:spacing w:line="600" w:lineRule="exact"/>
        <w:ind w:firstLine="643" w:firstLineChars="200"/>
        <w:rPr>
          <w:rStyle w:val="25"/>
          <w:rFonts w:hint="eastAsia" w:ascii="仿宋" w:eastAsia="仿宋" w:cs="Times New Roman"/>
          <w:b w:val="0"/>
          <w:bCs/>
          <w:color w:val="auto"/>
          <w:sz w:val="32"/>
          <w:szCs w:val="32"/>
          <w:lang w:eastAsia="zh-CN"/>
        </w:rPr>
      </w:pPr>
      <w:r>
        <w:rPr>
          <w:rStyle w:val="25"/>
          <w:rFonts w:hint="eastAsia" w:ascii="仿宋" w:eastAsia="仿宋"/>
          <w:bCs/>
          <w:color w:val="000000"/>
          <w:sz w:val="32"/>
          <w:szCs w:val="32"/>
          <w:lang w:val="en-US" w:eastAsia="zh-CN"/>
        </w:rPr>
        <w:t>11</w:t>
      </w:r>
      <w:r>
        <w:rPr>
          <w:rStyle w:val="25"/>
          <w:rFonts w:ascii="仿宋" w:eastAsia="仿宋"/>
          <w:bCs/>
          <w:color w:val="000000"/>
          <w:sz w:val="32"/>
          <w:szCs w:val="32"/>
        </w:rPr>
        <w:t>.</w:t>
      </w:r>
      <w:r>
        <w:rPr>
          <w:rStyle w:val="25"/>
          <w:rFonts w:hint="eastAsia" w:ascii="仿宋" w:eastAsia="仿宋" w:cs="Times New Roman"/>
          <w:bCs/>
          <w:color w:val="000000"/>
          <w:kern w:val="2"/>
          <w:sz w:val="32"/>
          <w:szCs w:val="32"/>
          <w:lang w:val="en-US" w:eastAsia="zh-CN" w:bidi="ar-SA"/>
        </w:rPr>
        <w:t>灾害防治及应急管理支出（类）应急管理事务（款）  行政运行（项）: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483.74</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Style w:val="25"/>
          <w:rFonts w:hint="eastAsia" w:ascii="仿宋" w:eastAsia="仿宋" w:cs="Times New Roman"/>
          <w:b w:val="0"/>
          <w:bCs/>
          <w:color w:val="auto"/>
          <w:sz w:val="32"/>
          <w:szCs w:val="32"/>
          <w:lang w:eastAsia="zh-CN"/>
        </w:rPr>
        <w:t>；</w:t>
      </w:r>
      <w:r>
        <w:rPr>
          <w:rStyle w:val="25"/>
          <w:rFonts w:hint="eastAsia" w:ascii="仿宋" w:eastAsia="仿宋" w:cs="Times New Roman"/>
          <w:bCs/>
          <w:color w:val="auto"/>
          <w:kern w:val="2"/>
          <w:sz w:val="32"/>
          <w:szCs w:val="32"/>
          <w:lang w:val="en-US" w:eastAsia="zh-CN" w:bidi="ar-SA"/>
        </w:rPr>
        <w:t>灾害风险防治（项）</w:t>
      </w:r>
      <w:r>
        <w:rPr>
          <w:rStyle w:val="25"/>
          <w:rFonts w:hint="eastAsia" w:ascii="仿宋" w:eastAsia="仿宋" w:cs="Times New Roman"/>
          <w:b w:val="0"/>
          <w:bCs/>
          <w:color w:val="auto"/>
          <w:sz w:val="32"/>
          <w:szCs w:val="32"/>
          <w:lang w:val="en-US" w:eastAsia="zh-CN"/>
        </w:rPr>
        <w:t>：</w:t>
      </w:r>
      <w:r>
        <w:rPr>
          <w:rFonts w:hint="eastAsia" w:ascii="仿宋_GB2312" w:eastAsia="仿宋_GB2312"/>
          <w:bCs/>
          <w:color w:val="000000"/>
          <w:sz w:val="32"/>
          <w:szCs w:val="32"/>
          <w:lang w:val="en-US" w:eastAsia="zh-CN"/>
        </w:rPr>
        <w:t>89.57万元，完成预算100%，</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Style w:val="25"/>
          <w:rFonts w:hint="eastAsia" w:ascii="仿宋" w:eastAsia="仿宋" w:cs="Times New Roman"/>
          <w:b w:val="0"/>
          <w:bCs/>
          <w:color w:val="auto"/>
          <w:sz w:val="32"/>
          <w:szCs w:val="32"/>
          <w:lang w:val="en-US" w:eastAsia="zh-CN"/>
        </w:rPr>
        <w:t>；</w:t>
      </w:r>
      <w:r>
        <w:rPr>
          <w:rStyle w:val="25"/>
          <w:rFonts w:hint="eastAsia" w:ascii="仿宋" w:eastAsia="仿宋" w:cs="Times New Roman"/>
          <w:bCs/>
          <w:color w:val="auto"/>
          <w:kern w:val="2"/>
          <w:sz w:val="32"/>
          <w:szCs w:val="32"/>
          <w:lang w:val="en-US" w:eastAsia="zh-CN" w:bidi="ar-SA"/>
        </w:rPr>
        <w:t>安全监管（项）: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14.69</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Style w:val="25"/>
          <w:rFonts w:hint="eastAsia" w:ascii="仿宋" w:eastAsia="仿宋" w:cs="Times New Roman"/>
          <w:bCs/>
          <w:color w:val="auto"/>
          <w:kern w:val="2"/>
          <w:sz w:val="32"/>
          <w:szCs w:val="32"/>
          <w:lang w:val="en-US" w:eastAsia="zh-CN" w:bidi="ar-SA"/>
        </w:rPr>
        <w:t>应急救援（项）</w:t>
      </w:r>
      <w:r>
        <w:rPr>
          <w:rStyle w:val="25"/>
          <w:rFonts w:hint="eastAsia" w:ascii="仿宋" w:eastAsia="仿宋" w:cs="Times New Roman"/>
          <w:b w:val="0"/>
          <w:bCs/>
          <w:color w:val="auto"/>
          <w:sz w:val="32"/>
          <w:szCs w:val="32"/>
          <w:lang w:val="en-US" w:eastAsia="zh-CN"/>
        </w:rPr>
        <w:t>:</w:t>
      </w:r>
      <w:r>
        <w:rPr>
          <w:rFonts w:hint="eastAsia" w:ascii="仿宋_GB2312" w:eastAsia="仿宋_GB2312"/>
          <w:bCs/>
          <w:color w:val="000000"/>
          <w:sz w:val="32"/>
          <w:szCs w:val="32"/>
          <w:lang w:val="en-US" w:eastAsia="zh-CN"/>
        </w:rPr>
        <w:t>29.80万元，完成预算100%，决算数等于预算数</w:t>
      </w:r>
      <w:r>
        <w:rPr>
          <w:rStyle w:val="25"/>
          <w:rFonts w:hint="eastAsia" w:ascii="仿宋" w:eastAsia="仿宋" w:cs="Times New Roman"/>
          <w:b w:val="0"/>
          <w:bCs/>
          <w:color w:val="auto"/>
          <w:sz w:val="32"/>
          <w:szCs w:val="32"/>
          <w:lang w:val="en-US" w:eastAsia="zh-CN"/>
        </w:rPr>
        <w:t>；</w:t>
      </w:r>
      <w:r>
        <w:rPr>
          <w:rStyle w:val="25"/>
          <w:rFonts w:hint="eastAsia" w:ascii="仿宋" w:eastAsia="仿宋" w:cs="Times New Roman"/>
          <w:bCs/>
          <w:color w:val="auto"/>
          <w:kern w:val="2"/>
          <w:sz w:val="32"/>
          <w:szCs w:val="32"/>
          <w:lang w:val="en-US" w:eastAsia="zh-CN" w:bidi="ar-SA"/>
        </w:rPr>
        <w:t>应急管理（项）: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4.30</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Style w:val="25"/>
          <w:rFonts w:hint="eastAsia" w:ascii="仿宋" w:eastAsia="仿宋" w:cs="Times New Roman"/>
          <w:b w:val="0"/>
          <w:bCs/>
          <w:color w:val="auto"/>
          <w:sz w:val="32"/>
          <w:szCs w:val="32"/>
          <w:lang w:eastAsia="zh-CN"/>
        </w:rPr>
        <w:t>；</w:t>
      </w:r>
      <w:r>
        <w:rPr>
          <w:rStyle w:val="25"/>
          <w:rFonts w:hint="eastAsia" w:ascii="仿宋" w:eastAsia="仿宋" w:cs="Times New Roman"/>
          <w:bCs/>
          <w:color w:val="auto"/>
          <w:kern w:val="2"/>
          <w:sz w:val="32"/>
          <w:szCs w:val="32"/>
          <w:lang w:val="en-US" w:eastAsia="zh-CN" w:bidi="ar-SA"/>
        </w:rPr>
        <w:t>其他应急管理支出（项）: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233.44</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Style w:val="25"/>
          <w:rFonts w:hint="eastAsia" w:ascii="仿宋" w:eastAsia="仿宋" w:cs="Times New Roman"/>
          <w:b w:val="0"/>
          <w:bCs/>
          <w:color w:val="auto"/>
          <w:sz w:val="32"/>
          <w:szCs w:val="32"/>
          <w:lang w:eastAsia="zh-CN"/>
        </w:rPr>
        <w:t>。</w:t>
      </w:r>
    </w:p>
    <w:p>
      <w:pPr>
        <w:spacing w:line="600" w:lineRule="exact"/>
        <w:ind w:firstLine="643" w:firstLineChars="200"/>
        <w:rPr>
          <w:rFonts w:hint="eastAsia" w:ascii="仿宋_GB2312" w:eastAsia="仿宋_GB2312"/>
          <w:bCs/>
          <w:color w:val="000000"/>
          <w:sz w:val="32"/>
          <w:szCs w:val="32"/>
        </w:rPr>
      </w:pPr>
      <w:r>
        <w:rPr>
          <w:rStyle w:val="25"/>
          <w:rFonts w:hint="eastAsia" w:ascii="仿宋" w:eastAsia="仿宋"/>
          <w:bCs/>
          <w:color w:val="auto"/>
          <w:sz w:val="32"/>
          <w:szCs w:val="32"/>
          <w:lang w:val="en-US" w:eastAsia="zh-CN"/>
        </w:rPr>
        <w:t>12</w:t>
      </w:r>
      <w:r>
        <w:rPr>
          <w:rStyle w:val="25"/>
          <w:rFonts w:ascii="仿宋" w:eastAsia="仿宋"/>
          <w:bCs/>
          <w:color w:val="auto"/>
          <w:sz w:val="32"/>
          <w:szCs w:val="32"/>
        </w:rPr>
        <w:t>.</w:t>
      </w:r>
      <w:r>
        <w:rPr>
          <w:rStyle w:val="25"/>
          <w:rFonts w:hint="eastAsia" w:ascii="仿宋" w:eastAsia="仿宋" w:cs="Times New Roman"/>
          <w:bCs/>
          <w:color w:val="auto"/>
          <w:kern w:val="2"/>
          <w:sz w:val="32"/>
          <w:szCs w:val="32"/>
          <w:lang w:val="en-US" w:eastAsia="zh-CN" w:bidi="ar-SA"/>
        </w:rPr>
        <w:t>灾害防治及应急管理支出（类）地震事务（款）地震监测（项）:</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14.45</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p>
    <w:p>
      <w:pPr>
        <w:spacing w:line="600" w:lineRule="exact"/>
        <w:ind w:firstLine="643" w:firstLineChars="200"/>
        <w:rPr>
          <w:rFonts w:hint="eastAsia" w:ascii="仿宋_GB2312" w:eastAsia="仿宋_GB2312"/>
          <w:color w:val="000000"/>
          <w:sz w:val="32"/>
          <w:szCs w:val="32"/>
        </w:rPr>
      </w:pPr>
      <w:r>
        <w:rPr>
          <w:rStyle w:val="25"/>
          <w:rFonts w:hint="eastAsia" w:ascii="仿宋" w:eastAsia="仿宋"/>
          <w:bCs/>
          <w:color w:val="auto"/>
          <w:sz w:val="32"/>
          <w:szCs w:val="32"/>
          <w:lang w:val="en-US" w:eastAsia="zh-CN"/>
        </w:rPr>
        <w:t>13</w:t>
      </w:r>
      <w:r>
        <w:rPr>
          <w:rStyle w:val="25"/>
          <w:rFonts w:ascii="仿宋" w:eastAsia="仿宋"/>
          <w:bCs/>
          <w:color w:val="auto"/>
          <w:sz w:val="32"/>
          <w:szCs w:val="32"/>
        </w:rPr>
        <w:t>.</w:t>
      </w:r>
      <w:r>
        <w:rPr>
          <w:rStyle w:val="25"/>
          <w:rFonts w:hint="eastAsia" w:ascii="仿宋" w:eastAsia="仿宋" w:cs="Times New Roman"/>
          <w:bCs/>
          <w:color w:val="auto"/>
          <w:kern w:val="2"/>
          <w:sz w:val="32"/>
          <w:szCs w:val="32"/>
          <w:lang w:val="en-US" w:eastAsia="zh-CN" w:bidi="ar-SA"/>
        </w:rPr>
        <w:t>灾害防治及应急管理支出（类）自然灾害防治（款）  地质灾害防治（项）:</w:t>
      </w:r>
      <w:r>
        <w:rPr>
          <w:rStyle w:val="25"/>
          <w:rFonts w:ascii="仿宋" w:eastAsia="仿宋"/>
          <w:b w:val="0"/>
          <w:bCs/>
          <w:color w:val="auto"/>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3.09</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p>
    <w:p>
      <w:pPr>
        <w:spacing w:line="600" w:lineRule="exact"/>
        <w:ind w:firstLine="640"/>
        <w:rPr>
          <w:rFonts w:hint="eastAsia" w:ascii="仿宋_GB2312" w:eastAsia="仿宋_GB2312"/>
          <w:bCs/>
          <w:color w:val="000000"/>
          <w:sz w:val="32"/>
          <w:szCs w:val="32"/>
          <w:lang w:eastAsia="zh-CN"/>
        </w:rPr>
      </w:pPr>
      <w:r>
        <w:rPr>
          <w:rStyle w:val="25"/>
          <w:rFonts w:hint="eastAsia" w:ascii="仿宋" w:eastAsia="仿宋"/>
          <w:bCs/>
          <w:color w:val="auto"/>
          <w:sz w:val="32"/>
          <w:szCs w:val="32"/>
          <w:lang w:val="en-US" w:eastAsia="zh-CN"/>
        </w:rPr>
        <w:t>14</w:t>
      </w:r>
      <w:r>
        <w:rPr>
          <w:rStyle w:val="25"/>
          <w:rFonts w:ascii="仿宋" w:eastAsia="仿宋"/>
          <w:bCs/>
          <w:color w:val="auto"/>
          <w:sz w:val="32"/>
          <w:szCs w:val="32"/>
        </w:rPr>
        <w:t>.</w:t>
      </w:r>
      <w:r>
        <w:rPr>
          <w:rStyle w:val="25"/>
          <w:rFonts w:hint="eastAsia" w:ascii="仿宋" w:eastAsia="仿宋" w:cs="Times New Roman"/>
          <w:bCs/>
          <w:color w:val="auto"/>
          <w:kern w:val="2"/>
          <w:sz w:val="32"/>
          <w:szCs w:val="32"/>
          <w:lang w:val="en-US" w:eastAsia="zh-CN" w:bidi="ar-SA"/>
        </w:rPr>
        <w:t>灾害防治及应急管理支出（类）自然灾害救灾及恢复重建支出（款）自然灾害救灾补助（项）:</w:t>
      </w:r>
      <w:r>
        <w:rPr>
          <w:rStyle w:val="25"/>
          <w:rFonts w:ascii="仿宋" w:eastAsia="仿宋"/>
          <w:b w:val="0"/>
          <w:bCs/>
          <w:color w:val="auto"/>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50.00</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rPr>
        <w:t>决算数等于预算数</w:t>
      </w:r>
      <w:r>
        <w:rPr>
          <w:rFonts w:hint="eastAsia" w:ascii="仿宋_GB2312" w:eastAsia="仿宋_GB2312"/>
          <w:bCs/>
          <w:color w:val="000000"/>
          <w:sz w:val="32"/>
          <w:szCs w:val="32"/>
          <w:lang w:eastAsia="zh-CN"/>
        </w:rPr>
        <w:t>；</w:t>
      </w:r>
    </w:p>
    <w:p>
      <w:pPr>
        <w:pStyle w:val="10"/>
        <w:rPr>
          <w:rStyle w:val="25"/>
          <w:rFonts w:hint="eastAsia" w:ascii="仿宋" w:eastAsia="仿宋" w:cs="Times New Roman"/>
          <w:b w:val="0"/>
          <w:bCs/>
          <w:color w:val="auto"/>
          <w:sz w:val="32"/>
          <w:szCs w:val="32"/>
          <w:lang w:val="en-US" w:eastAsia="zh-CN"/>
        </w:rPr>
      </w:pPr>
      <w:r>
        <w:rPr>
          <w:rStyle w:val="25"/>
          <w:rFonts w:hint="eastAsia" w:ascii="仿宋" w:eastAsia="仿宋"/>
          <w:bCs/>
          <w:color w:val="auto"/>
          <w:sz w:val="32"/>
          <w:szCs w:val="32"/>
          <w:lang w:val="en-US" w:eastAsia="zh-CN"/>
        </w:rPr>
        <w:t>15</w:t>
      </w:r>
      <w:r>
        <w:rPr>
          <w:rStyle w:val="25"/>
          <w:rFonts w:ascii="仿宋" w:eastAsia="仿宋"/>
          <w:bCs/>
          <w:color w:val="auto"/>
          <w:sz w:val="32"/>
          <w:szCs w:val="32"/>
        </w:rPr>
        <w:t>.</w:t>
      </w:r>
      <w:r>
        <w:rPr>
          <w:rStyle w:val="25"/>
          <w:rFonts w:hint="eastAsia" w:ascii="仿宋" w:eastAsia="仿宋" w:cs="Times New Roman"/>
          <w:bCs/>
          <w:color w:val="auto"/>
          <w:kern w:val="2"/>
          <w:sz w:val="32"/>
          <w:szCs w:val="32"/>
          <w:lang w:val="en-US" w:eastAsia="zh-CN" w:bidi="ar-SA"/>
        </w:rPr>
        <w:t>灾害防治及应急管理支出（类）其他灾害防治及应急管理支出（款）其他灾害防治及应急管理支出（项）:</w:t>
      </w:r>
      <w:r>
        <w:rPr>
          <w:rStyle w:val="25"/>
          <w:rFonts w:ascii="仿宋" w:eastAsia="仿宋"/>
          <w:b w:val="0"/>
          <w:bCs/>
          <w:color w:val="auto"/>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74.65</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Fonts w:hint="eastAsia" w:ascii="仿宋_GB2312" w:eastAsia="仿宋_GB2312"/>
          <w:bCs/>
          <w:color w:val="000000"/>
          <w:sz w:val="32"/>
          <w:szCs w:val="32"/>
          <w:lang w:val="en-US" w:eastAsia="zh-CN"/>
        </w:rPr>
        <w:t>。</w:t>
      </w:r>
    </w:p>
    <w:p>
      <w:pPr>
        <w:pStyle w:val="10"/>
        <w:rPr>
          <w:rStyle w:val="25"/>
          <w:rFonts w:hint="eastAsia" w:ascii="仿宋" w:eastAsia="仿宋" w:cs="Times New Roman"/>
          <w:b w:val="0"/>
          <w:bCs/>
          <w:color w:val="auto"/>
          <w:sz w:val="32"/>
          <w:szCs w:val="32"/>
          <w:lang w:val="en-US" w:eastAsia="zh-CN"/>
        </w:rPr>
      </w:pPr>
      <w:bookmarkStart w:id="68" w:name="_Toc25222"/>
      <w:bookmarkStart w:id="69" w:name="_Toc79163618"/>
      <w:bookmarkStart w:id="70" w:name="_Toc15396608"/>
      <w:bookmarkStart w:id="71" w:name="_Toc15377214"/>
      <w:r>
        <w:rPr>
          <w:rStyle w:val="25"/>
          <w:rFonts w:hint="eastAsia" w:ascii="仿宋" w:eastAsia="仿宋"/>
          <w:bCs/>
          <w:color w:val="auto"/>
          <w:sz w:val="32"/>
          <w:szCs w:val="32"/>
          <w:lang w:val="en-US" w:eastAsia="zh-CN"/>
        </w:rPr>
        <w:t>16</w:t>
      </w:r>
      <w:r>
        <w:rPr>
          <w:rStyle w:val="25"/>
          <w:rFonts w:ascii="仿宋" w:eastAsia="仿宋"/>
          <w:bCs/>
          <w:color w:val="auto"/>
          <w:sz w:val="32"/>
          <w:szCs w:val="32"/>
        </w:rPr>
        <w:t>.</w:t>
      </w:r>
      <w:r>
        <w:rPr>
          <w:rStyle w:val="25"/>
          <w:rFonts w:hint="eastAsia" w:ascii="仿宋" w:eastAsia="仿宋" w:cs="Times New Roman"/>
          <w:bCs/>
          <w:color w:val="auto"/>
          <w:kern w:val="2"/>
          <w:sz w:val="32"/>
          <w:szCs w:val="32"/>
          <w:lang w:val="en-US" w:eastAsia="zh-CN" w:bidi="ar-SA"/>
        </w:rPr>
        <w:t>其他支出（类）其他支出（款）其他支出（项）:</w:t>
      </w:r>
      <w:r>
        <w:rPr>
          <w:rStyle w:val="25"/>
          <w:rFonts w:ascii="仿宋" w:eastAsia="仿宋"/>
          <w:b w:val="0"/>
          <w:bCs/>
          <w:color w:val="auto"/>
          <w:sz w:val="32"/>
          <w:szCs w:val="32"/>
        </w:rPr>
        <w:t xml:space="preserve"> </w:t>
      </w:r>
      <w:r>
        <w:rPr>
          <w:rFonts w:hint="eastAsia" w:ascii="仿宋_GB2312" w:eastAsia="仿宋_GB2312"/>
          <w:bCs/>
          <w:color w:val="000000"/>
          <w:sz w:val="32"/>
          <w:szCs w:val="32"/>
        </w:rPr>
        <w:t>支出决算为</w:t>
      </w:r>
      <w:r>
        <w:rPr>
          <w:rFonts w:hint="eastAsia" w:ascii="仿宋_GB2312" w:eastAsia="仿宋_GB2312"/>
          <w:bCs/>
          <w:color w:val="000000"/>
          <w:sz w:val="32"/>
          <w:szCs w:val="32"/>
          <w:lang w:val="en-US" w:eastAsia="zh-CN"/>
        </w:rPr>
        <w:t>191.38</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，决算数</w:t>
      </w:r>
      <w:r>
        <w:rPr>
          <w:rFonts w:hint="eastAsia" w:ascii="仿宋_GB2312" w:eastAsia="仿宋_GB2312"/>
          <w:bCs/>
          <w:color w:val="000000"/>
          <w:sz w:val="32"/>
          <w:szCs w:val="32"/>
          <w:lang w:val="en-US" w:eastAsia="zh-CN"/>
        </w:rPr>
        <w:t>等于</w:t>
      </w:r>
      <w:r>
        <w:rPr>
          <w:rFonts w:hint="eastAsia" w:ascii="仿宋_GB2312" w:eastAsia="仿宋_GB2312"/>
          <w:bCs/>
          <w:color w:val="000000"/>
          <w:sz w:val="32"/>
          <w:szCs w:val="32"/>
          <w:lang w:eastAsia="zh-CN"/>
        </w:rPr>
        <w:t>预算数</w:t>
      </w:r>
      <w:r>
        <w:rPr>
          <w:rFonts w:hint="eastAsia" w:ascii="仿宋_GB2312" w:eastAsia="仿宋_GB2312"/>
          <w:bCs/>
          <w:color w:val="000000"/>
          <w:sz w:val="32"/>
          <w:szCs w:val="32"/>
          <w:lang w:val="en-US" w:eastAsia="zh-CN"/>
        </w:rPr>
        <w:t>。</w:t>
      </w:r>
    </w:p>
    <w:p>
      <w:pPr>
        <w:tabs>
          <w:tab w:val="right" w:pos="8306"/>
        </w:tabs>
        <w:spacing w:line="600" w:lineRule="exact"/>
        <w:ind w:firstLine="640"/>
        <w:outlineLvl w:val="1"/>
        <w:rPr>
          <w:rStyle w:val="28"/>
        </w:rPr>
      </w:pPr>
      <w:r>
        <w:rPr>
          <w:rFonts w:hint="eastAsia" w:ascii="黑体" w:eastAsia="黑体"/>
          <w:color w:val="000000"/>
          <w:sz w:val="32"/>
          <w:szCs w:val="32"/>
        </w:rPr>
        <w:t>六</w:t>
      </w:r>
      <w:r>
        <w:rPr>
          <w:rFonts w:hint="eastAsia" w:ascii="黑体" w:eastAsia="黑体"/>
          <w:b/>
          <w:color w:val="000000"/>
          <w:sz w:val="32"/>
          <w:szCs w:val="32"/>
        </w:rPr>
        <w:t>、一</w:t>
      </w:r>
      <w:r>
        <w:rPr>
          <w:rStyle w:val="28"/>
          <w:rFonts w:hint="eastAsia" w:ascii="黑体" w:eastAsia="黑体"/>
          <w:b w:val="0"/>
        </w:rPr>
        <w:t>般公共预算财政拨款基本支出决算情况说明</w:t>
      </w:r>
      <w:bookmarkEnd w:id="68"/>
      <w:bookmarkEnd w:id="69"/>
      <w:bookmarkEnd w:id="70"/>
      <w:bookmarkEnd w:id="71"/>
      <w:r>
        <w:rPr>
          <w:rStyle w:val="28"/>
          <w:rFonts w:ascii="黑体" w:eastAsia="黑体"/>
          <w:b w:val="0"/>
        </w:rPr>
        <w:tab/>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年一般公共预算财政拨款基本支出</w:t>
      </w:r>
      <w:r>
        <w:rPr>
          <w:rFonts w:hint="eastAsia" w:ascii="仿宋_GB2312" w:eastAsia="仿宋_GB2312"/>
          <w:color w:val="000000"/>
          <w:sz w:val="32"/>
          <w:szCs w:val="32"/>
          <w:lang w:val="en-US" w:eastAsia="zh-CN"/>
        </w:rPr>
        <w:t>609.31</w:t>
      </w:r>
      <w:r>
        <w:rPr>
          <w:rFonts w:hint="eastAsia" w:ascii="仿宋_GB2312" w:eastAsia="仿宋_GB2312"/>
          <w:color w:val="000000"/>
          <w:sz w:val="32"/>
          <w:szCs w:val="32"/>
        </w:rPr>
        <w:t>万元，其中：</w:t>
      </w:r>
    </w:p>
    <w:p>
      <w:pPr>
        <w:spacing w:line="600" w:lineRule="exact"/>
        <w:ind w:firstLine="645"/>
        <w:rPr>
          <w:rFonts w:hint="eastAsia" w:ascii="仿宋_GB2312" w:eastAsia="仿宋_GB2312" w:cs="Times New Roman"/>
          <w:color w:val="000000"/>
          <w:sz w:val="32"/>
          <w:szCs w:val="32"/>
        </w:rPr>
      </w:pPr>
      <w:r>
        <w:rPr>
          <w:rFonts w:hint="eastAsia" w:ascii="仿宋_GB2312" w:eastAsia="仿宋_GB2312"/>
          <w:color w:val="000000"/>
          <w:sz w:val="32"/>
          <w:szCs w:val="32"/>
        </w:rPr>
        <w:t>人员经费</w:t>
      </w:r>
      <w:r>
        <w:rPr>
          <w:rFonts w:hint="eastAsia" w:ascii="仿宋_GB2312" w:eastAsia="仿宋_GB2312" w:cs="Times New Roman"/>
          <w:color w:val="000000"/>
          <w:sz w:val="32"/>
          <w:szCs w:val="32"/>
          <w:lang w:val="en-US" w:eastAsia="zh-CN"/>
        </w:rPr>
        <w:t>505.91</w:t>
      </w:r>
      <w:r>
        <w:rPr>
          <w:rFonts w:hint="eastAsia" w:ascii="仿宋_GB2312" w:eastAsia="仿宋_GB2312" w:cs="Times New Roman"/>
          <w:color w:val="000000"/>
          <w:sz w:val="32"/>
          <w:szCs w:val="32"/>
        </w:rPr>
        <w:t>万元，主要包括：基本工资、津贴补贴、奖金、机关事业单位基本养老保险缴费、职业年金缴费、</w:t>
      </w:r>
      <w:r>
        <w:rPr>
          <w:rFonts w:hint="eastAsia" w:ascii="仿宋_GB2312" w:eastAsia="仿宋_GB2312" w:cs="Times New Roman"/>
          <w:color w:val="000000"/>
          <w:sz w:val="32"/>
          <w:szCs w:val="32"/>
          <w:lang w:val="en-US" w:eastAsia="zh-CN"/>
        </w:rPr>
        <w:t>职工基本医疗保险缴费、</w:t>
      </w:r>
      <w:r>
        <w:rPr>
          <w:rFonts w:hint="eastAsia" w:ascii="仿宋_GB2312" w:eastAsia="仿宋_GB2312" w:cs="Times New Roman"/>
          <w:color w:val="000000"/>
          <w:sz w:val="32"/>
          <w:szCs w:val="32"/>
        </w:rPr>
        <w:t>其他社会保障缴费、住房公积金、</w:t>
      </w:r>
      <w:r>
        <w:rPr>
          <w:rFonts w:hint="eastAsia" w:ascii="仿宋_GB2312" w:eastAsia="仿宋_GB2312" w:cs="Times New Roman"/>
          <w:color w:val="000000"/>
          <w:sz w:val="32"/>
          <w:szCs w:val="32"/>
          <w:lang w:val="en-US" w:eastAsia="zh-CN"/>
        </w:rPr>
        <w:t>生活补助、医疗费补助、奖励金</w:t>
      </w:r>
      <w:r>
        <w:rPr>
          <w:rFonts w:hint="eastAsia" w:ascii="仿宋_GB2312" w:eastAsia="仿宋_GB2312" w:cs="Times New Roman"/>
          <w:color w:val="000000"/>
          <w:sz w:val="32"/>
          <w:szCs w:val="32"/>
        </w:rPr>
        <w:t>。</w:t>
      </w:r>
      <w:r>
        <w:rPr>
          <w:rFonts w:hint="eastAsia" w:ascii="仿宋_GB2312" w:eastAsia="仿宋_GB2312" w:cs="Times New Roman"/>
          <w:color w:val="000000"/>
          <w:sz w:val="32"/>
          <w:szCs w:val="32"/>
        </w:rPr>
        <w:br w:type="textWrapping"/>
      </w:r>
      <w:r>
        <w:rPr>
          <w:rFonts w:hint="eastAsia" w:ascii="仿宋_GB2312" w:eastAsia="仿宋_GB2312"/>
          <w:color w:val="000000"/>
          <w:sz w:val="32"/>
          <w:szCs w:val="32"/>
        </w:rPr>
        <w:t>　　日常公用经费</w:t>
      </w:r>
      <w:r>
        <w:rPr>
          <w:rFonts w:hint="eastAsia" w:ascii="仿宋_GB2312" w:eastAsia="仿宋_GB2312"/>
          <w:color w:val="000000"/>
          <w:sz w:val="32"/>
          <w:szCs w:val="32"/>
          <w:lang w:val="en-US" w:eastAsia="zh-CN"/>
        </w:rPr>
        <w:t>103.40</w:t>
      </w:r>
      <w:r>
        <w:rPr>
          <w:rFonts w:hint="eastAsia" w:ascii="仿宋_GB2312" w:eastAsia="仿宋_GB2312"/>
          <w:color w:val="000000"/>
          <w:sz w:val="32"/>
          <w:szCs w:val="32"/>
        </w:rPr>
        <w:t>万元，主要包</w:t>
      </w:r>
      <w:r>
        <w:rPr>
          <w:rFonts w:hint="eastAsia" w:ascii="仿宋_GB2312" w:eastAsia="仿宋_GB2312" w:cs="Times New Roman"/>
          <w:color w:val="000000"/>
          <w:sz w:val="32"/>
          <w:szCs w:val="32"/>
        </w:rPr>
        <w:t>括：</w:t>
      </w:r>
      <w:r>
        <w:rPr>
          <w:rFonts w:hint="eastAsia" w:ascii="仿宋_GB2312" w:eastAsia="仿宋_GB2312" w:cs="Times New Roman"/>
          <w:color w:val="000000"/>
          <w:sz w:val="32"/>
          <w:szCs w:val="32"/>
          <w:lang w:val="en-US" w:eastAsia="zh-CN"/>
        </w:rPr>
        <w:t>办公费、印刷费、电费、物业管理费、维修（护）费、培训费、劳务费、其公务用车运行维护费</w:t>
      </w:r>
      <w:r>
        <w:rPr>
          <w:rFonts w:hint="eastAsia" w:ascii="仿宋_GB2312" w:eastAsia="仿宋_GB2312" w:cs="Times New Roman"/>
          <w:color w:val="000000"/>
          <w:sz w:val="32"/>
          <w:szCs w:val="32"/>
        </w:rPr>
        <w:t>。</w:t>
      </w:r>
    </w:p>
    <w:p>
      <w:pPr>
        <w:spacing w:line="600" w:lineRule="exact"/>
        <w:ind w:firstLine="640"/>
        <w:outlineLvl w:val="1"/>
        <w:rPr>
          <w:rStyle w:val="28"/>
          <w:rFonts w:ascii="黑体" w:eastAsia="黑体"/>
          <w:b w:val="0"/>
        </w:rPr>
      </w:pPr>
      <w:bookmarkStart w:id="72" w:name="_Toc79163619"/>
      <w:bookmarkStart w:id="73" w:name="_Toc4893"/>
      <w:bookmarkStart w:id="74" w:name="_Toc15377215"/>
      <w:bookmarkStart w:id="75" w:name="_Toc15396609"/>
      <w:r>
        <w:rPr>
          <w:rFonts w:hint="eastAsia" w:ascii="黑体" w:eastAsia="黑体"/>
          <w:color w:val="000000"/>
          <w:sz w:val="32"/>
          <w:szCs w:val="32"/>
        </w:rPr>
        <w:t>七、</w:t>
      </w:r>
      <w:r>
        <w:rPr>
          <w:rStyle w:val="28"/>
          <w:rFonts w:hint="eastAsia" w:ascii="黑体" w:eastAsia="黑体"/>
        </w:rPr>
        <w:t>“</w:t>
      </w:r>
      <w:r>
        <w:rPr>
          <w:rStyle w:val="28"/>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5266"/>
      <w:bookmarkStart w:id="77" w:name="_Toc15377216"/>
      <w:bookmarkStart w:id="78" w:name="_Toc79163620"/>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55.73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bookmarkStart w:id="79" w:name="_Toc1271"/>
      <w:bookmarkStart w:id="80" w:name="_Toc79163621"/>
      <w:bookmarkStart w:id="81" w:name="_Toc15377217"/>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55.73</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（图8：“三公”经费财政拨款支出结构）（饼状图）</w:t>
      </w:r>
    </w:p>
    <w:p>
      <w:pPr>
        <w:pStyle w:val="10"/>
      </w:pPr>
      <w:r>
        <w:drawing>
          <wp:anchor distT="0" distB="0" distL="114300" distR="114300" simplePos="0" relativeHeight="251659264" behindDoc="1" locked="0" layoutInCell="1" allowOverlap="1">
            <wp:simplePos x="0" y="0"/>
            <wp:positionH relativeFrom="column">
              <wp:posOffset>906145</wp:posOffset>
            </wp:positionH>
            <wp:positionV relativeFrom="paragraph">
              <wp:posOffset>202565</wp:posOffset>
            </wp:positionV>
            <wp:extent cx="3543935" cy="1890395"/>
            <wp:effectExtent l="0" t="0" r="0" b="0"/>
            <wp:wrapNone/>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10"/>
      </w:pPr>
    </w:p>
    <w:p>
      <w:pPr>
        <w:pStyle w:val="10"/>
      </w:pPr>
    </w:p>
    <w:p>
      <w:pPr>
        <w:pStyle w:val="10"/>
      </w:pPr>
    </w:p>
    <w:p>
      <w:pPr>
        <w:pStyle w:val="10"/>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eastAsia="仿宋"/>
          <w:b w:val="0"/>
          <w:bCs/>
          <w:color w:val="000000"/>
          <w:sz w:val="32"/>
          <w:szCs w:val="32"/>
        </w:rPr>
        <w:t>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本年度无因公出国（境）经费支出</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55.73</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eastAsia="仿宋"/>
          <w:b w:val="0"/>
          <w:bCs/>
          <w:color w:val="000000"/>
          <w:sz w:val="32"/>
          <w:szCs w:val="32"/>
        </w:rPr>
        <w:t>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47.86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60.82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新购越野车一辆。</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39.97</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39.97</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15.76</w:t>
      </w:r>
      <w:r>
        <w:rPr>
          <w:rFonts w:hint="eastAsia" w:ascii="仿宋_GB2312" w:eastAsia="仿宋_GB2312"/>
          <w:color w:val="auto"/>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eastAsia="仿宋"/>
          <w:b w:val="0"/>
          <w:bCs/>
          <w:color w:val="000000"/>
          <w:sz w:val="32"/>
          <w:szCs w:val="32"/>
        </w:rPr>
        <w:t>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本年度无公务接待费支出</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8"/>
          <w:rFonts w:ascii="黑体" w:eastAsia="黑体"/>
        </w:rPr>
      </w:pPr>
      <w:bookmarkStart w:id="82" w:name="_Toc2602"/>
      <w:bookmarkStart w:id="83" w:name="_Toc15396610"/>
      <w:bookmarkStart w:id="84" w:name="_Toc79163622"/>
      <w:bookmarkStart w:id="85" w:name="_Toc15377218"/>
      <w:r>
        <w:rPr>
          <w:rFonts w:hint="eastAsia" w:ascii="黑体" w:eastAsia="黑体"/>
          <w:color w:val="000000"/>
          <w:sz w:val="32"/>
          <w:szCs w:val="32"/>
        </w:rPr>
        <w:t>八、</w:t>
      </w:r>
      <w:r>
        <w:rPr>
          <w:rStyle w:val="28"/>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8"/>
          <w:rFonts w:ascii="黑体" w:eastAsia="黑体"/>
          <w:b w:val="0"/>
        </w:rPr>
      </w:pPr>
      <w:bookmarkStart w:id="86" w:name="_Toc6497"/>
      <w:bookmarkStart w:id="87" w:name="_Toc79163623"/>
      <w:bookmarkStart w:id="88" w:name="_Toc15377219"/>
      <w:bookmarkStart w:id="89" w:name="_Toc15396611"/>
      <w:r>
        <w:rPr>
          <w:rStyle w:val="28"/>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eastAsia="黑体"/>
        </w:rPr>
      </w:pPr>
      <w:bookmarkStart w:id="90" w:name="_Toc15377221"/>
      <w:bookmarkStart w:id="91" w:name="_Toc79163624"/>
      <w:bookmarkStart w:id="92" w:name="_Toc27000"/>
      <w:bookmarkStart w:id="93" w:name="_Toc15396612"/>
      <w:r>
        <w:rPr>
          <w:rFonts w:hint="eastAsia" w:ascii="黑体" w:eastAsia="黑体"/>
          <w:color w:val="000000"/>
          <w:sz w:val="32"/>
          <w:szCs w:val="32"/>
        </w:rPr>
        <w:t>十</w:t>
      </w:r>
      <w:r>
        <w:rPr>
          <w:rStyle w:val="28"/>
          <w:rFonts w:hint="eastAsia" w:ascii="黑体" w:eastAsia="黑体"/>
        </w:rPr>
        <w:t>、</w:t>
      </w:r>
      <w:r>
        <w:rPr>
          <w:rStyle w:val="28"/>
          <w:rFonts w:hint="eastAsia" w:asci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eastAsia="仿宋"/>
          <w:color w:val="000000"/>
          <w:sz w:val="32"/>
          <w:szCs w:val="32"/>
        </w:rPr>
      </w:pPr>
      <w:bookmarkStart w:id="94" w:name="_Toc15377222"/>
      <w:bookmarkStart w:id="95" w:name="_Toc12652"/>
      <w:bookmarkStart w:id="96" w:name="_Toc79163625"/>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 w:eastAsia="仿宋"/>
          <w:sz w:val="32"/>
          <w:szCs w:val="32"/>
          <w:lang w:val="en-US" w:eastAsia="zh-CN"/>
        </w:rPr>
        <w:t>壤塘县应急管理局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103.40</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增加66.30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增长64.12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本年防汛抗旱等自然灾害引发</w:t>
      </w:r>
      <w:r>
        <w:rPr>
          <w:rFonts w:hint="eastAsia" w:ascii="仿宋_GB2312" w:eastAsia="仿宋_GB2312"/>
          <w:color w:val="000000"/>
          <w:sz w:val="32"/>
          <w:szCs w:val="32"/>
        </w:rPr>
        <w:t>周边突发应</w:t>
      </w:r>
      <w:r>
        <w:rPr>
          <w:rFonts w:hint="eastAsia" w:ascii="仿宋_GB2312" w:eastAsia="仿宋_GB2312"/>
          <w:color w:val="000000"/>
          <w:sz w:val="32"/>
          <w:szCs w:val="32"/>
          <w:lang w:val="en-US" w:eastAsia="zh-CN"/>
        </w:rPr>
        <w:t>急</w:t>
      </w:r>
      <w:r>
        <w:rPr>
          <w:rFonts w:hint="eastAsia" w:ascii="仿宋_GB2312" w:eastAsia="仿宋_GB2312"/>
          <w:color w:val="000000"/>
          <w:sz w:val="32"/>
          <w:szCs w:val="32"/>
        </w:rPr>
        <w:t>事项增多</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7" w:name="_Toc23706"/>
      <w:bookmarkStart w:id="98" w:name="_Toc15377223"/>
      <w:bookmarkStart w:id="99" w:name="_Toc79163626"/>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s="Times New Roman"/>
          <w:color w:val="000000"/>
          <w:sz w:val="32"/>
          <w:szCs w:val="32"/>
        </w:rPr>
        <w:t>，</w:t>
      </w:r>
      <w:r>
        <w:rPr>
          <w:rFonts w:hint="eastAsia" w:ascii="仿宋_GB2312" w:eastAsia="仿宋_GB2312" w:cs="Times New Roman"/>
          <w:color w:val="000000"/>
          <w:sz w:val="32"/>
          <w:szCs w:val="32"/>
          <w:lang w:val="en-US" w:eastAsia="zh-CN"/>
        </w:rPr>
        <w:t>壤塘县</w:t>
      </w:r>
      <w:r>
        <w:rPr>
          <w:rFonts w:hint="eastAsia" w:ascii="仿宋" w:eastAsia="仿宋"/>
          <w:sz w:val="32"/>
          <w:szCs w:val="32"/>
          <w:lang w:val="en-US" w:eastAsia="zh-CN"/>
        </w:rPr>
        <w:t>应急管理局</w:t>
      </w:r>
      <w:r>
        <w:rPr>
          <w:rFonts w:hint="eastAsia" w:ascii="仿宋_GB2312" w:eastAsia="仿宋_GB2312" w:cs="Times New Roman"/>
          <w:color w:val="000000"/>
          <w:sz w:val="32"/>
          <w:szCs w:val="32"/>
        </w:rPr>
        <w:t>政府采购支出总额</w:t>
      </w:r>
      <w:r>
        <w:rPr>
          <w:rFonts w:hint="eastAsia" w:ascii="仿宋_GB2312" w:eastAsia="仿宋_GB2312" w:cs="Times New Roman"/>
          <w:color w:val="000000"/>
          <w:sz w:val="32"/>
          <w:szCs w:val="32"/>
          <w:lang w:val="en-US" w:eastAsia="zh-CN"/>
        </w:rPr>
        <w:t>8.68</w:t>
      </w:r>
      <w:r>
        <w:rPr>
          <w:rFonts w:hint="eastAsia" w:ascii="仿宋_GB2312" w:eastAsia="仿宋_GB2312" w:cs="Times New Roman"/>
          <w:color w:val="000000"/>
          <w:sz w:val="32"/>
          <w:szCs w:val="32"/>
        </w:rPr>
        <w:t>万元，</w:t>
      </w:r>
      <w:r>
        <w:rPr>
          <w:rFonts w:hint="eastAsia" w:ascii="仿宋_GB2312" w:eastAsia="仿宋_GB2312"/>
          <w:color w:val="000000"/>
          <w:sz w:val="32"/>
          <w:szCs w:val="32"/>
        </w:rPr>
        <w:t>其中：政府采购货物支出</w:t>
      </w:r>
      <w:r>
        <w:rPr>
          <w:rFonts w:hint="eastAsia" w:ascii="仿宋_GB2312" w:eastAsia="仿宋_GB2312" w:cs="Times New Roman"/>
          <w:color w:val="000000"/>
          <w:sz w:val="32"/>
          <w:szCs w:val="32"/>
          <w:lang w:val="en-US" w:eastAsia="zh-CN"/>
        </w:rPr>
        <w:t>8.68</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s="Times New Roman"/>
          <w:color w:val="000000"/>
          <w:sz w:val="32"/>
          <w:szCs w:val="32"/>
          <w:lang w:val="en-US" w:eastAsia="zh-CN"/>
        </w:rPr>
        <w:t>8.68</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0" w:name="_Toc3807"/>
      <w:bookmarkStart w:id="101" w:name="_Toc15377224"/>
      <w:bookmarkStart w:id="102" w:name="_Toc79163627"/>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auto"/>
          <w:sz w:val="32"/>
          <w:szCs w:val="32"/>
        </w:rPr>
      </w:pPr>
      <w:r>
        <w:rPr>
          <w:rFonts w:hint="eastAsia" w:ascii="仿宋_GB2312" w:eastAsia="仿宋_GB2312"/>
          <w:color w:val="auto"/>
          <w:sz w:val="32"/>
          <w:szCs w:val="32"/>
        </w:rPr>
        <w:t>截至</w:t>
      </w:r>
      <w:r>
        <w:rPr>
          <w:rFonts w:hint="eastAsia" w:ascii="仿宋_GB2312" w:eastAsia="仿宋_GB2312"/>
          <w:color w:val="auto"/>
          <w:sz w:val="32"/>
          <w:szCs w:val="32"/>
          <w:lang w:eastAsia="zh-CN"/>
        </w:rPr>
        <w:t>2021</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s="Times New Roman"/>
          <w:color w:val="auto"/>
          <w:sz w:val="32"/>
          <w:szCs w:val="32"/>
          <w:lang w:val="en-US" w:eastAsia="zh-CN"/>
        </w:rPr>
        <w:t>壤塘县</w:t>
      </w:r>
      <w:r>
        <w:rPr>
          <w:rFonts w:hint="eastAsia" w:ascii="仿宋" w:eastAsia="仿宋"/>
          <w:color w:val="auto"/>
          <w:sz w:val="32"/>
          <w:szCs w:val="32"/>
          <w:lang w:val="en-US" w:eastAsia="zh-CN"/>
        </w:rPr>
        <w:t>应急管理局</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辆，其中：主要领导干部用车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辆、机要通信用车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辆、应急保障用车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79163628"/>
      <w:bookmarkStart w:id="104" w:name="_Toc26064"/>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bookmarkStart w:id="105" w:name="_Toc15409"/>
      <w:bookmarkStart w:id="106" w:name="_Toc15377225"/>
      <w:bookmarkStart w:id="107" w:name="_Toc15396613"/>
      <w:bookmarkStart w:id="108" w:name="_Toc79163629"/>
      <w:r>
        <w:rPr>
          <w:rFonts w:hint="eastAsia" w:ascii="仿宋_GB2312" w:eastAsia="仿宋_GB2312" w:cs="仿宋_GB2312"/>
          <w:sz w:val="32"/>
          <w:szCs w:val="32"/>
        </w:rPr>
        <w:t>根据预算绩效管理要求，本单位</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年初预算编制阶段，无专项项目资金，本年无项目支出绩效自评。</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年部门整体支出开展绩效自评，从评价情况来看，我单位</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年目标任务基本完成，预算执行情况较好。</w:t>
      </w:r>
    </w:p>
    <w:p>
      <w:pPr>
        <w:numPr>
          <w:ilvl w:val="0"/>
          <w:numId w:val="3"/>
        </w:numPr>
        <w:spacing w:line="580" w:lineRule="exact"/>
        <w:ind w:left="630"/>
        <w:rPr>
          <w:rFonts w:ascii="楷体_GB2312" w:eastAsia="楷体_GB2312" w:cs="楷体_GB2312"/>
          <w:sz w:val="32"/>
          <w:szCs w:val="32"/>
        </w:rPr>
      </w:pPr>
      <w:r>
        <w:rPr>
          <w:rFonts w:hint="eastAsia" w:ascii="楷体_GB2312" w:eastAsia="楷体_GB2312" w:cs="楷体_GB2312"/>
          <w:sz w:val="32"/>
          <w:szCs w:val="32"/>
        </w:rPr>
        <w:t>项目绩效目标完成情况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本年度无项目绩效。</w:t>
      </w: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中共壤塘县委组织部</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年部门整体支出绩效评价报告》见附件（附件1）。</w:t>
      </w: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7"/>
          <w:rFonts w:ascii="黑体" w:eastAsia="黑体"/>
          <w:b w:val="0"/>
        </w:rPr>
      </w:pPr>
      <w:r>
        <w:rPr>
          <w:rFonts w:hint="eastAsia" w:ascii="黑体" w:eastAsia="黑体"/>
          <w:color w:val="000000"/>
          <w:sz w:val="44"/>
          <w:szCs w:val="44"/>
        </w:rPr>
        <w:t>名</w:t>
      </w:r>
      <w:r>
        <w:rPr>
          <w:rStyle w:val="27"/>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ascii="仿宋_GB2312" w:eastAsia="仿宋_GB2312"/>
          <w:sz w:val="32"/>
          <w:szCs w:val="32"/>
        </w:rPr>
      </w:pPr>
      <w:bookmarkStart w:id="109"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2"/>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hAns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 w:eastAsia="仿宋" w:cs="仿宋"/>
          <w:color w:val="000000"/>
          <w:sz w:val="32"/>
          <w:szCs w:val="32"/>
          <w:lang w:eastAsia="zh-CN"/>
        </w:rPr>
        <w:t>行政事业单位</w:t>
      </w:r>
      <w:r>
        <w:rPr>
          <w:rFonts w:hint="eastAsia" w:asci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hAns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eastAsia="仿宋_GB2312" w:cs="Times New Roman"/>
          <w:color w:val="000000"/>
          <w:sz w:val="32"/>
          <w:szCs w:val="32"/>
          <w:lang w:eastAsia="zh-CN"/>
        </w:rPr>
        <w:t>障和就业（类）</w:t>
      </w:r>
      <w:r>
        <w:rPr>
          <w:rFonts w:hint="eastAsia" w:ascii="仿宋" w:eastAsia="仿宋" w:cs="仿宋"/>
          <w:color w:val="000000"/>
          <w:sz w:val="32"/>
          <w:szCs w:val="32"/>
          <w:lang w:eastAsia="zh-CN"/>
        </w:rPr>
        <w:t>行政事业单位</w:t>
      </w:r>
      <w:r>
        <w:rPr>
          <w:rFonts w:hint="eastAsia" w:ascii="仿宋" w:eastAsia="仿宋" w:cs="仿宋"/>
          <w:color w:val="000000"/>
          <w:sz w:val="32"/>
          <w:szCs w:val="32"/>
          <w:lang w:val="en-US" w:eastAsia="zh-CN"/>
        </w:rPr>
        <w:t>养老支出</w:t>
      </w:r>
      <w:r>
        <w:rPr>
          <w:rFonts w:hint="eastAsia" w:ascii="仿宋_GB2312"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机关事业单位职业年金缴费支出</w:t>
      </w:r>
      <w:r>
        <w:rPr>
          <w:rFonts w:hint="eastAsia" w:ascii="仿宋_GB2312"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9</w:t>
      </w:r>
      <w:r>
        <w:rPr>
          <w:rFonts w:hint="eastAsia" w:ascii="仿宋_GB2312" w:eastAsia="仿宋_GB2312" w:cs="Times New Roman"/>
          <w:color w:val="000000"/>
          <w:sz w:val="32"/>
          <w:szCs w:val="32"/>
          <w:lang w:eastAsia="zh-CN"/>
        </w:rPr>
        <w:t>.卫生健康支出（类）公共卫生（款）重大公共卫生服务（项）：指</w:t>
      </w:r>
      <w:r>
        <w:rPr>
          <w:rFonts w:hint="eastAsia" w:ascii="仿宋_GB2312" w:eastAsia="仿宋_GB2312" w:cs="Times New Roman"/>
          <w:color w:val="000000"/>
          <w:sz w:val="32"/>
          <w:szCs w:val="32"/>
          <w:lang w:val="en-US" w:eastAsia="zh-CN"/>
        </w:rPr>
        <w:t>重大疾病、重大传染病预防控制等重大公共卫生服务项目支出</w:t>
      </w:r>
      <w:r>
        <w:rPr>
          <w:rFonts w:hint="eastAsia" w:ascii="仿宋_GB2312" w:eastAsia="仿宋_GB2312" w:cs="Times New Roman"/>
          <w:color w:val="000000"/>
          <w:sz w:val="32"/>
          <w:szCs w:val="32"/>
          <w:lang w:eastAsia="zh-CN"/>
        </w:rPr>
        <w:t>。</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10</w:t>
      </w:r>
      <w:r>
        <w:rPr>
          <w:rFonts w:hint="eastAsia" w:ascii="仿宋_GB2312" w:eastAsia="仿宋_GB2312" w:cs="Times New Roman"/>
          <w:color w:val="000000"/>
          <w:sz w:val="32"/>
          <w:szCs w:val="32"/>
          <w:lang w:eastAsia="zh-CN"/>
        </w:rPr>
        <w:t>.卫生健康支出</w:t>
      </w:r>
      <w:r>
        <w:rPr>
          <w:rFonts w:hint="eastAsia" w:ascii="仿宋_GB2312" w:eastAsia="仿宋_GB2312" w:cs="Times New Roman"/>
          <w:color w:val="000000"/>
          <w:sz w:val="32"/>
          <w:szCs w:val="32"/>
          <w:lang w:val="en-US" w:eastAsia="zh-CN"/>
        </w:rPr>
        <w:t>（类）行政事业单位医疗（</w:t>
      </w:r>
      <w:r>
        <w:rPr>
          <w:rFonts w:hint="eastAsia" w:ascii="仿宋_GB2312"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行政单位医疗</w:t>
      </w:r>
      <w:r>
        <w:rPr>
          <w:rFonts w:hint="eastAsia" w:ascii="仿宋_GB2312" w:eastAsia="仿宋_GB2312" w:cs="Times New Roman"/>
          <w:color w:val="000000"/>
          <w:sz w:val="32"/>
          <w:szCs w:val="32"/>
          <w:lang w:eastAsia="zh-CN"/>
        </w:rPr>
        <w:t>（项）：指财政部门集中安排的行政单位基本医疗保险缴费经费。</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lang w:eastAsia="zh-CN"/>
        </w:rPr>
        <w:t>.农林水支出（类）林业和草原（款）林业草原防灾减灾（项）：指用于</w:t>
      </w:r>
      <w:r>
        <w:rPr>
          <w:rFonts w:hint="eastAsia" w:ascii="仿宋_GB2312" w:eastAsia="仿宋_GB2312" w:cs="Times New Roman"/>
          <w:color w:val="000000"/>
          <w:sz w:val="32"/>
          <w:szCs w:val="32"/>
          <w:lang w:val="en-US" w:eastAsia="zh-CN"/>
        </w:rPr>
        <w:t>病虫害等有害生物灾害、森林草原防火、野生动物疫病灾害等</w:t>
      </w:r>
      <w:r>
        <w:rPr>
          <w:rFonts w:hint="eastAsia" w:ascii="仿宋_GB2312" w:eastAsia="仿宋_GB2312" w:cs="Times New Roman"/>
          <w:color w:val="000000"/>
          <w:sz w:val="32"/>
          <w:szCs w:val="32"/>
          <w:lang w:eastAsia="zh-CN"/>
        </w:rPr>
        <w:t>方面的支出。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12</w:t>
      </w:r>
      <w:r>
        <w:rPr>
          <w:rFonts w:hint="eastAsia" w:ascii="仿宋_GB2312" w:eastAsia="仿宋_GB2312" w:cs="Times New Roman"/>
          <w:color w:val="000000"/>
          <w:sz w:val="32"/>
          <w:szCs w:val="32"/>
          <w:lang w:eastAsia="zh-CN"/>
        </w:rPr>
        <w:t>.农林水支出</w:t>
      </w:r>
      <w:r>
        <w:rPr>
          <w:rFonts w:hint="eastAsia" w:ascii="仿宋_GB2312" w:eastAsia="仿宋_GB2312" w:cs="Times New Roman"/>
          <w:color w:val="000000"/>
          <w:sz w:val="32"/>
          <w:szCs w:val="32"/>
          <w:lang w:val="en-US" w:eastAsia="zh-CN"/>
        </w:rPr>
        <w:t>（类）水利（款）防汛（项）：指防汛业务支出</w:t>
      </w:r>
      <w:r>
        <w:rPr>
          <w:rFonts w:hint="eastAsia" w:ascii="仿宋_GB2312" w:eastAsia="仿宋_GB2312" w:cs="Times New Roman"/>
          <w:color w:val="000000"/>
          <w:sz w:val="32"/>
          <w:szCs w:val="32"/>
          <w:lang w:eastAsia="zh-CN"/>
        </w:rPr>
        <w:t>。</w:t>
      </w:r>
    </w:p>
    <w:p>
      <w:pPr>
        <w:ind w:firstLine="640" w:firstLineChars="200"/>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13</w:t>
      </w:r>
      <w:r>
        <w:rPr>
          <w:rFonts w:hint="eastAsia" w:ascii="仿宋_GB2312"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资源勘探工业信息等支出</w:t>
      </w:r>
      <w:r>
        <w:rPr>
          <w:rFonts w:hint="eastAsia" w:ascii="仿宋_GB2312"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制造业</w:t>
      </w:r>
      <w:r>
        <w:rPr>
          <w:rFonts w:hint="eastAsia" w:ascii="仿宋_GB2312"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其他制造业支出</w:t>
      </w:r>
      <w:r>
        <w:rPr>
          <w:rFonts w:hint="eastAsia" w:ascii="仿宋_GB2312" w:eastAsia="仿宋_GB2312" w:cs="Times New Roman"/>
          <w:color w:val="000000"/>
          <w:sz w:val="32"/>
          <w:szCs w:val="32"/>
          <w:lang w:eastAsia="zh-CN"/>
        </w:rPr>
        <w:t>（项）：</w:t>
      </w:r>
      <w:r>
        <w:rPr>
          <w:rFonts w:hint="eastAsia" w:ascii="仿宋_GB2312" w:eastAsia="仿宋_GB2312" w:cs="Times New Roman"/>
          <w:color w:val="000000"/>
          <w:sz w:val="32"/>
          <w:szCs w:val="32"/>
          <w:lang w:val="en-US" w:eastAsia="zh-CN"/>
        </w:rPr>
        <w:t>指其他用于制造业方面的支出。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14.住房保障支出（类）住房改革支出（款）住房公积金（项）：指行政事业单位</w:t>
      </w:r>
      <w:r>
        <w:rPr>
          <w:rFonts w:hint="eastAsia" w:ascii="仿宋_GB2312" w:eastAsia="仿宋_GB2312" w:cs="Times New Roman"/>
          <w:color w:val="000000"/>
          <w:sz w:val="32"/>
          <w:szCs w:val="32"/>
          <w:lang w:eastAsia="zh-CN"/>
        </w:rPr>
        <w:t>安装工资比例为职工缴纳的住房公积金。</w:t>
      </w:r>
    </w:p>
    <w:p>
      <w:pPr>
        <w:ind w:firstLine="640" w:firstLineChars="200"/>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15.灾害防治及应急管理支出（类）应急管理事务（款）  行政运行（项）：</w:t>
      </w:r>
      <w:r>
        <w:rPr>
          <w:rFonts w:hint="eastAsia" w:ascii="仿宋_GB2312" w:eastAsia="仿宋_GB2312" w:cs="Times New Roman"/>
          <w:color w:val="000000"/>
          <w:sz w:val="32"/>
          <w:szCs w:val="32"/>
          <w:lang w:eastAsia="zh-CN"/>
        </w:rPr>
        <w:t>指</w:t>
      </w:r>
      <w:r>
        <w:rPr>
          <w:rFonts w:hint="eastAsia" w:ascii="仿宋_GB2312" w:eastAsia="仿宋_GB2312" w:cs="Times New Roman"/>
          <w:color w:val="000000"/>
          <w:sz w:val="32"/>
          <w:szCs w:val="32"/>
          <w:lang w:val="en-US" w:eastAsia="zh-CN"/>
        </w:rPr>
        <w:t>行政单位（包括实行公务员管理的事业单位）的基本支出</w:t>
      </w:r>
      <w:r>
        <w:rPr>
          <w:rFonts w:hint="eastAsia" w:ascii="仿宋_GB2312" w:eastAsia="仿宋_GB2312" w:cs="Times New Roman"/>
          <w:color w:val="000000"/>
          <w:sz w:val="32"/>
          <w:szCs w:val="32"/>
          <w:lang w:eastAsia="zh-CN"/>
        </w:rPr>
        <w:t>。</w:t>
      </w:r>
    </w:p>
    <w:p>
      <w:pPr>
        <w:ind w:firstLine="640" w:firstLineChars="200"/>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16.灾害防治及应急管理支出（类）应急管理事务（款）  安全监管（项）：指安全生产监管方面的支出。</w:t>
      </w:r>
    </w:p>
    <w:p>
      <w:pPr>
        <w:ind w:firstLine="640" w:firstLineChars="200"/>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17.灾害防治及应急管理支出（类）应急管理事务（款）  应急管理（项）：指用于应急管理的法律法规制定修改，应急预案演练、协调保障等方面的支出。</w:t>
      </w:r>
    </w:p>
    <w:p>
      <w:pPr>
        <w:ind w:firstLine="640" w:firstLineChars="200"/>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18.灾害防治及应急管理支出（类）应急管理事务（款）  其他应急管理支出（项）：指其他用于应急管理方面的支出。</w:t>
      </w:r>
    </w:p>
    <w:p>
      <w:pPr>
        <w:ind w:firstLine="640" w:firstLineChars="200"/>
        <w:rPr>
          <w:rFonts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19.灾害防治及应急管理支出（类）地震事务（款）其他地震事务支出（项）：指其他用于地震事务支出方面的支出。</w:t>
      </w:r>
    </w:p>
    <w:p>
      <w:pPr>
        <w:ind w:firstLine="640" w:firstLineChars="200"/>
        <w:rPr>
          <w:lang w:val="en-US" w:eastAsia="zh-CN"/>
        </w:rPr>
      </w:pPr>
      <w:r>
        <w:rPr>
          <w:rFonts w:hint="eastAsia" w:ascii="仿宋_GB2312" w:eastAsia="仿宋_GB2312" w:cs="Times New Roman"/>
          <w:color w:val="000000"/>
          <w:sz w:val="32"/>
          <w:szCs w:val="32"/>
          <w:lang w:val="en-US" w:eastAsia="zh-CN"/>
        </w:rPr>
        <w:t>20.灾害防治及应急管理支出（类）自然灾害防治（款）  地质灾害防治（项）：指用于防治地质灾害方面的支出。</w:t>
      </w:r>
    </w:p>
    <w:p>
      <w:pPr>
        <w:ind w:firstLine="640" w:firstLineChars="200"/>
        <w:rPr>
          <w:lang w:val="en-US" w:eastAsia="zh-CN"/>
        </w:rPr>
      </w:pPr>
      <w:r>
        <w:rPr>
          <w:rFonts w:hint="eastAsia" w:ascii="仿宋_GB2312" w:eastAsia="仿宋_GB2312" w:cs="Times New Roman"/>
          <w:color w:val="000000"/>
          <w:sz w:val="32"/>
          <w:szCs w:val="32"/>
          <w:lang w:val="en-US" w:eastAsia="zh-CN"/>
        </w:rPr>
        <w:t>21.灾害防治及应急管理支出（类）自然灾害救灾及恢复重建支出（款）自然灾害救灾补助（项）：指用于应对重大自然灾害应急救援和受灾群众救助的支出。</w:t>
      </w:r>
    </w:p>
    <w:p>
      <w:pPr>
        <w:ind w:firstLine="640" w:firstLineChars="200"/>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22.灾害防治及应急管理支出（类）自然灾害救灾及恢复重建支出（款）自然灾害灾后重建补助（项）：指政府预算安排用于自然灾害恢复重建的补助支出。</w:t>
      </w:r>
    </w:p>
    <w:p>
      <w:pPr>
        <w:ind w:firstLine="640" w:firstLineChars="200"/>
        <w:rPr>
          <w:lang w:val="en-US" w:eastAsia="zh-CN"/>
        </w:rPr>
      </w:pPr>
      <w:r>
        <w:rPr>
          <w:rFonts w:hint="eastAsia" w:ascii="仿宋_GB2312" w:eastAsia="仿宋_GB2312" w:cs="Times New Roman"/>
          <w:color w:val="000000"/>
          <w:sz w:val="32"/>
          <w:szCs w:val="32"/>
          <w:lang w:val="en-US" w:eastAsia="zh-CN"/>
        </w:rPr>
        <w:t>23.灾害防治及应急管理支出（类）其他灾害防治及应急管理支出（款）其他灾害防治及应急管理支出（项）：指指其他用于灾害防治及应急管理支出方面的支出。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24</w:t>
      </w:r>
      <w:r>
        <w:rPr>
          <w:rFonts w:hint="eastAsia" w:ascii="仿宋_GB2312"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25</w:t>
      </w:r>
      <w:r>
        <w:rPr>
          <w:rFonts w:hint="eastAsia" w:ascii="仿宋_GB2312"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eastAsia="zh-CN"/>
        </w:rPr>
        <w:t>2</w:t>
      </w:r>
      <w:r>
        <w:rPr>
          <w:rFonts w:hint="eastAsia" w:ascii="仿宋_GB2312" w:eastAsia="仿宋_GB2312" w:cs="Times New Roman"/>
          <w:color w:val="000000"/>
          <w:sz w:val="32"/>
          <w:szCs w:val="32"/>
          <w:lang w:val="en-US" w:eastAsia="zh-CN"/>
        </w:rPr>
        <w:t>6</w:t>
      </w:r>
      <w:r>
        <w:rPr>
          <w:rFonts w:hint="eastAsia" w:ascii="仿宋_GB2312"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27</w:t>
      </w:r>
      <w:r>
        <w:rPr>
          <w:rFonts w:hint="eastAsia" w:ascii="仿宋_GB2312"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cs="Times New Roman"/>
          <w:color w:val="000000"/>
          <w:sz w:val="32"/>
          <w:szCs w:val="32"/>
          <w:lang w:val="en-US" w:eastAsia="zh-CN"/>
        </w:rPr>
        <w:t>28</w:t>
      </w:r>
      <w:r>
        <w:rPr>
          <w:rFonts w:hint="eastAsia" w:ascii="仿宋_GB2312"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eastAsia="黑体"/>
          <w:b w:val="0"/>
        </w:rPr>
      </w:pPr>
      <w:r>
        <w:rPr>
          <w:rFonts w:ascii="宋体"/>
          <w:b/>
          <w:color w:val="000000"/>
          <w:sz w:val="44"/>
          <w:szCs w:val="44"/>
        </w:rPr>
        <w:br w:type="page"/>
      </w:r>
      <w:bookmarkStart w:id="110" w:name="_Toc31265"/>
      <w:bookmarkStart w:id="111" w:name="_Toc15396614"/>
      <w:bookmarkStart w:id="112" w:name="_Toc79163630"/>
      <w:r>
        <w:rPr>
          <w:rFonts w:hint="eastAsia" w:ascii="黑体" w:eastAsia="黑体"/>
          <w:color w:val="000000"/>
          <w:sz w:val="44"/>
          <w:szCs w:val="44"/>
        </w:rPr>
        <w:t>第</w:t>
      </w:r>
      <w:r>
        <w:rPr>
          <w:rStyle w:val="27"/>
          <w:rFonts w:hint="eastAsia" w:ascii="黑体" w:eastAsia="黑体"/>
          <w:b w:val="0"/>
        </w:rPr>
        <w:t>四部分</w:t>
      </w:r>
      <w:r>
        <w:rPr>
          <w:rStyle w:val="27"/>
          <w:rFonts w:ascii="黑体" w:eastAsia="黑体"/>
          <w:b w:val="0"/>
        </w:rPr>
        <w:t xml:space="preserve"> </w:t>
      </w:r>
      <w:r>
        <w:rPr>
          <w:rStyle w:val="27"/>
          <w:rFonts w:hint="eastAsia" w:ascii="黑体" w:eastAsia="黑体"/>
          <w:b w:val="0"/>
        </w:rPr>
        <w:t>附件</w:t>
      </w:r>
      <w:bookmarkEnd w:id="110"/>
      <w:bookmarkEnd w:id="111"/>
      <w:bookmarkEnd w:id="112"/>
    </w:p>
    <w:p>
      <w:pPr>
        <w:spacing w:line="580" w:lineRule="exact"/>
        <w:ind w:firstLine="640" w:firstLineChars="200"/>
        <w:rPr>
          <w:rFonts w:ascii="仿宋_GB2312" w:eastAsia="仿宋_GB2312" w:cs="仿宋_GB2312"/>
          <w:sz w:val="32"/>
          <w:szCs w:val="32"/>
        </w:rPr>
      </w:pPr>
    </w:p>
    <w:p>
      <w:pPr>
        <w:spacing w:line="600" w:lineRule="exact"/>
        <w:jc w:val="left"/>
        <w:outlineLvl w:val="0"/>
        <w:rPr>
          <w:rFonts w:hint="eastAsia" w:ascii="黑体" w:eastAsia="黑体" w:cs="黑体"/>
          <w:sz w:val="32"/>
          <w:szCs w:val="32"/>
          <w:lang w:eastAsia="zh-CN"/>
        </w:rPr>
      </w:pPr>
      <w:bookmarkStart w:id="113" w:name="_Toc19476"/>
      <w:bookmarkStart w:id="114" w:name="_Toc79163633"/>
      <w:r>
        <w:rPr>
          <w:rFonts w:hint="eastAsia" w:ascii="黑体" w:eastAsia="黑体" w:cs="黑体"/>
          <w:sz w:val="32"/>
          <w:szCs w:val="32"/>
        </w:rPr>
        <w:t>附件</w:t>
      </w:r>
      <w:bookmarkEnd w:id="113"/>
      <w:bookmarkEnd w:id="114"/>
      <w:r>
        <w:rPr>
          <w:rFonts w:hint="eastAsia" w:ascii="黑体" w:eastAsia="黑体" w:cs="黑体"/>
          <w:sz w:val="32"/>
          <w:szCs w:val="32"/>
          <w:lang w:val="en-US" w:eastAsia="zh-CN"/>
        </w:rPr>
        <w:t>1</w:t>
      </w:r>
    </w:p>
    <w:p>
      <w:pPr>
        <w:spacing w:line="360" w:lineRule="auto"/>
        <w:jc w:val="center"/>
        <w:outlineLvl w:val="0"/>
        <w:rPr>
          <w:rFonts w:ascii="等线" w:hAnsi="等线" w:cs="等线"/>
          <w:b/>
          <w:bCs/>
          <w:kern w:val="0"/>
          <w:sz w:val="44"/>
          <w:szCs w:val="44"/>
        </w:rPr>
      </w:pPr>
      <w:bookmarkStart w:id="115" w:name="_Toc79163635"/>
      <w:bookmarkStart w:id="116" w:name="_Toc15396618"/>
      <w:bookmarkStart w:id="117" w:name="_Toc12241"/>
      <w:r>
        <w:rPr>
          <w:rFonts w:hint="eastAsia" w:ascii="等线" w:hAnsi="等线" w:cs="等线"/>
          <w:b/>
          <w:bCs/>
          <w:kern w:val="0"/>
          <w:sz w:val="44"/>
          <w:szCs w:val="44"/>
        </w:rPr>
        <w:t>20</w:t>
      </w:r>
      <w:r>
        <w:rPr>
          <w:rFonts w:hint="eastAsia" w:ascii="等线" w:hAnsi="等线" w:cs="等线"/>
          <w:b/>
          <w:bCs/>
          <w:kern w:val="0"/>
          <w:sz w:val="44"/>
          <w:szCs w:val="44"/>
          <w:lang w:val="en-US" w:eastAsia="zh-CN"/>
        </w:rPr>
        <w:t>21</w:t>
      </w:r>
      <w:r>
        <w:rPr>
          <w:rFonts w:hint="eastAsia" w:ascii="等线" w:hAnsi="等线" w:cs="等线"/>
          <w:b/>
          <w:bCs/>
          <w:kern w:val="0"/>
          <w:sz w:val="44"/>
          <w:szCs w:val="44"/>
        </w:rPr>
        <w:t>年度壤塘县应急管理局</w:t>
      </w:r>
    </w:p>
    <w:p>
      <w:pPr>
        <w:spacing w:line="360" w:lineRule="auto"/>
        <w:jc w:val="center"/>
        <w:outlineLvl w:val="0"/>
        <w:rPr>
          <w:rFonts w:ascii="等线" w:hAnsi="等线" w:cs="等线"/>
          <w:b/>
          <w:bCs/>
          <w:kern w:val="0"/>
          <w:sz w:val="44"/>
          <w:szCs w:val="44"/>
        </w:rPr>
      </w:pPr>
      <w:r>
        <w:rPr>
          <w:rFonts w:hint="eastAsia" w:ascii="等线" w:hAnsi="等线" w:cs="等线"/>
          <w:b/>
          <w:bCs/>
          <w:kern w:val="0"/>
          <w:sz w:val="44"/>
          <w:szCs w:val="44"/>
        </w:rPr>
        <w:t>部门整体支出绩效评价</w:t>
      </w:r>
    </w:p>
    <w:p>
      <w:pPr>
        <w:spacing w:line="360" w:lineRule="auto"/>
        <w:jc w:val="center"/>
        <w:outlineLvl w:val="0"/>
        <w:rPr>
          <w:rFonts w:ascii="等线" w:hAnsi="等线" w:cs="等线"/>
          <w:b/>
          <w:bCs/>
          <w:kern w:val="0"/>
          <w:sz w:val="44"/>
          <w:szCs w:val="44"/>
        </w:rPr>
      </w:pPr>
      <w:r>
        <w:rPr>
          <w:rFonts w:hint="eastAsia" w:ascii="等线" w:hAnsi="等线" w:cs="等线"/>
          <w:b/>
          <w:bCs/>
          <w:kern w:val="0"/>
          <w:sz w:val="44"/>
          <w:szCs w:val="44"/>
        </w:rPr>
        <w:t>自评报告</w:t>
      </w:r>
    </w:p>
    <w:p>
      <w:pPr>
        <w:spacing w:line="360" w:lineRule="auto"/>
        <w:rPr>
          <w:rFonts w:hint="eastAsia" w:ascii="黑体" w:eastAsia="黑体" w:cs="黑体"/>
          <w:kern w:val="0"/>
          <w:szCs w:val="21"/>
        </w:rPr>
      </w:pPr>
    </w:p>
    <w:p>
      <w:pPr>
        <w:spacing w:line="360" w:lineRule="auto"/>
        <w:ind w:left="0" w:firstLine="643" w:firstLineChars="200"/>
        <w:outlineLvl w:val="0"/>
        <w:rPr>
          <w:rFonts w:hint="eastAsia" w:ascii="黑体" w:eastAsia="黑体" w:cs="黑体"/>
          <w:b/>
          <w:bCs/>
          <w:sz w:val="32"/>
          <w:szCs w:val="32"/>
        </w:rPr>
      </w:pPr>
      <w:r>
        <w:rPr>
          <w:rFonts w:ascii="黑体" w:eastAsia="黑体" w:cs="黑体"/>
          <w:b/>
          <w:bCs/>
          <w:kern w:val="0"/>
          <w:sz w:val="32"/>
          <w:szCs w:val="32"/>
        </w:rPr>
        <w:t>一、</w:t>
      </w:r>
      <w:r>
        <w:rPr>
          <w:rFonts w:hint="eastAsia" w:ascii="黑体" w:eastAsia="黑体" w:cs="黑体"/>
          <w:b/>
          <w:bCs/>
          <w:kern w:val="0"/>
          <w:sz w:val="32"/>
          <w:szCs w:val="32"/>
        </w:rPr>
        <w:t>部门（单位）概况</w:t>
      </w:r>
    </w:p>
    <w:p>
      <w:pPr>
        <w:spacing w:line="360" w:lineRule="auto"/>
        <w:ind w:firstLine="640" w:firstLineChars="200"/>
        <w:rPr>
          <w:rFonts w:ascii="仿宋_GB2312" w:eastAsia="仿宋_GB2312" w:cs="仿宋_GB2312"/>
          <w:sz w:val="32"/>
          <w:szCs w:val="32"/>
          <w:highlight w:val="none"/>
        </w:rPr>
      </w:pPr>
      <w:bookmarkStart w:id="118" w:name="_Hlk60216054"/>
      <w:r>
        <w:rPr>
          <w:rFonts w:hint="eastAsia" w:ascii="仿宋_GB2312" w:eastAsia="仿宋_GB2312"/>
          <w:sz w:val="32"/>
          <w:szCs w:val="32"/>
        </w:rPr>
        <w:t>壤塘</w:t>
      </w:r>
      <w:r>
        <w:rPr>
          <w:rFonts w:hint="eastAsia" w:ascii="仿宋_GB2312" w:eastAsia="仿宋_GB2312" w:cs="Times New Roman"/>
          <w:sz w:val="32"/>
          <w:szCs w:val="32"/>
        </w:rPr>
        <w:t>县应急管理局</w:t>
      </w:r>
      <w:bookmarkEnd w:id="118"/>
      <w:r>
        <w:rPr>
          <w:rFonts w:hint="eastAsia" w:ascii="仿宋_GB2312" w:eastAsia="仿宋_GB2312" w:cs="Times New Roman"/>
          <w:sz w:val="32"/>
          <w:szCs w:val="32"/>
        </w:rPr>
        <w:t>(简称县应急局)是县人民政府工作部门，为正科级。</w:t>
      </w:r>
      <w:r>
        <w:rPr>
          <w:rFonts w:hint="eastAsia" w:ascii="仿宋_GB2312" w:eastAsia="仿宋_GB2312" w:cs="仿宋_GB2312"/>
          <w:sz w:val="32"/>
          <w:szCs w:val="32"/>
          <w:highlight w:val="none"/>
        </w:rPr>
        <w:t>机构地址：</w:t>
      </w:r>
      <w:r>
        <w:rPr>
          <w:rFonts w:hint="eastAsia" w:ascii="仿宋_GB2312" w:eastAsia="仿宋_GB2312" w:cs="仿宋_GB2312"/>
          <w:sz w:val="32"/>
          <w:szCs w:val="32"/>
          <w:highlight w:val="none"/>
          <w:lang w:val="en-US" w:eastAsia="zh-CN"/>
        </w:rPr>
        <w:t>四川省阿坝州壤塘县岗木达镇罗吾塘中街33号。</w:t>
      </w:r>
    </w:p>
    <w:p>
      <w:pPr>
        <w:spacing w:line="360" w:lineRule="auto"/>
        <w:ind w:firstLine="643" w:firstLineChars="200"/>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（一）机构组成</w:t>
      </w:r>
    </w:p>
    <w:p>
      <w:pPr>
        <w:pStyle w:val="40"/>
        <w:ind w:firstLine="640" w:firstLineChars="200"/>
        <w:rPr>
          <w:rFonts w:ascii="仿宋_GB2312" w:eastAsia="仿宋_GB2312" w:cs="仿宋_GB2312"/>
          <w:sz w:val="32"/>
          <w:szCs w:val="32"/>
        </w:rPr>
      </w:pPr>
      <w:r>
        <w:rPr>
          <w:rFonts w:hint="eastAsia" w:ascii="仿宋_GB2312" w:eastAsia="仿宋_GB2312" w:cs="仿宋_GB2312"/>
          <w:sz w:val="32"/>
          <w:szCs w:val="32"/>
        </w:rPr>
        <w:t>壤塘县应急管理局下设三个股室（综合股、安监股、应急股），一个指挥中心（应急指挥中心），一个执法中队（安全生产监察执法中队）。下属二级单位</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个，其中行政单位0个，参照公务员法管理的事业单位</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个，其他事业单位0个。</w:t>
      </w:r>
    </w:p>
    <w:p>
      <w:pPr>
        <w:ind w:firstLine="742" w:firstLineChars="231"/>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（二）机构职能</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负责应急管理工作，组织和指导各乡（镇）、各部门（单位）应对安全生产类、自然灾害类等突发事件和综合防灾减灾救灾工作。负责安全生产综合监督管理和工矿商贸安全生产监督管理工作。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拟订应急管理、安全生产等有关规范性文件，组织编制应急体系建设、安全生产和综合防灾减灾规划。</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牵头建立统一的应急管理信息系统，负责信息传输渠道的规划和布局，建立监测预警和灾情报告制度,健全自然灾害信息资源获取和共享机制，依法统一发布灾情。</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负责组织、指导、协调安全生产类、自然灾害类等突发事件应急救援，承担全县应对一般、较大及以上灾害指挥部工作，综合研判突发事件发展态势并提出应对建议，负责组织一般、较大及以上灾害应急处置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统一协调指挥各类应急专业队伍，建立应急协调联动机制，推进指挥平台对接。提请衔接解放军和武警部队参与应急救援工作。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按照国家、省、州相关政策和规定负责消防、森林和草原火灾扑救、抗洪抢险、地震和地质灾害救援、生产安全事故救援等专业应急救援力量建设，依法依规统筹指导各乡（镇）及社会应急救援力量和应急保障能力建设。</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按照国家、省、州相关政策和县委、县政府相关规定负责消防工作，组织和指导消防监督、火灾预防、火灾扑救等工作。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负责自然灾害综合监测预警工作，承担自然灾害综合风险评估工作，指导协调森林和草原火灾、水旱灾害、地震和地质灾害等防治工作。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负责组织、协调灾害救助工作，组织和指导灾情核查、损失评估、救灾捐赠工作， 管理、分配中央、省、州下拨及县级救灾款物并监督使用。</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依法承担县政府安全生产综合监督管理责任，指导协调、监督检查县级有关部门和各乡（镇）政府安全生产工作，组织开展安全生产巡查、督查、考核工作。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按照分级、属地原则，依法监督检查工矿商贸生产经营单位贯彻执行安全生产法律法规情况及其安全生产条件和有关设备（ 特种设备除外）、材料、劳动防护用品的安全生产管理工作。协助做好在县工矿商贸企业安全生产监督管理工作。负责危险化学品综合安全监督管理工作和烟花爆竹安全生产监督管理工作。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承担非煤矿山、危险化学品、非药品类易制毒化学品和烟花爆竹等生产经营单位安全生产准入管理责任。</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依法组织、指导生产安全事故调查处理，监督事故查处和责任追究落实情况。组织开展自然灾害类突发事件的调查评估工作。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开展应急管理和安全生产方面的交流与合作，组织参与安全生产类、自然灾害类等突发事件的跨区域救援工作。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制定应急物资储备和应急救援装备规划并组织实施，会同县发展和改革局等部门建立健全应急物资信息平台和调度拨发制度，在救灾时统一调度。</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负责应急管理、安全生产宣传教育和培训工作， 组织和指导应急管理、 安全生产的科学技术工作。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负责职责范围内的职业健康机构节能减排、审批服务便民化工作。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完成县委和县政府交办的其他工作。</w:t>
      </w:r>
    </w:p>
    <w:p>
      <w:pPr>
        <w:pStyle w:val="2"/>
        <w:rPr>
          <w:rFonts w:ascii="仿宋_GB2312" w:eastAsia="仿宋_GB2312" w:cs="仿宋_GB2312"/>
          <w:sz w:val="32"/>
          <w:szCs w:val="32"/>
        </w:rPr>
      </w:pPr>
      <w:r>
        <w:rPr>
          <w:rFonts w:hint="eastAsia" w:ascii="仿宋_GB2312" w:eastAsia="仿宋_GB2312" w:cs="仿宋_GB2312"/>
          <w:sz w:val="32"/>
          <w:szCs w:val="32"/>
          <w:lang w:val="en-US" w:eastAsia="zh-CN"/>
        </w:rPr>
        <w:t>20.</w:t>
      </w:r>
      <w:r>
        <w:rPr>
          <w:rFonts w:hint="eastAsia" w:ascii="Calibri" w:hAnsi="Calibri" w:eastAsia="仿宋_GB2312" w:cs="Times New Roman"/>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知识普及和自救互救技能，切实减少人员伤亡和财产损失。三是树立安全发展理念，坚持生命至上、安全第一，完善安全生产责任制，</w:t>
      </w:r>
      <w:bookmarkStart w:id="160" w:name="_GoBack"/>
      <w:bookmarkEnd w:id="160"/>
      <w:r>
        <w:rPr>
          <w:rFonts w:hint="eastAsia" w:ascii="Calibri" w:hAnsi="Calibri" w:eastAsia="仿宋_GB2312" w:cs="Times New Roman"/>
          <w:sz w:val="32"/>
          <w:szCs w:val="32"/>
        </w:rPr>
        <w:t>努力杜绝重特大安全事故、遏制较大事故、减少一般事故。</w:t>
      </w:r>
    </w:p>
    <w:p>
      <w:pPr>
        <w:spacing w:line="360" w:lineRule="auto"/>
        <w:ind w:firstLine="482" w:firstLineChars="150"/>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lang w:eastAsia="zh-CN"/>
        </w:rPr>
        <w:t>（三）</w:t>
      </w:r>
      <w:r>
        <w:rPr>
          <w:rFonts w:hint="eastAsia" w:ascii="仿宋_GB2312" w:eastAsia="仿宋_GB2312" w:cs="仿宋_GB2312"/>
          <w:b/>
          <w:bCs/>
          <w:kern w:val="0"/>
          <w:sz w:val="32"/>
          <w:szCs w:val="32"/>
        </w:rPr>
        <w:t>人员概况</w:t>
      </w:r>
    </w:p>
    <w:p>
      <w:pPr>
        <w:pStyle w:val="2"/>
        <w:rPr>
          <w:rFonts w:eastAsia="宋体"/>
          <w:highlight w:val="yellow"/>
          <w:lang w:val="en-US" w:eastAsia="zh-CN"/>
        </w:rPr>
      </w:pPr>
      <w:r>
        <w:rPr>
          <w:rFonts w:hint="eastAsia" w:ascii="仿宋_GB2312" w:eastAsia="仿宋_GB2312" w:cs="仿宋_GB2312"/>
          <w:sz w:val="32"/>
          <w:szCs w:val="32"/>
          <w:lang w:val="en-US" w:eastAsia="zh-CN"/>
        </w:rPr>
        <w:t>截止2021年12月31日，年底在职总人数为2</w:t>
      </w:r>
      <w:r>
        <w:rPr>
          <w:rFonts w:ascii="仿宋_GB2312" w:eastAsia="仿宋_GB2312" w:cs="仿宋_GB2312"/>
          <w:sz w:val="32"/>
          <w:szCs w:val="32"/>
          <w:lang w:val="en-US" w:eastAsia="zh-CN"/>
        </w:rPr>
        <w:t>4</w:t>
      </w:r>
      <w:r>
        <w:rPr>
          <w:rFonts w:hint="eastAsia" w:ascii="仿宋_GB2312" w:eastAsia="仿宋_GB2312" w:cs="仿宋_GB2312"/>
          <w:sz w:val="32"/>
          <w:szCs w:val="32"/>
          <w:lang w:val="en-US" w:eastAsia="zh-CN"/>
        </w:rPr>
        <w:t>人。</w:t>
      </w:r>
    </w:p>
    <w:p>
      <w:pPr>
        <w:spacing w:line="360" w:lineRule="auto"/>
        <w:ind w:firstLine="643" w:firstLineChars="200"/>
        <w:outlineLvl w:val="0"/>
        <w:rPr>
          <w:rFonts w:hint="eastAsia" w:ascii="黑体" w:eastAsia="黑体" w:cs="黑体"/>
          <w:b/>
          <w:bCs/>
          <w:kern w:val="0"/>
          <w:sz w:val="32"/>
          <w:szCs w:val="32"/>
        </w:rPr>
      </w:pPr>
      <w:r>
        <w:rPr>
          <w:rFonts w:hint="eastAsia" w:ascii="黑体" w:eastAsia="黑体" w:cs="黑体"/>
          <w:b/>
          <w:bCs/>
          <w:kern w:val="0"/>
          <w:sz w:val="32"/>
          <w:szCs w:val="32"/>
        </w:rPr>
        <w:t>二、预算管理情况</w:t>
      </w:r>
    </w:p>
    <w:p>
      <w:pPr>
        <w:spacing w:line="360" w:lineRule="auto"/>
        <w:ind w:firstLine="482" w:firstLineChars="150"/>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（一）预算编制情况</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年财政下达壤塘县应急局年初预算收入</w:t>
      </w:r>
      <w:r>
        <w:rPr>
          <w:rFonts w:hint="eastAsia" w:ascii="仿宋_GB2312" w:eastAsia="仿宋_GB2312" w:cs="仿宋_GB2312"/>
          <w:sz w:val="32"/>
          <w:szCs w:val="32"/>
          <w:lang w:val="en-US" w:eastAsia="zh-CN"/>
        </w:rPr>
        <w:t>516.54</w:t>
      </w:r>
      <w:r>
        <w:rPr>
          <w:rFonts w:hint="eastAsia" w:ascii="仿宋_GB2312" w:eastAsia="仿宋_GB2312" w:cs="仿宋_GB2312"/>
          <w:sz w:val="32"/>
          <w:szCs w:val="32"/>
        </w:rPr>
        <w:t xml:space="preserve">万元。   </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2021年</w:t>
      </w:r>
      <w:r>
        <w:rPr>
          <w:rFonts w:hint="eastAsia" w:ascii="仿宋_GB2312" w:eastAsia="仿宋_GB2312" w:cs="仿宋_GB2312"/>
          <w:sz w:val="32"/>
          <w:szCs w:val="32"/>
        </w:rPr>
        <w:t>壤塘县应急局共计预算支出</w:t>
      </w:r>
      <w:r>
        <w:rPr>
          <w:rFonts w:hint="eastAsia" w:ascii="仿宋_GB2312" w:eastAsia="仿宋_GB2312" w:cs="仿宋_GB2312"/>
          <w:sz w:val="32"/>
          <w:szCs w:val="32"/>
          <w:lang w:val="en-US" w:eastAsia="zh-CN"/>
        </w:rPr>
        <w:t>516.54</w:t>
      </w:r>
      <w:r>
        <w:rPr>
          <w:rFonts w:hint="eastAsia" w:ascii="仿宋_GB2312" w:eastAsia="仿宋_GB2312" w:cs="仿宋_GB2312"/>
          <w:sz w:val="32"/>
          <w:szCs w:val="32"/>
        </w:rPr>
        <w:t>万元，基本支出</w:t>
      </w:r>
      <w:r>
        <w:rPr>
          <w:rFonts w:hint="eastAsia" w:ascii="仿宋_GB2312" w:eastAsia="仿宋_GB2312" w:cs="仿宋_GB2312"/>
          <w:sz w:val="32"/>
          <w:szCs w:val="32"/>
          <w:lang w:val="en-US" w:eastAsia="zh-CN"/>
        </w:rPr>
        <w:t>447.26</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69.28</w:t>
      </w:r>
      <w:r>
        <w:rPr>
          <w:rFonts w:hint="eastAsia" w:ascii="仿宋_GB2312" w:eastAsia="仿宋_GB2312" w:cs="仿宋_GB2312"/>
          <w:sz w:val="32"/>
          <w:szCs w:val="32"/>
        </w:rPr>
        <w:t>万元。</w:t>
      </w:r>
    </w:p>
    <w:p>
      <w:pPr>
        <w:numPr>
          <w:ilvl w:val="0"/>
          <w:numId w:val="5"/>
        </w:numPr>
        <w:spacing w:line="360" w:lineRule="auto"/>
        <w:ind w:left="0" w:firstLine="643" w:firstLineChars="200"/>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预算执行情况</w:t>
      </w:r>
    </w:p>
    <w:p>
      <w:pPr>
        <w:spacing w:line="360" w:lineRule="auto"/>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壤塘县应急局20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年财政拨款数为</w:t>
      </w:r>
      <w:r>
        <w:rPr>
          <w:rFonts w:hint="eastAsia" w:ascii="仿宋_GB2312" w:eastAsia="仿宋_GB2312" w:cs="仿宋_GB2312"/>
          <w:sz w:val="32"/>
          <w:szCs w:val="32"/>
          <w:lang w:val="en-US" w:eastAsia="zh-CN"/>
        </w:rPr>
        <w:t>1649.5</w:t>
      </w:r>
      <w:r>
        <w:rPr>
          <w:rFonts w:hint="eastAsia" w:ascii="仿宋_GB2312" w:eastAsia="仿宋_GB2312" w:cs="仿宋_GB2312"/>
          <w:sz w:val="32"/>
          <w:szCs w:val="32"/>
        </w:rPr>
        <w:t>万元，本年度无结余。其中基本支出</w:t>
      </w:r>
      <w:r>
        <w:rPr>
          <w:rFonts w:hint="eastAsia" w:ascii="仿宋_GB2312" w:eastAsia="仿宋_GB2312" w:cs="仿宋_GB2312"/>
          <w:sz w:val="32"/>
          <w:szCs w:val="32"/>
          <w:lang w:val="en-US" w:eastAsia="zh-CN"/>
        </w:rPr>
        <w:t>609.31</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1040.18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相比2020年，2021年收入增加266.3万元，同比增长19.25%。</w:t>
      </w:r>
    </w:p>
    <w:p>
      <w:pPr>
        <w:spacing w:line="360" w:lineRule="auto"/>
        <w:ind w:firstLine="643" w:firstLineChars="200"/>
        <w:outlineLvl w:val="0"/>
        <w:rPr>
          <w:rFonts w:hint="eastAsia" w:ascii="黑体" w:eastAsia="黑体" w:cs="黑体"/>
          <w:b/>
          <w:bCs/>
          <w:kern w:val="0"/>
          <w:sz w:val="32"/>
          <w:szCs w:val="32"/>
        </w:rPr>
      </w:pPr>
      <w:r>
        <w:rPr>
          <w:rFonts w:hint="eastAsia" w:ascii="黑体" w:eastAsia="黑体" w:cs="黑体"/>
          <w:b/>
          <w:bCs/>
          <w:kern w:val="0"/>
          <w:sz w:val="32"/>
          <w:szCs w:val="32"/>
        </w:rPr>
        <w:t>三、部门管理情况</w:t>
      </w:r>
    </w:p>
    <w:p>
      <w:pPr>
        <w:pStyle w:val="2"/>
        <w:spacing w:line="360" w:lineRule="auto"/>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（一）基础管理</w:t>
      </w:r>
    </w:p>
    <w:p>
      <w:pPr>
        <w:pStyle w:val="2"/>
        <w:spacing w:line="360" w:lineRule="auto"/>
        <w:outlineLvl w:val="2"/>
        <w:rPr>
          <w:rFonts w:ascii="仿宋_GB2312" w:eastAsia="仿宋_GB2312" w:cs="仿宋_GB2312"/>
          <w:kern w:val="0"/>
          <w:sz w:val="32"/>
          <w:szCs w:val="32"/>
        </w:rPr>
      </w:pPr>
      <w:r>
        <w:rPr>
          <w:rFonts w:hint="eastAsia" w:ascii="仿宋_GB2312" w:eastAsia="仿宋_GB2312" w:cs="仿宋_GB2312"/>
          <w:b/>
          <w:bCs/>
          <w:kern w:val="0"/>
          <w:sz w:val="32"/>
          <w:szCs w:val="32"/>
        </w:rPr>
        <w:t>1</w:t>
      </w:r>
      <w:r>
        <w:rPr>
          <w:rFonts w:hint="eastAsia" w:ascii="仿宋_GB2312" w:eastAsia="仿宋_GB2312" w:cs="仿宋_GB2312"/>
          <w:b/>
          <w:bCs/>
          <w:kern w:val="0"/>
          <w:sz w:val="32"/>
          <w:szCs w:val="32"/>
          <w:lang w:eastAsia="zh-CN"/>
        </w:rPr>
        <w:t>.</w:t>
      </w:r>
      <w:r>
        <w:rPr>
          <w:rFonts w:hint="eastAsia" w:ascii="仿宋_GB2312" w:eastAsia="仿宋_GB2312" w:cs="仿宋_GB2312"/>
          <w:b/>
          <w:bCs/>
          <w:kern w:val="0"/>
          <w:sz w:val="32"/>
          <w:szCs w:val="32"/>
        </w:rPr>
        <w:t>管理制度健全性</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壤塘县应急局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
        <w:spacing w:line="360" w:lineRule="auto"/>
        <w:ind w:left="420" w:leftChars="200" w:firstLine="0" w:firstLineChars="0"/>
        <w:outlineLvl w:val="2"/>
        <w:rPr>
          <w:rFonts w:ascii="仿宋_GB2312" w:eastAsia="仿宋_GB2312" w:cs="仿宋_GB2312"/>
          <w:b/>
          <w:bCs/>
          <w:kern w:val="0"/>
          <w:sz w:val="32"/>
          <w:szCs w:val="32"/>
        </w:rPr>
      </w:pPr>
      <w:r>
        <w:rPr>
          <w:rFonts w:hint="eastAsia" w:ascii="仿宋_GB2312" w:eastAsia="仿宋_GB2312" w:cs="仿宋_GB2312"/>
          <w:b/>
          <w:bCs/>
          <w:kern w:val="0"/>
          <w:sz w:val="32"/>
          <w:szCs w:val="32"/>
        </w:rPr>
        <w:t>2、财务管理以及资金使用合规性</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壤塘县应急局本年度收到预算资金</w:t>
      </w:r>
      <w:r>
        <w:rPr>
          <w:rFonts w:hint="eastAsia" w:ascii="仿宋_GB2312" w:eastAsia="仿宋_GB2312" w:cs="仿宋_GB2312"/>
          <w:sz w:val="32"/>
          <w:szCs w:val="32"/>
          <w:lang w:val="en-US" w:eastAsia="zh-CN"/>
        </w:rPr>
        <w:t>1649.5</w:t>
      </w:r>
      <w:r>
        <w:rPr>
          <w:rFonts w:hint="eastAsia" w:ascii="仿宋_GB2312" w:eastAsia="仿宋_GB2312" w:cs="仿宋_GB2312"/>
          <w:sz w:val="32"/>
          <w:szCs w:val="32"/>
        </w:rPr>
        <w:t>万元，实际使用</w:t>
      </w:r>
      <w:r>
        <w:rPr>
          <w:rFonts w:hint="eastAsia" w:ascii="仿宋_GB2312" w:eastAsia="仿宋_GB2312" w:cs="仿宋_GB2312"/>
          <w:sz w:val="32"/>
          <w:szCs w:val="32"/>
          <w:lang w:val="en-US" w:eastAsia="zh-CN"/>
        </w:rPr>
        <w:t>1649.5</w:t>
      </w:r>
      <w:r>
        <w:rPr>
          <w:rFonts w:hint="eastAsia" w:ascii="仿宋_GB2312" w:eastAsia="仿宋_GB2312" w:cs="仿宋_GB2312"/>
          <w:sz w:val="32"/>
          <w:szCs w:val="32"/>
        </w:rPr>
        <w:t>万元。资金使用过程中严格按照单位财务管理制度要求执行，资金使用的合规性体现在：</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1.所有经费开支坚持财务审批制度，重大资金支出（日常公用经费在2万元及以上）由局党组会研究决定。</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2.在报销经费时，经办人使用统一规范的审批单，在审批单上写明用途、经办人员、证明人员、股室负责人、金额、报销日期、单据张数等内容。</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3.费用报销审批程序  </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经办人填写《</w:t>
      </w:r>
      <w:r>
        <w:rPr>
          <w:rFonts w:hint="eastAsia" w:ascii="仿宋_GB2312" w:eastAsia="仿宋_GB2312" w:cs="仿宋_GB2312"/>
          <w:sz w:val="32"/>
          <w:szCs w:val="32"/>
          <w:lang w:eastAsia="zh-CN"/>
        </w:rPr>
        <w:t>费用报销单</w:t>
      </w:r>
      <w:r>
        <w:rPr>
          <w:rFonts w:hint="eastAsia" w:ascii="仿宋_GB2312" w:eastAsia="仿宋_GB2312" w:cs="仿宋_GB2312"/>
          <w:sz w:val="32"/>
          <w:szCs w:val="32"/>
        </w:rPr>
        <w:t>》→</w:t>
      </w:r>
      <w:r>
        <w:rPr>
          <w:rFonts w:hint="eastAsia" w:ascii="仿宋_GB2312" w:eastAsia="仿宋_GB2312" w:cs="仿宋_GB2312"/>
          <w:sz w:val="32"/>
          <w:szCs w:val="32"/>
          <w:lang w:eastAsia="zh-CN"/>
        </w:rPr>
        <w:t>办公室签字</w:t>
      </w:r>
      <w:r>
        <w:rPr>
          <w:rFonts w:hint="eastAsia" w:ascii="仿宋_GB2312" w:eastAsia="仿宋_GB2312" w:cs="仿宋_GB2312"/>
          <w:sz w:val="32"/>
          <w:szCs w:val="32"/>
        </w:rPr>
        <w:t>→</w:t>
      </w:r>
      <w:r>
        <w:rPr>
          <w:rFonts w:hint="eastAsia" w:ascii="仿宋_GB2312" w:eastAsia="仿宋_GB2312" w:cs="仿宋_GB2312"/>
          <w:sz w:val="32"/>
          <w:szCs w:val="32"/>
          <w:lang w:eastAsia="zh-CN"/>
        </w:rPr>
        <w:t>会计审核签字</w:t>
      </w:r>
      <w:r>
        <w:rPr>
          <w:rFonts w:hint="eastAsia" w:ascii="仿宋_GB2312" w:eastAsia="仿宋_GB2312" w:cs="仿宋_GB2312"/>
          <w:sz w:val="32"/>
          <w:szCs w:val="32"/>
        </w:rPr>
        <w:t>→财务负责人确认签字→局长批准后，到办公室出纳处办理支付手续。</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各个审批环节的具体职责：</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财务负责人及其分管领导对其发生的支出用途及金额的真实性、准确性负责，并对其股室填写的支出审批单内容、大小写金额、票据张数进行审核。经济业务发生后，原则上在15天之内报账完毕。不得将几个经济事项的票据合并填报。</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出纳、会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出纳、会计有权拒绝受理。</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领导审查财务收支的真实性、合法性、必要性，并在报销凭证上明确签署报销意见。</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所有费用报销实行</w:t>
      </w:r>
      <w:r>
        <w:rPr>
          <w:rFonts w:hint="eastAsia" w:ascii="仿宋_GB2312" w:eastAsia="仿宋_GB2312" w:cs="仿宋_GB2312"/>
          <w:sz w:val="32"/>
          <w:szCs w:val="32"/>
          <w:lang w:eastAsia="zh-CN"/>
        </w:rPr>
        <w:t>局长</w:t>
      </w:r>
      <w:r>
        <w:rPr>
          <w:rFonts w:hint="eastAsia" w:ascii="仿宋_GB2312" w:eastAsia="仿宋_GB2312" w:cs="仿宋_GB2312"/>
          <w:sz w:val="32"/>
          <w:szCs w:val="32"/>
        </w:rPr>
        <w:t>“一支笔”签批制度。</w:t>
      </w:r>
    </w:p>
    <w:p>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spacing w:line="360" w:lineRule="auto"/>
        <w:ind w:firstLine="643" w:firstLineChars="200"/>
        <w:outlineLvl w:val="2"/>
        <w:rPr>
          <w:rFonts w:ascii="仿宋_GB2312" w:eastAsia="仿宋_GB2312" w:cs="仿宋_GB2312"/>
          <w:b/>
          <w:bCs/>
          <w:kern w:val="0"/>
          <w:sz w:val="32"/>
          <w:szCs w:val="32"/>
        </w:rPr>
      </w:pPr>
      <w:r>
        <w:rPr>
          <w:rFonts w:hint="eastAsia" w:ascii="仿宋_GB2312" w:eastAsia="仿宋_GB2312" w:cs="仿宋_GB2312"/>
          <w:b/>
          <w:bCs/>
          <w:kern w:val="0"/>
          <w:sz w:val="32"/>
          <w:szCs w:val="32"/>
        </w:rPr>
        <w:t>3、财务监控有效性</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综合股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pStyle w:val="2"/>
        <w:spacing w:line="360" w:lineRule="auto"/>
        <w:rPr>
          <w:rFonts w:ascii="仿宋_GB2312" w:eastAsia="仿宋_GB2312" w:cs="仿宋_GB2312"/>
          <w:kern w:val="0"/>
          <w:sz w:val="32"/>
          <w:szCs w:val="32"/>
        </w:rPr>
      </w:pPr>
      <w:r>
        <w:rPr>
          <w:rFonts w:hint="eastAsia" w:ascii="仿宋_GB2312" w:eastAsia="仿宋_GB2312" w:cs="仿宋_GB2312"/>
          <w:sz w:val="32"/>
          <w:szCs w:val="32"/>
        </w:rPr>
        <w:t>壤塘县应急局制定的管理制度，包括不限于财务管理制度、采购管理制度，监控、监督措施执行有效，</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度壤塘县应急局财务人员按要求执行了监控职能。</w:t>
      </w:r>
    </w:p>
    <w:p>
      <w:pPr>
        <w:pStyle w:val="2"/>
        <w:spacing w:line="360" w:lineRule="auto"/>
        <w:outlineLvl w:val="1"/>
        <w:rPr>
          <w:rFonts w:ascii="仿宋_GB2312" w:eastAsia="仿宋_GB2312" w:cs="仿宋_GB2312"/>
          <w:b/>
          <w:bCs/>
          <w:sz w:val="32"/>
          <w:szCs w:val="32"/>
        </w:rPr>
      </w:pPr>
      <w:r>
        <w:rPr>
          <w:rFonts w:hint="eastAsia" w:ascii="仿宋_GB2312" w:eastAsia="仿宋_GB2312" w:cs="仿宋_GB2312"/>
          <w:b/>
          <w:bCs/>
          <w:kern w:val="0"/>
          <w:sz w:val="32"/>
          <w:szCs w:val="32"/>
        </w:rPr>
        <w:t>（二）行政成本</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“三公”经费控制。壤塘县应急局</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“三公”经费预算</w:t>
      </w:r>
      <w:r>
        <w:rPr>
          <w:rFonts w:hint="eastAsia" w:ascii="仿宋_GB2312" w:eastAsia="仿宋_GB2312" w:cs="仿宋_GB2312"/>
          <w:sz w:val="32"/>
          <w:szCs w:val="32"/>
          <w:lang w:val="en-US" w:eastAsia="zh-CN"/>
        </w:rPr>
        <w:t>55.73</w:t>
      </w:r>
      <w:r>
        <w:rPr>
          <w:rFonts w:hint="eastAsia" w:ascii="仿宋_GB2312" w:eastAsia="仿宋_GB2312" w:cs="仿宋_GB2312"/>
          <w:sz w:val="32"/>
          <w:szCs w:val="32"/>
        </w:rPr>
        <w:t>万元，决算支</w:t>
      </w:r>
      <w:r>
        <w:rPr>
          <w:rFonts w:hint="eastAsia" w:ascii="仿宋_GB2312" w:eastAsia="仿宋_GB2312" w:cs="仿宋_GB2312"/>
          <w:sz w:val="32"/>
          <w:szCs w:val="32"/>
          <w:lang w:val="en-US" w:eastAsia="zh-CN"/>
        </w:rPr>
        <w:t>55.73</w:t>
      </w:r>
      <w:r>
        <w:rPr>
          <w:rFonts w:hint="eastAsia" w:ascii="仿宋_GB2312" w:eastAsia="仿宋_GB2312" w:cs="仿宋_GB2312"/>
          <w:sz w:val="32"/>
          <w:szCs w:val="32"/>
        </w:rPr>
        <w:t>万元。其中公务用车购置费</w:t>
      </w:r>
      <w:r>
        <w:rPr>
          <w:rFonts w:hint="eastAsia" w:ascii="仿宋_GB2312" w:eastAsia="仿宋_GB2312" w:cs="仿宋_GB2312"/>
          <w:sz w:val="32"/>
          <w:szCs w:val="32"/>
          <w:lang w:val="en-US" w:eastAsia="zh-CN"/>
        </w:rPr>
        <w:t>支出39.97</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公务用车运行维护费</w:t>
      </w:r>
      <w:r>
        <w:rPr>
          <w:rFonts w:hint="eastAsia" w:ascii="仿宋_GB2312" w:eastAsia="仿宋_GB2312" w:cs="仿宋_GB2312"/>
          <w:sz w:val="32"/>
          <w:szCs w:val="32"/>
        </w:rPr>
        <w:t>支出</w:t>
      </w:r>
      <w:r>
        <w:rPr>
          <w:rFonts w:hint="eastAsia" w:ascii="仿宋_GB2312" w:eastAsia="仿宋_GB2312" w:cs="仿宋_GB2312"/>
          <w:sz w:val="32"/>
          <w:szCs w:val="32"/>
          <w:lang w:val="en-US" w:eastAsia="zh-CN"/>
        </w:rPr>
        <w:t>15.76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“三公”经费决算均未超过预算。</w:t>
      </w:r>
    </w:p>
    <w:p>
      <w:pPr>
        <w:pStyle w:val="2"/>
        <w:spacing w:line="360" w:lineRule="auto"/>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（三）政府采购</w:t>
      </w:r>
    </w:p>
    <w:p>
      <w:pPr>
        <w:snapToGrid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2021年</w:t>
      </w:r>
      <w:r>
        <w:rPr>
          <w:rFonts w:hint="eastAsia" w:ascii="仿宋_GB2312" w:eastAsia="仿宋_GB2312" w:cs="仿宋_GB2312"/>
          <w:sz w:val="32"/>
          <w:szCs w:val="32"/>
        </w:rPr>
        <w:t>壤塘县应急局发生政府采购</w:t>
      </w:r>
      <w:r>
        <w:rPr>
          <w:rFonts w:hint="eastAsia" w:ascii="仿宋_GB2312" w:eastAsia="仿宋_GB2312" w:cs="仿宋_GB2312"/>
          <w:sz w:val="32"/>
          <w:szCs w:val="32"/>
          <w:lang w:val="en-US" w:eastAsia="zh-CN"/>
        </w:rPr>
        <w:t>支出总额为8.68万元，均为采购服务支出</w:t>
      </w:r>
      <w:r>
        <w:rPr>
          <w:rFonts w:hint="eastAsia" w:ascii="仿宋_GB2312" w:eastAsia="仿宋_GB2312" w:cs="仿宋_GB2312"/>
          <w:sz w:val="32"/>
          <w:szCs w:val="32"/>
        </w:rPr>
        <w:t>。</w:t>
      </w:r>
    </w:p>
    <w:p>
      <w:pPr>
        <w:snapToGrid w:val="0"/>
        <w:spacing w:line="360" w:lineRule="auto"/>
        <w:ind w:left="0" w:firstLine="482" w:firstLineChars="150"/>
        <w:outlineLvl w:val="1"/>
        <w:rPr>
          <w:rFonts w:ascii="仿宋_GB2312" w:eastAsia="仿宋_GB2312" w:cs="仿宋_GB2312"/>
          <w:b/>
          <w:bCs/>
          <w:sz w:val="32"/>
          <w:szCs w:val="32"/>
        </w:rPr>
      </w:pPr>
      <w:r>
        <w:rPr>
          <w:rFonts w:ascii="仿宋_GB2312" w:eastAsia="仿宋_GB2312" w:cs="仿宋_GB2312"/>
          <w:b/>
          <w:bCs/>
          <w:kern w:val="0"/>
          <w:sz w:val="32"/>
          <w:szCs w:val="32"/>
        </w:rPr>
        <w:t>（四）</w:t>
      </w:r>
      <w:r>
        <w:rPr>
          <w:rFonts w:hint="eastAsia" w:ascii="仿宋_GB2312" w:eastAsia="仿宋_GB2312" w:cs="仿宋_GB2312"/>
          <w:b/>
          <w:bCs/>
          <w:kern w:val="0"/>
          <w:sz w:val="32"/>
          <w:szCs w:val="32"/>
        </w:rPr>
        <w:t xml:space="preserve">资产管理 </w:t>
      </w:r>
      <w:r>
        <w:rPr>
          <w:rFonts w:hint="eastAsia" w:ascii="仿宋_GB2312" w:eastAsia="仿宋_GB2312" w:cs="仿宋_GB2312"/>
          <w:b/>
          <w:bCs/>
          <w:sz w:val="32"/>
          <w:szCs w:val="32"/>
        </w:rPr>
        <w:t xml:space="preserve"> </w:t>
      </w:r>
    </w:p>
    <w:p>
      <w:pPr>
        <w:snapToGrid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固定资产在用率。截止</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12月31日，壤塘县应急局《行政单位资产管理系统》固定资产总计</w:t>
      </w:r>
      <w:r>
        <w:rPr>
          <w:rFonts w:hint="eastAsia" w:ascii="仿宋_GB2312" w:eastAsia="仿宋_GB2312" w:cs="仿宋_GB2312"/>
          <w:sz w:val="32"/>
          <w:szCs w:val="32"/>
          <w:lang w:val="en-US" w:eastAsia="zh-CN"/>
        </w:rPr>
        <w:t>228.52</w:t>
      </w:r>
      <w:r>
        <w:rPr>
          <w:rFonts w:hint="eastAsia" w:ascii="仿宋_GB2312" w:eastAsia="仿宋_GB2312" w:cs="仿宋_GB2312"/>
          <w:sz w:val="32"/>
          <w:szCs w:val="32"/>
        </w:rPr>
        <w:t>万元，在用的固定资产总计</w:t>
      </w:r>
      <w:r>
        <w:rPr>
          <w:rFonts w:hint="eastAsia" w:ascii="仿宋_GB2312" w:eastAsia="仿宋_GB2312" w:cs="仿宋_GB2312"/>
          <w:sz w:val="32"/>
          <w:szCs w:val="32"/>
          <w:lang w:val="en-US" w:eastAsia="zh-CN"/>
        </w:rPr>
        <w:t>228.52</w:t>
      </w:r>
      <w:r>
        <w:rPr>
          <w:rFonts w:hint="eastAsia" w:ascii="仿宋_GB2312" w:eastAsia="仿宋_GB2312" w:cs="仿宋_GB2312"/>
          <w:sz w:val="32"/>
          <w:szCs w:val="32"/>
        </w:rPr>
        <w:t>万元，固定资产在用率达100%。</w:t>
      </w:r>
    </w:p>
    <w:p>
      <w:pPr>
        <w:pStyle w:val="2"/>
        <w:spacing w:line="360" w:lineRule="auto"/>
        <w:ind w:left="420" w:leftChars="200" w:firstLine="0" w:firstLineChars="0"/>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（五）信息公开</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信息公开。壤塘县应急局已经按财政要求及时完成预算、决算、绩效等信息公开工作，信息公开在壤塘县人民政府门户网站中。</w:t>
      </w:r>
    </w:p>
    <w:p>
      <w:pPr>
        <w:pStyle w:val="2"/>
        <w:spacing w:line="360" w:lineRule="auto"/>
        <w:ind w:firstLine="643" w:firstLineChars="200"/>
        <w:outlineLvl w:val="0"/>
        <w:rPr>
          <w:rFonts w:hint="eastAsia" w:ascii="黑体" w:eastAsia="黑体" w:cs="黑体"/>
          <w:b/>
          <w:bCs/>
          <w:kern w:val="0"/>
          <w:sz w:val="32"/>
          <w:szCs w:val="32"/>
        </w:rPr>
      </w:pPr>
      <w:r>
        <w:rPr>
          <w:rFonts w:hint="eastAsia" w:ascii="黑体" w:eastAsia="黑体" w:cs="黑体"/>
          <w:b/>
          <w:bCs/>
          <w:kern w:val="0"/>
          <w:sz w:val="32"/>
          <w:szCs w:val="32"/>
        </w:rPr>
        <w:t>四、部门履职效能</w:t>
      </w:r>
    </w:p>
    <w:p>
      <w:pPr>
        <w:pStyle w:val="2"/>
        <w:spacing w:line="360" w:lineRule="auto"/>
        <w:ind w:firstLine="0" w:firstLineChars="0"/>
        <w:outlineLvl w:val="1"/>
        <w:rPr>
          <w:rFonts w:ascii="仿宋_GB2312" w:eastAsia="仿宋_GB2312" w:cs="仿宋_GB2312"/>
          <w:b/>
          <w:bCs/>
          <w:kern w:val="0"/>
          <w:sz w:val="32"/>
          <w:szCs w:val="32"/>
        </w:rPr>
      </w:pPr>
      <w:r>
        <w:rPr>
          <w:rFonts w:hint="eastAsia" w:ascii="仿宋_GB2312" w:eastAsia="仿宋_GB2312" w:cs="仿宋_GB2312"/>
          <w:kern w:val="0"/>
          <w:sz w:val="32"/>
          <w:szCs w:val="32"/>
        </w:rPr>
        <w:t xml:space="preserve">   </w:t>
      </w:r>
      <w:r>
        <w:rPr>
          <w:rFonts w:hint="eastAsia" w:ascii="仿宋_GB2312" w:eastAsia="仿宋_GB2312" w:cs="仿宋_GB2312"/>
          <w:b/>
          <w:bCs/>
          <w:kern w:val="0"/>
          <w:sz w:val="32"/>
          <w:szCs w:val="32"/>
        </w:rPr>
        <w:t>（一）部门履职的年度总体目标</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负责应急管理工作，组织和指导各乡（镇）、各部门（单位）应对安全生产类、自然灾害类等突发事件和综合防灾减灾救灾工作。负责安全生产综合监督管理和工矿商贸安全生产监督管理工作。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拟订应急管理、安全生产等有关规范性文件，组织编制应急体系建设、安全生产和综合防灾减灾规划。</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牵头建立统一的应急管理信息系统，负责信息传输渠道的规划和布局，建立监测预警和灾情报告制度,健全自然灾害信息资源获取和共享机制，依法统一发布灾情。</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负责组织、指导、协调安全生产类、自然灾害类等突发事件应急救援，承担全县应对一般、较大及以上灾害指挥部工作，综合研判突发事件发展态势并提出应对建议，负责组织一般、较大及以上灾害应急处置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统一协调指挥各类应急专业队伍，建立应急协调联动机制，推进指挥平台对接。提请衔接解放军和武警部队参与应急救援工作。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按照国家、省、州相关政策和规定负责消防、森林和草原火灾扑救、抗洪抢险、地震和地质灾害救援、生产安全事故救援等专业应急救援力量建设，依法依规统筹指导各乡（镇）及社会应急救援力量和应急保障能力建设。</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按照国家、省、州相关政策和县委、县政府相关规定负责消防工作，组织和指导消防监督、火灾预防、火灾扑救等工作。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负责自然灾害综合监测预警工作，承担自然灾害综合风险评估工作，指导协调森林和草原火灾、水旱灾害、地震和地质灾害等防治工作。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负责组织、协调灾害救助工作，组织和指导灾情核查、损失评估、救灾捐赠工作， 管理、分配中央、省、州下拨及县级救灾款物并监督使用。</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依法承担县政府安全生产综合监督管理责任，指导协调、监督检查县级有关部门和各乡（镇）政府安全生产工作，组织开展安全生产巡查、督查、考核工作。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按照分级、属地原则，依法监督检查工矿商贸生产经营单位贯彻执行安全生产法律法规情况及其安全生产条件和有关设备（ 特种设备除外）、材料、劳动防护用品的安全生产管理工作。协助做好在县工矿商贸企业安全生产监督管理工作。负责危险化学品综合安全监督管理工作和烟花爆竹安全生产监督管理工作。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承担非煤矿山、危险化学品、非药品类易制毒化学品和烟花爆竹等生产经营单位安全生产准入管理责任。</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依法组织、指导生产安全事故调查处理，监督事故查处和责任追究落实情况。组织开展自然灾害类突发事件的调查评估工作。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开展应急管理和安全生产方面的交流与合作，组织参与安全生产类、自然灾害类等突发事件的跨区域救援工作。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制定应急物资储备和应急救援装备规划并组织实施，会同县发展和改革局等部门建立健全应急物资信息平台和调度拨发制度，在救灾时统一调度。</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负责应急管理、安全生产宣传教育和培训工作， 组织和指导应急管理、 安全生产的科学技术工作。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负责职责范围内的职业健康机构节能减排、审批服务便民化工作。</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完成县委和县政府交办的其他工作。</w:t>
      </w:r>
    </w:p>
    <w:p>
      <w:pPr>
        <w:spacing w:line="540" w:lineRule="exact"/>
        <w:ind w:firstLine="640" w:firstLineChars="200"/>
        <w:rPr>
          <w:rFonts w:ascii="Times New Roman" w:hAnsi="Times New Roman" w:eastAsia="宋体" w:cs="Times New Roman"/>
          <w:szCs w:val="24"/>
        </w:rPr>
      </w:pP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 xml:space="preserve">职能转变加强、优化、统一领导、权责一致、权威高效的应急能指挥、专常兼备、反应灵敏、上下联动、应急管理体制。一是坚持以防为主、 防抗和非常态救灾相统一， 努力实现从注重灾转变，从应对单一灾种向综合减灾转变，灾害风险转变，提高全县应急管理水平和范化解重特大安全风险。二是坚持以人生命财产安全放在首位，确保受灾群众基本练，增强全民防灾减灾意识，提升公众知切实减少人员 伤亡和财产损失。三是树立命至上、安全第一，完善安全生产责任制事故、遏制较大事故、减少一般事故。 </w:t>
      </w:r>
    </w:p>
    <w:p>
      <w:pPr>
        <w:widowControl/>
        <w:spacing w:line="360" w:lineRule="auto"/>
        <w:ind w:firstLine="643" w:firstLineChars="200"/>
        <w:jc w:val="left"/>
        <w:outlineLvl w:val="1"/>
        <w:rPr>
          <w:rFonts w:ascii="仿宋_GB2312" w:eastAsia="仿宋_GB2312" w:cs="仿宋_GB2312"/>
          <w:b/>
          <w:bCs/>
          <w:kern w:val="0"/>
          <w:sz w:val="32"/>
          <w:szCs w:val="32"/>
        </w:rPr>
      </w:pPr>
      <w:r>
        <w:rPr>
          <w:rFonts w:hint="eastAsia" w:ascii="仿宋_GB2312" w:eastAsia="仿宋_GB2312" w:cs="仿宋_GB2312"/>
          <w:b/>
          <w:bCs/>
          <w:kern w:val="0"/>
          <w:sz w:val="32"/>
          <w:szCs w:val="32"/>
        </w:rPr>
        <w:t>（二）重点工作任务绩效目标完成情况</w:t>
      </w:r>
    </w:p>
    <w:p>
      <w:pPr>
        <w:tabs>
          <w:tab w:val="left" w:pos="3360"/>
        </w:tabs>
        <w:ind w:firstLine="640" w:firstLineChars="200"/>
        <w:rPr>
          <w:rFonts w:ascii="仿宋_GB2312" w:eastAsia="仿宋_GB2312" w:cs="仿宋_GB2312"/>
          <w:sz w:val="32"/>
          <w:szCs w:val="32"/>
        </w:rPr>
      </w:pPr>
      <w:r>
        <w:rPr>
          <w:rFonts w:hint="eastAsia" w:ascii="仿宋_GB2312" w:eastAsia="仿宋_GB2312" w:cs="仿宋_GB2312"/>
          <w:sz w:val="32"/>
          <w:szCs w:val="32"/>
        </w:rPr>
        <w:t>重点工作任务一：落实责任，深化安全改革</w:t>
      </w:r>
    </w:p>
    <w:p>
      <w:pPr>
        <w:spacing w:line="560" w:lineRule="exact"/>
        <w:ind w:firstLine="643"/>
        <w:rPr>
          <w:rFonts w:ascii="仿宋_GB2312" w:eastAsia="仿宋_GB2312"/>
          <w:sz w:val="32"/>
          <w:szCs w:val="32"/>
        </w:rPr>
      </w:pPr>
      <w:r>
        <w:rPr>
          <w:rFonts w:hint="eastAsia" w:ascii="仿宋_GB2312" w:eastAsia="仿宋_GB2312" w:cs="仿宋_GB2312"/>
          <w:sz w:val="32"/>
          <w:szCs w:val="32"/>
        </w:rPr>
        <w:t>工作任务的内容：</w:t>
      </w:r>
      <w:r>
        <w:rPr>
          <w:rFonts w:hint="eastAsia" w:ascii="仿宋_GB2312" w:eastAsia="仿宋_GB2312"/>
          <w:b/>
          <w:sz w:val="32"/>
          <w:szCs w:val="32"/>
        </w:rPr>
        <w:t>一是</w:t>
      </w:r>
      <w:r>
        <w:rPr>
          <w:rFonts w:hint="eastAsia" w:ascii="仿宋_GB2312" w:eastAsia="仿宋_GB2312"/>
          <w:sz w:val="32"/>
          <w:szCs w:val="32"/>
        </w:rPr>
        <w:t>全县召开安全生产会议，安排部署各阶段重点安全生产工作，并与</w:t>
      </w:r>
      <w:r>
        <w:rPr>
          <w:rFonts w:ascii="仿宋_GB2312" w:eastAsia="仿宋_GB2312"/>
          <w:sz w:val="32"/>
          <w:szCs w:val="32"/>
        </w:rPr>
        <w:t>12</w:t>
      </w:r>
      <w:r>
        <w:rPr>
          <w:rFonts w:hint="eastAsia" w:ascii="仿宋_GB2312" w:eastAsia="仿宋_GB2312"/>
          <w:sz w:val="32"/>
          <w:szCs w:val="32"/>
        </w:rPr>
        <w:t>个乡镇、</w:t>
      </w:r>
      <w:r>
        <w:rPr>
          <w:rFonts w:ascii="仿宋_GB2312" w:eastAsia="仿宋_GB2312"/>
          <w:sz w:val="32"/>
          <w:szCs w:val="32"/>
        </w:rPr>
        <w:t>62</w:t>
      </w:r>
      <w:r>
        <w:rPr>
          <w:rFonts w:hint="eastAsia" w:ascii="仿宋_GB2312" w:eastAsia="仿宋_GB2312"/>
          <w:sz w:val="32"/>
          <w:szCs w:val="32"/>
        </w:rPr>
        <w:t>个单位签订了安全生产管理责任书</w:t>
      </w:r>
      <w:r>
        <w:rPr>
          <w:rFonts w:ascii="仿宋_GB2312" w:eastAsia="仿宋_GB2312"/>
          <w:sz w:val="32"/>
          <w:szCs w:val="32"/>
        </w:rPr>
        <w:t>74</w:t>
      </w:r>
      <w:r>
        <w:rPr>
          <w:rFonts w:hint="eastAsia" w:ascii="仿宋_GB2312" w:eastAsia="仿宋_GB2312"/>
          <w:sz w:val="32"/>
          <w:szCs w:val="32"/>
        </w:rPr>
        <w:t>份，与加油站、电站签订高危行业安全管理目标责任书</w:t>
      </w:r>
      <w:r>
        <w:rPr>
          <w:rFonts w:ascii="仿宋_GB2312" w:eastAsia="仿宋_GB2312" w:cs="仿宋_GB2312"/>
          <w:sz w:val="32"/>
          <w:szCs w:val="32"/>
        </w:rPr>
        <w:t>6</w:t>
      </w:r>
      <w:r>
        <w:rPr>
          <w:rFonts w:hint="eastAsia" w:ascii="仿宋_GB2312" w:eastAsia="仿宋_GB2312"/>
          <w:sz w:val="32"/>
          <w:szCs w:val="32"/>
        </w:rPr>
        <w:t>份；各安委会成员单位也分别与行业主管范围内的监管单位签订了安全责任书。</w:t>
      </w:r>
      <w:r>
        <w:rPr>
          <w:rFonts w:hint="eastAsia" w:ascii="仿宋_GB2312" w:eastAsia="仿宋_GB2312"/>
          <w:b/>
          <w:sz w:val="32"/>
          <w:szCs w:val="32"/>
        </w:rPr>
        <w:t>二是</w:t>
      </w:r>
      <w:r>
        <w:rPr>
          <w:rFonts w:hint="eastAsia" w:ascii="仿宋_GB2312" w:eastAsia="仿宋_GB2312"/>
          <w:sz w:val="32"/>
          <w:szCs w:val="32"/>
        </w:rPr>
        <w:t>有力推进安全生产清单制管理改革，逐步完善行业监管安全生产清单、企业安全生产管理清单、属地安全生产监管清单“三个清单”，推进实现“尽职照单免责、失职照单追责”的工作模式。</w:t>
      </w:r>
    </w:p>
    <w:p>
      <w:pPr>
        <w:tabs>
          <w:tab w:val="left" w:pos="3360"/>
        </w:tabs>
        <w:ind w:firstLine="640" w:firstLineChars="200"/>
      </w:pPr>
      <w:r>
        <w:rPr>
          <w:rFonts w:hint="eastAsia" w:ascii="仿宋_GB2312" w:eastAsia="仿宋_GB2312" w:cs="仿宋_GB2312"/>
          <w:sz w:val="32"/>
          <w:szCs w:val="32"/>
        </w:rPr>
        <w:t>效果：全面严格落实“一岗双责，党政同责”，企业主体责任和“三个必须管”，切实有效地为安全生产监管工作奠定了责任基础。</w:t>
      </w:r>
      <w:r>
        <w:rPr>
          <w:rFonts w:hint="eastAsia" w:ascii="仿宋_GB2312" w:eastAsia="仿宋_GB2312"/>
          <w:sz w:val="32"/>
          <w:szCs w:val="32"/>
        </w:rPr>
        <w:t>切实加强了安全生产全方位、条理式监督管理，有效抓住工作重点，着力提高效力，以创新的工作理念将安全责任落实到位。</w:t>
      </w:r>
    </w:p>
    <w:p>
      <w:pPr>
        <w:pStyle w:val="41"/>
        <w:rPr>
          <w:rFonts w:ascii="仿宋_GB2312" w:cs="仿宋_GB2312"/>
          <w:lang w:bidi="ar-SA"/>
        </w:rPr>
      </w:pPr>
      <w:r>
        <w:rPr>
          <w:rFonts w:hint="eastAsia" w:ascii="仿宋_GB2312" w:cs="仿宋_GB2312"/>
          <w:lang w:bidi="ar-SA"/>
        </w:rPr>
        <w:t>重点工作任务二：多措并举，积极履行职责</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工作任务的内容：</w:t>
      </w:r>
      <w:r>
        <w:rPr>
          <w:rFonts w:hint="eastAsia" w:ascii="仿宋_GB2312" w:eastAsia="仿宋_GB2312"/>
          <w:sz w:val="32"/>
          <w:szCs w:val="32"/>
        </w:rPr>
        <w:t>以八大专项整治行动、“防风险保平安迎大庆”等工作行动为契机，加大隐患排查整治，强化安全防线建设，切实推动各行业主管单位、企业履职尽责，在密切配合下实现了各重点时段、重点领域安全生产0事故目标。</w:t>
      </w:r>
      <w:r>
        <w:rPr>
          <w:rFonts w:hint="eastAsia" w:ascii="仿宋_GB2312" w:eastAsia="仿宋_GB2312"/>
          <w:b/>
          <w:sz w:val="32"/>
          <w:szCs w:val="32"/>
        </w:rPr>
        <w:t>一是</w:t>
      </w:r>
      <w:r>
        <w:rPr>
          <w:rFonts w:hint="eastAsia" w:ascii="仿宋_GB2312" w:eastAsia="仿宋_GB2312"/>
          <w:sz w:val="32"/>
          <w:szCs w:val="32"/>
        </w:rPr>
        <w:t>强化重点时段、节假日安全防范工作。组织相关部门开展节前隐患排查，汛期全时段24小时值班值守，保障了全县平安度节。安全度汛；</w:t>
      </w:r>
      <w:r>
        <w:rPr>
          <w:rFonts w:hint="eastAsia" w:ascii="仿宋_GB2312" w:eastAsia="仿宋_GB2312"/>
          <w:b/>
          <w:sz w:val="32"/>
          <w:szCs w:val="32"/>
        </w:rPr>
        <w:t>二是</w:t>
      </w:r>
      <w:r>
        <w:rPr>
          <w:rFonts w:hint="eastAsia" w:ascii="仿宋_GB2312" w:eastAsia="仿宋_GB2312"/>
          <w:sz w:val="32"/>
          <w:szCs w:val="32"/>
        </w:rPr>
        <w:t>强化重点领域安全监管措施。</w:t>
      </w:r>
      <w:r>
        <w:rPr>
          <w:rFonts w:hint="eastAsia" w:ascii="仿宋_GB2312" w:eastAsia="仿宋_GB2312"/>
          <w:b/>
          <w:sz w:val="32"/>
          <w:szCs w:val="32"/>
        </w:rPr>
        <w:t>道路交通方面：</w:t>
      </w:r>
      <w:r>
        <w:rPr>
          <w:rFonts w:hint="eastAsia" w:ascii="仿宋_GB2312" w:eastAsia="仿宋_GB2312"/>
          <w:sz w:val="32"/>
          <w:szCs w:val="32"/>
        </w:rPr>
        <w:t>在全县范围内开展以“执法大检查、隐患大排查、问题大整治、知识大宣传、工作大督查”为重点内容的道路交通专项整治行动，加大农村道路管理。今年，铺设应急道路</w:t>
      </w:r>
      <w:r>
        <w:rPr>
          <w:rFonts w:ascii="仿宋_GB2312" w:eastAsia="仿宋_GB2312"/>
          <w:sz w:val="32"/>
          <w:szCs w:val="32"/>
        </w:rPr>
        <w:t>6</w:t>
      </w:r>
      <w:r>
        <w:rPr>
          <w:rFonts w:hint="eastAsia" w:ascii="仿宋_GB2312" w:eastAsia="仿宋_GB2312"/>
          <w:sz w:val="32"/>
          <w:szCs w:val="32"/>
        </w:rPr>
        <w:t>条、应急桥梁</w:t>
      </w:r>
      <w:r>
        <w:rPr>
          <w:rFonts w:ascii="仿宋_GB2312" w:eastAsia="仿宋_GB2312"/>
          <w:sz w:val="32"/>
          <w:szCs w:val="32"/>
        </w:rPr>
        <w:t>2</w:t>
      </w:r>
      <w:r>
        <w:rPr>
          <w:rFonts w:hint="eastAsia" w:ascii="仿宋_GB2312" w:eastAsia="仿宋_GB2312"/>
          <w:sz w:val="32"/>
          <w:szCs w:val="32"/>
        </w:rPr>
        <w:t>座，累计解决路基损毁</w:t>
      </w:r>
      <w:r>
        <w:rPr>
          <w:rFonts w:ascii="仿宋_GB2312" w:eastAsia="仿宋_GB2312"/>
          <w:sz w:val="32"/>
          <w:szCs w:val="32"/>
        </w:rPr>
        <w:t>10</w:t>
      </w:r>
      <w:r>
        <w:rPr>
          <w:rFonts w:hint="eastAsia" w:ascii="仿宋_GB2312" w:eastAsia="仿宋_GB2312"/>
          <w:sz w:val="32"/>
          <w:szCs w:val="32"/>
        </w:rPr>
        <w:t>余处，增设道路交通警示标示标牌</w:t>
      </w:r>
      <w:r>
        <w:rPr>
          <w:rFonts w:ascii="仿宋_GB2312" w:eastAsia="仿宋_GB2312"/>
          <w:sz w:val="32"/>
          <w:szCs w:val="32"/>
        </w:rPr>
        <w:t>20</w:t>
      </w:r>
      <w:r>
        <w:rPr>
          <w:rFonts w:hint="eastAsia" w:ascii="仿宋_GB2312" w:eastAsia="仿宋_GB2312"/>
          <w:sz w:val="32"/>
          <w:szCs w:val="32"/>
        </w:rPr>
        <w:t>余处</w:t>
      </w:r>
      <w:r>
        <w:rPr>
          <w:rFonts w:ascii="仿宋_GB2312" w:eastAsia="仿宋_GB2312"/>
          <w:sz w:val="32"/>
          <w:szCs w:val="32"/>
        </w:rPr>
        <w:t>;</w:t>
      </w:r>
      <w:r>
        <w:rPr>
          <w:rFonts w:hint="eastAsia" w:ascii="仿宋_GB2312" w:eastAsia="仿宋_GB2312"/>
          <w:b/>
          <w:sz w:val="32"/>
          <w:szCs w:val="32"/>
        </w:rPr>
        <w:t>建筑施工方面：</w:t>
      </w:r>
      <w:r>
        <w:rPr>
          <w:rFonts w:hint="eastAsia" w:ascii="仿宋_GB2312" w:eastAsia="仿宋_GB2312"/>
          <w:sz w:val="32"/>
          <w:szCs w:val="32"/>
        </w:rPr>
        <w:t>全面开展县内建筑和公共设施建设工程安全生产大检查，加强建筑、交通建设等建设项目的安全监管，组织对全县建筑施工现场的执法监督检查，对违章指挥、违规操作进行了认真的调查处理。</w:t>
      </w:r>
      <w:r>
        <w:rPr>
          <w:rFonts w:hint="eastAsia" w:ascii="仿宋_GB2312" w:eastAsia="仿宋_GB2312" w:cs="仿宋_GB2312"/>
          <w:sz w:val="32"/>
          <w:szCs w:val="32"/>
        </w:rPr>
        <w:t>重点检查高空作业的防护、特种机械设备的规范操作、汛期施工及施工用电安全和线路的规范架设等情况；</w:t>
      </w:r>
      <w:r>
        <w:rPr>
          <w:rFonts w:hint="eastAsia" w:ascii="仿宋_GB2312" w:eastAsia="仿宋_GB2312"/>
          <w:b/>
          <w:sz w:val="32"/>
          <w:szCs w:val="32"/>
        </w:rPr>
        <w:t>消防方面：</w:t>
      </w:r>
      <w:r>
        <w:rPr>
          <w:rFonts w:hint="eastAsia" w:ascii="仿宋_GB2312" w:eastAsia="仿宋_GB2312"/>
          <w:sz w:val="32"/>
          <w:szCs w:val="32"/>
        </w:rPr>
        <w:t>县消防救援队深入各行业（领域）、公共场所、高层建筑和重点消防单位进行隐患排查和整治，</w:t>
      </w:r>
      <w:r>
        <w:rPr>
          <w:rFonts w:hint="eastAsia" w:ascii="仿宋_GB2312" w:eastAsia="仿宋_GB2312"/>
          <w:sz w:val="32"/>
        </w:rPr>
        <w:t>检查单位</w:t>
      </w:r>
      <w:r>
        <w:rPr>
          <w:rFonts w:ascii="仿宋_GB2312" w:eastAsia="仿宋_GB2312"/>
          <w:sz w:val="32"/>
        </w:rPr>
        <w:t>238</w:t>
      </w:r>
      <w:r>
        <w:rPr>
          <w:rFonts w:hint="eastAsia" w:ascii="仿宋_GB2312" w:eastAsia="仿宋_GB2312"/>
          <w:sz w:val="32"/>
        </w:rPr>
        <w:t>家</w:t>
      </w:r>
      <w:r>
        <w:rPr>
          <w:rFonts w:ascii="仿宋_GB2312" w:eastAsia="仿宋_GB2312"/>
          <w:sz w:val="32"/>
        </w:rPr>
        <w:t>/</w:t>
      </w:r>
      <w:r>
        <w:rPr>
          <w:rFonts w:hint="eastAsia" w:ascii="仿宋_GB2312" w:eastAsia="仿宋_GB2312"/>
          <w:sz w:val="32"/>
        </w:rPr>
        <w:t>次，下发责令整改通知书</w:t>
      </w:r>
      <w:r>
        <w:rPr>
          <w:rFonts w:ascii="仿宋_GB2312" w:eastAsia="仿宋_GB2312"/>
          <w:sz w:val="32"/>
        </w:rPr>
        <w:t>111</w:t>
      </w:r>
      <w:r>
        <w:rPr>
          <w:rFonts w:hint="eastAsia" w:ascii="仿宋_GB2312" w:eastAsia="仿宋_GB2312"/>
          <w:sz w:val="32"/>
        </w:rPr>
        <w:t>份，办理行政处罚案件</w:t>
      </w:r>
      <w:r>
        <w:rPr>
          <w:rFonts w:ascii="仿宋_GB2312" w:eastAsia="仿宋_GB2312"/>
          <w:sz w:val="32"/>
        </w:rPr>
        <w:t>16</w:t>
      </w:r>
      <w:r>
        <w:rPr>
          <w:rFonts w:hint="eastAsia" w:ascii="仿宋_GB2312" w:eastAsia="仿宋_GB2312"/>
          <w:sz w:val="32"/>
        </w:rPr>
        <w:t>起，责令“三停”单位</w:t>
      </w:r>
      <w:r>
        <w:rPr>
          <w:rFonts w:ascii="仿宋_GB2312" w:eastAsia="仿宋_GB2312"/>
          <w:sz w:val="32"/>
        </w:rPr>
        <w:t>5</w:t>
      </w:r>
      <w:r>
        <w:rPr>
          <w:rFonts w:hint="eastAsia" w:ascii="仿宋_GB2312" w:eastAsia="仿宋_GB2312"/>
          <w:sz w:val="32"/>
        </w:rPr>
        <w:t>家。联合应急管理局、住建局、城管局等部门彻底治理城区“空中飞线”，共</w:t>
      </w:r>
      <w:r>
        <w:rPr>
          <w:rFonts w:hint="eastAsia" w:ascii="仿宋_GB2312" w:eastAsia="仿宋_GB2312"/>
          <w:sz w:val="32"/>
          <w:szCs w:val="32"/>
        </w:rPr>
        <w:t>治理飞线</w:t>
      </w:r>
      <w:r>
        <w:rPr>
          <w:rFonts w:ascii="仿宋_GB2312" w:eastAsia="仿宋_GB2312"/>
          <w:sz w:val="32"/>
          <w:szCs w:val="32"/>
        </w:rPr>
        <w:t>300</w:t>
      </w:r>
      <w:r>
        <w:rPr>
          <w:rFonts w:hint="eastAsia" w:ascii="仿宋_GB2312" w:eastAsia="仿宋_GB2312"/>
          <w:sz w:val="32"/>
          <w:szCs w:val="32"/>
        </w:rPr>
        <w:t>余处，</w:t>
      </w:r>
      <w:r>
        <w:rPr>
          <w:rFonts w:ascii="仿宋_GB2312" w:eastAsia="仿宋_GB2312"/>
          <w:sz w:val="32"/>
          <w:szCs w:val="32"/>
        </w:rPr>
        <w:t>20</w:t>
      </w:r>
      <w:r>
        <w:rPr>
          <w:rFonts w:hint="eastAsia" w:ascii="仿宋_GB2312" w:eastAsia="仿宋_GB2312"/>
          <w:sz w:val="32"/>
          <w:szCs w:val="32"/>
        </w:rPr>
        <w:t>余千米</w:t>
      </w:r>
      <w:r>
        <w:rPr>
          <w:rFonts w:hint="eastAsia" w:ascii="仿宋_GB2312" w:eastAsia="仿宋_GB2312"/>
          <w:sz w:val="32"/>
        </w:rPr>
        <w:t>。同时开启有计划、有规模的居住类综合楼楼道清理、高层建筑综合治理工程，已</w:t>
      </w:r>
      <w:r>
        <w:rPr>
          <w:rFonts w:hint="eastAsia" w:ascii="仿宋_GB2312" w:eastAsia="仿宋_GB2312"/>
          <w:sz w:val="32"/>
          <w:szCs w:val="32"/>
        </w:rPr>
        <w:t>对</w:t>
      </w:r>
      <w:r>
        <w:rPr>
          <w:rFonts w:ascii="仿宋_GB2312" w:eastAsia="仿宋_GB2312"/>
          <w:sz w:val="32"/>
          <w:szCs w:val="32"/>
        </w:rPr>
        <w:t>48</w:t>
      </w:r>
      <w:r>
        <w:rPr>
          <w:rFonts w:hint="eastAsia" w:ascii="仿宋_GB2312" w:eastAsia="仿宋_GB2312"/>
          <w:sz w:val="32"/>
          <w:szCs w:val="32"/>
        </w:rPr>
        <w:t>栋楼房</w:t>
      </w:r>
      <w:r>
        <w:rPr>
          <w:rFonts w:ascii="仿宋_GB2312" w:eastAsia="仿宋_GB2312"/>
          <w:sz w:val="32"/>
          <w:szCs w:val="32"/>
        </w:rPr>
        <w:t>300</w:t>
      </w:r>
      <w:r>
        <w:rPr>
          <w:rFonts w:hint="eastAsia" w:ascii="仿宋_GB2312" w:eastAsia="仿宋_GB2312"/>
          <w:sz w:val="32"/>
          <w:szCs w:val="32"/>
        </w:rPr>
        <w:t>余处堆放柴火杂物占用通道进行督促整改，涉及户数</w:t>
      </w:r>
      <w:r>
        <w:rPr>
          <w:rFonts w:ascii="仿宋_GB2312" w:eastAsia="仿宋_GB2312"/>
          <w:sz w:val="32"/>
          <w:szCs w:val="32"/>
        </w:rPr>
        <w:t>1490</w:t>
      </w:r>
      <w:r>
        <w:rPr>
          <w:rFonts w:hint="eastAsia" w:ascii="仿宋_GB2312" w:eastAsia="仿宋_GB2312"/>
          <w:sz w:val="32"/>
          <w:szCs w:val="32"/>
        </w:rPr>
        <w:t>户</w:t>
      </w:r>
      <w:r>
        <w:rPr>
          <w:rFonts w:hint="eastAsia" w:ascii="仿宋_GB2312" w:eastAsia="仿宋_GB2312"/>
          <w:sz w:val="32"/>
        </w:rPr>
        <w:t>；</w:t>
      </w:r>
      <w:r>
        <w:rPr>
          <w:rFonts w:hint="eastAsia" w:ascii="仿宋_GB2312" w:eastAsia="仿宋_GB2312"/>
          <w:b/>
          <w:sz w:val="32"/>
        </w:rPr>
        <w:t>危险化学品方面：</w:t>
      </w:r>
      <w:r>
        <w:rPr>
          <w:rFonts w:hint="eastAsia" w:ascii="仿宋_GB2312" w:eastAsia="仿宋_GB2312"/>
          <w:sz w:val="32"/>
          <w:szCs w:val="32"/>
        </w:rPr>
        <w:t>全方位开展危险化学品的安全整治工作，加大安全监管和防范，提高风险研判能力，我局先后组织</w:t>
      </w:r>
      <w:r>
        <w:rPr>
          <w:rFonts w:ascii="仿宋_GB2312" w:eastAsia="仿宋_GB2312"/>
          <w:sz w:val="32"/>
          <w:szCs w:val="32"/>
        </w:rPr>
        <w:t>8</w:t>
      </w:r>
      <w:r>
        <w:rPr>
          <w:rFonts w:hint="eastAsia" w:ascii="仿宋_GB2312" w:eastAsia="仿宋_GB2312"/>
          <w:sz w:val="32"/>
          <w:szCs w:val="32"/>
        </w:rPr>
        <w:t>个检查组，检查</w:t>
      </w:r>
      <w:r>
        <w:rPr>
          <w:rFonts w:ascii="仿宋_GB2312" w:eastAsia="仿宋_GB2312"/>
          <w:sz w:val="32"/>
          <w:szCs w:val="32"/>
        </w:rPr>
        <w:t>4</w:t>
      </w:r>
      <w:r>
        <w:rPr>
          <w:rFonts w:hint="eastAsia" w:ascii="仿宋_GB2312" w:eastAsia="仿宋_GB2312"/>
          <w:sz w:val="32"/>
          <w:szCs w:val="32"/>
        </w:rPr>
        <w:t>家成品油企业和</w:t>
      </w:r>
      <w:r>
        <w:rPr>
          <w:rFonts w:ascii="仿宋_GB2312" w:eastAsia="仿宋_GB2312"/>
          <w:sz w:val="32"/>
          <w:szCs w:val="32"/>
        </w:rPr>
        <w:t>1</w:t>
      </w:r>
      <w:r>
        <w:rPr>
          <w:rFonts w:hint="eastAsia" w:ascii="仿宋_GB2312" w:eastAsia="仿宋_GB2312"/>
          <w:sz w:val="32"/>
          <w:szCs w:val="32"/>
        </w:rPr>
        <w:t>家液化气站</w:t>
      </w:r>
      <w:r>
        <w:rPr>
          <w:rFonts w:ascii="仿宋_GB2312" w:eastAsia="仿宋_GB2312"/>
          <w:sz w:val="32"/>
          <w:szCs w:val="32"/>
        </w:rPr>
        <w:t>26</w:t>
      </w:r>
      <w:r>
        <w:rPr>
          <w:rFonts w:hint="eastAsia" w:ascii="仿宋_GB2312" w:eastAsia="仿宋_GB2312"/>
          <w:sz w:val="32"/>
          <w:szCs w:val="32"/>
        </w:rPr>
        <w:t>次。全程跟踪监督指导县内5个加油站的改造升级；</w:t>
      </w:r>
      <w:r>
        <w:rPr>
          <w:rFonts w:hint="eastAsia" w:ascii="仿宋_GB2312" w:eastAsia="仿宋_GB2312"/>
          <w:b/>
          <w:sz w:val="32"/>
        </w:rPr>
        <w:t>食品药品方面：</w:t>
      </w:r>
      <w:r>
        <w:rPr>
          <w:rFonts w:hint="eastAsia" w:ascii="仿宋_GB2312" w:eastAsia="仿宋_GB2312"/>
          <w:sz w:val="32"/>
          <w:szCs w:val="32"/>
        </w:rPr>
        <w:t>累计开展食品药品安全检查111家/次，重点检查学校、敬老院、村级幼儿园食堂，医疗卫生场所，超市、集贸市场、食品批发、零售、饭馆等地，主要针对</w:t>
      </w:r>
      <w:r>
        <w:rPr>
          <w:rFonts w:hint="eastAsia" w:ascii="仿宋_GB2312" w:eastAsia="仿宋_GB2312" w:cs="仿宋_GB2312"/>
          <w:sz w:val="32"/>
          <w:szCs w:val="32"/>
        </w:rPr>
        <w:t>餐饮废弃物排放、食材进出货台账、冻肉制品检验检疫票据、过期食品等进行检查</w:t>
      </w:r>
      <w:r>
        <w:rPr>
          <w:rFonts w:ascii="仿宋_GB2312" w:eastAsia="仿宋_GB2312" w:cs="仿宋_GB2312"/>
          <w:sz w:val="32"/>
          <w:szCs w:val="32"/>
        </w:rPr>
        <w:t>,</w:t>
      </w:r>
      <w:r>
        <w:rPr>
          <w:rFonts w:hint="eastAsia" w:ascii="仿宋_GB2312" w:eastAsia="仿宋_GB2312" w:cs="仿宋_GB2312"/>
          <w:sz w:val="32"/>
          <w:szCs w:val="32"/>
        </w:rPr>
        <w:t>没收过期食品</w:t>
      </w:r>
      <w:r>
        <w:rPr>
          <w:rFonts w:ascii="仿宋_GB2312" w:eastAsia="仿宋_GB2312" w:cs="仿宋_GB2312"/>
          <w:sz w:val="32"/>
          <w:szCs w:val="32"/>
        </w:rPr>
        <w:t>120</w:t>
      </w:r>
      <w:r>
        <w:rPr>
          <w:rFonts w:hint="eastAsia" w:ascii="仿宋_GB2312" w:eastAsia="仿宋_GB2312" w:cs="仿宋_GB2312"/>
          <w:sz w:val="32"/>
          <w:szCs w:val="32"/>
        </w:rPr>
        <w:t>余斤，过期及不合格产品</w:t>
      </w:r>
      <w:r>
        <w:rPr>
          <w:rFonts w:ascii="仿宋_GB2312" w:eastAsia="仿宋_GB2312" w:cs="仿宋_GB2312"/>
          <w:sz w:val="32"/>
          <w:szCs w:val="32"/>
        </w:rPr>
        <w:t>200</w:t>
      </w:r>
      <w:r>
        <w:rPr>
          <w:rFonts w:hint="eastAsia" w:ascii="仿宋_GB2312" w:eastAsia="仿宋_GB2312" w:cs="仿宋_GB2312"/>
          <w:sz w:val="32"/>
          <w:szCs w:val="32"/>
        </w:rPr>
        <w:t>余斤，下发责令整改通知书</w:t>
      </w:r>
      <w:r>
        <w:rPr>
          <w:rFonts w:ascii="仿宋_GB2312" w:eastAsia="仿宋_GB2312" w:cs="仿宋_GB2312"/>
          <w:sz w:val="32"/>
          <w:szCs w:val="32"/>
        </w:rPr>
        <w:t>20</w:t>
      </w:r>
      <w:r>
        <w:rPr>
          <w:rFonts w:hint="eastAsia" w:ascii="仿宋_GB2312" w:eastAsia="仿宋_GB2312" w:cs="仿宋_GB2312"/>
          <w:sz w:val="32"/>
          <w:szCs w:val="32"/>
        </w:rPr>
        <w:t>份</w:t>
      </w:r>
      <w:r>
        <w:rPr>
          <w:rFonts w:ascii="仿宋_GB2312" w:eastAsia="仿宋_GB2312" w:cs="仿宋_GB2312"/>
          <w:sz w:val="32"/>
          <w:szCs w:val="32"/>
        </w:rPr>
        <w:t>;</w:t>
      </w:r>
      <w:r>
        <w:rPr>
          <w:rFonts w:hint="eastAsia" w:ascii="仿宋_GB2312" w:eastAsia="仿宋_GB2312" w:cs="仿宋_GB2312"/>
          <w:sz w:val="32"/>
          <w:szCs w:val="32"/>
        </w:rPr>
        <w:t>检查猪肉及猪肉制品封存不合格猪肉及其制品</w:t>
      </w:r>
      <w:r>
        <w:rPr>
          <w:rFonts w:ascii="仿宋_GB2312" w:eastAsia="仿宋_GB2312" w:cs="仿宋_GB2312"/>
          <w:sz w:val="32"/>
          <w:szCs w:val="32"/>
        </w:rPr>
        <w:t>1703</w:t>
      </w:r>
      <w:r>
        <w:rPr>
          <w:rFonts w:hint="eastAsia" w:ascii="仿宋_GB2312" w:eastAsia="仿宋_GB2312" w:cs="仿宋_GB2312"/>
          <w:sz w:val="32"/>
          <w:szCs w:val="32"/>
        </w:rPr>
        <w:t>斤；</w:t>
      </w:r>
      <w:r>
        <w:rPr>
          <w:rFonts w:hint="eastAsia" w:ascii="仿宋_GB2312" w:eastAsia="仿宋_GB2312" w:cs="仿宋_GB2312"/>
          <w:b/>
          <w:sz w:val="32"/>
          <w:szCs w:val="32"/>
        </w:rPr>
        <w:t>人员密集场所方面：</w:t>
      </w:r>
      <w:r>
        <w:rPr>
          <w:rFonts w:hint="eastAsia" w:ascii="仿宋_GB2312" w:eastAsia="仿宋_GB2312" w:cs="仿宋_GB2312"/>
          <w:sz w:val="32"/>
          <w:szCs w:val="32"/>
        </w:rPr>
        <w:t>深入辖区各重点场所开展消防安全排查整治活动，对学校、敬老院、寺庙、娱乐场所等“三合一”、“多合一”场所集中开展了隐患排查；</w:t>
      </w:r>
      <w:r>
        <w:rPr>
          <w:rFonts w:hint="eastAsia" w:ascii="仿宋_GB2312" w:eastAsia="仿宋_GB2312" w:cs="仿宋_GB2312"/>
          <w:b/>
          <w:sz w:val="32"/>
          <w:szCs w:val="32"/>
        </w:rPr>
        <w:t>特种设备方面：</w:t>
      </w:r>
      <w:r>
        <w:rPr>
          <w:rFonts w:hint="eastAsia" w:ascii="仿宋_GB2312" w:eastAsia="仿宋_GB2312" w:cs="仿宋_GB2312"/>
          <w:sz w:val="32"/>
          <w:szCs w:val="32"/>
        </w:rPr>
        <w:t>积极开展以酒店、宾馆、气站、医院、电站等特种设备使用重点单位的专项检查，对全县在用电梯</w:t>
      </w:r>
      <w:r>
        <w:rPr>
          <w:rFonts w:ascii="仿宋_GB2312" w:eastAsia="仿宋_GB2312" w:cs="仿宋_GB2312"/>
          <w:sz w:val="32"/>
          <w:szCs w:val="32"/>
        </w:rPr>
        <w:t>20</w:t>
      </w:r>
      <w:r>
        <w:rPr>
          <w:rFonts w:hint="eastAsia" w:ascii="仿宋_GB2312" w:eastAsia="仿宋_GB2312" w:cs="仿宋_GB2312"/>
          <w:sz w:val="32"/>
          <w:szCs w:val="32"/>
        </w:rPr>
        <w:t>台，压力容器</w:t>
      </w:r>
      <w:r>
        <w:rPr>
          <w:rFonts w:ascii="仿宋_GB2312" w:eastAsia="仿宋_GB2312" w:cs="仿宋_GB2312"/>
          <w:sz w:val="32"/>
          <w:szCs w:val="32"/>
        </w:rPr>
        <w:t>6</w:t>
      </w:r>
      <w:r>
        <w:rPr>
          <w:rFonts w:hint="eastAsia" w:ascii="仿宋_GB2312" w:eastAsia="仿宋_GB2312" w:cs="仿宋_GB2312"/>
          <w:sz w:val="32"/>
          <w:szCs w:val="32"/>
        </w:rPr>
        <w:t>台，起重机械</w:t>
      </w:r>
      <w:r>
        <w:rPr>
          <w:rFonts w:ascii="仿宋_GB2312" w:eastAsia="仿宋_GB2312" w:cs="仿宋_GB2312"/>
          <w:sz w:val="32"/>
          <w:szCs w:val="32"/>
        </w:rPr>
        <w:t>3</w:t>
      </w:r>
      <w:r>
        <w:rPr>
          <w:rFonts w:hint="eastAsia" w:ascii="仿宋_GB2312" w:eastAsia="仿宋_GB2312" w:cs="仿宋_GB2312"/>
          <w:sz w:val="32"/>
          <w:szCs w:val="32"/>
        </w:rPr>
        <w:t>台及</w:t>
      </w:r>
      <w:r>
        <w:rPr>
          <w:rFonts w:ascii="仿宋_GB2312" w:eastAsia="仿宋_GB2312" w:cs="仿宋_GB2312"/>
          <w:sz w:val="32"/>
          <w:szCs w:val="32"/>
        </w:rPr>
        <w:t>1000</w:t>
      </w:r>
      <w:r>
        <w:rPr>
          <w:rFonts w:hint="eastAsia" w:ascii="仿宋_GB2312" w:eastAsia="仿宋_GB2312" w:cs="仿宋_GB2312"/>
          <w:sz w:val="32"/>
          <w:szCs w:val="32"/>
        </w:rPr>
        <w:t>多支液化气瓶进行专项检查</w:t>
      </w:r>
      <w:r>
        <w:rPr>
          <w:rFonts w:ascii="仿宋_GB2312" w:eastAsia="仿宋_GB2312" w:cs="仿宋_GB2312"/>
          <w:sz w:val="32"/>
          <w:szCs w:val="32"/>
        </w:rPr>
        <w:t>。</w:t>
      </w:r>
    </w:p>
    <w:p>
      <w:pPr>
        <w:pStyle w:val="2"/>
        <w:spacing w:line="360" w:lineRule="auto"/>
        <w:rPr>
          <w:rFonts w:ascii="仿宋_GB2312" w:eastAsia="仿宋_GB2312" w:cs="仿宋_GB2312"/>
          <w:sz w:val="32"/>
          <w:szCs w:val="32"/>
        </w:rPr>
      </w:pPr>
      <w:r>
        <w:rPr>
          <w:rFonts w:hint="eastAsia" w:ascii="仿宋_GB2312" w:eastAsia="仿宋_GB2312" w:cs="仿宋_GB2312"/>
          <w:sz w:val="32"/>
          <w:szCs w:val="32"/>
        </w:rPr>
        <w:t>重点工作任务三：渲染氛围，提升思想意识</w:t>
      </w:r>
    </w:p>
    <w:p>
      <w:pPr>
        <w:pStyle w:val="41"/>
        <w:rPr>
          <w:rFonts w:ascii="仿宋_GB2312" w:cs="仿宋_GB2312"/>
          <w:lang w:bidi="ar-SA"/>
        </w:rPr>
      </w:pPr>
      <w:r>
        <w:rPr>
          <w:rFonts w:hint="eastAsia" w:ascii="仿宋_GB2312" w:cs="仿宋_GB2312"/>
          <w:lang w:bidi="ar-SA"/>
        </w:rPr>
        <w:t>工作任务的内容：扎实开展“安全生产月”，“安全生产雪山草地行”主题宣传教育活动，组织指导各单位、企业开展大型小型教育、宣传、培训会47场次，组织开展宣传活动15次，发放安全知识宣传手册20000余册，受宣传群众2000余人。切实提高企业、群众的安全生产意识</w:t>
      </w:r>
    </w:p>
    <w:p>
      <w:pPr>
        <w:pStyle w:val="2"/>
        <w:spacing w:line="360" w:lineRule="auto"/>
        <w:ind w:firstLine="643" w:firstLineChars="200"/>
        <w:outlineLvl w:val="0"/>
        <w:rPr>
          <w:rFonts w:hint="eastAsia" w:ascii="黑体" w:eastAsia="黑体" w:cs="黑体"/>
          <w:b/>
          <w:bCs/>
          <w:kern w:val="0"/>
          <w:sz w:val="32"/>
          <w:szCs w:val="32"/>
        </w:rPr>
      </w:pPr>
      <w:r>
        <w:rPr>
          <w:rFonts w:hint="eastAsia" w:ascii="黑体" w:eastAsia="黑体" w:cs="黑体"/>
          <w:b/>
          <w:bCs/>
          <w:kern w:val="0"/>
          <w:sz w:val="32"/>
          <w:szCs w:val="32"/>
        </w:rPr>
        <w:t>五、评价结论及措施</w:t>
      </w:r>
    </w:p>
    <w:p>
      <w:pPr>
        <w:pStyle w:val="2"/>
        <w:spacing w:line="360" w:lineRule="auto"/>
        <w:ind w:firstLine="482" w:firstLineChars="150"/>
        <w:outlineLvl w:val="1"/>
        <w:rPr>
          <w:rFonts w:ascii="仿宋_GB2312" w:eastAsia="仿宋_GB2312" w:cs="仿宋_GB2312"/>
          <w:b/>
          <w:bCs/>
          <w:kern w:val="0"/>
          <w:sz w:val="32"/>
          <w:szCs w:val="32"/>
        </w:rPr>
      </w:pPr>
      <w:r>
        <w:rPr>
          <w:rFonts w:hint="eastAsia" w:ascii="仿宋_GB2312" w:eastAsia="仿宋_GB2312" w:cs="仿宋_GB2312"/>
          <w:b/>
          <w:bCs/>
          <w:sz w:val="32"/>
          <w:szCs w:val="32"/>
        </w:rPr>
        <w:t>（一）评价结论：见附表</w:t>
      </w:r>
    </w:p>
    <w:p>
      <w:pPr>
        <w:pStyle w:val="2"/>
        <w:spacing w:line="360" w:lineRule="auto"/>
        <w:ind w:firstLine="482" w:firstLineChars="150"/>
        <w:outlineLvl w:val="1"/>
        <w:rPr>
          <w:rFonts w:ascii="仿宋_GB2312" w:eastAsia="仿宋_GB2312" w:cs="仿宋_GB2312"/>
          <w:b/>
          <w:bCs/>
          <w:sz w:val="32"/>
          <w:szCs w:val="32"/>
        </w:rPr>
      </w:pPr>
      <w:r>
        <w:rPr>
          <w:rFonts w:hint="eastAsia" w:ascii="仿宋_GB2312" w:eastAsia="仿宋_GB2312" w:cs="仿宋_GB2312"/>
          <w:b/>
          <w:bCs/>
          <w:sz w:val="32"/>
          <w:szCs w:val="32"/>
        </w:rPr>
        <w:t>（二）存在问题</w:t>
      </w:r>
    </w:p>
    <w:p>
      <w:pPr>
        <w:spacing w:line="560" w:lineRule="exact"/>
        <w:ind w:firstLine="643"/>
        <w:outlineLvl w:val="1"/>
        <w:rPr>
          <w:rFonts w:ascii="楷体_GB2312" w:eastAsia="楷体_GB2312"/>
          <w:b/>
          <w:sz w:val="32"/>
        </w:rPr>
      </w:pPr>
      <w:r>
        <w:rPr>
          <w:rFonts w:ascii="楷体_GB2312" w:eastAsia="楷体_GB2312"/>
          <w:b/>
          <w:sz w:val="32"/>
          <w:lang w:eastAsia="zh-CN"/>
        </w:rPr>
        <w:t>1.</w:t>
      </w:r>
      <w:r>
        <w:rPr>
          <w:rFonts w:hint="eastAsia" w:ascii="楷体_GB2312" w:eastAsia="楷体_GB2312"/>
          <w:b/>
          <w:sz w:val="32"/>
        </w:rPr>
        <w:t>安全形势依然严峻</w:t>
      </w:r>
    </w:p>
    <w:p>
      <w:pPr>
        <w:spacing w:line="560" w:lineRule="exact"/>
        <w:ind w:firstLine="643"/>
        <w:rPr>
          <w:rFonts w:ascii="仿宋_GB2312" w:eastAsia="仿宋_GB2312"/>
          <w:sz w:val="32"/>
        </w:rPr>
      </w:pPr>
      <w:r>
        <w:rPr>
          <w:rFonts w:hint="eastAsia" w:ascii="仿宋_GB2312" w:eastAsia="仿宋_GB2312"/>
          <w:sz w:val="32"/>
          <w:lang w:eastAsia="zh-CN"/>
        </w:rPr>
        <w:t>2021年</w:t>
      </w:r>
      <w:r>
        <w:rPr>
          <w:rFonts w:hint="eastAsia" w:ascii="仿宋_GB2312" w:eastAsia="仿宋_GB2312"/>
          <w:sz w:val="32"/>
        </w:rPr>
        <w:t>，我县虽实现安全生产责任事故0起指标，但非安全生产意外死亡达到了10余起，充分表明，我县安全形势依然严峻，特别是：1.消防安全上压力不曾舒缓，因我县民居寺庙颇具民族特色，基本采用石木结构，再者，我县地处偏僻，人口素质普遍较低，私拉乱接，不当用火导致的失火事故屡有发生，高层建筑、居住类综合楼楼道消防设施不健全，损坏现象严重，堆放杂物占用楼道有反弹情况，隐患较大；2.道路交通事故居高不下，违规驾驶现象、车流增加、自然灾害、气候等因素，导致我县道路交通治理难度大，农村道路安防设施设备有待加强；3. 施工场地诸多环节的安全未按标准或要求进行操作，建设材料乱堆乱放，存在工程乱象，设施设备检修不到位，存在较大的安全隐患。</w:t>
      </w:r>
    </w:p>
    <w:p>
      <w:pPr>
        <w:spacing w:line="560" w:lineRule="exact"/>
        <w:ind w:firstLine="643"/>
        <w:outlineLvl w:val="1"/>
        <w:rPr>
          <w:rFonts w:ascii="楷体_GB2312" w:eastAsia="楷体_GB2312"/>
          <w:b/>
          <w:sz w:val="32"/>
        </w:rPr>
      </w:pPr>
      <w:r>
        <w:rPr>
          <w:rFonts w:ascii="楷体_GB2312" w:eastAsia="楷体_GB2312"/>
          <w:b/>
          <w:sz w:val="32"/>
          <w:lang w:eastAsia="zh-CN"/>
        </w:rPr>
        <w:t>2.</w:t>
      </w:r>
      <w:r>
        <w:rPr>
          <w:rFonts w:hint="eastAsia" w:ascii="楷体_GB2312" w:eastAsia="楷体_GB2312"/>
          <w:b/>
          <w:sz w:val="32"/>
        </w:rPr>
        <w:t>责任落实不到位</w:t>
      </w:r>
    </w:p>
    <w:p>
      <w:pPr>
        <w:spacing w:line="560" w:lineRule="exact"/>
        <w:ind w:firstLine="643"/>
        <w:rPr>
          <w:rFonts w:ascii="仿宋_GB2312" w:eastAsia="仿宋_GB2312"/>
          <w:sz w:val="32"/>
        </w:rPr>
      </w:pPr>
      <w:r>
        <w:rPr>
          <w:rFonts w:hint="eastAsia" w:ascii="仿宋_GB2312" w:eastAsia="仿宋_GB2312"/>
          <w:sz w:val="32"/>
        </w:rPr>
        <w:t>机构改革后，职能职责混淆，导致部分单位推诿职责，工作推行困难；部分企业主体责任意识差，履职不到位，增加监管难度。</w:t>
      </w:r>
    </w:p>
    <w:p>
      <w:pPr>
        <w:spacing w:line="560" w:lineRule="exact"/>
        <w:ind w:firstLine="643"/>
        <w:outlineLvl w:val="1"/>
        <w:rPr>
          <w:rFonts w:ascii="楷体_GB2312" w:eastAsia="楷体_GB2312"/>
          <w:b/>
          <w:sz w:val="32"/>
        </w:rPr>
      </w:pPr>
      <w:r>
        <w:rPr>
          <w:rFonts w:ascii="楷体_GB2312" w:eastAsia="楷体_GB2312"/>
          <w:b/>
          <w:sz w:val="32"/>
          <w:lang w:eastAsia="zh-CN"/>
        </w:rPr>
        <w:t>3.</w:t>
      </w:r>
      <w:r>
        <w:rPr>
          <w:rFonts w:hint="eastAsia" w:ascii="楷体_GB2312" w:eastAsia="楷体_GB2312"/>
          <w:b/>
          <w:sz w:val="32"/>
        </w:rPr>
        <w:t>基础保障不足</w:t>
      </w:r>
    </w:p>
    <w:p>
      <w:pPr>
        <w:spacing w:line="560" w:lineRule="exact"/>
        <w:ind w:firstLine="643"/>
        <w:rPr>
          <w:rFonts w:ascii="仿宋_GB2312" w:eastAsia="仿宋_GB2312"/>
          <w:sz w:val="32"/>
        </w:rPr>
      </w:pPr>
      <w:r>
        <w:rPr>
          <w:rFonts w:hint="eastAsia" w:ascii="仿宋_GB2312" w:eastAsia="仿宋_GB2312"/>
          <w:sz w:val="32"/>
        </w:rPr>
        <w:t>全县专业救援力量仅靠县消防救援队20余人，</w:t>
      </w:r>
      <w:r>
        <w:rPr>
          <w:rFonts w:hint="eastAsia" w:ascii="仿宋_GB2312" w:eastAsia="仿宋_GB2312" w:cs="仿宋_GB2312"/>
          <w:sz w:val="32"/>
          <w:szCs w:val="32"/>
        </w:rPr>
        <w:t>抢险救灾、应急救援更多依赖于“干部、民兵”，干部民兵缺乏专业培训训练，整体能力偏弱；</w:t>
      </w:r>
      <w:r>
        <w:rPr>
          <w:rFonts w:hint="eastAsia" w:ascii="仿宋_GB2312" w:eastAsia="仿宋_GB2312"/>
          <w:sz w:val="32"/>
        </w:rPr>
        <w:t>基础差、底子薄，应急救援设备老化、不齐全，应急管理体系建设还任重道远，</w:t>
      </w:r>
      <w:r>
        <w:rPr>
          <w:rFonts w:hint="eastAsia" w:ascii="仿宋_GB2312" w:eastAsia="仿宋_GB2312"/>
          <w:sz w:val="32"/>
          <w:szCs w:val="32"/>
        </w:rPr>
        <w:t>应急管理法律法规宣传教育和普及工作薄弱，导致公众知晓度、认同度、适应度和配合度等，亟待进一步提高。</w:t>
      </w:r>
    </w:p>
    <w:p>
      <w:pPr>
        <w:spacing w:line="560" w:lineRule="exact"/>
        <w:ind w:firstLine="643"/>
        <w:outlineLvl w:val="1"/>
        <w:rPr>
          <w:rFonts w:ascii="楷体_GB2312" w:eastAsia="楷体_GB2312"/>
          <w:b/>
          <w:sz w:val="32"/>
        </w:rPr>
      </w:pPr>
      <w:r>
        <w:rPr>
          <w:rFonts w:ascii="楷体_GB2312" w:eastAsia="楷体_GB2312"/>
          <w:b/>
          <w:sz w:val="32"/>
          <w:lang w:eastAsia="zh-CN"/>
        </w:rPr>
        <w:t>4.</w:t>
      </w:r>
      <w:r>
        <w:rPr>
          <w:rFonts w:hint="eastAsia" w:ascii="楷体_GB2312" w:eastAsia="楷体_GB2312"/>
          <w:b/>
          <w:sz w:val="32"/>
        </w:rPr>
        <w:t>工作能力水平有待提升</w:t>
      </w:r>
    </w:p>
    <w:p>
      <w:pPr>
        <w:spacing w:line="560" w:lineRule="exact"/>
        <w:ind w:firstLine="643"/>
        <w:rPr>
          <w:rFonts w:ascii="楷体_GB2312" w:eastAsia="楷体_GB2312"/>
          <w:b/>
          <w:sz w:val="32"/>
        </w:rPr>
      </w:pPr>
      <w:r>
        <w:rPr>
          <w:rFonts w:hint="eastAsia" w:ascii="仿宋_GB2312" w:eastAsia="仿宋_GB2312"/>
          <w:sz w:val="32"/>
          <w:szCs w:val="32"/>
        </w:rPr>
        <w:t>地区之间、部门之间、军地之间的合作机制和应急协作规范制度不健全，缺乏标准化、模块化的应急指挥组织规范，在信息通报、资源共享、联合演练、协同处置等呈“碎片化”零散状态，在平时缺乏标准化程序化的信息交流和联动合作，在紧急情况下缺乏重要救灾要素的快速集成机制。</w:t>
      </w:r>
      <w:r>
        <w:rPr>
          <w:rFonts w:hint="eastAsia" w:ascii="仿宋_GB2312" w:eastAsia="仿宋_GB2312"/>
          <w:sz w:val="32"/>
        </w:rPr>
        <w:t>人员专业能力、应急水平不高，缺乏专业执法素质，配合度不高，抱团作战能力不强，综合素质还需进一步提升。</w:t>
      </w:r>
    </w:p>
    <w:p>
      <w:pPr>
        <w:pStyle w:val="2"/>
        <w:spacing w:line="360" w:lineRule="auto"/>
        <w:ind w:firstLine="482" w:firstLineChars="150"/>
        <w:outlineLvl w:val="1"/>
        <w:rPr>
          <w:rFonts w:ascii="仿宋_GB2312" w:eastAsia="仿宋_GB2312" w:cs="仿宋_GB2312"/>
          <w:b/>
          <w:bCs/>
          <w:sz w:val="32"/>
          <w:szCs w:val="32"/>
        </w:rPr>
      </w:pPr>
      <w:r>
        <w:rPr>
          <w:rFonts w:hint="eastAsia" w:ascii="仿宋_GB2312" w:eastAsia="仿宋_GB2312" w:cs="仿宋_GB2312"/>
          <w:b/>
          <w:bCs/>
          <w:sz w:val="32"/>
          <w:szCs w:val="32"/>
        </w:rPr>
        <w:t>（三）改进措施</w:t>
      </w:r>
    </w:p>
    <w:p>
      <w:pPr>
        <w:spacing w:line="580" w:lineRule="exact"/>
        <w:ind w:firstLine="643" w:firstLineChars="200"/>
        <w:rPr>
          <w:rFonts w:ascii="仿宋_GB2312" w:eastAsia="仿宋_GB2312" w:cs="Times New Roman"/>
          <w:color w:val="000000"/>
          <w:kern w:val="0"/>
          <w:sz w:val="32"/>
          <w:szCs w:val="32"/>
          <w:lang w:val="zh-CN"/>
        </w:rPr>
      </w:pPr>
      <w:r>
        <w:rPr>
          <w:rFonts w:hint="eastAsia" w:ascii="仿宋_GB2312" w:eastAsia="仿宋_GB2312"/>
          <w:b/>
          <w:bCs/>
          <w:color w:val="000000"/>
          <w:kern w:val="0"/>
          <w:sz w:val="32"/>
          <w:szCs w:val="32"/>
          <w:lang w:val="zh-CN"/>
        </w:rPr>
        <w:t>一是</w:t>
      </w:r>
      <w:r>
        <w:rPr>
          <w:rFonts w:hint="eastAsia" w:ascii="仿宋_GB2312" w:eastAsia="仿宋_GB2312"/>
          <w:color w:val="000000"/>
          <w:kern w:val="0"/>
          <w:sz w:val="32"/>
          <w:szCs w:val="32"/>
          <w:lang w:val="zh-CN"/>
        </w:rPr>
        <w:t xml:space="preserve">强化安全理念，深入推进安全监察工作。把安全绩效评价作为转变政府职能、深化安全改革、促进科学管理的重要工作来抓，健全完善制度办法，切实加强组织领导，深入推进评价工作，提升整体安全管理水平。 </w:t>
      </w:r>
    </w:p>
    <w:p>
      <w:pPr>
        <w:rPr>
          <w:rFonts w:ascii="Times New Roman" w:hAnsi="Times New Roman" w:eastAsia="宋体"/>
          <w:szCs w:val="24"/>
        </w:rPr>
      </w:pPr>
      <w:r>
        <w:rPr>
          <w:rFonts w:hint="eastAsia" w:ascii="仿宋_GB2312" w:eastAsia="仿宋_GB2312"/>
          <w:color w:val="000000"/>
          <w:kern w:val="0"/>
          <w:sz w:val="32"/>
          <w:szCs w:val="32"/>
          <w:lang w:val="zh-CN"/>
        </w:rPr>
        <w:t xml:space="preserve"> </w:t>
      </w:r>
      <w:r>
        <w:rPr>
          <w:rFonts w:hint="eastAsia" w:ascii="仿宋_GB2312" w:eastAsia="仿宋_GB2312"/>
          <w:color w:val="000000"/>
          <w:kern w:val="0"/>
          <w:sz w:val="32"/>
          <w:szCs w:val="32"/>
        </w:rPr>
        <w:t xml:space="preserve">   </w:t>
      </w:r>
      <w:r>
        <w:rPr>
          <w:rFonts w:hint="eastAsia" w:ascii="仿宋_GB2312" w:eastAsia="仿宋_GB2312"/>
          <w:b/>
          <w:bCs/>
          <w:color w:val="000000"/>
          <w:kern w:val="0"/>
          <w:sz w:val="32"/>
          <w:szCs w:val="32"/>
        </w:rPr>
        <w:t>二</w:t>
      </w:r>
      <w:r>
        <w:rPr>
          <w:rFonts w:hint="eastAsia" w:ascii="仿宋_GB2312" w:eastAsia="仿宋_GB2312"/>
          <w:b/>
          <w:bCs/>
          <w:color w:val="000000"/>
          <w:kern w:val="0"/>
          <w:sz w:val="32"/>
          <w:szCs w:val="32"/>
          <w:lang w:val="zh-CN"/>
        </w:rPr>
        <w:t>是</w:t>
      </w:r>
      <w:r>
        <w:rPr>
          <w:rFonts w:hint="eastAsia" w:ascii="仿宋_GB2312" w:eastAsia="仿宋_GB2312"/>
          <w:color w:val="000000"/>
          <w:kern w:val="0"/>
          <w:sz w:val="32"/>
          <w:szCs w:val="32"/>
          <w:lang w:val="zh-CN"/>
        </w:rPr>
        <w:t>强化整改落实，构建长效机制。对发现的问题逐一整改，全面核查，举一反三，确保整改到位。对评价发现的问题，深入分析原因，采取措施尽快整改，主要领导亲自抓，组织专门力量，专人专项落实，立即整改，不得遗漏。</w:t>
      </w:r>
    </w:p>
    <w:p>
      <w:pPr>
        <w:pStyle w:val="2"/>
        <w:spacing w:line="360" w:lineRule="auto"/>
        <w:rPr>
          <w:rFonts w:ascii="仿宋_GB2312" w:eastAsia="仿宋_GB2312" w:cs="仿宋_GB2312"/>
          <w:sz w:val="32"/>
          <w:szCs w:val="32"/>
        </w:rPr>
      </w:pPr>
    </w:p>
    <w:p>
      <w:pPr>
        <w:pStyle w:val="2"/>
        <w:spacing w:line="360" w:lineRule="auto"/>
        <w:ind w:left="420" w:leftChars="200" w:firstLine="0" w:firstLineChars="0"/>
        <w:rPr>
          <w:rFonts w:ascii="等线" w:eastAsia="等线" w:cs="等线"/>
          <w:szCs w:val="21"/>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7"/>
          <w:rFonts w:ascii="黑体" w:eastAsia="黑体"/>
          <w:b w:val="0"/>
        </w:rPr>
      </w:pPr>
      <w:r>
        <w:rPr>
          <w:rFonts w:hint="eastAsia" w:ascii="黑体" w:eastAsia="黑体"/>
          <w:color w:val="000000"/>
          <w:sz w:val="44"/>
          <w:szCs w:val="44"/>
        </w:rPr>
        <w:t>第</w:t>
      </w:r>
      <w:r>
        <w:rPr>
          <w:rStyle w:val="27"/>
          <w:rFonts w:hint="eastAsia" w:ascii="黑体" w:eastAsia="黑体"/>
          <w:b w:val="0"/>
        </w:rPr>
        <w:t>五部分</w:t>
      </w:r>
      <w:r>
        <w:rPr>
          <w:rStyle w:val="27"/>
          <w:rFonts w:ascii="黑体" w:eastAsia="黑体"/>
          <w:b w:val="0"/>
        </w:rPr>
        <w:t xml:space="preserve"> </w:t>
      </w:r>
      <w:r>
        <w:rPr>
          <w:rStyle w:val="27"/>
          <w:rFonts w:hint="eastAsia" w:ascii="黑体" w:eastAsia="黑体"/>
          <w:b w:val="0"/>
        </w:rPr>
        <w:t>附表</w:t>
      </w:r>
      <w:bookmarkEnd w:id="109"/>
      <w:bookmarkEnd w:id="115"/>
      <w:bookmarkEnd w:id="116"/>
      <w:bookmarkEnd w:id="117"/>
    </w:p>
    <w:p>
      <w:pPr>
        <w:pStyle w:val="4"/>
        <w:spacing w:before="0" w:after="0" w:line="560" w:lineRule="exact"/>
        <w:rPr>
          <w:rFonts w:ascii="仿宋" w:eastAsia="仿宋"/>
          <w:color w:val="000000"/>
        </w:rPr>
      </w:pPr>
      <w:bookmarkStart w:id="119" w:name="_Toc15396619"/>
      <w:bookmarkStart w:id="120" w:name="_Toc79163636"/>
      <w:bookmarkStart w:id="121" w:name="_Toc5427"/>
      <w:r>
        <w:rPr>
          <w:rFonts w:hint="eastAsia" w:ascii="仿宋" w:eastAsia="仿宋"/>
          <w:b w:val="0"/>
          <w:color w:val="000000"/>
        </w:rPr>
        <w:t>一、收</w:t>
      </w:r>
      <w:r>
        <w:rPr>
          <w:rStyle w:val="28"/>
          <w:rFonts w:hint="eastAsia" w:ascii="仿宋" w:eastAsia="仿宋"/>
          <w:b w:val="0"/>
          <w:bCs w:val="0"/>
        </w:rPr>
        <w:t>入支出决算总表</w:t>
      </w:r>
      <w:bookmarkEnd w:id="119"/>
      <w:bookmarkEnd w:id="120"/>
      <w:bookmarkEnd w:id="121"/>
    </w:p>
    <w:p>
      <w:pPr>
        <w:pStyle w:val="4"/>
        <w:spacing w:before="0" w:after="0" w:line="560" w:lineRule="exact"/>
        <w:rPr>
          <w:rFonts w:ascii="仿宋" w:eastAsia="仿宋"/>
          <w:color w:val="000000"/>
        </w:rPr>
      </w:pPr>
      <w:bookmarkStart w:id="122" w:name="_Toc79163637"/>
      <w:bookmarkStart w:id="123" w:name="_Toc15396620"/>
      <w:bookmarkStart w:id="124" w:name="_Toc16353"/>
      <w:r>
        <w:rPr>
          <w:rFonts w:hint="eastAsia" w:ascii="仿宋" w:eastAsia="仿宋"/>
          <w:b w:val="0"/>
          <w:color w:val="000000"/>
        </w:rPr>
        <w:t>二、收</w:t>
      </w:r>
      <w:r>
        <w:rPr>
          <w:rStyle w:val="28"/>
          <w:rFonts w:hint="eastAsia" w:ascii="仿宋" w:eastAsia="仿宋"/>
          <w:b w:val="0"/>
          <w:bCs w:val="0"/>
        </w:rPr>
        <w:t>入决算表</w:t>
      </w:r>
      <w:bookmarkEnd w:id="122"/>
      <w:bookmarkEnd w:id="123"/>
      <w:bookmarkEnd w:id="124"/>
    </w:p>
    <w:p>
      <w:pPr>
        <w:pStyle w:val="4"/>
        <w:spacing w:before="0" w:after="0" w:line="560" w:lineRule="exact"/>
        <w:rPr>
          <w:rFonts w:ascii="仿宋" w:eastAsia="仿宋"/>
          <w:color w:val="000000"/>
        </w:rPr>
      </w:pPr>
      <w:bookmarkStart w:id="125" w:name="_Toc15396621"/>
      <w:bookmarkStart w:id="126" w:name="_Toc79163638"/>
      <w:bookmarkStart w:id="127" w:name="_Toc24584"/>
      <w:r>
        <w:rPr>
          <w:rStyle w:val="28"/>
          <w:rFonts w:hint="eastAsia" w:ascii="仿宋" w:eastAsia="仿宋"/>
          <w:b w:val="0"/>
          <w:bCs w:val="0"/>
        </w:rPr>
        <w:t>三、</w:t>
      </w:r>
      <w:r>
        <w:rPr>
          <w:rFonts w:hint="eastAsia" w:ascii="仿宋" w:eastAsia="仿宋"/>
          <w:b w:val="0"/>
          <w:color w:val="000000"/>
        </w:rPr>
        <w:t>支</w:t>
      </w:r>
      <w:r>
        <w:rPr>
          <w:rStyle w:val="28"/>
          <w:rFonts w:hint="eastAsia" w:ascii="仿宋" w:eastAsia="仿宋"/>
          <w:b w:val="0"/>
          <w:bCs w:val="0"/>
        </w:rPr>
        <w:t>出决算表</w:t>
      </w:r>
      <w:bookmarkEnd w:id="125"/>
      <w:bookmarkEnd w:id="126"/>
      <w:bookmarkEnd w:id="127"/>
    </w:p>
    <w:p>
      <w:pPr>
        <w:pStyle w:val="4"/>
        <w:spacing w:before="0" w:after="0" w:line="560" w:lineRule="exact"/>
        <w:rPr>
          <w:rFonts w:ascii="仿宋" w:eastAsia="仿宋"/>
          <w:b w:val="0"/>
          <w:color w:val="000000"/>
        </w:rPr>
      </w:pPr>
      <w:bookmarkStart w:id="128" w:name="_Toc15396622"/>
      <w:bookmarkStart w:id="129" w:name="_Toc79163639"/>
      <w:bookmarkStart w:id="130" w:name="_Toc19691"/>
      <w:r>
        <w:rPr>
          <w:rStyle w:val="28"/>
          <w:rFonts w:hint="eastAsia" w:ascii="仿宋" w:eastAsia="仿宋"/>
          <w:b w:val="0"/>
          <w:bCs w:val="0"/>
        </w:rPr>
        <w:t>四、</w:t>
      </w:r>
      <w:r>
        <w:rPr>
          <w:rFonts w:hint="eastAsia" w:ascii="仿宋" w:eastAsia="仿宋"/>
          <w:b w:val="0"/>
          <w:color w:val="000000"/>
        </w:rPr>
        <w:t>财</w:t>
      </w:r>
      <w:r>
        <w:rPr>
          <w:rStyle w:val="28"/>
          <w:rFonts w:hint="eastAsia" w:ascii="仿宋" w:eastAsia="仿宋"/>
          <w:b w:val="0"/>
          <w:bCs w:val="0"/>
        </w:rPr>
        <w:t>政拨款收入支出决算总表</w:t>
      </w:r>
      <w:bookmarkEnd w:id="128"/>
      <w:bookmarkEnd w:id="129"/>
      <w:bookmarkEnd w:id="130"/>
    </w:p>
    <w:p>
      <w:pPr>
        <w:pStyle w:val="4"/>
        <w:spacing w:before="0" w:after="0" w:line="560" w:lineRule="exact"/>
        <w:rPr>
          <w:rStyle w:val="28"/>
          <w:rFonts w:ascii="仿宋" w:eastAsia="仿宋"/>
          <w:b w:val="0"/>
          <w:bCs w:val="0"/>
        </w:rPr>
      </w:pPr>
      <w:bookmarkStart w:id="131" w:name="_Toc15396623"/>
      <w:bookmarkStart w:id="132" w:name="_Toc79163640"/>
      <w:bookmarkStart w:id="133" w:name="_Toc21611"/>
      <w:r>
        <w:rPr>
          <w:rStyle w:val="28"/>
          <w:rFonts w:hint="eastAsia" w:ascii="仿宋" w:eastAsia="仿宋"/>
          <w:b w:val="0"/>
          <w:bCs w:val="0"/>
        </w:rPr>
        <w:t>五、</w:t>
      </w:r>
      <w:r>
        <w:rPr>
          <w:rFonts w:hint="eastAsia" w:ascii="仿宋" w:eastAsia="仿宋"/>
          <w:b w:val="0"/>
          <w:color w:val="000000"/>
        </w:rPr>
        <w:t>财</w:t>
      </w:r>
      <w:r>
        <w:rPr>
          <w:rStyle w:val="28"/>
          <w:rFonts w:hint="eastAsia" w:ascii="仿宋" w:eastAsia="仿宋"/>
          <w:b w:val="0"/>
          <w:bCs w:val="0"/>
        </w:rPr>
        <w:t>政拨款支出决算明细表</w:t>
      </w:r>
      <w:bookmarkEnd w:id="131"/>
      <w:bookmarkEnd w:id="132"/>
      <w:bookmarkEnd w:id="133"/>
      <w:bookmarkStart w:id="134" w:name="_Toc15396624"/>
    </w:p>
    <w:p>
      <w:pPr>
        <w:pStyle w:val="4"/>
        <w:spacing w:before="0" w:after="0" w:line="560" w:lineRule="exact"/>
        <w:rPr>
          <w:rFonts w:ascii="仿宋" w:eastAsia="仿宋"/>
          <w:color w:val="000000"/>
        </w:rPr>
      </w:pPr>
      <w:bookmarkStart w:id="135" w:name="_Toc28897"/>
      <w:bookmarkStart w:id="136" w:name="_Toc79163641"/>
      <w:r>
        <w:rPr>
          <w:rStyle w:val="28"/>
          <w:rFonts w:hint="eastAsia" w:ascii="仿宋" w:eastAsia="仿宋"/>
          <w:b w:val="0"/>
          <w:bCs w:val="0"/>
        </w:rPr>
        <w:t>六、</w:t>
      </w:r>
      <w:r>
        <w:rPr>
          <w:rFonts w:hint="eastAsia" w:ascii="仿宋" w:eastAsia="仿宋"/>
          <w:b w:val="0"/>
          <w:color w:val="000000"/>
        </w:rPr>
        <w:t>一</w:t>
      </w:r>
      <w:r>
        <w:rPr>
          <w:rStyle w:val="28"/>
          <w:rFonts w:hint="eastAsia" w:ascii="仿宋" w:eastAsia="仿宋"/>
          <w:b w:val="0"/>
          <w:bCs w:val="0"/>
        </w:rPr>
        <w:t>般公共预算财政拨款支出决算表</w:t>
      </w:r>
      <w:bookmarkEnd w:id="134"/>
      <w:bookmarkEnd w:id="135"/>
      <w:bookmarkEnd w:id="136"/>
    </w:p>
    <w:p>
      <w:pPr>
        <w:pStyle w:val="4"/>
        <w:spacing w:before="0" w:after="0" w:line="560" w:lineRule="exact"/>
        <w:rPr>
          <w:rFonts w:ascii="仿宋" w:eastAsia="仿宋"/>
          <w:color w:val="000000"/>
        </w:rPr>
      </w:pPr>
      <w:bookmarkStart w:id="137" w:name="_Toc27213"/>
      <w:bookmarkStart w:id="138" w:name="_Toc15396625"/>
      <w:bookmarkStart w:id="139" w:name="_Toc79163642"/>
      <w:r>
        <w:rPr>
          <w:rStyle w:val="28"/>
          <w:rFonts w:hint="eastAsia" w:ascii="仿宋" w:eastAsia="仿宋"/>
          <w:b w:val="0"/>
          <w:bCs w:val="0"/>
        </w:rPr>
        <w:t>七、</w:t>
      </w:r>
      <w:r>
        <w:rPr>
          <w:rFonts w:hint="eastAsia" w:ascii="仿宋" w:eastAsia="仿宋"/>
          <w:b w:val="0"/>
          <w:color w:val="000000"/>
        </w:rPr>
        <w:t>一</w:t>
      </w:r>
      <w:r>
        <w:rPr>
          <w:rStyle w:val="28"/>
          <w:rFonts w:hint="eastAsia" w:ascii="仿宋" w:eastAsia="仿宋"/>
          <w:b w:val="0"/>
          <w:bCs w:val="0"/>
        </w:rPr>
        <w:t>般公共预算财政拨款支出决算明细表</w:t>
      </w:r>
      <w:bookmarkEnd w:id="137"/>
      <w:bookmarkEnd w:id="138"/>
      <w:bookmarkEnd w:id="139"/>
    </w:p>
    <w:p>
      <w:pPr>
        <w:pStyle w:val="4"/>
        <w:spacing w:before="0" w:after="0" w:line="560" w:lineRule="exact"/>
        <w:rPr>
          <w:rFonts w:ascii="仿宋" w:eastAsia="仿宋"/>
          <w:color w:val="000000"/>
        </w:rPr>
      </w:pPr>
      <w:bookmarkStart w:id="140" w:name="_Toc79163643"/>
      <w:bookmarkStart w:id="141" w:name="_Toc6802"/>
      <w:bookmarkStart w:id="142" w:name="_Toc15396626"/>
      <w:r>
        <w:rPr>
          <w:rStyle w:val="28"/>
          <w:rFonts w:hint="eastAsia" w:ascii="仿宋" w:eastAsia="仿宋"/>
          <w:b w:val="0"/>
          <w:bCs w:val="0"/>
        </w:rPr>
        <w:t>八、</w:t>
      </w:r>
      <w:r>
        <w:rPr>
          <w:rFonts w:hint="eastAsia" w:ascii="仿宋" w:eastAsia="仿宋"/>
          <w:b w:val="0"/>
          <w:color w:val="000000"/>
        </w:rPr>
        <w:t>一</w:t>
      </w:r>
      <w:r>
        <w:rPr>
          <w:rStyle w:val="28"/>
          <w:rFonts w:hint="eastAsia" w:ascii="仿宋" w:eastAsia="仿宋"/>
          <w:b w:val="0"/>
          <w:bCs w:val="0"/>
        </w:rPr>
        <w:t>般公共预算财政拨款基本支出决算表</w:t>
      </w:r>
      <w:bookmarkEnd w:id="140"/>
      <w:bookmarkEnd w:id="141"/>
      <w:bookmarkEnd w:id="142"/>
    </w:p>
    <w:p>
      <w:pPr>
        <w:pStyle w:val="4"/>
        <w:spacing w:before="0" w:after="0" w:line="560" w:lineRule="exact"/>
        <w:rPr>
          <w:rFonts w:ascii="仿宋" w:eastAsia="仿宋"/>
          <w:color w:val="000000"/>
        </w:rPr>
      </w:pPr>
      <w:bookmarkStart w:id="143" w:name="_Toc22876"/>
      <w:bookmarkStart w:id="144" w:name="_Toc79163644"/>
      <w:bookmarkStart w:id="145" w:name="_Toc15396627"/>
      <w:r>
        <w:rPr>
          <w:rStyle w:val="28"/>
          <w:rFonts w:hint="eastAsia" w:ascii="仿宋" w:eastAsia="仿宋"/>
          <w:b w:val="0"/>
          <w:bCs w:val="0"/>
        </w:rPr>
        <w:t>九、</w:t>
      </w:r>
      <w:r>
        <w:rPr>
          <w:rFonts w:hint="eastAsia" w:ascii="仿宋" w:eastAsia="仿宋"/>
          <w:b w:val="0"/>
          <w:color w:val="000000"/>
        </w:rPr>
        <w:t>一</w:t>
      </w:r>
      <w:r>
        <w:rPr>
          <w:rStyle w:val="28"/>
          <w:rFonts w:hint="eastAsia" w:ascii="仿宋" w:eastAsia="仿宋"/>
          <w:b w:val="0"/>
          <w:bCs w:val="0"/>
        </w:rPr>
        <w:t>般公共预算财政拨款项目支出决算表</w:t>
      </w:r>
      <w:bookmarkEnd w:id="143"/>
      <w:bookmarkEnd w:id="144"/>
      <w:bookmarkEnd w:id="145"/>
    </w:p>
    <w:p>
      <w:pPr>
        <w:pStyle w:val="4"/>
        <w:spacing w:before="0" w:after="0" w:line="560" w:lineRule="exact"/>
        <w:rPr>
          <w:rFonts w:ascii="仿宋" w:eastAsia="仿宋"/>
          <w:color w:val="000000"/>
        </w:rPr>
      </w:pPr>
      <w:bookmarkStart w:id="146" w:name="_Toc32417"/>
      <w:bookmarkStart w:id="147" w:name="_Toc15396628"/>
      <w:bookmarkStart w:id="148" w:name="_Toc79163645"/>
      <w:r>
        <w:rPr>
          <w:rStyle w:val="28"/>
          <w:rFonts w:hint="eastAsia" w:ascii="仿宋" w:eastAsia="仿宋"/>
          <w:b w:val="0"/>
          <w:bCs w:val="0"/>
        </w:rPr>
        <w:t>十、</w:t>
      </w:r>
      <w:r>
        <w:rPr>
          <w:rFonts w:hint="eastAsia" w:ascii="仿宋" w:eastAsia="仿宋"/>
          <w:b w:val="0"/>
          <w:color w:val="000000"/>
        </w:rPr>
        <w:t>一</w:t>
      </w:r>
      <w:r>
        <w:rPr>
          <w:rStyle w:val="28"/>
          <w:rFonts w:hint="eastAsia" w:ascii="仿宋" w:eastAsia="仿宋"/>
          <w:b w:val="0"/>
          <w:bCs w:val="0"/>
        </w:rPr>
        <w:t>般公共预算财政拨款“三公”经费支出决算表</w:t>
      </w:r>
      <w:bookmarkEnd w:id="146"/>
      <w:bookmarkEnd w:id="147"/>
      <w:bookmarkEnd w:id="148"/>
    </w:p>
    <w:p>
      <w:pPr>
        <w:pStyle w:val="4"/>
        <w:spacing w:before="0" w:after="0" w:line="560" w:lineRule="exact"/>
        <w:rPr>
          <w:rFonts w:ascii="仿宋" w:eastAsia="仿宋"/>
          <w:color w:val="000000"/>
        </w:rPr>
      </w:pPr>
      <w:bookmarkStart w:id="149" w:name="_Toc15396629"/>
      <w:bookmarkStart w:id="150" w:name="_Toc79163646"/>
      <w:bookmarkStart w:id="151" w:name="_Toc14487"/>
      <w:r>
        <w:rPr>
          <w:rStyle w:val="28"/>
          <w:rFonts w:hint="eastAsia" w:ascii="仿宋" w:eastAsia="仿宋"/>
          <w:b w:val="0"/>
          <w:bCs w:val="0"/>
        </w:rPr>
        <w:t>十一、</w:t>
      </w:r>
      <w:r>
        <w:rPr>
          <w:rFonts w:hint="eastAsia" w:ascii="仿宋" w:eastAsia="仿宋"/>
          <w:b w:val="0"/>
          <w:color w:val="000000"/>
        </w:rPr>
        <w:t>政</w:t>
      </w:r>
      <w:r>
        <w:rPr>
          <w:rStyle w:val="28"/>
          <w:rFonts w:hint="eastAsia" w:ascii="仿宋" w:eastAsia="仿宋"/>
          <w:b w:val="0"/>
          <w:bCs w:val="0"/>
        </w:rPr>
        <w:t>府性基金预算财政拨款收入支出决算表</w:t>
      </w:r>
      <w:bookmarkEnd w:id="149"/>
      <w:bookmarkEnd w:id="150"/>
      <w:bookmarkEnd w:id="151"/>
    </w:p>
    <w:p>
      <w:pPr>
        <w:pStyle w:val="4"/>
        <w:spacing w:before="0" w:after="0" w:line="560" w:lineRule="exact"/>
        <w:rPr>
          <w:rFonts w:ascii="仿宋" w:eastAsia="仿宋"/>
          <w:color w:val="000000"/>
        </w:rPr>
      </w:pPr>
      <w:bookmarkStart w:id="152" w:name="_Toc24920"/>
      <w:bookmarkStart w:id="153" w:name="_Toc79163647"/>
      <w:bookmarkStart w:id="154" w:name="_Toc15396630"/>
      <w:r>
        <w:rPr>
          <w:rStyle w:val="28"/>
          <w:rFonts w:hint="eastAsia" w:ascii="仿宋" w:eastAsia="仿宋"/>
          <w:b w:val="0"/>
          <w:bCs w:val="0"/>
        </w:rPr>
        <w:t>十二、</w:t>
      </w:r>
      <w:r>
        <w:rPr>
          <w:rFonts w:hint="eastAsia" w:ascii="仿宋" w:eastAsia="仿宋"/>
          <w:b w:val="0"/>
          <w:color w:val="000000"/>
        </w:rPr>
        <w:t>政</w:t>
      </w:r>
      <w:r>
        <w:rPr>
          <w:rStyle w:val="28"/>
          <w:rFonts w:hint="eastAsia" w:ascii="仿宋" w:eastAsia="仿宋"/>
          <w:b w:val="0"/>
          <w:bCs w:val="0"/>
        </w:rPr>
        <w:t>府性基金预算财政拨款“三公”经费支出决算表</w:t>
      </w:r>
      <w:bookmarkEnd w:id="152"/>
      <w:bookmarkEnd w:id="153"/>
      <w:bookmarkEnd w:id="154"/>
    </w:p>
    <w:p>
      <w:pPr>
        <w:pStyle w:val="4"/>
        <w:spacing w:before="0" w:after="0" w:line="560" w:lineRule="exact"/>
        <w:rPr>
          <w:rStyle w:val="28"/>
          <w:rFonts w:ascii="仿宋" w:eastAsia="仿宋"/>
          <w:b w:val="0"/>
          <w:bCs w:val="0"/>
        </w:rPr>
      </w:pPr>
      <w:bookmarkStart w:id="155" w:name="_Toc15396631"/>
      <w:bookmarkStart w:id="156" w:name="_Toc10073"/>
      <w:bookmarkStart w:id="157" w:name="_Toc79163648"/>
      <w:r>
        <w:rPr>
          <w:rStyle w:val="28"/>
          <w:rFonts w:hint="eastAsia" w:ascii="仿宋" w:eastAsia="仿宋"/>
          <w:b w:val="0"/>
          <w:bCs w:val="0"/>
        </w:rPr>
        <w:t>十三、</w:t>
      </w:r>
      <w:r>
        <w:rPr>
          <w:rFonts w:hint="eastAsia" w:ascii="仿宋" w:eastAsia="仿宋"/>
          <w:b w:val="0"/>
          <w:color w:val="000000"/>
        </w:rPr>
        <w:t>国</w:t>
      </w:r>
      <w:r>
        <w:rPr>
          <w:rStyle w:val="28"/>
          <w:rFonts w:hint="eastAsia" w:ascii="仿宋" w:eastAsia="仿宋"/>
          <w:b w:val="0"/>
          <w:bCs w:val="0"/>
        </w:rPr>
        <w:t>有资本经营预算财政拨款支出决算表</w:t>
      </w:r>
      <w:bookmarkEnd w:id="155"/>
      <w:bookmarkEnd w:id="156"/>
      <w:bookmarkEnd w:id="157"/>
    </w:p>
    <w:p>
      <w:pPr>
        <w:pStyle w:val="4"/>
        <w:spacing w:before="0" w:after="0" w:line="560" w:lineRule="exact"/>
        <w:rPr>
          <w:rStyle w:val="28"/>
          <w:rFonts w:ascii="仿宋" w:eastAsia="仿宋"/>
          <w:b w:val="0"/>
          <w:bCs w:val="0"/>
        </w:rPr>
      </w:pPr>
      <w:bookmarkStart w:id="158" w:name="_Toc2036"/>
      <w:bookmarkStart w:id="159" w:name="_Toc79163649"/>
      <w:r>
        <w:rPr>
          <w:rStyle w:val="28"/>
          <w:rFonts w:hint="eastAsia" w:ascii="仿宋" w:eastAsia="仿宋"/>
          <w:b w:val="0"/>
          <w:bCs w:val="0"/>
        </w:rPr>
        <w:t>十四、国有资本经营预算财政拨款支出决算表</w:t>
      </w:r>
      <w:bookmarkEnd w:id="158"/>
      <w:bookmarkEnd w:id="15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3</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83D8E"/>
    <w:multiLevelType w:val="singleLevel"/>
    <w:tmpl w:val="87F83D8E"/>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7797B1CE"/>
    <w:multiLevelType w:val="singleLevel"/>
    <w:tmpl w:val="7797B1CE"/>
    <w:lvl w:ilvl="0" w:tentative="0">
      <w:start w:val="1"/>
      <w:numFmt w:val="decimal"/>
      <w:lvlText w:val="%1."/>
      <w:lvlJc w:val="left"/>
      <w:pPr>
        <w:ind w:left="0" w:firstLine="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NmE5NzZiYjU4MTQ1YWQ1YmIwY2Q0ODE2ZGYwOTZkMGEifQ=="/>
  </w:docVars>
  <w:rsids>
    <w:rsidRoot w:val="00000000"/>
    <w:rsid w:val="001669D4"/>
    <w:rsid w:val="039C3694"/>
    <w:rsid w:val="0A2A37A7"/>
    <w:rsid w:val="0E2A1FC8"/>
    <w:rsid w:val="0E6D45AA"/>
    <w:rsid w:val="3D51281E"/>
    <w:rsid w:val="4E047C37"/>
    <w:rsid w:val="58FB5B4B"/>
    <w:rsid w:val="673941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8"/>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24">
    <w:name w:val="Default Paragraph Font"/>
    <w:uiPriority w:val="0"/>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2">
    <w:name w:val="列出段落1"/>
    <w:basedOn w:val="1"/>
    <w:uiPriority w:val="0"/>
    <w:pPr>
      <w:keepNext w:val="0"/>
      <w:keepLines w:val="0"/>
      <w:widowControl w:val="0"/>
      <w:suppressLineNumbers w:val="0"/>
      <w:spacing w:before="0" w:beforeAutospacing="0" w:after="0" w:afterAutospacing="0"/>
      <w:ind w:left="0" w:right="0" w:firstLine="200" w:firstLineChars="200"/>
      <w:jc w:val="both"/>
    </w:pPr>
    <w:rPr>
      <w:rFonts w:ascii="Calibri" w:hAnsi="Calibri" w:eastAsia="宋体" w:cs="Times New Roman"/>
      <w:kern w:val="2"/>
      <w:sz w:val="32"/>
      <w:szCs w:val="32"/>
      <w:lang w:val="en-US" w:eastAsia="zh-CN"/>
    </w:rPr>
  </w:style>
  <w:style w:type="paragraph" w:styleId="6">
    <w:name w:val="toc 7"/>
    <w:basedOn w:val="1"/>
    <w:next w:val="1"/>
    <w:uiPriority w:val="0"/>
    <w:pPr>
      <w:ind w:left="1260"/>
      <w:jc w:val="left"/>
    </w:pPr>
    <w:rPr>
      <w:rFonts w:ascii="等线" w:eastAsia="等线"/>
      <w:sz w:val="18"/>
      <w:szCs w:val="18"/>
    </w:rPr>
  </w:style>
  <w:style w:type="paragraph" w:styleId="7">
    <w:name w:val="index 5"/>
    <w:basedOn w:val="1"/>
    <w:next w:val="1"/>
    <w:uiPriority w:val="0"/>
    <w:pPr>
      <w:widowControl w:val="0"/>
      <w:ind w:left="1680"/>
      <w:jc w:val="both"/>
    </w:pPr>
    <w:rPr>
      <w:rFonts w:ascii="仿宋_GB2312" w:eastAsia="仿宋_GB2312" w:cs="Arial"/>
      <w:kern w:val="2"/>
      <w:sz w:val="32"/>
      <w:szCs w:val="32"/>
      <w:lang w:val="en-US" w:eastAsia="zh-CN" w:bidi="ar-SA"/>
    </w:rPr>
  </w:style>
  <w:style w:type="paragraph" w:styleId="8">
    <w:name w:val="Body Text"/>
    <w:basedOn w:val="1"/>
    <w:uiPriority w:val="0"/>
    <w:pPr>
      <w:spacing w:before="30" w:beforeLines="30"/>
    </w:pPr>
    <w:rPr>
      <w:rFonts w:ascii="仿宋_GB2312" w:eastAsia="仿宋_GB2312"/>
      <w:kern w:val="0"/>
      <w:sz w:val="24"/>
      <w:szCs w:val="20"/>
      <w:lang w:val="zh-CN" w:eastAsia="zh-CN"/>
    </w:rPr>
  </w:style>
  <w:style w:type="paragraph" w:styleId="9">
    <w:name w:val="Body Text Indent"/>
    <w:basedOn w:val="1"/>
    <w:next w:val="10"/>
    <w:uiPriority w:val="0"/>
    <w:pPr>
      <w:spacing w:after="120"/>
      <w:ind w:left="200" w:leftChars="200"/>
    </w:pPr>
  </w:style>
  <w:style w:type="paragraph" w:styleId="10">
    <w:name w:val="Body Text First Indent 2"/>
    <w:basedOn w:val="9"/>
    <w:next w:val="1"/>
    <w:uiPriority w:val="0"/>
    <w:pPr>
      <w:tabs>
        <w:tab w:val="left" w:pos="960"/>
      </w:tabs>
      <w:spacing w:after="0" w:line="540" w:lineRule="exact"/>
      <w:ind w:left="0" w:leftChars="0" w:firstLine="200" w:firstLineChars="200"/>
    </w:pPr>
    <w:rPr>
      <w:rFonts w:ascii="Calibri" w:hAnsi="Calibri" w:eastAsia="宋体" w:cs="Times New Roman"/>
      <w:sz w:val="32"/>
      <w:szCs w:val="32"/>
    </w:rPr>
  </w:style>
  <w:style w:type="paragraph" w:styleId="11">
    <w:name w:val="toc 5"/>
    <w:basedOn w:val="1"/>
    <w:next w:val="1"/>
    <w:uiPriority w:val="0"/>
    <w:pPr>
      <w:ind w:left="840"/>
      <w:jc w:val="left"/>
    </w:pPr>
    <w:rPr>
      <w:rFonts w:ascii="等线" w:eastAsia="等线"/>
      <w:sz w:val="18"/>
      <w:szCs w:val="18"/>
    </w:rPr>
  </w:style>
  <w:style w:type="paragraph" w:styleId="12">
    <w:name w:val="toc 3"/>
    <w:basedOn w:val="1"/>
    <w:next w:val="1"/>
    <w:uiPriority w:val="0"/>
    <w:pPr>
      <w:ind w:left="420"/>
      <w:jc w:val="left"/>
    </w:pPr>
    <w:rPr>
      <w:rFonts w:ascii="等线" w:eastAsia="等线"/>
      <w:i/>
      <w:iCs/>
      <w:sz w:val="20"/>
      <w:szCs w:val="20"/>
    </w:rPr>
  </w:style>
  <w:style w:type="paragraph" w:styleId="13">
    <w:name w:val="toc 8"/>
    <w:basedOn w:val="1"/>
    <w:next w:val="1"/>
    <w:uiPriority w:val="0"/>
    <w:pPr>
      <w:ind w:left="1470"/>
      <w:jc w:val="left"/>
    </w:pPr>
    <w:rPr>
      <w:rFonts w:ascii="等线" w:eastAsia="等线"/>
      <w:sz w:val="18"/>
      <w:szCs w:val="18"/>
    </w:rPr>
  </w:style>
  <w:style w:type="paragraph" w:styleId="14">
    <w:name w:val="Balloon Text"/>
    <w:basedOn w:val="1"/>
    <w:uiPriority w:val="0"/>
    <w:rPr>
      <w:sz w:val="18"/>
      <w:szCs w:val="18"/>
    </w:rPr>
  </w:style>
  <w:style w:type="paragraph" w:styleId="15">
    <w:name w:val="footer"/>
    <w:basedOn w:val="1"/>
    <w:next w:val="7"/>
    <w:uiPriority w:val="0"/>
    <w:pPr>
      <w:tabs>
        <w:tab w:val="center" w:pos="4153"/>
        <w:tab w:val="right" w:pos="8306"/>
      </w:tabs>
      <w:snapToGrid w:val="0"/>
      <w:jc w:val="left"/>
    </w:pPr>
    <w:rPr>
      <w:rFonts w:ascii="Calibri" w:hAnsi="Calibri"/>
      <w:kern w:val="0"/>
      <w:sz w:val="18"/>
      <w:szCs w:val="20"/>
      <w:lang w:val="zh-CN" w:eastAsia="zh-CN"/>
    </w:rPr>
  </w:style>
  <w:style w:type="paragraph" w:styleId="16">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7">
    <w:name w:val="toc 1"/>
    <w:basedOn w:val="1"/>
    <w:next w:val="1"/>
    <w:uiPriority w:val="0"/>
    <w:pPr>
      <w:spacing w:before="120" w:after="120"/>
      <w:jc w:val="left"/>
    </w:pPr>
    <w:rPr>
      <w:rFonts w:ascii="等线" w:eastAsia="等线"/>
      <w:b/>
      <w:bCs/>
      <w:caps/>
      <w:sz w:val="20"/>
      <w:szCs w:val="20"/>
    </w:rPr>
  </w:style>
  <w:style w:type="paragraph" w:styleId="18">
    <w:name w:val="toc 4"/>
    <w:basedOn w:val="1"/>
    <w:next w:val="1"/>
    <w:uiPriority w:val="0"/>
    <w:pPr>
      <w:ind w:left="630"/>
      <w:jc w:val="left"/>
    </w:pPr>
    <w:rPr>
      <w:rFonts w:ascii="等线" w:eastAsia="等线"/>
      <w:sz w:val="18"/>
      <w:szCs w:val="18"/>
    </w:rPr>
  </w:style>
  <w:style w:type="paragraph" w:styleId="19">
    <w:name w:val="toc 6"/>
    <w:basedOn w:val="1"/>
    <w:next w:val="1"/>
    <w:uiPriority w:val="0"/>
    <w:pPr>
      <w:ind w:left="1050"/>
      <w:jc w:val="left"/>
    </w:pPr>
    <w:rPr>
      <w:rFonts w:ascii="等线" w:eastAsia="等线"/>
      <w:sz w:val="18"/>
      <w:szCs w:val="18"/>
    </w:rPr>
  </w:style>
  <w:style w:type="paragraph" w:styleId="20">
    <w:name w:val="toc 2"/>
    <w:basedOn w:val="1"/>
    <w:next w:val="1"/>
    <w:uiPriority w:val="0"/>
    <w:pPr>
      <w:ind w:left="210"/>
      <w:jc w:val="left"/>
    </w:pPr>
    <w:rPr>
      <w:rFonts w:ascii="等线" w:eastAsia="等线"/>
      <w:smallCaps/>
      <w:sz w:val="20"/>
      <w:szCs w:val="20"/>
    </w:rPr>
  </w:style>
  <w:style w:type="paragraph" w:styleId="21">
    <w:name w:val="toc 9"/>
    <w:basedOn w:val="1"/>
    <w:next w:val="1"/>
    <w:uiPriority w:val="0"/>
    <w:pPr>
      <w:ind w:left="1680"/>
      <w:jc w:val="left"/>
    </w:pPr>
    <w:rPr>
      <w:rFonts w:ascii="等线" w:eastAsia="等线"/>
      <w:sz w:val="18"/>
      <w:szCs w:val="18"/>
    </w:rPr>
  </w:style>
  <w:style w:type="paragraph" w:styleId="22">
    <w:name w:val="Normal (Web)"/>
    <w:basedOn w:val="1"/>
    <w:uiPriority w:val="0"/>
    <w:pPr>
      <w:widowControl/>
      <w:spacing w:before="0" w:beforeAutospacing="1" w:after="0" w:afterAutospacing="1"/>
      <w:ind w:left="0" w:right="0"/>
      <w:jc w:val="left"/>
    </w:pPr>
    <w:rPr>
      <w:rFonts w:ascii="宋体" w:eastAsia="宋体" w:cs="宋体"/>
      <w:kern w:val="0"/>
      <w:sz w:val="24"/>
      <w:szCs w:val="24"/>
      <w:lang w:val="en-US" w:eastAsia="zh-CN"/>
    </w:rPr>
  </w:style>
  <w:style w:type="character" w:styleId="25">
    <w:name w:val="Strong"/>
    <w:basedOn w:val="24"/>
    <w:uiPriority w:val="0"/>
    <w:rPr>
      <w:rFonts w:cs="Times New Roman"/>
      <w:b/>
    </w:rPr>
  </w:style>
  <w:style w:type="character" w:styleId="26">
    <w:name w:val="Hyperlink"/>
    <w:basedOn w:val="24"/>
    <w:uiPriority w:val="0"/>
    <w:rPr>
      <w:rFonts w:cs="Times New Roman"/>
      <w:color w:val="0000FF"/>
      <w:u w:val="single"/>
    </w:rPr>
  </w:style>
  <w:style w:type="character" w:customStyle="1" w:styleId="27">
    <w:name w:val="heading 1 Char"/>
    <w:basedOn w:val="24"/>
    <w:link w:val="3"/>
    <w:uiPriority w:val="0"/>
    <w:rPr>
      <w:rFonts w:ascii="Times New Roman" w:hAnsi="Times New Roman" w:eastAsia="宋体" w:cs="Times New Roman"/>
      <w:b/>
      <w:bCs/>
      <w:kern w:val="44"/>
      <w:sz w:val="44"/>
      <w:szCs w:val="44"/>
      <w:lang w:val="en-US" w:eastAsia="zh-CN" w:bidi="ar-SA"/>
    </w:rPr>
  </w:style>
  <w:style w:type="character" w:customStyle="1" w:styleId="28">
    <w:name w:val="heading 2 Char"/>
    <w:basedOn w:val="24"/>
    <w:link w:val="4"/>
    <w:uiPriority w:val="0"/>
    <w:rPr>
      <w:rFonts w:ascii="Cambria" w:hAnsi="Cambria" w:eastAsia="宋体" w:cs="Times New Roman"/>
      <w:b/>
      <w:bCs/>
      <w:kern w:val="2"/>
      <w:sz w:val="32"/>
      <w:szCs w:val="32"/>
      <w:lang w:val="en-US" w:eastAsia="zh-CN" w:bidi="ar-SA"/>
    </w:rPr>
  </w:style>
  <w:style w:type="character" w:customStyle="1" w:styleId="29">
    <w:name w:val="Body Text Char"/>
    <w:basedOn w:val="24"/>
    <w:uiPriority w:val="0"/>
    <w:rPr>
      <w:rFonts w:ascii="Times New Roman" w:hAnsi="Times New Roman" w:cs="Times New Roman"/>
      <w:sz w:val="24"/>
      <w:szCs w:val="24"/>
    </w:rPr>
  </w:style>
  <w:style w:type="character" w:customStyle="1" w:styleId="30">
    <w:name w:val="Footer Char"/>
    <w:basedOn w:val="24"/>
    <w:uiPriority w:val="0"/>
    <w:rPr>
      <w:rFonts w:ascii="Times New Roman" w:hAnsi="Times New Roman" w:cs="Times New Roman"/>
      <w:sz w:val="18"/>
      <w:szCs w:val="18"/>
    </w:rPr>
  </w:style>
  <w:style w:type="character" w:customStyle="1" w:styleId="31">
    <w:name w:val="Header Char"/>
    <w:basedOn w:val="24"/>
    <w:uiPriority w:val="0"/>
    <w:rPr>
      <w:rFonts w:ascii="Times New Roman" w:hAnsi="Times New Roman" w:cs="Times New Roman"/>
      <w:sz w:val="18"/>
      <w:szCs w:val="18"/>
    </w:rPr>
  </w:style>
  <w:style w:type="paragraph" w:customStyle="1" w:styleId="3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3">
    <w:name w:val="列表段落1"/>
    <w:basedOn w:val="1"/>
    <w:uiPriority w:val="0"/>
    <w:pPr>
      <w:ind w:firstLine="200" w:firstLineChars="200"/>
    </w:pPr>
  </w:style>
  <w:style w:type="paragraph" w:customStyle="1" w:styleId="34">
    <w:name w:val="TOC 标题1"/>
    <w:basedOn w:val="3"/>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3"/>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3"/>
    <w:next w:val="1"/>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character" w:customStyle="1" w:styleId="37">
    <w:name w:val="10"/>
    <w:basedOn w:val="24"/>
    <w:uiPriority w:val="0"/>
    <w:rPr>
      <w:rFonts w:ascii="Times New Roman" w:hAnsi="Times New Roman" w:cs="Times New Roman"/>
    </w:rPr>
  </w:style>
  <w:style w:type="character" w:customStyle="1" w:styleId="38">
    <w:name w:val="15"/>
    <w:basedOn w:val="24"/>
    <w:uiPriority w:val="0"/>
    <w:rPr>
      <w:rFonts w:ascii="Times New Roman" w:hAnsi="Times New Roman" w:cs="Times New Roman"/>
    </w:rPr>
  </w:style>
  <w:style w:type="paragraph" w:customStyle="1" w:styleId="39">
    <w:name w:val="四号正文"/>
    <w:basedOn w:val="1"/>
    <w:uiPriority w:val="0"/>
    <w:pPr>
      <w:keepNext w:val="0"/>
      <w:keepLines w:val="0"/>
      <w:widowControl w:val="0"/>
      <w:suppressLineNumbers w:val="0"/>
      <w:spacing w:before="0" w:beforeAutospacing="0" w:after="0" w:afterAutospacing="0" w:line="360" w:lineRule="auto"/>
      <w:ind w:left="0" w:right="0"/>
      <w:jc w:val="both"/>
    </w:pPr>
    <w:rPr>
      <w:rFonts w:ascii="??" w:hAnsi="??" w:eastAsia="宋体" w:cs="宋体"/>
      <w:color w:val="000000"/>
      <w:kern w:val="0"/>
      <w:sz w:val="28"/>
      <w:szCs w:val="28"/>
      <w:lang w:val="en-US" w:eastAsia="zh-CN"/>
    </w:rPr>
  </w:style>
  <w:style w:type="paragraph" w:styleId="40">
    <w:name w:val="List Paragraph"/>
    <w:basedOn w:val="1"/>
    <w:uiPriority w:val="0"/>
    <w:pPr>
      <w:ind w:firstLine="200" w:firstLineChars="200"/>
    </w:pPr>
  </w:style>
  <w:style w:type="paragraph" w:customStyle="1" w:styleId="41">
    <w:name w:val="样式2"/>
    <w:basedOn w:val="1"/>
    <w:uiPriority w:val="0"/>
    <w:pPr>
      <w:spacing w:line="560" w:lineRule="exact"/>
      <w:ind w:firstLine="200" w:firstLineChars="200"/>
    </w:pPr>
    <w:rPr>
      <w:rFonts w:ascii="Calibri" w:hAnsi="Calibri" w:eastAsia="仿宋_GB2312" w:cs="Arial Unicode MS"/>
      <w:sz w:val="32"/>
      <w:szCs w:val="32"/>
      <w:lang w:bidi="bo-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收入决算总计变动情况图</a:t>
            </a:r>
            <a:endParaRPr lang="zh-CN"/>
          </a:p>
        </c:rich>
      </c:tx>
      <c:layout>
        <c:manualLayout>
          <c:xMode val="edge"/>
          <c:yMode val="edge"/>
          <c:x val="0.25611112"/>
          <c:y val="0.022222223"/>
        </c:manualLayout>
      </c:layout>
      <c:overlay val="0"/>
      <c:spPr>
        <a:noFill/>
        <a:ln>
          <a:noFill/>
        </a:ln>
      </c:spPr>
    </c:title>
    <c:autoTitleDeleted val="0"/>
    <c:plotArea>
      <c:layout>
        <c:manualLayout>
          <c:layoutTarget val="inner"/>
          <c:xMode val="edge"/>
          <c:yMode val="edge"/>
          <c:x val="0.08586207"/>
          <c:y val="0.15538462"/>
          <c:w val="0.87563217"/>
          <c:h val="0.6811282"/>
        </c:manualLayout>
      </c:layout>
      <c:barChart>
        <c:barDir val="col"/>
        <c:grouping val="clustered"/>
        <c:varyColors val="0"/>
        <c:ser>
          <c:idx val="0"/>
          <c:order val="0"/>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{"2021年","2020年"}</c:f>
              <c:strCache>
                <c:ptCount val="2"/>
                <c:pt idx="0">
                  <c:v>2021年</c:v>
                </c:pt>
                <c:pt idx="1">
                  <c:v>2020年</c:v>
                </c:pt>
              </c:strCache>
            </c:strRef>
          </c:cat>
          <c:val>
            <c:numRef>
              <c:f>{1610.8,1319.7}</c:f>
              <c:numCache>
                <c:formatCode>General</c:formatCode>
                <c:ptCount val="2"/>
                <c:pt idx="0">
                  <c:v>1610.8</c:v>
                </c:pt>
                <c:pt idx="1">
                  <c:v>1319.7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支出决算总计变动情况图</a:t>
            </a:r>
            <a:endParaRPr lang="zh-CN"/>
          </a:p>
        </c:rich>
      </c:tx>
      <c:layout>
        <c:manualLayout>
          <c:xMode val="edge"/>
          <c:yMode val="edge"/>
          <c:x val="0.25611112"/>
          <c:y val="0.022222223"/>
        </c:manualLayout>
      </c:layout>
      <c:overlay val="0"/>
      <c:spPr>
        <a:noFill/>
        <a:ln>
          <a:noFill/>
        </a:ln>
      </c:spPr>
    </c:title>
    <c:autoTitleDeleted val="0"/>
    <c:plotArea>
      <c:layout>
        <c:manualLayout>
          <c:layoutTarget val="inner"/>
          <c:xMode val="edge"/>
          <c:yMode val="edge"/>
          <c:x val="0.088"/>
          <c:y val="0.17638889"/>
          <c:w val="0.8797778"/>
          <c:h val="0.71212965"/>
        </c:manualLayout>
      </c:layout>
      <c:barChart>
        <c:barDir val="col"/>
        <c:grouping val="clustered"/>
        <c:varyColors val="0"/>
        <c:ser>
          <c:idx val="0"/>
          <c:order val="0"/>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{"2021年","2020年"}</c:f>
              <c:strCache>
                <c:ptCount val="2"/>
                <c:pt idx="0">
                  <c:v>2021年</c:v>
                </c:pt>
                <c:pt idx="1">
                  <c:v>2020年</c:v>
                </c:pt>
              </c:strCache>
            </c:strRef>
          </c:cat>
          <c:val>
            <c:numRef>
              <c:f>{1649.49,1323.92}</c:f>
              <c:numCache>
                <c:formatCode>General</c:formatCode>
                <c:ptCount val="2"/>
                <c:pt idx="0">
                  <c:v>1649.49</c:v>
                </c:pt>
                <c:pt idx="1">
                  <c:v>1323.92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{"一般公共预算财政拨款收入","政府性基金预算财政拨款收入","国有资本经营预算财政拨款收入","事业收入","经营收入","附属单位上缴收入","其他收入"}</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{1610.8,#N/A,#N/A,#N/A,#N/A,#N/A,#N/A}</c:f>
              <c:numCache>
                <c:formatCode>General</c:formatCode>
                <c:ptCount val="7"/>
                <c:pt idx="0">
                  <c:v>1610.8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manualLayout>
          <c:xMode val="edge"/>
          <c:yMode val="edge"/>
          <c:x val="0.35444444"/>
          <c:y val="0.033333335"/>
        </c:manualLayout>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{609.31,1040.18,#N/A,#N/A,#N/A}</c:f>
              <c:numCache>
                <c:formatCode>General</c:formatCode>
                <c:ptCount val="5"/>
                <c:pt idx="0">
                  <c:v>609.31</c:v>
                </c:pt>
                <c:pt idx="1">
                  <c:v>1040.18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财政拨款收入决算总计变动情况图</a:t>
            </a:r>
            <a:endParaRPr lang="zh-CN"/>
          </a:p>
        </c:rich>
      </c:tx>
      <c:layout>
        <c:manualLayout>
          <c:xMode val="edge"/>
          <c:yMode val="edge"/>
          <c:x val="0.2211111"/>
          <c:y val="0.022222223"/>
        </c:manualLayout>
      </c:layout>
      <c:overlay val="0"/>
      <c:spPr>
        <a:noFill/>
        <a:ln>
          <a:noFill/>
        </a:ln>
      </c:spPr>
    </c:title>
    <c:autoTitleDeleted val="0"/>
    <c:plotArea>
      <c:layout/>
      <c:barChart>
        <c:barDir val="col"/>
        <c:grouping val="clustered"/>
        <c:varyColors val="0"/>
        <c:ser>
          <c:idx val="0"/>
          <c:order val="0"/>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{"2021年","2020年"}</c:f>
              <c:strCache>
                <c:ptCount val="2"/>
                <c:pt idx="0">
                  <c:v>2021年</c:v>
                </c:pt>
                <c:pt idx="1">
                  <c:v>2020年</c:v>
                </c:pt>
              </c:strCache>
            </c:strRef>
          </c:cat>
          <c:val>
            <c:numRef>
              <c:f>{1610.8,1319.7}</c:f>
              <c:numCache>
                <c:formatCode>General</c:formatCode>
                <c:ptCount val="2"/>
                <c:pt idx="0">
                  <c:v>1610.8</c:v>
                </c:pt>
                <c:pt idx="1">
                  <c:v>1319.7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财政拨款支出决算总计变动情况图</a:t>
            </a:r>
            <a:endParaRPr lang="zh-CN"/>
          </a:p>
        </c:rich>
      </c:tx>
      <c:layout>
        <c:manualLayout>
          <c:xMode val="edge"/>
          <c:yMode val="edge"/>
          <c:x val="0.2211111"/>
          <c:y val="0.022222223"/>
        </c:manualLayout>
      </c:layout>
      <c:overlay val="0"/>
      <c:spPr>
        <a:noFill/>
        <a:ln>
          <a:noFill/>
        </a:ln>
      </c:spPr>
    </c:title>
    <c:autoTitleDeleted val="0"/>
    <c:plotArea>
      <c:layout/>
      <c:barChart>
        <c:barDir val="col"/>
        <c:grouping val="clustered"/>
        <c:varyColors val="0"/>
        <c:ser>
          <c:idx val="0"/>
          <c:order val="0"/>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{"2021年","2020年"}</c:f>
              <c:strCache>
                <c:ptCount val="2"/>
                <c:pt idx="0">
                  <c:v>2021年</c:v>
                </c:pt>
                <c:pt idx="1">
                  <c:v>2020年</c:v>
                </c:pt>
              </c:strCache>
            </c:strRef>
          </c:cat>
          <c:val>
            <c:numRef>
              <c:f>{1649.49,1323.92}</c:f>
              <c:numCache>
                <c:formatCode>General</c:formatCode>
                <c:ptCount val="2"/>
                <c:pt idx="0">
                  <c:v>1649.49</c:v>
                </c:pt>
                <c:pt idx="1">
                  <c:v>1323.92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一般公共预算财政拨款支出决算变动情况</a:t>
            </a:r>
            <a:endParaRPr lang="zh-CN"/>
          </a:p>
        </c:rich>
      </c:tx>
      <c:layout>
        <c:manualLayout>
          <c:xMode val="edge"/>
          <c:yMode val="edge"/>
          <c:x val="0.2211111"/>
          <c:y val="0.019444445"/>
        </c:manualLayout>
      </c:layout>
      <c:overlay val="0"/>
      <c:spPr>
        <a:noFill/>
        <a:ln>
          <a:noFill/>
        </a:ln>
      </c:spPr>
    </c:title>
    <c:autoTitleDeleted val="0"/>
    <c:plotArea>
      <c:layout/>
      <c:barChart>
        <c:barDir val="col"/>
        <c:grouping val="clustered"/>
        <c:varyColors val="0"/>
        <c:ser>
          <c:idx val="0"/>
          <c:order val="0"/>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{"2021年","2020年"}</c:f>
              <c:strCache>
                <c:ptCount val="2"/>
                <c:pt idx="0">
                  <c:v>2021年</c:v>
                </c:pt>
                <c:pt idx="1">
                  <c:v>2020年</c:v>
                </c:pt>
              </c:strCache>
            </c:strRef>
          </c:cat>
          <c:val>
            <c:numRef>
              <c:f>{1649.49,1323.92}</c:f>
              <c:numCache>
                <c:formatCode>General</c:formatCode>
                <c:ptCount val="2"/>
                <c:pt idx="0">
                  <c:v>1649.49</c:v>
                </c:pt>
                <c:pt idx="1">
                  <c:v>1323.92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{"一般公共服务支出（类）支出","社会保障和就业（类）支出","卫生健康支出","农林水支出(类）支出","住房保障支出","灾害防治及应急管理支出（类）支出","其他支出"}</c:f>
              <c:strCache>
                <c:ptCount val="7"/>
                <c:pt idx="0">
                  <c:v>一般公共服务支出（类）支出</c:v>
                </c:pt>
                <c:pt idx="1">
                  <c:v>社会保障和就业（类）支出</c:v>
                </c:pt>
                <c:pt idx="2">
                  <c:v>卫生健康支出</c:v>
                </c:pt>
                <c:pt idx="3">
                  <c:v>农林水支出(类）支出</c:v>
                </c:pt>
                <c:pt idx="4">
                  <c:v>住房保障支出</c:v>
                </c:pt>
                <c:pt idx="5">
                  <c:v>灾害防治及应急管理支出（类）支出</c:v>
                </c:pt>
                <c:pt idx="6">
                  <c:v>其他支出</c:v>
                </c:pt>
              </c:strCache>
            </c:strRef>
          </c:cat>
          <c:val>
            <c:numRef>
              <c:f>{5.78,60.33,24.89,329.02,40.35,997.73,191.38}</c:f>
              <c:numCache>
                <c:formatCode>General</c:formatCode>
                <c:ptCount val="7"/>
                <c:pt idx="0">
                  <c:v>5.78</c:v>
                </c:pt>
                <c:pt idx="1">
                  <c:v>60.33</c:v>
                </c:pt>
                <c:pt idx="2">
                  <c:v>24.89</c:v>
                </c:pt>
                <c:pt idx="3">
                  <c:v>329.02</c:v>
                </c:pt>
                <c:pt idx="4">
                  <c:v>40.35</c:v>
                </c:pt>
                <c:pt idx="5">
                  <c:v>997.73</c:v>
                </c:pt>
                <c:pt idx="6">
                  <c:v>191.38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“三公”经费财政拨款支出结构</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dLbl>
              <c:idx val="0"/>
              <c:delete val="1"/>
            </c:dLbl>
            <c:dLbl>
              <c:idx val="1"/>
              <c:delete val="1"/>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{"因公出国（境）费支出","公务用车购置及运行维护费支出","公务接待费支出"}</c:f>
              <c:strCache>
                <c:ptCount val="3"/>
                <c:pt idx="0">
                  <c:v>因公出国（境）费支出</c:v>
                </c:pt>
                <c:pt idx="1">
                  <c:v>公务用车购置及运行维护费支出</c:v>
                </c:pt>
                <c:pt idx="2">
                  <c:v>公务接待费支出</c:v>
                </c:pt>
              </c:strCache>
            </c:strRef>
          </c:cat>
          <c:val>
            <c:numRef>
              <c:f>{0,55.73,0}</c:f>
              <c:numCache>
                <c:formatCode>General</c:formatCode>
                <c:ptCount val="3"/>
                <c:pt idx="0">
                  <c:v>0</c:v>
                </c:pt>
                <c:pt idx="1">
                  <c:v>55.73</c:v>
                </c:pt>
                <c:pt idx="2">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44</Pages>
  <Words>17911</Words>
  <Characters>18990</Characters>
  <Lines>989</Lines>
  <Paragraphs>361</Paragraphs>
  <TotalTime>2</TotalTime>
  <ScaleCrop>false</ScaleCrop>
  <LinksUpToDate>false</LinksUpToDate>
  <CharactersWithSpaces>19147</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User</cp:lastModifiedBy>
  <cp:lastPrinted>2021-07-29T03:56:00Z</cp:lastPrinted>
  <dcterms:modified xsi:type="dcterms:W3CDTF">2022-10-20T06:38:27Z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56180C37F29C42DCBC78628063FF0171</vt:lpwstr>
  </property>
</Properties>
</file>