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CDA56">
      <w:pPr>
        <w:spacing w:line="600" w:lineRule="exact"/>
        <w:jc w:val="center"/>
        <w:outlineLvl w:val="0"/>
        <w:rPr>
          <w:rFonts w:hint="default" w:ascii="Times New Roman" w:hAnsi="Times New Roman" w:eastAsia="方正小标宋简体" w:cs="Times New Roman"/>
          <w:color w:val="auto"/>
          <w:sz w:val="72"/>
          <w:szCs w:val="72"/>
          <w:highlight w:val="none"/>
        </w:rPr>
      </w:pPr>
      <w:bookmarkStart w:id="0" w:name="_Toc15377193"/>
      <w:bookmarkStart w:id="1" w:name="_Toc15396597"/>
      <w:bookmarkStart w:id="2" w:name="_Toc15378441"/>
      <w:bookmarkStart w:id="3" w:name="_Toc15377425"/>
      <w:bookmarkStart w:id="4" w:name="_Toc15396475"/>
      <w:bookmarkStart w:id="5" w:name="_Toc15306267"/>
    </w:p>
    <w:p w14:paraId="3A5B222C">
      <w:pPr>
        <w:spacing w:line="600" w:lineRule="exact"/>
        <w:jc w:val="center"/>
        <w:outlineLvl w:val="0"/>
        <w:rPr>
          <w:rFonts w:hint="default" w:ascii="Times New Roman" w:hAnsi="Times New Roman" w:eastAsia="方正小标宋简体" w:cs="Times New Roman"/>
          <w:color w:val="auto"/>
          <w:sz w:val="72"/>
          <w:szCs w:val="72"/>
          <w:highlight w:val="none"/>
        </w:rPr>
      </w:pPr>
    </w:p>
    <w:p w14:paraId="545E07CF">
      <w:pPr>
        <w:spacing w:line="600" w:lineRule="exact"/>
        <w:jc w:val="center"/>
        <w:outlineLvl w:val="0"/>
        <w:rPr>
          <w:rFonts w:hint="default" w:ascii="Times New Roman" w:hAnsi="Times New Roman" w:eastAsia="方正小标宋简体" w:cs="Times New Roman"/>
          <w:color w:val="auto"/>
          <w:sz w:val="72"/>
          <w:szCs w:val="72"/>
          <w:highlight w:val="none"/>
        </w:rPr>
      </w:pPr>
    </w:p>
    <w:p w14:paraId="39CB4805">
      <w:pPr>
        <w:adjustRightInd w:val="0"/>
        <w:snapToGrid w:val="0"/>
        <w:spacing w:line="360" w:lineRule="auto"/>
        <w:jc w:val="center"/>
        <w:outlineLvl w:val="0"/>
        <w:rPr>
          <w:rFonts w:hint="default" w:ascii="Times New Roman" w:hAnsi="Times New Roman" w:eastAsia="方正小标宋简体" w:cs="Times New Roman"/>
          <w:color w:val="auto"/>
          <w:sz w:val="72"/>
          <w:szCs w:val="72"/>
          <w:highlight w:val="none"/>
        </w:rPr>
      </w:pPr>
      <w:r>
        <w:rPr>
          <w:rFonts w:hint="default" w:ascii="Times New Roman" w:hAnsi="Times New Roman" w:eastAsia="方正小标宋简体" w:cs="Times New Roman"/>
          <w:color w:val="auto"/>
          <w:sz w:val="72"/>
          <w:szCs w:val="72"/>
          <w:highlight w:val="none"/>
        </w:rPr>
        <w:t>20</w:t>
      </w:r>
      <w:r>
        <w:rPr>
          <w:rFonts w:hint="default" w:ascii="Times New Roman" w:hAnsi="Times New Roman" w:eastAsia="方正小标宋简体" w:cs="Times New Roman"/>
          <w:color w:val="auto"/>
          <w:sz w:val="72"/>
          <w:szCs w:val="72"/>
          <w:highlight w:val="none"/>
          <w:lang w:val="en-US" w:eastAsia="zh-CN"/>
        </w:rPr>
        <w:t>22</w:t>
      </w:r>
      <w:r>
        <w:rPr>
          <w:rFonts w:hint="default" w:ascii="Times New Roman" w:hAnsi="Times New Roman" w:eastAsia="方正小标宋简体" w:cs="Times New Roman"/>
          <w:color w:val="auto"/>
          <w:sz w:val="72"/>
          <w:szCs w:val="72"/>
          <w:highlight w:val="none"/>
        </w:rPr>
        <w:t>年度</w:t>
      </w:r>
      <w:bookmarkEnd w:id="0"/>
      <w:bookmarkEnd w:id="1"/>
      <w:bookmarkEnd w:id="2"/>
      <w:bookmarkEnd w:id="3"/>
      <w:bookmarkEnd w:id="4"/>
    </w:p>
    <w:p w14:paraId="72FAA1E7">
      <w:pPr>
        <w:keepNext w:val="0"/>
        <w:keepLines w:val="0"/>
        <w:pageBreakBefore w:val="0"/>
        <w:widowControl w:val="0"/>
        <w:kinsoku/>
        <w:wordWrap/>
        <w:overflowPunct/>
        <w:topLinePunct w:val="0"/>
        <w:autoSpaceDE/>
        <w:autoSpaceDN/>
        <w:bidi w:val="0"/>
        <w:adjustRightInd w:val="0"/>
        <w:snapToGrid w:val="0"/>
        <w:spacing w:line="360" w:lineRule="auto"/>
        <w:ind w:left="-420" w:leftChars="-200"/>
        <w:jc w:val="center"/>
        <w:textAlignment w:val="auto"/>
        <w:outlineLvl w:val="0"/>
        <w:rPr>
          <w:rFonts w:hint="default" w:ascii="Times New Roman" w:hAnsi="Times New Roman" w:eastAsia="方正小标宋简体" w:cs="Times New Roman"/>
          <w:color w:val="auto"/>
          <w:sz w:val="72"/>
          <w:szCs w:val="72"/>
          <w:highlight w:val="none"/>
        </w:rPr>
      </w:pPr>
      <w:bookmarkStart w:id="6" w:name="_Toc15378442"/>
      <w:bookmarkStart w:id="7" w:name="_Toc15377194"/>
      <w:bookmarkStart w:id="8" w:name="_Toc15396598"/>
      <w:bookmarkStart w:id="9" w:name="_Toc15396476"/>
      <w:bookmarkStart w:id="10" w:name="_Toc15377426"/>
      <w:r>
        <w:rPr>
          <w:rFonts w:hint="default" w:ascii="Times New Roman" w:hAnsi="Times New Roman" w:eastAsia="方正小标宋简体" w:cs="Times New Roman"/>
          <w:color w:val="auto"/>
          <w:sz w:val="72"/>
          <w:szCs w:val="72"/>
          <w:highlight w:val="none"/>
        </w:rPr>
        <w:t>四川省</w:t>
      </w:r>
      <w:bookmarkEnd w:id="5"/>
      <w:bookmarkStart w:id="11" w:name="_Toc15306268"/>
      <w:r>
        <w:rPr>
          <w:rFonts w:hint="default" w:ascii="Times New Roman" w:hAnsi="Times New Roman" w:eastAsia="方正小标宋简体" w:cs="Times New Roman"/>
          <w:color w:val="auto"/>
          <w:sz w:val="72"/>
          <w:szCs w:val="72"/>
          <w:highlight w:val="none"/>
          <w:lang w:val="en-US" w:eastAsia="zh-CN"/>
        </w:rPr>
        <w:t>阿坝州壤塘县档案馆</w:t>
      </w:r>
      <w:r>
        <w:rPr>
          <w:rFonts w:hint="default" w:ascii="Times New Roman" w:hAnsi="Times New Roman" w:eastAsia="方正小标宋简体" w:cs="Times New Roman"/>
          <w:color w:val="auto"/>
          <w:sz w:val="72"/>
          <w:szCs w:val="72"/>
          <w:highlight w:val="none"/>
        </w:rPr>
        <w:t>部门决算</w:t>
      </w:r>
      <w:bookmarkEnd w:id="6"/>
      <w:bookmarkEnd w:id="7"/>
      <w:bookmarkEnd w:id="8"/>
      <w:bookmarkEnd w:id="9"/>
      <w:bookmarkEnd w:id="10"/>
      <w:bookmarkEnd w:id="11"/>
    </w:p>
    <w:p w14:paraId="6214465F">
      <w:pPr>
        <w:widowControl/>
        <w:jc w:val="center"/>
        <w:rPr>
          <w:rFonts w:hint="default" w:ascii="Times New Roman" w:hAnsi="Times New Roman" w:eastAsia="方正小标宋简体" w:cs="Times New Roman"/>
          <w:color w:val="auto"/>
          <w:sz w:val="36"/>
          <w:szCs w:val="36"/>
          <w:highlight w:val="none"/>
        </w:rPr>
      </w:pPr>
    </w:p>
    <w:p w14:paraId="7EC75CC5">
      <w:pPr>
        <w:widowControl/>
        <w:jc w:val="center"/>
        <w:rPr>
          <w:rFonts w:hint="default" w:ascii="Times New Roman" w:hAnsi="Times New Roman" w:eastAsia="方正小标宋简体" w:cs="Times New Roman"/>
          <w:color w:val="auto"/>
          <w:sz w:val="36"/>
          <w:szCs w:val="36"/>
          <w:highlight w:val="none"/>
        </w:rPr>
      </w:pPr>
    </w:p>
    <w:p w14:paraId="27E1D949">
      <w:pPr>
        <w:widowControl/>
        <w:jc w:val="center"/>
        <w:rPr>
          <w:rFonts w:hint="default" w:ascii="Times New Roman" w:hAnsi="Times New Roman" w:eastAsia="方正小标宋简体" w:cs="Times New Roman"/>
          <w:color w:val="auto"/>
          <w:sz w:val="36"/>
          <w:szCs w:val="36"/>
          <w:highlight w:val="none"/>
        </w:rPr>
      </w:pPr>
    </w:p>
    <w:p w14:paraId="6EADE30D">
      <w:pPr>
        <w:pStyle w:val="8"/>
        <w:rPr>
          <w:rFonts w:hint="default" w:ascii="Times New Roman" w:hAnsi="Times New Roman" w:eastAsia="方正小标宋简体" w:cs="Times New Roman"/>
          <w:color w:val="auto"/>
          <w:sz w:val="36"/>
          <w:szCs w:val="36"/>
          <w:highlight w:val="none"/>
        </w:rPr>
      </w:pPr>
    </w:p>
    <w:p w14:paraId="4AE83040">
      <w:pPr>
        <w:rPr>
          <w:rFonts w:hint="default" w:ascii="Times New Roman" w:hAnsi="Times New Roman" w:eastAsia="方正小标宋简体" w:cs="Times New Roman"/>
          <w:color w:val="auto"/>
          <w:sz w:val="36"/>
          <w:szCs w:val="36"/>
          <w:highlight w:val="none"/>
        </w:rPr>
      </w:pPr>
    </w:p>
    <w:p w14:paraId="759A2666">
      <w:pPr>
        <w:pStyle w:val="8"/>
        <w:rPr>
          <w:rFonts w:hint="default" w:ascii="Times New Roman" w:hAnsi="Times New Roman" w:eastAsia="方正小标宋简体" w:cs="Times New Roman"/>
          <w:color w:val="auto"/>
          <w:sz w:val="36"/>
          <w:szCs w:val="36"/>
          <w:highlight w:val="none"/>
        </w:rPr>
      </w:pPr>
    </w:p>
    <w:p w14:paraId="5B009100">
      <w:pPr>
        <w:rPr>
          <w:rFonts w:hint="default" w:ascii="Times New Roman" w:hAnsi="Times New Roman" w:eastAsia="方正小标宋简体" w:cs="Times New Roman"/>
          <w:color w:val="auto"/>
          <w:sz w:val="36"/>
          <w:szCs w:val="36"/>
          <w:highlight w:val="none"/>
        </w:rPr>
      </w:pPr>
    </w:p>
    <w:p w14:paraId="0048E576">
      <w:pPr>
        <w:pStyle w:val="8"/>
        <w:rPr>
          <w:rFonts w:hint="default" w:ascii="Times New Roman" w:hAnsi="Times New Roman" w:cs="Times New Roman"/>
        </w:rPr>
      </w:pPr>
    </w:p>
    <w:p w14:paraId="6669FA55">
      <w:pPr>
        <w:widowControl/>
        <w:jc w:val="center"/>
        <w:rPr>
          <w:rFonts w:hint="default" w:ascii="Times New Roman" w:hAnsi="Times New Roman" w:eastAsia="方正小标宋简体" w:cs="Times New Roman"/>
          <w:color w:val="auto"/>
          <w:sz w:val="36"/>
          <w:szCs w:val="36"/>
          <w:highlight w:val="none"/>
        </w:rPr>
      </w:pPr>
    </w:p>
    <w:p w14:paraId="5313B64E">
      <w:pPr>
        <w:widowControl/>
        <w:jc w:val="center"/>
        <w:rPr>
          <w:rFonts w:hint="default" w:ascii="Times New Roman" w:hAnsi="Times New Roman" w:eastAsia="黑体" w:cs="Times New Roman"/>
          <w:color w:val="auto"/>
          <w:sz w:val="48"/>
          <w:szCs w:val="48"/>
          <w:highlight w:val="none"/>
        </w:rPr>
      </w:pPr>
      <w:r>
        <w:rPr>
          <w:rFonts w:hint="default" w:ascii="Times New Roman" w:hAnsi="Times New Roman" w:eastAsia="方正小标宋简体" w:cs="Times New Roman"/>
          <w:color w:val="auto"/>
          <w:sz w:val="44"/>
          <w:szCs w:val="44"/>
          <w:highlight w:val="none"/>
        </w:rPr>
        <w:br w:type="page"/>
      </w:r>
      <w:r>
        <w:rPr>
          <w:rFonts w:hint="default" w:ascii="Times New Roman" w:hAnsi="Times New Roman" w:eastAsia="黑体" w:cs="Times New Roman"/>
          <w:color w:val="auto"/>
          <w:sz w:val="48"/>
          <w:szCs w:val="48"/>
          <w:highlight w:val="none"/>
        </w:rPr>
        <w:t>目录</w:t>
      </w:r>
    </w:p>
    <w:p w14:paraId="64111187">
      <w:pPr>
        <w:pStyle w:val="13"/>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公开时间：20</w:t>
      </w:r>
      <w:r>
        <w:rPr>
          <w:rFonts w:hint="default" w:ascii="Times New Roman" w:hAnsi="Times New Roman" w:cs="Times New Roman"/>
          <w:color w:val="auto"/>
          <w:highlight w:val="none"/>
          <w:lang w:val="en-US" w:eastAsia="zh-CN"/>
        </w:rPr>
        <w:t>23</w:t>
      </w:r>
      <w:r>
        <w:rPr>
          <w:rFonts w:hint="default" w:ascii="Times New Roman" w:hAnsi="Times New Roman" w:cs="Times New Roman"/>
          <w:color w:val="auto"/>
          <w:highlight w:val="none"/>
        </w:rPr>
        <w:t>年</w:t>
      </w:r>
      <w:r>
        <w:rPr>
          <w:rFonts w:hint="default" w:ascii="Times New Roman" w:hAnsi="Times New Roman" w:cs="Times New Roman"/>
          <w:color w:val="auto"/>
          <w:highlight w:val="none"/>
          <w:lang w:val="en-US" w:eastAsia="zh-CN"/>
        </w:rPr>
        <w:t>10</w:t>
      </w:r>
      <w:r>
        <w:rPr>
          <w:rFonts w:hint="default" w:ascii="Times New Roman" w:hAnsi="Times New Roman" w:cs="Times New Roman"/>
          <w:color w:val="auto"/>
          <w:highlight w:val="none"/>
        </w:rPr>
        <w:t>月</w:t>
      </w:r>
      <w:r>
        <w:rPr>
          <w:rFonts w:hint="default" w:ascii="Times New Roman" w:hAnsi="Times New Roman" w:cs="Times New Roman"/>
          <w:color w:val="auto"/>
          <w:highlight w:val="none"/>
          <w:lang w:val="en-US" w:eastAsia="zh-CN"/>
        </w:rPr>
        <w:t>25</w:t>
      </w:r>
      <w:r>
        <w:rPr>
          <w:rFonts w:hint="default" w:ascii="Times New Roman" w:hAnsi="Times New Roman" w:cs="Times New Roman"/>
          <w:color w:val="auto"/>
          <w:highlight w:val="none"/>
        </w:rPr>
        <w:t>日</w:t>
      </w:r>
    </w:p>
    <w:p w14:paraId="5D41374F">
      <w:pPr>
        <w:rPr>
          <w:rFonts w:hint="default" w:ascii="Times New Roman" w:hAnsi="Times New Roman" w:cs="Times New Roman"/>
          <w:color w:val="auto"/>
          <w:highlight w:val="none"/>
        </w:rPr>
      </w:pPr>
    </w:p>
    <w:p w14:paraId="3546797E">
      <w:pPr>
        <w:pStyle w:val="13"/>
        <w:adjustRightInd w:val="0"/>
        <w:snapToGrid w:val="0"/>
        <w:spacing w:before="0" w:line="44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highlight w:val="none"/>
        </w:rPr>
        <w:t>第一部分 部门概况</w:t>
      </w:r>
      <w:r>
        <w:rPr>
          <w:rFonts w:hint="eastAsia" w:ascii="Times New Roman" w:hAnsi="Times New Roman" w:cs="Times New Roman"/>
          <w:color w:val="auto"/>
          <w:sz w:val="24"/>
          <w:highlight w:val="none"/>
          <w:lang w:val="en-US" w:eastAsia="zh-CN"/>
        </w:rPr>
        <w:t>..................................................................................................4</w:t>
      </w:r>
    </w:p>
    <w:p w14:paraId="0EDF672E">
      <w:pPr>
        <w:pStyle w:val="15"/>
        <w:adjustRightInd w:val="0"/>
        <w:snapToGrid w:val="0"/>
        <w:spacing w:line="440" w:lineRule="exact"/>
        <w:jc w:val="left"/>
        <w:rPr>
          <w:rFonts w:hint="default" w:ascii="Times New Roman" w:hAnsi="Times New Roman" w:eastAsia="仿宋" w:cs="Times New Roman"/>
          <w:color w:val="auto"/>
          <w:sz w:val="24"/>
          <w:highlight w:val="none"/>
          <w:lang w:val="en-US"/>
        </w:rPr>
      </w:pPr>
      <w:r>
        <w:rPr>
          <w:rFonts w:hint="default" w:ascii="Times New Roman" w:hAnsi="Times New Roman" w:cs="Times New Roman"/>
          <w:color w:val="auto"/>
          <w:sz w:val="24"/>
          <w:highlight w:val="none"/>
        </w:rPr>
        <w:t>一、</w:t>
      </w:r>
      <w:r>
        <w:rPr>
          <w:rFonts w:hint="default" w:ascii="Times New Roman" w:hAnsi="Times New Roman" w:cs="Times New Roman"/>
          <w:color w:val="auto"/>
          <w:sz w:val="24"/>
          <w:highlight w:val="none"/>
          <w:lang w:eastAsia="zh-CN"/>
        </w:rPr>
        <w:t>部门职责</w:t>
      </w:r>
      <w:r>
        <w:rPr>
          <w:rFonts w:hint="eastAsia" w:cs="Times New Roman"/>
          <w:color w:val="auto"/>
          <w:sz w:val="24"/>
          <w:highlight w:val="none"/>
          <w:lang w:val="en-US" w:eastAsia="zh-CN"/>
        </w:rPr>
        <w:t>.....................................................................................................4</w:t>
      </w:r>
    </w:p>
    <w:p w14:paraId="14B26DC1">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二、机构设置</w:t>
      </w:r>
      <w:r>
        <w:rPr>
          <w:rFonts w:hint="eastAsia" w:cs="Times New Roman"/>
          <w:color w:val="auto"/>
          <w:sz w:val="24"/>
          <w:highlight w:val="none"/>
          <w:lang w:val="en-US" w:eastAsia="zh-CN"/>
        </w:rPr>
        <w:t>.....................................................................................................5</w:t>
      </w:r>
    </w:p>
    <w:p w14:paraId="48F77F59">
      <w:pPr>
        <w:pStyle w:val="13"/>
        <w:adjustRightInd w:val="0"/>
        <w:snapToGrid w:val="0"/>
        <w:spacing w:before="0" w:line="44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highlight w:val="none"/>
        </w:rPr>
        <w:t>第二部分</w:t>
      </w:r>
      <w:r>
        <w:rPr>
          <w:rFonts w:hint="default" w:ascii="Times New Roman" w:hAnsi="Times New Roman" w:cs="Times New Roman"/>
          <w:color w:val="auto"/>
          <w:sz w:val="24"/>
          <w:highlight w:val="none"/>
          <w:lang w:val="en-US" w:eastAsia="zh-CN"/>
        </w:rPr>
        <w:t xml:space="preserve"> 2022年度</w:t>
      </w:r>
      <w:r>
        <w:rPr>
          <w:rFonts w:hint="default" w:ascii="Times New Roman" w:hAnsi="Times New Roman" w:cs="Times New Roman"/>
          <w:color w:val="auto"/>
          <w:sz w:val="24"/>
          <w:highlight w:val="none"/>
        </w:rPr>
        <w:t>部门决算情况说明</w:t>
      </w:r>
      <w:r>
        <w:rPr>
          <w:rFonts w:hint="eastAsia" w:ascii="Times New Roman" w:hAnsi="Times New Roman" w:cs="Times New Roman"/>
          <w:color w:val="auto"/>
          <w:sz w:val="24"/>
          <w:highlight w:val="none"/>
          <w:lang w:val="en-US" w:eastAsia="zh-CN"/>
        </w:rPr>
        <w:t>.................................................................6</w:t>
      </w:r>
    </w:p>
    <w:p w14:paraId="5036DECF">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一、收入支出决算总体情况说明</w:t>
      </w:r>
      <w:r>
        <w:rPr>
          <w:rFonts w:hint="eastAsia" w:cs="Times New Roman"/>
          <w:color w:val="auto"/>
          <w:sz w:val="24"/>
          <w:highlight w:val="none"/>
          <w:lang w:val="en-US" w:eastAsia="zh-CN"/>
        </w:rPr>
        <w:t>.....................................................................6</w:t>
      </w:r>
    </w:p>
    <w:p w14:paraId="0B90730F">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二、收入决算情况说明</w:t>
      </w:r>
      <w:r>
        <w:rPr>
          <w:rFonts w:hint="eastAsia" w:cs="Times New Roman"/>
          <w:color w:val="auto"/>
          <w:sz w:val="24"/>
          <w:highlight w:val="none"/>
          <w:lang w:val="en-US" w:eastAsia="zh-CN"/>
        </w:rPr>
        <w:t>.....................................................................................7</w:t>
      </w:r>
    </w:p>
    <w:p w14:paraId="432975AA">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三、支出决算情况说明</w:t>
      </w:r>
      <w:r>
        <w:rPr>
          <w:rFonts w:hint="eastAsia" w:cs="Times New Roman"/>
          <w:color w:val="auto"/>
          <w:sz w:val="24"/>
          <w:highlight w:val="none"/>
          <w:lang w:val="en-US" w:eastAsia="zh-CN"/>
        </w:rPr>
        <w:t>.....................................................................................7</w:t>
      </w:r>
    </w:p>
    <w:p w14:paraId="5A40017D">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四、财政拨款收入支出决算总体情况说明</w:t>
      </w:r>
      <w:r>
        <w:rPr>
          <w:rFonts w:hint="eastAsia" w:cs="Times New Roman"/>
          <w:color w:val="auto"/>
          <w:sz w:val="24"/>
          <w:highlight w:val="none"/>
          <w:lang w:val="en-US" w:eastAsia="zh-CN"/>
        </w:rPr>
        <w:t>.....................................................8</w:t>
      </w:r>
    </w:p>
    <w:p w14:paraId="50A09795">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五、一般公共预算财政拨款支出决算情况说明</w:t>
      </w:r>
      <w:r>
        <w:rPr>
          <w:rFonts w:hint="eastAsia" w:cs="Times New Roman"/>
          <w:color w:val="auto"/>
          <w:sz w:val="24"/>
          <w:highlight w:val="none"/>
          <w:lang w:val="en-US" w:eastAsia="zh-CN"/>
        </w:rPr>
        <w:t>.............................................9</w:t>
      </w:r>
    </w:p>
    <w:p w14:paraId="37AF9414">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六、一般公共预算财政拨款基本支出决算情况说明</w:t>
      </w:r>
      <w:r>
        <w:rPr>
          <w:rFonts w:hint="eastAsia" w:cs="Times New Roman"/>
          <w:color w:val="auto"/>
          <w:sz w:val="24"/>
          <w:highlight w:val="none"/>
          <w:lang w:val="en-US" w:eastAsia="zh-CN"/>
        </w:rPr>
        <w:t>.....................................11</w:t>
      </w:r>
    </w:p>
    <w:p w14:paraId="308BCC61">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七、财政拨款</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三公”经费支出决算情况说明</w:t>
      </w:r>
      <w:r>
        <w:rPr>
          <w:rFonts w:hint="eastAsia" w:cs="Times New Roman"/>
          <w:color w:val="auto"/>
          <w:sz w:val="24"/>
          <w:highlight w:val="none"/>
          <w:lang w:val="en-US" w:eastAsia="zh-CN"/>
        </w:rPr>
        <w:t>.................................................12</w:t>
      </w:r>
    </w:p>
    <w:p w14:paraId="69E66B95">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八、政府性基金预算支出决算情况说明</w:t>
      </w:r>
      <w:r>
        <w:rPr>
          <w:rFonts w:hint="eastAsia" w:cs="Times New Roman"/>
          <w:color w:val="auto"/>
          <w:sz w:val="24"/>
          <w:highlight w:val="none"/>
          <w:lang w:val="en-US" w:eastAsia="zh-CN"/>
        </w:rPr>
        <w:t>.........................................................12</w:t>
      </w:r>
    </w:p>
    <w:p w14:paraId="6A15596E">
      <w:pPr>
        <w:pStyle w:val="15"/>
        <w:adjustRightInd w:val="0"/>
        <w:snapToGrid w:val="0"/>
        <w:spacing w:line="440" w:lineRule="exact"/>
        <w:ind w:leftChars="0"/>
        <w:jc w:val="left"/>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九、</w:t>
      </w:r>
      <w:r>
        <w:rPr>
          <w:rFonts w:hint="default" w:ascii="Times New Roman" w:hAnsi="Times New Roman" w:cs="Times New Roman" w:eastAsiaTheme="minorEastAsia"/>
          <w:color w:val="auto"/>
          <w:sz w:val="24"/>
          <w:highlight w:val="none"/>
          <w:lang w:eastAsia="zh-CN"/>
        </w:rPr>
        <w:t>国</w:t>
      </w:r>
      <w:r>
        <w:rPr>
          <w:rFonts w:hint="default" w:ascii="Times New Roman" w:hAnsi="Times New Roman" w:cs="Times New Roman" w:eastAsiaTheme="minorEastAsia"/>
          <w:color w:val="auto"/>
          <w:sz w:val="24"/>
          <w:highlight w:val="none"/>
        </w:rPr>
        <w:t>有资本经营预算支出决算情况说明</w:t>
      </w:r>
      <w:r>
        <w:rPr>
          <w:rFonts w:hint="eastAsia" w:cs="Times New Roman" w:eastAsiaTheme="minorEastAsia"/>
          <w:color w:val="auto"/>
          <w:sz w:val="24"/>
          <w:highlight w:val="none"/>
          <w:lang w:val="en-US" w:eastAsia="zh-CN"/>
        </w:rPr>
        <w:t>.....................................................12</w:t>
      </w:r>
    </w:p>
    <w:p w14:paraId="15F33B8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175"/>
        <w:jc w:val="left"/>
        <w:textAlignment w:val="auto"/>
        <w:rPr>
          <w:rFonts w:hint="default" w:ascii="Times New Roman" w:hAnsi="Times New Roman" w:cs="Times New Roman" w:eastAsiaTheme="minorEastAsia"/>
          <w:color w:val="auto"/>
          <w:sz w:val="24"/>
          <w:highlight w:val="none"/>
        </w:rPr>
      </w:pPr>
      <w:r>
        <w:rPr>
          <w:rStyle w:val="20"/>
          <w:rFonts w:hint="default" w:ascii="Times New Roman" w:hAnsi="Times New Roman" w:cs="Times New Roman" w:eastAsiaTheme="minorEastAsia"/>
          <w:color w:val="auto"/>
          <w:sz w:val="24"/>
          <w:highlight w:val="none"/>
          <w:u w:val="none"/>
          <w:lang w:eastAsia="zh-CN"/>
        </w:rPr>
        <w:t>十</w:t>
      </w:r>
      <w:r>
        <w:rPr>
          <w:rStyle w:val="20"/>
          <w:rFonts w:hint="default" w:ascii="Times New Roman" w:hAnsi="Times New Roman" w:cs="Times New Roman" w:eastAsiaTheme="minorEastAsia"/>
          <w:color w:val="auto"/>
          <w:sz w:val="24"/>
          <w:highlight w:val="none"/>
          <w:u w:val="none"/>
        </w:rPr>
        <w:t>、</w:t>
      </w:r>
      <w:r>
        <w:rPr>
          <w:rFonts w:hint="default" w:ascii="Times New Roman" w:hAnsi="Times New Roman" w:cs="Times New Roman" w:eastAsiaTheme="minorEastAsia"/>
          <w:color w:val="auto"/>
          <w:sz w:val="24"/>
          <w:highlight w:val="none"/>
        </w:rPr>
        <w:t>其他重要事项的情况说明</w:t>
      </w:r>
      <w:r>
        <w:rPr>
          <w:rFonts w:hint="eastAsia" w:cs="Times New Roman" w:eastAsiaTheme="minorEastAsia"/>
          <w:color w:val="auto"/>
          <w:sz w:val="24"/>
          <w:highlight w:val="none"/>
          <w:lang w:val="en-US" w:eastAsia="zh-CN"/>
        </w:rPr>
        <w:t>.........................................................................12</w:t>
      </w:r>
    </w:p>
    <w:p w14:paraId="56442779">
      <w:pPr>
        <w:pStyle w:val="13"/>
        <w:adjustRightInd w:val="0"/>
        <w:snapToGrid w:val="0"/>
        <w:spacing w:before="0" w:line="44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highlight w:val="none"/>
        </w:rPr>
        <w:t>第三部分 名词解释</w:t>
      </w:r>
      <w:r>
        <w:rPr>
          <w:rFonts w:hint="eastAsia" w:ascii="Times New Roman" w:hAnsi="Times New Roman" w:cs="Times New Roman"/>
          <w:color w:val="auto"/>
          <w:sz w:val="24"/>
          <w:highlight w:val="none"/>
          <w:lang w:val="en-US" w:eastAsia="zh-CN"/>
        </w:rPr>
        <w:t>..................................................................................................14</w:t>
      </w:r>
    </w:p>
    <w:p w14:paraId="57BD257A">
      <w:pPr>
        <w:pStyle w:val="13"/>
        <w:adjustRightInd w:val="0"/>
        <w:snapToGrid w:val="0"/>
        <w:spacing w:before="0" w:line="44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highlight w:val="none"/>
        </w:rPr>
        <w:t>第四部分 附件</w:t>
      </w:r>
      <w:r>
        <w:rPr>
          <w:rFonts w:hint="eastAsia" w:ascii="Times New Roman" w:hAnsi="Times New Roman" w:cs="Times New Roman"/>
          <w:color w:val="auto"/>
          <w:sz w:val="24"/>
          <w:highlight w:val="none"/>
          <w:lang w:val="en-US" w:eastAsia="zh-CN"/>
        </w:rPr>
        <w:t>..........................................................................................................17</w:t>
      </w:r>
    </w:p>
    <w:p w14:paraId="192C1E4F">
      <w:pPr>
        <w:pStyle w:val="13"/>
        <w:adjustRightInd w:val="0"/>
        <w:snapToGrid w:val="0"/>
        <w:spacing w:before="0" w:line="44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highlight w:val="none"/>
        </w:rPr>
        <w:t>第五部分 附表</w:t>
      </w:r>
      <w:r>
        <w:rPr>
          <w:rFonts w:hint="eastAsia" w:ascii="Times New Roman" w:hAnsi="Times New Roman" w:cs="Times New Roman"/>
          <w:color w:val="auto"/>
          <w:sz w:val="24"/>
          <w:highlight w:val="none"/>
          <w:lang w:val="en-US" w:eastAsia="zh-CN"/>
        </w:rPr>
        <w:t>...........................................................................................................27</w:t>
      </w:r>
    </w:p>
    <w:p w14:paraId="0A5AA91C">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一、收入支出决算总表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20AC5C59">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二、收入决算表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2FFA9FDA">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548223D8">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四、财政拨款收入支出决算总表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195A8FA3">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五、财政拨款支出决算明细表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5CBD1B8C">
      <w:pPr>
        <w:pStyle w:val="15"/>
        <w:adjustRightInd w:val="0"/>
        <w:snapToGrid w:val="0"/>
        <w:spacing w:line="440" w:lineRule="exact"/>
        <w:jc w:val="left"/>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六、一般公共预算财政拨款支出决算表</w:t>
      </w:r>
      <w:r>
        <w:rPr>
          <w:rFonts w:hint="eastAsia" w:cs="Times New Roman"/>
          <w:color w:val="auto"/>
          <w:sz w:val="24"/>
          <w:highlight w:val="none"/>
          <w:lang w:val="en-US" w:eastAsia="zh-CN"/>
        </w:rPr>
        <w:t>..........................................................27</w:t>
      </w:r>
    </w:p>
    <w:p w14:paraId="0BD3D00D">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七、一般公共预算财政拨款支出决算明细表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616C5521">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八、一般公共预算财政拨款基本支出决算</w:t>
      </w:r>
      <w:r>
        <w:rPr>
          <w:rFonts w:hint="default" w:ascii="Times New Roman" w:hAnsi="Times New Roman" w:cs="Times New Roman"/>
          <w:color w:val="auto"/>
          <w:sz w:val="24"/>
          <w:highlight w:val="none"/>
          <w:lang w:eastAsia="zh-CN"/>
        </w:rPr>
        <w:t>明细</w:t>
      </w:r>
      <w:r>
        <w:rPr>
          <w:rFonts w:hint="default" w:ascii="Times New Roman" w:hAnsi="Times New Roman" w:cs="Times New Roman"/>
          <w:color w:val="auto"/>
          <w:sz w:val="24"/>
          <w:highlight w:val="none"/>
        </w:rPr>
        <w:t>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1AA19CCE">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九、一般公共预算财政拨款项目支出决算表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1E55A686">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十、政府性基金预算财政拨款收入支出决算表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4304EB3E">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十一、国有资本经营预算财政拨款收入支出决算表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7BD18960">
      <w:pPr>
        <w:pStyle w:val="15"/>
        <w:adjustRightInd w:val="0"/>
        <w:snapToGrid w:val="0"/>
        <w:spacing w:line="440" w:lineRule="exact"/>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十二、</w:t>
      </w:r>
      <w:r>
        <w:rPr>
          <w:rFonts w:hint="default" w:ascii="Times New Roman" w:hAnsi="Times New Roman" w:cs="Times New Roman"/>
          <w:color w:val="auto"/>
          <w:sz w:val="24"/>
          <w:highlight w:val="none"/>
          <w:lang w:val="en-US" w:eastAsia="zh-CN"/>
        </w:rPr>
        <w:t>国有资本经营预算财政拨款支出决算表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3BAA5144">
      <w:pPr>
        <w:pStyle w:val="15"/>
        <w:adjustRightInd w:val="0"/>
        <w:snapToGrid w:val="0"/>
        <w:spacing w:line="440" w:lineRule="exact"/>
        <w:jc w:val="left"/>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color w:val="auto"/>
          <w:sz w:val="24"/>
          <w:highlight w:val="none"/>
        </w:rPr>
        <w:t>十三、财政拨款“三公”经费支出决算表</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................27</w:t>
      </w:r>
    </w:p>
    <w:p w14:paraId="5B35FB58">
      <w:pPr>
        <w:widowControl/>
        <w:spacing w:line="440" w:lineRule="exact"/>
        <w:jc w:val="left"/>
        <w:rPr>
          <w:rFonts w:hint="default" w:ascii="Times New Roman" w:hAnsi="Times New Roman" w:eastAsia="仿宋" w:cs="Times New Roman"/>
          <w:bCs/>
          <w:color w:val="auto"/>
          <w:kern w:val="44"/>
          <w:sz w:val="24"/>
          <w:highlight w:val="none"/>
        </w:rPr>
      </w:pPr>
      <w:bookmarkStart w:id="12" w:name="_Toc15396599"/>
      <w:bookmarkStart w:id="13" w:name="_Toc15377196"/>
      <w:r>
        <w:rPr>
          <w:rFonts w:hint="default" w:ascii="Times New Roman" w:hAnsi="Times New Roman" w:eastAsia="仿宋" w:cs="Times New Roman"/>
          <w:b/>
          <w:color w:val="auto"/>
          <w:sz w:val="24"/>
          <w:highlight w:val="none"/>
        </w:rPr>
        <w:br w:type="page"/>
      </w:r>
    </w:p>
    <w:p w14:paraId="773B0C75">
      <w:pPr>
        <w:pStyle w:val="2"/>
        <w:numPr>
          <w:ilvl w:val="0"/>
          <w:numId w:val="1"/>
        </w:numPr>
        <w:jc w:val="center"/>
        <w:rPr>
          <w:rStyle w:val="30"/>
          <w:rFonts w:hint="default" w:ascii="Times New Roman" w:hAnsi="Times New Roman" w:eastAsia="黑体" w:cs="Times New Roman"/>
          <w:b w:val="0"/>
          <w:bCs w:val="0"/>
          <w:color w:val="auto"/>
          <w:highlight w:val="none"/>
        </w:rPr>
      </w:pPr>
      <w:r>
        <w:rPr>
          <w:rStyle w:val="30"/>
          <w:rFonts w:hint="default" w:ascii="Times New Roman" w:hAnsi="Times New Roman" w:eastAsia="黑体" w:cs="Times New Roman"/>
          <w:b w:val="0"/>
          <w:bCs w:val="0"/>
          <w:color w:val="auto"/>
          <w:highlight w:val="none"/>
        </w:rPr>
        <w:t>部门概况</w:t>
      </w:r>
      <w:bookmarkEnd w:id="12"/>
      <w:bookmarkEnd w:id="13"/>
    </w:p>
    <w:p w14:paraId="6B00DA96">
      <w:pPr>
        <w:numPr>
          <w:ilvl w:val="0"/>
          <w:numId w:val="0"/>
        </w:numPr>
        <w:rPr>
          <w:rFonts w:hint="default" w:ascii="Times New Roman" w:hAnsi="Times New Roman" w:cs="Times New Roman"/>
        </w:rPr>
      </w:pPr>
    </w:p>
    <w:p w14:paraId="1777337A">
      <w:pPr>
        <w:pStyle w:val="3"/>
        <w:pageBreakBefore w:val="0"/>
        <w:numPr>
          <w:ilvl w:val="0"/>
          <w:numId w:val="2"/>
        </w:numPr>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b/>
          <w:bCs w:val="0"/>
          <w:color w:val="000000"/>
          <w:sz w:val="32"/>
          <w:szCs w:val="32"/>
        </w:rPr>
      </w:pPr>
      <w:r>
        <w:rPr>
          <w:rFonts w:hint="default" w:ascii="Times New Roman" w:hAnsi="Times New Roman" w:eastAsia="黑体" w:cs="Times New Roman"/>
          <w:b w:val="0"/>
          <w:color w:val="auto"/>
          <w:highlight w:val="none"/>
          <w:lang w:eastAsia="zh-CN"/>
        </w:rPr>
        <w:t>部门职责</w:t>
      </w:r>
    </w:p>
    <w:p w14:paraId="5BB77DD1">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1.贯彻执行《中华人民共和国档案法》《中华人民共和国档案法实施办法》以及党和国家有关档案工作的方针、政策，严格执行档案业务规范标准，做到依法、依规开展档案管理工作。</w:t>
      </w:r>
    </w:p>
    <w:p w14:paraId="49E1F4A1">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对全县各部门（除特殊部门外）的档案材料进行收集：建立、健全立卷归档制度，确立归档范围、归档时间、保管期限;对遗缺不全的档案，采取不同措施，积极收集齐全；</w:t>
      </w:r>
    </w:p>
    <w:p w14:paraId="30CE62B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.对全县各部门（除特殊部门外）的档案进行归档、立卷与管理：依据档案来源、时间、题目、内容、字母顺序分成若干层次和类别；</w:t>
      </w:r>
    </w:p>
    <w:p w14:paraId="7B82FA7E">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.对档案进行</w:t>
      </w:r>
      <w:r>
        <w:rPr>
          <w:rFonts w:hint="default" w:ascii="Times New Roman" w:hAnsi="Times New Roman" w:eastAsia="仿宋_GB2312" w:cs="Times New Roman"/>
          <w:sz w:val="32"/>
          <w:szCs w:val="32"/>
          <w:lang w:val="en-US" w:eastAsia="zh-CN"/>
        </w:rPr>
        <w:t>安全</w:t>
      </w:r>
      <w:r>
        <w:rPr>
          <w:rFonts w:hint="default" w:ascii="Times New Roman" w:hAnsi="Times New Roman" w:eastAsia="仿宋_GB2312" w:cs="Times New Roman"/>
          <w:sz w:val="32"/>
          <w:szCs w:val="32"/>
        </w:rPr>
        <w:t>保管；</w:t>
      </w:r>
    </w:p>
    <w:p w14:paraId="5DB56781">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.对档案进行鉴定：从档案的内容、来源、时间、可靠程度、名称等方面鉴别档案的价值；确定各类档案的</w:t>
      </w:r>
      <w:r>
        <w:rPr>
          <w:rFonts w:hint="default" w:ascii="Times New Roman" w:hAnsi="Times New Roman" w:eastAsia="仿宋_GB2312" w:cs="Times New Roman"/>
          <w:sz w:val="32"/>
          <w:szCs w:val="32"/>
          <w:lang w:val="en-US" w:eastAsia="zh-CN"/>
        </w:rPr>
        <w:t>保管</w:t>
      </w:r>
      <w:r>
        <w:rPr>
          <w:rFonts w:hint="default" w:ascii="Times New Roman" w:hAnsi="Times New Roman" w:eastAsia="仿宋_GB2312" w:cs="Times New Roman"/>
          <w:sz w:val="32"/>
          <w:szCs w:val="32"/>
        </w:rPr>
        <w:t>期限表，其中财务档案见财务档案保存期限表，档案保管期限分永久、</w:t>
      </w:r>
      <w:r>
        <w:rPr>
          <w:rFonts w:hint="default" w:ascii="Times New Roman" w:hAnsi="Times New Roman" w:eastAsia="仿宋_GB2312" w:cs="Times New Roman"/>
          <w:sz w:val="32"/>
          <w:szCs w:val="32"/>
          <w:lang w:val="en-US" w:eastAsia="zh-CN"/>
        </w:rPr>
        <w:t>30年、10年</w:t>
      </w:r>
      <w:r>
        <w:rPr>
          <w:rFonts w:hint="default" w:ascii="Times New Roman" w:hAnsi="Times New Roman" w:eastAsia="仿宋_GB2312" w:cs="Times New Roman"/>
          <w:sz w:val="32"/>
          <w:szCs w:val="32"/>
        </w:rPr>
        <w:t>三种；介于两种保管期限的，保管期限从长；</w:t>
      </w:r>
    </w:p>
    <w:p w14:paraId="535DEF9E">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.对档案进行销毁：对已失效的档案，认真鉴定，编制销毁清册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办理销毁手续，经批准，方能销毁;销毁时要有二人以上监销，关在清册上签字，该清册永久保存；</w:t>
      </w:r>
    </w:p>
    <w:p w14:paraId="27B497B9">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CN"/>
        </w:rPr>
        <w:t>全县各立档单位专兼职</w:t>
      </w:r>
      <w:r>
        <w:rPr>
          <w:rFonts w:hint="default" w:ascii="Times New Roman" w:hAnsi="Times New Roman" w:eastAsia="仿宋_GB2312" w:cs="Times New Roman"/>
          <w:sz w:val="32"/>
          <w:szCs w:val="32"/>
        </w:rPr>
        <w:t>档案工作人员进行业务监督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指导和培训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加强档案干部队伍建设；</w:t>
      </w:r>
      <w:r>
        <w:rPr>
          <w:rFonts w:hint="default" w:ascii="Times New Roman" w:hAnsi="Times New Roman" w:eastAsia="仿宋_GB2312" w:cs="Times New Roman"/>
          <w:sz w:val="32"/>
          <w:szCs w:val="32"/>
          <w:lang w:val="en-US" w:eastAsia="zh-CN"/>
        </w:rPr>
        <w:t xml:space="preserve">                                                                                                                                                                                                                                                     </w:t>
      </w:r>
    </w:p>
    <w:p w14:paraId="1A03F453">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.制定和组织实施档案工作的各项规章制度并对各基层档案工作进行检查、评比；</w:t>
      </w:r>
    </w:p>
    <w:p w14:paraId="42EB7897">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.及时了解处行文、办文情况及工程开展进度指导业务部门立卷、归档工作；</w:t>
      </w:r>
    </w:p>
    <w:p w14:paraId="7F4819F2">
      <w:pPr>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lang w:eastAsia="zh-CN"/>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.负责档案信息资源的开发与利用工作。</w:t>
      </w:r>
    </w:p>
    <w:p w14:paraId="390AA2B0">
      <w:pPr>
        <w:pStyle w:val="3"/>
        <w:pageBreakBefore w:val="0"/>
        <w:kinsoku/>
        <w:wordWrap/>
        <w:overflowPunct/>
        <w:topLinePunct w:val="0"/>
        <w:autoSpaceDE/>
        <w:autoSpaceDN/>
        <w:bidi w:val="0"/>
        <w:adjustRightInd/>
        <w:snapToGrid/>
        <w:spacing w:line="560" w:lineRule="exact"/>
        <w:jc w:val="both"/>
        <w:textAlignment w:val="auto"/>
        <w:rPr>
          <w:rStyle w:val="31"/>
          <w:rFonts w:hint="default" w:ascii="Times New Roman" w:hAnsi="Times New Roman" w:cs="Times New Roman"/>
          <w:b w:val="0"/>
          <w:bCs w:val="0"/>
          <w:color w:val="auto"/>
          <w:highlight w:val="none"/>
        </w:rPr>
      </w:pPr>
      <w:bookmarkStart w:id="14" w:name="_Toc15377200"/>
      <w:bookmarkStart w:id="15" w:name="_Toc15396601"/>
      <w:r>
        <w:rPr>
          <w:rFonts w:hint="default" w:ascii="Times New Roman" w:hAnsi="Times New Roman" w:eastAsia="黑体" w:cs="Times New Roman"/>
          <w:b w:val="0"/>
          <w:color w:val="auto"/>
          <w:highlight w:val="none"/>
        </w:rPr>
        <w:t>二、机</w:t>
      </w:r>
      <w:r>
        <w:rPr>
          <w:rStyle w:val="31"/>
          <w:rFonts w:hint="default" w:ascii="Times New Roman" w:hAnsi="Times New Roman" w:eastAsia="黑体" w:cs="Times New Roman"/>
          <w:b w:val="0"/>
          <w:bCs w:val="0"/>
          <w:color w:val="auto"/>
          <w:highlight w:val="none"/>
        </w:rPr>
        <w:t>构设置</w:t>
      </w:r>
      <w:bookmarkEnd w:id="14"/>
      <w:bookmarkEnd w:id="15"/>
    </w:p>
    <w:p w14:paraId="46E6A076">
      <w:pPr>
        <w:pageBreakBefore w:val="0"/>
        <w:kinsoku/>
        <w:wordWrap/>
        <w:overflowPunct/>
        <w:topLinePunct w:val="0"/>
        <w:autoSpaceDE/>
        <w:autoSpaceDN/>
        <w:bidi w:val="0"/>
        <w:adjustRightInd/>
        <w:snapToGrid/>
        <w:spacing w:line="560" w:lineRule="exact"/>
        <w:ind w:firstLine="800" w:firstLineChars="25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中共四川省阿坝州壤塘县档案馆</w:t>
      </w:r>
      <w:r>
        <w:rPr>
          <w:rFonts w:hint="default" w:ascii="Times New Roman" w:hAnsi="Times New Roman" w:eastAsia="仿宋_GB2312" w:cs="Times New Roman"/>
          <w:sz w:val="32"/>
          <w:szCs w:val="32"/>
          <w:highlight w:val="none"/>
          <w:lang w:eastAsia="zh-CN"/>
        </w:rPr>
        <w:t>无</w:t>
      </w:r>
      <w:r>
        <w:rPr>
          <w:rFonts w:hint="default" w:ascii="Times New Roman" w:hAnsi="Times New Roman" w:eastAsia="仿宋_GB2312" w:cs="Times New Roman"/>
          <w:sz w:val="32"/>
          <w:szCs w:val="32"/>
          <w:highlight w:val="none"/>
        </w:rPr>
        <w:t>下属二级单位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本单位</w:t>
      </w:r>
      <w:r>
        <w:rPr>
          <w:rFonts w:hint="default" w:ascii="Times New Roman" w:hAnsi="Times New Roman" w:eastAsia="仿宋_GB2312" w:cs="Times New Roman"/>
          <w:sz w:val="32"/>
          <w:szCs w:val="32"/>
          <w:highlight w:val="none"/>
          <w:lang w:val="en-US" w:eastAsia="zh-CN"/>
        </w:rPr>
        <w:t>为中共壤塘县委办公室归口管理的全额财政拨款正科级事业机构，保留参公管理</w:t>
      </w:r>
      <w:r>
        <w:rPr>
          <w:rFonts w:hint="default" w:ascii="Times New Roman" w:hAnsi="Times New Roman" w:eastAsia="仿宋_GB2312" w:cs="Times New Roman"/>
          <w:sz w:val="32"/>
          <w:szCs w:val="32"/>
          <w:highlight w:val="none"/>
          <w:lang w:eastAsia="zh-CN"/>
        </w:rPr>
        <w:t>。</w:t>
      </w:r>
    </w:p>
    <w:p w14:paraId="06288317">
      <w:pPr>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sz w:val="32"/>
          <w:szCs w:val="32"/>
          <w:highlight w:val="none"/>
        </w:rPr>
        <w:br w:type="page"/>
      </w:r>
    </w:p>
    <w:p w14:paraId="7F8A434A">
      <w:pPr>
        <w:pStyle w:val="2"/>
        <w:ind w:right="440"/>
        <w:jc w:val="center"/>
        <w:rPr>
          <w:rStyle w:val="30"/>
          <w:rFonts w:hint="default" w:ascii="Times New Roman" w:hAnsi="Times New Roman" w:eastAsia="黑体" w:cs="Times New Roman"/>
          <w:b w:val="0"/>
          <w:bCs/>
          <w:color w:val="auto"/>
          <w:highlight w:val="none"/>
        </w:rPr>
      </w:pPr>
      <w:bookmarkStart w:id="16" w:name="_Toc15396602"/>
      <w:bookmarkStart w:id="17" w:name="_Toc15377204"/>
      <w:r>
        <w:rPr>
          <w:rFonts w:hint="default" w:ascii="Times New Roman" w:hAnsi="Times New Roman" w:eastAsia="黑体" w:cs="Times New Roman"/>
          <w:b w:val="0"/>
          <w:bCs/>
          <w:color w:val="auto"/>
          <w:highlight w:val="none"/>
        </w:rPr>
        <w:t xml:space="preserve">第二部分 </w:t>
      </w:r>
      <w:r>
        <w:rPr>
          <w:rFonts w:hint="default" w:ascii="Times New Roman" w:hAnsi="Times New Roman" w:eastAsia="黑体" w:cs="Times New Roman"/>
          <w:b w:val="0"/>
          <w:bCs/>
          <w:color w:val="auto"/>
          <w:highlight w:val="none"/>
          <w:lang w:val="en-US" w:eastAsia="zh-CN"/>
        </w:rPr>
        <w:t>2022年度</w:t>
      </w:r>
      <w:r>
        <w:rPr>
          <w:rStyle w:val="30"/>
          <w:rFonts w:hint="default" w:ascii="Times New Roman" w:hAnsi="Times New Roman" w:eastAsia="黑体" w:cs="Times New Roman"/>
          <w:b w:val="0"/>
          <w:bCs/>
          <w:color w:val="auto"/>
          <w:highlight w:val="none"/>
        </w:rPr>
        <w:t>部门决算情况说明</w:t>
      </w:r>
      <w:bookmarkEnd w:id="16"/>
      <w:bookmarkEnd w:id="17"/>
    </w:p>
    <w:p w14:paraId="1235884E">
      <w:pPr>
        <w:rPr>
          <w:rFonts w:hint="default" w:ascii="Times New Roman" w:hAnsi="Times New Roman" w:cs="Times New Roman"/>
          <w:color w:val="auto"/>
          <w:highlight w:val="none"/>
        </w:rPr>
      </w:pPr>
    </w:p>
    <w:p w14:paraId="7877687F">
      <w:pPr>
        <w:pStyle w:val="29"/>
        <w:numPr>
          <w:ilvl w:val="0"/>
          <w:numId w:val="3"/>
        </w:numPr>
        <w:spacing w:line="600" w:lineRule="exact"/>
        <w:ind w:firstLineChars="0"/>
        <w:outlineLvl w:val="1"/>
        <w:rPr>
          <w:rStyle w:val="31"/>
          <w:rFonts w:hint="default" w:ascii="Times New Roman" w:hAnsi="Times New Roman" w:eastAsia="黑体" w:cs="Times New Roman"/>
          <w:b w:val="0"/>
          <w:color w:val="auto"/>
          <w:highlight w:val="none"/>
        </w:rPr>
      </w:pPr>
      <w:bookmarkStart w:id="18" w:name="_Toc15396603"/>
      <w:bookmarkStart w:id="19" w:name="_Toc15377205"/>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入支出决算总体情况说明</w:t>
      </w:r>
      <w:bookmarkEnd w:id="18"/>
      <w:bookmarkEnd w:id="19"/>
    </w:p>
    <w:p w14:paraId="78767E64">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rPr>
        <w:t>年度收入总计</w:t>
      </w:r>
      <w:r>
        <w:rPr>
          <w:rFonts w:hint="default" w:ascii="Times New Roman" w:hAnsi="Times New Roman" w:eastAsia="仿宋_GB2312" w:cs="Times New Roman"/>
          <w:color w:val="000000"/>
          <w:sz w:val="32"/>
          <w:szCs w:val="32"/>
          <w:lang w:val="en-US" w:eastAsia="zh-CN"/>
        </w:rPr>
        <w:t>191.06</w:t>
      </w:r>
      <w:r>
        <w:rPr>
          <w:rFonts w:hint="default" w:ascii="Times New Roman" w:hAnsi="Times New Roman" w:eastAsia="仿宋_GB2312" w:cs="Times New Roman"/>
          <w:color w:val="000000"/>
          <w:sz w:val="32"/>
          <w:szCs w:val="32"/>
        </w:rPr>
        <w:t>万元，与20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年相比，</w:t>
      </w:r>
      <w:r>
        <w:rPr>
          <w:rFonts w:hint="default" w:ascii="Times New Roman" w:hAnsi="Times New Roman" w:eastAsia="仿宋_GB2312" w:cs="Times New Roman"/>
          <w:color w:val="000000"/>
          <w:sz w:val="32"/>
          <w:szCs w:val="32"/>
          <w:lang w:val="en-US" w:eastAsia="zh-CN"/>
        </w:rPr>
        <w:t>收入增加37.20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增加24.18%</w:t>
      </w:r>
      <w:r>
        <w:rPr>
          <w:rFonts w:hint="default" w:ascii="Times New Roman" w:hAnsi="Times New Roman" w:eastAsia="仿宋_GB2312" w:cs="Times New Roman"/>
          <w:color w:val="000000"/>
          <w:sz w:val="32"/>
          <w:szCs w:val="32"/>
        </w:rPr>
        <w:t>。主要变动原因是当年人员</w:t>
      </w:r>
      <w:r>
        <w:rPr>
          <w:rFonts w:hint="default" w:ascii="Times New Roman" w:hAnsi="Times New Roman" w:eastAsia="仿宋_GB2312" w:cs="Times New Roman"/>
          <w:color w:val="000000"/>
          <w:sz w:val="32"/>
          <w:szCs w:val="32"/>
          <w:lang w:val="en-US" w:eastAsia="zh-CN"/>
        </w:rPr>
        <w:t>调整</w:t>
      </w:r>
      <w:r>
        <w:rPr>
          <w:rFonts w:hint="default" w:ascii="Times New Roman" w:hAnsi="Times New Roman" w:eastAsia="仿宋_GB2312" w:cs="Times New Roman"/>
          <w:color w:val="000000"/>
          <w:sz w:val="32"/>
          <w:szCs w:val="32"/>
        </w:rPr>
        <w:t>，项目增多，收入增加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 xml:space="preserve"> </w:t>
      </w:r>
    </w:p>
    <w:p w14:paraId="6490D379">
      <w:pPr>
        <w:spacing w:line="600" w:lineRule="exact"/>
        <w:ind w:firstLine="640" w:firstLineChars="20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2022年度</w:t>
      </w:r>
      <w:r>
        <w:rPr>
          <w:rFonts w:hint="default" w:ascii="Times New Roman" w:hAnsi="Times New Roman" w:eastAsia="仿宋_GB2312" w:cs="Times New Roman"/>
          <w:color w:val="000000"/>
          <w:sz w:val="32"/>
          <w:szCs w:val="32"/>
        </w:rPr>
        <w:t>支出总计</w:t>
      </w:r>
      <w:r>
        <w:rPr>
          <w:rFonts w:hint="default" w:ascii="Times New Roman" w:hAnsi="Times New Roman" w:eastAsia="仿宋_GB2312" w:cs="Times New Roman"/>
          <w:color w:val="000000"/>
          <w:sz w:val="32"/>
          <w:szCs w:val="32"/>
          <w:lang w:val="en-US" w:eastAsia="zh-CN"/>
        </w:rPr>
        <w:t>325.97</w:t>
      </w:r>
      <w:r>
        <w:rPr>
          <w:rFonts w:hint="default" w:ascii="Times New Roman" w:hAnsi="Times New Roman" w:eastAsia="仿宋_GB2312" w:cs="Times New Roman"/>
          <w:color w:val="000000"/>
          <w:sz w:val="32"/>
          <w:szCs w:val="32"/>
        </w:rPr>
        <w:t>万元。与20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年相比，</w:t>
      </w:r>
      <w:r>
        <w:rPr>
          <w:rFonts w:hint="default" w:ascii="Times New Roman" w:hAnsi="Times New Roman" w:eastAsia="仿宋_GB2312" w:cs="Times New Roman"/>
          <w:color w:val="000000"/>
          <w:sz w:val="32"/>
          <w:szCs w:val="32"/>
          <w:lang w:val="en-US" w:eastAsia="zh-CN"/>
        </w:rPr>
        <w:t>增加146.55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增加81.68%</w:t>
      </w:r>
      <w:r>
        <w:rPr>
          <w:rFonts w:hint="default" w:ascii="Times New Roman" w:hAnsi="Times New Roman" w:eastAsia="仿宋_GB2312" w:cs="Times New Roman"/>
          <w:color w:val="000000"/>
          <w:sz w:val="32"/>
          <w:szCs w:val="32"/>
        </w:rPr>
        <w:t>。主要变动原因是</w:t>
      </w:r>
      <w:r>
        <w:rPr>
          <w:rFonts w:hint="default" w:ascii="Times New Roman" w:hAnsi="Times New Roman" w:eastAsia="仿宋_GB2312" w:cs="Times New Roman"/>
          <w:color w:val="000000"/>
          <w:sz w:val="32"/>
          <w:szCs w:val="32"/>
          <w:lang w:val="en-US" w:eastAsia="zh-CN"/>
        </w:rPr>
        <w:t>当年人员调整，项目增多，支出增加</w:t>
      </w:r>
      <w:r>
        <w:rPr>
          <w:rFonts w:hint="default" w:ascii="Times New Roman" w:hAnsi="Times New Roman" w:eastAsia="仿宋_GB2312" w:cs="Times New Roman"/>
          <w:color w:val="000000"/>
          <w:sz w:val="32"/>
          <w:szCs w:val="32"/>
          <w:lang w:eastAsia="zh-CN"/>
        </w:rPr>
        <w:t>。</w:t>
      </w:r>
    </w:p>
    <w:p w14:paraId="34B9C9B4">
      <w:pPr>
        <w:pStyle w:val="8"/>
        <w:ind w:left="0" w:leftChars="0" w:firstLine="1058" w:firstLineChars="504"/>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208780" cy="2219325"/>
            <wp:effectExtent l="4445" t="4445" r="15875" b="508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719E875">
      <w:pPr>
        <w:pStyle w:val="8"/>
        <w:ind w:left="416" w:leftChars="198" w:firstLine="642" w:firstLineChars="306"/>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262120" cy="2307590"/>
            <wp:effectExtent l="4445" t="4445" r="19685" b="1206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C0459BD">
      <w:pPr>
        <w:spacing w:line="600" w:lineRule="exact"/>
        <w:ind w:firstLine="1600" w:firstLineChars="5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highlight w:val="none"/>
        </w:rPr>
        <w:t>（图1：收、支决算总计变动情况图）</w:t>
      </w:r>
    </w:p>
    <w:p w14:paraId="7BE861ED">
      <w:pPr>
        <w:pStyle w:val="29"/>
        <w:numPr>
          <w:ilvl w:val="0"/>
          <w:numId w:val="3"/>
        </w:numPr>
        <w:spacing w:line="600" w:lineRule="exact"/>
        <w:ind w:firstLineChars="0"/>
        <w:outlineLvl w:val="1"/>
        <w:rPr>
          <w:rStyle w:val="31"/>
          <w:rFonts w:hint="default" w:ascii="Times New Roman" w:hAnsi="Times New Roman" w:eastAsia="黑体" w:cs="Times New Roman"/>
          <w:b w:val="0"/>
          <w:color w:val="auto"/>
          <w:highlight w:val="none"/>
        </w:rPr>
      </w:pPr>
      <w:bookmarkStart w:id="20" w:name="_Toc15377206"/>
      <w:bookmarkStart w:id="21" w:name="_Toc15396604"/>
      <w:r>
        <w:rPr>
          <w:rFonts w:hint="default" w:ascii="Times New Roman" w:hAnsi="Times New Roman" w:eastAsia="黑体" w:cs="Times New Roman"/>
          <w:color w:val="auto"/>
          <w:sz w:val="32"/>
          <w:szCs w:val="32"/>
          <w:highlight w:val="none"/>
        </w:rPr>
        <w:t>收</w:t>
      </w:r>
      <w:r>
        <w:rPr>
          <w:rStyle w:val="31"/>
          <w:rFonts w:hint="default" w:ascii="Times New Roman" w:hAnsi="Times New Roman" w:eastAsia="黑体" w:cs="Times New Roman"/>
          <w:b w:val="0"/>
          <w:color w:val="auto"/>
          <w:highlight w:val="none"/>
        </w:rPr>
        <w:t>入决算情况说明</w:t>
      </w:r>
      <w:bookmarkEnd w:id="20"/>
      <w:bookmarkEnd w:id="21"/>
    </w:p>
    <w:p w14:paraId="1A290BBE">
      <w:pPr>
        <w:spacing w:line="600" w:lineRule="exact"/>
        <w:ind w:firstLine="640" w:firstLineChars="200"/>
        <w:outlineLvl w:val="1"/>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年本年收入合计</w:t>
      </w:r>
      <w:r>
        <w:rPr>
          <w:rFonts w:hint="default" w:ascii="Times New Roman" w:hAnsi="Times New Roman" w:eastAsia="仿宋" w:cs="Times New Roman"/>
          <w:color w:val="auto"/>
          <w:sz w:val="32"/>
          <w:szCs w:val="32"/>
          <w:highlight w:val="none"/>
          <w:lang w:val="en-US" w:eastAsia="zh-CN"/>
        </w:rPr>
        <w:t>191.06</w:t>
      </w:r>
      <w:r>
        <w:rPr>
          <w:rFonts w:hint="default" w:ascii="Times New Roman" w:hAnsi="Times New Roman" w:eastAsia="仿宋" w:cs="Times New Roman"/>
          <w:color w:val="auto"/>
          <w:sz w:val="32"/>
          <w:szCs w:val="32"/>
          <w:highlight w:val="none"/>
        </w:rPr>
        <w:t>万元，其中：一般公共预算财政拨款收入</w:t>
      </w:r>
      <w:r>
        <w:rPr>
          <w:rFonts w:hint="default" w:ascii="Times New Roman" w:hAnsi="Times New Roman" w:eastAsia="仿宋" w:cs="Times New Roman"/>
          <w:color w:val="auto"/>
          <w:sz w:val="32"/>
          <w:szCs w:val="32"/>
          <w:highlight w:val="none"/>
          <w:lang w:val="en-US" w:eastAsia="zh-CN"/>
        </w:rPr>
        <w:t>191.06</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%；政府性基金预算财政拨款收入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国有资本经营预算财政拨款收入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%；上级补助收入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%；事业收入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%；附属单位上缴收入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%；其他收入</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4796D587">
      <w:pPr>
        <w:spacing w:line="600" w:lineRule="exact"/>
        <w:ind w:firstLine="640" w:firstLineChars="200"/>
        <w:outlineLvl w:val="1"/>
        <w:rPr>
          <w:rFonts w:hint="default" w:ascii="Times New Roman" w:hAnsi="Times New Roman" w:eastAsia="仿宋" w:cs="Times New Roman"/>
          <w:color w:val="auto"/>
          <w:sz w:val="32"/>
          <w:szCs w:val="32"/>
          <w:highlight w:val="none"/>
        </w:rPr>
      </w:pPr>
    </w:p>
    <w:p w14:paraId="69F55FE4">
      <w:pPr>
        <w:pStyle w:val="8"/>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inline distT="0" distB="0" distL="114300" distR="114300">
            <wp:extent cx="5256530" cy="2988310"/>
            <wp:effectExtent l="5080" t="4445" r="1143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C740C4">
      <w:pPr>
        <w:spacing w:line="600" w:lineRule="exact"/>
        <w:ind w:firstLine="2880" w:firstLineChars="9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highlight w:val="none"/>
        </w:rPr>
        <w:t>（图2：收入决算结构图）</w:t>
      </w:r>
    </w:p>
    <w:p w14:paraId="40E8C5B8">
      <w:pPr>
        <w:pStyle w:val="29"/>
        <w:numPr>
          <w:ilvl w:val="0"/>
          <w:numId w:val="3"/>
        </w:numPr>
        <w:spacing w:line="600" w:lineRule="exact"/>
        <w:ind w:firstLineChars="0"/>
        <w:outlineLvl w:val="1"/>
        <w:rPr>
          <w:rStyle w:val="31"/>
          <w:rFonts w:hint="default" w:ascii="Times New Roman" w:hAnsi="Times New Roman" w:eastAsia="黑体" w:cs="Times New Roman"/>
          <w:b w:val="0"/>
          <w:color w:val="auto"/>
          <w:highlight w:val="none"/>
        </w:rPr>
      </w:pPr>
      <w:bookmarkStart w:id="22" w:name="_Toc15377207"/>
      <w:bookmarkStart w:id="23" w:name="_Toc15396605"/>
      <w:r>
        <w:rPr>
          <w:rFonts w:hint="default" w:ascii="Times New Roman" w:hAnsi="Times New Roman" w:eastAsia="黑体" w:cs="Times New Roman"/>
          <w:color w:val="auto"/>
          <w:sz w:val="32"/>
          <w:szCs w:val="32"/>
          <w:highlight w:val="none"/>
        </w:rPr>
        <w:t>支</w:t>
      </w:r>
      <w:r>
        <w:rPr>
          <w:rStyle w:val="31"/>
          <w:rFonts w:hint="default" w:ascii="Times New Roman" w:hAnsi="Times New Roman" w:eastAsia="黑体" w:cs="Times New Roman"/>
          <w:b w:val="0"/>
          <w:color w:val="auto"/>
          <w:highlight w:val="none"/>
        </w:rPr>
        <w:t>出决算情况说明</w:t>
      </w:r>
      <w:bookmarkEnd w:id="22"/>
      <w:bookmarkEnd w:id="23"/>
    </w:p>
    <w:p w14:paraId="1CDDE22E">
      <w:pPr>
        <w:spacing w:line="600" w:lineRule="exact"/>
        <w:ind w:firstLine="640" w:firstLineChars="200"/>
        <w:outlineLvl w:val="1"/>
        <w:rPr>
          <w:rFonts w:hint="default" w:ascii="Times New Roman" w:hAnsi="Times New Roman" w:eastAsia="仿宋" w:cs="Times New Roman"/>
          <w:color w:val="auto"/>
          <w:sz w:val="32"/>
          <w:szCs w:val="32"/>
          <w:highlight w:val="none"/>
          <w:shd w:val="pct10" w:color="auto" w:fill="FFFFFF"/>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年本年支出合计</w:t>
      </w:r>
      <w:r>
        <w:rPr>
          <w:rFonts w:hint="default" w:ascii="Times New Roman" w:hAnsi="Times New Roman" w:eastAsia="仿宋" w:cs="Times New Roman"/>
          <w:color w:val="auto"/>
          <w:sz w:val="32"/>
          <w:szCs w:val="32"/>
          <w:highlight w:val="none"/>
          <w:lang w:val="en-US" w:eastAsia="zh-CN"/>
        </w:rPr>
        <w:t>325.97</w:t>
      </w:r>
      <w:r>
        <w:rPr>
          <w:rFonts w:hint="default" w:ascii="Times New Roman" w:hAnsi="Times New Roman" w:eastAsia="仿宋" w:cs="Times New Roman"/>
          <w:color w:val="auto"/>
          <w:sz w:val="32"/>
          <w:szCs w:val="32"/>
          <w:highlight w:val="none"/>
        </w:rPr>
        <w:t>万元，其中：基本支出</w:t>
      </w:r>
      <w:r>
        <w:rPr>
          <w:rFonts w:hint="default" w:ascii="Times New Roman" w:hAnsi="Times New Roman" w:eastAsia="仿宋" w:cs="Times New Roman"/>
          <w:color w:val="auto"/>
          <w:sz w:val="32"/>
          <w:szCs w:val="32"/>
          <w:highlight w:val="none"/>
          <w:lang w:val="en-US" w:eastAsia="zh-CN"/>
        </w:rPr>
        <w:t>186.42</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57.19</w:t>
      </w:r>
      <w:r>
        <w:rPr>
          <w:rFonts w:hint="default" w:ascii="Times New Roman" w:hAnsi="Times New Roman" w:eastAsia="仿宋" w:cs="Times New Roman"/>
          <w:color w:val="auto"/>
          <w:sz w:val="32"/>
          <w:szCs w:val="32"/>
          <w:highlight w:val="none"/>
        </w:rPr>
        <w:t>%；项目支出</w:t>
      </w:r>
      <w:r>
        <w:rPr>
          <w:rFonts w:hint="default" w:ascii="Times New Roman" w:hAnsi="Times New Roman" w:eastAsia="仿宋" w:cs="Times New Roman"/>
          <w:color w:val="auto"/>
          <w:sz w:val="32"/>
          <w:szCs w:val="32"/>
          <w:highlight w:val="none"/>
          <w:lang w:val="en-US" w:eastAsia="zh-CN"/>
        </w:rPr>
        <w:t>139.55</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42.81</w:t>
      </w:r>
      <w:r>
        <w:rPr>
          <w:rFonts w:hint="default" w:ascii="Times New Roman" w:hAnsi="Times New Roman" w:eastAsia="仿宋" w:cs="Times New Roman"/>
          <w:color w:val="auto"/>
          <w:sz w:val="32"/>
          <w:szCs w:val="32"/>
          <w:highlight w:val="none"/>
        </w:rPr>
        <w:t>%；上缴上级支出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%；经营支出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%；对附属单位补助支出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w:t>
      </w:r>
    </w:p>
    <w:p w14:paraId="6D2F98CF">
      <w:pPr>
        <w:pStyle w:val="8"/>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inline distT="0" distB="0" distL="114300" distR="114300">
            <wp:extent cx="4730115" cy="2593975"/>
            <wp:effectExtent l="4445" t="5080" r="8890" b="107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90C7E1">
      <w:pPr>
        <w:spacing w:line="600" w:lineRule="exact"/>
        <w:ind w:firstLine="2560" w:firstLineChars="8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highlight w:val="none"/>
        </w:rPr>
        <w:t>（图3：支出决算结构图）</w:t>
      </w:r>
    </w:p>
    <w:p w14:paraId="3F769B57">
      <w:pPr>
        <w:spacing w:line="600" w:lineRule="exact"/>
        <w:ind w:firstLine="640" w:firstLineChars="200"/>
        <w:outlineLvl w:val="1"/>
        <w:rPr>
          <w:rStyle w:val="31"/>
          <w:rFonts w:hint="default" w:ascii="Times New Roman" w:hAnsi="Times New Roman" w:eastAsia="黑体" w:cs="Times New Roman"/>
          <w:b w:val="0"/>
          <w:color w:val="auto"/>
          <w:highlight w:val="none"/>
        </w:rPr>
      </w:pPr>
      <w:bookmarkStart w:id="24" w:name="_Toc15396606"/>
      <w:bookmarkStart w:id="25" w:name="_Toc15377208"/>
      <w:r>
        <w:rPr>
          <w:rFonts w:hint="default" w:ascii="Times New Roman" w:hAnsi="Times New Roman" w:eastAsia="黑体" w:cs="Times New Roman"/>
          <w:color w:val="auto"/>
          <w:sz w:val="32"/>
          <w:szCs w:val="32"/>
          <w:highlight w:val="none"/>
        </w:rPr>
        <w:t>四、财</w:t>
      </w:r>
      <w:r>
        <w:rPr>
          <w:rStyle w:val="31"/>
          <w:rFonts w:hint="default" w:ascii="Times New Roman" w:hAnsi="Times New Roman" w:eastAsia="黑体" w:cs="Times New Roman"/>
          <w:b w:val="0"/>
          <w:color w:val="auto"/>
          <w:highlight w:val="none"/>
        </w:rPr>
        <w:t>政拨款收入支出决算总体情况说明</w:t>
      </w:r>
      <w:bookmarkEnd w:id="24"/>
      <w:bookmarkEnd w:id="25"/>
    </w:p>
    <w:p w14:paraId="67F5A41A">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财政拨款</w:t>
      </w:r>
      <w:r>
        <w:rPr>
          <w:rFonts w:hint="default" w:ascii="Times New Roman" w:hAnsi="Times New Roman" w:eastAsia="仿宋_GB2312" w:cs="Times New Roman"/>
          <w:color w:val="000000"/>
          <w:sz w:val="32"/>
          <w:szCs w:val="32"/>
        </w:rPr>
        <w:t>度收入总计</w:t>
      </w:r>
      <w:r>
        <w:rPr>
          <w:rFonts w:hint="default" w:ascii="Times New Roman" w:hAnsi="Times New Roman" w:eastAsia="仿宋_GB2312" w:cs="Times New Roman"/>
          <w:color w:val="000000"/>
          <w:sz w:val="32"/>
          <w:szCs w:val="32"/>
          <w:lang w:val="en-US" w:eastAsia="zh-CN"/>
        </w:rPr>
        <w:t>191.06</w:t>
      </w:r>
      <w:r>
        <w:rPr>
          <w:rFonts w:hint="default" w:ascii="Times New Roman" w:hAnsi="Times New Roman" w:eastAsia="仿宋_GB2312" w:cs="Times New Roman"/>
          <w:color w:val="000000"/>
          <w:sz w:val="32"/>
          <w:szCs w:val="32"/>
        </w:rPr>
        <w:t>万元，与20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年相比，</w:t>
      </w:r>
      <w:r>
        <w:rPr>
          <w:rFonts w:hint="default" w:ascii="Times New Roman" w:hAnsi="Times New Roman" w:eastAsia="仿宋_GB2312" w:cs="Times New Roman"/>
          <w:color w:val="000000"/>
          <w:sz w:val="32"/>
          <w:szCs w:val="32"/>
          <w:lang w:val="en-US" w:eastAsia="zh-CN"/>
        </w:rPr>
        <w:t>财政拨款收入增加37.20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增加24.18%</w:t>
      </w:r>
      <w:r>
        <w:rPr>
          <w:rFonts w:hint="default" w:ascii="Times New Roman" w:hAnsi="Times New Roman" w:eastAsia="仿宋_GB2312" w:cs="Times New Roman"/>
          <w:color w:val="000000"/>
          <w:sz w:val="32"/>
          <w:szCs w:val="32"/>
        </w:rPr>
        <w:t>。主要变动原因是当年人员</w:t>
      </w:r>
      <w:r>
        <w:rPr>
          <w:rFonts w:hint="default" w:ascii="Times New Roman" w:hAnsi="Times New Roman" w:eastAsia="仿宋_GB2312" w:cs="Times New Roman"/>
          <w:color w:val="000000"/>
          <w:sz w:val="32"/>
          <w:szCs w:val="32"/>
          <w:lang w:val="en-US" w:eastAsia="zh-CN"/>
        </w:rPr>
        <w:t>调整</w:t>
      </w:r>
      <w:r>
        <w:rPr>
          <w:rFonts w:hint="default" w:ascii="Times New Roman" w:hAnsi="Times New Roman" w:eastAsia="仿宋_GB2312" w:cs="Times New Roman"/>
          <w:color w:val="000000"/>
          <w:sz w:val="32"/>
          <w:szCs w:val="32"/>
        </w:rPr>
        <w:t>，项目增多，收入增加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 xml:space="preserve"> </w:t>
      </w:r>
    </w:p>
    <w:p w14:paraId="09428A68">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000000"/>
          <w:sz w:val="32"/>
          <w:szCs w:val="32"/>
          <w:lang w:val="en-US" w:eastAsia="zh-CN"/>
        </w:rPr>
        <w:t>2022年度财政拨款</w:t>
      </w:r>
      <w:r>
        <w:rPr>
          <w:rFonts w:hint="default" w:ascii="Times New Roman" w:hAnsi="Times New Roman" w:eastAsia="仿宋_GB2312" w:cs="Times New Roman"/>
          <w:color w:val="000000"/>
          <w:sz w:val="32"/>
          <w:szCs w:val="32"/>
        </w:rPr>
        <w:t>支出总计</w:t>
      </w:r>
      <w:r>
        <w:rPr>
          <w:rFonts w:hint="default" w:ascii="Times New Roman" w:hAnsi="Times New Roman" w:eastAsia="仿宋_GB2312" w:cs="Times New Roman"/>
          <w:color w:val="000000"/>
          <w:sz w:val="32"/>
          <w:szCs w:val="32"/>
          <w:lang w:val="en-US" w:eastAsia="zh-CN"/>
        </w:rPr>
        <w:t>325.97</w:t>
      </w:r>
      <w:r>
        <w:rPr>
          <w:rFonts w:hint="default" w:ascii="Times New Roman" w:hAnsi="Times New Roman" w:eastAsia="仿宋_GB2312" w:cs="Times New Roman"/>
          <w:color w:val="000000"/>
          <w:sz w:val="32"/>
          <w:szCs w:val="32"/>
        </w:rPr>
        <w:t>万元。与20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年相比，</w:t>
      </w:r>
      <w:r>
        <w:rPr>
          <w:rFonts w:hint="default" w:ascii="Times New Roman" w:hAnsi="Times New Roman" w:eastAsia="仿宋_GB2312" w:cs="Times New Roman"/>
          <w:color w:val="000000"/>
          <w:sz w:val="32"/>
          <w:szCs w:val="32"/>
          <w:lang w:val="en-US" w:eastAsia="zh-CN"/>
        </w:rPr>
        <w:t>增加146.55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增加81.68%</w:t>
      </w:r>
      <w:r>
        <w:rPr>
          <w:rFonts w:hint="default" w:ascii="Times New Roman" w:hAnsi="Times New Roman" w:eastAsia="仿宋_GB2312" w:cs="Times New Roman"/>
          <w:color w:val="000000"/>
          <w:sz w:val="32"/>
          <w:szCs w:val="32"/>
        </w:rPr>
        <w:t>。主要变动原因是</w:t>
      </w:r>
      <w:r>
        <w:rPr>
          <w:rFonts w:hint="default" w:ascii="Times New Roman" w:hAnsi="Times New Roman" w:eastAsia="仿宋_GB2312" w:cs="Times New Roman"/>
          <w:color w:val="000000"/>
          <w:sz w:val="32"/>
          <w:szCs w:val="32"/>
          <w:lang w:val="en-US" w:eastAsia="zh-CN"/>
        </w:rPr>
        <w:t>当年人员调整，项目增多，支出增加</w:t>
      </w:r>
      <w:r>
        <w:rPr>
          <w:rFonts w:hint="default" w:ascii="Times New Roman" w:hAnsi="Times New Roman" w:eastAsia="仿宋_GB2312" w:cs="Times New Roman"/>
          <w:color w:val="000000"/>
          <w:sz w:val="32"/>
          <w:szCs w:val="32"/>
          <w:lang w:eastAsia="zh-CN"/>
        </w:rPr>
        <w:t>。</w:t>
      </w:r>
    </w:p>
    <w:p w14:paraId="788A1694">
      <w:pPr>
        <w:pStyle w:val="8"/>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420870" cy="2421890"/>
            <wp:effectExtent l="4445" t="4445" r="13335" b="1206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FCE80A">
      <w:pPr>
        <w:pStyle w:val="8"/>
        <w:rPr>
          <w:rFonts w:hint="default" w:ascii="Times New Roman" w:hAnsi="Times New Roman" w:cs="Times New Roman"/>
          <w:lang w:eastAsia="zh-CN"/>
        </w:rPr>
      </w:pPr>
      <w:r>
        <w:rPr>
          <w:rFonts w:hint="default" w:ascii="Times New Roman" w:hAnsi="Times New Roman" w:cs="Times New Roman"/>
          <w:lang w:eastAsia="zh-CN"/>
        </w:rPr>
        <w:drawing>
          <wp:inline distT="0" distB="0" distL="114300" distR="114300">
            <wp:extent cx="4527550" cy="2562860"/>
            <wp:effectExtent l="4445" t="4445" r="20955" b="2349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F3B98D">
      <w:pPr>
        <w:spacing w:line="600" w:lineRule="exact"/>
        <w:ind w:firstLine="1280" w:firstLineChars="400"/>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color w:val="auto"/>
          <w:sz w:val="32"/>
          <w:szCs w:val="32"/>
          <w:highlight w:val="none"/>
        </w:rPr>
        <w:t>（图4：财政拨款收、支决算总计变动情况）</w:t>
      </w:r>
    </w:p>
    <w:p w14:paraId="45C33BCB">
      <w:pPr>
        <w:spacing w:line="600" w:lineRule="exact"/>
        <w:ind w:firstLine="640" w:firstLineChars="200"/>
        <w:outlineLvl w:val="1"/>
        <w:rPr>
          <w:rStyle w:val="31"/>
          <w:rFonts w:hint="default" w:ascii="Times New Roman" w:hAnsi="Times New Roman" w:eastAsia="黑体" w:cs="Times New Roman"/>
          <w:b w:val="0"/>
          <w:color w:val="auto"/>
          <w:highlight w:val="none"/>
        </w:rPr>
      </w:pPr>
      <w:bookmarkStart w:id="26" w:name="_Toc15396607"/>
      <w:bookmarkStart w:id="27" w:name="_Toc15377209"/>
      <w:r>
        <w:rPr>
          <w:rFonts w:hint="default" w:ascii="Times New Roman" w:hAnsi="Times New Roman" w:eastAsia="黑体" w:cs="Times New Roman"/>
          <w:color w:val="auto"/>
          <w:sz w:val="32"/>
          <w:szCs w:val="32"/>
          <w:highlight w:val="none"/>
        </w:rPr>
        <w:t>五、</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般公共预算财政拨款支出决算情况说明</w:t>
      </w:r>
      <w:bookmarkEnd w:id="26"/>
      <w:bookmarkEnd w:id="27"/>
    </w:p>
    <w:p w14:paraId="5DFCEF1D">
      <w:pPr>
        <w:spacing w:line="600" w:lineRule="exact"/>
        <w:ind w:firstLine="643" w:firstLineChars="200"/>
        <w:outlineLvl w:val="2"/>
        <w:rPr>
          <w:rFonts w:hint="eastAsia" w:ascii="楷体" w:hAnsi="楷体" w:eastAsia="楷体" w:cs="楷体"/>
          <w:b/>
          <w:color w:val="auto"/>
          <w:sz w:val="32"/>
          <w:szCs w:val="32"/>
          <w:highlight w:val="none"/>
        </w:rPr>
      </w:pPr>
      <w:bookmarkStart w:id="28" w:name="_Toc15377210"/>
      <w:r>
        <w:rPr>
          <w:rFonts w:hint="eastAsia" w:ascii="楷体" w:hAnsi="楷体" w:eastAsia="楷体" w:cs="楷体"/>
          <w:b/>
          <w:color w:val="auto"/>
          <w:sz w:val="32"/>
          <w:szCs w:val="32"/>
          <w:highlight w:val="none"/>
        </w:rPr>
        <w:t>（一）一般公共预算财政拨款支出决算总体情况</w:t>
      </w:r>
      <w:bookmarkEnd w:id="28"/>
    </w:p>
    <w:p w14:paraId="2A64DCAD">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年一般公共预算财政拨款支出</w:t>
      </w:r>
      <w:r>
        <w:rPr>
          <w:rFonts w:hint="default" w:ascii="Times New Roman" w:hAnsi="Times New Roman" w:eastAsia="仿宋" w:cs="Times New Roman"/>
          <w:color w:val="auto"/>
          <w:sz w:val="32"/>
          <w:szCs w:val="32"/>
          <w:highlight w:val="none"/>
          <w:lang w:val="en-US" w:eastAsia="zh-CN"/>
        </w:rPr>
        <w:t>325.97</w:t>
      </w:r>
      <w:r>
        <w:rPr>
          <w:rFonts w:hint="default" w:ascii="Times New Roman" w:hAnsi="Times New Roman" w:eastAsia="仿宋" w:cs="Times New Roman"/>
          <w:color w:val="auto"/>
          <w:sz w:val="32"/>
          <w:szCs w:val="32"/>
          <w:highlight w:val="none"/>
        </w:rPr>
        <w:t>万元，占本年支出合计的</w:t>
      </w:r>
      <w:r>
        <w:rPr>
          <w:rFonts w:hint="default" w:ascii="Times New Roman" w:hAnsi="Times New Roman" w:eastAsia="仿宋" w:cs="Times New Roman"/>
          <w:color w:val="auto"/>
          <w:sz w:val="32"/>
          <w:szCs w:val="32"/>
          <w:highlight w:val="none"/>
          <w:lang w:val="en-US" w:eastAsia="zh-CN"/>
        </w:rPr>
        <w:t>100</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21</w:t>
      </w:r>
      <w:r>
        <w:rPr>
          <w:rFonts w:hint="default" w:ascii="Times New Roman" w:hAnsi="Times New Roman" w:eastAsia="仿宋" w:cs="Times New Roman"/>
          <w:color w:val="auto"/>
          <w:sz w:val="32"/>
          <w:szCs w:val="32"/>
          <w:highlight w:val="none"/>
        </w:rPr>
        <w:t>年相比，一般公共预算财政拨款</w:t>
      </w:r>
      <w:r>
        <w:rPr>
          <w:rFonts w:hint="default" w:ascii="Times New Roman" w:hAnsi="Times New Roman" w:eastAsia="仿宋" w:cs="Times New Roman"/>
          <w:color w:val="auto"/>
          <w:sz w:val="32"/>
          <w:szCs w:val="32"/>
          <w:highlight w:val="none"/>
          <w:lang w:eastAsia="zh-CN"/>
        </w:rPr>
        <w:t>支出</w:t>
      </w:r>
      <w:r>
        <w:rPr>
          <w:rFonts w:hint="default" w:ascii="Times New Roman" w:hAnsi="Times New Roman" w:eastAsia="仿宋" w:cs="Times New Roman"/>
          <w:color w:val="auto"/>
          <w:sz w:val="32"/>
          <w:szCs w:val="32"/>
          <w:highlight w:val="none"/>
        </w:rPr>
        <w:t>增加</w:t>
      </w:r>
      <w:r>
        <w:rPr>
          <w:rFonts w:hint="default" w:ascii="Times New Roman" w:hAnsi="Times New Roman" w:eastAsia="仿宋" w:cs="Times New Roman"/>
          <w:color w:val="auto"/>
          <w:sz w:val="32"/>
          <w:szCs w:val="32"/>
          <w:highlight w:val="none"/>
          <w:lang w:val="en-US" w:eastAsia="zh-CN"/>
        </w:rPr>
        <w:t>146.55</w:t>
      </w:r>
      <w:r>
        <w:rPr>
          <w:rFonts w:hint="default" w:ascii="Times New Roman" w:hAnsi="Times New Roman" w:eastAsia="仿宋" w:cs="Times New Roman"/>
          <w:color w:val="auto"/>
          <w:sz w:val="32"/>
          <w:szCs w:val="32"/>
          <w:highlight w:val="none"/>
        </w:rPr>
        <w:t>万元，增长</w:t>
      </w:r>
      <w:r>
        <w:rPr>
          <w:rFonts w:hint="default" w:ascii="Times New Roman" w:hAnsi="Times New Roman" w:eastAsia="仿宋" w:cs="Times New Roman"/>
          <w:color w:val="auto"/>
          <w:sz w:val="32"/>
          <w:szCs w:val="32"/>
          <w:highlight w:val="none"/>
          <w:lang w:val="en-US" w:eastAsia="zh-CN"/>
        </w:rPr>
        <w:t>81.68</w:t>
      </w:r>
      <w:r>
        <w:rPr>
          <w:rFonts w:hint="default" w:ascii="Times New Roman" w:hAnsi="Times New Roman" w:eastAsia="仿宋" w:cs="Times New Roman"/>
          <w:color w:val="auto"/>
          <w:sz w:val="32"/>
          <w:szCs w:val="32"/>
          <w:highlight w:val="none"/>
        </w:rPr>
        <w:t>%。</w:t>
      </w:r>
      <w:r>
        <w:rPr>
          <w:rFonts w:hint="default" w:ascii="Times New Roman" w:hAnsi="Times New Roman" w:eastAsia="仿宋_GB2312" w:cs="Times New Roman"/>
          <w:color w:val="000000"/>
          <w:sz w:val="32"/>
          <w:szCs w:val="32"/>
        </w:rPr>
        <w:t>主要变动原因是</w:t>
      </w:r>
      <w:r>
        <w:rPr>
          <w:rFonts w:hint="default" w:ascii="Times New Roman" w:hAnsi="Times New Roman" w:eastAsia="仿宋_GB2312" w:cs="Times New Roman"/>
          <w:color w:val="000000"/>
          <w:sz w:val="32"/>
          <w:szCs w:val="32"/>
          <w:lang w:val="en-US" w:eastAsia="zh-CN"/>
        </w:rPr>
        <w:t>当年人员</w:t>
      </w:r>
      <w:r>
        <w:rPr>
          <w:rFonts w:hint="eastAsia" w:ascii="Times New Roman" w:hAnsi="Times New Roman" w:eastAsia="仿宋_GB2312" w:cs="Times New Roman"/>
          <w:color w:val="000000"/>
          <w:sz w:val="32"/>
          <w:szCs w:val="32"/>
          <w:lang w:val="en-US" w:eastAsia="zh-CN"/>
        </w:rPr>
        <w:t>调整</w:t>
      </w:r>
      <w:r>
        <w:rPr>
          <w:rFonts w:hint="default" w:ascii="Times New Roman" w:hAnsi="Times New Roman" w:eastAsia="仿宋_GB2312" w:cs="Times New Roman"/>
          <w:color w:val="000000"/>
          <w:sz w:val="32"/>
          <w:szCs w:val="32"/>
          <w:lang w:val="en-US" w:eastAsia="zh-CN"/>
        </w:rPr>
        <w:t>，项目增多，支出增加</w:t>
      </w:r>
      <w:r>
        <w:rPr>
          <w:rFonts w:hint="default" w:ascii="Times New Roman" w:hAnsi="Times New Roman" w:eastAsia="仿宋_GB2312" w:cs="Times New Roman"/>
          <w:color w:val="000000"/>
          <w:sz w:val="32"/>
          <w:szCs w:val="32"/>
          <w:lang w:eastAsia="zh-CN"/>
        </w:rPr>
        <w:t>。</w:t>
      </w:r>
    </w:p>
    <w:p w14:paraId="694BC094">
      <w:pPr>
        <w:pStyle w:val="8"/>
        <w:rPr>
          <w:rFonts w:hint="default" w:ascii="Times New Roman" w:hAnsi="Times New Roman" w:cs="Times New Roman"/>
        </w:rPr>
      </w:pPr>
      <w:r>
        <w:rPr>
          <w:rFonts w:hint="default" w:ascii="Times New Roman" w:hAnsi="Times New Roman" w:cs="Times New Roman"/>
          <w:lang w:eastAsia="zh-CN"/>
        </w:rPr>
        <w:drawing>
          <wp:inline distT="0" distB="0" distL="114300" distR="114300">
            <wp:extent cx="4122420" cy="2523490"/>
            <wp:effectExtent l="4445" t="5080" r="6985" b="508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A458DA">
      <w:pPr>
        <w:spacing w:line="60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（图5：一般公共预算财政拨款支出决算变动情况）</w:t>
      </w:r>
    </w:p>
    <w:p w14:paraId="2366D302">
      <w:pPr>
        <w:spacing w:line="600" w:lineRule="exact"/>
        <w:ind w:firstLine="643" w:firstLineChars="200"/>
        <w:outlineLvl w:val="2"/>
        <w:rPr>
          <w:rFonts w:hint="eastAsia" w:ascii="楷体" w:hAnsi="楷体" w:eastAsia="楷体" w:cs="楷体"/>
          <w:b/>
          <w:color w:val="auto"/>
          <w:sz w:val="32"/>
          <w:szCs w:val="32"/>
          <w:highlight w:val="none"/>
        </w:rPr>
      </w:pPr>
      <w:bookmarkStart w:id="29" w:name="_Toc15377211"/>
      <w:r>
        <w:rPr>
          <w:rFonts w:hint="eastAsia" w:ascii="楷体" w:hAnsi="楷体" w:eastAsia="楷体" w:cs="楷体"/>
          <w:b/>
          <w:color w:val="auto"/>
          <w:sz w:val="32"/>
          <w:szCs w:val="32"/>
          <w:highlight w:val="none"/>
        </w:rPr>
        <w:t>（二）一般公共预算财政拨款支出决算结构情况</w:t>
      </w:r>
      <w:bookmarkEnd w:id="29"/>
    </w:p>
    <w:p w14:paraId="58687B4A">
      <w:pPr>
        <w:spacing w:line="600" w:lineRule="exact"/>
        <w:ind w:firstLine="64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年一般公共预算财政拨款支出</w:t>
      </w:r>
      <w:r>
        <w:rPr>
          <w:rFonts w:hint="default" w:ascii="Times New Roman" w:hAnsi="Times New Roman" w:eastAsia="仿宋" w:cs="Times New Roman"/>
          <w:color w:val="auto"/>
          <w:sz w:val="32"/>
          <w:szCs w:val="32"/>
          <w:highlight w:val="none"/>
          <w:lang w:val="en-US" w:eastAsia="zh-CN"/>
        </w:rPr>
        <w:t>325.97</w:t>
      </w:r>
      <w:r>
        <w:rPr>
          <w:rFonts w:hint="default" w:ascii="Times New Roman" w:hAnsi="Times New Roman" w:eastAsia="仿宋" w:cs="Times New Roman"/>
          <w:color w:val="auto"/>
          <w:sz w:val="32"/>
          <w:szCs w:val="32"/>
          <w:highlight w:val="none"/>
        </w:rPr>
        <w:t>万元，主要用于以下方面:</w:t>
      </w:r>
      <w:r>
        <w:rPr>
          <w:rFonts w:hint="default" w:ascii="Times New Roman" w:hAnsi="Times New Roman" w:eastAsia="仿宋" w:cs="Times New Roman"/>
          <w:b/>
          <w:color w:val="auto"/>
          <w:sz w:val="32"/>
          <w:szCs w:val="32"/>
          <w:highlight w:val="none"/>
        </w:rPr>
        <w:t>一般公共服务</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281.91</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86.48</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color w:val="auto"/>
          <w:sz w:val="32"/>
          <w:szCs w:val="32"/>
          <w:highlight w:val="none"/>
        </w:rPr>
        <w:t>社会保障和就业</w:t>
      </w:r>
      <w:r>
        <w:rPr>
          <w:rFonts w:hint="default" w:ascii="Times New Roman" w:hAnsi="Times New Roman" w:eastAsia="仿宋" w:cs="Times New Roman"/>
          <w:b/>
          <w:bCs/>
          <w:color w:val="auto"/>
          <w:sz w:val="32"/>
          <w:szCs w:val="32"/>
          <w:highlight w:val="none"/>
        </w:rPr>
        <w:t>支出</w:t>
      </w:r>
      <w:r>
        <w:rPr>
          <w:rFonts w:hint="default" w:ascii="Times New Roman" w:hAnsi="Times New Roman" w:eastAsia="仿宋" w:cs="Times New Roman"/>
          <w:color w:val="auto"/>
          <w:sz w:val="32"/>
          <w:szCs w:val="32"/>
          <w:highlight w:val="none"/>
          <w:lang w:val="en-US" w:eastAsia="zh-CN"/>
        </w:rPr>
        <w:t>22.36</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6.86</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卫生健康支出</w:t>
      </w:r>
      <w:r>
        <w:rPr>
          <w:rFonts w:hint="default" w:ascii="Times New Roman" w:hAnsi="Times New Roman" w:eastAsia="仿宋" w:cs="Times New Roman"/>
          <w:color w:val="auto"/>
          <w:sz w:val="32"/>
          <w:szCs w:val="32"/>
          <w:highlight w:val="none"/>
          <w:lang w:val="en-US" w:eastAsia="zh-CN"/>
        </w:rPr>
        <w:t>9.55</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2.93</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b/>
          <w:bCs/>
          <w:color w:val="auto"/>
          <w:sz w:val="32"/>
          <w:szCs w:val="32"/>
          <w:highlight w:val="none"/>
        </w:rPr>
        <w:t>住房保障支出</w:t>
      </w:r>
      <w:r>
        <w:rPr>
          <w:rFonts w:hint="default" w:ascii="Times New Roman" w:hAnsi="Times New Roman" w:eastAsia="仿宋" w:cs="Times New Roman"/>
          <w:color w:val="auto"/>
          <w:sz w:val="32"/>
          <w:szCs w:val="32"/>
          <w:highlight w:val="none"/>
          <w:lang w:val="en-US" w:eastAsia="zh-CN"/>
        </w:rPr>
        <w:t>12.15</w:t>
      </w:r>
      <w:r>
        <w:rPr>
          <w:rFonts w:hint="default" w:ascii="Times New Roman" w:hAnsi="Times New Roman" w:eastAsia="仿宋" w:cs="Times New Roman"/>
          <w:color w:val="auto"/>
          <w:sz w:val="32"/>
          <w:szCs w:val="32"/>
          <w:highlight w:val="none"/>
        </w:rPr>
        <w:t>万元，占</w:t>
      </w:r>
      <w:r>
        <w:rPr>
          <w:rFonts w:hint="default" w:ascii="Times New Roman" w:hAnsi="Times New Roman" w:eastAsia="仿宋" w:cs="Times New Roman"/>
          <w:color w:val="auto"/>
          <w:sz w:val="32"/>
          <w:szCs w:val="32"/>
          <w:highlight w:val="none"/>
          <w:lang w:val="en-US" w:eastAsia="zh-CN"/>
        </w:rPr>
        <w:t>3.73</w:t>
      </w:r>
      <w:r>
        <w:rPr>
          <w:rFonts w:hint="default" w:ascii="Times New Roman" w:hAnsi="Times New Roman" w:eastAsia="仿宋" w:cs="Times New Roman"/>
          <w:color w:val="auto"/>
          <w:sz w:val="32"/>
          <w:szCs w:val="32"/>
          <w:highlight w:val="none"/>
        </w:rPr>
        <w:t>%。</w:t>
      </w:r>
    </w:p>
    <w:p w14:paraId="1E375925">
      <w:pPr>
        <w:spacing w:line="600" w:lineRule="exact"/>
        <w:ind w:firstLine="640" w:firstLineChars="200"/>
        <w:rPr>
          <w:rFonts w:hint="default" w:ascii="Times New Roman" w:hAnsi="Times New Roman" w:eastAsia="仿宋" w:cs="Times New Roman"/>
          <w:color w:val="auto"/>
          <w:sz w:val="32"/>
          <w:szCs w:val="32"/>
          <w:highlight w:val="none"/>
        </w:rPr>
      </w:pPr>
    </w:p>
    <w:p w14:paraId="36E94457">
      <w:pPr>
        <w:pStyle w:val="8"/>
        <w:rPr>
          <w:rFonts w:hint="default" w:ascii="Times New Roman" w:hAnsi="Times New Roman" w:eastAsia="仿宋" w:cs="Times New Roman"/>
          <w:lang w:eastAsia="zh-CN"/>
        </w:rPr>
      </w:pPr>
      <w:r>
        <w:rPr>
          <w:rFonts w:hint="default" w:ascii="Times New Roman" w:hAnsi="Times New Roman" w:eastAsia="仿宋" w:cs="Times New Roman"/>
          <w:lang w:eastAsia="zh-CN"/>
        </w:rPr>
        <w:drawing>
          <wp:inline distT="0" distB="0" distL="114300" distR="114300">
            <wp:extent cx="5256530" cy="2988310"/>
            <wp:effectExtent l="5080" t="4445" r="11430" b="952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CE336E">
      <w:pPr>
        <w:spacing w:line="600" w:lineRule="exact"/>
        <w:ind w:firstLine="1280" w:firstLineChars="4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（图6：一般公共预算财政拨款支出决算结构）</w:t>
      </w:r>
    </w:p>
    <w:p w14:paraId="084DC563">
      <w:pPr>
        <w:spacing w:line="600" w:lineRule="exact"/>
        <w:ind w:firstLine="643" w:firstLineChars="200"/>
        <w:outlineLvl w:val="2"/>
        <w:rPr>
          <w:rFonts w:hint="eastAsia" w:ascii="楷体" w:hAnsi="楷体" w:eastAsia="楷体" w:cs="楷体"/>
          <w:b/>
          <w:color w:val="auto"/>
          <w:sz w:val="32"/>
          <w:szCs w:val="32"/>
          <w:highlight w:val="none"/>
        </w:rPr>
      </w:pPr>
      <w:bookmarkStart w:id="30" w:name="_Toc15377212"/>
      <w:r>
        <w:rPr>
          <w:rFonts w:hint="eastAsia" w:ascii="楷体" w:hAnsi="楷体" w:eastAsia="楷体" w:cs="楷体"/>
          <w:b/>
          <w:color w:val="auto"/>
          <w:sz w:val="32"/>
          <w:szCs w:val="32"/>
          <w:highlight w:val="none"/>
        </w:rPr>
        <w:t>（三）一般公共预算财政拨款支出决算具体情况</w:t>
      </w:r>
      <w:bookmarkEnd w:id="30"/>
    </w:p>
    <w:p w14:paraId="3D6EAE3A">
      <w:pPr>
        <w:spacing w:line="600" w:lineRule="exact"/>
        <w:ind w:firstLine="643" w:firstLineChars="200"/>
        <w:outlineLvl w:val="2"/>
        <w:rPr>
          <w:rFonts w:hint="default" w:ascii="Times New Roman" w:hAnsi="Times New Roman" w:eastAsia="仿宋" w:cs="Times New Roman"/>
          <w:color w:val="auto"/>
          <w:sz w:val="32"/>
          <w:szCs w:val="32"/>
          <w:highlight w:val="none"/>
        </w:rPr>
      </w:pPr>
      <w:bookmarkStart w:id="31" w:name="_Toc15377213"/>
      <w:bookmarkStart w:id="32" w:name="_Toc15378460"/>
      <w:bookmarkStart w:id="33" w:name="_Toc15377444"/>
      <w:r>
        <w:rPr>
          <w:rFonts w:hint="default" w:ascii="Times New Roman" w:hAnsi="Times New Roman" w:eastAsia="仿宋" w:cs="Times New Roman"/>
          <w:b/>
          <w:color w:val="auto"/>
          <w:sz w:val="32"/>
          <w:szCs w:val="32"/>
          <w:highlight w:val="none"/>
        </w:rPr>
        <w:t>20</w:t>
      </w:r>
      <w:r>
        <w:rPr>
          <w:rFonts w:hint="default" w:ascii="Times New Roman" w:hAnsi="Times New Roman" w:eastAsia="仿宋" w:cs="Times New Roman"/>
          <w:b/>
          <w:color w:val="auto"/>
          <w:sz w:val="32"/>
          <w:szCs w:val="32"/>
          <w:highlight w:val="none"/>
          <w:lang w:val="en-US" w:eastAsia="zh-CN"/>
        </w:rPr>
        <w:t>22</w:t>
      </w:r>
      <w:r>
        <w:rPr>
          <w:rFonts w:hint="default" w:ascii="Times New Roman" w:hAnsi="Times New Roman" w:eastAsia="仿宋" w:cs="Times New Roman"/>
          <w:b/>
          <w:color w:val="auto"/>
          <w:sz w:val="32"/>
          <w:szCs w:val="32"/>
          <w:highlight w:val="none"/>
        </w:rPr>
        <w:t>年</w:t>
      </w:r>
      <w:r>
        <w:rPr>
          <w:rFonts w:hint="default" w:ascii="Times New Roman" w:hAnsi="Times New Roman" w:eastAsia="仿宋" w:cs="Times New Roman"/>
          <w:b/>
          <w:color w:val="auto"/>
          <w:sz w:val="32"/>
          <w:szCs w:val="32"/>
          <w:highlight w:val="none"/>
          <w:lang w:eastAsia="zh-CN"/>
        </w:rPr>
        <w:t>一</w:t>
      </w:r>
      <w:r>
        <w:rPr>
          <w:rFonts w:hint="default" w:ascii="Times New Roman" w:hAnsi="Times New Roman" w:eastAsia="仿宋" w:cs="Times New Roman"/>
          <w:b/>
          <w:color w:val="auto"/>
          <w:sz w:val="32"/>
          <w:szCs w:val="32"/>
          <w:highlight w:val="none"/>
        </w:rPr>
        <w:t>般公共预算支出决算数为</w:t>
      </w:r>
      <w:r>
        <w:rPr>
          <w:rFonts w:hint="default" w:ascii="Times New Roman" w:hAnsi="Times New Roman" w:eastAsia="仿宋" w:cs="Times New Roman"/>
          <w:b/>
          <w:color w:val="auto"/>
          <w:sz w:val="32"/>
          <w:szCs w:val="32"/>
          <w:highlight w:val="none"/>
          <w:lang w:val="en-US" w:eastAsia="zh-CN"/>
        </w:rPr>
        <w:t>325.97</w:t>
      </w:r>
      <w:r>
        <w:rPr>
          <w:rFonts w:hint="default" w:ascii="Times New Roman" w:hAnsi="Times New Roman" w:eastAsia="仿宋" w:cs="Times New Roman"/>
          <w:color w:val="auto"/>
          <w:sz w:val="32"/>
          <w:szCs w:val="32"/>
          <w:highlight w:val="none"/>
        </w:rPr>
        <w:t>，</w:t>
      </w:r>
      <w:r>
        <w:rPr>
          <w:rStyle w:val="19"/>
          <w:rFonts w:hint="default" w:ascii="Times New Roman" w:hAnsi="Times New Roman" w:eastAsia="仿宋" w:cs="Times New Roman"/>
          <w:bCs/>
          <w:color w:val="auto"/>
          <w:sz w:val="32"/>
          <w:szCs w:val="32"/>
          <w:highlight w:val="none"/>
        </w:rPr>
        <w:t>完成预算</w:t>
      </w:r>
      <w:r>
        <w:rPr>
          <w:rStyle w:val="19"/>
          <w:rFonts w:hint="default" w:ascii="Times New Roman" w:hAnsi="Times New Roman" w:eastAsia="仿宋" w:cs="Times New Roman"/>
          <w:bCs/>
          <w:color w:val="auto"/>
          <w:sz w:val="32"/>
          <w:szCs w:val="32"/>
          <w:highlight w:val="none"/>
          <w:lang w:val="en-US" w:eastAsia="zh-CN"/>
        </w:rPr>
        <w:t>100</w:t>
      </w:r>
      <w:r>
        <w:rPr>
          <w:rStyle w:val="19"/>
          <w:rFonts w:hint="default" w:ascii="Times New Roman" w:hAnsi="Times New Roman" w:eastAsia="仿宋" w:cs="Times New Roman"/>
          <w:bCs/>
          <w:color w:val="auto"/>
          <w:sz w:val="32"/>
          <w:szCs w:val="32"/>
          <w:highlight w:val="none"/>
        </w:rPr>
        <w:t>%。其中：</w:t>
      </w:r>
      <w:bookmarkEnd w:id="31"/>
      <w:bookmarkEnd w:id="32"/>
      <w:bookmarkEnd w:id="33"/>
    </w:p>
    <w:p w14:paraId="4CF0FB8C">
      <w:pPr>
        <w:numPr>
          <w:ilvl w:val="0"/>
          <w:numId w:val="0"/>
        </w:numPr>
        <w:spacing w:line="600" w:lineRule="exact"/>
        <w:ind w:firstLine="643"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Cs/>
          <w:color w:val="000000"/>
          <w:sz w:val="32"/>
          <w:szCs w:val="32"/>
          <w:lang w:val="en-US" w:eastAsia="zh-CN"/>
        </w:rPr>
        <w:t>1.</w:t>
      </w:r>
      <w:r>
        <w:rPr>
          <w:rStyle w:val="19"/>
          <w:rFonts w:hint="default" w:ascii="Times New Roman" w:hAnsi="Times New Roman" w:eastAsia="仿宋_GB2312" w:cs="Times New Roman"/>
          <w:bCs/>
          <w:color w:val="000000"/>
          <w:sz w:val="32"/>
          <w:szCs w:val="32"/>
        </w:rPr>
        <w:t>一般公共服务（类）档案事务（款）行政运行（项）: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142.36</w:t>
      </w:r>
      <w:r>
        <w:rPr>
          <w:rStyle w:val="19"/>
          <w:rFonts w:hint="default" w:ascii="Times New Roman" w:hAnsi="Times New Roman" w:eastAsia="仿宋_GB2312" w:cs="Times New Roman"/>
          <w:b w:val="0"/>
          <w:bCs/>
          <w:color w:val="000000"/>
          <w:sz w:val="32"/>
          <w:szCs w:val="32"/>
        </w:rPr>
        <w:t>万元，完成预算</w:t>
      </w:r>
      <w:r>
        <w:rPr>
          <w:rStyle w:val="19"/>
          <w:rFonts w:hint="default" w:ascii="Times New Roman" w:hAnsi="Times New Roman" w:eastAsia="仿宋_GB2312" w:cs="Times New Roman"/>
          <w:b w:val="0"/>
          <w:bCs/>
          <w:color w:val="000000"/>
          <w:sz w:val="32"/>
          <w:szCs w:val="32"/>
          <w:lang w:val="en-US" w:eastAsia="zh-CN"/>
        </w:rPr>
        <w:t xml:space="preserve">100 </w:t>
      </w:r>
      <w:r>
        <w:rPr>
          <w:rStyle w:val="19"/>
          <w:rFonts w:hint="default" w:ascii="Times New Roman" w:hAnsi="Times New Roman" w:eastAsia="仿宋_GB2312" w:cs="Times New Roman"/>
          <w:b w:val="0"/>
          <w:bCs/>
          <w:color w:val="000000"/>
          <w:sz w:val="32"/>
          <w:szCs w:val="32"/>
        </w:rPr>
        <w:t>%，决算数等于预算数。</w:t>
      </w:r>
    </w:p>
    <w:p w14:paraId="384C2BB6">
      <w:pPr>
        <w:numPr>
          <w:ilvl w:val="0"/>
          <w:numId w:val="0"/>
        </w:numPr>
        <w:spacing w:line="600" w:lineRule="exact"/>
        <w:ind w:firstLine="643" w:firstLineChars="200"/>
        <w:rPr>
          <w:rStyle w:val="19"/>
          <w:rFonts w:hint="default" w:ascii="Times New Roman" w:hAnsi="Times New Roman" w:eastAsia="仿宋_GB2312" w:cs="Times New Roman"/>
          <w:b w:val="0"/>
          <w:bCs/>
          <w:color w:val="000000"/>
          <w:sz w:val="32"/>
          <w:szCs w:val="32"/>
          <w:highlight w:val="yellow"/>
        </w:rPr>
      </w:pPr>
      <w:r>
        <w:rPr>
          <w:rStyle w:val="19"/>
          <w:rFonts w:hint="default" w:ascii="Times New Roman" w:hAnsi="Times New Roman" w:eastAsia="仿宋_GB2312" w:cs="Times New Roman"/>
          <w:bCs/>
          <w:color w:val="000000"/>
          <w:sz w:val="32"/>
          <w:szCs w:val="32"/>
          <w:lang w:val="en-US" w:eastAsia="zh-CN"/>
        </w:rPr>
        <w:t>2.</w:t>
      </w:r>
      <w:r>
        <w:rPr>
          <w:rStyle w:val="19"/>
          <w:rFonts w:hint="default" w:ascii="Times New Roman" w:hAnsi="Times New Roman" w:eastAsia="仿宋_GB2312" w:cs="Times New Roman"/>
          <w:bCs/>
          <w:color w:val="000000"/>
          <w:sz w:val="32"/>
          <w:szCs w:val="32"/>
        </w:rPr>
        <w:t>一般公共服务（类）档案事务（款）一般行政管理事务（项）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4.2</w:t>
      </w:r>
      <w:r>
        <w:rPr>
          <w:rStyle w:val="19"/>
          <w:rFonts w:hint="default" w:ascii="Times New Roman" w:hAnsi="Times New Roman" w:eastAsia="仿宋_GB2312" w:cs="Times New Roman"/>
          <w:b w:val="0"/>
          <w:bCs/>
          <w:color w:val="000000"/>
          <w:sz w:val="32"/>
          <w:szCs w:val="32"/>
        </w:rPr>
        <w:t>万元，完成预算</w:t>
      </w:r>
      <w:r>
        <w:rPr>
          <w:rStyle w:val="19"/>
          <w:rFonts w:hint="default" w:ascii="Times New Roman" w:hAnsi="Times New Roman" w:eastAsia="仿宋_GB2312" w:cs="Times New Roman"/>
          <w:b w:val="0"/>
          <w:bCs/>
          <w:color w:val="000000"/>
          <w:sz w:val="32"/>
          <w:szCs w:val="32"/>
          <w:lang w:val="en-US" w:eastAsia="zh-CN"/>
        </w:rPr>
        <w:t>100</w:t>
      </w:r>
      <w:r>
        <w:rPr>
          <w:rStyle w:val="19"/>
          <w:rFonts w:hint="default" w:ascii="Times New Roman" w:hAnsi="Times New Roman" w:eastAsia="仿宋_GB2312" w:cs="Times New Roman"/>
          <w:b w:val="0"/>
          <w:bCs/>
          <w:color w:val="000000"/>
          <w:sz w:val="32"/>
          <w:szCs w:val="32"/>
        </w:rPr>
        <w:t>%，决算数等于预算数。</w:t>
      </w:r>
    </w:p>
    <w:p w14:paraId="0EED6A44">
      <w:pPr>
        <w:numPr>
          <w:ilvl w:val="0"/>
          <w:numId w:val="0"/>
        </w:numPr>
        <w:spacing w:line="600" w:lineRule="exact"/>
        <w:ind w:firstLine="643" w:firstLineChars="200"/>
        <w:rPr>
          <w:rFonts w:hint="default" w:ascii="Times New Roman" w:hAnsi="Times New Roman" w:eastAsia="仿宋_GB2312" w:cs="Times New Roman"/>
          <w:lang w:eastAsia="zh-CN"/>
        </w:rPr>
      </w:pPr>
      <w:r>
        <w:rPr>
          <w:rStyle w:val="19"/>
          <w:rFonts w:hint="default" w:ascii="Times New Roman" w:hAnsi="Times New Roman" w:eastAsia="仿宋_GB2312" w:cs="Times New Roman"/>
          <w:bCs/>
          <w:color w:val="000000"/>
          <w:sz w:val="32"/>
          <w:szCs w:val="32"/>
          <w:lang w:val="en-US" w:eastAsia="zh-CN"/>
        </w:rPr>
        <w:t>3.</w:t>
      </w:r>
      <w:r>
        <w:rPr>
          <w:rStyle w:val="19"/>
          <w:rFonts w:hint="default" w:ascii="Times New Roman" w:hAnsi="Times New Roman" w:eastAsia="仿宋_GB2312" w:cs="Times New Roman"/>
          <w:bCs/>
          <w:color w:val="000000"/>
          <w:sz w:val="32"/>
          <w:szCs w:val="32"/>
        </w:rPr>
        <w:t>一般公共服务（类）档案事务（款）档案馆（项）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135.35</w:t>
      </w:r>
      <w:r>
        <w:rPr>
          <w:rStyle w:val="19"/>
          <w:rFonts w:hint="default" w:ascii="Times New Roman" w:hAnsi="Times New Roman" w:eastAsia="仿宋_GB2312" w:cs="Times New Roman"/>
          <w:b w:val="0"/>
          <w:bCs/>
          <w:color w:val="000000"/>
          <w:sz w:val="32"/>
          <w:szCs w:val="32"/>
        </w:rPr>
        <w:t>万元，完成预算</w:t>
      </w:r>
      <w:r>
        <w:rPr>
          <w:rStyle w:val="19"/>
          <w:rFonts w:hint="default" w:ascii="Times New Roman" w:hAnsi="Times New Roman" w:eastAsia="仿宋_GB2312" w:cs="Times New Roman"/>
          <w:b w:val="0"/>
          <w:bCs/>
          <w:color w:val="000000"/>
          <w:sz w:val="32"/>
          <w:szCs w:val="32"/>
          <w:lang w:val="en-US" w:eastAsia="zh-CN"/>
        </w:rPr>
        <w:t>100</w:t>
      </w:r>
      <w:r>
        <w:rPr>
          <w:rStyle w:val="19"/>
          <w:rFonts w:hint="default" w:ascii="Times New Roman" w:hAnsi="Times New Roman" w:eastAsia="仿宋_GB2312" w:cs="Times New Roman"/>
          <w:b w:val="0"/>
          <w:bCs/>
          <w:color w:val="000000"/>
          <w:sz w:val="32"/>
          <w:szCs w:val="32"/>
        </w:rPr>
        <w:t>%，决算数等于预算数。</w:t>
      </w:r>
    </w:p>
    <w:p w14:paraId="1C1EA631">
      <w:pPr>
        <w:numPr>
          <w:ilvl w:val="0"/>
          <w:numId w:val="0"/>
        </w:numPr>
        <w:spacing w:line="600" w:lineRule="exact"/>
        <w:ind w:left="0" w:leftChars="0" w:firstLine="643" w:firstLineChars="200"/>
        <w:rPr>
          <w:rStyle w:val="19"/>
          <w:rFonts w:hint="default" w:ascii="Times New Roman" w:hAnsi="Times New Roman" w:eastAsia="仿宋_GB2312" w:cs="Times New Roman"/>
          <w:b w:val="0"/>
          <w:bCs/>
          <w:color w:val="000000"/>
          <w:sz w:val="32"/>
          <w:szCs w:val="32"/>
          <w:lang w:eastAsia="zh-CN"/>
        </w:rPr>
      </w:pPr>
      <w:r>
        <w:rPr>
          <w:rStyle w:val="19"/>
          <w:rFonts w:hint="default" w:ascii="Times New Roman" w:hAnsi="Times New Roman" w:eastAsia="仿宋_GB2312" w:cs="Times New Roman"/>
          <w:bCs/>
          <w:color w:val="000000"/>
          <w:sz w:val="32"/>
          <w:szCs w:val="32"/>
          <w:lang w:val="en-US" w:eastAsia="zh-CN"/>
        </w:rPr>
        <w:t>4.</w:t>
      </w:r>
      <w:r>
        <w:rPr>
          <w:rStyle w:val="19"/>
          <w:rFonts w:hint="default" w:ascii="Times New Roman" w:hAnsi="Times New Roman" w:eastAsia="仿宋_GB2312" w:cs="Times New Roman"/>
          <w:bCs/>
          <w:color w:val="000000"/>
          <w:sz w:val="32"/>
          <w:szCs w:val="32"/>
        </w:rPr>
        <w:t>社会保障和就业（类）行政事业单位养老支出（款）机关事业单位基本养老保险缴费支出（项）: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14.91</w:t>
      </w:r>
      <w:r>
        <w:rPr>
          <w:rStyle w:val="19"/>
          <w:rFonts w:hint="default" w:ascii="Times New Roman" w:hAnsi="Times New Roman" w:eastAsia="仿宋_GB2312" w:cs="Times New Roman"/>
          <w:b w:val="0"/>
          <w:bCs/>
          <w:color w:val="000000"/>
          <w:sz w:val="32"/>
          <w:szCs w:val="32"/>
        </w:rPr>
        <w:t>万元，完成预算</w:t>
      </w:r>
      <w:r>
        <w:rPr>
          <w:rStyle w:val="19"/>
          <w:rFonts w:hint="default" w:ascii="Times New Roman" w:hAnsi="Times New Roman" w:eastAsia="仿宋_GB2312" w:cs="Times New Roman"/>
          <w:b w:val="0"/>
          <w:bCs/>
          <w:color w:val="000000"/>
          <w:sz w:val="32"/>
          <w:szCs w:val="32"/>
          <w:lang w:val="en-US" w:eastAsia="zh-CN"/>
        </w:rPr>
        <w:t>100</w:t>
      </w:r>
      <w:r>
        <w:rPr>
          <w:rStyle w:val="19"/>
          <w:rFonts w:hint="default" w:ascii="Times New Roman" w:hAnsi="Times New Roman" w:eastAsia="仿宋_GB2312" w:cs="Times New Roman"/>
          <w:b w:val="0"/>
          <w:bCs/>
          <w:color w:val="000000"/>
          <w:sz w:val="32"/>
          <w:szCs w:val="32"/>
        </w:rPr>
        <w:t>%，决算数等于预算数。</w:t>
      </w:r>
    </w:p>
    <w:p w14:paraId="2C78A84B">
      <w:pPr>
        <w:numPr>
          <w:ilvl w:val="0"/>
          <w:numId w:val="0"/>
        </w:numPr>
        <w:spacing w:line="600" w:lineRule="exact"/>
        <w:ind w:firstLine="643" w:firstLineChars="200"/>
        <w:rPr>
          <w:rFonts w:hint="default" w:ascii="Times New Roman" w:hAnsi="Times New Roman" w:eastAsia="仿宋_GB2312" w:cs="Times New Roman"/>
          <w:b/>
          <w:color w:val="000000"/>
          <w:sz w:val="32"/>
          <w:szCs w:val="32"/>
          <w:lang w:eastAsia="zh-CN"/>
        </w:rPr>
      </w:pPr>
      <w:r>
        <w:rPr>
          <w:rStyle w:val="19"/>
          <w:rFonts w:hint="default" w:ascii="Times New Roman" w:hAnsi="Times New Roman" w:eastAsia="仿宋_GB2312" w:cs="Times New Roman"/>
          <w:bCs/>
          <w:color w:val="000000"/>
          <w:sz w:val="32"/>
          <w:szCs w:val="32"/>
          <w:lang w:val="en-US" w:eastAsia="zh-CN"/>
        </w:rPr>
        <w:t>5.</w:t>
      </w:r>
      <w:r>
        <w:rPr>
          <w:rStyle w:val="19"/>
          <w:rFonts w:hint="default" w:ascii="Times New Roman" w:hAnsi="Times New Roman" w:eastAsia="仿宋_GB2312" w:cs="Times New Roman"/>
          <w:bCs/>
          <w:color w:val="000000"/>
          <w:sz w:val="32"/>
          <w:szCs w:val="32"/>
        </w:rPr>
        <w:t>社会保障和就业（类）行政事业单位养老支出（款）机关事业单位职业年金缴费支出（项）: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7.45</w:t>
      </w:r>
      <w:r>
        <w:rPr>
          <w:rStyle w:val="19"/>
          <w:rFonts w:hint="default" w:ascii="Times New Roman" w:hAnsi="Times New Roman" w:eastAsia="仿宋_GB2312" w:cs="Times New Roman"/>
          <w:b w:val="0"/>
          <w:bCs/>
          <w:color w:val="000000"/>
          <w:sz w:val="32"/>
          <w:szCs w:val="32"/>
        </w:rPr>
        <w:t>万元，完成预算</w:t>
      </w:r>
      <w:r>
        <w:rPr>
          <w:rStyle w:val="19"/>
          <w:rFonts w:hint="default" w:ascii="Times New Roman" w:hAnsi="Times New Roman" w:eastAsia="仿宋_GB2312" w:cs="Times New Roman"/>
          <w:b w:val="0"/>
          <w:bCs/>
          <w:color w:val="000000"/>
          <w:sz w:val="32"/>
          <w:szCs w:val="32"/>
          <w:lang w:val="en-US" w:eastAsia="zh-CN"/>
        </w:rPr>
        <w:t>100</w:t>
      </w:r>
      <w:r>
        <w:rPr>
          <w:rStyle w:val="19"/>
          <w:rFonts w:hint="default" w:ascii="Times New Roman" w:hAnsi="Times New Roman" w:eastAsia="仿宋_GB2312" w:cs="Times New Roman"/>
          <w:b w:val="0"/>
          <w:bCs/>
          <w:color w:val="000000"/>
          <w:sz w:val="32"/>
          <w:szCs w:val="32"/>
        </w:rPr>
        <w:t>%，决算数等于预算数。</w:t>
      </w:r>
    </w:p>
    <w:p w14:paraId="43DBF5BC">
      <w:pPr>
        <w:numPr>
          <w:ilvl w:val="0"/>
          <w:numId w:val="0"/>
        </w:numPr>
        <w:spacing w:line="600" w:lineRule="exact"/>
        <w:ind w:firstLine="643" w:firstLineChars="200"/>
        <w:rPr>
          <w:rFonts w:hint="default" w:ascii="Times New Roman" w:hAnsi="Times New Roman" w:eastAsia="仿宋_GB2312" w:cs="Times New Roman"/>
          <w:b/>
          <w:color w:val="000000"/>
          <w:sz w:val="32"/>
          <w:szCs w:val="32"/>
        </w:rPr>
      </w:pPr>
      <w:r>
        <w:rPr>
          <w:rStyle w:val="19"/>
          <w:rFonts w:hint="default" w:ascii="Times New Roman" w:hAnsi="Times New Roman" w:eastAsia="仿宋_GB2312" w:cs="Times New Roman"/>
          <w:bCs/>
          <w:color w:val="000000"/>
          <w:sz w:val="32"/>
          <w:szCs w:val="32"/>
          <w:lang w:val="en-US" w:eastAsia="zh-CN"/>
        </w:rPr>
        <w:t>6.住房保障支出（类）住房改革支出（款）住房公积金（项）</w:t>
      </w:r>
      <w:r>
        <w:rPr>
          <w:rStyle w:val="19"/>
          <w:rFonts w:hint="default" w:ascii="Times New Roman" w:hAnsi="Times New Roman" w:cs="Times New Roman"/>
          <w:bCs/>
          <w:color w:val="auto"/>
          <w:sz w:val="32"/>
          <w:szCs w:val="32"/>
          <w:lang w:val="en-US" w:eastAsia="zh-CN"/>
        </w:rPr>
        <w:t>:</w:t>
      </w:r>
      <w:r>
        <w:rPr>
          <w:rStyle w:val="19"/>
          <w:rFonts w:hint="default" w:ascii="Times New Roman" w:hAnsi="Times New Roman" w:eastAsia="仿宋_GB2312" w:cs="Times New Roman"/>
          <w:b w:val="0"/>
          <w:bCs/>
          <w:color w:val="000000"/>
          <w:sz w:val="32"/>
          <w:szCs w:val="32"/>
          <w:lang w:val="en-US" w:eastAsia="zh-CN"/>
        </w:rPr>
        <w:t>支出决算为12.15万元,完成预算100%，</w:t>
      </w:r>
      <w:r>
        <w:rPr>
          <w:rStyle w:val="19"/>
          <w:rFonts w:hint="default" w:ascii="Times New Roman" w:hAnsi="Times New Roman" w:eastAsia="仿宋_GB2312" w:cs="Times New Roman"/>
          <w:b w:val="0"/>
          <w:bCs/>
          <w:color w:val="000000"/>
          <w:sz w:val="32"/>
          <w:szCs w:val="32"/>
        </w:rPr>
        <w:t>决算数等于预算数。</w:t>
      </w:r>
    </w:p>
    <w:p w14:paraId="5D5DE5BE">
      <w:pPr>
        <w:numPr>
          <w:ilvl w:val="0"/>
          <w:numId w:val="0"/>
        </w:numPr>
        <w:spacing w:line="600" w:lineRule="exact"/>
        <w:ind w:firstLine="643" w:firstLineChars="200"/>
        <w:rPr>
          <w:rStyle w:val="31"/>
          <w:rFonts w:hint="default" w:ascii="Times New Roman" w:hAnsi="Times New Roman" w:eastAsia="仿宋_GB2312" w:cs="Times New Roman"/>
          <w:b/>
          <w:bCs/>
        </w:rPr>
      </w:pPr>
      <w:r>
        <w:rPr>
          <w:rStyle w:val="19"/>
          <w:rFonts w:hint="default" w:ascii="Times New Roman" w:hAnsi="Times New Roman" w:eastAsia="仿宋_GB2312" w:cs="Times New Roman"/>
          <w:bCs/>
          <w:color w:val="000000"/>
          <w:sz w:val="32"/>
          <w:szCs w:val="32"/>
          <w:lang w:val="en-US" w:eastAsia="zh-CN"/>
        </w:rPr>
        <w:t>7.</w:t>
      </w:r>
      <w:r>
        <w:rPr>
          <w:rStyle w:val="19"/>
          <w:rFonts w:hint="default" w:ascii="Times New Roman" w:hAnsi="Times New Roman" w:eastAsia="仿宋_GB2312" w:cs="Times New Roman"/>
          <w:bCs/>
          <w:color w:val="000000"/>
          <w:sz w:val="32"/>
          <w:szCs w:val="32"/>
        </w:rPr>
        <w:t>卫生健康支出（类）行政事业单位医疗（款）行政单位医疗（项）: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7.47</w:t>
      </w:r>
      <w:r>
        <w:rPr>
          <w:rStyle w:val="19"/>
          <w:rFonts w:hint="default" w:ascii="Times New Roman" w:hAnsi="Times New Roman" w:eastAsia="仿宋_GB2312" w:cs="Times New Roman"/>
          <w:b w:val="0"/>
          <w:bCs/>
          <w:color w:val="000000"/>
          <w:sz w:val="32"/>
          <w:szCs w:val="32"/>
        </w:rPr>
        <w:t>万元，完成预算100%，决算数等于预算数。</w:t>
      </w:r>
    </w:p>
    <w:p w14:paraId="09725CCB">
      <w:pPr>
        <w:spacing w:line="600" w:lineRule="exact"/>
        <w:ind w:firstLine="643" w:firstLineChars="200"/>
        <w:rPr>
          <w:rFonts w:hint="default" w:ascii="Times New Roman" w:hAnsi="Times New Roman" w:eastAsia="仿宋" w:cs="Times New Roman"/>
          <w:b/>
          <w:color w:val="auto"/>
          <w:sz w:val="32"/>
          <w:szCs w:val="32"/>
          <w:highlight w:val="none"/>
        </w:rPr>
      </w:pPr>
      <w:r>
        <w:rPr>
          <w:rStyle w:val="19"/>
          <w:rFonts w:hint="default" w:ascii="Times New Roman" w:hAnsi="Times New Roman" w:eastAsia="仿宋_GB2312" w:cs="Times New Roman"/>
          <w:bCs/>
          <w:color w:val="000000"/>
          <w:sz w:val="32"/>
          <w:szCs w:val="32"/>
          <w:lang w:val="en-US" w:eastAsia="zh-CN"/>
        </w:rPr>
        <w:t>8.</w:t>
      </w:r>
      <w:r>
        <w:rPr>
          <w:rStyle w:val="19"/>
          <w:rFonts w:hint="default" w:ascii="Times New Roman" w:hAnsi="Times New Roman" w:eastAsia="仿宋_GB2312" w:cs="Times New Roman"/>
          <w:bCs/>
          <w:color w:val="000000"/>
          <w:sz w:val="32"/>
          <w:szCs w:val="32"/>
        </w:rPr>
        <w:t>卫生健康支出（类）行政事业单位医疗（款）公务员医疗补助（项）:</w:t>
      </w:r>
      <w:r>
        <w:rPr>
          <w:rStyle w:val="19"/>
          <w:rFonts w:hint="default" w:ascii="Times New Roman" w:hAnsi="Times New Roman" w:eastAsia="仿宋_GB2312" w:cs="Times New Roman"/>
          <w:b w:val="0"/>
          <w:bCs/>
          <w:color w:val="000000"/>
          <w:sz w:val="32"/>
          <w:szCs w:val="32"/>
        </w:rPr>
        <w:t>支出决算为</w:t>
      </w:r>
      <w:r>
        <w:rPr>
          <w:rStyle w:val="19"/>
          <w:rFonts w:hint="default" w:ascii="Times New Roman" w:hAnsi="Times New Roman" w:eastAsia="仿宋_GB2312" w:cs="Times New Roman"/>
          <w:b w:val="0"/>
          <w:bCs/>
          <w:color w:val="000000"/>
          <w:sz w:val="32"/>
          <w:szCs w:val="32"/>
          <w:lang w:val="en-US" w:eastAsia="zh-CN"/>
        </w:rPr>
        <w:t>2.08</w:t>
      </w:r>
      <w:r>
        <w:rPr>
          <w:rStyle w:val="19"/>
          <w:rFonts w:hint="default" w:ascii="Times New Roman" w:hAnsi="Times New Roman" w:eastAsia="仿宋_GB2312" w:cs="Times New Roman"/>
          <w:b w:val="0"/>
          <w:bCs/>
          <w:color w:val="000000"/>
          <w:sz w:val="32"/>
          <w:szCs w:val="32"/>
        </w:rPr>
        <w:t>万元，完成预算100%。</w:t>
      </w:r>
    </w:p>
    <w:p w14:paraId="2FF64DDA">
      <w:pPr>
        <w:tabs>
          <w:tab w:val="right" w:pos="8306"/>
        </w:tabs>
        <w:spacing w:line="600" w:lineRule="exact"/>
        <w:ind w:firstLine="640"/>
        <w:outlineLvl w:val="1"/>
        <w:rPr>
          <w:rStyle w:val="31"/>
          <w:rFonts w:hint="default" w:ascii="Times New Roman" w:hAnsi="Times New Roman" w:cs="Times New Roman"/>
          <w:color w:val="auto"/>
          <w:highlight w:val="none"/>
        </w:rPr>
      </w:pPr>
      <w:bookmarkStart w:id="34" w:name="_Toc15377214"/>
      <w:bookmarkStart w:id="35" w:name="_Toc15396608"/>
      <w:r>
        <w:rPr>
          <w:rFonts w:hint="default" w:ascii="Times New Roman" w:hAnsi="Times New Roman" w:eastAsia="黑体" w:cs="Times New Roman"/>
          <w:color w:val="auto"/>
          <w:sz w:val="32"/>
          <w:szCs w:val="32"/>
          <w:highlight w:val="none"/>
        </w:rPr>
        <w:t>六</w:t>
      </w:r>
      <w:r>
        <w:rPr>
          <w:rFonts w:hint="default" w:ascii="Times New Roman" w:hAnsi="Times New Roman" w:eastAsia="黑体" w:cs="Times New Roman"/>
          <w:b/>
          <w:color w:val="auto"/>
          <w:sz w:val="32"/>
          <w:szCs w:val="32"/>
          <w:highlight w:val="none"/>
        </w:rPr>
        <w:t>、一</w:t>
      </w:r>
      <w:r>
        <w:rPr>
          <w:rStyle w:val="31"/>
          <w:rFonts w:hint="default" w:ascii="Times New Roman" w:hAnsi="Times New Roman" w:eastAsia="黑体" w:cs="Times New Roman"/>
          <w:b w:val="0"/>
          <w:color w:val="auto"/>
          <w:highlight w:val="none"/>
        </w:rPr>
        <w:t>般公共预算财政拨款基本支出决算情况说明</w:t>
      </w:r>
      <w:bookmarkEnd w:id="34"/>
      <w:bookmarkEnd w:id="35"/>
      <w:r>
        <w:rPr>
          <w:rStyle w:val="31"/>
          <w:rFonts w:hint="default" w:ascii="Times New Roman" w:hAnsi="Times New Roman" w:eastAsia="黑体" w:cs="Times New Roman"/>
          <w:b w:val="0"/>
          <w:color w:val="auto"/>
          <w:highlight w:val="none"/>
        </w:rPr>
        <w:tab/>
      </w:r>
    </w:p>
    <w:p w14:paraId="3F7BFF01">
      <w:pPr>
        <w:numPr>
          <w:ilvl w:val="0"/>
          <w:numId w:val="0"/>
        </w:numPr>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20</w:t>
      </w:r>
      <w:r>
        <w:rPr>
          <w:rStyle w:val="19"/>
          <w:rFonts w:hint="default" w:ascii="Times New Roman" w:hAnsi="Times New Roman" w:eastAsia="仿宋_GB2312" w:cs="Times New Roman"/>
          <w:b w:val="0"/>
          <w:bCs/>
          <w:color w:val="000000"/>
          <w:sz w:val="32"/>
          <w:szCs w:val="32"/>
          <w:lang w:val="en-US" w:eastAsia="zh-CN"/>
        </w:rPr>
        <w:t>22</w:t>
      </w:r>
      <w:r>
        <w:rPr>
          <w:rStyle w:val="19"/>
          <w:rFonts w:hint="default" w:ascii="Times New Roman" w:hAnsi="Times New Roman" w:eastAsia="仿宋_GB2312" w:cs="Times New Roman"/>
          <w:b w:val="0"/>
          <w:bCs/>
          <w:color w:val="000000"/>
          <w:sz w:val="32"/>
          <w:szCs w:val="32"/>
        </w:rPr>
        <w:t>年一般公共预算财政拨款基本支出</w:t>
      </w:r>
      <w:r>
        <w:rPr>
          <w:rStyle w:val="19"/>
          <w:rFonts w:hint="default" w:ascii="Times New Roman" w:hAnsi="Times New Roman" w:eastAsia="仿宋_GB2312" w:cs="Times New Roman"/>
          <w:b w:val="0"/>
          <w:bCs/>
          <w:color w:val="000000"/>
          <w:sz w:val="32"/>
          <w:szCs w:val="32"/>
          <w:lang w:val="en-US" w:eastAsia="zh-CN"/>
        </w:rPr>
        <w:t>186.42</w:t>
      </w:r>
      <w:r>
        <w:rPr>
          <w:rStyle w:val="19"/>
          <w:rFonts w:hint="default" w:ascii="Times New Roman" w:hAnsi="Times New Roman" w:eastAsia="仿宋_GB2312" w:cs="Times New Roman"/>
          <w:b w:val="0"/>
          <w:bCs/>
          <w:color w:val="000000"/>
          <w:sz w:val="32"/>
          <w:szCs w:val="32"/>
        </w:rPr>
        <w:t>万元，其中：</w:t>
      </w:r>
    </w:p>
    <w:p w14:paraId="261DCBE6">
      <w:pPr>
        <w:numPr>
          <w:ilvl w:val="0"/>
          <w:numId w:val="0"/>
        </w:numPr>
        <w:spacing w:line="600" w:lineRule="exact"/>
        <w:ind w:firstLine="640" w:firstLineChars="200"/>
        <w:rPr>
          <w:rStyle w:val="19"/>
          <w:rFonts w:hint="default" w:ascii="Times New Roman" w:hAnsi="Times New Roman" w:eastAsia="仿宋_GB2312" w:cs="Times New Roman"/>
          <w:b w:val="0"/>
          <w:bCs/>
          <w:color w:val="000000"/>
          <w:sz w:val="32"/>
          <w:szCs w:val="32"/>
        </w:rPr>
      </w:pPr>
      <w:r>
        <w:rPr>
          <w:rStyle w:val="19"/>
          <w:rFonts w:hint="default" w:ascii="Times New Roman" w:hAnsi="Times New Roman" w:eastAsia="仿宋_GB2312" w:cs="Times New Roman"/>
          <w:b w:val="0"/>
          <w:bCs/>
          <w:color w:val="000000"/>
          <w:sz w:val="32"/>
          <w:szCs w:val="32"/>
        </w:rPr>
        <w:t>人员经费</w:t>
      </w:r>
      <w:r>
        <w:rPr>
          <w:rStyle w:val="19"/>
          <w:rFonts w:hint="default" w:ascii="Times New Roman" w:hAnsi="Times New Roman" w:eastAsia="仿宋_GB2312" w:cs="Times New Roman"/>
          <w:b w:val="0"/>
          <w:bCs/>
          <w:color w:val="000000"/>
          <w:sz w:val="32"/>
          <w:szCs w:val="32"/>
          <w:lang w:val="en-US" w:eastAsia="zh-CN"/>
        </w:rPr>
        <w:t>173.57</w:t>
      </w:r>
      <w:r>
        <w:rPr>
          <w:rStyle w:val="19"/>
          <w:rFonts w:hint="default" w:ascii="Times New Roman" w:hAnsi="Times New Roman" w:eastAsia="仿宋_GB2312" w:cs="Times New Roman"/>
          <w:b w:val="0"/>
          <w:bCs/>
          <w:color w:val="000000"/>
          <w:sz w:val="32"/>
          <w:szCs w:val="32"/>
        </w:rPr>
        <w:t>万元，主要包括：基本工资、津贴补贴、奖金、机关事业单位基本养老保险缴费、职业年金缴费、其他社会保障缴费</w:t>
      </w:r>
      <w:r>
        <w:rPr>
          <w:rStyle w:val="19"/>
          <w:rFonts w:hint="default" w:ascii="Times New Roman" w:hAnsi="Times New Roman" w:eastAsia="仿宋_GB2312" w:cs="Times New Roman"/>
          <w:b w:val="0"/>
          <w:bCs/>
          <w:color w:val="000000"/>
          <w:sz w:val="32"/>
          <w:szCs w:val="32"/>
          <w:lang w:eastAsia="zh-CN"/>
        </w:rPr>
        <w:t>、</w:t>
      </w:r>
      <w:r>
        <w:rPr>
          <w:rStyle w:val="19"/>
          <w:rFonts w:hint="default" w:ascii="Times New Roman" w:hAnsi="Times New Roman" w:eastAsia="仿宋_GB2312" w:cs="Times New Roman"/>
          <w:b w:val="0"/>
          <w:bCs/>
          <w:color w:val="000000"/>
          <w:sz w:val="32"/>
          <w:szCs w:val="32"/>
          <w:lang w:val="en-US" w:eastAsia="zh-CN"/>
        </w:rPr>
        <w:t>职工基本医疗保险缴费、公务员医疗补助缴费</w:t>
      </w:r>
      <w:r>
        <w:rPr>
          <w:rStyle w:val="19"/>
          <w:rFonts w:hint="default" w:ascii="Times New Roman" w:hAnsi="Times New Roman" w:eastAsia="仿宋_GB2312" w:cs="Times New Roman"/>
          <w:b w:val="0"/>
          <w:bCs/>
          <w:color w:val="000000"/>
          <w:sz w:val="32"/>
          <w:szCs w:val="32"/>
        </w:rPr>
        <w:t>、生活补助、医疗费补助、奖励金、住房公积金</w:t>
      </w:r>
      <w:r>
        <w:rPr>
          <w:rStyle w:val="19"/>
          <w:rFonts w:hint="default" w:ascii="Times New Roman" w:hAnsi="Times New Roman" w:eastAsia="仿宋_GB2312" w:cs="Times New Roman"/>
          <w:b w:val="0"/>
          <w:bCs/>
          <w:color w:val="000000"/>
          <w:sz w:val="32"/>
          <w:szCs w:val="32"/>
          <w:lang w:eastAsia="zh-CN"/>
        </w:rPr>
        <w:t>。</w:t>
      </w:r>
      <w:r>
        <w:rPr>
          <w:rStyle w:val="19"/>
          <w:rFonts w:hint="default" w:ascii="Times New Roman" w:hAnsi="Times New Roman" w:eastAsia="仿宋_GB2312" w:cs="Times New Roman"/>
          <w:b w:val="0"/>
          <w:bCs/>
          <w:color w:val="000000"/>
          <w:sz w:val="32"/>
          <w:szCs w:val="32"/>
        </w:rPr>
        <w:t>　　</w:t>
      </w:r>
    </w:p>
    <w:p w14:paraId="4F6FA745">
      <w:pPr>
        <w:numPr>
          <w:ilvl w:val="0"/>
          <w:numId w:val="0"/>
        </w:numPr>
        <w:spacing w:line="600" w:lineRule="exact"/>
        <w:ind w:firstLine="640" w:firstLineChars="200"/>
        <w:rPr>
          <w:rFonts w:hint="default" w:ascii="Times New Roman" w:hAnsi="Times New Roman" w:eastAsia="仿宋" w:cs="Times New Roman"/>
          <w:b/>
          <w:color w:val="auto"/>
          <w:sz w:val="32"/>
          <w:szCs w:val="32"/>
          <w:highlight w:val="none"/>
        </w:rPr>
      </w:pPr>
      <w:r>
        <w:rPr>
          <w:rStyle w:val="19"/>
          <w:rFonts w:hint="default" w:ascii="Times New Roman" w:hAnsi="Times New Roman" w:eastAsia="仿宋_GB2312" w:cs="Times New Roman"/>
          <w:b w:val="0"/>
          <w:bCs/>
          <w:color w:val="000000"/>
          <w:sz w:val="32"/>
          <w:szCs w:val="32"/>
        </w:rPr>
        <w:t>公用经费</w:t>
      </w:r>
      <w:r>
        <w:rPr>
          <w:rStyle w:val="19"/>
          <w:rFonts w:hint="default" w:ascii="Times New Roman" w:hAnsi="Times New Roman" w:eastAsia="仿宋_GB2312" w:cs="Times New Roman"/>
          <w:b w:val="0"/>
          <w:bCs/>
          <w:color w:val="000000"/>
          <w:sz w:val="32"/>
          <w:szCs w:val="32"/>
          <w:lang w:val="en-US" w:eastAsia="zh-CN"/>
        </w:rPr>
        <w:t>12.85</w:t>
      </w:r>
      <w:r>
        <w:rPr>
          <w:rStyle w:val="19"/>
          <w:rFonts w:hint="default" w:ascii="Times New Roman" w:hAnsi="Times New Roman" w:eastAsia="仿宋_GB2312" w:cs="Times New Roman"/>
          <w:b w:val="0"/>
          <w:bCs/>
          <w:color w:val="000000"/>
          <w:sz w:val="32"/>
          <w:szCs w:val="32"/>
        </w:rPr>
        <w:t>万元，主要包括：办公费、水费、电费、邮电费、取暖费、差旅费、劳务费、其他交通费</w:t>
      </w:r>
      <w:r>
        <w:rPr>
          <w:rStyle w:val="19"/>
          <w:rFonts w:hint="default" w:ascii="Times New Roman" w:hAnsi="Times New Roman" w:eastAsia="仿宋_GB2312" w:cs="Times New Roman"/>
          <w:b w:val="0"/>
          <w:bCs/>
          <w:color w:val="000000"/>
          <w:sz w:val="32"/>
          <w:szCs w:val="32"/>
          <w:lang w:eastAsia="zh-CN"/>
        </w:rPr>
        <w:t>。</w:t>
      </w:r>
    </w:p>
    <w:p w14:paraId="686F7A06">
      <w:pPr>
        <w:spacing w:line="600" w:lineRule="exact"/>
        <w:ind w:firstLine="640"/>
        <w:outlineLvl w:val="1"/>
        <w:rPr>
          <w:rStyle w:val="31"/>
          <w:rFonts w:hint="default" w:ascii="Times New Roman" w:hAnsi="Times New Roman" w:eastAsia="黑体" w:cs="Times New Roman"/>
          <w:b w:val="0"/>
          <w:color w:val="auto"/>
          <w:highlight w:val="none"/>
        </w:rPr>
      </w:pPr>
      <w:bookmarkStart w:id="36" w:name="_Toc15396609"/>
      <w:bookmarkStart w:id="37" w:name="_Toc15377215"/>
      <w:r>
        <w:rPr>
          <w:rFonts w:hint="default" w:ascii="Times New Roman" w:hAnsi="Times New Roman" w:eastAsia="黑体" w:cs="Times New Roman"/>
          <w:color w:val="auto"/>
          <w:sz w:val="32"/>
          <w:szCs w:val="32"/>
          <w:highlight w:val="none"/>
        </w:rPr>
        <w:t>七、</w:t>
      </w:r>
      <w:r>
        <w:rPr>
          <w:rStyle w:val="31"/>
          <w:rFonts w:hint="default" w:ascii="Times New Roman" w:hAnsi="Times New Roman" w:eastAsia="黑体" w:cs="Times New Roman"/>
          <w:b w:val="0"/>
          <w:color w:val="auto"/>
          <w:highlight w:val="none"/>
        </w:rPr>
        <w:t>财政拨款</w:t>
      </w:r>
      <w:r>
        <w:rPr>
          <w:rStyle w:val="31"/>
          <w:rFonts w:hint="default" w:ascii="Times New Roman" w:hAnsi="Times New Roman" w:eastAsia="黑体" w:cs="Times New Roman"/>
          <w:color w:val="auto"/>
          <w:highlight w:val="none"/>
        </w:rPr>
        <w:t>“</w:t>
      </w:r>
      <w:r>
        <w:rPr>
          <w:rStyle w:val="31"/>
          <w:rFonts w:hint="default" w:ascii="Times New Roman" w:hAnsi="Times New Roman" w:eastAsia="黑体" w:cs="Times New Roman"/>
          <w:b w:val="0"/>
          <w:color w:val="auto"/>
          <w:highlight w:val="none"/>
        </w:rPr>
        <w:t>三公”经费支出决算情况说明</w:t>
      </w:r>
      <w:bookmarkEnd w:id="36"/>
      <w:bookmarkEnd w:id="37"/>
    </w:p>
    <w:p w14:paraId="625DF15E">
      <w:pPr>
        <w:spacing w:line="600" w:lineRule="exact"/>
        <w:ind w:firstLine="640"/>
        <w:outlineLvl w:val="2"/>
        <w:rPr>
          <w:rFonts w:hint="eastAsia" w:ascii="楷体" w:hAnsi="楷体" w:eastAsia="楷体" w:cs="楷体"/>
          <w:b/>
          <w:color w:val="auto"/>
          <w:sz w:val="32"/>
          <w:szCs w:val="32"/>
          <w:highlight w:val="none"/>
        </w:rPr>
      </w:pPr>
      <w:bookmarkStart w:id="38" w:name="_Toc15377216"/>
      <w:r>
        <w:rPr>
          <w:rFonts w:hint="eastAsia" w:ascii="楷体" w:hAnsi="楷体" w:eastAsia="楷体" w:cs="楷体"/>
          <w:b/>
          <w:color w:val="auto"/>
          <w:sz w:val="32"/>
          <w:szCs w:val="32"/>
          <w:highlight w:val="none"/>
        </w:rPr>
        <w:t>（一）“三公”经费财政拨款支出决算总体情况说明</w:t>
      </w:r>
      <w:bookmarkEnd w:id="38"/>
    </w:p>
    <w:p w14:paraId="27A1F13B">
      <w:pPr>
        <w:spacing w:line="600" w:lineRule="exact"/>
        <w:ind w:firstLine="64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年“三公”经费财政拨款支出决算为</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主要原因是本年无</w:t>
      </w:r>
      <w:r>
        <w:rPr>
          <w:rFonts w:hint="eastAsia" w:eastAsia="仿宋" w:cs="Times New Roman"/>
          <w:color w:val="auto"/>
          <w:sz w:val="32"/>
          <w:szCs w:val="32"/>
          <w:highlight w:val="none"/>
          <w:lang w:val="en-US" w:eastAsia="zh-CN"/>
        </w:rPr>
        <w:t>“三公”</w:t>
      </w:r>
      <w:r>
        <w:rPr>
          <w:rFonts w:hint="default" w:ascii="Times New Roman" w:hAnsi="Times New Roman" w:eastAsia="仿宋" w:cs="Times New Roman"/>
          <w:color w:val="auto"/>
          <w:sz w:val="32"/>
          <w:szCs w:val="32"/>
          <w:highlight w:val="none"/>
          <w:lang w:val="en-US" w:eastAsia="zh-CN"/>
        </w:rPr>
        <w:t>经费。</w:t>
      </w:r>
    </w:p>
    <w:p w14:paraId="04A5A63A">
      <w:pPr>
        <w:spacing w:line="600" w:lineRule="exact"/>
        <w:ind w:firstLine="640"/>
        <w:outlineLvl w:val="2"/>
        <w:rPr>
          <w:rFonts w:hint="default" w:ascii="楷体" w:hAnsi="楷体" w:eastAsia="楷体" w:cs="楷体"/>
          <w:b/>
          <w:color w:val="auto"/>
          <w:sz w:val="32"/>
          <w:szCs w:val="32"/>
          <w:highlight w:val="none"/>
        </w:rPr>
      </w:pPr>
      <w:bookmarkStart w:id="39" w:name="_Toc15377217"/>
      <w:r>
        <w:rPr>
          <w:rFonts w:hint="default" w:ascii="楷体" w:hAnsi="楷体" w:eastAsia="楷体" w:cs="楷体"/>
          <w:b/>
          <w:color w:val="auto"/>
          <w:sz w:val="32"/>
          <w:szCs w:val="32"/>
          <w:highlight w:val="none"/>
        </w:rPr>
        <w:t>（二）“三公”经费财政拨款支出决算具体情况说明</w:t>
      </w:r>
      <w:bookmarkEnd w:id="39"/>
    </w:p>
    <w:p w14:paraId="47556697">
      <w:pPr>
        <w:spacing w:line="600" w:lineRule="exact"/>
        <w:ind w:firstLine="640"/>
        <w:rPr>
          <w:rFonts w:hint="default" w:ascii="Times New Roman" w:hAnsi="Times New Roman" w:cs="Times New Roman"/>
        </w:rPr>
      </w:pPr>
      <w:r>
        <w:rPr>
          <w:rFonts w:hint="default" w:ascii="Times New Roman" w:hAnsi="Times New Roman" w:eastAsia="仿宋" w:cs="Times New Roman"/>
          <w:color w:val="auto"/>
          <w:sz w:val="32"/>
          <w:szCs w:val="32"/>
          <w:highlight w:val="none"/>
        </w:rPr>
        <w:t>20</w:t>
      </w:r>
      <w:r>
        <w:rPr>
          <w:rFonts w:hint="default" w:ascii="Times New Roman" w:hAnsi="Times New Roman" w:eastAsia="仿宋" w:cs="Times New Roman"/>
          <w:color w:val="auto"/>
          <w:sz w:val="32"/>
          <w:szCs w:val="32"/>
          <w:highlight w:val="none"/>
          <w:lang w:val="en-US" w:eastAsia="zh-CN"/>
        </w:rPr>
        <w:t>22</w:t>
      </w:r>
      <w:r>
        <w:rPr>
          <w:rFonts w:hint="default" w:ascii="Times New Roman" w:hAnsi="Times New Roman" w:eastAsia="仿宋" w:cs="Times New Roman"/>
          <w:color w:val="auto"/>
          <w:sz w:val="32"/>
          <w:szCs w:val="32"/>
          <w:highlight w:val="none"/>
        </w:rPr>
        <w:t>年“三公”经费财政拨款支出决算中，因公出国（境）费支出决算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万元；公务用车购置及运行维护费支出决算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万元；公务接待费支出决算</w:t>
      </w:r>
      <w:r>
        <w:rPr>
          <w:rFonts w:hint="default" w:ascii="Times New Roman" w:hAnsi="Times New Roman" w:eastAsia="仿宋" w:cs="Times New Roman"/>
          <w:color w:val="auto"/>
          <w:sz w:val="32"/>
          <w:szCs w:val="32"/>
          <w:highlight w:val="none"/>
          <w:lang w:val="en-US" w:eastAsia="zh-CN"/>
        </w:rPr>
        <w:t>0</w:t>
      </w:r>
      <w:r>
        <w:rPr>
          <w:rFonts w:hint="default" w:ascii="Times New Roman" w:hAnsi="Times New Roman" w:eastAsia="仿宋" w:cs="Times New Roman"/>
          <w:color w:val="auto"/>
          <w:sz w:val="32"/>
          <w:szCs w:val="32"/>
          <w:highlight w:val="none"/>
        </w:rPr>
        <w:t>万元。具体情况如下：</w:t>
      </w:r>
    </w:p>
    <w:p w14:paraId="3D71425B">
      <w:pPr>
        <w:spacing w:line="600" w:lineRule="exact"/>
        <w:ind w:firstLine="640"/>
        <w:rPr>
          <w:rFonts w:hint="default" w:ascii="Times New Roman" w:hAnsi="Times New Roman" w:eastAsia="仿宋_GB2312" w:cs="Times New Roman"/>
          <w:b/>
          <w:bCs w:val="0"/>
          <w:color w:val="000000"/>
          <w:sz w:val="32"/>
          <w:szCs w:val="32"/>
        </w:rPr>
      </w:pPr>
      <w:bookmarkStart w:id="40" w:name="_Toc15396610"/>
      <w:bookmarkStart w:id="41" w:name="_Toc15377218"/>
      <w:r>
        <w:rPr>
          <w:rFonts w:hint="default" w:ascii="Times New Roman" w:hAnsi="Times New Roman" w:eastAsia="仿宋_GB2312" w:cs="Times New Roman"/>
          <w:b/>
          <w:bCs w:val="0"/>
          <w:color w:val="000000"/>
          <w:sz w:val="32"/>
          <w:szCs w:val="32"/>
        </w:rPr>
        <w:t>1.因公出国（境）经费支出</w:t>
      </w:r>
      <w:r>
        <w:rPr>
          <w:rFonts w:hint="default" w:ascii="Times New Roman" w:hAnsi="Times New Roman" w:eastAsia="仿宋_GB2312" w:cs="Times New Roman"/>
          <w:b/>
          <w:bCs w:val="0"/>
          <w:color w:val="000000"/>
          <w:sz w:val="32"/>
          <w:szCs w:val="32"/>
          <w:lang w:val="en-US" w:eastAsia="zh-CN"/>
        </w:rPr>
        <w:t>0</w:t>
      </w:r>
      <w:r>
        <w:rPr>
          <w:rFonts w:hint="default" w:ascii="Times New Roman" w:hAnsi="Times New Roman" w:eastAsia="仿宋_GB2312" w:cs="Times New Roman"/>
          <w:b/>
          <w:bCs w:val="0"/>
          <w:color w:val="000000"/>
          <w:sz w:val="32"/>
          <w:szCs w:val="32"/>
        </w:rPr>
        <w:t>万元。</w:t>
      </w:r>
    </w:p>
    <w:p w14:paraId="59761510">
      <w:pPr>
        <w:spacing w:line="600" w:lineRule="exact"/>
        <w:ind w:firstLine="640"/>
        <w:rPr>
          <w:rFonts w:hint="default" w:ascii="Times New Roman" w:hAnsi="Times New Roman" w:eastAsia="仿宋_GB2312" w:cs="Times New Roman"/>
          <w:b/>
          <w:bCs w:val="0"/>
          <w:color w:val="000000"/>
          <w:sz w:val="32"/>
          <w:szCs w:val="32"/>
        </w:rPr>
      </w:pPr>
      <w:r>
        <w:rPr>
          <w:rFonts w:hint="default" w:ascii="Times New Roman" w:hAnsi="Times New Roman" w:eastAsia="仿宋_GB2312" w:cs="Times New Roman"/>
          <w:b/>
          <w:bCs w:val="0"/>
          <w:color w:val="000000"/>
          <w:sz w:val="32"/>
          <w:szCs w:val="32"/>
        </w:rPr>
        <w:t>2.公务用车购置及运行维护费支出</w:t>
      </w:r>
      <w:r>
        <w:rPr>
          <w:rFonts w:hint="default" w:ascii="Times New Roman" w:hAnsi="Times New Roman" w:eastAsia="仿宋_GB2312" w:cs="Times New Roman"/>
          <w:b/>
          <w:bCs w:val="0"/>
          <w:color w:val="000000"/>
          <w:sz w:val="32"/>
          <w:szCs w:val="32"/>
          <w:lang w:val="en-US" w:eastAsia="zh-CN"/>
        </w:rPr>
        <w:t>0</w:t>
      </w:r>
      <w:r>
        <w:rPr>
          <w:rFonts w:hint="default" w:ascii="Times New Roman" w:hAnsi="Times New Roman" w:eastAsia="仿宋_GB2312" w:cs="Times New Roman"/>
          <w:b/>
          <w:bCs w:val="0"/>
          <w:color w:val="000000"/>
          <w:sz w:val="32"/>
          <w:szCs w:val="32"/>
        </w:rPr>
        <w:t>万元。</w:t>
      </w:r>
    </w:p>
    <w:p w14:paraId="6DE5F85E">
      <w:pPr>
        <w:spacing w:line="600" w:lineRule="exact"/>
        <w:ind w:firstLine="640"/>
        <w:outlineLvl w:val="1"/>
        <w:rPr>
          <w:rStyle w:val="31"/>
          <w:rFonts w:hint="default" w:ascii="Times New Roman" w:hAnsi="Times New Roman" w:eastAsia="黑体" w:cs="Times New Roman"/>
          <w:color w:val="auto"/>
          <w:highlight w:val="none"/>
        </w:rPr>
      </w:pPr>
      <w:bookmarkStart w:id="67" w:name="_GoBack"/>
      <w:bookmarkEnd w:id="67"/>
      <w:r>
        <w:rPr>
          <w:rFonts w:hint="default" w:ascii="Times New Roman" w:hAnsi="Times New Roman" w:eastAsia="黑体" w:cs="Times New Roman"/>
          <w:color w:val="auto"/>
          <w:sz w:val="32"/>
          <w:szCs w:val="32"/>
          <w:highlight w:val="none"/>
        </w:rPr>
        <w:t>八、</w:t>
      </w:r>
      <w:r>
        <w:rPr>
          <w:rStyle w:val="31"/>
          <w:rFonts w:hint="default" w:ascii="Times New Roman" w:hAnsi="Times New Roman" w:eastAsia="黑体" w:cs="Times New Roman"/>
          <w:b w:val="0"/>
          <w:color w:val="auto"/>
          <w:highlight w:val="none"/>
        </w:rPr>
        <w:t>政府性基金预算支出决算情况说明</w:t>
      </w:r>
      <w:bookmarkEnd w:id="40"/>
      <w:bookmarkEnd w:id="41"/>
    </w:p>
    <w:p w14:paraId="409D53DC">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年政府性基金预算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2700B496">
      <w:pPr>
        <w:numPr>
          <w:ilvl w:val="0"/>
          <w:numId w:val="4"/>
        </w:numPr>
        <w:spacing w:line="600" w:lineRule="exact"/>
        <w:ind w:firstLine="640"/>
        <w:outlineLvl w:val="1"/>
        <w:rPr>
          <w:rStyle w:val="31"/>
          <w:rFonts w:hint="default" w:ascii="Times New Roman" w:hAnsi="Times New Roman" w:eastAsia="黑体" w:cs="Times New Roman"/>
          <w:b w:val="0"/>
          <w:color w:val="auto"/>
          <w:highlight w:val="none"/>
        </w:rPr>
      </w:pPr>
      <w:bookmarkStart w:id="42" w:name="_Toc15377219"/>
      <w:bookmarkStart w:id="43" w:name="_Toc15396611"/>
      <w:r>
        <w:rPr>
          <w:rStyle w:val="31"/>
          <w:rFonts w:hint="default" w:ascii="Times New Roman" w:hAnsi="Times New Roman" w:eastAsia="黑体" w:cs="Times New Roman"/>
          <w:b w:val="0"/>
          <w:color w:val="auto"/>
          <w:highlight w:val="none"/>
        </w:rPr>
        <w:t>国有资本经营预算支出决算情况说明</w:t>
      </w:r>
      <w:bookmarkEnd w:id="42"/>
      <w:bookmarkEnd w:id="43"/>
    </w:p>
    <w:p w14:paraId="55A0013B">
      <w:pPr>
        <w:spacing w:line="600" w:lineRule="exact"/>
        <w:ind w:firstLine="640"/>
        <w:rPr>
          <w:rFonts w:hint="default" w:ascii="Times New Roman" w:hAnsi="Times New Roman" w:eastAsia="方正小标宋简体" w:cs="Times New Roman"/>
          <w:color w:val="auto"/>
          <w:sz w:val="44"/>
          <w:szCs w:val="44"/>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年国有资本经营预算</w:t>
      </w:r>
      <w:r>
        <w:rPr>
          <w:rFonts w:hint="default" w:ascii="Times New Roman" w:hAnsi="Times New Roman" w:eastAsia="仿宋_GB2312" w:cs="Times New Roman"/>
          <w:color w:val="auto"/>
          <w:sz w:val="32"/>
          <w:szCs w:val="32"/>
          <w:highlight w:val="none"/>
          <w:lang w:eastAsia="zh-CN"/>
        </w:rPr>
        <w:t>财政</w:t>
      </w:r>
      <w:r>
        <w:rPr>
          <w:rFonts w:hint="default" w:ascii="Times New Roman" w:hAnsi="Times New Roman" w:eastAsia="仿宋_GB2312" w:cs="Times New Roman"/>
          <w:color w:val="auto"/>
          <w:sz w:val="32"/>
          <w:szCs w:val="32"/>
          <w:highlight w:val="none"/>
        </w:rPr>
        <w:t>拨款支出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14:paraId="65EA5992">
      <w:pPr>
        <w:numPr>
          <w:ilvl w:val="0"/>
          <w:numId w:val="4"/>
        </w:numPr>
        <w:spacing w:line="600" w:lineRule="exact"/>
        <w:ind w:firstLine="640"/>
        <w:outlineLvl w:val="1"/>
        <w:rPr>
          <w:rStyle w:val="31"/>
          <w:rFonts w:hint="default" w:ascii="Times New Roman" w:hAnsi="Times New Roman" w:eastAsia="黑体" w:cs="Times New Roman"/>
          <w:b w:val="0"/>
          <w:color w:val="auto"/>
          <w:highlight w:val="none"/>
        </w:rPr>
      </w:pPr>
      <w:bookmarkStart w:id="44" w:name="_Toc15377221"/>
      <w:bookmarkStart w:id="45" w:name="_Toc15396612"/>
      <w:r>
        <w:rPr>
          <w:rStyle w:val="31"/>
          <w:rFonts w:hint="default" w:ascii="Times New Roman" w:hAnsi="Times New Roman" w:eastAsia="黑体" w:cs="Times New Roman"/>
          <w:b w:val="0"/>
          <w:color w:val="auto"/>
          <w:highlight w:val="none"/>
        </w:rPr>
        <w:t>其他重要事项的情况说明</w:t>
      </w:r>
      <w:bookmarkEnd w:id="44"/>
      <w:bookmarkEnd w:id="45"/>
    </w:p>
    <w:p w14:paraId="6E0FAE2F">
      <w:pPr>
        <w:spacing w:line="600" w:lineRule="exact"/>
        <w:ind w:firstLine="643" w:firstLineChars="200"/>
        <w:outlineLvl w:val="2"/>
        <w:rPr>
          <w:rFonts w:hint="eastAsia" w:ascii="楷体" w:hAnsi="楷体" w:eastAsia="楷体" w:cs="楷体"/>
          <w:color w:val="auto"/>
          <w:sz w:val="32"/>
          <w:szCs w:val="32"/>
          <w:highlight w:val="none"/>
        </w:rPr>
      </w:pPr>
      <w:bookmarkStart w:id="46" w:name="_Toc15377222"/>
      <w:r>
        <w:rPr>
          <w:rFonts w:hint="eastAsia" w:ascii="楷体" w:hAnsi="楷体" w:eastAsia="楷体" w:cs="楷体"/>
          <w:b/>
          <w:color w:val="auto"/>
          <w:sz w:val="32"/>
          <w:szCs w:val="32"/>
          <w:highlight w:val="none"/>
        </w:rPr>
        <w:t>（一）机关运行经费支出情况</w:t>
      </w:r>
      <w:bookmarkEnd w:id="46"/>
    </w:p>
    <w:p w14:paraId="233B5C51">
      <w:pPr>
        <w:spacing w:line="60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壤塘县档案馆</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val="en-US" w:eastAsia="zh-CN"/>
        </w:rPr>
        <w:t>12.85</w:t>
      </w:r>
      <w:r>
        <w:rPr>
          <w:rFonts w:hint="default" w:ascii="Times New Roman" w:hAnsi="Times New Roman" w:eastAsia="仿宋_GB2312" w:cs="Times New Roman"/>
          <w:color w:val="auto"/>
          <w:sz w:val="32"/>
          <w:szCs w:val="32"/>
          <w:highlight w:val="none"/>
        </w:rPr>
        <w:t>万元，比20</w:t>
      </w:r>
      <w:r>
        <w:rPr>
          <w:rFonts w:hint="default" w:ascii="Times New Roman" w:hAnsi="Times New Roman" w:eastAsia="仿宋_GB2312" w:cs="Times New Roman"/>
          <w:color w:val="auto"/>
          <w:sz w:val="32"/>
          <w:szCs w:val="32"/>
          <w:highlight w:val="none"/>
          <w:lang w:val="en-US" w:eastAsia="zh-CN"/>
        </w:rPr>
        <w:t>21</w:t>
      </w:r>
      <w:r>
        <w:rPr>
          <w:rFonts w:hint="default" w:ascii="Times New Roman" w:hAnsi="Times New Roman" w:eastAsia="仿宋_GB2312" w:cs="Times New Roman"/>
          <w:color w:val="auto"/>
          <w:sz w:val="32"/>
          <w:szCs w:val="32"/>
          <w:highlight w:val="none"/>
        </w:rPr>
        <w:t>年增加</w:t>
      </w:r>
      <w:r>
        <w:rPr>
          <w:rFonts w:hint="default" w:ascii="Times New Roman" w:hAnsi="Times New Roman" w:eastAsia="仿宋_GB2312" w:cs="Times New Roman"/>
          <w:color w:val="auto"/>
          <w:sz w:val="32"/>
          <w:szCs w:val="32"/>
          <w:highlight w:val="none"/>
          <w:lang w:val="en-US" w:eastAsia="zh-CN"/>
        </w:rPr>
        <w:t>0.66</w:t>
      </w:r>
      <w:r>
        <w:rPr>
          <w:rFonts w:hint="default" w:ascii="Times New Roman" w:hAnsi="Times New Roman" w:eastAsia="仿宋_GB2312" w:cs="Times New Roman"/>
          <w:color w:val="auto"/>
          <w:sz w:val="32"/>
          <w:szCs w:val="32"/>
          <w:highlight w:val="none"/>
        </w:rPr>
        <w:t>万元，增长</w:t>
      </w:r>
      <w:r>
        <w:rPr>
          <w:rFonts w:hint="default" w:ascii="Times New Roman" w:hAnsi="Times New Roman" w:eastAsia="仿宋_GB2312" w:cs="Times New Roman"/>
          <w:color w:val="auto"/>
          <w:sz w:val="32"/>
          <w:szCs w:val="32"/>
          <w:highlight w:val="none"/>
          <w:lang w:val="en-US" w:eastAsia="zh-CN"/>
        </w:rPr>
        <w:t>5.45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本年未进行培训</w:t>
      </w:r>
      <w:r>
        <w:rPr>
          <w:rFonts w:hint="default" w:ascii="Times New Roman" w:hAnsi="Times New Roman" w:eastAsia="仿宋_GB2312" w:cs="Times New Roman"/>
          <w:color w:val="auto"/>
          <w:sz w:val="32"/>
          <w:szCs w:val="32"/>
          <w:highlight w:val="none"/>
          <w:lang w:eastAsia="zh-CN"/>
        </w:rPr>
        <w:t>。</w:t>
      </w:r>
    </w:p>
    <w:p w14:paraId="797957F5">
      <w:pPr>
        <w:spacing w:line="600" w:lineRule="exact"/>
        <w:ind w:firstLine="643" w:firstLineChars="200"/>
        <w:outlineLvl w:val="2"/>
        <w:rPr>
          <w:rFonts w:hint="default" w:ascii="楷体" w:hAnsi="楷体" w:eastAsia="楷体" w:cs="楷体"/>
          <w:b/>
          <w:color w:val="auto"/>
          <w:sz w:val="32"/>
          <w:szCs w:val="32"/>
          <w:highlight w:val="none"/>
        </w:rPr>
      </w:pPr>
      <w:bookmarkStart w:id="47" w:name="_Toc15377223"/>
      <w:r>
        <w:rPr>
          <w:rFonts w:hint="default" w:ascii="楷体" w:hAnsi="楷体" w:eastAsia="楷体" w:cs="楷体"/>
          <w:b/>
          <w:color w:val="auto"/>
          <w:sz w:val="32"/>
          <w:szCs w:val="32"/>
          <w:highlight w:val="none"/>
        </w:rPr>
        <w:t>（二）政府采购支出情况</w:t>
      </w:r>
      <w:bookmarkEnd w:id="47"/>
    </w:p>
    <w:p w14:paraId="2678F2E1">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壤塘县档案馆</w:t>
      </w:r>
      <w:r>
        <w:rPr>
          <w:rFonts w:hint="default" w:ascii="Times New Roman" w:hAnsi="Times New Roman" w:eastAsia="仿宋_GB2312" w:cs="Times New Roman"/>
          <w:color w:val="auto"/>
          <w:sz w:val="32"/>
          <w:szCs w:val="32"/>
          <w:highlight w:val="none"/>
        </w:rPr>
        <w:t>政府采购支出总额</w:t>
      </w:r>
      <w:r>
        <w:rPr>
          <w:rFonts w:hint="default" w:ascii="Times New Roman" w:hAnsi="Times New Roman" w:eastAsia="仿宋_GB2312" w:cs="Times New Roman"/>
          <w:color w:val="auto"/>
          <w:sz w:val="32"/>
          <w:szCs w:val="32"/>
          <w:highlight w:val="none"/>
          <w:lang w:val="en-US" w:eastAsia="zh-CN"/>
        </w:rPr>
        <w:t>210.75</w:t>
      </w:r>
      <w:r>
        <w:rPr>
          <w:rFonts w:hint="default" w:ascii="Times New Roman" w:hAnsi="Times New Roman" w:eastAsia="仿宋_GB2312" w:cs="Times New Roman"/>
          <w:color w:val="auto"/>
          <w:sz w:val="32"/>
          <w:szCs w:val="32"/>
          <w:highlight w:val="none"/>
        </w:rPr>
        <w:t>万元，其中：政府采购货物支出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万元、政府采购工程支出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万元、政府采购服务支出</w:t>
      </w:r>
      <w:r>
        <w:rPr>
          <w:rFonts w:hint="default" w:ascii="Times New Roman" w:hAnsi="Times New Roman" w:eastAsia="仿宋_GB2312" w:cs="Times New Roman"/>
          <w:color w:val="auto"/>
          <w:sz w:val="32"/>
          <w:szCs w:val="32"/>
          <w:highlight w:val="none"/>
          <w:lang w:val="en-US" w:eastAsia="zh-CN"/>
        </w:rPr>
        <w:t>210.75</w:t>
      </w:r>
      <w:r>
        <w:rPr>
          <w:rFonts w:hint="default" w:ascii="Times New Roman" w:hAnsi="Times New Roman" w:eastAsia="仿宋_GB2312" w:cs="Times New Roman"/>
          <w:color w:val="auto"/>
          <w:sz w:val="32"/>
          <w:szCs w:val="32"/>
          <w:highlight w:val="none"/>
        </w:rPr>
        <w:t>万元。主要用于</w:t>
      </w:r>
      <w:r>
        <w:rPr>
          <w:rFonts w:hint="eastAsia" w:ascii="Times New Roman" w:hAnsi="Times New Roman" w:eastAsia="仿宋_GB2312" w:cs="Times New Roman"/>
          <w:color w:val="auto"/>
          <w:sz w:val="32"/>
          <w:szCs w:val="32"/>
          <w:highlight w:val="none"/>
          <w:lang w:val="en-US" w:eastAsia="zh-CN"/>
        </w:rPr>
        <w:t>档案馆</w:t>
      </w:r>
      <w:r>
        <w:rPr>
          <w:rFonts w:hint="eastAsia" w:eastAsia="仿宋_GB2312" w:cs="Times New Roman"/>
          <w:color w:val="auto"/>
          <w:sz w:val="32"/>
          <w:szCs w:val="32"/>
          <w:highlight w:val="none"/>
          <w:lang w:val="en-US" w:eastAsia="zh-CN"/>
        </w:rPr>
        <w:t>2022年</w:t>
      </w:r>
      <w:r>
        <w:rPr>
          <w:rFonts w:hint="eastAsia" w:ascii="Times New Roman" w:hAnsi="Times New Roman" w:eastAsia="仿宋_GB2312" w:cs="Times New Roman"/>
          <w:color w:val="auto"/>
          <w:sz w:val="32"/>
          <w:szCs w:val="32"/>
          <w:highlight w:val="none"/>
          <w:lang w:val="en-US" w:eastAsia="zh-CN"/>
        </w:rPr>
        <w:t>馆藏档案数字化服务项目</w:t>
      </w:r>
      <w:r>
        <w:rPr>
          <w:rFonts w:hint="default" w:ascii="Times New Roman" w:hAnsi="Times New Roman" w:eastAsia="仿宋_GB2312" w:cs="Times New Roman"/>
          <w:color w:val="auto"/>
          <w:sz w:val="32"/>
          <w:szCs w:val="32"/>
          <w:highlight w:val="none"/>
        </w:rPr>
        <w:t>。授予中小企业合同金额</w:t>
      </w:r>
      <w:r>
        <w:rPr>
          <w:rFonts w:hint="default" w:ascii="Times New Roman" w:hAnsi="Times New Roman" w:eastAsia="仿宋_GB2312" w:cs="Times New Roman"/>
          <w:color w:val="auto"/>
          <w:sz w:val="32"/>
          <w:szCs w:val="32"/>
          <w:highlight w:val="none"/>
          <w:lang w:val="en-US" w:eastAsia="zh-CN"/>
        </w:rPr>
        <w:t>210.75</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100</w:t>
      </w:r>
      <w:r>
        <w:rPr>
          <w:rFonts w:hint="default" w:ascii="Times New Roman" w:hAnsi="Times New Roman" w:eastAsia="仿宋_GB2312" w:cs="Times New Roman"/>
          <w:color w:val="auto"/>
          <w:sz w:val="32"/>
          <w:szCs w:val="32"/>
          <w:highlight w:val="none"/>
        </w:rPr>
        <w:t>%，其中：授予小微企业合同金额</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万元，占政府采购支出总额的</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w:t>
      </w:r>
    </w:p>
    <w:p w14:paraId="0744F94C">
      <w:pPr>
        <w:spacing w:line="600" w:lineRule="exact"/>
        <w:ind w:firstLine="643" w:firstLineChars="200"/>
        <w:outlineLvl w:val="2"/>
        <w:rPr>
          <w:rFonts w:hint="eastAsia" w:ascii="楷体" w:hAnsi="楷体" w:eastAsia="楷体" w:cs="楷体"/>
          <w:b/>
          <w:color w:val="auto"/>
          <w:sz w:val="32"/>
          <w:szCs w:val="32"/>
          <w:highlight w:val="none"/>
        </w:rPr>
      </w:pPr>
      <w:bookmarkStart w:id="48" w:name="_Toc15377224"/>
      <w:r>
        <w:rPr>
          <w:rFonts w:hint="eastAsia" w:ascii="楷体" w:hAnsi="楷体" w:eastAsia="楷体" w:cs="楷体"/>
          <w:b/>
          <w:color w:val="auto"/>
          <w:sz w:val="32"/>
          <w:szCs w:val="32"/>
          <w:highlight w:val="none"/>
        </w:rPr>
        <w:t>（三）国有资产占有使用情况</w:t>
      </w:r>
      <w:bookmarkEnd w:id="48"/>
    </w:p>
    <w:p w14:paraId="3C229A51">
      <w:pPr>
        <w:autoSpaceDE w:val="0"/>
        <w:autoSpaceDN w:val="0"/>
        <w:adjustRightInd w:val="0"/>
        <w:spacing w:line="60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截至20</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val="en-US" w:eastAsia="zh-CN"/>
        </w:rPr>
        <w:t>壤塘县档案馆</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辆，其中：主要领导干部用车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辆、机要通信用车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辆、应急保障用车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辆、其他用车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单价100万元以上专用设备</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14:paraId="7B8A49B6">
      <w:pPr>
        <w:autoSpaceDE w:val="0"/>
        <w:autoSpaceDN w:val="0"/>
        <w:adjustRightInd w:val="0"/>
        <w:spacing w:line="600" w:lineRule="exact"/>
        <w:ind w:firstLine="643" w:firstLineChars="200"/>
        <w:jc w:val="left"/>
        <w:outlineLvl w:val="2"/>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（四）预算绩效管理情况</w:t>
      </w:r>
    </w:p>
    <w:p w14:paraId="3E28BFCE">
      <w:pPr>
        <w:widowControl/>
        <w:ind w:firstLine="640" w:firstLineChars="200"/>
        <w:jc w:val="left"/>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color w:val="auto"/>
          <w:sz w:val="32"/>
          <w:szCs w:val="32"/>
          <w:highlight w:val="none"/>
        </w:rPr>
        <w:t>组织对2022年度一般公共预算、政府性基金预算、国有资本经营预算、社会保险基金预算以及资本资产、债券资金等全面开展绩效自评，形成</w:t>
      </w:r>
      <w:r>
        <w:rPr>
          <w:rFonts w:hint="default" w:ascii="Times New Roman" w:hAnsi="Times New Roman" w:eastAsia="仿宋_GB2312" w:cs="Times New Roman"/>
          <w:color w:val="000000"/>
          <w:kern w:val="0"/>
          <w:sz w:val="32"/>
          <w:szCs w:val="32"/>
          <w:lang w:bidi="ar"/>
        </w:rPr>
        <w:t>壤塘县</w:t>
      </w:r>
      <w:r>
        <w:rPr>
          <w:rFonts w:hint="default" w:ascii="Times New Roman" w:hAnsi="Times New Roman" w:eastAsia="仿宋_GB2312" w:cs="Times New Roman"/>
          <w:color w:val="000000"/>
          <w:kern w:val="0"/>
          <w:sz w:val="32"/>
          <w:szCs w:val="32"/>
          <w:lang w:val="en-US" w:eastAsia="zh-CN" w:bidi="ar"/>
        </w:rPr>
        <w:t>档案馆</w:t>
      </w:r>
      <w:r>
        <w:rPr>
          <w:rFonts w:hint="default" w:ascii="Times New Roman" w:hAnsi="Times New Roman" w:eastAsia="仿宋_GB2312" w:cs="Times New Roman"/>
          <w:color w:val="auto"/>
          <w:sz w:val="32"/>
          <w:szCs w:val="32"/>
          <w:highlight w:val="none"/>
        </w:rPr>
        <w:t>部门整体</w:t>
      </w:r>
      <w:r>
        <w:rPr>
          <w:rFonts w:hint="default" w:ascii="Times New Roman" w:hAnsi="Times New Roman" w:eastAsia="仿宋_GB2312" w:cs="Times New Roman"/>
          <w:color w:val="auto"/>
          <w:sz w:val="32"/>
          <w:szCs w:val="32"/>
          <w:highlight w:val="none"/>
          <w:lang w:val="en-US" w:eastAsia="zh-CN"/>
        </w:rPr>
        <w:t>支出</w:t>
      </w:r>
      <w:r>
        <w:rPr>
          <w:rFonts w:hint="default" w:ascii="Times New Roman" w:hAnsi="Times New Roman" w:eastAsia="仿宋_GB2312" w:cs="Times New Roman"/>
          <w:color w:val="auto"/>
          <w:sz w:val="32"/>
          <w:szCs w:val="32"/>
          <w:highlight w:val="none"/>
        </w:rPr>
        <w:t>绩效自评报告，其中，</w:t>
      </w:r>
      <w:r>
        <w:rPr>
          <w:rFonts w:hint="default" w:ascii="Times New Roman" w:hAnsi="Times New Roman" w:eastAsia="仿宋_GB2312" w:cs="Times New Roman"/>
          <w:color w:val="000000"/>
          <w:kern w:val="0"/>
          <w:sz w:val="32"/>
          <w:szCs w:val="32"/>
          <w:lang w:bidi="ar"/>
        </w:rPr>
        <w:t>壤塘县</w:t>
      </w:r>
      <w:r>
        <w:rPr>
          <w:rFonts w:hint="default" w:ascii="Times New Roman" w:hAnsi="Times New Roman" w:eastAsia="仿宋_GB2312" w:cs="Times New Roman"/>
          <w:color w:val="000000"/>
          <w:kern w:val="0"/>
          <w:sz w:val="32"/>
          <w:szCs w:val="32"/>
          <w:lang w:val="en-US" w:eastAsia="zh-CN" w:bidi="ar"/>
        </w:rPr>
        <w:t>档案馆</w:t>
      </w:r>
      <w:r>
        <w:rPr>
          <w:rFonts w:hint="default" w:ascii="Times New Roman" w:hAnsi="Times New Roman" w:eastAsia="仿宋_GB2312" w:cs="Times New Roman"/>
          <w:color w:val="auto"/>
          <w:sz w:val="32"/>
          <w:szCs w:val="32"/>
          <w:highlight w:val="none"/>
        </w:rPr>
        <w:t>部门部门整体绩效自评得分为</w:t>
      </w:r>
      <w:r>
        <w:rPr>
          <w:rFonts w:hint="default" w:ascii="Times New Roman" w:hAnsi="Times New Roman" w:eastAsia="仿宋_GB2312" w:cs="Times New Roman"/>
          <w:color w:val="auto"/>
          <w:sz w:val="32"/>
          <w:szCs w:val="32"/>
          <w:highlight w:val="none"/>
          <w:lang w:val="en-US" w:eastAsia="zh-CN"/>
        </w:rPr>
        <w:t>99</w:t>
      </w:r>
      <w:r>
        <w:rPr>
          <w:rFonts w:hint="default" w:ascii="Times New Roman" w:hAnsi="Times New Roman" w:eastAsia="仿宋_GB2312" w:cs="Times New Roman"/>
          <w:color w:val="auto"/>
          <w:sz w:val="32"/>
          <w:szCs w:val="32"/>
          <w:highlight w:val="none"/>
        </w:rPr>
        <w:t>分，绩效自评报告详见附件。</w:t>
      </w:r>
      <w:r>
        <w:rPr>
          <w:rFonts w:hint="default" w:ascii="Times New Roman" w:hAnsi="Times New Roman" w:eastAsia="仿宋_GB2312" w:cs="Times New Roman"/>
          <w:b/>
          <w:color w:val="auto"/>
          <w:sz w:val="32"/>
          <w:szCs w:val="32"/>
          <w:highlight w:val="none"/>
        </w:rPr>
        <w:br w:type="page"/>
      </w:r>
    </w:p>
    <w:p w14:paraId="468F0A8F">
      <w:pPr>
        <w:numPr>
          <w:ilvl w:val="0"/>
          <w:numId w:val="5"/>
        </w:numPr>
        <w:spacing w:line="600" w:lineRule="exact"/>
        <w:ind w:firstLine="660" w:firstLineChars="150"/>
        <w:jc w:val="center"/>
        <w:outlineLvl w:val="0"/>
        <w:rPr>
          <w:rStyle w:val="30"/>
          <w:rFonts w:hint="default" w:ascii="Times New Roman" w:hAnsi="Times New Roman" w:eastAsia="黑体" w:cs="Times New Roman"/>
          <w:b w:val="0"/>
          <w:color w:val="auto"/>
          <w:highlight w:val="none"/>
        </w:rPr>
      </w:pPr>
      <w:bookmarkStart w:id="49" w:name="_Toc15396613"/>
      <w:bookmarkStart w:id="50" w:name="_Toc15377225"/>
      <w:r>
        <w:rPr>
          <w:rFonts w:hint="default" w:ascii="Times New Roman" w:hAnsi="Times New Roman" w:eastAsia="黑体" w:cs="Times New Roman"/>
          <w:color w:val="auto"/>
          <w:sz w:val="44"/>
          <w:szCs w:val="44"/>
          <w:highlight w:val="none"/>
        </w:rPr>
        <w:t>名</w:t>
      </w:r>
      <w:r>
        <w:rPr>
          <w:rStyle w:val="30"/>
          <w:rFonts w:hint="default" w:ascii="Times New Roman" w:hAnsi="Times New Roman" w:eastAsia="黑体" w:cs="Times New Roman"/>
          <w:b w:val="0"/>
          <w:color w:val="auto"/>
          <w:highlight w:val="none"/>
        </w:rPr>
        <w:t>词解释</w:t>
      </w:r>
      <w:bookmarkEnd w:id="49"/>
      <w:bookmarkEnd w:id="50"/>
    </w:p>
    <w:p w14:paraId="781A2D56">
      <w:pPr>
        <w:spacing w:line="600" w:lineRule="exact"/>
        <w:jc w:val="left"/>
        <w:rPr>
          <w:rFonts w:hint="default" w:ascii="Times New Roman" w:hAnsi="Times New Roman" w:cs="Times New Roman"/>
          <w:b/>
          <w:color w:val="auto"/>
          <w:sz w:val="44"/>
          <w:szCs w:val="44"/>
          <w:highlight w:val="none"/>
        </w:rPr>
      </w:pPr>
    </w:p>
    <w:p w14:paraId="734E9269">
      <w:pPr>
        <w:pStyle w:val="2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1.财政拨款收入：指单位从同级财政部门取得的财政预算资金。</w:t>
      </w:r>
    </w:p>
    <w:p w14:paraId="27B7DF94">
      <w:pPr>
        <w:pStyle w:val="2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.年初结转和结余：指以前年度尚未完成、结转到本年按有关规定继续使用的资金。</w:t>
      </w:r>
    </w:p>
    <w:p w14:paraId="0F03B8AE">
      <w:pPr>
        <w:pStyle w:val="28"/>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、年末结转和结余：指单位按有关规定结转到下年或以后年度继续使用的资金。</w:t>
      </w:r>
    </w:p>
    <w:p w14:paraId="5DB20030">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.一般公共服务（类）档案事务（款）行政运行（项）：指行政单位（包括实行公务员管理的事业单位）的基本支出。</w:t>
      </w:r>
    </w:p>
    <w:p w14:paraId="640958B2">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.一般公共服务（类）档案事务（款）</w:t>
      </w:r>
      <w:r>
        <w:rPr>
          <w:rFonts w:hint="default" w:ascii="Times New Roman" w:hAnsi="Times New Roman" w:eastAsia="仿宋_GB2312" w:cs="Times New Roman"/>
          <w:color w:val="000000"/>
          <w:sz w:val="32"/>
          <w:szCs w:val="32"/>
          <w:lang w:val="en-US" w:eastAsia="zh-CN"/>
        </w:rPr>
        <w:t>一般行政管理事务</w:t>
      </w:r>
      <w:r>
        <w:rPr>
          <w:rFonts w:hint="default" w:ascii="Times New Roman" w:hAnsi="Times New Roman" w:eastAsia="仿宋_GB2312" w:cs="Times New Roman"/>
          <w:color w:val="000000"/>
          <w:sz w:val="32"/>
          <w:szCs w:val="32"/>
        </w:rPr>
        <w:t>（项）：指</w:t>
      </w:r>
      <w:r>
        <w:rPr>
          <w:rFonts w:hint="default" w:ascii="Times New Roman" w:hAnsi="Times New Roman" w:eastAsia="仿宋_GB2312" w:cs="Times New Roman"/>
          <w:color w:val="000000"/>
          <w:sz w:val="32"/>
          <w:szCs w:val="32"/>
          <w:lang w:val="en-US" w:eastAsia="zh-CN"/>
        </w:rPr>
        <w:t>反映行政单位（包括实行公务员管理的事业单位）未单独设置项级科目的其他项目支出。</w:t>
      </w:r>
    </w:p>
    <w:p w14:paraId="3CC47928">
      <w:pPr>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.一般公共服务（类）档案事务（款）</w:t>
      </w:r>
      <w:r>
        <w:rPr>
          <w:rFonts w:hint="default" w:ascii="Times New Roman" w:hAnsi="Times New Roman" w:eastAsia="仿宋_GB2312" w:cs="Times New Roman"/>
          <w:color w:val="000000"/>
          <w:sz w:val="32"/>
          <w:szCs w:val="32"/>
          <w:lang w:val="en-US" w:eastAsia="zh-CN"/>
        </w:rPr>
        <w:t>档案馆</w:t>
      </w:r>
      <w:r>
        <w:rPr>
          <w:rFonts w:hint="default" w:ascii="Times New Roman" w:hAnsi="Times New Roman" w:eastAsia="仿宋_GB2312" w:cs="Times New Roman"/>
          <w:color w:val="000000"/>
          <w:sz w:val="32"/>
          <w:szCs w:val="32"/>
        </w:rPr>
        <w:t>（项）：指指中央和地方各级档案馆的支出，包括档案资料征集，档案抢救、保护、编纂、修复、现代化管理，档案信息资源开发、提供、利用，档案馆设备购置、维护，档案陈列展览等方面的支出</w:t>
      </w:r>
      <w:r>
        <w:rPr>
          <w:rFonts w:hint="default" w:ascii="Times New Roman" w:hAnsi="Times New Roman" w:eastAsia="仿宋_GB2312" w:cs="Times New Roman"/>
          <w:color w:val="000000"/>
          <w:sz w:val="32"/>
          <w:szCs w:val="32"/>
          <w:lang w:eastAsia="zh-CN"/>
        </w:rPr>
        <w:t>。</w:t>
      </w:r>
    </w:p>
    <w:p w14:paraId="7E21E07F">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.社会保障和就业支出（类）行政事业单位养老支出（款）机关事业单位基本养老保险缴费支出（项）：指</w:t>
      </w:r>
      <w:r>
        <w:rPr>
          <w:rFonts w:hint="default" w:ascii="Times New Roman" w:hAnsi="Times New Roman" w:eastAsia="仿宋_GB2312" w:cs="Times New Roman"/>
          <w:color w:val="000000"/>
          <w:sz w:val="32"/>
          <w:szCs w:val="32"/>
          <w:lang w:eastAsia="zh-CN"/>
        </w:rPr>
        <w:t>由单位缴纳的基本养老保险费支出</w:t>
      </w:r>
      <w:r>
        <w:rPr>
          <w:rFonts w:hint="default" w:ascii="Times New Roman" w:hAnsi="Times New Roman" w:eastAsia="仿宋_GB2312" w:cs="Times New Roman"/>
          <w:color w:val="000000"/>
          <w:sz w:val="32"/>
          <w:szCs w:val="32"/>
        </w:rPr>
        <w:t>。</w:t>
      </w:r>
    </w:p>
    <w:p w14:paraId="18CBED31">
      <w:pPr>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8</w:t>
      </w:r>
      <w:r>
        <w:rPr>
          <w:rFonts w:hint="default" w:ascii="Times New Roman" w:hAnsi="Times New Roman" w:eastAsia="仿宋_GB2312" w:cs="Times New Roman"/>
          <w:color w:val="000000"/>
          <w:sz w:val="32"/>
          <w:szCs w:val="32"/>
          <w:highlight w:val="none"/>
        </w:rPr>
        <w:t>.社会保障和就业支出（类）行政事业单位养老支出（款）机关事业单位职业年金缴费支出（项）：指按照规定标准为职工缴纳的职业年金。</w:t>
      </w:r>
    </w:p>
    <w:p w14:paraId="3597461E">
      <w:pPr>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卫生健康支出（类）行政事业单位医疗（款）行政单位医疗（项）：指</w:t>
      </w:r>
      <w:r>
        <w:rPr>
          <w:rFonts w:hint="default" w:ascii="Times New Roman" w:hAnsi="Times New Roman" w:eastAsia="仿宋_GB2312" w:cs="Times New Roman"/>
          <w:color w:val="000000"/>
          <w:sz w:val="32"/>
          <w:szCs w:val="32"/>
          <w:lang w:eastAsia="zh-CN"/>
        </w:rPr>
        <w:t>主要用于行政单位公务员基本医疗保险缴费支出</w:t>
      </w:r>
      <w:r>
        <w:rPr>
          <w:rFonts w:hint="default" w:ascii="Times New Roman" w:hAnsi="Times New Roman" w:eastAsia="仿宋_GB2312" w:cs="Times New Roman"/>
          <w:color w:val="000000"/>
          <w:sz w:val="32"/>
          <w:szCs w:val="32"/>
        </w:rPr>
        <w:t>。</w:t>
      </w:r>
    </w:p>
    <w:p w14:paraId="2ED413A7">
      <w:pPr>
        <w:pStyle w:val="8"/>
        <w:ind w:left="0" w:leftChars="0" w:firstLine="640" w:firstLineChars="200"/>
        <w:rPr>
          <w:rFonts w:hint="default" w:ascii="Times New Roman" w:hAnsi="Times New Roman" w:cs="Times New Roman"/>
        </w:rPr>
      </w:pP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卫生健康</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lang w:val="en-US" w:eastAsia="zh-CN"/>
        </w:rPr>
        <w:t>行政事业单位医疗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公务员医疗补助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项）：指</w:t>
      </w:r>
      <w:r>
        <w:rPr>
          <w:rFonts w:hint="default" w:ascii="Times New Roman" w:hAnsi="Times New Roman" w:eastAsia="仿宋_GB2312" w:cs="Times New Roman"/>
          <w:color w:val="auto"/>
          <w:sz w:val="32"/>
          <w:szCs w:val="32"/>
          <w:lang w:val="en-US" w:eastAsia="zh-CN"/>
        </w:rPr>
        <w:t>反映财政部门安排的公务员医疗补助经费</w:t>
      </w:r>
      <w:r>
        <w:rPr>
          <w:rFonts w:hint="default" w:ascii="Times New Roman" w:hAnsi="Times New Roman" w:eastAsia="仿宋_GB2312" w:cs="Times New Roman"/>
          <w:color w:val="auto"/>
          <w:sz w:val="32"/>
          <w:szCs w:val="32"/>
        </w:rPr>
        <w:t>。</w:t>
      </w:r>
    </w:p>
    <w:p w14:paraId="1D2F534D">
      <w:pPr>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11.住房保障支出（类）住房改革支出（款）住房公积金（项）：指行政事业单位按人力资源和社会保障部、财政部规定的基本工资和津贴补贴以及规定比例为职工缴纳的住房公积金。</w:t>
      </w:r>
    </w:p>
    <w:p w14:paraId="0329AC70">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.基本支出：指为保障机构正常运转、完成日常工作任务而发生的人员支出和公用支出。</w:t>
      </w:r>
    </w:p>
    <w:p w14:paraId="5514D866">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13</w:t>
      </w:r>
      <w:r>
        <w:rPr>
          <w:rFonts w:hint="default" w:ascii="Times New Roman" w:hAnsi="Times New Roman" w:eastAsia="仿宋_GB2312" w:cs="Times New Roman"/>
          <w:color w:val="auto"/>
          <w:sz w:val="32"/>
          <w:szCs w:val="32"/>
          <w:highlight w:val="none"/>
        </w:rPr>
        <w:t xml:space="preserve">.项目支出：指在基本支出之外为完成特定行政任务和事业发展目标所发生的支出。 </w:t>
      </w:r>
    </w:p>
    <w:p w14:paraId="190074C1">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rPr>
        <w:t>.经营支出：指事业单位在专业业务活动及其辅助活动之外开展非独立核算经营活动发生的支出。</w:t>
      </w:r>
    </w:p>
    <w:p w14:paraId="2C6128E9">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5613A66">
      <w:pPr>
        <w:pStyle w:val="28"/>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B8A00A0">
      <w:pPr>
        <w:pStyle w:val="28"/>
        <w:spacing w:line="560" w:lineRule="exact"/>
        <w:ind w:firstLine="640" w:firstLineChars="200"/>
        <w:rPr>
          <w:rFonts w:hint="default" w:ascii="Times New Roman" w:hAnsi="Times New Roman" w:eastAsia="仿宋_GB2312" w:cs="Times New Roman"/>
          <w:color w:val="auto"/>
          <w:sz w:val="32"/>
          <w:szCs w:val="32"/>
          <w:highlight w:val="none"/>
        </w:rPr>
      </w:pPr>
    </w:p>
    <w:p w14:paraId="4216B148">
      <w:pPr>
        <w:pStyle w:val="28"/>
        <w:spacing w:line="560" w:lineRule="exact"/>
        <w:ind w:firstLine="640" w:firstLineChars="200"/>
        <w:rPr>
          <w:rFonts w:hint="default" w:ascii="Times New Roman" w:hAnsi="Times New Roman" w:eastAsia="仿宋_GB2312" w:cs="Times New Roman"/>
          <w:color w:val="auto"/>
          <w:sz w:val="32"/>
          <w:szCs w:val="32"/>
          <w:highlight w:val="none"/>
        </w:rPr>
      </w:pPr>
    </w:p>
    <w:p w14:paraId="1023E529">
      <w:pPr>
        <w:spacing w:line="600" w:lineRule="exact"/>
        <w:jc w:val="center"/>
        <w:outlineLvl w:val="0"/>
        <w:rPr>
          <w:rStyle w:val="30"/>
          <w:rFonts w:hint="default" w:ascii="Times New Roman" w:hAnsi="Times New Roman" w:eastAsia="黑体" w:cs="Times New Roman"/>
          <w:b w:val="0"/>
          <w:color w:val="auto"/>
          <w:highlight w:val="none"/>
          <w:lang w:eastAsia="zh-CN"/>
        </w:rPr>
      </w:pPr>
      <w:bookmarkStart w:id="51" w:name="_Toc15377226"/>
      <w:r>
        <w:rPr>
          <w:rFonts w:hint="default" w:ascii="Times New Roman" w:hAnsi="Times New Roman" w:cs="Times New Roman"/>
          <w:b/>
          <w:color w:val="auto"/>
          <w:sz w:val="44"/>
          <w:szCs w:val="44"/>
          <w:highlight w:val="none"/>
        </w:rPr>
        <w:br w:type="page"/>
      </w:r>
      <w:bookmarkStart w:id="52" w:name="_Toc15396614"/>
      <w:r>
        <w:rPr>
          <w:rFonts w:hint="default" w:ascii="Times New Roman" w:hAnsi="Times New Roman" w:eastAsia="黑体" w:cs="Times New Roman"/>
          <w:color w:val="auto"/>
          <w:sz w:val="44"/>
          <w:szCs w:val="44"/>
          <w:highlight w:val="none"/>
        </w:rPr>
        <w:t>第</w:t>
      </w:r>
      <w:r>
        <w:rPr>
          <w:rStyle w:val="30"/>
          <w:rFonts w:hint="default" w:ascii="Times New Roman" w:hAnsi="Times New Roman" w:eastAsia="黑体" w:cs="Times New Roman"/>
          <w:b w:val="0"/>
          <w:color w:val="auto"/>
          <w:highlight w:val="none"/>
        </w:rPr>
        <w:t>四部分 附件</w:t>
      </w:r>
      <w:bookmarkEnd w:id="52"/>
    </w:p>
    <w:p w14:paraId="17321A74">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黑体" w:cs="Times New Roman"/>
          <w:color w:val="auto"/>
          <w:sz w:val="32"/>
          <w:szCs w:val="32"/>
          <w:highlight w:val="none"/>
        </w:rPr>
        <w:t>附件</w:t>
      </w:r>
    </w:p>
    <w:p w14:paraId="14E7801C">
      <w:pPr>
        <w:spacing w:line="360" w:lineRule="auto"/>
        <w:jc w:val="center"/>
        <w:outlineLvl w:val="0"/>
        <w:rPr>
          <w:rFonts w:hint="default" w:ascii="Times New Roman" w:hAnsi="Times New Roman" w:cs="Times New Roman"/>
          <w:b/>
          <w:bCs/>
          <w:kern w:val="0"/>
          <w:sz w:val="44"/>
          <w:szCs w:val="44"/>
        </w:rPr>
      </w:pPr>
      <w:r>
        <w:rPr>
          <w:rFonts w:hint="default" w:ascii="Times New Roman" w:hAnsi="Times New Roman" w:cs="Times New Roman"/>
          <w:b/>
          <w:bCs/>
          <w:kern w:val="0"/>
          <w:sz w:val="44"/>
          <w:szCs w:val="44"/>
        </w:rPr>
        <w:t>壤塘县档案馆2022年度部门整体支出绩效评价自评报告</w:t>
      </w:r>
    </w:p>
    <w:p w14:paraId="7451CA8E">
      <w:pPr>
        <w:spacing w:line="360" w:lineRule="auto"/>
        <w:jc w:val="center"/>
        <w:rPr>
          <w:rFonts w:hint="default" w:ascii="Times New Roman" w:hAnsi="Times New Roman" w:cs="Times New Roman"/>
          <w:kern w:val="0"/>
          <w:szCs w:val="21"/>
        </w:rPr>
      </w:pPr>
    </w:p>
    <w:p w14:paraId="7FEAA891">
      <w:pPr>
        <w:spacing w:line="360" w:lineRule="auto"/>
        <w:outlineLvl w:val="0"/>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rPr>
        <w:t>一、部门（单位）概况</w:t>
      </w:r>
    </w:p>
    <w:p w14:paraId="71C87C9D">
      <w:pPr>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壤塘县档案馆：参公，机构地址：阿坝州壤塘县岗木达镇罗吾塘后街1号，单位负责人：李勇萍。</w:t>
      </w:r>
    </w:p>
    <w:p w14:paraId="3489CE40">
      <w:pPr>
        <w:widowControl/>
        <w:adjustRightInd w:val="0"/>
        <w:snapToGrid w:val="0"/>
        <w:spacing w:line="56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lang w:bidi="ar"/>
        </w:rPr>
        <w:t>（一）机构组成</w:t>
      </w:r>
    </w:p>
    <w:p w14:paraId="346DD6EF">
      <w:pPr>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中共四川省阿坝州壤塘县档案馆无下属二级单位，本单位为中共壤塘县委办公室归口管理的全额财政拨款正科级事业机构，保留参公管理。</w:t>
      </w:r>
    </w:p>
    <w:p w14:paraId="548F167E">
      <w:pPr>
        <w:widowControl/>
        <w:adjustRightInd w:val="0"/>
        <w:snapToGrid w:val="0"/>
        <w:spacing w:line="560" w:lineRule="exact"/>
        <w:ind w:firstLine="643" w:firstLineChars="200"/>
        <w:contextualSpacing/>
        <w:jc w:val="left"/>
        <w:outlineLvl w:val="1"/>
        <w:rPr>
          <w:rFonts w:hint="default" w:ascii="楷体" w:hAnsi="楷体" w:eastAsia="楷体" w:cs="楷体"/>
          <w:b/>
          <w:bCs/>
          <w:color w:val="000000"/>
          <w:kern w:val="0"/>
          <w:sz w:val="32"/>
          <w:szCs w:val="32"/>
          <w:shd w:val="clear" w:color="auto" w:fill="FFFFFF"/>
          <w:lang w:bidi="ar"/>
        </w:rPr>
      </w:pPr>
      <w:r>
        <w:rPr>
          <w:rFonts w:hint="default" w:ascii="楷体" w:hAnsi="楷体" w:eastAsia="楷体" w:cs="楷体"/>
          <w:b/>
          <w:bCs/>
          <w:color w:val="000000"/>
          <w:kern w:val="0"/>
          <w:sz w:val="32"/>
          <w:szCs w:val="32"/>
          <w:shd w:val="clear" w:color="auto" w:fill="FFFFFF"/>
          <w:lang w:bidi="ar"/>
        </w:rPr>
        <w:t>（二）机构职能</w:t>
      </w:r>
    </w:p>
    <w:p w14:paraId="2815AAB3">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1.贯彻执行《中华人民共和国档案法》《中华人民共和国档案法实施办法》以及党和国家有关档案工作的方针、政策，严格执行档案业务规范标准，做到依法、依规开展档案管理工作。</w:t>
      </w:r>
    </w:p>
    <w:p w14:paraId="7A38D8F5">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2.对全县各部门（除特殊部门外）的档案材料进行收集：建立、健全立卷归档制度，确立归档范围、归档时间、保管期限;对遗缺不全的档案，采取不同措施，积极收集齐全；</w:t>
      </w:r>
    </w:p>
    <w:p w14:paraId="7117DE28">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3. 对全县各部门（除特殊部门外）的档案进行归档、立卷与管理：依据档案来源、时间、题目、内容、字母顺序分成若干层次和类别；</w:t>
      </w:r>
    </w:p>
    <w:p w14:paraId="27B3BB35">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4. 对档案进行安全保管；</w:t>
      </w:r>
    </w:p>
    <w:p w14:paraId="51DDACF3">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5. 对档案进行鉴定：从档案的内容、来源、时间、可靠程度、名称等方面鉴别档案的价值；确定各类档案的保管期限表，其中财务档案见财务档案保存期限表，档案保管期限分永久、30年、10年三种；介于两种保管期限的，保管期限从长；</w:t>
      </w:r>
    </w:p>
    <w:p w14:paraId="5524F455">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6.对档案进行销毁：对已失效的档案，认真鉴定，编制销毁清册，办理销毁手续，经批准，方能销毁;销毁时要有二人以上监销，关在清册上签字，该清册永久保存；</w:t>
      </w:r>
    </w:p>
    <w:p w14:paraId="3DE1E0FC">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 xml:space="preserve">7.对全县各立档单位专兼职档案工作人员进行业务监督、指导和培训，加强档案干部队伍建设；                                                                                                                                                                                                                                                     </w:t>
      </w:r>
    </w:p>
    <w:p w14:paraId="368D975D">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8.制定和组织实施档案工作的各项规章制度并对各基层档案工作进行检查、评比；</w:t>
      </w:r>
    </w:p>
    <w:p w14:paraId="10AC37B2">
      <w:pPr>
        <w:ind w:firstLine="640" w:firstLineChars="200"/>
        <w:rPr>
          <w:rFonts w:hint="default" w:ascii="Times New Roman" w:hAnsi="Times New Roman" w:eastAsia="仿宋" w:cs="Times New Roman"/>
          <w:bCs/>
          <w:sz w:val="32"/>
          <w:szCs w:val="32"/>
        </w:rPr>
      </w:pPr>
      <w:r>
        <w:rPr>
          <w:rFonts w:hint="default" w:ascii="Times New Roman" w:hAnsi="Times New Roman" w:eastAsia="仿宋" w:cs="Times New Roman"/>
          <w:bCs/>
          <w:sz w:val="32"/>
          <w:szCs w:val="32"/>
        </w:rPr>
        <w:t>9.及时了解处行文、办文情况及工程开展进度指导业务部门立卷、归档工作；</w:t>
      </w:r>
    </w:p>
    <w:p w14:paraId="6A9F63DF">
      <w:pPr>
        <w:ind w:firstLine="640" w:firstLineChars="200"/>
        <w:rPr>
          <w:rFonts w:hint="default" w:ascii="Times New Roman" w:hAnsi="Times New Roman" w:eastAsia="仿宋_GB2312" w:cs="Times New Roman"/>
          <w:sz w:val="32"/>
          <w:szCs w:val="32"/>
        </w:rPr>
      </w:pPr>
      <w:r>
        <w:rPr>
          <w:rFonts w:hint="default" w:ascii="Times New Roman" w:hAnsi="Times New Roman" w:eastAsia="仿宋" w:cs="Times New Roman"/>
          <w:bCs/>
          <w:sz w:val="32"/>
          <w:szCs w:val="32"/>
        </w:rPr>
        <w:t>10.负责档案信息资源的开发与利用工作</w:t>
      </w:r>
      <w:r>
        <w:rPr>
          <w:rFonts w:hint="default" w:ascii="Times New Roman" w:hAnsi="Times New Roman" w:eastAsia="仿宋_GB2312" w:cs="Times New Roman"/>
          <w:kern w:val="0"/>
          <w:sz w:val="32"/>
          <w:szCs w:val="32"/>
        </w:rPr>
        <w:t>。</w:t>
      </w:r>
    </w:p>
    <w:p w14:paraId="31A3D204">
      <w:pPr>
        <w:widowControl/>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lang w:bidi="ar"/>
        </w:rPr>
        <w:t>二、部门财政资金收支情况</w:t>
      </w:r>
    </w:p>
    <w:p w14:paraId="0EB9D957">
      <w:pPr>
        <w:widowControl/>
        <w:adjustRightInd w:val="0"/>
        <w:snapToGrid w:val="0"/>
        <w:spacing w:line="560" w:lineRule="exact"/>
        <w:ind w:firstLine="643" w:firstLineChars="200"/>
        <w:contextualSpacing/>
        <w:jc w:val="left"/>
        <w:rPr>
          <w:rFonts w:hint="eastAsia" w:ascii="楷体" w:hAnsi="楷体" w:eastAsia="楷体" w:cs="楷体"/>
          <w:b/>
          <w:bCs/>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lang w:bidi="ar"/>
        </w:rPr>
        <w:t>（一）部门财政资金收入情况</w:t>
      </w:r>
    </w:p>
    <w:p w14:paraId="36E7A1C4">
      <w:pPr>
        <w:pStyle w:val="37"/>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2022年财政下达壤塘县</w:t>
      </w:r>
      <w:r>
        <w:rPr>
          <w:rFonts w:hint="default" w:ascii="Times New Roman" w:hAnsi="Times New Roman" w:eastAsia="仿宋_GB2312" w:cs="Times New Roman"/>
          <w:sz w:val="32"/>
          <w:szCs w:val="32"/>
          <w:lang w:val="en-US" w:eastAsia="zh-CN"/>
        </w:rPr>
        <w:t>档案馆</w:t>
      </w:r>
      <w:r>
        <w:rPr>
          <w:rFonts w:hint="default" w:ascii="Times New Roman" w:hAnsi="Times New Roman" w:eastAsia="仿宋_GB2312" w:cs="Times New Roman"/>
          <w:sz w:val="32"/>
          <w:szCs w:val="32"/>
        </w:rPr>
        <w:t>年初预算收入</w:t>
      </w:r>
      <w:r>
        <w:rPr>
          <w:rFonts w:hint="default" w:ascii="Times New Roman" w:hAnsi="Times New Roman" w:eastAsia="仿宋_GB2312" w:cs="Times New Roman"/>
          <w:sz w:val="32"/>
          <w:szCs w:val="32"/>
          <w:lang w:val="en-US" w:eastAsia="zh-CN"/>
        </w:rPr>
        <w:t>191.06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eastAsia="zh-CN"/>
        </w:rPr>
        <w:t>执行期中追加收入</w:t>
      </w:r>
      <w:r>
        <w:rPr>
          <w:rFonts w:hint="default" w:ascii="Times New Roman" w:hAnsi="Times New Roman" w:eastAsia="仿宋_GB2312" w:cs="Times New Roman"/>
          <w:color w:val="auto"/>
          <w:sz w:val="32"/>
          <w:szCs w:val="32"/>
          <w:lang w:val="en-US" w:eastAsia="zh-CN"/>
        </w:rPr>
        <w:t>134.91</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sz w:val="32"/>
          <w:szCs w:val="32"/>
          <w:lang w:val="en-US" w:eastAsia="zh-CN"/>
        </w:rPr>
        <w:t>本年度总收入325.97</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sz w:val="32"/>
          <w:szCs w:val="32"/>
        </w:rPr>
        <w:t xml:space="preserve"> </w:t>
      </w:r>
    </w:p>
    <w:p w14:paraId="76A2F1CA">
      <w:pPr>
        <w:widowControl/>
        <w:adjustRightInd w:val="0"/>
        <w:snapToGrid w:val="0"/>
        <w:spacing w:line="560" w:lineRule="exact"/>
        <w:ind w:firstLine="643" w:firstLineChars="200"/>
        <w:contextualSpacing/>
        <w:jc w:val="left"/>
        <w:rPr>
          <w:rFonts w:hint="default" w:ascii="Times New Roman" w:hAnsi="Times New Roman" w:eastAsia="仿宋_GB2312" w:cs="Times New Roman"/>
          <w:sz w:val="32"/>
          <w:szCs w:val="32"/>
        </w:rPr>
      </w:pPr>
      <w:r>
        <w:rPr>
          <w:rFonts w:hint="default" w:ascii="楷体" w:hAnsi="楷体" w:eastAsia="楷体" w:cs="楷体"/>
          <w:b/>
          <w:bCs/>
          <w:color w:val="000000"/>
          <w:kern w:val="0"/>
          <w:sz w:val="32"/>
          <w:szCs w:val="32"/>
          <w:shd w:val="clear" w:color="auto" w:fill="FFFFFF"/>
          <w:lang w:bidi="ar"/>
        </w:rPr>
        <w:t>（二）部门财政资金支出情况</w:t>
      </w:r>
    </w:p>
    <w:p w14:paraId="6A967DE1">
      <w:pPr>
        <w:pStyle w:val="37"/>
        <w:spacing w:line="360" w:lineRule="auto"/>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2022年壤塘县</w:t>
      </w:r>
      <w:r>
        <w:rPr>
          <w:rFonts w:hint="default" w:ascii="Times New Roman" w:hAnsi="Times New Roman" w:eastAsia="仿宋_GB2312" w:cs="Times New Roman"/>
          <w:sz w:val="32"/>
          <w:szCs w:val="32"/>
          <w:lang w:val="en-US" w:eastAsia="zh-CN"/>
        </w:rPr>
        <w:t>档案馆</w:t>
      </w:r>
      <w:r>
        <w:rPr>
          <w:rFonts w:hint="default" w:ascii="Times New Roman" w:hAnsi="Times New Roman" w:eastAsia="仿宋_GB2312" w:cs="Times New Roman"/>
          <w:sz w:val="32"/>
          <w:szCs w:val="32"/>
        </w:rPr>
        <w:t>共计预算支出</w:t>
      </w:r>
      <w:r>
        <w:rPr>
          <w:rFonts w:hint="default" w:ascii="Times New Roman" w:hAnsi="Times New Roman" w:eastAsia="仿宋_GB2312" w:cs="Times New Roman"/>
          <w:sz w:val="32"/>
          <w:szCs w:val="32"/>
          <w:lang w:val="en-US" w:eastAsia="zh-CN"/>
        </w:rPr>
        <w:t>325.97</w:t>
      </w:r>
      <w:r>
        <w:rPr>
          <w:rFonts w:hint="default" w:ascii="Times New Roman" w:hAnsi="Times New Roman" w:eastAsia="仿宋_GB2312" w:cs="Times New Roman"/>
          <w:sz w:val="32"/>
          <w:szCs w:val="32"/>
        </w:rPr>
        <w:t>万元，基本支出</w:t>
      </w:r>
      <w:r>
        <w:rPr>
          <w:rFonts w:hint="default" w:ascii="Times New Roman" w:hAnsi="Times New Roman" w:eastAsia="仿宋_GB2312" w:cs="Times New Roman"/>
          <w:sz w:val="32"/>
          <w:szCs w:val="32"/>
          <w:lang w:val="en-US" w:eastAsia="zh-CN"/>
        </w:rPr>
        <w:t>186.42</w:t>
      </w:r>
      <w:r>
        <w:rPr>
          <w:rFonts w:hint="default" w:ascii="Times New Roman" w:hAnsi="Times New Roman" w:eastAsia="仿宋_GB2312" w:cs="Times New Roman"/>
          <w:sz w:val="32"/>
          <w:szCs w:val="32"/>
        </w:rPr>
        <w:t>万元，项目支出</w:t>
      </w:r>
      <w:r>
        <w:rPr>
          <w:rFonts w:hint="default" w:ascii="Times New Roman" w:hAnsi="Times New Roman" w:eastAsia="仿宋_GB2312" w:cs="Times New Roman"/>
          <w:sz w:val="32"/>
          <w:szCs w:val="32"/>
          <w:lang w:val="en-US" w:eastAsia="zh-CN"/>
        </w:rPr>
        <w:t>139.55</w:t>
      </w:r>
      <w:r>
        <w:rPr>
          <w:rFonts w:hint="default" w:ascii="Times New Roman" w:hAnsi="Times New Roman" w:eastAsia="仿宋_GB2312" w:cs="Times New Roman"/>
          <w:sz w:val="32"/>
          <w:szCs w:val="32"/>
        </w:rPr>
        <w:t>万元。</w:t>
      </w:r>
    </w:p>
    <w:p w14:paraId="75270B5C">
      <w:pPr>
        <w:widowControl/>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lang w:bidi="ar"/>
        </w:rPr>
        <w:t>三、部门整体预算绩效管理情况</w:t>
      </w:r>
    </w:p>
    <w:p w14:paraId="66AA674D">
      <w:pPr>
        <w:widowControl/>
        <w:adjustRightInd w:val="0"/>
        <w:snapToGrid w:val="0"/>
        <w:spacing w:line="560" w:lineRule="exact"/>
        <w:ind w:firstLine="643" w:firstLineChars="200"/>
        <w:contextualSpacing/>
        <w:jc w:val="left"/>
        <w:rPr>
          <w:rFonts w:hint="eastAsia" w:ascii="楷体" w:hAnsi="楷体" w:eastAsia="楷体" w:cs="楷体"/>
          <w:b/>
          <w:bCs/>
          <w:color w:val="000000"/>
          <w:kern w:val="0"/>
          <w:sz w:val="32"/>
          <w:szCs w:val="32"/>
          <w:shd w:val="clear" w:color="auto" w:fill="FFFFFF"/>
          <w:lang w:bidi="ar"/>
        </w:rPr>
      </w:pPr>
      <w:r>
        <w:rPr>
          <w:rFonts w:hint="eastAsia" w:ascii="楷体" w:hAnsi="楷体" w:eastAsia="楷体" w:cs="楷体"/>
          <w:b/>
          <w:bCs/>
          <w:color w:val="000000"/>
          <w:kern w:val="0"/>
          <w:sz w:val="32"/>
          <w:szCs w:val="32"/>
          <w:shd w:val="clear" w:color="auto" w:fill="FFFFFF"/>
          <w:lang w:bidi="ar"/>
        </w:rPr>
        <w:t>（一）部门预算管理</w:t>
      </w:r>
    </w:p>
    <w:p w14:paraId="0AE615E0">
      <w:pPr>
        <w:widowControl/>
        <w:adjustRightInd w:val="0"/>
        <w:snapToGrid w:val="0"/>
        <w:spacing w:line="560" w:lineRule="exact"/>
        <w:ind w:firstLine="643" w:firstLineChars="200"/>
        <w:contextualSpacing/>
        <w:jc w:val="left"/>
        <w:rPr>
          <w:rFonts w:hint="default" w:ascii="Times New Roman" w:hAnsi="Times New Roman" w:eastAsia="仿宋_GB2312" w:cs="Times New Roman"/>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bidi="ar"/>
        </w:rPr>
        <w:t>1、部门绩效目标制定情况</w:t>
      </w:r>
    </w:p>
    <w:p w14:paraId="62C2A639">
      <w:pPr>
        <w:widowControl/>
        <w:adjustRightInd w:val="0"/>
        <w:snapToGrid w:val="0"/>
        <w:spacing w:line="560" w:lineRule="exact"/>
        <w:ind w:firstLine="640" w:firstLineChars="200"/>
        <w:contextualSpacing/>
        <w:jc w:val="left"/>
        <w:rPr>
          <w:rFonts w:hint="default" w:ascii="Times New Roman" w:hAnsi="Times New Roman" w:eastAsia="仿宋_GB2312" w:cs="Times New Roman"/>
          <w:color w:val="333333"/>
          <w:kern w:val="0"/>
          <w:sz w:val="32"/>
          <w:szCs w:val="32"/>
          <w:shd w:val="clear" w:color="auto" w:fill="FFFFFF"/>
        </w:rPr>
      </w:pPr>
      <w:r>
        <w:rPr>
          <w:rFonts w:hint="default" w:ascii="Times New Roman" w:hAnsi="Times New Roman" w:eastAsia="仿宋_GB2312" w:cs="Times New Roman"/>
          <w:color w:val="333333"/>
          <w:kern w:val="0"/>
          <w:sz w:val="32"/>
          <w:szCs w:val="32"/>
          <w:shd w:val="clear" w:color="auto" w:fill="FFFFFF"/>
        </w:rPr>
        <w:t>做好数字档案馆建设工作，计划完成基础设施设备建设、局域网平台建设、完成馆藏存量档案数字化加工；</w:t>
      </w:r>
    </w:p>
    <w:p w14:paraId="3E7D8C5B">
      <w:pPr>
        <w:widowControl/>
        <w:adjustRightInd w:val="0"/>
        <w:snapToGrid w:val="0"/>
        <w:spacing w:line="560" w:lineRule="exact"/>
        <w:ind w:firstLine="640" w:firstLineChars="200"/>
        <w:contextualSpacing/>
        <w:jc w:val="left"/>
        <w:rPr>
          <w:rFonts w:hint="default" w:ascii="Times New Roman" w:hAnsi="Times New Roman" w:eastAsia="仿宋_GB2312" w:cs="Times New Roman"/>
          <w:color w:val="333333"/>
          <w:kern w:val="0"/>
          <w:sz w:val="32"/>
          <w:szCs w:val="32"/>
          <w:shd w:val="clear" w:color="auto" w:fill="FFFFFF"/>
        </w:rPr>
      </w:pPr>
      <w:r>
        <w:rPr>
          <w:rFonts w:hint="default" w:ascii="Times New Roman" w:hAnsi="Times New Roman" w:eastAsia="仿宋_GB2312" w:cs="Times New Roman"/>
          <w:color w:val="333333"/>
          <w:kern w:val="0"/>
          <w:sz w:val="32"/>
          <w:szCs w:val="32"/>
          <w:shd w:val="clear" w:color="auto" w:fill="FFFFFF"/>
        </w:rPr>
        <w:t>加强《中华人民共和国档案法》《乡镇档案工作办法》的宣传和贯彻落实；</w:t>
      </w:r>
    </w:p>
    <w:p w14:paraId="440FE08D">
      <w:pPr>
        <w:widowControl/>
        <w:adjustRightInd w:val="0"/>
        <w:snapToGrid w:val="0"/>
        <w:spacing w:line="560" w:lineRule="exact"/>
        <w:ind w:firstLine="640" w:firstLineChars="200"/>
        <w:contextualSpacing/>
        <w:jc w:val="left"/>
        <w:rPr>
          <w:rFonts w:hint="default" w:ascii="Times New Roman" w:hAnsi="Times New Roman" w:eastAsia="仿宋_GB2312" w:cs="Times New Roman"/>
          <w:color w:val="333333"/>
          <w:kern w:val="0"/>
          <w:sz w:val="32"/>
          <w:szCs w:val="32"/>
          <w:shd w:val="clear" w:color="auto" w:fill="FFFFFF"/>
        </w:rPr>
      </w:pPr>
      <w:r>
        <w:rPr>
          <w:rFonts w:hint="default" w:ascii="Times New Roman" w:hAnsi="Times New Roman" w:eastAsia="仿宋_GB2312" w:cs="Times New Roman"/>
          <w:color w:val="333333"/>
          <w:kern w:val="0"/>
          <w:sz w:val="32"/>
          <w:szCs w:val="32"/>
          <w:shd w:val="clear" w:color="auto" w:fill="FFFFFF"/>
        </w:rPr>
        <w:t>开展疫情防控专项档案收集归档入馆工作；</w:t>
      </w:r>
    </w:p>
    <w:p w14:paraId="097231E9">
      <w:pPr>
        <w:widowControl/>
        <w:adjustRightInd w:val="0"/>
        <w:snapToGrid w:val="0"/>
        <w:spacing w:line="560" w:lineRule="exact"/>
        <w:ind w:firstLine="640" w:firstLineChars="200"/>
        <w:contextualSpacing/>
        <w:jc w:val="left"/>
        <w:rPr>
          <w:rFonts w:hint="default" w:ascii="Times New Roman" w:hAnsi="Times New Roman" w:eastAsia="仿宋_GB2312" w:cs="Times New Roman"/>
          <w:color w:val="333333"/>
          <w:kern w:val="0"/>
          <w:sz w:val="32"/>
          <w:szCs w:val="32"/>
          <w:shd w:val="clear" w:color="auto" w:fill="FFFFFF"/>
        </w:rPr>
      </w:pPr>
      <w:r>
        <w:rPr>
          <w:rFonts w:hint="default" w:ascii="Times New Roman" w:hAnsi="Times New Roman" w:eastAsia="仿宋_GB2312" w:cs="Times New Roman"/>
          <w:color w:val="333333"/>
          <w:kern w:val="0"/>
          <w:sz w:val="32"/>
          <w:szCs w:val="32"/>
          <w:shd w:val="clear" w:color="auto" w:fill="FFFFFF"/>
        </w:rPr>
        <w:t>完成各乡镇、部门202</w:t>
      </w:r>
      <w:r>
        <w:rPr>
          <w:rFonts w:hint="eastAsia" w:eastAsia="仿宋_GB2312" w:cs="Times New Roman"/>
          <w:color w:val="333333"/>
          <w:kern w:val="0"/>
          <w:sz w:val="32"/>
          <w:szCs w:val="32"/>
          <w:shd w:val="clear" w:color="auto" w:fill="FFFFFF"/>
          <w:lang w:val="en-US" w:eastAsia="zh-CN"/>
        </w:rPr>
        <w:t>2</w:t>
      </w:r>
      <w:r>
        <w:rPr>
          <w:rFonts w:hint="default" w:ascii="Times New Roman" w:hAnsi="Times New Roman" w:eastAsia="仿宋_GB2312" w:cs="Times New Roman"/>
          <w:color w:val="333333"/>
          <w:kern w:val="0"/>
          <w:sz w:val="32"/>
          <w:szCs w:val="32"/>
          <w:shd w:val="clear" w:color="auto" w:fill="FFFFFF"/>
        </w:rPr>
        <w:t>年文书档案指导工作，并推动各单位向我馆移交相关档案进度；</w:t>
      </w:r>
    </w:p>
    <w:p w14:paraId="26A74FE6">
      <w:pPr>
        <w:widowControl/>
        <w:adjustRightInd w:val="0"/>
        <w:snapToGrid w:val="0"/>
        <w:spacing w:line="560" w:lineRule="exact"/>
        <w:ind w:firstLine="640" w:firstLineChars="200"/>
        <w:contextualSpacing/>
        <w:jc w:val="left"/>
        <w:rPr>
          <w:rFonts w:hint="default" w:ascii="Times New Roman" w:hAnsi="Times New Roman" w:eastAsia="仿宋_GB2312" w:cs="Times New Roman"/>
          <w:color w:val="333333"/>
          <w:kern w:val="0"/>
          <w:sz w:val="32"/>
          <w:szCs w:val="32"/>
          <w:shd w:val="clear" w:color="auto" w:fill="FFFFFF"/>
        </w:rPr>
      </w:pPr>
      <w:r>
        <w:rPr>
          <w:rFonts w:hint="default" w:ascii="Times New Roman" w:hAnsi="Times New Roman" w:eastAsia="仿宋_GB2312" w:cs="Times New Roman"/>
          <w:color w:val="333333"/>
          <w:kern w:val="0"/>
          <w:sz w:val="32"/>
          <w:szCs w:val="32"/>
          <w:shd w:val="clear" w:color="auto" w:fill="FFFFFF"/>
        </w:rPr>
        <w:t>加强档案资源体系建设，注重实物档案、特殊载体档案征集工作；</w:t>
      </w:r>
    </w:p>
    <w:p w14:paraId="0B36822A">
      <w:pPr>
        <w:widowControl/>
        <w:adjustRightInd w:val="0"/>
        <w:snapToGrid w:val="0"/>
        <w:spacing w:line="560" w:lineRule="exact"/>
        <w:ind w:firstLine="640" w:firstLineChars="200"/>
        <w:contextualSpacing/>
        <w:jc w:val="left"/>
        <w:rPr>
          <w:rFonts w:hint="eastAsia" w:ascii="Times New Roman" w:hAnsi="Times New Roman" w:eastAsia="仿宋_GB2312" w:cs="Times New Roman"/>
          <w:color w:val="333333"/>
          <w:kern w:val="0"/>
          <w:sz w:val="32"/>
          <w:szCs w:val="32"/>
          <w:shd w:val="clear" w:color="auto" w:fill="FFFFFF"/>
          <w:lang w:eastAsia="zh-CN"/>
        </w:rPr>
      </w:pPr>
      <w:r>
        <w:rPr>
          <w:rFonts w:hint="default" w:ascii="Times New Roman" w:hAnsi="Times New Roman" w:eastAsia="仿宋_GB2312" w:cs="Times New Roman"/>
          <w:color w:val="333333"/>
          <w:kern w:val="0"/>
          <w:sz w:val="32"/>
          <w:szCs w:val="32"/>
          <w:shd w:val="clear" w:color="auto" w:fill="FFFFFF"/>
        </w:rPr>
        <w:t>加强档案业务培训工作。积极与县委组织部沟通对接，争取将档案业务培训纳入全县2022年干部人才大培训计划并组织实施</w:t>
      </w:r>
      <w:r>
        <w:rPr>
          <w:rFonts w:hint="eastAsia" w:eastAsia="仿宋_GB2312" w:cs="Times New Roman"/>
          <w:color w:val="333333"/>
          <w:kern w:val="0"/>
          <w:sz w:val="32"/>
          <w:szCs w:val="32"/>
          <w:shd w:val="clear" w:color="auto" w:fill="FFFFFF"/>
          <w:lang w:eastAsia="zh-CN"/>
        </w:rPr>
        <w:t>。</w:t>
      </w:r>
    </w:p>
    <w:p w14:paraId="4F092CC8">
      <w:pPr>
        <w:widowControl/>
        <w:adjustRightInd w:val="0"/>
        <w:snapToGrid w:val="0"/>
        <w:spacing w:line="560"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bidi="ar"/>
        </w:rPr>
        <w:t>2、目标完成情况</w:t>
      </w:r>
    </w:p>
    <w:p w14:paraId="67560D85">
      <w:pPr>
        <w:spacing w:line="560" w:lineRule="exact"/>
        <w:ind w:firstLine="643" w:firstLineChars="200"/>
        <w:jc w:val="left"/>
        <w:rPr>
          <w:rFonts w:eastAsia="方正楷体_GBK"/>
          <w:b/>
          <w:kern w:val="0"/>
          <w:sz w:val="32"/>
          <w:szCs w:val="32"/>
        </w:rPr>
      </w:pPr>
      <w:r>
        <w:rPr>
          <w:rStyle w:val="38"/>
          <w:rFonts w:hint="eastAsia" w:ascii="仿宋_GB2312" w:hAnsi="仿宋_GB2312" w:eastAsia="仿宋_GB2312" w:cs="仿宋_GB2312"/>
          <w:b/>
          <w:bCs/>
          <w:sz w:val="32"/>
          <w:szCs w:val="32"/>
        </w:rPr>
        <w:t>1、</w:t>
      </w:r>
      <w:r>
        <w:rPr>
          <w:rFonts w:hint="eastAsia" w:ascii="仿宋_GB2312" w:hAnsi="仿宋_GB2312" w:eastAsia="仿宋_GB2312" w:cs="仿宋_GB2312"/>
          <w:b/>
          <w:bCs/>
          <w:kern w:val="0"/>
          <w:sz w:val="32"/>
          <w:szCs w:val="32"/>
        </w:rPr>
        <w:t>档案馆藏情况。</w:t>
      </w:r>
      <w:r>
        <w:rPr>
          <w:rFonts w:eastAsia="仿宋_GB2312"/>
          <w:kern w:val="0"/>
          <w:sz w:val="32"/>
          <w:szCs w:val="32"/>
        </w:rPr>
        <w:t>截止2022</w:t>
      </w:r>
      <w:r>
        <w:rPr>
          <w:rFonts w:hint="eastAsia" w:eastAsia="仿宋_GB2312"/>
          <w:kern w:val="0"/>
          <w:sz w:val="32"/>
          <w:szCs w:val="32"/>
        </w:rPr>
        <w:t>年10月</w:t>
      </w:r>
      <w:r>
        <w:rPr>
          <w:rFonts w:eastAsia="仿宋_GB2312"/>
          <w:kern w:val="0"/>
          <w:sz w:val="32"/>
          <w:szCs w:val="32"/>
        </w:rPr>
        <w:t>，</w:t>
      </w:r>
      <w:r>
        <w:rPr>
          <w:rFonts w:hint="eastAsia" w:eastAsia="仿宋_GB2312"/>
          <w:kern w:val="0"/>
          <w:sz w:val="32"/>
          <w:szCs w:val="32"/>
        </w:rPr>
        <w:t>全县设</w:t>
      </w:r>
      <w:r>
        <w:rPr>
          <w:rFonts w:eastAsia="仿宋_GB2312"/>
          <w:kern w:val="0"/>
          <w:sz w:val="32"/>
          <w:szCs w:val="32"/>
        </w:rPr>
        <w:t>全宗单位159个，</w:t>
      </w:r>
      <w:r>
        <w:rPr>
          <w:rFonts w:hint="eastAsia" w:eastAsia="仿宋_GB2312"/>
          <w:kern w:val="0"/>
          <w:sz w:val="32"/>
          <w:szCs w:val="32"/>
        </w:rPr>
        <w:t>馆藏档案173513件，</w:t>
      </w:r>
      <w:r>
        <w:rPr>
          <w:rFonts w:eastAsia="仿宋_GB2312"/>
          <w:kern w:val="0"/>
          <w:sz w:val="32"/>
          <w:szCs w:val="32"/>
        </w:rPr>
        <w:t>23689</w:t>
      </w:r>
      <w:r>
        <w:rPr>
          <w:rFonts w:hint="eastAsia" w:eastAsia="仿宋_GB2312"/>
          <w:kern w:val="0"/>
          <w:sz w:val="32"/>
          <w:szCs w:val="32"/>
        </w:rPr>
        <w:t>卷，印章档案</w:t>
      </w:r>
      <w:r>
        <w:rPr>
          <w:rFonts w:eastAsia="仿宋_GB2312"/>
          <w:kern w:val="0"/>
          <w:sz w:val="32"/>
          <w:szCs w:val="32"/>
        </w:rPr>
        <w:t>350</w:t>
      </w:r>
      <w:r>
        <w:rPr>
          <w:rFonts w:hint="eastAsia" w:eastAsia="仿宋_GB2312"/>
          <w:kern w:val="0"/>
          <w:sz w:val="32"/>
          <w:szCs w:val="32"/>
        </w:rPr>
        <w:t>枚，</w:t>
      </w:r>
      <w:r>
        <w:rPr>
          <w:rFonts w:eastAsia="仿宋_GB2312"/>
          <w:kern w:val="0"/>
          <w:sz w:val="32"/>
          <w:szCs w:val="32"/>
        </w:rPr>
        <w:t>存底图档案10幅，照片档案1921幅，录音录像档案资料92盘，</w:t>
      </w:r>
      <w:r>
        <w:rPr>
          <w:rFonts w:eastAsia="仿宋_GB2312"/>
          <w:sz w:val="32"/>
          <w:szCs w:val="32"/>
        </w:rPr>
        <w:t>图片资料</w:t>
      </w:r>
      <w:r>
        <w:rPr>
          <w:rFonts w:hint="eastAsia" w:eastAsia="仿宋_GB2312"/>
          <w:sz w:val="32"/>
          <w:szCs w:val="32"/>
        </w:rPr>
        <w:t>（电子档）</w:t>
      </w:r>
      <w:r>
        <w:rPr>
          <w:rFonts w:eastAsia="仿宋_GB2312"/>
          <w:sz w:val="32"/>
          <w:szCs w:val="32"/>
        </w:rPr>
        <w:t xml:space="preserve"> 140 幅，视频资料 120 件</w:t>
      </w:r>
      <w:r>
        <w:rPr>
          <w:rFonts w:hint="eastAsia" w:eastAsia="仿宋_GB2312"/>
          <w:sz w:val="32"/>
          <w:szCs w:val="32"/>
        </w:rPr>
        <w:t>，</w:t>
      </w:r>
      <w:r>
        <w:rPr>
          <w:rFonts w:eastAsia="仿宋_GB2312"/>
          <w:kern w:val="0"/>
          <w:sz w:val="32"/>
          <w:szCs w:val="32"/>
        </w:rPr>
        <w:t>馆藏</w:t>
      </w:r>
      <w:r>
        <w:rPr>
          <w:rFonts w:hint="eastAsia" w:eastAsia="仿宋_GB2312"/>
          <w:kern w:val="0"/>
          <w:sz w:val="32"/>
          <w:szCs w:val="32"/>
        </w:rPr>
        <w:t>图书</w:t>
      </w:r>
      <w:r>
        <w:rPr>
          <w:rFonts w:eastAsia="仿宋_GB2312"/>
          <w:kern w:val="0"/>
          <w:sz w:val="32"/>
          <w:szCs w:val="32"/>
        </w:rPr>
        <w:t>资料7709册</w:t>
      </w:r>
      <w:r>
        <w:rPr>
          <w:rFonts w:hint="eastAsia" w:eastAsia="仿宋_GB2312"/>
          <w:kern w:val="0"/>
          <w:sz w:val="32"/>
          <w:szCs w:val="32"/>
        </w:rPr>
        <w:t>。</w:t>
      </w:r>
    </w:p>
    <w:p w14:paraId="0ADDF00C">
      <w:pPr>
        <w:spacing w:line="560" w:lineRule="exact"/>
        <w:ind w:firstLine="630" w:firstLineChars="196"/>
        <w:rPr>
          <w:rStyle w:val="38"/>
          <w:rFonts w:eastAsia="仿宋_GB2312"/>
          <w:sz w:val="32"/>
          <w:szCs w:val="32"/>
        </w:rPr>
      </w:pPr>
      <w:r>
        <w:rPr>
          <w:rStyle w:val="38"/>
          <w:rFonts w:hint="eastAsia" w:eastAsia="仿宋_GB2312"/>
          <w:b/>
          <w:bCs/>
          <w:sz w:val="32"/>
          <w:szCs w:val="32"/>
        </w:rPr>
        <w:t>2.</w:t>
      </w:r>
      <w:r>
        <w:rPr>
          <w:rStyle w:val="38"/>
          <w:rFonts w:eastAsia="仿宋_GB2312"/>
          <w:b/>
          <w:bCs/>
          <w:sz w:val="32"/>
          <w:szCs w:val="32"/>
        </w:rPr>
        <w:t>全面</w:t>
      </w:r>
      <w:r>
        <w:rPr>
          <w:rStyle w:val="38"/>
          <w:rFonts w:hint="eastAsia" w:eastAsia="仿宋_GB2312"/>
          <w:b/>
          <w:bCs/>
          <w:sz w:val="32"/>
          <w:szCs w:val="32"/>
        </w:rPr>
        <w:t>深化</w:t>
      </w:r>
      <w:r>
        <w:rPr>
          <w:rStyle w:val="38"/>
          <w:rFonts w:eastAsia="仿宋_GB2312"/>
          <w:b/>
          <w:bCs/>
          <w:sz w:val="32"/>
          <w:szCs w:val="32"/>
        </w:rPr>
        <w:t>档案行政执法检查行动。</w:t>
      </w:r>
      <w:r>
        <w:rPr>
          <w:rStyle w:val="38"/>
          <w:rFonts w:eastAsia="仿宋_GB2312"/>
          <w:sz w:val="32"/>
          <w:szCs w:val="32"/>
        </w:rPr>
        <w:t>按照</w:t>
      </w:r>
      <w:r>
        <w:rPr>
          <w:rStyle w:val="38"/>
          <w:rFonts w:hint="eastAsia" w:eastAsia="仿宋_GB2312"/>
          <w:sz w:val="32"/>
          <w:szCs w:val="32"/>
        </w:rPr>
        <w:t>县</w:t>
      </w:r>
      <w:r>
        <w:rPr>
          <w:rStyle w:val="38"/>
          <w:rFonts w:eastAsia="仿宋_GB2312"/>
          <w:sz w:val="32"/>
          <w:szCs w:val="32"/>
        </w:rPr>
        <w:t>档案局关于档案行政执法检查三年行动</w:t>
      </w:r>
      <w:r>
        <w:rPr>
          <w:rStyle w:val="38"/>
          <w:rFonts w:hint="eastAsia" w:eastAsia="仿宋_GB2312"/>
          <w:sz w:val="32"/>
          <w:szCs w:val="32"/>
        </w:rPr>
        <w:t>安排</w:t>
      </w:r>
      <w:r>
        <w:rPr>
          <w:rStyle w:val="38"/>
          <w:rFonts w:eastAsia="仿宋_GB2312"/>
          <w:sz w:val="32"/>
          <w:szCs w:val="32"/>
        </w:rPr>
        <w:t>，受县档案局委托，</w:t>
      </w:r>
      <w:r>
        <w:rPr>
          <w:rStyle w:val="38"/>
          <w:rFonts w:hint="eastAsia" w:eastAsia="仿宋_GB2312"/>
          <w:sz w:val="32"/>
          <w:szCs w:val="32"/>
        </w:rPr>
        <w:t>依法对鱼托寺管委等3个单位开展档案行政执法检查；</w:t>
      </w:r>
      <w:r>
        <w:rPr>
          <w:rStyle w:val="38"/>
          <w:rFonts w:eastAsia="仿宋_GB2312"/>
          <w:sz w:val="32"/>
          <w:szCs w:val="32"/>
        </w:rPr>
        <w:t>组成档案行政执法</w:t>
      </w:r>
      <w:r>
        <w:rPr>
          <w:rStyle w:val="38"/>
          <w:rFonts w:hint="eastAsia" w:eastAsia="仿宋_GB2312"/>
          <w:sz w:val="32"/>
          <w:szCs w:val="32"/>
        </w:rPr>
        <w:t>“回头看”工作</w:t>
      </w:r>
      <w:r>
        <w:rPr>
          <w:rStyle w:val="38"/>
          <w:rFonts w:eastAsia="仿宋_GB2312"/>
          <w:sz w:val="32"/>
          <w:szCs w:val="32"/>
        </w:rPr>
        <w:t>组，依法对全县</w:t>
      </w:r>
      <w:r>
        <w:rPr>
          <w:rStyle w:val="38"/>
          <w:rFonts w:hint="eastAsia" w:eastAsia="仿宋_GB2312"/>
          <w:sz w:val="32"/>
          <w:szCs w:val="32"/>
        </w:rPr>
        <w:t>41</w:t>
      </w:r>
      <w:r>
        <w:rPr>
          <w:rStyle w:val="38"/>
          <w:rFonts w:eastAsia="仿宋_GB2312"/>
          <w:sz w:val="32"/>
          <w:szCs w:val="32"/>
        </w:rPr>
        <w:t>个</w:t>
      </w:r>
      <w:r>
        <w:rPr>
          <w:rStyle w:val="38"/>
          <w:rFonts w:hint="eastAsia" w:eastAsia="仿宋_GB2312"/>
          <w:sz w:val="32"/>
          <w:szCs w:val="32"/>
        </w:rPr>
        <w:t>县级机关、11个乡镇</w:t>
      </w:r>
      <w:r>
        <w:rPr>
          <w:rStyle w:val="38"/>
          <w:rFonts w:eastAsia="仿宋_GB2312"/>
          <w:sz w:val="32"/>
          <w:szCs w:val="32"/>
        </w:rPr>
        <w:t>进行档案行政执法</w:t>
      </w:r>
      <w:r>
        <w:rPr>
          <w:rStyle w:val="38"/>
          <w:rFonts w:hint="eastAsia" w:eastAsia="仿宋_GB2312"/>
          <w:sz w:val="32"/>
          <w:szCs w:val="32"/>
        </w:rPr>
        <w:t>“回头看”工作</w:t>
      </w:r>
      <w:r>
        <w:rPr>
          <w:rStyle w:val="38"/>
          <w:rFonts w:eastAsia="仿宋_GB2312"/>
          <w:sz w:val="32"/>
          <w:szCs w:val="32"/>
        </w:rPr>
        <w:t>，</w:t>
      </w:r>
      <w:r>
        <w:rPr>
          <w:rStyle w:val="38"/>
          <w:rFonts w:hint="eastAsia" w:eastAsia="仿宋_GB2312"/>
          <w:sz w:val="32"/>
          <w:szCs w:val="32"/>
        </w:rPr>
        <w:t>主要</w:t>
      </w:r>
      <w:r>
        <w:rPr>
          <w:rStyle w:val="38"/>
          <w:rFonts w:eastAsia="仿宋_GB2312"/>
          <w:sz w:val="32"/>
          <w:szCs w:val="32"/>
        </w:rPr>
        <w:t>针对</w:t>
      </w:r>
      <w:r>
        <w:rPr>
          <w:rStyle w:val="38"/>
          <w:rFonts w:hint="eastAsia" w:eastAsia="仿宋_GB2312"/>
          <w:sz w:val="32"/>
          <w:szCs w:val="32"/>
        </w:rPr>
        <w:t>文书</w:t>
      </w:r>
      <w:r>
        <w:rPr>
          <w:rStyle w:val="38"/>
          <w:rFonts w:eastAsia="仿宋_GB2312"/>
          <w:sz w:val="32"/>
          <w:szCs w:val="32"/>
        </w:rPr>
        <w:t>档案整理、各机关档案室硬件建设</w:t>
      </w:r>
      <w:r>
        <w:rPr>
          <w:rStyle w:val="38"/>
          <w:rFonts w:hint="eastAsia" w:eastAsia="仿宋_GB2312"/>
          <w:sz w:val="32"/>
          <w:szCs w:val="32"/>
        </w:rPr>
        <w:t>、</w:t>
      </w:r>
      <w:r>
        <w:rPr>
          <w:rStyle w:val="38"/>
          <w:rFonts w:eastAsia="仿宋_GB2312"/>
          <w:sz w:val="32"/>
          <w:szCs w:val="32"/>
        </w:rPr>
        <w:t>档案归档移交</w:t>
      </w:r>
      <w:r>
        <w:rPr>
          <w:rStyle w:val="38"/>
          <w:rFonts w:hint="eastAsia" w:eastAsia="仿宋_GB2312"/>
          <w:sz w:val="32"/>
          <w:szCs w:val="32"/>
        </w:rPr>
        <w:t>等整改情况进行检查，</w:t>
      </w:r>
      <w:r>
        <w:rPr>
          <w:rStyle w:val="38"/>
          <w:rFonts w:eastAsia="仿宋_GB2312"/>
          <w:sz w:val="32"/>
          <w:szCs w:val="32"/>
        </w:rPr>
        <w:t>及时下达《壤塘县档案局档案行政执法检查</w:t>
      </w:r>
      <w:r>
        <w:rPr>
          <w:rStyle w:val="38"/>
          <w:rFonts w:hint="eastAsia" w:eastAsia="仿宋_GB2312"/>
          <w:sz w:val="32"/>
          <w:szCs w:val="32"/>
        </w:rPr>
        <w:t>“回头看”问题清单</w:t>
      </w:r>
      <w:r>
        <w:rPr>
          <w:rStyle w:val="38"/>
          <w:rFonts w:eastAsia="仿宋_GB2312"/>
          <w:sz w:val="32"/>
          <w:szCs w:val="32"/>
        </w:rPr>
        <w:t>》</w:t>
      </w:r>
      <w:r>
        <w:rPr>
          <w:rStyle w:val="38"/>
          <w:rFonts w:hint="eastAsia" w:eastAsia="仿宋_GB2312"/>
          <w:sz w:val="32"/>
          <w:szCs w:val="32"/>
        </w:rPr>
        <w:t>52</w:t>
      </w:r>
      <w:r>
        <w:rPr>
          <w:rStyle w:val="38"/>
          <w:rFonts w:eastAsia="仿宋_GB2312"/>
          <w:sz w:val="32"/>
          <w:szCs w:val="32"/>
        </w:rPr>
        <w:t>份，《</w:t>
      </w:r>
      <w:r>
        <w:rPr>
          <w:rStyle w:val="38"/>
          <w:rFonts w:hint="eastAsia" w:eastAsia="仿宋_GB2312"/>
          <w:sz w:val="32"/>
          <w:szCs w:val="32"/>
        </w:rPr>
        <w:t>档案室软硬件设施设备必备清单</w:t>
      </w:r>
      <w:r>
        <w:rPr>
          <w:rStyle w:val="38"/>
          <w:rFonts w:eastAsia="仿宋_GB2312"/>
          <w:sz w:val="32"/>
          <w:szCs w:val="32"/>
        </w:rPr>
        <w:t>》</w:t>
      </w:r>
      <w:r>
        <w:rPr>
          <w:rStyle w:val="38"/>
          <w:rFonts w:hint="eastAsia" w:eastAsia="仿宋_GB2312"/>
          <w:sz w:val="32"/>
          <w:szCs w:val="32"/>
        </w:rPr>
        <w:t>52</w:t>
      </w:r>
      <w:r>
        <w:rPr>
          <w:rStyle w:val="38"/>
          <w:rFonts w:eastAsia="仿宋_GB2312"/>
          <w:sz w:val="32"/>
          <w:szCs w:val="32"/>
        </w:rPr>
        <w:t>份，要求各单位限期完成整改，</w:t>
      </w:r>
      <w:r>
        <w:rPr>
          <w:rStyle w:val="38"/>
          <w:rFonts w:hint="eastAsia" w:eastAsia="仿宋_GB2312"/>
          <w:sz w:val="32"/>
          <w:szCs w:val="32"/>
        </w:rPr>
        <w:t>为接受州级档案行政执法检查做准备。</w:t>
      </w:r>
    </w:p>
    <w:p w14:paraId="6FD2F036">
      <w:pPr>
        <w:adjustRightInd w:val="0"/>
        <w:snapToGrid w:val="0"/>
        <w:spacing w:line="560" w:lineRule="exact"/>
        <w:ind w:firstLine="643" w:firstLineChars="200"/>
        <w:jc w:val="left"/>
        <w:rPr>
          <w:rStyle w:val="38"/>
          <w:rFonts w:eastAsia="仿宋_GB2312"/>
          <w:sz w:val="32"/>
          <w:szCs w:val="32"/>
        </w:rPr>
      </w:pPr>
      <w:r>
        <w:rPr>
          <w:rStyle w:val="38"/>
          <w:rFonts w:hint="eastAsia" w:eastAsia="仿宋_GB2312"/>
          <w:b/>
          <w:bCs/>
          <w:sz w:val="32"/>
          <w:szCs w:val="32"/>
        </w:rPr>
        <w:t>3.开展</w:t>
      </w:r>
      <w:r>
        <w:rPr>
          <w:rStyle w:val="38"/>
          <w:rFonts w:eastAsia="仿宋_GB2312"/>
          <w:b/>
          <w:bCs/>
          <w:sz w:val="32"/>
          <w:szCs w:val="32"/>
        </w:rPr>
        <w:t>档案业务指导，不断提升档案入馆量。</w:t>
      </w:r>
      <w:r>
        <w:rPr>
          <w:rStyle w:val="38"/>
          <w:rFonts w:hint="eastAsia" w:eastAsia="仿宋_GB2312"/>
          <w:sz w:val="32"/>
          <w:szCs w:val="32"/>
        </w:rPr>
        <w:t>2022</w:t>
      </w:r>
      <w:r>
        <w:rPr>
          <w:rStyle w:val="38"/>
          <w:rFonts w:eastAsia="仿宋_GB2312"/>
          <w:sz w:val="32"/>
          <w:szCs w:val="32"/>
        </w:rPr>
        <w:t>年，我馆坚持“业务指导前端发力、入馆前对标验收末端把关”，严格落实业务指导和入馆验收双向联动机制，派业务骨干“走出去”到各单位上门开展业务指导，督促指导</w:t>
      </w:r>
      <w:r>
        <w:rPr>
          <w:rStyle w:val="38"/>
          <w:rFonts w:hint="eastAsia" w:eastAsia="仿宋_GB2312"/>
          <w:sz w:val="32"/>
          <w:szCs w:val="32"/>
        </w:rPr>
        <w:t>县委办</w:t>
      </w:r>
      <w:r>
        <w:rPr>
          <w:rStyle w:val="38"/>
          <w:rFonts w:eastAsia="仿宋_GB2312"/>
          <w:sz w:val="32"/>
          <w:szCs w:val="32"/>
        </w:rPr>
        <w:t>、县自然资源局、</w:t>
      </w:r>
      <w:r>
        <w:rPr>
          <w:rStyle w:val="38"/>
          <w:rFonts w:hint="eastAsia" w:eastAsia="仿宋_GB2312"/>
          <w:sz w:val="32"/>
          <w:szCs w:val="32"/>
        </w:rPr>
        <w:t>县司法局、县医保局、县市场监督管理局、尕多乡</w:t>
      </w:r>
      <w:r>
        <w:rPr>
          <w:rStyle w:val="38"/>
          <w:rFonts w:eastAsia="仿宋_GB2312"/>
          <w:sz w:val="32"/>
          <w:szCs w:val="32"/>
        </w:rPr>
        <w:t>等单位做好文书档案规范化整理。</w:t>
      </w:r>
      <w:r>
        <w:rPr>
          <w:rStyle w:val="38"/>
          <w:rFonts w:hint="eastAsia" w:eastAsia="仿宋_GB2312"/>
          <w:sz w:val="32"/>
          <w:szCs w:val="32"/>
          <w:lang w:val="en-US" w:eastAsia="zh-CN"/>
        </w:rPr>
        <w:t>2022</w:t>
      </w:r>
      <w:r>
        <w:rPr>
          <w:rStyle w:val="38"/>
          <w:rFonts w:hint="eastAsia" w:eastAsia="仿宋_GB2312"/>
          <w:sz w:val="32"/>
          <w:szCs w:val="32"/>
        </w:rPr>
        <w:t>年，共移交进馆文书档案4125件，118盒；进馆新生儿档案4365件，146盒；疫情防控档案</w:t>
      </w:r>
      <w:r>
        <w:rPr>
          <w:rStyle w:val="38"/>
          <w:rFonts w:eastAsia="仿宋_GB2312"/>
          <w:sz w:val="32"/>
          <w:szCs w:val="32"/>
        </w:rPr>
        <w:t>77</w:t>
      </w:r>
      <w:r>
        <w:rPr>
          <w:rStyle w:val="38"/>
          <w:rFonts w:hint="eastAsia" w:eastAsia="仿宋_GB2312"/>
          <w:sz w:val="32"/>
          <w:szCs w:val="32"/>
        </w:rPr>
        <w:t>盒，</w:t>
      </w:r>
      <w:r>
        <w:rPr>
          <w:rStyle w:val="38"/>
          <w:rFonts w:eastAsia="仿宋_GB2312"/>
          <w:sz w:val="32"/>
          <w:szCs w:val="32"/>
        </w:rPr>
        <w:t>1624</w:t>
      </w:r>
      <w:r>
        <w:rPr>
          <w:rStyle w:val="38"/>
          <w:rFonts w:hint="eastAsia" w:eastAsia="仿宋_GB2312"/>
          <w:sz w:val="32"/>
          <w:szCs w:val="32"/>
        </w:rPr>
        <w:t>件。</w:t>
      </w:r>
    </w:p>
    <w:p w14:paraId="57BC4DBA">
      <w:pPr>
        <w:spacing w:line="560" w:lineRule="exact"/>
        <w:ind w:firstLine="627" w:firstLineChars="196"/>
        <w:rPr>
          <w:rStyle w:val="38"/>
          <w:rFonts w:eastAsia="仿宋_GB2312"/>
          <w:b/>
          <w:bCs/>
          <w:sz w:val="32"/>
          <w:szCs w:val="32"/>
        </w:rPr>
      </w:pPr>
      <w:r>
        <w:rPr>
          <w:rStyle w:val="38"/>
          <w:rFonts w:hint="eastAsia" w:eastAsia="仿宋_GB2312"/>
          <w:bCs/>
          <w:sz w:val="32"/>
          <w:szCs w:val="32"/>
        </w:rPr>
        <w:t>4.</w:t>
      </w:r>
      <w:r>
        <w:rPr>
          <w:rFonts w:hint="eastAsia" w:ascii="仿宋_GB2312" w:hAnsi="仿宋_GB2312" w:eastAsia="仿宋_GB2312" w:cs="仿宋_GB2312"/>
          <w:b/>
          <w:sz w:val="32"/>
          <w:szCs w:val="32"/>
        </w:rPr>
        <w:t>做好档案征集和利用工作。</w:t>
      </w:r>
      <w:r>
        <w:rPr>
          <w:rFonts w:hint="eastAsia" w:eastAsia="仿宋_GB2312"/>
          <w:sz w:val="32"/>
          <w:szCs w:val="32"/>
          <w:lang w:val="en-US" w:eastAsia="zh-CN"/>
        </w:rPr>
        <w:t>2022</w:t>
      </w:r>
      <w:r>
        <w:rPr>
          <w:rFonts w:hint="eastAsia" w:eastAsia="仿宋_GB2312"/>
          <w:sz w:val="32"/>
          <w:szCs w:val="32"/>
        </w:rPr>
        <w:t>年4月，县档案局、馆联合印发了《关于在全县征集脱贫攻坚工作实物档案及特殊载体档案的通知》，面向社会公开征集脱贫攻坚实物档案；</w:t>
      </w:r>
      <w:r>
        <w:rPr>
          <w:rFonts w:eastAsia="楷体"/>
          <w:sz w:val="32"/>
          <w:szCs w:val="32"/>
        </w:rPr>
        <w:t>6</w:t>
      </w:r>
      <w:r>
        <w:rPr>
          <w:rFonts w:hint="eastAsia" w:eastAsia="仿宋_GB2312"/>
          <w:sz w:val="32"/>
          <w:szCs w:val="32"/>
        </w:rPr>
        <w:t>月，县档案馆实地走访壤塘县内红军后代，挖掘红色档案资源。</w:t>
      </w:r>
      <w:r>
        <w:rPr>
          <w:rStyle w:val="38"/>
          <w:rFonts w:hint="eastAsia" w:eastAsia="仿宋_GB2312"/>
          <w:sz w:val="32"/>
          <w:szCs w:val="32"/>
          <w:lang w:val="en-US" w:eastAsia="zh-CN"/>
        </w:rPr>
        <w:t>2022</w:t>
      </w:r>
      <w:r>
        <w:rPr>
          <w:rStyle w:val="38"/>
          <w:rFonts w:eastAsia="仿宋_GB2312"/>
          <w:sz w:val="32"/>
          <w:szCs w:val="32"/>
        </w:rPr>
        <w:t>年，为前来查询政策、机关工作考察（如</w:t>
      </w:r>
      <w:r>
        <w:rPr>
          <w:rStyle w:val="38"/>
          <w:rFonts w:hint="eastAsia" w:eastAsia="仿宋_GB2312"/>
          <w:sz w:val="32"/>
          <w:szCs w:val="32"/>
        </w:rPr>
        <w:t>：省委巡视利用档案、壤塘县大事记编撰</w:t>
      </w:r>
      <w:r>
        <w:rPr>
          <w:rStyle w:val="38"/>
          <w:rFonts w:eastAsia="仿宋_GB2312"/>
          <w:sz w:val="32"/>
          <w:szCs w:val="32"/>
        </w:rPr>
        <w:t>、</w:t>
      </w:r>
      <w:r>
        <w:rPr>
          <w:rStyle w:val="38"/>
          <w:rFonts w:hint="eastAsia" w:eastAsia="仿宋_GB2312"/>
          <w:sz w:val="32"/>
          <w:szCs w:val="32"/>
        </w:rPr>
        <w:t>编撰《壤塘县人大志》及</w:t>
      </w:r>
      <w:r>
        <w:rPr>
          <w:rStyle w:val="38"/>
          <w:rFonts w:eastAsia="仿宋_GB2312"/>
          <w:sz w:val="32"/>
          <w:szCs w:val="32"/>
        </w:rPr>
        <w:t>脱贫攻坚项目审计等）、干部人事任免、查询婚姻状况等提供了准确详实的第一手档案资料。</w:t>
      </w:r>
      <w:r>
        <w:rPr>
          <w:rStyle w:val="38"/>
          <w:rFonts w:hint="eastAsia" w:eastAsia="仿宋_GB2312"/>
          <w:sz w:val="32"/>
          <w:szCs w:val="32"/>
        </w:rPr>
        <w:t>截止2022年10月，</w:t>
      </w:r>
      <w:r>
        <w:rPr>
          <w:rStyle w:val="38"/>
          <w:rFonts w:eastAsia="仿宋_GB2312"/>
          <w:sz w:val="32"/>
          <w:szCs w:val="32"/>
        </w:rPr>
        <w:t>共计接待档案利用者</w:t>
      </w:r>
      <w:r>
        <w:rPr>
          <w:rStyle w:val="38"/>
          <w:rFonts w:hint="eastAsia" w:eastAsia="仿宋_GB2312"/>
          <w:sz w:val="32"/>
          <w:szCs w:val="32"/>
        </w:rPr>
        <w:t>296</w:t>
      </w:r>
      <w:r>
        <w:rPr>
          <w:rStyle w:val="38"/>
          <w:rFonts w:eastAsia="仿宋_GB2312"/>
          <w:sz w:val="32"/>
          <w:szCs w:val="32"/>
        </w:rPr>
        <w:t>人次，查阅档案1</w:t>
      </w:r>
      <w:r>
        <w:rPr>
          <w:rStyle w:val="38"/>
          <w:rFonts w:hint="eastAsia" w:eastAsia="仿宋_GB2312"/>
          <w:sz w:val="32"/>
          <w:szCs w:val="32"/>
        </w:rPr>
        <w:t>606</w:t>
      </w:r>
      <w:r>
        <w:rPr>
          <w:rStyle w:val="38"/>
          <w:rFonts w:eastAsia="仿宋_GB2312"/>
          <w:sz w:val="32"/>
          <w:szCs w:val="32"/>
        </w:rPr>
        <w:t>卷，复印档案资料</w:t>
      </w:r>
      <w:r>
        <w:rPr>
          <w:rStyle w:val="38"/>
          <w:rFonts w:hint="eastAsia" w:eastAsia="仿宋_GB2312"/>
          <w:sz w:val="32"/>
          <w:szCs w:val="32"/>
        </w:rPr>
        <w:t>13000余</w:t>
      </w:r>
      <w:r>
        <w:rPr>
          <w:rStyle w:val="38"/>
          <w:rFonts w:eastAsia="仿宋_GB2312"/>
          <w:sz w:val="32"/>
          <w:szCs w:val="32"/>
        </w:rPr>
        <w:t>页。</w:t>
      </w:r>
    </w:p>
    <w:p w14:paraId="00125B53">
      <w:pPr>
        <w:spacing w:line="560" w:lineRule="exact"/>
        <w:ind w:firstLine="643" w:firstLineChars="200"/>
        <w:rPr>
          <w:rStyle w:val="38"/>
          <w:rFonts w:eastAsia="仿宋_GB2312"/>
          <w:bCs/>
          <w:color w:val="FF0000"/>
          <w:sz w:val="32"/>
          <w:szCs w:val="32"/>
        </w:rPr>
      </w:pPr>
      <w:r>
        <w:rPr>
          <w:rStyle w:val="38"/>
          <w:rFonts w:hint="eastAsia" w:eastAsia="仿宋_GB2312"/>
          <w:b/>
          <w:bCs/>
          <w:sz w:val="32"/>
          <w:szCs w:val="32"/>
        </w:rPr>
        <w:t>5.</w:t>
      </w:r>
      <w:r>
        <w:rPr>
          <w:rStyle w:val="38"/>
          <w:rFonts w:eastAsia="仿宋_GB2312"/>
          <w:b/>
          <w:bCs/>
          <w:sz w:val="32"/>
          <w:szCs w:val="32"/>
        </w:rPr>
        <w:t>抓深抓实机关档案业务宣传培训工作。一是</w:t>
      </w:r>
      <w:r>
        <w:rPr>
          <w:rStyle w:val="38"/>
          <w:rFonts w:eastAsia="仿宋_GB2312"/>
          <w:sz w:val="32"/>
          <w:szCs w:val="32"/>
        </w:rPr>
        <w:t>以日常宣传和集中宣传相结合，围绕</w:t>
      </w:r>
      <w:r>
        <w:rPr>
          <w:rStyle w:val="38"/>
          <w:rFonts w:hint="eastAsia" w:eastAsia="仿宋_GB2312"/>
          <w:sz w:val="32"/>
          <w:szCs w:val="32"/>
        </w:rPr>
        <w:t>“喜迎二十大 档案颂辉煌”的主题</w:t>
      </w:r>
      <w:r>
        <w:rPr>
          <w:rStyle w:val="38"/>
          <w:rFonts w:eastAsia="仿宋_GB2312"/>
          <w:sz w:val="32"/>
          <w:szCs w:val="32"/>
        </w:rPr>
        <w:t>，重点抓好“6.9”国际档案日活动</w:t>
      </w:r>
      <w:r>
        <w:rPr>
          <w:rStyle w:val="38"/>
          <w:rFonts w:hint="eastAsia" w:eastAsia="仿宋_GB2312"/>
          <w:sz w:val="32"/>
          <w:szCs w:val="32"/>
        </w:rPr>
        <w:t>；结合档案执法检查和群众工作契机，开展档案宣传“进机关”“进乡村”活动，深入宣传《中华人民共和国档案法》《乡镇档案工作办法》等，不断扩大档案宣传覆盖面和干群知晓度。</w:t>
      </w:r>
      <w:r>
        <w:rPr>
          <w:rStyle w:val="38"/>
          <w:rFonts w:eastAsia="仿宋_GB2312"/>
          <w:sz w:val="32"/>
          <w:szCs w:val="32"/>
        </w:rPr>
        <w:t>今年，我馆投入宣传工作经费</w:t>
      </w:r>
      <w:r>
        <w:rPr>
          <w:rStyle w:val="38"/>
          <w:rFonts w:hint="eastAsia" w:eastAsia="仿宋_GB2312"/>
          <w:sz w:val="32"/>
          <w:szCs w:val="32"/>
        </w:rPr>
        <w:t>3000</w:t>
      </w:r>
      <w:r>
        <w:rPr>
          <w:rStyle w:val="38"/>
          <w:rFonts w:eastAsia="仿宋_GB2312"/>
          <w:sz w:val="32"/>
          <w:szCs w:val="32"/>
        </w:rPr>
        <w:t>余元，印制《</w:t>
      </w:r>
      <w:r>
        <w:rPr>
          <w:rStyle w:val="38"/>
          <w:rFonts w:hint="eastAsia" w:eastAsia="仿宋_GB2312"/>
          <w:sz w:val="32"/>
          <w:szCs w:val="32"/>
        </w:rPr>
        <w:t>新修订乡镇档案工作办法宣传册</w:t>
      </w:r>
      <w:r>
        <w:rPr>
          <w:rStyle w:val="38"/>
          <w:rFonts w:eastAsia="仿宋_GB2312"/>
          <w:sz w:val="32"/>
          <w:szCs w:val="32"/>
        </w:rPr>
        <w:t>》</w:t>
      </w:r>
      <w:r>
        <w:rPr>
          <w:rStyle w:val="38"/>
          <w:rFonts w:hint="eastAsia" w:eastAsia="仿宋_GB2312"/>
          <w:sz w:val="32"/>
          <w:szCs w:val="32"/>
        </w:rPr>
        <w:t>1000份，累计</w:t>
      </w:r>
      <w:r>
        <w:rPr>
          <w:rStyle w:val="38"/>
          <w:rFonts w:eastAsia="仿宋_GB2312"/>
          <w:sz w:val="32"/>
          <w:szCs w:val="32"/>
        </w:rPr>
        <w:t>发放宣传资料</w:t>
      </w:r>
      <w:r>
        <w:rPr>
          <w:rStyle w:val="38"/>
          <w:rFonts w:hint="eastAsia" w:eastAsia="仿宋_GB2312"/>
          <w:sz w:val="32"/>
          <w:szCs w:val="32"/>
        </w:rPr>
        <w:t>800余</w:t>
      </w:r>
      <w:r>
        <w:rPr>
          <w:rStyle w:val="38"/>
          <w:rFonts w:eastAsia="仿宋_GB2312"/>
          <w:sz w:val="32"/>
          <w:szCs w:val="32"/>
        </w:rPr>
        <w:t>份，现场接受法规和业务咨询达400余人次</w:t>
      </w:r>
      <w:r>
        <w:rPr>
          <w:rStyle w:val="38"/>
          <w:rFonts w:hint="eastAsia" w:eastAsia="仿宋_GB2312"/>
          <w:sz w:val="32"/>
          <w:szCs w:val="32"/>
        </w:rPr>
        <w:t>。</w:t>
      </w:r>
      <w:r>
        <w:rPr>
          <w:rStyle w:val="38"/>
          <w:rFonts w:eastAsia="仿宋_GB2312"/>
          <w:b/>
          <w:bCs/>
          <w:sz w:val="32"/>
          <w:szCs w:val="32"/>
        </w:rPr>
        <w:t>二是</w:t>
      </w:r>
      <w:r>
        <w:rPr>
          <w:rStyle w:val="38"/>
          <w:rFonts w:hint="eastAsia" w:eastAsia="仿宋_GB2312"/>
          <w:sz w:val="32"/>
          <w:szCs w:val="32"/>
        </w:rPr>
        <w:t>2022年</w:t>
      </w:r>
      <w:r>
        <w:rPr>
          <w:rStyle w:val="38"/>
          <w:rFonts w:eastAsia="仿宋_GB2312"/>
          <w:sz w:val="32"/>
          <w:szCs w:val="32"/>
        </w:rPr>
        <w:t>，</w:t>
      </w:r>
      <w:r>
        <w:rPr>
          <w:rStyle w:val="38"/>
          <w:rFonts w:hint="eastAsia" w:eastAsia="仿宋_GB2312"/>
          <w:sz w:val="32"/>
          <w:szCs w:val="32"/>
        </w:rPr>
        <w:t>通过“请进门，走出去”相结合方式，上门指导培训20余次</w:t>
      </w:r>
      <w:r>
        <w:rPr>
          <w:rStyle w:val="38"/>
          <w:rFonts w:eastAsia="仿宋_GB2312"/>
          <w:sz w:val="32"/>
          <w:szCs w:val="32"/>
        </w:rPr>
        <w:t>。</w:t>
      </w:r>
    </w:p>
    <w:p w14:paraId="384C387F">
      <w:pPr>
        <w:adjustRightInd w:val="0"/>
        <w:snapToGrid w:val="0"/>
        <w:spacing w:line="560" w:lineRule="exact"/>
        <w:ind w:firstLine="643" w:firstLineChars="200"/>
        <w:jc w:val="left"/>
        <w:rPr>
          <w:rStyle w:val="38"/>
          <w:rFonts w:eastAsia="仿宋_GB2312"/>
          <w:b/>
          <w:bCs/>
          <w:sz w:val="32"/>
          <w:szCs w:val="32"/>
        </w:rPr>
      </w:pPr>
      <w:r>
        <w:rPr>
          <w:rStyle w:val="38"/>
          <w:rFonts w:hint="eastAsia" w:ascii="仿宋_GB2312" w:hAnsi="仿宋_GB2312" w:eastAsia="仿宋_GB2312" w:cs="仿宋_GB2312"/>
          <w:b/>
          <w:bCs/>
          <w:sz w:val="32"/>
          <w:szCs w:val="32"/>
        </w:rPr>
        <w:t>6.</w:t>
      </w:r>
      <w:r>
        <w:rPr>
          <w:rFonts w:hint="eastAsia" w:ascii="仿宋_GB2312" w:hAnsi="仿宋_GB2312" w:eastAsia="仿宋_GB2312" w:cs="仿宋_GB2312"/>
          <w:b/>
          <w:bCs/>
          <w:sz w:val="32"/>
          <w:szCs w:val="32"/>
        </w:rPr>
        <w:t>有序开展长征国家文化公园建设工作。</w:t>
      </w:r>
      <w:r>
        <w:rPr>
          <w:rFonts w:hint="eastAsia" w:ascii="仿宋_GB2312" w:hAnsi="仿宋_GB2312" w:eastAsia="仿宋_GB2312" w:cs="仿宋_GB2312"/>
          <w:sz w:val="32"/>
          <w:szCs w:val="32"/>
        </w:rPr>
        <w:t>召开专题工作部署会2次，指定专人负责此项工作，通过查阅馆藏档案300余卷，梳理编制出《红军革命档案资源目录》1套；我馆馆藏红军长征在壤塘留下的可移动革命文物档案</w:t>
      </w:r>
      <w:r>
        <w:rPr>
          <w:rFonts w:eastAsia="楷体"/>
          <w:sz w:val="32"/>
          <w:szCs w:val="32"/>
        </w:rPr>
        <w:t>4</w:t>
      </w:r>
      <w:r>
        <w:rPr>
          <w:rFonts w:hint="eastAsia" w:ascii="仿宋_GB2312" w:hAnsi="仿宋_GB2312" w:eastAsia="仿宋_GB2312" w:cs="仿宋_GB2312"/>
          <w:sz w:val="32"/>
          <w:szCs w:val="32"/>
        </w:rPr>
        <w:t>件，红色内部书刊</w:t>
      </w:r>
      <w:r>
        <w:rPr>
          <w:rFonts w:eastAsia="仿宋_GB2312"/>
          <w:sz w:val="32"/>
          <w:szCs w:val="32"/>
        </w:rPr>
        <w:t>2</w:t>
      </w:r>
      <w:r>
        <w:rPr>
          <w:rFonts w:hint="eastAsia" w:ascii="仿宋_GB2312" w:hAnsi="仿宋_GB2312" w:eastAsia="仿宋_GB2312" w:cs="仿宋_GB2312"/>
          <w:sz w:val="32"/>
          <w:szCs w:val="32"/>
        </w:rPr>
        <w:t>册（含电子档</w:t>
      </w:r>
      <w:r>
        <w:rPr>
          <w:rFonts w:eastAsia="仿宋_GB2312"/>
          <w:sz w:val="32"/>
          <w:szCs w:val="32"/>
        </w:rPr>
        <w:t>2</w:t>
      </w:r>
      <w:r>
        <w:rPr>
          <w:rFonts w:hint="eastAsia" w:ascii="仿宋_GB2312" w:hAnsi="仿宋_GB2312" w:eastAsia="仿宋_GB2312" w:cs="仿宋_GB2312"/>
          <w:sz w:val="32"/>
          <w:szCs w:val="32"/>
        </w:rPr>
        <w:t>套）。</w:t>
      </w:r>
    </w:p>
    <w:p w14:paraId="05693087">
      <w:pPr>
        <w:adjustRightInd w:val="0"/>
        <w:snapToGrid w:val="0"/>
        <w:spacing w:line="560" w:lineRule="exact"/>
        <w:ind w:firstLine="643" w:firstLineChars="200"/>
        <w:jc w:val="left"/>
        <w:rPr>
          <w:rStyle w:val="38"/>
          <w:rFonts w:eastAsia="仿宋_GB2312"/>
          <w:sz w:val="32"/>
          <w:szCs w:val="32"/>
        </w:rPr>
      </w:pPr>
      <w:r>
        <w:rPr>
          <w:rStyle w:val="38"/>
          <w:rFonts w:hint="eastAsia" w:eastAsia="仿宋_GB2312"/>
          <w:b/>
          <w:bCs/>
          <w:sz w:val="32"/>
          <w:szCs w:val="32"/>
        </w:rPr>
        <w:t>7.抓实</w:t>
      </w:r>
      <w:r>
        <w:rPr>
          <w:rStyle w:val="38"/>
          <w:rFonts w:eastAsia="仿宋_GB2312"/>
          <w:b/>
          <w:bCs/>
          <w:sz w:val="32"/>
          <w:szCs w:val="32"/>
        </w:rPr>
        <w:t>档案安全。</w:t>
      </w:r>
      <w:r>
        <w:rPr>
          <w:rStyle w:val="38"/>
          <w:rFonts w:hint="eastAsia" w:eastAsia="仿宋_GB2312"/>
          <w:sz w:val="32"/>
          <w:szCs w:val="32"/>
        </w:rPr>
        <w:t>始终坚持安全是档案工作的生命线的理念，及时</w:t>
      </w:r>
      <w:r>
        <w:rPr>
          <w:rStyle w:val="38"/>
          <w:rFonts w:eastAsia="仿宋_GB2312"/>
          <w:sz w:val="32"/>
          <w:szCs w:val="32"/>
        </w:rPr>
        <w:t>调整充实档案安全工作领导小组，扎实推进档案实体、档案信息和档案保管环境的安全体系建设。</w:t>
      </w:r>
      <w:r>
        <w:rPr>
          <w:rStyle w:val="38"/>
          <w:rFonts w:hint="eastAsia" w:eastAsia="仿宋_GB2312"/>
          <w:sz w:val="32"/>
          <w:szCs w:val="32"/>
        </w:rPr>
        <w:t>今年，</w:t>
      </w:r>
      <w:r>
        <w:rPr>
          <w:rFonts w:hint="eastAsia" w:ascii="仿宋_GB2312" w:hAnsi="仿宋_GB2312" w:eastAsia="仿宋_GB2312" w:cs="仿宋_GB2312"/>
          <w:sz w:val="32"/>
          <w:szCs w:val="32"/>
        </w:rPr>
        <w:t>投入近5万元专项资金，新增2个档案库房监控设备，实现了库房监管无死角、全覆盖。及时印发相关文件</w:t>
      </w:r>
      <w:r>
        <w:rPr>
          <w:rFonts w:hint="eastAsia" w:eastAsia="仿宋_GB2312"/>
          <w:sz w:val="32"/>
          <w:szCs w:val="32"/>
        </w:rPr>
        <w:t>，</w:t>
      </w:r>
      <w:r>
        <w:rPr>
          <w:rFonts w:hint="eastAsia" w:ascii="仿宋_GB2312" w:hAnsi="仿宋_GB2312" w:eastAsia="仿宋_GB2312" w:cs="仿宋_GB2312"/>
          <w:sz w:val="32"/>
          <w:szCs w:val="32"/>
        </w:rPr>
        <w:t>加强对档案业务外包安全、汛期档案安全的管理，目前，全县档案服务外包项目向县档案局备案的</w:t>
      </w:r>
      <w:r>
        <w:rPr>
          <w:rFonts w:eastAsia="楷体"/>
          <w:sz w:val="32"/>
          <w:szCs w:val="32"/>
        </w:rPr>
        <w:t>1</w:t>
      </w:r>
      <w:r>
        <w:rPr>
          <w:rFonts w:hint="eastAsia" w:ascii="仿宋_GB2312" w:hAnsi="仿宋_GB2312" w:eastAsia="仿宋_GB2312" w:cs="仿宋_GB2312"/>
          <w:sz w:val="32"/>
          <w:szCs w:val="32"/>
        </w:rPr>
        <w:t>个（即县档案馆馆藏档案数字化项目）</w:t>
      </w:r>
      <w:r>
        <w:rPr>
          <w:rFonts w:hint="eastAsia" w:eastAsia="仿宋_GB2312"/>
          <w:sz w:val="32"/>
          <w:szCs w:val="32"/>
        </w:rPr>
        <w:t>。</w:t>
      </w:r>
      <w:r>
        <w:rPr>
          <w:rStyle w:val="38"/>
          <w:rFonts w:eastAsia="仿宋_GB2312"/>
          <w:sz w:val="32"/>
          <w:szCs w:val="32"/>
        </w:rPr>
        <w:t>将“</w:t>
      </w:r>
      <w:r>
        <w:rPr>
          <w:rStyle w:val="38"/>
          <w:rFonts w:hint="eastAsia" w:eastAsia="仿宋_GB2312"/>
          <w:sz w:val="32"/>
          <w:szCs w:val="32"/>
        </w:rPr>
        <w:t>九</w:t>
      </w:r>
      <w:r>
        <w:rPr>
          <w:rStyle w:val="38"/>
          <w:rFonts w:eastAsia="仿宋_GB2312"/>
          <w:sz w:val="32"/>
          <w:szCs w:val="32"/>
        </w:rPr>
        <w:t>防”要求细化到每个环节，严格执行温湿度登记、档案保管登记、档案查阅利用等制度。</w:t>
      </w:r>
      <w:r>
        <w:rPr>
          <w:rFonts w:hint="eastAsia" w:eastAsia="仿宋_GB2312"/>
          <w:sz w:val="32"/>
          <w:szCs w:val="32"/>
        </w:rPr>
        <w:t>进一步落实责任，强化人防、技防相结合，坚持特殊时期安全隐患日排查制度，及时发现和整改，严防安全事故发生。</w:t>
      </w:r>
      <w:r>
        <w:rPr>
          <w:rFonts w:hint="eastAsia" w:ascii="仿宋_GB2312" w:hAnsi="仿宋_GB2312" w:eastAsia="仿宋_GB2312" w:cs="仿宋_GB2312"/>
          <w:sz w:val="32"/>
          <w:szCs w:val="32"/>
        </w:rPr>
        <w:t>马尔康“</w:t>
      </w:r>
      <w:r>
        <w:rPr>
          <w:rFonts w:eastAsia="仿宋_GB2312"/>
          <w:sz w:val="32"/>
          <w:szCs w:val="32"/>
        </w:rPr>
        <w:t>6·10</w:t>
      </w:r>
      <w:r>
        <w:rPr>
          <w:rFonts w:hint="eastAsia" w:ascii="仿宋_GB2312" w:hAnsi="仿宋_GB2312" w:eastAsia="仿宋_GB2312" w:cs="仿宋_GB2312"/>
          <w:sz w:val="32"/>
          <w:szCs w:val="32"/>
        </w:rPr>
        <w:t>”地震发生后，第一时间排查各乡镇、各部门及档案馆馆藏档案安全情况。截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目前，我县未发生档案实体和信息安全事故。</w:t>
      </w:r>
    </w:p>
    <w:p w14:paraId="296F2B11">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Style w:val="38"/>
          <w:rFonts w:hint="eastAsia" w:ascii="仿宋_GB2312" w:hAnsi="仿宋_GB2312" w:eastAsia="仿宋_GB2312" w:cs="仿宋_GB2312"/>
          <w:b/>
          <w:sz w:val="32"/>
          <w:szCs w:val="32"/>
        </w:rPr>
        <w:t>8.</w:t>
      </w:r>
      <w:r>
        <w:rPr>
          <w:rFonts w:hint="eastAsia" w:ascii="仿宋_GB2312" w:hAnsi="仿宋_GB2312" w:eastAsia="仿宋_GB2312" w:cs="仿宋_GB2312"/>
          <w:b/>
          <w:bCs/>
          <w:sz w:val="32"/>
          <w:szCs w:val="32"/>
        </w:rPr>
        <w:t>有序推进档案数字化项目。</w:t>
      </w:r>
      <w:r>
        <w:rPr>
          <w:rFonts w:hint="eastAsia" w:ascii="仿宋_GB2312" w:hAnsi="仿宋_GB2312" w:eastAsia="仿宋_GB2312" w:cs="仿宋_GB2312"/>
          <w:sz w:val="32"/>
          <w:szCs w:val="32"/>
        </w:rPr>
        <w:t>认真贯彻落实省、州档案事业发展“十四五”规划要求，加强馆藏档案抢救与保护工作，奋力推进档案管理利用的转型升级，2022年，县档案馆申报了项目资金237万余元，</w:t>
      </w:r>
      <w:r>
        <w:rPr>
          <w:rFonts w:hint="eastAsia" w:eastAsia="仿宋_GB2312"/>
          <w:sz w:val="32"/>
          <w:szCs w:val="32"/>
        </w:rPr>
        <w:t>开展</w:t>
      </w:r>
      <w:r>
        <w:rPr>
          <w:rFonts w:hint="eastAsia" w:ascii="仿宋_GB2312" w:hAnsi="仿宋_GB2312" w:eastAsia="仿宋_GB2312" w:cs="仿宋_GB2312"/>
          <w:sz w:val="32"/>
          <w:szCs w:val="32"/>
        </w:rPr>
        <w:t>馆藏非涉密档案数字化工作，档案数字化加工项目正在实施，</w:t>
      </w:r>
      <w:r>
        <w:rPr>
          <w:rStyle w:val="38"/>
          <w:rFonts w:hint="eastAsia" w:eastAsia="仿宋_GB2312"/>
          <w:sz w:val="32"/>
          <w:szCs w:val="32"/>
        </w:rPr>
        <w:t>截止10月25日，已完成档案数字化加工并质检265.8万页，完成率达60%</w:t>
      </w:r>
      <w:r>
        <w:rPr>
          <w:rFonts w:hint="eastAsia" w:ascii="仿宋_GB2312" w:hAnsi="仿宋_GB2312" w:eastAsia="仿宋_GB2312" w:cs="仿宋_GB2312"/>
          <w:sz w:val="32"/>
          <w:szCs w:val="32"/>
        </w:rPr>
        <w:t>。</w:t>
      </w:r>
    </w:p>
    <w:p w14:paraId="4B3DC696">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bidi="ar"/>
        </w:rPr>
      </w:pPr>
      <w:r>
        <w:rPr>
          <w:rFonts w:hint="eastAsia" w:ascii="仿宋_GB2312" w:hAnsi="仿宋_GB2312" w:eastAsia="仿宋_GB2312" w:cs="仿宋_GB2312"/>
          <w:b/>
          <w:bCs/>
          <w:color w:val="000000"/>
          <w:kern w:val="0"/>
          <w:sz w:val="32"/>
          <w:szCs w:val="32"/>
          <w:shd w:val="clear" w:color="auto" w:fill="FFFFFF"/>
          <w:lang w:bidi="ar"/>
        </w:rPr>
        <w:t>3、预算编制情况</w:t>
      </w:r>
    </w:p>
    <w:p w14:paraId="32B2D97B">
      <w:pPr>
        <w:pStyle w:val="14"/>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2022年财政下达壤塘县</w:t>
      </w:r>
      <w:r>
        <w:rPr>
          <w:rFonts w:hint="default" w:ascii="Times New Roman" w:hAnsi="Times New Roman" w:eastAsia="仿宋_GB2312" w:cs="Times New Roman"/>
          <w:color w:val="000000"/>
          <w:kern w:val="0"/>
          <w:sz w:val="32"/>
          <w:szCs w:val="32"/>
          <w:lang w:val="en-US" w:eastAsia="zh-CN" w:bidi="ar"/>
        </w:rPr>
        <w:t>档案馆</w:t>
      </w:r>
      <w:r>
        <w:rPr>
          <w:rFonts w:hint="default" w:ascii="Times New Roman" w:hAnsi="Times New Roman" w:eastAsia="仿宋_GB2312" w:cs="Times New Roman"/>
          <w:color w:val="000000"/>
          <w:kern w:val="0"/>
          <w:sz w:val="32"/>
          <w:szCs w:val="32"/>
          <w:lang w:bidi="ar"/>
        </w:rPr>
        <w:t>年初预算</w:t>
      </w:r>
      <w:r>
        <w:rPr>
          <w:rFonts w:hint="default" w:ascii="Times New Roman" w:hAnsi="Times New Roman" w:eastAsia="仿宋_GB2312" w:cs="Times New Roman"/>
          <w:color w:val="000000"/>
          <w:kern w:val="0"/>
          <w:sz w:val="32"/>
          <w:szCs w:val="32"/>
          <w:lang w:val="en-US" w:eastAsia="zh-CN" w:bidi="ar"/>
        </w:rPr>
        <w:t>收</w:t>
      </w:r>
      <w:r>
        <w:rPr>
          <w:rFonts w:hint="default" w:ascii="Times New Roman" w:hAnsi="Times New Roman" w:eastAsia="仿宋_GB2312" w:cs="Times New Roman"/>
          <w:color w:val="000000"/>
          <w:kern w:val="0"/>
          <w:sz w:val="32"/>
          <w:szCs w:val="32"/>
          <w:lang w:bidi="ar"/>
        </w:rPr>
        <w:t>入</w:t>
      </w:r>
      <w:r>
        <w:rPr>
          <w:rFonts w:hint="default" w:ascii="Times New Roman" w:hAnsi="Times New Roman" w:eastAsia="仿宋_GB2312" w:cs="Times New Roman"/>
          <w:sz w:val="32"/>
          <w:szCs w:val="32"/>
          <w:lang w:val="en-US" w:eastAsia="zh-CN"/>
        </w:rPr>
        <w:t>136.77</w:t>
      </w:r>
      <w:r>
        <w:rPr>
          <w:rFonts w:hint="default" w:ascii="Times New Roman" w:hAnsi="Times New Roman" w:eastAsia="仿宋_GB2312" w:cs="Times New Roman"/>
          <w:color w:val="000000"/>
          <w:kern w:val="0"/>
          <w:sz w:val="32"/>
          <w:szCs w:val="32"/>
          <w:lang w:bidi="ar"/>
        </w:rPr>
        <w:t>万元</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auto"/>
          <w:sz w:val="32"/>
          <w:szCs w:val="32"/>
          <w:lang w:eastAsia="zh-CN"/>
        </w:rPr>
        <w:t>执行期中追加收入</w:t>
      </w:r>
      <w:r>
        <w:rPr>
          <w:rFonts w:hint="default" w:ascii="Times New Roman" w:hAnsi="Times New Roman" w:eastAsia="仿宋_GB2312" w:cs="Times New Roman"/>
          <w:color w:val="auto"/>
          <w:sz w:val="32"/>
          <w:szCs w:val="32"/>
          <w:lang w:val="en-US" w:eastAsia="zh-CN"/>
        </w:rPr>
        <w:t>54.29</w:t>
      </w:r>
      <w:r>
        <w:rPr>
          <w:rFonts w:hint="default" w:ascii="Times New Roman" w:hAnsi="Times New Roman" w:eastAsia="仿宋_GB2312" w:cs="Times New Roman"/>
          <w:color w:val="auto"/>
          <w:sz w:val="32"/>
          <w:szCs w:val="32"/>
          <w:lang w:eastAsia="zh-CN"/>
        </w:rPr>
        <w:t>万元</w:t>
      </w:r>
      <w:r>
        <w:rPr>
          <w:rFonts w:hint="default" w:ascii="Times New Roman" w:hAnsi="Times New Roman" w:eastAsia="仿宋_GB2312" w:cs="Times New Roman"/>
          <w:color w:val="000000"/>
          <w:kern w:val="0"/>
          <w:sz w:val="32"/>
          <w:szCs w:val="32"/>
          <w:lang w:bidi="ar"/>
        </w:rPr>
        <w:t>；2022全年实际收入共计</w:t>
      </w:r>
      <w:r>
        <w:rPr>
          <w:rFonts w:hint="default" w:ascii="Times New Roman" w:hAnsi="Times New Roman" w:eastAsia="仿宋_GB2312" w:cs="Times New Roman"/>
          <w:sz w:val="32"/>
          <w:szCs w:val="32"/>
          <w:lang w:val="en-US" w:eastAsia="zh-CN"/>
        </w:rPr>
        <w:t>191.06</w:t>
      </w:r>
      <w:r>
        <w:rPr>
          <w:rFonts w:hint="default" w:ascii="Times New Roman" w:hAnsi="Times New Roman" w:eastAsia="仿宋_GB2312" w:cs="Times New Roman"/>
          <w:color w:val="000000"/>
          <w:kern w:val="0"/>
          <w:sz w:val="32"/>
          <w:szCs w:val="32"/>
          <w:lang w:bidi="ar"/>
        </w:rPr>
        <w:t>万元，年末无结转结余，预算编制准确率较高。严格按照预算编制方案科学合理编制本单位预算，提前做好情况摸底、数据收集、填报绩效目标、细化专项预算，按照人员经费逐人核定编制，公用经费按定额编制；根据“总量控制、计划管理”的要求从严控制机关经费，严格编制“三公</w:t>
      </w:r>
      <w:r>
        <w:rPr>
          <w:rFonts w:hint="eastAsia"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经费预算，压缩公业务费，科学编制项目支出，编制部门预算项目绩效目标，按时完成预算编制报送工作。</w:t>
      </w:r>
    </w:p>
    <w:p w14:paraId="27F6573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bidi="ar"/>
        </w:rPr>
        <w:t>4、执行进度情况</w:t>
      </w:r>
    </w:p>
    <w:p w14:paraId="5A944B9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2022年财政下达壤塘县</w:t>
      </w:r>
      <w:r>
        <w:rPr>
          <w:rFonts w:hint="default" w:ascii="Times New Roman" w:hAnsi="Times New Roman" w:eastAsia="仿宋_GB2312" w:cs="Times New Roman"/>
          <w:color w:val="000000"/>
          <w:kern w:val="0"/>
          <w:sz w:val="32"/>
          <w:szCs w:val="32"/>
          <w:lang w:val="en-US" w:eastAsia="zh-CN" w:bidi="ar"/>
        </w:rPr>
        <w:t>档案馆</w:t>
      </w:r>
      <w:r>
        <w:rPr>
          <w:rFonts w:hint="default" w:ascii="Times New Roman" w:hAnsi="Times New Roman" w:eastAsia="仿宋_GB2312" w:cs="Times New Roman"/>
          <w:color w:val="000000"/>
          <w:kern w:val="0"/>
          <w:sz w:val="32"/>
          <w:szCs w:val="32"/>
          <w:lang w:bidi="ar"/>
        </w:rPr>
        <w:t>年初预算收入</w:t>
      </w:r>
      <w:r>
        <w:rPr>
          <w:rFonts w:hint="default" w:ascii="Times New Roman" w:hAnsi="Times New Roman" w:eastAsia="仿宋_GB2312" w:cs="Times New Roman"/>
          <w:sz w:val="32"/>
          <w:szCs w:val="32"/>
          <w:lang w:val="en-US" w:eastAsia="zh-CN"/>
        </w:rPr>
        <w:t>191.06</w:t>
      </w:r>
      <w:r>
        <w:rPr>
          <w:rFonts w:hint="default" w:ascii="Times New Roman" w:hAnsi="Times New Roman" w:eastAsia="仿宋_GB2312" w:cs="Times New Roman"/>
          <w:color w:val="000000"/>
          <w:kern w:val="0"/>
          <w:sz w:val="32"/>
          <w:szCs w:val="32"/>
          <w:lang w:bidi="ar"/>
        </w:rPr>
        <w:t>万元。年末无结转结余，单位执行进度为</w:t>
      </w:r>
      <w:r>
        <w:rPr>
          <w:rFonts w:hint="default" w:ascii="Times New Roman" w:hAnsi="Times New Roman" w:eastAsia="仿宋_GB2312" w:cs="Times New Roman"/>
          <w:color w:val="000000"/>
          <w:kern w:val="0"/>
          <w:sz w:val="32"/>
          <w:szCs w:val="32"/>
          <w:lang w:val="en-US" w:eastAsia="zh-CN" w:bidi="ar"/>
        </w:rPr>
        <w:t>100</w:t>
      </w:r>
      <w:r>
        <w:rPr>
          <w:rFonts w:hint="default" w:ascii="Times New Roman" w:hAnsi="Times New Roman" w:eastAsia="仿宋_GB2312" w:cs="Times New Roman"/>
          <w:color w:val="000000"/>
          <w:kern w:val="0"/>
          <w:sz w:val="32"/>
          <w:szCs w:val="32"/>
          <w:lang w:bidi="ar"/>
        </w:rPr>
        <w:t>%，达到预期目标。</w:t>
      </w:r>
    </w:p>
    <w:p w14:paraId="65384BA3">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bidi="ar"/>
        </w:rPr>
        <w:t>5、预算完成情况</w:t>
      </w:r>
    </w:p>
    <w:p w14:paraId="67FB0AB9">
      <w:pPr>
        <w:pStyle w:val="14"/>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2022年财政下达壤塘县</w:t>
      </w:r>
      <w:r>
        <w:rPr>
          <w:rFonts w:hint="default" w:ascii="Times New Roman" w:hAnsi="Times New Roman" w:eastAsia="仿宋_GB2312" w:cs="Times New Roman"/>
          <w:color w:val="000000"/>
          <w:kern w:val="0"/>
          <w:sz w:val="32"/>
          <w:szCs w:val="32"/>
          <w:lang w:val="en-US" w:eastAsia="zh-CN" w:bidi="ar"/>
        </w:rPr>
        <w:t>档案馆</w:t>
      </w:r>
      <w:r>
        <w:rPr>
          <w:rFonts w:hint="default" w:ascii="Times New Roman" w:hAnsi="Times New Roman" w:eastAsia="仿宋_GB2312" w:cs="Times New Roman"/>
          <w:color w:val="000000"/>
          <w:kern w:val="0"/>
          <w:sz w:val="32"/>
          <w:szCs w:val="32"/>
          <w:lang w:bidi="ar"/>
        </w:rPr>
        <w:t>年初预算收入</w:t>
      </w:r>
      <w:r>
        <w:rPr>
          <w:rFonts w:hint="default" w:ascii="Times New Roman" w:hAnsi="Times New Roman" w:eastAsia="仿宋_GB2312" w:cs="Times New Roman"/>
          <w:sz w:val="32"/>
          <w:szCs w:val="32"/>
          <w:lang w:val="en-US" w:eastAsia="zh-CN"/>
        </w:rPr>
        <w:t>191.06</w:t>
      </w:r>
      <w:r>
        <w:rPr>
          <w:rFonts w:hint="default" w:ascii="Times New Roman" w:hAnsi="Times New Roman" w:eastAsia="仿宋_GB2312" w:cs="Times New Roman"/>
          <w:color w:val="000000"/>
          <w:kern w:val="0"/>
          <w:sz w:val="32"/>
          <w:szCs w:val="32"/>
          <w:lang w:bidi="ar"/>
        </w:rPr>
        <w:t>万元。年末无结转结余，单位执行进度为</w:t>
      </w:r>
      <w:r>
        <w:rPr>
          <w:rFonts w:hint="default" w:ascii="Times New Roman" w:hAnsi="Times New Roman" w:eastAsia="仿宋_GB2312" w:cs="Times New Roman"/>
          <w:color w:val="000000"/>
          <w:kern w:val="0"/>
          <w:sz w:val="32"/>
          <w:szCs w:val="32"/>
          <w:lang w:val="en-US" w:eastAsia="zh-CN" w:bidi="ar"/>
        </w:rPr>
        <w:t>99</w:t>
      </w:r>
      <w:r>
        <w:rPr>
          <w:rFonts w:hint="default" w:ascii="Times New Roman" w:hAnsi="Times New Roman" w:eastAsia="仿宋_GB2312" w:cs="Times New Roman"/>
          <w:color w:val="000000"/>
          <w:kern w:val="0"/>
          <w:sz w:val="32"/>
          <w:szCs w:val="32"/>
          <w:lang w:bidi="ar"/>
        </w:rPr>
        <w:t>%，达到预期目标。</w:t>
      </w:r>
    </w:p>
    <w:p w14:paraId="4655D41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仿宋_GB2312" w:hAnsi="仿宋_GB2312" w:eastAsia="仿宋_GB2312" w:cs="仿宋_GB2312"/>
          <w:b/>
          <w:bCs/>
          <w:color w:val="000000"/>
          <w:kern w:val="0"/>
          <w:sz w:val="32"/>
          <w:szCs w:val="32"/>
          <w:shd w:val="clear" w:color="auto" w:fill="FFFFFF"/>
          <w:lang w:val="en-US" w:eastAsia="zh-CN" w:bidi="ar"/>
        </w:rPr>
      </w:pPr>
      <w:r>
        <w:rPr>
          <w:rFonts w:hint="default" w:ascii="仿宋_GB2312" w:hAnsi="仿宋_GB2312" w:eastAsia="仿宋_GB2312" w:cs="仿宋_GB2312"/>
          <w:b/>
          <w:bCs/>
          <w:color w:val="000000"/>
          <w:kern w:val="0"/>
          <w:sz w:val="32"/>
          <w:szCs w:val="32"/>
          <w:shd w:val="clear" w:color="auto" w:fill="FFFFFF"/>
          <w:lang w:val="en-US" w:eastAsia="zh-CN" w:bidi="ar"/>
        </w:rPr>
        <w:t>6、行政成本</w:t>
      </w:r>
    </w:p>
    <w:p w14:paraId="734BC990">
      <w:pPr>
        <w:pStyle w:val="5"/>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壤塘县档案馆2022年“三公”经费财政拨款预算数0.00万元，其中：因公出国（境）经费0.00万元，公务接待费0.00万元，公务用车购置及运行维护费0.00万元。</w:t>
      </w:r>
    </w:p>
    <w:p w14:paraId="16FD15EC">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en-US" w:eastAsia="zh-CN" w:bidi="ar"/>
        </w:rPr>
      </w:pPr>
      <w:r>
        <w:rPr>
          <w:rFonts w:hint="eastAsia" w:ascii="仿宋_GB2312" w:hAnsi="仿宋_GB2312" w:eastAsia="仿宋_GB2312" w:cs="仿宋_GB2312"/>
          <w:b/>
          <w:bCs/>
          <w:color w:val="000000"/>
          <w:kern w:val="0"/>
          <w:sz w:val="32"/>
          <w:szCs w:val="32"/>
          <w:shd w:val="clear" w:color="auto" w:fill="FFFFFF"/>
          <w:lang w:val="en-US" w:eastAsia="zh-CN" w:bidi="ar"/>
        </w:rPr>
        <w:t>7、政府采购</w:t>
      </w:r>
    </w:p>
    <w:p w14:paraId="2731D000">
      <w:pPr>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壤塘县档案馆2022年政府性基金预算拨款安排的支出0万元。</w:t>
      </w:r>
    </w:p>
    <w:p w14:paraId="4A27416C">
      <w:pPr>
        <w:pStyle w:val="5"/>
        <w:keepNext w:val="0"/>
        <w:keepLines w:val="0"/>
        <w:pageBreakBefore w:val="0"/>
        <w:numPr>
          <w:ilvl w:val="0"/>
          <w:numId w:val="6"/>
        </w:numPr>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b/>
          <w:bCs/>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 xml:space="preserve">资产管理 </w:t>
      </w:r>
    </w:p>
    <w:p w14:paraId="47B18515">
      <w:pPr>
        <w:pStyle w:val="5"/>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sz w:val="32"/>
          <w:szCs w:val="32"/>
        </w:rPr>
        <w:t>固定资产在用率。截止20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val="en-US" w:eastAsia="zh-CN"/>
        </w:rPr>
        <w:t>我</w:t>
      </w:r>
      <w:r>
        <w:rPr>
          <w:rFonts w:hint="default" w:ascii="Times New Roman" w:hAnsi="Times New Roman" w:eastAsia="仿宋_GB2312" w:cs="Times New Roman"/>
          <w:sz w:val="32"/>
          <w:szCs w:val="32"/>
        </w:rPr>
        <w:t>局《行政单位资产管理系统》固定资产总计</w:t>
      </w:r>
      <w:r>
        <w:rPr>
          <w:rFonts w:hint="default" w:ascii="Times New Roman" w:hAnsi="Times New Roman" w:eastAsia="仿宋_GB2312" w:cs="Times New Roman"/>
          <w:sz w:val="32"/>
          <w:szCs w:val="32"/>
          <w:lang w:val="en-US" w:eastAsia="zh-CN"/>
        </w:rPr>
        <w:t>523.96</w:t>
      </w:r>
      <w:r>
        <w:rPr>
          <w:rFonts w:hint="default" w:ascii="Times New Roman" w:hAnsi="Times New Roman" w:eastAsia="仿宋_GB2312" w:cs="Times New Roman"/>
          <w:sz w:val="32"/>
          <w:szCs w:val="32"/>
        </w:rPr>
        <w:t>万元，在用的固定资产总计</w:t>
      </w:r>
      <w:r>
        <w:rPr>
          <w:rFonts w:hint="default" w:ascii="Times New Roman" w:hAnsi="Times New Roman" w:eastAsia="仿宋_GB2312" w:cs="Times New Roman"/>
          <w:sz w:val="32"/>
          <w:szCs w:val="32"/>
          <w:lang w:val="en-US" w:eastAsia="zh-CN"/>
        </w:rPr>
        <w:t>523.96</w:t>
      </w:r>
      <w:r>
        <w:rPr>
          <w:rFonts w:hint="default" w:ascii="Times New Roman" w:hAnsi="Times New Roman" w:eastAsia="仿宋_GB2312" w:cs="Times New Roman"/>
          <w:sz w:val="32"/>
          <w:szCs w:val="32"/>
        </w:rPr>
        <w:t>万元，固定资产在用率达</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kern w:val="0"/>
          <w:sz w:val="32"/>
          <w:szCs w:val="32"/>
          <w:lang w:val="en-US" w:eastAsia="zh-CN" w:bidi="ar"/>
        </w:rPr>
        <w:t xml:space="preserve"> </w:t>
      </w:r>
    </w:p>
    <w:p w14:paraId="5DD04AC1">
      <w:pPr>
        <w:pStyle w:val="5"/>
        <w:keepNext w:val="0"/>
        <w:keepLines w:val="0"/>
        <w:pageBreakBefore w:val="0"/>
        <w:numPr>
          <w:ilvl w:val="0"/>
          <w:numId w:val="6"/>
        </w:numPr>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b/>
          <w:bCs/>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违规记录等情况</w:t>
      </w:r>
    </w:p>
    <w:p w14:paraId="69FC5336">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无</w:t>
      </w:r>
    </w:p>
    <w:p w14:paraId="12BFBCC0">
      <w:pPr>
        <w:keepNext w:val="0"/>
        <w:keepLines w:val="0"/>
        <w:pageBreakBefore w:val="0"/>
        <w:kinsoku/>
        <w:wordWrap/>
        <w:overflowPunct/>
        <w:topLinePunct w:val="0"/>
        <w:autoSpaceDE/>
        <w:autoSpaceDN/>
        <w:bidi w:val="0"/>
        <w:snapToGrid w:val="0"/>
        <w:spacing w:line="560" w:lineRule="exact"/>
        <w:ind w:firstLine="643" w:firstLineChars="200"/>
        <w:textAlignment w:val="auto"/>
        <w:outlineLvl w:val="9"/>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color w:val="000000"/>
          <w:kern w:val="0"/>
          <w:sz w:val="32"/>
          <w:szCs w:val="32"/>
          <w:lang w:val="en-US" w:eastAsia="zh-CN" w:bidi="ar"/>
        </w:rPr>
        <w:t>10、</w:t>
      </w:r>
      <w:r>
        <w:rPr>
          <w:rFonts w:hint="eastAsia" w:ascii="仿宋_GB2312" w:hAnsi="仿宋_GB2312" w:eastAsia="仿宋_GB2312" w:cs="仿宋_GB2312"/>
          <w:b/>
          <w:bCs/>
          <w:kern w:val="0"/>
          <w:sz w:val="32"/>
          <w:szCs w:val="32"/>
        </w:rPr>
        <w:t>信息公开</w:t>
      </w:r>
    </w:p>
    <w:p w14:paraId="12E1BEE7">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信息公开。</w:t>
      </w:r>
      <w:r>
        <w:rPr>
          <w:rFonts w:hint="default" w:ascii="Times New Roman" w:hAnsi="Times New Roman" w:eastAsia="仿宋_GB2312" w:cs="Times New Roman"/>
          <w:sz w:val="32"/>
          <w:szCs w:val="32"/>
          <w:lang w:val="en-US" w:eastAsia="zh-CN"/>
        </w:rPr>
        <w:t>我</w:t>
      </w:r>
      <w:r>
        <w:rPr>
          <w:rFonts w:hint="eastAsia" w:ascii="Times New Roman" w:hAnsi="Times New Roman" w:eastAsia="仿宋_GB2312" w:cs="Times New Roman"/>
          <w:sz w:val="32"/>
          <w:szCs w:val="32"/>
          <w:lang w:val="en-US" w:eastAsia="zh-CN"/>
        </w:rPr>
        <w:t>馆</w:t>
      </w:r>
      <w:r>
        <w:rPr>
          <w:rFonts w:hint="default" w:ascii="Times New Roman" w:hAnsi="Times New Roman" w:eastAsia="仿宋_GB2312" w:cs="Times New Roman"/>
          <w:sz w:val="32"/>
          <w:szCs w:val="32"/>
        </w:rPr>
        <w:t>已经按财政要求及时完成预算、决算、绩效等信息公开工作，信息公开在</w:t>
      </w:r>
      <w:r>
        <w:rPr>
          <w:rFonts w:hint="default" w:ascii="Times New Roman" w:hAnsi="Times New Roman" w:eastAsia="仿宋_GB2312" w:cs="Times New Roman"/>
          <w:sz w:val="32"/>
          <w:szCs w:val="32"/>
          <w:lang w:val="en-US" w:eastAsia="zh-CN"/>
        </w:rPr>
        <w:t>壤塘县</w:t>
      </w:r>
      <w:r>
        <w:rPr>
          <w:rFonts w:hint="default" w:ascii="Times New Roman" w:hAnsi="Times New Roman" w:eastAsia="仿宋_GB2312" w:cs="Times New Roman"/>
          <w:sz w:val="32"/>
          <w:szCs w:val="32"/>
        </w:rPr>
        <w:t>门户网站中。</w:t>
      </w:r>
    </w:p>
    <w:p w14:paraId="6EE04DD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rPr>
      </w:pPr>
      <w:r>
        <w:rPr>
          <w:rFonts w:hint="eastAsia" w:ascii="楷体" w:hAnsi="楷体" w:eastAsia="楷体" w:cs="楷体"/>
          <w:b/>
          <w:bCs/>
          <w:color w:val="000000"/>
          <w:kern w:val="0"/>
          <w:sz w:val="32"/>
          <w:szCs w:val="32"/>
          <w:shd w:val="clear" w:color="auto" w:fill="FFFFFF"/>
          <w:lang w:bidi="ar"/>
        </w:rPr>
        <w:t>（二）结果应用情况</w:t>
      </w:r>
    </w:p>
    <w:p w14:paraId="549267D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绩效目标填报执行了《四川省省级财政专项资金绩效分配管理暂行办法》，实施绩效分配。在项目资金管理方面，单位建立和健全项目资金管理制度和管理办法。严格资金的使用和划拨流程，确保资金使用安全、公平、合理。项目资金做到了专款专用，及时支付。资金的支付均通过对公账户，直接支付到供应商,切实保障了资金使用的准确性和安全性。在绩效目标评价方面，根据县财政局要求，我</w:t>
      </w:r>
      <w:r>
        <w:rPr>
          <w:rFonts w:hint="eastAsia" w:ascii="Times New Roman" w:hAnsi="Times New Roman" w:eastAsia="仿宋_GB2312" w:cs="Times New Roman"/>
          <w:color w:val="000000"/>
          <w:kern w:val="0"/>
          <w:sz w:val="32"/>
          <w:szCs w:val="32"/>
          <w:lang w:val="en-US" w:eastAsia="zh-CN" w:bidi="ar"/>
        </w:rPr>
        <w:t>馆</w:t>
      </w:r>
      <w:r>
        <w:rPr>
          <w:rFonts w:hint="default" w:ascii="Times New Roman" w:hAnsi="Times New Roman" w:eastAsia="仿宋_GB2312" w:cs="Times New Roman"/>
          <w:color w:val="000000"/>
          <w:kern w:val="0"/>
          <w:sz w:val="32"/>
          <w:szCs w:val="32"/>
          <w:lang w:bidi="ar"/>
        </w:rPr>
        <w:t>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我单位各项工作的正常运转。</w:t>
      </w:r>
    </w:p>
    <w:p w14:paraId="1700EB8B">
      <w:pPr>
        <w:keepNext w:val="0"/>
        <w:keepLines w:val="0"/>
        <w:pageBreakBefore w:val="0"/>
        <w:widowControl/>
        <w:numPr>
          <w:ilvl w:val="0"/>
          <w:numId w:val="7"/>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kern w:val="0"/>
          <w:sz w:val="32"/>
          <w:szCs w:val="32"/>
          <w:shd w:val="clear" w:color="auto" w:fill="FFFFFF"/>
          <w:lang w:bidi="ar"/>
        </w:rPr>
      </w:pPr>
      <w:r>
        <w:rPr>
          <w:rFonts w:hint="default" w:ascii="Times New Roman" w:hAnsi="Times New Roman" w:eastAsia="黑体" w:cs="Times New Roman"/>
          <w:color w:val="000000"/>
          <w:kern w:val="0"/>
          <w:sz w:val="32"/>
          <w:szCs w:val="32"/>
          <w:shd w:val="clear" w:color="auto" w:fill="FFFFFF"/>
          <w:lang w:bidi="ar"/>
        </w:rPr>
        <w:t>评价结论及建议</w:t>
      </w:r>
    </w:p>
    <w:p w14:paraId="16542BC3">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bidi="ar"/>
        </w:rPr>
      </w:pPr>
      <w:r>
        <w:rPr>
          <w:rFonts w:hint="eastAsia" w:ascii="楷体" w:hAnsi="楷体" w:eastAsia="楷体" w:cs="楷体"/>
          <w:b/>
          <w:bCs/>
          <w:color w:val="000000"/>
          <w:kern w:val="0"/>
          <w:sz w:val="32"/>
          <w:szCs w:val="32"/>
          <w:shd w:val="clear" w:color="auto" w:fill="FFFFFF"/>
          <w:lang w:bidi="ar"/>
        </w:rPr>
        <w:t>评价结论</w:t>
      </w:r>
    </w:p>
    <w:p w14:paraId="316FF5D2">
      <w:pPr>
        <w:pStyle w:val="14"/>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val="zh-CN" w:bidi="ar"/>
        </w:rPr>
        <w:t>我</w:t>
      </w:r>
      <w:r>
        <w:rPr>
          <w:rFonts w:hint="eastAsia" w:ascii="Times New Roman" w:hAnsi="Times New Roman" w:eastAsia="仿宋_GB2312" w:cs="Times New Roman"/>
          <w:color w:val="000000"/>
          <w:kern w:val="0"/>
          <w:sz w:val="32"/>
          <w:szCs w:val="32"/>
          <w:lang w:val="en-US" w:eastAsia="zh-CN" w:bidi="ar"/>
        </w:rPr>
        <w:t>馆</w:t>
      </w:r>
      <w:r>
        <w:rPr>
          <w:rFonts w:hint="default" w:ascii="Times New Roman" w:hAnsi="Times New Roman" w:eastAsia="仿宋_GB2312" w:cs="Times New Roman"/>
          <w:color w:val="000000"/>
          <w:kern w:val="0"/>
          <w:sz w:val="32"/>
          <w:szCs w:val="32"/>
          <w:lang w:val="zh-CN" w:bidi="ar"/>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default" w:ascii="Times New Roman" w:hAnsi="Times New Roman" w:eastAsia="仿宋_GB2312" w:cs="Times New Roman"/>
          <w:color w:val="000000"/>
          <w:kern w:val="0"/>
          <w:sz w:val="32"/>
          <w:szCs w:val="32"/>
          <w:lang w:bidi="ar"/>
        </w:rPr>
        <w:t>会</w:t>
      </w:r>
      <w:r>
        <w:rPr>
          <w:rFonts w:hint="default" w:ascii="Times New Roman" w:hAnsi="Times New Roman" w:eastAsia="仿宋_GB2312" w:cs="Times New Roman"/>
          <w:color w:val="000000"/>
          <w:kern w:val="0"/>
          <w:sz w:val="32"/>
          <w:szCs w:val="32"/>
          <w:lang w:val="zh-CN" w:bidi="ar"/>
        </w:rPr>
        <w:t>将继续努力，科学合理编制预决算，进行绩效评价，加强精细管理，完善不足。</w:t>
      </w:r>
      <w:r>
        <w:rPr>
          <w:rFonts w:hint="default" w:ascii="Times New Roman" w:hAnsi="Times New Roman" w:eastAsia="仿宋_GB2312" w:cs="Times New Roman"/>
          <w:color w:val="000000"/>
          <w:kern w:val="0"/>
          <w:sz w:val="32"/>
          <w:szCs w:val="32"/>
          <w:lang w:bidi="ar"/>
        </w:rPr>
        <w:t>根据《壤塘县2022年部门整体支出绩效评价指标体系》评分，得分</w:t>
      </w:r>
      <w:r>
        <w:rPr>
          <w:rFonts w:hint="default" w:ascii="Times New Roman" w:hAnsi="Times New Roman" w:eastAsia="仿宋_GB2312" w:cs="Times New Roman"/>
          <w:color w:val="000000"/>
          <w:kern w:val="0"/>
          <w:sz w:val="32"/>
          <w:szCs w:val="32"/>
          <w:lang w:val="en-US" w:eastAsia="zh-CN" w:bidi="ar"/>
        </w:rPr>
        <w:t>99</w:t>
      </w:r>
      <w:r>
        <w:rPr>
          <w:rFonts w:hint="default" w:ascii="Times New Roman" w:hAnsi="Times New Roman" w:eastAsia="仿宋_GB2312" w:cs="Times New Roman"/>
          <w:color w:val="000000"/>
          <w:kern w:val="0"/>
          <w:sz w:val="32"/>
          <w:szCs w:val="32"/>
          <w:lang w:bidi="ar"/>
        </w:rPr>
        <w:t>分，绩效评价结果优秀。</w:t>
      </w:r>
    </w:p>
    <w:p w14:paraId="72E05FA0">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bidi="ar"/>
        </w:rPr>
      </w:pPr>
      <w:r>
        <w:rPr>
          <w:rFonts w:hint="eastAsia" w:ascii="楷体" w:hAnsi="楷体" w:eastAsia="楷体" w:cs="楷体"/>
          <w:b/>
          <w:bCs/>
          <w:color w:val="000000"/>
          <w:kern w:val="0"/>
          <w:sz w:val="32"/>
          <w:szCs w:val="32"/>
          <w:shd w:val="clear" w:color="auto" w:fill="FFFFFF"/>
          <w:lang w:bidi="ar"/>
        </w:rPr>
        <w:t>存在问题</w:t>
      </w:r>
    </w:p>
    <w:p w14:paraId="250B1E4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val="zh-CN" w:bidi="ar"/>
        </w:rPr>
      </w:pPr>
      <w:r>
        <w:rPr>
          <w:rFonts w:hint="default" w:ascii="Times New Roman" w:hAnsi="Times New Roman" w:eastAsia="仿宋_GB2312" w:cs="Times New Roman"/>
          <w:color w:val="000000"/>
          <w:kern w:val="0"/>
          <w:sz w:val="32"/>
          <w:szCs w:val="32"/>
          <w:lang w:bidi="ar"/>
        </w:rPr>
        <w:t>1、预算编制前根据年度内单位可预见的工作任务，确定了单位年度预算目标，细化了预算指标，但预算编制的精准性有待进一步提高。</w:t>
      </w:r>
    </w:p>
    <w:p w14:paraId="61FFA1F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bidi="ar"/>
        </w:rPr>
        <w:t>2、</w:t>
      </w:r>
      <w:r>
        <w:rPr>
          <w:rFonts w:hint="default" w:ascii="Times New Roman" w:hAnsi="Times New Roman" w:eastAsia="仿宋_GB2312" w:cs="Times New Roman"/>
          <w:color w:val="000000"/>
          <w:kern w:val="0"/>
          <w:sz w:val="32"/>
          <w:szCs w:val="32"/>
          <w:lang w:val="en-US" w:eastAsia="zh-CN" w:bidi="ar"/>
        </w:rPr>
        <w:t>未制定明确的财务监控监督措施。</w:t>
      </w:r>
    </w:p>
    <w:p w14:paraId="4C17AF4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 w:hAnsi="楷体" w:eastAsia="楷体" w:cs="楷体"/>
          <w:color w:val="000000"/>
          <w:kern w:val="0"/>
          <w:sz w:val="32"/>
          <w:szCs w:val="32"/>
          <w:shd w:val="clear" w:color="auto" w:fill="FFFFFF"/>
          <w:lang w:bidi="ar"/>
        </w:rPr>
      </w:pPr>
      <w:r>
        <w:rPr>
          <w:rFonts w:hint="eastAsia" w:ascii="楷体" w:hAnsi="楷体" w:eastAsia="楷体" w:cs="楷体"/>
          <w:color w:val="000000"/>
          <w:kern w:val="0"/>
          <w:sz w:val="32"/>
          <w:szCs w:val="32"/>
          <w:shd w:val="clear" w:color="auto" w:fill="FFFFFF"/>
          <w:lang w:bidi="ar"/>
        </w:rPr>
        <w:t>（三）</w:t>
      </w:r>
      <w:r>
        <w:rPr>
          <w:rFonts w:hint="eastAsia" w:ascii="楷体" w:hAnsi="楷体" w:eastAsia="楷体" w:cs="楷体"/>
          <w:b/>
          <w:bCs/>
          <w:color w:val="000000"/>
          <w:kern w:val="0"/>
          <w:sz w:val="32"/>
          <w:szCs w:val="32"/>
          <w:shd w:val="clear" w:color="auto" w:fill="FFFFFF"/>
          <w:lang w:bidi="ar"/>
        </w:rPr>
        <w:t>改进建议</w:t>
      </w:r>
    </w:p>
    <w:p w14:paraId="2F2CEC6D">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1</w:t>
      </w:r>
      <w:r>
        <w:rPr>
          <w:rFonts w:hint="eastAsia"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bidi="ar"/>
        </w:rPr>
        <w:t>加强学习，提高思想认识。组织单位财务人员认真学习《预算法》、《项目支出绩效评价》等文件精神及相关法规、制度，提高单位领导对全面预算管理及绩效评价工作的重视程度，增强意识。</w:t>
      </w:r>
    </w:p>
    <w:p w14:paraId="23B8921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color w:val="000000"/>
          <w:kern w:val="0"/>
          <w:sz w:val="32"/>
          <w:szCs w:val="32"/>
          <w:lang w:bidi="ar"/>
        </w:rPr>
      </w:pPr>
      <w:r>
        <w:rPr>
          <w:rFonts w:hint="default" w:ascii="Times New Roman" w:hAnsi="Times New Roman" w:eastAsia="仿宋_GB2312" w:cs="Times New Roman"/>
          <w:color w:val="000000"/>
          <w:kern w:val="0"/>
          <w:sz w:val="32"/>
          <w:szCs w:val="32"/>
          <w:lang w:bidi="ar"/>
        </w:rPr>
        <w:t>2</w:t>
      </w:r>
      <w:r>
        <w:rPr>
          <w:rFonts w:hint="eastAsia"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
        </w:rPr>
        <w:t>制定明确的财务监控监督措施。</w:t>
      </w:r>
    </w:p>
    <w:p w14:paraId="63616534">
      <w:pPr>
        <w:spacing w:line="580" w:lineRule="exact"/>
        <w:rPr>
          <w:rStyle w:val="30"/>
          <w:rFonts w:hint="default" w:ascii="Times New Roman" w:hAnsi="Times New Roman" w:eastAsia="黑体" w:cs="Times New Roman"/>
          <w:b w:val="0"/>
          <w:color w:val="auto"/>
          <w:highlight w:val="none"/>
        </w:rPr>
      </w:pPr>
    </w:p>
    <w:p w14:paraId="7D192465">
      <w:pPr>
        <w:pStyle w:val="8"/>
        <w:ind w:left="0" w:leftChars="-295" w:hanging="619" w:hangingChars="295"/>
        <w:jc w:val="left"/>
        <w:rPr>
          <w:rFonts w:hint="default" w:ascii="Times New Roman" w:hAnsi="Times New Roman" w:cs="Times New Roman"/>
        </w:rPr>
      </w:pPr>
      <w:r>
        <w:rPr>
          <w:rFonts w:hint="default" w:ascii="Times New Roman" w:hAnsi="Times New Roman" w:cs="Times New Roman"/>
        </w:rPr>
        <w:object>
          <v:shape id="_x0000_i1025" o:spt="75" type="#_x0000_t75" style="height:669.25pt;width:489.2pt;" o:ole="t" filled="f" o:preferrelative="t" stroked="f" coordsize="21600,21600">
            <v:path/>
            <v:fill on="f" focussize="0,0"/>
            <v:stroke on="f"/>
            <v:imagedata r:id="rId15" o:title=""/>
            <o:lock v:ext="edit" aspectratio="f"/>
            <w10:wrap type="none"/>
            <w10:anchorlock/>
          </v:shape>
          <o:OLEObject Type="Embed" ProgID="Excel.Sheet.8" ShapeID="_x0000_i1025" DrawAspect="Content" ObjectID="_1468075725" r:id="rId14">
            <o:LockedField>false</o:LockedField>
          </o:OLEObject>
        </w:object>
      </w:r>
    </w:p>
    <w:p w14:paraId="706A09DD">
      <w:pPr>
        <w:widowControl/>
        <w:jc w:val="left"/>
        <w:rPr>
          <w:rStyle w:val="30"/>
          <w:rFonts w:hint="default" w:ascii="Times New Roman" w:hAnsi="Times New Roman" w:eastAsia="黑体" w:cs="Times New Roman"/>
          <w:b w:val="0"/>
          <w:color w:val="auto"/>
          <w:highlight w:val="none"/>
        </w:rPr>
      </w:pPr>
      <w:r>
        <w:rPr>
          <w:rStyle w:val="30"/>
          <w:rFonts w:hint="default" w:ascii="Times New Roman" w:hAnsi="Times New Roman" w:eastAsia="黑体" w:cs="Times New Roman"/>
          <w:b w:val="0"/>
          <w:color w:val="auto"/>
          <w:highlight w:val="none"/>
        </w:rPr>
        <w:br w:type="page"/>
      </w:r>
    </w:p>
    <w:p w14:paraId="16A85243">
      <w:pPr>
        <w:spacing w:line="600" w:lineRule="exact"/>
        <w:jc w:val="center"/>
        <w:outlineLvl w:val="0"/>
        <w:rPr>
          <w:rFonts w:hint="default" w:ascii="Times New Roman" w:hAnsi="Times New Roman" w:eastAsia="仿宋" w:cs="Times New Roman"/>
          <w:b w:val="0"/>
          <w:color w:val="auto"/>
          <w:highlight w:val="none"/>
        </w:rPr>
      </w:pPr>
      <w:bookmarkStart w:id="53" w:name="_Toc15396618"/>
      <w:r>
        <w:rPr>
          <w:rFonts w:hint="default" w:ascii="Times New Roman" w:hAnsi="Times New Roman" w:eastAsia="黑体" w:cs="Times New Roman"/>
          <w:color w:val="auto"/>
          <w:sz w:val="44"/>
          <w:szCs w:val="44"/>
          <w:highlight w:val="none"/>
        </w:rPr>
        <w:t>第</w:t>
      </w:r>
      <w:r>
        <w:rPr>
          <w:rStyle w:val="30"/>
          <w:rFonts w:hint="default" w:ascii="Times New Roman" w:hAnsi="Times New Roman" w:eastAsia="黑体" w:cs="Times New Roman"/>
          <w:b w:val="0"/>
          <w:color w:val="auto"/>
          <w:highlight w:val="none"/>
        </w:rPr>
        <w:t>五部分 附表</w:t>
      </w:r>
      <w:bookmarkEnd w:id="51"/>
      <w:bookmarkEnd w:id="53"/>
      <w:bookmarkStart w:id="54" w:name="_Toc15396619"/>
    </w:p>
    <w:p w14:paraId="4AC90C8B">
      <w:pPr>
        <w:pStyle w:val="3"/>
        <w:rPr>
          <w:rFonts w:hint="default" w:ascii="Times New Roman" w:hAnsi="Times New Roman" w:eastAsia="仿宋" w:cs="Times New Roman"/>
          <w:color w:val="auto"/>
          <w:highlight w:val="none"/>
        </w:rPr>
      </w:pPr>
      <w:r>
        <w:rPr>
          <w:rFonts w:hint="default" w:ascii="Times New Roman" w:hAnsi="Times New Roman" w:eastAsia="仿宋" w:cs="Times New Roman"/>
          <w:b w:val="0"/>
          <w:color w:val="auto"/>
          <w:highlight w:val="none"/>
        </w:rPr>
        <w:t>一、收</w:t>
      </w:r>
      <w:r>
        <w:rPr>
          <w:rStyle w:val="31"/>
          <w:rFonts w:hint="default" w:ascii="Times New Roman" w:hAnsi="Times New Roman" w:eastAsia="仿宋" w:cs="Times New Roman"/>
          <w:b w:val="0"/>
          <w:bCs w:val="0"/>
          <w:color w:val="auto"/>
          <w:highlight w:val="none"/>
        </w:rPr>
        <w:t>入支出决算总表</w:t>
      </w:r>
      <w:bookmarkEnd w:id="54"/>
    </w:p>
    <w:p w14:paraId="68D577C9">
      <w:pPr>
        <w:pStyle w:val="3"/>
        <w:rPr>
          <w:rFonts w:hint="default" w:ascii="Times New Roman" w:hAnsi="Times New Roman" w:eastAsia="仿宋" w:cs="Times New Roman"/>
          <w:color w:val="auto"/>
          <w:highlight w:val="none"/>
        </w:rPr>
      </w:pPr>
      <w:bookmarkStart w:id="55" w:name="_Toc15396620"/>
      <w:r>
        <w:rPr>
          <w:rFonts w:hint="default" w:ascii="Times New Roman" w:hAnsi="Times New Roman" w:eastAsia="仿宋" w:cs="Times New Roman"/>
          <w:b w:val="0"/>
          <w:color w:val="auto"/>
          <w:highlight w:val="none"/>
        </w:rPr>
        <w:t>二、收</w:t>
      </w:r>
      <w:r>
        <w:rPr>
          <w:rStyle w:val="31"/>
          <w:rFonts w:hint="default" w:ascii="Times New Roman" w:hAnsi="Times New Roman" w:eastAsia="仿宋" w:cs="Times New Roman"/>
          <w:b w:val="0"/>
          <w:bCs w:val="0"/>
          <w:color w:val="auto"/>
          <w:highlight w:val="none"/>
        </w:rPr>
        <w:t>入决算表</w:t>
      </w:r>
      <w:bookmarkEnd w:id="55"/>
    </w:p>
    <w:p w14:paraId="1E53FAA7">
      <w:pPr>
        <w:pStyle w:val="3"/>
        <w:rPr>
          <w:rFonts w:hint="default" w:ascii="Times New Roman" w:hAnsi="Times New Roman" w:eastAsia="仿宋" w:cs="Times New Roman"/>
          <w:color w:val="auto"/>
          <w:highlight w:val="none"/>
        </w:rPr>
      </w:pPr>
      <w:bookmarkStart w:id="56" w:name="_Toc15396621"/>
      <w:r>
        <w:rPr>
          <w:rStyle w:val="31"/>
          <w:rFonts w:hint="default" w:ascii="Times New Roman" w:hAnsi="Times New Roman" w:eastAsia="仿宋" w:cs="Times New Roman"/>
          <w:b w:val="0"/>
          <w:bCs w:val="0"/>
          <w:color w:val="auto"/>
          <w:highlight w:val="none"/>
        </w:rPr>
        <w:t>三、</w:t>
      </w:r>
      <w:r>
        <w:rPr>
          <w:rFonts w:hint="default" w:ascii="Times New Roman" w:hAnsi="Times New Roman" w:eastAsia="仿宋" w:cs="Times New Roman"/>
          <w:b w:val="0"/>
          <w:color w:val="auto"/>
          <w:highlight w:val="none"/>
        </w:rPr>
        <w:t>支</w:t>
      </w:r>
      <w:r>
        <w:rPr>
          <w:rStyle w:val="31"/>
          <w:rFonts w:hint="default" w:ascii="Times New Roman" w:hAnsi="Times New Roman" w:eastAsia="仿宋" w:cs="Times New Roman"/>
          <w:b w:val="0"/>
          <w:bCs w:val="0"/>
          <w:color w:val="auto"/>
          <w:highlight w:val="none"/>
        </w:rPr>
        <w:t>出决算表</w:t>
      </w:r>
      <w:bookmarkEnd w:id="56"/>
    </w:p>
    <w:p w14:paraId="2784EB2C">
      <w:pPr>
        <w:pStyle w:val="3"/>
        <w:rPr>
          <w:rFonts w:hint="default" w:ascii="Times New Roman" w:hAnsi="Times New Roman" w:eastAsia="仿宋" w:cs="Times New Roman"/>
          <w:b w:val="0"/>
          <w:color w:val="auto"/>
          <w:highlight w:val="none"/>
        </w:rPr>
      </w:pPr>
      <w:bookmarkStart w:id="57" w:name="_Toc15396622"/>
      <w:r>
        <w:rPr>
          <w:rStyle w:val="31"/>
          <w:rFonts w:hint="default" w:ascii="Times New Roman" w:hAnsi="Times New Roman" w:eastAsia="仿宋" w:cs="Times New Roman"/>
          <w:b w:val="0"/>
          <w:bCs w:val="0"/>
          <w:color w:val="auto"/>
          <w:highlight w:val="none"/>
        </w:rPr>
        <w:t>四、</w:t>
      </w:r>
      <w:r>
        <w:rPr>
          <w:rFonts w:hint="default" w:ascii="Times New Roman" w:hAnsi="Times New Roman" w:eastAsia="仿宋" w:cs="Times New Roman"/>
          <w:b w:val="0"/>
          <w:color w:val="auto"/>
          <w:highlight w:val="none"/>
        </w:rPr>
        <w:t>财</w:t>
      </w:r>
      <w:r>
        <w:rPr>
          <w:rStyle w:val="31"/>
          <w:rFonts w:hint="default" w:ascii="Times New Roman" w:hAnsi="Times New Roman" w:eastAsia="仿宋" w:cs="Times New Roman"/>
          <w:b w:val="0"/>
          <w:bCs w:val="0"/>
          <w:color w:val="auto"/>
          <w:highlight w:val="none"/>
        </w:rPr>
        <w:t>政拨款收入支出决算总表</w:t>
      </w:r>
      <w:bookmarkEnd w:id="57"/>
    </w:p>
    <w:p w14:paraId="2FBA5594">
      <w:pPr>
        <w:pStyle w:val="3"/>
        <w:rPr>
          <w:rStyle w:val="31"/>
          <w:rFonts w:hint="default" w:ascii="Times New Roman" w:hAnsi="Times New Roman" w:eastAsia="仿宋" w:cs="Times New Roman"/>
          <w:b w:val="0"/>
          <w:bCs w:val="0"/>
          <w:color w:val="auto"/>
          <w:highlight w:val="none"/>
        </w:rPr>
      </w:pPr>
      <w:bookmarkStart w:id="58" w:name="_Toc15396623"/>
      <w:r>
        <w:rPr>
          <w:rStyle w:val="31"/>
          <w:rFonts w:hint="default" w:ascii="Times New Roman" w:hAnsi="Times New Roman" w:eastAsia="仿宋" w:cs="Times New Roman"/>
          <w:b w:val="0"/>
          <w:bCs w:val="0"/>
          <w:color w:val="auto"/>
          <w:highlight w:val="none"/>
        </w:rPr>
        <w:t>五、</w:t>
      </w:r>
      <w:r>
        <w:rPr>
          <w:rFonts w:hint="default" w:ascii="Times New Roman" w:hAnsi="Times New Roman" w:eastAsia="仿宋" w:cs="Times New Roman"/>
          <w:b w:val="0"/>
          <w:color w:val="auto"/>
          <w:highlight w:val="none"/>
        </w:rPr>
        <w:t>财</w:t>
      </w:r>
      <w:r>
        <w:rPr>
          <w:rStyle w:val="31"/>
          <w:rFonts w:hint="default" w:ascii="Times New Roman" w:hAnsi="Times New Roman" w:eastAsia="仿宋" w:cs="Times New Roman"/>
          <w:b w:val="0"/>
          <w:bCs w:val="0"/>
          <w:color w:val="auto"/>
          <w:highlight w:val="none"/>
        </w:rPr>
        <w:t>政拨款支出决算明细表</w:t>
      </w:r>
      <w:bookmarkEnd w:id="58"/>
      <w:bookmarkStart w:id="59" w:name="_Toc15396624"/>
    </w:p>
    <w:p w14:paraId="60140716">
      <w:pPr>
        <w:pStyle w:val="3"/>
        <w:rPr>
          <w:rFonts w:hint="default" w:ascii="Times New Roman" w:hAnsi="Times New Roman" w:eastAsia="仿宋" w:cs="Times New Roman"/>
          <w:color w:val="auto"/>
          <w:highlight w:val="none"/>
        </w:rPr>
      </w:pPr>
      <w:r>
        <w:rPr>
          <w:rStyle w:val="31"/>
          <w:rFonts w:hint="default" w:ascii="Times New Roman" w:hAnsi="Times New Roman" w:eastAsia="仿宋" w:cs="Times New Roman"/>
          <w:b w:val="0"/>
          <w:bCs w:val="0"/>
          <w:color w:val="auto"/>
          <w:highlight w:val="none"/>
        </w:rPr>
        <w:t>六、</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般公共预算财政拨款支出决算表</w:t>
      </w:r>
      <w:bookmarkEnd w:id="59"/>
    </w:p>
    <w:p w14:paraId="12327E8D">
      <w:pPr>
        <w:pStyle w:val="3"/>
        <w:rPr>
          <w:rFonts w:hint="default" w:ascii="Times New Roman" w:hAnsi="Times New Roman" w:eastAsia="仿宋" w:cs="Times New Roman"/>
          <w:color w:val="auto"/>
          <w:highlight w:val="none"/>
        </w:rPr>
      </w:pPr>
      <w:bookmarkStart w:id="60" w:name="_Toc15396625"/>
      <w:r>
        <w:rPr>
          <w:rStyle w:val="31"/>
          <w:rFonts w:hint="default" w:ascii="Times New Roman" w:hAnsi="Times New Roman" w:eastAsia="仿宋" w:cs="Times New Roman"/>
          <w:b w:val="0"/>
          <w:bCs w:val="0"/>
          <w:color w:val="auto"/>
          <w:highlight w:val="none"/>
        </w:rPr>
        <w:t>七、</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般公共预算财政拨款支出决算明细表</w:t>
      </w:r>
      <w:bookmarkEnd w:id="60"/>
    </w:p>
    <w:p w14:paraId="3342C55B">
      <w:pPr>
        <w:pStyle w:val="3"/>
        <w:rPr>
          <w:rFonts w:hint="default" w:ascii="Times New Roman" w:hAnsi="Times New Roman" w:eastAsia="仿宋" w:cs="Times New Roman"/>
          <w:color w:val="auto"/>
          <w:highlight w:val="none"/>
        </w:rPr>
      </w:pPr>
      <w:bookmarkStart w:id="61" w:name="_Toc15396626"/>
      <w:r>
        <w:rPr>
          <w:rStyle w:val="31"/>
          <w:rFonts w:hint="default" w:ascii="Times New Roman" w:hAnsi="Times New Roman" w:eastAsia="仿宋" w:cs="Times New Roman"/>
          <w:b w:val="0"/>
          <w:bCs w:val="0"/>
          <w:color w:val="auto"/>
          <w:highlight w:val="none"/>
        </w:rPr>
        <w:t>八、</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般公共预算财政拨款基本支出决算表</w:t>
      </w:r>
      <w:bookmarkEnd w:id="61"/>
    </w:p>
    <w:p w14:paraId="47209188">
      <w:pPr>
        <w:pStyle w:val="3"/>
        <w:rPr>
          <w:rFonts w:hint="default" w:ascii="Times New Roman" w:hAnsi="Times New Roman" w:eastAsia="仿宋" w:cs="Times New Roman"/>
          <w:color w:val="auto"/>
          <w:highlight w:val="none"/>
        </w:rPr>
      </w:pPr>
      <w:bookmarkStart w:id="62" w:name="_Toc15396627"/>
      <w:r>
        <w:rPr>
          <w:rStyle w:val="31"/>
          <w:rFonts w:hint="default" w:ascii="Times New Roman" w:hAnsi="Times New Roman" w:eastAsia="仿宋" w:cs="Times New Roman"/>
          <w:b w:val="0"/>
          <w:bCs w:val="0"/>
          <w:color w:val="auto"/>
          <w:highlight w:val="none"/>
        </w:rPr>
        <w:t>九、</w:t>
      </w:r>
      <w:r>
        <w:rPr>
          <w:rFonts w:hint="default" w:ascii="Times New Roman" w:hAnsi="Times New Roman" w:eastAsia="仿宋" w:cs="Times New Roman"/>
          <w:b w:val="0"/>
          <w:color w:val="auto"/>
          <w:highlight w:val="none"/>
        </w:rPr>
        <w:t>一</w:t>
      </w:r>
      <w:r>
        <w:rPr>
          <w:rStyle w:val="31"/>
          <w:rFonts w:hint="default" w:ascii="Times New Roman" w:hAnsi="Times New Roman" w:eastAsia="仿宋" w:cs="Times New Roman"/>
          <w:b w:val="0"/>
          <w:bCs w:val="0"/>
          <w:color w:val="auto"/>
          <w:highlight w:val="none"/>
        </w:rPr>
        <w:t>般公共预算财政拨款项目支出决算表</w:t>
      </w:r>
      <w:bookmarkEnd w:id="62"/>
    </w:p>
    <w:p w14:paraId="16A049D6">
      <w:pPr>
        <w:pStyle w:val="3"/>
        <w:rPr>
          <w:rFonts w:hint="default" w:ascii="Times New Roman" w:hAnsi="Times New Roman" w:eastAsia="仿宋" w:cs="Times New Roman"/>
          <w:color w:val="auto"/>
          <w:highlight w:val="none"/>
        </w:rPr>
      </w:pPr>
      <w:bookmarkStart w:id="63" w:name="_Toc15396628"/>
      <w:r>
        <w:rPr>
          <w:rStyle w:val="31"/>
          <w:rFonts w:hint="default" w:ascii="Times New Roman" w:hAnsi="Times New Roman" w:eastAsia="仿宋" w:cs="Times New Roman"/>
          <w:b w:val="0"/>
          <w:bCs w:val="0"/>
          <w:color w:val="auto"/>
          <w:highlight w:val="none"/>
        </w:rPr>
        <w:t>十、</w:t>
      </w:r>
      <w:bookmarkEnd w:id="63"/>
      <w:r>
        <w:rPr>
          <w:rFonts w:hint="default" w:ascii="Times New Roman" w:hAnsi="Times New Roman" w:eastAsia="仿宋" w:cs="Times New Roman"/>
          <w:b w:val="0"/>
          <w:color w:val="auto"/>
          <w:highlight w:val="none"/>
        </w:rPr>
        <w:t>政</w:t>
      </w:r>
      <w:r>
        <w:rPr>
          <w:rStyle w:val="31"/>
          <w:rFonts w:hint="default" w:ascii="Times New Roman" w:hAnsi="Times New Roman" w:eastAsia="仿宋" w:cs="Times New Roman"/>
          <w:b w:val="0"/>
          <w:bCs w:val="0"/>
          <w:color w:val="auto"/>
          <w:highlight w:val="none"/>
        </w:rPr>
        <w:t>府性基金预算财政拨款收入支出决算表</w:t>
      </w:r>
    </w:p>
    <w:p w14:paraId="1AB07623">
      <w:pPr>
        <w:pStyle w:val="3"/>
        <w:rPr>
          <w:rFonts w:hint="default" w:ascii="Times New Roman" w:hAnsi="Times New Roman" w:eastAsia="仿宋" w:cs="Times New Roman"/>
          <w:color w:val="auto"/>
          <w:highlight w:val="none"/>
        </w:rPr>
      </w:pPr>
      <w:bookmarkStart w:id="64" w:name="_Toc15396629"/>
      <w:r>
        <w:rPr>
          <w:rStyle w:val="31"/>
          <w:rFonts w:hint="default" w:ascii="Times New Roman" w:hAnsi="Times New Roman" w:eastAsia="仿宋" w:cs="Times New Roman"/>
          <w:b w:val="0"/>
          <w:bCs w:val="0"/>
          <w:color w:val="auto"/>
          <w:highlight w:val="none"/>
        </w:rPr>
        <w:t>十一、</w:t>
      </w:r>
      <w:bookmarkEnd w:id="64"/>
      <w:r>
        <w:rPr>
          <w:rFonts w:hint="default" w:ascii="Times New Roman" w:hAnsi="Times New Roman" w:eastAsia="仿宋" w:cs="Times New Roman"/>
          <w:b w:val="0"/>
          <w:color w:val="auto"/>
          <w:highlight w:val="none"/>
        </w:rPr>
        <w:t>国</w:t>
      </w:r>
      <w:r>
        <w:rPr>
          <w:rStyle w:val="31"/>
          <w:rFonts w:hint="default" w:ascii="Times New Roman" w:hAnsi="Times New Roman" w:eastAsia="仿宋" w:cs="Times New Roman"/>
          <w:b w:val="0"/>
          <w:bCs w:val="0"/>
          <w:color w:val="auto"/>
          <w:highlight w:val="none"/>
        </w:rPr>
        <w:t>有资本经营预算</w:t>
      </w:r>
      <w:r>
        <w:rPr>
          <w:rStyle w:val="31"/>
          <w:rFonts w:hint="default" w:ascii="Times New Roman" w:hAnsi="Times New Roman" w:eastAsia="仿宋" w:cs="Times New Roman"/>
          <w:b w:val="0"/>
          <w:bCs w:val="0"/>
          <w:color w:val="auto"/>
          <w:highlight w:val="none"/>
          <w:lang w:eastAsia="zh-CN"/>
        </w:rPr>
        <w:t>财政拨款收入</w:t>
      </w:r>
      <w:r>
        <w:rPr>
          <w:rStyle w:val="31"/>
          <w:rFonts w:hint="default" w:ascii="Times New Roman" w:hAnsi="Times New Roman" w:eastAsia="仿宋" w:cs="Times New Roman"/>
          <w:b w:val="0"/>
          <w:bCs w:val="0"/>
          <w:color w:val="auto"/>
          <w:highlight w:val="none"/>
        </w:rPr>
        <w:t>支出决算表</w:t>
      </w:r>
    </w:p>
    <w:p w14:paraId="7FF59617">
      <w:pPr>
        <w:pStyle w:val="3"/>
        <w:rPr>
          <w:rFonts w:hint="default" w:ascii="Times New Roman" w:hAnsi="Times New Roman" w:eastAsia="仿宋" w:cs="Times New Roman"/>
          <w:color w:val="auto"/>
          <w:highlight w:val="none"/>
        </w:rPr>
      </w:pPr>
      <w:bookmarkStart w:id="65" w:name="_Toc15396630"/>
      <w:r>
        <w:rPr>
          <w:rStyle w:val="31"/>
          <w:rFonts w:hint="default" w:ascii="Times New Roman" w:hAnsi="Times New Roman" w:eastAsia="仿宋" w:cs="Times New Roman"/>
          <w:b w:val="0"/>
          <w:bCs w:val="0"/>
          <w:color w:val="auto"/>
          <w:highlight w:val="none"/>
        </w:rPr>
        <w:t>十二、</w:t>
      </w:r>
      <w:bookmarkEnd w:id="65"/>
      <w:r>
        <w:rPr>
          <w:rStyle w:val="31"/>
          <w:rFonts w:hint="default" w:ascii="Times New Roman" w:hAnsi="Times New Roman" w:eastAsia="仿宋" w:cs="Times New Roman"/>
          <w:b w:val="0"/>
          <w:bCs w:val="0"/>
          <w:color w:val="auto"/>
          <w:highlight w:val="none"/>
          <w:lang w:eastAsia="zh-CN"/>
        </w:rPr>
        <w:t>国有资本经营预算财政拨款支出决算表</w:t>
      </w:r>
    </w:p>
    <w:p w14:paraId="60F601E1">
      <w:pPr>
        <w:pStyle w:val="3"/>
        <w:rPr>
          <w:rFonts w:hint="default" w:ascii="Times New Roman" w:hAnsi="Times New Roman" w:eastAsia="仿宋" w:cs="Times New Roman"/>
          <w:color w:val="auto"/>
          <w:highlight w:val="none"/>
          <w:lang w:eastAsia="zh-CN"/>
        </w:rPr>
      </w:pPr>
      <w:bookmarkStart w:id="66" w:name="_Toc15396631"/>
      <w:r>
        <w:rPr>
          <w:rStyle w:val="31"/>
          <w:rFonts w:hint="default" w:ascii="Times New Roman" w:hAnsi="Times New Roman" w:eastAsia="仿宋" w:cs="Times New Roman"/>
          <w:b w:val="0"/>
          <w:bCs w:val="0"/>
          <w:color w:val="auto"/>
          <w:highlight w:val="none"/>
        </w:rPr>
        <w:t>十三、</w:t>
      </w:r>
      <w:bookmarkEnd w:id="66"/>
      <w:r>
        <w:rPr>
          <w:rStyle w:val="31"/>
          <w:rFonts w:hint="default" w:ascii="Times New Roman" w:hAnsi="Times New Roman" w:eastAsia="仿宋" w:cs="Times New Roman"/>
          <w:b w:val="0"/>
          <w:bCs w:val="0"/>
          <w:color w:val="auto"/>
          <w:highlight w:val="none"/>
          <w:lang w:eastAsia="zh-CN"/>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C8A869-87C8-4D11-9E90-BE356F8C246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5A3869E-3738-49F0-908E-B5761A06FCAD}"/>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3337D58F-B088-4FA2-9257-58F87670E1A6}"/>
  </w:font>
  <w:font w:name="仿宋">
    <w:panose1 w:val="02010609060101010101"/>
    <w:charset w:val="86"/>
    <w:family w:val="modern"/>
    <w:pitch w:val="default"/>
    <w:sig w:usb0="800002BF" w:usb1="38CF7CFA" w:usb2="00000016" w:usb3="00000000" w:csb0="00040001" w:csb1="00000000"/>
    <w:embedRegular r:id="rId4" w:fontKey="{1A2E1550-19F6-4BD4-AEFB-168952BDAF7C}"/>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E9621AC2-C706-4B4A-8220-DC621394767A}"/>
  </w:font>
  <w:font w:name="方正楷体_GBK">
    <w:panose1 w:val="03000509000000000000"/>
    <w:charset w:val="86"/>
    <w:family w:val="script"/>
    <w:pitch w:val="default"/>
    <w:sig w:usb0="00000001" w:usb1="080E0000" w:usb2="00000000" w:usb3="00000000" w:csb0="00040000" w:csb1="00000000"/>
    <w:embedRegular r:id="rId6" w:fontKey="{2D717AAA-7B21-4737-B65A-CABE01C093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1538DE97">
        <w:pPr>
          <w:pStyle w:val="11"/>
          <w:jc w:val="center"/>
        </w:pPr>
        <w:r>
          <w:fldChar w:fldCharType="begin"/>
        </w:r>
        <w:r>
          <w:instrText xml:space="preserve">PAGE   \* MERGEFORMAT</w:instrText>
        </w:r>
        <w:r>
          <w:fldChar w:fldCharType="separate"/>
        </w:r>
        <w:r>
          <w:rPr>
            <w:lang w:val="zh-CN"/>
          </w:rPr>
          <w:t>8</w:t>
        </w:r>
        <w:r>
          <w:fldChar w:fldCharType="end"/>
        </w:r>
      </w:p>
    </w:sdtContent>
  </w:sdt>
  <w:p w14:paraId="1EC1355A">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47D4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EAA51"/>
    <w:multiLevelType w:val="singleLevel"/>
    <w:tmpl w:val="936EAA51"/>
    <w:lvl w:ilvl="0" w:tentative="0">
      <w:start w:val="1"/>
      <w:numFmt w:val="chineseCounting"/>
      <w:suff w:val="space"/>
      <w:lvlText w:val="第%1部分"/>
      <w:lvlJc w:val="left"/>
      <w:rPr>
        <w:rFonts w:hint="eastAsia"/>
      </w:rPr>
    </w:lvl>
  </w:abstractNum>
  <w:abstractNum w:abstractNumId="1">
    <w:nsid w:val="CE8537FD"/>
    <w:multiLevelType w:val="singleLevel"/>
    <w:tmpl w:val="CE8537FD"/>
    <w:lvl w:ilvl="0" w:tentative="0">
      <w:start w:val="8"/>
      <w:numFmt w:val="decimal"/>
      <w:suff w:val="nothing"/>
      <w:lvlText w:val="%1、"/>
      <w:lvlJc w:val="left"/>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6CCE1D5"/>
    <w:multiLevelType w:val="singleLevel"/>
    <w:tmpl w:val="06CCE1D5"/>
    <w:lvl w:ilvl="0" w:tentative="0">
      <w:start w:val="4"/>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3275DC9"/>
    <w:multiLevelType w:val="singleLevel"/>
    <w:tmpl w:val="23275DC9"/>
    <w:lvl w:ilvl="0" w:tentative="0">
      <w:start w:val="1"/>
      <w:numFmt w:val="chineseCounting"/>
      <w:suff w:val="nothing"/>
      <w:lvlText w:val="%1、"/>
      <w:lvlJc w:val="left"/>
      <w:rPr>
        <w:rFonts w:hint="eastAsia"/>
      </w:rPr>
    </w:lvl>
  </w:abstractNum>
  <w:abstractNum w:abstractNumId="7">
    <w:nsid w:val="43BF398C"/>
    <w:multiLevelType w:val="singleLevel"/>
    <w:tmpl w:val="43BF398C"/>
    <w:lvl w:ilvl="0" w:tentative="0">
      <w:start w:val="1"/>
      <w:numFmt w:val="chineseCounting"/>
      <w:suff w:val="nothing"/>
      <w:lvlText w:val="（%1）"/>
      <w:lvlJc w:val="left"/>
      <w:rPr>
        <w:rFonts w:hint="eastAsia"/>
      </w:rPr>
    </w:lvl>
  </w:abstractNum>
  <w:num w:numId="1">
    <w:abstractNumId w:val="0"/>
  </w:num>
  <w:num w:numId="2">
    <w:abstractNumId w:val="6"/>
  </w:num>
  <w:num w:numId="3">
    <w:abstractNumId w:val="5"/>
  </w:num>
  <w:num w:numId="4">
    <w:abstractNumId w:val="2"/>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yOTI0MGYwYmJiZmY1NGJkOGYzNDU4NWEyNjYxMj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66E0107"/>
    <w:rsid w:val="07996F6E"/>
    <w:rsid w:val="0A2032A3"/>
    <w:rsid w:val="0F98263C"/>
    <w:rsid w:val="101860EC"/>
    <w:rsid w:val="10C055FF"/>
    <w:rsid w:val="11335329"/>
    <w:rsid w:val="118107EC"/>
    <w:rsid w:val="13D50BC4"/>
    <w:rsid w:val="1518533E"/>
    <w:rsid w:val="16BB723D"/>
    <w:rsid w:val="17A135A6"/>
    <w:rsid w:val="17E2096C"/>
    <w:rsid w:val="1BE8440E"/>
    <w:rsid w:val="1D155CEE"/>
    <w:rsid w:val="1E430A5A"/>
    <w:rsid w:val="1EF95861"/>
    <w:rsid w:val="1FF35744"/>
    <w:rsid w:val="2377323E"/>
    <w:rsid w:val="23860B96"/>
    <w:rsid w:val="240371BF"/>
    <w:rsid w:val="29FD04D3"/>
    <w:rsid w:val="2B327B77"/>
    <w:rsid w:val="2C8A61B5"/>
    <w:rsid w:val="2DF04E50"/>
    <w:rsid w:val="2E061CBD"/>
    <w:rsid w:val="2F040D46"/>
    <w:rsid w:val="300E44B6"/>
    <w:rsid w:val="319F7F4E"/>
    <w:rsid w:val="3304709D"/>
    <w:rsid w:val="36766F86"/>
    <w:rsid w:val="36AA5135"/>
    <w:rsid w:val="376D39B2"/>
    <w:rsid w:val="37E16F03"/>
    <w:rsid w:val="38D469F0"/>
    <w:rsid w:val="3ACD518C"/>
    <w:rsid w:val="3BCC5774"/>
    <w:rsid w:val="3D98207C"/>
    <w:rsid w:val="3E78745D"/>
    <w:rsid w:val="44E268DA"/>
    <w:rsid w:val="4A627F82"/>
    <w:rsid w:val="4B0E749A"/>
    <w:rsid w:val="4B4F25DA"/>
    <w:rsid w:val="4BE068DB"/>
    <w:rsid w:val="4D577224"/>
    <w:rsid w:val="4EAB630A"/>
    <w:rsid w:val="4ECE2238"/>
    <w:rsid w:val="4F66344C"/>
    <w:rsid w:val="4FB3346A"/>
    <w:rsid w:val="53106E13"/>
    <w:rsid w:val="537E6D0A"/>
    <w:rsid w:val="5588452C"/>
    <w:rsid w:val="59E13D30"/>
    <w:rsid w:val="5AF92295"/>
    <w:rsid w:val="5CD71FC4"/>
    <w:rsid w:val="5E533052"/>
    <w:rsid w:val="66772A46"/>
    <w:rsid w:val="66B15CDB"/>
    <w:rsid w:val="6A174378"/>
    <w:rsid w:val="6C4A05C8"/>
    <w:rsid w:val="6E7E3605"/>
    <w:rsid w:val="6FF5CC65"/>
    <w:rsid w:val="71416837"/>
    <w:rsid w:val="715C0E4B"/>
    <w:rsid w:val="718E6D64"/>
    <w:rsid w:val="722A4E10"/>
    <w:rsid w:val="72734D90"/>
    <w:rsid w:val="73AD73D5"/>
    <w:rsid w:val="73B6EB34"/>
    <w:rsid w:val="744731E5"/>
    <w:rsid w:val="75EF25F8"/>
    <w:rsid w:val="76371E5E"/>
    <w:rsid w:val="76E3355F"/>
    <w:rsid w:val="778769C8"/>
    <w:rsid w:val="79EE5BA4"/>
    <w:rsid w:val="7A605F6B"/>
    <w:rsid w:val="7A894339"/>
    <w:rsid w:val="7D431E37"/>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Salutation"/>
    <w:basedOn w:val="1"/>
    <w:next w:val="1"/>
    <w:unhideWhenUsed/>
    <w:qFormat/>
    <w:uiPriority w:val="99"/>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semiHidden/>
    <w:unhideWhenUsed/>
    <w:qFormat/>
    <w:uiPriority w:val="0"/>
    <w:pPr>
      <w:spacing w:before="100" w:beforeAutospacing="1" w:after="100" w:afterAutospacing="1"/>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2"/>
    <w:qFormat/>
    <w:uiPriority w:val="9"/>
    <w:rPr>
      <w:rFonts w:ascii="Times New Roman" w:hAnsi="Times New Roman"/>
      <w:b/>
      <w:bCs/>
      <w:kern w:val="44"/>
      <w:sz w:val="44"/>
      <w:szCs w:val="44"/>
    </w:rPr>
  </w:style>
  <w:style w:type="character" w:customStyle="1" w:styleId="31">
    <w:name w:val="标题 2 Char"/>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4"/>
    <w:qFormat/>
    <w:uiPriority w:val="9"/>
    <w:rPr>
      <w:rFonts w:ascii="Times New Roman" w:hAnsi="Times New Roman"/>
      <w:b/>
      <w:bCs/>
      <w:kern w:val="2"/>
      <w:sz w:val="32"/>
      <w:szCs w:val="32"/>
    </w:rPr>
  </w:style>
  <w:style w:type="paragraph" w:customStyle="1" w:styleId="35">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7">
    <w:name w:val="列出段落1"/>
    <w:basedOn w:val="1"/>
    <w:qFormat/>
    <w:uiPriority w:val="34"/>
    <w:pPr>
      <w:ind w:firstLine="420" w:firstLineChars="200"/>
    </w:pPr>
    <w:rPr>
      <w:rFonts w:ascii="Calibri" w:hAnsi="Calibri" w:eastAsia="宋体" w:cs="Times New Roman"/>
    </w:rPr>
  </w:style>
  <w:style w:type="character" w:customStyle="1" w:styleId="38">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收入决算总计变动情况图</a:t>
            </a:r>
          </a:p>
        </c:rich>
      </c:tx>
      <c:layout>
        <c:manualLayout>
          <c:xMode val="edge"/>
          <c:yMode val="edge"/>
          <c:x val="0.336313119110897"/>
          <c:y val="0.0416489587760306"/>
        </c:manualLayout>
      </c:layout>
      <c:overlay val="0"/>
      <c:spPr>
        <a:noFill/>
        <a:ln>
          <a:noFill/>
        </a:ln>
        <a:effectLst/>
      </c:spPr>
    </c:title>
    <c:autoTitleDeleted val="0"/>
    <c:plotArea>
      <c:layout>
        <c:manualLayout>
          <c:layoutTarget val="inner"/>
          <c:xMode val="edge"/>
          <c:yMode val="edge"/>
          <c:x val="0.0618023677216719"/>
          <c:y val="0.1619209519762"/>
          <c:w val="0.930345494080696"/>
          <c:h val="0.638631534211645"/>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153.86</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191.06</c:v>
                </c:pt>
              </c:numCache>
            </c:numRef>
          </c:val>
        </c:ser>
        <c:dLbls>
          <c:showLegendKey val="0"/>
          <c:showVal val="0"/>
          <c:showCatName val="0"/>
          <c:showSerName val="0"/>
          <c:showPercent val="0"/>
          <c:showBubbleSize val="0"/>
        </c:dLbls>
        <c:gapWidth val="246"/>
        <c:overlap val="-28"/>
        <c:axId val="888344245"/>
        <c:axId val="60151079"/>
      </c:barChart>
      <c:catAx>
        <c:axId val="8883442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51079"/>
        <c:crosses val="autoZero"/>
        <c:auto val="1"/>
        <c:lblAlgn val="ctr"/>
        <c:lblOffset val="100"/>
        <c:noMultiLvlLbl val="0"/>
      </c:catAx>
      <c:valAx>
        <c:axId val="6015107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3442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749580-3ffe-4742-966b-bc402914721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支出决算总计变动情况图</a:t>
            </a:r>
          </a:p>
        </c:rich>
      </c:tx>
      <c:layout>
        <c:manualLayout>
          <c:xMode val="edge"/>
          <c:yMode val="edge"/>
          <c:x val="0.279536119835709"/>
          <c:y val="0.0407989800254994"/>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179.42</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325.97</c:v>
                </c:pt>
              </c:numCache>
            </c:numRef>
          </c:val>
        </c:ser>
        <c:dLbls>
          <c:showLegendKey val="0"/>
          <c:showVal val="0"/>
          <c:showCatName val="0"/>
          <c:showSerName val="0"/>
          <c:showPercent val="0"/>
          <c:showBubbleSize val="0"/>
        </c:dLbls>
        <c:gapWidth val="246"/>
        <c:overlap val="-28"/>
        <c:axId val="945623784"/>
        <c:axId val="499626983"/>
      </c:barChart>
      <c:catAx>
        <c:axId val="945623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626983"/>
        <c:crosses val="autoZero"/>
        <c:auto val="1"/>
        <c:lblAlgn val="ctr"/>
        <c:lblOffset val="100"/>
        <c:noMultiLvlLbl val="0"/>
      </c:catAx>
      <c:valAx>
        <c:axId val="49962698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623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3e040b8-7ac9-4aa2-9adf-32b6864fb00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191.06</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d18777e-6946-4777-8480-f52eaebbf14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基本支出</c:v>
                </c:pt>
                <c:pt idx="1">
                  <c:v>项目支出</c:v>
                </c:pt>
                <c:pt idx="2">
                  <c:v>上缴上级支出</c:v>
                </c:pt>
                <c:pt idx="3">
                  <c:v>经营支出</c:v>
                </c:pt>
                <c:pt idx="4">
                  <c:v>对附属单位的补助支出</c:v>
                </c:pt>
              </c:strCache>
            </c:strRef>
          </c:cat>
          <c:val>
            <c:numRef>
              <c:f>Sheet1!$B$2:$B$6</c:f>
              <c:numCache>
                <c:formatCode>General</c:formatCode>
                <c:ptCount val="5"/>
                <c:pt idx="0">
                  <c:v>186.42</c:v>
                </c:pt>
                <c:pt idx="1">
                  <c:v>139.55</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4dc358c-0a10-4881-b354-a813574a16e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财政拨款收入决算总计变动情况图</a:t>
            </a:r>
          </a:p>
        </c:rich>
      </c:tx>
      <c:layout>
        <c:manualLayout>
          <c:xMode val="edge"/>
          <c:yMode val="edge"/>
          <c:x val="0.252959652089877"/>
          <c:y val="0.0395240118997025"/>
        </c:manualLayout>
      </c:layout>
      <c:overlay val="0"/>
      <c:spPr>
        <a:noFill/>
        <a:ln>
          <a:noFill/>
        </a:ln>
        <a:effectLst/>
      </c:spPr>
    </c:title>
    <c:autoTitleDeleted val="0"/>
    <c:plotArea>
      <c:layout>
        <c:manualLayout>
          <c:layoutTarget val="inner"/>
          <c:xMode val="edge"/>
          <c:yMode val="edge"/>
          <c:x val="0.0618023677216719"/>
          <c:y val="0.1619209519762"/>
          <c:w val="0.930345494080696"/>
          <c:h val="0.638631534211645"/>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153.86</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191.06</c:v>
                </c:pt>
              </c:numCache>
            </c:numRef>
          </c:val>
        </c:ser>
        <c:dLbls>
          <c:showLegendKey val="0"/>
          <c:showVal val="0"/>
          <c:showCatName val="0"/>
          <c:showSerName val="0"/>
          <c:showPercent val="0"/>
          <c:showBubbleSize val="0"/>
        </c:dLbls>
        <c:gapWidth val="246"/>
        <c:overlap val="-28"/>
        <c:axId val="888344245"/>
        <c:axId val="60151079"/>
      </c:barChart>
      <c:catAx>
        <c:axId val="88834424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151079"/>
        <c:crosses val="autoZero"/>
        <c:auto val="1"/>
        <c:lblAlgn val="ctr"/>
        <c:lblOffset val="100"/>
        <c:noMultiLvlLbl val="0"/>
      </c:catAx>
      <c:valAx>
        <c:axId val="60151079"/>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834424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c61d4b1-72e8-469b-a04c-42f22a6a6d5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财政拨款支出决算总计变动情况图</a:t>
            </a:r>
          </a:p>
        </c:rich>
      </c:tx>
      <c:layout>
        <c:manualLayout>
          <c:xMode val="edge"/>
          <c:yMode val="edge"/>
          <c:x val="0.255375694612225"/>
          <c:y val="0.030174245643858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179.42</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325.97</c:v>
                </c:pt>
              </c:numCache>
            </c:numRef>
          </c:val>
        </c:ser>
        <c:dLbls>
          <c:showLegendKey val="0"/>
          <c:showVal val="0"/>
          <c:showCatName val="0"/>
          <c:showSerName val="0"/>
          <c:showPercent val="0"/>
          <c:showBubbleSize val="0"/>
        </c:dLbls>
        <c:gapWidth val="246"/>
        <c:overlap val="-28"/>
        <c:axId val="945623784"/>
        <c:axId val="499626983"/>
      </c:barChart>
      <c:catAx>
        <c:axId val="945623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626983"/>
        <c:crosses val="autoZero"/>
        <c:auto val="1"/>
        <c:lblAlgn val="ctr"/>
        <c:lblOffset val="100"/>
        <c:noMultiLvlLbl val="0"/>
      </c:catAx>
      <c:valAx>
        <c:axId val="49962698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623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cd1cd1-bf2b-4547-89f8-70a46a9e10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一般公共预算财政拨款支出决算变动情况图</a:t>
            </a:r>
          </a:p>
        </c:rich>
      </c:tx>
      <c:layout>
        <c:manualLayout>
          <c:xMode val="edge"/>
          <c:yMode val="edge"/>
          <c:x val="0.1470161874849"/>
          <c:y val="0.0257118572035699"/>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179.42</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325.97</c:v>
                </c:pt>
              </c:numCache>
            </c:numRef>
          </c:val>
        </c:ser>
        <c:dLbls>
          <c:showLegendKey val="0"/>
          <c:showVal val="0"/>
          <c:showCatName val="0"/>
          <c:showSerName val="0"/>
          <c:showPercent val="0"/>
          <c:showBubbleSize val="0"/>
        </c:dLbls>
        <c:gapWidth val="246"/>
        <c:overlap val="-28"/>
        <c:axId val="945623784"/>
        <c:axId val="499626983"/>
      </c:barChart>
      <c:catAx>
        <c:axId val="945623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9626983"/>
        <c:crosses val="autoZero"/>
        <c:auto val="1"/>
        <c:lblAlgn val="ctr"/>
        <c:lblOffset val="100"/>
        <c:noMultiLvlLbl val="0"/>
      </c:catAx>
      <c:valAx>
        <c:axId val="49962698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623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9da57bb-2626-4c53-b44c-d198221dc6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281.91</c:v>
                </c:pt>
                <c:pt idx="1">
                  <c:v>22.36</c:v>
                </c:pt>
                <c:pt idx="2">
                  <c:v>9.55</c:v>
                </c:pt>
                <c:pt idx="3">
                  <c:v>12.15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9a905e-caf9-458b-bc1b-a4d3cf2dc7a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8726</Words>
  <Characters>11514</Characters>
  <Lines>61</Lines>
  <Paragraphs>17</Paragraphs>
  <TotalTime>14</TotalTime>
  <ScaleCrop>false</ScaleCrop>
  <LinksUpToDate>false</LinksUpToDate>
  <CharactersWithSpaces>12030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WPS_1546659833</cp:lastModifiedBy>
  <cp:lastPrinted>2023-07-31T02:35:00Z</cp:lastPrinted>
  <dcterms:modified xsi:type="dcterms:W3CDTF">2026-06-29T02:47:39Z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DE24913BF2FA4BB9884DDD7FC2C22A67_13</vt:lpwstr>
  </property>
  <property fmtid="{D5CDD505-2E9C-101B-9397-08002B2CF9AE}" pid="4" name="KSOTemplateDocerSaveRecord">
    <vt:lpwstr>eyJoZGlkIjoiZjBmYTJkNWExNjIwZTg1ZWI2Y2EzZjVkYzUxZTQ1ZTAiLCJ1c2VySWQiOiI0NTQ0MzY5NjYifQ==</vt:lpwstr>
  </property>
</Properties>
</file>