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96597"/>
      <w:bookmarkStart w:id="4" w:name="_Toc15377425"/>
      <w:bookmarkStart w:id="5" w:name="_Toc15396475"/>
      <w:bookmarkStart w:id="70" w:name="_GoBack"/>
      <w:r>
        <w:rPr>
          <w:rFonts w:ascii="黑体" w:hAnsi="黑体" w:eastAsia="黑体"/>
          <w:color w:val="000000"/>
          <w:sz w:val="72"/>
          <w:szCs w:val="72"/>
        </w:rPr>
        <w:t>201</w:t>
      </w:r>
      <w:r>
        <w:rPr>
          <w:rFonts w:hint="eastAsia" w:ascii="黑体" w:hAnsi="黑体" w:eastAsia="黑体"/>
          <w:color w:val="000000"/>
          <w:sz w:val="72"/>
          <w:szCs w:val="72"/>
          <w:lang w:val="en-US" w:eastAsia="zh-CN"/>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96476"/>
      <w:bookmarkStart w:id="9" w:name="_Toc15377194"/>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壤塘县鱼托寺寺庙管理委员会部门决算</w:t>
      </w:r>
      <w:bookmarkEnd w:id="6"/>
      <w:bookmarkEnd w:id="7"/>
      <w:bookmarkEnd w:id="8"/>
      <w:bookmarkEnd w:id="9"/>
      <w:bookmarkEnd w:id="10"/>
      <w:bookmarkEnd w:id="11"/>
    </w:p>
    <w:bookmarkEnd w:id="70"/>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4"/>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4"/>
          <w:rFonts w:hint="eastAsia"/>
        </w:rPr>
        <w:t>第二部分</w:t>
      </w:r>
      <w:r>
        <w:rPr>
          <w:rStyle w:val="14"/>
        </w:rPr>
        <w:t xml:space="preserve"> 2018</w:t>
      </w:r>
      <w:r>
        <w:rPr>
          <w:rStyle w:val="14"/>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4"/>
          <w:rFonts w:hint="eastAsia" w:ascii="仿宋" w:hAnsi="仿宋" w:eastAsia="仿宋" w:cstheme="majorBidi"/>
          <w:bCs/>
          <w:sz w:val="28"/>
          <w:szCs w:val="28"/>
        </w:rPr>
        <w:t>一、</w:t>
      </w:r>
      <w:r>
        <w:rPr>
          <w:rStyle w:val="14"/>
          <w:rFonts w:hint="eastAsia" w:ascii="仿宋" w:hAnsi="仿宋" w:eastAsia="仿宋"/>
          <w:sz w:val="28"/>
          <w:szCs w:val="28"/>
        </w:rPr>
        <w:t>收</w:t>
      </w:r>
      <w:r>
        <w:rPr>
          <w:rStyle w:val="14"/>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4"/>
          <w:rFonts w:hint="eastAsia" w:ascii="仿宋" w:hAnsi="仿宋" w:eastAsia="仿宋" w:cstheme="majorBidi"/>
          <w:bCs/>
          <w:sz w:val="28"/>
          <w:szCs w:val="28"/>
        </w:rPr>
        <w:t>二、</w:t>
      </w:r>
      <w:r>
        <w:rPr>
          <w:rStyle w:val="14"/>
          <w:rFonts w:hint="eastAsia" w:ascii="仿宋" w:hAnsi="仿宋" w:eastAsia="仿宋"/>
          <w:sz w:val="28"/>
          <w:szCs w:val="28"/>
        </w:rPr>
        <w:t>收</w:t>
      </w:r>
      <w:r>
        <w:rPr>
          <w:rStyle w:val="14"/>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4"/>
          <w:rFonts w:hint="eastAsia" w:ascii="仿宋" w:hAnsi="仿宋" w:eastAsia="仿宋" w:cstheme="majorBidi"/>
          <w:bCs/>
          <w:sz w:val="28"/>
          <w:szCs w:val="28"/>
        </w:rPr>
        <w:t>三、</w:t>
      </w:r>
      <w:r>
        <w:rPr>
          <w:rStyle w:val="14"/>
          <w:rFonts w:hint="eastAsia" w:ascii="仿宋" w:hAnsi="仿宋" w:eastAsia="仿宋"/>
          <w:sz w:val="28"/>
          <w:szCs w:val="28"/>
        </w:rPr>
        <w:t>支</w:t>
      </w:r>
      <w:r>
        <w:rPr>
          <w:rStyle w:val="14"/>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ascii="仿宋" w:hAnsi="仿宋" w:eastAsia="仿宋"/>
          <w:sz w:val="28"/>
          <w:szCs w:val="28"/>
        </w:rPr>
        <w:t>“</w:t>
      </w:r>
      <w:r>
        <w:rPr>
          <w:rStyle w:val="14"/>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4"/>
          <w:rFonts w:hint="eastAsia" w:ascii="仿宋" w:hAnsi="仿宋" w:eastAsia="仿宋" w:cstheme="majorBidi"/>
          <w:bCs/>
          <w:sz w:val="28"/>
          <w:szCs w:val="28"/>
        </w:rPr>
        <w:t>九、</w:t>
      </w:r>
      <w:r>
        <w:rPr>
          <w:rStyle w:val="14"/>
          <w:rFonts w:hint="eastAsia" w:ascii="仿宋" w:hAnsi="仿宋" w:eastAsia="仿宋"/>
          <w:sz w:val="28"/>
          <w:szCs w:val="28"/>
        </w:rPr>
        <w:t xml:space="preserve"> 国</w:t>
      </w:r>
      <w:r>
        <w:rPr>
          <w:rStyle w:val="14"/>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ind w:firstLine="280" w:firstLineChars="100"/>
        <w:rPr>
          <w:color w:val="000000" w:themeColor="text1"/>
          <w14:textFill>
            <w14:solidFill>
              <w14:schemeClr w14:val="tx1"/>
            </w14:solidFill>
          </w14:textFill>
        </w:rPr>
      </w:pPr>
      <w:r>
        <w:rPr>
          <w:rStyle w:val="14"/>
          <w:rFonts w:hint="eastAsia" w:ascii="仿宋" w:hAnsi="仿宋" w:eastAsia="仿宋" w:cstheme="majorBidi"/>
          <w:bCs/>
          <w:color w:val="000000" w:themeColor="text1"/>
          <w:sz w:val="28"/>
          <w:szCs w:val="28"/>
          <w:u w:val="none"/>
          <w14:textFill>
            <w14:solidFill>
              <w14:schemeClr w14:val="tx1"/>
            </w14:solidFill>
          </w14:textFill>
        </w:rPr>
        <w:t>十、预算绩效情况说明</w:t>
      </w:r>
      <w:r>
        <w:rPr>
          <w:rStyle w:val="14"/>
          <w:rFonts w:ascii="仿宋" w:hAnsi="仿宋" w:eastAsia="仿宋" w:cstheme="majorBidi"/>
          <w:bCs/>
          <w:color w:val="000000" w:themeColor="text1"/>
          <w:sz w:val="28"/>
          <w:szCs w:val="28"/>
          <w:u w:val="none"/>
          <w14:textFill>
            <w14:solidFill>
              <w14:schemeClr w14:val="tx1"/>
            </w14:solidFill>
          </w14:textFill>
        </w:rPr>
        <w:t>…………………………………………</w:t>
      </w:r>
      <w:r>
        <w:rPr>
          <w:rStyle w:val="14"/>
          <w:rFonts w:hint="eastAsia" w:ascii="仿宋" w:hAnsi="仿宋" w:eastAsia="仿宋" w:cstheme="majorBidi"/>
          <w:bCs/>
          <w:color w:val="000000" w:themeColor="text1"/>
          <w:sz w:val="28"/>
          <w:szCs w:val="28"/>
          <w:u w:val="none"/>
          <w14:textFill>
            <w14:solidFill>
              <w14:schemeClr w14:val="tx1"/>
            </w14:solidFill>
          </w14:textFill>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4"/>
          <w:rFonts w:hint="eastAsia" w:ascii="仿宋" w:hAnsi="仿宋" w:eastAsia="仿宋"/>
          <w:sz w:val="28"/>
          <w:szCs w:val="28"/>
        </w:rPr>
        <w:t>十</w:t>
      </w:r>
      <w:r>
        <w:rPr>
          <w:rStyle w:val="14"/>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4"/>
          <w:rFonts w:hint="eastAsia"/>
          <w:bCs/>
          <w:kern w:val="44"/>
        </w:rPr>
        <w:t>第三部分</w:t>
      </w:r>
      <w:r>
        <w:rPr>
          <w:rStyle w:val="14"/>
          <w:rFonts w:hint="eastAsia"/>
        </w:rPr>
        <w:t xml:space="preserve"> 名</w:t>
      </w:r>
      <w:r>
        <w:rPr>
          <w:rStyle w:val="14"/>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988" w:firstLineChars="309"/>
        <w:rPr>
          <w:bCs/>
          <w:color w:val="000000"/>
          <w:sz w:val="32"/>
          <w:szCs w:val="32"/>
        </w:rPr>
      </w:pPr>
      <w:bookmarkStart w:id="16" w:name="_Toc15377204"/>
      <w:bookmarkStart w:id="17" w:name="_Toc15396602"/>
      <w:r>
        <w:rPr>
          <w:rFonts w:hint="eastAsia"/>
          <w:bCs/>
          <w:color w:val="000000"/>
          <w:sz w:val="32"/>
          <w:szCs w:val="32"/>
        </w:rPr>
        <w:t>（一）主要职能。</w:t>
      </w:r>
    </w:p>
    <w:p>
      <w:pPr>
        <w:widowControl/>
        <w:ind w:firstLine="960" w:firstLineChars="300"/>
        <w:jc w:val="left"/>
        <w:rPr>
          <w:rFonts w:ascii="仿宋" w:hAnsi="仿宋" w:eastAsia="仿宋" w:cs="仿宋"/>
          <w:sz w:val="32"/>
          <w:szCs w:val="32"/>
        </w:rPr>
      </w:pPr>
      <w:r>
        <w:rPr>
          <w:rFonts w:hint="eastAsia" w:ascii="仿宋" w:hAnsi="仿宋" w:eastAsia="仿宋" w:cs="仿宋"/>
          <w:kern w:val="0"/>
          <w:sz w:val="32"/>
          <w:szCs w:val="32"/>
        </w:rPr>
        <w:t>认真贯彻落实党的宗教工作方针政策和国家、</w:t>
      </w:r>
      <w:r>
        <w:rPr>
          <w:rFonts w:hint="eastAsia" w:ascii="仿宋" w:hAnsi="仿宋" w:eastAsia="仿宋" w:cs="仿宋"/>
          <w:kern w:val="0"/>
          <w:sz w:val="32"/>
          <w:szCs w:val="32"/>
          <w:lang w:eastAsia="zh-CN"/>
        </w:rPr>
        <w:t>省、州</w:t>
      </w:r>
      <w:r>
        <w:rPr>
          <w:rFonts w:hint="eastAsia" w:ascii="仿宋" w:hAnsi="仿宋" w:eastAsia="仿宋" w:cs="仿宋"/>
          <w:kern w:val="0"/>
          <w:sz w:val="32"/>
          <w:szCs w:val="32"/>
        </w:rPr>
        <w:t>宗教事务法律法规</w:t>
      </w:r>
      <w:r>
        <w:rPr>
          <w:rFonts w:hint="eastAsia" w:ascii="仿宋" w:hAnsi="仿宋" w:eastAsia="仿宋" w:cs="仿宋"/>
          <w:kern w:val="0"/>
          <w:sz w:val="32"/>
          <w:szCs w:val="32"/>
          <w:lang w:eastAsia="zh-CN"/>
        </w:rPr>
        <w:t>条例</w:t>
      </w:r>
      <w:r>
        <w:rPr>
          <w:rFonts w:hint="eastAsia" w:ascii="仿宋" w:hAnsi="仿宋" w:eastAsia="仿宋" w:cs="仿宋"/>
          <w:kern w:val="0"/>
          <w:sz w:val="32"/>
          <w:szCs w:val="32"/>
        </w:rPr>
        <w:t>,依法开展宗教事务管理工作,落实上级宗教工作决策部署,加强对所在乡、村(社区)宗教人士、宗教活动、宗教场所、信教群众的教育管理服务,充分发挥宗教人士的作用,做好信教群众工作,确保宗教活动依法依规规范有序,促进宗教与社会主义社会相适应。</w:t>
      </w:r>
    </w:p>
    <w:p>
      <w:pPr>
        <w:widowControl/>
        <w:ind w:firstLine="960" w:firstLineChars="300"/>
        <w:jc w:val="left"/>
      </w:pPr>
      <w:r>
        <w:rPr>
          <w:rFonts w:hint="eastAsia"/>
          <w:bCs/>
          <w:color w:val="000000"/>
          <w:sz w:val="32"/>
          <w:szCs w:val="32"/>
        </w:rPr>
        <w:t>（二）2018年重点工作完成情况。</w:t>
      </w:r>
      <w:r>
        <w:rPr>
          <w:rFonts w:hint="eastAsia" w:ascii="仿宋" w:hAnsi="仿宋" w:eastAsia="仿宋" w:cs="仿宋"/>
          <w:kern w:val="0"/>
          <w:sz w:val="32"/>
          <w:szCs w:val="32"/>
        </w:rPr>
        <w:t>开展深入细致的调查研究,全面掌握有关情况,抓好基础性工作,做到底数清、情况明、方法准,善于发现问题、解决问题,并准确、及时地反映重要信息;坚持政治上团结合作、信仰上相互尊重,加强与宗教人士日常沟通,掌握宗教人士的思想动态,相信、依靠广大宗教人士,倾听他们的意见,充分发挥他们的特殊作用,积极协调帮助宗教人士、信教群众排忧解难,把广大宗教人士和信教群众紧紧团结在党和政府周围;遵循宗教自身规律,理解、尊重、爱护信教群众的宗教感情、信仰需求和风俗习惯,注意工作方式方法,既不能不作为、也不能乱作为;既要愿管敢管,又要善管</w:t>
      </w:r>
      <w:r>
        <w:rPr>
          <w:rFonts w:ascii="宋体" w:hAnsi="宋体" w:cs="宋体"/>
          <w:kern w:val="0"/>
          <w:sz w:val="24"/>
        </w:rPr>
        <w:t>会管。</w:t>
      </w:r>
    </w:p>
    <w:p>
      <w:pPr>
        <w:pStyle w:val="5"/>
        <w:adjustRightInd w:val="0"/>
        <w:snapToGrid w:val="0"/>
        <w:spacing w:before="93" w:line="600" w:lineRule="exact"/>
        <w:ind w:firstLine="672" w:firstLineChars="210"/>
        <w:rPr>
          <w:bCs/>
          <w:color w:val="000000"/>
          <w:sz w:val="32"/>
          <w:szCs w:val="32"/>
        </w:rPr>
      </w:pPr>
    </w:p>
    <w:p>
      <w:pPr>
        <w:pStyle w:val="5"/>
        <w:adjustRightInd w:val="0"/>
        <w:snapToGrid w:val="0"/>
        <w:spacing w:before="93" w:line="600" w:lineRule="exact"/>
        <w:ind w:firstLine="672" w:firstLineChars="210"/>
        <w:rPr>
          <w:rFonts w:ascii="黑体" w:eastAsia="黑体"/>
          <w:color w:val="000000"/>
          <w:sz w:val="32"/>
          <w:szCs w:val="32"/>
        </w:rPr>
      </w:pPr>
      <w:r>
        <w:rPr>
          <w:rFonts w:hint="eastAsia" w:ascii="黑体" w:eastAsia="黑体"/>
          <w:color w:val="000000"/>
          <w:sz w:val="32"/>
          <w:szCs w:val="32"/>
        </w:rPr>
        <w:t>二、部门概况</w:t>
      </w:r>
    </w:p>
    <w:p>
      <w:pPr>
        <w:pStyle w:val="5"/>
        <w:adjustRightInd w:val="0"/>
        <w:snapToGrid w:val="0"/>
        <w:spacing w:before="93" w:line="600" w:lineRule="exact"/>
        <w:ind w:firstLine="1120" w:firstLineChars="350"/>
        <w:rPr>
          <w:rFonts w:hAnsi="仿宋"/>
          <w:color w:val="000000"/>
          <w:sz w:val="32"/>
          <w:szCs w:val="32"/>
        </w:rPr>
      </w:pPr>
      <w:r>
        <w:rPr>
          <w:rFonts w:hint="eastAsia"/>
          <w:color w:val="000000"/>
          <w:sz w:val="32"/>
          <w:szCs w:val="32"/>
        </w:rPr>
        <w:t>鱼托寺管委会编制11人，下属二级单位0个，其中行政单位0个，参照公务员法管理的事业单位0个，其他事业单位0个。</w:t>
      </w:r>
      <w:r>
        <w:rPr>
          <w:rFonts w:hint="eastAsia"/>
          <w:color w:val="333333"/>
          <w:sz w:val="32"/>
          <w:szCs w:val="32"/>
        </w:rPr>
        <w:t>共设4个科室，分别为：综合办公室、法制宣传科、社会化服务管理科、宗教事务管理科。</w:t>
      </w:r>
    </w:p>
    <w:p>
      <w:pPr>
        <w:pStyle w:val="5"/>
        <w:adjustRightInd w:val="0"/>
        <w:snapToGrid w:val="0"/>
        <w:spacing w:before="93" w:line="600" w:lineRule="exact"/>
        <w:ind w:firstLine="672" w:firstLineChars="210"/>
        <w:rPr>
          <w:color w:val="000000"/>
          <w:sz w:val="32"/>
          <w:szCs w:val="32"/>
        </w:rPr>
      </w:pPr>
    </w:p>
    <w:p>
      <w:pPr>
        <w:widowControl/>
        <w:spacing w:line="600" w:lineRule="exact"/>
        <w:ind w:left="210" w:leftChars="100" w:firstLine="640" w:firstLineChars="200"/>
        <w:jc w:val="left"/>
        <w:rPr>
          <w:rFonts w:ascii="仿宋_GB2312" w:hAnsi="宋体" w:eastAsia="仿宋_GB2312" w:cs="宋体"/>
          <w:kern w:val="0"/>
          <w:sz w:val="32"/>
          <w:szCs w:val="32"/>
        </w:rPr>
      </w:pPr>
    </w:p>
    <w:p>
      <w:pPr>
        <w:pStyle w:val="2"/>
        <w:ind w:right="440"/>
        <w:jc w:val="right"/>
        <w:rPr>
          <w:rStyle w:val="24"/>
          <w:rFonts w:ascii="黑体" w:hAnsi="黑体" w:eastAsia="黑体"/>
          <w:b w:val="0"/>
          <w:bCs w:val="0"/>
        </w:rPr>
      </w:pPr>
      <w:r>
        <w:rPr>
          <w:rFonts w:hint="eastAsia" w:ascii="黑体" w:hAnsi="黑体" w:eastAsia="黑体"/>
          <w:b w:val="0"/>
          <w:color w:val="000000"/>
        </w:rPr>
        <w:t>第二部分</w:t>
      </w:r>
      <w:r>
        <w:rPr>
          <w:rStyle w:val="24"/>
          <w:rFonts w:hint="eastAsia" w:ascii="黑体" w:hAnsi="黑体" w:eastAsia="黑体"/>
          <w:b w:val="0"/>
          <w:bCs w:val="0"/>
        </w:rPr>
        <w:t>2018年度部门决算情况说明</w:t>
      </w:r>
      <w:bookmarkEnd w:id="16"/>
      <w:bookmarkEnd w:id="17"/>
    </w:p>
    <w:p/>
    <w:p>
      <w:pPr>
        <w:pStyle w:val="23"/>
        <w:numPr>
          <w:ilvl w:val="0"/>
          <w:numId w:val="1"/>
        </w:numPr>
        <w:spacing w:line="600" w:lineRule="exact"/>
        <w:ind w:firstLineChars="0"/>
        <w:outlineLvl w:val="1"/>
        <w:rPr>
          <w:rStyle w:val="25"/>
          <w:rFonts w:ascii="黑体" w:hAnsi="黑体" w:eastAsia="黑体"/>
          <w:b w:val="0"/>
        </w:rPr>
      </w:pPr>
      <w:bookmarkStart w:id="18" w:name="_Toc15396603"/>
      <w:bookmarkStart w:id="19"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bidi="bo-CN"/>
        </w:rPr>
        <w:drawing>
          <wp:anchor distT="0" distB="0" distL="114300" distR="114300" simplePos="0" relativeHeight="251655168" behindDoc="0" locked="0" layoutInCell="1" allowOverlap="1">
            <wp:simplePos x="0" y="0"/>
            <wp:positionH relativeFrom="column">
              <wp:posOffset>409575</wp:posOffset>
            </wp:positionH>
            <wp:positionV relativeFrom="paragraph">
              <wp:posOffset>1728470</wp:posOffset>
            </wp:positionV>
            <wp:extent cx="5343525" cy="2219325"/>
            <wp:effectExtent l="0" t="0" r="0" b="0"/>
            <wp:wrapSquare wrapText="right"/>
            <wp:docPr id="3" name="Pictur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2018年度收、支总计631.87万元。与2017年相比，收、支总计各减少224.1万元，下降35</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p>
    <w:p>
      <w:pPr>
        <w:spacing w:line="600" w:lineRule="exact"/>
        <w:ind w:firstLine="640" w:firstLineChars="200"/>
        <w:rPr>
          <w:rFonts w:ascii="仿宋" w:hAnsi="仿宋" w:eastAsia="仿宋"/>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0" w:name="_Toc15396604"/>
      <w:bookmarkStart w:id="21"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8年本年收入合计228.48万元，其中：一般公共预算财政拨款收入228.42万元，占99</w:t>
      </w:r>
      <w:r>
        <w:rPr>
          <w:rFonts w:ascii="仿宋" w:hAnsi="仿宋" w:eastAsia="仿宋"/>
          <w:color w:val="000000"/>
          <w:sz w:val="32"/>
          <w:szCs w:val="32"/>
        </w:rPr>
        <w:t>%</w:t>
      </w:r>
      <w:r>
        <w:rPr>
          <w:rFonts w:hint="eastAsia" w:ascii="仿宋" w:hAnsi="仿宋" w:eastAsia="仿宋"/>
          <w:color w:val="000000"/>
          <w:sz w:val="32"/>
          <w:szCs w:val="32"/>
        </w:rPr>
        <w:t>；其他收入0.06万元，占1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r>
        <w:rPr>
          <w:rFonts w:hint="eastAsia" w:ascii="仿宋_GB2312" w:eastAsia="仿宋_GB2312"/>
          <w:color w:val="000000"/>
          <w:sz w:val="32"/>
          <w:szCs w:val="32"/>
          <w:lang w:bidi="bo-CN"/>
        </w:rPr>
        <w:drawing>
          <wp:anchor distT="0" distB="0" distL="114300" distR="114300" simplePos="0" relativeHeight="251656192" behindDoc="0" locked="0" layoutInCell="1" allowOverlap="1">
            <wp:simplePos x="0" y="0"/>
            <wp:positionH relativeFrom="column">
              <wp:posOffset>956945</wp:posOffset>
            </wp:positionH>
            <wp:positionV relativeFrom="paragraph">
              <wp:posOffset>-573405</wp:posOffset>
            </wp:positionV>
            <wp:extent cx="2450465" cy="1971675"/>
            <wp:effectExtent l="4445" t="4445" r="2159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2" w:name="_Toc15396605"/>
      <w:bookmarkStart w:id="23"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2"/>
      <w:bookmarkEnd w:id="23"/>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8年本年支出合计403.39万元，其中：基本支出238.14万元，占59.03</w:t>
      </w:r>
      <w:r>
        <w:rPr>
          <w:rFonts w:ascii="仿宋" w:hAnsi="仿宋" w:eastAsia="仿宋"/>
          <w:color w:val="000000"/>
          <w:sz w:val="32"/>
          <w:szCs w:val="32"/>
        </w:rPr>
        <w:t>%</w:t>
      </w:r>
      <w:r>
        <w:rPr>
          <w:rFonts w:hint="eastAsia" w:ascii="仿宋" w:hAnsi="仿宋" w:eastAsia="仿宋"/>
          <w:color w:val="000000"/>
          <w:sz w:val="32"/>
          <w:szCs w:val="32"/>
        </w:rPr>
        <w:t>；项目支出165.25万元，占40.97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FF0000"/>
          <w:sz w:val="32"/>
          <w:szCs w:val="32"/>
          <w:lang w:bidi="bo-CN"/>
        </w:rPr>
        <w:drawing>
          <wp:anchor distT="0" distB="0" distL="114300" distR="114300" simplePos="0" relativeHeight="251657216" behindDoc="0" locked="0" layoutInCell="1" allowOverlap="1">
            <wp:simplePos x="0" y="0"/>
            <wp:positionH relativeFrom="column">
              <wp:posOffset>1018540</wp:posOffset>
            </wp:positionH>
            <wp:positionV relativeFrom="paragraph">
              <wp:posOffset>41910</wp:posOffset>
            </wp:positionV>
            <wp:extent cx="2875280" cy="2360295"/>
            <wp:effectExtent l="4445" t="4445" r="1587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24" w:name="_Toc15377208"/>
      <w:bookmarkStart w:id="25"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4"/>
      <w:bookmarkEnd w:id="25"/>
    </w:p>
    <w:p>
      <w:pPr>
        <w:spacing w:line="600" w:lineRule="exact"/>
        <w:ind w:firstLine="640" w:firstLineChars="200"/>
        <w:rPr>
          <w:rFonts w:ascii="仿宋" w:hAnsi="仿宋" w:eastAsia="仿宋"/>
          <w:b/>
          <w:color w:val="00B050"/>
          <w:sz w:val="32"/>
          <w:szCs w:val="32"/>
        </w:rPr>
      </w:pPr>
      <w:r>
        <w:rPr>
          <w:rFonts w:ascii="黑体" w:eastAsia="黑体"/>
          <w:color w:val="000000"/>
          <w:sz w:val="32"/>
          <w:szCs w:val="32"/>
        </w:rPr>
        <w:pict>
          <v:shape id="Picture 2" o:spid="_x0000_s1026" o:spt="75" type="#_x0000_t75" style="position:absolute;left:0pt;margin-left:-2.85pt;margin-top:90.95pt;height:171pt;width:419.8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0" o:title=""/>
            <o:lock v:ext="edit" aspectratio="t"/>
            <w10:wrap type="square" side="right"/>
          </v:shape>
          <o:OLEObject Type="Embed" ProgID="MSGraph.Chart.8" ShapeID="Picture 2" DrawAspect="Content" ObjectID="_1468075725" r:id="rId9">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8年财政拨款收、支总计631.81万元。与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7年相比，财政拨款收、支总计减少224.11万元，下降35</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p>
    <w:p>
      <w:pPr>
        <w:spacing w:line="600" w:lineRule="exact"/>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26" w:name="_Toc15377209"/>
      <w:bookmarkStart w:id="2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color w:val="000000"/>
          <w:sz w:val="32"/>
          <w:szCs w:val="32"/>
        </w:rPr>
      </w:pPr>
      <w:bookmarkStart w:id="28" w:name="_Toc15377210"/>
      <w:r>
        <w:rPr>
          <w:rFonts w:hint="eastAsia" w:ascii="仿宋" w:hAnsi="仿宋" w:eastAsia="仿宋"/>
          <w:b/>
          <w:color w:val="000000"/>
          <w:sz w:val="32"/>
          <w:szCs w:val="32"/>
        </w:rPr>
        <w:t>（一）一般公共预算财政拨款支出决算总体情况</w:t>
      </w:r>
      <w:bookmarkEnd w:id="2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8年一般公共预算财政拨款支出238.14万元，占本年支出合计的100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7年相比，一般公共预算财政拨款减少21.31万元，下降8.9</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p>
    <w:p>
      <w:pPr>
        <w:spacing w:line="600" w:lineRule="exact"/>
        <w:rPr>
          <w:rFonts w:ascii="仿宋" w:hAnsi="仿宋" w:eastAsia="仿宋"/>
          <w:color w:val="000000" w:themeColor="text1"/>
          <w:sz w:val="32"/>
          <w:szCs w:val="32"/>
          <w14:textFill>
            <w14:solidFill>
              <w14:schemeClr w14:val="tx1"/>
            </w14:solidFill>
          </w14:textFill>
        </w:rPr>
      </w:pPr>
      <w:r>
        <w:rPr>
          <w:rFonts w:ascii="仿宋_GB2312" w:eastAsia="仿宋_GB2312"/>
          <w:color w:val="000000"/>
          <w:sz w:val="32"/>
          <w:szCs w:val="32"/>
        </w:rPr>
        <w:pict>
          <v:shape id="_x0000_s1027" o:spid="_x0000_s1027" o:spt="75" type="#_x0000_t75" style="position:absolute;left:0pt;margin-left:43.05pt;margin-top:9.7pt;height:178.55pt;width:332.35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2" o:title=""/>
            <o:lock v:ext="edit" aspectratio="t"/>
            <w10:wrap type="square"/>
          </v:shape>
          <o:OLEObject Type="Embed" ProgID="MSGraph.Chart.8" ShapeID="_x0000_s1027" DrawAspect="Content" ObjectID="_1468075726" r:id="rId11">
            <o:LockedField>false</o:LockedField>
          </o:OLEObject>
        </w:pict>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pPr>
        <w:ind w:firstLine="640" w:firstLineChars="200"/>
        <w:rPr>
          <w:rFonts w:ascii="仿宋" w:hAnsi="仿宋" w:eastAsia="仿宋"/>
          <w:color w:val="000000"/>
          <w:sz w:val="32"/>
          <w:szCs w:val="32"/>
        </w:rPr>
      </w:pPr>
      <w:r>
        <w:rPr>
          <w:rFonts w:ascii="仿宋" w:hAnsi="仿宋" w:eastAsia="仿宋"/>
          <w:color w:val="000000"/>
          <w:sz w:val="32"/>
          <w:szCs w:val="32"/>
          <w:lang w:bidi="bo-CN"/>
        </w:rPr>
        <w:drawing>
          <wp:anchor distT="0" distB="0" distL="114300" distR="114300" simplePos="0" relativeHeight="251658240" behindDoc="0" locked="0" layoutInCell="1" allowOverlap="1">
            <wp:simplePos x="0" y="0"/>
            <wp:positionH relativeFrom="column">
              <wp:posOffset>229235</wp:posOffset>
            </wp:positionH>
            <wp:positionV relativeFrom="paragraph">
              <wp:posOffset>7190740</wp:posOffset>
            </wp:positionV>
            <wp:extent cx="4663440" cy="2333625"/>
            <wp:effectExtent l="19050" t="0" r="22860"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政拨款支出403.39万元，主要用于以下方面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_GB2312" w:eastAsia="仿宋_GB2312"/>
          <w:color w:val="000000"/>
          <w:sz w:val="32"/>
          <w:szCs w:val="32"/>
        </w:rPr>
        <w:t>社会保障和就业支出29.08万元，占7.20%，（其中：</w:t>
      </w:r>
      <w:r>
        <w:rPr>
          <w:rStyle w:val="13"/>
          <w:rFonts w:hint="eastAsia" w:ascii="仿宋" w:hAnsi="仿宋" w:eastAsia="仿宋"/>
          <w:color w:val="000000"/>
          <w:sz w:val="32"/>
          <w:szCs w:val="32"/>
        </w:rPr>
        <w:t>208（类）05（款）05（项）</w:t>
      </w:r>
      <w:r>
        <w:rPr>
          <w:rStyle w:val="13"/>
          <w:rFonts w:hint="eastAsia" w:ascii="仿宋_GB2312" w:hAnsi="仿宋" w:eastAsia="仿宋_GB2312"/>
          <w:color w:val="000000"/>
          <w:sz w:val="32"/>
          <w:szCs w:val="32"/>
        </w:rPr>
        <w:t>机关事业单位养老保险缴费</w:t>
      </w:r>
      <w:r>
        <w:rPr>
          <w:rFonts w:hint="eastAsia" w:ascii="仿宋_GB2312" w:eastAsia="仿宋_GB2312"/>
          <w:color w:val="000000"/>
          <w:sz w:val="32"/>
          <w:szCs w:val="32"/>
        </w:rPr>
        <w:t>支出20.77万元，</w:t>
      </w:r>
      <w:r>
        <w:rPr>
          <w:rStyle w:val="13"/>
          <w:rFonts w:hint="eastAsia" w:ascii="仿宋" w:hAnsi="仿宋" w:eastAsia="仿宋"/>
          <w:color w:val="000000"/>
          <w:sz w:val="32"/>
          <w:szCs w:val="32"/>
        </w:rPr>
        <w:t>208（类）05（款）06（项）</w:t>
      </w:r>
      <w:r>
        <w:rPr>
          <w:rStyle w:val="13"/>
          <w:rFonts w:hint="eastAsia" w:ascii="仿宋_GB2312" w:hAnsi="仿宋" w:eastAsia="仿宋_GB2312"/>
          <w:color w:val="000000"/>
          <w:sz w:val="32"/>
          <w:szCs w:val="32"/>
        </w:rPr>
        <w:t>机关事业单位职业年金缴费</w:t>
      </w:r>
      <w:r>
        <w:rPr>
          <w:rFonts w:hint="eastAsia" w:ascii="仿宋_GB2312" w:eastAsia="仿宋_GB2312"/>
          <w:color w:val="000000"/>
          <w:sz w:val="32"/>
          <w:szCs w:val="32"/>
        </w:rPr>
        <w:t>支出8.31万元）；医疗卫生和计划生育支出6.8万元，占1.68%，（其中：</w:t>
      </w:r>
      <w:r>
        <w:rPr>
          <w:rStyle w:val="13"/>
          <w:rFonts w:hint="eastAsia" w:ascii="仿宋" w:hAnsi="仿宋" w:eastAsia="仿宋"/>
          <w:color w:val="000000"/>
          <w:sz w:val="32"/>
          <w:szCs w:val="32"/>
        </w:rPr>
        <w:t>210（类）11（款）01（项）</w:t>
      </w:r>
      <w:r>
        <w:rPr>
          <w:rStyle w:val="13"/>
          <w:rFonts w:hint="eastAsia" w:ascii="仿宋_GB2312" w:hAnsi="仿宋" w:eastAsia="仿宋_GB2312"/>
          <w:color w:val="000000"/>
          <w:sz w:val="32"/>
          <w:szCs w:val="32"/>
        </w:rPr>
        <w:t>行政单位医疗</w:t>
      </w:r>
      <w:r>
        <w:rPr>
          <w:rStyle w:val="13"/>
          <w:rFonts w:hint="eastAsia" w:ascii="仿宋_GB2312" w:hAnsi="仿宋" w:eastAsia="仿宋_GB2312"/>
          <w:b w:val="0"/>
          <w:color w:val="000000"/>
          <w:sz w:val="32"/>
          <w:szCs w:val="32"/>
        </w:rPr>
        <w:t>支出6.8万元</w:t>
      </w:r>
      <w:r>
        <w:rPr>
          <w:rFonts w:hint="eastAsia" w:ascii="仿宋_GB2312" w:eastAsia="仿宋_GB2312"/>
          <w:color w:val="000000"/>
          <w:sz w:val="32"/>
          <w:szCs w:val="32"/>
        </w:rPr>
        <w:t>）；一般公共服务支出320.85万元，占79.53%（其中：</w:t>
      </w:r>
      <w:r>
        <w:rPr>
          <w:rStyle w:val="13"/>
          <w:rFonts w:hint="eastAsia" w:ascii="仿宋" w:hAnsi="仿宋" w:eastAsia="仿宋"/>
          <w:color w:val="000000"/>
          <w:sz w:val="32"/>
          <w:szCs w:val="32"/>
        </w:rPr>
        <w:t>201（类）23（款）99（项）其他</w:t>
      </w:r>
      <w:r>
        <w:rPr>
          <w:rStyle w:val="13"/>
          <w:rFonts w:hint="eastAsia" w:ascii="仿宋_GB2312" w:hAnsi="仿宋" w:eastAsia="仿宋_GB2312"/>
          <w:color w:val="000000"/>
          <w:sz w:val="32"/>
          <w:szCs w:val="32"/>
        </w:rPr>
        <w:t>民族事务支出</w:t>
      </w:r>
      <w:r>
        <w:rPr>
          <w:rFonts w:hint="eastAsia" w:ascii="仿宋_GB2312" w:eastAsia="仿宋_GB2312"/>
          <w:color w:val="000000"/>
          <w:sz w:val="32"/>
          <w:szCs w:val="32"/>
        </w:rPr>
        <w:t>4.73万元，</w:t>
      </w:r>
      <w:r>
        <w:rPr>
          <w:rStyle w:val="13"/>
          <w:rFonts w:hint="eastAsia" w:ascii="仿宋" w:hAnsi="仿宋" w:eastAsia="仿宋"/>
          <w:color w:val="000000"/>
          <w:sz w:val="32"/>
          <w:szCs w:val="32"/>
        </w:rPr>
        <w:t xml:space="preserve"> 201（类）24（款）01（项）</w:t>
      </w:r>
      <w:r>
        <w:rPr>
          <w:rStyle w:val="13"/>
          <w:rFonts w:hint="eastAsia" w:ascii="仿宋_GB2312" w:hAnsi="仿宋" w:eastAsia="仿宋_GB2312"/>
          <w:color w:val="000000"/>
          <w:sz w:val="32"/>
          <w:szCs w:val="32"/>
        </w:rPr>
        <w:t>行政运行支出</w:t>
      </w:r>
      <w:r>
        <w:rPr>
          <w:rFonts w:hint="eastAsia" w:ascii="仿宋_GB2312" w:eastAsia="仿宋_GB2312"/>
          <w:color w:val="000000"/>
          <w:sz w:val="32"/>
          <w:szCs w:val="32"/>
        </w:rPr>
        <w:t>184.70万元</w:t>
      </w:r>
      <w:r>
        <w:rPr>
          <w:rStyle w:val="13"/>
          <w:rFonts w:hint="eastAsia" w:ascii="仿宋_GB2312" w:hAnsi="仿宋" w:eastAsia="仿宋_GB2312"/>
          <w:color w:val="000000"/>
          <w:sz w:val="32"/>
          <w:szCs w:val="32"/>
        </w:rPr>
        <w:t>，</w:t>
      </w:r>
      <w:r>
        <w:rPr>
          <w:rStyle w:val="13"/>
          <w:rFonts w:hint="eastAsia" w:ascii="仿宋" w:hAnsi="仿宋" w:eastAsia="仿宋"/>
          <w:color w:val="000000"/>
          <w:sz w:val="32"/>
          <w:szCs w:val="32"/>
        </w:rPr>
        <w:t>201（类）24（款）04（项）</w:t>
      </w:r>
      <w:r>
        <w:rPr>
          <w:rStyle w:val="13"/>
          <w:rFonts w:hint="eastAsia" w:ascii="仿宋_GB2312" w:hAnsi="仿宋" w:eastAsia="仿宋_GB2312"/>
          <w:color w:val="000000"/>
          <w:sz w:val="32"/>
          <w:szCs w:val="32"/>
        </w:rPr>
        <w:t>宗教工作专项</w:t>
      </w:r>
      <w:r>
        <w:rPr>
          <w:rStyle w:val="13"/>
          <w:rFonts w:hint="eastAsia" w:ascii="仿宋_GB2312" w:hAnsi="仿宋" w:eastAsia="仿宋_GB2312"/>
          <w:b w:val="0"/>
          <w:bCs/>
          <w:color w:val="000000"/>
          <w:sz w:val="32"/>
          <w:szCs w:val="32"/>
        </w:rPr>
        <w:t>3万元</w:t>
      </w:r>
      <w:r>
        <w:rPr>
          <w:rStyle w:val="13"/>
          <w:rFonts w:hint="eastAsia" w:ascii="仿宋_GB2312" w:hAnsi="仿宋" w:eastAsia="仿宋_GB2312"/>
          <w:color w:val="000000"/>
          <w:sz w:val="32"/>
          <w:szCs w:val="32"/>
        </w:rPr>
        <w:t>，</w:t>
      </w:r>
      <w:r>
        <w:rPr>
          <w:rStyle w:val="13"/>
          <w:rFonts w:hint="eastAsia" w:ascii="仿宋" w:hAnsi="仿宋" w:eastAsia="仿宋"/>
          <w:color w:val="000000"/>
          <w:sz w:val="32"/>
          <w:szCs w:val="32"/>
        </w:rPr>
        <w:t>201（类）24（款）99（项）</w:t>
      </w:r>
      <w:r>
        <w:rPr>
          <w:rStyle w:val="13"/>
          <w:rFonts w:hint="eastAsia" w:ascii="仿宋_GB2312" w:hAnsi="仿宋" w:eastAsia="仿宋_GB2312"/>
          <w:color w:val="000000"/>
          <w:sz w:val="32"/>
          <w:szCs w:val="32"/>
        </w:rPr>
        <w:t>其他宗教事务支出</w:t>
      </w:r>
      <w:r>
        <w:rPr>
          <w:rStyle w:val="13"/>
          <w:rFonts w:hint="eastAsia" w:ascii="仿宋_GB2312" w:hAnsi="仿宋" w:eastAsia="仿宋_GB2312"/>
          <w:b w:val="0"/>
          <w:bCs/>
          <w:color w:val="000000" w:themeColor="text1"/>
          <w:sz w:val="32"/>
          <w:szCs w:val="32"/>
          <w14:textFill>
            <w14:solidFill>
              <w14:schemeClr w14:val="tx1"/>
            </w14:solidFill>
          </w14:textFill>
        </w:rPr>
        <w:t>66万元，</w:t>
      </w:r>
      <w:r>
        <w:rPr>
          <w:rStyle w:val="13"/>
          <w:rFonts w:hint="eastAsia" w:ascii="仿宋" w:hAnsi="仿宋" w:eastAsia="仿宋"/>
          <w:color w:val="000000" w:themeColor="text1"/>
          <w:sz w:val="32"/>
          <w:szCs w:val="32"/>
          <w14:textFill>
            <w14:solidFill>
              <w14:schemeClr w14:val="tx1"/>
            </w14:solidFill>
          </w14:textFill>
        </w:rPr>
        <w:t>201（类）34（款）02（项）</w:t>
      </w:r>
      <w:r>
        <w:rPr>
          <w:rStyle w:val="13"/>
          <w:rFonts w:hint="eastAsia" w:ascii="仿宋_GB2312" w:hAnsi="仿宋" w:eastAsia="仿宋_GB2312"/>
          <w:color w:val="000000" w:themeColor="text1"/>
          <w:sz w:val="32"/>
          <w:szCs w:val="32"/>
          <w14:textFill>
            <w14:solidFill>
              <w14:schemeClr w14:val="tx1"/>
            </w14:solidFill>
          </w14:textFill>
        </w:rPr>
        <w:t>一般行政管理事务支出</w:t>
      </w:r>
      <w:r>
        <w:rPr>
          <w:rFonts w:hint="eastAsia" w:ascii="仿宋_GB2312" w:eastAsia="仿宋_GB2312"/>
          <w:color w:val="000000" w:themeColor="text1"/>
          <w:sz w:val="32"/>
          <w:szCs w:val="32"/>
          <w14:textFill>
            <w14:solidFill>
              <w14:schemeClr w14:val="tx1"/>
            </w14:solidFill>
          </w14:textFill>
        </w:rPr>
        <w:t>12.54万元，</w:t>
      </w:r>
      <w:r>
        <w:rPr>
          <w:rStyle w:val="13"/>
          <w:rFonts w:hint="eastAsia" w:ascii="仿宋" w:hAnsi="仿宋" w:eastAsia="仿宋"/>
          <w:color w:val="000000" w:themeColor="text1"/>
          <w:sz w:val="32"/>
          <w:szCs w:val="32"/>
          <w14:textFill>
            <w14:solidFill>
              <w14:schemeClr w14:val="tx1"/>
            </w14:solidFill>
          </w14:textFill>
        </w:rPr>
        <w:t>201（类）99（款）99（项）其他一般公共服务支出49.88万元，农林水支出</w:t>
      </w:r>
      <w:r>
        <w:rPr>
          <w:rStyle w:val="13"/>
          <w:rFonts w:hint="eastAsia" w:ascii="仿宋_GB2312" w:hAnsi="仿宋" w:eastAsia="仿宋_GB2312"/>
          <w:b w:val="0"/>
          <w:bCs/>
          <w:color w:val="000000" w:themeColor="text1"/>
          <w:sz w:val="32"/>
          <w:szCs w:val="32"/>
          <w14:textFill>
            <w14:solidFill>
              <w14:schemeClr w14:val="tx1"/>
            </w14:solidFill>
          </w14:textFill>
        </w:rPr>
        <w:t>29.10</w:t>
      </w:r>
      <w:r>
        <w:rPr>
          <w:rStyle w:val="13"/>
          <w:rFonts w:hint="eastAsia" w:ascii="仿宋" w:hAnsi="仿宋" w:eastAsia="仿宋"/>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占7.21%，（其中：</w:t>
      </w:r>
      <w:r>
        <w:rPr>
          <w:rStyle w:val="13"/>
          <w:rFonts w:hint="eastAsia" w:ascii="仿宋" w:hAnsi="仿宋" w:eastAsia="仿宋"/>
          <w:color w:val="000000" w:themeColor="text1"/>
          <w:sz w:val="32"/>
          <w:szCs w:val="32"/>
          <w14:textFill>
            <w14:solidFill>
              <w14:schemeClr w14:val="tx1"/>
            </w14:solidFill>
          </w14:textFill>
        </w:rPr>
        <w:t>213（类）05（款）04（项）</w:t>
      </w:r>
      <w:r>
        <w:rPr>
          <w:rStyle w:val="13"/>
          <w:rFonts w:hint="eastAsia" w:ascii="仿宋_GB2312" w:hAnsi="仿宋" w:eastAsia="仿宋_GB2312"/>
          <w:color w:val="000000" w:themeColor="text1"/>
          <w:sz w:val="32"/>
          <w:szCs w:val="32"/>
          <w14:textFill>
            <w14:solidFill>
              <w14:schemeClr w14:val="tx1"/>
            </w14:solidFill>
          </w14:textFill>
        </w:rPr>
        <w:t>农村基础设施建设支出</w:t>
      </w:r>
      <w:r>
        <w:rPr>
          <w:rFonts w:hint="eastAsia" w:ascii="仿宋_GB2312" w:eastAsia="仿宋_GB2312"/>
          <w:color w:val="000000" w:themeColor="text1"/>
          <w:sz w:val="32"/>
          <w:szCs w:val="32"/>
          <w14:textFill>
            <w14:solidFill>
              <w14:schemeClr w14:val="tx1"/>
            </w14:solidFill>
          </w14:textFill>
        </w:rPr>
        <w:t>29.10万元）；住房保障支出17.56万元，</w:t>
      </w:r>
      <w:r>
        <w:rPr>
          <w:rFonts w:hint="eastAsia" w:ascii="仿宋_GB2312" w:eastAsia="仿宋_GB2312"/>
          <w:color w:val="000000"/>
          <w:sz w:val="32"/>
          <w:szCs w:val="32"/>
        </w:rPr>
        <w:t>占4.35%，（其中：</w:t>
      </w:r>
      <w:r>
        <w:rPr>
          <w:rStyle w:val="13"/>
          <w:rFonts w:hint="eastAsia" w:ascii="仿宋" w:hAnsi="仿宋" w:eastAsia="仿宋"/>
          <w:color w:val="000000"/>
          <w:sz w:val="32"/>
          <w:szCs w:val="32"/>
        </w:rPr>
        <w:t>221（类）02（款）01（项）</w:t>
      </w:r>
      <w:r>
        <w:rPr>
          <w:rStyle w:val="13"/>
          <w:rFonts w:hint="eastAsia" w:ascii="仿宋_GB2312" w:hAnsi="仿宋" w:eastAsia="仿宋_GB2312"/>
          <w:color w:val="000000"/>
          <w:sz w:val="32"/>
          <w:szCs w:val="32"/>
        </w:rPr>
        <w:t>住房公积金支出</w:t>
      </w:r>
      <w:r>
        <w:rPr>
          <w:rFonts w:hint="eastAsia" w:ascii="仿宋_GB2312" w:eastAsia="仿宋_GB2312"/>
          <w:color w:val="000000"/>
          <w:sz w:val="32"/>
          <w:szCs w:val="32"/>
        </w:rPr>
        <w:t>17.56元）</w:t>
      </w: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0"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0"/>
    </w:p>
    <w:p>
      <w:pPr>
        <w:spacing w:line="600" w:lineRule="exact"/>
        <w:ind w:firstLine="643" w:firstLineChars="200"/>
        <w:outlineLvl w:val="2"/>
        <w:rPr>
          <w:rFonts w:ascii="仿宋" w:hAnsi="仿宋" w:eastAsia="仿宋"/>
          <w:color w:val="FF0000"/>
          <w:sz w:val="32"/>
          <w:szCs w:val="32"/>
        </w:rPr>
      </w:pPr>
      <w:bookmarkStart w:id="31" w:name="_Toc15378460"/>
      <w:bookmarkStart w:id="32" w:name="_Toc15377444"/>
      <w:bookmarkStart w:id="33" w:name="_Toc15377213"/>
      <w:r>
        <w:rPr>
          <w:rFonts w:hint="eastAsia" w:ascii="仿宋" w:hAnsi="仿宋" w:eastAsia="仿宋"/>
          <w:b/>
          <w:color w:val="000000" w:themeColor="text1"/>
          <w:sz w:val="32"/>
          <w:szCs w:val="32"/>
          <w14:textFill>
            <w14:solidFill>
              <w14:schemeClr w14:val="tx1"/>
            </w14:solidFill>
          </w14:textFill>
        </w:rPr>
        <w:t>2018年一般公共预算支出决算数为</w:t>
      </w:r>
      <w:r>
        <w:rPr>
          <w:rFonts w:hint="eastAsia" w:ascii="仿宋" w:hAnsi="仿宋" w:eastAsia="仿宋"/>
          <w:bCs/>
          <w:color w:val="000000" w:themeColor="text1"/>
          <w:sz w:val="32"/>
          <w:szCs w:val="32"/>
          <w14:textFill>
            <w14:solidFill>
              <w14:schemeClr w14:val="tx1"/>
            </w14:solidFill>
          </w14:textFill>
        </w:rPr>
        <w:t>403.39万元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31"/>
      <w:bookmarkEnd w:id="32"/>
      <w:bookmarkEnd w:id="33"/>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1.</w:t>
      </w:r>
      <w:r>
        <w:rPr>
          <w:rFonts w:hint="eastAsia" w:ascii="仿宋_GB2312" w:eastAsia="仿宋_GB2312"/>
          <w:color w:val="000000"/>
          <w:sz w:val="32"/>
          <w:szCs w:val="32"/>
        </w:rPr>
        <w:t>一般公共服务支出320.85万元（其中：</w:t>
      </w:r>
      <w:r>
        <w:rPr>
          <w:rStyle w:val="13"/>
          <w:rFonts w:hint="eastAsia" w:ascii="仿宋" w:hAnsi="仿宋" w:eastAsia="仿宋"/>
          <w:color w:val="000000"/>
          <w:sz w:val="32"/>
          <w:szCs w:val="32"/>
        </w:rPr>
        <w:t xml:space="preserve"> 201（类）23（款）99（项）</w:t>
      </w:r>
      <w:r>
        <w:rPr>
          <w:rStyle w:val="13"/>
          <w:rFonts w:hint="eastAsia" w:ascii="仿宋_GB2312" w:hAnsi="仿宋" w:eastAsia="仿宋_GB2312"/>
          <w:color w:val="000000"/>
          <w:sz w:val="32"/>
          <w:szCs w:val="32"/>
        </w:rPr>
        <w:t>其他民族事务支出</w:t>
      </w:r>
      <w:r>
        <w:rPr>
          <w:rStyle w:val="13"/>
          <w:rFonts w:hint="eastAsia" w:ascii="仿宋_GB2312" w:hAnsi="仿宋" w:eastAsia="仿宋_GB2312"/>
          <w:b w:val="0"/>
          <w:color w:val="000000"/>
          <w:sz w:val="32"/>
          <w:szCs w:val="32"/>
        </w:rPr>
        <w:t>4.73万元，</w:t>
      </w:r>
      <w:r>
        <w:rPr>
          <w:rStyle w:val="13"/>
          <w:rFonts w:hint="eastAsia" w:ascii="仿宋" w:hAnsi="仿宋" w:eastAsia="仿宋"/>
          <w:color w:val="000000"/>
          <w:sz w:val="32"/>
          <w:szCs w:val="32"/>
        </w:rPr>
        <w:t>201（类）24（款）01（项）</w:t>
      </w:r>
      <w:r>
        <w:rPr>
          <w:rStyle w:val="13"/>
          <w:rFonts w:hint="eastAsia" w:ascii="仿宋_GB2312" w:hAnsi="仿宋" w:eastAsia="仿宋_GB2312"/>
          <w:color w:val="000000"/>
          <w:sz w:val="32"/>
          <w:szCs w:val="32"/>
        </w:rPr>
        <w:t>行政运行支出</w:t>
      </w:r>
      <w:r>
        <w:rPr>
          <w:rFonts w:hint="eastAsia" w:ascii="仿宋_GB2312" w:eastAsia="仿宋_GB2312"/>
          <w:color w:val="000000"/>
          <w:sz w:val="32"/>
          <w:szCs w:val="32"/>
        </w:rPr>
        <w:t>184.70万元，</w:t>
      </w:r>
      <w:r>
        <w:rPr>
          <w:rStyle w:val="13"/>
          <w:rFonts w:hint="eastAsia" w:ascii="仿宋" w:hAnsi="仿宋" w:eastAsia="仿宋"/>
          <w:color w:val="000000"/>
          <w:sz w:val="32"/>
          <w:szCs w:val="32"/>
        </w:rPr>
        <w:t xml:space="preserve"> 201（类）24（款）04（项）</w:t>
      </w:r>
      <w:r>
        <w:rPr>
          <w:rStyle w:val="13"/>
          <w:rFonts w:hint="eastAsia" w:ascii="仿宋_GB2312" w:hAnsi="仿宋" w:eastAsia="仿宋_GB2312"/>
          <w:color w:val="000000"/>
          <w:sz w:val="32"/>
          <w:szCs w:val="32"/>
        </w:rPr>
        <w:t>宗教工作专项</w:t>
      </w:r>
      <w:r>
        <w:rPr>
          <w:rStyle w:val="13"/>
          <w:rFonts w:hint="eastAsia" w:ascii="仿宋_GB2312" w:hAnsi="仿宋" w:eastAsia="仿宋_GB2312"/>
          <w:b w:val="0"/>
          <w:bCs/>
          <w:color w:val="000000"/>
          <w:sz w:val="32"/>
          <w:szCs w:val="32"/>
        </w:rPr>
        <w:t>3万元</w:t>
      </w:r>
      <w:r>
        <w:rPr>
          <w:rStyle w:val="13"/>
          <w:rFonts w:hint="eastAsia" w:ascii="仿宋_GB2312" w:hAnsi="仿宋" w:eastAsia="仿宋_GB2312"/>
          <w:color w:val="000000"/>
          <w:sz w:val="32"/>
          <w:szCs w:val="32"/>
        </w:rPr>
        <w:t>，</w:t>
      </w:r>
      <w:r>
        <w:rPr>
          <w:rStyle w:val="13"/>
          <w:rFonts w:hint="eastAsia" w:ascii="仿宋" w:hAnsi="仿宋" w:eastAsia="仿宋"/>
          <w:color w:val="000000"/>
          <w:sz w:val="32"/>
          <w:szCs w:val="32"/>
        </w:rPr>
        <w:t>201（类）24（款）99（项）</w:t>
      </w:r>
      <w:r>
        <w:rPr>
          <w:rStyle w:val="13"/>
          <w:rFonts w:hint="eastAsia" w:ascii="仿宋_GB2312" w:hAnsi="仿宋" w:eastAsia="仿宋_GB2312"/>
          <w:color w:val="000000"/>
          <w:sz w:val="32"/>
          <w:szCs w:val="32"/>
        </w:rPr>
        <w:t>其他宗教事务支出</w:t>
      </w:r>
      <w:r>
        <w:rPr>
          <w:rStyle w:val="13"/>
          <w:rFonts w:hint="eastAsia" w:ascii="仿宋_GB2312" w:hAnsi="仿宋" w:eastAsia="仿宋_GB2312"/>
          <w:b w:val="0"/>
          <w:bCs/>
          <w:color w:val="000000"/>
          <w:sz w:val="32"/>
          <w:szCs w:val="32"/>
        </w:rPr>
        <w:t>66万元，</w:t>
      </w:r>
      <w:r>
        <w:rPr>
          <w:rStyle w:val="13"/>
          <w:rFonts w:hint="eastAsia" w:ascii="仿宋" w:hAnsi="仿宋" w:eastAsia="仿宋"/>
          <w:color w:val="000000"/>
          <w:sz w:val="32"/>
          <w:szCs w:val="32"/>
        </w:rPr>
        <w:t>201（类）34（款）02（项）</w:t>
      </w:r>
      <w:r>
        <w:rPr>
          <w:rStyle w:val="13"/>
          <w:rFonts w:hint="eastAsia" w:ascii="仿宋_GB2312" w:hAnsi="仿宋" w:eastAsia="仿宋_GB2312"/>
          <w:color w:val="000000"/>
          <w:sz w:val="32"/>
          <w:szCs w:val="32"/>
        </w:rPr>
        <w:t>一般行政管理事务支出</w:t>
      </w:r>
      <w:r>
        <w:rPr>
          <w:rFonts w:hint="eastAsia" w:ascii="仿宋_GB2312" w:eastAsia="仿宋_GB2312"/>
          <w:color w:val="000000"/>
          <w:sz w:val="32"/>
          <w:szCs w:val="32"/>
        </w:rPr>
        <w:t>12.54万元，</w:t>
      </w:r>
      <w:r>
        <w:rPr>
          <w:rStyle w:val="13"/>
          <w:rFonts w:hint="eastAsia" w:ascii="仿宋" w:hAnsi="仿宋" w:eastAsia="仿宋"/>
          <w:color w:val="000000"/>
          <w:sz w:val="32"/>
          <w:szCs w:val="32"/>
        </w:rPr>
        <w:t>201（类）99（款）99（项）</w:t>
      </w:r>
      <w:r>
        <w:rPr>
          <w:rStyle w:val="13"/>
          <w:rFonts w:hint="eastAsia" w:ascii="仿宋_GB2312" w:hAnsi="仿宋" w:eastAsia="仿宋_GB2312"/>
          <w:color w:val="000000"/>
          <w:sz w:val="32"/>
          <w:szCs w:val="32"/>
        </w:rPr>
        <w:t>其他一般公共服务支出</w:t>
      </w:r>
      <w:r>
        <w:rPr>
          <w:rFonts w:hint="eastAsia" w:ascii="仿宋_GB2312" w:eastAsia="仿宋_GB2312"/>
          <w:color w:val="000000"/>
          <w:sz w:val="32"/>
          <w:szCs w:val="32"/>
        </w:rPr>
        <w:t>49.88万元），</w:t>
      </w:r>
      <w:r>
        <w:rPr>
          <w:rStyle w:val="13"/>
          <w:rFonts w:hint="eastAsia" w:ascii="仿宋" w:hAnsi="仿宋" w:eastAsia="仿宋"/>
          <w:color w:val="000000"/>
          <w:sz w:val="32"/>
          <w:szCs w:val="32"/>
        </w:rPr>
        <w:t>213（类）</w:t>
      </w:r>
      <w:r>
        <w:rPr>
          <w:rFonts w:hint="eastAsia" w:ascii="仿宋_GB2312" w:eastAsia="仿宋_GB2312"/>
          <w:color w:val="000000"/>
          <w:sz w:val="32"/>
          <w:szCs w:val="32"/>
        </w:rPr>
        <w:t>农林水支出29.10万元，占7.21%，（其中：</w:t>
      </w:r>
      <w:r>
        <w:rPr>
          <w:rStyle w:val="13"/>
          <w:rFonts w:hint="eastAsia" w:ascii="仿宋" w:hAnsi="仿宋" w:eastAsia="仿宋"/>
          <w:color w:val="000000"/>
          <w:sz w:val="32"/>
          <w:szCs w:val="32"/>
        </w:rPr>
        <w:t>213（类）05（款）04（项）</w:t>
      </w:r>
      <w:r>
        <w:rPr>
          <w:rStyle w:val="13"/>
          <w:rFonts w:hint="eastAsia" w:ascii="仿宋_GB2312" w:hAnsi="仿宋" w:eastAsia="仿宋_GB2312"/>
          <w:color w:val="000000"/>
          <w:sz w:val="32"/>
          <w:szCs w:val="32"/>
        </w:rPr>
        <w:t>农村基础设施建设支出</w:t>
      </w:r>
      <w:r>
        <w:rPr>
          <w:rFonts w:hint="eastAsia" w:ascii="仿宋_GB2312" w:eastAsia="仿宋_GB2312"/>
          <w:color w:val="000000"/>
          <w:sz w:val="32"/>
          <w:szCs w:val="32"/>
        </w:rPr>
        <w:t>29.10万元，</w:t>
      </w:r>
      <w:r>
        <w:rPr>
          <w:rStyle w:val="13"/>
          <w:rFonts w:hint="eastAsia" w:ascii="仿宋" w:hAnsi="仿宋" w:eastAsia="仿宋"/>
          <w:b w:val="0"/>
          <w:bCs/>
          <w:color w:val="000000"/>
          <w:sz w:val="32"/>
          <w:szCs w:val="32"/>
        </w:rPr>
        <w:t>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2.</w:t>
      </w:r>
      <w:r>
        <w:rPr>
          <w:rFonts w:hint="eastAsia" w:ascii="仿宋_GB2312" w:eastAsia="仿宋_GB2312"/>
          <w:color w:val="000000"/>
          <w:sz w:val="32"/>
          <w:szCs w:val="32"/>
        </w:rPr>
        <w:t>社会保障和就业支出29.08万元（其中：</w:t>
      </w:r>
      <w:r>
        <w:rPr>
          <w:rStyle w:val="13"/>
          <w:rFonts w:hint="eastAsia" w:ascii="仿宋" w:hAnsi="仿宋" w:eastAsia="仿宋"/>
          <w:color w:val="000000"/>
          <w:sz w:val="32"/>
          <w:szCs w:val="32"/>
        </w:rPr>
        <w:t>208（类）05（款）05（项）</w:t>
      </w:r>
      <w:r>
        <w:rPr>
          <w:rStyle w:val="13"/>
          <w:rFonts w:hint="eastAsia" w:ascii="仿宋_GB2312" w:hAnsi="仿宋" w:eastAsia="仿宋_GB2312"/>
          <w:color w:val="000000"/>
          <w:sz w:val="32"/>
          <w:szCs w:val="32"/>
        </w:rPr>
        <w:t>机关事业单位养老保险缴费</w:t>
      </w:r>
      <w:r>
        <w:rPr>
          <w:rFonts w:hint="eastAsia" w:ascii="仿宋_GB2312" w:eastAsia="仿宋_GB2312"/>
          <w:color w:val="000000"/>
          <w:sz w:val="32"/>
          <w:szCs w:val="32"/>
        </w:rPr>
        <w:t>支出20.77万元，</w:t>
      </w:r>
      <w:r>
        <w:rPr>
          <w:rStyle w:val="13"/>
          <w:rFonts w:hint="eastAsia" w:ascii="仿宋" w:hAnsi="仿宋" w:eastAsia="仿宋"/>
          <w:color w:val="000000"/>
          <w:sz w:val="32"/>
          <w:szCs w:val="32"/>
        </w:rPr>
        <w:t>208（类）05（款）06（项）</w:t>
      </w:r>
      <w:r>
        <w:rPr>
          <w:rStyle w:val="13"/>
          <w:rFonts w:hint="eastAsia" w:ascii="仿宋_GB2312" w:hAnsi="仿宋" w:eastAsia="仿宋_GB2312"/>
          <w:color w:val="000000"/>
          <w:sz w:val="32"/>
          <w:szCs w:val="32"/>
        </w:rPr>
        <w:t>机关事业单位职业年金缴费</w:t>
      </w:r>
      <w:r>
        <w:rPr>
          <w:rFonts w:hint="eastAsia" w:ascii="仿宋_GB2312" w:eastAsia="仿宋_GB2312"/>
          <w:color w:val="000000"/>
          <w:sz w:val="32"/>
          <w:szCs w:val="32"/>
        </w:rPr>
        <w:t>支出8.31万元）</w:t>
      </w:r>
      <w:r>
        <w:rPr>
          <w:rStyle w:val="13"/>
          <w:rFonts w:hint="eastAsia" w:ascii="仿宋" w:hAnsi="仿宋" w:eastAsia="仿宋"/>
          <w:b w:val="0"/>
          <w:bCs/>
          <w:color w:val="000000"/>
          <w:sz w:val="32"/>
          <w:szCs w:val="32"/>
        </w:rPr>
        <w:t>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3</w:t>
      </w:r>
      <w:r>
        <w:rPr>
          <w:rStyle w:val="13"/>
          <w:rFonts w:ascii="仿宋" w:hAnsi="仿宋" w:eastAsia="仿宋"/>
          <w:bCs/>
          <w:color w:val="000000"/>
          <w:sz w:val="32"/>
          <w:szCs w:val="32"/>
        </w:rPr>
        <w:t>.</w:t>
      </w:r>
      <w:r>
        <w:rPr>
          <w:rFonts w:hint="eastAsia" w:ascii="仿宋_GB2312" w:eastAsia="仿宋_GB2312"/>
          <w:color w:val="000000"/>
          <w:sz w:val="32"/>
          <w:szCs w:val="32"/>
        </w:rPr>
        <w:t>医疗卫生和计划生育支出6.80万元，（其中：</w:t>
      </w:r>
      <w:r>
        <w:rPr>
          <w:rStyle w:val="13"/>
          <w:rFonts w:hint="eastAsia" w:ascii="仿宋" w:hAnsi="仿宋" w:eastAsia="仿宋"/>
          <w:color w:val="000000"/>
          <w:sz w:val="32"/>
          <w:szCs w:val="32"/>
        </w:rPr>
        <w:t>210（类）11（款）01（项）</w:t>
      </w:r>
      <w:r>
        <w:rPr>
          <w:rStyle w:val="13"/>
          <w:rFonts w:hint="eastAsia" w:ascii="仿宋_GB2312" w:hAnsi="仿宋" w:eastAsia="仿宋_GB2312"/>
          <w:color w:val="000000"/>
          <w:sz w:val="32"/>
          <w:szCs w:val="32"/>
        </w:rPr>
        <w:t>行政单位医疗</w:t>
      </w:r>
      <w:r>
        <w:rPr>
          <w:rStyle w:val="13"/>
          <w:rFonts w:hint="eastAsia" w:ascii="仿宋_GB2312" w:hAnsi="仿宋" w:eastAsia="仿宋_GB2312"/>
          <w:b w:val="0"/>
          <w:color w:val="000000"/>
          <w:sz w:val="32"/>
          <w:szCs w:val="32"/>
        </w:rPr>
        <w:t>支出6.80万元</w:t>
      </w:r>
      <w:r>
        <w:rPr>
          <w:rFonts w:hint="eastAsia" w:ascii="仿宋_GB2312" w:eastAsia="仿宋_GB2312"/>
          <w:color w:val="000000"/>
          <w:sz w:val="32"/>
          <w:szCs w:val="32"/>
        </w:rPr>
        <w:t>）</w:t>
      </w:r>
      <w:r>
        <w:rPr>
          <w:rStyle w:val="13"/>
          <w:rFonts w:hint="eastAsia" w:ascii="仿宋" w:hAnsi="仿宋" w:eastAsia="仿宋"/>
          <w:b w:val="0"/>
          <w:bCs/>
          <w:color w:val="000000"/>
          <w:sz w:val="32"/>
          <w:szCs w:val="32"/>
        </w:rPr>
        <w:t>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_GB2312" w:eastAsia="仿宋_GB2312"/>
          <w:color w:val="000000"/>
          <w:sz w:val="32"/>
          <w:szCs w:val="32"/>
        </w:rPr>
      </w:pPr>
      <w:r>
        <w:rPr>
          <w:rStyle w:val="13"/>
          <w:rFonts w:hint="eastAsia" w:ascii="仿宋" w:hAnsi="仿宋" w:eastAsia="仿宋"/>
          <w:bCs/>
          <w:color w:val="000000"/>
          <w:sz w:val="32"/>
          <w:szCs w:val="32"/>
        </w:rPr>
        <w:t>4</w:t>
      </w:r>
      <w:r>
        <w:rPr>
          <w:rStyle w:val="13"/>
          <w:rFonts w:ascii="仿宋" w:hAnsi="仿宋" w:eastAsia="仿宋"/>
          <w:bCs/>
          <w:color w:val="000000"/>
          <w:sz w:val="32"/>
          <w:szCs w:val="32"/>
        </w:rPr>
        <w:t>.</w:t>
      </w:r>
      <w:r>
        <w:rPr>
          <w:rFonts w:hint="eastAsia" w:ascii="仿宋_GB2312" w:eastAsia="仿宋_GB2312"/>
          <w:color w:val="000000"/>
          <w:sz w:val="32"/>
          <w:szCs w:val="32"/>
        </w:rPr>
        <w:t>农林水支出29.10万元，（其中：</w:t>
      </w:r>
      <w:r>
        <w:rPr>
          <w:rStyle w:val="13"/>
          <w:rFonts w:hint="eastAsia" w:ascii="仿宋" w:hAnsi="仿宋" w:eastAsia="仿宋"/>
          <w:color w:val="000000"/>
          <w:sz w:val="32"/>
          <w:szCs w:val="32"/>
        </w:rPr>
        <w:t>213（类）05（款）04（项）</w:t>
      </w:r>
      <w:r>
        <w:rPr>
          <w:rStyle w:val="13"/>
          <w:rFonts w:hint="eastAsia" w:ascii="仿宋_GB2312" w:hAnsi="仿宋" w:eastAsia="仿宋_GB2312"/>
          <w:color w:val="000000"/>
          <w:sz w:val="32"/>
          <w:szCs w:val="32"/>
        </w:rPr>
        <w:t>农村基础设施建设支出</w:t>
      </w:r>
      <w:r>
        <w:rPr>
          <w:rFonts w:hint="eastAsia" w:ascii="仿宋_GB2312" w:eastAsia="仿宋_GB2312"/>
          <w:color w:val="000000"/>
          <w:sz w:val="32"/>
          <w:szCs w:val="32"/>
        </w:rPr>
        <w:t>29.10万元，完成预算100%。</w:t>
      </w:r>
    </w:p>
    <w:p>
      <w:pPr>
        <w:spacing w:line="600" w:lineRule="exact"/>
        <w:ind w:firstLine="643" w:firstLineChars="200"/>
        <w:rPr>
          <w:rFonts w:ascii="仿宋_GB2312" w:eastAsia="仿宋_GB2312"/>
          <w:color w:val="000000"/>
          <w:sz w:val="32"/>
          <w:szCs w:val="32"/>
        </w:rPr>
      </w:pPr>
      <w:r>
        <w:rPr>
          <w:rStyle w:val="13"/>
          <w:rFonts w:hint="eastAsia" w:ascii="仿宋" w:hAnsi="仿宋" w:eastAsia="仿宋"/>
          <w:bCs/>
          <w:color w:val="000000"/>
          <w:sz w:val="32"/>
          <w:szCs w:val="32"/>
        </w:rPr>
        <w:t>5</w:t>
      </w:r>
      <w:r>
        <w:rPr>
          <w:rStyle w:val="13"/>
          <w:rFonts w:ascii="仿宋" w:hAnsi="仿宋" w:eastAsia="仿宋"/>
          <w:bCs/>
          <w:color w:val="000000"/>
          <w:sz w:val="32"/>
          <w:szCs w:val="32"/>
        </w:rPr>
        <w:t>.</w:t>
      </w:r>
      <w:r>
        <w:rPr>
          <w:rFonts w:hint="eastAsia" w:ascii="仿宋_GB2312" w:eastAsia="仿宋_GB2312"/>
          <w:color w:val="000000"/>
          <w:sz w:val="32"/>
          <w:szCs w:val="32"/>
        </w:rPr>
        <w:t>住房保障支出17.56万元，（其中：</w:t>
      </w:r>
      <w:r>
        <w:rPr>
          <w:rStyle w:val="13"/>
          <w:rFonts w:hint="eastAsia" w:ascii="仿宋" w:hAnsi="仿宋" w:eastAsia="仿宋"/>
          <w:color w:val="000000"/>
          <w:sz w:val="32"/>
          <w:szCs w:val="32"/>
        </w:rPr>
        <w:t>221（类）02（款）01（项）</w:t>
      </w:r>
      <w:r>
        <w:rPr>
          <w:rStyle w:val="13"/>
          <w:rFonts w:hint="eastAsia" w:ascii="仿宋_GB2312" w:hAnsi="仿宋" w:eastAsia="仿宋_GB2312"/>
          <w:color w:val="000000"/>
          <w:sz w:val="32"/>
          <w:szCs w:val="32"/>
        </w:rPr>
        <w:t>住房公积金支出</w:t>
      </w:r>
      <w:r>
        <w:rPr>
          <w:rFonts w:hint="eastAsia" w:ascii="仿宋_GB2312" w:eastAsia="仿宋_GB2312"/>
          <w:color w:val="000000"/>
          <w:sz w:val="32"/>
          <w:szCs w:val="32"/>
        </w:rPr>
        <w:t>17.56万元）完成预算100%。</w:t>
      </w:r>
    </w:p>
    <w:p>
      <w:pPr>
        <w:tabs>
          <w:tab w:val="right" w:pos="8306"/>
        </w:tabs>
        <w:spacing w:line="600" w:lineRule="exact"/>
        <w:ind w:firstLine="640"/>
        <w:outlineLvl w:val="1"/>
        <w:rPr>
          <w:rStyle w:val="25"/>
        </w:rPr>
      </w:pPr>
      <w:bookmarkStart w:id="34" w:name="_Toc15377214"/>
      <w:bookmarkStart w:id="3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4"/>
      <w:bookmarkEnd w:id="35"/>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8年一般公共预算财政拨款基本支出238.14万元，其中：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209.05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29.09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6" w:name="_Toc15396609"/>
      <w:bookmarkStart w:id="37"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6"/>
      <w:bookmarkEnd w:id="37"/>
    </w:p>
    <w:p>
      <w:pPr>
        <w:spacing w:line="600" w:lineRule="exact"/>
        <w:ind w:firstLine="640"/>
        <w:outlineLvl w:val="2"/>
        <w:rPr>
          <w:rFonts w:ascii="仿宋" w:hAnsi="仿宋" w:eastAsia="仿宋"/>
          <w:b/>
          <w:color w:val="000000"/>
          <w:sz w:val="32"/>
          <w:szCs w:val="32"/>
        </w:rPr>
      </w:pPr>
      <w:bookmarkStart w:id="38" w:name="_Toc15377216"/>
      <w:r>
        <w:rPr>
          <w:rFonts w:hint="eastAsia" w:ascii="仿宋" w:hAnsi="仿宋" w:eastAsia="仿宋"/>
          <w:b/>
          <w:color w:val="000000"/>
          <w:sz w:val="32"/>
          <w:szCs w:val="32"/>
        </w:rPr>
        <w:t>（一）“三公”经费财政拨款支出决算总体情况说明</w:t>
      </w:r>
      <w:bookmarkEnd w:id="38"/>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8年“三公”经费财政拨款支出决算为7.69万元。</w:t>
      </w:r>
    </w:p>
    <w:p>
      <w:pPr>
        <w:spacing w:line="600" w:lineRule="exact"/>
        <w:ind w:firstLine="640"/>
        <w:outlineLvl w:val="2"/>
        <w:rPr>
          <w:rFonts w:ascii="仿宋" w:hAnsi="仿宋" w:eastAsia="仿宋"/>
          <w:b/>
          <w:color w:val="000000"/>
          <w:sz w:val="32"/>
          <w:szCs w:val="32"/>
        </w:rPr>
      </w:pPr>
      <w:bookmarkStart w:id="39" w:name="_Toc15377217"/>
      <w:r>
        <w:rPr>
          <w:rFonts w:hint="eastAsia" w:ascii="仿宋" w:hAnsi="仿宋" w:eastAsia="仿宋"/>
          <w:b/>
          <w:color w:val="000000"/>
          <w:sz w:val="32"/>
          <w:szCs w:val="32"/>
        </w:rPr>
        <w:t>（二）“三公”经费财政拨款支出决算具体情况说明</w:t>
      </w:r>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；公务用车购置及运行维护费支出决算7.69万元，占100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bidi="bo-CN"/>
        </w:rPr>
        <w:drawing>
          <wp:anchor distT="0" distB="0" distL="114300" distR="114300" simplePos="0" relativeHeight="251658240" behindDoc="0" locked="0" layoutInCell="1" allowOverlap="1">
            <wp:simplePos x="0" y="0"/>
            <wp:positionH relativeFrom="column">
              <wp:posOffset>1179830</wp:posOffset>
            </wp:positionH>
            <wp:positionV relativeFrom="paragraph">
              <wp:posOffset>263525</wp:posOffset>
            </wp:positionV>
            <wp:extent cx="3133090" cy="2009140"/>
            <wp:effectExtent l="4445" t="4445" r="5715" b="571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7.69万元。公务用车购置及运行维护费支出决算比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7年增加0.16万元。增长主要原因是下寺、下村工作、出差工作增多。</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7.69万元。主要用于鱼托寺管会下寺、下村，出差所需的公务用车燃料费、维修费、过路过桥费、保险费等支出。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3.公务接待经费支出0万元。</w:t>
      </w:r>
    </w:p>
    <w:p>
      <w:pPr>
        <w:spacing w:line="600" w:lineRule="exact"/>
        <w:ind w:firstLine="640"/>
        <w:outlineLvl w:val="1"/>
        <w:rPr>
          <w:rStyle w:val="25"/>
          <w:rFonts w:ascii="黑体" w:hAnsi="黑体" w:eastAsia="黑体"/>
        </w:rPr>
      </w:pPr>
      <w:bookmarkStart w:id="40" w:name="_Toc15377218"/>
      <w:bookmarkStart w:id="41"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5"/>
          <w:rFonts w:ascii="黑体" w:hAnsi="黑体" w:eastAsia="黑体"/>
          <w:b w:val="0"/>
        </w:rPr>
      </w:pPr>
      <w:bookmarkStart w:id="42" w:name="_Toc15377219"/>
      <w:bookmarkStart w:id="43" w:name="_Toc15396611"/>
      <w:r>
        <w:rPr>
          <w:rStyle w:val="25"/>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3"/>
        <w:numPr>
          <w:ilvl w:val="0"/>
          <w:numId w:val="3"/>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2个项目开展了预算事前绩效评估，对2个项目编制了绩效目标，预算执行过程中，选取2个项目开展绩效监控，年终执行完毕后，对2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严格按照预算进行部门整体支出，始终坚持先有预算、后有执行、监督贯穿全程。本部门还自行组织了2个项目绩效评价，从评价情况来看项目满意度指标良好。</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eastAsia="仿宋_GB2312"/>
          <w:sz w:val="32"/>
          <w:szCs w:val="32"/>
        </w:rPr>
        <w:t>辖区寺庙民主管理委员会班子成员工作补助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sz w:val="32"/>
          <w:szCs w:val="32"/>
        </w:rPr>
        <w:t>劝返僧尼安置补助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 2个项目绩效目标实际完成情况。</w:t>
      </w:r>
    </w:p>
    <w:p>
      <w:pPr>
        <w:numPr>
          <w:ilvl w:val="0"/>
          <w:numId w:val="5"/>
        </w:numPr>
        <w:spacing w:line="58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辖区民管会补助项目绩效目标完成情况综述。项目全年预算数10.32万元，执行数为10.32万元，完成预算的100%。通过项目实施，保障辖区5座寺庙民管会班子成员基础经费，进一步提高了寺庙管理工作质量。</w:t>
      </w:r>
    </w:p>
    <w:p>
      <w:pPr>
        <w:numPr>
          <w:ilvl w:val="0"/>
          <w:numId w:val="5"/>
        </w:num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劝返僧人安置补助项目绩效目标完成情况综述。项目全年预算数40万元，执行数为40万元，完成预算的100%。通过项目实施，保障辖区劝返20名僧人安置补助，完成劝返承诺。</w:t>
      </w:r>
      <w:r>
        <w:rPr>
          <w:rFonts w:hint="eastAsia" w:ascii="MS Mincho" w:hAnsi="MS Mincho" w:eastAsia="MS Mincho" w:cs="MS Mincho"/>
          <w:color w:val="000000" w:themeColor="text1"/>
          <w:kern w:val="0"/>
          <w:sz w:val="24"/>
          <w14:textFill>
            <w14:solidFill>
              <w14:schemeClr w14:val="tx1"/>
            </w14:solidFill>
          </w14:textFill>
        </w:rPr>
        <w:t> </w:t>
      </w:r>
      <w:r>
        <w:rPr>
          <w:rFonts w:ascii="仿宋_GB2312" w:hAnsi="仿宋_GB2312" w:eastAsia="仿宋_GB2312" w:cs="仿宋_GB2312"/>
          <w:color w:val="000000" w:themeColor="text1"/>
          <w:sz w:val="32"/>
          <w:szCs w:val="32"/>
          <w14:textFill>
            <w14:solidFill>
              <w14:schemeClr w14:val="tx1"/>
            </w14:solidFill>
          </w14:textFill>
        </w:rPr>
        <w:t xml:space="preserve"> </w:t>
      </w:r>
    </w:p>
    <w:tbl>
      <w:tblPr>
        <w:tblStyle w:val="15"/>
        <w:tblpPr w:leftFromText="180" w:rightFromText="180" w:vertAnchor="text" w:horzAnchor="page" w:tblpXSpec="center" w:tblpY="423"/>
        <w:tblOverlap w:val="never"/>
        <w:tblW w:w="10006" w:type="dxa"/>
        <w:tblInd w:w="-35" w:type="dxa"/>
        <w:tblLayout w:type="fixed"/>
        <w:tblCellMar>
          <w:top w:w="0" w:type="dxa"/>
          <w:left w:w="0" w:type="dxa"/>
          <w:bottom w:w="0" w:type="dxa"/>
          <w:right w:w="0" w:type="dxa"/>
        </w:tblCellMar>
      </w:tblPr>
      <w:tblGrid>
        <w:gridCol w:w="392"/>
        <w:gridCol w:w="1373"/>
        <w:gridCol w:w="1030"/>
        <w:gridCol w:w="2403"/>
        <w:gridCol w:w="2405"/>
        <w:gridCol w:w="2403"/>
      </w:tblGrid>
      <w:tr>
        <w:tblPrEx>
          <w:tblLayout w:type="fixed"/>
          <w:tblCellMar>
            <w:top w:w="0" w:type="dxa"/>
            <w:left w:w="0" w:type="dxa"/>
            <w:bottom w:w="0" w:type="dxa"/>
            <w:right w:w="0" w:type="dxa"/>
          </w:tblCellMar>
        </w:tblPrEx>
        <w:trPr>
          <w:trHeight w:val="1043" w:hRule="atLeast"/>
        </w:trPr>
        <w:tc>
          <w:tcPr>
            <w:tcW w:w="10006"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Layout w:type="fixed"/>
          <w:tblCellMar>
            <w:top w:w="0" w:type="dxa"/>
            <w:left w:w="0" w:type="dxa"/>
            <w:bottom w:w="0" w:type="dxa"/>
            <w:right w:w="0" w:type="dxa"/>
          </w:tblCellMar>
        </w:tblPrEx>
        <w:trPr>
          <w:trHeight w:val="278" w:hRule="atLeast"/>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eastAsia="仿宋_GB2312"/>
                <w:sz w:val="32"/>
                <w:szCs w:val="32"/>
              </w:rPr>
              <w:t>辖区寺庙民主管理委员会班子成员工作补助</w:t>
            </w:r>
          </w:p>
        </w:tc>
      </w:tr>
      <w:tr>
        <w:tblPrEx>
          <w:tblLayout w:type="fixed"/>
          <w:tblCellMar>
            <w:top w:w="0" w:type="dxa"/>
            <w:left w:w="0" w:type="dxa"/>
            <w:bottom w:w="0" w:type="dxa"/>
            <w:right w:w="0" w:type="dxa"/>
          </w:tblCellMar>
        </w:tblPrEx>
        <w:trPr>
          <w:trHeight w:val="278" w:hRule="atLeast"/>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壤塘县鱼托寺寺庙管理委员会</w:t>
            </w:r>
          </w:p>
        </w:tc>
      </w:tr>
      <w:tr>
        <w:tblPrEx>
          <w:tblLayout w:type="fixed"/>
          <w:tblCellMar>
            <w:top w:w="0" w:type="dxa"/>
            <w:left w:w="0" w:type="dxa"/>
            <w:bottom w:w="0" w:type="dxa"/>
            <w:right w:w="0" w:type="dxa"/>
          </w:tblCellMar>
        </w:tblPrEx>
        <w:trPr>
          <w:trHeight w:val="278"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10.32万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10.32万</w:t>
            </w:r>
          </w:p>
        </w:tc>
      </w:tr>
      <w:tr>
        <w:tblPrEx>
          <w:tblLayout w:type="fixed"/>
          <w:tblCellMar>
            <w:top w:w="0" w:type="dxa"/>
            <w:left w:w="0" w:type="dxa"/>
            <w:bottom w:w="0" w:type="dxa"/>
            <w:right w:w="0" w:type="dxa"/>
          </w:tblCellMar>
        </w:tblPrEx>
        <w:trPr>
          <w:trHeight w:val="278"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10.32万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10.32万</w:t>
            </w:r>
          </w:p>
        </w:tc>
      </w:tr>
      <w:tr>
        <w:tblPrEx>
          <w:tblLayout w:type="fixed"/>
          <w:tblCellMar>
            <w:top w:w="0" w:type="dxa"/>
            <w:left w:w="0" w:type="dxa"/>
            <w:bottom w:w="0" w:type="dxa"/>
            <w:right w:w="0" w:type="dxa"/>
          </w:tblCellMar>
        </w:tblPrEx>
        <w:trPr>
          <w:trHeight w:val="1307"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Layout w:type="fixed"/>
          <w:tblCellMar>
            <w:top w:w="0" w:type="dxa"/>
            <w:left w:w="0" w:type="dxa"/>
            <w:bottom w:w="0" w:type="dxa"/>
            <w:right w:w="0" w:type="dxa"/>
          </w:tblCellMar>
        </w:tblPrEx>
        <w:trPr>
          <w:trHeight w:val="278"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69"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保障寺庙民主管理委员会工作补助</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保障寺庙民主管理委员会工作补助</w:t>
            </w:r>
          </w:p>
        </w:tc>
      </w:tr>
      <w:tr>
        <w:tblPrEx>
          <w:tblLayout w:type="fixed"/>
          <w:tblCellMar>
            <w:top w:w="0" w:type="dxa"/>
            <w:left w:w="0" w:type="dxa"/>
            <w:bottom w:w="0" w:type="dxa"/>
            <w:right w:w="0" w:type="dxa"/>
          </w:tblCellMar>
        </w:tblPrEx>
        <w:trPr>
          <w:trHeight w:val="1051"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61"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r>
      <w:tr>
        <w:tblPrEx>
          <w:tblLayout w:type="fixed"/>
          <w:tblCellMar>
            <w:top w:w="0" w:type="dxa"/>
            <w:left w:w="0" w:type="dxa"/>
            <w:bottom w:w="0" w:type="dxa"/>
            <w:right w:w="0" w:type="dxa"/>
          </w:tblCellMar>
        </w:tblPrEx>
        <w:trPr>
          <w:trHeight w:val="1308"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Layout w:type="fixed"/>
          <w:tblCellMar>
            <w:top w:w="0" w:type="dxa"/>
            <w:left w:w="0" w:type="dxa"/>
            <w:bottom w:w="0" w:type="dxa"/>
            <w:right w:w="0" w:type="dxa"/>
          </w:tblCellMar>
        </w:tblPrEx>
        <w:trPr>
          <w:trHeight w:val="1051"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保障民管会班子成员基本工作补助</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保障民管会班子成员基本工作补助</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保障民管会班子成员基本工作补助</w:t>
            </w:r>
          </w:p>
        </w:tc>
      </w:tr>
      <w:tr>
        <w:tblPrEx>
          <w:tblLayout w:type="fixed"/>
          <w:tblCellMar>
            <w:top w:w="0" w:type="dxa"/>
            <w:left w:w="0" w:type="dxa"/>
            <w:bottom w:w="0" w:type="dxa"/>
            <w:right w:w="0" w:type="dxa"/>
          </w:tblCellMar>
        </w:tblPrEx>
        <w:trPr>
          <w:trHeight w:val="1043" w:hRule="atLeast"/>
        </w:trPr>
        <w:tc>
          <w:tcPr>
            <w:tcW w:w="10006"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Layout w:type="fixed"/>
          <w:tblCellMar>
            <w:top w:w="0" w:type="dxa"/>
            <w:left w:w="0" w:type="dxa"/>
            <w:bottom w:w="0" w:type="dxa"/>
            <w:right w:w="0" w:type="dxa"/>
          </w:tblCellMar>
        </w:tblPrEx>
        <w:trPr>
          <w:trHeight w:val="278" w:hRule="atLeast"/>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eastAsia="仿宋_GB2312"/>
                <w:sz w:val="32"/>
                <w:szCs w:val="32"/>
              </w:rPr>
              <w:t>劝返僧人安置补助</w:t>
            </w:r>
          </w:p>
        </w:tc>
      </w:tr>
      <w:tr>
        <w:tblPrEx>
          <w:tblLayout w:type="fixed"/>
          <w:tblCellMar>
            <w:top w:w="0" w:type="dxa"/>
            <w:left w:w="0" w:type="dxa"/>
            <w:bottom w:w="0" w:type="dxa"/>
            <w:right w:w="0" w:type="dxa"/>
          </w:tblCellMar>
        </w:tblPrEx>
        <w:trPr>
          <w:trHeight w:val="278" w:hRule="atLeast"/>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壤塘县鱼托寺寺庙管理委员会</w:t>
            </w:r>
          </w:p>
        </w:tc>
      </w:tr>
      <w:tr>
        <w:tblPrEx>
          <w:tblLayout w:type="fixed"/>
          <w:tblCellMar>
            <w:top w:w="0" w:type="dxa"/>
            <w:left w:w="0" w:type="dxa"/>
            <w:bottom w:w="0" w:type="dxa"/>
            <w:right w:w="0" w:type="dxa"/>
          </w:tblCellMar>
        </w:tblPrEx>
        <w:trPr>
          <w:trHeight w:val="278"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40万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40万</w:t>
            </w:r>
          </w:p>
        </w:tc>
      </w:tr>
      <w:tr>
        <w:tblPrEx>
          <w:tblLayout w:type="fixed"/>
          <w:tblCellMar>
            <w:top w:w="0" w:type="dxa"/>
            <w:left w:w="0" w:type="dxa"/>
            <w:bottom w:w="0" w:type="dxa"/>
            <w:right w:w="0" w:type="dxa"/>
          </w:tblCellMar>
        </w:tblPrEx>
        <w:trPr>
          <w:trHeight w:val="278"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40万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40万</w:t>
            </w:r>
          </w:p>
        </w:tc>
      </w:tr>
      <w:tr>
        <w:tblPrEx>
          <w:tblLayout w:type="fixed"/>
          <w:tblCellMar>
            <w:top w:w="0" w:type="dxa"/>
            <w:left w:w="0" w:type="dxa"/>
            <w:bottom w:w="0" w:type="dxa"/>
            <w:right w:w="0" w:type="dxa"/>
          </w:tblCellMar>
        </w:tblPrEx>
        <w:trPr>
          <w:trHeight w:val="1524"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Layout w:type="fixed"/>
          <w:tblCellMar>
            <w:top w:w="0" w:type="dxa"/>
            <w:left w:w="0" w:type="dxa"/>
            <w:bottom w:w="0" w:type="dxa"/>
            <w:right w:w="0" w:type="dxa"/>
          </w:tblCellMar>
        </w:tblPrEx>
        <w:trPr>
          <w:trHeight w:val="278"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69"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保障辖区劝返20名僧人安置补助</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保障辖区劝返20名僧人安置补助</w:t>
            </w:r>
          </w:p>
        </w:tc>
      </w:tr>
      <w:tr>
        <w:tblPrEx>
          <w:tblLayout w:type="fixed"/>
          <w:tblCellMar>
            <w:top w:w="0" w:type="dxa"/>
            <w:left w:w="0" w:type="dxa"/>
            <w:bottom w:w="0" w:type="dxa"/>
            <w:right w:w="0" w:type="dxa"/>
          </w:tblCellMar>
        </w:tblPrEx>
        <w:trPr>
          <w:trHeight w:val="1051" w:hRule="atLeast"/>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61"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w:t>
            </w:r>
            <w:r>
              <w:rPr>
                <w:rFonts w:hint="eastAsia" w:ascii="宋体" w:hAnsi="宋体" w:cs="宋体"/>
                <w:color w:val="000000"/>
                <w:kern w:val="0"/>
                <w:sz w:val="24"/>
              </w:rPr>
              <w:t>20名劝返僧人发放安置补助</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w:t>
            </w:r>
            <w:r>
              <w:rPr>
                <w:rFonts w:hint="eastAsia" w:ascii="宋体" w:hAnsi="宋体" w:cs="宋体"/>
                <w:color w:val="000000"/>
                <w:kern w:val="0"/>
                <w:sz w:val="24"/>
              </w:rPr>
              <w:t>20名劝返僧人发放安置补助</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为辖区</w:t>
            </w:r>
            <w:r>
              <w:rPr>
                <w:rFonts w:hint="eastAsia" w:ascii="宋体" w:hAnsi="宋体" w:cs="宋体"/>
                <w:color w:val="000000"/>
                <w:kern w:val="0"/>
                <w:sz w:val="24"/>
              </w:rPr>
              <w:t>20名劝返僧人发放安置补助</w:t>
            </w:r>
          </w:p>
        </w:tc>
      </w:tr>
      <w:tr>
        <w:tblPrEx>
          <w:tblLayout w:type="fixed"/>
          <w:tblCellMar>
            <w:top w:w="0" w:type="dxa"/>
            <w:left w:w="0" w:type="dxa"/>
            <w:bottom w:w="0" w:type="dxa"/>
            <w:right w:w="0" w:type="dxa"/>
          </w:tblCellMar>
        </w:tblPrEx>
        <w:trPr>
          <w:trHeight w:val="1308"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Layout w:type="fixed"/>
          <w:tblCellMar>
            <w:top w:w="0" w:type="dxa"/>
            <w:left w:w="0" w:type="dxa"/>
            <w:bottom w:w="0" w:type="dxa"/>
            <w:right w:w="0" w:type="dxa"/>
          </w:tblCellMar>
        </w:tblPrEx>
        <w:trPr>
          <w:trHeight w:val="1051" w:hRule="atLeast"/>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保障辖区劝返20名僧人安置补助</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保障辖区劝返20名僧人安置补助</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保障辖区劝返20名僧人安置补助</w:t>
            </w:r>
          </w:p>
        </w:tc>
      </w:tr>
    </w:tbl>
    <w:p>
      <w:pPr>
        <w:spacing w:line="580" w:lineRule="exact"/>
        <w:rPr>
          <w:rFonts w:ascii="仿宋_GB2312" w:hAnsi="仿宋_GB2312" w:eastAsia="仿宋_GB2312"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本部门按要求对2018年部门整体支出绩效评价情况开展自评，《壤塘县鱼托寺寺庙管理委员会部门2018年部门整体支出绩效评价报告》见附件。</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本部门自行组织对辖区民管会补助项目、劝返僧人安置补助项目开展了绩效评价，《辖区民管会补助项目2018年绩效评价报告》《劝返僧人安置补助项目2018年绩效评价报告》见附件。</w:t>
      </w:r>
    </w:p>
    <w:p>
      <w:pPr>
        <w:spacing w:line="600" w:lineRule="exact"/>
        <w:ind w:firstLine="800" w:firstLineChars="250"/>
        <w:outlineLvl w:val="1"/>
        <w:rPr>
          <w:rStyle w:val="25"/>
          <w:rFonts w:ascii="黑体" w:hAnsi="黑体" w:eastAsia="黑体"/>
        </w:rPr>
      </w:pPr>
      <w:bookmarkStart w:id="44" w:name="_Toc15377221"/>
      <w:bookmarkStart w:id="45"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44"/>
      <w:bookmarkEnd w:id="45"/>
    </w:p>
    <w:p>
      <w:pPr>
        <w:spacing w:line="600" w:lineRule="exact"/>
        <w:ind w:firstLine="640"/>
        <w:rPr>
          <w:rFonts w:ascii="仿宋" w:hAnsi="仿宋" w:eastAsia="仿宋"/>
          <w:b/>
          <w:color w:val="000000"/>
          <w:sz w:val="32"/>
          <w:szCs w:val="32"/>
        </w:rPr>
      </w:pPr>
      <w:bookmarkStart w:id="46" w:name="_Toc15377222"/>
      <w:r>
        <w:rPr>
          <w:rFonts w:hint="eastAsia" w:ascii="仿宋" w:hAnsi="仿宋" w:eastAsia="仿宋"/>
          <w:b/>
          <w:color w:val="000000"/>
          <w:sz w:val="32"/>
          <w:szCs w:val="32"/>
        </w:rPr>
        <w:t>（一）</w:t>
      </w:r>
      <w:bookmarkEnd w:id="46"/>
      <w:bookmarkStart w:id="47" w:name="_Toc15377223"/>
      <w:r>
        <w:rPr>
          <w:rFonts w:hint="eastAsia" w:ascii="仿宋" w:hAnsi="仿宋" w:eastAsia="仿宋"/>
          <w:b/>
          <w:color w:val="000000"/>
          <w:sz w:val="32"/>
          <w:szCs w:val="32"/>
        </w:rPr>
        <w:t>政府采购支出情况</w:t>
      </w:r>
      <w:bookmarkEnd w:id="4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8年，壤塘县鱼托寺寺庙管理委员会政府采购支出总额0万元。</w:t>
      </w:r>
      <w:r>
        <w:rPr>
          <w:rFonts w:ascii="仿宋_GB2312" w:eastAsia="仿宋_GB2312"/>
          <w:color w:val="000000"/>
          <w:sz w:val="32"/>
          <w:szCs w:val="32"/>
        </w:rPr>
        <w:t xml:space="preserve"> </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8" w:name="_Toc15377224"/>
      <w:r>
        <w:rPr>
          <w:rFonts w:hint="eastAsia" w:ascii="仿宋" w:hAnsi="仿宋" w:eastAsia="仿宋"/>
          <w:b/>
          <w:color w:val="000000"/>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日，壤塘县鱼托寺寺庙管理委员会共有车辆1辆，其中：一般公务用车1辆。</w:t>
      </w:r>
    </w:p>
    <w:p>
      <w:pPr>
        <w:widowControl/>
        <w:jc w:val="left"/>
        <w:rPr>
          <w:rFonts w:ascii="仿宋_GB2312" w:eastAsia="仿宋_GB2312"/>
          <w:b/>
          <w:color w:val="000000"/>
          <w:sz w:val="32"/>
          <w:szCs w:val="32"/>
        </w:rPr>
      </w:pPr>
    </w:p>
    <w:p>
      <w:pPr>
        <w:numPr>
          <w:ilvl w:val="0"/>
          <w:numId w:val="6"/>
        </w:numPr>
        <w:spacing w:line="600" w:lineRule="exact"/>
        <w:ind w:firstLine="663" w:firstLineChars="150"/>
        <w:jc w:val="center"/>
        <w:outlineLvl w:val="0"/>
        <w:rPr>
          <w:rStyle w:val="24"/>
          <w:rFonts w:ascii="黑体" w:hAnsi="黑体" w:eastAsia="黑体"/>
          <w:b w:val="0"/>
        </w:rPr>
      </w:pPr>
      <w:bookmarkStart w:id="49" w:name="_Toc15377225"/>
      <w:bookmarkStart w:id="50" w:name="_Toc15396613"/>
      <w:r>
        <w:rPr>
          <w:rFonts w:hint="eastAsia" w:ascii="黑体" w:hAnsi="黑体" w:eastAsia="黑体"/>
          <w:b/>
          <w:color w:val="000000"/>
          <w:sz w:val="44"/>
          <w:szCs w:val="44"/>
        </w:rPr>
        <w:t>名</w:t>
      </w:r>
      <w:r>
        <w:rPr>
          <w:rStyle w:val="24"/>
          <w:rFonts w:hint="eastAsia" w:ascii="黑体" w:hAnsi="黑体" w:eastAsia="黑体"/>
          <w:b w:val="0"/>
        </w:rPr>
        <w:t>词解释</w:t>
      </w:r>
      <w:bookmarkEnd w:id="49"/>
      <w:bookmarkEnd w:id="50"/>
    </w:p>
    <w:p>
      <w:pPr>
        <w:spacing w:line="600" w:lineRule="exact"/>
        <w:jc w:val="left"/>
        <w:rPr>
          <w:rFonts w:ascii="宋体"/>
          <w:b/>
          <w:color w:val="000000"/>
          <w:sz w:val="44"/>
          <w:szCs w:val="44"/>
        </w:rPr>
      </w:pP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2.其他收入：其他收入：指单位取得的除上述收入以外的各项收入。主要是利息收入等。</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3.年初结转和结余：指以前年度尚未完成、结转到本年按有关规定继续使用的资金。</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4.年末结转和结余：指单位按有关规定结转到下年或以后年度继续使用的资金。</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5.一般公共服务（类）宗教事务（款）宗教工作专项（项）：宗教工作专项经费。</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6.一般公共服务（类）宗教事务（款）行政运行（项）:人员经费支出。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7.社会保障和就业（类）行政事业单位离退休（款）机关事业单位基本养老保险缴费支出（项）：反映机关事业单位实施养老保险制度由单位缴纳的基本养老保险费支出。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8.社会保障和就业（类）行政事业单位离退休（款）机关事业单位职业年金缴费支出（项）:反映机关事业单位实施养老保险制度由单位实际缴纳的职业年金支出。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医疗卫生与计划生育（类）行政事业单位医疗（款）行政单位医疗（项）:反映财政部门集中安排的行政单位基本医疗保险缴费经费，未参加医疗保险的行政单位的公费医疗经费，按国家规定享受离休人员待遇的医疗经费。</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10.医疗卫生与计划生育（类）行政事业单位（款）公务员医疗补助（项）：指财政部门集中安排的公务员医疗补助经费。</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11.住房保障支出（类）住房改革支出（款）住房公积金（项）:反映行政事业单位按人力资源和社会保障部、财政部规定的基本工资和津贴补贴以及规定比例为职工缴纳的住房公积金。</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12.基本支出：指为保障机构正常运转、完成日常工作任务而发生的人员支出和公用支出。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13.项目支出：指在基本支出之外为完成特定行政任务和事业发展目标所发生的支出。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16.基本支出：指为保障机构正常运转、完成日常工作任务而发生的人员支出和公用支出。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17.项目支出：指在基本支出之外为完成特定行政任务和事业发展目标所发生的支出。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000000"/>
          <w:sz w:val="32"/>
          <w:szCs w:val="32"/>
        </w:rPr>
      </w:pPr>
    </w:p>
    <w:p>
      <w:pPr>
        <w:spacing w:line="600" w:lineRule="exact"/>
        <w:jc w:val="center"/>
        <w:outlineLvl w:val="0"/>
        <w:rPr>
          <w:rStyle w:val="24"/>
          <w:rFonts w:ascii="黑体" w:hAnsi="黑体" w:eastAsia="黑体"/>
          <w:b w:val="0"/>
        </w:rPr>
      </w:pPr>
      <w:bookmarkStart w:id="51" w:name="_Toc15377226"/>
      <w:r>
        <w:rPr>
          <w:rFonts w:ascii="宋体"/>
          <w:b/>
          <w:color w:val="000000"/>
          <w:sz w:val="44"/>
          <w:szCs w:val="44"/>
        </w:rPr>
        <w:br w:type="page"/>
      </w:r>
      <w:bookmarkStart w:id="52"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2"/>
    </w:p>
    <w:p>
      <w:pPr>
        <w:spacing w:line="600" w:lineRule="exact"/>
        <w:jc w:val="center"/>
        <w:outlineLvl w:val="0"/>
        <w:rPr>
          <w:rStyle w:val="24"/>
        </w:rPr>
      </w:pPr>
    </w:p>
    <w:p>
      <w:pPr>
        <w:pStyle w:val="3"/>
        <w:rPr>
          <w:rStyle w:val="24"/>
          <w:rFonts w:ascii="仿宋" w:hAnsi="仿宋" w:eastAsia="仿宋"/>
          <w:b w:val="0"/>
          <w:bCs w:val="0"/>
          <w:sz w:val="32"/>
          <w:szCs w:val="32"/>
        </w:rPr>
      </w:pPr>
      <w:bookmarkStart w:id="53" w:name="_Toc15396615"/>
      <w:r>
        <w:rPr>
          <w:rStyle w:val="24"/>
          <w:rFonts w:hint="eastAsia" w:ascii="仿宋" w:hAnsi="仿宋" w:eastAsia="仿宋"/>
          <w:b w:val="0"/>
          <w:bCs w:val="0"/>
          <w:sz w:val="32"/>
          <w:szCs w:val="32"/>
        </w:rPr>
        <w:t>附件1</w:t>
      </w:r>
      <w:bookmarkEnd w:id="53"/>
    </w:p>
    <w:p>
      <w:pPr>
        <w:spacing w:line="600" w:lineRule="exact"/>
        <w:jc w:val="center"/>
        <w:outlineLvl w:val="0"/>
        <w:rPr>
          <w:rFonts w:hint="eastAsia" w:ascii="黑体" w:hAnsi="黑体" w:eastAsia="黑体" w:cs="方正小标宋简体"/>
          <w:sz w:val="36"/>
          <w:szCs w:val="36"/>
        </w:rPr>
      </w:pPr>
      <w:bookmarkStart w:id="54" w:name="_Toc15396616"/>
      <w:r>
        <w:rPr>
          <w:rFonts w:hint="eastAsia" w:ascii="黑体" w:hAnsi="黑体" w:eastAsia="黑体" w:cs="方正小标宋简体"/>
          <w:sz w:val="36"/>
          <w:szCs w:val="36"/>
        </w:rPr>
        <w:t>壤塘县鱼托寺寺庙管理委员会</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54"/>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（一）机构组成。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我委由综合办、宗教事务科、法制宣传科、社会化服务科4个科室组成。</w:t>
      </w:r>
    </w:p>
    <w:p>
      <w:pPr>
        <w:widowControl/>
        <w:shd w:val="clear" w:color="auto" w:fill="FFFFFF"/>
        <w:spacing w:before="480" w:after="480" w:line="480" w:lineRule="auto"/>
        <w:ind w:firstLine="480"/>
        <w:jc w:val="left"/>
        <w:rPr>
          <w:rFonts w:hint="eastAsia" w:ascii="仿宋" w:hAnsi="仿宋" w:eastAsia="仿宋" w:cs="仿宋_GB2312"/>
          <w:sz w:val="32"/>
          <w:szCs w:val="32"/>
        </w:rPr>
      </w:pPr>
      <w:r>
        <w:rPr>
          <w:rFonts w:ascii="仿宋" w:hAnsi="仿宋" w:eastAsia="仿宋" w:cs="仿宋_GB2312"/>
          <w:sz w:val="32"/>
          <w:szCs w:val="32"/>
        </w:rPr>
        <w:t>（二）机构职能。</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根据中共阿坝州委、阿坝州人民政府批准的关于设立各县寺庙管理委员会及乡镇寺管所得相关文件设立壤塘县鱼托寺寺庙管理委员会，为县人民政府派出机构。</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（三）人员概况。</w:t>
      </w:r>
    </w:p>
    <w:p>
      <w:pPr>
        <w:widowControl/>
        <w:shd w:val="clear" w:color="auto" w:fill="FFFFFF"/>
        <w:spacing w:before="480" w:after="480" w:line="480" w:lineRule="auto"/>
        <w:ind w:firstLine="480"/>
        <w:jc w:val="left"/>
        <w:rPr>
          <w:rFonts w:hint="eastAsia" w:ascii="宋体" w:hAnsi="宋体" w:cs="Arial"/>
          <w:color w:val="333333"/>
          <w:kern w:val="0"/>
          <w:sz w:val="24"/>
        </w:rPr>
      </w:pPr>
      <w:r>
        <w:rPr>
          <w:rFonts w:hint="eastAsia" w:ascii="仿宋_GB2312" w:hAnsi="宋体" w:eastAsia="仿宋_GB2312" w:cs="Arial"/>
          <w:color w:val="000000" w:themeColor="text1"/>
          <w:kern w:val="0"/>
          <w:sz w:val="32"/>
          <w:szCs w:val="32"/>
          <w14:textFill>
            <w14:solidFill>
              <w14:schemeClr w14:val="tx1"/>
            </w14:solidFill>
          </w14:textFill>
        </w:rPr>
        <w:t>我委现有编制11名，其中行政编10名，行政工勤编1名。截止2018年12月31日我为实有人数11人</w:t>
      </w:r>
      <w:r>
        <w:rPr>
          <w:rFonts w:hint="eastAsia" w:ascii="宋体" w:hAnsi="宋体" w:cs="Arial"/>
          <w:color w:val="333333"/>
          <w:kern w:val="0"/>
          <w:sz w:val="24"/>
        </w:rPr>
        <w:t>。</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（一）部门财政资金收入情况。</w:t>
      </w:r>
    </w:p>
    <w:p>
      <w:pPr>
        <w:widowControl/>
        <w:shd w:val="clear" w:color="auto" w:fill="FFFFFF"/>
        <w:spacing w:before="480" w:after="480" w:line="480" w:lineRule="auto"/>
        <w:ind w:firstLine="480"/>
        <w:jc w:val="left"/>
        <w:rPr>
          <w:rFonts w:ascii="宋体" w:hAnsi="宋体" w:cs="Arial"/>
          <w:color w:val="000000" w:themeColor="text1"/>
          <w:kern w:val="0"/>
          <w:sz w:val="24"/>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2018年本单位财政拨款收入228.42万元，其他收入0.07万元，年初结转资金184.53万元</w:t>
      </w:r>
      <w:r>
        <w:rPr>
          <w:rFonts w:hint="eastAsia" w:ascii="宋体" w:hAnsi="宋体" w:cs="Arial"/>
          <w:color w:val="000000" w:themeColor="text1"/>
          <w:kern w:val="0"/>
          <w:sz w:val="24"/>
          <w14:textFill>
            <w14:solidFill>
              <w14:schemeClr w14:val="tx1"/>
            </w14:solidFill>
          </w14:textFill>
        </w:rPr>
        <w:t>。</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（二）部门财政资金支出情况。</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本单位本年实际支出403.39万元；年末结转结余9.62万元。</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2018年，我委按照“扩面增量、整体推进，深化完善，构建体系”的总体目标，严格按照《预算法》、《阿坝州州级预算绩效目标管理办法》、《预算编制通知》等文件要求，完整编制部门整体绩效目标，合理量化项目绩效目标，按时完成报送工作。</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在债务管理及非税收入执行情况方面，2018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通过对预算编制、预算执行、综合管理、整体效益等方面进行全面分析评价，2018年部门整体支出绩效自评得分为90分。将针对评价总结的问题进行整改。</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hint="eastAsia" w:ascii="仿宋_GB2312" w:hAnsi="仿宋" w:eastAsia="仿宋_GB2312" w:cs="仿宋_GB2312"/>
          <w:color w:val="000000" w:themeColor="text1"/>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按照县政府的工作任务要求，结合我委2018年度工作开展实际，根据年初工作计划有序开展各项工作，进一步细化工作任务，按照工作计划和要求细致分工，是财政收支预算执行得到了良好的制度保障和实施效果。</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（二）存在问题。</w:t>
      </w:r>
    </w:p>
    <w:p>
      <w:pPr>
        <w:widowControl/>
        <w:shd w:val="clear" w:color="auto" w:fill="FFFFFF"/>
        <w:spacing w:before="480" w:after="480" w:line="480" w:lineRule="auto"/>
        <w:ind w:firstLine="480"/>
        <w:jc w:val="left"/>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一是人员增加导致预算不合理。</w:t>
      </w:r>
    </w:p>
    <w:p>
      <w:pPr>
        <w:widowControl/>
        <w:shd w:val="clear" w:color="auto" w:fill="FFFFFF"/>
        <w:spacing w:before="480" w:after="480" w:line="480" w:lineRule="auto"/>
        <w:ind w:firstLine="480"/>
        <w:jc w:val="left"/>
        <w:rPr>
          <w:rFonts w:ascii="仿宋" w:hAnsi="仿宋" w:eastAsia="仿宋" w:cs="仿宋_GB2312"/>
          <w:sz w:val="32"/>
          <w:szCs w:val="32"/>
        </w:rPr>
      </w:pPr>
      <w:r>
        <w:rPr>
          <w:rFonts w:hint="eastAsia" w:ascii="仿宋_GB2312" w:hAnsi="宋体" w:eastAsia="仿宋_GB2312" w:cs="Arial"/>
          <w:color w:val="333333"/>
          <w:kern w:val="0"/>
          <w:sz w:val="32"/>
          <w:szCs w:val="32"/>
        </w:rPr>
        <w:t>二是内部控制不合理。</w:t>
      </w:r>
    </w:p>
    <w:p>
      <w:p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（三）改进建议。</w:t>
      </w:r>
    </w:p>
    <w:p>
      <w:pPr>
        <w:widowControl/>
        <w:shd w:val="clear" w:color="auto" w:fill="FFFFFF"/>
        <w:spacing w:before="480" w:after="480" w:line="480" w:lineRule="auto"/>
        <w:ind w:firstLine="480"/>
        <w:jc w:val="left"/>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一是合理预算。</w:t>
      </w:r>
    </w:p>
    <w:p>
      <w:pPr>
        <w:widowControl/>
        <w:shd w:val="clear" w:color="auto" w:fill="FFFFFF"/>
        <w:spacing w:before="480" w:after="480" w:line="480" w:lineRule="auto"/>
        <w:ind w:firstLine="480"/>
        <w:jc w:val="left"/>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二是加强内部控制管理。</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4"/>
          <w:rFonts w:ascii="仿宋" w:hAnsi="仿宋" w:eastAsia="仿宋"/>
          <w:b w:val="0"/>
          <w:bCs w:val="0"/>
          <w:sz w:val="32"/>
          <w:szCs w:val="32"/>
        </w:rPr>
      </w:pPr>
      <w:bookmarkStart w:id="55" w:name="_Toc15396617"/>
      <w:r>
        <w:rPr>
          <w:rStyle w:val="24"/>
          <w:rFonts w:hint="eastAsia" w:ascii="仿宋" w:hAnsi="仿宋" w:eastAsia="仿宋"/>
          <w:b w:val="0"/>
          <w:bCs w:val="0"/>
          <w:sz w:val="32"/>
          <w:szCs w:val="32"/>
        </w:rPr>
        <w:t>附件2</w:t>
      </w:r>
      <w:bookmarkEnd w:id="55"/>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壤塘县鱼托寺寺庙管理委员会</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2018年项目支出绩效评价报告</w:t>
      </w:r>
    </w:p>
    <w:p>
      <w:pPr>
        <w:spacing w:line="580" w:lineRule="exact"/>
        <w:ind w:firstLine="640" w:firstLineChars="200"/>
        <w:rPr>
          <w:rFonts w:ascii="仿宋_GB2312" w:hAnsi="仿宋_GB2312" w:eastAsia="仿宋_GB2312" w:cs="仿宋_GB2312"/>
          <w:sz w:val="32"/>
          <w:szCs w:val="32"/>
        </w:rPr>
      </w:pP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bookmarkStart w:id="56" w:name="_Toc15396618"/>
      <w:r>
        <w:rPr>
          <w:rFonts w:hint="eastAsia" w:ascii="仿宋_GB2312" w:hAnsi="宋体" w:eastAsia="仿宋_GB2312" w:cs="Arial"/>
          <w:color w:val="000000" w:themeColor="text1"/>
          <w:kern w:val="0"/>
          <w:sz w:val="32"/>
          <w:szCs w:val="32"/>
          <w14:textFill>
            <w14:solidFill>
              <w14:schemeClr w14:val="tx1"/>
            </w14:solidFill>
          </w14:textFill>
        </w:rPr>
        <w:t>一、评价工作开展及项目情况</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辖区民管会补助是由民宗局发放我委，我委落实辖区5座寺庙民管会班子成员补助经费。本项目年度预算10.32万元，实际支出10.32万元。</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二、评价结论及绩效分析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（一）评价结论</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本项目年度预算10.32万元，实际支出10.32万元。项目完成100%，项目的反映良好，具有可持续性。</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1、项目决策</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民主管理委员会是通过寺庙僧尼民主选举并经过当地宗教部门批准产生的管理机构，其职责就是依照国家法律和寺庙规章制度，负责管理好本寺的各项事务。学习佛经、潜心修行是每个入寺喇嘛的终身追求。发放补助是为了切实减低他们生活中的经费困难，更好的管理寺庙，管理僧人。</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2、项目管理</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补助资金由民管会主任到民管会副主任到民管会成员由高到低发放。辖区民管会补助平均每人1380-1980之间。</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3、项目绩效</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民管会补助目标是包括了数量指标、满意度指标、时效指标。该项目各项指标实际完成均达到年初绩效目标。</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4、存在主要问题</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 xml:space="preserve">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无</w:t>
      </w:r>
      <w:r>
        <w:rPr>
          <w:rFonts w:hint="eastAsia" w:ascii="仿宋_GB2312" w:hAnsi="MS Mincho" w:eastAsia="MS Mincho" w:cs="MS Mincho"/>
          <w:color w:val="000000" w:themeColor="text1"/>
          <w:kern w:val="0"/>
          <w:sz w:val="32"/>
          <w:szCs w:val="32"/>
          <w14:textFill>
            <w14:solidFill>
              <w14:schemeClr w14:val="tx1"/>
            </w14:solidFill>
          </w14:textFill>
        </w:rPr>
        <w:t>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5、相关措施建议</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 xml:space="preserve">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累积经验，完善、细化、规范绩效管理，指标的设计可能需要更加的科学性。</w:t>
      </w:r>
    </w:p>
    <w:p>
      <w:pPr>
        <w:widowControl/>
        <w:shd w:val="clear" w:color="auto" w:fill="FFFFFF"/>
        <w:spacing w:before="480" w:after="480" w:line="480" w:lineRule="auto"/>
        <w:jc w:val="center"/>
        <w:rPr>
          <w:rFonts w:hint="eastAsia" w:ascii="仿宋_GB2312" w:hAnsi="宋体" w:eastAsia="仿宋_GB2312" w:cs="Arial"/>
          <w:b/>
          <w:bCs/>
          <w:color w:val="000000" w:themeColor="text1"/>
          <w:kern w:val="0"/>
          <w:sz w:val="32"/>
          <w:szCs w:val="32"/>
          <w14:textFill>
            <w14:solidFill>
              <w14:schemeClr w14:val="tx1"/>
            </w14:solidFill>
          </w14:textFill>
        </w:rPr>
      </w:pPr>
    </w:p>
    <w:p>
      <w:pPr>
        <w:widowControl/>
        <w:shd w:val="clear" w:color="auto" w:fill="FFFFFF"/>
        <w:spacing w:before="480" w:after="480" w:line="480" w:lineRule="auto"/>
        <w:jc w:val="center"/>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b/>
          <w:bCs/>
          <w:color w:val="000000" w:themeColor="text1"/>
          <w:kern w:val="0"/>
          <w:sz w:val="32"/>
          <w:szCs w:val="32"/>
          <w14:textFill>
            <w14:solidFill>
              <w14:schemeClr w14:val="tx1"/>
            </w14:solidFill>
          </w14:textFill>
        </w:rPr>
        <w:t>2018年辖区劝返僧人安置补助项目支出绩效评价报告</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一、评价工作开展及项目情况</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辖区劝返僧人生活补助是由统战部发放我委，我委落实辖区20名劝返僧人安置补助经费。本项目年度预算40万元，实际支出40万元。</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二、评价结论及绩效分析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（一）评价结论</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本项目年度预算40万元，实际支出40万元。项目完成100%，项目的反映良好，具有可持续性。</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1、项目决策</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通过开展生活补助，进一步拉近了政府与僧尼之间的距离，僧尼们也纷纷表示他们将持戒守法、爱国爱教，行动上同上级保持高度一致。救助工作的及时开展，为创建民族团结和维护社会稳定，构建和谐果洛奠定了坚实的基础。</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2.项目管理</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项目共计费用</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40</w:t>
      </w:r>
      <w:r>
        <w:rPr>
          <w:rFonts w:hint="eastAsia" w:ascii="仿宋_GB2312" w:hAnsi="宋体" w:eastAsia="仿宋_GB2312" w:cs="Arial"/>
          <w:color w:val="000000" w:themeColor="text1"/>
          <w:kern w:val="0"/>
          <w:sz w:val="32"/>
          <w:szCs w:val="32"/>
          <w14:textFill>
            <w14:solidFill>
              <w14:schemeClr w14:val="tx1"/>
            </w14:solidFill>
          </w14:textFill>
        </w:rPr>
        <w:t>万，僧人</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w:t>
      </w:r>
      <w:r>
        <w:rPr>
          <w:rFonts w:hint="eastAsia" w:ascii="仿宋_GB2312" w:hAnsi="宋体" w:eastAsia="仿宋_GB2312" w:cs="Arial"/>
          <w:color w:val="000000" w:themeColor="text1"/>
          <w:kern w:val="0"/>
          <w:sz w:val="32"/>
          <w:szCs w:val="32"/>
          <w14:textFill>
            <w14:solidFill>
              <w14:schemeClr w14:val="tx1"/>
            </w14:solidFill>
          </w14:textFill>
        </w:rPr>
        <w:t>0名，每人2万。</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3、项目绩效</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民管会补助目标是包括了数量指标、满意度指标、时效指标。该项目各项指标实际完成均达到年初绩效目标。</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存在主要问题</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六、</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发放时人员不集中，散落各地，导致发放存在一定困难。</w:t>
      </w:r>
      <w:r>
        <w:rPr>
          <w:rFonts w:hint="eastAsia" w:ascii="仿宋_GB2312" w:hAnsi="MS Mincho" w:eastAsia="MS Mincho" w:cs="MS Mincho"/>
          <w:color w:val="000000" w:themeColor="text1"/>
          <w:kern w:val="0"/>
          <w:sz w:val="32"/>
          <w:szCs w:val="32"/>
          <w14:textFill>
            <w14:solidFill>
              <w14:schemeClr w14:val="tx1"/>
            </w14:solidFill>
          </w14:textFill>
        </w:rPr>
        <w:t>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相关措施建议</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七、</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累积经验，完善、细化、规范绩效管理，指标的设计可能需要更加的科学性。</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MS Mincho" w:eastAsia="MS Mincho" w:cs="MS Mincho"/>
          <w:color w:val="000000" w:themeColor="text1"/>
          <w:kern w:val="0"/>
          <w:sz w:val="32"/>
          <w:szCs w:val="32"/>
          <w14:textFill>
            <w14:solidFill>
              <w14:schemeClr w14:val="tx1"/>
            </w14:solidFill>
          </w14:textFill>
        </w:rPr>
        <w:t> </w:t>
      </w:r>
    </w:p>
    <w:p>
      <w:pPr>
        <w:spacing w:line="600" w:lineRule="exact"/>
        <w:jc w:val="center"/>
        <w:outlineLvl w:val="0"/>
        <w:rPr>
          <w:rFonts w:hint="eastAsia" w:ascii="仿宋_GB2312" w:hAnsi="宋体" w:eastAsia="仿宋_GB2312" w:cs="Arial"/>
          <w:color w:val="000000" w:themeColor="text1"/>
          <w:kern w:val="0"/>
          <w:sz w:val="32"/>
          <w:szCs w:val="32"/>
          <w14:textFill>
            <w14:solidFill>
              <w14:schemeClr w14:val="tx1"/>
            </w14:solidFill>
          </w14:textFill>
        </w:rPr>
      </w:pPr>
    </w:p>
    <w:p>
      <w:pPr>
        <w:spacing w:line="600" w:lineRule="exact"/>
        <w:jc w:val="center"/>
        <w:outlineLvl w:val="0"/>
        <w:rPr>
          <w:rFonts w:hint="eastAsia" w:ascii="仿宋_GB2312" w:hAnsi="宋体" w:eastAsia="仿宋_GB2312" w:cs="Arial"/>
          <w:color w:val="000000" w:themeColor="text1"/>
          <w:kern w:val="0"/>
          <w:sz w:val="32"/>
          <w:szCs w:val="32"/>
          <w14:textFill>
            <w14:solidFill>
              <w14:schemeClr w14:val="tx1"/>
            </w14:solidFill>
          </w14:textFill>
        </w:rPr>
      </w:pPr>
    </w:p>
    <w:p>
      <w:pPr>
        <w:spacing w:line="600" w:lineRule="exact"/>
        <w:jc w:val="center"/>
        <w:outlineLvl w:val="0"/>
        <w:rPr>
          <w:rFonts w:hint="eastAsia" w:ascii="仿宋_GB2312" w:hAnsi="宋体" w:eastAsia="仿宋_GB2312" w:cs="Arial"/>
          <w:color w:val="000000" w:themeColor="text1"/>
          <w:kern w:val="0"/>
          <w:sz w:val="32"/>
          <w:szCs w:val="32"/>
          <w14:textFill>
            <w14:solidFill>
              <w14:schemeClr w14:val="tx1"/>
            </w14:solidFill>
          </w14:textFill>
        </w:rPr>
      </w:pPr>
    </w:p>
    <w:p>
      <w:pPr>
        <w:spacing w:line="600" w:lineRule="exact"/>
        <w:jc w:val="center"/>
        <w:outlineLvl w:val="0"/>
        <w:rPr>
          <w:rFonts w:hint="eastAsia" w:ascii="仿宋_GB2312" w:hAnsi="宋体" w:eastAsia="仿宋_GB2312" w:cs="Arial"/>
          <w:color w:val="000000" w:themeColor="text1"/>
          <w:kern w:val="0"/>
          <w:sz w:val="32"/>
          <w:szCs w:val="32"/>
          <w14:textFill>
            <w14:solidFill>
              <w14:schemeClr w14:val="tx1"/>
            </w14:solidFill>
          </w14:textFill>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1"/>
      <w:bookmarkEnd w:id="56"/>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7"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7"/>
    </w:p>
    <w:p>
      <w:pPr>
        <w:pStyle w:val="3"/>
        <w:rPr>
          <w:rFonts w:ascii="仿宋" w:hAnsi="仿宋" w:eastAsia="仿宋"/>
          <w:color w:val="000000"/>
        </w:rPr>
      </w:pPr>
      <w:bookmarkStart w:id="58"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58"/>
    </w:p>
    <w:p>
      <w:pPr>
        <w:pStyle w:val="3"/>
        <w:rPr>
          <w:rFonts w:ascii="仿宋" w:hAnsi="仿宋" w:eastAsia="仿宋"/>
          <w:color w:val="000000"/>
        </w:rPr>
      </w:pPr>
      <w:bookmarkStart w:id="59"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59"/>
    </w:p>
    <w:p>
      <w:pPr>
        <w:pStyle w:val="3"/>
        <w:rPr>
          <w:rFonts w:ascii="仿宋" w:hAnsi="仿宋" w:eastAsia="仿宋"/>
          <w:b w:val="0"/>
          <w:color w:val="000000"/>
        </w:rPr>
      </w:pPr>
      <w:bookmarkStart w:id="60"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0"/>
    </w:p>
    <w:p>
      <w:pPr>
        <w:pStyle w:val="3"/>
        <w:rPr>
          <w:rFonts w:ascii="仿宋" w:hAnsi="仿宋" w:eastAsia="仿宋"/>
          <w:color w:val="000000"/>
        </w:rPr>
      </w:pPr>
      <w:bookmarkStart w:id="61"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1"/>
    </w:p>
    <w:p>
      <w:pPr>
        <w:pStyle w:val="3"/>
        <w:rPr>
          <w:rFonts w:ascii="仿宋" w:hAnsi="仿宋" w:eastAsia="仿宋"/>
          <w:color w:val="000000"/>
        </w:rPr>
      </w:pPr>
      <w:bookmarkStart w:id="62"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8"/>
    </w:p>
    <w:p>
      <w:pPr>
        <w:pStyle w:val="3"/>
        <w:rPr>
          <w:rStyle w:val="25"/>
          <w:rFonts w:ascii="仿宋" w:hAnsi="仿宋" w:eastAsia="仿宋"/>
          <w:b w:val="0"/>
          <w:bCs w:val="0"/>
        </w:rPr>
      </w:pPr>
      <w:bookmarkStart w:id="69"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9"/>
    </w:p>
    <w:p>
      <w:pPr>
        <w:rPr>
          <w:rFonts w:eastAsia="仿宋"/>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97989BA-3D21-4B9B-89C1-BBBD79A66A7D}"/>
  </w:font>
  <w:font w:name="黑体">
    <w:panose1 w:val="02010609060101010101"/>
    <w:charset w:val="86"/>
    <w:family w:val="auto"/>
    <w:pitch w:val="default"/>
    <w:sig w:usb0="800002BF" w:usb1="38CF7CFA" w:usb2="00000016" w:usb3="00000000" w:csb0="00040001" w:csb1="00000000"/>
    <w:embedRegular r:id="rId2" w:fontKey="{11B841A2-A92B-45D9-9E0D-F0CA6FC9BD4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746A5FEA-CCBE-467B-985D-27BB037436B8}"/>
  </w:font>
  <w:font w:name="Microsoft Himalaya">
    <w:panose1 w:val="01010100010101010101"/>
    <w:charset w:val="00"/>
    <w:family w:val="auto"/>
    <w:pitch w:val="default"/>
    <w:sig w:usb0="80000003" w:usb1="00010000" w:usb2="00000040" w:usb3="00000000" w:csb0="00000001" w:csb1="00000000"/>
    <w:embedRegular r:id="rId4" w:fontKey="{E8B78A0D-CEB7-4D29-8421-8F14CBC73ECF}"/>
  </w:font>
  <w:font w:name="仿宋_GB2312">
    <w:panose1 w:val="02010609030101010101"/>
    <w:charset w:val="86"/>
    <w:family w:val="modern"/>
    <w:pitch w:val="default"/>
    <w:sig w:usb0="00000000" w:usb1="00000000" w:usb2="00000000" w:usb3="00000000" w:csb0="00000000" w:csb1="00000000"/>
    <w:embedRegular r:id="rId5" w:fontKey="{5DC60150-B87F-464B-A3F7-95C30ABE3DC5}"/>
  </w:font>
  <w:font w:name="仿宋">
    <w:panose1 w:val="02010609060101010101"/>
    <w:charset w:val="86"/>
    <w:family w:val="modern"/>
    <w:pitch w:val="default"/>
    <w:sig w:usb0="800002BF" w:usb1="38CF7CFA" w:usb2="00000016" w:usb3="00000000" w:csb0="00040001" w:csb1="00000000"/>
    <w:embedRegular r:id="rId6" w:fontKey="{4114AA12-4A2D-4AAC-973B-FECE25DAD60D}"/>
  </w:font>
  <w:font w:name="方正小标宋简体">
    <w:panose1 w:val="02000000000000000000"/>
    <w:charset w:val="86"/>
    <w:family w:val="script"/>
    <w:pitch w:val="default"/>
    <w:sig w:usb0="00000000" w:usb1="00000000" w:usb2="00000000" w:usb3="00000000" w:csb0="00000000" w:csb1="00000000"/>
    <w:embedRegular r:id="rId7" w:fontKey="{3EBAC828-0936-4D3F-8CF8-8DB66E89EDEB}"/>
  </w:font>
  <w:font w:name="楷体_GB2312">
    <w:altName w:val="楷体"/>
    <w:panose1 w:val="02010609030101010101"/>
    <w:charset w:val="86"/>
    <w:family w:val="modern"/>
    <w:pitch w:val="default"/>
    <w:sig w:usb0="00000000" w:usb1="00000000" w:usb2="00000010" w:usb3="00000000" w:csb0="00040000" w:csb1="00000000"/>
    <w:embedRegular r:id="rId8" w:fontKey="{4885F1BD-4914-4FE3-BCDA-1AEE1D9592FB}"/>
  </w:font>
  <w:font w:name="MS Mincho">
    <w:panose1 w:val="02020609040205080304"/>
    <w:charset w:val="80"/>
    <w:family w:val="modern"/>
    <w:pitch w:val="default"/>
    <w:sig w:usb0="E00002FF" w:usb1="6AC7FDFB" w:usb2="00000012" w:usb3="00000000" w:csb0="4002009F" w:csb1="DFD70000"/>
    <w:embedRegular r:id="rId9" w:fontKey="{54AF0F29-D9E4-409A-AF50-66FCAE33834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28</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7074F"/>
    <w:rsid w:val="0018106D"/>
    <w:rsid w:val="001877A7"/>
    <w:rsid w:val="00191536"/>
    <w:rsid w:val="00196687"/>
    <w:rsid w:val="001C0962"/>
    <w:rsid w:val="001C5EC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C2315"/>
    <w:rsid w:val="002F1818"/>
    <w:rsid w:val="002F567B"/>
    <w:rsid w:val="003216A9"/>
    <w:rsid w:val="00332781"/>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664D1"/>
    <w:rsid w:val="00471401"/>
    <w:rsid w:val="00473F31"/>
    <w:rsid w:val="0048263A"/>
    <w:rsid w:val="00487E5D"/>
    <w:rsid w:val="004A711F"/>
    <w:rsid w:val="004B0A49"/>
    <w:rsid w:val="004B199D"/>
    <w:rsid w:val="004B4690"/>
    <w:rsid w:val="004E0A2D"/>
    <w:rsid w:val="004E206B"/>
    <w:rsid w:val="004E6DF7"/>
    <w:rsid w:val="004F0FBD"/>
    <w:rsid w:val="00505A47"/>
    <w:rsid w:val="00512FDA"/>
    <w:rsid w:val="00520DA0"/>
    <w:rsid w:val="00534A86"/>
    <w:rsid w:val="005664BB"/>
    <w:rsid w:val="00567F4E"/>
    <w:rsid w:val="0057481D"/>
    <w:rsid w:val="0058486E"/>
    <w:rsid w:val="005A2442"/>
    <w:rsid w:val="005D1C8B"/>
    <w:rsid w:val="005D5CED"/>
    <w:rsid w:val="005F1A4C"/>
    <w:rsid w:val="00605688"/>
    <w:rsid w:val="006070AF"/>
    <w:rsid w:val="00607E6C"/>
    <w:rsid w:val="006101B1"/>
    <w:rsid w:val="00614E44"/>
    <w:rsid w:val="00622830"/>
    <w:rsid w:val="00630AEF"/>
    <w:rsid w:val="006325F8"/>
    <w:rsid w:val="00634C9A"/>
    <w:rsid w:val="00637F55"/>
    <w:rsid w:val="00643DD2"/>
    <w:rsid w:val="006440E4"/>
    <w:rsid w:val="00661781"/>
    <w:rsid w:val="0066343B"/>
    <w:rsid w:val="00664777"/>
    <w:rsid w:val="00672385"/>
    <w:rsid w:val="006730B8"/>
    <w:rsid w:val="006735A3"/>
    <w:rsid w:val="006748A4"/>
    <w:rsid w:val="00683E73"/>
    <w:rsid w:val="006862BC"/>
    <w:rsid w:val="006A3141"/>
    <w:rsid w:val="006A5E34"/>
    <w:rsid w:val="006B2422"/>
    <w:rsid w:val="006B2B9A"/>
    <w:rsid w:val="006C1937"/>
    <w:rsid w:val="006D0AEA"/>
    <w:rsid w:val="006F020C"/>
    <w:rsid w:val="007032C6"/>
    <w:rsid w:val="007127B7"/>
    <w:rsid w:val="0072088C"/>
    <w:rsid w:val="007416B6"/>
    <w:rsid w:val="00746F48"/>
    <w:rsid w:val="0075404D"/>
    <w:rsid w:val="0076182A"/>
    <w:rsid w:val="00767B7E"/>
    <w:rsid w:val="007770C3"/>
    <w:rsid w:val="00784D24"/>
    <w:rsid w:val="00785FBA"/>
    <w:rsid w:val="00786E4A"/>
    <w:rsid w:val="007875EB"/>
    <w:rsid w:val="0079426B"/>
    <w:rsid w:val="007A4E4F"/>
    <w:rsid w:val="007D312A"/>
    <w:rsid w:val="007D3F19"/>
    <w:rsid w:val="007E23B0"/>
    <w:rsid w:val="007F1991"/>
    <w:rsid w:val="007F2C2F"/>
    <w:rsid w:val="007F55FC"/>
    <w:rsid w:val="007F5665"/>
    <w:rsid w:val="00800112"/>
    <w:rsid w:val="008253BB"/>
    <w:rsid w:val="0083706E"/>
    <w:rsid w:val="008404A8"/>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67F"/>
    <w:rsid w:val="00900B08"/>
    <w:rsid w:val="00902155"/>
    <w:rsid w:val="00902FA3"/>
    <w:rsid w:val="00923564"/>
    <w:rsid w:val="0092392E"/>
    <w:rsid w:val="009315F9"/>
    <w:rsid w:val="00946945"/>
    <w:rsid w:val="00951248"/>
    <w:rsid w:val="0095152F"/>
    <w:rsid w:val="00954C49"/>
    <w:rsid w:val="0097099F"/>
    <w:rsid w:val="00971997"/>
    <w:rsid w:val="00971FFC"/>
    <w:rsid w:val="00984BD9"/>
    <w:rsid w:val="0098660A"/>
    <w:rsid w:val="009925CE"/>
    <w:rsid w:val="009931C3"/>
    <w:rsid w:val="009969D2"/>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6B21"/>
    <w:rsid w:val="00B310B9"/>
    <w:rsid w:val="00B35F3F"/>
    <w:rsid w:val="00B36CBB"/>
    <w:rsid w:val="00B425E0"/>
    <w:rsid w:val="00B440AA"/>
    <w:rsid w:val="00B44B70"/>
    <w:rsid w:val="00B53C56"/>
    <w:rsid w:val="00B76275"/>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38DC"/>
    <w:rsid w:val="00C65438"/>
    <w:rsid w:val="00C91CBB"/>
    <w:rsid w:val="00C9589C"/>
    <w:rsid w:val="00CC09B6"/>
    <w:rsid w:val="00CC666F"/>
    <w:rsid w:val="00CD1E3F"/>
    <w:rsid w:val="00CD7A8F"/>
    <w:rsid w:val="00CE44F6"/>
    <w:rsid w:val="00CE49DA"/>
    <w:rsid w:val="00CE6AEC"/>
    <w:rsid w:val="00CE7B61"/>
    <w:rsid w:val="00D00095"/>
    <w:rsid w:val="00D20620"/>
    <w:rsid w:val="00D23AE3"/>
    <w:rsid w:val="00D26091"/>
    <w:rsid w:val="00D34E7C"/>
    <w:rsid w:val="00D35489"/>
    <w:rsid w:val="00D51276"/>
    <w:rsid w:val="00D7035F"/>
    <w:rsid w:val="00D71BEF"/>
    <w:rsid w:val="00DA65AC"/>
    <w:rsid w:val="00DB1913"/>
    <w:rsid w:val="00DC374A"/>
    <w:rsid w:val="00DC410D"/>
    <w:rsid w:val="00DC68CA"/>
    <w:rsid w:val="00DC7CBA"/>
    <w:rsid w:val="00DD3C31"/>
    <w:rsid w:val="00DD73B7"/>
    <w:rsid w:val="00DF28BC"/>
    <w:rsid w:val="00DF34B9"/>
    <w:rsid w:val="00E01053"/>
    <w:rsid w:val="00E07ACF"/>
    <w:rsid w:val="00E254E7"/>
    <w:rsid w:val="00E331A1"/>
    <w:rsid w:val="00E33202"/>
    <w:rsid w:val="00E336A9"/>
    <w:rsid w:val="00E50624"/>
    <w:rsid w:val="00E50FB0"/>
    <w:rsid w:val="00E568DF"/>
    <w:rsid w:val="00E64269"/>
    <w:rsid w:val="00E724F2"/>
    <w:rsid w:val="00E733BA"/>
    <w:rsid w:val="00E82267"/>
    <w:rsid w:val="00EA010F"/>
    <w:rsid w:val="00EB7F1F"/>
    <w:rsid w:val="00ED1B63"/>
    <w:rsid w:val="00ED3C1F"/>
    <w:rsid w:val="00ED4085"/>
    <w:rsid w:val="00ED420E"/>
    <w:rsid w:val="00ED5B21"/>
    <w:rsid w:val="00EE2F57"/>
    <w:rsid w:val="00EF0D1B"/>
    <w:rsid w:val="00EF3204"/>
    <w:rsid w:val="00EF3704"/>
    <w:rsid w:val="00EF4C34"/>
    <w:rsid w:val="00EF77C6"/>
    <w:rsid w:val="00F01503"/>
    <w:rsid w:val="00F05438"/>
    <w:rsid w:val="00F1361C"/>
    <w:rsid w:val="00F160C7"/>
    <w:rsid w:val="00F17D09"/>
    <w:rsid w:val="00F36D8F"/>
    <w:rsid w:val="00F417B1"/>
    <w:rsid w:val="00F602DF"/>
    <w:rsid w:val="00F61B31"/>
    <w:rsid w:val="00F81FD9"/>
    <w:rsid w:val="00F841AA"/>
    <w:rsid w:val="00FA23E8"/>
    <w:rsid w:val="00FD3CC1"/>
    <w:rsid w:val="00FF1E02"/>
    <w:rsid w:val="00FF30B4"/>
    <w:rsid w:val="00FF6F2C"/>
    <w:rsid w:val="01F92317"/>
    <w:rsid w:val="021C3388"/>
    <w:rsid w:val="10C055FF"/>
    <w:rsid w:val="16BB723D"/>
    <w:rsid w:val="18DE1BE2"/>
    <w:rsid w:val="1FAD271F"/>
    <w:rsid w:val="240371BF"/>
    <w:rsid w:val="29FD04D3"/>
    <w:rsid w:val="2AEA4937"/>
    <w:rsid w:val="31682D86"/>
    <w:rsid w:val="319F7F4E"/>
    <w:rsid w:val="378A5B0E"/>
    <w:rsid w:val="3CBB23D5"/>
    <w:rsid w:val="45353F12"/>
    <w:rsid w:val="4A726189"/>
    <w:rsid w:val="51172903"/>
    <w:rsid w:val="5730213A"/>
    <w:rsid w:val="66430083"/>
    <w:rsid w:val="6F5848D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6">
    <w:name w:val="Header Char"/>
    <w:basedOn w:val="12"/>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2"/>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2"/>
    <w:link w:val="2"/>
    <w:qFormat/>
    <w:uiPriority w:val="9"/>
    <w:rPr>
      <w:rFonts w:ascii="Times New Roman" w:hAnsi="Times New Roman"/>
      <w:b/>
      <w:bCs/>
      <w:kern w:val="44"/>
      <w:sz w:val="44"/>
      <w:szCs w:val="44"/>
    </w:rPr>
  </w:style>
  <w:style w:type="character" w:customStyle="1" w:styleId="25">
    <w:name w:val="标题 2 Char"/>
    <w:basedOn w:val="12"/>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2"/>
    <w:link w:val="7"/>
    <w:semiHidden/>
    <w:qFormat/>
    <w:uiPriority w:val="99"/>
    <w:rPr>
      <w:rFonts w:ascii="Times New Roman" w:hAnsi="Times New Roman"/>
      <w:kern w:val="2"/>
      <w:sz w:val="18"/>
      <w:szCs w:val="18"/>
    </w:rPr>
  </w:style>
  <w:style w:type="character" w:customStyle="1" w:styleId="28">
    <w:name w:val="标题 3 Char"/>
    <w:basedOn w:val="12"/>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97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2018</a:t>
            </a:r>
            <a:r>
              <a:rPr lang="zh-CN" altLang="en-US"/>
              <a:t>年度收、支变化结构图</a:t>
            </a:r>
            <a:endParaRPr lang="zh-CN" altLang="en-US"/>
          </a:p>
        </c:rich>
      </c:tx>
      <c:layout>
        <c:manualLayout>
          <c:xMode val="edge"/>
          <c:yMode val="edge"/>
          <c:x val="0.24391152816518"/>
          <c:y val="0.0534465803649361"/>
        </c:manualLayout>
      </c:layout>
      <c:overlay val="0"/>
      <c:spPr>
        <a:noFill/>
        <a:ln w="18998">
          <a:noFill/>
        </a:ln>
      </c:spPr>
    </c:title>
    <c:autoTitleDeleted val="0"/>
    <c:plotArea>
      <c:layout>
        <c:manualLayout>
          <c:layoutTarget val="inner"/>
          <c:xMode val="edge"/>
          <c:yMode val="edge"/>
          <c:x val="0.0820458405266187"/>
          <c:y val="0.204105302287858"/>
          <c:w val="0.64376130198915"/>
          <c:h val="0.651376146788991"/>
        </c:manualLayout>
      </c:layout>
      <c:barChart>
        <c:barDir val="col"/>
        <c:grouping val="clustered"/>
        <c:varyColors val="0"/>
        <c:ser>
          <c:idx val="0"/>
          <c:order val="0"/>
          <c:tx>
            <c:strRef>
              <c:f>Sheet1!$A$2</c:f>
              <c:strCache>
                <c:ptCount val="1"/>
                <c:pt idx="0">
                  <c:v>收支总计</c:v>
                </c:pt>
              </c:strCache>
            </c:strRef>
          </c:tx>
          <c:spPr>
            <a:solidFill>
              <a:srgbClr val="9999FF"/>
            </a:solidFill>
            <a:ln w="9499">
              <a:solidFill>
                <a:srgbClr val="000000"/>
              </a:solidFill>
              <a:prstDash val="solid"/>
            </a:ln>
          </c:spPr>
          <c:invertIfNegative val="0"/>
          <c:dLbls>
            <c:spPr>
              <a:noFill/>
              <a:ln w="18998">
                <a:noFill/>
              </a:ln>
              <a:effectLst/>
            </c:spPr>
            <c:txPr>
              <a:bodyPr rot="0" spcFirstLastPara="0" vertOverflow="ellipsis" vert="horz" wrap="square" lIns="38100" tIns="19050" rIns="38100" bIns="19050" anchor="ctr" anchorCtr="1"/>
              <a:lstStyle/>
              <a:p>
                <a:pPr>
                  <a:defRPr lang="zh-CN" sz="8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2017年度</c:v>
                </c:pt>
                <c:pt idx="1">
                  <c:v>2018年度</c:v>
                </c:pt>
              </c:strCache>
            </c:strRef>
          </c:cat>
          <c:val>
            <c:numRef>
              <c:f>Sheet1!$B$2:$C$2</c:f>
              <c:numCache>
                <c:formatCode>General</c:formatCode>
                <c:ptCount val="2"/>
                <c:pt idx="0">
                  <c:v>855.97</c:v>
                </c:pt>
                <c:pt idx="1">
                  <c:v>631.87</c:v>
                </c:pt>
              </c:numCache>
            </c:numRef>
          </c:val>
        </c:ser>
        <c:dLbls>
          <c:showLegendKey val="0"/>
          <c:showVal val="1"/>
          <c:showCatName val="0"/>
          <c:showSerName val="0"/>
          <c:showPercent val="0"/>
          <c:showBubbleSize val="0"/>
        </c:dLbls>
        <c:gapWidth val="150"/>
        <c:axId val="150811008"/>
        <c:axId val="150812544"/>
      </c:barChart>
      <c:catAx>
        <c:axId val="150811008"/>
        <c:scaling>
          <c:orientation val="minMax"/>
        </c:scaling>
        <c:delete val="0"/>
        <c:axPos val="b"/>
        <c:numFmt formatCode="General" sourceLinked="1"/>
        <c:majorTickMark val="in"/>
        <c:minorTickMark val="none"/>
        <c:tickLblPos val="low"/>
        <c:spPr>
          <a:ln w="2375" cap="flat" cmpd="sng" algn="ctr">
            <a:solidFill>
              <a:srgbClr val="000000"/>
            </a:solidFill>
            <a:prstDash val="solid"/>
            <a:round/>
          </a:ln>
        </c:spPr>
        <c:txPr>
          <a:bodyPr rot="0" spcFirstLastPara="0" vertOverflow="ellipsis" vert="horz" wrap="square" anchor="ctr" anchorCtr="1"/>
          <a:lstStyle/>
          <a:p>
            <a:pPr>
              <a:defRPr lang="zh-CN" sz="8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0812544"/>
        <c:crosses val="autoZero"/>
        <c:auto val="1"/>
        <c:lblAlgn val="ctr"/>
        <c:lblOffset val="100"/>
        <c:tickLblSkip val="1"/>
        <c:noMultiLvlLbl val="0"/>
      </c:catAx>
      <c:valAx>
        <c:axId val="150812544"/>
        <c:scaling>
          <c:orientation val="minMax"/>
        </c:scaling>
        <c:delete val="0"/>
        <c:axPos val="l"/>
        <c:majorGridlines>
          <c:spPr>
            <a:ln w="2375" cap="flat" cmpd="sng" algn="ctr">
              <a:solidFill>
                <a:srgbClr val="000000"/>
              </a:solidFill>
              <a:prstDash val="solid"/>
              <a:round/>
            </a:ln>
          </c:spPr>
        </c:majorGridlines>
        <c:numFmt formatCode="General" sourceLinked="1"/>
        <c:majorTickMark val="in"/>
        <c:minorTickMark val="none"/>
        <c:tickLblPos val="nextTo"/>
        <c:spPr>
          <a:ln w="2375" cap="flat" cmpd="sng" algn="ctr">
            <a:solidFill>
              <a:srgbClr val="000000"/>
            </a:solidFill>
            <a:prstDash val="solid"/>
            <a:round/>
          </a:ln>
        </c:spPr>
        <c:txPr>
          <a:bodyPr rot="0" spcFirstLastPara="0" vertOverflow="ellipsis" vert="horz" wrap="square" anchor="ctr" anchorCtr="1"/>
          <a:lstStyle/>
          <a:p>
            <a:pPr>
              <a:defRPr lang="zh-CN" sz="8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0811008"/>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50452079566004"/>
          <c:y val="0.532110091743119"/>
          <c:w val="0.242314647377939"/>
          <c:h val="0.091743119266055"/>
        </c:manualLayout>
      </c:layout>
      <c:overlay val="0"/>
      <c:spPr>
        <a:noFill/>
        <a:ln w="2375">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80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2018年收入决算图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2"/>
                <c:pt idx="0">
                  <c:v>一般公共财政拨款收入</c:v>
                </c:pt>
                <c:pt idx="1">
                  <c:v>其他收入</c:v>
                </c:pt>
              </c:strCache>
            </c:strRef>
          </c:cat>
          <c:val>
            <c:numRef>
              <c:f>Sheet1!$B$2:$B$5</c:f>
              <c:numCache>
                <c:formatCode>General</c:formatCode>
                <c:ptCount val="4"/>
                <c:pt idx="0">
                  <c:v>228.48</c:v>
                </c:pt>
                <c:pt idx="1">
                  <c:v>0.06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2018年支出决算图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2"/>
                <c:pt idx="0">
                  <c:v>基本支出</c:v>
                </c:pt>
                <c:pt idx="1">
                  <c:v>项目支出</c:v>
                </c:pt>
              </c:strCache>
            </c:strRef>
          </c:cat>
          <c:val>
            <c:numRef>
              <c:f>Sheet1!$B$2:$B$5</c:f>
              <c:numCache>
                <c:formatCode>General</c:formatCode>
                <c:ptCount val="4"/>
                <c:pt idx="0">
                  <c:v>238.14</c:v>
                </c:pt>
                <c:pt idx="1">
                  <c:v>165.25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84224746508565"/>
          <c:y val="0.027181299266104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一般公共服务支出</c:v>
                </c:pt>
                <c:pt idx="1">
                  <c:v>社会保障和就业支出</c:v>
                </c:pt>
                <c:pt idx="2">
                  <c:v>医疗卫生与计划生育支出</c:v>
                </c:pt>
                <c:pt idx="3">
                  <c:v>农林水支出</c:v>
                </c:pt>
                <c:pt idx="4">
                  <c:v>住房保障支出</c:v>
                </c:pt>
                <c:pt idx="5">
                  <c:v>其他宗教事务支出</c:v>
                </c:pt>
                <c:pt idx="6">
                  <c:v>其他民族事务支出</c:v>
                </c:pt>
              </c:strCache>
            </c:strRef>
          </c:cat>
          <c:val>
            <c:numRef>
              <c:f>Sheet1!$B$2:$B$8</c:f>
              <c:numCache>
                <c:formatCode>General</c:formatCode>
                <c:ptCount val="7"/>
                <c:pt idx="0">
                  <c:v>320.85</c:v>
                </c:pt>
                <c:pt idx="1">
                  <c:v>29.08</c:v>
                </c:pt>
                <c:pt idx="2">
                  <c:v>6.8</c:v>
                </c:pt>
                <c:pt idx="3">
                  <c:v>29.1</c:v>
                </c:pt>
                <c:pt idx="4">
                  <c:v>17.56</c:v>
                </c:pt>
                <c:pt idx="5">
                  <c:v>66</c:v>
                </c:pt>
                <c:pt idx="6">
                  <c:v>4.73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1"/>
                <c:pt idx="0">
                  <c:v>公务用车购置及运行费</c:v>
                </c:pt>
              </c:strCache>
            </c:strRef>
          </c:cat>
          <c:val>
            <c:numRef>
              <c:f>Sheet1!$B$2:$B$4</c:f>
              <c:numCache>
                <c:formatCode>General</c:formatCode>
                <c:ptCount val="3"/>
                <c:pt idx="0">
                  <c:v>7.69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7968</Words>
  <Characters>2999</Characters>
  <Lines>24</Lines>
  <Paragraphs>21</Paragraphs>
  <TotalTime>254</TotalTime>
  <ScaleCrop>false</ScaleCrop>
  <LinksUpToDate>false</LinksUpToDate>
  <CharactersWithSpaces>10946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cp:lastModifiedBy>
  <cp:lastPrinted>2019-08-01T00:48:00Z</cp:lastPrinted>
  <dcterms:modified xsi:type="dcterms:W3CDTF">2019-10-25T04:07:07Z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