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77193"/>
      <w:bookmarkStart w:id="4" w:name="_Toc15396475"/>
      <w:bookmarkStart w:id="5" w:name="_Toc15378441"/>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7426"/>
      <w:bookmarkStart w:id="8" w:name="_Toc15396598"/>
      <w:bookmarkStart w:id="9" w:name="_Toc15396476"/>
      <w:bookmarkStart w:id="10" w:name="_Toc15378442"/>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eastAsia="zh-CN"/>
        </w:rPr>
        <w:t>壤塘县三郎寺寺庙管理委员会</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74" w:name="_GoBack"/>
      <w:bookmarkEnd w:id="74"/>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6"/>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rPr>
          <w:rFonts w:hint="eastAsia"/>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rPr>
          <w:color w:val="000000" w:themeColor="text1"/>
          <w14:textFill>
            <w14:solidFill>
              <w14:schemeClr w14:val="tx1"/>
            </w14:solidFill>
          </w14:textFill>
        </w:rPr>
      </w:pPr>
      <w:r>
        <w:rPr>
          <w:rFonts w:hint="eastAsia"/>
        </w:rPr>
        <w:t xml:space="preserve">    </w:t>
      </w:r>
      <w:r>
        <w:rPr>
          <w:rStyle w:val="16"/>
          <w:rFonts w:hint="eastAsia" w:ascii="仿宋" w:hAnsi="仿宋" w:eastAsia="仿宋" w:cstheme="majorBidi"/>
          <w:bCs/>
          <w:color w:val="000000" w:themeColor="text1"/>
          <w:sz w:val="28"/>
          <w:szCs w:val="28"/>
          <w:u w:val="none"/>
          <w14:textFill>
            <w14:solidFill>
              <w14:schemeClr w14:val="tx1"/>
            </w14:solidFill>
          </w14:textFill>
        </w:rPr>
        <w:t>十、预算绩效情况说明</w:t>
      </w:r>
      <w:r>
        <w:rPr>
          <w:rStyle w:val="16"/>
          <w:rFonts w:ascii="仿宋" w:hAnsi="仿宋" w:eastAsia="仿宋" w:cstheme="majorBidi"/>
          <w:bCs/>
          <w:color w:val="000000" w:themeColor="text1"/>
          <w:sz w:val="28"/>
          <w:szCs w:val="28"/>
          <w:u w:val="none"/>
          <w14:textFill>
            <w14:solidFill>
              <w14:schemeClr w14:val="tx1"/>
            </w14:solidFill>
          </w14:textFill>
        </w:rPr>
        <w:t>…………………………………………</w:t>
      </w:r>
      <w:r>
        <w:rPr>
          <w:rStyle w:val="16"/>
          <w:rFonts w:hint="eastAsia" w:ascii="仿宋" w:hAnsi="仿宋" w:eastAsia="仿宋" w:cstheme="majorBidi"/>
          <w:bCs/>
          <w:color w:val="000000" w:themeColor="text1"/>
          <w:sz w:val="28"/>
          <w:szCs w:val="28"/>
          <w:u w:val="none"/>
          <w14:textFill>
            <w14:solidFill>
              <w14:schemeClr w14:val="tx1"/>
            </w14:solidFill>
          </w14:textFill>
        </w:rPr>
        <w:t xml:space="preserve">  13</w:t>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fldChar w:fldCharType="begin"/>
      </w:r>
      <w:r>
        <w:instrText xml:space="preserve"> PAGEREF _Toc15396614 \h </w:instrText>
      </w:r>
      <w:r>
        <w:fldChar w:fldCharType="separate"/>
      </w:r>
      <w:r>
        <w:t>19</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fldChar w:fldCharType="begin"/>
      </w:r>
      <w:r>
        <w:instrText xml:space="preserve"> PAGEREF _Toc15396618 \h </w:instrText>
      </w:r>
      <w:r>
        <w:fldChar w:fldCharType="separate"/>
      </w:r>
      <w:r>
        <w:t>22</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p>
    <w:p>
      <w:pPr>
        <w:spacing w:line="5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结合党的群众路线教育实践活动总体部署要求和《关于藏区开展“领导联系、县乡结对、部门包寺”活动》要求，以及王东明书记在省委藏区工作座谈会讲话精神，继续开展“与僧人交朋友，为寺庙做好事”活动。牢固树立“与僧人交朋友交一个算一个，为寺庙做好事做一件算一件”的思想,进一步增强寺庙僧人对社会主义制度的认同感和归属感，进一步巩固和深化党和政府同宗教界的联系。 切实找到寺庙管理重点和难点的突破口，争取人心，维护社会政治稳定。</w:t>
      </w:r>
    </w:p>
    <w:p>
      <w:pPr>
        <w:spacing w:line="500" w:lineRule="exact"/>
        <w:ind w:firstLine="640" w:firstLineChars="200"/>
        <w:rPr>
          <w:rFonts w:hint="eastAsia" w:ascii="仿宋" w:hAnsi="仿宋" w:eastAsia="仿宋" w:cs="仿宋"/>
          <w:color w:val="000000"/>
          <w:sz w:val="32"/>
          <w:szCs w:val="32"/>
        </w:rPr>
      </w:pPr>
      <w:r>
        <w:rPr>
          <w:rFonts w:hint="eastAsia" w:ascii="仿宋" w:hAnsi="仿宋" w:eastAsia="仿宋" w:cs="仿宋"/>
          <w:bCs/>
          <w:color w:val="000000"/>
          <w:sz w:val="32"/>
          <w:szCs w:val="32"/>
        </w:rPr>
        <w:t>2.加强各寺民主管理委员会进行重组建设，</w:t>
      </w:r>
      <w:r>
        <w:rPr>
          <w:rFonts w:hint="eastAsia" w:ascii="仿宋" w:hAnsi="仿宋" w:eastAsia="仿宋" w:cs="仿宋"/>
          <w:color w:val="000000"/>
          <w:sz w:val="32"/>
          <w:szCs w:val="32"/>
        </w:rPr>
        <w:t>认真选拔政治上靠得住，佛学上有造诣，品德上能服务的僧人组成民管会班子，使寺庙宗教权、领导权牢牢掌握在爱国爱教的僧尼手中。</w:t>
      </w:r>
    </w:p>
    <w:p>
      <w:pPr>
        <w:spacing w:line="50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3. 严格执行宗教活动场所新建、改建、扩建和维修审批制度。巩固辖区内</w:t>
      </w:r>
      <w:r>
        <w:rPr>
          <w:rFonts w:hint="eastAsia" w:ascii="仿宋" w:hAnsi="仿宋" w:eastAsia="仿宋" w:cs="仿宋"/>
          <w:sz w:val="32"/>
          <w:szCs w:val="32"/>
          <w:lang w:val="en-US" w:eastAsia="zh-CN"/>
        </w:rPr>
        <w:t>7</w:t>
      </w:r>
      <w:r>
        <w:rPr>
          <w:rFonts w:hint="eastAsia" w:ascii="仿宋" w:hAnsi="仿宋" w:eastAsia="仿宋" w:cs="仿宋"/>
          <w:sz w:val="32"/>
          <w:szCs w:val="32"/>
        </w:rPr>
        <w:t>座开放寺庙四至界限划定及打桩定界成果，坚决杜绝乱搭乱建、无序扩张。</w:t>
      </w:r>
    </w:p>
    <w:p>
      <w:pPr>
        <w:spacing w:line="500" w:lineRule="exact"/>
        <w:ind w:firstLine="480" w:firstLineChars="150"/>
        <w:rPr>
          <w:rFonts w:hint="eastAsia" w:ascii="仿宋" w:hAnsi="仿宋" w:eastAsia="仿宋" w:cs="仿宋"/>
          <w:sz w:val="32"/>
          <w:szCs w:val="32"/>
        </w:rPr>
      </w:pPr>
      <w:r>
        <w:rPr>
          <w:rFonts w:hint="eastAsia" w:ascii="仿宋" w:hAnsi="仿宋" w:eastAsia="仿宋" w:cs="仿宋"/>
          <w:sz w:val="32"/>
          <w:szCs w:val="32"/>
        </w:rPr>
        <w:t>4.加大对民管会班子成员的培训。一是改进培养方式。在培训培养工作中，坚持教经与育人并重，爱国与爱教并重，宗教学识与思想品德并重，宗教教育与社会知识教育并重，注重加强对宗教界代表人士在政治觉悟、政策法规、自我管理等方面的培养，努力使他们成为政治思想强、宗教学识好、个人修养高的新一代宗教界代表人士。二是注重安排使用。对宗教界代表人士的政治安排，坚持政治标准第一，统筹兼顾，动态管理，在考虑本人宗教学识和其在群众中威望的同时，主要看政治立场是否坚定、是否爱国爱教、是否遵纪守法，不为安排而安排，严把安排质量关。三是积极组织代表人士参加上级部门组织的各种培训，同时管委会将以会代训的形式加大代表人士的培训力度，近年计划培训</w:t>
      </w:r>
      <w:r>
        <w:rPr>
          <w:rFonts w:hint="eastAsia" w:ascii="仿宋" w:hAnsi="仿宋" w:eastAsia="仿宋" w:cs="仿宋"/>
          <w:sz w:val="32"/>
          <w:szCs w:val="32"/>
          <w:lang w:val="en-US" w:eastAsia="zh-CN"/>
        </w:rPr>
        <w:t>100</w:t>
      </w:r>
      <w:r>
        <w:rPr>
          <w:rFonts w:hint="eastAsia" w:ascii="仿宋" w:hAnsi="仿宋" w:eastAsia="仿宋" w:cs="仿宋"/>
          <w:sz w:val="32"/>
          <w:szCs w:val="32"/>
        </w:rPr>
        <w:t>余人次。</w:t>
      </w:r>
    </w:p>
    <w:p>
      <w:pPr>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加强在敏感时段寺庙稳定各项工作，充分发挥基层情报信息站点的作用，积极培养统战、宗教情报信息人员，及时收集内幕性、深层次、行动性、预警性信息，做到早发现、早处置、早化解，全力确保寺庙稳定。</w:t>
      </w:r>
    </w:p>
    <w:p>
      <w:pPr>
        <w:spacing w:line="500" w:lineRule="exact"/>
        <w:ind w:firstLine="640" w:firstLineChars="200"/>
        <w:rPr>
          <w:rFonts w:hint="eastAsia" w:ascii="仿宋" w:hAnsi="仿宋" w:eastAsia="仿宋"/>
          <w:bCs/>
          <w:color w:val="000000"/>
          <w:sz w:val="32"/>
          <w:szCs w:val="32"/>
        </w:rPr>
      </w:pPr>
      <w:r>
        <w:rPr>
          <w:rFonts w:hint="eastAsia" w:ascii="仿宋" w:hAnsi="仿宋" w:eastAsia="仿宋" w:cs="仿宋"/>
          <w:color w:val="000000"/>
          <w:sz w:val="32"/>
          <w:szCs w:val="32"/>
        </w:rPr>
        <w:t>6.进一步强化教职人员管理。扎实做好寺庙生化活佛转世工作。严格请销假制度。要严格堪布、铁棒喇嘛、经师等重要教职人员的管理。</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p>
    <w:p>
      <w:pPr>
        <w:pStyle w:val="31"/>
        <w:numPr>
          <w:ilvl w:val="0"/>
          <w:numId w:val="1"/>
        </w:numPr>
        <w:spacing w:before="0" w:line="360" w:lineRule="auto"/>
        <w:ind w:firstLine="320" w:firstLineChars="100"/>
        <w:rPr>
          <w:rFonts w:hint="eastAsia" w:ascii="仿宋" w:hAnsi="仿宋" w:eastAsia="仿宋" w:cs="仿宋"/>
          <w:color w:val="000000"/>
          <w:sz w:val="32"/>
          <w:szCs w:val="32"/>
        </w:rPr>
      </w:pPr>
      <w:r>
        <w:rPr>
          <w:rFonts w:hint="eastAsia" w:ascii="仿宋" w:hAnsi="仿宋" w:eastAsia="仿宋" w:cs="仿宋"/>
          <w:color w:val="000000"/>
          <w:sz w:val="32"/>
          <w:szCs w:val="32"/>
        </w:rPr>
        <w:t>深入辖区</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座寺庙走访，进一步核实完善贫困僧尼档案。</w:t>
      </w:r>
    </w:p>
    <w:p>
      <w:pPr>
        <w:pStyle w:val="31"/>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与</w:t>
      </w:r>
      <w:r>
        <w:rPr>
          <w:rFonts w:hint="eastAsia" w:ascii="仿宋" w:hAnsi="仿宋" w:eastAsia="仿宋" w:cs="仿宋"/>
          <w:sz w:val="32"/>
          <w:szCs w:val="32"/>
          <w:lang w:eastAsia="zh-CN"/>
        </w:rPr>
        <w:t>南木达镇</w:t>
      </w:r>
      <w:r>
        <w:rPr>
          <w:rFonts w:hint="eastAsia" w:ascii="仿宋" w:hAnsi="仿宋" w:eastAsia="仿宋" w:cs="仿宋"/>
          <w:sz w:val="32"/>
          <w:szCs w:val="32"/>
        </w:rPr>
        <w:t>、</w:t>
      </w:r>
      <w:r>
        <w:rPr>
          <w:rFonts w:hint="eastAsia" w:ascii="仿宋" w:hAnsi="仿宋" w:eastAsia="仿宋" w:cs="仿宋"/>
          <w:sz w:val="32"/>
          <w:szCs w:val="32"/>
          <w:lang w:eastAsia="zh-CN"/>
        </w:rPr>
        <w:t>茸木达乡</w:t>
      </w:r>
      <w:r>
        <w:rPr>
          <w:rFonts w:hint="eastAsia" w:ascii="仿宋" w:hAnsi="仿宋" w:eastAsia="仿宋" w:cs="仿宋"/>
          <w:sz w:val="32"/>
          <w:szCs w:val="32"/>
        </w:rPr>
        <w:t>政府及辖区寺管所、派出所、卫生院开展1次维稳力量协调联动演练，增强干部职工维稳处突能力</w:t>
      </w:r>
    </w:p>
    <w:p>
      <w:pPr>
        <w:pStyle w:val="31"/>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bCs/>
          <w:color w:val="000000"/>
          <w:sz w:val="32"/>
          <w:szCs w:val="32"/>
        </w:rPr>
        <w:t>强化僧尼社会保障及弱势群体帮扶工作。</w:t>
      </w:r>
      <w:r>
        <w:rPr>
          <w:rFonts w:hint="eastAsia" w:ascii="仿宋" w:hAnsi="仿宋" w:eastAsia="仿宋" w:cs="仿宋"/>
          <w:bCs/>
          <w:sz w:val="32"/>
          <w:szCs w:val="32"/>
        </w:rPr>
        <w:t>做好辖区</w:t>
      </w:r>
      <w:r>
        <w:rPr>
          <w:rFonts w:hint="eastAsia" w:ascii="仿宋" w:hAnsi="仿宋" w:eastAsia="仿宋" w:cs="仿宋"/>
          <w:bCs/>
          <w:sz w:val="32"/>
          <w:szCs w:val="32"/>
          <w:lang w:val="en-US" w:eastAsia="zh-CN"/>
        </w:rPr>
        <w:t>7</w:t>
      </w:r>
      <w:r>
        <w:rPr>
          <w:rFonts w:hint="eastAsia" w:ascii="仿宋" w:hAnsi="仿宋" w:eastAsia="仿宋" w:cs="仿宋"/>
          <w:bCs/>
          <w:sz w:val="32"/>
          <w:szCs w:val="32"/>
        </w:rPr>
        <w:t>座寺庙元旦、春节及藏历新年高僧大德、贫困僧尼慰问工作。</w:t>
      </w:r>
    </w:p>
    <w:p>
      <w:pPr>
        <w:pStyle w:val="31"/>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bCs/>
          <w:sz w:val="32"/>
          <w:szCs w:val="32"/>
        </w:rPr>
        <w:t>做好传习基地师生的培训、教育引导工作。</w:t>
      </w:r>
    </w:p>
    <w:p>
      <w:pPr>
        <w:pStyle w:val="31"/>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bCs/>
          <w:color w:val="000000"/>
          <w:sz w:val="32"/>
          <w:szCs w:val="32"/>
        </w:rPr>
        <w:t>建立研究寺庙管理长效工作机制。</w:t>
      </w:r>
      <w:r>
        <w:rPr>
          <w:rFonts w:hint="eastAsia" w:ascii="仿宋" w:hAnsi="仿宋" w:eastAsia="仿宋" w:cs="仿宋"/>
          <w:color w:val="000000"/>
          <w:sz w:val="32"/>
          <w:szCs w:val="32"/>
        </w:rPr>
        <w:t>形成定期、不定期专题研究寺庙管理长效工作机制。及时妥善解决寺庙管理工作中的新情况、新问题。</w:t>
      </w:r>
    </w:p>
    <w:p>
      <w:pPr>
        <w:pStyle w:val="31"/>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rPr>
        <w:t>深入辖区寺庙讲解安全知识，特别是消防安全(扎康、经堂、酥油灯的用火安全；扎康、经堂的电线线路安全；交通安全等)；</w:t>
      </w:r>
      <w:r>
        <w:rPr>
          <w:rFonts w:hint="eastAsia" w:ascii="仿宋" w:hAnsi="仿宋" w:eastAsia="仿宋" w:cs="仿宋"/>
          <w:bCs/>
          <w:sz w:val="32"/>
          <w:szCs w:val="32"/>
        </w:rPr>
        <w:t>对辖区寺庙的消防安全进行检查；检查各寺庙专职消防队伍、义务消防队伍组建情况，</w:t>
      </w:r>
      <w:r>
        <w:rPr>
          <w:rFonts w:hint="eastAsia" w:ascii="仿宋" w:hAnsi="仿宋" w:eastAsia="仿宋" w:cs="仿宋"/>
          <w:color w:val="000000"/>
          <w:sz w:val="32"/>
          <w:szCs w:val="32"/>
        </w:rPr>
        <w:t>指导寺庙成立安全巡逻队。</w:t>
      </w:r>
    </w:p>
    <w:p>
      <w:pPr>
        <w:pStyle w:val="31"/>
        <w:numPr>
          <w:ilvl w:val="0"/>
          <w:numId w:val="1"/>
        </w:numPr>
        <w:spacing w:before="0" w:line="360" w:lineRule="auto"/>
        <w:ind w:firstLine="320" w:firstLineChars="100"/>
        <w:rPr>
          <w:rFonts w:hint="eastAsia" w:ascii="仿宋" w:hAnsi="仿宋" w:eastAsia="仿宋" w:cs="仿宋"/>
          <w:sz w:val="32"/>
          <w:szCs w:val="32"/>
        </w:rPr>
      </w:pPr>
      <w:r>
        <w:rPr>
          <w:rFonts w:hint="eastAsia" w:ascii="仿宋" w:hAnsi="仿宋" w:eastAsia="仿宋" w:cs="仿宋"/>
          <w:color w:val="000000"/>
          <w:sz w:val="32"/>
          <w:szCs w:val="32"/>
        </w:rPr>
        <w:t>指导寺庙民管会组成人员就寺庙财务台账、环境卫生、安全、教育等进行分工，要求责任落实到人头，形成</w:t>
      </w:r>
      <w:r>
        <w:rPr>
          <w:rFonts w:hint="eastAsia" w:ascii="仿宋" w:hAnsi="仿宋" w:eastAsia="仿宋" w:cs="仿宋"/>
          <w:sz w:val="32"/>
          <w:szCs w:val="32"/>
        </w:rPr>
        <w:t>分工合作、责任明确</w:t>
      </w:r>
      <w:r>
        <w:rPr>
          <w:rFonts w:hint="eastAsia" w:ascii="仿宋" w:hAnsi="仿宋" w:eastAsia="仿宋" w:cs="仿宋"/>
          <w:color w:val="000000"/>
          <w:sz w:val="32"/>
          <w:szCs w:val="32"/>
        </w:rPr>
        <w:t>的良好工作格局。</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cs="仿宋"/>
          <w:color w:val="000000"/>
          <w:sz w:val="32"/>
          <w:szCs w:val="32"/>
        </w:rPr>
        <w:t>强化公共服务。</w:t>
      </w:r>
      <w:r>
        <w:rPr>
          <w:rFonts w:hint="eastAsia" w:ascii="仿宋" w:hAnsi="仿宋" w:eastAsia="仿宋" w:cs="仿宋"/>
          <w:sz w:val="32"/>
          <w:szCs w:val="32"/>
        </w:rPr>
        <w:t>坚持管理与服务并举，寓管理于服务之中，在服务中实现管理，帮助解决寺庙僧尼的实际困难。</w:t>
      </w:r>
    </w:p>
    <w:p>
      <w:pPr>
        <w:pStyle w:val="3"/>
        <w:rPr>
          <w:rStyle w:val="27"/>
          <w:b w:val="0"/>
          <w:bCs w:val="0"/>
        </w:rPr>
      </w:pPr>
      <w:bookmarkStart w:id="18" w:name="_Toc15377200"/>
      <w:bookmarkStart w:id="19"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18"/>
      <w:bookmarkEnd w:id="19"/>
    </w:p>
    <w:p>
      <w:pPr>
        <w:ind w:firstLine="800" w:firstLineChars="250"/>
        <w:rPr>
          <w:rFonts w:ascii="仿宋" w:hAnsi="仿宋" w:eastAsia="仿宋"/>
          <w:color w:val="000000"/>
          <w:kern w:val="0"/>
          <w:sz w:val="32"/>
          <w:szCs w:val="32"/>
        </w:rPr>
      </w:pPr>
      <w:r>
        <w:rPr>
          <w:rFonts w:hint="eastAsia" w:ascii="仿宋" w:hAnsi="仿宋" w:eastAsia="仿宋" w:cs="仿宋"/>
          <w:sz w:val="32"/>
          <w:szCs w:val="32"/>
          <w:lang w:eastAsia="zh-CN"/>
        </w:rPr>
        <w:t>三郎</w:t>
      </w:r>
      <w:r>
        <w:rPr>
          <w:rFonts w:hint="eastAsia" w:ascii="仿宋" w:hAnsi="仿宋" w:eastAsia="仿宋" w:cs="仿宋"/>
          <w:sz w:val="32"/>
          <w:szCs w:val="32"/>
        </w:rPr>
        <w:t>寺寺庙管理委员会单位属一级预算单位，下属二级预算单位0个，其中：行政单位1个；参照公务员法管理的事业单位0个；其他事业单位0个。</w:t>
      </w:r>
      <w:r>
        <w:rPr>
          <w:rFonts w:ascii="仿宋" w:hAnsi="仿宋" w:eastAsia="仿宋"/>
          <w:color w:val="000000"/>
          <w:sz w:val="32"/>
          <w:szCs w:val="32"/>
        </w:rPr>
        <w:br w:type="page"/>
      </w:r>
    </w:p>
    <w:p>
      <w:pPr>
        <w:pStyle w:val="2"/>
        <w:ind w:right="440"/>
        <w:jc w:val="right"/>
        <w:rPr>
          <w:rStyle w:val="26"/>
          <w:rFonts w:ascii="黑体" w:hAnsi="黑体" w:eastAsia="黑体"/>
          <w:b w:val="0"/>
          <w:bCs w:val="0"/>
        </w:rPr>
      </w:pPr>
      <w:bookmarkStart w:id="20" w:name="_Toc15377204"/>
      <w:bookmarkStart w:id="21" w:name="_Toc15396602"/>
      <w:r>
        <w:rPr>
          <w:rFonts w:hint="eastAsia" w:ascii="黑体" w:hAnsi="黑体" w:eastAsia="黑体"/>
          <w:b w:val="0"/>
          <w:color w:val="000000"/>
        </w:rPr>
        <w:t>第二部分</w:t>
      </w:r>
      <w:r>
        <w:rPr>
          <w:rStyle w:val="26"/>
          <w:rFonts w:hint="eastAsia" w:ascii="黑体" w:hAnsi="黑体" w:eastAsia="黑体"/>
          <w:b w:val="0"/>
          <w:bCs w:val="0"/>
        </w:rPr>
        <w:t>2018年度部门决算情况说明</w:t>
      </w:r>
      <w:bookmarkEnd w:id="20"/>
      <w:bookmarkEnd w:id="21"/>
    </w:p>
    <w:p/>
    <w:p>
      <w:pPr>
        <w:pStyle w:val="25"/>
        <w:numPr>
          <w:ilvl w:val="0"/>
          <w:numId w:val="2"/>
        </w:numPr>
        <w:spacing w:line="600" w:lineRule="exact"/>
        <w:ind w:firstLineChars="0"/>
        <w:outlineLvl w:val="1"/>
        <w:rPr>
          <w:rStyle w:val="27"/>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2"/>
      <w:bookmarkEnd w:id="23"/>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2018年度收、支总计242</w:t>
      </w:r>
      <w:r>
        <w:rPr>
          <w:rFonts w:hint="eastAsia" w:ascii="仿宋" w:hAnsi="仿宋" w:eastAsia="仿宋"/>
          <w:color w:val="000000"/>
          <w:sz w:val="32"/>
          <w:szCs w:val="32"/>
          <w:lang w:val="en-US" w:eastAsia="zh-CN"/>
        </w:rPr>
        <w:t>.82</w:t>
      </w:r>
      <w:r>
        <w:rPr>
          <w:rFonts w:hint="eastAsia" w:ascii="仿宋" w:hAnsi="仿宋" w:eastAsia="仿宋"/>
          <w:color w:val="000000"/>
          <w:sz w:val="32"/>
          <w:szCs w:val="32"/>
        </w:rPr>
        <w:t>万元。与2017年相比，收、支总计各减少</w:t>
      </w:r>
      <w:r>
        <w:rPr>
          <w:rFonts w:hint="eastAsia" w:ascii="仿宋" w:hAnsi="仿宋" w:eastAsia="仿宋"/>
          <w:color w:val="000000"/>
          <w:sz w:val="32"/>
          <w:szCs w:val="32"/>
          <w:lang w:val="en-US" w:eastAsia="zh-CN"/>
        </w:rPr>
        <w:t>41.38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20.54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公务公车购买增加支出。</w:t>
      </w:r>
    </w:p>
    <w:p>
      <w:pPr>
        <w:spacing w:line="600" w:lineRule="exact"/>
        <w:ind w:firstLine="420" w:firstLineChars="200"/>
        <w:rPr>
          <w:rFonts w:hint="eastAsia" w:ascii="仿宋" w:hAnsi="仿宋" w:eastAsia="仿宋"/>
          <w:color w:val="000000"/>
          <w:sz w:val="32"/>
          <w:szCs w:val="32"/>
          <w:lang w:eastAsia="zh-CN"/>
        </w:rPr>
      </w:pPr>
      <w:r>
        <w:drawing>
          <wp:anchor distT="0" distB="0" distL="114300" distR="114300" simplePos="0" relativeHeight="251658240" behindDoc="0" locked="0" layoutInCell="1" allowOverlap="1">
            <wp:simplePos x="0" y="0"/>
            <wp:positionH relativeFrom="column">
              <wp:posOffset>242570</wp:posOffset>
            </wp:positionH>
            <wp:positionV relativeFrom="paragraph">
              <wp:posOffset>4445</wp:posOffset>
            </wp:positionV>
            <wp:extent cx="4572000" cy="2743200"/>
            <wp:effectExtent l="4445" t="4445" r="14605"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 xml:space="preserve">   </w:t>
      </w:r>
    </w:p>
    <w:p>
      <w:pPr>
        <w:spacing w:line="600" w:lineRule="exact"/>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5"/>
        <w:numPr>
          <w:ilvl w:val="0"/>
          <w:numId w:val="2"/>
        </w:numPr>
        <w:spacing w:line="600" w:lineRule="exact"/>
        <w:ind w:firstLineChars="0"/>
        <w:outlineLvl w:val="1"/>
        <w:rPr>
          <w:rStyle w:val="27"/>
          <w:rFonts w:ascii="黑体" w:hAnsi="黑体" w:eastAsia="黑体"/>
          <w:b w:val="0"/>
        </w:rPr>
      </w:pPr>
      <w:bookmarkStart w:id="24" w:name="_Toc15377206"/>
      <w:bookmarkStart w:id="25"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24"/>
      <w:bookmarkEnd w:id="25"/>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8年本年收入合计210</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25万元，其中：一般公共预算财政拨款收入210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99.98</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hint="eastAsia" w:ascii="仿宋" w:hAnsi="仿宋" w:eastAsia="仿宋"/>
          <w:color w:val="000000"/>
          <w:sz w:val="32"/>
          <w:szCs w:val="32"/>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left="1680" w:leftChars="100" w:hanging="1470" w:hangingChars="700"/>
        <w:rPr>
          <w:rFonts w:ascii="仿宋_GB2312" w:eastAsia="仿宋_GB2312"/>
          <w:color w:val="FF0000"/>
          <w:sz w:val="32"/>
          <w:szCs w:val="32"/>
        </w:rPr>
      </w:pPr>
      <w:r>
        <w:drawing>
          <wp:anchor distT="0" distB="0" distL="114300" distR="114300" simplePos="0" relativeHeight="251659264"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（图2：收入决算结构图）</w:t>
      </w:r>
    </w:p>
    <w:p>
      <w:pPr>
        <w:pStyle w:val="25"/>
        <w:numPr>
          <w:ilvl w:val="0"/>
          <w:numId w:val="2"/>
        </w:numPr>
        <w:spacing w:line="600" w:lineRule="exact"/>
        <w:ind w:firstLineChars="0"/>
        <w:outlineLvl w:val="1"/>
        <w:rPr>
          <w:rStyle w:val="27"/>
          <w:rFonts w:ascii="黑体" w:hAnsi="黑体" w:eastAsia="黑体"/>
          <w:b w:val="0"/>
        </w:rPr>
      </w:pPr>
      <w:bookmarkStart w:id="26" w:name="_Toc15396605"/>
      <w:bookmarkStart w:id="27"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26"/>
      <w:bookmarkEnd w:id="27"/>
    </w:p>
    <w:p>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8年本年支出合计242</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73万元，其中：基本支出210</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6</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86.80</w:t>
      </w:r>
      <w:r>
        <w:rPr>
          <w:rFonts w:ascii="仿宋" w:hAnsi="仿宋" w:eastAsia="仿宋"/>
          <w:color w:val="000000"/>
          <w:sz w:val="32"/>
          <w:szCs w:val="32"/>
        </w:rPr>
        <w:t>%</w:t>
      </w:r>
      <w:r>
        <w:rPr>
          <w:rFonts w:hint="eastAsia" w:ascii="仿宋" w:hAnsi="仿宋" w:eastAsia="仿宋"/>
          <w:color w:val="000000"/>
          <w:sz w:val="32"/>
          <w:szCs w:val="32"/>
        </w:rPr>
        <w:t>；项目支出32</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0</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13.2</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rPr>
          <w:rFonts w:hint="eastAsia" w:ascii="仿宋" w:hAnsi="仿宋" w:eastAsia="仿宋"/>
          <w:color w:val="000000"/>
          <w:sz w:val="32"/>
          <w:szCs w:val="32"/>
          <w:lang w:eastAsia="zh-CN"/>
        </w:rPr>
      </w:pPr>
      <w:r>
        <w:drawing>
          <wp:anchor distT="0" distB="0" distL="114300" distR="114300" simplePos="0" relativeHeight="251660288" behindDoc="0" locked="0" layoutInCell="1" allowOverlap="1">
            <wp:simplePos x="0" y="0"/>
            <wp:positionH relativeFrom="column">
              <wp:posOffset>153670</wp:posOffset>
            </wp:positionH>
            <wp:positionV relativeFrom="paragraph">
              <wp:posOffset>137795</wp:posOffset>
            </wp:positionV>
            <wp:extent cx="4572000" cy="2743200"/>
            <wp:effectExtent l="4445" t="4445" r="14605" b="14605"/>
            <wp:wrapSquare wrapText="bothSides"/>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1280" w:firstLineChars="4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7"/>
          <w:rFonts w:ascii="黑体" w:hAnsi="黑体" w:eastAsia="黑体"/>
          <w:b w:val="0"/>
        </w:rPr>
      </w:pPr>
      <w:bookmarkStart w:id="28" w:name="_Toc15377208"/>
      <w:bookmarkStart w:id="29"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28"/>
      <w:bookmarkEnd w:id="29"/>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8年财政拨款收、支总计242</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73万元。与</w:t>
      </w:r>
      <w:r>
        <w:rPr>
          <w:rFonts w:ascii="仿宋" w:hAnsi="仿宋" w:eastAsia="仿宋"/>
          <w:color w:val="000000"/>
          <w:sz w:val="32"/>
          <w:szCs w:val="32"/>
        </w:rPr>
        <w:t>201</w:t>
      </w:r>
      <w:r>
        <w:rPr>
          <w:rFonts w:hint="eastAsia" w:ascii="仿宋" w:hAnsi="仿宋" w:eastAsia="仿宋"/>
          <w:color w:val="000000"/>
          <w:sz w:val="32"/>
          <w:szCs w:val="32"/>
        </w:rPr>
        <w:t>7年相比，财政拨款收、支总计各增加</w:t>
      </w:r>
      <w:r>
        <w:rPr>
          <w:rFonts w:hint="eastAsia" w:ascii="仿宋" w:hAnsi="仿宋" w:eastAsia="仿宋"/>
          <w:color w:val="000000"/>
          <w:sz w:val="32"/>
          <w:szCs w:val="32"/>
          <w:lang w:val="en-US" w:eastAsia="zh-CN"/>
        </w:rPr>
        <w:t>41.32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20.52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单位公出用车购买增加收入及支出。</w:t>
      </w:r>
    </w:p>
    <w:p>
      <w:pPr>
        <w:spacing w:line="600" w:lineRule="exact"/>
        <w:ind w:firstLine="420" w:firstLineChars="200"/>
        <w:rPr>
          <w:rFonts w:hint="eastAsia" w:ascii="仿宋" w:hAnsi="仿宋" w:eastAsia="仿宋"/>
          <w:color w:val="000000"/>
          <w:sz w:val="32"/>
          <w:szCs w:val="32"/>
          <w:lang w:val="en-US" w:eastAsia="zh-CN"/>
        </w:rPr>
      </w:pPr>
      <w:r>
        <w:drawing>
          <wp:anchor distT="0" distB="0" distL="114300" distR="114300" simplePos="0" relativeHeight="251661312" behindDoc="0" locked="0" layoutInCell="1" allowOverlap="1">
            <wp:simplePos x="0" y="0"/>
            <wp:positionH relativeFrom="column">
              <wp:posOffset>290195</wp:posOffset>
            </wp:positionH>
            <wp:positionV relativeFrom="paragraph">
              <wp:posOffset>252095</wp:posOffset>
            </wp:positionV>
            <wp:extent cx="4572000" cy="2743200"/>
            <wp:effectExtent l="4445" t="4445" r="14605" b="14605"/>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7"/>
          <w:rFonts w:ascii="黑体" w:hAnsi="黑体" w:eastAsia="黑体"/>
          <w:b w:val="0"/>
        </w:rPr>
      </w:pPr>
      <w:bookmarkStart w:id="30" w:name="_Toc15377209"/>
      <w:bookmarkStart w:id="3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8年一般公共预算财政拨款支出242</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73万元，占本年支出合计的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46.47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23.68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本年增加公务公车购置支出。</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left="420" w:leftChars="200" w:firstLine="0" w:firstLineChars="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2336"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pPr>
        <w:spacing w:line="600" w:lineRule="exact"/>
        <w:ind w:firstLine="640"/>
        <w:rPr>
          <w:rFonts w:hint="eastAsia" w:ascii="仿宋" w:hAnsi="仿宋" w:eastAsia="仿宋"/>
          <w:b/>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政拨款支出242</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73万元，主要用于以下方面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支出200</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28万元，占</w:t>
      </w:r>
      <w:r>
        <w:rPr>
          <w:rFonts w:hint="eastAsia" w:ascii="仿宋" w:hAnsi="仿宋" w:eastAsia="仿宋"/>
          <w:color w:val="000000" w:themeColor="text1"/>
          <w:sz w:val="32"/>
          <w:szCs w:val="32"/>
          <w:lang w:val="en-US" w:eastAsia="zh-CN"/>
          <w14:textFill>
            <w14:solidFill>
              <w14:schemeClr w14:val="tx1"/>
            </w14:solidFill>
          </w14:textFill>
        </w:rPr>
        <w:t>82.51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支出20</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0</w:t>
      </w:r>
      <w:r>
        <w:rPr>
          <w:rFonts w:hint="eastAsia" w:ascii="仿宋" w:hAnsi="仿宋" w:eastAsia="仿宋"/>
          <w:color w:val="000000" w:themeColor="text1"/>
          <w:sz w:val="32"/>
          <w:szCs w:val="32"/>
          <w:lang w:val="en-US" w:eastAsia="zh-CN"/>
          <w14:textFill>
            <w14:solidFill>
              <w14:schemeClr w14:val="tx1"/>
            </w14:solidFill>
          </w14:textFill>
        </w:rPr>
        <w:t>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8.27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；医疗卫生支出4</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67万元，占</w:t>
      </w:r>
      <w:r>
        <w:rPr>
          <w:rFonts w:hint="eastAsia" w:ascii="仿宋" w:hAnsi="仿宋" w:eastAsia="仿宋"/>
          <w:color w:val="000000" w:themeColor="text1"/>
          <w:sz w:val="32"/>
          <w:szCs w:val="32"/>
          <w:lang w:val="en-US" w:eastAsia="zh-CN"/>
          <w14:textFill>
            <w14:solidFill>
              <w14:schemeClr w14:val="tx1"/>
            </w14:solidFill>
          </w14:textFill>
        </w:rPr>
        <w:t>1.92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住房保障支出</w:t>
      </w:r>
      <w:r>
        <w:rPr>
          <w:rFonts w:hint="eastAsia" w:ascii="仿宋" w:hAnsi="仿宋" w:eastAsia="仿宋"/>
          <w:b w:val="0"/>
          <w:bCs/>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2</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56万元，占</w:t>
      </w:r>
      <w:r>
        <w:rPr>
          <w:rFonts w:hint="eastAsia" w:ascii="仿宋" w:hAnsi="仿宋" w:eastAsia="仿宋"/>
          <w:color w:val="000000" w:themeColor="text1"/>
          <w:sz w:val="32"/>
          <w:szCs w:val="32"/>
          <w:lang w:val="en-US" w:eastAsia="zh-CN"/>
          <w14:textFill>
            <w14:solidFill>
              <w14:schemeClr w14:val="tx1"/>
            </w14:solidFill>
          </w14:textFill>
        </w:rPr>
        <w:t>5.17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eastAsia="zh-CN"/>
          <w14:textFill>
            <w14:solidFill>
              <w14:schemeClr w14:val="tx1"/>
            </w14:solidFill>
          </w14:textFill>
        </w:rPr>
        <w:t>5</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15，</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2.13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（罗列全部功能分类科目，至类级。）</w:t>
      </w:r>
    </w:p>
    <w:p>
      <w:pPr>
        <w:spacing w:line="600" w:lineRule="exact"/>
        <w:ind w:firstLine="640"/>
        <w:rPr>
          <w:rFonts w:hint="eastAsia" w:ascii="仿宋" w:hAnsi="仿宋" w:eastAsia="仿宋"/>
          <w:b/>
          <w:color w:val="000000" w:themeColor="text1"/>
          <w:sz w:val="32"/>
          <w:szCs w:val="32"/>
          <w14:textFill>
            <w14:solidFill>
              <w14:schemeClr w14:val="tx1"/>
            </w14:solidFill>
          </w14:textFill>
        </w:rPr>
      </w:pPr>
      <w:r>
        <w:drawing>
          <wp:anchor distT="0" distB="0" distL="114300" distR="114300" simplePos="0" relativeHeight="251663360" behindDoc="0" locked="0" layoutInCell="1" allowOverlap="1">
            <wp:simplePos x="0" y="0"/>
            <wp:positionH relativeFrom="column">
              <wp:posOffset>706120</wp:posOffset>
            </wp:positionH>
            <wp:positionV relativeFrom="paragraph">
              <wp:posOffset>175895</wp:posOffset>
            </wp:positionV>
            <wp:extent cx="3905885" cy="1543050"/>
            <wp:effectExtent l="4445" t="5080" r="13970" b="13970"/>
            <wp:wrapSquare wrapText="bothSides"/>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hint="eastAsia" w:ascii="仿宋" w:hAnsi="仿宋" w:eastAsia="仿宋"/>
          <w:b/>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pPr>
        <w:spacing w:line="600" w:lineRule="exact"/>
        <w:ind w:firstLine="643" w:firstLineChars="200"/>
        <w:outlineLvl w:val="2"/>
        <w:rPr>
          <w:rFonts w:ascii="仿宋" w:hAnsi="仿宋" w:eastAsia="仿宋"/>
          <w:color w:val="FF0000"/>
          <w:sz w:val="32"/>
          <w:szCs w:val="32"/>
        </w:rPr>
      </w:pPr>
      <w:bookmarkStart w:id="35" w:name="_Toc15377213"/>
      <w:bookmarkStart w:id="36" w:name="_Toc15377444"/>
      <w:bookmarkStart w:id="37" w:name="_Toc15378460"/>
      <w:r>
        <w:rPr>
          <w:rFonts w:hint="eastAsia" w:ascii="仿宋" w:hAnsi="仿宋" w:eastAsia="仿宋"/>
          <w:b/>
          <w:color w:val="000000" w:themeColor="text1"/>
          <w:sz w:val="32"/>
          <w:szCs w:val="32"/>
          <w14:textFill>
            <w14:solidFill>
              <w14:schemeClr w14:val="tx1"/>
            </w14:solidFill>
          </w14:textFill>
        </w:rPr>
        <w:t>2</w:t>
      </w:r>
      <w:bookmarkEnd w:id="35"/>
      <w:bookmarkEnd w:id="36"/>
      <w:bookmarkEnd w:id="37"/>
      <w:r>
        <w:rPr>
          <w:rFonts w:hint="eastAsia" w:ascii="仿宋" w:hAnsi="仿宋" w:eastAsia="仿宋"/>
          <w:b/>
          <w:color w:val="000000" w:themeColor="text1"/>
          <w:sz w:val="32"/>
          <w:szCs w:val="32"/>
          <w14:textFill>
            <w14:solidFill>
              <w14:schemeClr w14:val="tx1"/>
            </w14:solidFill>
          </w14:textFill>
        </w:rPr>
        <w:t>018年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般公共预算支出决算数为242</w:t>
      </w:r>
      <w:r>
        <w:rPr>
          <w:rFonts w:hint="eastAsia" w:ascii="仿宋" w:hAnsi="仿宋" w:eastAsia="仿宋"/>
          <w:b/>
          <w:color w:val="000000" w:themeColor="text1"/>
          <w:sz w:val="32"/>
          <w:szCs w:val="32"/>
          <w:lang w:val="en-US"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8</w:t>
      </w: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p>
    <w:p>
      <w:pPr>
        <w:numPr>
          <w:ilvl w:val="0"/>
          <w:numId w:val="3"/>
        </w:num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rPr>
        <w:t>一般公共服务（类）民族事务（款）其他民族事务支出（项）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200.28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numPr>
          <w:ilvl w:val="0"/>
          <w:numId w:val="3"/>
        </w:num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rPr>
        <w:t>一般公共服务（类</w:t>
      </w:r>
      <w:r>
        <w:rPr>
          <w:rStyle w:val="15"/>
          <w:rFonts w:hint="eastAsia" w:ascii="仿宋" w:hAnsi="仿宋" w:eastAsia="仿宋"/>
          <w:bCs/>
          <w:color w:val="000000"/>
          <w:sz w:val="32"/>
          <w:szCs w:val="32"/>
          <w:lang w:eastAsia="zh-CN"/>
        </w:rPr>
        <w:t>）宗教</w:t>
      </w:r>
      <w:r>
        <w:rPr>
          <w:rStyle w:val="15"/>
          <w:rFonts w:hint="eastAsia" w:ascii="仿宋" w:hAnsi="仿宋" w:eastAsia="仿宋"/>
          <w:bCs/>
          <w:color w:val="000000"/>
          <w:sz w:val="32"/>
          <w:szCs w:val="32"/>
        </w:rPr>
        <w:t>事务（款）宗教工作专项（项）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numPr>
          <w:ilvl w:val="0"/>
          <w:numId w:val="3"/>
        </w:numPr>
        <w:spacing w:line="600" w:lineRule="exact"/>
        <w:ind w:left="0" w:leftChars="0"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rPr>
        <w:t>社会保障和就业（类）行政事业单位离退休（款）机关事业单位基本养老保险缴费支出（项）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支出决算为2</w:t>
      </w:r>
      <w:r>
        <w:rPr>
          <w:rStyle w:val="15"/>
          <w:rFonts w:hint="eastAsia" w:ascii="仿宋" w:hAnsi="仿宋" w:eastAsia="仿宋"/>
          <w:b w:val="0"/>
          <w:bCs/>
          <w:color w:val="000000"/>
          <w:sz w:val="32"/>
          <w:szCs w:val="32"/>
          <w:lang w:val="en-US" w:eastAsia="zh-CN"/>
        </w:rPr>
        <w:t>0.07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numPr>
          <w:ilvl w:val="0"/>
          <w:numId w:val="3"/>
        </w:numPr>
        <w:spacing w:line="600" w:lineRule="exact"/>
        <w:ind w:left="0" w:leftChars="0"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农林水支出（类）扶贫（款）农村基础设施建设（项）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5.15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numPr>
          <w:ilvl w:val="0"/>
          <w:numId w:val="3"/>
        </w:numPr>
        <w:spacing w:line="600" w:lineRule="exact"/>
        <w:ind w:left="0" w:leftChars="0" w:firstLine="643" w:firstLineChars="200"/>
        <w:rPr>
          <w:rFonts w:ascii="仿宋" w:hAnsi="仿宋" w:eastAsia="仿宋"/>
          <w:b/>
          <w:color w:val="000000"/>
          <w:sz w:val="32"/>
          <w:szCs w:val="32"/>
        </w:rPr>
      </w:pPr>
      <w:r>
        <w:rPr>
          <w:rStyle w:val="15"/>
          <w:rFonts w:hint="eastAsia" w:ascii="仿宋" w:hAnsi="仿宋" w:eastAsia="仿宋"/>
          <w:bCs/>
          <w:color w:val="000000"/>
          <w:sz w:val="32"/>
          <w:szCs w:val="32"/>
        </w:rPr>
        <w:t>住房保障支出（类）住房改革支出（款）住房公积金（项）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12.56</w:t>
      </w:r>
      <w:r>
        <w:rPr>
          <w:rStyle w:val="15"/>
          <w:rFonts w:hint="eastAsia" w:ascii="仿宋" w:hAnsi="仿宋" w:eastAsia="仿宋"/>
          <w:b w:val="0"/>
          <w:bCs/>
          <w:color w:val="000000"/>
          <w:sz w:val="32"/>
          <w:szCs w:val="32"/>
        </w:rPr>
        <w:t>万元，完成预算</w:t>
      </w:r>
      <w:r>
        <w:rPr>
          <w:rStyle w:val="15"/>
          <w:rFonts w:ascii="仿宋" w:hAnsi="仿宋" w:eastAsia="仿宋"/>
          <w:b w:val="0"/>
          <w:bCs/>
          <w:color w:val="000000"/>
          <w:sz w:val="32"/>
          <w:szCs w:val="32"/>
        </w:rPr>
        <w:t>100%</w:t>
      </w:r>
      <w:r>
        <w:rPr>
          <w:rStyle w:val="15"/>
          <w:rFonts w:hint="eastAsia" w:ascii="仿宋" w:hAnsi="仿宋" w:eastAsia="仿宋"/>
          <w:b w:val="0"/>
          <w:bCs/>
          <w:color w:val="000000"/>
          <w:sz w:val="32"/>
          <w:szCs w:val="32"/>
        </w:rPr>
        <w:t>，</w:t>
      </w:r>
      <w:r>
        <w:rPr>
          <w:rFonts w:hint="eastAsia" w:ascii="仿宋" w:hAnsi="仿宋" w:eastAsia="仿宋"/>
          <w:bCs/>
          <w:color w:val="000000"/>
          <w:sz w:val="32"/>
          <w:szCs w:val="32"/>
        </w:rPr>
        <w:t>完成预算</w:t>
      </w:r>
      <w:r>
        <w:rPr>
          <w:rFonts w:hint="eastAsia" w:ascii="仿宋" w:hAnsi="仿宋" w:eastAsia="仿宋"/>
          <w:bCs/>
          <w:color w:val="000000"/>
          <w:sz w:val="32"/>
          <w:szCs w:val="32"/>
          <w:lang w:val="en-US" w:eastAsia="zh-CN"/>
        </w:rPr>
        <w:t>100</w:t>
      </w:r>
      <w:r>
        <w:rPr>
          <w:rFonts w:ascii="仿宋" w:hAnsi="仿宋" w:eastAsia="仿宋"/>
          <w:bCs/>
          <w:color w:val="000000"/>
          <w:sz w:val="32"/>
          <w:szCs w:val="32"/>
        </w:rPr>
        <w:t>%</w:t>
      </w:r>
      <w:r>
        <w:rPr>
          <w:rFonts w:hint="eastAsia" w:ascii="仿宋" w:hAnsi="仿宋" w:eastAsia="仿宋"/>
          <w:bCs/>
          <w:color w:val="000000"/>
          <w:sz w:val="32"/>
          <w:szCs w:val="32"/>
          <w:lang w:eastAsia="zh-CN"/>
        </w:rPr>
        <w:t>。</w:t>
      </w:r>
    </w:p>
    <w:p>
      <w:pPr>
        <w:spacing w:line="600" w:lineRule="exact"/>
        <w:rPr>
          <w:rFonts w:ascii="仿宋" w:hAnsi="仿宋" w:eastAsia="仿宋"/>
          <w:b/>
          <w:color w:val="000000"/>
          <w:sz w:val="32"/>
          <w:szCs w:val="32"/>
        </w:rPr>
      </w:pPr>
    </w:p>
    <w:p>
      <w:pPr>
        <w:tabs>
          <w:tab w:val="right" w:pos="8306"/>
        </w:tabs>
        <w:spacing w:line="600" w:lineRule="exact"/>
        <w:ind w:firstLine="640"/>
        <w:outlineLvl w:val="1"/>
        <w:rPr>
          <w:rStyle w:val="27"/>
        </w:rPr>
      </w:pPr>
      <w:bookmarkStart w:id="38" w:name="_Toc15377214"/>
      <w:bookmarkStart w:id="39"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38"/>
      <w:bookmarkEnd w:id="39"/>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8年一般公共预算财政拨款基本支出210</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6</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人员经费144</w:t>
      </w:r>
      <w:r>
        <w:rPr>
          <w:rFonts w:hint="eastAsia" w:ascii="仿宋" w:hAnsi="仿宋" w:eastAsia="仿宋"/>
          <w:color w:val="000000"/>
          <w:sz w:val="32"/>
          <w:szCs w:val="32"/>
          <w:lang w:val="en-US" w:eastAsia="zh-CN"/>
        </w:rPr>
        <w:t>.90</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公用经费65</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7</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7"/>
          <w:rFonts w:ascii="黑体" w:hAnsi="黑体" w:eastAsia="黑体"/>
          <w:b w:val="0"/>
        </w:rPr>
      </w:pPr>
      <w:bookmarkStart w:id="40" w:name="_Toc15396609"/>
      <w:bookmarkStart w:id="41"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0"/>
      <w:bookmarkEnd w:id="41"/>
    </w:p>
    <w:p>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8年“三公”经费财政拨款支出决算为7</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88万元，完成预算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bookmarkStart w:id="43" w:name="_Toc15377217"/>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43"/>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7.64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96.95</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3.05</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410845</wp:posOffset>
            </wp:positionH>
            <wp:positionV relativeFrom="paragraph">
              <wp:posOffset>-2453005</wp:posOffset>
            </wp:positionV>
            <wp:extent cx="4572000" cy="1971675"/>
            <wp:effectExtent l="4445" t="4445" r="14605" b="5080"/>
            <wp:wrapSquare wrapText="bothSides"/>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left="1590" w:leftChars="608" w:hanging="313" w:hangingChars="98"/>
        <w:rPr>
          <w:rFonts w:hint="eastAsia" w:ascii="仿宋" w:hAnsi="仿宋" w:eastAsia="仿宋"/>
          <w:color w:val="000000"/>
          <w:sz w:val="32"/>
          <w:szCs w:val="32"/>
        </w:rPr>
      </w:pPr>
      <w:r>
        <w:rPr>
          <w:rFonts w:hint="eastAsia" w:ascii="仿宋" w:hAnsi="仿宋" w:eastAsia="仿宋"/>
          <w:color w:val="000000"/>
          <w:sz w:val="32"/>
          <w:szCs w:val="32"/>
        </w:rPr>
        <w:t>（图8：</w:t>
      </w:r>
      <w:r>
        <w:rPr>
          <w:rFonts w:hint="eastAsia" w:ascii="仿宋" w:hAnsi="仿宋" w:eastAsia="仿宋"/>
          <w:color w:val="000000"/>
          <w:sz w:val="32"/>
          <w:szCs w:val="32"/>
          <w:lang w:eastAsia="zh-CN"/>
        </w:rPr>
        <w:t>（</w:t>
      </w:r>
      <w:r>
        <w:rPr>
          <w:rFonts w:hint="eastAsia" w:ascii="仿宋" w:hAnsi="仿宋" w:eastAsia="仿宋"/>
          <w:color w:val="000000"/>
          <w:sz w:val="32"/>
          <w:szCs w:val="32"/>
        </w:rPr>
        <w:t>“三公”经费财政拨款支出结构）</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lang w:val="en-US" w:eastAsia="zh-CN"/>
        </w:rPr>
        <w:t>7.64</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2.59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51.29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单位公车变更，燃油量上升</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color w:val="000000"/>
          <w:sz w:val="32"/>
          <w:szCs w:val="32"/>
          <w:lang w:val="en-US" w:eastAsia="zh-CN"/>
        </w:rPr>
        <w:t>7.64</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寺庙宗教事务工作开展</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0.24</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0.24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开展我委辖区寺庙僧人培训</w:t>
      </w:r>
      <w:r>
        <w:rPr>
          <w:rFonts w:hint="eastAsia" w:ascii="仿宋_GB2312" w:eastAsia="仿宋_GB2312"/>
          <w:color w:val="000000"/>
          <w:sz w:val="32"/>
          <w:szCs w:val="32"/>
        </w:rPr>
        <w:t>。</w:t>
      </w:r>
    </w:p>
    <w:p>
      <w:pPr>
        <w:spacing w:line="600" w:lineRule="exact"/>
        <w:ind w:firstLine="640"/>
        <w:outlineLvl w:val="1"/>
        <w:rPr>
          <w:rStyle w:val="27"/>
          <w:rFonts w:ascii="黑体" w:hAnsi="黑体" w:eastAsia="黑体"/>
        </w:rPr>
      </w:pPr>
      <w:bookmarkStart w:id="44" w:name="_Toc15377218"/>
      <w:bookmarkStart w:id="45" w:name="_Toc15396610"/>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4"/>
        </w:numPr>
        <w:spacing w:line="600" w:lineRule="exact"/>
        <w:ind w:firstLine="640"/>
        <w:outlineLvl w:val="1"/>
        <w:rPr>
          <w:rStyle w:val="27"/>
          <w:rFonts w:ascii="黑体" w:hAnsi="黑体" w:eastAsia="黑体"/>
          <w:b w:val="0"/>
        </w:rPr>
      </w:pPr>
      <w:bookmarkStart w:id="46" w:name="_Toc15377219"/>
      <w:bookmarkStart w:id="47" w:name="_Toc15396611"/>
      <w:r>
        <w:rPr>
          <w:rStyle w:val="27"/>
          <w:rFonts w:hint="eastAsia" w:ascii="黑体" w:hAnsi="黑体" w:eastAsia="黑体"/>
          <w:b w:val="0"/>
        </w:rPr>
        <w:t>国有资本经营预算支出决算情况说明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5"/>
        <w:numPr>
          <w:ilvl w:val="0"/>
          <w:numId w:val="5"/>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6"/>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本部门按要求对2018年部门整体支出开展绩效自评，从评价情况来看我局严格按照预算进行部门整体支出，始终坚持先有预算、后有执行、监督贯穿全程。本部门还自行组织了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个项目绩效评价，从评价情况来看项目满意度指标良好。</w:t>
      </w:r>
    </w:p>
    <w:p>
      <w:pPr>
        <w:numPr>
          <w:ilvl w:val="0"/>
          <w:numId w:val="6"/>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eastAsia="zh-CN"/>
        </w:rPr>
        <w:t>辖区民管会补助</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“劝返僧人生活补助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辖区民管会补助</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11.35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11.35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辖区</w:t>
      </w:r>
      <w:r>
        <w:rPr>
          <w:rFonts w:hint="eastAsia" w:ascii="仿宋_GB2312" w:hAnsi="仿宋_GB2312" w:eastAsia="仿宋_GB2312" w:cs="仿宋_GB2312"/>
          <w:sz w:val="32"/>
          <w:szCs w:val="32"/>
          <w:lang w:val="en-US" w:eastAsia="zh-CN"/>
        </w:rPr>
        <w:t>7座寺庙民管会班子成员基础经费。提高了寺庙工作质量。</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劝返僧人生活补助</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辖区劝返</w:t>
      </w:r>
      <w:r>
        <w:rPr>
          <w:rFonts w:hint="eastAsia" w:ascii="仿宋_GB2312" w:hAnsi="仿宋_GB2312" w:eastAsia="仿宋_GB2312" w:cs="仿宋_GB2312"/>
          <w:sz w:val="32"/>
          <w:szCs w:val="32"/>
          <w:lang w:val="en-US" w:eastAsia="zh-CN"/>
        </w:rPr>
        <w:t>17名僧人基础生活补助，完成劝返承诺。</w:t>
      </w:r>
    </w:p>
    <w:tbl>
      <w:tblPr>
        <w:tblStyle w:val="17"/>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lang w:eastAsia="zh-CN"/>
              </w:rPr>
              <w:t>辖区民管会补助</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壤塘县三郎寺寺庙管理委员会</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11.35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11.35</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11.35</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保障民管会班子成员基本工作补助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保障民管会班子成员基本工作补助</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为辖区</w:t>
            </w:r>
            <w:r>
              <w:rPr>
                <w:rFonts w:hint="eastAsia" w:ascii="宋体" w:hAnsi="宋体" w:cs="宋体"/>
                <w:color w:val="000000"/>
                <w:sz w:val="24"/>
                <w:lang w:val="en-US" w:eastAsia="zh-CN"/>
              </w:rPr>
              <w:t>7座寺庙民管会成员发放补助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为辖区</w:t>
            </w:r>
            <w:r>
              <w:rPr>
                <w:rFonts w:hint="eastAsia" w:ascii="宋体" w:hAnsi="宋体" w:cs="宋体"/>
                <w:color w:val="000000"/>
                <w:sz w:val="24"/>
                <w:lang w:val="en-US" w:eastAsia="zh-CN"/>
              </w:rPr>
              <w:t>7座寺庙民管会成员发放补助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为辖区</w:t>
            </w:r>
            <w:r>
              <w:rPr>
                <w:rFonts w:hint="eastAsia" w:ascii="宋体" w:hAnsi="宋体" w:cs="宋体"/>
                <w:color w:val="000000"/>
                <w:sz w:val="24"/>
                <w:lang w:val="en-US" w:eastAsia="zh-CN"/>
              </w:rPr>
              <w:t>7座寺庙民管会成员发放补助</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障民管会班子成员基本工作补助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障民管会班子成员基本工作补助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障民管会班子成员基本工作补助</w:t>
            </w:r>
          </w:p>
        </w:tc>
      </w:tr>
    </w:tbl>
    <w:p>
      <w:pPr>
        <w:rPr>
          <w:rFonts w:ascii="Calibri" w:hAnsi="Calibri"/>
        </w:rPr>
      </w:pPr>
    </w:p>
    <w:tbl>
      <w:tblPr>
        <w:tblStyle w:val="17"/>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黑体" w:hAnsi="黑体" w:eastAsia="黑体" w:cs="宋体"/>
                <w:bCs/>
                <w:color w:val="000000"/>
                <w:kern w:val="0"/>
                <w:sz w:val="36"/>
                <w:szCs w:val="36"/>
                <w:lang w:eastAsia="zh-CN"/>
              </w:rPr>
              <w:t>二</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lang w:eastAsia="zh-CN"/>
              </w:rPr>
              <w:t>劝返僧人生活补助</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壤塘县三郎寺寺庙管理委员会</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34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34</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34</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rPr>
              <w:t>保障</w:t>
            </w:r>
            <w:r>
              <w:rPr>
                <w:rFonts w:hint="eastAsia" w:ascii="宋体" w:hAnsi="宋体" w:cs="宋体"/>
                <w:color w:val="000000"/>
                <w:kern w:val="0"/>
                <w:sz w:val="24"/>
                <w:lang w:eastAsia="zh-CN"/>
              </w:rPr>
              <w:t>辖区劝返</w:t>
            </w:r>
            <w:r>
              <w:rPr>
                <w:rFonts w:hint="eastAsia" w:ascii="宋体" w:hAnsi="宋体" w:cs="宋体"/>
                <w:color w:val="000000"/>
                <w:kern w:val="0"/>
                <w:sz w:val="24"/>
                <w:lang w:val="en-US" w:eastAsia="zh-CN"/>
              </w:rPr>
              <w:t>17名僧人基础生活补助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保障</w:t>
            </w:r>
            <w:r>
              <w:rPr>
                <w:rFonts w:hint="eastAsia" w:ascii="宋体" w:hAnsi="宋体" w:cs="宋体"/>
                <w:color w:val="000000"/>
                <w:kern w:val="0"/>
                <w:sz w:val="24"/>
                <w:lang w:eastAsia="zh-CN"/>
              </w:rPr>
              <w:t>辖区劝返</w:t>
            </w:r>
            <w:r>
              <w:rPr>
                <w:rFonts w:hint="eastAsia" w:ascii="宋体" w:hAnsi="宋体" w:cs="宋体"/>
                <w:color w:val="000000"/>
                <w:kern w:val="0"/>
                <w:sz w:val="24"/>
                <w:lang w:val="en-US" w:eastAsia="zh-CN"/>
              </w:rPr>
              <w:t>17名僧人基础生活补助</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为辖区</w:t>
            </w:r>
            <w:r>
              <w:rPr>
                <w:rFonts w:hint="eastAsia" w:ascii="宋体" w:hAnsi="宋体" w:cs="宋体"/>
                <w:color w:val="000000"/>
                <w:kern w:val="0"/>
                <w:sz w:val="24"/>
                <w:lang w:val="en-US" w:eastAsia="zh-CN"/>
              </w:rPr>
              <w:t>17名劝返僧人发放生活补助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为辖区</w:t>
            </w:r>
            <w:r>
              <w:rPr>
                <w:rFonts w:hint="eastAsia" w:ascii="宋体" w:hAnsi="宋体" w:cs="宋体"/>
                <w:color w:val="000000"/>
                <w:kern w:val="0"/>
                <w:sz w:val="24"/>
                <w:lang w:val="en-US" w:eastAsia="zh-CN"/>
              </w:rPr>
              <w:t>17名劝返僧人发放生活补助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为辖区</w:t>
            </w:r>
            <w:r>
              <w:rPr>
                <w:rFonts w:hint="eastAsia" w:ascii="宋体" w:hAnsi="宋体" w:cs="宋体"/>
                <w:color w:val="000000"/>
                <w:kern w:val="0"/>
                <w:sz w:val="24"/>
                <w:lang w:val="en-US" w:eastAsia="zh-CN"/>
              </w:rPr>
              <w:t>17名劝返僧人发放生活补助</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为辖区</w:t>
            </w:r>
            <w:r>
              <w:rPr>
                <w:rFonts w:hint="eastAsia" w:ascii="宋体" w:hAnsi="宋体" w:cs="宋体"/>
                <w:color w:val="000000"/>
                <w:kern w:val="0"/>
                <w:sz w:val="24"/>
                <w:lang w:val="en-US" w:eastAsia="zh-CN"/>
              </w:rPr>
              <w:t>17名劝返僧人发放生活补助</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为辖区</w:t>
            </w:r>
            <w:r>
              <w:rPr>
                <w:rFonts w:hint="eastAsia" w:ascii="宋体" w:hAnsi="宋体" w:cs="宋体"/>
                <w:color w:val="000000"/>
                <w:kern w:val="0"/>
                <w:sz w:val="24"/>
                <w:lang w:val="en-US" w:eastAsia="zh-CN"/>
              </w:rPr>
              <w:t>17名劝返僧人发放生活补助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为辖区</w:t>
            </w:r>
            <w:r>
              <w:rPr>
                <w:rFonts w:hint="eastAsia" w:ascii="宋体" w:hAnsi="宋体" w:cs="宋体"/>
                <w:color w:val="000000"/>
                <w:kern w:val="0"/>
                <w:sz w:val="24"/>
                <w:lang w:val="en-US" w:eastAsia="zh-CN"/>
              </w:rPr>
              <w:t>17名劝返僧人发放生活补助</w:t>
            </w:r>
          </w:p>
        </w:tc>
      </w:tr>
    </w:tbl>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numPr>
          <w:ilvl w:val="0"/>
          <w:numId w:val="6"/>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壤塘县三郎寺寺庙管理委员会</w:t>
      </w:r>
      <w:r>
        <w:rPr>
          <w:rFonts w:hint="eastAsia" w:ascii="仿宋_GB2312" w:hAnsi="仿宋_GB2312" w:eastAsia="仿宋_GB2312" w:cs="仿宋_GB2312"/>
          <w:sz w:val="32"/>
          <w:szCs w:val="32"/>
        </w:rPr>
        <w:t>部门2018年部门整体支出绩效评价报告》见附件。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辖区民管会补助</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劝返僧人生活补助</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辖区民管会补助</w:t>
      </w:r>
      <w:r>
        <w:rPr>
          <w:rFonts w:hint="eastAsia" w:ascii="仿宋_GB2312" w:hAnsi="仿宋_GB2312" w:eastAsia="仿宋_GB2312" w:cs="仿宋_GB2312"/>
          <w:sz w:val="32"/>
          <w:szCs w:val="32"/>
        </w:rPr>
        <w:t>项目2018年绩效评价报告》《</w:t>
      </w:r>
      <w:r>
        <w:rPr>
          <w:rFonts w:hint="eastAsia" w:ascii="仿宋_GB2312" w:hAnsi="仿宋_GB2312" w:eastAsia="仿宋_GB2312" w:cs="仿宋_GB2312"/>
          <w:sz w:val="32"/>
          <w:szCs w:val="32"/>
          <w:lang w:eastAsia="zh-CN"/>
        </w:rPr>
        <w:t>劝返僧人生活补助</w:t>
      </w:r>
      <w:r>
        <w:rPr>
          <w:rFonts w:hint="eastAsia" w:ascii="仿宋_GB2312" w:hAnsi="仿宋_GB2312" w:eastAsia="仿宋_GB2312" w:cs="仿宋_GB2312"/>
          <w:sz w:val="32"/>
          <w:szCs w:val="32"/>
        </w:rPr>
        <w:t>项目2018年绩效评价报告》见附件。</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48" w:name="_Toc15396612"/>
      <w:bookmarkStart w:id="49" w:name="_Toc15377221"/>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48"/>
      <w:bookmarkEnd w:id="49"/>
    </w:p>
    <w:p>
      <w:pPr>
        <w:spacing w:line="600" w:lineRule="exact"/>
        <w:ind w:firstLine="643" w:firstLineChars="200"/>
        <w:outlineLvl w:val="2"/>
        <w:rPr>
          <w:rFonts w:ascii="仿宋" w:hAnsi="仿宋" w:eastAsia="仿宋"/>
          <w:color w:val="000000"/>
          <w:sz w:val="32"/>
          <w:szCs w:val="32"/>
        </w:rPr>
      </w:pPr>
      <w:bookmarkStart w:id="50" w:name="_Toc15377222"/>
      <w:r>
        <w:rPr>
          <w:rFonts w:hint="eastAsia" w:ascii="仿宋" w:hAnsi="仿宋" w:eastAsia="仿宋"/>
          <w:b/>
          <w:color w:val="000000"/>
          <w:sz w:val="32"/>
          <w:szCs w:val="32"/>
        </w:rPr>
        <w:t>（一）机关运行经费支出情况</w:t>
      </w:r>
      <w:bookmarkEnd w:id="50"/>
    </w:p>
    <w:p>
      <w:pPr>
        <w:spacing w:line="600"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壤塘县三郎寺寺庙管理委员会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65.79</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39.47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上涨</w:t>
      </w:r>
      <w:r>
        <w:rPr>
          <w:rFonts w:hint="eastAsia" w:ascii="仿宋_GB2312" w:eastAsia="仿宋_GB2312"/>
          <w:color w:val="000000"/>
          <w:sz w:val="32"/>
          <w:szCs w:val="32"/>
          <w:lang w:val="en-US" w:eastAsia="zh-CN"/>
        </w:rPr>
        <w:t>149.96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18年人员变动。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1" w:name="_Toc15377223"/>
      <w:r>
        <w:rPr>
          <w:rFonts w:hint="eastAsia" w:ascii="仿宋" w:hAnsi="仿宋" w:eastAsia="仿宋"/>
          <w:b/>
          <w:color w:val="000000"/>
          <w:sz w:val="32"/>
          <w:szCs w:val="32"/>
        </w:rPr>
        <w:t>（二）政府采购支出情况</w:t>
      </w:r>
      <w:bookmarkEnd w:id="51"/>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2</w:t>
      </w:r>
      <w:r>
        <w:rPr>
          <w:rFonts w:ascii="仿宋_GB2312" w:eastAsia="仿宋_GB2312"/>
          <w:color w:val="000000"/>
          <w:sz w:val="32"/>
          <w:szCs w:val="32"/>
        </w:rPr>
        <w:t>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壤塘县三郎寺寺庙管理委员会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4"/>
      <w:r>
        <w:rPr>
          <w:rFonts w:hint="eastAsia" w:ascii="仿宋" w:hAnsi="仿宋" w:eastAsia="仿宋"/>
          <w:b/>
          <w:color w:val="000000"/>
          <w:sz w:val="32"/>
          <w:szCs w:val="32"/>
        </w:rPr>
        <w:t>（三）国有资产占有使用情况</w:t>
      </w:r>
      <w:bookmarkEnd w:id="52"/>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壤塘县三郎寺寺庙管理委员会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辆，其中：一般执法执勤用车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8"/>
        </w:numPr>
        <w:spacing w:line="600" w:lineRule="exact"/>
        <w:ind w:firstLine="663" w:firstLineChars="150"/>
        <w:jc w:val="center"/>
        <w:outlineLvl w:val="0"/>
        <w:rPr>
          <w:rStyle w:val="26"/>
          <w:rFonts w:ascii="黑体" w:hAnsi="黑体" w:eastAsia="黑体"/>
          <w:b w:val="0"/>
        </w:rPr>
      </w:pPr>
      <w:bookmarkStart w:id="53" w:name="_Toc15377225"/>
      <w:bookmarkStart w:id="54" w:name="_Toc15396613"/>
      <w:r>
        <w:rPr>
          <w:rFonts w:hint="eastAsia" w:ascii="黑体" w:hAnsi="黑体" w:eastAsia="黑体"/>
          <w:b/>
          <w:color w:val="000000"/>
          <w:sz w:val="44"/>
          <w:szCs w:val="44"/>
        </w:rPr>
        <w:t>名</w:t>
      </w:r>
      <w:r>
        <w:rPr>
          <w:rStyle w:val="26"/>
          <w:rFonts w:hint="eastAsia" w:ascii="黑体" w:hAnsi="黑体" w:eastAsia="黑体"/>
          <w:b w:val="0"/>
        </w:rPr>
        <w:t>词解释</w:t>
      </w:r>
      <w:bookmarkEnd w:id="53"/>
      <w:bookmarkEnd w:id="54"/>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其他收入：其他收入：指单位取得的除上述收入以外的各项收入。主要是利息收入等。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ind w:firstLine="640" w:firstLineChars="200"/>
        <w:rPr>
          <w:rStyle w:val="15"/>
          <w:rFonts w:hint="eastAsia" w:ascii="仿宋" w:hAnsi="仿宋" w:eastAsia="仿宋"/>
          <w:b w:val="0"/>
          <w:bCs w:val="0"/>
          <w:color w:val="000000"/>
          <w:sz w:val="32"/>
          <w:szCs w:val="32"/>
          <w:lang w:eastAsia="zh-CN"/>
        </w:rPr>
      </w:pPr>
      <w:r>
        <w:rPr>
          <w:rFonts w:ascii="仿宋_GB2312" w:eastAsia="仿宋_GB2312"/>
          <w:color w:val="000000"/>
          <w:sz w:val="32"/>
          <w:szCs w:val="32"/>
        </w:rPr>
        <w:t>9.</w:t>
      </w:r>
      <w:r>
        <w:rPr>
          <w:rStyle w:val="15"/>
          <w:rFonts w:hint="eastAsia" w:ascii="仿宋" w:hAnsi="仿宋" w:eastAsia="仿宋"/>
          <w:b w:val="0"/>
          <w:bCs w:val="0"/>
          <w:color w:val="000000"/>
          <w:sz w:val="32"/>
          <w:szCs w:val="32"/>
        </w:rPr>
        <w:t>一般公共服务（类</w:t>
      </w:r>
      <w:r>
        <w:rPr>
          <w:rStyle w:val="15"/>
          <w:rFonts w:hint="eastAsia" w:ascii="仿宋" w:hAnsi="仿宋" w:eastAsia="仿宋"/>
          <w:b w:val="0"/>
          <w:bCs w:val="0"/>
          <w:color w:val="000000"/>
          <w:sz w:val="32"/>
          <w:szCs w:val="32"/>
          <w:lang w:eastAsia="zh-CN"/>
        </w:rPr>
        <w:t>）宗教</w:t>
      </w:r>
      <w:r>
        <w:rPr>
          <w:rStyle w:val="15"/>
          <w:rFonts w:hint="eastAsia" w:ascii="仿宋" w:hAnsi="仿宋" w:eastAsia="仿宋"/>
          <w:b w:val="0"/>
          <w:bCs w:val="0"/>
          <w:color w:val="000000"/>
          <w:sz w:val="32"/>
          <w:szCs w:val="32"/>
        </w:rPr>
        <w:t>事务（款）宗教工作专项（项）</w:t>
      </w:r>
      <w:r>
        <w:rPr>
          <w:rStyle w:val="15"/>
          <w:rFonts w:hint="eastAsia" w:ascii="仿宋" w:hAnsi="仿宋" w:eastAsia="仿宋"/>
          <w:b w:val="0"/>
          <w:bCs w:val="0"/>
          <w:color w:val="000000"/>
          <w:sz w:val="32"/>
          <w:szCs w:val="32"/>
        </w:rPr>
        <w:br w:type="textWrapping"/>
      </w:r>
      <w:r>
        <w:rPr>
          <w:rStyle w:val="15"/>
          <w:rFonts w:hint="eastAsia" w:ascii="仿宋" w:hAnsi="仿宋" w:eastAsia="仿宋"/>
          <w:b w:val="0"/>
          <w:bCs w:val="0"/>
          <w:color w:val="000000"/>
          <w:sz w:val="32"/>
          <w:szCs w:val="32"/>
          <w:lang w:eastAsia="zh-CN"/>
        </w:rPr>
        <w:t>：宗教工作专项经费。</w:t>
      </w:r>
    </w:p>
    <w:p>
      <w:pPr>
        <w:ind w:firstLine="640" w:firstLineChars="200"/>
        <w:rPr>
          <w:rStyle w:val="15"/>
          <w:rFonts w:hint="eastAsia" w:ascii="仿宋" w:hAnsi="仿宋" w:eastAsia="仿宋"/>
          <w:b w:val="0"/>
          <w:bCs w:val="0"/>
          <w:color w:val="000000"/>
          <w:sz w:val="32"/>
          <w:szCs w:val="32"/>
          <w:lang w:eastAsia="zh-CN"/>
        </w:rPr>
      </w:pPr>
      <w:r>
        <w:rPr>
          <w:rStyle w:val="15"/>
          <w:rFonts w:hint="eastAsia" w:ascii="仿宋" w:hAnsi="仿宋" w:eastAsia="仿宋"/>
          <w:b w:val="0"/>
          <w:bCs w:val="0"/>
          <w:color w:val="000000"/>
          <w:sz w:val="32"/>
          <w:szCs w:val="32"/>
          <w:lang w:val="en-US" w:eastAsia="zh-CN"/>
        </w:rPr>
        <w:t>6.</w:t>
      </w:r>
      <w:r>
        <w:rPr>
          <w:rStyle w:val="15"/>
          <w:rFonts w:hint="eastAsia" w:ascii="仿宋" w:hAnsi="仿宋" w:eastAsia="仿宋"/>
          <w:b w:val="0"/>
          <w:bCs w:val="0"/>
          <w:color w:val="000000"/>
          <w:sz w:val="32"/>
          <w:szCs w:val="32"/>
        </w:rPr>
        <w:t>一般公共服务（类</w:t>
      </w:r>
      <w:r>
        <w:rPr>
          <w:rStyle w:val="15"/>
          <w:rFonts w:hint="eastAsia" w:ascii="仿宋" w:hAnsi="仿宋" w:eastAsia="仿宋"/>
          <w:b w:val="0"/>
          <w:bCs w:val="0"/>
          <w:color w:val="000000"/>
          <w:sz w:val="32"/>
          <w:szCs w:val="32"/>
          <w:lang w:eastAsia="zh-CN"/>
        </w:rPr>
        <w:t>）宗教</w:t>
      </w:r>
      <w:r>
        <w:rPr>
          <w:rStyle w:val="15"/>
          <w:rFonts w:hint="eastAsia" w:ascii="仿宋" w:hAnsi="仿宋" w:eastAsia="仿宋"/>
          <w:b w:val="0"/>
          <w:bCs w:val="0"/>
          <w:color w:val="000000"/>
          <w:sz w:val="32"/>
          <w:szCs w:val="32"/>
        </w:rPr>
        <w:t>事务（款）行政运行（项）</w:t>
      </w:r>
      <w:r>
        <w:rPr>
          <w:rStyle w:val="15"/>
          <w:rFonts w:ascii="仿宋" w:hAnsi="仿宋" w:eastAsia="仿宋"/>
          <w:b w:val="0"/>
          <w:bCs w:val="0"/>
          <w:color w:val="000000"/>
          <w:sz w:val="32"/>
          <w:szCs w:val="32"/>
        </w:rPr>
        <w:t>:</w:t>
      </w:r>
    </w:p>
    <w:p>
      <w:pPr>
        <w:ind w:firstLine="643" w:firstLineChars="200"/>
        <w:rPr>
          <w:rFonts w:ascii="仿宋_GB2312" w:eastAsia="仿宋_GB2312"/>
          <w:color w:val="000000"/>
          <w:sz w:val="32"/>
          <w:szCs w:val="32"/>
        </w:rPr>
      </w:pPr>
      <w:r>
        <w:rPr>
          <w:rStyle w:val="15"/>
          <w:rFonts w:hint="eastAsia" w:ascii="仿宋" w:hAnsi="仿宋" w:eastAsia="仿宋"/>
          <w:bCs/>
          <w:color w:val="000000"/>
          <w:sz w:val="32"/>
          <w:szCs w:val="32"/>
          <w:lang w:val="en-US" w:eastAsia="zh-CN"/>
        </w:rPr>
        <w:t>11</w:t>
      </w:r>
      <w:r>
        <w:rPr>
          <w:rFonts w:hint="eastAsia" w:ascii="仿宋_GB2312" w:eastAsia="仿宋_GB2312"/>
          <w:color w:val="000000"/>
          <w:sz w:val="32"/>
          <w:szCs w:val="32"/>
        </w:rPr>
        <w:t>.社会保障和就业（类）行政事业单位离退休（款）机关事业单位基本养老保险缴费支出（项）：反映机关事业单位实施养老保险制度由单位缴纳的基本养老保险费支出。</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.社会保障和就业（类）行政事业单位离退休（款）机关事业单位职业年金缴费支出（项）: 反映机关事业单位实施养老保险制度由单位实际缴纳的职业年金支出。</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.医疗卫生与计划生育（类）行政事业单位医疗（款）行政单位医疗（项）: 反映财政部门集中安排的行政单位基本医疗保险缴费经费，未参加医疗保险的行政单位的公费医疗经费，按国家规定享受离休人员待遇的医疗经费。</w:t>
      </w:r>
    </w:p>
    <w:p>
      <w:pPr>
        <w:ind w:firstLine="640" w:firstLineChars="200"/>
        <w:rPr>
          <w:rFonts w:ascii="仿宋_GB2312" w:eastAsia="仿宋_GB2312"/>
          <w:b/>
          <w:color w:val="000000"/>
          <w:sz w:val="32"/>
          <w:szCs w:val="32"/>
        </w:rPr>
      </w:pPr>
      <w:r>
        <w:rPr>
          <w:rFonts w:hint="eastAsia" w:ascii="仿宋_GB2312" w:eastAsia="仿宋_GB2312"/>
          <w:bCs/>
          <w:color w:val="000000"/>
          <w:sz w:val="32"/>
          <w:szCs w:val="32"/>
        </w:rPr>
        <w:t>1</w:t>
      </w:r>
      <w:r>
        <w:rPr>
          <w:rFonts w:ascii="仿宋_GB2312" w:eastAsia="仿宋_GB2312"/>
          <w:bCs/>
          <w:color w:val="000000"/>
          <w:sz w:val="32"/>
          <w:szCs w:val="32"/>
        </w:rPr>
        <w:t>4.</w:t>
      </w:r>
      <w:r>
        <w:rPr>
          <w:rFonts w:hint="eastAsia" w:ascii="仿宋_GB2312" w:eastAsia="仿宋_GB2312"/>
          <w:bCs/>
          <w:color w:val="000000"/>
          <w:sz w:val="32"/>
          <w:szCs w:val="32"/>
        </w:rPr>
        <w:t>医疗卫生与计划生育（类）行政事业单位（款）公务员医疗补助（项）</w:t>
      </w:r>
      <w:r>
        <w:rPr>
          <w:rFonts w:hint="eastAsia" w:ascii="仿宋_GB2312" w:eastAsia="仿宋_GB2312"/>
          <w:b/>
          <w:color w:val="000000"/>
          <w:sz w:val="32"/>
          <w:szCs w:val="32"/>
        </w:rPr>
        <w:t>：</w:t>
      </w:r>
      <w:r>
        <w:rPr>
          <w:rFonts w:hint="eastAsia" w:ascii="仿宋_GB2312" w:eastAsia="仿宋_GB2312"/>
          <w:color w:val="000000"/>
          <w:sz w:val="32"/>
          <w:szCs w:val="32"/>
        </w:rPr>
        <w:t>指财政部门集中安排的公务员医疗补助经费</w:t>
      </w:r>
      <w:r>
        <w:rPr>
          <w:rFonts w:hint="eastAsia" w:ascii="仿宋_GB2312" w:eastAsia="仿宋_GB2312"/>
          <w:b/>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.住房保障支出（类）住房改革支出（款）住房公积金（项）: 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 xml:space="preserve">.项目支出：指在基本支出之外为完成特定行政任务和事业发展目标所发生的支出。 </w:t>
      </w:r>
    </w:p>
    <w:p>
      <w:pPr>
        <w:autoSpaceDE w:val="0"/>
        <w:autoSpaceDN w:val="0"/>
        <w:adjustRightInd w:val="0"/>
        <w:spacing w:line="560" w:lineRule="exact"/>
        <w:ind w:firstLine="640" w:firstLineChars="20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19</w:t>
      </w:r>
      <w:r>
        <w:rPr>
          <w:rFonts w:hint="eastAsia" w:ascii="仿宋_GB2312" w:hAnsi="Calibri" w:eastAsia="仿宋_GB2312" w:cs="仿宋"/>
          <w:color w:val="000000"/>
          <w:kern w:val="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560" w:lineRule="exact"/>
        <w:ind w:firstLine="640" w:firstLineChars="200"/>
        <w:jc w:val="left"/>
        <w:rPr>
          <w:rFonts w:ascii="仿宋_GB2312" w:hAnsi="Calibri" w:eastAsia="仿宋_GB2312" w:cs="仿宋"/>
          <w:color w:val="000000"/>
          <w:kern w:val="0"/>
          <w:sz w:val="32"/>
          <w:szCs w:val="32"/>
        </w:rPr>
      </w:pPr>
      <w:r>
        <w:rPr>
          <w:rFonts w:ascii="仿宋_GB2312" w:hAnsi="Calibri" w:eastAsia="仿宋_GB2312" w:cs="仿宋"/>
          <w:color w:val="000000"/>
          <w:kern w:val="0"/>
          <w:sz w:val="32"/>
          <w:szCs w:val="32"/>
        </w:rPr>
        <w:t>20</w:t>
      </w:r>
      <w:r>
        <w:rPr>
          <w:rFonts w:hint="eastAsia" w:ascii="仿宋_GB2312" w:hAnsi="Calibri" w:eastAsia="仿宋_GB2312" w:cs="仿宋"/>
          <w:color w:val="000000"/>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sz w:val="32"/>
          <w:szCs w:val="32"/>
        </w:rPr>
      </w:pPr>
    </w:p>
    <w:p>
      <w:pPr>
        <w:pStyle w:val="24"/>
        <w:spacing w:line="560" w:lineRule="exact"/>
        <w:ind w:firstLine="640" w:firstLineChars="200"/>
        <w:rPr>
          <w:rFonts w:ascii="仿宋_GB2312" w:eastAsia="仿宋_GB2312" w:cs="黑体"/>
          <w:sz w:val="32"/>
          <w:szCs w:val="32"/>
        </w:rPr>
      </w:pPr>
    </w:p>
    <w:p>
      <w:pPr>
        <w:spacing w:line="600" w:lineRule="exact"/>
        <w:jc w:val="center"/>
        <w:outlineLvl w:val="0"/>
        <w:rPr>
          <w:rStyle w:val="26"/>
          <w:rFonts w:ascii="黑体" w:hAnsi="黑体" w:eastAsia="黑体"/>
          <w:b w:val="0"/>
        </w:rPr>
      </w:pPr>
      <w:bookmarkStart w:id="55" w:name="_Toc15377226"/>
      <w:r>
        <w:rPr>
          <w:rFonts w:ascii="宋体"/>
          <w:b/>
          <w:color w:val="000000"/>
          <w:sz w:val="44"/>
          <w:szCs w:val="44"/>
        </w:rPr>
        <w:br w:type="page"/>
      </w:r>
      <w:bookmarkStart w:id="56"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6"/>
    </w:p>
    <w:p>
      <w:pPr>
        <w:spacing w:line="600" w:lineRule="exact"/>
        <w:jc w:val="center"/>
        <w:outlineLvl w:val="0"/>
        <w:rPr>
          <w:rStyle w:val="26"/>
        </w:rPr>
      </w:pPr>
    </w:p>
    <w:p>
      <w:pPr>
        <w:pStyle w:val="3"/>
        <w:rPr>
          <w:rStyle w:val="26"/>
          <w:rFonts w:ascii="仿宋" w:hAnsi="仿宋" w:eastAsia="仿宋"/>
          <w:b w:val="0"/>
          <w:bCs w:val="0"/>
          <w:sz w:val="32"/>
          <w:szCs w:val="32"/>
        </w:rPr>
      </w:pPr>
      <w:bookmarkStart w:id="57" w:name="_Toc15396615"/>
      <w:r>
        <w:rPr>
          <w:rStyle w:val="26"/>
          <w:rFonts w:hint="eastAsia" w:ascii="仿宋" w:hAnsi="仿宋" w:eastAsia="仿宋"/>
          <w:b w:val="0"/>
          <w:bCs w:val="0"/>
          <w:sz w:val="32"/>
          <w:szCs w:val="32"/>
        </w:rPr>
        <w:t>附件1</w:t>
      </w:r>
      <w:bookmarkEnd w:id="57"/>
    </w:p>
    <w:p>
      <w:pPr>
        <w:spacing w:line="580" w:lineRule="exact"/>
        <w:ind w:firstLine="720" w:firstLineChars="200"/>
        <w:jc w:val="center"/>
        <w:rPr>
          <w:rFonts w:ascii="黑体" w:hAnsi="黑体" w:eastAsia="黑体" w:cs="黑体"/>
          <w:sz w:val="32"/>
          <w:szCs w:val="32"/>
        </w:rPr>
      </w:pPr>
      <w:bookmarkStart w:id="58" w:name="_Toc15396616"/>
      <w:r>
        <w:rPr>
          <w:rFonts w:hint="eastAsia" w:ascii="黑体" w:hAnsi="黑体" w:eastAsia="黑体" w:cs="方正小标宋简体"/>
          <w:sz w:val="36"/>
          <w:szCs w:val="36"/>
          <w:lang w:eastAsia="zh-CN"/>
        </w:rPr>
        <w:t>壤塘县三郎寺寺庙管理委员会</w:t>
      </w:r>
      <w:r>
        <w:rPr>
          <w:rFonts w:hint="eastAsia" w:ascii="黑体" w:hAnsi="黑体" w:eastAsia="黑体" w:cs="方正小标宋简体"/>
          <w:sz w:val="36"/>
          <w:szCs w:val="36"/>
        </w:rPr>
        <w:t>部门2018年部门整体支出绩效评价报告</w:t>
      </w:r>
      <w:bookmarkEnd w:id="58"/>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eastAsia="zh-CN"/>
        </w:rPr>
        <w:t>我委由综合办、财务科、宗教事务科</w:t>
      </w:r>
      <w:r>
        <w:rPr>
          <w:rFonts w:hint="eastAsia" w:ascii="仿宋" w:hAnsi="仿宋" w:eastAsia="仿宋" w:cs="仿宋_GB2312"/>
          <w:sz w:val="32"/>
          <w:szCs w:val="32"/>
          <w:lang w:val="en-US" w:eastAsia="zh-CN"/>
        </w:rPr>
        <w:t>3个科室组成。</w:t>
      </w:r>
    </w:p>
    <w:p>
      <w:pPr>
        <w:numPr>
          <w:ilvl w:val="0"/>
          <w:numId w:val="9"/>
        </w:numPr>
        <w:spacing w:line="580" w:lineRule="exact"/>
        <w:ind w:firstLine="640" w:firstLineChars="200"/>
        <w:rPr>
          <w:rFonts w:hint="eastAsia" w:ascii="仿宋" w:hAnsi="仿宋" w:eastAsia="仿宋" w:cs="仿宋_GB2312"/>
          <w:sz w:val="32"/>
          <w:szCs w:val="32"/>
          <w:lang w:val="en-US" w:eastAsia="zh-CN"/>
        </w:rPr>
      </w:pPr>
      <w:r>
        <w:rPr>
          <w:rFonts w:ascii="仿宋" w:hAnsi="仿宋" w:eastAsia="仿宋" w:cs="仿宋_GB2312"/>
          <w:sz w:val="32"/>
          <w:szCs w:val="32"/>
        </w:rPr>
        <w:t>机构职能。</w:t>
      </w:r>
    </w:p>
    <w:p>
      <w:pPr>
        <w:numPr>
          <w:ilvl w:val="0"/>
          <w:numId w:val="0"/>
        </w:numPr>
        <w:spacing w:line="58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
          <w:color w:val="000000"/>
          <w:sz w:val="32"/>
          <w:szCs w:val="32"/>
        </w:rPr>
        <w:t>根据中共阿坝州委、阿坝州人民政府批准的关于设立各县寺庙管理委员会及乡镇寺管所得相关文件</w:t>
      </w:r>
      <w:r>
        <w:rPr>
          <w:rFonts w:hint="eastAsia" w:ascii="仿宋" w:hAnsi="仿宋" w:eastAsia="仿宋" w:cs="仿宋"/>
          <w:sz w:val="32"/>
          <w:szCs w:val="32"/>
        </w:rPr>
        <w:t>设立壤塘县</w:t>
      </w:r>
      <w:r>
        <w:rPr>
          <w:rFonts w:hint="eastAsia" w:ascii="仿宋" w:hAnsi="仿宋" w:eastAsia="仿宋" w:cs="仿宋"/>
          <w:sz w:val="32"/>
          <w:szCs w:val="32"/>
          <w:lang w:eastAsia="zh-CN"/>
        </w:rPr>
        <w:t>三郎</w:t>
      </w:r>
      <w:r>
        <w:rPr>
          <w:rFonts w:hint="eastAsia" w:ascii="仿宋" w:hAnsi="仿宋" w:eastAsia="仿宋" w:cs="仿宋"/>
          <w:sz w:val="32"/>
          <w:szCs w:val="32"/>
        </w:rPr>
        <w:t>寺寺庙管理委员会（注：壤塘县</w:t>
      </w:r>
      <w:r>
        <w:rPr>
          <w:rFonts w:hint="eastAsia" w:ascii="仿宋" w:hAnsi="仿宋" w:eastAsia="仿宋" w:cs="仿宋"/>
          <w:sz w:val="32"/>
          <w:szCs w:val="32"/>
          <w:lang w:eastAsia="zh-CN"/>
        </w:rPr>
        <w:t>三</w:t>
      </w:r>
      <w:r>
        <w:rPr>
          <w:rFonts w:hint="eastAsia" w:ascii="仿宋" w:hAnsi="仿宋" w:eastAsia="仿宋" w:cs="仿宋"/>
          <w:sz w:val="32"/>
          <w:szCs w:val="32"/>
        </w:rPr>
        <w:t>管会），为县人民政府工作部门。</w:t>
      </w:r>
    </w:p>
    <w:p>
      <w:pPr>
        <w:numPr>
          <w:ilvl w:val="0"/>
          <w:numId w:val="9"/>
        </w:numPr>
        <w:spacing w:line="580" w:lineRule="exact"/>
        <w:ind w:left="0" w:leftChars="0" w:firstLine="640" w:firstLineChars="200"/>
        <w:rPr>
          <w:rFonts w:ascii="仿宋" w:hAnsi="仿宋" w:eastAsia="仿宋" w:cs="仿宋_GB2312"/>
          <w:sz w:val="32"/>
          <w:szCs w:val="32"/>
        </w:rPr>
      </w:pPr>
      <w:r>
        <w:rPr>
          <w:rFonts w:ascii="仿宋" w:hAnsi="仿宋" w:eastAsia="仿宋" w:cs="仿宋_GB2312"/>
          <w:sz w:val="32"/>
          <w:szCs w:val="32"/>
        </w:rPr>
        <w:t>人员概况。</w:t>
      </w:r>
    </w:p>
    <w:p>
      <w:pPr>
        <w:numPr>
          <w:ilvl w:val="0"/>
          <w:numId w:val="0"/>
        </w:numPr>
        <w:spacing w:line="580" w:lineRule="exact"/>
        <w:ind w:firstLine="640" w:firstLineChars="200"/>
        <w:rPr>
          <w:rFonts w:hint="eastAsia" w:ascii="仿宋" w:hAnsi="仿宋" w:eastAsia="仿宋_GB2312" w:cs="仿宋_GB2312"/>
          <w:sz w:val="32"/>
          <w:szCs w:val="32"/>
          <w:lang w:val="en-US" w:eastAsia="zh-CN"/>
        </w:rPr>
      </w:pPr>
      <w:r>
        <w:rPr>
          <w:rFonts w:hint="eastAsia" w:ascii="仿宋" w:hAnsi="仿宋" w:eastAsia="仿宋" w:cs="仿宋_GB2312"/>
          <w:sz w:val="32"/>
          <w:szCs w:val="32"/>
          <w:lang w:eastAsia="zh-CN"/>
        </w:rPr>
        <w:t>我委现有编制</w:t>
      </w:r>
      <w:r>
        <w:rPr>
          <w:rFonts w:hint="eastAsia" w:ascii="仿宋" w:hAnsi="仿宋" w:eastAsia="仿宋" w:cs="仿宋_GB2312"/>
          <w:sz w:val="32"/>
          <w:szCs w:val="32"/>
          <w:lang w:val="en-US" w:eastAsia="zh-CN"/>
        </w:rPr>
        <w:t>6名，其中行政编5名，工勤编1名。</w:t>
      </w:r>
      <w:r>
        <w:rPr>
          <w:rFonts w:hint="eastAsia" w:ascii="仿宋_GB2312" w:eastAsia="仿宋_GB2312"/>
          <w:kern w:val="0"/>
          <w:sz w:val="32"/>
          <w:szCs w:val="32"/>
          <w:lang w:val="zh-CN"/>
        </w:rPr>
        <w:t>截止2018年12月31日我为实有在职在岗</w:t>
      </w:r>
      <w:r>
        <w:rPr>
          <w:rFonts w:hint="eastAsia" w:ascii="仿宋_GB2312" w:eastAsia="仿宋_GB2312"/>
          <w:kern w:val="0"/>
          <w:sz w:val="32"/>
          <w:szCs w:val="32"/>
          <w:lang w:val="en-US" w:eastAsia="zh-CN"/>
        </w:rPr>
        <w:t>6人。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i w:val="0"/>
          <w:caps w:val="0"/>
          <w:color w:val="505050"/>
          <w:spacing w:val="0"/>
          <w:sz w:val="32"/>
          <w:szCs w:val="32"/>
          <w:shd w:val="clear" w:fill="FFFFFF"/>
        </w:rPr>
        <w:t>2018年本单位财政拨款收入</w:t>
      </w:r>
      <w:r>
        <w:rPr>
          <w:rFonts w:hint="eastAsia" w:ascii="仿宋" w:hAnsi="仿宋" w:eastAsia="仿宋" w:cs="仿宋"/>
          <w:i w:val="0"/>
          <w:caps w:val="0"/>
          <w:color w:val="505050"/>
          <w:spacing w:val="0"/>
          <w:sz w:val="32"/>
          <w:szCs w:val="32"/>
          <w:shd w:val="clear" w:fill="FFFFFF"/>
          <w:lang w:val="en-US" w:eastAsia="zh-CN"/>
        </w:rPr>
        <w:t>210.20</w:t>
      </w:r>
      <w:r>
        <w:rPr>
          <w:rFonts w:hint="eastAsia" w:ascii="仿宋" w:hAnsi="仿宋" w:eastAsia="仿宋" w:cs="仿宋"/>
          <w:i w:val="0"/>
          <w:caps w:val="0"/>
          <w:color w:val="505050"/>
          <w:spacing w:val="0"/>
          <w:sz w:val="32"/>
          <w:szCs w:val="32"/>
          <w:shd w:val="clear" w:fill="FFFFFF"/>
        </w:rPr>
        <w:t>万元，其他收入</w:t>
      </w:r>
      <w:r>
        <w:rPr>
          <w:rFonts w:hint="eastAsia" w:ascii="仿宋" w:hAnsi="仿宋" w:eastAsia="仿宋" w:cs="仿宋"/>
          <w:i w:val="0"/>
          <w:caps w:val="0"/>
          <w:color w:val="505050"/>
          <w:spacing w:val="0"/>
          <w:sz w:val="32"/>
          <w:szCs w:val="32"/>
          <w:shd w:val="clear" w:fill="FFFFFF"/>
          <w:lang w:val="en-US" w:eastAsia="zh-CN"/>
        </w:rPr>
        <w:t>0.0</w:t>
      </w:r>
      <w:r>
        <w:rPr>
          <w:rFonts w:hint="eastAsia" w:ascii="仿宋" w:hAnsi="仿宋" w:eastAsia="仿宋" w:cs="仿宋"/>
          <w:i w:val="0"/>
          <w:caps w:val="0"/>
          <w:color w:val="505050"/>
          <w:spacing w:val="0"/>
          <w:sz w:val="32"/>
          <w:szCs w:val="32"/>
          <w:shd w:val="clear" w:fill="FFFFFF"/>
        </w:rPr>
        <w:t>5</w:t>
      </w:r>
      <w:r>
        <w:rPr>
          <w:rFonts w:hint="eastAsia" w:ascii="仿宋" w:hAnsi="仿宋" w:eastAsia="仿宋" w:cs="仿宋"/>
          <w:i w:val="0"/>
          <w:caps w:val="0"/>
          <w:color w:val="505050"/>
          <w:spacing w:val="0"/>
          <w:sz w:val="32"/>
          <w:szCs w:val="32"/>
          <w:shd w:val="clear" w:fill="FFFFFF"/>
          <w:lang w:val="en-US" w:eastAsia="zh-CN"/>
        </w:rPr>
        <w:t>7</w:t>
      </w:r>
      <w:r>
        <w:rPr>
          <w:rFonts w:hint="eastAsia" w:ascii="仿宋" w:hAnsi="仿宋" w:eastAsia="仿宋" w:cs="仿宋"/>
          <w:i w:val="0"/>
          <w:caps w:val="0"/>
          <w:color w:val="505050"/>
          <w:spacing w:val="0"/>
          <w:sz w:val="32"/>
          <w:szCs w:val="32"/>
          <w:shd w:val="clear" w:fill="FFFFFF"/>
        </w:rPr>
        <w:t>万元，年初结转资金32</w:t>
      </w:r>
      <w:r>
        <w:rPr>
          <w:rFonts w:hint="eastAsia" w:ascii="仿宋" w:hAnsi="仿宋" w:eastAsia="仿宋" w:cs="仿宋"/>
          <w:i w:val="0"/>
          <w:caps w:val="0"/>
          <w:color w:val="505050"/>
          <w:spacing w:val="0"/>
          <w:sz w:val="32"/>
          <w:szCs w:val="32"/>
          <w:shd w:val="clear" w:fill="FFFFFF"/>
          <w:lang w:val="en-US" w:eastAsia="zh-CN"/>
        </w:rPr>
        <w:t>.</w:t>
      </w:r>
      <w:r>
        <w:rPr>
          <w:rFonts w:hint="eastAsia" w:ascii="仿宋" w:hAnsi="仿宋" w:eastAsia="仿宋" w:cs="仿宋"/>
          <w:i w:val="0"/>
          <w:caps w:val="0"/>
          <w:color w:val="505050"/>
          <w:spacing w:val="0"/>
          <w:sz w:val="32"/>
          <w:szCs w:val="32"/>
          <w:shd w:val="clear" w:fill="FFFFFF"/>
        </w:rPr>
        <w:t>56万元。</w:t>
      </w:r>
    </w:p>
    <w:p>
      <w:pPr>
        <w:numPr>
          <w:ilvl w:val="0"/>
          <w:numId w:val="10"/>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640" w:firstLineChars="200"/>
        <w:jc w:val="left"/>
        <w:rPr>
          <w:rFonts w:hint="eastAsia" w:ascii="仿宋" w:hAnsi="仿宋" w:eastAsia="仿宋" w:cs="仿宋"/>
          <w:i w:val="0"/>
          <w:caps w:val="0"/>
          <w:color w:val="333333"/>
          <w:spacing w:val="0"/>
          <w:sz w:val="32"/>
          <w:szCs w:val="32"/>
          <w:lang w:eastAsia="zh-CN"/>
        </w:rPr>
      </w:pPr>
      <w:r>
        <w:rPr>
          <w:rFonts w:hint="eastAsia" w:ascii="仿宋" w:hAnsi="仿宋" w:eastAsia="仿宋" w:cs="仿宋"/>
          <w:i w:val="0"/>
          <w:caps w:val="0"/>
          <w:color w:val="505050"/>
          <w:spacing w:val="0"/>
          <w:sz w:val="32"/>
          <w:szCs w:val="32"/>
          <w:shd w:val="clear" w:fill="FFFFFF"/>
        </w:rPr>
        <w:t>本单位本年实际支出242</w:t>
      </w:r>
      <w:r>
        <w:rPr>
          <w:rFonts w:hint="eastAsia" w:ascii="仿宋" w:hAnsi="仿宋" w:eastAsia="仿宋" w:cs="仿宋"/>
          <w:i w:val="0"/>
          <w:caps w:val="0"/>
          <w:color w:val="505050"/>
          <w:spacing w:val="0"/>
          <w:sz w:val="32"/>
          <w:szCs w:val="32"/>
          <w:shd w:val="clear" w:fill="FFFFFF"/>
          <w:lang w:val="en-US" w:eastAsia="zh-CN"/>
        </w:rPr>
        <w:t>.</w:t>
      </w:r>
      <w:r>
        <w:rPr>
          <w:rFonts w:hint="eastAsia" w:ascii="仿宋" w:hAnsi="仿宋" w:eastAsia="仿宋" w:cs="仿宋"/>
          <w:i w:val="0"/>
          <w:caps w:val="0"/>
          <w:color w:val="505050"/>
          <w:spacing w:val="0"/>
          <w:sz w:val="32"/>
          <w:szCs w:val="32"/>
          <w:shd w:val="clear" w:fill="FFFFFF"/>
        </w:rPr>
        <w:t>73万元</w:t>
      </w:r>
      <w:r>
        <w:rPr>
          <w:rFonts w:hint="eastAsia" w:ascii="仿宋" w:hAnsi="仿宋" w:eastAsia="仿宋" w:cs="仿宋"/>
          <w:i w:val="0"/>
          <w:caps w:val="0"/>
          <w:color w:val="505050"/>
          <w:spacing w:val="0"/>
          <w:sz w:val="32"/>
          <w:szCs w:val="32"/>
          <w:shd w:val="clear" w:fill="FFFFFF"/>
          <w:lang w:eastAsia="zh-CN"/>
        </w:rPr>
        <w:t>。</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w:t>
      </w:r>
      <w:r>
        <w:rPr>
          <w:rFonts w:ascii="仿宋" w:hAnsi="仿宋" w:eastAsia="仿宋" w:cs="仿宋_GB2312"/>
          <w:sz w:val="32"/>
          <w:szCs w:val="32"/>
        </w:rPr>
        <w:t>一）部门预算管理。</w:t>
      </w:r>
    </w:p>
    <w:p>
      <w:pPr>
        <w:spacing w:line="580" w:lineRule="exact"/>
        <w:ind w:firstLine="640" w:firstLineChars="200"/>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201</w:t>
      </w:r>
      <w:r>
        <w:rPr>
          <w:rFonts w:ascii="仿宋_GB2312" w:eastAsia="仿宋_GB2312"/>
          <w:color w:val="000000"/>
          <w:kern w:val="0"/>
          <w:sz w:val="32"/>
          <w:szCs w:val="32"/>
          <w:lang w:val="zh-CN"/>
        </w:rPr>
        <w:t>8</w:t>
      </w:r>
      <w:r>
        <w:rPr>
          <w:rFonts w:hint="eastAsia" w:ascii="仿宋_GB2312" w:eastAsia="仿宋_GB2312"/>
          <w:color w:val="000000"/>
          <w:kern w:val="0"/>
          <w:sz w:val="32"/>
          <w:szCs w:val="32"/>
          <w:lang w:val="zh-CN"/>
        </w:rPr>
        <w:t>年，我委按照“扩面增量、整体推进，深化完善，构建体系”的总体目标，严格按照《预算法》、《阿坝州州级预算绩效目标管理办法》、《预算编制通知》等文件要求，完整编制部门整体绩效目标，合理量化项目绩效目标，按时完成报送工作。</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在债务管理及非税收入执行情况方面，2018年无政府性债务管理、非税收入执收。在政府采购实施计划方面，实施计划与政府采购预算、备案计划一致，中期无调整或细化资金。在资产管理方面，安排专人专项管理资产，将所属单位国有资产全额纳入资产系统管理，实时更新系统数据，及时、准确、全面开展资产清查工作，真实、准确、全面上报国有资产报表数据，依法接受财政监督。在内控制度管理方面，内部控制制度健全完整并执行良好。在信息公开方面，严格按照要求对部门预算、决算、绩效信息对社会公开。在绩效评价方面，实施绩效评价项目与对下级预算单位开展整体绩效评价均做到全覆盖。</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通过对预算编制、预算执行、综合管理、整体效益等方面进行全面分析评价，2018年部门</w:t>
      </w:r>
      <w:r>
        <w:rPr>
          <w:rFonts w:ascii="仿宋_GB2312" w:eastAsia="仿宋_GB2312"/>
          <w:color w:val="000000"/>
          <w:kern w:val="0"/>
          <w:sz w:val="32"/>
          <w:szCs w:val="32"/>
          <w:lang w:val="zh-CN"/>
        </w:rPr>
        <w:t>整体支出绩效</w:t>
      </w:r>
      <w:r>
        <w:rPr>
          <w:rFonts w:hint="eastAsia" w:ascii="仿宋_GB2312" w:eastAsia="仿宋_GB2312"/>
          <w:color w:val="000000"/>
          <w:kern w:val="0"/>
          <w:sz w:val="32"/>
          <w:szCs w:val="32"/>
          <w:lang w:val="zh-CN"/>
        </w:rPr>
        <w:t>自评得分为90分。将针对评价总结的问题进行整改。</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640" w:firstLineChars="200"/>
        <w:jc w:val="left"/>
        <w:rPr>
          <w:rFonts w:ascii="仿宋" w:hAnsi="仿宋" w:eastAsia="仿宋" w:cs="仿宋_GB2312"/>
          <w:sz w:val="32"/>
          <w:szCs w:val="32"/>
        </w:rPr>
      </w:pPr>
      <w:r>
        <w:rPr>
          <w:rFonts w:hint="eastAsia" w:ascii="仿宋" w:hAnsi="仿宋" w:eastAsia="仿宋" w:cs="仿宋"/>
          <w:i w:val="0"/>
          <w:caps w:val="0"/>
          <w:color w:val="505050"/>
          <w:spacing w:val="0"/>
          <w:sz w:val="32"/>
          <w:szCs w:val="32"/>
          <w:shd w:val="clear" w:fill="FFFFFF"/>
        </w:rPr>
        <w:t>按照县政府的工作任务要求，结合</w:t>
      </w:r>
      <w:r>
        <w:rPr>
          <w:rFonts w:hint="eastAsia" w:ascii="仿宋" w:hAnsi="仿宋" w:eastAsia="仿宋" w:cs="仿宋"/>
          <w:i w:val="0"/>
          <w:caps w:val="0"/>
          <w:color w:val="505050"/>
          <w:spacing w:val="0"/>
          <w:sz w:val="32"/>
          <w:szCs w:val="32"/>
          <w:shd w:val="clear" w:fill="FFFFFF"/>
          <w:lang w:eastAsia="zh-CN"/>
        </w:rPr>
        <w:t>我委</w:t>
      </w:r>
      <w:r>
        <w:rPr>
          <w:rFonts w:hint="eastAsia" w:ascii="仿宋" w:hAnsi="仿宋" w:eastAsia="仿宋" w:cs="仿宋"/>
          <w:i w:val="0"/>
          <w:caps w:val="0"/>
          <w:color w:val="505050"/>
          <w:spacing w:val="0"/>
          <w:sz w:val="32"/>
          <w:szCs w:val="32"/>
          <w:shd w:val="clear" w:fill="FFFFFF"/>
        </w:rPr>
        <w:t>2018年度工作开展实际，根据年初工作计划有序开展各项工作，进一步细化工作任务，按照工作计划和要求细致分工，是财政收支预算执行得到了良好的制度保障和实施效果。</w:t>
      </w:r>
    </w:p>
    <w:p>
      <w:pPr>
        <w:numPr>
          <w:ilvl w:val="0"/>
          <w:numId w:val="10"/>
        </w:numPr>
        <w:spacing w:line="580" w:lineRule="exact"/>
        <w:ind w:left="0" w:leftChars="0" w:firstLine="640" w:firstLineChars="200"/>
        <w:rPr>
          <w:rFonts w:ascii="仿宋" w:hAnsi="仿宋" w:eastAsia="仿宋" w:cs="仿宋_GB2312"/>
          <w:sz w:val="32"/>
          <w:szCs w:val="32"/>
        </w:rPr>
      </w:pPr>
      <w:r>
        <w:rPr>
          <w:rFonts w:ascii="仿宋" w:hAnsi="仿宋" w:eastAsia="仿宋" w:cs="仿宋_GB2312"/>
          <w:sz w:val="32"/>
          <w:szCs w:val="32"/>
        </w:rPr>
        <w:t>存在问题。</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一是人员增加导致预算不合理</w:t>
      </w:r>
      <w:r>
        <w:rPr>
          <w:rFonts w:hint="eastAsia" w:ascii="仿宋_GB2312" w:eastAsia="仿宋_GB2312"/>
          <w:color w:val="000000"/>
          <w:sz w:val="32"/>
          <w:szCs w:val="32"/>
          <w:lang w:eastAsia="zh-CN"/>
        </w:rPr>
        <w:t>。</w:t>
      </w:r>
    </w:p>
    <w:p>
      <w:pPr>
        <w:ind w:firstLine="640" w:firstLineChars="200"/>
        <w:rPr>
          <w:rFonts w:ascii="仿宋" w:hAnsi="仿宋" w:eastAsia="仿宋" w:cs="仿宋_GB2312"/>
          <w:sz w:val="32"/>
          <w:szCs w:val="32"/>
        </w:rPr>
      </w:pPr>
      <w:r>
        <w:rPr>
          <w:rFonts w:hint="eastAsia" w:ascii="仿宋_GB2312" w:eastAsia="仿宋_GB2312"/>
          <w:color w:val="000000"/>
          <w:sz w:val="32"/>
          <w:szCs w:val="32"/>
        </w:rPr>
        <w:t>二是内部控制不合理。</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一是合理预算</w:t>
      </w:r>
      <w:r>
        <w:rPr>
          <w:rFonts w:hint="eastAsia" w:ascii="仿宋_GB2312" w:eastAsia="仿宋_GB2312"/>
          <w:color w:val="000000"/>
          <w:sz w:val="32"/>
          <w:szCs w:val="32"/>
          <w:lang w:eastAsia="zh-CN"/>
        </w:rPr>
        <w:t>。</w:t>
      </w:r>
    </w:p>
    <w:p>
      <w:pPr>
        <w:spacing w:line="580" w:lineRule="exact"/>
        <w:ind w:firstLine="640" w:firstLineChars="200"/>
        <w:rPr>
          <w:rFonts w:ascii="仿宋_GB2312" w:hAnsi="仿宋_GB2312" w:eastAsia="仿宋_GB2312" w:cs="仿宋_GB2312"/>
          <w:sz w:val="32"/>
          <w:szCs w:val="32"/>
        </w:rPr>
      </w:pPr>
      <w:r>
        <w:rPr>
          <w:rFonts w:hint="eastAsia" w:ascii="仿宋_GB2312" w:eastAsia="仿宋_GB2312"/>
          <w:color w:val="000000"/>
          <w:sz w:val="32"/>
          <w:szCs w:val="32"/>
        </w:rPr>
        <w:t>二是加强内部控制管理。</w:t>
      </w: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rPr>
          <w:rStyle w:val="26"/>
          <w:rFonts w:ascii="仿宋" w:hAnsi="仿宋" w:eastAsia="仿宋"/>
          <w:b w:val="0"/>
          <w:bCs w:val="0"/>
          <w:sz w:val="32"/>
          <w:szCs w:val="32"/>
        </w:rPr>
      </w:pPr>
      <w:bookmarkStart w:id="59" w:name="_Toc15396617"/>
      <w:r>
        <w:rPr>
          <w:rStyle w:val="26"/>
          <w:rFonts w:hint="eastAsia" w:ascii="仿宋" w:hAnsi="仿宋" w:eastAsia="仿宋"/>
          <w:b w:val="0"/>
          <w:bCs w:val="0"/>
          <w:sz w:val="32"/>
          <w:szCs w:val="32"/>
        </w:rPr>
        <w:t>附件2</w:t>
      </w:r>
      <w:bookmarkEnd w:id="59"/>
    </w:p>
    <w:p>
      <w:pPr>
        <w:spacing w:line="580" w:lineRule="exact"/>
        <w:jc w:val="center"/>
        <w:rPr>
          <w:rFonts w:hint="eastAsia" w:ascii="黑体" w:hAnsi="黑体" w:eastAsia="黑体" w:cs="方正小标宋简体"/>
          <w:sz w:val="44"/>
          <w:szCs w:val="44"/>
        </w:rPr>
      </w:pPr>
      <w:r>
        <w:rPr>
          <w:rFonts w:hint="eastAsia" w:ascii="黑体" w:hAnsi="黑体" w:eastAsia="黑体" w:cs="方正小标宋简体"/>
          <w:sz w:val="44"/>
          <w:szCs w:val="44"/>
        </w:rPr>
        <w:t>2018年</w:t>
      </w:r>
      <w:r>
        <w:rPr>
          <w:rFonts w:hint="eastAsia" w:ascii="黑体" w:hAnsi="黑体" w:eastAsia="黑体" w:cs="方正小标宋简体"/>
          <w:sz w:val="44"/>
          <w:szCs w:val="44"/>
          <w:lang w:eastAsia="zh-CN"/>
        </w:rPr>
        <w:t>辖区民管会补助</w:t>
      </w:r>
      <w:r>
        <w:rPr>
          <w:rFonts w:hint="eastAsia" w:ascii="黑体" w:hAnsi="黑体" w:eastAsia="黑体" w:cs="方正小标宋简体"/>
          <w:sz w:val="44"/>
          <w:szCs w:val="44"/>
        </w:rPr>
        <w:t>项目</w:t>
      </w: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 w:hAnsi="仿宋" w:eastAsia="仿宋" w:cs="仿宋_GB2312"/>
          <w:sz w:val="32"/>
          <w:szCs w:val="32"/>
        </w:rPr>
      </w:pPr>
      <w:bookmarkStart w:id="60" w:name="_Toc15396618"/>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p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eastAsia="zh-CN"/>
        </w:rPr>
        <w:t>辖区民管会补助是由民宗局发放我委，我委落实辖区</w:t>
      </w:r>
      <w:r>
        <w:rPr>
          <w:rFonts w:hint="eastAsia" w:ascii="仿宋" w:hAnsi="仿宋" w:eastAsia="仿宋" w:cs="仿宋_GB2312"/>
          <w:sz w:val="32"/>
          <w:szCs w:val="32"/>
          <w:lang w:val="en-US" w:eastAsia="zh-CN"/>
        </w:rPr>
        <w:t>7座寺庙民管会班子成员补助经费。</w:t>
      </w: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11.35</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11.35</w:t>
      </w:r>
      <w:r>
        <w:rPr>
          <w:rFonts w:hint="eastAsia" w:ascii="仿宋" w:hAnsi="仿宋" w:eastAsia="仿宋" w:cs="仿宋_GB2312"/>
          <w:sz w:val="32"/>
          <w:szCs w:val="32"/>
        </w:rPr>
        <w:t>万元。</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11.35</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11.35</w:t>
      </w:r>
      <w:r>
        <w:rPr>
          <w:rFonts w:hint="eastAsia" w:ascii="仿宋" w:hAnsi="仿宋" w:eastAsia="仿宋" w:cs="仿宋_GB2312"/>
          <w:sz w:val="32"/>
          <w:szCs w:val="32"/>
        </w:rPr>
        <w:t>万元。项目</w:t>
      </w:r>
      <w:r>
        <w:rPr>
          <w:rFonts w:hint="eastAsia" w:ascii="仿宋" w:hAnsi="仿宋" w:eastAsia="仿宋" w:cs="仿宋_GB2312"/>
          <w:sz w:val="32"/>
          <w:szCs w:val="32"/>
          <w:lang w:eastAsia="zh-CN"/>
        </w:rPr>
        <w:t>完成</w:t>
      </w:r>
      <w:r>
        <w:rPr>
          <w:rFonts w:hint="eastAsia" w:ascii="仿宋" w:hAnsi="仿宋" w:eastAsia="仿宋" w:cs="仿宋_GB2312"/>
          <w:sz w:val="32"/>
          <w:szCs w:val="32"/>
          <w:lang w:val="en-US" w:eastAsia="zh-CN"/>
        </w:rPr>
        <w:t>100%</w:t>
      </w:r>
      <w:r>
        <w:rPr>
          <w:rFonts w:hint="eastAsia" w:ascii="仿宋" w:hAnsi="仿宋" w:eastAsia="仿宋" w:cs="仿宋_GB2312"/>
          <w:sz w:val="32"/>
          <w:szCs w:val="32"/>
        </w:rPr>
        <w:t>，项目的</w:t>
      </w:r>
      <w:r>
        <w:rPr>
          <w:rFonts w:hint="eastAsia" w:ascii="仿宋" w:hAnsi="仿宋" w:eastAsia="仿宋" w:cs="仿宋_GB2312"/>
          <w:sz w:val="32"/>
          <w:szCs w:val="32"/>
          <w:lang w:eastAsia="zh-CN"/>
        </w:rPr>
        <w:t>反映良好</w:t>
      </w:r>
      <w:r>
        <w:rPr>
          <w:rFonts w:hint="eastAsia" w:ascii="仿宋" w:hAnsi="仿宋" w:eastAsia="仿宋" w:cs="仿宋_GB2312"/>
          <w:sz w:val="32"/>
          <w:szCs w:val="32"/>
        </w:rPr>
        <w:t>，具有可持续性</w:t>
      </w:r>
      <w:r>
        <w:rPr>
          <w:rFonts w:hint="eastAsia" w:ascii="仿宋" w:hAnsi="仿宋" w:eastAsia="仿宋" w:cs="仿宋_GB2312"/>
          <w:sz w:val="32"/>
          <w:szCs w:val="32"/>
          <w:lang w:eastAsia="zh-CN"/>
        </w:rPr>
        <w:t>。</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（二）绩效分析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1、项目决策</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640" w:firstLineChars="200"/>
        <w:jc w:val="left"/>
        <w:rPr>
          <w:rFonts w:hint="eastAsia" w:ascii="仿宋" w:hAnsi="仿宋" w:eastAsia="仿宋" w:cs="仿宋"/>
          <w:i w:val="0"/>
          <w:caps w:val="0"/>
          <w:color w:val="333333"/>
          <w:spacing w:val="0"/>
          <w:sz w:val="32"/>
          <w:szCs w:val="32"/>
          <w:lang w:eastAsia="zh-CN"/>
        </w:rPr>
      </w:pPr>
      <w:r>
        <w:rPr>
          <w:rFonts w:hint="eastAsia" w:ascii="仿宋" w:hAnsi="仿宋" w:eastAsia="仿宋" w:cs="仿宋"/>
          <w:i w:val="0"/>
          <w:caps w:val="0"/>
          <w:color w:val="333333"/>
          <w:spacing w:val="0"/>
          <w:sz w:val="32"/>
          <w:szCs w:val="32"/>
          <w:shd w:val="clear" w:fill="FFFFFF"/>
          <w:lang w:eastAsia="zh-CN"/>
        </w:rPr>
        <w:t>民管会</w:t>
      </w:r>
      <w:r>
        <w:rPr>
          <w:rFonts w:hint="eastAsia" w:ascii="仿宋" w:hAnsi="仿宋" w:eastAsia="仿宋" w:cs="仿宋"/>
          <w:i w:val="0"/>
          <w:caps w:val="0"/>
          <w:color w:val="333333"/>
          <w:spacing w:val="0"/>
          <w:sz w:val="32"/>
          <w:szCs w:val="32"/>
          <w:shd w:val="clear" w:fill="FFFFFF"/>
        </w:rPr>
        <w:t>是通过寺庙僧尼民主选举并经过当地宗教部门批准产生的管理机构，其职责就是依照国家法律和寺庙规章制度，负责管理好本寺的各项事务。学习佛经、潜心修行是每个入寺喇嘛的终身追求。</w:t>
      </w:r>
      <w:r>
        <w:rPr>
          <w:rFonts w:hint="eastAsia" w:ascii="仿宋" w:hAnsi="仿宋" w:eastAsia="仿宋" w:cs="仿宋"/>
          <w:i w:val="0"/>
          <w:caps w:val="0"/>
          <w:color w:val="333333"/>
          <w:spacing w:val="0"/>
          <w:sz w:val="32"/>
          <w:szCs w:val="32"/>
          <w:shd w:val="clear" w:fill="FFFFFF"/>
          <w:lang w:eastAsia="zh-CN"/>
        </w:rPr>
        <w:t>发放补助是</w:t>
      </w:r>
      <w:r>
        <w:rPr>
          <w:rFonts w:hint="eastAsia" w:ascii="仿宋" w:hAnsi="仿宋" w:eastAsia="仿宋" w:cs="仿宋"/>
          <w:i w:val="0"/>
          <w:caps w:val="0"/>
          <w:color w:val="333333"/>
          <w:spacing w:val="0"/>
          <w:sz w:val="32"/>
          <w:szCs w:val="32"/>
          <w:shd w:val="clear" w:fill="FFFFFF"/>
        </w:rPr>
        <w:t>为了切实</w:t>
      </w:r>
      <w:r>
        <w:rPr>
          <w:rFonts w:hint="eastAsia" w:ascii="仿宋" w:hAnsi="仿宋" w:eastAsia="仿宋" w:cs="仿宋"/>
          <w:i w:val="0"/>
          <w:caps w:val="0"/>
          <w:color w:val="333333"/>
          <w:spacing w:val="0"/>
          <w:sz w:val="32"/>
          <w:szCs w:val="32"/>
          <w:shd w:val="clear" w:fill="FFFFFF"/>
          <w:lang w:eastAsia="zh-CN"/>
        </w:rPr>
        <w:t>减低</w:t>
      </w:r>
      <w:r>
        <w:rPr>
          <w:rFonts w:hint="eastAsia" w:ascii="仿宋" w:hAnsi="仿宋" w:eastAsia="仿宋" w:cs="仿宋"/>
          <w:i w:val="0"/>
          <w:caps w:val="0"/>
          <w:color w:val="333333"/>
          <w:spacing w:val="0"/>
          <w:sz w:val="32"/>
          <w:szCs w:val="32"/>
          <w:shd w:val="clear" w:fill="FFFFFF"/>
        </w:rPr>
        <w:t>他们生活中的</w:t>
      </w:r>
      <w:r>
        <w:rPr>
          <w:rFonts w:hint="eastAsia" w:ascii="仿宋" w:hAnsi="仿宋" w:eastAsia="仿宋" w:cs="仿宋"/>
          <w:i w:val="0"/>
          <w:caps w:val="0"/>
          <w:color w:val="333333"/>
          <w:spacing w:val="0"/>
          <w:sz w:val="32"/>
          <w:szCs w:val="32"/>
          <w:shd w:val="clear" w:fill="FFFFFF"/>
          <w:lang w:eastAsia="zh-CN"/>
        </w:rPr>
        <w:t>经费困难，更好的管理寺庙，管理僧人。</w:t>
      </w:r>
    </w:p>
    <w:p>
      <w:pPr>
        <w:numPr>
          <w:ilvl w:val="0"/>
          <w:numId w:val="11"/>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项目管理</w:t>
      </w:r>
    </w:p>
    <w:p>
      <w:pPr>
        <w:numPr>
          <w:ilvl w:val="0"/>
          <w:numId w:val="0"/>
        </w:numPr>
        <w:spacing w:line="580" w:lineRule="exact"/>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   补助资金由民管会主任到民管会副主任到民管会成员由高到低发放。辖区民管会补助平均每人1380-1980之间。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3、项目绩效</w:t>
      </w: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民管会补助</w:t>
      </w:r>
      <w:r>
        <w:rPr>
          <w:rFonts w:hint="eastAsia" w:ascii="仿宋" w:hAnsi="仿宋" w:eastAsia="仿宋" w:cs="仿宋_GB2312"/>
          <w:sz w:val="32"/>
          <w:szCs w:val="32"/>
        </w:rPr>
        <w:t>目标</w:t>
      </w:r>
      <w:r>
        <w:rPr>
          <w:rFonts w:hint="eastAsia" w:ascii="仿宋" w:hAnsi="仿宋" w:eastAsia="仿宋" w:cs="仿宋_GB2312"/>
          <w:sz w:val="32"/>
          <w:szCs w:val="32"/>
          <w:lang w:eastAsia="zh-CN"/>
        </w:rPr>
        <w:t>是</w:t>
      </w:r>
      <w:r>
        <w:rPr>
          <w:rFonts w:hint="eastAsia" w:ascii="仿宋" w:hAnsi="仿宋" w:eastAsia="仿宋" w:cs="仿宋_GB2312"/>
          <w:sz w:val="32"/>
          <w:szCs w:val="32"/>
        </w:rPr>
        <w:t>包括了数量指标、满意度指标、时效指标。该项目各项指标实际完成均达到年初绩效目标。</w:t>
      </w:r>
    </w:p>
    <w:p>
      <w:pPr>
        <w:numPr>
          <w:ilvl w:val="0"/>
          <w:numId w:val="2"/>
        </w:numPr>
        <w:spacing w:line="580" w:lineRule="exact"/>
        <w:ind w:left="1360" w:leftChars="0" w:hanging="720" w:firstLineChars="0"/>
        <w:rPr>
          <w:rFonts w:ascii="仿宋" w:hAnsi="仿宋" w:eastAsia="仿宋" w:cs="仿宋_GB2312"/>
          <w:sz w:val="32"/>
          <w:szCs w:val="32"/>
        </w:rPr>
      </w:pPr>
      <w:r>
        <w:rPr>
          <w:rFonts w:ascii="仿宋" w:hAnsi="仿宋" w:eastAsia="仿宋" w:cs="仿宋_GB2312"/>
          <w:sz w:val="32"/>
          <w:szCs w:val="32"/>
        </w:rPr>
        <w:t>存在主要问题</w:t>
      </w:r>
    </w:p>
    <w:p>
      <w:pPr>
        <w:numPr>
          <w:ilvl w:val="0"/>
          <w:numId w:val="0"/>
        </w:numPr>
        <w:spacing w:line="580" w:lineRule="exact"/>
        <w:ind w:left="640" w:leftChars="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 无</w:t>
      </w:r>
    </w:p>
    <w:p>
      <w:pPr>
        <w:numPr>
          <w:ilvl w:val="0"/>
          <w:numId w:val="2"/>
        </w:numPr>
        <w:spacing w:line="580" w:lineRule="exact"/>
        <w:ind w:left="1360" w:leftChars="0" w:hanging="720" w:firstLineChars="0"/>
        <w:rPr>
          <w:rFonts w:ascii="仿宋" w:hAnsi="仿宋" w:eastAsia="仿宋" w:cs="仿宋_GB2312"/>
          <w:sz w:val="32"/>
          <w:szCs w:val="32"/>
        </w:rPr>
      </w:pPr>
      <w:r>
        <w:rPr>
          <w:rFonts w:ascii="仿宋" w:hAnsi="仿宋" w:eastAsia="仿宋" w:cs="仿宋_GB2312"/>
          <w:sz w:val="32"/>
          <w:szCs w:val="32"/>
        </w:rPr>
        <w:t>相关措施建议</w:t>
      </w:r>
    </w:p>
    <w:p>
      <w:pPr>
        <w:spacing w:line="600" w:lineRule="exact"/>
        <w:ind w:firstLine="640" w:firstLineChars="200"/>
        <w:jc w:val="left"/>
        <w:outlineLvl w:val="0"/>
        <w:rPr>
          <w:rFonts w:hint="eastAsia" w:ascii="仿宋" w:hAnsi="仿宋" w:eastAsia="仿宋" w:cs="仿宋_GB2312"/>
          <w:sz w:val="32"/>
          <w:szCs w:val="32"/>
        </w:rPr>
      </w:pPr>
      <w:r>
        <w:rPr>
          <w:rFonts w:hint="eastAsia" w:ascii="仿宋" w:hAnsi="仿宋" w:eastAsia="仿宋" w:cs="仿宋_GB2312"/>
          <w:sz w:val="32"/>
          <w:szCs w:val="32"/>
        </w:rPr>
        <w:t>累积经验，完善、细化、规范绩效管理，指标的设计可能需要更加的科学性。</w:t>
      </w: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580" w:lineRule="exact"/>
        <w:ind w:firstLine="880" w:firstLineChars="200"/>
        <w:jc w:val="both"/>
        <w:rPr>
          <w:rFonts w:hint="eastAsia" w:ascii="黑体" w:hAnsi="黑体" w:eastAsia="黑体" w:cs="方正小标宋简体"/>
          <w:sz w:val="44"/>
          <w:szCs w:val="44"/>
        </w:rPr>
      </w:pPr>
      <w:r>
        <w:rPr>
          <w:rFonts w:hint="eastAsia" w:ascii="黑体" w:hAnsi="黑体" w:eastAsia="黑体" w:cs="方正小标宋简体"/>
          <w:sz w:val="44"/>
          <w:szCs w:val="44"/>
        </w:rPr>
        <w:t>2018年</w:t>
      </w:r>
      <w:r>
        <w:rPr>
          <w:rFonts w:hint="eastAsia" w:ascii="黑体" w:hAnsi="黑体" w:eastAsia="黑体" w:cs="方正小标宋简体"/>
          <w:sz w:val="44"/>
          <w:szCs w:val="44"/>
          <w:lang w:eastAsia="zh-CN"/>
        </w:rPr>
        <w:t>辖区劝返僧人生活补助</w:t>
      </w:r>
      <w:r>
        <w:rPr>
          <w:rFonts w:hint="eastAsia" w:ascii="黑体" w:hAnsi="黑体" w:eastAsia="黑体" w:cs="方正小标宋简体"/>
          <w:sz w:val="44"/>
          <w:szCs w:val="44"/>
        </w:rPr>
        <w:t>项目</w:t>
      </w:r>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pPr>
        <w:spacing w:line="56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eastAsia="zh-CN"/>
        </w:rPr>
        <w:t>辖区劝返僧人生活补助是由统战部发放我委，我委落实辖区</w:t>
      </w:r>
      <w:r>
        <w:rPr>
          <w:rFonts w:hint="eastAsia" w:ascii="仿宋" w:hAnsi="仿宋" w:eastAsia="仿宋" w:cs="仿宋_GB2312"/>
          <w:sz w:val="32"/>
          <w:szCs w:val="32"/>
          <w:lang w:val="en-US" w:eastAsia="zh-CN"/>
        </w:rPr>
        <w:t>17名劝返僧人补助经费。</w:t>
      </w: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34</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34</w:t>
      </w:r>
      <w:r>
        <w:rPr>
          <w:rFonts w:hint="eastAsia" w:ascii="仿宋" w:hAnsi="仿宋" w:eastAsia="仿宋" w:cs="仿宋_GB2312"/>
          <w:sz w:val="32"/>
          <w:szCs w:val="32"/>
        </w:rPr>
        <w:t>万元。</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rPr>
        <w:t>本项目年度预算</w:t>
      </w:r>
      <w:r>
        <w:rPr>
          <w:rFonts w:hint="eastAsia" w:ascii="仿宋" w:hAnsi="仿宋" w:eastAsia="仿宋" w:cs="仿宋_GB2312"/>
          <w:sz w:val="32"/>
          <w:szCs w:val="32"/>
          <w:lang w:val="en-US" w:eastAsia="zh-CN"/>
        </w:rPr>
        <w:t>34</w:t>
      </w:r>
      <w:r>
        <w:rPr>
          <w:rFonts w:hint="eastAsia" w:ascii="仿宋" w:hAnsi="仿宋" w:eastAsia="仿宋" w:cs="仿宋_GB2312"/>
          <w:sz w:val="32"/>
          <w:szCs w:val="32"/>
        </w:rPr>
        <w:t>万元，实际支出</w:t>
      </w:r>
      <w:r>
        <w:rPr>
          <w:rFonts w:hint="eastAsia" w:ascii="仿宋" w:hAnsi="仿宋" w:eastAsia="仿宋" w:cs="仿宋_GB2312"/>
          <w:sz w:val="32"/>
          <w:szCs w:val="32"/>
          <w:lang w:val="en-US" w:eastAsia="zh-CN"/>
        </w:rPr>
        <w:t>34</w:t>
      </w:r>
      <w:r>
        <w:rPr>
          <w:rFonts w:hint="eastAsia" w:ascii="仿宋" w:hAnsi="仿宋" w:eastAsia="仿宋" w:cs="仿宋_GB2312"/>
          <w:sz w:val="32"/>
          <w:szCs w:val="32"/>
        </w:rPr>
        <w:t>万元。项目</w:t>
      </w:r>
      <w:r>
        <w:rPr>
          <w:rFonts w:hint="eastAsia" w:ascii="仿宋" w:hAnsi="仿宋" w:eastAsia="仿宋" w:cs="仿宋_GB2312"/>
          <w:sz w:val="32"/>
          <w:szCs w:val="32"/>
          <w:lang w:eastAsia="zh-CN"/>
        </w:rPr>
        <w:t>完成</w:t>
      </w:r>
      <w:r>
        <w:rPr>
          <w:rFonts w:hint="eastAsia" w:ascii="仿宋" w:hAnsi="仿宋" w:eastAsia="仿宋" w:cs="仿宋_GB2312"/>
          <w:sz w:val="32"/>
          <w:szCs w:val="32"/>
          <w:lang w:val="en-US" w:eastAsia="zh-CN"/>
        </w:rPr>
        <w:t>100%</w:t>
      </w:r>
      <w:r>
        <w:rPr>
          <w:rFonts w:hint="eastAsia" w:ascii="仿宋" w:hAnsi="仿宋" w:eastAsia="仿宋" w:cs="仿宋_GB2312"/>
          <w:sz w:val="32"/>
          <w:szCs w:val="32"/>
        </w:rPr>
        <w:t>，项目的</w:t>
      </w:r>
      <w:r>
        <w:rPr>
          <w:rFonts w:hint="eastAsia" w:ascii="仿宋" w:hAnsi="仿宋" w:eastAsia="仿宋" w:cs="仿宋_GB2312"/>
          <w:sz w:val="32"/>
          <w:szCs w:val="32"/>
          <w:lang w:eastAsia="zh-CN"/>
        </w:rPr>
        <w:t>反映良好</w:t>
      </w:r>
      <w:r>
        <w:rPr>
          <w:rFonts w:hint="eastAsia" w:ascii="仿宋" w:hAnsi="仿宋" w:eastAsia="仿宋" w:cs="仿宋_GB2312"/>
          <w:sz w:val="32"/>
          <w:szCs w:val="32"/>
        </w:rPr>
        <w:t>，具有可持续性</w:t>
      </w:r>
      <w:r>
        <w:rPr>
          <w:rFonts w:hint="eastAsia" w:ascii="仿宋" w:hAnsi="仿宋" w:eastAsia="仿宋" w:cs="仿宋_GB2312"/>
          <w:sz w:val="32"/>
          <w:szCs w:val="32"/>
          <w:lang w:eastAsia="zh-CN"/>
        </w:rPr>
        <w:t>。</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（二）绩效分析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1、项目决策</w:t>
      </w:r>
    </w:p>
    <w:p>
      <w:pPr>
        <w:numPr>
          <w:ilvl w:val="0"/>
          <w:numId w:val="0"/>
        </w:numPr>
        <w:spacing w:line="580" w:lineRule="exact"/>
        <w:ind w:firstLine="640" w:firstLineChars="200"/>
        <w:rPr>
          <w:rFonts w:hint="eastAsia" w:ascii="仿宋" w:hAnsi="仿宋" w:eastAsia="仿宋" w:cs="仿宋"/>
          <w:i w:val="0"/>
          <w:caps w:val="0"/>
          <w:color w:val="1E1E1E"/>
          <w:spacing w:val="0"/>
          <w:sz w:val="32"/>
          <w:szCs w:val="32"/>
          <w:shd w:val="clear" w:fill="FFFFFF"/>
        </w:rPr>
      </w:pPr>
      <w:r>
        <w:rPr>
          <w:rFonts w:hint="eastAsia" w:ascii="仿宋" w:hAnsi="仿宋" w:eastAsia="仿宋" w:cs="仿宋"/>
          <w:i w:val="0"/>
          <w:caps w:val="0"/>
          <w:color w:val="1E1E1E"/>
          <w:spacing w:val="0"/>
          <w:sz w:val="32"/>
          <w:szCs w:val="32"/>
          <w:shd w:val="clear" w:fill="FFFFFF"/>
        </w:rPr>
        <w:t>通过开展</w:t>
      </w:r>
      <w:r>
        <w:rPr>
          <w:rFonts w:hint="eastAsia" w:ascii="仿宋" w:hAnsi="仿宋" w:eastAsia="仿宋" w:cs="仿宋"/>
          <w:i w:val="0"/>
          <w:caps w:val="0"/>
          <w:color w:val="1E1E1E"/>
          <w:spacing w:val="0"/>
          <w:sz w:val="32"/>
          <w:szCs w:val="32"/>
          <w:shd w:val="clear" w:fill="FFFFFF"/>
          <w:lang w:eastAsia="zh-CN"/>
        </w:rPr>
        <w:t>生活补助</w:t>
      </w:r>
      <w:r>
        <w:rPr>
          <w:rFonts w:hint="eastAsia" w:ascii="仿宋" w:hAnsi="仿宋" w:eastAsia="仿宋" w:cs="仿宋"/>
          <w:i w:val="0"/>
          <w:caps w:val="0"/>
          <w:color w:val="1E1E1E"/>
          <w:spacing w:val="0"/>
          <w:sz w:val="32"/>
          <w:szCs w:val="32"/>
          <w:shd w:val="clear" w:fill="FFFFFF"/>
        </w:rPr>
        <w:t>，进一步拉近了政府与僧尼之间的距离，僧尼们也纷纷表示他们将持戒守法、爱国爱教，行动上同上级保持高度一致。救助工作的及时开展，为创建民族团结和维护社会稳定，构建和谐果洛奠定了坚实的基础。</w:t>
      </w:r>
    </w:p>
    <w:p>
      <w:pPr>
        <w:numPr>
          <w:ilvl w:val="0"/>
          <w:numId w:val="0"/>
        </w:num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2.</w:t>
      </w:r>
      <w:r>
        <w:rPr>
          <w:rFonts w:ascii="仿宋" w:hAnsi="仿宋" w:eastAsia="仿宋" w:cs="仿宋_GB2312"/>
          <w:sz w:val="32"/>
          <w:szCs w:val="32"/>
        </w:rPr>
        <w:t>项目管理</w:t>
      </w:r>
    </w:p>
    <w:p>
      <w:pPr>
        <w:numPr>
          <w:ilvl w:val="0"/>
          <w:numId w:val="0"/>
        </w:numPr>
        <w:spacing w:line="580" w:lineRule="exact"/>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   项目共计费用34万，僧人17名，每人2万。</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3、项目绩效</w:t>
      </w: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民管会补助</w:t>
      </w:r>
      <w:r>
        <w:rPr>
          <w:rFonts w:hint="eastAsia" w:ascii="仿宋" w:hAnsi="仿宋" w:eastAsia="仿宋" w:cs="仿宋_GB2312"/>
          <w:sz w:val="32"/>
          <w:szCs w:val="32"/>
        </w:rPr>
        <w:t>目标</w:t>
      </w:r>
      <w:r>
        <w:rPr>
          <w:rFonts w:hint="eastAsia" w:ascii="仿宋" w:hAnsi="仿宋" w:eastAsia="仿宋" w:cs="仿宋_GB2312"/>
          <w:sz w:val="32"/>
          <w:szCs w:val="32"/>
          <w:lang w:eastAsia="zh-CN"/>
        </w:rPr>
        <w:t>是</w:t>
      </w:r>
      <w:r>
        <w:rPr>
          <w:rFonts w:hint="eastAsia" w:ascii="仿宋" w:hAnsi="仿宋" w:eastAsia="仿宋" w:cs="仿宋_GB2312"/>
          <w:sz w:val="32"/>
          <w:szCs w:val="32"/>
        </w:rPr>
        <w:t>包括了数量指标、满意度指标、时效指标。该项目各项指标实际完成均达到年初绩效目标。</w:t>
      </w:r>
    </w:p>
    <w:p>
      <w:pPr>
        <w:numPr>
          <w:ilvl w:val="0"/>
          <w:numId w:val="2"/>
        </w:numPr>
        <w:spacing w:line="580" w:lineRule="exact"/>
        <w:ind w:left="1360" w:leftChars="0" w:hanging="720" w:firstLineChars="0"/>
        <w:rPr>
          <w:rFonts w:ascii="仿宋" w:hAnsi="仿宋" w:eastAsia="仿宋" w:cs="仿宋_GB2312"/>
          <w:sz w:val="32"/>
          <w:szCs w:val="32"/>
        </w:rPr>
      </w:pPr>
      <w:r>
        <w:rPr>
          <w:rFonts w:ascii="仿宋" w:hAnsi="仿宋" w:eastAsia="仿宋" w:cs="仿宋_GB2312"/>
          <w:sz w:val="32"/>
          <w:szCs w:val="32"/>
        </w:rPr>
        <w:t>存在主要问题</w:t>
      </w:r>
    </w:p>
    <w:p>
      <w:pPr>
        <w:numPr>
          <w:ilvl w:val="0"/>
          <w:numId w:val="0"/>
        </w:numPr>
        <w:spacing w:line="580" w:lineRule="exact"/>
        <w:ind w:left="640" w:leftChars="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 发放时人员不集中，散落各地，导致发放存在一定困难。</w:t>
      </w:r>
    </w:p>
    <w:p>
      <w:pPr>
        <w:numPr>
          <w:ilvl w:val="0"/>
          <w:numId w:val="2"/>
        </w:numPr>
        <w:spacing w:line="580" w:lineRule="exact"/>
        <w:ind w:left="1360" w:leftChars="0" w:hanging="720" w:firstLineChars="0"/>
        <w:rPr>
          <w:rFonts w:ascii="仿宋" w:hAnsi="仿宋" w:eastAsia="仿宋" w:cs="仿宋_GB2312"/>
          <w:sz w:val="32"/>
          <w:szCs w:val="32"/>
        </w:rPr>
      </w:pPr>
      <w:r>
        <w:rPr>
          <w:rFonts w:ascii="仿宋" w:hAnsi="仿宋" w:eastAsia="仿宋" w:cs="仿宋_GB2312"/>
          <w:sz w:val="32"/>
          <w:szCs w:val="32"/>
        </w:rPr>
        <w:t>相关措施建议</w:t>
      </w:r>
    </w:p>
    <w:p>
      <w:pPr>
        <w:spacing w:line="600" w:lineRule="exact"/>
        <w:jc w:val="left"/>
        <w:outlineLvl w:val="0"/>
        <w:rPr>
          <w:rFonts w:hint="eastAsia" w:ascii="仿宋" w:hAnsi="仿宋" w:eastAsia="仿宋" w:cs="仿宋_GB2312"/>
          <w:sz w:val="32"/>
          <w:szCs w:val="32"/>
        </w:rPr>
      </w:pPr>
      <w:r>
        <w:rPr>
          <w:rFonts w:hint="eastAsia" w:ascii="仿宋" w:hAnsi="仿宋" w:eastAsia="仿宋" w:cs="仿宋_GB2312"/>
          <w:sz w:val="32"/>
          <w:szCs w:val="32"/>
        </w:rPr>
        <w:t>累积经验，完善、细化、规范绩效管理，指标的设计可能需要更加的科学性。</w:t>
      </w: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left"/>
        <w:outlineLvl w:val="0"/>
        <w:rPr>
          <w:rFonts w:hint="eastAsia" w:ascii="仿宋" w:hAnsi="仿宋" w:eastAsia="仿宋" w:cs="仿宋_GB2312"/>
          <w:sz w:val="32"/>
          <w:szCs w:val="32"/>
        </w:rPr>
      </w:pPr>
    </w:p>
    <w:p>
      <w:pPr>
        <w:spacing w:line="600" w:lineRule="exact"/>
        <w:jc w:val="center"/>
        <w:outlineLvl w:val="0"/>
        <w:rPr>
          <w:rFonts w:hint="eastAsia" w:ascii="仿宋" w:hAnsi="仿宋" w:eastAsia="仿宋" w:cs="仿宋_GB2312"/>
          <w:sz w:val="32"/>
          <w:szCs w:val="32"/>
        </w:rPr>
      </w:pPr>
    </w:p>
    <w:bookmarkEnd w:id="55"/>
    <w:bookmarkEnd w:id="60"/>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1"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1"/>
    </w:p>
    <w:p>
      <w:pPr>
        <w:pStyle w:val="3"/>
        <w:rPr>
          <w:rFonts w:ascii="仿宋" w:hAnsi="仿宋" w:eastAsia="仿宋"/>
          <w:color w:val="000000"/>
        </w:rPr>
      </w:pPr>
      <w:bookmarkStart w:id="62" w:name="_Toc15396620"/>
      <w:r>
        <w:rPr>
          <w:rFonts w:hint="eastAsia" w:ascii="仿宋" w:hAnsi="仿宋" w:eastAsia="仿宋"/>
          <w:b w:val="0"/>
          <w:color w:val="000000"/>
        </w:rPr>
        <w:t>二、收</w:t>
      </w:r>
      <w:r>
        <w:rPr>
          <w:rStyle w:val="27"/>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2"/>
    </w:p>
    <w:p>
      <w:pPr>
        <w:pStyle w:val="3"/>
        <w:rPr>
          <w:rFonts w:ascii="仿宋" w:hAnsi="仿宋" w:eastAsia="仿宋"/>
          <w:color w:val="000000" w:themeColor="text1"/>
          <w14:textFill>
            <w14:solidFill>
              <w14:schemeClr w14:val="tx1"/>
            </w14:solidFill>
          </w14:textFill>
        </w:rPr>
      </w:pPr>
      <w:bookmarkStart w:id="73"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3"/>
    </w:p>
    <w:p>
      <w:pPr>
        <w:pStyle w:val="3"/>
        <w:rPr>
          <w:rFonts w:ascii="仿宋" w:hAnsi="仿宋" w:eastAsia="仿宋"/>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80AFAE"/>
    <w:multiLevelType w:val="singleLevel"/>
    <w:tmpl w:val="8A80AFAE"/>
    <w:lvl w:ilvl="0" w:tentative="0">
      <w:start w:val="2"/>
      <w:numFmt w:val="decimal"/>
      <w:suff w:val="nothing"/>
      <w:lvlText w:val="%1、"/>
      <w:lvlJc w:val="left"/>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1E57BE5D"/>
    <w:multiLevelType w:val="singleLevel"/>
    <w:tmpl w:val="1E57BE5D"/>
    <w:lvl w:ilvl="0" w:tentative="0">
      <w:start w:val="2"/>
      <w:numFmt w:val="chineseCounting"/>
      <w:suff w:val="nothing"/>
      <w:lvlText w:val="（%1）"/>
      <w:lvlJc w:val="left"/>
      <w:rPr>
        <w:rFonts w:hint="eastAsia"/>
      </w:rPr>
    </w:lvl>
  </w:abstractNum>
  <w:abstractNum w:abstractNumId="8">
    <w:nsid w:val="2D5B7993"/>
    <w:multiLevelType w:val="singleLevel"/>
    <w:tmpl w:val="2D5B7993"/>
    <w:lvl w:ilvl="0" w:tentative="0">
      <w:start w:val="1"/>
      <w:numFmt w:val="decimal"/>
      <w:lvlText w:val="%1."/>
      <w:lvlJc w:val="left"/>
      <w:pPr>
        <w:tabs>
          <w:tab w:val="left" w:pos="312"/>
        </w:tabs>
      </w:pPr>
    </w:lvl>
  </w:abstractNum>
  <w:abstractNum w:abstractNumId="9">
    <w:nsid w:val="43C214C4"/>
    <w:multiLevelType w:val="singleLevel"/>
    <w:tmpl w:val="43C214C4"/>
    <w:lvl w:ilvl="0" w:tentative="0">
      <w:start w:val="2"/>
      <w:numFmt w:val="chineseCounting"/>
      <w:suff w:val="nothing"/>
      <w:lvlText w:val="（%1）"/>
      <w:lvlJc w:val="left"/>
      <w:rPr>
        <w:rFonts w:hint="eastAsia"/>
      </w:rPr>
    </w:lvl>
  </w:abstractNum>
  <w:abstractNum w:abstractNumId="10">
    <w:nsid w:val="5AA62A59"/>
    <w:multiLevelType w:val="singleLevel"/>
    <w:tmpl w:val="5AA62A59"/>
    <w:lvl w:ilvl="0" w:tentative="0">
      <w:start w:val="1"/>
      <w:numFmt w:val="decimal"/>
      <w:suff w:val="nothing"/>
      <w:lvlText w:val="%1."/>
      <w:lvlJc w:val="left"/>
    </w:lvl>
  </w:abstractNum>
  <w:num w:numId="1">
    <w:abstractNumId w:val="10"/>
  </w:num>
  <w:num w:numId="2">
    <w:abstractNumId w:val="5"/>
  </w:num>
  <w:num w:numId="3">
    <w:abstractNumId w:val="8"/>
  </w:num>
  <w:num w:numId="4">
    <w:abstractNumId w:val="2"/>
  </w:num>
  <w:num w:numId="5">
    <w:abstractNumId w:val="6"/>
  </w:num>
  <w:num w:numId="6">
    <w:abstractNumId w:val="4"/>
  </w:num>
  <w:num w:numId="7">
    <w:abstractNumId w:val="1"/>
  </w:num>
  <w:num w:numId="8">
    <w:abstractNumId w:val="3"/>
  </w:num>
  <w:num w:numId="9">
    <w:abstractNumId w:val="7"/>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28A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0984"/>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37F55"/>
    <w:rsid w:val="006440E4"/>
    <w:rsid w:val="0066343B"/>
    <w:rsid w:val="00664777"/>
    <w:rsid w:val="00672385"/>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2D13"/>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B7F1F"/>
    <w:rsid w:val="00ED1B63"/>
    <w:rsid w:val="00ED3C1F"/>
    <w:rsid w:val="00ED4085"/>
    <w:rsid w:val="00ED420E"/>
    <w:rsid w:val="00EE2F57"/>
    <w:rsid w:val="00EF4C34"/>
    <w:rsid w:val="00EF77C6"/>
    <w:rsid w:val="00F05438"/>
    <w:rsid w:val="00F1361C"/>
    <w:rsid w:val="00F160C7"/>
    <w:rsid w:val="00F36D8F"/>
    <w:rsid w:val="00F417B1"/>
    <w:rsid w:val="00F602DF"/>
    <w:rsid w:val="00F61B31"/>
    <w:rsid w:val="00F81FD9"/>
    <w:rsid w:val="00F841AA"/>
    <w:rsid w:val="00FA23E8"/>
    <w:rsid w:val="00FD3CC1"/>
    <w:rsid w:val="00FF1E02"/>
    <w:rsid w:val="00FF30B4"/>
    <w:rsid w:val="0F3D48DF"/>
    <w:rsid w:val="10C055FF"/>
    <w:rsid w:val="16BB723D"/>
    <w:rsid w:val="240371BF"/>
    <w:rsid w:val="29FD04D3"/>
    <w:rsid w:val="2EE71BA3"/>
    <w:rsid w:val="319F7F4E"/>
    <w:rsid w:val="5E7278C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unhideWhenUsed/>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HTML Preformatted"/>
    <w:basedOn w:val="1"/>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uiPriority w:val="99"/>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uiPriority w:val="99"/>
    <w:rPr>
      <w:color w:val="0000FF" w:themeColor="hyperlink"/>
      <w:u w:val="single"/>
      <w14:textFill>
        <w14:solidFill>
          <w14:schemeClr w14:val="hlink"/>
        </w14:solidFill>
      </w14:textFill>
    </w:rPr>
  </w:style>
  <w:style w:type="character" w:customStyle="1" w:styleId="18">
    <w:name w:val="Header Char"/>
    <w:basedOn w:val="14"/>
    <w:semiHidden/>
    <w:qFormat/>
    <w:uiPriority w:val="99"/>
    <w:rPr>
      <w:rFonts w:ascii="Times New Roman" w:hAnsi="Times New Roman"/>
      <w:sz w:val="18"/>
      <w:szCs w:val="18"/>
    </w:rPr>
  </w:style>
  <w:style w:type="character" w:customStyle="1" w:styleId="19">
    <w:name w:val="页眉 Char"/>
    <w:link w:val="9"/>
    <w:semiHidden/>
    <w:qFormat/>
    <w:locked/>
    <w:uiPriority w:val="99"/>
    <w:rPr>
      <w:sz w:val="18"/>
    </w:rPr>
  </w:style>
  <w:style w:type="character" w:customStyle="1" w:styleId="20">
    <w:name w:val="Footer Char"/>
    <w:basedOn w:val="14"/>
    <w:semiHidden/>
    <w:qFormat/>
    <w:uiPriority w:val="99"/>
    <w:rPr>
      <w:rFonts w:ascii="Times New Roman" w:hAnsi="Times New Roman"/>
      <w:sz w:val="18"/>
      <w:szCs w:val="18"/>
    </w:rPr>
  </w:style>
  <w:style w:type="character" w:customStyle="1" w:styleId="21">
    <w:name w:val="页脚 Char"/>
    <w:link w:val="8"/>
    <w:qFormat/>
    <w:locked/>
    <w:uiPriority w:val="99"/>
    <w:rPr>
      <w:sz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4"/>
    <w:link w:val="2"/>
    <w:qFormat/>
    <w:uiPriority w:val="9"/>
    <w:rPr>
      <w:rFonts w:ascii="Times New Roman" w:hAnsi="Times New Roman"/>
      <w:b/>
      <w:bCs/>
      <w:kern w:val="44"/>
      <w:sz w:val="44"/>
      <w:szCs w:val="44"/>
    </w:rPr>
  </w:style>
  <w:style w:type="character" w:customStyle="1" w:styleId="27">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8">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4"/>
    <w:link w:val="7"/>
    <w:semiHidden/>
    <w:uiPriority w:val="99"/>
    <w:rPr>
      <w:rFonts w:ascii="Times New Roman" w:hAnsi="Times New Roman"/>
      <w:kern w:val="2"/>
      <w:sz w:val="18"/>
      <w:szCs w:val="18"/>
    </w:rPr>
  </w:style>
  <w:style w:type="character" w:customStyle="1" w:styleId="30">
    <w:name w:val="标题 3 Char"/>
    <w:basedOn w:val="14"/>
    <w:link w:val="4"/>
    <w:qFormat/>
    <w:uiPriority w:val="9"/>
    <w:rPr>
      <w:rFonts w:ascii="Times New Roman" w:hAnsi="Times New Roman"/>
      <w:b/>
      <w:bCs/>
      <w:kern w:val="2"/>
      <w:sz w:val="32"/>
      <w:szCs w:val="32"/>
    </w:rPr>
  </w:style>
  <w:style w:type="paragraph" w:customStyle="1" w:styleId="31">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a:t>
            </a:r>
          </a:p>
        </c:rich>
      </c:tx>
      <c:layout/>
      <c:overlay val="0"/>
      <c:spPr>
        <a:noFill/>
        <a:ln>
          <a:noFill/>
        </a:ln>
        <a:effectLst/>
      </c:spPr>
    </c:title>
    <c:autoTitleDeleted val="0"/>
    <c:plotArea>
      <c:layout>
        <c:manualLayout>
          <c:layoutTarget val="inner"/>
          <c:xMode val="edge"/>
          <c:yMode val="edge"/>
          <c:x val="0.0727222222222222"/>
          <c:y val="0.325694444444444"/>
          <c:w val="0.894638888888889"/>
          <c:h val="0.656805555555556"/>
        </c:manualLayout>
      </c:layout>
      <c:barChart>
        <c:barDir val="col"/>
        <c:grouping val="clustered"/>
        <c:varyColors val="0"/>
        <c:ser>
          <c:idx val="0"/>
          <c:order val="0"/>
          <c:tx>
            <c:strRef>
              <c:f>[工作簿1]Sheet1!$B$1</c:f>
              <c:strCache>
                <c:ptCount val="1"/>
                <c:pt idx="0">
                  <c:v>2017年</c:v>
                </c:pt>
              </c:strCache>
            </c:strRef>
          </c:tx>
          <c:spPr>
            <a:solidFill>
              <a:schemeClr val="accent1"/>
            </a:solidFill>
            <a:ln>
              <a:noFill/>
            </a:ln>
            <a:effectLst/>
          </c:spPr>
          <c:invertIfNegative val="0"/>
          <c:dLbls>
            <c:delete val="1"/>
          </c:dLbls>
          <c:cat>
            <c:numRef>
              <c:f>[工作簿1]Sheet1!$A$2:$A$10</c:f>
              <c:numCache>
                <c:formatCode>General</c:formatCode>
                <c:ptCount val="9"/>
              </c:numCache>
            </c:numRef>
          </c:cat>
          <c:val>
            <c:numRef>
              <c:f>[工作簿1]Sheet1!$B$2:$B$10</c:f>
              <c:numCache>
                <c:formatCode>General</c:formatCode>
                <c:ptCount val="9"/>
                <c:pt idx="0">
                  <c:v>201.44</c:v>
                </c:pt>
              </c:numCache>
            </c:numRef>
          </c:val>
        </c:ser>
        <c:ser>
          <c:idx val="1"/>
          <c:order val="1"/>
          <c:tx>
            <c:strRef>
              <c:f>[工作簿1]Sheet1!$C$1</c:f>
              <c:strCache>
                <c:ptCount val="1"/>
                <c:pt idx="0">
                  <c:v>2018年</c:v>
                </c:pt>
              </c:strCache>
            </c:strRef>
          </c:tx>
          <c:spPr>
            <a:solidFill>
              <a:schemeClr val="accent2"/>
            </a:solidFill>
            <a:ln>
              <a:noFill/>
            </a:ln>
            <a:effectLst/>
          </c:spPr>
          <c:invertIfNegative val="0"/>
          <c:dLbls>
            <c:delete val="1"/>
          </c:dLbls>
          <c:cat>
            <c:numRef>
              <c:f>[工作簿1]Sheet1!$A$2:$A$10</c:f>
              <c:numCache>
                <c:formatCode>General</c:formatCode>
                <c:ptCount val="9"/>
              </c:numCache>
            </c:numRef>
          </c:cat>
          <c:val>
            <c:numRef>
              <c:f>[工作簿1]Sheet1!$C$2:$C$10</c:f>
              <c:numCache>
                <c:formatCode>General</c:formatCode>
                <c:ptCount val="9"/>
                <c:pt idx="0">
                  <c:v>242.82</c:v>
                </c:pt>
              </c:numCache>
            </c:numRef>
          </c:val>
        </c:ser>
        <c:ser>
          <c:idx val="2"/>
          <c:order val="2"/>
          <c:tx>
            <c:strRef>
              <c:f>[工作簿1]Sheet1!$D$1</c:f>
              <c:strCache>
                <c:ptCount val="1"/>
                <c:pt idx="0">
                  <c:v/>
                </c:pt>
              </c:strCache>
            </c:strRef>
          </c:tx>
          <c:spPr>
            <a:solidFill>
              <a:schemeClr val="accent3"/>
            </a:solidFill>
            <a:ln>
              <a:noFill/>
            </a:ln>
            <a:effectLst/>
          </c:spPr>
          <c:invertIfNegative val="0"/>
          <c:dLbls>
            <c:delete val="1"/>
          </c:dLbls>
          <c:cat>
            <c:numRef>
              <c:f>[工作簿1]Sheet1!$A$2:$A$10</c:f>
              <c:numCache>
                <c:formatCode>General</c:formatCode>
                <c:ptCount val="9"/>
              </c:numCache>
            </c:numRef>
          </c:cat>
          <c:val>
            <c:numRef>
              <c:f>[工作簿1]Sheet1!$D$2:$D$10</c:f>
              <c:numCache>
                <c:formatCode>General</c:formatCode>
                <c:ptCount val="9"/>
              </c:numCache>
            </c:numRef>
          </c:val>
        </c:ser>
        <c:dLbls>
          <c:showLegendKey val="0"/>
          <c:showVal val="0"/>
          <c:showCatName val="0"/>
          <c:showSerName val="0"/>
          <c:showPercent val="0"/>
          <c:showBubbleSize val="0"/>
        </c:dLbls>
        <c:gapWidth val="219"/>
        <c:overlap val="-27"/>
        <c:axId val="296502768"/>
        <c:axId val="724062453"/>
      </c:barChart>
      <c:catAx>
        <c:axId val="2965027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4062453"/>
        <c:crosses val="autoZero"/>
        <c:auto val="1"/>
        <c:lblAlgn val="ctr"/>
        <c:lblOffset val="100"/>
        <c:noMultiLvlLbl val="0"/>
      </c:catAx>
      <c:valAx>
        <c:axId val="7240624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65027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barChart>
        <c:barDir val="col"/>
        <c:grouping val="clustered"/>
        <c:varyColors val="0"/>
        <c:ser>
          <c:idx val="0"/>
          <c:order val="0"/>
          <c:tx>
            <c:strRef>
              <c:f>[工作簿1]Sheet1!$B$1</c:f>
              <c:strCache>
                <c:ptCount val="1"/>
                <c:pt idx="0">
                  <c:v>一般公共预算</c:v>
                </c:pt>
              </c:strCache>
            </c:strRef>
          </c:tx>
          <c:spPr>
            <a:solidFill>
              <a:schemeClr val="accent1"/>
            </a:solidFill>
            <a:ln>
              <a:noFill/>
            </a:ln>
            <a:effectLst/>
          </c:spPr>
          <c:invertIfNegative val="0"/>
          <c:dLbls>
            <c:delete val="1"/>
          </c:dLbls>
          <c:cat>
            <c:numRef>
              <c:f>[工作簿1]Sheet1!$A$2:$A$10</c:f>
              <c:numCache>
                <c:formatCode>General</c:formatCode>
                <c:ptCount val="9"/>
              </c:numCache>
            </c:numRef>
          </c:cat>
          <c:val>
            <c:numRef>
              <c:f>[工作簿1]Sheet1!$B$2:$B$10</c:f>
              <c:numCache>
                <c:formatCode>General</c:formatCode>
                <c:ptCount val="9"/>
                <c:pt idx="0">
                  <c:v>210.2</c:v>
                </c:pt>
              </c:numCache>
            </c:numRef>
          </c:val>
        </c:ser>
        <c:ser>
          <c:idx val="1"/>
          <c:order val="1"/>
          <c:tx>
            <c:strRef>
              <c:f>[工作簿1]Sheet1!$C$1</c:f>
              <c:strCache>
                <c:ptCount val="1"/>
                <c:pt idx="0">
                  <c:v>其他收入</c:v>
                </c:pt>
              </c:strCache>
            </c:strRef>
          </c:tx>
          <c:spPr>
            <a:solidFill>
              <a:schemeClr val="accent2"/>
            </a:solidFill>
            <a:ln>
              <a:noFill/>
            </a:ln>
            <a:effectLst/>
          </c:spPr>
          <c:invertIfNegative val="0"/>
          <c:dLbls>
            <c:delete val="1"/>
          </c:dLbls>
          <c:cat>
            <c:numRef>
              <c:f>[工作簿1]Sheet1!$A$2:$A$10</c:f>
              <c:numCache>
                <c:formatCode>General</c:formatCode>
                <c:ptCount val="9"/>
              </c:numCache>
            </c:numRef>
          </c:cat>
          <c:val>
            <c:numRef>
              <c:f>[工作簿1]Sheet1!$C$2:$C$10</c:f>
              <c:numCache>
                <c:formatCode>General</c:formatCode>
                <c:ptCount val="9"/>
                <c:pt idx="0">
                  <c:v>0.06</c:v>
                </c:pt>
              </c:numCache>
            </c:numRef>
          </c:val>
        </c:ser>
        <c:ser>
          <c:idx val="2"/>
          <c:order val="2"/>
          <c:tx>
            <c:strRef>
              <c:f>[工作簿1]Sheet1!$D$1</c:f>
              <c:strCache>
                <c:ptCount val="1"/>
                <c:pt idx="0">
                  <c:v/>
                </c:pt>
              </c:strCache>
            </c:strRef>
          </c:tx>
          <c:spPr>
            <a:solidFill>
              <a:schemeClr val="accent3"/>
            </a:solidFill>
            <a:ln>
              <a:noFill/>
            </a:ln>
            <a:effectLst/>
          </c:spPr>
          <c:invertIfNegative val="0"/>
          <c:dLbls>
            <c:delete val="1"/>
          </c:dLbls>
          <c:cat>
            <c:numRef>
              <c:f>[工作簿1]Sheet1!$A$2:$A$10</c:f>
              <c:numCache>
                <c:formatCode>General</c:formatCode>
                <c:ptCount val="9"/>
              </c:numCache>
            </c:numRef>
          </c:cat>
          <c:val>
            <c:numRef>
              <c:f>[工作簿1]Sheet1!$D$2:$D$10</c:f>
              <c:numCache>
                <c:formatCode>General</c:formatCode>
                <c:ptCount val="9"/>
              </c:numCache>
            </c:numRef>
          </c:val>
        </c:ser>
        <c:dLbls>
          <c:showLegendKey val="0"/>
          <c:showVal val="0"/>
          <c:showCatName val="0"/>
          <c:showSerName val="0"/>
          <c:showPercent val="0"/>
          <c:showBubbleSize val="0"/>
        </c:dLbls>
        <c:gapWidth val="219"/>
        <c:overlap val="-27"/>
        <c:axId val="296502768"/>
        <c:axId val="724062453"/>
      </c:barChart>
      <c:catAx>
        <c:axId val="2965027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4062453"/>
        <c:crosses val="autoZero"/>
        <c:auto val="1"/>
        <c:lblAlgn val="ctr"/>
        <c:lblOffset val="100"/>
        <c:noMultiLvlLbl val="0"/>
      </c:catAx>
      <c:valAx>
        <c:axId val="7240624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65027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manualLayout>
          <c:layoutTarget val="inner"/>
          <c:xMode val="edge"/>
          <c:yMode val="edge"/>
          <c:x val="0.0831388888888889"/>
          <c:y val="0.189814814814815"/>
          <c:w val="0.894638888888889"/>
          <c:h val="0.657268518518519"/>
        </c:manualLayout>
      </c:layout>
      <c:barChart>
        <c:barDir val="col"/>
        <c:grouping val="clustered"/>
        <c:varyColors val="0"/>
        <c:ser>
          <c:idx val="0"/>
          <c:order val="0"/>
          <c:tx>
            <c:strRef>
              <c:f>[工作簿1]Sheet1!$B$1</c:f>
              <c:strCache>
                <c:ptCount val="1"/>
                <c:pt idx="0">
                  <c:v>基本支出</c:v>
                </c:pt>
              </c:strCache>
            </c:strRef>
          </c:tx>
          <c:spPr>
            <a:solidFill>
              <a:schemeClr val="accent1"/>
            </a:solidFill>
            <a:ln>
              <a:noFill/>
            </a:ln>
            <a:effectLst/>
          </c:spPr>
          <c:invertIfNegative val="0"/>
          <c:dLbls>
            <c:delete val="1"/>
          </c:dLbls>
          <c:cat>
            <c:numRef>
              <c:f>[工作簿1]Sheet1!$A$2:$A$10</c:f>
              <c:numCache>
                <c:formatCode>General</c:formatCode>
                <c:ptCount val="9"/>
              </c:numCache>
            </c:numRef>
          </c:cat>
          <c:val>
            <c:numRef>
              <c:f>[工作簿1]Sheet1!$B$2:$B$10</c:f>
              <c:numCache>
                <c:formatCode>General</c:formatCode>
                <c:ptCount val="9"/>
                <c:pt idx="0">
                  <c:v>210.69</c:v>
                </c:pt>
              </c:numCache>
            </c:numRef>
          </c:val>
        </c:ser>
        <c:ser>
          <c:idx val="1"/>
          <c:order val="1"/>
          <c:tx>
            <c:strRef>
              <c:f>[工作簿1]Sheet1!$C$1</c:f>
              <c:strCache>
                <c:ptCount val="1"/>
                <c:pt idx="0">
                  <c:v>项目支出</c:v>
                </c:pt>
              </c:strCache>
            </c:strRef>
          </c:tx>
          <c:spPr>
            <a:solidFill>
              <a:schemeClr val="accent2"/>
            </a:solidFill>
            <a:ln>
              <a:noFill/>
            </a:ln>
            <a:effectLst/>
          </c:spPr>
          <c:invertIfNegative val="0"/>
          <c:dLbls>
            <c:delete val="1"/>
          </c:dLbls>
          <c:cat>
            <c:numRef>
              <c:f>[工作簿1]Sheet1!$A$2:$A$10</c:f>
              <c:numCache>
                <c:formatCode>General</c:formatCode>
                <c:ptCount val="9"/>
              </c:numCache>
            </c:numRef>
          </c:cat>
          <c:val>
            <c:numRef>
              <c:f>[工作簿1]Sheet1!$C$2:$C$10</c:f>
              <c:numCache>
                <c:formatCode>General</c:formatCode>
                <c:ptCount val="9"/>
                <c:pt idx="0">
                  <c:v>32.05</c:v>
                </c:pt>
              </c:numCache>
            </c:numRef>
          </c:val>
        </c:ser>
        <c:ser>
          <c:idx val="2"/>
          <c:order val="2"/>
          <c:tx>
            <c:strRef>
              <c:f>[工作簿1]Sheet1!$D$1</c:f>
              <c:strCache>
                <c:ptCount val="1"/>
                <c:pt idx="0">
                  <c:v/>
                </c:pt>
              </c:strCache>
            </c:strRef>
          </c:tx>
          <c:spPr>
            <a:solidFill>
              <a:schemeClr val="accent3"/>
            </a:solidFill>
            <a:ln>
              <a:noFill/>
            </a:ln>
            <a:effectLst/>
          </c:spPr>
          <c:invertIfNegative val="0"/>
          <c:dLbls>
            <c:delete val="1"/>
          </c:dLbls>
          <c:cat>
            <c:numRef>
              <c:f>[工作簿1]Sheet1!$A$2:$A$10</c:f>
              <c:numCache>
                <c:formatCode>General</c:formatCode>
                <c:ptCount val="9"/>
              </c:numCache>
            </c:numRef>
          </c:cat>
          <c:val>
            <c:numRef>
              <c:f>[工作簿1]Sheet1!$D$2:$D$10</c:f>
              <c:numCache>
                <c:formatCode>General</c:formatCode>
                <c:ptCount val="9"/>
              </c:numCache>
            </c:numRef>
          </c:val>
        </c:ser>
        <c:dLbls>
          <c:showLegendKey val="0"/>
          <c:showVal val="0"/>
          <c:showCatName val="0"/>
          <c:showSerName val="0"/>
          <c:showPercent val="0"/>
          <c:showBubbleSize val="0"/>
        </c:dLbls>
        <c:gapWidth val="219"/>
        <c:overlap val="-27"/>
        <c:axId val="296502768"/>
        <c:axId val="724062453"/>
      </c:barChart>
      <c:catAx>
        <c:axId val="2965027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4062453"/>
        <c:crosses val="autoZero"/>
        <c:auto val="1"/>
        <c:lblAlgn val="ctr"/>
        <c:lblOffset val="100"/>
        <c:noMultiLvlLbl val="0"/>
      </c:catAx>
      <c:valAx>
        <c:axId val="7240624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65027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manualLayout>
          <c:xMode val="edge"/>
          <c:yMode val="edge"/>
          <c:x val="0.241527777777777"/>
          <c:y val="0.0347222222222223"/>
        </c:manualLayout>
      </c:layout>
      <c:overlay val="0"/>
      <c:spPr>
        <a:noFill/>
        <a:ln>
          <a:noFill/>
        </a:ln>
        <a:effectLst/>
      </c:spPr>
    </c:title>
    <c:autoTitleDeleted val="0"/>
    <c:plotArea>
      <c:layout/>
      <c:barChart>
        <c:barDir val="col"/>
        <c:grouping val="clustered"/>
        <c:varyColors val="0"/>
        <c:ser>
          <c:idx val="0"/>
          <c:order val="0"/>
          <c:tx>
            <c:strRef>
              <c:f>[工作簿1]Sheet1!$B$1</c:f>
              <c:strCache>
                <c:ptCount val="1"/>
                <c:pt idx="0">
                  <c:v>2017年</c:v>
                </c:pt>
              </c:strCache>
            </c:strRef>
          </c:tx>
          <c:spPr>
            <a:solidFill>
              <a:schemeClr val="accent1"/>
            </a:solidFill>
            <a:ln>
              <a:noFill/>
            </a:ln>
            <a:effectLst/>
          </c:spPr>
          <c:invertIfNegative val="0"/>
          <c:dLbls>
            <c:delete val="1"/>
          </c:dLbls>
          <c:cat>
            <c:numRef>
              <c:f>[工作簿1]Sheet1!$A$2:$A$10</c:f>
              <c:numCache>
                <c:formatCode>General</c:formatCode>
                <c:ptCount val="9"/>
              </c:numCache>
            </c:numRef>
          </c:cat>
          <c:val>
            <c:numRef>
              <c:f>[工作簿1]Sheet1!$B$2:$B$10</c:f>
              <c:numCache>
                <c:formatCode>General</c:formatCode>
                <c:ptCount val="9"/>
                <c:pt idx="0">
                  <c:v>201.41</c:v>
                </c:pt>
              </c:numCache>
            </c:numRef>
          </c:val>
        </c:ser>
        <c:ser>
          <c:idx val="1"/>
          <c:order val="1"/>
          <c:tx>
            <c:strRef>
              <c:f>[工作簿1]Sheet1!$C$1</c:f>
              <c:strCache>
                <c:ptCount val="1"/>
                <c:pt idx="0">
                  <c:v>2018年</c:v>
                </c:pt>
              </c:strCache>
            </c:strRef>
          </c:tx>
          <c:spPr>
            <a:solidFill>
              <a:schemeClr val="accent2"/>
            </a:solidFill>
            <a:ln>
              <a:noFill/>
            </a:ln>
            <a:effectLst/>
          </c:spPr>
          <c:invertIfNegative val="0"/>
          <c:dLbls>
            <c:delete val="1"/>
          </c:dLbls>
          <c:cat>
            <c:numRef>
              <c:f>[工作簿1]Sheet1!$A$2:$A$10</c:f>
              <c:numCache>
                <c:formatCode>General</c:formatCode>
                <c:ptCount val="9"/>
              </c:numCache>
            </c:numRef>
          </c:cat>
          <c:val>
            <c:numRef>
              <c:f>[工作簿1]Sheet1!$C$2:$C$10</c:f>
              <c:numCache>
                <c:formatCode>General</c:formatCode>
                <c:ptCount val="9"/>
                <c:pt idx="0">
                  <c:v>242.73</c:v>
                </c:pt>
              </c:numCache>
            </c:numRef>
          </c:val>
        </c:ser>
        <c:ser>
          <c:idx val="2"/>
          <c:order val="2"/>
          <c:tx>
            <c:strRef>
              <c:f>[工作簿1]Sheet1!$D$1</c:f>
              <c:strCache>
                <c:ptCount val="1"/>
                <c:pt idx="0">
                  <c:v/>
                </c:pt>
              </c:strCache>
            </c:strRef>
          </c:tx>
          <c:spPr>
            <a:solidFill>
              <a:schemeClr val="accent3"/>
            </a:solidFill>
            <a:ln>
              <a:noFill/>
            </a:ln>
            <a:effectLst/>
          </c:spPr>
          <c:invertIfNegative val="0"/>
          <c:dLbls>
            <c:delete val="1"/>
          </c:dLbls>
          <c:cat>
            <c:numRef>
              <c:f>[工作簿1]Sheet1!$A$2:$A$10</c:f>
              <c:numCache>
                <c:formatCode>General</c:formatCode>
                <c:ptCount val="9"/>
              </c:numCache>
            </c:numRef>
          </c:cat>
          <c:val>
            <c:numRef>
              <c:f>[工作簿1]Sheet1!$D$2:$D$10</c:f>
              <c:numCache>
                <c:formatCode>General</c:formatCode>
                <c:ptCount val="9"/>
              </c:numCache>
            </c:numRef>
          </c:val>
        </c:ser>
        <c:dLbls>
          <c:showLegendKey val="0"/>
          <c:showVal val="0"/>
          <c:showCatName val="0"/>
          <c:showSerName val="0"/>
          <c:showPercent val="0"/>
          <c:showBubbleSize val="0"/>
        </c:dLbls>
        <c:gapWidth val="219"/>
        <c:overlap val="-27"/>
        <c:axId val="296502768"/>
        <c:axId val="724062453"/>
      </c:barChart>
      <c:catAx>
        <c:axId val="2965027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4062453"/>
        <c:crosses val="autoZero"/>
        <c:auto val="1"/>
        <c:lblAlgn val="ctr"/>
        <c:lblOffset val="100"/>
        <c:noMultiLvlLbl val="0"/>
      </c:catAx>
      <c:valAx>
        <c:axId val="7240624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65027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manualLayout>
          <c:xMode val="edge"/>
          <c:yMode val="edge"/>
          <c:x val="0.174861111111111"/>
          <c:y val="0.0347222222222222"/>
        </c:manualLayout>
      </c:layout>
      <c:overlay val="0"/>
      <c:spPr>
        <a:noFill/>
        <a:ln>
          <a:noFill/>
        </a:ln>
        <a:effectLst/>
      </c:spPr>
    </c:title>
    <c:autoTitleDeleted val="0"/>
    <c:plotArea>
      <c:layout/>
      <c:barChart>
        <c:barDir val="col"/>
        <c:grouping val="clustered"/>
        <c:varyColors val="0"/>
        <c:ser>
          <c:idx val="0"/>
          <c:order val="0"/>
          <c:tx>
            <c:strRef>
              <c:f>[工作簿1]Sheet1!$B$1</c:f>
              <c:strCache>
                <c:ptCount val="1"/>
                <c:pt idx="0">
                  <c:v>2017年</c:v>
                </c:pt>
              </c:strCache>
            </c:strRef>
          </c:tx>
          <c:spPr>
            <a:solidFill>
              <a:schemeClr val="accent1"/>
            </a:solidFill>
            <a:ln>
              <a:noFill/>
            </a:ln>
            <a:effectLst/>
          </c:spPr>
          <c:invertIfNegative val="0"/>
          <c:dLbls>
            <c:delete val="1"/>
          </c:dLbls>
          <c:cat>
            <c:numRef>
              <c:f>[工作簿1]Sheet1!$A$2:$A$10</c:f>
              <c:numCache>
                <c:formatCode>General</c:formatCode>
                <c:ptCount val="9"/>
              </c:numCache>
            </c:numRef>
          </c:cat>
          <c:val>
            <c:numRef>
              <c:f>[工作簿1]Sheet1!$B$2:$B$10</c:f>
              <c:numCache>
                <c:formatCode>General</c:formatCode>
                <c:ptCount val="9"/>
                <c:pt idx="0">
                  <c:v>196.26</c:v>
                </c:pt>
              </c:numCache>
            </c:numRef>
          </c:val>
        </c:ser>
        <c:ser>
          <c:idx val="1"/>
          <c:order val="1"/>
          <c:tx>
            <c:strRef>
              <c:f>[工作簿1]Sheet1!$C$1</c:f>
              <c:strCache>
                <c:ptCount val="1"/>
                <c:pt idx="0">
                  <c:v>2018年</c:v>
                </c:pt>
              </c:strCache>
            </c:strRef>
          </c:tx>
          <c:spPr>
            <a:solidFill>
              <a:schemeClr val="accent2"/>
            </a:solidFill>
            <a:ln>
              <a:noFill/>
            </a:ln>
            <a:effectLst/>
          </c:spPr>
          <c:invertIfNegative val="0"/>
          <c:dLbls>
            <c:delete val="1"/>
          </c:dLbls>
          <c:cat>
            <c:numRef>
              <c:f>[工作簿1]Sheet1!$A$2:$A$10</c:f>
              <c:numCache>
                <c:formatCode>General</c:formatCode>
                <c:ptCount val="9"/>
              </c:numCache>
            </c:numRef>
          </c:cat>
          <c:val>
            <c:numRef>
              <c:f>[工作簿1]Sheet1!$C$2:$C$10</c:f>
              <c:numCache>
                <c:formatCode>General</c:formatCode>
                <c:ptCount val="9"/>
                <c:pt idx="0">
                  <c:v>242.73</c:v>
                </c:pt>
              </c:numCache>
            </c:numRef>
          </c:val>
        </c:ser>
        <c:ser>
          <c:idx val="2"/>
          <c:order val="2"/>
          <c:tx>
            <c:strRef>
              <c:f>[工作簿1]Sheet1!$D$1</c:f>
              <c:strCache>
                <c:ptCount val="1"/>
                <c:pt idx="0">
                  <c:v/>
                </c:pt>
              </c:strCache>
            </c:strRef>
          </c:tx>
          <c:spPr>
            <a:solidFill>
              <a:schemeClr val="accent3"/>
            </a:solidFill>
            <a:ln>
              <a:noFill/>
            </a:ln>
            <a:effectLst/>
          </c:spPr>
          <c:invertIfNegative val="0"/>
          <c:dLbls>
            <c:delete val="1"/>
          </c:dLbls>
          <c:cat>
            <c:numRef>
              <c:f>[工作簿1]Sheet1!$A$2:$A$10</c:f>
              <c:numCache>
                <c:formatCode>General</c:formatCode>
                <c:ptCount val="9"/>
              </c:numCache>
            </c:numRef>
          </c:cat>
          <c:val>
            <c:numRef>
              <c:f>[工作簿1]Sheet1!$D$2:$D$10</c:f>
              <c:numCache>
                <c:formatCode>General</c:formatCode>
                <c:ptCount val="9"/>
              </c:numCache>
            </c:numRef>
          </c:val>
        </c:ser>
        <c:dLbls>
          <c:showLegendKey val="0"/>
          <c:showVal val="0"/>
          <c:showCatName val="0"/>
          <c:showSerName val="0"/>
          <c:showPercent val="0"/>
          <c:showBubbleSize val="0"/>
        </c:dLbls>
        <c:gapWidth val="219"/>
        <c:overlap val="-27"/>
        <c:axId val="296502768"/>
        <c:axId val="724062453"/>
      </c:barChart>
      <c:catAx>
        <c:axId val="2965027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4062453"/>
        <c:crosses val="autoZero"/>
        <c:auto val="1"/>
        <c:lblAlgn val="ctr"/>
        <c:lblOffset val="100"/>
        <c:noMultiLvlLbl val="0"/>
      </c:catAx>
      <c:valAx>
        <c:axId val="7240624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65027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manualLayout>
          <c:xMode val="edge"/>
          <c:yMode val="edge"/>
          <c:x val="0.112095594212323"/>
          <c:y val="0.0679012345679012"/>
        </c:manualLayout>
      </c:layout>
      <c:overlay val="0"/>
      <c:spPr>
        <a:noFill/>
        <a:ln>
          <a:noFill/>
        </a:ln>
        <a:effectLst/>
      </c:spPr>
    </c:title>
    <c:autoTitleDeleted val="0"/>
    <c:plotArea>
      <c:layout/>
      <c:barChart>
        <c:barDir val="col"/>
        <c:grouping val="clustered"/>
        <c:varyColors val="0"/>
        <c:ser>
          <c:idx val="0"/>
          <c:order val="0"/>
          <c:tx>
            <c:strRef>
              <c:f>[工作簿1]Sheet1!$B$1</c:f>
              <c:strCache>
                <c:ptCount val="1"/>
                <c:pt idx="0">
                  <c:v>一般公共服务</c:v>
                </c:pt>
              </c:strCache>
            </c:strRef>
          </c:tx>
          <c:spPr>
            <a:solidFill>
              <a:schemeClr val="accent1"/>
            </a:solidFill>
            <a:ln>
              <a:noFill/>
            </a:ln>
            <a:effectLst/>
          </c:spPr>
          <c:invertIfNegative val="0"/>
          <c:dLbls>
            <c:delete val="1"/>
          </c:dLbls>
          <c:cat>
            <c:numRef>
              <c:f>[工作簿1]Sheet1!$A$2:$A$12</c:f>
              <c:numCache>
                <c:formatCode>General</c:formatCode>
                <c:ptCount val="11"/>
              </c:numCache>
            </c:numRef>
          </c:cat>
          <c:val>
            <c:numRef>
              <c:f>[工作簿1]Sheet1!$B$2:$B$12</c:f>
              <c:numCache>
                <c:formatCode>General</c:formatCode>
                <c:ptCount val="11"/>
                <c:pt idx="0">
                  <c:v>200.28</c:v>
                </c:pt>
              </c:numCache>
            </c:numRef>
          </c:val>
        </c:ser>
        <c:ser>
          <c:idx val="1"/>
          <c:order val="1"/>
          <c:tx>
            <c:strRef>
              <c:f>[工作簿1]Sheet1!$C$1</c:f>
              <c:strCache>
                <c:ptCount val="1"/>
                <c:pt idx="0">
                  <c:v>社会保障和就业</c:v>
                </c:pt>
              </c:strCache>
            </c:strRef>
          </c:tx>
          <c:spPr>
            <a:solidFill>
              <a:schemeClr val="accent2"/>
            </a:solidFill>
            <a:ln>
              <a:noFill/>
            </a:ln>
            <a:effectLst/>
          </c:spPr>
          <c:invertIfNegative val="0"/>
          <c:dLbls>
            <c:delete val="1"/>
          </c:dLbls>
          <c:cat>
            <c:numRef>
              <c:f>[工作簿1]Sheet1!$A$2:$A$12</c:f>
              <c:numCache>
                <c:formatCode>General</c:formatCode>
                <c:ptCount val="11"/>
              </c:numCache>
            </c:numRef>
          </c:cat>
          <c:val>
            <c:numRef>
              <c:f>[工作簿1]Sheet1!$C$2:$C$12</c:f>
              <c:numCache>
                <c:formatCode>General</c:formatCode>
                <c:ptCount val="11"/>
                <c:pt idx="0">
                  <c:v>20.07</c:v>
                </c:pt>
              </c:numCache>
            </c:numRef>
          </c:val>
        </c:ser>
        <c:ser>
          <c:idx val="2"/>
          <c:order val="2"/>
          <c:tx>
            <c:strRef>
              <c:f>[工作簿1]Sheet1!$D$1</c:f>
              <c:strCache>
                <c:ptCount val="1"/>
                <c:pt idx="0">
                  <c:v>农林水</c:v>
                </c:pt>
              </c:strCache>
            </c:strRef>
          </c:tx>
          <c:spPr>
            <a:solidFill>
              <a:schemeClr val="accent3"/>
            </a:solidFill>
            <a:ln>
              <a:noFill/>
            </a:ln>
            <a:effectLst/>
          </c:spPr>
          <c:invertIfNegative val="0"/>
          <c:dLbls>
            <c:delete val="1"/>
          </c:dLbls>
          <c:cat>
            <c:numRef>
              <c:f>[工作簿1]Sheet1!$A$2:$A$12</c:f>
              <c:numCache>
                <c:formatCode>General</c:formatCode>
                <c:ptCount val="11"/>
              </c:numCache>
            </c:numRef>
          </c:cat>
          <c:val>
            <c:numRef>
              <c:f>[工作簿1]Sheet1!$D$2:$D$12</c:f>
              <c:numCache>
                <c:formatCode>General</c:formatCode>
                <c:ptCount val="11"/>
                <c:pt idx="0">
                  <c:v>5.15</c:v>
                </c:pt>
              </c:numCache>
            </c:numRef>
          </c:val>
        </c:ser>
        <c:ser>
          <c:idx val="3"/>
          <c:order val="3"/>
          <c:tx>
            <c:strRef>
              <c:f>[工作簿1]Sheet1!$E$1</c:f>
              <c:strCache>
                <c:ptCount val="1"/>
                <c:pt idx="0">
                  <c:v>住房保障和支出</c:v>
                </c:pt>
              </c:strCache>
            </c:strRef>
          </c:tx>
          <c:spPr>
            <a:solidFill>
              <a:schemeClr val="accent4"/>
            </a:solidFill>
            <a:ln>
              <a:noFill/>
            </a:ln>
            <a:effectLst/>
          </c:spPr>
          <c:invertIfNegative val="0"/>
          <c:dLbls>
            <c:delete val="1"/>
          </c:dLbls>
          <c:cat>
            <c:numRef>
              <c:f>[工作簿1]Sheet1!$A$2:$A$12</c:f>
              <c:numCache>
                <c:formatCode>General</c:formatCode>
                <c:ptCount val="11"/>
              </c:numCache>
            </c:numRef>
          </c:cat>
          <c:val>
            <c:numRef>
              <c:f>[工作簿1]Sheet1!$E$2:$E$12</c:f>
              <c:numCache>
                <c:formatCode>General</c:formatCode>
                <c:ptCount val="11"/>
                <c:pt idx="0">
                  <c:v>12.56</c:v>
                </c:pt>
              </c:numCache>
            </c:numRef>
          </c:val>
        </c:ser>
        <c:ser>
          <c:idx val="4"/>
          <c:order val="4"/>
          <c:tx>
            <c:strRef>
              <c:f>[工作簿1]Sheet1!$F$1</c:f>
              <c:strCache>
                <c:ptCount val="1"/>
                <c:pt idx="0">
                  <c:v/>
                </c:pt>
              </c:strCache>
            </c:strRef>
          </c:tx>
          <c:spPr>
            <a:solidFill>
              <a:schemeClr val="accent5"/>
            </a:solidFill>
            <a:ln>
              <a:noFill/>
            </a:ln>
            <a:effectLst/>
          </c:spPr>
          <c:invertIfNegative val="0"/>
          <c:dLbls>
            <c:delete val="1"/>
          </c:dLbls>
          <c:cat>
            <c:numRef>
              <c:f>[工作簿1]Sheet1!$A$2:$A$12</c:f>
              <c:numCache>
                <c:formatCode>General</c:formatCode>
                <c:ptCount val="11"/>
              </c:numCache>
            </c:numRef>
          </c:cat>
          <c:val>
            <c:numRef>
              <c:f>[工作簿1]Sheet1!$F$2:$F$12</c:f>
              <c:numCache>
                <c:formatCode>General</c:formatCode>
                <c:ptCount val="11"/>
              </c:numCache>
            </c:numRef>
          </c:val>
        </c:ser>
        <c:ser>
          <c:idx val="5"/>
          <c:order val="5"/>
          <c:tx>
            <c:strRef>
              <c:f>[工作簿1]Sheet1!$G$1</c:f>
              <c:strCache>
                <c:ptCount val="1"/>
                <c:pt idx="0">
                  <c:v/>
                </c:pt>
              </c:strCache>
            </c:strRef>
          </c:tx>
          <c:spPr>
            <a:solidFill>
              <a:schemeClr val="accent6"/>
            </a:solidFill>
            <a:ln>
              <a:noFill/>
            </a:ln>
            <a:effectLst/>
          </c:spPr>
          <c:invertIfNegative val="0"/>
          <c:dLbls>
            <c:delete val="1"/>
          </c:dLbls>
          <c:cat>
            <c:numRef>
              <c:f>[工作簿1]Sheet1!$A$2:$A$12</c:f>
              <c:numCache>
                <c:formatCode>General</c:formatCode>
                <c:ptCount val="11"/>
              </c:numCache>
            </c:numRef>
          </c:cat>
          <c:val>
            <c:numRef>
              <c:f>[工作簿1]Sheet1!$G$2:$G$12</c:f>
              <c:numCache>
                <c:formatCode>General</c:formatCode>
                <c:ptCount val="11"/>
              </c:numCache>
            </c:numRef>
          </c:val>
        </c:ser>
        <c:dLbls>
          <c:showLegendKey val="0"/>
          <c:showVal val="0"/>
          <c:showCatName val="0"/>
          <c:showSerName val="0"/>
          <c:showPercent val="0"/>
          <c:showBubbleSize val="0"/>
        </c:dLbls>
        <c:gapWidth val="219"/>
        <c:overlap val="-27"/>
        <c:axId val="624351475"/>
        <c:axId val="507322291"/>
      </c:barChart>
      <c:catAx>
        <c:axId val="6243514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7322291"/>
        <c:crosses val="autoZero"/>
        <c:auto val="1"/>
        <c:lblAlgn val="ctr"/>
        <c:lblOffset val="100"/>
        <c:noMultiLvlLbl val="0"/>
      </c:catAx>
      <c:valAx>
        <c:axId val="5073222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351475"/>
        <c:crosses val="autoZero"/>
        <c:crossBetween val="between"/>
      </c:valAx>
      <c:spPr>
        <a:noFill/>
        <a:ln>
          <a:noFill/>
        </a:ln>
        <a:effectLst/>
      </c:spPr>
    </c:plotArea>
    <c:legend>
      <c:legendPos val="b"/>
      <c:layout>
        <c:manualLayout>
          <c:xMode val="edge"/>
          <c:yMode val="edge"/>
          <c:x val="0.0611282718257194"/>
          <c:y val="0.8135802469135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manualLayout>
          <c:layoutTarget val="inner"/>
          <c:xMode val="edge"/>
          <c:yMode val="edge"/>
          <c:x val="0.0654999999999996"/>
          <c:y val="0.142572463768116"/>
          <c:w val="0.919916666666667"/>
          <c:h val="0.657268518518519"/>
        </c:manualLayout>
      </c:layout>
      <c:barChart>
        <c:barDir val="col"/>
        <c:grouping val="clustered"/>
        <c:varyColors val="0"/>
        <c:ser>
          <c:idx val="0"/>
          <c:order val="0"/>
          <c:tx>
            <c:strRef>
              <c:f>[工作簿2]Sheet1!$B$1</c:f>
              <c:strCache>
                <c:ptCount val="1"/>
                <c:pt idx="0">
                  <c:v>因公出境</c:v>
                </c:pt>
              </c:strCache>
            </c:strRef>
          </c:tx>
          <c:spPr>
            <a:solidFill>
              <a:schemeClr val="accent1"/>
            </a:solidFill>
            <a:ln>
              <a:noFill/>
            </a:ln>
            <a:effectLst/>
          </c:spPr>
          <c:invertIfNegative val="0"/>
          <c:dLbls>
            <c:delete val="1"/>
          </c:dLbls>
          <c:cat>
            <c:numRef>
              <c:f>[工作簿2]Sheet1!$A$2:$A$10</c:f>
              <c:numCache>
                <c:formatCode>General</c:formatCode>
                <c:ptCount val="9"/>
              </c:numCache>
            </c:numRef>
          </c:cat>
          <c:val>
            <c:numRef>
              <c:f>[工作簿2]Sheet1!$B$2:$B$10</c:f>
              <c:numCache>
                <c:formatCode>General</c:formatCode>
                <c:ptCount val="9"/>
                <c:pt idx="0">
                  <c:v>0</c:v>
                </c:pt>
              </c:numCache>
            </c:numRef>
          </c:val>
        </c:ser>
        <c:ser>
          <c:idx val="1"/>
          <c:order val="1"/>
          <c:tx>
            <c:strRef>
              <c:f>[工作簿2]Sheet1!$C$1</c:f>
              <c:strCache>
                <c:ptCount val="1"/>
                <c:pt idx="0">
                  <c:v>公务用车购置及运行维护费</c:v>
                </c:pt>
              </c:strCache>
            </c:strRef>
          </c:tx>
          <c:spPr>
            <a:solidFill>
              <a:schemeClr val="accent2"/>
            </a:solidFill>
            <a:ln>
              <a:noFill/>
            </a:ln>
            <a:effectLst/>
          </c:spPr>
          <c:invertIfNegative val="0"/>
          <c:dLbls>
            <c:delete val="1"/>
          </c:dLbls>
          <c:cat>
            <c:numRef>
              <c:f>[工作簿2]Sheet1!$A$2:$A$10</c:f>
              <c:numCache>
                <c:formatCode>General</c:formatCode>
                <c:ptCount val="9"/>
              </c:numCache>
            </c:numRef>
          </c:cat>
          <c:val>
            <c:numRef>
              <c:f>[工作簿2]Sheet1!$C$2:$C$10</c:f>
              <c:numCache>
                <c:formatCode>General</c:formatCode>
                <c:ptCount val="9"/>
                <c:pt idx="0">
                  <c:v>7.64</c:v>
                </c:pt>
              </c:numCache>
            </c:numRef>
          </c:val>
        </c:ser>
        <c:ser>
          <c:idx val="2"/>
          <c:order val="2"/>
          <c:tx>
            <c:strRef>
              <c:f>[工作簿2]Sheet1!$D$1</c:f>
              <c:strCache>
                <c:ptCount val="1"/>
                <c:pt idx="0">
                  <c:v>公务接待费</c:v>
                </c:pt>
              </c:strCache>
            </c:strRef>
          </c:tx>
          <c:spPr>
            <a:solidFill>
              <a:schemeClr val="accent3"/>
            </a:solidFill>
            <a:ln>
              <a:noFill/>
            </a:ln>
            <a:effectLst/>
          </c:spPr>
          <c:invertIfNegative val="0"/>
          <c:dLbls>
            <c:delete val="1"/>
          </c:dLbls>
          <c:cat>
            <c:numRef>
              <c:f>[工作簿2]Sheet1!$A$2:$A$10</c:f>
              <c:numCache>
                <c:formatCode>General</c:formatCode>
                <c:ptCount val="9"/>
              </c:numCache>
            </c:numRef>
          </c:cat>
          <c:val>
            <c:numRef>
              <c:f>[工作簿2]Sheet1!$D$2:$D$10</c:f>
              <c:numCache>
                <c:formatCode>General</c:formatCode>
                <c:ptCount val="9"/>
                <c:pt idx="0">
                  <c:v>0.24</c:v>
                </c:pt>
              </c:numCache>
            </c:numRef>
          </c:val>
        </c:ser>
        <c:ser>
          <c:idx val="3"/>
          <c:order val="3"/>
          <c:tx>
            <c:strRef>
              <c:f>[工作簿2]Sheet1!$E$1</c:f>
              <c:strCache>
                <c:ptCount val="1"/>
                <c:pt idx="0">
                  <c:v/>
                </c:pt>
              </c:strCache>
            </c:strRef>
          </c:tx>
          <c:spPr>
            <a:solidFill>
              <a:schemeClr val="accent4"/>
            </a:solidFill>
            <a:ln>
              <a:noFill/>
            </a:ln>
            <a:effectLst/>
          </c:spPr>
          <c:invertIfNegative val="0"/>
          <c:dLbls>
            <c:delete val="1"/>
          </c:dLbls>
          <c:cat>
            <c:numRef>
              <c:f>[工作簿2]Sheet1!$A$2:$A$10</c:f>
              <c:numCache>
                <c:formatCode>General</c:formatCode>
                <c:ptCount val="9"/>
              </c:numCache>
            </c:numRef>
          </c:cat>
          <c:val>
            <c:numRef>
              <c:f>[工作簿2]Sheet1!$E$2:$E$10</c:f>
              <c:numCache>
                <c:formatCode>General</c:formatCode>
                <c:ptCount val="9"/>
              </c:numCache>
            </c:numRef>
          </c:val>
        </c:ser>
        <c:dLbls>
          <c:showLegendKey val="0"/>
          <c:showVal val="0"/>
          <c:showCatName val="0"/>
          <c:showSerName val="0"/>
          <c:showPercent val="0"/>
          <c:showBubbleSize val="0"/>
        </c:dLbls>
        <c:gapWidth val="219"/>
        <c:overlap val="-27"/>
        <c:axId val="496581180"/>
        <c:axId val="393281258"/>
      </c:barChart>
      <c:catAx>
        <c:axId val="4965811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3281258"/>
        <c:crosses val="autoZero"/>
        <c:auto val="1"/>
        <c:lblAlgn val="ctr"/>
        <c:lblOffset val="100"/>
        <c:noMultiLvlLbl val="0"/>
      </c:catAx>
      <c:valAx>
        <c:axId val="3932812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658118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1435</Words>
  <Characters>8185</Characters>
  <Lines>68</Lines>
  <Paragraphs>19</Paragraphs>
  <TotalTime>1</TotalTime>
  <ScaleCrop>false</ScaleCrop>
  <LinksUpToDate>false</LinksUpToDate>
  <CharactersWithSpaces>9601</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陶淑群</cp:lastModifiedBy>
  <cp:lastPrinted>2019-08-01T00:48:00Z</cp:lastPrinted>
  <dcterms:modified xsi:type="dcterms:W3CDTF">2019-10-31T02:19:10Z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