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hint="default" w:ascii="方正小标宋简体" w:hAnsi="宋体" w:eastAsia="方正小标宋简体"/>
          <w:color w:val="000000"/>
          <w:sz w:val="72"/>
          <w:szCs w:val="72"/>
          <w:lang w:val="en-US" w:eastAsia="zh-CN"/>
        </w:rPr>
      </w:pPr>
      <w:bookmarkStart w:id="0" w:name="_Toc15306267"/>
      <w:r>
        <w:rPr>
          <w:rFonts w:hint="eastAsia" w:ascii="方正小标宋简体" w:hAnsi="宋体" w:eastAsia="方正小标宋简体"/>
          <w:color w:val="000000"/>
          <w:sz w:val="72"/>
          <w:szCs w:val="72"/>
          <w:lang w:val="en-US" w:eastAsia="zh-CN"/>
        </w:rPr>
        <w:t xml:space="preserve">  </w:t>
      </w: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475"/>
      <w:bookmarkStart w:id="3" w:name="_Toc15377193"/>
      <w:bookmarkStart w:id="4" w:name="_Toc15378441"/>
      <w:bookmarkStart w:id="5" w:name="_Toc15396597"/>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06268"/>
      <w:bookmarkStart w:id="7" w:name="_Toc15378442"/>
      <w:bookmarkStart w:id="8" w:name="_Toc15377194"/>
      <w:bookmarkStart w:id="9" w:name="_Toc15396598"/>
      <w:bookmarkStart w:id="10" w:name="_Toc15396476"/>
      <w:bookmarkStart w:id="11" w:name="_Toc15377426"/>
      <w:r>
        <w:rPr>
          <w:rFonts w:hint="eastAsia" w:ascii="方正小标宋简体" w:hAnsi="宋体" w:eastAsia="方正小标宋简体"/>
          <w:color w:val="000000"/>
          <w:sz w:val="72"/>
          <w:szCs w:val="72"/>
          <w:lang w:eastAsia="zh-CN"/>
        </w:rPr>
        <w:t>壤塘县三郎寺管理委员会</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pStyle w:val="13"/>
      </w:pPr>
      <w:r>
        <w:rPr>
          <w:rFonts w:hint="eastAsia"/>
        </w:rPr>
        <w:t>公开时间：</w:t>
      </w:r>
      <w:r>
        <w:rPr>
          <w:rFonts w:hint="eastAsia"/>
          <w:lang w:val="en-US" w:eastAsia="zh-CN"/>
        </w:rPr>
        <w:t>2021</w:t>
      </w:r>
      <w:r>
        <w:rPr>
          <w:rFonts w:hint="eastAsia"/>
        </w:rPr>
        <w:t>年</w:t>
      </w:r>
      <w:r>
        <w:rPr>
          <w:rFonts w:hint="eastAsia"/>
          <w:lang w:val="en-US" w:eastAsia="zh-CN"/>
        </w:rPr>
        <w:t>10</w:t>
      </w:r>
      <w:r>
        <w:rPr>
          <w:rFonts w:hint="eastAsia"/>
        </w:rPr>
        <w:t>月</w:t>
      </w:r>
      <w:r>
        <w:rPr>
          <w:rFonts w:hint="eastAsia"/>
          <w:lang w:val="en-US" w:eastAsia="zh-CN"/>
        </w:rPr>
        <w:t>22</w:t>
      </w:r>
      <w:r>
        <w:rPr>
          <w:rFonts w:hint="eastAsia"/>
        </w:rPr>
        <w:t>日</w:t>
      </w:r>
    </w:p>
    <w:p>
      <w:pPr>
        <w:widowControl/>
        <w:jc w:val="center"/>
        <w:rPr>
          <w:rFonts w:ascii="黑体" w:hAnsi="黑体" w:eastAsia="黑体"/>
          <w:b/>
          <w:color w:val="000000"/>
          <w:sz w:val="48"/>
          <w:szCs w:val="48"/>
        </w:rPr>
      </w:pPr>
      <w:r>
        <w:rPr>
          <w:rFonts w:ascii="方正小标宋简体" w:hAnsi="宋体" w:eastAsia="方正小标宋简体"/>
          <w:color w:val="000000"/>
          <w:sz w:val="36"/>
          <w:szCs w:val="36"/>
        </w:rPr>
        <w:br w:type="page"/>
      </w:r>
      <w:r>
        <w:rPr>
          <w:rFonts w:hint="eastAsia" w:ascii="黑体" w:hAnsi="黑体" w:eastAsia="黑体"/>
          <w:b/>
          <w:color w:val="000000"/>
          <w:sz w:val="48"/>
          <w:szCs w:val="48"/>
        </w:rPr>
        <w:t>目录</w:t>
      </w:r>
    </w:p>
    <w:sdt>
      <w:sdtPr>
        <w:rPr>
          <w:rFonts w:ascii="宋体" w:hAnsi="宋体" w:eastAsia="宋体" w:cs="Times New Roman"/>
          <w:kern w:val="2"/>
          <w:sz w:val="21"/>
          <w:szCs w:val="24"/>
          <w:lang w:val="en-US" w:eastAsia="zh-CN" w:bidi="ar-SA"/>
        </w:rPr>
        <w:id w:val="147467286"/>
        <w15:color w:val="DBDBDB"/>
        <w:docPartObj>
          <w:docPartGallery w:val="Table of Contents"/>
          <w:docPartUnique/>
        </w:docPartObj>
      </w:sdtPr>
      <w:sdtEndPr>
        <w:rPr>
          <w:rFonts w:ascii="宋体" w:hAnsi="宋体"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12" w:name="_Toc20834_WPSOffice_Type3"/>
          <w:bookmarkStart w:id="13" w:name="_Toc15377196"/>
          <w:bookmarkStart w:id="14" w:name="_Toc15396599"/>
        </w:p>
        <w:p>
          <w:pPr>
            <w:pStyle w:val="34"/>
            <w:tabs>
              <w:tab w:val="right" w:leader="dot" w:pos="8306"/>
            </w:tabs>
          </w:pPr>
          <w:r>
            <w:fldChar w:fldCharType="begin"/>
          </w:r>
          <w:r>
            <w:instrText xml:space="preserve"> HYPERLINK \l _Toc15747_WPSOffice_Level1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d9c1869a-9d91-430b-a30b-65bd18ce991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第一部分 部门概况</w:t>
              </w:r>
            </w:sdtContent>
          </w:sdt>
          <w:r>
            <w:tab/>
          </w:r>
          <w:bookmarkStart w:id="15" w:name="_Toc15747_WPSOffice_Level1Page"/>
          <w:r>
            <w:t>1</w:t>
          </w:r>
          <w:bookmarkEnd w:id="15"/>
          <w:r>
            <w:fldChar w:fldCharType="end"/>
          </w:r>
        </w:p>
        <w:p>
          <w:pPr>
            <w:pStyle w:val="35"/>
            <w:tabs>
              <w:tab w:val="right" w:leader="dot" w:pos="8306"/>
            </w:tabs>
          </w:pPr>
          <w:r>
            <w:fldChar w:fldCharType="begin"/>
          </w:r>
          <w:r>
            <w:instrText xml:space="preserve"> HYPERLINK \l _Toc20834_WPSOffice_Level2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cb8647da-2a2c-42a3-8355-db8ef7d4c95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heme="majorBidi"/>
                </w:rPr>
                <w:t>一、基本职能及主要工作</w:t>
              </w:r>
            </w:sdtContent>
          </w:sdt>
          <w:r>
            <w:tab/>
          </w:r>
          <w:bookmarkStart w:id="16" w:name="_Toc20834_WPSOffice_Level2Page"/>
          <w:r>
            <w:t>1</w:t>
          </w:r>
          <w:bookmarkEnd w:id="16"/>
          <w:r>
            <w:fldChar w:fldCharType="end"/>
          </w:r>
        </w:p>
        <w:p>
          <w:pPr>
            <w:pStyle w:val="36"/>
            <w:tabs>
              <w:tab w:val="right" w:leader="dot" w:pos="8306"/>
            </w:tabs>
          </w:pPr>
          <w:r>
            <w:fldChar w:fldCharType="begin"/>
          </w:r>
          <w:r>
            <w:instrText xml:space="preserve"> HYPERLINK \l _Toc20834_WPSOffice_Level3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19a26ba9-9459-4787-a3de-ab8b7ee4645a}"/>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（一）主要职能</w:t>
              </w:r>
            </w:sdtContent>
          </w:sdt>
          <w:r>
            <w:tab/>
          </w:r>
          <w:bookmarkStart w:id="17" w:name="_Toc20834_WPSOffice_Level3Page"/>
          <w:r>
            <w:t>1</w:t>
          </w:r>
          <w:bookmarkEnd w:id="17"/>
          <w:r>
            <w:fldChar w:fldCharType="end"/>
          </w:r>
        </w:p>
        <w:p>
          <w:pPr>
            <w:pStyle w:val="36"/>
            <w:tabs>
              <w:tab w:val="right" w:leader="dot" w:pos="8306"/>
            </w:tabs>
          </w:pPr>
          <w:r>
            <w:fldChar w:fldCharType="begin"/>
          </w:r>
          <w:r>
            <w:instrText xml:space="preserve"> HYPERLINK \l _Toc17738_WPSOffice_Level3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45c2ac64-caba-4ec5-a967-431f65cb8d25}"/>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（二）2020年重点工作完成情况</w:t>
              </w:r>
            </w:sdtContent>
          </w:sdt>
          <w:r>
            <w:tab/>
          </w:r>
          <w:bookmarkStart w:id="18" w:name="_Toc17738_WPSOffice_Level3Page"/>
          <w:r>
            <w:t>2</w:t>
          </w:r>
          <w:bookmarkEnd w:id="18"/>
          <w:r>
            <w:fldChar w:fldCharType="end"/>
          </w:r>
        </w:p>
        <w:p>
          <w:pPr>
            <w:pStyle w:val="35"/>
            <w:tabs>
              <w:tab w:val="right" w:leader="dot" w:pos="8306"/>
            </w:tabs>
          </w:pPr>
          <w:r>
            <w:fldChar w:fldCharType="begin"/>
          </w:r>
          <w:r>
            <w:instrText xml:space="preserve"> HYPERLINK \l _Toc17738_WPSOffice_Level2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75a6f998-7ce5-46ec-a37f-d9155a04e541}"/>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二、机构设置</w:t>
              </w:r>
            </w:sdtContent>
          </w:sdt>
          <w:r>
            <w:tab/>
          </w:r>
          <w:bookmarkStart w:id="19" w:name="_Toc17738_WPSOffice_Level2Page"/>
          <w:r>
            <w:t>6</w:t>
          </w:r>
          <w:bookmarkEnd w:id="19"/>
          <w:r>
            <w:fldChar w:fldCharType="end"/>
          </w:r>
        </w:p>
        <w:p>
          <w:pPr>
            <w:pStyle w:val="34"/>
            <w:tabs>
              <w:tab w:val="right" w:leader="dot" w:pos="8306"/>
            </w:tabs>
          </w:pPr>
          <w:r>
            <w:fldChar w:fldCharType="begin"/>
          </w:r>
          <w:r>
            <w:instrText xml:space="preserve"> HYPERLINK \l _Toc20834_WPSOffice_Level1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eb448813-d7fb-4af0-86ab-d95b588f58d5}"/>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第二部分2020年度部门决算情况说明</w:t>
              </w:r>
            </w:sdtContent>
          </w:sdt>
          <w:r>
            <w:tab/>
          </w:r>
          <w:bookmarkStart w:id="20" w:name="_Toc20834_WPSOffice_Level1Page"/>
          <w:r>
            <w:t>6</w:t>
          </w:r>
          <w:bookmarkEnd w:id="20"/>
          <w:r>
            <w:fldChar w:fldCharType="end"/>
          </w:r>
        </w:p>
        <w:p>
          <w:pPr>
            <w:pStyle w:val="35"/>
            <w:tabs>
              <w:tab w:val="right" w:leader="dot" w:pos="8306"/>
            </w:tabs>
          </w:pPr>
          <w:r>
            <w:fldChar w:fldCharType="begin"/>
          </w:r>
          <w:r>
            <w:instrText xml:space="preserve"> HYPERLINK \l _Toc9161_WPSOffice_Level2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e4f5fbc9-ab04-4ca4-bd3f-52c605df0d70}"/>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heme="majorBidi"/>
                </w:rPr>
                <w:t xml:space="preserve">一、 </w:t>
              </w:r>
              <w:r>
                <w:rPr>
                  <w:rFonts w:hint="eastAsia" w:ascii="仿宋_GB2312" w:hAnsi="黑体" w:eastAsia="仿宋_GB2312" w:cs="Times New Roman"/>
                </w:rPr>
                <w:t>收</w:t>
              </w:r>
              <w:r>
                <w:rPr>
                  <w:rFonts w:hint="eastAsia" w:ascii="仿宋_GB2312" w:hAnsi="黑体" w:eastAsia="仿宋_GB2312" w:cstheme="majorBidi"/>
                </w:rPr>
                <w:t>入支出决算总体情况说明</w:t>
              </w:r>
            </w:sdtContent>
          </w:sdt>
          <w:r>
            <w:tab/>
          </w:r>
          <w:bookmarkStart w:id="21" w:name="_Toc9161_WPSOffice_Level2Page"/>
          <w:r>
            <w:t>6</w:t>
          </w:r>
          <w:bookmarkEnd w:id="21"/>
          <w:r>
            <w:fldChar w:fldCharType="end"/>
          </w:r>
        </w:p>
        <w:p>
          <w:pPr>
            <w:pStyle w:val="35"/>
            <w:tabs>
              <w:tab w:val="right" w:leader="dot" w:pos="8306"/>
            </w:tabs>
          </w:pPr>
          <w:r>
            <w:fldChar w:fldCharType="begin"/>
          </w:r>
          <w:r>
            <w:instrText xml:space="preserve"> HYPERLINK \l _Toc24_WPSOffice_Level2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1276d664-c595-4fce-bbb9-3a7587142d35}"/>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heme="majorBidi"/>
                </w:rPr>
                <w:t xml:space="preserve">二、 </w:t>
              </w:r>
              <w:r>
                <w:rPr>
                  <w:rFonts w:hint="eastAsia" w:ascii="仿宋_GB2312" w:hAnsi="黑体" w:eastAsia="仿宋_GB2312" w:cs="Times New Roman"/>
                </w:rPr>
                <w:t>收</w:t>
              </w:r>
              <w:r>
                <w:rPr>
                  <w:rFonts w:hint="eastAsia" w:ascii="仿宋_GB2312" w:hAnsi="黑体" w:eastAsia="仿宋_GB2312" w:cstheme="majorBidi"/>
                </w:rPr>
                <w:t>入决算情况说明</w:t>
              </w:r>
            </w:sdtContent>
          </w:sdt>
          <w:r>
            <w:tab/>
          </w:r>
          <w:bookmarkStart w:id="22" w:name="_Toc24_WPSOffice_Level2Page"/>
          <w:r>
            <w:t>7</w:t>
          </w:r>
          <w:bookmarkEnd w:id="22"/>
          <w:r>
            <w:fldChar w:fldCharType="end"/>
          </w:r>
        </w:p>
        <w:p>
          <w:pPr>
            <w:pStyle w:val="35"/>
            <w:tabs>
              <w:tab w:val="right" w:leader="dot" w:pos="8306"/>
            </w:tabs>
          </w:pPr>
          <w:r>
            <w:fldChar w:fldCharType="begin"/>
          </w:r>
          <w:r>
            <w:instrText xml:space="preserve"> HYPERLINK \l _Toc20600_WPSOffice_Level2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cc0875a5-ec18-465b-b8ef-08460af772a8}"/>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heme="majorBidi"/>
                </w:rPr>
                <w:t xml:space="preserve">三、 </w:t>
              </w:r>
              <w:r>
                <w:rPr>
                  <w:rFonts w:hint="eastAsia" w:ascii="仿宋_GB2312" w:hAnsi="黑体" w:eastAsia="仿宋_GB2312" w:cs="Times New Roman"/>
                </w:rPr>
                <w:t>支</w:t>
              </w:r>
              <w:r>
                <w:rPr>
                  <w:rFonts w:hint="eastAsia" w:ascii="仿宋_GB2312" w:hAnsi="黑体" w:eastAsia="仿宋_GB2312" w:cstheme="majorBidi"/>
                </w:rPr>
                <w:t>出决算情况说明</w:t>
              </w:r>
            </w:sdtContent>
          </w:sdt>
          <w:r>
            <w:tab/>
          </w:r>
          <w:bookmarkStart w:id="23" w:name="_Toc20600_WPSOffice_Level2Page"/>
          <w:r>
            <w:t>8</w:t>
          </w:r>
          <w:bookmarkEnd w:id="23"/>
          <w:r>
            <w:fldChar w:fldCharType="end"/>
          </w:r>
        </w:p>
        <w:p>
          <w:pPr>
            <w:pStyle w:val="35"/>
            <w:tabs>
              <w:tab w:val="right" w:leader="dot" w:pos="8306"/>
            </w:tabs>
          </w:pPr>
          <w:r>
            <w:fldChar w:fldCharType="begin"/>
          </w:r>
          <w:r>
            <w:instrText xml:space="preserve"> HYPERLINK \l _Toc2398_WPSOffice_Level2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29d5b7ac-5914-4a50-b477-eee29ce6e312}"/>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四、财</w:t>
              </w:r>
              <w:r>
                <w:rPr>
                  <w:rFonts w:hint="eastAsia" w:ascii="仿宋_GB2312" w:hAnsi="黑体" w:eastAsia="仿宋_GB2312" w:cstheme="majorBidi"/>
                </w:rPr>
                <w:t>政拨款收入支出决算总体情况说明</w:t>
              </w:r>
            </w:sdtContent>
          </w:sdt>
          <w:r>
            <w:tab/>
          </w:r>
          <w:bookmarkStart w:id="24" w:name="_Toc2398_WPSOffice_Level2Page"/>
          <w:r>
            <w:t>9</w:t>
          </w:r>
          <w:bookmarkEnd w:id="24"/>
          <w:r>
            <w:fldChar w:fldCharType="end"/>
          </w:r>
        </w:p>
        <w:p>
          <w:pPr>
            <w:pStyle w:val="35"/>
            <w:tabs>
              <w:tab w:val="right" w:leader="dot" w:pos="8306"/>
            </w:tabs>
          </w:pPr>
          <w:r>
            <w:fldChar w:fldCharType="begin"/>
          </w:r>
          <w:r>
            <w:instrText xml:space="preserve"> HYPERLINK \l _Toc4808_WPSOffice_Level2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840b8a2e-6a74-4d67-9297-991d72adfcc3}"/>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五、一</w:t>
              </w:r>
              <w:r>
                <w:rPr>
                  <w:rFonts w:hint="eastAsia" w:ascii="仿宋_GB2312" w:hAnsi="黑体" w:eastAsia="仿宋_GB2312" w:cstheme="majorBidi"/>
                </w:rPr>
                <w:t>般公共预算财政拨款支出决算情况说明</w:t>
              </w:r>
            </w:sdtContent>
          </w:sdt>
          <w:r>
            <w:tab/>
          </w:r>
          <w:bookmarkStart w:id="25" w:name="_Toc4808_WPSOffice_Level2Page"/>
          <w:r>
            <w:t>11</w:t>
          </w:r>
          <w:bookmarkEnd w:id="25"/>
          <w:r>
            <w:fldChar w:fldCharType="end"/>
          </w:r>
        </w:p>
        <w:p>
          <w:pPr>
            <w:pStyle w:val="36"/>
            <w:tabs>
              <w:tab w:val="right" w:leader="dot" w:pos="8306"/>
            </w:tabs>
          </w:pPr>
          <w:r>
            <w:fldChar w:fldCharType="begin"/>
          </w:r>
          <w:r>
            <w:instrText xml:space="preserve"> HYPERLINK \l _Toc24_WPSOffice_Level3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110233a5-8a17-488b-954c-437cff5bf8f9}"/>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（一）一般公共预算财政拨款支出决算总体情况</w:t>
              </w:r>
            </w:sdtContent>
          </w:sdt>
          <w:r>
            <w:tab/>
          </w:r>
          <w:bookmarkStart w:id="26" w:name="_Toc24_WPSOffice_Level3Page"/>
          <w:r>
            <w:t>11</w:t>
          </w:r>
          <w:bookmarkEnd w:id="26"/>
          <w:r>
            <w:fldChar w:fldCharType="end"/>
          </w:r>
        </w:p>
        <w:p>
          <w:pPr>
            <w:pStyle w:val="36"/>
            <w:tabs>
              <w:tab w:val="right" w:leader="dot" w:pos="8306"/>
            </w:tabs>
          </w:pPr>
          <w:r>
            <w:fldChar w:fldCharType="begin"/>
          </w:r>
          <w:r>
            <w:instrText xml:space="preserve"> HYPERLINK \l _Toc20600_WPSOffice_Level3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7c717c8c-42fc-46db-807f-088fdf11994e}"/>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（二）一般公共预算财政拨款支出决算结构情况</w:t>
              </w:r>
            </w:sdtContent>
          </w:sdt>
          <w:r>
            <w:tab/>
          </w:r>
          <w:bookmarkStart w:id="27" w:name="_Toc20600_WPSOffice_Level3Page"/>
          <w:r>
            <w:t>11</w:t>
          </w:r>
          <w:bookmarkEnd w:id="27"/>
          <w:r>
            <w:fldChar w:fldCharType="end"/>
          </w:r>
        </w:p>
        <w:p>
          <w:pPr>
            <w:pStyle w:val="36"/>
            <w:tabs>
              <w:tab w:val="right" w:leader="dot" w:pos="8306"/>
            </w:tabs>
          </w:pPr>
          <w:r>
            <w:fldChar w:fldCharType="begin"/>
          </w:r>
          <w:r>
            <w:instrText xml:space="preserve"> HYPERLINK \l _Toc2398_WPSOffice_Level3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b1b7782d-534b-4e7a-827a-1c45c27ceda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（三）一般公共预算财政拨款支出决算具体情况</w:t>
              </w:r>
            </w:sdtContent>
          </w:sdt>
          <w:r>
            <w:tab/>
          </w:r>
          <w:bookmarkStart w:id="28" w:name="_Toc2398_WPSOffice_Level3Page"/>
          <w:r>
            <w:t>12</w:t>
          </w:r>
          <w:bookmarkEnd w:id="28"/>
          <w:r>
            <w:fldChar w:fldCharType="end"/>
          </w:r>
        </w:p>
        <w:p>
          <w:pPr>
            <w:pStyle w:val="35"/>
            <w:tabs>
              <w:tab w:val="right" w:leader="dot" w:pos="8306"/>
            </w:tabs>
          </w:pPr>
          <w:r>
            <w:fldChar w:fldCharType="begin"/>
          </w:r>
          <w:r>
            <w:instrText xml:space="preserve"> HYPERLINK \l _Toc934_WPSOffice_Level2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fc2304b3-351c-46eb-95c4-b5f9201bcbe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Times New Roman" w:eastAsia="仿宋_GB2312" w:cs="Times New Roman"/>
                </w:rPr>
                <w:t>六、</w:t>
              </w:r>
              <w:r>
                <w:rPr>
                  <w:rFonts w:hint="eastAsia" w:ascii="仿宋_GB2312" w:hAnsi="黑体" w:eastAsia="仿宋_GB2312" w:cs="Times New Roman"/>
                </w:rPr>
                <w:t>一</w:t>
              </w:r>
              <w:r>
                <w:rPr>
                  <w:rFonts w:hint="eastAsia" w:ascii="仿宋_GB2312" w:hAnsi="黑体" w:eastAsia="仿宋_GB2312" w:cstheme="majorBidi"/>
                </w:rPr>
                <w:t>般公共预算财政拨款基本支出决算情况说明</w:t>
              </w:r>
            </w:sdtContent>
          </w:sdt>
          <w:r>
            <w:tab/>
          </w:r>
          <w:bookmarkStart w:id="29" w:name="_Toc934_WPSOffice_Level2Page"/>
          <w:r>
            <w:t>13</w:t>
          </w:r>
          <w:bookmarkEnd w:id="29"/>
          <w:r>
            <w:fldChar w:fldCharType="end"/>
          </w:r>
        </w:p>
        <w:p>
          <w:pPr>
            <w:pStyle w:val="35"/>
            <w:tabs>
              <w:tab w:val="right" w:leader="dot" w:pos="8306"/>
            </w:tabs>
          </w:pPr>
          <w:r>
            <w:fldChar w:fldCharType="begin"/>
          </w:r>
          <w:r>
            <w:instrText xml:space="preserve"> HYPERLINK \l _Toc19813_WPSOffice_Level2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2a64b525-533a-409c-b880-deb32e95d830}"/>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Times New Roman" w:eastAsia="仿宋_GB2312" w:cs="Times New Roman"/>
                </w:rPr>
                <w:t>七、</w:t>
              </w:r>
              <w:r>
                <w:rPr>
                  <w:rFonts w:hint="eastAsia" w:ascii="仿宋_GB2312" w:hAnsi="黑体" w:eastAsia="仿宋_GB2312" w:cstheme="majorBidi"/>
                </w:rPr>
                <w:t>“三公”经费财政拨款支出决算情况说明</w:t>
              </w:r>
            </w:sdtContent>
          </w:sdt>
          <w:r>
            <w:tab/>
          </w:r>
          <w:bookmarkStart w:id="30" w:name="_Toc19813_WPSOffice_Level2Page"/>
          <w:r>
            <w:t>14</w:t>
          </w:r>
          <w:bookmarkEnd w:id="30"/>
          <w:r>
            <w:fldChar w:fldCharType="end"/>
          </w:r>
        </w:p>
        <w:p>
          <w:pPr>
            <w:pStyle w:val="36"/>
            <w:tabs>
              <w:tab w:val="right" w:leader="dot" w:pos="8306"/>
            </w:tabs>
          </w:pPr>
          <w:r>
            <w:fldChar w:fldCharType="begin"/>
          </w:r>
          <w:r>
            <w:instrText xml:space="preserve"> HYPERLINK \l _Toc4808_WPSOffice_Level3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d40383e1-623a-4d39-b38c-70e3f2f9073f}"/>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（一）“三公”经费财政拨款支出决算总体情况说明</w:t>
              </w:r>
            </w:sdtContent>
          </w:sdt>
          <w:r>
            <w:tab/>
          </w:r>
          <w:bookmarkStart w:id="31" w:name="_Toc4808_WPSOffice_Level3Page"/>
          <w:r>
            <w:t>14</w:t>
          </w:r>
          <w:bookmarkEnd w:id="31"/>
          <w:r>
            <w:fldChar w:fldCharType="end"/>
          </w:r>
        </w:p>
        <w:p>
          <w:pPr>
            <w:pStyle w:val="36"/>
            <w:tabs>
              <w:tab w:val="right" w:leader="dot" w:pos="8306"/>
            </w:tabs>
          </w:pPr>
          <w:r>
            <w:fldChar w:fldCharType="begin"/>
          </w:r>
          <w:r>
            <w:instrText xml:space="preserve"> HYPERLINK \l _Toc934_WPSOffice_Level3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21b808c6-5520-40ff-844a-e42e253b61ce}"/>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（二）“三公”经费财政拨款支出决算具体情况说明</w:t>
              </w:r>
            </w:sdtContent>
          </w:sdt>
          <w:r>
            <w:tab/>
          </w:r>
          <w:bookmarkStart w:id="32" w:name="_Toc934_WPSOffice_Level3Page"/>
          <w:r>
            <w:t>14</w:t>
          </w:r>
          <w:bookmarkEnd w:id="32"/>
          <w:r>
            <w:fldChar w:fldCharType="end"/>
          </w:r>
        </w:p>
        <w:p>
          <w:pPr>
            <w:pStyle w:val="35"/>
            <w:tabs>
              <w:tab w:val="right" w:leader="dot" w:pos="8306"/>
            </w:tabs>
          </w:pPr>
          <w:r>
            <w:fldChar w:fldCharType="begin"/>
          </w:r>
          <w:r>
            <w:instrText xml:space="preserve"> HYPERLINK \l _Toc4111_WPSOffice_Level2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4dd1141c-2eb0-465c-9b2a-120032e45067}"/>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Times New Roman" w:eastAsia="仿宋_GB2312" w:cs="Times New Roman"/>
                </w:rPr>
                <w:t>八、</w:t>
              </w:r>
              <w:r>
                <w:rPr>
                  <w:rFonts w:hint="eastAsia" w:ascii="仿宋_GB2312" w:hAnsi="黑体" w:eastAsia="仿宋_GB2312" w:cstheme="majorBidi"/>
                </w:rPr>
                <w:t>政府性基金预算支出决算情况说明</w:t>
              </w:r>
            </w:sdtContent>
          </w:sdt>
          <w:r>
            <w:tab/>
          </w:r>
          <w:bookmarkStart w:id="33" w:name="_Toc4111_WPSOffice_Level2Page"/>
          <w:r>
            <w:t>15</w:t>
          </w:r>
          <w:bookmarkEnd w:id="33"/>
          <w:r>
            <w:fldChar w:fldCharType="end"/>
          </w:r>
        </w:p>
        <w:p>
          <w:pPr>
            <w:pStyle w:val="35"/>
            <w:tabs>
              <w:tab w:val="right" w:leader="dot" w:pos="8306"/>
            </w:tabs>
          </w:pPr>
          <w:r>
            <w:fldChar w:fldCharType="begin"/>
          </w:r>
          <w:r>
            <w:instrText xml:space="preserve"> HYPERLINK \l _Toc18829_WPSOffice_Level2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39b58d9a-52b9-46b1-a19d-33555d91af4e}"/>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heme="majorBidi"/>
                </w:rPr>
                <w:t>九、 国有资本经营预算支出决算情况说明</w:t>
              </w:r>
            </w:sdtContent>
          </w:sdt>
          <w:r>
            <w:tab/>
          </w:r>
          <w:bookmarkStart w:id="34" w:name="_Toc18829_WPSOffice_Level2Page"/>
          <w:r>
            <w:t>15</w:t>
          </w:r>
          <w:bookmarkEnd w:id="34"/>
          <w:r>
            <w:fldChar w:fldCharType="end"/>
          </w:r>
        </w:p>
        <w:p>
          <w:pPr>
            <w:pStyle w:val="35"/>
            <w:tabs>
              <w:tab w:val="right" w:leader="dot" w:pos="8306"/>
            </w:tabs>
          </w:pPr>
          <w:r>
            <w:fldChar w:fldCharType="begin"/>
          </w:r>
          <w:r>
            <w:instrText xml:space="preserve"> HYPERLINK \l _Toc13582_WPSOffice_Level2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e6ff42bf-099f-470b-a872-c861d73f8084}"/>
              </w:placeholder>
              <w15:color w:val="509DF3"/>
            </w:sdtPr>
            <w:sdtEndPr>
              <w:rPr>
                <w:rFonts w:ascii="Times New Roman" w:hAnsi="Times New Roman" w:eastAsia="宋体" w:cs="Times New Roman"/>
                <w:kern w:val="2"/>
                <w:sz w:val="21"/>
                <w:szCs w:val="24"/>
                <w:lang w:val="en-US" w:eastAsia="zh-CN" w:bidi="ar-SA"/>
              </w:rPr>
            </w:sdtEndPr>
            <w:sdtContent>
              <w:r>
                <w:rPr>
                  <w:rFonts w:hint="default" w:ascii="仿宋_GB2312" w:hAnsi="黑体" w:eastAsia="仿宋_GB2312" w:cstheme="majorBidi"/>
                </w:rPr>
                <w:t xml:space="preserve">十、 </w:t>
              </w:r>
              <w:r>
                <w:rPr>
                  <w:rFonts w:hint="eastAsia" w:ascii="仿宋_GB2312" w:hAnsi="黑体" w:eastAsia="仿宋_GB2312" w:cstheme="majorBidi"/>
                </w:rPr>
                <w:t>预算绩效情况说明</w:t>
              </w:r>
            </w:sdtContent>
          </w:sdt>
          <w:r>
            <w:tab/>
          </w:r>
          <w:bookmarkStart w:id="35" w:name="_Toc13582_WPSOffice_Level2Page"/>
          <w:r>
            <w:t>15</w:t>
          </w:r>
          <w:bookmarkEnd w:id="35"/>
          <w:r>
            <w:fldChar w:fldCharType="end"/>
          </w:r>
        </w:p>
        <w:p>
          <w:pPr>
            <w:pStyle w:val="36"/>
            <w:tabs>
              <w:tab w:val="right" w:leader="dot" w:pos="8306"/>
            </w:tabs>
          </w:pPr>
          <w:r>
            <w:fldChar w:fldCharType="begin"/>
          </w:r>
          <w:r>
            <w:instrText xml:space="preserve"> HYPERLINK \l _Toc19813_WPSOffice_Level3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e7c64d3d-3ef4-474b-acfe-97b74ecd1d76}"/>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楷体_GB2312" w:hAnsi="楷体_GB2312" w:eastAsia="楷体_GB2312" w:cs="楷体_GB2312"/>
                </w:rPr>
                <w:t xml:space="preserve">（一） </w:t>
              </w:r>
              <w:r>
                <w:rPr>
                  <w:rFonts w:hint="eastAsia" w:ascii="仿宋_GB2312" w:hAnsi="仿宋" w:eastAsia="仿宋_GB2312" w:cs="楷体_GB2312"/>
                </w:rPr>
                <w:t>预算绩效管理工作开展情况。</w:t>
              </w:r>
            </w:sdtContent>
          </w:sdt>
          <w:r>
            <w:tab/>
          </w:r>
          <w:bookmarkStart w:id="36" w:name="_Toc19813_WPSOffice_Level3Page"/>
          <w:r>
            <w:t>15</w:t>
          </w:r>
          <w:bookmarkEnd w:id="36"/>
          <w:r>
            <w:fldChar w:fldCharType="end"/>
          </w:r>
        </w:p>
        <w:p>
          <w:pPr>
            <w:pStyle w:val="36"/>
            <w:tabs>
              <w:tab w:val="right" w:leader="dot" w:pos="8306"/>
            </w:tabs>
          </w:pPr>
          <w:r>
            <w:fldChar w:fldCharType="begin"/>
          </w:r>
          <w:r>
            <w:instrText xml:space="preserve"> HYPERLINK \l _Toc4111_WPSOffice_Level3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d7cefdcc-988b-41df-91a4-c9a4ab5f394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楷体_GB2312" w:hAnsi="楷体_GB2312" w:eastAsia="楷体_GB2312" w:cs="楷体_GB2312"/>
                </w:rPr>
                <w:t xml:space="preserve">（二） </w:t>
              </w:r>
              <w:r>
                <w:rPr>
                  <w:rFonts w:hint="eastAsia" w:ascii="仿宋_GB2312" w:hAnsi="仿宋" w:eastAsia="仿宋_GB2312" w:cs="楷体_GB2312"/>
                </w:rPr>
                <w:t>部门开展绩效评价结果。</w:t>
              </w:r>
            </w:sdtContent>
          </w:sdt>
          <w:r>
            <w:tab/>
          </w:r>
          <w:bookmarkStart w:id="37" w:name="_Toc4111_WPSOffice_Level3Page"/>
          <w:r>
            <w:t>16</w:t>
          </w:r>
          <w:bookmarkEnd w:id="37"/>
          <w:r>
            <w:fldChar w:fldCharType="end"/>
          </w:r>
        </w:p>
        <w:p>
          <w:pPr>
            <w:pStyle w:val="35"/>
            <w:tabs>
              <w:tab w:val="right" w:leader="dot" w:pos="8306"/>
            </w:tabs>
          </w:pPr>
          <w:r>
            <w:fldChar w:fldCharType="begin"/>
          </w:r>
          <w:r>
            <w:instrText xml:space="preserve"> HYPERLINK \l _Toc5451_WPSOffice_Level2 </w:instrText>
          </w:r>
          <w:r>
            <w:fldChar w:fldCharType="separate"/>
          </w:r>
          <w:sdt>
            <w:sdtPr>
              <w:rPr>
                <w:rFonts w:ascii="Times New Roman" w:hAnsi="Times New Roman" w:eastAsia="宋体" w:cs="Times New Roman"/>
                <w:kern w:val="2"/>
                <w:sz w:val="21"/>
                <w:szCs w:val="24"/>
                <w:lang w:val="en-US" w:eastAsia="zh-CN" w:bidi="ar-SA"/>
              </w:rPr>
              <w:id w:val="147467286"/>
              <w:placeholder>
                <w:docPart w:val="{1d8838eb-5963-426b-918c-faa7271b3ea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十</w:t>
              </w:r>
              <w:r>
                <w:rPr>
                  <w:rFonts w:hint="eastAsia" w:ascii="仿宋_GB2312" w:hAnsi="黑体" w:eastAsia="仿宋_GB2312" w:cstheme="majorBidi"/>
                </w:rPr>
                <w:t>一、其他重要事项的情况说明</w:t>
              </w:r>
            </w:sdtContent>
          </w:sdt>
          <w:r>
            <w:tab/>
          </w:r>
          <w:bookmarkStart w:id="38" w:name="_Toc5451_WPSOffice_Level2Page"/>
          <w:r>
            <w:t>16</w:t>
          </w:r>
          <w:bookmarkEnd w:id="38"/>
          <w:r>
            <w:fldChar w:fldCharType="end"/>
          </w:r>
        </w:p>
        <w:p>
          <w:pPr>
            <w:pStyle w:val="36"/>
            <w:tabs>
              <w:tab w:val="right" w:leader="dot" w:pos="8306"/>
            </w:tabs>
          </w:pPr>
          <w:r>
            <w:fldChar w:fldCharType="begin"/>
          </w:r>
          <w:r>
            <w:instrText xml:space="preserve"> HYPERLINK \l _Toc18829_WPSOffice_Level3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64564c0b-4fd7-43f5-83b2-375c316f57cd}"/>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（一）机关运行经费支出情况</w:t>
              </w:r>
            </w:sdtContent>
          </w:sdt>
          <w:r>
            <w:tab/>
          </w:r>
          <w:bookmarkStart w:id="39" w:name="_Toc18829_WPSOffice_Level3Page"/>
          <w:r>
            <w:t>16</w:t>
          </w:r>
          <w:bookmarkEnd w:id="39"/>
          <w:r>
            <w:fldChar w:fldCharType="end"/>
          </w:r>
        </w:p>
        <w:p>
          <w:pPr>
            <w:pStyle w:val="36"/>
            <w:tabs>
              <w:tab w:val="right" w:leader="dot" w:pos="8306"/>
            </w:tabs>
          </w:pPr>
          <w:r>
            <w:fldChar w:fldCharType="begin"/>
          </w:r>
          <w:r>
            <w:instrText xml:space="preserve"> HYPERLINK \l _Toc13582_WPSOffice_Level3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e0a40823-8fb5-40d3-8b5d-e4fc7704e1b8}"/>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（二）政府采购支出情况</w:t>
              </w:r>
            </w:sdtContent>
          </w:sdt>
          <w:r>
            <w:tab/>
          </w:r>
          <w:bookmarkStart w:id="40" w:name="_Toc13582_WPSOffice_Level3Page"/>
          <w:r>
            <w:t>16</w:t>
          </w:r>
          <w:bookmarkEnd w:id="40"/>
          <w:r>
            <w:fldChar w:fldCharType="end"/>
          </w:r>
        </w:p>
        <w:p>
          <w:pPr>
            <w:pStyle w:val="36"/>
            <w:tabs>
              <w:tab w:val="right" w:leader="dot" w:pos="8306"/>
            </w:tabs>
          </w:pPr>
          <w:r>
            <w:fldChar w:fldCharType="begin"/>
          </w:r>
          <w:r>
            <w:instrText xml:space="preserve"> HYPERLINK \l _Toc5451_WPSOffice_Level3 </w:instrText>
          </w:r>
          <w:r>
            <w:fldChar w:fldCharType="separate"/>
          </w:r>
          <w:sdt>
            <w:sdtPr>
              <w:rPr>
                <w:rFonts w:ascii="Times New Roman" w:hAnsi="Times New Roman" w:eastAsia="宋体" w:cs="Times New Roman"/>
                <w:kern w:val="2"/>
                <w:sz w:val="21"/>
                <w:szCs w:val="24"/>
                <w:lang w:val="en-US" w:eastAsia="zh-CN" w:bidi="ar-SA"/>
              </w:rPr>
              <w:id w:val="147467286"/>
              <w:placeholder>
                <w:docPart w:val="{73f82e53-2209-4ca6-b68b-59f7e546526d}"/>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仿宋" w:eastAsia="仿宋_GB2312" w:cs="Times New Roman"/>
                </w:rPr>
                <w:t>（三）国有资产占有使用情况</w:t>
              </w:r>
            </w:sdtContent>
          </w:sdt>
          <w:r>
            <w:tab/>
          </w:r>
          <w:bookmarkStart w:id="41" w:name="_Toc5451_WPSOffice_Level3Page"/>
          <w:r>
            <w:t>16</w:t>
          </w:r>
          <w:bookmarkEnd w:id="41"/>
          <w:r>
            <w:fldChar w:fldCharType="end"/>
          </w:r>
        </w:p>
        <w:p>
          <w:pPr>
            <w:pStyle w:val="34"/>
            <w:tabs>
              <w:tab w:val="right" w:leader="dot" w:pos="8306"/>
            </w:tabs>
          </w:pPr>
          <w:r>
            <w:fldChar w:fldCharType="begin"/>
          </w:r>
          <w:r>
            <w:instrText xml:space="preserve"> HYPERLINK \l _Toc17738_WPSOffice_Level1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be876450-9d9d-47c5-89c9-baf65b417d17}"/>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第三部分 名词解释</w:t>
              </w:r>
            </w:sdtContent>
          </w:sdt>
          <w:r>
            <w:tab/>
          </w:r>
          <w:bookmarkStart w:id="42" w:name="_Toc17738_WPSOffice_Level1Page"/>
          <w:r>
            <w:t>18</w:t>
          </w:r>
          <w:bookmarkEnd w:id="42"/>
          <w:r>
            <w:fldChar w:fldCharType="end"/>
          </w:r>
        </w:p>
        <w:p>
          <w:pPr>
            <w:pStyle w:val="34"/>
            <w:tabs>
              <w:tab w:val="right" w:leader="dot" w:pos="8306"/>
            </w:tabs>
          </w:pPr>
          <w:r>
            <w:fldChar w:fldCharType="begin"/>
          </w:r>
          <w:r>
            <w:instrText xml:space="preserve"> HYPERLINK \l _Toc9161_WPSOffice_Level1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c58df37b-048d-4e8a-8e22-54b4124be4e4}"/>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黑体" w:eastAsia="仿宋_GB2312" w:cs="Times New Roman"/>
                </w:rPr>
                <w:t>第四部分 附件</w:t>
              </w:r>
            </w:sdtContent>
          </w:sdt>
          <w:r>
            <w:tab/>
          </w:r>
          <w:bookmarkStart w:id="43" w:name="_Toc9161_WPSOffice_Level1Page"/>
          <w:r>
            <w:t>20</w:t>
          </w:r>
          <w:bookmarkEnd w:id="43"/>
          <w:r>
            <w:fldChar w:fldCharType="end"/>
          </w:r>
        </w:p>
        <w:p>
          <w:pPr>
            <w:pStyle w:val="34"/>
            <w:tabs>
              <w:tab w:val="right" w:leader="dot" w:pos="8306"/>
            </w:tabs>
          </w:pPr>
          <w:r>
            <w:fldChar w:fldCharType="begin"/>
          </w:r>
          <w:r>
            <w:instrText xml:space="preserve"> HYPERLINK \l _Toc24_WPSOffice_Level1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3ff20fff-7ee7-4de4-b3af-25a0234f56b6}"/>
              </w:placeholder>
              <w15:color w:val="509DF3"/>
            </w:sdtPr>
            <w:sdtEndPr>
              <w:rPr>
                <w:rFonts w:ascii="Times New Roman" w:hAnsi="Times New Roman" w:eastAsia="宋体" w:cs="Times New Roman"/>
                <w:kern w:val="2"/>
                <w:sz w:val="21"/>
                <w:szCs w:val="24"/>
                <w:lang w:val="en-US" w:eastAsia="zh-CN" w:bidi="ar-SA"/>
              </w:rPr>
            </w:sdtEndPr>
            <w:sdtContent>
              <w:r>
                <w:rPr>
                  <w:rFonts w:hint="eastAsia" w:ascii="仿宋_GB2312" w:hAnsi="Calibri" w:eastAsia="仿宋_GB2312" w:cs="仿宋"/>
                </w:rPr>
                <w:t>附件一：</w:t>
              </w:r>
            </w:sdtContent>
          </w:sdt>
          <w:r>
            <w:tab/>
          </w:r>
          <w:bookmarkStart w:id="44" w:name="_Toc24_WPSOffice_Level1Page"/>
          <w:r>
            <w:t>20</w:t>
          </w:r>
          <w:bookmarkEnd w:id="44"/>
          <w:r>
            <w:fldChar w:fldCharType="end"/>
          </w:r>
        </w:p>
        <w:p>
          <w:pPr>
            <w:pStyle w:val="34"/>
            <w:tabs>
              <w:tab w:val="right" w:leader="dot" w:pos="8306"/>
            </w:tabs>
          </w:pPr>
          <w:r>
            <w:fldChar w:fldCharType="begin"/>
          </w:r>
          <w:r>
            <w:instrText xml:space="preserve"> HYPERLINK \l _Toc20600_WPSOffice_Level1 </w:instrText>
          </w:r>
          <w:r>
            <w:fldChar w:fldCharType="separate"/>
          </w:r>
          <w:sdt>
            <w:sdtPr>
              <w:rPr>
                <w:rFonts w:ascii="Times New Roman" w:hAnsi="Times New Roman" w:eastAsia="宋体" w:cs="Times New Roman"/>
                <w:kern w:val="2"/>
                <w:sz w:val="21"/>
                <w:szCs w:val="24"/>
                <w:lang w:val="en-US" w:eastAsia="zh-CN" w:bidi="ar-SA"/>
              </w:rPr>
              <w:id w:val="147467286"/>
              <w:placeholder>
                <w:docPart w:val="{a10efe3f-7a99-488d-9688-30607c33d3ae}"/>
              </w:placeholder>
              <w15:color w:val="509DF3"/>
            </w:sdtPr>
            <w:sdtEndPr>
              <w:rPr>
                <w:rFonts w:ascii="Times New Roman" w:hAnsi="Times New Roman" w:eastAsia="宋体" w:cs="Times New Roman"/>
                <w:kern w:val="2"/>
                <w:sz w:val="21"/>
                <w:szCs w:val="24"/>
                <w:lang w:val="en-US" w:eastAsia="zh-CN" w:bidi="ar-SA"/>
              </w:rPr>
            </w:sdtEndPr>
            <w:sdtContent>
              <w:r>
                <w:rPr>
                  <w:rFonts w:hint="eastAsia" w:eastAsia="宋体" w:asciiTheme="minorEastAsia" w:hAnsiTheme="minorEastAsia" w:cstheme="minorEastAsia"/>
                </w:rPr>
                <w:t>20</w:t>
              </w:r>
              <w:r>
                <w:rPr>
                  <w:rFonts w:hint="default" w:eastAsia="宋体" w:asciiTheme="minorEastAsia" w:hAnsiTheme="minorEastAsia" w:cstheme="minorEastAsia"/>
                </w:rPr>
                <w:t>20</w:t>
              </w:r>
              <w:r>
                <w:rPr>
                  <w:rFonts w:hint="eastAsia" w:eastAsia="宋体" w:asciiTheme="minorEastAsia" w:hAnsiTheme="minorEastAsia" w:cstheme="minorEastAsia"/>
                </w:rPr>
                <w:t>年度壤塘县三郎寺寺庙管理委员会部门整体支出绩效评价</w:t>
              </w:r>
            </w:sdtContent>
          </w:sdt>
          <w:r>
            <w:tab/>
          </w:r>
          <w:bookmarkStart w:id="45" w:name="_Toc20600_WPSOffice_Level1Page"/>
          <w:r>
            <w:t>20</w:t>
          </w:r>
          <w:bookmarkEnd w:id="45"/>
          <w:r>
            <w:fldChar w:fldCharType="end"/>
          </w:r>
        </w:p>
        <w:bookmarkEnd w:id="12"/>
        <w:p>
          <w:pPr>
            <w:widowControl/>
            <w:jc w:val="left"/>
            <w:rPr>
              <w:rFonts w:hint="eastAsia" w:ascii="黑体" w:hAnsi="黑体" w:eastAsia="黑体"/>
              <w:b/>
            </w:rPr>
          </w:pPr>
        </w:p>
      </w:sdtContent>
    </w:sdt>
    <w:p>
      <w:pPr>
        <w:widowControl/>
        <w:jc w:val="left"/>
        <w:rPr>
          <w:rFonts w:hint="eastAsia" w:ascii="黑体" w:hAnsi="黑体" w:eastAsia="黑体"/>
          <w:b/>
        </w:rPr>
      </w:pPr>
    </w:p>
    <w:p>
      <w:pPr>
        <w:widowControl/>
        <w:jc w:val="left"/>
        <w:rPr>
          <w:rFonts w:hint="eastAsia" w:ascii="黑体" w:hAnsi="黑体" w:eastAsia="黑体"/>
          <w:b/>
        </w:rPr>
      </w:pPr>
    </w:p>
    <w:p>
      <w:pPr>
        <w:widowControl/>
        <w:jc w:val="left"/>
        <w:rPr>
          <w:rFonts w:hint="eastAsia" w:ascii="黑体" w:hAnsi="黑体" w:eastAsia="黑体"/>
          <w:b/>
        </w:rPr>
      </w:pPr>
    </w:p>
    <w:p>
      <w:pPr>
        <w:widowControl/>
        <w:jc w:val="left"/>
        <w:rPr>
          <w:rFonts w:hint="eastAsia" w:ascii="黑体" w:hAnsi="黑体" w:eastAsia="黑体"/>
          <w:b/>
        </w:rPr>
      </w:pPr>
    </w:p>
    <w:p>
      <w:pPr>
        <w:widowControl/>
        <w:jc w:val="left"/>
        <w:rPr>
          <w:rFonts w:hint="eastAsia" w:ascii="黑体" w:hAnsi="黑体" w:eastAsia="黑体"/>
          <w:b/>
        </w:rPr>
      </w:pPr>
    </w:p>
    <w:p>
      <w:pPr>
        <w:widowControl/>
        <w:jc w:val="left"/>
        <w:rPr>
          <w:rFonts w:ascii="黑体" w:hAnsi="黑体" w:eastAsia="黑体"/>
          <w:bCs/>
          <w:kern w:val="44"/>
          <w:sz w:val="44"/>
          <w:szCs w:val="44"/>
        </w:rPr>
      </w:pPr>
    </w:p>
    <w:p>
      <w:pPr>
        <w:pStyle w:val="4"/>
        <w:jc w:val="center"/>
        <w:rPr>
          <w:rFonts w:hint="eastAsia" w:ascii="仿宋_GB2312" w:hAnsi="黑体" w:eastAsia="仿宋_GB2312"/>
        </w:rPr>
        <w:sectPr>
          <w:headerReference r:id="rId3" w:type="default"/>
          <w:pgSz w:w="11906" w:h="16838"/>
          <w:pgMar w:top="1440" w:right="1800" w:bottom="1440" w:left="1800" w:header="851" w:footer="992" w:gutter="0"/>
          <w:pgNumType w:start="1"/>
          <w:cols w:space="425" w:num="1"/>
          <w:titlePg/>
          <w:docGrid w:type="lines" w:linePitch="312" w:charSpace="0"/>
        </w:sectPr>
      </w:pPr>
    </w:p>
    <w:p>
      <w:pPr>
        <w:pStyle w:val="4"/>
        <w:jc w:val="center"/>
        <w:rPr>
          <w:rFonts w:ascii="仿宋_GB2312" w:eastAsia="仿宋_GB2312"/>
          <w:color w:val="000000"/>
          <w:sz w:val="32"/>
          <w:szCs w:val="32"/>
        </w:rPr>
      </w:pPr>
      <w:bookmarkStart w:id="46" w:name="_Toc15747_WPSOffice_Level1"/>
      <w:r>
        <w:rPr>
          <w:rFonts w:hint="eastAsia" w:ascii="仿宋_GB2312" w:hAnsi="黑体" w:eastAsia="仿宋_GB2312"/>
        </w:rPr>
        <w:t xml:space="preserve">第一部分 </w:t>
      </w:r>
      <w:r>
        <w:rPr>
          <w:rStyle w:val="29"/>
          <w:rFonts w:hint="eastAsia" w:ascii="仿宋_GB2312" w:hAnsi="黑体" w:eastAsia="仿宋_GB2312"/>
          <w:b/>
          <w:bCs w:val="0"/>
        </w:rPr>
        <w:t>部门概况</w:t>
      </w:r>
      <w:bookmarkEnd w:id="13"/>
      <w:bookmarkEnd w:id="14"/>
      <w:bookmarkEnd w:id="46"/>
    </w:p>
    <w:p>
      <w:pPr>
        <w:pStyle w:val="5"/>
        <w:rPr>
          <w:rStyle w:val="30"/>
          <w:rFonts w:ascii="仿宋_GB2312" w:hAnsi="仿宋" w:eastAsia="仿宋_GB2312"/>
          <w:b/>
          <w:bCs w:val="0"/>
        </w:rPr>
      </w:pPr>
      <w:bookmarkStart w:id="47" w:name="_Toc20834_WPSOffice_Level2"/>
      <w:bookmarkStart w:id="48" w:name="_Toc15377197"/>
      <w:bookmarkStart w:id="49" w:name="_Toc15396600"/>
      <w:r>
        <w:rPr>
          <w:rFonts w:hint="eastAsia" w:ascii="仿宋_GB2312" w:hAnsi="黑体" w:eastAsia="仿宋_GB2312"/>
          <w:b/>
          <w:bCs w:val="0"/>
          <w:color w:val="000000"/>
        </w:rPr>
        <w:t>一、基</w:t>
      </w:r>
      <w:r>
        <w:rPr>
          <w:rStyle w:val="30"/>
          <w:rFonts w:hint="eastAsia" w:ascii="仿宋_GB2312" w:hAnsi="黑体" w:eastAsia="仿宋_GB2312"/>
          <w:b/>
          <w:bCs w:val="0"/>
        </w:rPr>
        <w:t>本职能及主要工作</w:t>
      </w:r>
      <w:bookmarkEnd w:id="47"/>
      <w:bookmarkEnd w:id="48"/>
      <w:bookmarkEnd w:id="49"/>
    </w:p>
    <w:p>
      <w:pPr>
        <w:pStyle w:val="8"/>
        <w:adjustRightInd w:val="0"/>
        <w:snapToGrid w:val="0"/>
        <w:spacing w:before="93" w:line="600" w:lineRule="exact"/>
        <w:ind w:firstLine="672" w:firstLineChars="210"/>
        <w:outlineLvl w:val="2"/>
        <w:rPr>
          <w:rFonts w:hAnsi="仿宋"/>
          <w:bCs/>
          <w:color w:val="000000"/>
          <w:sz w:val="32"/>
          <w:szCs w:val="32"/>
        </w:rPr>
      </w:pPr>
      <w:bookmarkStart w:id="50" w:name="_Toc15378445"/>
      <w:bookmarkStart w:id="51" w:name="_Toc20834_WPSOffice_Level3"/>
      <w:bookmarkStart w:id="52" w:name="_Toc15377198"/>
      <w:r>
        <w:rPr>
          <w:rFonts w:hint="eastAsia" w:hAnsi="仿宋"/>
          <w:bCs/>
          <w:color w:val="000000"/>
          <w:sz w:val="32"/>
          <w:szCs w:val="32"/>
        </w:rPr>
        <w:t>（一）主要职能。</w:t>
      </w:r>
      <w:bookmarkEnd w:id="50"/>
      <w:bookmarkEnd w:id="51"/>
      <w:bookmarkEnd w:id="52"/>
    </w:p>
    <w:p>
      <w:pPr>
        <w:pStyle w:val="8"/>
        <w:adjustRightInd w:val="0"/>
        <w:snapToGrid w:val="0"/>
        <w:spacing w:before="93" w:line="600" w:lineRule="exact"/>
        <w:ind w:firstLine="630" w:firstLineChars="210"/>
        <w:outlineLvl w:val="2"/>
        <w:rPr>
          <w:rFonts w:hint="eastAsia"/>
          <w:lang w:eastAsia="zh-CN"/>
        </w:rPr>
      </w:pPr>
      <w:bookmarkStart w:id="53" w:name="_Toc15377199"/>
      <w:bookmarkStart w:id="54" w:name="_Toc15378446"/>
      <w:r>
        <w:rPr>
          <w:rFonts w:hint="eastAsia"/>
          <w:lang w:eastAsia="zh-CN"/>
        </w:rPr>
        <w:t>依法加强寺庙宗教事务管理：严守法律底线，坚决把以寺庙、僧人、宗教佛事活动管理为重点的宗教事务管理纳入依法管理轨道，牢牢掌握寺庙领导权和管理权，做到不发生重大责任事故和稳定责任事故。一是加强寺庙管理。规范寺庙建设行为，严格执行寺庙用地、修建宗教建筑的有关规定；规范僧人扎康的建设和管理，探索建立僧人公寓，推动僧人扎康所有权改革；加强寺庙财务收支、卫生防疫、文物保护工作；严格规法寺庙参与办医事项；加强对寺庙接收广播电视、印发书籍刊物、制作音像制品、使用互联网的管理；加强寺庙办佛学院（学经班）管理，严禁寺庙及其佛学院（学经班）接受未成年人，依法清理并取缔寺庙非法办学；严格审批和管理寺庙或僧人民间社团组织，依法取缔各类非法组织。二是加强僧人管理。健全完善并及时更新僧人基本信息台账；完善僧人证信息采集，僧人办理僧人证并持证住寺；严格落实僧人外出请销假制度；县外僧人入寺学经依法按有关程序报批；清理并管控非法出境回流人员；加强重点人员的“查、管、控、转”工作。三是加强宗教佛事活动管理。建立完善寺庙宗教佛事活动台帐，切实掌握寺庙佛事活动举办的时间、规模、地点、参与人数等；实行宗教佛事活动报批制度，坚持“小型、就地、短期”、“谁主办，谁负责”。</w:t>
      </w:r>
    </w:p>
    <w:p>
      <w:pPr>
        <w:pStyle w:val="8"/>
        <w:adjustRightInd w:val="0"/>
        <w:snapToGrid w:val="0"/>
        <w:spacing w:before="93" w:line="600" w:lineRule="exact"/>
        <w:ind w:firstLine="630" w:firstLineChars="210"/>
        <w:outlineLvl w:val="2"/>
        <w:rPr>
          <w:rFonts w:hint="eastAsia"/>
          <w:lang w:eastAsia="zh-CN"/>
        </w:rPr>
      </w:pPr>
      <w:r>
        <w:rPr>
          <w:rFonts w:hint="eastAsia"/>
          <w:lang w:eastAsia="zh-CN"/>
        </w:rPr>
        <w:t>加强教育引导：以增强僧人法制意识、公民意识、政府意识、祖国意识为目的，坚持不懈加强对僧人的教育引导。一是完善教育制度。把寺庙爱国主义教育和法制宣传教育常态化、制度化，引导和帮助僧人分清合法与非法的界限，坚定不移守法持戒、爱国爱教。二是丰富教育。开展法制教育、政策教育、爱国教育、形势教育、团结教育、教规教育、生命教育、知识教育、技能教育；教育引导僧人要与推进政府公开服务相结合。</w:t>
      </w:r>
    </w:p>
    <w:p>
      <w:pPr>
        <w:pStyle w:val="8"/>
        <w:adjustRightInd w:val="0"/>
        <w:snapToGrid w:val="0"/>
        <w:spacing w:before="93" w:line="600" w:lineRule="exact"/>
        <w:ind w:firstLine="630" w:firstLineChars="210"/>
        <w:outlineLvl w:val="2"/>
        <w:rPr>
          <w:rFonts w:hint="eastAsia"/>
          <w:lang w:eastAsia="zh-CN"/>
        </w:rPr>
      </w:pPr>
      <w:r>
        <w:rPr>
          <w:rFonts w:hint="eastAsia"/>
          <w:lang w:eastAsia="zh-CN"/>
        </w:rPr>
        <w:t>推进社会公共服务进寺庙：充分保障寺庙和僧人普惠性待遇，做到“五通”（通路、通水、通电、通广播电视、通通讯）、“三有”（有党刊党报、有广播电视、有寺庙书屋）、“三覆盖”（养老保险全覆盖、医疗保险制度全覆盖、寺庙民管会成员补助全覆盖）；落实符合条件僧人的低保求助、五保供养、扶贫解困政策，实现“应保尽保”。</w:t>
      </w:r>
    </w:p>
    <w:p>
      <w:pPr>
        <w:pStyle w:val="8"/>
        <w:adjustRightInd w:val="0"/>
        <w:snapToGrid w:val="0"/>
        <w:spacing w:before="93" w:line="600" w:lineRule="exact"/>
        <w:ind w:firstLine="672" w:firstLineChars="210"/>
        <w:outlineLvl w:val="2"/>
        <w:rPr>
          <w:rFonts w:hint="eastAsia" w:hAnsi="仿宋"/>
          <w:bCs/>
          <w:color w:val="000000"/>
          <w:sz w:val="32"/>
          <w:szCs w:val="32"/>
        </w:rPr>
      </w:pPr>
      <w:bookmarkStart w:id="55" w:name="_Toc17738_WPSOffice_Level3"/>
      <w:r>
        <w:rPr>
          <w:rFonts w:hint="eastAsia" w:hAnsi="仿宋"/>
          <w:bCs/>
          <w:color w:val="000000"/>
          <w:sz w:val="32"/>
          <w:szCs w:val="32"/>
        </w:rPr>
        <w:t>（二）20</w:t>
      </w:r>
      <w:r>
        <w:rPr>
          <w:rFonts w:hint="eastAsia" w:hAnsi="仿宋"/>
          <w:bCs/>
          <w:color w:val="000000"/>
          <w:sz w:val="32"/>
          <w:szCs w:val="32"/>
          <w:lang w:val="en-US" w:eastAsia="zh-CN"/>
        </w:rPr>
        <w:t>20</w:t>
      </w:r>
      <w:r>
        <w:rPr>
          <w:rFonts w:hint="eastAsia" w:hAnsi="仿宋"/>
          <w:bCs/>
          <w:color w:val="000000"/>
          <w:sz w:val="32"/>
          <w:szCs w:val="32"/>
        </w:rPr>
        <w:t>年重点工作完成情况。</w:t>
      </w:r>
      <w:bookmarkEnd w:id="53"/>
      <w:bookmarkEnd w:id="54"/>
      <w:bookmarkEnd w:id="55"/>
      <w:bookmarkStart w:id="56" w:name="_Toc15396601"/>
      <w:bookmarkStart w:id="57" w:name="_Toc15377200"/>
    </w:p>
    <w:p>
      <w:pPr>
        <w:pStyle w:val="8"/>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default"/>
          <w:lang w:val="en-US" w:eastAsia="zh-CN"/>
        </w:rPr>
      </w:pPr>
      <w:r>
        <w:rPr>
          <w:rFonts w:hint="default"/>
          <w:lang w:val="en-US" w:eastAsia="zh-CN"/>
        </w:rPr>
        <w:t>1.疫情防控工作。一是全覆盖部署。联合镇党委成立疫情防控领导小组，召开联席会议20余次，实现工作部署、职能联动无缝对接。二是全覆盖宣传。组织印发各类疫情宣传册（单）共计1000余份，横幅13条，公告23份。三是全覆盖摸排。排查出100余名在外僧人，对可能亲密接触者18名僧人第一时间进行体检，在辖区7座寺庙主要路口设置卡口劝离点12个，劝导信众800余人。四是全覆盖落实。暂停所有佛事活动，管好管住了寺庙“三门”，实现84消毒液、泡腾片、口罩、喷雾器等器具配备全覆盖；10余次对30余名僧人进行消杀培训；完成寺庙4轮全覆盖消杀，消杀面积达7万余平米，确保辖区零疑似、零发生。</w:t>
      </w:r>
    </w:p>
    <w:p>
      <w:pPr>
        <w:pStyle w:val="8"/>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default"/>
          <w:lang w:val="en-US" w:eastAsia="zh-CN"/>
        </w:rPr>
      </w:pPr>
      <w:r>
        <w:rPr>
          <w:rFonts w:hint="default"/>
          <w:lang w:val="en-US" w:eastAsia="zh-CN"/>
        </w:rPr>
        <w:t>2.“一寺一策”工作。一是增强工作执行力。及时成立由县级帮扶领导任组长，全县相关帮扶部门领导及镇党委领导为成员的工作领导小组，形成思想统一，责任到位，任务明确的工作格局。二是强化职能融合度。组织召开辖区藏传佛教寺庙“一寺一策”依法规范管理工作动员大会7次，专题会议7次，领导小组会议2次，现场会议7次，实现工作部署、职能联动无缝对接。三是提升政策认知率。针对我委干部及寺管所干部思想认识问题等方面专题召开辖区藏传佛教寺庙“一寺一策”依法规范管理工作专题培训会，组织专门力量入寺宣传“一寺一策”政策14次，强化政治站位，明确任务，挂出了作战图，辖区寺庙“一寺一策”政策知晓实现全覆盖，思想政治基础更加牢固。四是突出寺庙自治力。全面严格落实寺庙“四项管理”责任，将寺庙高僧大德和民管会推向前台，深入寺庙对标“一寺一策”9（8+1）类问题召开寺庙问题自查会议7次，措施研判会议6次，干僧共商研判机制在寺庙落地生根。五是坚持精准导向。</w:t>
      </w:r>
      <w:bookmarkStart w:id="140" w:name="_GoBack"/>
      <w:bookmarkEnd w:id="140"/>
      <w:r>
        <w:rPr>
          <w:rFonts w:hint="default"/>
          <w:lang w:val="en-US" w:eastAsia="zh-CN"/>
        </w:rPr>
        <w:t>按照“严控总量、遏制增量、循序渐进、消化存量”原则，利用今年3月群众工作月及“一寺一策”工作开展全面、多次开展寺庙基础信息核查，实现辖区寺7座寺庙信息核实全覆盖，实现辖区寺庙底数清、信息实、情况明。目前精准核定三郎寺共计僧尼248人，其中僧人222人，尼姑26人，核减三郎寺僧尼133人。六是坚持问题导向，加强系统谋划，结合社会基层治理，完成三郎寺、康旭寺民管会新老成员班子换届选举；对标存在9（8+1）类问题，对3座100以上问题症结采取征求村两委、乡党委政府、县级领导意见，找准3座寺庙的主要症结、工作短板问题27个，做到逐寺研判、逐寺施策；同时以3座100人以上寺庙问题为蓝本，在辖区余下4寺庙相应成立“一寺一策”工作领导小组，深入挖掘问题根源，逐一精心制定“一寺一策”实施方案4册，对标问题提出整改措施13条。</w:t>
      </w:r>
    </w:p>
    <w:p>
      <w:pPr>
        <w:pStyle w:val="8"/>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default"/>
          <w:lang w:val="en-US" w:eastAsia="zh-CN"/>
        </w:rPr>
      </w:pPr>
      <w:r>
        <w:rPr>
          <w:rFonts w:hint="default"/>
          <w:lang w:val="en-US" w:eastAsia="zh-CN"/>
        </w:rPr>
        <w:t>3.寺庙管理工作。一是加强寺庙“四项管理”责任。完成三郎寺、康旭寺民管会新老成员班子换届选举，严格佛事活动管理，严控僧尼请销假，严把入寺关。二是稳步推进“五美寺庙”建设。集中对寺庙环境卫生进行全面综合整治10次，动员僧尼群众700余人次，清理垃圾5吨，植树2200株。三是强化安全隐患整治。开展安全隐患排查20余次，排查出隐患20余处，布置警示牌3个，及时处理安全隐患10处，扎康张贴告知书37张，安排值班、值守30余次，劝导疏散僧众100余人次。四是强化重点领域管控。以“两联一进”为抓手，对辖区7名重点人员累计谈话走访20余次，排查矛盾纠纷1起，成功调处1起。五是全力做好意识形态工作。完成7座寺庙600余张伟人像入寺入扎康，完成辖区7座寺庙及传习所国旗新旧更换。同时将疫情防控和“五美”寺庙创建等高度结合，开展宣教26次，以正面引导攻心化人。</w:t>
      </w:r>
    </w:p>
    <w:p>
      <w:pPr>
        <w:pStyle w:val="8"/>
        <w:keepNext w:val="0"/>
        <w:keepLines w:val="0"/>
        <w:pageBreakBefore w:val="0"/>
        <w:widowControl w:val="0"/>
        <w:kinsoku/>
        <w:wordWrap/>
        <w:overflowPunct/>
        <w:topLinePunct w:val="0"/>
        <w:autoSpaceDE/>
        <w:autoSpaceDN/>
        <w:bidi w:val="0"/>
        <w:adjustRightInd/>
        <w:snapToGrid/>
        <w:spacing w:beforeLines="0" w:line="360" w:lineRule="auto"/>
        <w:ind w:firstLine="600" w:firstLineChars="200"/>
        <w:textAlignment w:val="auto"/>
        <w:rPr>
          <w:rFonts w:hint="default"/>
          <w:lang w:val="en-US" w:eastAsia="zh-CN"/>
        </w:rPr>
      </w:pPr>
      <w:r>
        <w:rPr>
          <w:rFonts w:hint="eastAsia"/>
          <w:lang w:val="en-US" w:eastAsia="zh-CN"/>
        </w:rPr>
        <w:t>4</w:t>
      </w:r>
      <w:r>
        <w:rPr>
          <w:rFonts w:hint="default"/>
          <w:lang w:val="en-US" w:eastAsia="zh-CN"/>
        </w:rPr>
        <w:t>.脱贫帮扶工作。一是全力助推精准扶贫。加大对农牧民群众的帮扶力度，深入联系点，深入贫困户家中走访慰问20余人次，送去慰问物资折合现金2000元。体察群众疾苦，倾听群众呼声，帮助解决农牧民生产和生活中的困难。二是密切干群交流。深入帮扶村（三郎村）开展庆祝“三八”国际劳动妇女节和“六一”国际儿童节活动。宣讲《婚姻法》《义务教育法》及计划生育和妇女儿童权益保障等法律知识，进一步提升妇女儿童的法律素质和维权意识。开展形式多样的游园活动，发放慰问物资共计1600元，有效增强了妇女儿童的幸福感。三是切实推进“两联一进”工作。充分利用三八妇女节、六一儿童节和民族团结等节日为契机，开展了丰富的娱乐活动，干部、群众在一起欢歌笑语，度过了欢庆祥和的节日。针对当前我委的联户联情工作、脱贫攻坚工作、联寺联僧工作、法律政策七进工作任务重、时间紧、责任大等实际情况，围绕目标任务、面临形势进一步解放思想、明确工作重点，在全委营造了良好氛围。</w:t>
      </w:r>
    </w:p>
    <w:p>
      <w:pPr>
        <w:pStyle w:val="8"/>
        <w:adjustRightInd w:val="0"/>
        <w:snapToGrid w:val="0"/>
        <w:spacing w:before="93" w:line="600" w:lineRule="exact"/>
        <w:ind w:firstLine="632" w:firstLineChars="210"/>
        <w:outlineLvl w:val="2"/>
        <w:rPr>
          <w:rFonts w:hint="eastAsia" w:ascii="仿宋_GB2312" w:hAnsi="黑体" w:eastAsia="仿宋_GB2312"/>
          <w:b/>
          <w:bCs w:val="0"/>
          <w:color w:val="000000"/>
        </w:rPr>
      </w:pPr>
      <w:bookmarkStart w:id="58" w:name="_Toc17738_WPSOffice_Level2"/>
      <w:r>
        <w:rPr>
          <w:rFonts w:hint="eastAsia" w:ascii="仿宋_GB2312" w:hAnsi="黑体" w:eastAsia="仿宋_GB2312"/>
          <w:b/>
          <w:bCs w:val="0"/>
          <w:color w:val="000000"/>
        </w:rPr>
        <w:t>二、机构设置</w:t>
      </w:r>
      <w:bookmarkEnd w:id="56"/>
      <w:bookmarkEnd w:id="57"/>
      <w:bookmarkEnd w:id="58"/>
    </w:p>
    <w:p>
      <w:pPr>
        <w:ind w:firstLine="800" w:firstLineChars="250"/>
        <w:rPr>
          <w:rFonts w:hint="eastAsia" w:ascii="仿宋_GB2312" w:hAnsi="仿宋" w:eastAsia="仿宋_GB2312"/>
          <w:color w:val="FF0000"/>
          <w:sz w:val="32"/>
          <w:szCs w:val="32"/>
          <w:highlight w:val="none"/>
          <w:lang w:eastAsia="zh-CN"/>
        </w:rPr>
      </w:pPr>
      <w:r>
        <w:rPr>
          <w:rFonts w:hint="eastAsia" w:ascii="仿宋_GB2312" w:hAnsi="仿宋" w:eastAsia="仿宋_GB2312"/>
          <w:sz w:val="32"/>
          <w:szCs w:val="32"/>
          <w:highlight w:val="none"/>
          <w:lang w:eastAsia="zh-CN"/>
        </w:rPr>
        <w:t>壤塘县三郎寺管理委员会无</w:t>
      </w:r>
      <w:r>
        <w:rPr>
          <w:rFonts w:hint="eastAsia" w:ascii="仿宋_GB2312" w:hAnsi="仿宋" w:eastAsia="仿宋_GB2312"/>
          <w:sz w:val="32"/>
          <w:szCs w:val="32"/>
          <w:highlight w:val="none"/>
        </w:rPr>
        <w:t>下属二级单位</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本单位属行政单位</w:t>
      </w:r>
      <w:r>
        <w:rPr>
          <w:rFonts w:hint="eastAsia" w:ascii="仿宋_GB2312" w:hAnsi="仿宋" w:eastAsia="仿宋_GB2312"/>
          <w:sz w:val="32"/>
          <w:szCs w:val="32"/>
          <w:highlight w:val="none"/>
          <w:lang w:eastAsia="zh-CN"/>
        </w:rPr>
        <w:t>。</w:t>
      </w:r>
    </w:p>
    <w:p>
      <w:pPr>
        <w:pStyle w:val="4"/>
        <w:ind w:right="440"/>
        <w:jc w:val="center"/>
        <w:rPr>
          <w:rFonts w:ascii="仿宋_GB2312" w:eastAsia="仿宋_GB2312"/>
          <w:sz w:val="32"/>
          <w:szCs w:val="32"/>
        </w:rPr>
      </w:pPr>
      <w:bookmarkStart w:id="59" w:name="_Toc15396602"/>
      <w:bookmarkStart w:id="60" w:name="_Toc15377204"/>
      <w:r>
        <w:rPr>
          <w:rFonts w:hint="eastAsia" w:ascii="仿宋_GB2312" w:hAnsi="黑体" w:eastAsia="仿宋_GB2312"/>
          <w:color w:val="000000"/>
        </w:rPr>
        <w:t xml:space="preserve">  </w:t>
      </w:r>
      <w:bookmarkStart w:id="61" w:name="_Toc20834_WPSOffice_Level1"/>
      <w:r>
        <w:rPr>
          <w:rFonts w:hint="eastAsia" w:ascii="仿宋_GB2312" w:hAnsi="黑体" w:eastAsia="仿宋_GB2312"/>
          <w:color w:val="000000"/>
        </w:rPr>
        <w:t>第二部分</w:t>
      </w:r>
      <w:r>
        <w:rPr>
          <w:rStyle w:val="29"/>
          <w:rFonts w:hint="eastAsia" w:ascii="仿宋_GB2312" w:hAnsi="黑体" w:eastAsia="仿宋_GB2312"/>
          <w:b/>
          <w:bCs w:val="0"/>
        </w:rPr>
        <w:t>20</w:t>
      </w:r>
      <w:r>
        <w:rPr>
          <w:rStyle w:val="29"/>
          <w:rFonts w:hint="eastAsia" w:ascii="仿宋_GB2312" w:hAnsi="黑体" w:eastAsia="仿宋_GB2312"/>
          <w:b/>
          <w:bCs w:val="0"/>
          <w:lang w:val="en-US" w:eastAsia="zh-CN"/>
        </w:rPr>
        <w:t>20</w:t>
      </w:r>
      <w:r>
        <w:rPr>
          <w:rStyle w:val="29"/>
          <w:rFonts w:hint="eastAsia" w:ascii="仿宋_GB2312" w:hAnsi="黑体" w:eastAsia="仿宋_GB2312"/>
          <w:b/>
          <w:bCs w:val="0"/>
        </w:rPr>
        <w:t>年度部门决算情况说明</w:t>
      </w:r>
      <w:bookmarkEnd w:id="59"/>
      <w:bookmarkEnd w:id="60"/>
      <w:bookmarkEnd w:id="61"/>
    </w:p>
    <w:p>
      <w:pPr>
        <w:pStyle w:val="28"/>
        <w:numPr>
          <w:ilvl w:val="0"/>
          <w:numId w:val="1"/>
        </w:numPr>
        <w:spacing w:line="600" w:lineRule="exact"/>
        <w:ind w:firstLineChars="0"/>
        <w:outlineLvl w:val="1"/>
        <w:rPr>
          <w:rStyle w:val="30"/>
          <w:rFonts w:ascii="仿宋_GB2312" w:hAnsi="黑体" w:eastAsia="仿宋_GB2312"/>
          <w:b/>
          <w:bCs w:val="0"/>
        </w:rPr>
      </w:pPr>
      <w:bookmarkStart w:id="62" w:name="_Toc15377205"/>
      <w:bookmarkStart w:id="63" w:name="_Toc15396603"/>
      <w:bookmarkStart w:id="64" w:name="_Toc9161_WPSOffice_Level2"/>
      <w:r>
        <w:rPr>
          <w:rFonts w:hint="eastAsia" w:ascii="仿宋_GB2312" w:hAnsi="黑体" w:eastAsia="仿宋_GB2312"/>
          <w:b/>
          <w:bCs w:val="0"/>
          <w:color w:val="000000"/>
          <w:sz w:val="32"/>
          <w:szCs w:val="32"/>
        </w:rPr>
        <w:t>收</w:t>
      </w:r>
      <w:r>
        <w:rPr>
          <w:rStyle w:val="30"/>
          <w:rFonts w:hint="eastAsia" w:ascii="仿宋_GB2312" w:hAnsi="黑体" w:eastAsia="仿宋_GB2312"/>
          <w:b/>
          <w:bCs w:val="0"/>
        </w:rPr>
        <w:t>入支出决算总体情况说明</w:t>
      </w:r>
      <w:bookmarkEnd w:id="62"/>
      <w:bookmarkEnd w:id="63"/>
      <w:bookmarkEnd w:id="64"/>
    </w:p>
    <w:p>
      <w:pPr>
        <w:spacing w:line="60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年度收入总计</w:t>
      </w:r>
      <w:r>
        <w:rPr>
          <w:rFonts w:hint="eastAsia" w:ascii="仿宋_GB2312" w:hAnsi="仿宋" w:eastAsia="仿宋_GB2312"/>
          <w:color w:val="000000"/>
          <w:sz w:val="32"/>
          <w:szCs w:val="32"/>
          <w:lang w:val="en-US" w:eastAsia="zh-CN"/>
        </w:rPr>
        <w:t>132.68</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36.17</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21.42%</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：本年度业务量减少</w:t>
      </w:r>
      <w:r>
        <w:rPr>
          <w:rFonts w:hint="eastAsia" w:ascii="仿宋_GB2312" w:hAnsi="仿宋" w:eastAsia="仿宋_GB2312"/>
          <w:color w:val="000000"/>
          <w:sz w:val="32"/>
          <w:szCs w:val="32"/>
        </w:rPr>
        <w:t>; 支出总计</w:t>
      </w:r>
      <w:r>
        <w:rPr>
          <w:rFonts w:hint="eastAsia" w:ascii="仿宋_GB2312" w:hAnsi="仿宋" w:eastAsia="仿宋_GB2312"/>
          <w:color w:val="000000"/>
          <w:sz w:val="32"/>
          <w:szCs w:val="32"/>
          <w:lang w:val="en-US" w:eastAsia="zh-CN"/>
        </w:rPr>
        <w:t>136.73</w:t>
      </w:r>
      <w:r>
        <w:rPr>
          <w:rFonts w:hint="eastAsia" w:ascii="仿宋_GB2312" w:hAnsi="仿宋" w:eastAsia="仿宋_GB2312"/>
          <w:color w:val="000000"/>
          <w:sz w:val="32"/>
          <w:szCs w:val="32"/>
        </w:rPr>
        <w:t>万元。与201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32.12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19.02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2020年</w:t>
      </w:r>
      <w:r>
        <w:rPr>
          <w:rFonts w:hint="eastAsia" w:ascii="仿宋_GB2312" w:hAnsi="仿宋" w:eastAsia="仿宋_GB2312"/>
          <w:color w:val="000000"/>
          <w:sz w:val="32"/>
          <w:szCs w:val="32"/>
        </w:rPr>
        <w:t>项目</w:t>
      </w:r>
      <w:r>
        <w:rPr>
          <w:rFonts w:hint="eastAsia" w:ascii="仿宋_GB2312" w:hAnsi="仿宋" w:eastAsia="仿宋_GB2312"/>
          <w:color w:val="000000"/>
          <w:sz w:val="32"/>
          <w:szCs w:val="32"/>
          <w:lang w:eastAsia="zh-CN"/>
        </w:rPr>
        <w:t>完工。</w:t>
      </w:r>
    </w:p>
    <w:p>
      <w:pPr>
        <w:spacing w:line="600" w:lineRule="exact"/>
        <w:rPr>
          <w:rFonts w:hint="eastAsia" w:ascii="仿宋_GB2312" w:hAnsi="仿宋" w:eastAsia="仿宋_GB2312"/>
          <w:color w:val="000000" w:themeColor="text1"/>
          <w:sz w:val="32"/>
          <w:szCs w:val="32"/>
          <w14:textFill>
            <w14:solidFill>
              <w14:schemeClr w14:val="tx1"/>
            </w14:solidFill>
          </w14:textFill>
        </w:rPr>
      </w:pPr>
      <w:r>
        <w:drawing>
          <wp:anchor distT="0" distB="0" distL="114935" distR="114935" simplePos="0" relativeHeight="251660288" behindDoc="0" locked="0" layoutInCell="1" allowOverlap="1">
            <wp:simplePos x="0" y="0"/>
            <wp:positionH relativeFrom="column">
              <wp:posOffset>-31115</wp:posOffset>
            </wp:positionH>
            <wp:positionV relativeFrom="paragraph">
              <wp:posOffset>354965</wp:posOffset>
            </wp:positionV>
            <wp:extent cx="5432425" cy="3283585"/>
            <wp:effectExtent l="0" t="0" r="8255" b="8255"/>
            <wp:wrapTopAndBottom/>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
                    <a:stretch>
                      <a:fillRect/>
                    </a:stretch>
                  </pic:blipFill>
                  <pic:spPr>
                    <a:xfrm>
                      <a:off x="0" y="0"/>
                      <a:ext cx="5432425" cy="3283585"/>
                    </a:xfrm>
                    <a:prstGeom prst="rect">
                      <a:avLst/>
                    </a:prstGeom>
                    <a:noFill/>
                    <a:ln>
                      <a:noFill/>
                    </a:ln>
                  </pic:spPr>
                </pic:pic>
              </a:graphicData>
            </a:graphic>
          </wp:anchor>
        </w:drawing>
      </w:r>
    </w:p>
    <w:p>
      <w:pPr>
        <w:pStyle w:val="2"/>
        <w:rPr>
          <w:rFonts w:hint="eastAsia" w:ascii="仿宋_GB2312" w:hAnsi="仿宋" w:eastAsia="仿宋_GB2312"/>
          <w:color w:val="000000" w:themeColor="text1"/>
          <w:sz w:val="32"/>
          <w:szCs w:val="32"/>
          <w14:textFill>
            <w14:solidFill>
              <w14:schemeClr w14:val="tx1"/>
            </w14:solidFill>
          </w14:textFill>
        </w:rPr>
      </w:pPr>
    </w:p>
    <w:p>
      <w:pPr>
        <w:spacing w:line="600" w:lineRule="exact"/>
        <w:jc w:val="center"/>
        <w:rPr>
          <w:rFonts w:ascii="仿宋_GB2312" w:hAnsi="仿宋" w:eastAsia="仿宋_GB2312"/>
          <w:color w:val="000000" w:themeColor="text1"/>
          <w:sz w:val="32"/>
          <w:szCs w:val="32"/>
          <w14:textFill>
            <w14:solidFill>
              <w14:schemeClr w14:val="tx1"/>
            </w14:solidFill>
          </w14:textFill>
        </w:rPr>
      </w:pPr>
      <w:r>
        <w:drawing>
          <wp:anchor distT="0" distB="0" distL="114935" distR="114935" simplePos="0" relativeHeight="251661312" behindDoc="0" locked="0" layoutInCell="1" allowOverlap="1">
            <wp:simplePos x="0" y="0"/>
            <wp:positionH relativeFrom="column">
              <wp:posOffset>155575</wp:posOffset>
            </wp:positionH>
            <wp:positionV relativeFrom="paragraph">
              <wp:posOffset>76200</wp:posOffset>
            </wp:positionV>
            <wp:extent cx="5188585" cy="3141980"/>
            <wp:effectExtent l="0" t="0" r="8255" b="12700"/>
            <wp:wrapTopAndBottom/>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8"/>
                    <a:stretch>
                      <a:fillRect/>
                    </a:stretch>
                  </pic:blipFill>
                  <pic:spPr>
                    <a:xfrm>
                      <a:off x="0" y="0"/>
                      <a:ext cx="5188585" cy="3141980"/>
                    </a:xfrm>
                    <a:prstGeom prst="rect">
                      <a:avLst/>
                    </a:prstGeom>
                    <a:noFill/>
                    <a:ln>
                      <a:noFill/>
                    </a:ln>
                  </pic:spPr>
                </pic:pic>
              </a:graphicData>
            </a:graphic>
          </wp:anchor>
        </w:drawing>
      </w:r>
      <w:r>
        <w:rPr>
          <w:rFonts w:hint="eastAsia" w:ascii="仿宋_GB2312" w:hAnsi="仿宋" w:eastAsia="仿宋_GB2312"/>
          <w:color w:val="000000" w:themeColor="text1"/>
          <w:sz w:val="32"/>
          <w:szCs w:val="32"/>
          <w14:textFill>
            <w14:solidFill>
              <w14:schemeClr w14:val="tx1"/>
            </w14:solidFill>
          </w14:textFill>
        </w:rPr>
        <w:t>图1：（收、支决算总计变动情况图）（柱状图）</w:t>
      </w:r>
    </w:p>
    <w:p>
      <w:pPr>
        <w:spacing w:line="600" w:lineRule="exact"/>
        <w:ind w:firstLine="640" w:firstLineChars="200"/>
        <w:jc w:val="left"/>
        <w:rPr>
          <w:rFonts w:ascii="仿宋_GB2312" w:eastAsia="仿宋_GB2312"/>
          <w:color w:val="000000"/>
          <w:sz w:val="32"/>
          <w:szCs w:val="32"/>
        </w:rPr>
      </w:pPr>
    </w:p>
    <w:p>
      <w:pPr>
        <w:pStyle w:val="28"/>
        <w:numPr>
          <w:ilvl w:val="0"/>
          <w:numId w:val="1"/>
        </w:numPr>
        <w:spacing w:line="600" w:lineRule="exact"/>
        <w:ind w:firstLineChars="0"/>
        <w:outlineLvl w:val="1"/>
        <w:rPr>
          <w:rStyle w:val="30"/>
          <w:rFonts w:ascii="仿宋_GB2312" w:hAnsi="黑体" w:eastAsia="仿宋_GB2312"/>
          <w:b/>
          <w:bCs w:val="0"/>
        </w:rPr>
      </w:pPr>
      <w:bookmarkStart w:id="65" w:name="_Toc24_WPSOffice_Level2"/>
      <w:bookmarkStart w:id="66" w:name="_Toc15377206"/>
      <w:bookmarkStart w:id="67" w:name="_Toc15396604"/>
      <w:r>
        <w:rPr>
          <w:rFonts w:hint="eastAsia" w:ascii="仿宋_GB2312" w:hAnsi="黑体" w:eastAsia="仿宋_GB2312"/>
          <w:b/>
          <w:bCs w:val="0"/>
          <w:color w:val="000000"/>
          <w:sz w:val="32"/>
          <w:szCs w:val="32"/>
        </w:rPr>
        <w:t>收</w:t>
      </w:r>
      <w:r>
        <w:rPr>
          <w:rStyle w:val="30"/>
          <w:rFonts w:hint="eastAsia" w:ascii="仿宋_GB2312" w:hAnsi="黑体" w:eastAsia="仿宋_GB2312"/>
          <w:b/>
          <w:bCs w:val="0"/>
        </w:rPr>
        <w:t>入决算情况说明</w:t>
      </w:r>
      <w:bookmarkEnd w:id="65"/>
      <w:bookmarkEnd w:id="66"/>
      <w:bookmarkEnd w:id="67"/>
    </w:p>
    <w:p>
      <w:pPr>
        <w:spacing w:line="600" w:lineRule="exact"/>
        <w:ind w:firstLine="640"/>
        <w:rPr>
          <w:rFonts w:hint="eastAsia"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2020年本年收入合计168.85万元，其中：一般公共预算财政拨款收入168.85万元，占100%；政府性基金预算财政拨款收入0万元，占0%；国有资本经营预算财政拨款收入0万元，占0%；事业收入0万元，占0%；经营收入0万元，占0%；附属单位上缴收入0万元，占0%；其他收入0万元，占0%。</w:t>
      </w:r>
    </w:p>
    <w:p>
      <w:pPr>
        <w:pStyle w:val="2"/>
        <w:rPr>
          <w:rFonts w:hint="eastAsia"/>
          <w:lang w:val="en-US" w:eastAsia="zh-CN"/>
        </w:rPr>
      </w:pPr>
      <w:r>
        <w:drawing>
          <wp:anchor distT="0" distB="0" distL="114935" distR="114935" simplePos="0" relativeHeight="251659264" behindDoc="0" locked="0" layoutInCell="1" allowOverlap="1">
            <wp:simplePos x="0" y="0"/>
            <wp:positionH relativeFrom="column">
              <wp:posOffset>102870</wp:posOffset>
            </wp:positionH>
            <wp:positionV relativeFrom="paragraph">
              <wp:posOffset>72390</wp:posOffset>
            </wp:positionV>
            <wp:extent cx="5239385" cy="3140075"/>
            <wp:effectExtent l="0" t="0" r="3175" b="14605"/>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5239385" cy="3140075"/>
                    </a:xfrm>
                    <a:prstGeom prst="rect">
                      <a:avLst/>
                    </a:prstGeom>
                    <a:noFill/>
                    <a:ln>
                      <a:noFill/>
                    </a:ln>
                  </pic:spPr>
                </pic:pic>
              </a:graphicData>
            </a:graphic>
          </wp:anchor>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（图2：收入决算结构图）（饼状图）</w:t>
      </w:r>
    </w:p>
    <w:p>
      <w:pPr>
        <w:pStyle w:val="28"/>
        <w:numPr>
          <w:ilvl w:val="0"/>
          <w:numId w:val="1"/>
        </w:numPr>
        <w:spacing w:line="600" w:lineRule="exact"/>
        <w:ind w:firstLineChars="0"/>
        <w:outlineLvl w:val="1"/>
        <w:rPr>
          <w:rStyle w:val="30"/>
          <w:rFonts w:ascii="仿宋_GB2312" w:hAnsi="黑体" w:eastAsia="仿宋_GB2312"/>
          <w:b/>
          <w:bCs/>
        </w:rPr>
      </w:pPr>
      <w:bookmarkStart w:id="68" w:name="_Toc20600_WPSOffice_Level2"/>
      <w:bookmarkStart w:id="69" w:name="_Toc15396605"/>
      <w:bookmarkStart w:id="70" w:name="_Toc15377207"/>
      <w:r>
        <w:rPr>
          <w:rFonts w:hint="eastAsia" w:ascii="仿宋_GB2312" w:hAnsi="黑体" w:eastAsia="仿宋_GB2312"/>
          <w:b/>
          <w:bCs/>
          <w:color w:val="000000"/>
          <w:sz w:val="32"/>
          <w:szCs w:val="32"/>
        </w:rPr>
        <w:t>支</w:t>
      </w:r>
      <w:r>
        <w:rPr>
          <w:rStyle w:val="30"/>
          <w:rFonts w:hint="eastAsia" w:ascii="仿宋_GB2312" w:hAnsi="黑体" w:eastAsia="仿宋_GB2312"/>
          <w:b/>
          <w:bCs/>
        </w:rPr>
        <w:t>出决算情况说明</w:t>
      </w:r>
      <w:bookmarkEnd w:id="68"/>
      <w:bookmarkEnd w:id="69"/>
      <w:bookmarkEnd w:id="70"/>
    </w:p>
    <w:p>
      <w:pPr>
        <w:spacing w:line="600"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年本年支出合计</w:t>
      </w:r>
      <w:r>
        <w:rPr>
          <w:rFonts w:hint="eastAsia" w:ascii="仿宋_GB2312" w:hAnsi="仿宋" w:eastAsia="仿宋_GB2312"/>
          <w:color w:val="000000"/>
          <w:sz w:val="32"/>
          <w:szCs w:val="32"/>
          <w:lang w:val="en-US" w:eastAsia="zh-CN"/>
        </w:rPr>
        <w:t>136.73</w:t>
      </w:r>
      <w:r>
        <w:rPr>
          <w:rFonts w:hint="eastAsia" w:ascii="仿宋_GB2312" w:hAnsi="仿宋" w:eastAsia="仿宋_GB2312"/>
          <w:color w:val="000000"/>
          <w:sz w:val="32"/>
          <w:szCs w:val="32"/>
        </w:rPr>
        <w:t>万元，其中：基本支出129.68万元，占</w:t>
      </w:r>
      <w:r>
        <w:rPr>
          <w:rFonts w:hint="eastAsia" w:ascii="仿宋_GB2312" w:hAnsi="仿宋" w:eastAsia="仿宋_GB2312"/>
          <w:color w:val="000000"/>
          <w:sz w:val="32"/>
          <w:szCs w:val="32"/>
          <w:lang w:val="en-US" w:eastAsia="zh-CN"/>
        </w:rPr>
        <w:t>94.84</w:t>
      </w:r>
      <w:r>
        <w:rPr>
          <w:rFonts w:hint="eastAsia" w:ascii="仿宋_GB2312" w:hAnsi="仿宋" w:eastAsia="仿宋_GB2312"/>
          <w:color w:val="000000"/>
          <w:sz w:val="32"/>
          <w:szCs w:val="32"/>
        </w:rPr>
        <w:t>%；项目支出</w:t>
      </w:r>
      <w:r>
        <w:rPr>
          <w:rFonts w:hint="eastAsia" w:ascii="仿宋_GB2312" w:hAnsi="仿宋" w:eastAsia="仿宋_GB2312"/>
          <w:color w:val="000000"/>
          <w:sz w:val="32"/>
          <w:szCs w:val="32"/>
          <w:lang w:val="en-US" w:eastAsia="zh-CN"/>
        </w:rPr>
        <w:t>7.04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5.15</w:t>
      </w:r>
      <w:r>
        <w:rPr>
          <w:rFonts w:hint="eastAsia" w:ascii="仿宋_GB2312" w:hAnsi="仿宋" w:eastAsia="仿宋_GB2312"/>
          <w:color w:val="000000"/>
          <w:sz w:val="32"/>
          <w:szCs w:val="32"/>
        </w:rPr>
        <w:t>%；上缴上级支出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%；经营支出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%；对附属单位补助支出</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w:t>
      </w: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p>
    <w:p>
      <w:pPr>
        <w:pStyle w:val="20"/>
        <w:rPr>
          <w:rFonts w:hint="eastAsia" w:ascii="仿宋_GB2312" w:hAnsi="仿宋" w:eastAsia="仿宋_GB2312"/>
          <w:color w:val="000000"/>
          <w:sz w:val="32"/>
          <w:szCs w:val="32"/>
        </w:rPr>
      </w:pPr>
      <w:r>
        <w:drawing>
          <wp:anchor distT="0" distB="0" distL="114935" distR="114935" simplePos="0" relativeHeight="251662336" behindDoc="0" locked="0" layoutInCell="1" allowOverlap="1">
            <wp:simplePos x="0" y="0"/>
            <wp:positionH relativeFrom="column">
              <wp:posOffset>417830</wp:posOffset>
            </wp:positionH>
            <wp:positionV relativeFrom="paragraph">
              <wp:posOffset>156845</wp:posOffset>
            </wp:positionV>
            <wp:extent cx="4890770" cy="2921000"/>
            <wp:effectExtent l="0" t="0" r="1270" b="5080"/>
            <wp:wrapTopAndBottom/>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0"/>
                    <a:stretch>
                      <a:fillRect/>
                    </a:stretch>
                  </pic:blipFill>
                  <pic:spPr>
                    <a:xfrm>
                      <a:off x="0" y="0"/>
                      <a:ext cx="4890770" cy="2921000"/>
                    </a:xfrm>
                    <a:prstGeom prst="rect">
                      <a:avLst/>
                    </a:prstGeom>
                    <a:noFill/>
                    <a:ln>
                      <a:noFill/>
                    </a:ln>
                  </pic:spPr>
                </pic:pic>
              </a:graphicData>
            </a:graphic>
          </wp:anchor>
        </w:drawing>
      </w:r>
    </w:p>
    <w:p>
      <w:pPr>
        <w:spacing w:line="600" w:lineRule="exact"/>
        <w:ind w:firstLine="640" w:firstLineChars="200"/>
        <w:jc w:val="center"/>
        <w:rPr>
          <w:rFonts w:ascii="仿宋_GB2312" w:hAnsi="仿宋" w:eastAsia="仿宋_GB2312"/>
          <w:color w:val="000000" w:themeColor="text1"/>
          <w:sz w:val="32"/>
          <w:szCs w:val="32"/>
          <w14:textFill>
            <w14:solidFill>
              <w14:schemeClr w14:val="tx1"/>
            </w14:solidFill>
          </w14:textFill>
        </w:rPr>
      </w:pPr>
      <w:bookmarkStart w:id="71" w:name="_Toc9161_WPSOffice_Level3"/>
      <w:r>
        <w:rPr>
          <w:rFonts w:hint="eastAsia" w:ascii="仿宋_GB2312" w:hAnsi="仿宋" w:eastAsia="仿宋_GB2312"/>
          <w:color w:val="000000" w:themeColor="text1"/>
          <w:sz w:val="32"/>
          <w:szCs w:val="32"/>
          <w14:textFill>
            <w14:solidFill>
              <w14:schemeClr w14:val="tx1"/>
            </w14:solidFill>
          </w14:textFill>
        </w:rPr>
        <w:t>（图3：支出决算结构图）（饼状图）</w:t>
      </w:r>
      <w:bookmarkEnd w:id="71"/>
    </w:p>
    <w:p>
      <w:pPr>
        <w:spacing w:line="600" w:lineRule="exact"/>
        <w:ind w:firstLine="640" w:firstLineChars="200"/>
        <w:outlineLvl w:val="1"/>
        <w:rPr>
          <w:rStyle w:val="30"/>
          <w:rFonts w:ascii="仿宋_GB2312" w:hAnsi="黑体" w:eastAsia="仿宋_GB2312"/>
          <w:b w:val="0"/>
          <w:highlight w:val="none"/>
        </w:rPr>
      </w:pPr>
      <w:bookmarkStart w:id="72" w:name="_Toc15396606"/>
      <w:bookmarkStart w:id="73" w:name="_Toc15377208"/>
      <w:bookmarkStart w:id="74" w:name="_Toc2398_WPSOffice_Level2"/>
      <w:r>
        <w:rPr>
          <w:rFonts w:hint="eastAsia" w:ascii="仿宋_GB2312" w:hAnsi="黑体" w:eastAsia="仿宋_GB2312"/>
          <w:color w:val="000000"/>
          <w:sz w:val="32"/>
          <w:szCs w:val="32"/>
          <w:highlight w:val="none"/>
        </w:rPr>
        <w:t>四、财</w:t>
      </w:r>
      <w:r>
        <w:rPr>
          <w:rStyle w:val="30"/>
          <w:rFonts w:hint="eastAsia" w:ascii="仿宋_GB2312" w:hAnsi="黑体" w:eastAsia="仿宋_GB2312"/>
          <w:b w:val="0"/>
          <w:highlight w:val="none"/>
        </w:rPr>
        <w:t>政拨款收入支出决算总体情况说明</w:t>
      </w:r>
      <w:bookmarkEnd w:id="72"/>
      <w:bookmarkEnd w:id="73"/>
      <w:bookmarkEnd w:id="74"/>
    </w:p>
    <w:p>
      <w:pPr>
        <w:spacing w:line="60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w:t>
      </w:r>
      <w:r>
        <w:rPr>
          <w:rFonts w:hint="eastAsia" w:ascii="仿宋_GB2312" w:hAnsi="仿宋" w:eastAsia="仿宋_GB2312"/>
          <w:color w:val="000000"/>
          <w:sz w:val="32"/>
          <w:szCs w:val="32"/>
          <w:highlight w:val="none"/>
          <w:lang w:eastAsia="zh-CN"/>
        </w:rPr>
        <w:t>收入</w:t>
      </w:r>
      <w:r>
        <w:rPr>
          <w:rFonts w:hint="eastAsia" w:ascii="仿宋_GB2312" w:hAnsi="仿宋" w:eastAsia="仿宋_GB2312"/>
          <w:color w:val="000000"/>
          <w:sz w:val="32"/>
          <w:szCs w:val="32"/>
          <w:highlight w:val="none"/>
        </w:rPr>
        <w:t>总计</w:t>
      </w:r>
      <w:r>
        <w:rPr>
          <w:rFonts w:hint="eastAsia" w:ascii="仿宋_GB2312" w:hAnsi="仿宋" w:eastAsia="仿宋_GB2312"/>
          <w:color w:val="000000"/>
          <w:sz w:val="32"/>
          <w:szCs w:val="32"/>
          <w:highlight w:val="none"/>
          <w:lang w:val="en-US" w:eastAsia="zh-CN"/>
        </w:rPr>
        <w:t>132.68</w:t>
      </w:r>
      <w:r>
        <w:rPr>
          <w:rFonts w:hint="eastAsia" w:ascii="仿宋_GB2312" w:hAnsi="仿宋" w:eastAsia="仿宋_GB2312"/>
          <w:color w:val="000000"/>
          <w:sz w:val="32"/>
          <w:szCs w:val="32"/>
          <w:highlight w:val="none"/>
        </w:rPr>
        <w:t>万元。与201</w:t>
      </w:r>
      <w:r>
        <w:rPr>
          <w:rFonts w:hint="eastAsia" w:ascii="仿宋_GB2312" w:hAnsi="仿宋" w:eastAsia="仿宋_GB2312"/>
          <w:color w:val="000000"/>
          <w:sz w:val="32"/>
          <w:szCs w:val="32"/>
          <w:highlight w:val="none"/>
          <w:lang w:val="en-US" w:eastAsia="zh-CN"/>
        </w:rPr>
        <w:t>9</w:t>
      </w:r>
      <w:r>
        <w:rPr>
          <w:rFonts w:hint="eastAsia" w:ascii="仿宋_GB2312" w:hAnsi="仿宋" w:eastAsia="仿宋_GB2312"/>
          <w:color w:val="000000"/>
          <w:sz w:val="32"/>
          <w:szCs w:val="32"/>
          <w:highlight w:val="none"/>
        </w:rPr>
        <w:t>年相比，财政拨款收</w:t>
      </w:r>
      <w:r>
        <w:rPr>
          <w:rFonts w:hint="eastAsia" w:ascii="仿宋_GB2312" w:hAnsi="仿宋" w:eastAsia="仿宋_GB2312"/>
          <w:color w:val="000000"/>
          <w:sz w:val="32"/>
          <w:szCs w:val="32"/>
          <w:highlight w:val="none"/>
          <w:lang w:eastAsia="zh-CN"/>
        </w:rPr>
        <w:t>入</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36.17</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21.42%</w:t>
      </w:r>
      <w:r>
        <w:rPr>
          <w:rFonts w:hint="eastAsia" w:ascii="仿宋_GB2312" w:hAnsi="仿宋" w:eastAsia="仿宋_GB2312"/>
          <w:color w:val="000000"/>
          <w:sz w:val="32"/>
          <w:szCs w:val="32"/>
        </w:rPr>
        <w:t>。主要变动原因</w:t>
      </w:r>
      <w:r>
        <w:rPr>
          <w:rFonts w:hint="eastAsia" w:ascii="仿宋_GB2312" w:hAnsi="仿宋" w:eastAsia="仿宋_GB2312"/>
          <w:color w:val="000000"/>
          <w:sz w:val="32"/>
          <w:szCs w:val="32"/>
          <w:lang w:eastAsia="zh-CN"/>
        </w:rPr>
        <w:t>：本年度业务量减少</w:t>
      </w:r>
      <w:r>
        <w:rPr>
          <w:rFonts w:hint="eastAsia" w:ascii="仿宋_GB2312" w:hAnsi="仿宋" w:eastAsia="仿宋_GB2312"/>
          <w:color w:val="000000"/>
          <w:sz w:val="32"/>
          <w:szCs w:val="32"/>
        </w:rPr>
        <w:t>;</w:t>
      </w:r>
      <w:r>
        <w:rPr>
          <w:rFonts w:hint="eastAsia" w:ascii="仿宋_GB2312" w:hAnsi="仿宋" w:eastAsia="仿宋_GB2312"/>
          <w:color w:val="000000"/>
          <w:sz w:val="32"/>
          <w:szCs w:val="32"/>
          <w:highlight w:val="none"/>
        </w:rPr>
        <w:t>20</w:t>
      </w:r>
      <w:r>
        <w:rPr>
          <w:rFonts w:hint="eastAsia" w:ascii="仿宋_GB2312" w:hAnsi="仿宋" w:eastAsia="仿宋_GB2312"/>
          <w:color w:val="000000"/>
          <w:sz w:val="32"/>
          <w:szCs w:val="32"/>
          <w:highlight w:val="none"/>
          <w:lang w:val="en-US" w:eastAsia="zh-CN"/>
        </w:rPr>
        <w:t>20</w:t>
      </w:r>
      <w:r>
        <w:rPr>
          <w:rFonts w:hint="eastAsia" w:ascii="仿宋_GB2312" w:hAnsi="仿宋" w:eastAsia="仿宋_GB2312"/>
          <w:color w:val="000000"/>
          <w:sz w:val="32"/>
          <w:szCs w:val="32"/>
          <w:highlight w:val="none"/>
        </w:rPr>
        <w:t>年财政拨款支出总计</w:t>
      </w:r>
      <w:r>
        <w:rPr>
          <w:rFonts w:hint="eastAsia" w:ascii="仿宋_GB2312" w:hAnsi="仿宋" w:eastAsia="仿宋_GB2312"/>
          <w:color w:val="000000"/>
          <w:sz w:val="32"/>
          <w:szCs w:val="32"/>
          <w:lang w:val="en-US" w:eastAsia="zh-CN"/>
        </w:rPr>
        <w:t>136.73</w:t>
      </w:r>
      <w:r>
        <w:rPr>
          <w:rFonts w:hint="eastAsia" w:ascii="仿宋_GB2312" w:hAnsi="仿宋" w:eastAsia="仿宋_GB2312"/>
          <w:color w:val="000000"/>
          <w:sz w:val="32"/>
          <w:szCs w:val="32"/>
          <w:highlight w:val="none"/>
        </w:rPr>
        <w:t>万元。与201</w:t>
      </w:r>
      <w:r>
        <w:rPr>
          <w:rFonts w:hint="eastAsia" w:ascii="仿宋_GB2312" w:hAnsi="仿宋" w:eastAsia="仿宋_GB2312"/>
          <w:color w:val="000000"/>
          <w:sz w:val="32"/>
          <w:szCs w:val="32"/>
          <w:highlight w:val="none"/>
          <w:lang w:val="en-US" w:eastAsia="zh-CN"/>
        </w:rPr>
        <w:t>9</w:t>
      </w:r>
      <w:r>
        <w:rPr>
          <w:rFonts w:hint="eastAsia" w:ascii="仿宋_GB2312" w:hAnsi="仿宋" w:eastAsia="仿宋_GB2312"/>
          <w:color w:val="000000"/>
          <w:sz w:val="32"/>
          <w:szCs w:val="32"/>
          <w:highlight w:val="none"/>
        </w:rPr>
        <w:t>年相比，</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32.12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19.02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2020年</w:t>
      </w:r>
      <w:r>
        <w:rPr>
          <w:rFonts w:hint="eastAsia" w:ascii="仿宋_GB2312" w:hAnsi="仿宋" w:eastAsia="仿宋_GB2312"/>
          <w:color w:val="000000"/>
          <w:sz w:val="32"/>
          <w:szCs w:val="32"/>
        </w:rPr>
        <w:t>项目</w:t>
      </w:r>
      <w:r>
        <w:rPr>
          <w:rFonts w:hint="eastAsia" w:ascii="仿宋_GB2312" w:hAnsi="仿宋" w:eastAsia="仿宋_GB2312"/>
          <w:color w:val="000000"/>
          <w:sz w:val="32"/>
          <w:szCs w:val="32"/>
          <w:lang w:eastAsia="zh-CN"/>
        </w:rPr>
        <w:t>完工。</w:t>
      </w:r>
    </w:p>
    <w:p>
      <w:pPr>
        <w:spacing w:line="600" w:lineRule="exact"/>
        <w:ind w:firstLine="640" w:firstLineChars="200"/>
        <w:rPr>
          <w:rFonts w:hint="eastAsia" w:ascii="仿宋_GB2312" w:hAnsi="仿宋" w:eastAsia="仿宋_GB2312"/>
          <w:color w:val="000000"/>
          <w:sz w:val="32"/>
          <w:szCs w:val="32"/>
          <w:highlight w:val="none"/>
          <w:lang w:eastAsia="zh-CN"/>
        </w:rPr>
      </w:pPr>
    </w:p>
    <w:p>
      <w:pPr>
        <w:pStyle w:val="2"/>
        <w:rPr>
          <w:rFonts w:hint="eastAsia" w:ascii="仿宋_GB2312" w:hAnsi="仿宋" w:eastAsia="仿宋_GB2312"/>
          <w:color w:val="000000"/>
          <w:sz w:val="32"/>
          <w:szCs w:val="32"/>
          <w:highlight w:val="yellow"/>
          <w:lang w:eastAsia="zh-CN"/>
        </w:rPr>
      </w:pPr>
    </w:p>
    <w:p>
      <w:pPr>
        <w:pStyle w:val="2"/>
        <w:rPr>
          <w:rFonts w:hint="eastAsia" w:ascii="仿宋_GB2312" w:hAnsi="仿宋" w:eastAsia="仿宋_GB2312"/>
          <w:color w:val="000000"/>
          <w:sz w:val="32"/>
          <w:szCs w:val="32"/>
          <w:highlight w:val="yellow"/>
          <w:lang w:eastAsia="zh-CN"/>
        </w:rPr>
      </w:pPr>
    </w:p>
    <w:p>
      <w:pPr>
        <w:pStyle w:val="2"/>
        <w:rPr>
          <w:rFonts w:hint="eastAsia" w:ascii="仿宋_GB2312" w:hAnsi="仿宋" w:eastAsia="仿宋_GB2312"/>
          <w:color w:val="000000"/>
          <w:sz w:val="32"/>
          <w:szCs w:val="32"/>
          <w:highlight w:val="yellow"/>
          <w:lang w:eastAsia="zh-CN"/>
        </w:rPr>
      </w:pPr>
    </w:p>
    <w:p>
      <w:pPr>
        <w:pStyle w:val="2"/>
        <w:rPr>
          <w:rFonts w:hint="eastAsia" w:ascii="仿宋_GB2312" w:hAnsi="仿宋" w:eastAsia="仿宋_GB2312"/>
          <w:color w:val="000000"/>
          <w:sz w:val="32"/>
          <w:szCs w:val="32"/>
          <w:highlight w:val="yellow"/>
          <w:lang w:eastAsia="zh-CN"/>
        </w:rPr>
      </w:pPr>
    </w:p>
    <w:p>
      <w:pPr>
        <w:pStyle w:val="2"/>
        <w:rPr>
          <w:rFonts w:hint="eastAsia" w:ascii="仿宋_GB2312" w:hAnsi="仿宋" w:eastAsia="仿宋_GB2312"/>
          <w:color w:val="000000"/>
          <w:sz w:val="32"/>
          <w:szCs w:val="32"/>
          <w:highlight w:val="yellow"/>
          <w:lang w:eastAsia="zh-CN"/>
        </w:rPr>
      </w:pPr>
    </w:p>
    <w:p>
      <w:pPr>
        <w:pStyle w:val="2"/>
        <w:rPr>
          <w:rFonts w:hint="eastAsia" w:ascii="仿宋_GB2312" w:hAnsi="仿宋" w:eastAsia="仿宋_GB2312"/>
          <w:color w:val="000000"/>
          <w:sz w:val="32"/>
          <w:szCs w:val="32"/>
          <w:highlight w:val="yellow"/>
          <w:lang w:eastAsia="zh-CN"/>
        </w:rPr>
      </w:pPr>
      <w:r>
        <w:drawing>
          <wp:anchor distT="0" distB="0" distL="114935" distR="114935" simplePos="0" relativeHeight="251663360" behindDoc="0" locked="0" layoutInCell="1" allowOverlap="1">
            <wp:simplePos x="0" y="0"/>
            <wp:positionH relativeFrom="column">
              <wp:posOffset>48895</wp:posOffset>
            </wp:positionH>
            <wp:positionV relativeFrom="paragraph">
              <wp:posOffset>645160</wp:posOffset>
            </wp:positionV>
            <wp:extent cx="5060315" cy="3009265"/>
            <wp:effectExtent l="0" t="0" r="14605" b="8255"/>
            <wp:wrapTopAndBottom/>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1"/>
                    <a:stretch>
                      <a:fillRect/>
                    </a:stretch>
                  </pic:blipFill>
                  <pic:spPr>
                    <a:xfrm>
                      <a:off x="0" y="0"/>
                      <a:ext cx="5060315" cy="3009265"/>
                    </a:xfrm>
                    <a:prstGeom prst="rect">
                      <a:avLst/>
                    </a:prstGeom>
                    <a:noFill/>
                    <a:ln>
                      <a:noFill/>
                    </a:ln>
                  </pic:spPr>
                </pic:pic>
              </a:graphicData>
            </a:graphic>
          </wp:anchor>
        </w:drawing>
      </w:r>
    </w:p>
    <w:p>
      <w:pPr>
        <w:pStyle w:val="2"/>
        <w:rPr>
          <w:rFonts w:hint="eastAsia" w:ascii="仿宋_GB2312" w:hAnsi="仿宋" w:eastAsia="仿宋_GB2312"/>
          <w:color w:val="000000"/>
          <w:sz w:val="32"/>
          <w:szCs w:val="32"/>
          <w:highlight w:val="yellow"/>
          <w:lang w:eastAsia="zh-CN"/>
        </w:rPr>
      </w:pPr>
      <w:r>
        <w:drawing>
          <wp:anchor distT="0" distB="0" distL="114935" distR="114935" simplePos="0" relativeHeight="251664384" behindDoc="0" locked="0" layoutInCell="1" allowOverlap="1">
            <wp:simplePos x="0" y="0"/>
            <wp:positionH relativeFrom="column">
              <wp:posOffset>137795</wp:posOffset>
            </wp:positionH>
            <wp:positionV relativeFrom="paragraph">
              <wp:posOffset>3631565</wp:posOffset>
            </wp:positionV>
            <wp:extent cx="4820920" cy="2874645"/>
            <wp:effectExtent l="0" t="0" r="10160" b="5715"/>
            <wp:wrapTopAndBottom/>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2"/>
                    <a:stretch>
                      <a:fillRect/>
                    </a:stretch>
                  </pic:blipFill>
                  <pic:spPr>
                    <a:xfrm>
                      <a:off x="0" y="0"/>
                      <a:ext cx="4820920" cy="2874645"/>
                    </a:xfrm>
                    <a:prstGeom prst="rect">
                      <a:avLst/>
                    </a:prstGeom>
                    <a:noFill/>
                    <a:ln>
                      <a:noFill/>
                    </a:ln>
                  </pic:spPr>
                </pic:pic>
              </a:graphicData>
            </a:graphic>
          </wp:anchor>
        </w:drawing>
      </w:r>
    </w:p>
    <w:p>
      <w:pPr>
        <w:pStyle w:val="2"/>
        <w:rPr>
          <w:rFonts w:hint="eastAsia" w:ascii="仿宋_GB2312" w:hAnsi="仿宋" w:eastAsia="仿宋_GB2312"/>
          <w:color w:val="000000"/>
          <w:sz w:val="32"/>
          <w:szCs w:val="32"/>
          <w:highlight w:val="yellow"/>
          <w:lang w:eastAsia="zh-CN"/>
        </w:rPr>
      </w:pPr>
    </w:p>
    <w:p>
      <w:pPr>
        <w:spacing w:line="60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（图4：财政拨款收、支决算总计变动情况）（柱状图）</w:t>
      </w:r>
    </w:p>
    <w:p>
      <w:pPr>
        <w:spacing w:line="600" w:lineRule="exact"/>
        <w:ind w:firstLine="640"/>
        <w:rPr>
          <w:rFonts w:hint="eastAsia"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（除国有资本经营预算外，数据来源于财决Z01-1表，口径为“总计”数+国有资本经营预算。）</w:t>
      </w:r>
    </w:p>
    <w:p>
      <w:pPr>
        <w:pStyle w:val="2"/>
      </w:pPr>
    </w:p>
    <w:p>
      <w:pPr>
        <w:spacing w:line="600" w:lineRule="exact"/>
        <w:ind w:firstLine="643" w:firstLineChars="200"/>
        <w:outlineLvl w:val="1"/>
        <w:rPr>
          <w:rStyle w:val="30"/>
          <w:rFonts w:ascii="仿宋_GB2312" w:hAnsi="黑体" w:eastAsia="仿宋_GB2312"/>
          <w:b/>
          <w:bCs/>
        </w:rPr>
      </w:pPr>
      <w:bookmarkStart w:id="75" w:name="_Toc15377209"/>
      <w:bookmarkStart w:id="76" w:name="_Toc15396607"/>
      <w:bookmarkStart w:id="77" w:name="_Toc4808_WPSOffice_Level2"/>
      <w:r>
        <w:rPr>
          <w:rFonts w:hint="eastAsia" w:ascii="仿宋_GB2312" w:hAnsi="黑体" w:eastAsia="仿宋_GB2312"/>
          <w:b/>
          <w:bCs/>
          <w:color w:val="000000"/>
          <w:sz w:val="32"/>
          <w:szCs w:val="32"/>
        </w:rPr>
        <w:t>五、一</w:t>
      </w:r>
      <w:r>
        <w:rPr>
          <w:rStyle w:val="30"/>
          <w:rFonts w:hint="eastAsia" w:ascii="仿宋_GB2312" w:hAnsi="黑体" w:eastAsia="仿宋_GB2312"/>
          <w:b/>
          <w:bCs/>
        </w:rPr>
        <w:t>般公共预算财政拨款支出决算情况说明</w:t>
      </w:r>
      <w:bookmarkEnd w:id="75"/>
      <w:bookmarkEnd w:id="76"/>
      <w:bookmarkEnd w:id="77"/>
    </w:p>
    <w:p>
      <w:pPr>
        <w:spacing w:line="600" w:lineRule="exact"/>
        <w:ind w:firstLine="643" w:firstLineChars="200"/>
        <w:outlineLvl w:val="2"/>
        <w:rPr>
          <w:rFonts w:ascii="仿宋_GB2312" w:hAnsi="仿宋" w:eastAsia="仿宋_GB2312"/>
          <w:b/>
          <w:color w:val="000000"/>
          <w:sz w:val="32"/>
          <w:szCs w:val="32"/>
        </w:rPr>
      </w:pPr>
      <w:bookmarkStart w:id="78" w:name="_Toc15377210"/>
      <w:bookmarkStart w:id="79" w:name="_Toc24_WPSOffice_Level3"/>
      <w:r>
        <w:rPr>
          <w:rFonts w:hint="eastAsia" w:ascii="仿宋_GB2312" w:hAnsi="仿宋" w:eastAsia="仿宋_GB2312"/>
          <w:b/>
          <w:color w:val="000000"/>
          <w:sz w:val="32"/>
          <w:szCs w:val="32"/>
        </w:rPr>
        <w:t>（一）一般公共预算财政拨款支出决算总体情况</w:t>
      </w:r>
      <w:bookmarkEnd w:id="78"/>
      <w:bookmarkEnd w:id="79"/>
    </w:p>
    <w:p>
      <w:pPr>
        <w:spacing w:line="600" w:lineRule="exact"/>
        <w:ind w:firstLine="640" w:firstLineChars="200"/>
        <w:rPr>
          <w:rFonts w:hint="eastAsia" w:ascii="仿宋_GB2312" w:hAnsi="仿宋" w:eastAsia="仿宋_GB2312"/>
          <w:color w:val="000000"/>
          <w:sz w:val="32"/>
          <w:szCs w:val="32"/>
          <w:highlight w:val="none"/>
          <w:lang w:eastAsia="zh-CN"/>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年一般公共预算财政拨款支出</w:t>
      </w:r>
      <w:r>
        <w:rPr>
          <w:rFonts w:hint="eastAsia" w:ascii="仿宋_GB2312" w:hAnsi="仿宋" w:eastAsia="仿宋_GB2312"/>
          <w:color w:val="000000"/>
          <w:sz w:val="32"/>
          <w:szCs w:val="32"/>
          <w:lang w:val="en-US" w:eastAsia="zh-CN"/>
        </w:rPr>
        <w:t>136.73</w:t>
      </w:r>
      <w:r>
        <w:rPr>
          <w:rFonts w:hint="eastAsia" w:ascii="仿宋_GB2312" w:hAnsi="仿宋" w:eastAsia="仿宋_GB2312"/>
          <w:color w:val="000000"/>
          <w:sz w:val="32"/>
          <w:szCs w:val="32"/>
        </w:rPr>
        <w:t>万元，占本年支出合计的</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%。与201</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年相比，一般公共预算财政拨款</w:t>
      </w:r>
      <w:r>
        <w:rPr>
          <w:rFonts w:hint="eastAsia" w:ascii="仿宋_GB2312" w:hAnsi="仿宋" w:eastAsia="仿宋_GB2312"/>
          <w:color w:val="000000"/>
          <w:sz w:val="32"/>
          <w:szCs w:val="32"/>
          <w:lang w:eastAsia="zh-CN"/>
        </w:rPr>
        <w:t>减少</w:t>
      </w:r>
      <w:r>
        <w:rPr>
          <w:rFonts w:hint="eastAsia" w:ascii="仿宋_GB2312" w:hAnsi="仿宋" w:eastAsia="仿宋_GB2312"/>
          <w:color w:val="000000"/>
          <w:sz w:val="32"/>
          <w:szCs w:val="32"/>
          <w:lang w:val="en-US" w:eastAsia="zh-CN"/>
        </w:rPr>
        <w:t>32.12</w:t>
      </w:r>
      <w:r>
        <w:rPr>
          <w:rFonts w:hint="eastAsia" w:ascii="仿宋_GB2312" w:hAnsi="仿宋" w:eastAsia="仿宋_GB2312"/>
          <w:color w:val="000000"/>
          <w:sz w:val="32"/>
          <w:szCs w:val="32"/>
        </w:rPr>
        <w:t>万元，</w:t>
      </w:r>
      <w:r>
        <w:rPr>
          <w:rFonts w:hint="eastAsia" w:ascii="仿宋_GB2312" w:hAnsi="仿宋" w:eastAsia="仿宋_GB2312"/>
          <w:color w:val="000000"/>
          <w:sz w:val="32"/>
          <w:szCs w:val="32"/>
          <w:lang w:eastAsia="zh-CN"/>
        </w:rPr>
        <w:t>下降</w:t>
      </w:r>
      <w:r>
        <w:rPr>
          <w:rFonts w:hint="eastAsia" w:ascii="仿宋_GB2312" w:hAnsi="仿宋" w:eastAsia="仿宋_GB2312"/>
          <w:color w:val="000000"/>
          <w:sz w:val="32"/>
          <w:szCs w:val="32"/>
          <w:lang w:val="en-US" w:eastAsia="zh-CN"/>
        </w:rPr>
        <w:t>19.02</w:t>
      </w:r>
      <w:r>
        <w:rPr>
          <w:rFonts w:hint="eastAsia" w:ascii="仿宋_GB2312" w:hAnsi="仿宋" w:eastAsia="仿宋_GB2312"/>
          <w:color w:val="000000"/>
          <w:sz w:val="32"/>
          <w:szCs w:val="32"/>
        </w:rPr>
        <w:t>%。主要变动原因是</w:t>
      </w:r>
      <w:r>
        <w:rPr>
          <w:rFonts w:hint="eastAsia" w:ascii="仿宋_GB2312" w:hAnsi="仿宋" w:eastAsia="仿宋_GB2312"/>
          <w:color w:val="000000"/>
          <w:sz w:val="32"/>
          <w:szCs w:val="32"/>
          <w:lang w:val="en-US" w:eastAsia="zh-CN"/>
        </w:rPr>
        <w:t>本年度业务量减少；人员经费调整</w:t>
      </w:r>
      <w:r>
        <w:rPr>
          <w:rFonts w:hint="eastAsia" w:ascii="仿宋_GB2312" w:hAnsi="仿宋" w:eastAsia="仿宋_GB2312"/>
          <w:color w:val="000000"/>
          <w:sz w:val="32"/>
          <w:szCs w:val="32"/>
          <w:lang w:eastAsia="zh-CN"/>
        </w:rPr>
        <w:t>。</w:t>
      </w:r>
    </w:p>
    <w:p>
      <w:pPr>
        <w:spacing w:line="600" w:lineRule="exact"/>
        <w:rPr>
          <w:rFonts w:hint="eastAsia"/>
          <w:lang w:val="en-US" w:eastAsia="zh-CN"/>
        </w:rPr>
      </w:pPr>
      <w:r>
        <w:drawing>
          <wp:anchor distT="0" distB="0" distL="114935" distR="114935" simplePos="0" relativeHeight="251665408" behindDoc="0" locked="0" layoutInCell="1" allowOverlap="1">
            <wp:simplePos x="0" y="0"/>
            <wp:positionH relativeFrom="column">
              <wp:posOffset>-23495</wp:posOffset>
            </wp:positionH>
            <wp:positionV relativeFrom="paragraph">
              <wp:posOffset>59690</wp:posOffset>
            </wp:positionV>
            <wp:extent cx="5409565" cy="3299460"/>
            <wp:effectExtent l="0" t="0" r="635" b="7620"/>
            <wp:wrapTopAndBottom/>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3"/>
                    <a:stretch>
                      <a:fillRect/>
                    </a:stretch>
                  </pic:blipFill>
                  <pic:spPr>
                    <a:xfrm>
                      <a:off x="0" y="0"/>
                      <a:ext cx="5409565" cy="3299460"/>
                    </a:xfrm>
                    <a:prstGeom prst="rect">
                      <a:avLst/>
                    </a:prstGeom>
                    <a:noFill/>
                    <a:ln>
                      <a:noFill/>
                    </a:ln>
                  </pic:spPr>
                </pic:pic>
              </a:graphicData>
            </a:graphic>
          </wp:anchor>
        </w:drawing>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_GB2312" w:hAnsi="仿宋" w:eastAsia="仿宋_GB2312"/>
          <w:b/>
          <w:color w:val="000000"/>
          <w:sz w:val="32"/>
          <w:szCs w:val="32"/>
        </w:rPr>
      </w:pPr>
      <w:bookmarkStart w:id="80" w:name="_Toc15377211"/>
      <w:bookmarkStart w:id="81" w:name="_Toc20600_WPSOffice_Level3"/>
      <w:r>
        <w:rPr>
          <w:rFonts w:hint="eastAsia" w:ascii="仿宋_GB2312" w:hAnsi="仿宋" w:eastAsia="仿宋_GB2312"/>
          <w:b/>
          <w:color w:val="000000"/>
          <w:sz w:val="32"/>
          <w:szCs w:val="32"/>
        </w:rPr>
        <w:t>（二）一般公共预算财政拨款支出决算结构情况</w:t>
      </w:r>
      <w:bookmarkEnd w:id="80"/>
      <w:bookmarkEnd w:id="81"/>
    </w:p>
    <w:p>
      <w:pPr>
        <w:spacing w:line="600" w:lineRule="exact"/>
        <w:ind w:firstLine="640"/>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lang w:val="en-US" w:eastAsia="zh-CN"/>
        </w:rPr>
        <w:t>136.73</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一般公共服务（类）</w:t>
      </w:r>
      <w:r>
        <w:rPr>
          <w:rFonts w:hint="eastAsia" w:ascii="仿宋_GB2312" w:hAnsi="仿宋" w:eastAsia="仿宋_GB2312"/>
          <w:color w:val="000000" w:themeColor="text1"/>
          <w:sz w:val="32"/>
          <w:szCs w:val="32"/>
          <w14:textFill>
            <w14:solidFill>
              <w14:schemeClr w14:val="tx1"/>
            </w14:solidFill>
          </w14:textFill>
        </w:rPr>
        <w:t>支出105.14万元，占</w:t>
      </w:r>
      <w:r>
        <w:rPr>
          <w:rFonts w:hint="eastAsia" w:ascii="仿宋_GB2312" w:hAnsi="仿宋" w:eastAsia="仿宋_GB2312"/>
          <w:color w:val="000000" w:themeColor="text1"/>
          <w:sz w:val="32"/>
          <w:szCs w:val="32"/>
          <w:lang w:val="en-US" w:eastAsia="zh-CN"/>
          <w14:textFill>
            <w14:solidFill>
              <w14:schemeClr w14:val="tx1"/>
            </w14:solidFill>
          </w14:textFill>
        </w:rPr>
        <w:t>76.9</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支出12.86万元，占</w:t>
      </w:r>
      <w:r>
        <w:rPr>
          <w:rFonts w:hint="eastAsia" w:ascii="仿宋_GB2312" w:hAnsi="仿宋" w:eastAsia="仿宋_GB2312"/>
          <w:color w:val="000000" w:themeColor="text1"/>
          <w:sz w:val="32"/>
          <w:szCs w:val="32"/>
          <w:lang w:val="en-US" w:eastAsia="zh-CN"/>
          <w14:textFill>
            <w14:solidFill>
              <w14:schemeClr w14:val="tx1"/>
            </w14:solidFill>
          </w14:textFill>
        </w:rPr>
        <w:t>9.41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Times New Roman"/>
          <w:b/>
          <w:color w:val="000000" w:themeColor="text1"/>
          <w:sz w:val="32"/>
          <w:szCs w:val="32"/>
          <w14:textFill>
            <w14:solidFill>
              <w14:schemeClr w14:val="tx1"/>
            </w14:solidFill>
          </w14:textFill>
        </w:rPr>
        <w:t>卫生健康</w:t>
      </w:r>
      <w:r>
        <w:rPr>
          <w:rFonts w:hint="eastAsia" w:ascii="仿宋_GB2312" w:hAnsi="仿宋" w:eastAsia="仿宋_GB2312"/>
          <w:b/>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w:t>
      </w:r>
      <w:r>
        <w:rPr>
          <w:rFonts w:hint="eastAsia" w:ascii="仿宋_GB2312" w:hAnsi="仿宋" w:eastAsia="仿宋_GB2312" w:cs="Times New Roman"/>
          <w:color w:val="000000" w:themeColor="text1"/>
          <w:sz w:val="32"/>
          <w:szCs w:val="32"/>
          <w14:textFill>
            <w14:solidFill>
              <w14:schemeClr w14:val="tx1"/>
            </w14:solidFill>
          </w14:textFill>
        </w:rPr>
        <w:t>5.90</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4.32</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Times New Roman"/>
          <w:b/>
          <w:color w:val="000000" w:themeColor="text1"/>
          <w:sz w:val="32"/>
          <w:szCs w:val="32"/>
          <w14:textFill>
            <w14:solidFill>
              <w14:schemeClr w14:val="tx1"/>
            </w14:solidFill>
          </w14:textFill>
        </w:rPr>
        <w:t>住房保障</w:t>
      </w:r>
      <w:r>
        <w:rPr>
          <w:rFonts w:hint="eastAsia" w:ascii="仿宋_GB2312" w:hAnsi="仿宋" w:eastAsia="仿宋_GB2312"/>
          <w:b/>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支出8.78</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6.42</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s="Times New Roman"/>
          <w:b/>
          <w:color w:val="000000" w:themeColor="text1"/>
          <w:sz w:val="32"/>
          <w:szCs w:val="32"/>
          <w14:textFill>
            <w14:solidFill>
              <w14:schemeClr w14:val="tx1"/>
            </w14:solidFill>
          </w14:textFill>
        </w:rPr>
        <w:t>农林水支出</w:t>
      </w:r>
      <w:r>
        <w:rPr>
          <w:rFonts w:hint="eastAsia" w:ascii="仿宋_GB2312" w:hAnsi="仿宋" w:eastAsia="仿宋_GB2312"/>
          <w:b/>
          <w:color w:val="000000" w:themeColor="text1"/>
          <w:sz w:val="32"/>
          <w:szCs w:val="32"/>
          <w14:textFill>
            <w14:solidFill>
              <w14:schemeClr w14:val="tx1"/>
            </w14:solidFill>
          </w14:textFill>
        </w:rPr>
        <w:t>（类）</w:t>
      </w:r>
      <w:r>
        <w:rPr>
          <w:rFonts w:hint="eastAsia" w:ascii="仿宋_GB2312" w:hAnsi="仿宋" w:eastAsia="仿宋_GB2312" w:cs="Times New Roman"/>
          <w:color w:val="000000" w:themeColor="text1"/>
          <w:sz w:val="32"/>
          <w:szCs w:val="32"/>
          <w:lang w:eastAsia="zh-CN"/>
          <w14:textFill>
            <w14:solidFill>
              <w14:schemeClr w14:val="tx1"/>
            </w14:solidFill>
          </w14:textFill>
        </w:rPr>
        <w:t>支出</w:t>
      </w:r>
      <w:r>
        <w:rPr>
          <w:rFonts w:hint="eastAsia" w:ascii="仿宋_GB2312" w:hAnsi="仿宋" w:eastAsia="仿宋_GB2312" w:cs="Times New Roman"/>
          <w:color w:val="000000" w:themeColor="text1"/>
          <w:sz w:val="32"/>
          <w:szCs w:val="32"/>
          <w:lang w:val="en-US" w:eastAsia="zh-CN"/>
          <w14:textFill>
            <w14:solidFill>
              <w14:schemeClr w14:val="tx1"/>
            </w14:solidFill>
          </w14:textFill>
        </w:rPr>
        <w:t>4.04</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2.95</w:t>
      </w:r>
      <w:r>
        <w:rPr>
          <w:rFonts w:hint="eastAsia" w:ascii="仿宋_GB2312" w:hAnsi="仿宋" w:eastAsia="仿宋_GB2312"/>
          <w:color w:val="000000" w:themeColor="text1"/>
          <w:sz w:val="32"/>
          <w:szCs w:val="32"/>
          <w14:textFill>
            <w14:solidFill>
              <w14:schemeClr w14:val="tx1"/>
            </w14:solidFill>
          </w14:textFill>
        </w:rPr>
        <w:t>%；</w:t>
      </w:r>
    </w:p>
    <w:p>
      <w:pPr>
        <w:spacing w:line="600" w:lineRule="exact"/>
        <w:ind w:firstLine="420" w:firstLineChars="200"/>
        <w:rPr>
          <w:rFonts w:ascii="仿宋_GB2312" w:hAnsi="仿宋" w:eastAsia="仿宋_GB2312"/>
          <w:color w:val="000000"/>
          <w:sz w:val="32"/>
          <w:szCs w:val="32"/>
        </w:rPr>
      </w:pPr>
      <w:r>
        <w:drawing>
          <wp:anchor distT="0" distB="0" distL="114935" distR="114935" simplePos="0" relativeHeight="251666432" behindDoc="0" locked="0" layoutInCell="1" allowOverlap="1">
            <wp:simplePos x="0" y="0"/>
            <wp:positionH relativeFrom="column">
              <wp:posOffset>-630555</wp:posOffset>
            </wp:positionH>
            <wp:positionV relativeFrom="paragraph">
              <wp:posOffset>322580</wp:posOffset>
            </wp:positionV>
            <wp:extent cx="6353175" cy="3008630"/>
            <wp:effectExtent l="0" t="0" r="1905" b="8890"/>
            <wp:wrapTopAndBottom/>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14"/>
                    <a:stretch>
                      <a:fillRect/>
                    </a:stretch>
                  </pic:blipFill>
                  <pic:spPr>
                    <a:xfrm>
                      <a:off x="0" y="0"/>
                      <a:ext cx="6353175" cy="3008630"/>
                    </a:xfrm>
                    <a:prstGeom prst="rect">
                      <a:avLst/>
                    </a:prstGeom>
                    <a:noFill/>
                    <a:ln>
                      <a:noFill/>
                    </a:ln>
                  </pic:spPr>
                </pic:pic>
              </a:graphicData>
            </a:graphic>
          </wp:anchor>
        </w:drawing>
      </w:r>
      <w:r>
        <w:rPr>
          <w:rFonts w:hint="eastAsia" w:ascii="仿宋_GB2312" w:hAnsi="仿宋" w:eastAsia="仿宋_GB2312"/>
          <w:color w:val="000000"/>
          <w:sz w:val="32"/>
          <w:szCs w:val="32"/>
        </w:rPr>
        <w:t>（图6：一般公共预算财政拨款支出决算结构）（饼状图）</w:t>
      </w:r>
    </w:p>
    <w:p>
      <w:pPr>
        <w:spacing w:line="600" w:lineRule="exact"/>
        <w:ind w:firstLine="640" w:firstLineChars="200"/>
        <w:rPr>
          <w:rFonts w:ascii="仿宋_GB2312" w:hAnsi="仿宋" w:eastAsia="仿宋_GB2312"/>
          <w:color w:val="000000"/>
          <w:sz w:val="32"/>
          <w:szCs w:val="32"/>
        </w:rPr>
      </w:pPr>
    </w:p>
    <w:p>
      <w:pPr>
        <w:spacing w:line="600" w:lineRule="exact"/>
        <w:ind w:firstLine="643" w:firstLineChars="200"/>
        <w:outlineLvl w:val="2"/>
        <w:rPr>
          <w:rFonts w:ascii="仿宋_GB2312" w:hAnsi="仿宋" w:eastAsia="仿宋_GB2312"/>
          <w:b/>
          <w:color w:val="000000"/>
          <w:sz w:val="32"/>
          <w:szCs w:val="32"/>
        </w:rPr>
      </w:pPr>
      <w:bookmarkStart w:id="82" w:name="_Toc15377212"/>
      <w:bookmarkStart w:id="83" w:name="_Toc2398_WPSOffice_Level3"/>
      <w:r>
        <w:rPr>
          <w:rFonts w:hint="eastAsia" w:ascii="仿宋_GB2312" w:hAnsi="仿宋" w:eastAsia="仿宋_GB2312"/>
          <w:b/>
          <w:color w:val="000000"/>
          <w:sz w:val="32"/>
          <w:szCs w:val="32"/>
        </w:rPr>
        <w:t>（三）一般公共预算财政拨款支出决算具体情况</w:t>
      </w:r>
      <w:bookmarkEnd w:id="82"/>
      <w:bookmarkEnd w:id="83"/>
    </w:p>
    <w:p>
      <w:pPr>
        <w:bidi w:val="0"/>
        <w:ind w:firstLine="643" w:firstLineChars="200"/>
        <w:rPr>
          <w:rFonts w:ascii="仿宋_GB2312" w:hAnsi="仿宋" w:eastAsia="仿宋_GB2312"/>
          <w:color w:val="FF0000"/>
          <w:sz w:val="32"/>
          <w:szCs w:val="32"/>
          <w:highlight w:val="none"/>
        </w:rPr>
      </w:pPr>
      <w:bookmarkStart w:id="84" w:name="_Toc15377213"/>
      <w:bookmarkStart w:id="85" w:name="_Toc15378460"/>
      <w:bookmarkStart w:id="86" w:name="_Toc15377444"/>
      <w:r>
        <w:rPr>
          <w:rFonts w:hint="eastAsia" w:ascii="仿宋_GB2312" w:hAnsi="仿宋" w:eastAsia="仿宋_GB2312"/>
          <w:b/>
          <w:color w:val="000000" w:themeColor="text1"/>
          <w:sz w:val="32"/>
          <w:szCs w:val="32"/>
          <w14:textFill>
            <w14:solidFill>
              <w14:schemeClr w14:val="tx1"/>
            </w14:solidFill>
          </w14:textFill>
        </w:rPr>
        <w:t>20</w:t>
      </w:r>
      <w:r>
        <w:rPr>
          <w:rFonts w:hint="eastAsia" w:ascii="仿宋_GB2312" w:hAnsi="仿宋" w:eastAsia="仿宋_GB2312"/>
          <w:b/>
          <w:color w:val="000000" w:themeColor="text1"/>
          <w:sz w:val="32"/>
          <w:szCs w:val="32"/>
          <w:lang w:val="en-US" w:eastAsia="zh-CN"/>
          <w14:textFill>
            <w14:solidFill>
              <w14:schemeClr w14:val="tx1"/>
            </w14:solidFill>
          </w14:textFill>
        </w:rPr>
        <w:t>20</w:t>
      </w:r>
      <w:r>
        <w:rPr>
          <w:rFonts w:hint="eastAsia" w:ascii="仿宋_GB2312" w:hAnsi="仿宋" w:eastAsia="仿宋_GB2312"/>
          <w:b/>
          <w:color w:val="000000" w:themeColor="text1"/>
          <w:sz w:val="32"/>
          <w:szCs w:val="32"/>
          <w14:textFill>
            <w14:solidFill>
              <w14:schemeClr w14:val="tx1"/>
            </w14:solidFill>
          </w14:textFill>
        </w:rPr>
        <w:t>年</w:t>
      </w:r>
      <w:r>
        <w:rPr>
          <w:rFonts w:hint="eastAsia" w:ascii="仿宋_GB2312" w:hAnsi="仿宋" w:eastAsia="仿宋_GB2312"/>
          <w:b/>
          <w:color w:val="000000" w:themeColor="text1"/>
          <w:sz w:val="32"/>
          <w:szCs w:val="32"/>
          <w:lang w:eastAsia="zh-CN"/>
          <w14:textFill>
            <w14:solidFill>
              <w14:schemeClr w14:val="tx1"/>
            </w14:solidFill>
          </w14:textFill>
        </w:rPr>
        <w:t>一</w:t>
      </w:r>
      <w:r>
        <w:rPr>
          <w:rFonts w:hint="eastAsia" w:ascii="仿宋_GB2312" w:hAnsi="仿宋" w:eastAsia="仿宋_GB2312"/>
          <w:b/>
          <w:color w:val="000000" w:themeColor="text1"/>
          <w:sz w:val="32"/>
          <w:szCs w:val="32"/>
          <w14:textFill>
            <w14:solidFill>
              <w14:schemeClr w14:val="tx1"/>
            </w14:solidFill>
          </w14:textFill>
        </w:rPr>
        <w:t>般公共预算支出决算数为136.73，</w:t>
      </w:r>
      <w:r>
        <w:rPr>
          <w:rStyle w:val="18"/>
          <w:rFonts w:hint="eastAsia" w:ascii="仿宋_GB2312" w:hAnsi="仿宋" w:eastAsia="仿宋_GB2312"/>
          <w:bCs/>
          <w:color w:val="000000" w:themeColor="text1"/>
          <w:sz w:val="32"/>
          <w:szCs w:val="32"/>
          <w14:textFill>
            <w14:solidFill>
              <w14:schemeClr w14:val="tx1"/>
            </w14:solidFill>
          </w14:textFill>
        </w:rPr>
        <w:t>完成</w:t>
      </w:r>
      <w:r>
        <w:rPr>
          <w:rStyle w:val="18"/>
          <w:rFonts w:hint="eastAsia" w:ascii="仿宋_GB2312" w:hAnsi="仿宋" w:eastAsia="仿宋_GB2312"/>
          <w:bCs/>
          <w:color w:val="000000"/>
          <w:sz w:val="32"/>
          <w:szCs w:val="32"/>
        </w:rPr>
        <w:t>预算</w:t>
      </w:r>
      <w:r>
        <w:rPr>
          <w:rStyle w:val="18"/>
          <w:rFonts w:hint="eastAsia" w:ascii="仿宋_GB2312" w:hAnsi="仿宋" w:eastAsia="仿宋_GB2312"/>
          <w:bCs/>
          <w:color w:val="000000"/>
          <w:sz w:val="32"/>
          <w:szCs w:val="32"/>
          <w:highlight w:val="none"/>
          <w:lang w:val="en-US" w:eastAsia="zh-CN"/>
        </w:rPr>
        <w:t>100</w:t>
      </w:r>
      <w:r>
        <w:rPr>
          <w:rStyle w:val="18"/>
          <w:rFonts w:hint="eastAsia" w:ascii="仿宋_GB2312" w:hAnsi="仿宋" w:eastAsia="仿宋_GB2312"/>
          <w:bCs/>
          <w:color w:val="000000"/>
          <w:sz w:val="32"/>
          <w:szCs w:val="32"/>
          <w:highlight w:val="none"/>
        </w:rPr>
        <w:t>%。其中：</w:t>
      </w:r>
      <w:bookmarkEnd w:id="84"/>
      <w:bookmarkEnd w:id="85"/>
      <w:bookmarkEnd w:id="86"/>
    </w:p>
    <w:p>
      <w:pPr>
        <w:numPr>
          <w:ilvl w:val="0"/>
          <w:numId w:val="2"/>
        </w:numPr>
        <w:spacing w:line="600" w:lineRule="exact"/>
        <w:ind w:firstLine="643" w:firstLineChars="200"/>
        <w:rPr>
          <w:rStyle w:val="18"/>
          <w:rFonts w:hint="eastAsia" w:ascii="仿宋_GB2312" w:hAnsi="仿宋" w:eastAsia="仿宋_GB2312"/>
          <w:b w:val="0"/>
          <w:bCs/>
          <w:color w:val="000000"/>
          <w:sz w:val="32"/>
          <w:szCs w:val="32"/>
          <w:highlight w:val="none"/>
        </w:rPr>
      </w:pPr>
      <w:r>
        <w:rPr>
          <w:rStyle w:val="18"/>
          <w:rFonts w:hint="eastAsia" w:ascii="仿宋_GB2312" w:hAnsi="仿宋" w:eastAsia="仿宋_GB2312"/>
          <w:bCs/>
          <w:color w:val="000000"/>
          <w:sz w:val="32"/>
          <w:szCs w:val="32"/>
          <w:highlight w:val="none"/>
        </w:rPr>
        <w:t>一般公共服务（类）民族事务（款）行政运行（项）:</w:t>
      </w:r>
      <w:r>
        <w:rPr>
          <w:rStyle w:val="18"/>
          <w:rFonts w:hint="eastAsia" w:ascii="仿宋_GB2312" w:hAnsi="仿宋" w:eastAsia="仿宋_GB2312"/>
          <w:b w:val="0"/>
          <w:bCs/>
          <w:color w:val="000000"/>
          <w:sz w:val="32"/>
          <w:szCs w:val="32"/>
          <w:highlight w:val="none"/>
        </w:rPr>
        <w:t>支出决算为102.15万元，完成预算</w:t>
      </w:r>
      <w:r>
        <w:rPr>
          <w:rStyle w:val="18"/>
          <w:rFonts w:hint="eastAsia" w:ascii="仿宋_GB2312" w:hAnsi="仿宋" w:eastAsia="仿宋_GB2312"/>
          <w:b w:val="0"/>
          <w:bCs/>
          <w:color w:val="000000"/>
          <w:sz w:val="32"/>
          <w:szCs w:val="32"/>
          <w:highlight w:val="none"/>
          <w:lang w:val="en-US" w:eastAsia="zh-CN"/>
        </w:rPr>
        <w:t>100</w:t>
      </w:r>
      <w:r>
        <w:rPr>
          <w:rStyle w:val="18"/>
          <w:rFonts w:hint="eastAsia" w:ascii="仿宋_GB2312" w:hAnsi="仿宋" w:eastAsia="仿宋_GB2312"/>
          <w:b w:val="0"/>
          <w:bCs/>
          <w:color w:val="000000"/>
          <w:sz w:val="32"/>
          <w:szCs w:val="32"/>
          <w:highlight w:val="none"/>
        </w:rPr>
        <w:t>%，决算数等于预算数的主要原因是</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highlight w:val="none"/>
        </w:rPr>
        <w:t>。</w:t>
      </w:r>
      <w:r>
        <w:rPr>
          <w:rStyle w:val="18"/>
          <w:rFonts w:hint="eastAsia" w:ascii="仿宋_GB2312" w:hAnsi="仿宋" w:eastAsia="仿宋_GB2312"/>
          <w:b/>
          <w:bCs w:val="0"/>
          <w:color w:val="000000"/>
          <w:sz w:val="32"/>
          <w:szCs w:val="32"/>
          <w:highlight w:val="none"/>
        </w:rPr>
        <w:t>民族工作专项（项）:</w:t>
      </w:r>
      <w:r>
        <w:rPr>
          <w:rStyle w:val="18"/>
          <w:rFonts w:hint="eastAsia" w:ascii="仿宋_GB2312" w:hAnsi="仿宋" w:eastAsia="仿宋_GB2312"/>
          <w:b w:val="0"/>
          <w:bCs/>
          <w:color w:val="000000"/>
          <w:sz w:val="32"/>
          <w:szCs w:val="32"/>
          <w:highlight w:val="none"/>
        </w:rPr>
        <w:t>支出决算为3.00万元，完成预算</w:t>
      </w:r>
      <w:r>
        <w:rPr>
          <w:rStyle w:val="18"/>
          <w:rFonts w:hint="eastAsia" w:ascii="仿宋_GB2312" w:hAnsi="仿宋" w:eastAsia="仿宋_GB2312"/>
          <w:b w:val="0"/>
          <w:bCs/>
          <w:color w:val="000000"/>
          <w:sz w:val="32"/>
          <w:szCs w:val="32"/>
          <w:highlight w:val="none"/>
          <w:lang w:val="en-US" w:eastAsia="zh-CN"/>
        </w:rPr>
        <w:t>100</w:t>
      </w:r>
      <w:r>
        <w:rPr>
          <w:rStyle w:val="18"/>
          <w:rFonts w:hint="eastAsia" w:ascii="仿宋_GB2312" w:hAnsi="仿宋" w:eastAsia="仿宋_GB2312"/>
          <w:b w:val="0"/>
          <w:bCs/>
          <w:color w:val="000000"/>
          <w:sz w:val="32"/>
          <w:szCs w:val="32"/>
          <w:highlight w:val="none"/>
        </w:rPr>
        <w:t>%，决算数等于预算数的主要原因是</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highlight w:val="none"/>
        </w:rPr>
        <w:t>。</w:t>
      </w:r>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8"/>
          <w:rFonts w:hint="eastAsia" w:ascii="仿宋_GB2312" w:hAnsi="仿宋" w:eastAsia="仿宋_GB2312"/>
          <w:bCs/>
          <w:color w:val="000000"/>
          <w:sz w:val="32"/>
          <w:szCs w:val="32"/>
        </w:rPr>
        <w:t>社会保障和就业（类）行政事业单位养老支出（款）机关事业单位基本养老保险缴费支出（项）:</w:t>
      </w:r>
      <w:r>
        <w:rPr>
          <w:rStyle w:val="18"/>
          <w:rFonts w:hint="eastAsia" w:ascii="仿宋_GB2312" w:hAnsi="仿宋" w:eastAsia="仿宋_GB2312"/>
          <w:b w:val="0"/>
          <w:bCs/>
          <w:color w:val="000000"/>
          <w:sz w:val="32"/>
          <w:szCs w:val="32"/>
        </w:rPr>
        <w:t>支出决算为8.57万元，完成预算</w:t>
      </w:r>
      <w:r>
        <w:rPr>
          <w:rStyle w:val="18"/>
          <w:rFonts w:hint="eastAsia" w:ascii="仿宋_GB2312" w:hAnsi="仿宋" w:eastAsia="仿宋_GB2312"/>
          <w:b w:val="0"/>
          <w:bCs/>
          <w:color w:val="000000"/>
          <w:sz w:val="32"/>
          <w:szCs w:val="32"/>
          <w:lang w:val="en-US" w:eastAsia="zh-CN"/>
        </w:rPr>
        <w:t>100</w:t>
      </w:r>
      <w:r>
        <w:rPr>
          <w:rStyle w:val="18"/>
          <w:rFonts w:hint="eastAsia" w:ascii="仿宋_GB2312" w:hAnsi="仿宋" w:eastAsia="仿宋_GB2312"/>
          <w:b w:val="0"/>
          <w:bCs/>
          <w:color w:val="000000"/>
          <w:sz w:val="32"/>
          <w:szCs w:val="32"/>
        </w:rPr>
        <w:t>%，决算数等于预算数</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rPr>
        <w:t>主要原因</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rPr>
        <w:t>。</w:t>
      </w:r>
      <w:r>
        <w:rPr>
          <w:rStyle w:val="18"/>
          <w:rFonts w:hint="eastAsia" w:ascii="仿宋_GB2312" w:hAnsi="仿宋" w:eastAsia="仿宋_GB2312"/>
          <w:bCs/>
          <w:color w:val="000000"/>
          <w:sz w:val="32"/>
          <w:szCs w:val="32"/>
        </w:rPr>
        <w:t>机关事业单位职业年金缴费支出（项）:</w:t>
      </w:r>
      <w:r>
        <w:rPr>
          <w:rStyle w:val="18"/>
          <w:rFonts w:hint="eastAsia" w:ascii="仿宋_GB2312" w:hAnsi="仿宋" w:eastAsia="仿宋_GB2312"/>
          <w:b w:val="0"/>
          <w:bCs/>
          <w:color w:val="000000"/>
          <w:sz w:val="32"/>
          <w:szCs w:val="32"/>
        </w:rPr>
        <w:t>支出决算为4.29万元，完成预算</w:t>
      </w:r>
      <w:r>
        <w:rPr>
          <w:rStyle w:val="18"/>
          <w:rFonts w:hint="eastAsia" w:ascii="仿宋_GB2312" w:hAnsi="仿宋" w:eastAsia="仿宋_GB2312"/>
          <w:b w:val="0"/>
          <w:bCs/>
          <w:color w:val="000000"/>
          <w:sz w:val="32"/>
          <w:szCs w:val="32"/>
          <w:lang w:val="en-US" w:eastAsia="zh-CN"/>
        </w:rPr>
        <w:t>100</w:t>
      </w:r>
      <w:r>
        <w:rPr>
          <w:rStyle w:val="18"/>
          <w:rFonts w:hint="eastAsia" w:ascii="仿宋_GB2312" w:hAnsi="仿宋" w:eastAsia="仿宋_GB2312"/>
          <w:b w:val="0"/>
          <w:bCs/>
          <w:color w:val="000000"/>
          <w:sz w:val="32"/>
          <w:szCs w:val="32"/>
        </w:rPr>
        <w:t>%，决算数等于预算数</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rPr>
        <w:t>主要原因</w:t>
      </w:r>
      <w:r>
        <w:rPr>
          <w:rStyle w:val="18"/>
          <w:rFonts w:hint="eastAsia" w:ascii="仿宋_GB2312" w:hAnsi="仿宋" w:eastAsia="仿宋_GB2312"/>
          <w:b w:val="0"/>
          <w:bCs/>
          <w:color w:val="000000"/>
          <w:sz w:val="32"/>
          <w:szCs w:val="32"/>
          <w:lang w:eastAsia="zh-CN"/>
        </w:rPr>
        <w:t>：</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Fonts w:ascii="仿宋_GB2312" w:hAnsi="仿宋" w:eastAsia="仿宋_GB2312"/>
          <w:b/>
          <w:color w:val="000000"/>
          <w:sz w:val="32"/>
          <w:szCs w:val="32"/>
        </w:rPr>
      </w:pPr>
      <w:r>
        <w:rPr>
          <w:rStyle w:val="18"/>
          <w:rFonts w:hint="eastAsia" w:ascii="仿宋_GB2312" w:hAnsi="仿宋" w:eastAsia="仿宋_GB2312" w:cs="Times New Roman"/>
          <w:bCs/>
          <w:color w:val="000000"/>
          <w:sz w:val="32"/>
          <w:szCs w:val="32"/>
          <w:lang w:val="en-US" w:eastAsia="zh-CN"/>
        </w:rPr>
        <w:t>住房保障支出（类）住房改革支出（款）住房公积金（项）</w:t>
      </w:r>
      <w:r>
        <w:rPr>
          <w:rStyle w:val="18"/>
          <w:rFonts w:hint="eastAsia" w:hAnsi="仿宋"/>
          <w:bCs/>
          <w:color w:val="auto"/>
          <w:sz w:val="32"/>
          <w:szCs w:val="32"/>
          <w:lang w:val="en-US" w:eastAsia="zh-CN"/>
        </w:rPr>
        <w:t>:</w:t>
      </w:r>
      <w:r>
        <w:rPr>
          <w:rStyle w:val="18"/>
          <w:rFonts w:hint="eastAsia" w:ascii="仿宋_GB2312" w:hAnsi="仿宋" w:eastAsia="仿宋_GB2312" w:cs="Times New Roman"/>
          <w:b w:val="0"/>
          <w:bCs/>
          <w:color w:val="000000"/>
          <w:sz w:val="32"/>
          <w:szCs w:val="32"/>
          <w:lang w:val="en-US" w:eastAsia="zh-CN"/>
        </w:rPr>
        <w:t>支出决算为8.78万元,完成预算100%，决算数等于预算数，主要原因：</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Style w:val="18"/>
          <w:rFonts w:hint="eastAsia" w:ascii="仿宋_GB2312" w:hAnsi="仿宋" w:eastAsia="仿宋_GB2312"/>
          <w:b w:val="0"/>
          <w:bCs/>
          <w:color w:val="000000"/>
          <w:sz w:val="32"/>
          <w:szCs w:val="32"/>
        </w:rPr>
      </w:pPr>
      <w:r>
        <w:rPr>
          <w:rStyle w:val="18"/>
          <w:rFonts w:hint="eastAsia" w:ascii="仿宋_GB2312" w:hAnsi="仿宋" w:eastAsia="仿宋_GB2312"/>
          <w:bCs/>
          <w:color w:val="000000"/>
          <w:sz w:val="32"/>
          <w:szCs w:val="32"/>
        </w:rPr>
        <w:t>卫生健康支出（类）行政事业单位医疗（款）行政单位医疗（项）:</w:t>
      </w:r>
      <w:r>
        <w:rPr>
          <w:rStyle w:val="18"/>
          <w:rFonts w:hint="eastAsia" w:ascii="仿宋_GB2312" w:hAnsi="仿宋" w:eastAsia="仿宋_GB2312"/>
          <w:b w:val="0"/>
          <w:bCs/>
          <w:color w:val="000000"/>
          <w:sz w:val="32"/>
          <w:szCs w:val="32"/>
        </w:rPr>
        <w:t>支出决算为5.90万元，完成预算100%，决算数等于预算数，主要原因：</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rPr>
        <w:t>。</w:t>
      </w:r>
    </w:p>
    <w:p>
      <w:pPr>
        <w:numPr>
          <w:ilvl w:val="0"/>
          <w:numId w:val="2"/>
        </w:numPr>
        <w:spacing w:line="600" w:lineRule="exact"/>
        <w:ind w:left="0" w:leftChars="0" w:firstLine="643" w:firstLineChars="200"/>
        <w:rPr>
          <w:rStyle w:val="18"/>
          <w:rFonts w:hint="eastAsia" w:ascii="仿宋_GB2312" w:hAnsi="仿宋" w:eastAsia="仿宋_GB2312"/>
          <w:b w:val="0"/>
          <w:bCs/>
          <w:color w:val="000000"/>
          <w:sz w:val="32"/>
          <w:szCs w:val="32"/>
        </w:rPr>
      </w:pPr>
      <w:r>
        <w:rPr>
          <w:rStyle w:val="18"/>
          <w:rFonts w:hint="eastAsia" w:ascii="仿宋_GB2312" w:hAnsi="仿宋" w:eastAsia="仿宋_GB2312"/>
          <w:bCs/>
          <w:color w:val="000000"/>
          <w:sz w:val="32"/>
          <w:szCs w:val="32"/>
        </w:rPr>
        <w:t>农林水支出（类）扶贫（款）农村基础设施建设（项）:</w:t>
      </w:r>
      <w:r>
        <w:rPr>
          <w:rStyle w:val="18"/>
          <w:rFonts w:hint="eastAsia" w:ascii="仿宋_GB2312" w:hAnsi="仿宋" w:eastAsia="仿宋_GB2312"/>
          <w:b w:val="0"/>
          <w:bCs/>
          <w:color w:val="000000"/>
          <w:sz w:val="32"/>
          <w:szCs w:val="32"/>
        </w:rPr>
        <w:t>支出决算为</w:t>
      </w:r>
      <w:r>
        <w:rPr>
          <w:rStyle w:val="18"/>
          <w:rFonts w:hint="eastAsia" w:ascii="仿宋_GB2312" w:hAnsi="仿宋" w:eastAsia="仿宋_GB2312"/>
          <w:b w:val="0"/>
          <w:bCs/>
          <w:color w:val="000000"/>
          <w:sz w:val="32"/>
          <w:szCs w:val="32"/>
          <w:lang w:val="en-US" w:eastAsia="zh-CN"/>
        </w:rPr>
        <w:t>4.04</w:t>
      </w:r>
      <w:r>
        <w:rPr>
          <w:rStyle w:val="18"/>
          <w:rFonts w:hint="eastAsia" w:ascii="仿宋_GB2312" w:hAnsi="仿宋" w:eastAsia="仿宋_GB2312"/>
          <w:b w:val="0"/>
          <w:bCs/>
          <w:color w:val="000000"/>
          <w:sz w:val="32"/>
          <w:szCs w:val="32"/>
        </w:rPr>
        <w:t>万元，完成预算100%，决算数等于预算数，主要原因：</w:t>
      </w:r>
      <w:r>
        <w:rPr>
          <w:rStyle w:val="18"/>
          <w:rFonts w:hint="eastAsia" w:ascii="仿宋_GB2312" w:hAnsi="仿宋" w:eastAsia="仿宋_GB2312"/>
          <w:b w:val="0"/>
          <w:bCs/>
          <w:color w:val="000000"/>
          <w:sz w:val="32"/>
          <w:szCs w:val="32"/>
          <w:highlight w:val="none"/>
          <w:lang w:eastAsia="zh-CN"/>
        </w:rPr>
        <w:t>按照预算执行</w:t>
      </w:r>
      <w:r>
        <w:rPr>
          <w:rStyle w:val="18"/>
          <w:rFonts w:hint="eastAsia" w:ascii="仿宋_GB2312" w:hAnsi="仿宋" w:eastAsia="仿宋_GB2312"/>
          <w:b w:val="0"/>
          <w:bCs/>
          <w:color w:val="000000"/>
          <w:sz w:val="32"/>
          <w:szCs w:val="32"/>
        </w:rPr>
        <w:t>。</w:t>
      </w:r>
    </w:p>
    <w:p>
      <w:pPr>
        <w:pStyle w:val="2"/>
        <w:rPr>
          <w:rFonts w:hint="default" w:eastAsia="仿宋_GB2312"/>
          <w:lang w:val="en-US" w:eastAsia="zh-CN"/>
        </w:rPr>
      </w:pPr>
    </w:p>
    <w:p>
      <w:pPr>
        <w:tabs>
          <w:tab w:val="right" w:pos="8306"/>
        </w:tabs>
        <w:spacing w:line="600" w:lineRule="exact"/>
        <w:ind w:firstLine="640"/>
        <w:outlineLvl w:val="1"/>
        <w:rPr>
          <w:rStyle w:val="30"/>
          <w:rFonts w:ascii="仿宋_GB2312" w:eastAsia="仿宋_GB2312"/>
          <w:b/>
          <w:bCs/>
        </w:rPr>
      </w:pPr>
      <w:bookmarkStart w:id="87" w:name="_Toc15396608"/>
      <w:bookmarkStart w:id="88" w:name="_Toc15377214"/>
      <w:bookmarkStart w:id="89" w:name="_Toc934_WPSOffice_Level2"/>
      <w:r>
        <w:rPr>
          <w:rFonts w:hint="eastAsia" w:ascii="仿宋_GB2312" w:eastAsia="仿宋_GB2312"/>
          <w:b/>
          <w:bCs/>
          <w:color w:val="000000"/>
          <w:sz w:val="32"/>
          <w:szCs w:val="32"/>
        </w:rPr>
        <w:t>六、</w:t>
      </w:r>
      <w:r>
        <w:rPr>
          <w:rFonts w:hint="eastAsia" w:ascii="仿宋_GB2312" w:hAnsi="黑体" w:eastAsia="仿宋_GB2312"/>
          <w:b/>
          <w:bCs/>
          <w:color w:val="000000"/>
          <w:sz w:val="32"/>
          <w:szCs w:val="32"/>
        </w:rPr>
        <w:t>一</w:t>
      </w:r>
      <w:r>
        <w:rPr>
          <w:rStyle w:val="30"/>
          <w:rFonts w:hint="eastAsia" w:ascii="仿宋_GB2312" w:hAnsi="黑体" w:eastAsia="仿宋_GB2312"/>
          <w:b/>
          <w:bCs/>
        </w:rPr>
        <w:t>般公共预算财政拨款基本支出决算情况说明</w:t>
      </w:r>
      <w:bookmarkEnd w:id="87"/>
      <w:bookmarkEnd w:id="88"/>
      <w:bookmarkEnd w:id="89"/>
      <w:r>
        <w:rPr>
          <w:rStyle w:val="30"/>
          <w:rFonts w:hint="eastAsia" w:ascii="仿宋_GB2312" w:hAnsi="黑体" w:eastAsia="仿宋_GB2312"/>
          <w:b/>
          <w:bCs/>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129.68</w:t>
      </w:r>
      <w:r>
        <w:rPr>
          <w:rFonts w:hint="eastAsia" w:ascii="仿宋_GB2312" w:hAnsi="仿宋" w:eastAsia="仿宋_GB2312"/>
          <w:color w:val="000000"/>
          <w:sz w:val="32"/>
          <w:szCs w:val="32"/>
        </w:rPr>
        <w:t>万元，其中：</w:t>
      </w:r>
    </w:p>
    <w:p>
      <w:pPr>
        <w:spacing w:line="600" w:lineRule="exact"/>
        <w:ind w:firstLine="645"/>
        <w:rPr>
          <w:rFonts w:hint="eastAsia" w:ascii="仿宋_GB2312" w:hAnsi="仿宋" w:eastAsia="仿宋_GB2312" w:cs="Times New Roman"/>
          <w:color w:val="000000"/>
          <w:sz w:val="32"/>
          <w:szCs w:val="32"/>
          <w:highlight w:val="none"/>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114.12</w:t>
      </w:r>
      <w:r>
        <w:rPr>
          <w:rFonts w:hint="eastAsia" w:ascii="仿宋_GB2312" w:hAnsi="仿宋" w:eastAsia="仿宋_GB2312"/>
          <w:color w:val="000000"/>
          <w:sz w:val="32"/>
          <w:szCs w:val="32"/>
        </w:rPr>
        <w:t>万元，主要包括：</w:t>
      </w:r>
      <w:r>
        <w:rPr>
          <w:rFonts w:hint="eastAsia" w:ascii="仿宋_GB2312" w:hAnsi="仿宋" w:eastAsia="仿宋_GB2312"/>
          <w:color w:val="000000"/>
          <w:sz w:val="32"/>
          <w:szCs w:val="32"/>
          <w:highlight w:val="none"/>
        </w:rPr>
        <w:t>基本工资、津贴补贴、奖金、机关事业单位基本养老保险缴费、职业年金缴费、职工基本医疗保险缴费</w:t>
      </w:r>
      <w:r>
        <w:rPr>
          <w:rFonts w:hint="eastAsia" w:ascii="仿宋_GB2312" w:hAnsi="仿宋" w:eastAsia="仿宋_GB2312"/>
          <w:color w:val="000000"/>
          <w:sz w:val="32"/>
          <w:szCs w:val="32"/>
          <w:highlight w:val="none"/>
          <w:lang w:eastAsia="zh-CN"/>
        </w:rPr>
        <w:t>、</w:t>
      </w:r>
      <w:r>
        <w:rPr>
          <w:rFonts w:hint="eastAsia" w:ascii="仿宋_GB2312" w:hAnsi="仿宋" w:eastAsia="仿宋_GB2312"/>
          <w:color w:val="000000"/>
          <w:sz w:val="32"/>
          <w:szCs w:val="32"/>
          <w:highlight w:val="none"/>
        </w:rPr>
        <w:t>其他社会保障缴费、住房公积金。</w:t>
      </w:r>
      <w:r>
        <w:rPr>
          <w:rFonts w:hint="eastAsia" w:ascii="仿宋_GB2312" w:hAnsi="仿宋" w:eastAsia="仿宋_GB2312"/>
          <w:color w:val="000000"/>
          <w:sz w:val="32"/>
          <w:szCs w:val="32"/>
          <w:highlight w:val="none"/>
        </w:rPr>
        <w:br w:type="textWrapping"/>
      </w:r>
      <w:r>
        <w:rPr>
          <w:rFonts w:hint="eastAsia" w:ascii="仿宋_GB2312" w:hAnsi="仿宋" w:eastAsia="仿宋_GB2312"/>
          <w:color w:val="000000"/>
          <w:sz w:val="32"/>
          <w:szCs w:val="32"/>
        </w:rPr>
        <w:t>　　公用经费</w:t>
      </w:r>
      <w:r>
        <w:rPr>
          <w:rFonts w:hint="eastAsia" w:ascii="仿宋_GB2312" w:hAnsi="仿宋" w:eastAsia="仿宋_GB2312"/>
          <w:color w:val="000000"/>
          <w:sz w:val="32"/>
          <w:szCs w:val="32"/>
          <w:lang w:val="en-US" w:eastAsia="zh-CN"/>
        </w:rPr>
        <w:t>15.56</w:t>
      </w:r>
      <w:r>
        <w:rPr>
          <w:rFonts w:hint="eastAsia" w:ascii="仿宋_GB2312" w:hAnsi="仿宋" w:eastAsia="仿宋_GB2312"/>
          <w:color w:val="000000"/>
          <w:sz w:val="32"/>
          <w:szCs w:val="32"/>
        </w:rPr>
        <w:t>万元，主要包</w:t>
      </w:r>
      <w:r>
        <w:rPr>
          <w:rFonts w:hint="eastAsia" w:ascii="仿宋_GB2312" w:hAnsi="仿宋" w:eastAsia="仿宋_GB2312" w:cs="Times New Roman"/>
          <w:color w:val="000000"/>
          <w:sz w:val="32"/>
          <w:szCs w:val="32"/>
          <w:highlight w:val="none"/>
        </w:rPr>
        <w:t>括：办公费、差旅费、培训费、公务用车运行维护费。</w:t>
      </w:r>
    </w:p>
    <w:p>
      <w:pPr>
        <w:spacing w:line="600" w:lineRule="exact"/>
        <w:ind w:firstLine="640"/>
        <w:rPr>
          <w:rFonts w:ascii="仿宋_GB2312" w:hAnsi="仿宋" w:eastAsia="仿宋_GB2312"/>
          <w:b/>
          <w:color w:val="FF0000"/>
          <w:sz w:val="32"/>
          <w:szCs w:val="32"/>
        </w:rPr>
      </w:pPr>
    </w:p>
    <w:p>
      <w:pPr>
        <w:spacing w:line="600" w:lineRule="exact"/>
        <w:ind w:firstLine="640"/>
        <w:outlineLvl w:val="1"/>
        <w:rPr>
          <w:rStyle w:val="30"/>
          <w:rFonts w:ascii="仿宋_GB2312" w:hAnsi="黑体" w:eastAsia="仿宋_GB2312"/>
          <w:b/>
          <w:bCs/>
        </w:rPr>
      </w:pPr>
      <w:bookmarkStart w:id="90" w:name="_Toc15377215"/>
      <w:bookmarkStart w:id="91" w:name="_Toc15396609"/>
      <w:bookmarkStart w:id="92" w:name="_Toc19813_WPSOffice_Level2"/>
      <w:r>
        <w:rPr>
          <w:rFonts w:hint="eastAsia" w:ascii="仿宋_GB2312" w:eastAsia="仿宋_GB2312"/>
          <w:b/>
          <w:bCs/>
          <w:color w:val="000000"/>
          <w:sz w:val="32"/>
          <w:szCs w:val="32"/>
        </w:rPr>
        <w:t>七、</w:t>
      </w:r>
      <w:r>
        <w:rPr>
          <w:rStyle w:val="30"/>
          <w:rFonts w:hint="eastAsia" w:ascii="仿宋_GB2312" w:hAnsi="黑体" w:eastAsia="仿宋_GB2312"/>
          <w:b/>
          <w:bCs/>
        </w:rPr>
        <w:t>“三公”经费财政拨款支出决算情况说明</w:t>
      </w:r>
      <w:bookmarkEnd w:id="90"/>
      <w:bookmarkEnd w:id="91"/>
      <w:bookmarkEnd w:id="92"/>
    </w:p>
    <w:p>
      <w:pPr>
        <w:spacing w:line="600" w:lineRule="exact"/>
        <w:ind w:firstLine="640"/>
        <w:outlineLvl w:val="2"/>
        <w:rPr>
          <w:rFonts w:ascii="仿宋_GB2312" w:hAnsi="仿宋" w:eastAsia="仿宋_GB2312"/>
          <w:b/>
          <w:color w:val="000000"/>
          <w:sz w:val="32"/>
          <w:szCs w:val="32"/>
        </w:rPr>
      </w:pPr>
      <w:bookmarkStart w:id="93" w:name="_Toc15377216"/>
      <w:bookmarkStart w:id="94" w:name="_Toc4808_WPSOffice_Level3"/>
      <w:r>
        <w:rPr>
          <w:rFonts w:hint="eastAsia" w:ascii="仿宋_GB2312" w:hAnsi="仿宋" w:eastAsia="仿宋_GB2312"/>
          <w:b/>
          <w:color w:val="000000"/>
          <w:sz w:val="32"/>
          <w:szCs w:val="32"/>
        </w:rPr>
        <w:t>（一）“三公”经费财政拨款支出决算总体情况说明</w:t>
      </w:r>
      <w:bookmarkEnd w:id="93"/>
      <w:bookmarkEnd w:id="94"/>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6.05</w:t>
      </w:r>
      <w:r>
        <w:rPr>
          <w:rFonts w:hint="eastAsia" w:ascii="仿宋_GB2312" w:hAnsi="仿宋" w:eastAsia="仿宋_GB2312"/>
          <w:color w:val="000000"/>
          <w:sz w:val="32"/>
          <w:szCs w:val="32"/>
        </w:rPr>
        <w:t>万元，完成预算</w:t>
      </w:r>
      <w:r>
        <w:rPr>
          <w:rFonts w:hint="eastAsia" w:ascii="仿宋_GB2312" w:hAnsi="仿宋" w:eastAsia="仿宋_GB2312"/>
          <w:color w:val="000000"/>
          <w:sz w:val="32"/>
          <w:szCs w:val="32"/>
          <w:lang w:val="en-US" w:eastAsia="zh-CN"/>
        </w:rPr>
        <w:t>100</w:t>
      </w:r>
      <w:r>
        <w:rPr>
          <w:rFonts w:hint="eastAsia" w:ascii="仿宋_GB2312" w:hAnsi="仿宋" w:eastAsia="仿宋_GB2312"/>
          <w:color w:val="000000"/>
          <w:sz w:val="32"/>
          <w:szCs w:val="32"/>
        </w:rPr>
        <w:t>%。</w:t>
      </w:r>
    </w:p>
    <w:p>
      <w:pPr>
        <w:spacing w:line="600" w:lineRule="exact"/>
        <w:ind w:firstLine="640"/>
        <w:rPr>
          <w:rFonts w:ascii="仿宋_GB2312" w:hAnsi="仿宋" w:eastAsia="仿宋_GB2312"/>
          <w:b/>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（上述“预算”口径为调整预</w:t>
      </w:r>
      <w:r>
        <w:rPr>
          <w:rFonts w:hint="eastAsia" w:ascii="仿宋_GB2312" w:hAnsi="仿宋" w:eastAsia="仿宋_GB2312"/>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_GB2312" w:hAnsi="仿宋" w:eastAsia="仿宋_GB2312"/>
          <w:b/>
          <w:color w:val="000000"/>
          <w:sz w:val="32"/>
          <w:szCs w:val="32"/>
        </w:rPr>
      </w:pPr>
      <w:bookmarkStart w:id="95" w:name="_Toc15377217"/>
      <w:bookmarkStart w:id="96" w:name="_Toc934_WPSOffice_Level3"/>
      <w:r>
        <w:rPr>
          <w:rFonts w:hint="eastAsia" w:ascii="仿宋_GB2312" w:hAnsi="仿宋" w:eastAsia="仿宋_GB2312"/>
          <w:b/>
          <w:color w:val="000000"/>
          <w:sz w:val="32"/>
          <w:szCs w:val="32"/>
        </w:rPr>
        <w:t>（二）“三公”经费财政拨款支出决算具体情况说明</w:t>
      </w:r>
      <w:bookmarkEnd w:id="95"/>
      <w:bookmarkEnd w:id="96"/>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20</w:t>
      </w:r>
      <w:r>
        <w:rPr>
          <w:rFonts w:hint="eastAsia" w:ascii="仿宋_GB2312" w:hAnsi="仿宋" w:eastAsia="仿宋_GB2312"/>
          <w:color w:val="000000"/>
          <w:sz w:val="32"/>
          <w:szCs w:val="32"/>
        </w:rPr>
        <w:t>年“三公”经费财政拨款支出决算中，因公出国（境）费支出决算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万元，；公务用车购置及运行维护费支出决算</w:t>
      </w:r>
      <w:r>
        <w:rPr>
          <w:rFonts w:hint="eastAsia" w:ascii="仿宋_GB2312" w:hAnsi="仿宋" w:eastAsia="仿宋_GB2312"/>
          <w:color w:val="000000"/>
          <w:sz w:val="32"/>
          <w:szCs w:val="32"/>
          <w:lang w:val="en-US" w:eastAsia="zh-CN"/>
        </w:rPr>
        <w:t>6.05</w:t>
      </w:r>
      <w:r>
        <w:rPr>
          <w:rFonts w:hint="eastAsia" w:ascii="仿宋_GB2312" w:hAnsi="仿宋" w:eastAsia="仿宋_GB2312"/>
          <w:color w:val="000000"/>
          <w:sz w:val="32"/>
          <w:szCs w:val="32"/>
        </w:rPr>
        <w:t>万元，；公务接待费支出决算</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万元。</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_GB2312" w:hAnsi="仿宋" w:eastAsia="仿宋_GB2312"/>
          <w:b w:val="0"/>
          <w:bCs/>
          <w:color w:val="000000"/>
          <w:sz w:val="32"/>
          <w:szCs w:val="32"/>
        </w:rPr>
        <w:t>完成预算</w:t>
      </w:r>
      <w:r>
        <w:rPr>
          <w:rStyle w:val="18"/>
          <w:rFonts w:hint="eastAsia" w:ascii="仿宋_GB2312" w:hAnsi="仿宋" w:eastAsia="仿宋_GB2312"/>
          <w:b w:val="0"/>
          <w:bCs/>
          <w:color w:val="000000"/>
          <w:sz w:val="32"/>
          <w:szCs w:val="32"/>
          <w:lang w:val="en-US" w:eastAsia="zh-CN"/>
        </w:rPr>
        <w:t>100</w:t>
      </w:r>
      <w:r>
        <w:rPr>
          <w:rStyle w:val="18"/>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（团组名称、出访地点、取得成效）等。</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6.05</w:t>
      </w:r>
      <w:r>
        <w:rPr>
          <w:rFonts w:hint="eastAsia" w:ascii="仿宋_GB2312" w:eastAsia="仿宋_GB2312"/>
          <w:color w:val="000000"/>
          <w:sz w:val="32"/>
          <w:szCs w:val="32"/>
        </w:rPr>
        <w:t>万元,</w:t>
      </w:r>
      <w:r>
        <w:rPr>
          <w:rStyle w:val="18"/>
          <w:rFonts w:hint="eastAsia" w:ascii="仿宋_GB2312" w:hAnsi="仿宋" w:eastAsia="仿宋_GB2312"/>
          <w:b w:val="0"/>
          <w:bCs/>
          <w:color w:val="000000"/>
          <w:sz w:val="32"/>
          <w:szCs w:val="32"/>
        </w:rPr>
        <w:t>完成预算</w:t>
      </w:r>
      <w:r>
        <w:rPr>
          <w:rStyle w:val="18"/>
          <w:rFonts w:hint="eastAsia" w:ascii="仿宋_GB2312" w:hAnsi="仿宋" w:eastAsia="仿宋_GB2312"/>
          <w:b w:val="0"/>
          <w:bCs/>
          <w:color w:val="000000"/>
          <w:sz w:val="32"/>
          <w:szCs w:val="32"/>
          <w:lang w:val="en-US" w:eastAsia="zh-CN"/>
        </w:rPr>
        <w:t>100</w:t>
      </w:r>
      <w:r>
        <w:rPr>
          <w:rStyle w:val="18"/>
          <w:rFonts w:hint="eastAsia" w:ascii="仿宋_GB2312" w:hAnsi="仿宋" w:eastAsia="仿宋_GB2312"/>
          <w:b w:val="0"/>
          <w:bCs/>
          <w:color w:val="000000"/>
          <w:sz w:val="32"/>
          <w:szCs w:val="32"/>
        </w:rPr>
        <w:t>%。</w:t>
      </w: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22.23</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：车辆维护减少</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highlight w:val="yellow"/>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w:t>
      </w:r>
      <w:r>
        <w:rPr>
          <w:rFonts w:hint="eastAsia" w:ascii="仿宋_GB2312" w:eastAsia="仿宋_GB2312"/>
          <w:color w:val="000000"/>
          <w:sz w:val="32"/>
          <w:szCs w:val="32"/>
          <w:highlight w:val="none"/>
        </w:rPr>
        <w:t>汽车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辆、金额</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万元。截至20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年12月底，单位共有公务用车</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辆，其中：轿车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辆、越野车</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辆、载客汽车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6.05</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8"/>
          <w:rFonts w:hint="eastAsia" w:ascii="仿宋_GB2312" w:hAnsi="仿宋" w:eastAsia="仿宋_GB2312"/>
          <w:b w:val="0"/>
          <w:bCs/>
          <w:color w:val="000000"/>
          <w:sz w:val="32"/>
          <w:szCs w:val="32"/>
        </w:rPr>
        <w:t>完成预算</w:t>
      </w:r>
      <w:r>
        <w:rPr>
          <w:rStyle w:val="18"/>
          <w:rFonts w:hint="eastAsia" w:ascii="仿宋_GB2312" w:hAnsi="仿宋" w:eastAsia="仿宋_GB2312"/>
          <w:b w:val="0"/>
          <w:bCs/>
          <w:color w:val="000000"/>
          <w:sz w:val="32"/>
          <w:szCs w:val="32"/>
          <w:lang w:val="en-US" w:eastAsia="zh-CN"/>
        </w:rPr>
        <w:t>100</w:t>
      </w:r>
      <w:r>
        <w:rPr>
          <w:rStyle w:val="18"/>
          <w:rFonts w:hint="eastAsia" w:ascii="仿宋_GB2312" w:hAnsi="仿宋" w:eastAsia="仿宋_GB2312"/>
          <w:b w:val="0"/>
          <w:bCs/>
          <w:color w:val="000000"/>
          <w:sz w:val="32"/>
          <w:szCs w:val="32"/>
        </w:rPr>
        <w:t>%。</w:t>
      </w:r>
      <w:r>
        <w:rPr>
          <w:rFonts w:hint="eastAsia" w:ascii="仿宋_GB2312" w:eastAsia="仿宋_GB2312"/>
          <w:color w:val="000000"/>
          <w:sz w:val="32"/>
          <w:szCs w:val="32"/>
        </w:rPr>
        <w:t>公务接待费支出决算比201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万元，增长/下降</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%。主要原因</w:t>
      </w:r>
      <w:r>
        <w:rPr>
          <w:rFonts w:hint="eastAsia" w:ascii="仿宋_GB2312" w:eastAsia="仿宋_GB2312"/>
          <w:color w:val="000000"/>
          <w:sz w:val="32"/>
          <w:szCs w:val="32"/>
          <w:lang w:eastAsia="zh-CN"/>
        </w:rPr>
        <w:t>：无</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w:t>
      </w: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b/>
          <w:color w:val="000000"/>
          <w:sz w:val="32"/>
          <w:szCs w:val="32"/>
        </w:rPr>
        <w:t>外事接待支出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3" w:firstLineChars="200"/>
        <w:rPr>
          <w:rFonts w:ascii="仿宋_GB2312" w:eastAsia="仿宋_GB2312"/>
          <w:color w:val="000000"/>
          <w:sz w:val="32"/>
          <w:szCs w:val="32"/>
        </w:rPr>
      </w:pPr>
      <w:r>
        <w:rPr>
          <w:rFonts w:hint="eastAsia" w:ascii="仿宋_GB2312" w:hAnsi="仿宋" w:eastAsia="仿宋_GB2312"/>
          <w:b/>
          <w:color w:val="000000"/>
          <w:sz w:val="32"/>
          <w:szCs w:val="32"/>
        </w:rPr>
        <w:t>其他国内公务接待支出</w:t>
      </w:r>
      <w:r>
        <w:rPr>
          <w:rFonts w:hint="eastAsia" w:ascii="仿宋_GB2312" w:hAnsi="仿宋"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w:t>
      </w:r>
      <w:bookmarkStart w:id="97" w:name="_Toc15377218"/>
      <w:bookmarkStart w:id="98" w:name="_Toc15396610"/>
    </w:p>
    <w:p>
      <w:pPr>
        <w:spacing w:line="600" w:lineRule="exact"/>
        <w:ind w:firstLine="640"/>
        <w:outlineLvl w:val="1"/>
        <w:rPr>
          <w:rStyle w:val="30"/>
          <w:rFonts w:ascii="仿宋_GB2312" w:hAnsi="黑体" w:eastAsia="仿宋_GB2312"/>
          <w:b/>
          <w:bCs/>
        </w:rPr>
      </w:pPr>
      <w:bookmarkStart w:id="99" w:name="_Toc4111_WPSOffice_Level2"/>
      <w:r>
        <w:rPr>
          <w:rFonts w:hint="eastAsia" w:ascii="仿宋_GB2312" w:eastAsia="仿宋_GB2312"/>
          <w:b/>
          <w:bCs/>
          <w:color w:val="000000"/>
          <w:sz w:val="32"/>
          <w:szCs w:val="32"/>
        </w:rPr>
        <w:t>八、</w:t>
      </w:r>
      <w:r>
        <w:rPr>
          <w:rStyle w:val="30"/>
          <w:rFonts w:hint="eastAsia" w:ascii="仿宋_GB2312" w:hAnsi="黑体" w:eastAsia="仿宋_GB2312"/>
          <w:b/>
          <w:bCs/>
        </w:rPr>
        <w:t>政府性基金预算支出决算情况说明</w:t>
      </w:r>
      <w:bookmarkEnd w:id="97"/>
      <w:bookmarkEnd w:id="98"/>
      <w:bookmarkEnd w:id="9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30"/>
          <w:rFonts w:ascii="仿宋_GB2312" w:hAnsi="黑体" w:eastAsia="仿宋_GB2312"/>
          <w:b/>
          <w:bCs w:val="0"/>
        </w:rPr>
      </w:pPr>
      <w:bookmarkStart w:id="100" w:name="_Toc15377219"/>
      <w:bookmarkStart w:id="101" w:name="_Toc15396611"/>
      <w:bookmarkStart w:id="102" w:name="_Toc18829_WPSOffice_Level2"/>
      <w:r>
        <w:rPr>
          <w:rStyle w:val="30"/>
          <w:rFonts w:hint="eastAsia" w:ascii="仿宋_GB2312" w:hAnsi="黑体" w:eastAsia="仿宋_GB2312"/>
          <w:b/>
          <w:bCs w:val="0"/>
        </w:rPr>
        <w:t>国有资本经营预算支出决算情况说明</w:t>
      </w:r>
      <w:bookmarkEnd w:id="100"/>
      <w:bookmarkEnd w:id="101"/>
      <w:bookmarkEnd w:id="102"/>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8"/>
        <w:numPr>
          <w:ilvl w:val="0"/>
          <w:numId w:val="4"/>
        </w:numPr>
        <w:spacing w:line="580" w:lineRule="exact"/>
        <w:ind w:firstLineChars="0"/>
        <w:rPr>
          <w:rStyle w:val="30"/>
          <w:rFonts w:ascii="仿宋_GB2312" w:hAnsi="黑体" w:eastAsia="仿宋_GB2312"/>
          <w:b/>
          <w:bCs w:val="0"/>
        </w:rPr>
      </w:pPr>
      <w:bookmarkStart w:id="103" w:name="_Toc13582_WPSOffice_Level2"/>
      <w:r>
        <w:rPr>
          <w:rStyle w:val="30"/>
          <w:rFonts w:hint="eastAsia" w:ascii="仿宋_GB2312" w:hAnsi="黑体" w:eastAsia="仿宋_GB2312"/>
          <w:b/>
          <w:bCs w:val="0"/>
        </w:rPr>
        <w:t>预算绩效情况说明</w:t>
      </w:r>
      <w:bookmarkEnd w:id="103"/>
    </w:p>
    <w:p>
      <w:pPr>
        <w:numPr>
          <w:ilvl w:val="0"/>
          <w:numId w:val="5"/>
        </w:numPr>
        <w:spacing w:line="580" w:lineRule="exact"/>
        <w:ind w:firstLine="643" w:firstLineChars="200"/>
        <w:rPr>
          <w:rFonts w:ascii="仿宋_GB2312" w:hAnsi="仿宋" w:eastAsia="仿宋_GB2312" w:cs="楷体_GB2312"/>
          <w:b/>
          <w:bCs/>
          <w:sz w:val="32"/>
          <w:szCs w:val="32"/>
        </w:rPr>
      </w:pPr>
      <w:bookmarkStart w:id="104" w:name="_Toc19813_WPSOffice_Level3"/>
      <w:r>
        <w:rPr>
          <w:rFonts w:hint="eastAsia" w:ascii="仿宋_GB2312" w:hAnsi="仿宋" w:eastAsia="仿宋_GB2312" w:cs="楷体_GB2312"/>
          <w:b/>
          <w:bCs/>
          <w:sz w:val="32"/>
          <w:szCs w:val="32"/>
        </w:rPr>
        <w:t>预算绩效管理工作开展情况。</w:t>
      </w:r>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lang w:eastAsia="zh-CN"/>
        </w:rPr>
        <w:t>本</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2020年初预算收入</w:t>
      </w:r>
      <w:r>
        <w:rPr>
          <w:rFonts w:hint="eastAsia" w:ascii="仿宋_GB2312" w:hAnsi="仿宋_GB2312" w:eastAsia="仿宋_GB2312" w:cs="仿宋_GB2312"/>
          <w:color w:val="000000"/>
          <w:sz w:val="32"/>
          <w:szCs w:val="32"/>
          <w:lang w:val="en-US" w:eastAsia="zh-CN"/>
        </w:rPr>
        <w:t>93.33万元，</w:t>
      </w:r>
      <w:r>
        <w:rPr>
          <w:rFonts w:hint="eastAsia" w:ascii="仿宋_GB2312" w:hAnsi="仿宋_GB2312" w:eastAsia="仿宋_GB2312" w:cs="仿宋_GB2312"/>
          <w:color w:val="000000"/>
          <w:sz w:val="32"/>
          <w:szCs w:val="32"/>
        </w:rPr>
        <w:t>年末实际预算收入为</w:t>
      </w:r>
      <w:r>
        <w:rPr>
          <w:rFonts w:hint="eastAsia" w:ascii="仿宋_GB2312" w:hAnsi="仿宋_GB2312" w:eastAsia="仿宋_GB2312" w:cs="仿宋_GB2312"/>
          <w:color w:val="000000"/>
          <w:sz w:val="32"/>
          <w:szCs w:val="32"/>
          <w:lang w:val="en-US" w:eastAsia="zh-CN"/>
        </w:rPr>
        <w:t>136.73</w:t>
      </w:r>
      <w:r>
        <w:rPr>
          <w:rFonts w:hint="eastAsia" w:ascii="仿宋_GB2312" w:hAnsi="仿宋_GB2312" w:eastAsia="仿宋_GB2312" w:cs="仿宋_GB2312"/>
          <w:color w:val="000000"/>
          <w:sz w:val="32"/>
          <w:szCs w:val="32"/>
        </w:rPr>
        <w:t>万元，年末实际支出总额为</w:t>
      </w:r>
      <w:r>
        <w:rPr>
          <w:rFonts w:hint="eastAsia" w:ascii="仿宋_GB2312" w:hAnsi="仿宋_GB2312" w:eastAsia="仿宋_GB2312" w:cs="仿宋_GB2312"/>
          <w:color w:val="000000"/>
          <w:sz w:val="32"/>
          <w:szCs w:val="32"/>
          <w:lang w:val="en-US" w:eastAsia="zh-CN"/>
        </w:rPr>
        <w:t>136.73</w:t>
      </w:r>
      <w:r>
        <w:rPr>
          <w:rFonts w:hint="eastAsia" w:ascii="仿宋_GB2312" w:hAnsi="仿宋_GB2312" w:eastAsia="仿宋_GB2312" w:cs="仿宋_GB2312"/>
          <w:color w:val="000000"/>
          <w:sz w:val="32"/>
          <w:szCs w:val="32"/>
        </w:rPr>
        <w:t>万元，年预算编制准确率较高。</w:t>
      </w: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numPr>
          <w:ilvl w:val="0"/>
          <w:numId w:val="5"/>
        </w:numPr>
        <w:spacing w:line="580" w:lineRule="exact"/>
        <w:ind w:firstLine="643" w:firstLineChars="200"/>
        <w:rPr>
          <w:rFonts w:ascii="仿宋_GB2312" w:hAnsi="仿宋" w:eastAsia="仿宋_GB2312" w:cs="仿宋_GB2312"/>
          <w:sz w:val="32"/>
          <w:szCs w:val="32"/>
        </w:rPr>
      </w:pPr>
      <w:bookmarkStart w:id="105" w:name="_Toc4111_WPSOffice_Level3"/>
      <w:r>
        <w:rPr>
          <w:rFonts w:hint="eastAsia" w:ascii="仿宋_GB2312" w:hAnsi="仿宋" w:eastAsia="仿宋_GB2312" w:cs="楷体_GB2312"/>
          <w:b/>
          <w:bCs/>
          <w:sz w:val="32"/>
          <w:szCs w:val="32"/>
        </w:rPr>
        <w:t>部门开展绩效评价结果。</w:t>
      </w:r>
      <w:bookmarkEnd w:id="105"/>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壤塘县三郎寺寺管会</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80" w:lineRule="exact"/>
        <w:jc w:val="center"/>
        <w:rPr>
          <w:rFonts w:ascii="仿宋_GB2312" w:hAnsi="方正小标宋简体" w:eastAsia="仿宋_GB2312" w:cs="方正小标宋简体"/>
          <w:sz w:val="32"/>
          <w:szCs w:val="32"/>
        </w:rPr>
      </w:pPr>
    </w:p>
    <w:p>
      <w:pPr>
        <w:spacing w:line="600" w:lineRule="exact"/>
        <w:ind w:firstLine="800" w:firstLineChars="250"/>
        <w:outlineLvl w:val="1"/>
        <w:rPr>
          <w:rStyle w:val="30"/>
          <w:rFonts w:ascii="仿宋_GB2312" w:hAnsi="黑体" w:eastAsia="仿宋_GB2312"/>
        </w:rPr>
      </w:pPr>
      <w:bookmarkStart w:id="106" w:name="_Toc15377221"/>
      <w:bookmarkStart w:id="107" w:name="_Toc15396612"/>
      <w:bookmarkStart w:id="108" w:name="_Toc5451_WPSOffice_Level2"/>
      <w:r>
        <w:rPr>
          <w:rFonts w:hint="eastAsia" w:ascii="仿宋_GB2312" w:hAnsi="黑体" w:eastAsia="仿宋_GB2312"/>
          <w:color w:val="000000"/>
          <w:sz w:val="32"/>
          <w:szCs w:val="32"/>
        </w:rPr>
        <w:t>十</w:t>
      </w:r>
      <w:r>
        <w:rPr>
          <w:rStyle w:val="30"/>
          <w:rFonts w:hint="eastAsia" w:ascii="仿宋_GB2312" w:hAnsi="黑体" w:eastAsia="仿宋_GB2312"/>
        </w:rPr>
        <w:t>一、</w:t>
      </w:r>
      <w:r>
        <w:rPr>
          <w:rStyle w:val="30"/>
          <w:rFonts w:hint="eastAsia" w:ascii="仿宋_GB2312" w:hAnsi="黑体" w:eastAsia="仿宋_GB2312"/>
          <w:b w:val="0"/>
        </w:rPr>
        <w:t>其他重要事项的情况说明</w:t>
      </w:r>
      <w:bookmarkEnd w:id="106"/>
      <w:bookmarkEnd w:id="107"/>
      <w:bookmarkEnd w:id="108"/>
    </w:p>
    <w:p>
      <w:pPr>
        <w:spacing w:line="600" w:lineRule="exact"/>
        <w:ind w:firstLine="643" w:firstLineChars="200"/>
        <w:outlineLvl w:val="2"/>
        <w:rPr>
          <w:rFonts w:ascii="仿宋_GB2312" w:hAnsi="仿宋" w:eastAsia="仿宋_GB2312"/>
          <w:color w:val="000000"/>
          <w:sz w:val="32"/>
          <w:szCs w:val="32"/>
        </w:rPr>
      </w:pPr>
      <w:bookmarkStart w:id="109" w:name="_Toc15377222"/>
      <w:bookmarkStart w:id="110" w:name="_Toc18829_WPSOffice_Level3"/>
      <w:r>
        <w:rPr>
          <w:rFonts w:hint="eastAsia" w:ascii="仿宋_GB2312" w:hAnsi="仿宋" w:eastAsia="仿宋_GB2312"/>
          <w:b/>
          <w:color w:val="000000"/>
          <w:sz w:val="32"/>
          <w:szCs w:val="32"/>
        </w:rPr>
        <w:t>（一）机关运行经费支出情况</w:t>
      </w:r>
      <w:bookmarkEnd w:id="109"/>
      <w:bookmarkEnd w:id="110"/>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壤塘县三郎寺管理委员会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15.56</w:t>
      </w:r>
      <w:r>
        <w:rPr>
          <w:rFonts w:hint="eastAsia" w:ascii="仿宋_GB2312" w:eastAsia="仿宋_GB2312"/>
          <w:color w:val="000000"/>
          <w:sz w:val="32"/>
          <w:szCs w:val="32"/>
        </w:rPr>
        <w:t>万元，比201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rPr>
        <w:t>5.11万元，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rPr>
        <w:t>24.74%。</w:t>
      </w:r>
      <w:r>
        <w:rPr>
          <w:rFonts w:hint="eastAsia" w:ascii="仿宋_GB2312" w:eastAsia="仿宋_GB2312"/>
          <w:color w:val="000000" w:themeColor="text1"/>
          <w:sz w:val="32"/>
          <w:szCs w:val="32"/>
          <w14:textFill>
            <w14:solidFill>
              <w14:schemeClr w14:val="tx1"/>
            </w14:solidFill>
          </w14:textFill>
        </w:rPr>
        <w:t>主要原因是本年度业务量减少</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ascii="仿宋_GB2312" w:hAnsi="仿宋" w:eastAsia="仿宋_GB2312"/>
          <w:b/>
          <w:color w:val="000000"/>
          <w:sz w:val="32"/>
          <w:szCs w:val="32"/>
        </w:rPr>
      </w:pPr>
      <w:r>
        <w:rPr>
          <w:rFonts w:hint="eastAsia" w:ascii="仿宋_GB2312" w:hAnsi="仿宋" w:eastAsia="仿宋_GB2312"/>
          <w:b/>
          <w:color w:val="000000"/>
          <w:sz w:val="32"/>
          <w:szCs w:val="32"/>
        </w:rPr>
        <w:t>（数据来源财决</w:t>
      </w:r>
      <w:r>
        <w:rPr>
          <w:rFonts w:hint="eastAsia" w:ascii="仿宋_GB2312" w:hAnsi="仿宋" w:eastAsia="仿宋_GB2312"/>
          <w:b/>
          <w:color w:val="000000"/>
          <w:sz w:val="32"/>
          <w:szCs w:val="32"/>
          <w:lang w:val="en-US" w:eastAsia="zh-CN"/>
        </w:rPr>
        <w:t>F03</w:t>
      </w:r>
      <w:r>
        <w:rPr>
          <w:rFonts w:hint="eastAsia" w:ascii="仿宋_GB2312" w:hAnsi="仿宋" w:eastAsia="仿宋_GB2312"/>
          <w:b/>
          <w:color w:val="000000"/>
          <w:sz w:val="32"/>
          <w:szCs w:val="32"/>
        </w:rPr>
        <w:t>表）</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111" w:name="_Toc15377223"/>
      <w:bookmarkStart w:id="112" w:name="_Toc13582_WPSOffice_Level3"/>
      <w:r>
        <w:rPr>
          <w:rFonts w:hint="eastAsia" w:ascii="仿宋_GB2312" w:hAnsi="仿宋" w:eastAsia="仿宋_GB2312"/>
          <w:b/>
          <w:color w:val="000000"/>
          <w:sz w:val="32"/>
          <w:szCs w:val="32"/>
        </w:rPr>
        <w:t>（二）政府采购支出情况</w:t>
      </w:r>
      <w:bookmarkEnd w:id="111"/>
      <w:bookmarkEnd w:id="11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壤塘县三郎寺管理委员会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r>
        <w:rPr>
          <w:rFonts w:hint="eastAsia" w:ascii="仿宋_GB2312" w:hAnsi="仿宋" w:eastAsia="仿宋_GB2312"/>
          <w:b/>
          <w:color w:val="000000"/>
          <w:sz w:val="32"/>
          <w:szCs w:val="32"/>
        </w:rPr>
        <w:t>（数据来源财决</w:t>
      </w:r>
      <w:r>
        <w:rPr>
          <w:rFonts w:hint="eastAsia" w:ascii="仿宋_GB2312" w:hAnsi="仿宋" w:eastAsia="仿宋_GB2312"/>
          <w:b/>
          <w:color w:val="000000"/>
          <w:sz w:val="32"/>
          <w:szCs w:val="32"/>
          <w:lang w:val="en-US" w:eastAsia="zh-CN"/>
        </w:rPr>
        <w:t>F03</w:t>
      </w:r>
      <w:r>
        <w:rPr>
          <w:rFonts w:hint="eastAsia" w:ascii="仿宋_GB2312" w:hAnsi="仿宋" w:eastAsia="仿宋_GB2312"/>
          <w:b/>
          <w:color w:val="000000"/>
          <w:sz w:val="32"/>
          <w:szCs w:val="32"/>
        </w:rPr>
        <w:t>表）</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bookmarkStart w:id="113" w:name="_Toc15377224"/>
      <w:bookmarkStart w:id="114" w:name="_Toc5451_WPSOffice_Level3"/>
      <w:r>
        <w:rPr>
          <w:rFonts w:hint="eastAsia" w:ascii="仿宋_GB2312" w:hAnsi="仿宋" w:eastAsia="仿宋_GB2312"/>
          <w:b/>
          <w:color w:val="000000"/>
          <w:sz w:val="32"/>
          <w:szCs w:val="32"/>
        </w:rPr>
        <w:t>（三）国有资产占有使用情况</w:t>
      </w:r>
      <w:bookmarkEnd w:id="113"/>
      <w:bookmarkEnd w:id="114"/>
    </w:p>
    <w:p>
      <w:pPr>
        <w:autoSpaceDE w:val="0"/>
        <w:autoSpaceDN w:val="0"/>
        <w:adjustRightInd w:val="0"/>
        <w:spacing w:line="600" w:lineRule="exact"/>
        <w:ind w:firstLine="640" w:firstLineChars="200"/>
        <w:jc w:val="left"/>
        <w:rPr>
          <w:rFonts w:ascii="仿宋_GB2312" w:eastAsia="仿宋_GB2312"/>
          <w:color w:val="000000"/>
          <w:sz w:val="32"/>
          <w:szCs w:val="32"/>
          <w:highlight w:val="none"/>
        </w:rPr>
      </w:pPr>
      <w:r>
        <w:rPr>
          <w:rFonts w:hint="eastAsia" w:ascii="仿宋_GB2312" w:eastAsia="仿宋_GB2312"/>
          <w:color w:val="000000"/>
          <w:sz w:val="32"/>
          <w:szCs w:val="32"/>
          <w:highlight w:val="none"/>
        </w:rPr>
        <w:t>截至20</w:t>
      </w:r>
      <w:r>
        <w:rPr>
          <w:rFonts w:hint="eastAsia" w:ascii="仿宋_GB2312" w:eastAsia="仿宋_GB2312"/>
          <w:color w:val="000000"/>
          <w:sz w:val="32"/>
          <w:szCs w:val="32"/>
          <w:highlight w:val="none"/>
          <w:lang w:val="en-US" w:eastAsia="zh-CN"/>
        </w:rPr>
        <w:t>20</w:t>
      </w:r>
      <w:r>
        <w:rPr>
          <w:rFonts w:hint="eastAsia" w:ascii="仿宋_GB2312" w:eastAsia="仿宋_GB2312"/>
          <w:color w:val="000000"/>
          <w:sz w:val="32"/>
          <w:szCs w:val="32"/>
          <w:highlight w:val="none"/>
        </w:rPr>
        <w:t>年12月31日，</w:t>
      </w:r>
      <w:r>
        <w:rPr>
          <w:rFonts w:hint="eastAsia" w:ascii="仿宋_GB2312" w:eastAsia="仿宋_GB2312"/>
          <w:color w:val="000000"/>
          <w:sz w:val="32"/>
          <w:szCs w:val="32"/>
          <w:highlight w:val="none"/>
          <w:lang w:eastAsia="zh-CN"/>
        </w:rPr>
        <w:t>壤塘县三郎寺管理委员会</w:t>
      </w:r>
      <w:r>
        <w:rPr>
          <w:rFonts w:hint="eastAsia" w:ascii="仿宋_GB2312" w:eastAsia="仿宋_GB2312"/>
          <w:color w:val="000000"/>
          <w:sz w:val="32"/>
          <w:szCs w:val="32"/>
          <w:highlight w:val="none"/>
        </w:rPr>
        <w:t>共有车辆</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辆，其中：部级领导干部用车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辆、一般公务用车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辆、一般执法执勤用车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辆、特种专业技术用车</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辆、其他用车</w:t>
      </w:r>
      <w:r>
        <w:rPr>
          <w:rFonts w:hint="eastAsia" w:ascii="仿宋_GB2312" w:eastAsia="仿宋_GB2312"/>
          <w:color w:val="000000"/>
          <w:sz w:val="32"/>
          <w:szCs w:val="32"/>
          <w:highlight w:val="none"/>
          <w:lang w:val="en-US" w:eastAsia="zh-CN"/>
        </w:rPr>
        <w:t>1</w:t>
      </w:r>
      <w:r>
        <w:rPr>
          <w:rFonts w:hint="eastAsia" w:ascii="仿宋_GB2312" w:eastAsia="仿宋_GB2312"/>
          <w:color w:val="000000"/>
          <w:sz w:val="32"/>
          <w:szCs w:val="32"/>
          <w:highlight w:val="none"/>
        </w:rPr>
        <w:t>辆，</w:t>
      </w:r>
      <w:r>
        <w:rPr>
          <w:rFonts w:hint="eastAsia" w:ascii="仿宋_GB2312" w:eastAsia="仿宋_GB2312"/>
          <w:color w:val="000000" w:themeColor="text1"/>
          <w:sz w:val="32"/>
          <w:szCs w:val="32"/>
          <w:highlight w:val="none"/>
          <w14:textFill>
            <w14:solidFill>
              <w14:schemeClr w14:val="tx1"/>
            </w14:solidFill>
          </w14:textFill>
        </w:rPr>
        <w:t>单价50万元以上通用设备</w:t>
      </w:r>
      <w:r>
        <w:rPr>
          <w:rFonts w:hint="eastAsia" w:asci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台（套），单价100</w:t>
      </w:r>
      <w:r>
        <w:rPr>
          <w:rFonts w:hint="eastAsia" w:ascii="仿宋_GB2312" w:eastAsia="仿宋_GB2312"/>
          <w:color w:val="000000"/>
          <w:sz w:val="32"/>
          <w:szCs w:val="32"/>
          <w:highlight w:val="none"/>
        </w:rPr>
        <w:t>万元以上专用设备</w:t>
      </w:r>
      <w:r>
        <w:rPr>
          <w:rFonts w:hint="eastAsia" w:ascii="仿宋_GB2312" w:eastAsia="仿宋_GB2312"/>
          <w:color w:val="000000"/>
          <w:sz w:val="32"/>
          <w:szCs w:val="32"/>
          <w:highlight w:val="none"/>
          <w:lang w:val="en-US" w:eastAsia="zh-CN"/>
        </w:rPr>
        <w:t>0</w:t>
      </w:r>
      <w:r>
        <w:rPr>
          <w:rFonts w:hint="eastAsia" w:ascii="仿宋_GB2312" w:eastAsia="仿宋_GB2312"/>
          <w:color w:val="000000"/>
          <w:sz w:val="32"/>
          <w:szCs w:val="32"/>
          <w:highlight w:val="none"/>
        </w:rPr>
        <w:t>台（套）。</w:t>
      </w:r>
    </w:p>
    <w:p>
      <w:pPr>
        <w:autoSpaceDE w:val="0"/>
        <w:autoSpaceDN w:val="0"/>
        <w:adjustRightInd w:val="0"/>
        <w:spacing w:line="600" w:lineRule="exact"/>
        <w:ind w:firstLine="643" w:firstLineChars="200"/>
        <w:jc w:val="left"/>
        <w:outlineLvl w:val="2"/>
        <w:rPr>
          <w:rFonts w:ascii="仿宋_GB2312" w:hAnsi="仿宋" w:eastAsia="仿宋_GB2312"/>
          <w:b/>
          <w:color w:val="000000"/>
          <w:sz w:val="32"/>
          <w:szCs w:val="32"/>
        </w:rPr>
      </w:pPr>
      <w:r>
        <w:rPr>
          <w:rFonts w:hint="eastAsia" w:ascii="仿宋_GB2312" w:hAnsi="仿宋" w:eastAsia="仿宋_GB2312"/>
          <w:b/>
          <w:color w:val="000000"/>
          <w:sz w:val="32"/>
          <w:szCs w:val="32"/>
        </w:rPr>
        <w:t>（数据来源财决</w:t>
      </w:r>
      <w:r>
        <w:rPr>
          <w:rFonts w:hint="eastAsia" w:ascii="仿宋_GB2312" w:hAnsi="仿宋" w:eastAsia="仿宋_GB2312"/>
          <w:b/>
          <w:color w:val="000000"/>
          <w:sz w:val="32"/>
          <w:szCs w:val="32"/>
          <w:lang w:val="en-US" w:eastAsia="zh-CN"/>
        </w:rPr>
        <w:t>F03</w:t>
      </w:r>
      <w:r>
        <w:rPr>
          <w:rFonts w:hint="eastAsia" w:ascii="仿宋_GB2312" w:hAnsi="仿宋" w:eastAsia="仿宋_GB2312"/>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hint="eastAsia" w:ascii="仿宋_GB2312" w:eastAsia="仿宋_GB2312"/>
          <w:b/>
          <w:color w:val="000000"/>
          <w:sz w:val="32"/>
          <w:szCs w:val="32"/>
        </w:rPr>
        <w:br w:type="page"/>
      </w:r>
    </w:p>
    <w:p>
      <w:pPr>
        <w:numPr>
          <w:ilvl w:val="0"/>
          <w:numId w:val="6"/>
        </w:numPr>
        <w:spacing w:line="600" w:lineRule="exact"/>
        <w:ind w:firstLine="482" w:firstLineChars="150"/>
        <w:jc w:val="center"/>
        <w:outlineLvl w:val="0"/>
        <w:rPr>
          <w:rStyle w:val="29"/>
          <w:rFonts w:ascii="仿宋_GB2312" w:hAnsi="黑体" w:eastAsia="仿宋_GB2312"/>
          <w:b/>
          <w:bCs/>
          <w:sz w:val="32"/>
          <w:szCs w:val="32"/>
        </w:rPr>
      </w:pPr>
      <w:bookmarkStart w:id="115" w:name="_Toc15377225"/>
      <w:bookmarkStart w:id="116" w:name="_Toc15396613"/>
      <w:bookmarkStart w:id="117" w:name="_Toc17738_WPSOffice_Level1"/>
      <w:r>
        <w:rPr>
          <w:rFonts w:hint="eastAsia" w:ascii="仿宋_GB2312" w:hAnsi="黑体" w:eastAsia="仿宋_GB2312"/>
          <w:b/>
          <w:bCs/>
          <w:color w:val="000000"/>
          <w:sz w:val="32"/>
          <w:szCs w:val="32"/>
        </w:rPr>
        <w:t>名</w:t>
      </w:r>
      <w:r>
        <w:rPr>
          <w:rStyle w:val="29"/>
          <w:rFonts w:hint="eastAsia" w:ascii="仿宋_GB2312" w:hAnsi="黑体" w:eastAsia="仿宋_GB2312"/>
          <w:b/>
          <w:bCs/>
          <w:sz w:val="32"/>
          <w:szCs w:val="32"/>
        </w:rPr>
        <w:t>词解释</w:t>
      </w:r>
      <w:bookmarkEnd w:id="115"/>
      <w:bookmarkEnd w:id="116"/>
      <w:bookmarkEnd w:id="117"/>
    </w:p>
    <w:p>
      <w:pPr>
        <w:spacing w:line="600" w:lineRule="exact"/>
        <w:jc w:val="left"/>
        <w:rPr>
          <w:rFonts w:ascii="仿宋_GB2312" w:eastAsia="仿宋_GB2312"/>
          <w:b/>
          <w:color w:val="000000"/>
          <w:sz w:val="32"/>
          <w:szCs w:val="32"/>
        </w:rPr>
      </w:pP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.年初结转和结余：指以前年度尚未完成、结转到本年按有关规定继续使用的资金。</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.一般公共服务（类）民族事务（款）行政运行（项）：指</w:t>
      </w:r>
      <w:r>
        <w:rPr>
          <w:rFonts w:hint="eastAsia" w:ascii="仿宋_GB2312" w:eastAsia="仿宋_GB2312"/>
          <w:color w:val="000000"/>
          <w:sz w:val="32"/>
          <w:szCs w:val="32"/>
          <w:lang w:eastAsia="zh-CN"/>
        </w:rPr>
        <w:t>行政单位（包括实行公务员管理的事业单位的）基本支出</w:t>
      </w:r>
      <w:r>
        <w:rPr>
          <w:rFonts w:hint="eastAsia" w:ascii="仿宋_GB2312" w:eastAsia="仿宋_GB2312"/>
          <w:color w:val="000000"/>
          <w:sz w:val="32"/>
          <w:szCs w:val="32"/>
        </w:rPr>
        <w:t>。</w:t>
      </w:r>
    </w:p>
    <w:p>
      <w:pPr>
        <w:pStyle w:val="2"/>
        <w:rPr>
          <w:rFonts w:hint="eastAsia"/>
          <w:lang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.一般公共服务（类）民族事务（款）民族工作专项（项）：指</w:t>
      </w:r>
      <w:r>
        <w:rPr>
          <w:rFonts w:hint="eastAsia" w:ascii="仿宋_GB2312" w:eastAsia="仿宋_GB2312"/>
          <w:color w:val="000000"/>
          <w:sz w:val="32"/>
          <w:szCs w:val="32"/>
          <w:lang w:eastAsia="zh-CN"/>
        </w:rPr>
        <w:t>用于民族事务管理方面的专项支出。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.社会保障和就业支出（类）行政事业单位养老支出（款）机关事业单位基本养老保险缴费支出（项）：指</w:t>
      </w:r>
      <w:r>
        <w:rPr>
          <w:rFonts w:hint="eastAsia" w:ascii="仿宋_GB2312" w:eastAsia="仿宋_GB2312"/>
          <w:color w:val="000000"/>
          <w:sz w:val="32"/>
          <w:szCs w:val="32"/>
          <w:lang w:eastAsia="zh-CN"/>
        </w:rPr>
        <w:t>机关事业单位实施养老保险制度由单位缴纳的基本养老保险支出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8</w:t>
      </w:r>
      <w:r>
        <w:rPr>
          <w:rFonts w:hint="eastAsia" w:ascii="仿宋_GB2312" w:eastAsia="仿宋_GB2312"/>
          <w:color w:val="000000"/>
          <w:sz w:val="32"/>
          <w:szCs w:val="32"/>
          <w:highlight w:val="none"/>
        </w:rPr>
        <w:t>.社会保障和就业支出（类）行政事业单位养老支出（款）机关事业单位职业年金缴费支出（项）：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eastAsia="zh-CN"/>
        </w:rPr>
        <w:t>机关事业单位实施</w:t>
      </w:r>
      <w:r>
        <w:rPr>
          <w:rFonts w:hint="eastAsia" w:ascii="仿宋_GB2312" w:eastAsia="仿宋_GB2312"/>
          <w:color w:val="000000"/>
          <w:sz w:val="32"/>
          <w:szCs w:val="32"/>
          <w:highlight w:val="none"/>
          <w:lang w:eastAsia="zh-CN"/>
        </w:rPr>
        <w:t>养老保险制度由单位缴纳的职业年金支出</w:t>
      </w:r>
      <w:r>
        <w:rPr>
          <w:rFonts w:hint="eastAsia" w:ascii="仿宋_GB2312" w:eastAsia="仿宋_GB2312"/>
          <w:color w:val="000000"/>
          <w:sz w:val="32"/>
          <w:szCs w:val="32"/>
          <w:highlight w:val="none"/>
        </w:rPr>
        <w:t>。</w:t>
      </w:r>
    </w:p>
    <w:p>
      <w:pPr>
        <w:ind w:firstLine="640" w:firstLineChars="200"/>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9.</w:t>
      </w:r>
      <w:r>
        <w:rPr>
          <w:rFonts w:hint="eastAsia" w:ascii="仿宋_GB2312" w:eastAsia="仿宋_GB2312"/>
          <w:color w:val="000000"/>
          <w:sz w:val="32"/>
          <w:szCs w:val="32"/>
          <w:highlight w:val="none"/>
        </w:rPr>
        <w:t>卫生健康支出（类）行政事业单位医疗（款）  行政单位医疗（项）：指</w:t>
      </w:r>
      <w:r>
        <w:rPr>
          <w:rFonts w:hint="eastAsia" w:ascii="仿宋_GB2312" w:eastAsia="仿宋_GB2312"/>
          <w:color w:val="000000"/>
          <w:sz w:val="32"/>
          <w:szCs w:val="32"/>
          <w:highlight w:val="none"/>
          <w:lang w:eastAsia="zh-CN"/>
        </w:rPr>
        <w:t>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_GB2312" w:eastAsia="仿宋_GB2312"/>
          <w:color w:val="000000"/>
          <w:sz w:val="32"/>
          <w:szCs w:val="32"/>
          <w:highlight w:val="none"/>
        </w:rPr>
        <w:t>。</w:t>
      </w:r>
    </w:p>
    <w:p>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10</w:t>
      </w:r>
      <w:r>
        <w:rPr>
          <w:rFonts w:hint="eastAsia" w:ascii="仿宋_GB2312" w:hAnsi="Times New Roman" w:eastAsia="仿宋_GB2312" w:cs="Times New Roman"/>
          <w:color w:val="000000"/>
          <w:sz w:val="32"/>
          <w:szCs w:val="32"/>
          <w:lang w:val="en-US" w:eastAsia="zh-CN"/>
        </w:rPr>
        <w:t>.住房保障支出（类）住房改革支出（款）住房公积金（项）：指行政事业单位</w:t>
      </w:r>
      <w:r>
        <w:rPr>
          <w:rFonts w:hint="eastAsia" w:ascii="仿宋_GB2312" w:eastAsia="仿宋_GB2312" w:cs="Times New Roman"/>
          <w:color w:val="000000"/>
          <w:sz w:val="32"/>
          <w:szCs w:val="32"/>
          <w:lang w:val="en-US" w:eastAsia="zh-CN"/>
        </w:rPr>
        <w:t>按人力资源和社会保障部、财政部规定的基本工资和津贴补贴以及规定比例为职工缴纳的住房公积金</w:t>
      </w:r>
      <w:r>
        <w:rPr>
          <w:rFonts w:hint="eastAsia" w:ascii="仿宋_GB2312" w:hAnsi="Times New Roman" w:eastAsia="仿宋_GB2312" w:cs="Times New Roman"/>
          <w:color w:val="000000"/>
          <w:sz w:val="32"/>
          <w:szCs w:val="32"/>
          <w:lang w:val="en-US" w:eastAsia="zh-CN"/>
        </w:rPr>
        <w:t>。</w:t>
      </w:r>
    </w:p>
    <w:p>
      <w:pPr>
        <w:ind w:firstLine="640" w:firstLineChars="2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1</w:t>
      </w:r>
      <w:r>
        <w:rPr>
          <w:rFonts w:hint="eastAsia" w:ascii="仿宋_GB2312" w:eastAsia="仿宋_GB2312" w:cs="Times New Roman"/>
          <w:color w:val="000000"/>
          <w:sz w:val="32"/>
          <w:szCs w:val="32"/>
          <w:lang w:val="en-US" w:eastAsia="zh-CN"/>
        </w:rPr>
        <w:t>1</w:t>
      </w:r>
      <w:r>
        <w:rPr>
          <w:rFonts w:hint="eastAsia" w:ascii="仿宋_GB2312" w:hAnsi="Times New Roman" w:eastAsia="仿宋_GB2312" w:cs="Times New Roman"/>
          <w:color w:val="000000"/>
          <w:sz w:val="32"/>
          <w:szCs w:val="32"/>
          <w:lang w:val="en-US" w:eastAsia="zh-CN"/>
        </w:rPr>
        <w:t>.农林水支出（类）扶贫（款）农村基础设施建设（项）：指</w:t>
      </w:r>
      <w:r>
        <w:rPr>
          <w:rFonts w:hint="eastAsia" w:ascii="仿宋_GB2312" w:eastAsia="仿宋_GB2312" w:cs="Times New Roman"/>
          <w:color w:val="000000"/>
          <w:sz w:val="32"/>
          <w:szCs w:val="32"/>
          <w:lang w:val="en-US" w:eastAsia="zh-CN"/>
        </w:rPr>
        <w:t>农村贫困地区乡村道路、住房、基本农田、水利设施、人畜饮水、生态环境保护等生产生活条件改善方面的支出</w:t>
      </w:r>
      <w:r>
        <w:rPr>
          <w:rFonts w:hint="eastAsia" w:ascii="仿宋_GB2312" w:hAnsi="Times New Roman" w:eastAsia="仿宋_GB2312" w:cs="Times New Roman"/>
          <w:color w:val="000000"/>
          <w:sz w:val="32"/>
          <w:szCs w:val="32"/>
          <w:lang w:val="en-US" w:eastAsia="zh-CN"/>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outlineLvl w:val="0"/>
        <w:rPr>
          <w:rFonts w:ascii="仿宋" w:hAnsi="仿宋" w:eastAsia="仿宋"/>
          <w:color w:val="000000" w:themeColor="text1"/>
          <w14:textFill>
            <w14:solidFill>
              <w14:schemeClr w14:val="tx1"/>
            </w14:solidFill>
          </w14:textFill>
        </w:rPr>
      </w:pPr>
    </w:p>
    <w:p>
      <w:pPr>
        <w:pStyle w:val="20"/>
        <w:rPr>
          <w:rFonts w:ascii="仿宋" w:hAnsi="仿宋" w:eastAsia="仿宋"/>
          <w:color w:val="000000" w:themeColor="text1"/>
          <w14:textFill>
            <w14:solidFill>
              <w14:schemeClr w14:val="tx1"/>
            </w14:solidFill>
          </w14:textFill>
        </w:rPr>
      </w:pPr>
    </w:p>
    <w:p>
      <w:pPr>
        <w:pStyle w:val="4"/>
        <w:numPr>
          <w:ilvl w:val="0"/>
          <w:numId w:val="6"/>
        </w:numPr>
        <w:ind w:left="0" w:leftChars="0" w:firstLine="663" w:firstLineChars="150"/>
        <w:jc w:val="center"/>
        <w:rPr>
          <w:rFonts w:hint="eastAsia" w:ascii="仿宋_GB2312" w:hAnsi="黑体" w:eastAsia="仿宋_GB2312"/>
          <w:lang w:val="en-US" w:eastAsia="zh-CN"/>
        </w:rPr>
      </w:pPr>
      <w:bookmarkStart w:id="118" w:name="_Toc9161_WPSOffice_Level1"/>
      <w:r>
        <w:rPr>
          <w:rFonts w:hint="eastAsia" w:ascii="仿宋_GB2312" w:hAnsi="黑体" w:eastAsia="仿宋_GB2312"/>
          <w:lang w:val="en-US" w:eastAsia="zh-CN"/>
        </w:rPr>
        <w:t>附件</w:t>
      </w:r>
      <w:bookmarkEnd w:id="118"/>
    </w:p>
    <w:p>
      <w:pPr>
        <w:rPr>
          <w:rFonts w:hint="default" w:ascii="仿宋_GB2312" w:hAnsi="Calibri" w:eastAsia="仿宋_GB2312" w:cs="仿宋"/>
          <w:color w:val="000000"/>
          <w:kern w:val="0"/>
          <w:sz w:val="32"/>
          <w:szCs w:val="32"/>
          <w:lang w:val="en-US" w:eastAsia="zh-CN" w:bidi="ar-SA"/>
        </w:rPr>
      </w:pPr>
      <w:bookmarkStart w:id="119" w:name="_Toc24_WPSOffice_Level1"/>
      <w:r>
        <w:rPr>
          <w:rFonts w:hint="eastAsia" w:ascii="仿宋_GB2312" w:hAnsi="Calibri" w:eastAsia="仿宋_GB2312" w:cs="仿宋"/>
          <w:color w:val="000000"/>
          <w:kern w:val="0"/>
          <w:sz w:val="32"/>
          <w:szCs w:val="32"/>
          <w:lang w:val="en-US" w:eastAsia="zh-CN" w:bidi="ar-SA"/>
        </w:rPr>
        <w:t>附件一：</w:t>
      </w:r>
      <w:bookmarkEnd w:id="119"/>
    </w:p>
    <w:p>
      <w:pPr>
        <w:spacing w:line="360" w:lineRule="auto"/>
        <w:jc w:val="center"/>
        <w:rPr>
          <w:rFonts w:asciiTheme="minorEastAsia" w:hAnsiTheme="minorEastAsia" w:cstheme="minorEastAsia"/>
          <w:b/>
          <w:bCs/>
          <w:kern w:val="0"/>
          <w:sz w:val="44"/>
          <w:szCs w:val="44"/>
        </w:rPr>
      </w:pPr>
      <w:bookmarkStart w:id="120" w:name="_Toc20600_WPSOffice_Level1"/>
      <w:r>
        <w:rPr>
          <w:rFonts w:hint="eastAsia" w:asciiTheme="minorEastAsia" w:hAnsiTheme="minorEastAsia" w:cstheme="minorEastAsia"/>
          <w:b/>
          <w:bCs/>
          <w:kern w:val="0"/>
          <w:sz w:val="44"/>
          <w:szCs w:val="44"/>
        </w:rPr>
        <w:t>20</w:t>
      </w:r>
      <w:r>
        <w:rPr>
          <w:rFonts w:hint="default" w:asciiTheme="minorEastAsia" w:hAnsiTheme="minorEastAsia" w:cstheme="minorEastAsia"/>
          <w:b/>
          <w:bCs/>
          <w:kern w:val="0"/>
          <w:sz w:val="44"/>
          <w:szCs w:val="44"/>
          <w:lang w:val="en-US"/>
        </w:rPr>
        <w:t>20</w:t>
      </w:r>
      <w:r>
        <w:rPr>
          <w:rFonts w:hint="eastAsia" w:asciiTheme="minorEastAsia" w:hAnsiTheme="minorEastAsia" w:cstheme="minorEastAsia"/>
          <w:b/>
          <w:bCs/>
          <w:kern w:val="0"/>
          <w:sz w:val="44"/>
          <w:szCs w:val="44"/>
        </w:rPr>
        <w:t>年度</w:t>
      </w:r>
      <w:r>
        <w:rPr>
          <w:rFonts w:hint="eastAsia" w:asciiTheme="minorEastAsia" w:hAnsiTheme="minorEastAsia" w:cstheme="minorEastAsia"/>
          <w:b/>
          <w:bCs/>
          <w:kern w:val="0"/>
          <w:sz w:val="44"/>
          <w:szCs w:val="44"/>
          <w:lang w:eastAsia="zh-CN"/>
        </w:rPr>
        <w:t>壤塘县三郎寺寺庙管理委员会</w:t>
      </w:r>
      <w:r>
        <w:rPr>
          <w:rFonts w:hint="eastAsia" w:asciiTheme="minorEastAsia" w:hAnsiTheme="minorEastAsia" w:cstheme="minorEastAsia"/>
          <w:b/>
          <w:bCs/>
          <w:kern w:val="0"/>
          <w:sz w:val="44"/>
          <w:szCs w:val="44"/>
        </w:rPr>
        <w:t>部门整体支出绩效评价</w:t>
      </w:r>
      <w:bookmarkEnd w:id="120"/>
    </w:p>
    <w:p>
      <w:pPr>
        <w:spacing w:line="360" w:lineRule="auto"/>
        <w:jc w:val="center"/>
        <w:rPr>
          <w:rFonts w:asciiTheme="minorEastAsia" w:hAnsiTheme="minorEastAsia" w:cstheme="minorEastAsia"/>
          <w:b/>
          <w:bCs/>
          <w:kern w:val="0"/>
          <w:sz w:val="44"/>
          <w:szCs w:val="44"/>
        </w:rPr>
      </w:pPr>
      <w:bookmarkStart w:id="121" w:name="_Toc2398_WPSOffice_Level1"/>
      <w:r>
        <w:rPr>
          <w:rFonts w:hint="eastAsia" w:asciiTheme="minorEastAsia" w:hAnsiTheme="minorEastAsia" w:cstheme="minorEastAsia"/>
          <w:b/>
          <w:bCs/>
          <w:kern w:val="0"/>
          <w:sz w:val="44"/>
          <w:szCs w:val="44"/>
        </w:rPr>
        <w:t>自评报告</w:t>
      </w:r>
      <w:bookmarkEnd w:id="121"/>
    </w:p>
    <w:p>
      <w:pPr>
        <w:spacing w:line="360" w:lineRule="auto"/>
        <w:rPr>
          <w:rFonts w:asciiTheme="minorEastAsia" w:hAnsiTheme="minorEastAsia" w:cstheme="minorEastAsia"/>
          <w:kern w:val="0"/>
          <w:szCs w:val="21"/>
        </w:rPr>
      </w:pPr>
    </w:p>
    <w:p>
      <w:pPr>
        <w:numPr>
          <w:ilvl w:val="0"/>
          <w:numId w:val="7"/>
        </w:numPr>
        <w:spacing w:line="360" w:lineRule="auto"/>
        <w:rPr>
          <w:rFonts w:ascii="仿宋_GB2312" w:hAnsi="仿宋_GB2312" w:eastAsia="仿宋_GB2312" w:cs="仿宋_GB2312"/>
          <w:b/>
          <w:bCs/>
          <w:sz w:val="32"/>
          <w:szCs w:val="32"/>
        </w:rPr>
      </w:pPr>
      <w:bookmarkStart w:id="122" w:name="_Toc3143_WPSOffice_Level2"/>
      <w:r>
        <w:rPr>
          <w:rFonts w:hint="eastAsia" w:ascii="仿宋_GB2312" w:hAnsi="仿宋_GB2312" w:eastAsia="仿宋_GB2312" w:cs="仿宋_GB2312"/>
          <w:b/>
          <w:bCs/>
          <w:kern w:val="0"/>
          <w:sz w:val="32"/>
          <w:szCs w:val="32"/>
        </w:rPr>
        <w:t>部门（单位）概况</w:t>
      </w:r>
      <w:bookmarkEnd w:id="122"/>
    </w:p>
    <w:p>
      <w:pPr>
        <w:spacing w:line="360" w:lineRule="auto"/>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壤塘县三郎寺寺庙管理委员会，机构性质：机关，机构</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负责人</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东州王甲。</w:t>
      </w:r>
    </w:p>
    <w:p>
      <w:pPr>
        <w:pStyle w:val="28"/>
        <w:numPr>
          <w:ilvl w:val="0"/>
          <w:numId w:val="8"/>
        </w:numPr>
        <w:spacing w:line="360" w:lineRule="auto"/>
        <w:ind w:firstLineChars="0"/>
        <w:rPr>
          <w:rFonts w:hint="eastAsia" w:ascii="仿宋_GB2312" w:hAnsi="仿宋_GB2312" w:eastAsia="仿宋_GB2312" w:cs="仿宋_GB2312"/>
          <w:b/>
          <w:bCs/>
          <w:kern w:val="0"/>
          <w:sz w:val="32"/>
          <w:szCs w:val="32"/>
          <w:lang w:val="en-US" w:eastAsia="zh-CN" w:bidi="ar-SA"/>
        </w:rPr>
      </w:pPr>
      <w:bookmarkStart w:id="123" w:name="_Toc3143_WPSOffice_Level3"/>
      <w:r>
        <w:rPr>
          <w:rFonts w:hint="eastAsia" w:ascii="仿宋_GB2312" w:hAnsi="仿宋_GB2312" w:eastAsia="仿宋_GB2312" w:cs="仿宋_GB2312"/>
          <w:b/>
          <w:bCs/>
          <w:kern w:val="0"/>
          <w:sz w:val="32"/>
          <w:szCs w:val="32"/>
          <w:lang w:val="en-US" w:eastAsia="zh-CN" w:bidi="ar-SA"/>
        </w:rPr>
        <w:t>机构组成</w:t>
      </w:r>
      <w:bookmarkEnd w:id="123"/>
    </w:p>
    <w:p>
      <w:pPr>
        <w:pStyle w:val="28"/>
        <w:numPr>
          <w:ilvl w:val="0"/>
          <w:numId w:val="0"/>
        </w:numPr>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壤塘县三郎寺寺庙管理委员会为县人民政府工作部门，下设综合办。</w:t>
      </w:r>
    </w:p>
    <w:p>
      <w:pPr>
        <w:pStyle w:val="28"/>
        <w:numPr>
          <w:ilvl w:val="0"/>
          <w:numId w:val="0"/>
        </w:numPr>
        <w:spacing w:line="360" w:lineRule="auto"/>
        <w:ind w:firstLine="643" w:firstLineChars="200"/>
        <w:rPr>
          <w:rFonts w:hint="eastAsia" w:ascii="仿宋_GB2312" w:hAnsi="仿宋_GB2312" w:eastAsia="仿宋_GB2312" w:cs="仿宋_GB2312"/>
          <w:b/>
          <w:bCs/>
          <w:kern w:val="0"/>
          <w:sz w:val="32"/>
          <w:szCs w:val="32"/>
          <w:lang w:val="en-US" w:eastAsia="zh-CN" w:bidi="ar-SA"/>
        </w:rPr>
      </w:pPr>
      <w:bookmarkStart w:id="124" w:name="_Toc8300_WPSOffice_Level3"/>
      <w:r>
        <w:rPr>
          <w:rFonts w:hint="eastAsia" w:ascii="仿宋_GB2312" w:hAnsi="仿宋_GB2312" w:eastAsia="仿宋_GB2312" w:cs="仿宋_GB2312"/>
          <w:b/>
          <w:bCs/>
          <w:kern w:val="0"/>
          <w:sz w:val="32"/>
          <w:szCs w:val="32"/>
          <w:lang w:val="en-US" w:eastAsia="zh-CN" w:bidi="ar-SA"/>
        </w:rPr>
        <w:t>（二）机构职能</w:t>
      </w:r>
      <w:bookmarkEnd w:id="124"/>
    </w:p>
    <w:p>
      <w:pPr>
        <w:pStyle w:val="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单位主要职责：</w:t>
      </w:r>
    </w:p>
    <w:p>
      <w:pPr>
        <w:pStyle w:val="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法加强寺庙宗教事务管理：严守法律底线，坚决把以寺庙、僧人、宗教佛事活动管理为重点的宗教事务管理纳入依法管理轨道，牢牢掌握寺庙领导权和管理权，做到不发生重大责任事故和稳定责任事故。一是加强寺庙管理。规范寺庙建设行为，严格执行寺庙用地、修建宗教建筑的有关规定；规范僧人扎康的建设和管理，探索建立僧人公寓，推动僧人扎康所有权改革；加强寺庙财务收支、卫生防疫、文物保护工作；严格规法寺庙参与办医事项；加强对寺庙接收广播电视、印发书籍刊物、制作音像制品、使用互联网的管理；严格审批境内外寺庙的捐助；加强寺庙办佛学院（学经班）管理，严禁寺庙及其佛学院（学经班）接受未成年人，依法清理并取缔寺庙非法办学；严格审批和管理寺庙或僧人民间社团组织，依法取缔各类非法组织。二是加强僧人管理。健全完善并及时更新僧人基本信息台账；完善僧人证信息采集，僧人办理僧人证并持证住寺；严格落实僧人外出请销假制度；县外僧人入寺学经依法按有关程序报批；清理并管控非法出境回流人员；加强重点人员的“查、管、控、转”工作。三是加强宗教佛事活动管理。建立完善寺庙宗教佛事活动台帐，切实掌握寺庙佛事活动举办的时间、规模、地点、参与人数等；实行宗教佛事活动报批制度；坚持“小型、就地、短期”、“谁主办，谁负责”。</w:t>
      </w:r>
    </w:p>
    <w:p>
      <w:pPr>
        <w:pStyle w:val="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加强教育引导：以增强僧人法制意识、公民意识、政府意识、祖国意识为目的，坚持不懈加强对僧人的教育引导。一是完善教育制度。把寺庙爱国主义教育和法制宣传教育常态化、制度化，引导和帮助僧人分清合法与非法的界限，坚定不移守法持戒、爱国爱教。二是丰富教育。开展法制教育、政策教育、爱国教育、形势教育、团结教育、教规教育、生命教育、知识教育、技能教育；教育引导僧人要与推进政府公开服务相结合。</w:t>
      </w:r>
    </w:p>
    <w:p>
      <w:pPr>
        <w:numPr>
          <w:ilvl w:val="0"/>
          <w:numId w:val="0"/>
        </w:num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社会公共服务进寺庙：充分保障寺庙和僧人普惠性待遇，做到“五通”（通路、通水、通电、通广播电视、通通讯）、“三有”（有党刊党报、有广播电视、有寺庙书屋）、“三覆盖”（养老保险全覆盖、医疗保险制度全覆盖、寺庙民管会成员补助全覆盖）；落实符合条件僧人的低保求助、五保供养、扶贫解困政策，实现“应保尽保”。</w:t>
      </w:r>
    </w:p>
    <w:p>
      <w:pPr>
        <w:numPr>
          <w:ilvl w:val="0"/>
          <w:numId w:val="0"/>
        </w:numPr>
        <w:spacing w:line="360" w:lineRule="auto"/>
        <w:ind w:firstLine="643" w:firstLineChars="200"/>
        <w:rPr>
          <w:rFonts w:hint="eastAsia" w:ascii="仿宋_GB2312" w:hAnsi="仿宋_GB2312" w:eastAsia="仿宋_GB2312" w:cs="仿宋_GB2312"/>
          <w:b/>
          <w:bCs/>
          <w:kern w:val="0"/>
          <w:sz w:val="32"/>
          <w:szCs w:val="32"/>
        </w:rPr>
      </w:pPr>
      <w:bookmarkStart w:id="125" w:name="_Toc30752_WPSOffice_Level3"/>
      <w:r>
        <w:rPr>
          <w:rFonts w:hint="eastAsia" w:ascii="仿宋_GB2312" w:hAnsi="仿宋_GB2312" w:eastAsia="仿宋_GB2312" w:cs="仿宋_GB2312"/>
          <w:b/>
          <w:bCs/>
          <w:kern w:val="0"/>
          <w:sz w:val="32"/>
          <w:szCs w:val="32"/>
          <w:lang w:eastAsia="zh-CN"/>
        </w:rPr>
        <w:t>（三）</w:t>
      </w:r>
      <w:r>
        <w:rPr>
          <w:rFonts w:hint="eastAsia" w:ascii="仿宋_GB2312" w:hAnsi="仿宋_GB2312" w:eastAsia="仿宋_GB2312" w:cs="仿宋_GB2312"/>
          <w:b/>
          <w:bCs/>
          <w:kern w:val="0"/>
          <w:sz w:val="32"/>
          <w:szCs w:val="32"/>
        </w:rPr>
        <w:t>人员概况</w:t>
      </w:r>
      <w:bookmarkEnd w:id="125"/>
    </w:p>
    <w:p>
      <w:pPr>
        <w:pStyle w:val="8"/>
        <w:adjustRightInd w:val="0"/>
        <w:snapToGrid w:val="0"/>
        <w:spacing w:before="72" w:line="600" w:lineRule="exact"/>
        <w:ind w:firstLine="640" w:firstLineChars="200"/>
      </w:pPr>
      <w:bookmarkStart w:id="126" w:name="_Toc15377203"/>
      <w:bookmarkStart w:id="127" w:name="_Toc15306277"/>
      <w:bookmarkStart w:id="128" w:name="_Toc15377434"/>
      <w:bookmarkStart w:id="129" w:name="_Toc15378450"/>
      <w:r>
        <w:rPr>
          <w:rFonts w:hint="eastAsia" w:ascii="仿宋_GB2312" w:hAnsi="仿宋_GB2312" w:eastAsia="仿宋_GB2312" w:cs="仿宋_GB2312"/>
          <w:sz w:val="32"/>
          <w:szCs w:val="32"/>
        </w:rPr>
        <w:t>壤塘县</w:t>
      </w:r>
      <w:bookmarkEnd w:id="126"/>
      <w:bookmarkEnd w:id="127"/>
      <w:bookmarkEnd w:id="128"/>
      <w:bookmarkEnd w:id="129"/>
      <w:r>
        <w:rPr>
          <w:rFonts w:hint="eastAsia" w:ascii="仿宋_GB2312" w:hAnsi="仿宋_GB2312" w:eastAsia="仿宋_GB2312" w:cs="仿宋_GB2312"/>
          <w:sz w:val="32"/>
          <w:szCs w:val="32"/>
          <w:lang w:eastAsia="zh-CN"/>
        </w:rPr>
        <w:t>三郎寺寺庙管理委员会</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名,其中:行政编制</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pStyle w:val="20"/>
        <w:ind w:left="0" w:leftChars="0" w:firstLine="0" w:firstLineChars="0"/>
        <w:rPr>
          <w:rFonts w:hint="eastAsia"/>
          <w:highlight w:val="yellow"/>
        </w:rPr>
      </w:pPr>
    </w:p>
    <w:p>
      <w:pPr>
        <w:spacing w:line="360" w:lineRule="auto"/>
        <w:ind w:firstLine="321" w:firstLineChars="100"/>
        <w:rPr>
          <w:rFonts w:hint="eastAsia" w:ascii="仿宋_GB2312" w:hAnsi="仿宋_GB2312" w:eastAsia="仿宋_GB2312" w:cs="仿宋_GB2312"/>
          <w:b/>
          <w:bCs/>
          <w:kern w:val="0"/>
          <w:sz w:val="32"/>
          <w:szCs w:val="32"/>
        </w:rPr>
      </w:pPr>
      <w:bookmarkStart w:id="130" w:name="_Toc8300_WPSOffice_Level2"/>
      <w:r>
        <w:rPr>
          <w:rFonts w:hint="eastAsia" w:ascii="仿宋_GB2312" w:hAnsi="仿宋_GB2312" w:eastAsia="仿宋_GB2312" w:cs="仿宋_GB2312"/>
          <w:b/>
          <w:bCs/>
          <w:kern w:val="0"/>
          <w:sz w:val="32"/>
          <w:szCs w:val="32"/>
        </w:rPr>
        <w:t>二、部门财政资金收支情况</w:t>
      </w:r>
      <w:bookmarkEnd w:id="130"/>
    </w:p>
    <w:p>
      <w:pPr>
        <w:pStyle w:val="28"/>
        <w:numPr>
          <w:ilvl w:val="0"/>
          <w:numId w:val="0"/>
        </w:numPr>
        <w:spacing w:line="360" w:lineRule="auto"/>
        <w:ind w:left="640" w:leftChars="0"/>
        <w:rPr>
          <w:rFonts w:ascii="仿宋_GB2312" w:hAnsi="仿宋_GB2312" w:eastAsia="仿宋_GB2312" w:cs="仿宋_GB2312"/>
          <w:b/>
          <w:bCs/>
          <w:kern w:val="0"/>
          <w:sz w:val="32"/>
          <w:szCs w:val="32"/>
        </w:rPr>
      </w:pPr>
      <w:bookmarkStart w:id="131" w:name="_Toc30278_WPSOffice_Level3"/>
      <w:r>
        <w:rPr>
          <w:rFonts w:hint="eastAsia" w:ascii="仿宋_GB2312" w:hAnsi="仿宋_GB2312" w:eastAsia="仿宋_GB2312" w:cs="仿宋_GB2312"/>
          <w:b/>
          <w:bCs/>
          <w:kern w:val="0"/>
          <w:sz w:val="32"/>
          <w:szCs w:val="32"/>
          <w:lang w:val="zh-CN" w:eastAsia="zh-CN" w:bidi="ar-SA"/>
        </w:rPr>
        <w:t>（一）部门财政资金收入情况</w:t>
      </w:r>
      <w:bookmarkEnd w:id="131"/>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default" w:ascii="仿宋_GB2312" w:hAnsi="仿宋_GB2312" w:eastAsia="仿宋_GB2312" w:cs="仿宋_GB2312"/>
          <w:sz w:val="32"/>
          <w:szCs w:val="32"/>
          <w:lang w:val="en-US"/>
        </w:rPr>
        <w:t>20</w:t>
      </w:r>
      <w:r>
        <w:rPr>
          <w:rFonts w:hint="eastAsia" w:ascii="仿宋_GB2312" w:hAnsi="仿宋_GB2312" w:eastAsia="仿宋_GB2312" w:cs="仿宋_GB2312"/>
          <w:sz w:val="32"/>
          <w:szCs w:val="32"/>
        </w:rPr>
        <w:t>年财政下达</w:t>
      </w:r>
      <w:r>
        <w:rPr>
          <w:rFonts w:hint="eastAsia" w:ascii="仿宋_GB2312" w:hAnsi="仿宋_GB2312" w:eastAsia="仿宋_GB2312" w:cs="仿宋_GB2312"/>
          <w:sz w:val="32"/>
          <w:szCs w:val="32"/>
          <w:lang w:eastAsia="zh-CN"/>
        </w:rPr>
        <w:t>壤塘县三郎寺寺庙管理委员会</w:t>
      </w:r>
      <w:r>
        <w:rPr>
          <w:rFonts w:hint="eastAsia" w:ascii="仿宋_GB2312" w:hAnsi="仿宋_GB2312" w:eastAsia="仿宋_GB2312" w:cs="仿宋_GB2312"/>
          <w:sz w:val="32"/>
          <w:szCs w:val="32"/>
        </w:rPr>
        <w:t>年初预算收入</w:t>
      </w:r>
      <w:r>
        <w:rPr>
          <w:rFonts w:hint="default" w:ascii="仿宋_GB2312" w:hAnsi="仿宋_GB2312" w:eastAsia="仿宋_GB2312" w:cs="仿宋_GB2312"/>
          <w:sz w:val="32"/>
          <w:szCs w:val="32"/>
          <w:lang w:val="en-US" w:eastAsia="zh-CN"/>
        </w:rPr>
        <w:t>93.33</w:t>
      </w:r>
      <w:r>
        <w:rPr>
          <w:rFonts w:hint="eastAsia" w:ascii="仿宋_GB2312" w:hAnsi="仿宋_GB2312" w:eastAsia="仿宋_GB2312" w:cs="仿宋_GB2312"/>
          <w:sz w:val="32"/>
          <w:szCs w:val="32"/>
        </w:rPr>
        <w:t>万元</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执行中调增收入39.35万元</w:t>
      </w:r>
      <w:r>
        <w:rPr>
          <w:rFonts w:hint="eastAsia" w:ascii="仿宋_GB2312" w:hAnsi="仿宋_GB2312" w:eastAsia="仿宋_GB2312" w:cs="仿宋_GB2312"/>
          <w:sz w:val="32"/>
          <w:szCs w:val="32"/>
        </w:rPr>
        <w:t xml:space="preserve">。   </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zh-CN" w:eastAsia="zh-CN" w:bidi="ar-SA"/>
        </w:rPr>
      </w:pPr>
      <w:bookmarkStart w:id="132" w:name="_Toc26367_WPSOffice_Level3"/>
      <w:r>
        <w:rPr>
          <w:rFonts w:hint="eastAsia" w:ascii="仿宋_GB2312" w:hAnsi="仿宋_GB2312" w:eastAsia="仿宋_GB2312" w:cs="仿宋_GB2312"/>
          <w:b/>
          <w:bCs/>
          <w:kern w:val="0"/>
          <w:sz w:val="32"/>
          <w:szCs w:val="32"/>
          <w:lang w:val="zh-CN" w:eastAsia="zh-CN" w:bidi="ar-SA"/>
        </w:rPr>
        <w:t>（二）部门财政资金支出情况</w:t>
      </w:r>
      <w:bookmarkEnd w:id="132"/>
    </w:p>
    <w:p>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壤塘县三郎寺寺庙管理委员会</w:t>
      </w:r>
      <w:r>
        <w:rPr>
          <w:rFonts w:hint="eastAsia" w:ascii="仿宋_GB2312" w:hAnsi="仿宋_GB2312" w:eastAsia="仿宋_GB2312" w:cs="仿宋_GB2312"/>
          <w:sz w:val="32"/>
          <w:szCs w:val="32"/>
        </w:rPr>
        <w:t>共计预算支出万</w:t>
      </w:r>
      <w:r>
        <w:rPr>
          <w:rFonts w:hint="eastAsia" w:ascii="仿宋_GB2312" w:hAnsi="仿宋_GB2312" w:eastAsia="仿宋_GB2312" w:cs="仿宋_GB2312"/>
          <w:sz w:val="32"/>
          <w:szCs w:val="32"/>
          <w:lang w:val="en-US" w:eastAsia="zh-CN"/>
        </w:rPr>
        <w:t>93.33</w:t>
      </w:r>
      <w:r>
        <w:rPr>
          <w:rFonts w:hint="eastAsia" w:ascii="仿宋_GB2312" w:hAnsi="仿宋_GB2312" w:eastAsia="仿宋_GB2312" w:cs="仿宋_GB2312"/>
          <w:sz w:val="32"/>
          <w:szCs w:val="32"/>
        </w:rPr>
        <w:t>元，基本支出</w:t>
      </w:r>
      <w:r>
        <w:rPr>
          <w:rFonts w:hint="eastAsia" w:ascii="仿宋_GB2312" w:hAnsi="仿宋_GB2312" w:eastAsia="仿宋_GB2312" w:cs="仿宋_GB2312"/>
          <w:sz w:val="32"/>
          <w:szCs w:val="32"/>
          <w:lang w:val="en-US" w:eastAsia="zh-CN"/>
        </w:rPr>
        <w:t>93.33</w:t>
      </w:r>
      <w:r>
        <w:rPr>
          <w:rFonts w:hint="eastAsia" w:ascii="仿宋_GB2312" w:hAnsi="仿宋_GB2312" w:eastAsia="仿宋_GB2312" w:cs="仿宋_GB2312"/>
          <w:sz w:val="32"/>
          <w:szCs w:val="32"/>
        </w:rPr>
        <w:t>万元。</w:t>
      </w:r>
    </w:p>
    <w:p>
      <w:pPr>
        <w:widowControl/>
        <w:adjustRightInd w:val="0"/>
        <w:snapToGrid w:val="0"/>
        <w:spacing w:line="560" w:lineRule="exact"/>
        <w:ind w:firstLine="643" w:firstLineChars="200"/>
        <w:contextualSpacing/>
        <w:jc w:val="left"/>
        <w:rPr>
          <w:rFonts w:hint="eastAsia" w:ascii="仿宋_GB2312" w:hAnsi="仿宋_GB2312" w:eastAsia="仿宋_GB2312" w:cs="仿宋_GB2312"/>
          <w:b/>
          <w:bCs/>
          <w:kern w:val="0"/>
          <w:sz w:val="32"/>
          <w:szCs w:val="32"/>
          <w:lang w:val="en-US" w:eastAsia="zh-CN" w:bidi="ar-SA"/>
        </w:rPr>
      </w:pPr>
      <w:bookmarkStart w:id="133" w:name="_Toc30752_WPSOffice_Level2"/>
      <w:r>
        <w:rPr>
          <w:rFonts w:hint="eastAsia" w:ascii="仿宋_GB2312" w:hAnsi="仿宋_GB2312" w:eastAsia="仿宋_GB2312" w:cs="仿宋_GB2312"/>
          <w:b/>
          <w:bCs/>
          <w:kern w:val="0"/>
          <w:sz w:val="32"/>
          <w:szCs w:val="32"/>
          <w:lang w:val="en-US" w:eastAsia="zh-CN" w:bidi="ar-SA"/>
        </w:rPr>
        <w:t>三、部门整体预算绩效管理情况</w:t>
      </w:r>
      <w:bookmarkEnd w:id="133"/>
    </w:p>
    <w:p>
      <w:pPr>
        <w:pStyle w:val="20"/>
        <w:numPr>
          <w:ilvl w:val="0"/>
          <w:numId w:val="0"/>
        </w:numPr>
        <w:spacing w:line="360" w:lineRule="auto"/>
        <w:ind w:left="640" w:leftChars="0"/>
        <w:rPr>
          <w:rFonts w:hint="eastAsia" w:ascii="仿宋_GB2312" w:hAnsi="仿宋_GB2312" w:eastAsia="仿宋_GB2312" w:cs="仿宋_GB2312"/>
          <w:b/>
          <w:bCs/>
          <w:sz w:val="32"/>
          <w:szCs w:val="32"/>
          <w:lang w:val="zh-CN" w:eastAsia="zh-CN"/>
        </w:rPr>
      </w:pPr>
      <w:bookmarkStart w:id="134" w:name="_Toc8839_WPSOffice_Level3"/>
      <w:r>
        <w:rPr>
          <w:rFonts w:hint="eastAsia" w:ascii="仿宋_GB2312" w:hAnsi="仿宋_GB2312" w:eastAsia="仿宋_GB2312" w:cs="仿宋_GB2312"/>
          <w:b/>
          <w:bCs/>
          <w:sz w:val="32"/>
          <w:szCs w:val="32"/>
          <w:lang w:val="zh-CN" w:eastAsia="zh-CN"/>
        </w:rPr>
        <w:t>（一）部门预算管理</w:t>
      </w:r>
      <w:bookmarkEnd w:id="134"/>
    </w:p>
    <w:p>
      <w:pPr>
        <w:pStyle w:val="20"/>
        <w:numPr>
          <w:ilvl w:val="0"/>
          <w:numId w:val="0"/>
        </w:numPr>
        <w:spacing w:line="360" w:lineRule="auto"/>
        <w:ind w:left="640" w:leftChars="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1、目标制定</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_GB2312" w:eastAsia="仿宋_GB2312"/>
          <w:sz w:val="32"/>
          <w:szCs w:val="32"/>
        </w:rPr>
      </w:pPr>
      <w:r>
        <w:rPr>
          <w:rFonts w:hint="eastAsia" w:ascii="仿宋_GB2312" w:hAnsi="仿宋_GB2312" w:eastAsia="仿宋_GB2312" w:cs="仿宋_GB2312"/>
          <w:kern w:val="0"/>
          <w:sz w:val="32"/>
          <w:szCs w:val="32"/>
        </w:rPr>
        <w:t>单</w:t>
      </w:r>
      <w:r>
        <w:rPr>
          <w:rFonts w:hint="default" w:ascii="Times New Roman" w:hAnsi="Times New Roman" w:eastAsia="仿宋_GB2312" w:cs="Times New Roman"/>
          <w:sz w:val="32"/>
          <w:szCs w:val="32"/>
        </w:rPr>
        <w:t>在县委、县政府的领导下，积极落实</w:t>
      </w:r>
      <w:r>
        <w:rPr>
          <w:rFonts w:hint="default" w:ascii="Times New Roman" w:hAnsi="Times New Roman" w:eastAsia="仿宋_GB2312" w:cs="Times New Roman"/>
          <w:sz w:val="32"/>
          <w:szCs w:val="32"/>
          <w:lang w:eastAsia="zh-CN"/>
        </w:rPr>
        <w:t>寺庙管理</w:t>
      </w:r>
      <w:r>
        <w:rPr>
          <w:rFonts w:hint="default" w:ascii="Times New Roman" w:hAnsi="Times New Roman" w:eastAsia="仿宋_GB2312" w:cs="Times New Roman"/>
          <w:sz w:val="32"/>
          <w:szCs w:val="32"/>
        </w:rPr>
        <w:t>四项管理责任，认真开展寺庙</w:t>
      </w:r>
      <w:r>
        <w:rPr>
          <w:rFonts w:hint="default" w:ascii="Times New Roman" w:hAnsi="Times New Roman" w:eastAsia="仿宋_GB2312" w:cs="Times New Roman"/>
          <w:sz w:val="32"/>
          <w:szCs w:val="32"/>
          <w:lang w:eastAsia="zh-CN"/>
        </w:rPr>
        <w:t>“一寺一策”依法规范管理</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，寺庙管理工作稳步有序推进</w:t>
      </w:r>
      <w:r>
        <w:rPr>
          <w:rFonts w:hint="eastAsia" w:ascii="Times New Roman" w:hAnsi="Times New Roman" w:eastAsia="仿宋_GB2312" w:cs="Times New Roman"/>
          <w:sz w:val="32"/>
          <w:szCs w:val="32"/>
          <w:lang w:eastAsia="zh-CN"/>
        </w:rPr>
        <w:t>；</w:t>
      </w:r>
      <w:r>
        <w:rPr>
          <w:rFonts w:hint="eastAsia" w:ascii="仿宋_GB2312" w:eastAsia="仿宋_GB2312"/>
          <w:sz w:val="32"/>
          <w:szCs w:val="32"/>
        </w:rPr>
        <w:t>引导辖区内僧尼既做爱国僧尼，也做守法公民</w:t>
      </w:r>
      <w:r>
        <w:rPr>
          <w:rFonts w:hint="eastAsia" w:ascii="仿宋_GB2312" w:eastAsia="仿宋_GB2312"/>
          <w:sz w:val="32"/>
          <w:szCs w:val="32"/>
          <w:lang w:eastAsia="zh-CN"/>
        </w:rPr>
        <w:t>，</w:t>
      </w:r>
      <w:r>
        <w:rPr>
          <w:rFonts w:hint="eastAsia" w:ascii="仿宋_GB2312" w:eastAsia="仿宋_GB2312"/>
          <w:sz w:val="32"/>
          <w:szCs w:val="32"/>
        </w:rPr>
        <w:t>抓好法制宣传教育。长期坚持宣传学习《宗教事务条例》、《国旗法》、《宪法》等法律法规</w:t>
      </w:r>
      <w:r>
        <w:rPr>
          <w:rFonts w:hint="eastAsia" w:ascii="仿宋_GB2312" w:eastAsia="仿宋_GB2312"/>
          <w:sz w:val="32"/>
          <w:szCs w:val="32"/>
          <w:lang w:eastAsia="zh-CN"/>
        </w:rPr>
        <w:t>；</w:t>
      </w:r>
      <w:r>
        <w:rPr>
          <w:rFonts w:hint="eastAsia" w:ascii="仿宋_GB2312" w:eastAsia="仿宋_GB2312"/>
          <w:sz w:val="32"/>
          <w:szCs w:val="32"/>
        </w:rPr>
        <w:t>抓好惠民政策宣传教育</w:t>
      </w:r>
      <w:r>
        <w:rPr>
          <w:rFonts w:hint="eastAsia" w:ascii="仿宋_GB2312" w:eastAsia="仿宋_GB2312"/>
          <w:sz w:val="32"/>
          <w:szCs w:val="32"/>
          <w:lang w:eastAsia="zh-CN"/>
        </w:rPr>
        <w:t>，</w:t>
      </w:r>
      <w:r>
        <w:rPr>
          <w:rFonts w:hint="eastAsia" w:ascii="仿宋_GB2312" w:eastAsia="仿宋_GB2312"/>
          <w:sz w:val="32"/>
          <w:szCs w:val="32"/>
        </w:rPr>
        <w:t>从精准扶贫、低保五保、居家养老、新型合作医疗等农村惠民政策上入手，向辖区内僧尼宣讲党的惠民政策，教育引导僧尼做一名知恩、感恩的好僧人</w:t>
      </w:r>
      <w:r>
        <w:rPr>
          <w:rFonts w:hint="eastAsia" w:ascii="仿宋_GB2312" w:eastAsia="仿宋_GB2312"/>
          <w:sz w:val="32"/>
          <w:szCs w:val="32"/>
          <w:lang w:eastAsia="zh-CN"/>
        </w:rPr>
        <w:t>；</w:t>
      </w:r>
      <w:r>
        <w:rPr>
          <w:rFonts w:hint="eastAsia" w:ascii="仿宋_GB2312" w:eastAsia="仿宋_GB2312"/>
          <w:sz w:val="32"/>
          <w:szCs w:val="32"/>
        </w:rPr>
        <w:t>督促僧人做到“讲文明、讲礼貌、讲卫生、讲秩序、讲道德”，做到“语言美、行为美”。</w:t>
      </w:r>
    </w:p>
    <w:p>
      <w:pPr>
        <w:spacing w:line="560" w:lineRule="exact"/>
        <w:ind w:firstLine="640"/>
        <w:rPr>
          <w:rFonts w:ascii="仿宋" w:hAnsi="仿宋" w:eastAsia="仿宋" w:cs="黑体"/>
          <w:b/>
          <w:sz w:val="32"/>
          <w:szCs w:val="32"/>
          <w:lang w:val="zh-CN"/>
        </w:rPr>
      </w:pPr>
      <w:r>
        <w:rPr>
          <w:rFonts w:hint="eastAsia" w:ascii="仿宋_GB2312" w:hAnsi="仿宋_GB2312" w:eastAsia="仿宋_GB2312" w:cs="仿宋_GB2312"/>
          <w:sz w:val="32"/>
          <w:szCs w:val="32"/>
        </w:rPr>
        <w:t>按照“政治上靠得住，管理上有水平，僧尼中有威望”的寺庙民主管理组织原则，指导寺庙及时选举调整政治上靠得住，佛学上有造诣，品德上能服务的僧人组成寺庙民管会班子，使寺庙领导权牢牢掌握在爱国爱教的僧人手中，将有责任当担、爱国爱教的青年僧人推向寺庙管理前台。加强对僧尼日常管理。规范</w:t>
      </w:r>
      <w:r>
        <w:rPr>
          <w:rFonts w:hint="eastAsia" w:ascii="仿宋_GB2312" w:eastAsia="仿宋_GB2312"/>
          <w:sz w:val="32"/>
          <w:szCs w:val="32"/>
        </w:rPr>
        <w:t>寺庙日常教务活动秩序，依法做好僧尼入寺审批、备案、发证等工作，切实加强僧籍管理</w:t>
      </w:r>
      <w:r>
        <w:rPr>
          <w:rFonts w:hint="eastAsia" w:ascii="仿宋_GB2312" w:eastAsia="仿宋_GB2312"/>
          <w:sz w:val="32"/>
          <w:szCs w:val="32"/>
          <w:lang w:eastAsia="zh-CN"/>
        </w:rPr>
        <w:t>。</w:t>
      </w:r>
      <w:r>
        <w:rPr>
          <w:rFonts w:hint="eastAsia" w:ascii="仿宋_GB2312" w:eastAsia="仿宋_GB2312"/>
          <w:sz w:val="32"/>
          <w:szCs w:val="32"/>
        </w:rPr>
        <w:t>严格执行僧人新增或外来僧人履行申请、备案手续，规范僧尼跨州、跨县学经。规范辖区内僧尼请销假制度，做好寺庙僧尼基本信息录入登记工作，做到底数清、情况明</w:t>
      </w:r>
      <w:r>
        <w:rPr>
          <w:rFonts w:hint="eastAsia" w:ascii="仿宋_GB2312" w:eastAsia="仿宋_GB2312"/>
          <w:sz w:val="32"/>
          <w:szCs w:val="32"/>
          <w:lang w:eastAsia="zh-CN"/>
        </w:rPr>
        <w:t>。</w:t>
      </w:r>
      <w:r>
        <w:rPr>
          <w:rFonts w:hint="eastAsia" w:ascii="仿宋_GB2312" w:hAnsi="仿宋_GB2312" w:eastAsia="仿宋_GB2312" w:cs="仿宋_GB2312"/>
          <w:sz w:val="32"/>
          <w:szCs w:val="32"/>
        </w:rPr>
        <w:t>加强佛事活动管理。坚持</w:t>
      </w:r>
      <w:r>
        <w:rPr>
          <w:rFonts w:hint="eastAsia" w:ascii="仿宋_GB2312" w:eastAsia="仿宋_GB2312"/>
          <w:sz w:val="32"/>
          <w:szCs w:val="32"/>
        </w:rPr>
        <w:t>“谁主办、谁负责”和“就地、小型、分散”的原则，严格佛事活动管理。不断建立完善佛事活动台账制度、佛事活动审批，实行寺管所、乡镇党委政府、寺管委、县民宗局逐级审批程序，完成三郎寺“经堂开光”活动审批，同时对大型佛事活动和跨地区佛事活动坚决做到从严审批，逐级履行报批手续程序，明确活动人数和举办时限。寺庙佛事活动报告备案程序一经完成，寺庙必须认真按照拟定的计划开展佛事活动，不得擅自更改时间或扩大规模。</w:t>
      </w:r>
      <w:r>
        <w:rPr>
          <w:rFonts w:hint="eastAsia" w:ascii="仿宋_GB2312" w:hAnsi="仿宋_GB2312" w:eastAsia="仿宋_GB2312" w:cs="仿宋_GB2312"/>
          <w:sz w:val="32"/>
          <w:szCs w:val="32"/>
        </w:rPr>
        <w:t>加强寺庙财务规范管理。引导各</w:t>
      </w:r>
      <w:r>
        <w:rPr>
          <w:rFonts w:hint="eastAsia" w:ascii="仿宋_GB2312" w:eastAsia="仿宋_GB2312"/>
          <w:sz w:val="32"/>
          <w:szCs w:val="32"/>
        </w:rPr>
        <w:t>寺庙建立健全财务管理制度，规范和完善寺庙内部财务监督机制，合理设立定责，形成设置合理、环节相扣、相互制约的工作链和监督链，实行账、钱、物以及支票与印章分人、分开保管，定期对寺庙财务进行公开，通过严格的财务管理，做到既能树立宗教界的良好形象，促进了寺庙内部的和谐稳定。</w:t>
      </w:r>
    </w:p>
    <w:p>
      <w:pPr>
        <w:pStyle w:val="28"/>
        <w:numPr>
          <w:ilvl w:val="0"/>
          <w:numId w:val="0"/>
        </w:numPr>
        <w:spacing w:line="360" w:lineRule="auto"/>
        <w:ind w:firstLine="643" w:firstLineChars="200"/>
        <w:rPr>
          <w:rFonts w:hint="eastAsia" w:ascii="仿宋_GB2312" w:hAnsi="仿宋_GB2312" w:eastAsia="仿宋_GB2312" w:cs="仿宋_GB2312"/>
          <w:b/>
          <w:bCs/>
          <w:kern w:val="0"/>
          <w:sz w:val="32"/>
          <w:szCs w:val="32"/>
          <w:lang w:val="zh-CN" w:eastAsia="zh-CN" w:bidi="ar-SA"/>
        </w:rPr>
      </w:pPr>
      <w:r>
        <w:rPr>
          <w:rFonts w:hint="default" w:ascii="仿宋_GB2312" w:hAnsi="仿宋_GB2312" w:eastAsia="仿宋_GB2312" w:cs="仿宋_GB2312"/>
          <w:b/>
          <w:bCs/>
          <w:kern w:val="0"/>
          <w:sz w:val="32"/>
          <w:szCs w:val="32"/>
          <w:lang w:val="en-US" w:eastAsia="zh-CN" w:bidi="ar-SA"/>
        </w:rPr>
        <w:t>2</w:t>
      </w:r>
      <w:r>
        <w:rPr>
          <w:rFonts w:hint="eastAsia" w:ascii="仿宋_GB2312" w:hAnsi="仿宋_GB2312" w:eastAsia="仿宋_GB2312" w:cs="仿宋_GB2312"/>
          <w:b/>
          <w:bCs/>
          <w:kern w:val="0"/>
          <w:sz w:val="32"/>
          <w:szCs w:val="32"/>
          <w:lang w:val="en-US" w:eastAsia="zh-CN" w:bidi="ar-SA"/>
        </w:rPr>
        <w:t>、</w:t>
      </w:r>
      <w:r>
        <w:rPr>
          <w:rFonts w:hint="eastAsia" w:ascii="仿宋_GB2312" w:hAnsi="仿宋_GB2312" w:eastAsia="仿宋_GB2312" w:cs="仿宋_GB2312"/>
          <w:b/>
          <w:bCs/>
          <w:kern w:val="0"/>
          <w:sz w:val="32"/>
          <w:szCs w:val="32"/>
          <w:lang w:val="zh-CN" w:eastAsia="zh-CN" w:bidi="ar-SA"/>
        </w:rPr>
        <w:t>目标完成情况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（1）</w:t>
      </w:r>
      <w:r>
        <w:rPr>
          <w:rFonts w:hint="default" w:ascii="Times New Roman" w:hAnsi="Times New Roman" w:eastAsia="仿宋_GB2312" w:cs="Times New Roman"/>
          <w:sz w:val="32"/>
          <w:szCs w:val="32"/>
          <w:lang w:val="en-US" w:eastAsia="zh-CN"/>
        </w:rPr>
        <w:t>疫情防控工作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一是全覆盖部署。联合镇党委成立疫情防控领导小组，召开联席会议20余次，实现工作部署、职能联动无缝对接。二是全覆盖宣传。组织印发各类疫情宣传册（单）共计1000余份，横幅13条，公告23份。三是全覆盖摸排。排查出100余名在外僧人，对可能亲密接触者18名僧人第一时间进行体检，在辖区7座寺庙主要路口设置卡口劝离点12个，劝导信众800余人。四是全覆盖落实。暂停所有佛事活动，管好管住了寺庙“三门”，实现84消毒液、泡腾片、口罩、喷雾器等器具配备全覆盖；10余次对30余名僧人进行消杀培训；完成寺庙4轮全覆盖消杀，消杀面积达7万余平米，确保辖区零疑似、零发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一寺一策”工作。一是增强工作执行力。及时成立由县级帮扶领导任组长，全县相关帮扶部门领导及镇党委领导为成员的工作领导小组，形成思想统一，责任到位，任务明确的工作格局。二是强化职能融合度。组织召开辖区藏传佛教寺庙“一寺一策”依法规范管理工作动员大会7次，专题会议7次，领导小组会议2次，现场会议7次，实现工作部署、职能联动无缝对接。三是提升政策认知率。针对我委干部及寺管所干部思想认识问题等方面专题召开辖区藏传佛教寺庙“一寺一策”依法规范管理工作专题培训会，组织专门力量入寺宣传“一寺一策”政策14次，强化政治站位，明确任务，挂出了作战图，辖区寺庙“一寺一策”政策知晓实现全覆盖，思想政治基础更加牢固。四是突出寺庙自治力。全面严格落实寺庙“四项管理”责任，将寺庙高僧大德和民管会推向前台，深入寺庙对标“一寺一策”9（8+1）类问题召开寺庙问题自查会议7次，措施研判会议6次，干僧共商研判机制在寺庙落地生根。五是坚持精准导向。结合中央宗教督查“回头看”、中央通报藏区6个风险隐患、省委巡视反馈宗教治理有关问题，按照“严控总量、遏制增量、循序渐进、消化存量”原则，利用今年3月群众工作月及“一寺一策”工作开展全面、多次开展寺庙基础信息核查，实现辖区寺7座寺庙信息核实全覆盖，实现辖区寺庙底数清、信息实、情况明。目前精准核定三郎寺共计僧尼248人，其中僧人222人，尼姑26人，核减三郎寺僧尼133人。六是坚持问题导向，加强系统谋划，结合社会基层治理，完成三郎寺、康旭寺民管会新老成员班子换届选举；对标存在9（8+1）类问题，对3座100以上问题症结采取征求村两委、乡党委政府、县级领导意见，找准3座寺庙的主要症结、工作短板问题27个，做到逐寺研判、逐寺施策；同时以3座100人以上寺庙问题为蓝本，在辖区余下4寺庙相应成立“一寺一策”工作领导小组，深入挖掘问题根源，逐一精心制定“一寺一策”实施方案4册，对标问题提出整改措施13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寺庙管理工作。一是加强寺庙“四项管理”责任。完成三郎寺、康旭寺民管会新老成员班子换届选举，严格佛事活动管理，严控僧尼请销假，严把入寺关。二是稳步推进“五美寺庙”建设。集中对寺庙环境卫生进行全面综合整治10次，动员僧尼群众700余人次，清理垃圾5吨，植树2200株。三是强化安全隐患整治。开展安全隐患排查20余次，排查出隐患20余处，布置警示牌3个，及时处理安全隐患10处，扎康张贴告知书37张，安排值班、值守30余次，劝导疏散僧众100余人次。四是强化重点领域管控。以“两联一进”为抓手，对辖区7名重点人员累计谈话走访20余次，排查矛盾纠纷1起，成功调处1起。五是全力做好意识形态工作。完成7座寺庙600余张伟人像入寺入扎康，完成辖区7座寺庙及传习所国旗新旧更换。同时将疫情防控和“五美”寺庙创建等高度结合，开展宣教26次，以正面引导攻心化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脱贫帮扶工作。一是全力助推精准扶贫。加大对农牧民群众的帮扶力度，深入联系点，深入贫困户家中走访慰问20余人次，送去慰问物资折合现金2000元。体察群众疾苦，倾听群众呼声，帮助解决农牧民生产和生活中的困难。二是密切干群交流。深入帮扶村（三郎村）开展庆祝“三八”国际劳动妇女节和“六一”国际儿童节活动。宣讲《婚姻法》《义务教育法》及计划生育和妇女儿童权益保障等法律知识，进一步提升妇女儿童的法律素质和维权意识。开展形式多样的游园活动，发放慰问物资共计1600元，有效增强了妇女儿童的幸福感。三是切实推进“两联一进”工作。充分利用三八妇女节、六一儿童节和民族团结等节日为契机，开展了丰富的娱乐活动，干部、群众在一起欢歌笑语，度过了欢庆祥和的节日。针对当前我委的联户联情工作、脱贫攻坚工作、联寺联僧工作、法律政策七进工作任务重、时间紧、责任大等实际情况，围绕目标任务、面临形势进一步解放思想、明确工作重点，在全委营造了良好氛围。</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3、预算编制准确率</w:t>
      </w:r>
    </w:p>
    <w:p>
      <w:pPr>
        <w:pStyle w:val="20"/>
        <w:numPr>
          <w:ilvl w:val="0"/>
          <w:numId w:val="0"/>
        </w:numPr>
        <w:spacing w:line="360" w:lineRule="auto"/>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本</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2020年初预算收入</w:t>
      </w:r>
      <w:r>
        <w:rPr>
          <w:rFonts w:hint="eastAsia" w:ascii="仿宋_GB2312" w:hAnsi="仿宋_GB2312" w:eastAsia="仿宋_GB2312" w:cs="仿宋_GB2312"/>
          <w:color w:val="000000"/>
          <w:sz w:val="32"/>
          <w:szCs w:val="32"/>
          <w:lang w:val="en-US" w:eastAsia="zh-CN"/>
        </w:rPr>
        <w:t>93.33万元，</w:t>
      </w:r>
      <w:r>
        <w:rPr>
          <w:rFonts w:hint="eastAsia" w:ascii="仿宋_GB2312" w:hAnsi="仿宋_GB2312" w:eastAsia="仿宋_GB2312" w:cs="仿宋_GB2312"/>
          <w:color w:val="000000"/>
          <w:sz w:val="32"/>
          <w:szCs w:val="32"/>
        </w:rPr>
        <w:t>年末实际预算收入为</w:t>
      </w:r>
      <w:r>
        <w:rPr>
          <w:rFonts w:hint="eastAsia" w:ascii="仿宋_GB2312" w:hAnsi="仿宋_GB2312" w:eastAsia="仿宋_GB2312" w:cs="仿宋_GB2312"/>
          <w:color w:val="000000"/>
          <w:sz w:val="32"/>
          <w:szCs w:val="32"/>
          <w:lang w:val="en-US" w:eastAsia="zh-CN"/>
        </w:rPr>
        <w:t>136.73</w:t>
      </w:r>
      <w:r>
        <w:rPr>
          <w:rFonts w:hint="eastAsia" w:ascii="仿宋_GB2312" w:hAnsi="仿宋_GB2312" w:eastAsia="仿宋_GB2312" w:cs="仿宋_GB2312"/>
          <w:color w:val="000000"/>
          <w:sz w:val="32"/>
          <w:szCs w:val="32"/>
        </w:rPr>
        <w:t>万元，年末实际支出总额为</w:t>
      </w:r>
      <w:r>
        <w:rPr>
          <w:rFonts w:hint="eastAsia" w:ascii="仿宋_GB2312" w:hAnsi="仿宋_GB2312" w:eastAsia="仿宋_GB2312" w:cs="仿宋_GB2312"/>
          <w:color w:val="000000"/>
          <w:sz w:val="32"/>
          <w:szCs w:val="32"/>
          <w:lang w:val="en-US" w:eastAsia="zh-CN"/>
        </w:rPr>
        <w:t>136.73</w:t>
      </w:r>
      <w:r>
        <w:rPr>
          <w:rFonts w:hint="eastAsia" w:ascii="仿宋_GB2312" w:hAnsi="仿宋_GB2312" w:eastAsia="仿宋_GB2312" w:cs="仿宋_GB2312"/>
          <w:color w:val="000000"/>
          <w:sz w:val="32"/>
          <w:szCs w:val="32"/>
        </w:rPr>
        <w:t>万元，年预算编制准确率较高。</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4、支出控制</w:t>
      </w:r>
    </w:p>
    <w:p>
      <w:pPr>
        <w:pStyle w:val="20"/>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pStyle w:val="20"/>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制定的管理制度，包括不限于财务管理制度、采购管理制度，监控、监督措施执行有效，2020年度</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财务人员按要求执行了监控职能。</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5、重点项目执行完成进度</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（1）当年重点项目资金收入情况</w:t>
      </w:r>
    </w:p>
    <w:p>
      <w:pPr>
        <w:pStyle w:val="28"/>
        <w:numPr>
          <w:ilvl w:val="0"/>
          <w:numId w:val="0"/>
        </w:numPr>
        <w:spacing w:line="360" w:lineRule="auto"/>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2020年下达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寺管会特殊工作经费”</w:t>
      </w:r>
      <w:r>
        <w:rPr>
          <w:rFonts w:hint="eastAsia" w:ascii="仿宋_GB2312" w:hAnsi="仿宋_GB2312" w:eastAsia="仿宋_GB2312" w:cs="仿宋_GB2312"/>
          <w:sz w:val="32"/>
          <w:szCs w:val="32"/>
        </w:rPr>
        <w:t>专项资金共计</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，该项目资金已完成支付；</w:t>
      </w:r>
      <w:r>
        <w:rPr>
          <w:rFonts w:hint="eastAsia" w:ascii="仿宋_GB2312" w:hAnsi="仿宋_GB2312" w:eastAsia="仿宋_GB2312" w:cs="仿宋_GB2312"/>
          <w:sz w:val="32"/>
          <w:szCs w:val="32"/>
        </w:rPr>
        <w:t>2020年下达</w:t>
      </w:r>
      <w:r>
        <w:rPr>
          <w:rFonts w:hint="eastAsia" w:ascii="仿宋_GB2312" w:hAnsi="仿宋_GB2312" w:eastAsia="仿宋_GB2312" w:cs="仿宋_GB2312"/>
          <w:sz w:val="32"/>
          <w:szCs w:val="32"/>
          <w:lang w:eastAsia="zh-CN"/>
        </w:rPr>
        <w:t>“三郎寺寺管会僧人活动中心建设项目资金</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专项资金共计</w:t>
      </w:r>
      <w:r>
        <w:rPr>
          <w:rFonts w:hint="eastAsia" w:ascii="仿宋_GB2312" w:hAnsi="仿宋_GB2312" w:eastAsia="仿宋_GB2312" w:cs="仿宋_GB2312"/>
          <w:sz w:val="32"/>
          <w:szCs w:val="32"/>
          <w:lang w:val="en-US" w:eastAsia="zh-CN"/>
        </w:rPr>
        <w:t>4.04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，该项目资金已完成支付</w:t>
      </w:r>
    </w:p>
    <w:p>
      <w:pPr>
        <w:pStyle w:val="28"/>
        <w:numPr>
          <w:ilvl w:val="0"/>
          <w:numId w:val="0"/>
        </w:numPr>
        <w:spacing w:line="360" w:lineRule="auto"/>
        <w:ind w:firstLine="643" w:firstLineChars="20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6、预算完成情况</w:t>
      </w:r>
    </w:p>
    <w:p>
      <w:pPr>
        <w:pStyle w:val="20"/>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2020年财政预算收入年末总额为</w:t>
      </w:r>
      <w:r>
        <w:rPr>
          <w:rFonts w:hint="eastAsia" w:ascii="仿宋_GB2312" w:hAnsi="仿宋_GB2312" w:eastAsia="仿宋_GB2312" w:cs="仿宋_GB2312"/>
          <w:sz w:val="32"/>
          <w:szCs w:val="32"/>
          <w:lang w:val="en-US" w:eastAsia="zh-CN"/>
        </w:rPr>
        <w:t>136.73</w:t>
      </w:r>
      <w:r>
        <w:rPr>
          <w:rFonts w:hint="eastAsia" w:ascii="仿宋_GB2312" w:hAnsi="仿宋_GB2312" w:eastAsia="仿宋_GB2312" w:cs="仿宋_GB2312"/>
          <w:sz w:val="32"/>
          <w:szCs w:val="32"/>
        </w:rPr>
        <w:t>万元，年末实际预算支出总额为</w:t>
      </w:r>
      <w:r>
        <w:rPr>
          <w:rFonts w:hint="eastAsia" w:ascii="仿宋_GB2312" w:hAnsi="仿宋_GB2312" w:eastAsia="仿宋_GB2312" w:cs="仿宋_GB2312"/>
          <w:sz w:val="32"/>
          <w:szCs w:val="32"/>
          <w:lang w:val="en-US" w:eastAsia="zh-CN"/>
        </w:rPr>
        <w:t>136.73</w:t>
      </w:r>
      <w:r>
        <w:rPr>
          <w:rFonts w:hint="eastAsia" w:ascii="仿宋_GB2312" w:hAnsi="仿宋_GB2312" w:eastAsia="仿宋_GB2312" w:cs="仿宋_GB2312"/>
          <w:sz w:val="32"/>
          <w:szCs w:val="32"/>
        </w:rPr>
        <w:t>万元，预算完成率为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zh-CN" w:eastAsia="zh-CN" w:bidi="ar-SA"/>
        </w:rPr>
      </w:pPr>
      <w:r>
        <w:rPr>
          <w:rFonts w:hint="eastAsia" w:ascii="仿宋_GB2312" w:hAnsi="仿宋_GB2312" w:eastAsia="仿宋_GB2312" w:cs="仿宋_GB2312"/>
          <w:b/>
          <w:bCs/>
          <w:kern w:val="0"/>
          <w:sz w:val="32"/>
          <w:szCs w:val="32"/>
          <w:lang w:val="en-US" w:eastAsia="zh-CN" w:bidi="ar-SA"/>
        </w:rPr>
        <w:t>7、</w:t>
      </w:r>
      <w:r>
        <w:rPr>
          <w:rFonts w:hint="eastAsia" w:ascii="仿宋_GB2312" w:hAnsi="仿宋_GB2312" w:eastAsia="仿宋_GB2312" w:cs="仿宋_GB2312"/>
          <w:b/>
          <w:bCs/>
          <w:kern w:val="0"/>
          <w:sz w:val="32"/>
          <w:szCs w:val="32"/>
          <w:lang w:val="zh-CN" w:eastAsia="zh-CN" w:bidi="ar-SA"/>
        </w:rPr>
        <w:t>违规记录</w:t>
      </w:r>
    </w:p>
    <w:p>
      <w:pPr>
        <w:pStyle w:val="20"/>
        <w:numPr>
          <w:ilvl w:val="0"/>
          <w:numId w:val="0"/>
        </w:numPr>
        <w:ind w:leftChars="200"/>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sz w:val="32"/>
          <w:szCs w:val="32"/>
          <w:lang w:val="zh-CN"/>
        </w:rPr>
        <w:t>本年度无违规记录。</w:t>
      </w:r>
    </w:p>
    <w:p>
      <w:pPr>
        <w:pStyle w:val="20"/>
        <w:numPr>
          <w:ilvl w:val="0"/>
          <w:numId w:val="0"/>
        </w:numPr>
        <w:spacing w:line="360" w:lineRule="auto"/>
        <w:ind w:left="640" w:leftChars="0"/>
        <w:rPr>
          <w:rFonts w:hint="eastAsia" w:ascii="仿宋_GB2312" w:hAnsi="仿宋_GB2312" w:eastAsia="仿宋_GB2312" w:cs="仿宋_GB2312"/>
          <w:b/>
          <w:bCs/>
          <w:sz w:val="32"/>
          <w:szCs w:val="32"/>
          <w:lang w:val="zh-CN" w:eastAsia="zh-CN"/>
        </w:rPr>
      </w:pPr>
      <w:bookmarkStart w:id="135" w:name="_Toc6474_WPSOffice_Level3"/>
      <w:r>
        <w:rPr>
          <w:rFonts w:hint="eastAsia" w:ascii="仿宋_GB2312" w:hAnsi="仿宋_GB2312" w:eastAsia="仿宋_GB2312" w:cs="仿宋_GB2312"/>
          <w:b/>
          <w:bCs/>
          <w:sz w:val="32"/>
          <w:szCs w:val="32"/>
          <w:lang w:val="zh-CN" w:eastAsia="zh-CN"/>
        </w:rPr>
        <w:t>（二）结果应用情况</w:t>
      </w:r>
      <w:bookmarkEnd w:id="135"/>
    </w:p>
    <w:p>
      <w:pPr>
        <w:pStyle w:val="28"/>
        <w:numPr>
          <w:ilvl w:val="0"/>
          <w:numId w:val="0"/>
        </w:numPr>
        <w:spacing w:line="360" w:lineRule="auto"/>
        <w:ind w:left="640" w:leftChars="0"/>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1、信息公开</w:t>
      </w:r>
    </w:p>
    <w:p>
      <w:pPr>
        <w:pStyle w:val="20"/>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本单位</w:t>
      </w:r>
      <w:r>
        <w:rPr>
          <w:rFonts w:hint="eastAsia" w:ascii="仿宋_GB2312" w:hAnsi="仿宋_GB2312" w:eastAsia="仿宋_GB2312" w:cs="仿宋_GB2312"/>
          <w:sz w:val="32"/>
          <w:szCs w:val="32"/>
        </w:rPr>
        <w:t>已经按财政要求及时完成预算、决算、绩效等信息公开工作，信息公开在壤塘县人民政府门户网站中。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_GB2312" w:hAnsi="仿宋_GB2312" w:eastAsia="仿宋_GB2312" w:cs="仿宋_GB2312"/>
          <w:b/>
          <w:bCs/>
          <w:kern w:val="0"/>
          <w:sz w:val="32"/>
          <w:szCs w:val="32"/>
        </w:rPr>
      </w:pPr>
      <w:bookmarkStart w:id="136" w:name="_Toc30278_WPSOffice_Level2"/>
      <w:r>
        <w:rPr>
          <w:rFonts w:hint="eastAsia" w:ascii="仿宋_GB2312" w:hAnsi="仿宋_GB2312" w:eastAsia="仿宋_GB2312" w:cs="仿宋_GB2312"/>
          <w:b/>
          <w:bCs/>
          <w:kern w:val="0"/>
          <w:sz w:val="32"/>
          <w:szCs w:val="32"/>
        </w:rPr>
        <w:t>四、评价结论及措施</w:t>
      </w:r>
      <w:bookmarkEnd w:id="136"/>
    </w:p>
    <w:p>
      <w:pPr>
        <w:pStyle w:val="20"/>
        <w:spacing w:line="360" w:lineRule="auto"/>
        <w:ind w:firstLine="0" w:firstLineChars="0"/>
        <w:rPr>
          <w:rFonts w:ascii="仿宋_GB2312" w:hAnsi="仿宋_GB2312" w:eastAsia="仿宋_GB2312" w:cs="仿宋_GB2312"/>
          <w:b/>
          <w:bCs/>
          <w:kern w:val="0"/>
          <w:sz w:val="32"/>
          <w:szCs w:val="32"/>
        </w:rPr>
      </w:pPr>
      <w:bookmarkStart w:id="137" w:name="_Toc418_WPSOffice_Level3"/>
      <w:r>
        <w:rPr>
          <w:rFonts w:hint="eastAsia" w:ascii="仿宋_GB2312" w:hAnsi="仿宋_GB2312" w:eastAsia="仿宋_GB2312" w:cs="仿宋_GB2312"/>
          <w:b/>
          <w:bCs/>
          <w:sz w:val="32"/>
          <w:szCs w:val="32"/>
        </w:rPr>
        <w:t>（一）评价结论：见附表</w:t>
      </w:r>
      <w:bookmarkEnd w:id="137"/>
    </w:p>
    <w:p>
      <w:pPr>
        <w:pStyle w:val="20"/>
        <w:spacing w:line="360" w:lineRule="auto"/>
        <w:ind w:firstLine="0" w:firstLineChars="0"/>
        <w:rPr>
          <w:rFonts w:hint="eastAsia" w:ascii="仿宋_GB2312" w:hAnsi="仿宋_GB2312" w:eastAsia="仿宋_GB2312" w:cs="仿宋_GB2312"/>
          <w:b/>
          <w:bCs/>
          <w:sz w:val="32"/>
          <w:szCs w:val="32"/>
        </w:rPr>
      </w:pPr>
      <w:bookmarkStart w:id="138" w:name="_Toc18599_WPSOffice_Level3"/>
      <w:r>
        <w:rPr>
          <w:rFonts w:hint="eastAsia" w:ascii="仿宋_GB2312" w:hAnsi="仿宋_GB2312" w:eastAsia="仿宋_GB2312" w:cs="仿宋_GB2312"/>
          <w:b/>
          <w:bCs/>
          <w:sz w:val="32"/>
          <w:szCs w:val="32"/>
        </w:rPr>
        <w:t>（二）存在问题</w:t>
      </w:r>
      <w:bookmarkEnd w:id="138"/>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bCs/>
          <w:color w:val="000000"/>
          <w:kern w:val="2"/>
          <w:sz w:val="32"/>
          <w:szCs w:val="32"/>
          <w:lang w:val="en-US" w:eastAsia="zh-CN" w:bidi="ar-SA"/>
        </w:rPr>
      </w:pPr>
      <w:r>
        <w:rPr>
          <w:rFonts w:hint="eastAsia" w:ascii="仿宋_GB2312" w:eastAsia="仿宋_GB2312"/>
          <w:b/>
          <w:bCs/>
          <w:sz w:val="32"/>
          <w:szCs w:val="32"/>
        </w:rPr>
        <w:t>问题</w:t>
      </w:r>
      <w:r>
        <w:rPr>
          <w:rFonts w:hint="eastAsia" w:ascii="仿宋_GB2312" w:eastAsia="仿宋_GB2312"/>
          <w:b/>
          <w:bCs/>
          <w:sz w:val="32"/>
          <w:szCs w:val="32"/>
          <w:lang w:val="en-US" w:eastAsia="zh-CN"/>
        </w:rPr>
        <w:t>1</w:t>
      </w:r>
      <w:r>
        <w:rPr>
          <w:rFonts w:hint="eastAsia" w:ascii="仿宋_GB2312" w:eastAsia="仿宋_GB2312"/>
          <w:b/>
          <w:bCs/>
          <w:sz w:val="32"/>
          <w:szCs w:val="32"/>
        </w:rPr>
        <w:t>：</w:t>
      </w:r>
      <w:r>
        <w:rPr>
          <w:rFonts w:hint="default" w:ascii="Times New Roman" w:hAnsi="Times New Roman" w:eastAsia="仿宋_GB2312" w:cs="Times New Roman"/>
          <w:bCs/>
          <w:color w:val="000000"/>
          <w:kern w:val="2"/>
          <w:sz w:val="32"/>
          <w:szCs w:val="32"/>
          <w:lang w:val="en-US" w:eastAsia="zh-CN" w:bidi="ar-SA"/>
        </w:rPr>
        <w:t>统一思想认识，巩固和壮大团结奋进的思想基础，推进“</w:t>
      </w:r>
      <w:r>
        <w:rPr>
          <w:rFonts w:hint="default" w:ascii="Times New Roman" w:hAnsi="Times New Roman" w:eastAsia="仿宋_GB2312" w:cs="Times New Roman"/>
          <w:b w:val="0"/>
          <w:bCs w:val="0"/>
          <w:color w:val="auto"/>
          <w:sz w:val="32"/>
          <w:shd w:val="clear" w:color="auto" w:fill="auto"/>
          <w:lang w:val="en-US" w:eastAsia="zh-CN"/>
        </w:rPr>
        <w:t>一寺一策</w:t>
      </w:r>
      <w:r>
        <w:rPr>
          <w:rFonts w:hint="default" w:ascii="Times New Roman" w:hAnsi="Times New Roman" w:eastAsia="仿宋_GB2312" w:cs="Times New Roman"/>
          <w:bCs/>
          <w:color w:val="000000"/>
          <w:kern w:val="2"/>
          <w:sz w:val="32"/>
          <w:szCs w:val="32"/>
          <w:lang w:val="en-US" w:eastAsia="zh-CN" w:bidi="ar-SA"/>
        </w:rPr>
        <w:t>”</w:t>
      </w:r>
      <w:r>
        <w:rPr>
          <w:rFonts w:hint="default" w:ascii="Times New Roman" w:hAnsi="Times New Roman" w:eastAsia="仿宋_GB2312" w:cs="Times New Roman"/>
          <w:b w:val="0"/>
          <w:bCs w:val="0"/>
          <w:color w:val="auto"/>
          <w:sz w:val="32"/>
          <w:shd w:val="clear" w:color="auto" w:fill="auto"/>
          <w:lang w:val="en-US" w:eastAsia="zh-CN"/>
        </w:rPr>
        <w:t>工作和</w:t>
      </w:r>
      <w:r>
        <w:rPr>
          <w:rFonts w:hint="default" w:ascii="Times New Roman" w:hAnsi="Times New Roman" w:eastAsia="仿宋_GB2312" w:cs="Times New Roman"/>
          <w:bCs/>
          <w:color w:val="000000"/>
          <w:kern w:val="2"/>
          <w:sz w:val="32"/>
          <w:szCs w:val="32"/>
          <w:lang w:val="en-US" w:eastAsia="zh-CN" w:bidi="ar-SA"/>
        </w:rPr>
        <w:t>巩固维护稳定发展的创新思想不够、深度不够</w:t>
      </w:r>
      <w:r>
        <w:rPr>
          <w:rFonts w:hint="eastAsia" w:ascii="Times New Roman" w:hAnsi="Times New Roman" w:eastAsia="仿宋_GB2312" w:cs="Times New Roman"/>
          <w:bCs/>
          <w:color w:val="000000"/>
          <w:kern w:val="2"/>
          <w:sz w:val="32"/>
          <w:szCs w:val="32"/>
          <w:lang w:val="en-US" w:eastAsia="zh-CN" w:bidi="ar-SA"/>
        </w:rPr>
        <w:t>。</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eastAsia" w:ascii="仿宋_GB2312" w:eastAsia="仿宋_GB2312"/>
          <w:sz w:val="32"/>
          <w:szCs w:val="32"/>
        </w:rPr>
      </w:pPr>
      <w:r>
        <w:rPr>
          <w:rFonts w:hint="eastAsia" w:ascii="仿宋_GB2312" w:eastAsia="仿宋_GB2312"/>
          <w:b/>
          <w:bCs/>
          <w:sz w:val="32"/>
          <w:szCs w:val="32"/>
        </w:rPr>
        <w:t>问题</w:t>
      </w:r>
      <w:r>
        <w:rPr>
          <w:rFonts w:hint="eastAsia" w:ascii="仿宋_GB2312" w:eastAsia="仿宋_GB2312"/>
          <w:b/>
          <w:bCs/>
          <w:sz w:val="32"/>
          <w:szCs w:val="32"/>
          <w:lang w:val="en-US" w:eastAsia="zh-CN"/>
        </w:rPr>
        <w:t>2</w:t>
      </w:r>
      <w:r>
        <w:rPr>
          <w:rFonts w:hint="eastAsia" w:ascii="仿宋_GB2312" w:eastAsia="仿宋_GB2312"/>
          <w:b/>
          <w:bCs/>
          <w:sz w:val="32"/>
          <w:szCs w:val="32"/>
        </w:rPr>
        <w:t>：</w:t>
      </w:r>
      <w:r>
        <w:rPr>
          <w:rFonts w:hint="default" w:ascii="Times New Roman" w:hAnsi="Times New Roman" w:eastAsia="仿宋_GB2312" w:cs="Times New Roman"/>
          <w:bCs/>
          <w:color w:val="000000"/>
          <w:kern w:val="2"/>
          <w:sz w:val="32"/>
          <w:szCs w:val="32"/>
          <w:lang w:val="en-US" w:eastAsia="zh-CN" w:bidi="ar-SA"/>
        </w:rPr>
        <w:t>辖</w:t>
      </w:r>
      <w:r>
        <w:rPr>
          <w:rFonts w:hint="default" w:ascii="Times New Roman" w:hAnsi="Times New Roman" w:eastAsia="仿宋_GB2312" w:cs="Times New Roman"/>
          <w:sz w:val="32"/>
          <w:szCs w:val="32"/>
        </w:rPr>
        <w:t>区内部分年轻僧尼受外界各种因素干扰大，品行差，思想转变难度大，存在着对政府的宗教方针政策不理睬、不支持、自行其事，需要我们管委会长时间的不断教育引导。</w:t>
      </w: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b/>
          <w:bCs/>
          <w:sz w:val="32"/>
          <w:szCs w:val="32"/>
        </w:rPr>
        <w:t>问题</w:t>
      </w:r>
      <w:r>
        <w:rPr>
          <w:rFonts w:hint="eastAsia" w:ascii="仿宋_GB2312" w:eastAsia="仿宋_GB2312"/>
          <w:b/>
          <w:bCs/>
          <w:sz w:val="32"/>
          <w:szCs w:val="32"/>
          <w:lang w:val="en-US" w:eastAsia="zh-CN"/>
        </w:rPr>
        <w:t>3</w:t>
      </w:r>
      <w:r>
        <w:rPr>
          <w:rFonts w:hint="eastAsia" w:ascii="仿宋_GB2312" w:eastAsia="仿宋_GB2312"/>
          <w:b/>
          <w:bCs/>
          <w:sz w:val="32"/>
          <w:szCs w:val="32"/>
        </w:rPr>
        <w:t>：</w:t>
      </w:r>
      <w:r>
        <w:rPr>
          <w:rFonts w:hint="default" w:ascii="Times New Roman" w:hAnsi="Times New Roman" w:eastAsia="仿宋_GB2312" w:cs="Times New Roman"/>
          <w:sz w:val="32"/>
          <w:szCs w:val="32"/>
        </w:rPr>
        <w:t>寺庙资金监管难度大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长久以来寺庙自收资金均由寺庙进行自我管理，财务人员缺乏管理意识，加之寺庙对政府进行资产监管和检查极其不理解和不配合，致使管委会对寺庙自收资金监管难度大。</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b/>
          <w:bCs/>
          <w:sz w:val="32"/>
          <w:szCs w:val="32"/>
        </w:rPr>
        <w:t>问题</w:t>
      </w:r>
      <w:r>
        <w:rPr>
          <w:rFonts w:hint="eastAsia" w:ascii="仿宋_GB2312" w:eastAsia="仿宋_GB2312"/>
          <w:b/>
          <w:bCs/>
          <w:sz w:val="32"/>
          <w:szCs w:val="32"/>
          <w:lang w:val="en-US" w:eastAsia="zh-CN"/>
        </w:rPr>
        <w:t>4</w:t>
      </w:r>
      <w:r>
        <w:rPr>
          <w:rFonts w:hint="eastAsia" w:ascii="仿宋_GB2312" w:eastAsia="仿宋_GB2312"/>
          <w:b/>
          <w:bCs/>
          <w:sz w:val="32"/>
          <w:szCs w:val="32"/>
        </w:rPr>
        <w:t>：</w:t>
      </w:r>
      <w:r>
        <w:rPr>
          <w:rFonts w:hint="default" w:ascii="Times New Roman" w:hAnsi="Times New Roman" w:eastAsia="仿宋_GB2312" w:cs="Times New Roman"/>
          <w:sz w:val="32"/>
          <w:szCs w:val="32"/>
          <w:lang w:eastAsia="zh-CN"/>
        </w:rPr>
        <w:t>民管会发挥作用参差不齐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我委全力培养民管会班子，部分班子成员培养“差不多”任期时间也将到期，导致开展工作难度大，</w:t>
      </w:r>
      <w:r>
        <w:rPr>
          <w:rFonts w:hint="default" w:ascii="Times New Roman" w:hAnsi="Times New Roman" w:eastAsia="仿宋_GB2312" w:cs="Times New Roman"/>
          <w:sz w:val="32"/>
          <w:szCs w:val="32"/>
        </w:rPr>
        <w:t>民管会班子作用发挥参差不齐，部分寺庙民管会班子作用发挥明显，积极配合工作，寺庙管理有序。部分寺庙民管会班子作用发挥不明显，浮于表面，不负责任，寺庙管理混乱。</w:t>
      </w:r>
    </w:p>
    <w:p>
      <w:pPr>
        <w:pStyle w:val="20"/>
        <w:numPr>
          <w:ilvl w:val="0"/>
          <w:numId w:val="0"/>
        </w:numPr>
        <w:spacing w:line="360" w:lineRule="auto"/>
        <w:rPr>
          <w:rFonts w:hint="eastAsia" w:ascii="仿宋_GB2312" w:hAnsi="仿宋_GB2312" w:eastAsia="仿宋_GB2312" w:cs="仿宋_GB2312"/>
          <w:b/>
          <w:bCs/>
          <w:sz w:val="32"/>
          <w:szCs w:val="32"/>
        </w:rPr>
      </w:pPr>
      <w:bookmarkStart w:id="139" w:name="_Toc414_WPSOffice_Level3"/>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改进措施</w:t>
      </w:r>
      <w:bookmarkEnd w:id="139"/>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hint="eastAsia" w:ascii="仿宋" w:hAnsi="仿宋" w:eastAsia="仿宋"/>
          <w:color w:val="000000"/>
          <w:sz w:val="32"/>
          <w:szCs w:val="32"/>
        </w:rPr>
      </w:pPr>
      <w:r>
        <w:rPr>
          <w:rFonts w:hint="eastAsia" w:ascii="仿宋_GB2312" w:eastAsia="仿宋_GB2312"/>
          <w:b/>
          <w:bCs/>
          <w:sz w:val="32"/>
          <w:szCs w:val="32"/>
        </w:rPr>
        <w:t>措施</w:t>
      </w:r>
      <w:r>
        <w:rPr>
          <w:rFonts w:hint="eastAsia" w:ascii="仿宋_GB2312" w:eastAsia="仿宋_GB2312"/>
          <w:b/>
          <w:bCs/>
          <w:sz w:val="32"/>
          <w:szCs w:val="32"/>
          <w:lang w:val="en-US" w:eastAsia="zh-CN"/>
        </w:rPr>
        <w:t>1</w:t>
      </w:r>
      <w:r>
        <w:rPr>
          <w:rFonts w:hint="eastAsia" w:ascii="仿宋_GB2312" w:eastAsia="仿宋_GB2312"/>
          <w:b/>
          <w:bCs/>
          <w:sz w:val="32"/>
          <w:szCs w:val="32"/>
        </w:rPr>
        <w:t>：</w:t>
      </w:r>
      <w:r>
        <w:rPr>
          <w:rFonts w:hint="eastAsia" w:ascii="仿宋" w:hAnsi="仿宋" w:eastAsia="仿宋"/>
          <w:color w:val="000000"/>
          <w:sz w:val="32"/>
          <w:szCs w:val="32"/>
        </w:rPr>
        <w:t>要加强青年僧尼的教育引导，培养一批遵纪守法、爱国爱教、遵守戒规戒律的僧人。</w:t>
      </w:r>
    </w:p>
    <w:p>
      <w:pPr>
        <w:pStyle w:val="20"/>
      </w:pPr>
    </w:p>
    <w:p>
      <w:pPr>
        <w:keepNext w:val="0"/>
        <w:keepLines w:val="0"/>
        <w:pageBreakBefore w:val="0"/>
        <w:kinsoku/>
        <w:wordWrap/>
        <w:overflowPunct/>
        <w:topLinePunct w:val="0"/>
        <w:autoSpaceDE/>
        <w:autoSpaceDN/>
        <w:bidi w:val="0"/>
        <w:adjustRightInd/>
        <w:spacing w:line="560" w:lineRule="exact"/>
        <w:ind w:firstLine="643" w:firstLineChars="200"/>
        <w:textAlignment w:val="auto"/>
        <w:rPr>
          <w:rFonts w:ascii="仿宋_GB2312" w:eastAsia="仿宋_GB2312"/>
          <w:sz w:val="32"/>
          <w:szCs w:val="32"/>
        </w:rPr>
      </w:pPr>
      <w:r>
        <w:rPr>
          <w:rFonts w:hint="eastAsia" w:ascii="仿宋_GB2312" w:eastAsia="仿宋_GB2312"/>
          <w:b/>
          <w:bCs/>
          <w:sz w:val="32"/>
          <w:szCs w:val="32"/>
        </w:rPr>
        <w:t>措施</w:t>
      </w:r>
      <w:r>
        <w:rPr>
          <w:rFonts w:hint="eastAsia" w:ascii="仿宋_GB2312" w:eastAsia="仿宋_GB2312"/>
          <w:b/>
          <w:bCs/>
          <w:sz w:val="32"/>
          <w:szCs w:val="32"/>
          <w:lang w:val="en-US" w:eastAsia="zh-CN"/>
        </w:rPr>
        <w:t>2</w:t>
      </w:r>
      <w:r>
        <w:rPr>
          <w:rFonts w:hint="eastAsia" w:ascii="仿宋_GB2312" w:eastAsia="仿宋_GB2312"/>
          <w:b/>
          <w:bCs/>
          <w:sz w:val="32"/>
          <w:szCs w:val="32"/>
        </w:rPr>
        <w:t>：</w:t>
      </w:r>
      <w:r>
        <w:rPr>
          <w:rFonts w:hint="eastAsia" w:ascii="仿宋_GB2312" w:eastAsia="仿宋_GB2312"/>
          <w:sz w:val="32"/>
          <w:szCs w:val="32"/>
        </w:rPr>
        <w:t>要</w:t>
      </w:r>
      <w:r>
        <w:rPr>
          <w:rFonts w:hint="eastAsia" w:ascii="仿宋_GB2312" w:hAnsi="仿宋_GB2312" w:eastAsia="仿宋_GB2312" w:cs="仿宋_GB2312"/>
          <w:sz w:val="32"/>
          <w:szCs w:val="32"/>
        </w:rPr>
        <w:t>加强寺庙财务规范管理，引导各</w:t>
      </w:r>
      <w:r>
        <w:rPr>
          <w:rFonts w:hint="eastAsia" w:ascii="仿宋_GB2312" w:eastAsia="仿宋_GB2312"/>
          <w:sz w:val="32"/>
          <w:szCs w:val="32"/>
        </w:rPr>
        <w:t>寺庙建立健全财务管理制度，规范和完善寺庙内部财务监督机制。</w:t>
      </w:r>
    </w:p>
    <w:p>
      <w:pPr>
        <w:pStyle w:val="15"/>
        <w:keepNext w:val="0"/>
        <w:keepLines w:val="0"/>
        <w:pageBreakBefore w:val="0"/>
        <w:kinsoku/>
        <w:wordWrap/>
        <w:overflowPunct/>
        <w:topLinePunct w:val="0"/>
        <w:autoSpaceDE/>
        <w:autoSpaceDN/>
        <w:bidi w:val="0"/>
        <w:adjustRightInd/>
        <w:spacing w:beforeAutospacing="0" w:afterAutospacing="0" w:line="560" w:lineRule="exact"/>
        <w:ind w:firstLine="643"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eastAsia="仿宋_GB2312"/>
          <w:b/>
          <w:bCs/>
          <w:sz w:val="32"/>
          <w:szCs w:val="32"/>
        </w:rPr>
        <w:t>措施</w:t>
      </w:r>
      <w:r>
        <w:rPr>
          <w:rFonts w:hint="eastAsia" w:ascii="仿宋_GB2312" w:eastAsia="仿宋_GB2312"/>
          <w:b/>
          <w:bCs/>
          <w:sz w:val="32"/>
          <w:szCs w:val="32"/>
          <w:lang w:val="en-US" w:eastAsia="zh-CN"/>
        </w:rPr>
        <w:t>3</w:t>
      </w:r>
      <w:r>
        <w:rPr>
          <w:rFonts w:hint="eastAsia" w:ascii="仿宋_GB2312" w:eastAsia="仿宋_GB2312"/>
          <w:b/>
          <w:bCs/>
          <w:sz w:val="32"/>
          <w:szCs w:val="32"/>
        </w:rPr>
        <w:t>：</w:t>
      </w:r>
      <w:r>
        <w:rPr>
          <w:rFonts w:hint="eastAsia" w:ascii="仿宋_GB2312" w:hAnsi="Arial" w:eastAsia="仿宋_GB2312" w:cs="Arial"/>
          <w:color w:val="000000"/>
          <w:sz w:val="32"/>
          <w:szCs w:val="32"/>
        </w:rPr>
        <w:t>通过培训，拓宽</w:t>
      </w:r>
      <w:r>
        <w:rPr>
          <w:rFonts w:hint="eastAsia" w:ascii="仿宋" w:hAnsi="仿宋" w:eastAsia="仿宋"/>
          <w:color w:val="000000"/>
          <w:sz w:val="32"/>
          <w:szCs w:val="32"/>
        </w:rPr>
        <w:t>教职人员的</w:t>
      </w:r>
      <w:r>
        <w:rPr>
          <w:rFonts w:hint="eastAsia" w:ascii="仿宋_GB2312" w:hAnsi="Arial" w:eastAsia="仿宋_GB2312" w:cs="Arial"/>
          <w:color w:val="000000"/>
          <w:sz w:val="32"/>
          <w:szCs w:val="32"/>
        </w:rPr>
        <w:t>视野，明确民管会的工作思路，努力提高自身素质和业务能力，实现</w:t>
      </w:r>
      <w:r>
        <w:rPr>
          <w:rFonts w:hint="eastAsia" w:ascii="仿宋" w:hAnsi="仿宋" w:eastAsia="仿宋" w:cs="Times New Roman"/>
          <w:color w:val="000000"/>
          <w:kern w:val="2"/>
          <w:sz w:val="32"/>
          <w:szCs w:val="32"/>
        </w:rPr>
        <w:t>维护藏传佛教正常秩序，</w:t>
      </w:r>
      <w:r>
        <w:rPr>
          <w:rFonts w:hint="eastAsia" w:ascii="仿宋_GB2312" w:hAnsi="Arial" w:eastAsia="仿宋_GB2312" w:cs="Arial"/>
          <w:color w:val="000000"/>
          <w:sz w:val="32"/>
          <w:szCs w:val="32"/>
        </w:rPr>
        <w:t>推动创新寺庙管理工作，</w:t>
      </w:r>
      <w:r>
        <w:rPr>
          <w:rFonts w:hint="eastAsia" w:ascii="仿宋_GB2312" w:hAnsi="Times New Roman" w:eastAsia="仿宋_GB2312" w:cs="Times New Roman"/>
          <w:kern w:val="2"/>
          <w:sz w:val="32"/>
          <w:szCs w:val="32"/>
          <w:lang w:val="en-US" w:eastAsia="zh-CN" w:bidi="ar-SA"/>
        </w:rPr>
        <w:t>创建良好的、和谐的寺庙管理新风尚。</w:t>
      </w:r>
    </w:p>
    <w:p>
      <w:pPr>
        <w:pStyle w:val="20"/>
        <w:rPr>
          <w:rFonts w:hint="eastAsia"/>
          <w:lang w:val="en-US" w:eastAsia="zh-CN"/>
        </w:rPr>
      </w:pPr>
    </w:p>
    <w:p>
      <w:pPr>
        <w:numPr>
          <w:ilvl w:val="0"/>
          <w:numId w:val="0"/>
        </w:numPr>
        <w:ind w:leftChars="150"/>
        <w:rPr>
          <w:rFonts w:hint="eastAsia"/>
          <w:lang w:val="en-US" w:eastAsia="zh-CN"/>
        </w:rPr>
      </w:pPr>
    </w:p>
    <w:p>
      <w:pPr>
        <w:pStyle w:val="20"/>
        <w:rPr>
          <w:rFonts w:hint="eastAsia" w:ascii="仿宋_GB2312" w:hAnsi="Calibri" w:eastAsia="仿宋_GB2312" w:cs="仿宋"/>
          <w:color w:val="000000"/>
          <w:sz w:val="32"/>
          <w:szCs w:val="32"/>
          <w:lang w:val="en-US" w:eastAsia="zh-CN" w:bidi="ar-SA"/>
        </w:rPr>
      </w:pPr>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24C60"/>
    <w:multiLevelType w:val="singleLevel"/>
    <w:tmpl w:val="9CC24C60"/>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eastAsia"/>
        <w:b/>
        <w:bCs/>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1FF06321"/>
    <w:multiLevelType w:val="singleLevel"/>
    <w:tmpl w:val="1FF06321"/>
    <w:lvl w:ilvl="0" w:tentative="0">
      <w:start w:val="1"/>
      <w:numFmt w:val="decimal"/>
      <w:lvlText w:val="%1."/>
      <w:lvlJc w:val="left"/>
      <w:pPr>
        <w:tabs>
          <w:tab w:val="left" w:pos="312"/>
        </w:tabs>
      </w:pPr>
    </w:lvl>
  </w:abstractNum>
  <w:abstractNum w:abstractNumId="7">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4"/>
  </w:num>
  <w:num w:numId="2">
    <w:abstractNumId w:val="6"/>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2749D"/>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B1FA9"/>
    <w:rsid w:val="001C0962"/>
    <w:rsid w:val="001D6C1E"/>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97919"/>
    <w:rsid w:val="005C52C6"/>
    <w:rsid w:val="005D1C8B"/>
    <w:rsid w:val="005D5CED"/>
    <w:rsid w:val="005E3365"/>
    <w:rsid w:val="005F1A4C"/>
    <w:rsid w:val="00605688"/>
    <w:rsid w:val="006070AF"/>
    <w:rsid w:val="00607E6C"/>
    <w:rsid w:val="006101B1"/>
    <w:rsid w:val="00614E44"/>
    <w:rsid w:val="00622830"/>
    <w:rsid w:val="00630AEF"/>
    <w:rsid w:val="006325F8"/>
    <w:rsid w:val="00634C9A"/>
    <w:rsid w:val="00643C0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077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7F3"/>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2260"/>
    <w:rsid w:val="00A56DF2"/>
    <w:rsid w:val="00A57F63"/>
    <w:rsid w:val="00A67AB5"/>
    <w:rsid w:val="00A91760"/>
    <w:rsid w:val="00A93B00"/>
    <w:rsid w:val="00A93C21"/>
    <w:rsid w:val="00AC3C6A"/>
    <w:rsid w:val="00AD5620"/>
    <w:rsid w:val="00AD7C1B"/>
    <w:rsid w:val="00AE16BA"/>
    <w:rsid w:val="00AE1EBE"/>
    <w:rsid w:val="00AE7003"/>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B4DF0"/>
    <w:rsid w:val="00BC289F"/>
    <w:rsid w:val="00BC5361"/>
    <w:rsid w:val="00BC5460"/>
    <w:rsid w:val="00BC6B50"/>
    <w:rsid w:val="00BD0E25"/>
    <w:rsid w:val="00BF5BD6"/>
    <w:rsid w:val="00C03E31"/>
    <w:rsid w:val="00C13B26"/>
    <w:rsid w:val="00C33E72"/>
    <w:rsid w:val="00C34EED"/>
    <w:rsid w:val="00C354B2"/>
    <w:rsid w:val="00C35554"/>
    <w:rsid w:val="00C42709"/>
    <w:rsid w:val="00C533CC"/>
    <w:rsid w:val="00C5751C"/>
    <w:rsid w:val="00C61BFC"/>
    <w:rsid w:val="00C62B85"/>
    <w:rsid w:val="00C65438"/>
    <w:rsid w:val="00C663B4"/>
    <w:rsid w:val="00C91CBB"/>
    <w:rsid w:val="00CA1D7E"/>
    <w:rsid w:val="00CC09B6"/>
    <w:rsid w:val="00CC666F"/>
    <w:rsid w:val="00CD1E3F"/>
    <w:rsid w:val="00CE44F6"/>
    <w:rsid w:val="00CE49DA"/>
    <w:rsid w:val="00CE7B61"/>
    <w:rsid w:val="00D00095"/>
    <w:rsid w:val="00D20620"/>
    <w:rsid w:val="00D26091"/>
    <w:rsid w:val="00D34E7C"/>
    <w:rsid w:val="00D35489"/>
    <w:rsid w:val="00D43BB3"/>
    <w:rsid w:val="00D51276"/>
    <w:rsid w:val="00D7035F"/>
    <w:rsid w:val="00DA65AC"/>
    <w:rsid w:val="00DB1913"/>
    <w:rsid w:val="00DC410D"/>
    <w:rsid w:val="00DC68CA"/>
    <w:rsid w:val="00DC7CBA"/>
    <w:rsid w:val="00DD2D64"/>
    <w:rsid w:val="00DD73B7"/>
    <w:rsid w:val="00DF28BC"/>
    <w:rsid w:val="00DF34B9"/>
    <w:rsid w:val="00DF36DA"/>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01B6"/>
    <w:rsid w:val="00F36D8F"/>
    <w:rsid w:val="00F417B1"/>
    <w:rsid w:val="00F602DF"/>
    <w:rsid w:val="00F81FD9"/>
    <w:rsid w:val="00F841AA"/>
    <w:rsid w:val="00FA23E8"/>
    <w:rsid w:val="00FD3CC1"/>
    <w:rsid w:val="00FE17BC"/>
    <w:rsid w:val="00FF1E02"/>
    <w:rsid w:val="00FF30B4"/>
    <w:rsid w:val="02044075"/>
    <w:rsid w:val="02156525"/>
    <w:rsid w:val="022E7AB2"/>
    <w:rsid w:val="027C684F"/>
    <w:rsid w:val="02DB653C"/>
    <w:rsid w:val="037006E9"/>
    <w:rsid w:val="05CF0D11"/>
    <w:rsid w:val="073E6827"/>
    <w:rsid w:val="07840394"/>
    <w:rsid w:val="07F30755"/>
    <w:rsid w:val="08910CE8"/>
    <w:rsid w:val="08A929DF"/>
    <w:rsid w:val="0A356E5C"/>
    <w:rsid w:val="0A6F1A9B"/>
    <w:rsid w:val="0BDE692D"/>
    <w:rsid w:val="0CDA7509"/>
    <w:rsid w:val="0CDE7578"/>
    <w:rsid w:val="0D323653"/>
    <w:rsid w:val="0D3E64D2"/>
    <w:rsid w:val="0E2E419D"/>
    <w:rsid w:val="0E2F5D52"/>
    <w:rsid w:val="0F5D3DE3"/>
    <w:rsid w:val="0F9313AA"/>
    <w:rsid w:val="109065E6"/>
    <w:rsid w:val="109F5DF2"/>
    <w:rsid w:val="10C055FF"/>
    <w:rsid w:val="10F7429A"/>
    <w:rsid w:val="120874B0"/>
    <w:rsid w:val="13B301CC"/>
    <w:rsid w:val="1492672E"/>
    <w:rsid w:val="14B46E93"/>
    <w:rsid w:val="16BB723D"/>
    <w:rsid w:val="16C63581"/>
    <w:rsid w:val="1778018E"/>
    <w:rsid w:val="17973692"/>
    <w:rsid w:val="17A23E30"/>
    <w:rsid w:val="17BA598C"/>
    <w:rsid w:val="1967276F"/>
    <w:rsid w:val="19E76BE3"/>
    <w:rsid w:val="19F63DF0"/>
    <w:rsid w:val="1A8D5679"/>
    <w:rsid w:val="1ABC51F0"/>
    <w:rsid w:val="1BCB5116"/>
    <w:rsid w:val="1D1E32B2"/>
    <w:rsid w:val="1D315DC6"/>
    <w:rsid w:val="1DD75E96"/>
    <w:rsid w:val="1E801744"/>
    <w:rsid w:val="1E8077A4"/>
    <w:rsid w:val="1E9879BE"/>
    <w:rsid w:val="1ED8346F"/>
    <w:rsid w:val="1EFC05A0"/>
    <w:rsid w:val="1F8F16ED"/>
    <w:rsid w:val="201E5A06"/>
    <w:rsid w:val="20F413D9"/>
    <w:rsid w:val="21663EF7"/>
    <w:rsid w:val="21A414C8"/>
    <w:rsid w:val="2205431D"/>
    <w:rsid w:val="22065728"/>
    <w:rsid w:val="22633A26"/>
    <w:rsid w:val="2271776E"/>
    <w:rsid w:val="22CC5402"/>
    <w:rsid w:val="23140B05"/>
    <w:rsid w:val="23803BDC"/>
    <w:rsid w:val="240371BF"/>
    <w:rsid w:val="24EA0951"/>
    <w:rsid w:val="25BE1AD0"/>
    <w:rsid w:val="26705557"/>
    <w:rsid w:val="26982A47"/>
    <w:rsid w:val="27615CEE"/>
    <w:rsid w:val="276F1834"/>
    <w:rsid w:val="281F4DAA"/>
    <w:rsid w:val="28554A67"/>
    <w:rsid w:val="28630EBF"/>
    <w:rsid w:val="28904A1E"/>
    <w:rsid w:val="292B0827"/>
    <w:rsid w:val="29CD7C87"/>
    <w:rsid w:val="29FD04D3"/>
    <w:rsid w:val="2A0F0A31"/>
    <w:rsid w:val="2B736DE5"/>
    <w:rsid w:val="2BD06210"/>
    <w:rsid w:val="2BFB7991"/>
    <w:rsid w:val="2C2439C5"/>
    <w:rsid w:val="2C7C1134"/>
    <w:rsid w:val="2CAF2984"/>
    <w:rsid w:val="2D3A58E0"/>
    <w:rsid w:val="2DB254D3"/>
    <w:rsid w:val="2DBF24E7"/>
    <w:rsid w:val="2E373206"/>
    <w:rsid w:val="2E3C0949"/>
    <w:rsid w:val="2EB258B0"/>
    <w:rsid w:val="2F5523ED"/>
    <w:rsid w:val="2F7460F0"/>
    <w:rsid w:val="2F831526"/>
    <w:rsid w:val="2FDF6060"/>
    <w:rsid w:val="30010A69"/>
    <w:rsid w:val="30894BD5"/>
    <w:rsid w:val="30F1532F"/>
    <w:rsid w:val="319F7F4E"/>
    <w:rsid w:val="323F3C5C"/>
    <w:rsid w:val="3285203F"/>
    <w:rsid w:val="32881605"/>
    <w:rsid w:val="32DE1E22"/>
    <w:rsid w:val="32E74EA5"/>
    <w:rsid w:val="334D373F"/>
    <w:rsid w:val="33CB3968"/>
    <w:rsid w:val="34476BE1"/>
    <w:rsid w:val="351B0692"/>
    <w:rsid w:val="35B61E9E"/>
    <w:rsid w:val="35C66B92"/>
    <w:rsid w:val="37571898"/>
    <w:rsid w:val="379473C2"/>
    <w:rsid w:val="37C44D04"/>
    <w:rsid w:val="38D02817"/>
    <w:rsid w:val="38DA5535"/>
    <w:rsid w:val="38F8371D"/>
    <w:rsid w:val="38F9683A"/>
    <w:rsid w:val="398A463C"/>
    <w:rsid w:val="39C11B45"/>
    <w:rsid w:val="3A54296F"/>
    <w:rsid w:val="3A5B2A0C"/>
    <w:rsid w:val="3A94478D"/>
    <w:rsid w:val="3AED246C"/>
    <w:rsid w:val="3AFD3E00"/>
    <w:rsid w:val="3B494774"/>
    <w:rsid w:val="3BB34FC2"/>
    <w:rsid w:val="3C2362A7"/>
    <w:rsid w:val="3DB65664"/>
    <w:rsid w:val="3EC47A2C"/>
    <w:rsid w:val="3F5E5763"/>
    <w:rsid w:val="3FC84647"/>
    <w:rsid w:val="405B254E"/>
    <w:rsid w:val="416934CB"/>
    <w:rsid w:val="41DC0473"/>
    <w:rsid w:val="42104DA5"/>
    <w:rsid w:val="42A36158"/>
    <w:rsid w:val="42EA77AA"/>
    <w:rsid w:val="43302866"/>
    <w:rsid w:val="44046E44"/>
    <w:rsid w:val="44C14026"/>
    <w:rsid w:val="46AB1B57"/>
    <w:rsid w:val="46B57B7C"/>
    <w:rsid w:val="46FC2345"/>
    <w:rsid w:val="47132CDC"/>
    <w:rsid w:val="47791718"/>
    <w:rsid w:val="48AD4737"/>
    <w:rsid w:val="495D6F54"/>
    <w:rsid w:val="4A6E7995"/>
    <w:rsid w:val="4BAE0D12"/>
    <w:rsid w:val="4C8433C6"/>
    <w:rsid w:val="4D327D07"/>
    <w:rsid w:val="4DE148BF"/>
    <w:rsid w:val="4E5B00FD"/>
    <w:rsid w:val="4EAF0A57"/>
    <w:rsid w:val="4EC26B9B"/>
    <w:rsid w:val="4F02710B"/>
    <w:rsid w:val="4F645BDB"/>
    <w:rsid w:val="4FD2432E"/>
    <w:rsid w:val="5098377D"/>
    <w:rsid w:val="518205E0"/>
    <w:rsid w:val="51FB608D"/>
    <w:rsid w:val="52ED6284"/>
    <w:rsid w:val="52F92792"/>
    <w:rsid w:val="53501D79"/>
    <w:rsid w:val="53504422"/>
    <w:rsid w:val="537A115A"/>
    <w:rsid w:val="539C4613"/>
    <w:rsid w:val="54EC5302"/>
    <w:rsid w:val="550873D5"/>
    <w:rsid w:val="55820460"/>
    <w:rsid w:val="559021AA"/>
    <w:rsid w:val="55ED11B7"/>
    <w:rsid w:val="56427B98"/>
    <w:rsid w:val="56742ECC"/>
    <w:rsid w:val="57244B7B"/>
    <w:rsid w:val="57F04226"/>
    <w:rsid w:val="580C4CB7"/>
    <w:rsid w:val="58252A8B"/>
    <w:rsid w:val="58CE1747"/>
    <w:rsid w:val="5A2B508C"/>
    <w:rsid w:val="5A716AE6"/>
    <w:rsid w:val="5A7C0E79"/>
    <w:rsid w:val="5A9507BB"/>
    <w:rsid w:val="5AC27908"/>
    <w:rsid w:val="5AEC5B07"/>
    <w:rsid w:val="5B360868"/>
    <w:rsid w:val="5BB74722"/>
    <w:rsid w:val="5C170C5A"/>
    <w:rsid w:val="5D1F6201"/>
    <w:rsid w:val="5E2B6374"/>
    <w:rsid w:val="5E792877"/>
    <w:rsid w:val="60021079"/>
    <w:rsid w:val="601D6215"/>
    <w:rsid w:val="6036304B"/>
    <w:rsid w:val="607448EB"/>
    <w:rsid w:val="612D391A"/>
    <w:rsid w:val="61492924"/>
    <w:rsid w:val="615E7042"/>
    <w:rsid w:val="62053890"/>
    <w:rsid w:val="63471F16"/>
    <w:rsid w:val="63D92D59"/>
    <w:rsid w:val="64134D0F"/>
    <w:rsid w:val="64C656C1"/>
    <w:rsid w:val="65537295"/>
    <w:rsid w:val="65BB74D7"/>
    <w:rsid w:val="67073D18"/>
    <w:rsid w:val="67506DFD"/>
    <w:rsid w:val="68A72570"/>
    <w:rsid w:val="68CD7BC5"/>
    <w:rsid w:val="6A2F37BA"/>
    <w:rsid w:val="6A4C4140"/>
    <w:rsid w:val="6AFC5784"/>
    <w:rsid w:val="6B2335F6"/>
    <w:rsid w:val="6C801A3F"/>
    <w:rsid w:val="6CE43B77"/>
    <w:rsid w:val="6E3B0A6B"/>
    <w:rsid w:val="6F334BED"/>
    <w:rsid w:val="6F363620"/>
    <w:rsid w:val="6F6C2C84"/>
    <w:rsid w:val="6FDD6F16"/>
    <w:rsid w:val="70202A42"/>
    <w:rsid w:val="71CA0A45"/>
    <w:rsid w:val="723F71A8"/>
    <w:rsid w:val="730A29B8"/>
    <w:rsid w:val="734B3BBF"/>
    <w:rsid w:val="75E868BA"/>
    <w:rsid w:val="763A5241"/>
    <w:rsid w:val="76CD4EFB"/>
    <w:rsid w:val="76FE793D"/>
    <w:rsid w:val="779B4687"/>
    <w:rsid w:val="77FB6A92"/>
    <w:rsid w:val="784A6287"/>
    <w:rsid w:val="786471E2"/>
    <w:rsid w:val="78666263"/>
    <w:rsid w:val="78D22BE8"/>
    <w:rsid w:val="7988737A"/>
    <w:rsid w:val="79DA7152"/>
    <w:rsid w:val="7A895CB1"/>
    <w:rsid w:val="7A8F166F"/>
    <w:rsid w:val="7B853B8E"/>
    <w:rsid w:val="7BC75526"/>
    <w:rsid w:val="7BF817B5"/>
    <w:rsid w:val="7C56578C"/>
    <w:rsid w:val="7D59153B"/>
    <w:rsid w:val="7E566FBD"/>
    <w:rsid w:val="7E9D0959"/>
    <w:rsid w:val="7FA374D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spacing w:after="0" w:line="540" w:lineRule="exact"/>
      <w:ind w:left="0" w:leftChars="0" w:firstLine="420" w:firstLineChars="200"/>
    </w:pPr>
    <w:rPr>
      <w:rFonts w:ascii="Calibri" w:hAnsi="Calibri" w:eastAsia="宋体" w:cs="Times New Roman"/>
      <w:sz w:val="32"/>
      <w:szCs w:val="32"/>
    </w:rPr>
  </w:style>
  <w:style w:type="paragraph" w:styleId="3">
    <w:name w:val="Body Text Indent"/>
    <w:basedOn w:val="1"/>
    <w:qFormat/>
    <w:uiPriority w:val="0"/>
    <w:pPr>
      <w:spacing w:after="120"/>
      <w:ind w:left="420" w:leftChars="200"/>
    </w:p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semiHidden/>
    <w:unhideWhenUsed/>
    <w:qFormat/>
    <w:uiPriority w:val="0"/>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列出段落1"/>
    <w:basedOn w:val="1"/>
    <w:qFormat/>
    <w:uiPriority w:val="34"/>
    <w:pPr>
      <w:ind w:firstLine="420" w:firstLineChars="200"/>
    </w:pPr>
    <w:rPr>
      <w:rFonts w:ascii="Calibri" w:hAnsi="Calibri" w:eastAsia="宋体" w:cs="Times New Roman"/>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WPSOffice手动目录 1"/>
    <w:uiPriority w:val="0"/>
    <w:pPr>
      <w:ind w:leftChars="0"/>
    </w:pPr>
    <w:rPr>
      <w:rFonts w:ascii="Times New Roman" w:hAnsi="Times New Roman" w:eastAsia="宋体" w:cs="Times New Roman"/>
      <w:sz w:val="20"/>
      <w:szCs w:val="20"/>
    </w:rPr>
  </w:style>
  <w:style w:type="paragraph" w:customStyle="1" w:styleId="35">
    <w:name w:val="WPSOffice手动目录 2"/>
    <w:uiPriority w:val="0"/>
    <w:pPr>
      <w:ind w:leftChars="200"/>
    </w:pPr>
    <w:rPr>
      <w:rFonts w:ascii="Times New Roman" w:hAnsi="Times New Roman" w:eastAsia="宋体" w:cs="Times New Roman"/>
      <w:sz w:val="20"/>
      <w:szCs w:val="20"/>
    </w:rPr>
  </w:style>
  <w:style w:type="paragraph" w:customStyle="1" w:styleId="36">
    <w:name w:val="WPSOffice手动目录 3"/>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9c1869a-9d91-430b-a30b-65bd18ce9912}"/>
        <w:style w:val=""/>
        <w:category>
          <w:name w:val="常规"/>
          <w:gallery w:val="placeholder"/>
        </w:category>
        <w:types>
          <w:type w:val="bbPlcHdr"/>
        </w:types>
        <w:behaviors>
          <w:behavior w:val="content"/>
        </w:behaviors>
        <w:description w:val=""/>
        <w:guid w:val="{d9c1869a-9d91-430b-a30b-65bd18ce9912}"/>
      </w:docPartPr>
      <w:docPartBody>
        <w:p>
          <w:r>
            <w:rPr>
              <w:color w:val="808080"/>
            </w:rPr>
            <w:t>单击此处输入文字。</w:t>
          </w:r>
        </w:p>
      </w:docPartBody>
    </w:docPart>
    <w:docPart>
      <w:docPartPr>
        <w:name w:val="{cb8647da-2a2c-42a3-8355-db8ef7d4c952}"/>
        <w:style w:val=""/>
        <w:category>
          <w:name w:val="常规"/>
          <w:gallery w:val="placeholder"/>
        </w:category>
        <w:types>
          <w:type w:val="bbPlcHdr"/>
        </w:types>
        <w:behaviors>
          <w:behavior w:val="content"/>
        </w:behaviors>
        <w:description w:val=""/>
        <w:guid w:val="{cb8647da-2a2c-42a3-8355-db8ef7d4c952}"/>
      </w:docPartPr>
      <w:docPartBody>
        <w:p>
          <w:r>
            <w:rPr>
              <w:color w:val="808080"/>
            </w:rPr>
            <w:t>单击此处输入文字。</w:t>
          </w:r>
        </w:p>
      </w:docPartBody>
    </w:docPart>
    <w:docPart>
      <w:docPartPr>
        <w:name w:val="{19a26ba9-9459-4787-a3de-ab8b7ee4645a}"/>
        <w:style w:val=""/>
        <w:category>
          <w:name w:val="常规"/>
          <w:gallery w:val="placeholder"/>
        </w:category>
        <w:types>
          <w:type w:val="bbPlcHdr"/>
        </w:types>
        <w:behaviors>
          <w:behavior w:val="content"/>
        </w:behaviors>
        <w:description w:val=""/>
        <w:guid w:val="{19a26ba9-9459-4787-a3de-ab8b7ee4645a}"/>
      </w:docPartPr>
      <w:docPartBody>
        <w:p>
          <w:r>
            <w:rPr>
              <w:color w:val="808080"/>
            </w:rPr>
            <w:t>单击此处输入文字。</w:t>
          </w:r>
        </w:p>
      </w:docPartBody>
    </w:docPart>
    <w:docPart>
      <w:docPartPr>
        <w:name w:val="{45c2ac64-caba-4ec5-a967-431f65cb8d25}"/>
        <w:style w:val=""/>
        <w:category>
          <w:name w:val="常规"/>
          <w:gallery w:val="placeholder"/>
        </w:category>
        <w:types>
          <w:type w:val="bbPlcHdr"/>
        </w:types>
        <w:behaviors>
          <w:behavior w:val="content"/>
        </w:behaviors>
        <w:description w:val=""/>
        <w:guid w:val="{45c2ac64-caba-4ec5-a967-431f65cb8d25}"/>
      </w:docPartPr>
      <w:docPartBody>
        <w:p>
          <w:r>
            <w:rPr>
              <w:color w:val="808080"/>
            </w:rPr>
            <w:t>单击此处输入文字。</w:t>
          </w:r>
        </w:p>
      </w:docPartBody>
    </w:docPart>
    <w:docPart>
      <w:docPartPr>
        <w:name w:val="{75a6f998-7ce5-46ec-a37f-d9155a04e541}"/>
        <w:style w:val=""/>
        <w:category>
          <w:name w:val="常规"/>
          <w:gallery w:val="placeholder"/>
        </w:category>
        <w:types>
          <w:type w:val="bbPlcHdr"/>
        </w:types>
        <w:behaviors>
          <w:behavior w:val="content"/>
        </w:behaviors>
        <w:description w:val=""/>
        <w:guid w:val="{75a6f998-7ce5-46ec-a37f-d9155a04e541}"/>
      </w:docPartPr>
      <w:docPartBody>
        <w:p>
          <w:r>
            <w:rPr>
              <w:color w:val="808080"/>
            </w:rPr>
            <w:t>单击此处输入文字。</w:t>
          </w:r>
        </w:p>
      </w:docPartBody>
    </w:docPart>
    <w:docPart>
      <w:docPartPr>
        <w:name w:val="{eb448813-d7fb-4af0-86ab-d95b588f58d5}"/>
        <w:style w:val=""/>
        <w:category>
          <w:name w:val="常规"/>
          <w:gallery w:val="placeholder"/>
        </w:category>
        <w:types>
          <w:type w:val="bbPlcHdr"/>
        </w:types>
        <w:behaviors>
          <w:behavior w:val="content"/>
        </w:behaviors>
        <w:description w:val=""/>
        <w:guid w:val="{eb448813-d7fb-4af0-86ab-d95b588f58d5}"/>
      </w:docPartPr>
      <w:docPartBody>
        <w:p>
          <w:r>
            <w:rPr>
              <w:color w:val="808080"/>
            </w:rPr>
            <w:t>单击此处输入文字。</w:t>
          </w:r>
        </w:p>
      </w:docPartBody>
    </w:docPart>
    <w:docPart>
      <w:docPartPr>
        <w:name w:val="{e4f5fbc9-ab04-4ca4-bd3f-52c605df0d70}"/>
        <w:style w:val=""/>
        <w:category>
          <w:name w:val="常规"/>
          <w:gallery w:val="placeholder"/>
        </w:category>
        <w:types>
          <w:type w:val="bbPlcHdr"/>
        </w:types>
        <w:behaviors>
          <w:behavior w:val="content"/>
        </w:behaviors>
        <w:description w:val=""/>
        <w:guid w:val="{e4f5fbc9-ab04-4ca4-bd3f-52c605df0d70}"/>
      </w:docPartPr>
      <w:docPartBody>
        <w:p>
          <w:r>
            <w:rPr>
              <w:color w:val="808080"/>
            </w:rPr>
            <w:t>单击此处输入文字。</w:t>
          </w:r>
        </w:p>
      </w:docPartBody>
    </w:docPart>
    <w:docPart>
      <w:docPartPr>
        <w:name w:val="{1276d664-c595-4fce-bbb9-3a7587142d35}"/>
        <w:style w:val=""/>
        <w:category>
          <w:name w:val="常规"/>
          <w:gallery w:val="placeholder"/>
        </w:category>
        <w:types>
          <w:type w:val="bbPlcHdr"/>
        </w:types>
        <w:behaviors>
          <w:behavior w:val="content"/>
        </w:behaviors>
        <w:description w:val=""/>
        <w:guid w:val="{1276d664-c595-4fce-bbb9-3a7587142d35}"/>
      </w:docPartPr>
      <w:docPartBody>
        <w:p>
          <w:r>
            <w:rPr>
              <w:color w:val="808080"/>
            </w:rPr>
            <w:t>单击此处输入文字。</w:t>
          </w:r>
        </w:p>
      </w:docPartBody>
    </w:docPart>
    <w:docPart>
      <w:docPartPr>
        <w:name w:val="{cc0875a5-ec18-465b-b8ef-08460af772a8}"/>
        <w:style w:val=""/>
        <w:category>
          <w:name w:val="常规"/>
          <w:gallery w:val="placeholder"/>
        </w:category>
        <w:types>
          <w:type w:val="bbPlcHdr"/>
        </w:types>
        <w:behaviors>
          <w:behavior w:val="content"/>
        </w:behaviors>
        <w:description w:val=""/>
        <w:guid w:val="{cc0875a5-ec18-465b-b8ef-08460af772a8}"/>
      </w:docPartPr>
      <w:docPartBody>
        <w:p>
          <w:r>
            <w:rPr>
              <w:color w:val="808080"/>
            </w:rPr>
            <w:t>单击此处输入文字。</w:t>
          </w:r>
        </w:p>
      </w:docPartBody>
    </w:docPart>
    <w:docPart>
      <w:docPartPr>
        <w:name w:val="{29d5b7ac-5914-4a50-b477-eee29ce6e312}"/>
        <w:style w:val=""/>
        <w:category>
          <w:name w:val="常规"/>
          <w:gallery w:val="placeholder"/>
        </w:category>
        <w:types>
          <w:type w:val="bbPlcHdr"/>
        </w:types>
        <w:behaviors>
          <w:behavior w:val="content"/>
        </w:behaviors>
        <w:description w:val=""/>
        <w:guid w:val="{29d5b7ac-5914-4a50-b477-eee29ce6e312}"/>
      </w:docPartPr>
      <w:docPartBody>
        <w:p>
          <w:r>
            <w:rPr>
              <w:color w:val="808080"/>
            </w:rPr>
            <w:t>单击此处输入文字。</w:t>
          </w:r>
        </w:p>
      </w:docPartBody>
    </w:docPart>
    <w:docPart>
      <w:docPartPr>
        <w:name w:val="{840b8a2e-6a74-4d67-9297-991d72adfcc3}"/>
        <w:style w:val=""/>
        <w:category>
          <w:name w:val="常规"/>
          <w:gallery w:val="placeholder"/>
        </w:category>
        <w:types>
          <w:type w:val="bbPlcHdr"/>
        </w:types>
        <w:behaviors>
          <w:behavior w:val="content"/>
        </w:behaviors>
        <w:description w:val=""/>
        <w:guid w:val="{840b8a2e-6a74-4d67-9297-991d72adfcc3}"/>
      </w:docPartPr>
      <w:docPartBody>
        <w:p>
          <w:r>
            <w:rPr>
              <w:color w:val="808080"/>
            </w:rPr>
            <w:t>单击此处输入文字。</w:t>
          </w:r>
        </w:p>
      </w:docPartBody>
    </w:docPart>
    <w:docPart>
      <w:docPartPr>
        <w:name w:val="{110233a5-8a17-488b-954c-437cff5bf8f9}"/>
        <w:style w:val=""/>
        <w:category>
          <w:name w:val="常规"/>
          <w:gallery w:val="placeholder"/>
        </w:category>
        <w:types>
          <w:type w:val="bbPlcHdr"/>
        </w:types>
        <w:behaviors>
          <w:behavior w:val="content"/>
        </w:behaviors>
        <w:description w:val=""/>
        <w:guid w:val="{110233a5-8a17-488b-954c-437cff5bf8f9}"/>
      </w:docPartPr>
      <w:docPartBody>
        <w:p>
          <w:r>
            <w:rPr>
              <w:color w:val="808080"/>
            </w:rPr>
            <w:t>单击此处输入文字。</w:t>
          </w:r>
        </w:p>
      </w:docPartBody>
    </w:docPart>
    <w:docPart>
      <w:docPartPr>
        <w:name w:val="{7c717c8c-42fc-46db-807f-088fdf11994e}"/>
        <w:style w:val=""/>
        <w:category>
          <w:name w:val="常规"/>
          <w:gallery w:val="placeholder"/>
        </w:category>
        <w:types>
          <w:type w:val="bbPlcHdr"/>
        </w:types>
        <w:behaviors>
          <w:behavior w:val="content"/>
        </w:behaviors>
        <w:description w:val=""/>
        <w:guid w:val="{7c717c8c-42fc-46db-807f-088fdf11994e}"/>
      </w:docPartPr>
      <w:docPartBody>
        <w:p>
          <w:r>
            <w:rPr>
              <w:color w:val="808080"/>
            </w:rPr>
            <w:t>单击此处输入文字。</w:t>
          </w:r>
        </w:p>
      </w:docPartBody>
    </w:docPart>
    <w:docPart>
      <w:docPartPr>
        <w:name w:val="{b1b7782d-534b-4e7a-827a-1c45c27ceda4}"/>
        <w:style w:val=""/>
        <w:category>
          <w:name w:val="常规"/>
          <w:gallery w:val="placeholder"/>
        </w:category>
        <w:types>
          <w:type w:val="bbPlcHdr"/>
        </w:types>
        <w:behaviors>
          <w:behavior w:val="content"/>
        </w:behaviors>
        <w:description w:val=""/>
        <w:guid w:val="{b1b7782d-534b-4e7a-827a-1c45c27ceda4}"/>
      </w:docPartPr>
      <w:docPartBody>
        <w:p>
          <w:r>
            <w:rPr>
              <w:color w:val="808080"/>
            </w:rPr>
            <w:t>单击此处输入文字。</w:t>
          </w:r>
        </w:p>
      </w:docPartBody>
    </w:docPart>
    <w:docPart>
      <w:docPartPr>
        <w:name w:val="{fc2304b3-351c-46eb-95c4-b5f9201bcbe4}"/>
        <w:style w:val=""/>
        <w:category>
          <w:name w:val="常规"/>
          <w:gallery w:val="placeholder"/>
        </w:category>
        <w:types>
          <w:type w:val="bbPlcHdr"/>
        </w:types>
        <w:behaviors>
          <w:behavior w:val="content"/>
        </w:behaviors>
        <w:description w:val=""/>
        <w:guid w:val="{fc2304b3-351c-46eb-95c4-b5f9201bcbe4}"/>
      </w:docPartPr>
      <w:docPartBody>
        <w:p>
          <w:r>
            <w:rPr>
              <w:color w:val="808080"/>
            </w:rPr>
            <w:t>单击此处输入文字。</w:t>
          </w:r>
        </w:p>
      </w:docPartBody>
    </w:docPart>
    <w:docPart>
      <w:docPartPr>
        <w:name w:val="{2a64b525-533a-409c-b880-deb32e95d830}"/>
        <w:style w:val=""/>
        <w:category>
          <w:name w:val="常规"/>
          <w:gallery w:val="placeholder"/>
        </w:category>
        <w:types>
          <w:type w:val="bbPlcHdr"/>
        </w:types>
        <w:behaviors>
          <w:behavior w:val="content"/>
        </w:behaviors>
        <w:description w:val=""/>
        <w:guid w:val="{2a64b525-533a-409c-b880-deb32e95d830}"/>
      </w:docPartPr>
      <w:docPartBody>
        <w:p>
          <w:r>
            <w:rPr>
              <w:color w:val="808080"/>
            </w:rPr>
            <w:t>单击此处输入文字。</w:t>
          </w:r>
        </w:p>
      </w:docPartBody>
    </w:docPart>
    <w:docPart>
      <w:docPartPr>
        <w:name w:val="{d40383e1-623a-4d39-b38c-70e3f2f9073f}"/>
        <w:style w:val=""/>
        <w:category>
          <w:name w:val="常规"/>
          <w:gallery w:val="placeholder"/>
        </w:category>
        <w:types>
          <w:type w:val="bbPlcHdr"/>
        </w:types>
        <w:behaviors>
          <w:behavior w:val="content"/>
        </w:behaviors>
        <w:description w:val=""/>
        <w:guid w:val="{d40383e1-623a-4d39-b38c-70e3f2f9073f}"/>
      </w:docPartPr>
      <w:docPartBody>
        <w:p>
          <w:r>
            <w:rPr>
              <w:color w:val="808080"/>
            </w:rPr>
            <w:t>单击此处输入文字。</w:t>
          </w:r>
        </w:p>
      </w:docPartBody>
    </w:docPart>
    <w:docPart>
      <w:docPartPr>
        <w:name w:val="{21b808c6-5520-40ff-844a-e42e253b61ce}"/>
        <w:style w:val=""/>
        <w:category>
          <w:name w:val="常规"/>
          <w:gallery w:val="placeholder"/>
        </w:category>
        <w:types>
          <w:type w:val="bbPlcHdr"/>
        </w:types>
        <w:behaviors>
          <w:behavior w:val="content"/>
        </w:behaviors>
        <w:description w:val=""/>
        <w:guid w:val="{21b808c6-5520-40ff-844a-e42e253b61ce}"/>
      </w:docPartPr>
      <w:docPartBody>
        <w:p>
          <w:r>
            <w:rPr>
              <w:color w:val="808080"/>
            </w:rPr>
            <w:t>单击此处输入文字。</w:t>
          </w:r>
        </w:p>
      </w:docPartBody>
    </w:docPart>
    <w:docPart>
      <w:docPartPr>
        <w:name w:val="{4dd1141c-2eb0-465c-9b2a-120032e45067}"/>
        <w:style w:val=""/>
        <w:category>
          <w:name w:val="常规"/>
          <w:gallery w:val="placeholder"/>
        </w:category>
        <w:types>
          <w:type w:val="bbPlcHdr"/>
        </w:types>
        <w:behaviors>
          <w:behavior w:val="content"/>
        </w:behaviors>
        <w:description w:val=""/>
        <w:guid w:val="{4dd1141c-2eb0-465c-9b2a-120032e45067}"/>
      </w:docPartPr>
      <w:docPartBody>
        <w:p>
          <w:r>
            <w:rPr>
              <w:color w:val="808080"/>
            </w:rPr>
            <w:t>单击此处输入文字。</w:t>
          </w:r>
        </w:p>
      </w:docPartBody>
    </w:docPart>
    <w:docPart>
      <w:docPartPr>
        <w:name w:val="{39b58d9a-52b9-46b1-a19d-33555d91af4e}"/>
        <w:style w:val=""/>
        <w:category>
          <w:name w:val="常规"/>
          <w:gallery w:val="placeholder"/>
        </w:category>
        <w:types>
          <w:type w:val="bbPlcHdr"/>
        </w:types>
        <w:behaviors>
          <w:behavior w:val="content"/>
        </w:behaviors>
        <w:description w:val=""/>
        <w:guid w:val="{39b58d9a-52b9-46b1-a19d-33555d91af4e}"/>
      </w:docPartPr>
      <w:docPartBody>
        <w:p>
          <w:r>
            <w:rPr>
              <w:color w:val="808080"/>
            </w:rPr>
            <w:t>单击此处输入文字。</w:t>
          </w:r>
        </w:p>
      </w:docPartBody>
    </w:docPart>
    <w:docPart>
      <w:docPartPr>
        <w:name w:val="{e6ff42bf-099f-470b-a872-c861d73f8084}"/>
        <w:style w:val=""/>
        <w:category>
          <w:name w:val="常规"/>
          <w:gallery w:val="placeholder"/>
        </w:category>
        <w:types>
          <w:type w:val="bbPlcHdr"/>
        </w:types>
        <w:behaviors>
          <w:behavior w:val="content"/>
        </w:behaviors>
        <w:description w:val=""/>
        <w:guid w:val="{e6ff42bf-099f-470b-a872-c861d73f8084}"/>
      </w:docPartPr>
      <w:docPartBody>
        <w:p>
          <w:r>
            <w:rPr>
              <w:color w:val="808080"/>
            </w:rPr>
            <w:t>单击此处输入文字。</w:t>
          </w:r>
        </w:p>
      </w:docPartBody>
    </w:docPart>
    <w:docPart>
      <w:docPartPr>
        <w:name w:val="{e7c64d3d-3ef4-474b-acfe-97b74ecd1d76}"/>
        <w:style w:val=""/>
        <w:category>
          <w:name w:val="常规"/>
          <w:gallery w:val="placeholder"/>
        </w:category>
        <w:types>
          <w:type w:val="bbPlcHdr"/>
        </w:types>
        <w:behaviors>
          <w:behavior w:val="content"/>
        </w:behaviors>
        <w:description w:val=""/>
        <w:guid w:val="{e7c64d3d-3ef4-474b-acfe-97b74ecd1d76}"/>
      </w:docPartPr>
      <w:docPartBody>
        <w:p>
          <w:r>
            <w:rPr>
              <w:color w:val="808080"/>
            </w:rPr>
            <w:t>单击此处输入文字。</w:t>
          </w:r>
        </w:p>
      </w:docPartBody>
    </w:docPart>
    <w:docPart>
      <w:docPartPr>
        <w:name w:val="{d7cefdcc-988b-41df-91a4-c9a4ab5f3944}"/>
        <w:style w:val=""/>
        <w:category>
          <w:name w:val="常规"/>
          <w:gallery w:val="placeholder"/>
        </w:category>
        <w:types>
          <w:type w:val="bbPlcHdr"/>
        </w:types>
        <w:behaviors>
          <w:behavior w:val="content"/>
        </w:behaviors>
        <w:description w:val=""/>
        <w:guid w:val="{d7cefdcc-988b-41df-91a4-c9a4ab5f3944}"/>
      </w:docPartPr>
      <w:docPartBody>
        <w:p>
          <w:r>
            <w:rPr>
              <w:color w:val="808080"/>
            </w:rPr>
            <w:t>单击此处输入文字。</w:t>
          </w:r>
        </w:p>
      </w:docPartBody>
    </w:docPart>
    <w:docPart>
      <w:docPartPr>
        <w:name w:val="{1d8838eb-5963-426b-918c-faa7271b3ea4}"/>
        <w:style w:val=""/>
        <w:category>
          <w:name w:val="常规"/>
          <w:gallery w:val="placeholder"/>
        </w:category>
        <w:types>
          <w:type w:val="bbPlcHdr"/>
        </w:types>
        <w:behaviors>
          <w:behavior w:val="content"/>
        </w:behaviors>
        <w:description w:val=""/>
        <w:guid w:val="{1d8838eb-5963-426b-918c-faa7271b3ea4}"/>
      </w:docPartPr>
      <w:docPartBody>
        <w:p>
          <w:r>
            <w:rPr>
              <w:color w:val="808080"/>
            </w:rPr>
            <w:t>单击此处输入文字。</w:t>
          </w:r>
        </w:p>
      </w:docPartBody>
    </w:docPart>
    <w:docPart>
      <w:docPartPr>
        <w:name w:val="{64564c0b-4fd7-43f5-83b2-375c316f57cd}"/>
        <w:style w:val=""/>
        <w:category>
          <w:name w:val="常规"/>
          <w:gallery w:val="placeholder"/>
        </w:category>
        <w:types>
          <w:type w:val="bbPlcHdr"/>
        </w:types>
        <w:behaviors>
          <w:behavior w:val="content"/>
        </w:behaviors>
        <w:description w:val=""/>
        <w:guid w:val="{64564c0b-4fd7-43f5-83b2-375c316f57cd}"/>
      </w:docPartPr>
      <w:docPartBody>
        <w:p>
          <w:r>
            <w:rPr>
              <w:color w:val="808080"/>
            </w:rPr>
            <w:t>单击此处输入文字。</w:t>
          </w:r>
        </w:p>
      </w:docPartBody>
    </w:docPart>
    <w:docPart>
      <w:docPartPr>
        <w:name w:val="{e0a40823-8fb5-40d3-8b5d-e4fc7704e1b8}"/>
        <w:style w:val=""/>
        <w:category>
          <w:name w:val="常规"/>
          <w:gallery w:val="placeholder"/>
        </w:category>
        <w:types>
          <w:type w:val="bbPlcHdr"/>
        </w:types>
        <w:behaviors>
          <w:behavior w:val="content"/>
        </w:behaviors>
        <w:description w:val=""/>
        <w:guid w:val="{e0a40823-8fb5-40d3-8b5d-e4fc7704e1b8}"/>
      </w:docPartPr>
      <w:docPartBody>
        <w:p>
          <w:r>
            <w:rPr>
              <w:color w:val="808080"/>
            </w:rPr>
            <w:t>单击此处输入文字。</w:t>
          </w:r>
        </w:p>
      </w:docPartBody>
    </w:docPart>
    <w:docPart>
      <w:docPartPr>
        <w:name w:val="{73f82e53-2209-4ca6-b68b-59f7e546526d}"/>
        <w:style w:val=""/>
        <w:category>
          <w:name w:val="常规"/>
          <w:gallery w:val="placeholder"/>
        </w:category>
        <w:types>
          <w:type w:val="bbPlcHdr"/>
        </w:types>
        <w:behaviors>
          <w:behavior w:val="content"/>
        </w:behaviors>
        <w:description w:val=""/>
        <w:guid w:val="{73f82e53-2209-4ca6-b68b-59f7e546526d}"/>
      </w:docPartPr>
      <w:docPartBody>
        <w:p>
          <w:r>
            <w:rPr>
              <w:color w:val="808080"/>
            </w:rPr>
            <w:t>单击此处输入文字。</w:t>
          </w:r>
        </w:p>
      </w:docPartBody>
    </w:docPart>
    <w:docPart>
      <w:docPartPr>
        <w:name w:val="{be876450-9d9d-47c5-89c9-baf65b417d17}"/>
        <w:style w:val=""/>
        <w:category>
          <w:name w:val="常规"/>
          <w:gallery w:val="placeholder"/>
        </w:category>
        <w:types>
          <w:type w:val="bbPlcHdr"/>
        </w:types>
        <w:behaviors>
          <w:behavior w:val="content"/>
        </w:behaviors>
        <w:description w:val=""/>
        <w:guid w:val="{be876450-9d9d-47c5-89c9-baf65b417d17}"/>
      </w:docPartPr>
      <w:docPartBody>
        <w:p>
          <w:r>
            <w:rPr>
              <w:color w:val="808080"/>
            </w:rPr>
            <w:t>单击此处输入文字。</w:t>
          </w:r>
        </w:p>
      </w:docPartBody>
    </w:docPart>
    <w:docPart>
      <w:docPartPr>
        <w:name w:val="{c58df37b-048d-4e8a-8e22-54b4124be4e4}"/>
        <w:style w:val=""/>
        <w:category>
          <w:name w:val="常规"/>
          <w:gallery w:val="placeholder"/>
        </w:category>
        <w:types>
          <w:type w:val="bbPlcHdr"/>
        </w:types>
        <w:behaviors>
          <w:behavior w:val="content"/>
        </w:behaviors>
        <w:description w:val=""/>
        <w:guid w:val="{c58df37b-048d-4e8a-8e22-54b4124be4e4}"/>
      </w:docPartPr>
      <w:docPartBody>
        <w:p>
          <w:r>
            <w:rPr>
              <w:color w:val="808080"/>
            </w:rPr>
            <w:t>单击此处输入文字。</w:t>
          </w:r>
        </w:p>
      </w:docPartBody>
    </w:docPart>
    <w:docPart>
      <w:docPartPr>
        <w:name w:val="{3ff20fff-7ee7-4de4-b3af-25a0234f56b6}"/>
        <w:style w:val=""/>
        <w:category>
          <w:name w:val="常规"/>
          <w:gallery w:val="placeholder"/>
        </w:category>
        <w:types>
          <w:type w:val="bbPlcHdr"/>
        </w:types>
        <w:behaviors>
          <w:behavior w:val="content"/>
        </w:behaviors>
        <w:description w:val=""/>
        <w:guid w:val="{3ff20fff-7ee7-4de4-b3af-25a0234f56b6}"/>
      </w:docPartPr>
      <w:docPartBody>
        <w:p>
          <w:r>
            <w:rPr>
              <w:color w:val="808080"/>
            </w:rPr>
            <w:t>单击此处输入文字。</w:t>
          </w:r>
        </w:p>
      </w:docPartBody>
    </w:docPart>
    <w:docPart>
      <w:docPartPr>
        <w:name w:val="{a10efe3f-7a99-488d-9688-30607c33d3ae}"/>
        <w:style w:val=""/>
        <w:category>
          <w:name w:val="常规"/>
          <w:gallery w:val="placeholder"/>
        </w:category>
        <w:types>
          <w:type w:val="bbPlcHdr"/>
        </w:types>
        <w:behaviors>
          <w:behavior w:val="content"/>
        </w:behaviors>
        <w:description w:val=""/>
        <w:guid w:val="{a10efe3f-7a99-488d-9688-30607c33d3ae}"/>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9B78A8-CECF-4704-8E09-F5F882B437AE}">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8055</Words>
  <Characters>8609</Characters>
  <Lines>62</Lines>
  <Paragraphs>17</Paragraphs>
  <TotalTime>10</TotalTime>
  <ScaleCrop>false</ScaleCrop>
  <LinksUpToDate>false</LinksUpToDate>
  <CharactersWithSpaces>8674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胡继文</cp:lastModifiedBy>
  <cp:lastPrinted>2019-08-01T00:48:00Z</cp:lastPrinted>
  <dcterms:modified xsi:type="dcterms:W3CDTF">2021-10-22T07:01:14Z</dcterms:modified>
  <dc:title>四川省***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B69567D120FD406A8C188F3496F6BAB8</vt:lpwstr>
  </property>
</Properties>
</file>