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jc w:val="center"/>
        <w:rPr>
          <w:rFonts w:ascii="黑体" w:hAnsi="黑体" w:eastAsia="黑体"/>
          <w:sz w:val="72"/>
          <w:szCs w:val="72"/>
        </w:rPr>
      </w:pPr>
      <w:bookmarkStart w:id="1" w:name="_Toc15378441"/>
      <w:bookmarkStart w:id="2" w:name="_Toc15396597"/>
      <w:bookmarkStart w:id="3" w:name="_Toc15396475"/>
      <w:bookmarkStart w:id="4" w:name="_Toc15377425"/>
      <w:bookmarkStart w:id="5" w:name="_Toc15377193"/>
      <w:r>
        <w:rPr>
          <w:rFonts w:ascii="黑体" w:hAnsi="黑体" w:eastAsia="黑体"/>
          <w:sz w:val="72"/>
          <w:szCs w:val="72"/>
        </w:rPr>
        <w:t>202</w:t>
      </w:r>
      <w:r>
        <w:rPr>
          <w:rFonts w:hint="eastAsia" w:ascii="黑体" w:hAnsi="黑体" w:eastAsia="黑体"/>
          <w:sz w:val="72"/>
          <w:szCs w:val="72"/>
        </w:rPr>
        <w:t>1年度</w:t>
      </w:r>
      <w:bookmarkEnd w:id="1"/>
      <w:bookmarkEnd w:id="2"/>
      <w:bookmarkEnd w:id="3"/>
      <w:bookmarkEnd w:id="4"/>
      <w:bookmarkEnd w:id="5"/>
    </w:p>
    <w:bookmarkEnd w:id="0"/>
    <w:p>
      <w:pPr>
        <w:jc w:val="center"/>
        <w:rPr>
          <w:rFonts w:ascii="方正小标宋简体" w:eastAsia="方正小标宋简体"/>
          <w:sz w:val="72"/>
          <w:szCs w:val="72"/>
        </w:rPr>
      </w:pPr>
      <w:bookmarkStart w:id="6" w:name="_Toc15396598"/>
      <w:bookmarkStart w:id="7" w:name="_Toc15378442"/>
      <w:bookmarkStart w:id="8" w:name="_Toc15377426"/>
      <w:bookmarkStart w:id="9" w:name="_Toc15306268"/>
      <w:bookmarkStart w:id="10" w:name="_Toc15396476"/>
      <w:bookmarkStart w:id="11" w:name="_Toc15377194"/>
      <w:r>
        <w:rPr>
          <w:rFonts w:hint="eastAsia" w:ascii="方正小标宋简体" w:eastAsia="方正小标宋简体"/>
          <w:sz w:val="72"/>
          <w:szCs w:val="72"/>
          <w:lang w:eastAsia="zh-CN"/>
        </w:rPr>
        <w:t>阿坝州壤塘县三郎寺寺庙管理委员会</w:t>
      </w:r>
      <w:r>
        <w:rPr>
          <w:rFonts w:hint="eastAsia" w:ascii="方正小标宋简体" w:eastAsia="方正小标宋简体"/>
          <w:sz w:val="72"/>
          <w:szCs w:val="72"/>
        </w:rPr>
        <w:t>部门决算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pStyle w:val="2"/>
        <w:rPr>
          <w:rFonts w:ascii="方正小标宋简体" w:hAnsi="宋体" w:eastAsia="方正小标宋简体"/>
          <w:sz w:val="36"/>
          <w:szCs w:val="36"/>
        </w:rPr>
      </w:pPr>
    </w:p>
    <w:p>
      <w:pPr>
        <w:rPr>
          <w:rFonts w:ascii="方正小标宋简体" w:hAnsi="宋体" w:eastAsia="方正小标宋简体"/>
          <w:sz w:val="36"/>
          <w:szCs w:val="36"/>
        </w:rPr>
      </w:pPr>
    </w:p>
    <w:p>
      <w:pPr>
        <w:pStyle w:val="2"/>
        <w:rPr>
          <w:rFonts w:ascii="方正小标宋简体" w:hAnsi="宋体" w:eastAsia="方正小标宋简体"/>
          <w:sz w:val="36"/>
          <w:szCs w:val="36"/>
        </w:rPr>
      </w:pPr>
    </w:p>
    <w:p/>
    <w:p>
      <w:pPr>
        <w:rPr>
          <w:rFonts w:ascii="方正小标宋简体" w:hAnsi="宋体" w:eastAsia="方正小标宋简体"/>
          <w:sz w:val="36"/>
          <w:szCs w:val="36"/>
        </w:rPr>
      </w:pPr>
    </w:p>
    <w:p>
      <w:pPr>
        <w:widowControl/>
        <w:jc w:val="center"/>
        <w:rPr>
          <w:rFonts w:hint="eastAsia" w:ascii="黑体" w:hAnsi="黑体" w:eastAsia="黑体"/>
          <w:color w:val="000000"/>
          <w:sz w:val="48"/>
          <w:szCs w:val="48"/>
        </w:rPr>
      </w:pPr>
    </w:p>
    <w:p>
      <w:pPr>
        <w:widowControl/>
        <w:jc w:val="center"/>
        <w:rPr>
          <w:rFonts w:hint="eastAsia" w:ascii="黑体" w:hAnsi="黑体" w:eastAsia="黑体"/>
          <w:color w:val="000000"/>
          <w:sz w:val="48"/>
          <w:szCs w:val="48"/>
        </w:rPr>
      </w:pPr>
    </w:p>
    <w:p>
      <w:pPr>
        <w:widowControl/>
        <w:jc w:val="center"/>
        <w:rPr>
          <w:rFonts w:hint="eastAsia" w:ascii="黑体" w:hAnsi="黑体" w:eastAsia="黑体"/>
          <w:color w:val="000000"/>
          <w:sz w:val="48"/>
          <w:szCs w:val="48"/>
        </w:rPr>
      </w:pPr>
    </w:p>
    <w:p>
      <w:pPr>
        <w:widowControl/>
        <w:jc w:val="center"/>
        <w:rPr>
          <w:rFonts w:ascii="黑体" w:hAnsi="黑体" w:eastAsia="黑体"/>
          <w:color w:val="000000"/>
          <w:sz w:val="48"/>
          <w:szCs w:val="48"/>
        </w:rPr>
      </w:pPr>
      <w:r>
        <w:rPr>
          <w:rFonts w:hint="eastAsia" w:ascii="黑体" w:hAnsi="黑体" w:eastAsia="黑体"/>
          <w:color w:val="000000"/>
          <w:sz w:val="48"/>
          <w:szCs w:val="48"/>
        </w:rPr>
        <w:t>目录</w:t>
      </w:r>
    </w:p>
    <w:p>
      <w:pPr>
        <w:pStyle w:val="15"/>
        <w:jc w:val="center"/>
        <w:rPr>
          <w:rFonts w:hAnsiTheme="minorHAnsi"/>
          <w:b w:val="0"/>
          <w:bCs w:val="0"/>
          <w:sz w:val="24"/>
          <w:szCs w:val="24"/>
        </w:rPr>
      </w:pPr>
      <w:r>
        <w:rPr>
          <w:rFonts w:hint="eastAsia" w:hAnsiTheme="minorHAnsi"/>
          <w:b w:val="0"/>
          <w:bCs w:val="0"/>
          <w:sz w:val="24"/>
          <w:szCs w:val="24"/>
        </w:rPr>
        <w:t>公开时间：2022年</w:t>
      </w:r>
      <w:r>
        <w:rPr>
          <w:rFonts w:hint="eastAsia" w:hAnsiTheme="minorHAnsi"/>
          <w:b w:val="0"/>
          <w:bCs w:val="0"/>
          <w:sz w:val="24"/>
          <w:szCs w:val="24"/>
          <w:lang w:val="en-US" w:eastAsia="zh-CN"/>
        </w:rPr>
        <w:t>10</w:t>
      </w:r>
      <w:r>
        <w:rPr>
          <w:rFonts w:hint="eastAsia" w:hAnsiTheme="minorHAnsi"/>
          <w:b w:val="0"/>
          <w:bCs w:val="0"/>
          <w:sz w:val="24"/>
          <w:szCs w:val="24"/>
        </w:rPr>
        <w:t>月</w:t>
      </w:r>
      <w:r>
        <w:rPr>
          <w:rFonts w:hint="eastAsia" w:hAnsiTheme="minorHAnsi"/>
          <w:b w:val="0"/>
          <w:bCs w:val="0"/>
          <w:sz w:val="24"/>
          <w:szCs w:val="24"/>
          <w:lang w:val="en-US" w:eastAsia="zh-CN"/>
        </w:rPr>
        <w:t>20</w:t>
      </w:r>
      <w:r>
        <w:rPr>
          <w:rFonts w:hint="eastAsia" w:hAnsiTheme="minorHAnsi"/>
          <w:b w:val="0"/>
          <w:bCs w:val="0"/>
          <w:sz w:val="24"/>
          <w:szCs w:val="24"/>
        </w:rPr>
        <w:t>日</w:t>
      </w:r>
    </w:p>
    <w:p>
      <w:pPr>
        <w:pStyle w:val="15"/>
        <w:tabs>
          <w:tab w:val="right" w:leader="dot" w:pos="8296"/>
        </w:tabs>
        <w:rPr>
          <w:rFonts w:hAnsiTheme="minorHAnsi" w:eastAsiaTheme="minorEastAsia" w:cstheme="minorBidi"/>
          <w:b w:val="0"/>
          <w:bCs w:val="0"/>
          <w:caps w:val="0"/>
          <w:sz w:val="21"/>
          <w:szCs w:val="22"/>
        </w:rPr>
      </w:pPr>
      <w:r>
        <w:rPr>
          <w:b w:val="0"/>
          <w:bCs w:val="0"/>
          <w:caps w:val="0"/>
        </w:rPr>
        <w:fldChar w:fldCharType="begin"/>
      </w:r>
      <w:r>
        <w:rPr>
          <w:b w:val="0"/>
          <w:bCs w:val="0"/>
          <w:caps w:val="0"/>
        </w:rPr>
        <w:instrText xml:space="preserve"> TOC \o \u </w:instrText>
      </w:r>
      <w:r>
        <w:rPr>
          <w:b w:val="0"/>
          <w:bCs w:val="0"/>
          <w:caps w:val="0"/>
        </w:rPr>
        <w:fldChar w:fldCharType="separate"/>
      </w:r>
      <w:r>
        <w:rPr>
          <w:rFonts w:ascii="黑体" w:hAnsi="黑体" w:eastAsia="黑体"/>
          <w:b w:val="0"/>
        </w:rPr>
        <w:t xml:space="preserve">第一部分 </w:t>
      </w:r>
      <w:r>
        <w:rPr>
          <w:rFonts w:ascii="黑体" w:hAnsi="黑体" w:eastAsia="黑体"/>
          <w:b w:val="0"/>
          <w:bCs w:val="0"/>
        </w:rPr>
        <w:t>部门概况</w:t>
      </w:r>
      <w:r>
        <w:tab/>
      </w:r>
      <w:r>
        <w:fldChar w:fldCharType="begin"/>
      </w:r>
      <w:r>
        <w:instrText xml:space="preserve"> PAGEREF _Toc79163851 \h </w:instrText>
      </w:r>
      <w:r>
        <w:fldChar w:fldCharType="separate"/>
      </w:r>
      <w:r>
        <w:t>5</w:t>
      </w:r>
      <w:r>
        <w:fldChar w:fldCharType="end"/>
      </w:r>
    </w:p>
    <w:p>
      <w:pPr>
        <w:pStyle w:val="18"/>
        <w:tabs>
          <w:tab w:val="right" w:leader="dot" w:pos="8296"/>
        </w:tabs>
        <w:rPr>
          <w:rFonts w:hAnsiTheme="minorHAnsi" w:eastAsiaTheme="minorEastAsia" w:cstheme="minorBidi"/>
          <w:smallCaps w:val="0"/>
          <w:sz w:val="21"/>
          <w:szCs w:val="22"/>
        </w:rPr>
      </w:pPr>
      <w:r>
        <w:rPr>
          <w:rFonts w:ascii="黑体" w:hAnsi="黑体" w:eastAsia="黑体"/>
          <w:color w:val="000000"/>
        </w:rPr>
        <w:t>一、基</w:t>
      </w:r>
      <w:r>
        <w:rPr>
          <w:rFonts w:ascii="黑体" w:hAnsi="黑体" w:eastAsia="黑体"/>
        </w:rPr>
        <w:t>本职能及主要工作</w:t>
      </w:r>
      <w:r>
        <w:tab/>
      </w:r>
      <w:r>
        <w:fldChar w:fldCharType="begin"/>
      </w:r>
      <w:r>
        <w:instrText xml:space="preserve"> PAGEREF _Toc79163852 \h </w:instrText>
      </w:r>
      <w:r>
        <w:fldChar w:fldCharType="separate"/>
      </w:r>
      <w:r>
        <w:t>5</w:t>
      </w:r>
      <w:r>
        <w:fldChar w:fldCharType="end"/>
      </w:r>
    </w:p>
    <w:p>
      <w:pPr>
        <w:pStyle w:val="10"/>
        <w:tabs>
          <w:tab w:val="right" w:leader="dot" w:pos="8296"/>
        </w:tabs>
        <w:rPr>
          <w:rFonts w:hAnsiTheme="minorHAnsi" w:eastAsiaTheme="minorEastAsia" w:cstheme="minorBidi"/>
          <w:i w:val="0"/>
          <w:iCs w:val="0"/>
          <w:sz w:val="21"/>
          <w:szCs w:val="22"/>
        </w:rPr>
      </w:pPr>
      <w:r>
        <w:rPr>
          <w:rFonts w:ascii="仿宋" w:hAnsi="仿宋" w:eastAsia="仿宋"/>
          <w:bCs/>
          <w:color w:val="000000"/>
        </w:rPr>
        <w:t>（一）主要职能。</w:t>
      </w:r>
      <w:r>
        <w:tab/>
      </w:r>
      <w:r>
        <w:fldChar w:fldCharType="begin"/>
      </w:r>
      <w:r>
        <w:instrText xml:space="preserve"> PAGEREF _Toc79163853 \h </w:instrText>
      </w:r>
      <w:r>
        <w:fldChar w:fldCharType="separate"/>
      </w:r>
      <w:r>
        <w:t>5</w:t>
      </w:r>
      <w:r>
        <w:fldChar w:fldCharType="end"/>
      </w:r>
    </w:p>
    <w:p>
      <w:pPr>
        <w:pStyle w:val="10"/>
        <w:tabs>
          <w:tab w:val="right" w:leader="dot" w:pos="8296"/>
        </w:tabs>
        <w:rPr>
          <w:rFonts w:hAnsiTheme="minorHAnsi" w:eastAsiaTheme="minorEastAsia" w:cstheme="minorBidi"/>
          <w:i w:val="0"/>
          <w:iCs w:val="0"/>
          <w:sz w:val="21"/>
          <w:szCs w:val="22"/>
        </w:rPr>
      </w:pPr>
      <w:r>
        <w:rPr>
          <w:rFonts w:ascii="仿宋" w:hAnsi="仿宋" w:eastAsia="仿宋"/>
          <w:bCs/>
          <w:color w:val="000000"/>
        </w:rPr>
        <w:t>（二）202</w:t>
      </w:r>
      <w:r>
        <w:rPr>
          <w:rFonts w:hint="eastAsia" w:ascii="仿宋" w:hAnsi="仿宋" w:eastAsia="仿宋"/>
          <w:bCs/>
          <w:color w:val="000000"/>
        </w:rPr>
        <w:t>1</w:t>
      </w:r>
      <w:r>
        <w:rPr>
          <w:rFonts w:ascii="仿宋" w:hAnsi="仿宋" w:eastAsia="仿宋"/>
          <w:bCs/>
          <w:color w:val="000000"/>
        </w:rPr>
        <w:t>年重点工作完成情况。</w:t>
      </w:r>
      <w:r>
        <w:tab/>
      </w:r>
      <w:r>
        <w:fldChar w:fldCharType="begin"/>
      </w:r>
      <w:r>
        <w:instrText xml:space="preserve"> PAGEREF _Toc79163854 \h </w:instrText>
      </w:r>
      <w:r>
        <w:fldChar w:fldCharType="separate"/>
      </w:r>
      <w:r>
        <w:t>6</w:t>
      </w:r>
      <w:r>
        <w:fldChar w:fldCharType="end"/>
      </w:r>
    </w:p>
    <w:p>
      <w:pPr>
        <w:pStyle w:val="18"/>
        <w:tabs>
          <w:tab w:val="right" w:leader="dot" w:pos="8296"/>
        </w:tabs>
        <w:rPr>
          <w:rFonts w:hAnsiTheme="minorHAnsi" w:eastAsiaTheme="minorEastAsia" w:cstheme="minorBidi"/>
          <w:smallCaps w:val="0"/>
          <w:sz w:val="21"/>
          <w:szCs w:val="22"/>
        </w:rPr>
      </w:pPr>
      <w:r>
        <w:rPr>
          <w:rFonts w:ascii="黑体" w:eastAsia="黑体"/>
          <w:color w:val="000000"/>
        </w:rPr>
        <w:t>二、</w:t>
      </w:r>
      <w:r>
        <w:rPr>
          <w:rFonts w:ascii="黑体" w:hAnsi="黑体" w:eastAsia="黑体"/>
          <w:color w:val="000000"/>
        </w:rPr>
        <w:t>机</w:t>
      </w:r>
      <w:r>
        <w:rPr>
          <w:rFonts w:ascii="黑体" w:hAnsi="黑体" w:eastAsia="黑体"/>
        </w:rPr>
        <w:t>构设置</w:t>
      </w:r>
      <w:r>
        <w:tab/>
      </w:r>
      <w:r>
        <w:fldChar w:fldCharType="begin"/>
      </w:r>
      <w:r>
        <w:instrText xml:space="preserve"> PAGEREF _Toc79163855 \h </w:instrText>
      </w:r>
      <w:r>
        <w:fldChar w:fldCharType="separate"/>
      </w:r>
      <w:r>
        <w:t>7</w:t>
      </w:r>
      <w:r>
        <w:fldChar w:fldCharType="end"/>
      </w:r>
    </w:p>
    <w:p>
      <w:pPr>
        <w:pStyle w:val="15"/>
        <w:tabs>
          <w:tab w:val="right" w:leader="dot" w:pos="8296"/>
        </w:tabs>
        <w:rPr>
          <w:rFonts w:hAnsiTheme="minorHAnsi" w:eastAsiaTheme="minorEastAsia" w:cstheme="minorBidi"/>
          <w:b w:val="0"/>
          <w:bCs w:val="0"/>
          <w:caps w:val="0"/>
          <w:sz w:val="21"/>
          <w:szCs w:val="22"/>
        </w:rPr>
      </w:pPr>
      <w:r>
        <w:rPr>
          <w:rFonts w:ascii="黑体" w:hAnsi="黑体" w:eastAsia="黑体"/>
          <w:b w:val="0"/>
          <w:color w:val="000000"/>
        </w:rPr>
        <w:t>第二部分</w:t>
      </w:r>
      <w:r>
        <w:rPr>
          <w:rFonts w:ascii="黑体" w:hAnsi="黑体" w:eastAsia="黑体"/>
          <w:color w:val="000000"/>
        </w:rPr>
        <w:t xml:space="preserve"> </w:t>
      </w:r>
      <w:r>
        <w:rPr>
          <w:rFonts w:ascii="黑体" w:hAnsi="黑体" w:eastAsia="黑体"/>
          <w:b w:val="0"/>
          <w:bCs w:val="0"/>
        </w:rPr>
        <w:t>202</w:t>
      </w:r>
      <w:r>
        <w:rPr>
          <w:rFonts w:hint="eastAsia" w:ascii="黑体" w:hAnsi="黑体" w:eastAsia="黑体"/>
          <w:b w:val="0"/>
          <w:bCs w:val="0"/>
        </w:rPr>
        <w:t>1</w:t>
      </w:r>
      <w:r>
        <w:rPr>
          <w:rFonts w:ascii="黑体" w:hAnsi="黑体" w:eastAsia="黑体"/>
          <w:b w:val="0"/>
          <w:bCs w:val="0"/>
        </w:rPr>
        <w:t>年度部门决算情况说明</w:t>
      </w:r>
      <w:r>
        <w:tab/>
      </w:r>
      <w:r>
        <w:fldChar w:fldCharType="begin"/>
      </w:r>
      <w:r>
        <w:instrText xml:space="preserve"> PAGEREF _Toc79163859 \h </w:instrText>
      </w:r>
      <w:r>
        <w:fldChar w:fldCharType="separate"/>
      </w:r>
      <w:r>
        <w:t>8</w:t>
      </w:r>
      <w:r>
        <w:fldChar w:fldCharType="end"/>
      </w:r>
    </w:p>
    <w:p>
      <w:pPr>
        <w:pStyle w:val="18"/>
        <w:tabs>
          <w:tab w:val="left" w:pos="840"/>
          <w:tab w:val="right" w:leader="dot" w:pos="8296"/>
        </w:tabs>
        <w:rPr>
          <w:rFonts w:hint="eastAsia" w:hAnsiTheme="minorHAnsi" w:eastAsiaTheme="minorHAnsi" w:cstheme="minorBidi"/>
          <w:smallCaps w:val="0"/>
          <w:sz w:val="21"/>
          <w:szCs w:val="22"/>
          <w:lang w:eastAsia="zh-CN"/>
        </w:rPr>
      </w:pPr>
      <w:r>
        <w:rPr>
          <w:rFonts w:ascii="黑体" w:hAnsi="黑体" w:eastAsia="黑体"/>
          <w:bCs/>
        </w:rPr>
        <w:t>一、</w:t>
      </w:r>
      <w:r>
        <w:rPr>
          <w:rFonts w:hAnsiTheme="minorHAnsi" w:eastAsiaTheme="minorEastAsia" w:cstheme="minorBidi"/>
          <w:smallCaps w:val="0"/>
          <w:sz w:val="21"/>
          <w:szCs w:val="22"/>
        </w:rPr>
        <w:tab/>
      </w:r>
      <w:r>
        <w:rPr>
          <w:rFonts w:ascii="黑体" w:hAnsi="黑体" w:eastAsia="黑体"/>
          <w:color w:val="000000"/>
        </w:rPr>
        <w:t>收</w:t>
      </w:r>
      <w:r>
        <w:rPr>
          <w:rFonts w:ascii="黑体" w:hAnsi="黑体" w:eastAsia="黑体"/>
          <w:bCs/>
        </w:rPr>
        <w:t>入支出决算总体情况说明</w:t>
      </w:r>
      <w:r>
        <w:tab/>
      </w:r>
      <w:r>
        <w:rPr>
          <w:rFonts w:hint="eastAsia"/>
          <w:lang w:val="en-US" w:eastAsia="zh-CN"/>
        </w:rPr>
        <w:t xml:space="preserve">    7</w:t>
      </w:r>
    </w:p>
    <w:p>
      <w:pPr>
        <w:pStyle w:val="18"/>
        <w:tabs>
          <w:tab w:val="left" w:pos="840"/>
          <w:tab w:val="right" w:leader="dot" w:pos="8296"/>
        </w:tabs>
        <w:rPr>
          <w:rFonts w:hint="eastAsia" w:hAnsiTheme="minorHAnsi" w:eastAsiaTheme="minorHAnsi" w:cstheme="minorBidi"/>
          <w:smallCaps w:val="0"/>
          <w:sz w:val="21"/>
          <w:szCs w:val="22"/>
          <w:lang w:eastAsia="zh-CN"/>
        </w:rPr>
      </w:pPr>
      <w:r>
        <w:rPr>
          <w:rFonts w:ascii="黑体" w:hAnsi="黑体" w:eastAsia="黑体"/>
          <w:bCs/>
        </w:rPr>
        <w:t>二、</w:t>
      </w:r>
      <w:r>
        <w:rPr>
          <w:rFonts w:hAnsiTheme="minorHAnsi" w:eastAsiaTheme="minorEastAsia" w:cstheme="minorBidi"/>
          <w:smallCaps w:val="0"/>
          <w:sz w:val="21"/>
          <w:szCs w:val="22"/>
        </w:rPr>
        <w:tab/>
      </w:r>
      <w:r>
        <w:rPr>
          <w:rFonts w:ascii="黑体" w:hAnsi="黑体" w:eastAsia="黑体"/>
          <w:color w:val="000000"/>
        </w:rPr>
        <w:t>收</w:t>
      </w:r>
      <w:r>
        <w:rPr>
          <w:rFonts w:ascii="黑体" w:hAnsi="黑体" w:eastAsia="黑体"/>
          <w:bCs/>
        </w:rPr>
        <w:t>入决算情况说明</w:t>
      </w:r>
      <w:r>
        <w:tab/>
      </w:r>
      <w:r>
        <w:rPr>
          <w:rFonts w:hint="eastAsia"/>
          <w:lang w:val="en-US" w:eastAsia="zh-CN"/>
        </w:rPr>
        <w:t>8</w:t>
      </w:r>
    </w:p>
    <w:p>
      <w:pPr>
        <w:pStyle w:val="18"/>
        <w:tabs>
          <w:tab w:val="left" w:pos="840"/>
          <w:tab w:val="right" w:leader="dot" w:pos="8296"/>
        </w:tabs>
        <w:rPr>
          <w:rFonts w:hint="eastAsia" w:hAnsiTheme="minorHAnsi" w:eastAsiaTheme="minorHAnsi" w:cstheme="minorBidi"/>
          <w:smallCaps w:val="0"/>
          <w:sz w:val="21"/>
          <w:szCs w:val="22"/>
          <w:lang w:eastAsia="zh-CN"/>
        </w:rPr>
      </w:pPr>
      <w:r>
        <w:rPr>
          <w:rFonts w:ascii="黑体" w:hAnsi="黑体" w:eastAsia="黑体"/>
          <w:bCs/>
        </w:rPr>
        <w:t>三、</w:t>
      </w:r>
      <w:r>
        <w:rPr>
          <w:rFonts w:hAnsiTheme="minorHAnsi" w:eastAsiaTheme="minorEastAsia" w:cstheme="minorBidi"/>
          <w:smallCaps w:val="0"/>
          <w:sz w:val="21"/>
          <w:szCs w:val="22"/>
        </w:rPr>
        <w:tab/>
      </w:r>
      <w:r>
        <w:rPr>
          <w:rFonts w:ascii="黑体" w:hAnsi="黑体" w:eastAsia="黑体"/>
          <w:color w:val="000000"/>
        </w:rPr>
        <w:t>支</w:t>
      </w:r>
      <w:r>
        <w:rPr>
          <w:rFonts w:ascii="黑体" w:hAnsi="黑体" w:eastAsia="黑体"/>
          <w:bCs/>
        </w:rPr>
        <w:t>出决算情况说明</w:t>
      </w:r>
      <w:r>
        <w:tab/>
      </w:r>
      <w:r>
        <w:rPr>
          <w:rFonts w:hint="eastAsia"/>
          <w:lang w:val="en-US" w:eastAsia="zh-CN"/>
        </w:rPr>
        <w:t>8</w:t>
      </w:r>
    </w:p>
    <w:p>
      <w:pPr>
        <w:pStyle w:val="18"/>
        <w:tabs>
          <w:tab w:val="right" w:leader="dot" w:pos="8296"/>
        </w:tabs>
        <w:rPr>
          <w:rFonts w:hAnsiTheme="minorHAnsi" w:eastAsiaTheme="minorEastAsia" w:cstheme="minorBidi"/>
          <w:smallCaps w:val="0"/>
          <w:sz w:val="21"/>
          <w:szCs w:val="22"/>
        </w:rPr>
      </w:pPr>
      <w:r>
        <w:rPr>
          <w:rFonts w:ascii="黑体" w:hAnsi="黑体" w:eastAsia="黑体"/>
          <w:color w:val="000000"/>
        </w:rPr>
        <w:t>四、财</w:t>
      </w:r>
      <w:r>
        <w:rPr>
          <w:rFonts w:ascii="黑体" w:hAnsi="黑体" w:eastAsia="黑体"/>
          <w:bCs/>
        </w:rPr>
        <w:t>政拨款收入支出决算总体情况说明</w:t>
      </w:r>
      <w:r>
        <w:tab/>
      </w:r>
      <w:r>
        <w:fldChar w:fldCharType="begin"/>
      </w:r>
      <w:r>
        <w:instrText xml:space="preserve"> PAGEREF _Toc79163863 \h </w:instrText>
      </w:r>
      <w:r>
        <w:fldChar w:fldCharType="separate"/>
      </w:r>
      <w:r>
        <w:t>10</w:t>
      </w:r>
      <w:r>
        <w:fldChar w:fldCharType="end"/>
      </w:r>
    </w:p>
    <w:p>
      <w:pPr>
        <w:pStyle w:val="18"/>
        <w:tabs>
          <w:tab w:val="right" w:leader="dot" w:pos="8296"/>
        </w:tabs>
        <w:rPr>
          <w:rFonts w:hAnsiTheme="minorHAnsi" w:eastAsiaTheme="minorEastAsia" w:cstheme="minorBidi"/>
          <w:smallCaps w:val="0"/>
          <w:sz w:val="21"/>
          <w:szCs w:val="22"/>
        </w:rPr>
      </w:pPr>
      <w:r>
        <w:rPr>
          <w:rFonts w:ascii="黑体" w:hAnsi="黑体" w:eastAsia="黑体"/>
          <w:color w:val="000000"/>
        </w:rPr>
        <w:t>五、</w:t>
      </w:r>
      <w:r>
        <w:rPr>
          <w:rFonts w:ascii="黑体" w:hAnsi="黑体" w:eastAsia="黑体"/>
          <w:b/>
          <w:color w:val="000000"/>
        </w:rPr>
        <w:t>一</w:t>
      </w:r>
      <w:r>
        <w:rPr>
          <w:rFonts w:ascii="黑体" w:hAnsi="黑体" w:eastAsia="黑体"/>
          <w:bCs/>
        </w:rPr>
        <w:t>般公共预算财政拨款支出决算情况说明</w:t>
      </w:r>
      <w:r>
        <w:tab/>
      </w:r>
      <w:r>
        <w:fldChar w:fldCharType="begin"/>
      </w:r>
      <w:r>
        <w:instrText xml:space="preserve"> PAGEREF _Toc79163864 \h </w:instrText>
      </w:r>
      <w:r>
        <w:fldChar w:fldCharType="separate"/>
      </w:r>
      <w:r>
        <w:t>11</w:t>
      </w:r>
      <w:r>
        <w:fldChar w:fldCharType="end"/>
      </w:r>
    </w:p>
    <w:p>
      <w:pPr>
        <w:pStyle w:val="10"/>
        <w:tabs>
          <w:tab w:val="right" w:leader="dot" w:pos="8296"/>
        </w:tabs>
        <w:rPr>
          <w:rFonts w:hAnsiTheme="minorHAnsi" w:eastAsiaTheme="minorEastAsia" w:cstheme="minorBidi"/>
          <w:i w:val="0"/>
          <w:iCs w:val="0"/>
          <w:sz w:val="21"/>
          <w:szCs w:val="22"/>
        </w:rPr>
      </w:pPr>
      <w:r>
        <w:rPr>
          <w:rFonts w:ascii="仿宋" w:hAnsi="仿宋" w:eastAsia="仿宋"/>
          <w:b/>
          <w:color w:val="000000"/>
        </w:rPr>
        <w:t>（一）一般公共预算财政拨款支出决算总体情况</w:t>
      </w:r>
      <w:r>
        <w:tab/>
      </w:r>
      <w:r>
        <w:fldChar w:fldCharType="begin"/>
      </w:r>
      <w:r>
        <w:instrText xml:space="preserve"> PAGEREF _Toc79163865 \h </w:instrText>
      </w:r>
      <w:r>
        <w:fldChar w:fldCharType="separate"/>
      </w:r>
      <w:r>
        <w:t>11</w:t>
      </w:r>
      <w:r>
        <w:fldChar w:fldCharType="end"/>
      </w:r>
    </w:p>
    <w:p>
      <w:pPr>
        <w:pStyle w:val="10"/>
        <w:tabs>
          <w:tab w:val="right" w:leader="dot" w:pos="8296"/>
        </w:tabs>
        <w:rPr>
          <w:rFonts w:hAnsiTheme="minorHAnsi" w:eastAsiaTheme="minorEastAsia" w:cstheme="minorBidi"/>
          <w:i w:val="0"/>
          <w:iCs w:val="0"/>
          <w:sz w:val="21"/>
          <w:szCs w:val="22"/>
        </w:rPr>
      </w:pPr>
      <w:r>
        <w:rPr>
          <w:rFonts w:ascii="仿宋" w:hAnsi="仿宋" w:eastAsia="仿宋"/>
          <w:b/>
          <w:color w:val="000000"/>
        </w:rPr>
        <w:t>（二）一般公共预算财政拨款支出决算结构情况</w:t>
      </w:r>
      <w:r>
        <w:tab/>
      </w:r>
      <w:r>
        <w:fldChar w:fldCharType="begin"/>
      </w:r>
      <w:r>
        <w:instrText xml:space="preserve"> PAGEREF _Toc79163866 \h </w:instrText>
      </w:r>
      <w:r>
        <w:fldChar w:fldCharType="separate"/>
      </w:r>
      <w:r>
        <w:t>11</w:t>
      </w:r>
      <w:r>
        <w:fldChar w:fldCharType="end"/>
      </w:r>
    </w:p>
    <w:p>
      <w:pPr>
        <w:pStyle w:val="10"/>
        <w:tabs>
          <w:tab w:val="right" w:leader="dot" w:pos="8296"/>
        </w:tabs>
        <w:rPr>
          <w:rFonts w:hAnsiTheme="minorHAnsi" w:eastAsiaTheme="minorEastAsia" w:cstheme="minorBidi"/>
          <w:i w:val="0"/>
          <w:iCs w:val="0"/>
          <w:sz w:val="21"/>
          <w:szCs w:val="22"/>
        </w:rPr>
      </w:pPr>
      <w:r>
        <w:rPr>
          <w:rFonts w:ascii="仿宋" w:hAnsi="仿宋" w:eastAsia="仿宋"/>
          <w:b/>
          <w:color w:val="000000"/>
        </w:rPr>
        <w:t>（三）一般公共预算财政拨款支出决算具体情况</w:t>
      </w:r>
      <w:r>
        <w:tab/>
      </w:r>
      <w:r>
        <w:fldChar w:fldCharType="begin"/>
      </w:r>
      <w:r>
        <w:instrText xml:space="preserve"> PAGEREF _Toc79163867 \h </w:instrText>
      </w:r>
      <w:r>
        <w:fldChar w:fldCharType="separate"/>
      </w:r>
      <w:r>
        <w:t>12</w:t>
      </w:r>
      <w:r>
        <w:fldChar w:fldCharType="end"/>
      </w:r>
    </w:p>
    <w:p>
      <w:pPr>
        <w:pStyle w:val="18"/>
        <w:tabs>
          <w:tab w:val="right" w:leader="dot" w:pos="8296"/>
        </w:tabs>
        <w:rPr>
          <w:rFonts w:hAnsiTheme="minorHAnsi" w:eastAsiaTheme="minorEastAsia" w:cstheme="minorBidi"/>
          <w:smallCaps w:val="0"/>
          <w:sz w:val="21"/>
          <w:szCs w:val="22"/>
        </w:rPr>
      </w:pPr>
      <w:r>
        <w:rPr>
          <w:rFonts w:ascii="黑体" w:eastAsia="黑体"/>
          <w:color w:val="000000"/>
        </w:rPr>
        <w:t>六</w:t>
      </w:r>
      <w:r>
        <w:rPr>
          <w:rFonts w:ascii="黑体" w:eastAsia="黑体"/>
          <w:b/>
          <w:color w:val="000000"/>
        </w:rPr>
        <w:t>、</w:t>
      </w:r>
      <w:r>
        <w:rPr>
          <w:rFonts w:ascii="黑体" w:hAnsi="黑体" w:eastAsia="黑体"/>
          <w:b/>
          <w:color w:val="000000"/>
        </w:rPr>
        <w:t>一</w:t>
      </w:r>
      <w:r>
        <w:rPr>
          <w:rFonts w:ascii="黑体" w:hAnsi="黑体" w:eastAsia="黑体"/>
          <w:bCs/>
        </w:rPr>
        <w:t>般公共预算财政拨款基本支出决算情况说明</w:t>
      </w:r>
      <w:r>
        <w:tab/>
      </w:r>
      <w:r>
        <w:fldChar w:fldCharType="begin"/>
      </w:r>
      <w:r>
        <w:instrText xml:space="preserve"> PAGEREF _Toc79163868 \h </w:instrText>
      </w:r>
      <w:r>
        <w:fldChar w:fldCharType="separate"/>
      </w:r>
      <w:r>
        <w:t>13</w:t>
      </w:r>
      <w:r>
        <w:fldChar w:fldCharType="end"/>
      </w:r>
    </w:p>
    <w:p>
      <w:pPr>
        <w:pStyle w:val="18"/>
        <w:tabs>
          <w:tab w:val="right" w:leader="dot" w:pos="8296"/>
        </w:tabs>
        <w:rPr>
          <w:rFonts w:hAnsiTheme="minorHAnsi" w:eastAsiaTheme="minorEastAsia" w:cstheme="minorBidi"/>
          <w:smallCaps w:val="0"/>
          <w:sz w:val="21"/>
          <w:szCs w:val="22"/>
        </w:rPr>
      </w:pPr>
      <w:r>
        <w:rPr>
          <w:rFonts w:ascii="黑体" w:eastAsia="黑体"/>
          <w:color w:val="000000"/>
        </w:rPr>
        <w:t>七、</w:t>
      </w:r>
      <w:r>
        <w:rPr>
          <w:rFonts w:ascii="黑体" w:hAnsi="黑体" w:eastAsia="黑体"/>
          <w:b/>
          <w:bCs/>
        </w:rPr>
        <w:t>“</w:t>
      </w:r>
      <w:r>
        <w:rPr>
          <w:rFonts w:ascii="黑体" w:hAnsi="黑体" w:eastAsia="黑体"/>
          <w:bCs/>
        </w:rPr>
        <w:t>三公”经费财政拨款支出决算情况说明</w:t>
      </w:r>
      <w:r>
        <w:tab/>
      </w:r>
      <w:r>
        <w:fldChar w:fldCharType="begin"/>
      </w:r>
      <w:r>
        <w:instrText xml:space="preserve"> PAGEREF _Toc79163869 \h </w:instrText>
      </w:r>
      <w:r>
        <w:fldChar w:fldCharType="separate"/>
      </w:r>
      <w:r>
        <w:t>14</w:t>
      </w:r>
      <w:r>
        <w:fldChar w:fldCharType="end"/>
      </w:r>
    </w:p>
    <w:p>
      <w:pPr>
        <w:pStyle w:val="10"/>
        <w:tabs>
          <w:tab w:val="right" w:leader="dot" w:pos="8296"/>
        </w:tabs>
        <w:rPr>
          <w:rFonts w:hAnsiTheme="minorHAnsi" w:eastAsiaTheme="minorEastAsia" w:cstheme="minorBidi"/>
          <w:i w:val="0"/>
          <w:iCs w:val="0"/>
          <w:sz w:val="21"/>
          <w:szCs w:val="22"/>
        </w:rPr>
      </w:pPr>
      <w:r>
        <w:rPr>
          <w:rFonts w:ascii="仿宋" w:hAnsi="仿宋" w:eastAsia="仿宋"/>
          <w:b/>
          <w:color w:val="000000"/>
        </w:rPr>
        <w:t>（一）“三公”经费财政拨款支出决算总体情况说明</w:t>
      </w:r>
      <w:r>
        <w:tab/>
      </w:r>
      <w:r>
        <w:fldChar w:fldCharType="begin"/>
      </w:r>
      <w:r>
        <w:instrText xml:space="preserve"> PAGEREF _Toc79163870 \h </w:instrText>
      </w:r>
      <w:r>
        <w:fldChar w:fldCharType="separate"/>
      </w:r>
      <w:r>
        <w:t>14</w:t>
      </w:r>
      <w:r>
        <w:fldChar w:fldCharType="end"/>
      </w:r>
    </w:p>
    <w:p>
      <w:pPr>
        <w:pStyle w:val="10"/>
        <w:tabs>
          <w:tab w:val="right" w:leader="dot" w:pos="8296"/>
        </w:tabs>
        <w:rPr>
          <w:rFonts w:hAnsiTheme="minorHAnsi" w:eastAsiaTheme="minorEastAsia" w:cstheme="minorBidi"/>
          <w:i w:val="0"/>
          <w:iCs w:val="0"/>
          <w:sz w:val="21"/>
          <w:szCs w:val="22"/>
        </w:rPr>
      </w:pPr>
      <w:r>
        <w:rPr>
          <w:rFonts w:ascii="仿宋" w:hAnsi="仿宋" w:eastAsia="仿宋"/>
          <w:b/>
          <w:color w:val="000000"/>
        </w:rPr>
        <w:t>（二）“三公”经费财政拨款支出决算具体情况说明</w:t>
      </w:r>
      <w:r>
        <w:tab/>
      </w:r>
      <w:r>
        <w:fldChar w:fldCharType="begin"/>
      </w:r>
      <w:r>
        <w:instrText xml:space="preserve"> PAGEREF _Toc79163871 \h </w:instrText>
      </w:r>
      <w:r>
        <w:fldChar w:fldCharType="separate"/>
      </w:r>
      <w:r>
        <w:t>14</w:t>
      </w:r>
      <w:r>
        <w:fldChar w:fldCharType="end"/>
      </w:r>
    </w:p>
    <w:p>
      <w:pPr>
        <w:pStyle w:val="18"/>
        <w:tabs>
          <w:tab w:val="right" w:leader="dot" w:pos="8296"/>
        </w:tabs>
        <w:rPr>
          <w:rFonts w:hAnsiTheme="minorHAnsi" w:eastAsiaTheme="minorEastAsia" w:cstheme="minorBidi"/>
          <w:smallCaps w:val="0"/>
          <w:sz w:val="21"/>
          <w:szCs w:val="22"/>
        </w:rPr>
      </w:pPr>
      <w:r>
        <w:rPr>
          <w:rFonts w:ascii="黑体" w:eastAsia="黑体"/>
          <w:color w:val="000000"/>
        </w:rPr>
        <w:t>八、</w:t>
      </w:r>
      <w:r>
        <w:rPr>
          <w:rFonts w:ascii="黑体" w:hAnsi="黑体" w:eastAsia="黑体"/>
          <w:bCs/>
        </w:rPr>
        <w:t>政府性基金预算支出决算情况说明</w:t>
      </w:r>
      <w:r>
        <w:tab/>
      </w:r>
      <w:r>
        <w:fldChar w:fldCharType="begin"/>
      </w:r>
      <w:r>
        <w:instrText xml:space="preserve"> PAGEREF _Toc79163872 \h </w:instrText>
      </w:r>
      <w:r>
        <w:fldChar w:fldCharType="separate"/>
      </w:r>
      <w:r>
        <w:t>15</w:t>
      </w:r>
      <w:r>
        <w:fldChar w:fldCharType="end"/>
      </w:r>
    </w:p>
    <w:p>
      <w:pPr>
        <w:pStyle w:val="18"/>
        <w:tabs>
          <w:tab w:val="right" w:leader="dot" w:pos="8296"/>
        </w:tabs>
        <w:rPr>
          <w:rFonts w:hAnsiTheme="minorHAnsi" w:eastAsiaTheme="minorEastAsia" w:cstheme="minorBidi"/>
          <w:smallCaps w:val="0"/>
          <w:sz w:val="21"/>
          <w:szCs w:val="22"/>
        </w:rPr>
      </w:pPr>
      <w:r>
        <w:rPr>
          <w:rFonts w:ascii="黑体" w:hAnsi="黑体" w:eastAsia="黑体"/>
          <w:bCs/>
        </w:rPr>
        <w:t>九、 国有资本经营预算支出决算情况说明</w:t>
      </w:r>
      <w:r>
        <w:tab/>
      </w:r>
      <w:r>
        <w:fldChar w:fldCharType="begin"/>
      </w:r>
      <w:r>
        <w:instrText xml:space="preserve"> PAGEREF _Toc79163873 \h </w:instrText>
      </w:r>
      <w:r>
        <w:fldChar w:fldCharType="separate"/>
      </w:r>
      <w:r>
        <w:t>15</w:t>
      </w:r>
      <w:r>
        <w:fldChar w:fldCharType="end"/>
      </w:r>
    </w:p>
    <w:p>
      <w:pPr>
        <w:pStyle w:val="18"/>
        <w:tabs>
          <w:tab w:val="right" w:leader="dot" w:pos="8296"/>
        </w:tabs>
        <w:rPr>
          <w:rFonts w:hAnsiTheme="minorHAnsi" w:eastAsiaTheme="minorEastAsia" w:cstheme="minorBidi"/>
          <w:smallCaps w:val="0"/>
          <w:sz w:val="21"/>
          <w:szCs w:val="22"/>
        </w:rPr>
      </w:pPr>
      <w:r>
        <w:rPr>
          <w:rFonts w:ascii="黑体" w:hAnsi="黑体" w:eastAsia="黑体"/>
          <w:color w:val="000000"/>
        </w:rPr>
        <w:t>十</w:t>
      </w:r>
      <w:r>
        <w:rPr>
          <w:rFonts w:ascii="黑体" w:hAnsi="黑体" w:eastAsia="黑体"/>
          <w:b/>
          <w:bCs/>
        </w:rPr>
        <w:t>、</w:t>
      </w:r>
      <w:r>
        <w:rPr>
          <w:rFonts w:ascii="黑体" w:hAnsi="黑体" w:eastAsia="黑体"/>
          <w:bCs/>
        </w:rPr>
        <w:t>其他重要事项的情况说明</w:t>
      </w:r>
      <w:r>
        <w:tab/>
      </w:r>
      <w:r>
        <w:fldChar w:fldCharType="begin"/>
      </w:r>
      <w:r>
        <w:instrText xml:space="preserve"> PAGEREF _Toc79163874 \h </w:instrText>
      </w:r>
      <w:r>
        <w:fldChar w:fldCharType="separate"/>
      </w:r>
      <w:r>
        <w:t>16</w:t>
      </w:r>
      <w:r>
        <w:fldChar w:fldCharType="end"/>
      </w:r>
    </w:p>
    <w:p>
      <w:pPr>
        <w:pStyle w:val="10"/>
        <w:tabs>
          <w:tab w:val="right" w:leader="dot" w:pos="8296"/>
        </w:tabs>
        <w:rPr>
          <w:rFonts w:hAnsiTheme="minorHAnsi" w:eastAsiaTheme="minorEastAsia" w:cstheme="minorBidi"/>
          <w:i w:val="0"/>
          <w:iCs w:val="0"/>
          <w:sz w:val="21"/>
          <w:szCs w:val="22"/>
        </w:rPr>
      </w:pPr>
      <w:r>
        <w:rPr>
          <w:rFonts w:ascii="仿宋" w:hAnsi="仿宋" w:eastAsia="仿宋"/>
          <w:b/>
          <w:color w:val="000000"/>
        </w:rPr>
        <w:t>（一）机关运行经费支出情况</w:t>
      </w:r>
      <w:r>
        <w:tab/>
      </w:r>
      <w:r>
        <w:fldChar w:fldCharType="begin"/>
      </w:r>
      <w:r>
        <w:instrText xml:space="preserve"> PAGEREF _Toc79163875 \h </w:instrText>
      </w:r>
      <w:r>
        <w:fldChar w:fldCharType="separate"/>
      </w:r>
      <w:r>
        <w:t>16</w:t>
      </w:r>
      <w:r>
        <w:fldChar w:fldCharType="end"/>
      </w:r>
    </w:p>
    <w:p>
      <w:pPr>
        <w:pStyle w:val="10"/>
        <w:tabs>
          <w:tab w:val="right" w:leader="dot" w:pos="8296"/>
        </w:tabs>
        <w:rPr>
          <w:rFonts w:hAnsiTheme="minorHAnsi" w:eastAsiaTheme="minorEastAsia" w:cstheme="minorBidi"/>
          <w:i w:val="0"/>
          <w:iCs w:val="0"/>
          <w:sz w:val="21"/>
          <w:szCs w:val="22"/>
        </w:rPr>
      </w:pPr>
      <w:r>
        <w:rPr>
          <w:rFonts w:ascii="仿宋" w:hAnsi="仿宋" w:eastAsia="仿宋"/>
          <w:b/>
          <w:color w:val="000000"/>
        </w:rPr>
        <w:t>（二）政府采购支出情况</w:t>
      </w:r>
      <w:r>
        <w:tab/>
      </w:r>
      <w:r>
        <w:fldChar w:fldCharType="begin"/>
      </w:r>
      <w:r>
        <w:instrText xml:space="preserve"> PAGEREF _Toc79163876 \h </w:instrText>
      </w:r>
      <w:r>
        <w:fldChar w:fldCharType="separate"/>
      </w:r>
      <w:r>
        <w:t>16</w:t>
      </w:r>
      <w:r>
        <w:fldChar w:fldCharType="end"/>
      </w:r>
    </w:p>
    <w:p>
      <w:pPr>
        <w:pStyle w:val="10"/>
        <w:tabs>
          <w:tab w:val="right" w:leader="dot" w:pos="8296"/>
        </w:tabs>
        <w:rPr>
          <w:rFonts w:hAnsiTheme="minorHAnsi" w:eastAsiaTheme="minorEastAsia" w:cstheme="minorBidi"/>
          <w:i w:val="0"/>
          <w:iCs w:val="0"/>
          <w:sz w:val="21"/>
          <w:szCs w:val="22"/>
        </w:rPr>
      </w:pPr>
      <w:r>
        <w:rPr>
          <w:rFonts w:ascii="仿宋" w:hAnsi="仿宋" w:eastAsia="仿宋"/>
          <w:b/>
          <w:color w:val="000000"/>
        </w:rPr>
        <w:t>（三）国有资产占有使用情况</w:t>
      </w:r>
      <w:r>
        <w:tab/>
      </w:r>
      <w:r>
        <w:fldChar w:fldCharType="begin"/>
      </w:r>
      <w:r>
        <w:instrText xml:space="preserve"> PAGEREF _Toc79163877 \h </w:instrText>
      </w:r>
      <w:r>
        <w:fldChar w:fldCharType="separate"/>
      </w:r>
      <w:r>
        <w:t>16</w:t>
      </w:r>
      <w:r>
        <w:fldChar w:fldCharType="end"/>
      </w:r>
    </w:p>
    <w:p>
      <w:pPr>
        <w:pStyle w:val="10"/>
        <w:tabs>
          <w:tab w:val="right" w:leader="dot" w:pos="8296"/>
        </w:tabs>
        <w:rPr>
          <w:rFonts w:hAnsiTheme="minorHAnsi" w:eastAsiaTheme="minorEastAsia" w:cstheme="minorBidi"/>
          <w:i w:val="0"/>
          <w:iCs w:val="0"/>
          <w:sz w:val="21"/>
          <w:szCs w:val="22"/>
        </w:rPr>
      </w:pPr>
      <w:r>
        <w:rPr>
          <w:rFonts w:ascii="仿宋" w:hAnsi="仿宋" w:eastAsia="仿宋"/>
          <w:b/>
          <w:color w:val="000000"/>
        </w:rPr>
        <w:t>（四）预算绩效管理情况。</w:t>
      </w:r>
      <w:r>
        <w:tab/>
      </w:r>
      <w:r>
        <w:fldChar w:fldCharType="begin"/>
      </w:r>
      <w:r>
        <w:instrText xml:space="preserve"> PAGEREF _Toc79163878 \h </w:instrText>
      </w:r>
      <w:r>
        <w:fldChar w:fldCharType="separate"/>
      </w:r>
      <w:r>
        <w:t>16</w:t>
      </w:r>
      <w:r>
        <w:fldChar w:fldCharType="end"/>
      </w:r>
    </w:p>
    <w:p>
      <w:pPr>
        <w:pStyle w:val="15"/>
        <w:tabs>
          <w:tab w:val="right" w:leader="dot" w:pos="8296"/>
        </w:tabs>
        <w:rPr>
          <w:rFonts w:hAnsiTheme="minorHAnsi" w:eastAsiaTheme="minorEastAsia" w:cstheme="minorBidi"/>
          <w:b w:val="0"/>
          <w:bCs w:val="0"/>
          <w:caps w:val="0"/>
          <w:sz w:val="21"/>
          <w:szCs w:val="22"/>
        </w:rPr>
      </w:pPr>
      <w:r>
        <w:rPr>
          <w:rFonts w:ascii="黑体" w:hAnsi="黑体" w:eastAsia="黑体"/>
          <w:kern w:val="44"/>
        </w:rPr>
        <w:t>第三部分</w:t>
      </w:r>
      <w:r>
        <w:rPr>
          <w:rFonts w:ascii="黑体" w:hAnsi="黑体" w:eastAsia="黑体"/>
          <w:color w:val="000000"/>
        </w:rPr>
        <w:t xml:space="preserve"> 名</w:t>
      </w:r>
      <w:r>
        <w:rPr>
          <w:rFonts w:ascii="黑体" w:hAnsi="黑体" w:eastAsia="黑体"/>
          <w:kern w:val="44"/>
        </w:rPr>
        <w:t>词解释</w:t>
      </w:r>
      <w:r>
        <w:tab/>
      </w:r>
      <w:r>
        <w:fldChar w:fldCharType="begin"/>
      </w:r>
      <w:r>
        <w:instrText xml:space="preserve"> PAGEREF _Toc79163879 \h </w:instrText>
      </w:r>
      <w:r>
        <w:fldChar w:fldCharType="separate"/>
      </w:r>
      <w:r>
        <w:t>18</w:t>
      </w:r>
      <w:r>
        <w:fldChar w:fldCharType="end"/>
      </w:r>
    </w:p>
    <w:p>
      <w:pPr>
        <w:pStyle w:val="15"/>
        <w:tabs>
          <w:tab w:val="right" w:leader="dot" w:pos="8296"/>
        </w:tabs>
        <w:rPr>
          <w:rFonts w:hAnsiTheme="minorHAnsi" w:eastAsiaTheme="minorEastAsia" w:cstheme="minorBidi"/>
          <w:b w:val="0"/>
          <w:bCs w:val="0"/>
          <w:caps w:val="0"/>
          <w:sz w:val="21"/>
          <w:szCs w:val="22"/>
        </w:rPr>
      </w:pPr>
      <w:r>
        <w:rPr>
          <w:rFonts w:ascii="黑体" w:hAnsi="黑体" w:eastAsia="黑体"/>
          <w:color w:val="000000"/>
        </w:rPr>
        <w:t>第</w:t>
      </w:r>
      <w:r>
        <w:rPr>
          <w:rFonts w:ascii="黑体" w:hAnsi="黑体" w:eastAsia="黑体"/>
          <w:kern w:val="44"/>
        </w:rPr>
        <w:t>四部分 附件</w:t>
      </w:r>
      <w:r>
        <w:tab/>
      </w:r>
      <w:r>
        <w:fldChar w:fldCharType="begin"/>
      </w:r>
      <w:r>
        <w:instrText xml:space="preserve"> PAGEREF _Toc79163880 \h </w:instrText>
      </w:r>
      <w:r>
        <w:fldChar w:fldCharType="separate"/>
      </w:r>
      <w:r>
        <w:t>21</w:t>
      </w:r>
      <w:r>
        <w:fldChar w:fldCharType="end"/>
      </w:r>
    </w:p>
    <w:p>
      <w:pPr>
        <w:pStyle w:val="15"/>
        <w:tabs>
          <w:tab w:val="right" w:leader="dot" w:pos="8296"/>
        </w:tabs>
        <w:rPr>
          <w:rFonts w:hAnsiTheme="minorHAnsi" w:eastAsiaTheme="minorEastAsia" w:cstheme="minorBidi"/>
          <w:b w:val="0"/>
          <w:bCs w:val="0"/>
          <w:caps w:val="0"/>
          <w:sz w:val="21"/>
          <w:szCs w:val="22"/>
        </w:rPr>
      </w:pPr>
      <w:r>
        <w:rPr>
          <w:rFonts w:ascii="黑体" w:hAnsi="黑体" w:eastAsia="黑体" w:cs="黑体"/>
        </w:rPr>
        <w:t>附件1</w:t>
      </w:r>
      <w:r>
        <w:rPr>
          <w:rFonts w:hint="eastAsia" w:ascii="黑体" w:hAnsi="黑体" w:eastAsia="黑体" w:cs="黑体"/>
          <w:lang w:val="en-US" w:eastAsia="zh-CN"/>
        </w:rPr>
        <w:t>阿坝州壤塘县三郎寺寺庙管理委员会</w:t>
      </w:r>
      <w:r>
        <w:rPr>
          <w:rFonts w:ascii="黑体" w:hAnsi="黑体" w:eastAsia="黑体" w:cs="黑体"/>
        </w:rPr>
        <w:t>202</w:t>
      </w:r>
      <w:r>
        <w:rPr>
          <w:rFonts w:hint="eastAsia" w:ascii="黑体" w:hAnsi="黑体" w:eastAsia="黑体" w:cs="黑体"/>
        </w:rPr>
        <w:t>1年部门整体支出绩效评价</w:t>
      </w:r>
      <w:r>
        <w:rPr>
          <w:rFonts w:hint="eastAsia" w:ascii="黑体" w:hAnsi="黑体" w:eastAsia="黑体" w:cs="黑体"/>
          <w:lang w:val="en-US" w:eastAsia="zh-CN"/>
        </w:rPr>
        <w:t>报告</w:t>
      </w:r>
      <w:r>
        <w:rPr>
          <w:rFonts w:hint="eastAsia" w:ascii="黑体" w:hAnsi="黑体" w:eastAsia="黑体" w:cs="黑体"/>
          <w:lang w:val="en-US" w:eastAsia="zh-CN"/>
        </w:rPr>
        <w:tab/>
      </w:r>
      <w:r>
        <w:fldChar w:fldCharType="begin"/>
      </w:r>
      <w:r>
        <w:instrText xml:space="preserve"> PAGEREF _Toc79163881 \h </w:instrText>
      </w:r>
      <w:r>
        <w:fldChar w:fldCharType="separate"/>
      </w:r>
      <w:r>
        <w:t>21</w:t>
      </w:r>
      <w:r>
        <w:fldChar w:fldCharType="end"/>
      </w:r>
    </w:p>
    <w:p>
      <w:pPr>
        <w:pStyle w:val="15"/>
        <w:tabs>
          <w:tab w:val="right" w:leader="dot" w:pos="8296"/>
        </w:tabs>
        <w:rPr>
          <w:rFonts w:hAnsiTheme="minorHAnsi" w:eastAsiaTheme="minorEastAsia" w:cstheme="minorBidi"/>
          <w:b w:val="0"/>
          <w:bCs w:val="0"/>
          <w:caps w:val="0"/>
          <w:sz w:val="21"/>
          <w:szCs w:val="22"/>
        </w:rPr>
      </w:pPr>
      <w:r>
        <w:rPr>
          <w:rFonts w:ascii="黑体" w:hAnsi="黑体" w:eastAsia="黑体"/>
          <w:color w:val="000000"/>
        </w:rPr>
        <w:t>第</w:t>
      </w:r>
      <w:r>
        <w:rPr>
          <w:rFonts w:ascii="黑体" w:hAnsi="黑体" w:eastAsia="黑体"/>
          <w:kern w:val="44"/>
        </w:rPr>
        <w:t>五部分 附表</w:t>
      </w:r>
      <w:r>
        <w:tab/>
      </w:r>
      <w:r>
        <w:fldChar w:fldCharType="begin"/>
      </w:r>
      <w:r>
        <w:instrText xml:space="preserve"> PAGEREF _Toc79163885 \h </w:instrText>
      </w:r>
      <w:r>
        <w:fldChar w:fldCharType="separate"/>
      </w:r>
      <w:r>
        <w:t>29</w:t>
      </w:r>
      <w:r>
        <w:fldChar w:fldCharType="end"/>
      </w:r>
    </w:p>
    <w:p>
      <w:pPr>
        <w:pStyle w:val="18"/>
        <w:tabs>
          <w:tab w:val="right" w:leader="dot" w:pos="8296"/>
        </w:tabs>
        <w:rPr>
          <w:rFonts w:hAnsiTheme="minorHAnsi" w:eastAsiaTheme="minorEastAsia" w:cstheme="minorBidi"/>
          <w:smallCaps w:val="0"/>
          <w:sz w:val="21"/>
          <w:szCs w:val="22"/>
        </w:rPr>
      </w:pPr>
      <w:r>
        <w:rPr>
          <w:rFonts w:ascii="仿宋" w:hAnsi="仿宋" w:eastAsia="仿宋"/>
          <w:color w:val="000000"/>
        </w:rPr>
        <w:t>一、收</w:t>
      </w:r>
      <w:r>
        <w:rPr>
          <w:rFonts w:ascii="仿宋" w:hAnsi="仿宋" w:eastAsia="仿宋"/>
        </w:rPr>
        <w:t>入支出决算总表</w:t>
      </w:r>
      <w:r>
        <w:tab/>
      </w:r>
      <w:r>
        <w:fldChar w:fldCharType="begin"/>
      </w:r>
      <w:r>
        <w:instrText xml:space="preserve"> PAGEREF _Toc79163886 \h </w:instrText>
      </w:r>
      <w:r>
        <w:fldChar w:fldCharType="separate"/>
      </w:r>
      <w:r>
        <w:t>29</w:t>
      </w:r>
      <w:r>
        <w:fldChar w:fldCharType="end"/>
      </w:r>
    </w:p>
    <w:p>
      <w:pPr>
        <w:pStyle w:val="18"/>
        <w:tabs>
          <w:tab w:val="right" w:leader="dot" w:pos="8296"/>
        </w:tabs>
        <w:rPr>
          <w:rFonts w:hAnsiTheme="minorHAnsi" w:eastAsiaTheme="minorEastAsia" w:cstheme="minorBidi"/>
          <w:smallCaps w:val="0"/>
          <w:sz w:val="21"/>
          <w:szCs w:val="22"/>
        </w:rPr>
      </w:pPr>
      <w:r>
        <w:rPr>
          <w:rFonts w:ascii="仿宋" w:hAnsi="仿宋" w:eastAsia="仿宋"/>
          <w:color w:val="000000"/>
        </w:rPr>
        <w:t>二、收</w:t>
      </w:r>
      <w:r>
        <w:rPr>
          <w:rFonts w:ascii="仿宋" w:hAnsi="仿宋" w:eastAsia="仿宋"/>
        </w:rPr>
        <w:t>入决算表</w:t>
      </w:r>
      <w:r>
        <w:tab/>
      </w:r>
      <w:r>
        <w:fldChar w:fldCharType="begin"/>
      </w:r>
      <w:r>
        <w:instrText xml:space="preserve"> PAGEREF _Toc79163887 \h </w:instrText>
      </w:r>
      <w:r>
        <w:fldChar w:fldCharType="separate"/>
      </w:r>
      <w:r>
        <w:t>29</w:t>
      </w:r>
      <w:r>
        <w:fldChar w:fldCharType="end"/>
      </w:r>
    </w:p>
    <w:p>
      <w:pPr>
        <w:pStyle w:val="18"/>
        <w:tabs>
          <w:tab w:val="right" w:leader="dot" w:pos="8296"/>
        </w:tabs>
        <w:rPr>
          <w:rFonts w:hAnsiTheme="minorHAnsi" w:eastAsiaTheme="minorEastAsia" w:cstheme="minorBidi"/>
          <w:smallCaps w:val="0"/>
          <w:sz w:val="21"/>
          <w:szCs w:val="22"/>
        </w:rPr>
      </w:pPr>
      <w:r>
        <w:rPr>
          <w:rFonts w:ascii="仿宋" w:hAnsi="仿宋" w:eastAsia="仿宋"/>
        </w:rPr>
        <w:t>三、</w:t>
      </w:r>
      <w:r>
        <w:rPr>
          <w:rFonts w:ascii="仿宋" w:hAnsi="仿宋" w:eastAsia="仿宋"/>
          <w:color w:val="000000"/>
        </w:rPr>
        <w:t>支</w:t>
      </w:r>
      <w:r>
        <w:rPr>
          <w:rFonts w:ascii="仿宋" w:hAnsi="仿宋" w:eastAsia="仿宋"/>
        </w:rPr>
        <w:t>出决算表</w:t>
      </w:r>
      <w:r>
        <w:tab/>
      </w:r>
      <w:r>
        <w:fldChar w:fldCharType="begin"/>
      </w:r>
      <w:r>
        <w:instrText xml:space="preserve"> PAGEREF _Toc79163888 \h </w:instrText>
      </w:r>
      <w:r>
        <w:fldChar w:fldCharType="separate"/>
      </w:r>
      <w:r>
        <w:t>29</w:t>
      </w:r>
      <w:r>
        <w:fldChar w:fldCharType="end"/>
      </w:r>
    </w:p>
    <w:p>
      <w:pPr>
        <w:pStyle w:val="18"/>
        <w:tabs>
          <w:tab w:val="right" w:leader="dot" w:pos="8296"/>
        </w:tabs>
        <w:rPr>
          <w:rFonts w:hAnsiTheme="minorHAnsi" w:eastAsiaTheme="minorEastAsia" w:cstheme="minorBidi"/>
          <w:smallCaps w:val="0"/>
          <w:sz w:val="21"/>
          <w:szCs w:val="22"/>
        </w:rPr>
      </w:pPr>
      <w:r>
        <w:rPr>
          <w:rFonts w:ascii="仿宋" w:hAnsi="仿宋" w:eastAsia="仿宋"/>
        </w:rPr>
        <w:t>四、</w:t>
      </w:r>
      <w:r>
        <w:rPr>
          <w:rFonts w:ascii="仿宋" w:hAnsi="仿宋" w:eastAsia="仿宋"/>
          <w:color w:val="000000"/>
        </w:rPr>
        <w:t>财</w:t>
      </w:r>
      <w:r>
        <w:rPr>
          <w:rFonts w:ascii="仿宋" w:hAnsi="仿宋" w:eastAsia="仿宋"/>
        </w:rPr>
        <w:t>政拨款收入支出决算总表</w:t>
      </w:r>
      <w:r>
        <w:tab/>
      </w:r>
      <w:r>
        <w:fldChar w:fldCharType="begin"/>
      </w:r>
      <w:r>
        <w:instrText xml:space="preserve"> PAGEREF _Toc79163889 \h </w:instrText>
      </w:r>
      <w:r>
        <w:fldChar w:fldCharType="separate"/>
      </w:r>
      <w:r>
        <w:t>29</w:t>
      </w:r>
      <w:r>
        <w:fldChar w:fldCharType="end"/>
      </w:r>
    </w:p>
    <w:p>
      <w:pPr>
        <w:pStyle w:val="18"/>
        <w:tabs>
          <w:tab w:val="right" w:leader="dot" w:pos="8296"/>
        </w:tabs>
        <w:rPr>
          <w:rFonts w:hAnsiTheme="minorHAnsi" w:eastAsiaTheme="minorEastAsia" w:cstheme="minorBidi"/>
          <w:smallCaps w:val="0"/>
          <w:sz w:val="21"/>
          <w:szCs w:val="22"/>
        </w:rPr>
      </w:pPr>
      <w:r>
        <w:rPr>
          <w:rFonts w:ascii="仿宋" w:hAnsi="仿宋" w:eastAsia="仿宋"/>
        </w:rPr>
        <w:t>五、</w:t>
      </w:r>
      <w:r>
        <w:rPr>
          <w:rFonts w:ascii="仿宋" w:hAnsi="仿宋" w:eastAsia="仿宋"/>
          <w:color w:val="000000"/>
        </w:rPr>
        <w:t>财</w:t>
      </w:r>
      <w:r>
        <w:rPr>
          <w:rFonts w:ascii="仿宋" w:hAnsi="仿宋" w:eastAsia="仿宋"/>
        </w:rPr>
        <w:t>政拨款支出决算明细表</w:t>
      </w:r>
      <w:r>
        <w:tab/>
      </w:r>
      <w:r>
        <w:fldChar w:fldCharType="begin"/>
      </w:r>
      <w:r>
        <w:instrText xml:space="preserve"> PAGEREF _Toc79163890 \h </w:instrText>
      </w:r>
      <w:r>
        <w:fldChar w:fldCharType="separate"/>
      </w:r>
      <w:r>
        <w:t>29</w:t>
      </w:r>
      <w:r>
        <w:fldChar w:fldCharType="end"/>
      </w:r>
    </w:p>
    <w:p>
      <w:pPr>
        <w:pStyle w:val="18"/>
        <w:tabs>
          <w:tab w:val="right" w:leader="dot" w:pos="8296"/>
        </w:tabs>
        <w:rPr>
          <w:rFonts w:hAnsiTheme="minorHAnsi" w:eastAsiaTheme="minorEastAsia" w:cstheme="minorBidi"/>
          <w:smallCaps w:val="0"/>
          <w:sz w:val="21"/>
          <w:szCs w:val="22"/>
        </w:rPr>
      </w:pPr>
      <w:r>
        <w:rPr>
          <w:rFonts w:ascii="仿宋" w:hAnsi="仿宋" w:eastAsia="仿宋"/>
        </w:rPr>
        <w:t>六、</w:t>
      </w:r>
      <w:r>
        <w:rPr>
          <w:rFonts w:ascii="仿宋" w:hAnsi="仿宋" w:eastAsia="仿宋"/>
          <w:color w:val="000000"/>
        </w:rPr>
        <w:t>一</w:t>
      </w:r>
      <w:r>
        <w:rPr>
          <w:rFonts w:ascii="仿宋" w:hAnsi="仿宋" w:eastAsia="仿宋"/>
        </w:rPr>
        <w:t>般公共预算财政拨款支出决算表</w:t>
      </w:r>
      <w:r>
        <w:tab/>
      </w:r>
      <w:r>
        <w:fldChar w:fldCharType="begin"/>
      </w:r>
      <w:r>
        <w:instrText xml:space="preserve"> PAGEREF _Toc79163891 \h </w:instrText>
      </w:r>
      <w:r>
        <w:fldChar w:fldCharType="separate"/>
      </w:r>
      <w:r>
        <w:t>29</w:t>
      </w:r>
      <w:r>
        <w:fldChar w:fldCharType="end"/>
      </w:r>
    </w:p>
    <w:p>
      <w:pPr>
        <w:pStyle w:val="18"/>
        <w:tabs>
          <w:tab w:val="right" w:leader="dot" w:pos="8296"/>
        </w:tabs>
        <w:rPr>
          <w:rFonts w:hAnsiTheme="minorHAnsi" w:eastAsiaTheme="minorEastAsia" w:cstheme="minorBidi"/>
          <w:smallCaps w:val="0"/>
          <w:sz w:val="21"/>
          <w:szCs w:val="22"/>
        </w:rPr>
      </w:pPr>
      <w:r>
        <w:rPr>
          <w:rFonts w:ascii="仿宋" w:hAnsi="仿宋" w:eastAsia="仿宋"/>
        </w:rPr>
        <w:t>七、</w:t>
      </w:r>
      <w:r>
        <w:rPr>
          <w:rFonts w:ascii="仿宋" w:hAnsi="仿宋" w:eastAsia="仿宋"/>
          <w:color w:val="000000"/>
        </w:rPr>
        <w:t>一</w:t>
      </w:r>
      <w:r>
        <w:rPr>
          <w:rFonts w:ascii="仿宋" w:hAnsi="仿宋" w:eastAsia="仿宋"/>
        </w:rPr>
        <w:t>般公共预算财政拨款支出决算明细表</w:t>
      </w:r>
      <w:r>
        <w:tab/>
      </w:r>
      <w:r>
        <w:fldChar w:fldCharType="begin"/>
      </w:r>
      <w:r>
        <w:instrText xml:space="preserve"> PAGEREF _Toc79163892 \h </w:instrText>
      </w:r>
      <w:r>
        <w:fldChar w:fldCharType="separate"/>
      </w:r>
      <w:r>
        <w:t>29</w:t>
      </w:r>
      <w:r>
        <w:fldChar w:fldCharType="end"/>
      </w:r>
    </w:p>
    <w:p>
      <w:pPr>
        <w:pStyle w:val="18"/>
        <w:tabs>
          <w:tab w:val="right" w:leader="dot" w:pos="8296"/>
        </w:tabs>
        <w:rPr>
          <w:rFonts w:hAnsiTheme="minorHAnsi" w:eastAsiaTheme="minorEastAsia" w:cstheme="minorBidi"/>
          <w:smallCaps w:val="0"/>
          <w:sz w:val="21"/>
          <w:szCs w:val="22"/>
        </w:rPr>
      </w:pPr>
      <w:r>
        <w:rPr>
          <w:rFonts w:ascii="仿宋" w:hAnsi="仿宋" w:eastAsia="仿宋"/>
        </w:rPr>
        <w:t>八、</w:t>
      </w:r>
      <w:r>
        <w:rPr>
          <w:rFonts w:ascii="仿宋" w:hAnsi="仿宋" w:eastAsia="仿宋"/>
          <w:color w:val="000000"/>
        </w:rPr>
        <w:t>一</w:t>
      </w:r>
      <w:r>
        <w:rPr>
          <w:rFonts w:ascii="仿宋" w:hAnsi="仿宋" w:eastAsia="仿宋"/>
        </w:rPr>
        <w:t>般公共预算财政拨款基本支出决算表</w:t>
      </w:r>
      <w:r>
        <w:tab/>
      </w:r>
      <w:r>
        <w:fldChar w:fldCharType="begin"/>
      </w:r>
      <w:r>
        <w:instrText xml:space="preserve"> PAGEREF _Toc79163893 \h </w:instrText>
      </w:r>
      <w:r>
        <w:fldChar w:fldCharType="separate"/>
      </w:r>
      <w:r>
        <w:t>29</w:t>
      </w:r>
      <w:r>
        <w:fldChar w:fldCharType="end"/>
      </w:r>
    </w:p>
    <w:p>
      <w:pPr>
        <w:pStyle w:val="18"/>
        <w:tabs>
          <w:tab w:val="right" w:leader="dot" w:pos="8296"/>
        </w:tabs>
        <w:rPr>
          <w:rFonts w:hAnsiTheme="minorHAnsi" w:eastAsiaTheme="minorEastAsia" w:cstheme="minorBidi"/>
          <w:smallCaps w:val="0"/>
          <w:sz w:val="21"/>
          <w:szCs w:val="22"/>
        </w:rPr>
      </w:pPr>
      <w:r>
        <w:rPr>
          <w:rFonts w:ascii="仿宋" w:hAnsi="仿宋" w:eastAsia="仿宋"/>
        </w:rPr>
        <w:t>九、</w:t>
      </w:r>
      <w:r>
        <w:rPr>
          <w:rFonts w:ascii="仿宋" w:hAnsi="仿宋" w:eastAsia="仿宋"/>
          <w:color w:val="000000"/>
        </w:rPr>
        <w:t>一</w:t>
      </w:r>
      <w:r>
        <w:rPr>
          <w:rFonts w:ascii="仿宋" w:hAnsi="仿宋" w:eastAsia="仿宋"/>
        </w:rPr>
        <w:t>般公共预算财政拨款项目支出决算表</w:t>
      </w:r>
      <w:r>
        <w:tab/>
      </w:r>
      <w:r>
        <w:fldChar w:fldCharType="begin"/>
      </w:r>
      <w:r>
        <w:instrText xml:space="preserve"> PAGEREF _Toc79163894 \h </w:instrText>
      </w:r>
      <w:r>
        <w:fldChar w:fldCharType="separate"/>
      </w:r>
      <w:r>
        <w:t>29</w:t>
      </w:r>
      <w:r>
        <w:fldChar w:fldCharType="end"/>
      </w:r>
    </w:p>
    <w:p>
      <w:pPr>
        <w:pStyle w:val="18"/>
        <w:tabs>
          <w:tab w:val="right" w:leader="dot" w:pos="8296"/>
        </w:tabs>
        <w:rPr>
          <w:rFonts w:hAnsiTheme="minorHAnsi" w:eastAsiaTheme="minorEastAsia" w:cstheme="minorBidi"/>
          <w:smallCaps w:val="0"/>
          <w:sz w:val="21"/>
          <w:szCs w:val="22"/>
        </w:rPr>
      </w:pPr>
      <w:r>
        <w:rPr>
          <w:rFonts w:ascii="仿宋" w:hAnsi="仿宋" w:eastAsia="仿宋"/>
        </w:rPr>
        <w:t>十、</w:t>
      </w:r>
      <w:r>
        <w:rPr>
          <w:rFonts w:ascii="仿宋" w:hAnsi="仿宋" w:eastAsia="仿宋"/>
          <w:color w:val="000000"/>
        </w:rPr>
        <w:t>一</w:t>
      </w:r>
      <w:r>
        <w:rPr>
          <w:rFonts w:ascii="仿宋" w:hAnsi="仿宋" w:eastAsia="仿宋"/>
        </w:rPr>
        <w:t>般公共预算财政拨款“三公”经费支出决算表</w:t>
      </w:r>
      <w:r>
        <w:tab/>
      </w:r>
      <w:r>
        <w:fldChar w:fldCharType="begin"/>
      </w:r>
      <w:r>
        <w:instrText xml:space="preserve"> PAGEREF _Toc79163895 \h </w:instrText>
      </w:r>
      <w:r>
        <w:fldChar w:fldCharType="separate"/>
      </w:r>
      <w:r>
        <w:t>29</w:t>
      </w:r>
      <w:r>
        <w:fldChar w:fldCharType="end"/>
      </w:r>
    </w:p>
    <w:p>
      <w:pPr>
        <w:pStyle w:val="18"/>
        <w:tabs>
          <w:tab w:val="right" w:leader="dot" w:pos="8296"/>
        </w:tabs>
        <w:rPr>
          <w:rFonts w:hAnsiTheme="minorHAnsi" w:eastAsiaTheme="minorEastAsia" w:cstheme="minorBidi"/>
          <w:smallCaps w:val="0"/>
          <w:sz w:val="21"/>
          <w:szCs w:val="22"/>
        </w:rPr>
      </w:pPr>
      <w:r>
        <w:rPr>
          <w:rFonts w:ascii="仿宋" w:hAnsi="仿宋" w:eastAsia="仿宋"/>
        </w:rPr>
        <w:t>十一、</w:t>
      </w:r>
      <w:r>
        <w:rPr>
          <w:rFonts w:ascii="仿宋" w:hAnsi="仿宋" w:eastAsia="仿宋"/>
          <w:color w:val="000000"/>
        </w:rPr>
        <w:t>政</w:t>
      </w:r>
      <w:r>
        <w:rPr>
          <w:rFonts w:ascii="仿宋" w:hAnsi="仿宋" w:eastAsia="仿宋"/>
        </w:rPr>
        <w:t>府性基金预算财政拨款收入支出决算表</w:t>
      </w:r>
      <w:r>
        <w:tab/>
      </w:r>
      <w:r>
        <w:fldChar w:fldCharType="begin"/>
      </w:r>
      <w:r>
        <w:instrText xml:space="preserve"> PAGEREF _Toc79163896 \h </w:instrText>
      </w:r>
      <w:r>
        <w:fldChar w:fldCharType="separate"/>
      </w:r>
      <w:r>
        <w:t>29</w:t>
      </w:r>
      <w:r>
        <w:fldChar w:fldCharType="end"/>
      </w:r>
    </w:p>
    <w:p>
      <w:pPr>
        <w:pStyle w:val="18"/>
        <w:tabs>
          <w:tab w:val="right" w:leader="dot" w:pos="8296"/>
        </w:tabs>
        <w:rPr>
          <w:rFonts w:hAnsiTheme="minorHAnsi" w:eastAsiaTheme="minorEastAsia" w:cstheme="minorBidi"/>
          <w:smallCaps w:val="0"/>
          <w:sz w:val="21"/>
          <w:szCs w:val="22"/>
        </w:rPr>
      </w:pPr>
      <w:r>
        <w:rPr>
          <w:rFonts w:ascii="仿宋" w:hAnsi="仿宋" w:eastAsia="仿宋"/>
        </w:rPr>
        <w:t>十二、</w:t>
      </w:r>
      <w:r>
        <w:rPr>
          <w:rFonts w:ascii="仿宋" w:hAnsi="仿宋" w:eastAsia="仿宋"/>
          <w:color w:val="000000"/>
        </w:rPr>
        <w:t>政</w:t>
      </w:r>
      <w:r>
        <w:rPr>
          <w:rFonts w:ascii="仿宋" w:hAnsi="仿宋" w:eastAsia="仿宋"/>
        </w:rPr>
        <w:t>府性基金预算财政拨款“三公”经费支出决算表</w:t>
      </w:r>
      <w:r>
        <w:tab/>
      </w:r>
      <w:r>
        <w:fldChar w:fldCharType="begin"/>
      </w:r>
      <w:r>
        <w:instrText xml:space="preserve"> PAGEREF _Toc79163897 \h </w:instrText>
      </w:r>
      <w:r>
        <w:fldChar w:fldCharType="separate"/>
      </w:r>
      <w:r>
        <w:t>29</w:t>
      </w:r>
      <w:r>
        <w:fldChar w:fldCharType="end"/>
      </w:r>
    </w:p>
    <w:p>
      <w:pPr>
        <w:pStyle w:val="18"/>
        <w:tabs>
          <w:tab w:val="right" w:leader="dot" w:pos="8296"/>
        </w:tabs>
        <w:rPr>
          <w:rFonts w:hAnsiTheme="minorHAnsi" w:eastAsiaTheme="minorEastAsia" w:cstheme="minorBidi"/>
          <w:smallCaps w:val="0"/>
          <w:sz w:val="21"/>
          <w:szCs w:val="22"/>
        </w:rPr>
      </w:pPr>
      <w:r>
        <w:rPr>
          <w:rFonts w:ascii="仿宋" w:hAnsi="仿宋" w:eastAsia="仿宋"/>
        </w:rPr>
        <w:t>十三、</w:t>
      </w:r>
      <w:r>
        <w:rPr>
          <w:rFonts w:ascii="仿宋" w:hAnsi="仿宋" w:eastAsia="仿宋"/>
          <w:color w:val="000000"/>
        </w:rPr>
        <w:t>国</w:t>
      </w:r>
      <w:r>
        <w:rPr>
          <w:rFonts w:ascii="仿宋" w:hAnsi="仿宋" w:eastAsia="仿宋"/>
        </w:rPr>
        <w:t>有资本经营预算财政拨款</w:t>
      </w:r>
      <w:r>
        <w:rPr>
          <w:rFonts w:hint="eastAsia" w:ascii="仿宋" w:hAnsi="仿宋" w:eastAsia="仿宋"/>
        </w:rPr>
        <w:t>收入</w:t>
      </w:r>
      <w:r>
        <w:rPr>
          <w:rFonts w:ascii="仿宋" w:hAnsi="仿宋" w:eastAsia="仿宋"/>
        </w:rPr>
        <w:t>支出决算表</w:t>
      </w:r>
      <w:r>
        <w:tab/>
      </w:r>
      <w:r>
        <w:fldChar w:fldCharType="begin"/>
      </w:r>
      <w:r>
        <w:instrText xml:space="preserve"> PAGEREF _Toc79163898 \h </w:instrText>
      </w:r>
      <w:r>
        <w:fldChar w:fldCharType="separate"/>
      </w:r>
      <w:r>
        <w:t>29</w:t>
      </w:r>
      <w:r>
        <w:fldChar w:fldCharType="end"/>
      </w:r>
    </w:p>
    <w:p>
      <w:pPr>
        <w:pStyle w:val="18"/>
        <w:tabs>
          <w:tab w:val="right" w:leader="dot" w:pos="8296"/>
        </w:tabs>
        <w:rPr>
          <w:rFonts w:hAnsiTheme="minorHAnsi" w:eastAsiaTheme="minorEastAsia" w:cstheme="minorBidi"/>
          <w:smallCaps w:val="0"/>
          <w:sz w:val="21"/>
          <w:szCs w:val="22"/>
        </w:rPr>
      </w:pPr>
      <w:r>
        <w:rPr>
          <w:rFonts w:ascii="仿宋" w:hAnsi="仿宋" w:eastAsia="仿宋"/>
        </w:rPr>
        <w:t>十四、国有资本经营预算财政拨款支出决算表</w:t>
      </w:r>
      <w:r>
        <w:tab/>
      </w:r>
      <w:r>
        <w:fldChar w:fldCharType="begin"/>
      </w:r>
      <w:r>
        <w:instrText xml:space="preserve"> PAGEREF _Toc79163899 \h </w:instrText>
      </w:r>
      <w:r>
        <w:fldChar w:fldCharType="separate"/>
      </w:r>
      <w:r>
        <w:t>29</w:t>
      </w:r>
      <w:r>
        <w:fldChar w:fldCharType="end"/>
      </w:r>
    </w:p>
    <w:p>
      <w:r>
        <w:rPr>
          <w:rFonts w:asciiTheme="minorHAnsi" w:eastAsiaTheme="minorHAnsi"/>
          <w:b/>
          <w:bCs/>
          <w:caps/>
          <w:sz w:val="20"/>
          <w:szCs w:val="20"/>
        </w:rPr>
        <w:fldChar w:fldCharType="end"/>
      </w:r>
    </w:p>
    <w:p>
      <w:pPr>
        <w:widowControl/>
        <w:spacing w:line="440" w:lineRule="exact"/>
        <w:jc w:val="left"/>
        <w:rPr>
          <w:rFonts w:ascii="仿宋" w:hAnsi="仿宋" w:eastAsia="仿宋"/>
          <w:bCs/>
          <w:kern w:val="44"/>
          <w:sz w:val="24"/>
        </w:rPr>
      </w:pPr>
      <w:bookmarkStart w:id="12" w:name="_Toc15377196"/>
      <w:bookmarkStart w:id="13" w:name="_Toc15396599"/>
      <w:r>
        <w:rPr>
          <w:rFonts w:ascii="仿宋" w:hAnsi="仿宋" w:eastAsia="仿宋"/>
          <w:b/>
          <w:sz w:val="24"/>
        </w:rPr>
        <w:br w:type="page"/>
      </w:r>
    </w:p>
    <w:p>
      <w:pPr>
        <w:pStyle w:val="3"/>
        <w:jc w:val="center"/>
        <w:rPr>
          <w:rStyle w:val="28"/>
          <w:rFonts w:ascii="黑体" w:hAnsi="黑体" w:eastAsia="黑体"/>
          <w:b/>
          <w:bCs w:val="0"/>
        </w:rPr>
      </w:pPr>
      <w:bookmarkStart w:id="14" w:name="_Toc79163601"/>
      <w:bookmarkStart w:id="15" w:name="_Toc79163851"/>
      <w:r>
        <w:rPr>
          <w:rFonts w:hint="eastAsia" w:ascii="黑体" w:hAnsi="黑体" w:eastAsia="黑体"/>
          <w:b w:val="0"/>
        </w:rPr>
        <w:t>第一部分</w:t>
      </w:r>
      <w:r>
        <w:rPr>
          <w:rFonts w:ascii="黑体" w:hAnsi="黑体" w:eastAsia="黑体"/>
          <w:b w:val="0"/>
        </w:rPr>
        <w:t xml:space="preserve"> </w:t>
      </w:r>
      <w:r>
        <w:rPr>
          <w:rStyle w:val="28"/>
          <w:rFonts w:hint="eastAsia" w:ascii="黑体" w:hAnsi="黑体" w:eastAsia="黑体"/>
          <w:b w:val="0"/>
          <w:bCs w:val="0"/>
        </w:rPr>
        <w:t>部门概况</w:t>
      </w:r>
      <w:bookmarkEnd w:id="12"/>
      <w:bookmarkEnd w:id="13"/>
      <w:bookmarkEnd w:id="14"/>
      <w:bookmarkEnd w:id="15"/>
    </w:p>
    <w:p>
      <w:pPr>
        <w:widowControl/>
        <w:jc w:val="left"/>
        <w:rPr>
          <w:rFonts w:ascii="黑体" w:eastAsia="黑体"/>
          <w:color w:val="000000"/>
          <w:sz w:val="32"/>
          <w:szCs w:val="32"/>
        </w:rPr>
      </w:pPr>
    </w:p>
    <w:p>
      <w:pPr>
        <w:pStyle w:val="4"/>
        <w:keepNext/>
        <w:keepLines/>
        <w:pageBreakBefore w:val="0"/>
        <w:widowControl w:val="0"/>
        <w:numPr>
          <w:ilvl w:val="0"/>
          <w:numId w:val="1"/>
        </w:numPr>
        <w:kinsoku/>
        <w:wordWrap/>
        <w:overflowPunct/>
        <w:topLinePunct w:val="0"/>
        <w:autoSpaceDE/>
        <w:autoSpaceDN/>
        <w:bidi w:val="0"/>
        <w:adjustRightInd/>
        <w:snapToGrid/>
        <w:spacing w:line="560" w:lineRule="exact"/>
        <w:textAlignment w:val="auto"/>
        <w:rPr>
          <w:rStyle w:val="29"/>
          <w:rFonts w:hint="eastAsia" w:ascii="黑体" w:hAnsi="黑体" w:eastAsia="黑体"/>
          <w:b w:val="0"/>
          <w:bCs w:val="0"/>
        </w:rPr>
      </w:pPr>
      <w:bookmarkStart w:id="16" w:name="_Toc15396600"/>
      <w:bookmarkStart w:id="17" w:name="_Toc79163852"/>
      <w:bookmarkStart w:id="18" w:name="_Toc15377197"/>
      <w:bookmarkStart w:id="19" w:name="_Toc79163602"/>
      <w:r>
        <w:rPr>
          <w:rFonts w:hint="eastAsia" w:ascii="黑体" w:hAnsi="黑体" w:eastAsia="黑体"/>
          <w:b w:val="0"/>
          <w:color w:val="000000"/>
        </w:rPr>
        <w:t>基</w:t>
      </w:r>
      <w:r>
        <w:rPr>
          <w:rStyle w:val="29"/>
          <w:rFonts w:hint="eastAsia" w:ascii="黑体" w:hAnsi="黑体" w:eastAsia="黑体"/>
          <w:b w:val="0"/>
          <w:bCs w:val="0"/>
        </w:rPr>
        <w:t>本职能及主要工作</w:t>
      </w:r>
      <w:bookmarkEnd w:id="16"/>
      <w:bookmarkEnd w:id="17"/>
      <w:bookmarkEnd w:id="18"/>
      <w:bookmarkEnd w:id="19"/>
      <w:bookmarkStart w:id="20" w:name="_Toc79163853"/>
      <w:bookmarkStart w:id="21" w:name="_Toc79163603"/>
      <w:bookmarkStart w:id="22" w:name="_Toc15378445"/>
      <w:bookmarkStart w:id="23" w:name="_Toc15377198"/>
    </w:p>
    <w:p>
      <w:pPr>
        <w:pStyle w:val="4"/>
        <w:keepNext/>
        <w:keepLines/>
        <w:pageBreakBefore w:val="0"/>
        <w:widowControl w:val="0"/>
        <w:numPr>
          <w:ilvl w:val="0"/>
          <w:numId w:val="0"/>
        </w:numPr>
        <w:kinsoku/>
        <w:wordWrap/>
        <w:overflowPunct/>
        <w:topLinePunct w:val="0"/>
        <w:autoSpaceDE/>
        <w:autoSpaceDN/>
        <w:bidi w:val="0"/>
        <w:adjustRightInd/>
        <w:snapToGrid/>
        <w:spacing w:line="560" w:lineRule="exact"/>
        <w:textAlignment w:val="auto"/>
        <w:rPr>
          <w:rFonts w:ascii="仿宋" w:hAnsi="仿宋" w:eastAsia="仿宋"/>
          <w:bCs/>
          <w:color w:val="000000"/>
          <w:sz w:val="32"/>
          <w:szCs w:val="32"/>
        </w:rPr>
      </w:pPr>
      <w:r>
        <w:rPr>
          <w:rFonts w:hint="eastAsia" w:ascii="仿宋" w:hAnsi="仿宋" w:eastAsia="仿宋"/>
          <w:bCs/>
          <w:color w:val="000000"/>
          <w:sz w:val="32"/>
          <w:szCs w:val="32"/>
        </w:rPr>
        <w:t>（一）主要职能。</w:t>
      </w:r>
      <w:bookmarkEnd w:id="20"/>
      <w:bookmarkEnd w:id="21"/>
    </w:p>
    <w:bookmarkEnd w:id="22"/>
    <w:bookmarkEnd w:id="23"/>
    <w:p>
      <w:pPr>
        <w:pStyle w:val="7"/>
        <w:keepNext w:val="0"/>
        <w:keepLines w:val="0"/>
        <w:pageBreakBefore w:val="0"/>
        <w:widowControl w:val="0"/>
        <w:kinsoku/>
        <w:wordWrap/>
        <w:overflowPunct/>
        <w:topLinePunct w:val="0"/>
        <w:autoSpaceDE/>
        <w:autoSpaceDN/>
        <w:bidi w:val="0"/>
        <w:adjustRightInd/>
        <w:snapToGrid/>
        <w:spacing w:beforeLines="0" w:line="560" w:lineRule="exact"/>
        <w:ind w:firstLine="640" w:firstLineChars="200"/>
        <w:textAlignment w:val="auto"/>
        <w:rPr>
          <w:rFonts w:hint="eastAsia"/>
          <w:sz w:val="32"/>
          <w:szCs w:val="32"/>
          <w:lang w:val="en-US" w:eastAsia="zh-CN"/>
        </w:rPr>
      </w:pPr>
      <w:r>
        <w:rPr>
          <w:rFonts w:hint="eastAsia"/>
          <w:sz w:val="32"/>
          <w:szCs w:val="32"/>
          <w:lang w:val="en-US" w:eastAsia="zh-CN"/>
        </w:rPr>
        <w:t>依法加强寺庙宗教事务管理：一是加强寺庙管理。规范寺庙建设，严格落实寺庙建设“五评一审”制度，加强寺庙财务收支、文物保护等工作；二是加强僧人管理。健全完善并及时更新僧人基本信息台账，完善僧人证信息采集，僧人办理僧人证并持证住寺，严格落实僧人外出请销假制度。</w:t>
      </w:r>
    </w:p>
    <w:p>
      <w:pPr>
        <w:pStyle w:val="7"/>
        <w:keepNext w:val="0"/>
        <w:keepLines w:val="0"/>
        <w:pageBreakBefore w:val="0"/>
        <w:widowControl w:val="0"/>
        <w:kinsoku/>
        <w:wordWrap/>
        <w:overflowPunct/>
        <w:topLinePunct w:val="0"/>
        <w:autoSpaceDE/>
        <w:autoSpaceDN/>
        <w:bidi w:val="0"/>
        <w:adjustRightInd/>
        <w:snapToGrid/>
        <w:spacing w:beforeLines="0" w:line="560" w:lineRule="exact"/>
        <w:ind w:firstLine="640" w:firstLineChars="200"/>
        <w:textAlignment w:val="auto"/>
        <w:rPr>
          <w:rFonts w:hint="eastAsia"/>
          <w:sz w:val="32"/>
          <w:szCs w:val="32"/>
          <w:lang w:val="en-US" w:eastAsia="zh-CN"/>
        </w:rPr>
      </w:pPr>
      <w:r>
        <w:rPr>
          <w:rFonts w:hint="eastAsia"/>
          <w:sz w:val="32"/>
          <w:szCs w:val="32"/>
          <w:lang w:val="en-US" w:eastAsia="zh-CN"/>
        </w:rPr>
        <w:t>加强教育引导：增强僧人国家意识、法治意识、公民意识，坚持不懈加强对僧人的教育引导。一是完善教育制度。把寺庙爱国主义教育和法治宣传教育常态化、制度化，引导僧人坚定不移守法持戒、爱国爱教；二是丰富教育。开展法治教育、政策教育、爱国教育、团结教育、教规教育。</w:t>
      </w:r>
    </w:p>
    <w:p>
      <w:pPr>
        <w:pStyle w:val="4"/>
        <w:bidi w:val="0"/>
        <w:rPr>
          <w:rFonts w:hint="eastAsia" w:ascii="宋体" w:hAnsi="宋体" w:eastAsia="宋体" w:cs="宋体"/>
        </w:rPr>
      </w:pPr>
      <w:bookmarkStart w:id="24" w:name="_Toc15377199"/>
      <w:bookmarkStart w:id="25" w:name="_Toc15378446"/>
      <w:bookmarkStart w:id="26" w:name="_Toc79163604"/>
      <w:bookmarkStart w:id="27" w:name="_Toc79163854"/>
      <w:r>
        <w:rPr>
          <w:rFonts w:hint="eastAsia" w:ascii="仿宋" w:hAnsi="仿宋" w:eastAsia="仿宋" w:cs="仿宋"/>
        </w:rPr>
        <w:t>（二）2021年重点工作完成情况</w:t>
      </w:r>
      <w:r>
        <w:rPr>
          <w:rFonts w:hint="eastAsia" w:ascii="宋体" w:hAnsi="宋体" w:eastAsia="宋体" w:cs="宋体"/>
        </w:rPr>
        <w:t>。</w:t>
      </w:r>
      <w:bookmarkEnd w:id="24"/>
      <w:bookmarkEnd w:id="25"/>
      <w:bookmarkEnd w:id="26"/>
      <w:bookmarkEnd w:id="27"/>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eastAsia" w:ascii="仿宋_GB2312" w:hAnsi="Calibri" w:eastAsia="仿宋_GB2312" w:cs="仿宋_GB2312"/>
          <w:kern w:val="2"/>
          <w:sz w:val="32"/>
          <w:szCs w:val="32"/>
          <w:lang w:val="en-US" w:eastAsia="zh-CN" w:bidi="ar"/>
        </w:rPr>
      </w:pPr>
      <w:r>
        <w:rPr>
          <w:rFonts w:hint="eastAsia" w:ascii="仿宋_GB2312" w:hAnsi="Calibri" w:eastAsia="仿宋_GB2312" w:cs="仿宋_GB2312"/>
          <w:kern w:val="2"/>
          <w:sz w:val="32"/>
          <w:szCs w:val="32"/>
          <w:lang w:val="en-US" w:eastAsia="zh-CN" w:bidi="ar"/>
        </w:rPr>
        <w:t xml:space="preserve"> 1、重点工作任务一：依法依规管好寺庙，努力践行服务宗旨。</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eastAsia" w:ascii="仿宋_GB2312" w:hAnsi="Calibri" w:eastAsia="仿宋_GB2312" w:cs="仿宋_GB2312"/>
          <w:kern w:val="2"/>
          <w:sz w:val="32"/>
          <w:szCs w:val="32"/>
          <w:lang w:val="en-US" w:eastAsia="zh-CN" w:bidi="ar"/>
        </w:rPr>
      </w:pPr>
      <w:r>
        <w:rPr>
          <w:rFonts w:hint="eastAsia" w:ascii="仿宋_GB2312" w:hAnsi="Calibri" w:eastAsia="仿宋_GB2312" w:cs="仿宋_GB2312"/>
          <w:kern w:val="2"/>
          <w:sz w:val="32"/>
          <w:szCs w:val="32"/>
          <w:lang w:val="en-US" w:eastAsia="zh-CN" w:bidi="ar"/>
        </w:rPr>
        <w:t>工作任务的内容：换届不换帮扶，结合实际开展班子作风整顿建设和“我为群众办实事”活动，及时调整“联寺联僧”和“两联一进”对象，聚焦辖区寺庙僧尼、联系村群众急难愁盼问题，拟定“我为群众办实事”任务事项清单13项。以“五美寺庙”建设为目标，持续对寺庙环境卫生开展集中整治，着力解决“脏、乱、差”等突出问题，已组织辖区7寺庙开展大扫除20余次，共发动僧尼400余人次，清理各类垃圾死角30余处，寺庙环境卫生、僧人个人卫生得到显著提高；深入开展寺庙绿化、美化行动，大力建设护寺林、绿地花坛等，组织辖区寺庙植树700余株，建绿地花坛等16处，努力营造洁净的居住修行氛围。</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eastAsia" w:ascii="仿宋_GB2312" w:hAnsi="Calibri" w:eastAsia="仿宋_GB2312" w:cs="仿宋_GB2312"/>
          <w:kern w:val="2"/>
          <w:sz w:val="32"/>
          <w:szCs w:val="32"/>
          <w:lang w:val="en-US" w:eastAsia="zh-CN" w:bidi="ar"/>
        </w:rPr>
      </w:pPr>
      <w:r>
        <w:rPr>
          <w:rFonts w:hint="eastAsia" w:ascii="仿宋_GB2312" w:hAnsi="Calibri" w:eastAsia="仿宋_GB2312" w:cs="仿宋_GB2312"/>
          <w:kern w:val="2"/>
          <w:sz w:val="32"/>
          <w:szCs w:val="32"/>
          <w:lang w:val="en-US" w:eastAsia="zh-CN" w:bidi="ar"/>
        </w:rPr>
        <w:t>2、重点工作任务二：疫情防控。</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eastAsia" w:ascii="仿宋" w:hAnsi="仿宋" w:eastAsia="仿宋"/>
          <w:bCs/>
          <w:color w:val="000000"/>
          <w:sz w:val="32"/>
          <w:szCs w:val="32"/>
        </w:rPr>
      </w:pPr>
      <w:r>
        <w:rPr>
          <w:rFonts w:hint="eastAsia" w:ascii="仿宋_GB2312" w:hAnsi="Calibri" w:eastAsia="仿宋_GB2312" w:cs="仿宋_GB2312"/>
          <w:kern w:val="2"/>
          <w:sz w:val="32"/>
          <w:szCs w:val="32"/>
          <w:lang w:val="en-US" w:eastAsia="zh-CN" w:bidi="ar"/>
        </w:rPr>
        <w:t>工作任务的内容：在今年疫情防控重点节点，制定相应疫情防控应急预案，通过线上线下多种方式宣传教育引导僧尼防疫知识20余次，免费发放84消毒液、泡腾片、口罩、红外线体温仪等防疫物资1万余件；组织动员辖区寺庙设立寺庙门禁卡点7个；对僧人开展消毒培训3次14余人次，在寺庙多次开展全面消杀，联合乡镇卫生院入寺送疫苗上门服务3次</w:t>
      </w:r>
      <w:r>
        <w:rPr>
          <w:rFonts w:hint="eastAsia" w:ascii="仿宋_GB2312" w:hAnsi="仿宋_GB2312" w:eastAsia="仿宋_GB2312" w:cs="仿宋_GB2312"/>
          <w:sz w:val="32"/>
          <w:szCs w:val="32"/>
          <w:lang w:val="en-US" w:eastAsia="zh-CN"/>
        </w:rPr>
        <w:t>。</w:t>
      </w:r>
    </w:p>
    <w:p>
      <w:pPr>
        <w:pStyle w:val="4"/>
        <w:pageBreakBefore w:val="0"/>
        <w:widowControl w:val="0"/>
        <w:kinsoku/>
        <w:wordWrap/>
        <w:overflowPunct/>
        <w:topLinePunct w:val="0"/>
        <w:bidi w:val="0"/>
        <w:spacing w:line="560" w:lineRule="exact"/>
        <w:textAlignment w:val="auto"/>
        <w:rPr>
          <w:rStyle w:val="29"/>
          <w:b w:val="0"/>
          <w:bCs w:val="0"/>
        </w:rPr>
      </w:pPr>
      <w:bookmarkStart w:id="28" w:name="_Toc79163855"/>
      <w:bookmarkStart w:id="29" w:name="_Toc15396601"/>
      <w:bookmarkStart w:id="30" w:name="_Toc79163605"/>
      <w:bookmarkStart w:id="31" w:name="_Toc15377200"/>
      <w:r>
        <w:rPr>
          <w:rFonts w:hint="eastAsia" w:ascii="黑体" w:eastAsia="黑体"/>
          <w:b w:val="0"/>
          <w:color w:val="000000"/>
        </w:rPr>
        <w:t>二、</w:t>
      </w:r>
      <w:r>
        <w:rPr>
          <w:rFonts w:hint="eastAsia" w:ascii="黑体" w:hAnsi="黑体" w:eastAsia="黑体"/>
          <w:b w:val="0"/>
          <w:color w:val="000000"/>
        </w:rPr>
        <w:t>机</w:t>
      </w:r>
      <w:r>
        <w:rPr>
          <w:rStyle w:val="29"/>
          <w:rFonts w:hint="eastAsia" w:ascii="黑体" w:hAnsi="黑体" w:eastAsia="黑体"/>
          <w:b w:val="0"/>
          <w:bCs w:val="0"/>
        </w:rPr>
        <w:t>构设置</w:t>
      </w:r>
      <w:bookmarkEnd w:id="28"/>
      <w:bookmarkEnd w:id="29"/>
      <w:bookmarkEnd w:id="30"/>
      <w:bookmarkEnd w:id="31"/>
    </w:p>
    <w:p>
      <w:pPr>
        <w:pStyle w:val="7"/>
        <w:pageBreakBefore w:val="0"/>
        <w:widowControl w:val="0"/>
        <w:kinsoku/>
        <w:wordWrap/>
        <w:overflowPunct/>
        <w:topLinePunct w:val="0"/>
        <w:bidi w:val="0"/>
        <w:adjustRightInd w:val="0"/>
        <w:snapToGrid w:val="0"/>
        <w:spacing w:before="93" w:line="560" w:lineRule="exact"/>
        <w:ind w:firstLine="672" w:firstLineChars="210"/>
        <w:textAlignment w:val="auto"/>
        <w:rPr>
          <w:rFonts w:ascii="仿宋" w:hAnsi="仿宋" w:eastAsia="仿宋"/>
          <w:color w:val="000000"/>
          <w:kern w:val="0"/>
          <w:sz w:val="32"/>
          <w:szCs w:val="32"/>
        </w:rPr>
      </w:pPr>
      <w:bookmarkStart w:id="32" w:name="_Toc30939"/>
      <w:bookmarkStart w:id="33" w:name="_Toc12356"/>
      <w:bookmarkStart w:id="34" w:name="_Toc10699"/>
      <w:r>
        <w:rPr>
          <w:rFonts w:hint="eastAsia" w:hAnsi="仿宋" w:cs="Times New Roman"/>
          <w:b w:val="0"/>
          <w:bCs w:val="0"/>
          <w:kern w:val="2"/>
          <w:sz w:val="32"/>
          <w:szCs w:val="32"/>
          <w:highlight w:val="none"/>
          <w:lang w:val="en-US" w:eastAsia="zh-CN" w:bidi="ar-SA"/>
        </w:rPr>
        <w:t>阿坝州壤塘县三郎寺寺庙管理委员会</w:t>
      </w:r>
      <w:r>
        <w:rPr>
          <w:rFonts w:hint="eastAsia" w:ascii="仿宋_GB2312" w:hAnsi="仿宋" w:eastAsia="仿宋_GB2312" w:cs="Times New Roman"/>
          <w:b w:val="0"/>
          <w:bCs w:val="0"/>
          <w:kern w:val="2"/>
          <w:sz w:val="32"/>
          <w:szCs w:val="32"/>
          <w:highlight w:val="none"/>
          <w:lang w:val="en-US" w:eastAsia="zh-CN" w:bidi="ar-SA"/>
        </w:rPr>
        <w:t>无下属二级单位，本单位属</w:t>
      </w:r>
      <w:r>
        <w:rPr>
          <w:rFonts w:hint="eastAsia" w:hAnsi="仿宋" w:cs="Times New Roman"/>
          <w:b w:val="0"/>
          <w:bCs w:val="0"/>
          <w:kern w:val="2"/>
          <w:sz w:val="32"/>
          <w:szCs w:val="32"/>
          <w:highlight w:val="none"/>
          <w:lang w:val="en-US" w:eastAsia="zh-CN" w:bidi="ar-SA"/>
        </w:rPr>
        <w:t>行政</w:t>
      </w:r>
      <w:r>
        <w:rPr>
          <w:rFonts w:hint="eastAsia" w:ascii="仿宋_GB2312" w:hAnsi="仿宋" w:eastAsia="仿宋_GB2312" w:cs="Times New Roman"/>
          <w:b w:val="0"/>
          <w:bCs w:val="0"/>
          <w:kern w:val="2"/>
          <w:sz w:val="32"/>
          <w:szCs w:val="32"/>
          <w:highlight w:val="none"/>
          <w:lang w:val="en-US" w:eastAsia="zh-CN" w:bidi="ar-SA"/>
        </w:rPr>
        <w:t>单位。</w:t>
      </w:r>
      <w:bookmarkEnd w:id="32"/>
      <w:bookmarkEnd w:id="33"/>
      <w:bookmarkEnd w:id="34"/>
      <w:r>
        <w:rPr>
          <w:rFonts w:ascii="仿宋" w:hAnsi="仿宋" w:eastAsia="仿宋"/>
          <w:color w:val="000000"/>
          <w:sz w:val="32"/>
          <w:szCs w:val="32"/>
        </w:rPr>
        <w:br w:type="page"/>
      </w:r>
    </w:p>
    <w:p>
      <w:pPr>
        <w:pStyle w:val="3"/>
        <w:pageBreakBefore w:val="0"/>
        <w:widowControl w:val="0"/>
        <w:kinsoku/>
        <w:wordWrap/>
        <w:overflowPunct/>
        <w:topLinePunct w:val="0"/>
        <w:bidi w:val="0"/>
        <w:spacing w:line="560" w:lineRule="exact"/>
        <w:ind w:right="440"/>
        <w:jc w:val="right"/>
        <w:textAlignment w:val="auto"/>
        <w:rPr>
          <w:rStyle w:val="28"/>
          <w:rFonts w:ascii="黑体" w:hAnsi="黑体" w:eastAsia="黑体"/>
          <w:b w:val="0"/>
          <w:bCs w:val="0"/>
        </w:rPr>
      </w:pPr>
      <w:bookmarkStart w:id="35" w:name="_Toc15396602"/>
      <w:bookmarkStart w:id="36" w:name="_Toc79163859"/>
      <w:bookmarkStart w:id="37" w:name="_Toc15377204"/>
      <w:bookmarkStart w:id="38" w:name="_Toc79163609"/>
      <w:r>
        <w:rPr>
          <w:rFonts w:hint="eastAsia" w:ascii="黑体" w:hAnsi="黑体" w:eastAsia="黑体"/>
          <w:b w:val="0"/>
          <w:color w:val="000000"/>
        </w:rPr>
        <w:t>第二部分</w:t>
      </w:r>
      <w:r>
        <w:rPr>
          <w:rFonts w:ascii="黑体" w:hAnsi="黑体" w:eastAsia="黑体"/>
          <w:color w:val="000000"/>
        </w:rPr>
        <w:t xml:space="preserve"> </w:t>
      </w:r>
      <w:r>
        <w:rPr>
          <w:rStyle w:val="28"/>
          <w:rFonts w:ascii="黑体" w:hAnsi="黑体" w:eastAsia="黑体"/>
          <w:b w:val="0"/>
          <w:bCs w:val="0"/>
        </w:rPr>
        <w:t>202</w:t>
      </w:r>
      <w:r>
        <w:rPr>
          <w:rStyle w:val="28"/>
          <w:rFonts w:hint="eastAsia" w:ascii="黑体" w:hAnsi="黑体" w:eastAsia="黑体"/>
          <w:b w:val="0"/>
          <w:bCs w:val="0"/>
        </w:rPr>
        <w:t>1年度部门决算情况说明</w:t>
      </w:r>
      <w:bookmarkEnd w:id="35"/>
      <w:bookmarkEnd w:id="36"/>
      <w:bookmarkEnd w:id="37"/>
      <w:bookmarkEnd w:id="38"/>
    </w:p>
    <w:p>
      <w:pPr>
        <w:pStyle w:val="4"/>
        <w:keepNext/>
        <w:keepLines/>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黑体" w:hAnsi="黑体" w:eastAsia="黑体" w:cs="黑体"/>
          <w:lang w:val="en-US" w:eastAsia="zh-CN"/>
        </w:rPr>
      </w:pPr>
      <w:r>
        <w:rPr>
          <w:rFonts w:hint="eastAsia" w:ascii="黑体" w:hAnsi="黑体" w:eastAsia="黑体" w:cs="黑体"/>
          <w:lang w:val="en-US" w:eastAsia="zh-CN"/>
        </w:rPr>
        <w:t>一、收入支出决算总体情况说明</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 w:hAnsi="仿宋" w:eastAsia="仿宋" w:cs="Times New Roman"/>
          <w:color w:val="000000"/>
          <w:kern w:val="2"/>
          <w:sz w:val="32"/>
          <w:szCs w:val="32"/>
        </w:rPr>
      </w:pPr>
      <w:r>
        <w:rPr>
          <w:rFonts w:hint="eastAsia" w:ascii="仿宋" w:hAnsi="仿宋" w:eastAsia="仿宋" w:cs="仿宋"/>
          <w:color w:val="000000"/>
          <w:kern w:val="2"/>
          <w:sz w:val="32"/>
          <w:szCs w:val="32"/>
          <w:lang w:val="en-US" w:eastAsia="zh-CN" w:bidi="ar"/>
        </w:rPr>
        <w:t>2021年度收入总计148.74万元，与2020年相比，增加16.06万元，增长12.10%。主要变动原因：本年业务开展较多，经费相应增加; 支出总计165.45万元。与2020年相比，增加28.72万元，增长21.01%。主要变动原因:业务活动增加，相关经费支出增加。</w:t>
      </w:r>
    </w:p>
    <w:p>
      <w:pPr>
        <w:pStyle w:val="20"/>
        <w:keepNext w:val="0"/>
        <w:keepLines w:val="0"/>
        <w:widowControl w:val="0"/>
        <w:suppressLineNumbers w:val="0"/>
        <w:spacing w:before="0" w:beforeAutospacing="0" w:after="0" w:afterAutospacing="0" w:line="240" w:lineRule="auto"/>
        <w:ind w:left="0" w:leftChars="0" w:right="0" w:firstLine="0" w:firstLineChars="0"/>
        <w:jc w:val="center"/>
        <w:rPr>
          <w:rFonts w:hint="eastAsia" w:ascii="Times New Roman" w:hAnsi="Times New Roman" w:eastAsia="宋体" w:cs="Times New Roman"/>
          <w:kern w:val="2"/>
          <w:sz w:val="21"/>
          <w:szCs w:val="21"/>
        </w:rPr>
      </w:pPr>
      <w:r>
        <w:rPr>
          <w:rFonts w:hint="eastAsia" w:ascii="Times New Roman" w:hAnsi="Times New Roman" w:eastAsia="宋体" w:cs="Times New Roman"/>
          <w:kern w:val="2"/>
          <w:sz w:val="21"/>
          <w:szCs w:val="21"/>
          <w:lang w:val="en-US" w:eastAsia="zh-CN" w:bidi="ar"/>
        </w:rPr>
        <w:drawing>
          <wp:inline distT="0" distB="0" distL="114300" distR="114300">
            <wp:extent cx="4705350" cy="2576195"/>
            <wp:effectExtent l="4445" t="4445" r="14605" b="10160"/>
            <wp:docPr id="1343"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r>
        <w:rPr>
          <w:rFonts w:hint="eastAsia" w:ascii="Times New Roman" w:hAnsi="Times New Roman" w:eastAsia="宋体" w:cs="Times New Roman"/>
          <w:kern w:val="2"/>
          <w:sz w:val="21"/>
          <w:szCs w:val="21"/>
          <w:lang w:val="en-US" w:eastAsia="zh-CN" w:bidi="ar"/>
        </w:rPr>
        <w:drawing>
          <wp:inline distT="0" distB="0" distL="114300" distR="114300">
            <wp:extent cx="4617085" cy="2406015"/>
            <wp:effectExtent l="4445" t="4445" r="13970" b="15240"/>
            <wp:docPr id="1336"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 w:hAnsi="仿宋" w:eastAsia="仿宋" w:cs="Times New Roman"/>
          <w:color w:val="000000"/>
          <w:kern w:val="2"/>
          <w:sz w:val="32"/>
          <w:szCs w:val="32"/>
        </w:rPr>
      </w:pPr>
      <w:r>
        <w:rPr>
          <w:rFonts w:hint="eastAsia" w:ascii="仿宋" w:hAnsi="仿宋" w:eastAsia="仿宋" w:cs="仿宋"/>
          <w:color w:val="000000"/>
          <w:kern w:val="2"/>
          <w:sz w:val="32"/>
          <w:szCs w:val="32"/>
          <w:lang w:val="en-US" w:eastAsia="zh-CN" w:bidi="ar"/>
        </w:rPr>
        <w:t>（图</w:t>
      </w:r>
      <w:r>
        <w:rPr>
          <w:rFonts w:hint="eastAsia" w:ascii="仿宋" w:hAnsi="仿宋" w:eastAsia="仿宋" w:cs="Times New Roman"/>
          <w:color w:val="000000"/>
          <w:kern w:val="2"/>
          <w:sz w:val="32"/>
          <w:szCs w:val="32"/>
          <w:lang w:val="en-US" w:eastAsia="zh-CN" w:bidi="ar"/>
        </w:rPr>
        <w:t>1</w:t>
      </w:r>
      <w:r>
        <w:rPr>
          <w:rFonts w:hint="eastAsia" w:ascii="仿宋" w:hAnsi="仿宋" w:eastAsia="仿宋" w:cs="仿宋"/>
          <w:color w:val="000000"/>
          <w:kern w:val="2"/>
          <w:sz w:val="32"/>
          <w:szCs w:val="32"/>
          <w:lang w:val="en-US" w:eastAsia="zh-CN" w:bidi="ar"/>
        </w:rPr>
        <w:t>：收、支决算总计变动情况图）（柱状图）</w:t>
      </w:r>
    </w:p>
    <w:p>
      <w:pPr>
        <w:keepNext w:val="0"/>
        <w:keepLines w:val="0"/>
        <w:widowControl w:val="0"/>
        <w:suppressLineNumbers w:val="0"/>
        <w:spacing w:before="0" w:beforeAutospacing="0" w:after="0" w:afterAutospacing="0" w:line="560" w:lineRule="exact"/>
        <w:ind w:left="0" w:right="0" w:firstLine="640" w:firstLineChars="200"/>
        <w:jc w:val="left"/>
        <w:rPr>
          <w:rFonts w:hint="default" w:ascii="仿宋_GB2312" w:hAnsi="Times New Roman" w:eastAsia="仿宋_GB2312" w:cs="Times New Roman"/>
          <w:color w:val="000000"/>
          <w:kern w:val="2"/>
          <w:sz w:val="32"/>
          <w:szCs w:val="32"/>
        </w:rPr>
      </w:pPr>
      <w:r>
        <w:rPr>
          <w:rFonts w:hint="default" w:ascii="仿宋_GB2312" w:hAnsi="Times New Roman" w:eastAsia="仿宋_GB2312" w:cs="Times New Roman"/>
          <w:color w:val="000000"/>
          <w:kern w:val="2"/>
          <w:sz w:val="32"/>
          <w:szCs w:val="32"/>
          <w:lang w:val="en-US" w:eastAsia="zh-CN" w:bidi="ar"/>
        </w:rPr>
        <w:t xml:space="preserve"> </w:t>
      </w:r>
    </w:p>
    <w:p>
      <w:pPr>
        <w:pStyle w:val="4"/>
        <w:keepNext/>
        <w:keepLines/>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lang w:val="en-US" w:eastAsia="zh-CN"/>
        </w:rPr>
      </w:pPr>
      <w:r>
        <w:rPr>
          <w:rFonts w:hint="eastAsia" w:ascii="黑体" w:hAnsi="黑体" w:eastAsia="黑体" w:cs="Times New Roman"/>
          <w:b w:val="0"/>
          <w:bCs w:val="0"/>
          <w:color w:val="000000"/>
          <w:kern w:val="2"/>
          <w:sz w:val="32"/>
          <w:szCs w:val="32"/>
          <w:lang w:val="en-US" w:eastAsia="zh-CN" w:bidi="ar-SA"/>
        </w:rPr>
        <w:t>二、收入决算情况说明</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 w:hAnsi="仿宋" w:eastAsia="仿宋" w:cs="Times New Roman"/>
          <w:color w:val="000000"/>
          <w:kern w:val="2"/>
          <w:sz w:val="32"/>
          <w:szCs w:val="32"/>
        </w:rPr>
      </w:pPr>
      <w:r>
        <w:rPr>
          <w:rFonts w:hint="eastAsia" w:ascii="仿宋" w:hAnsi="仿宋" w:eastAsia="仿宋" w:cs="Times New Roman"/>
          <w:color w:val="000000"/>
          <w:kern w:val="2"/>
          <w:sz w:val="32"/>
          <w:szCs w:val="32"/>
          <w:lang w:val="en-US" w:eastAsia="zh-CN" w:bidi="ar"/>
        </w:rPr>
        <w:t>202</w:t>
      </w:r>
      <w:r>
        <w:rPr>
          <w:rFonts w:hint="eastAsia" w:ascii="仿宋" w:hAnsi="仿宋" w:eastAsia="仿宋" w:cs="仿宋"/>
          <w:color w:val="000000"/>
          <w:kern w:val="2"/>
          <w:sz w:val="32"/>
          <w:szCs w:val="32"/>
          <w:lang w:val="en-US" w:eastAsia="zh-CN" w:bidi="ar"/>
        </w:rPr>
        <w:t>1年本年收入合计148.74万元，其中：一般公共预算财政拨款收入148.74万元，占100</w:t>
      </w:r>
      <w:r>
        <w:rPr>
          <w:rFonts w:hint="eastAsia" w:ascii="仿宋" w:hAnsi="仿宋" w:eastAsia="仿宋" w:cs="Times New Roman"/>
          <w:color w:val="000000"/>
          <w:kern w:val="2"/>
          <w:sz w:val="32"/>
          <w:szCs w:val="32"/>
          <w:lang w:val="en-US" w:eastAsia="zh-CN" w:bidi="ar"/>
        </w:rPr>
        <w:t>%</w:t>
      </w:r>
      <w:r>
        <w:rPr>
          <w:rFonts w:hint="eastAsia" w:ascii="仿宋" w:hAnsi="仿宋" w:eastAsia="仿宋" w:cs="仿宋"/>
          <w:color w:val="000000"/>
          <w:kern w:val="2"/>
          <w:sz w:val="32"/>
          <w:szCs w:val="32"/>
          <w:lang w:val="en-US" w:eastAsia="zh-CN" w:bidi="ar"/>
        </w:rPr>
        <w:t>；政府性基金预算财政拨款收入0万元，占0</w:t>
      </w:r>
      <w:r>
        <w:rPr>
          <w:rFonts w:hint="eastAsia" w:ascii="仿宋" w:hAnsi="仿宋" w:eastAsia="仿宋" w:cs="Times New Roman"/>
          <w:color w:val="000000"/>
          <w:kern w:val="2"/>
          <w:sz w:val="32"/>
          <w:szCs w:val="32"/>
          <w:lang w:val="en-US" w:eastAsia="zh-CN" w:bidi="ar"/>
        </w:rPr>
        <w:t>%</w:t>
      </w:r>
      <w:r>
        <w:rPr>
          <w:rFonts w:hint="eastAsia" w:ascii="仿宋" w:hAnsi="仿宋" w:eastAsia="仿宋" w:cs="仿宋"/>
          <w:color w:val="000000"/>
          <w:kern w:val="2"/>
          <w:sz w:val="32"/>
          <w:szCs w:val="32"/>
          <w:lang w:val="en-US" w:eastAsia="zh-CN" w:bidi="ar"/>
        </w:rPr>
        <w:t>；上级补助收入0万元，占0</w:t>
      </w:r>
      <w:r>
        <w:rPr>
          <w:rFonts w:hint="eastAsia" w:ascii="仿宋" w:hAnsi="仿宋" w:eastAsia="仿宋" w:cs="Times New Roman"/>
          <w:color w:val="000000"/>
          <w:kern w:val="2"/>
          <w:sz w:val="32"/>
          <w:szCs w:val="32"/>
          <w:lang w:val="en-US" w:eastAsia="zh-CN" w:bidi="ar"/>
        </w:rPr>
        <w:t>%</w:t>
      </w:r>
      <w:r>
        <w:rPr>
          <w:rFonts w:hint="eastAsia" w:ascii="仿宋" w:hAnsi="仿宋" w:eastAsia="仿宋" w:cs="仿宋"/>
          <w:color w:val="000000"/>
          <w:kern w:val="2"/>
          <w:sz w:val="32"/>
          <w:szCs w:val="32"/>
          <w:lang w:val="en-US" w:eastAsia="zh-CN" w:bidi="ar"/>
        </w:rPr>
        <w:t>；事业收入0万元，占0</w:t>
      </w:r>
      <w:r>
        <w:rPr>
          <w:rFonts w:hint="eastAsia" w:ascii="仿宋" w:hAnsi="仿宋" w:eastAsia="仿宋" w:cs="Times New Roman"/>
          <w:color w:val="000000"/>
          <w:kern w:val="2"/>
          <w:sz w:val="32"/>
          <w:szCs w:val="32"/>
          <w:lang w:val="en-US" w:eastAsia="zh-CN" w:bidi="ar"/>
        </w:rPr>
        <w:t>%</w:t>
      </w:r>
      <w:r>
        <w:rPr>
          <w:rFonts w:hint="eastAsia" w:ascii="仿宋" w:hAnsi="仿宋" w:eastAsia="仿宋" w:cs="仿宋"/>
          <w:color w:val="000000"/>
          <w:kern w:val="2"/>
          <w:sz w:val="32"/>
          <w:szCs w:val="32"/>
          <w:lang w:val="en-US" w:eastAsia="zh-CN" w:bidi="ar"/>
        </w:rPr>
        <w:t>；经营收入0万元，占0</w:t>
      </w:r>
      <w:r>
        <w:rPr>
          <w:rFonts w:hint="eastAsia" w:ascii="仿宋" w:hAnsi="仿宋" w:eastAsia="仿宋" w:cs="Times New Roman"/>
          <w:color w:val="000000"/>
          <w:kern w:val="2"/>
          <w:sz w:val="32"/>
          <w:szCs w:val="32"/>
          <w:lang w:val="en-US" w:eastAsia="zh-CN" w:bidi="ar"/>
        </w:rPr>
        <w:t>%</w:t>
      </w:r>
      <w:r>
        <w:rPr>
          <w:rFonts w:hint="eastAsia" w:ascii="仿宋" w:hAnsi="仿宋" w:eastAsia="仿宋" w:cs="仿宋"/>
          <w:color w:val="000000"/>
          <w:kern w:val="2"/>
          <w:sz w:val="32"/>
          <w:szCs w:val="32"/>
          <w:lang w:val="en-US" w:eastAsia="zh-CN" w:bidi="ar"/>
        </w:rPr>
        <w:t>；附属单位上缴收入0万元，占0</w:t>
      </w:r>
      <w:r>
        <w:rPr>
          <w:rFonts w:hint="eastAsia" w:ascii="仿宋" w:hAnsi="仿宋" w:eastAsia="仿宋" w:cs="Times New Roman"/>
          <w:color w:val="000000"/>
          <w:kern w:val="2"/>
          <w:sz w:val="32"/>
          <w:szCs w:val="32"/>
          <w:lang w:val="en-US" w:eastAsia="zh-CN" w:bidi="ar"/>
        </w:rPr>
        <w:t>%</w:t>
      </w:r>
      <w:r>
        <w:rPr>
          <w:rFonts w:hint="eastAsia" w:ascii="仿宋" w:hAnsi="仿宋" w:eastAsia="仿宋" w:cs="仿宋"/>
          <w:color w:val="000000"/>
          <w:kern w:val="2"/>
          <w:sz w:val="32"/>
          <w:szCs w:val="32"/>
          <w:lang w:val="en-US" w:eastAsia="zh-CN" w:bidi="ar"/>
        </w:rPr>
        <w:t>；其他收入0万元，占0</w:t>
      </w:r>
      <w:r>
        <w:rPr>
          <w:rFonts w:hint="eastAsia" w:ascii="仿宋" w:hAnsi="仿宋" w:eastAsia="仿宋" w:cs="Times New Roman"/>
          <w:color w:val="000000"/>
          <w:kern w:val="2"/>
          <w:sz w:val="32"/>
          <w:szCs w:val="32"/>
          <w:lang w:val="en-US" w:eastAsia="zh-CN" w:bidi="ar"/>
        </w:rPr>
        <w:t>%</w:t>
      </w:r>
      <w:r>
        <w:rPr>
          <w:rFonts w:hint="eastAsia" w:ascii="仿宋" w:hAnsi="仿宋" w:eastAsia="仿宋" w:cs="仿宋"/>
          <w:color w:val="000000"/>
          <w:kern w:val="2"/>
          <w:sz w:val="32"/>
          <w:szCs w:val="32"/>
          <w:lang w:val="en-US" w:eastAsia="zh-CN" w:bidi="ar"/>
        </w:rPr>
        <w:t>。</w:t>
      </w:r>
    </w:p>
    <w:p>
      <w:pPr>
        <w:pStyle w:val="20"/>
        <w:keepNext w:val="0"/>
        <w:keepLines w:val="0"/>
        <w:widowControl w:val="0"/>
        <w:suppressLineNumbers w:val="0"/>
        <w:spacing w:before="0" w:beforeAutospacing="1" w:after="120" w:afterAutospacing="0" w:line="360" w:lineRule="auto"/>
        <w:ind w:left="0" w:leftChars="0" w:right="0" w:firstLine="420" w:firstLineChars="20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drawing>
          <wp:inline distT="0" distB="0" distL="114300" distR="114300">
            <wp:extent cx="4371975" cy="2468880"/>
            <wp:effectExtent l="0" t="0" r="9525" b="7620"/>
            <wp:docPr id="4" name="图片 4" descr="IMG_25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 name="图片 4" descr="IMG_256"/>
                    <pic:cNvPicPr>
                      <a:picLocks noChangeAspect="true"/>
                    </pic:cNvPicPr>
                  </pic:nvPicPr>
                  <pic:blipFill>
                    <a:blip r:embed="rId8"/>
                    <a:stretch>
                      <a:fillRect/>
                    </a:stretch>
                  </pic:blipFill>
                  <pic:spPr>
                    <a:xfrm>
                      <a:off x="0" y="0"/>
                      <a:ext cx="4371975" cy="2468880"/>
                    </a:xfrm>
                    <a:prstGeom prst="rect">
                      <a:avLst/>
                    </a:prstGeom>
                    <a:noFill/>
                    <a:ln w="9525">
                      <a:noFill/>
                    </a:ln>
                  </pic:spPr>
                </pic:pic>
              </a:graphicData>
            </a:graphic>
          </wp:inline>
        </w:drawing>
      </w:r>
      <w:r>
        <w:rPr>
          <w:rFonts w:hint="default" w:ascii="Times New Roman" w:hAnsi="Times New Roman" w:eastAsia="宋体" w:cs="Times New Roman"/>
          <w:kern w:val="2"/>
          <w:sz w:val="21"/>
          <w:szCs w:val="21"/>
          <w:lang w:val="en-US" w:eastAsia="zh-CN" w:bidi="ar"/>
        </w:rPr>
        <w:t xml:space="preserve">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 w:hAnsi="仿宋" w:eastAsia="仿宋" w:cs="Times New Roman"/>
          <w:color w:val="000000"/>
          <w:kern w:val="2"/>
          <w:sz w:val="32"/>
          <w:szCs w:val="32"/>
        </w:rPr>
      </w:pPr>
      <w:r>
        <w:rPr>
          <w:rFonts w:hint="eastAsia" w:ascii="仿宋" w:hAnsi="仿宋" w:eastAsia="仿宋" w:cs="仿宋"/>
          <w:color w:val="000000"/>
          <w:kern w:val="2"/>
          <w:sz w:val="32"/>
          <w:szCs w:val="32"/>
          <w:lang w:val="en-US" w:eastAsia="zh-CN" w:bidi="ar"/>
        </w:rPr>
        <w:t>（图</w:t>
      </w:r>
      <w:r>
        <w:rPr>
          <w:rFonts w:hint="eastAsia" w:ascii="仿宋" w:hAnsi="仿宋" w:eastAsia="仿宋" w:cs="Times New Roman"/>
          <w:color w:val="000000"/>
          <w:kern w:val="2"/>
          <w:sz w:val="32"/>
          <w:szCs w:val="32"/>
          <w:lang w:val="en-US" w:eastAsia="zh-CN" w:bidi="ar"/>
        </w:rPr>
        <w:t>2</w:t>
      </w:r>
      <w:r>
        <w:rPr>
          <w:rFonts w:hint="eastAsia" w:ascii="仿宋" w:hAnsi="仿宋" w:eastAsia="仿宋" w:cs="仿宋"/>
          <w:color w:val="000000"/>
          <w:kern w:val="2"/>
          <w:sz w:val="32"/>
          <w:szCs w:val="32"/>
          <w:lang w:val="en-US" w:eastAsia="zh-CN" w:bidi="ar"/>
        </w:rPr>
        <w:t>：收入决算结构图）（饼状图）</w:t>
      </w:r>
    </w:p>
    <w:p>
      <w:pPr>
        <w:keepNext w:val="0"/>
        <w:keepLines w:val="0"/>
        <w:widowControl w:val="0"/>
        <w:suppressLineNumbers w:val="0"/>
        <w:spacing w:before="0" w:beforeAutospacing="0" w:after="0" w:afterAutospacing="0" w:line="560" w:lineRule="exact"/>
        <w:ind w:left="0" w:right="0" w:firstLine="640" w:firstLineChars="200"/>
        <w:jc w:val="both"/>
        <w:rPr>
          <w:rFonts w:hint="default" w:ascii="仿宋_GB2312" w:hAnsi="Times New Roman" w:eastAsia="仿宋_GB2312" w:cs="Times New Roman"/>
          <w:color w:val="FF0000"/>
          <w:kern w:val="2"/>
          <w:sz w:val="32"/>
          <w:szCs w:val="32"/>
        </w:rPr>
      </w:pPr>
      <w:r>
        <w:rPr>
          <w:rFonts w:hint="default" w:ascii="仿宋_GB2312" w:hAnsi="Times New Roman" w:eastAsia="仿宋_GB2312" w:cs="Times New Roman"/>
          <w:color w:val="FF0000"/>
          <w:kern w:val="2"/>
          <w:sz w:val="32"/>
          <w:szCs w:val="32"/>
          <w:lang w:val="en-US" w:eastAsia="zh-CN" w:bidi="ar"/>
        </w:rPr>
        <w:t xml:space="preserve"> </w:t>
      </w:r>
    </w:p>
    <w:p>
      <w:pPr>
        <w:pStyle w:val="4"/>
        <w:keepNext/>
        <w:keepLines/>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rPr>
      </w:pPr>
      <w:r>
        <w:rPr>
          <w:rFonts w:hint="eastAsia" w:ascii="黑体" w:hAnsi="黑体" w:eastAsia="黑体" w:cs="Times New Roman"/>
          <w:b w:val="0"/>
          <w:bCs w:val="0"/>
          <w:color w:val="000000"/>
          <w:kern w:val="2"/>
          <w:sz w:val="32"/>
          <w:szCs w:val="32"/>
          <w:lang w:val="en-US" w:eastAsia="zh-CN" w:bidi="ar-SA"/>
        </w:rPr>
        <w:t>三、支出决算情况说</w:t>
      </w:r>
      <w:r>
        <w:rPr>
          <w:rFonts w:hint="eastAsia"/>
          <w:lang w:val="en-US" w:eastAsia="zh-CN"/>
        </w:rPr>
        <w:t>明</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eastAsia="仿宋_GB2312"/>
          <w:sz w:val="32"/>
          <w:szCs w:val="32"/>
        </w:rPr>
      </w:pPr>
      <w:r>
        <w:rPr>
          <w:rFonts w:hint="default" w:ascii="仿宋_GB2312" w:hAnsi="Times New Roman" w:eastAsia="仿宋_GB2312" w:cs="Times New Roman"/>
          <w:kern w:val="2"/>
          <w:sz w:val="32"/>
          <w:szCs w:val="32"/>
          <w:lang w:val="en-US" w:eastAsia="zh-CN" w:bidi="ar"/>
        </w:rPr>
        <w:t>202</w:t>
      </w:r>
      <w:r>
        <w:rPr>
          <w:rFonts w:hint="default" w:ascii="仿宋_GB2312" w:hAnsi="Times New Roman" w:eastAsia="仿宋_GB2312" w:cs="仿宋_GB2312"/>
          <w:kern w:val="2"/>
          <w:sz w:val="32"/>
          <w:szCs w:val="32"/>
          <w:lang w:val="en-US" w:eastAsia="zh-CN" w:bidi="ar"/>
        </w:rPr>
        <w:t>1年本年支出合计165.45万元</w:t>
      </w:r>
      <w:r>
        <w:rPr>
          <w:rFonts w:hint="eastAsia" w:ascii="仿宋_GB2312" w:eastAsia="仿宋_GB2312"/>
          <w:sz w:val="32"/>
          <w:szCs w:val="32"/>
        </w:rPr>
        <w:t>，其中：基本支出154.49万元，占93.38%；项目支出10.96万元，占</w:t>
      </w:r>
      <w:r>
        <w:rPr>
          <w:rFonts w:hint="eastAsia" w:ascii="仿宋_GB2312" w:eastAsia="仿宋_GB2312"/>
          <w:sz w:val="32"/>
          <w:szCs w:val="32"/>
          <w:lang w:val="en-US" w:eastAsia="zh-CN"/>
        </w:rPr>
        <w:t>6.62</w:t>
      </w:r>
      <w:r>
        <w:rPr>
          <w:rFonts w:ascii="仿宋_GB2312" w:eastAsia="仿宋_GB2312"/>
          <w:sz w:val="32"/>
          <w:szCs w:val="32"/>
        </w:rPr>
        <w:t>%</w:t>
      </w:r>
      <w:r>
        <w:rPr>
          <w:rFonts w:hint="eastAsia" w:ascii="仿宋_GB2312" w:eastAsia="仿宋_GB2312"/>
          <w:sz w:val="32"/>
          <w:szCs w:val="32"/>
        </w:rPr>
        <w:t>；上缴上级支出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；经营支出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；对附属单位补助支出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w:t>
      </w:r>
    </w:p>
    <w:p>
      <w:pPr>
        <w:rPr>
          <w:rFonts w:hint="eastAsia" w:ascii="仿宋_GB2312" w:eastAsia="仿宋_GB2312"/>
          <w:sz w:val="32"/>
          <w:szCs w:val="32"/>
        </w:rPr>
      </w:pPr>
    </w:p>
    <w:p>
      <w:pPr>
        <w:pStyle w:val="21"/>
        <w:jc w:val="center"/>
        <w:rPr>
          <w:rFonts w:ascii="仿宋" w:hAnsi="仿宋" w:eastAsia="仿宋"/>
          <w:color w:val="000000"/>
          <w:sz w:val="32"/>
          <w:szCs w:val="32"/>
          <w:shd w:val="pct10" w:color="auto" w:fill="FFFFFF"/>
        </w:rPr>
      </w:pPr>
      <w:r>
        <w:rPr>
          <w:rFonts w:ascii="仿宋" w:hAnsi="仿宋" w:eastAsia="仿宋"/>
          <w:color w:val="000000"/>
          <w:sz w:val="32"/>
          <w:szCs w:val="32"/>
          <w:shd w:val="pct10" w:color="auto" w:fill="FFFFFF"/>
        </w:rPr>
        <w:drawing>
          <wp:inline distT="0" distB="0" distL="114300" distR="114300">
            <wp:extent cx="4107180" cy="2176145"/>
            <wp:effectExtent l="4445" t="4445" r="15875" b="16510"/>
            <wp:docPr id="1337"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pageBreakBefore w:val="0"/>
        <w:widowControl w:val="0"/>
        <w:kinsoku/>
        <w:wordWrap/>
        <w:overflowPunct/>
        <w:topLinePunct w:val="0"/>
        <w:bidi w:val="0"/>
        <w:spacing w:line="560" w:lineRule="exact"/>
        <w:ind w:firstLine="640" w:firstLineChars="200"/>
        <w:textAlignment w:val="auto"/>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3</w:t>
      </w:r>
      <w:r>
        <w:rPr>
          <w:rFonts w:hint="eastAsia" w:ascii="仿宋" w:hAnsi="仿宋" w:eastAsia="仿宋"/>
          <w:color w:val="000000"/>
          <w:sz w:val="32"/>
          <w:szCs w:val="32"/>
        </w:rPr>
        <w:t>：支出决算结构图）（饼状图）</w:t>
      </w:r>
    </w:p>
    <w:p>
      <w:pPr>
        <w:pageBreakBefore w:val="0"/>
        <w:widowControl w:val="0"/>
        <w:kinsoku/>
        <w:wordWrap/>
        <w:overflowPunct/>
        <w:topLinePunct w:val="0"/>
        <w:bidi w:val="0"/>
        <w:spacing w:line="560" w:lineRule="exact"/>
        <w:ind w:firstLine="640" w:firstLineChars="200"/>
        <w:textAlignment w:val="auto"/>
        <w:rPr>
          <w:rFonts w:ascii="仿宋_GB2312" w:eastAsia="仿宋_GB2312"/>
          <w:color w:val="FF0000"/>
          <w:sz w:val="32"/>
          <w:szCs w:val="32"/>
        </w:rPr>
      </w:pPr>
    </w:p>
    <w:p>
      <w:pPr>
        <w:pageBreakBefore w:val="0"/>
        <w:widowControl w:val="0"/>
        <w:kinsoku/>
        <w:wordWrap/>
        <w:overflowPunct/>
        <w:topLinePunct w:val="0"/>
        <w:bidi w:val="0"/>
        <w:spacing w:line="560" w:lineRule="exact"/>
        <w:ind w:firstLine="640" w:firstLineChars="200"/>
        <w:textAlignment w:val="auto"/>
        <w:outlineLvl w:val="1"/>
        <w:rPr>
          <w:rStyle w:val="29"/>
          <w:rFonts w:ascii="黑体" w:hAnsi="黑体" w:eastAsia="黑体"/>
          <w:b w:val="0"/>
        </w:rPr>
      </w:pPr>
      <w:bookmarkStart w:id="39" w:name="_Toc15396606"/>
      <w:bookmarkStart w:id="40" w:name="_Toc15377208"/>
      <w:bookmarkStart w:id="41" w:name="_Toc79163613"/>
      <w:bookmarkStart w:id="42" w:name="_Toc79163863"/>
      <w:r>
        <w:rPr>
          <w:rFonts w:hint="eastAsia" w:ascii="黑体" w:hAnsi="黑体" w:eastAsia="黑体"/>
          <w:color w:val="000000"/>
          <w:sz w:val="32"/>
          <w:szCs w:val="32"/>
        </w:rPr>
        <w:t>四、财</w:t>
      </w:r>
      <w:r>
        <w:rPr>
          <w:rStyle w:val="29"/>
          <w:rFonts w:hint="eastAsia" w:ascii="黑体" w:hAnsi="黑体" w:eastAsia="黑体"/>
          <w:b w:val="0"/>
        </w:rPr>
        <w:t>政拨款收入支出决算总体情况说明</w:t>
      </w:r>
      <w:bookmarkEnd w:id="39"/>
      <w:bookmarkEnd w:id="40"/>
      <w:bookmarkEnd w:id="41"/>
      <w:bookmarkEnd w:id="42"/>
    </w:p>
    <w:p>
      <w:pPr>
        <w:pageBreakBefore w:val="0"/>
        <w:widowControl w:val="0"/>
        <w:kinsoku/>
        <w:wordWrap/>
        <w:overflowPunct/>
        <w:topLinePunct w:val="0"/>
        <w:bidi w:val="0"/>
        <w:spacing w:line="560" w:lineRule="exact"/>
        <w:ind w:firstLine="640"/>
        <w:textAlignment w:val="auto"/>
        <w:rPr>
          <w:rFonts w:hint="eastAsia" w:ascii="仿宋" w:hAnsi="仿宋" w:eastAsia="仿宋"/>
          <w:color w:val="000000"/>
          <w:sz w:val="32"/>
          <w:szCs w:val="32"/>
          <w:lang w:eastAsia="zh-CN"/>
        </w:rPr>
      </w:pPr>
      <w:r>
        <w:rPr>
          <w:rFonts w:hint="eastAsia" w:ascii="仿宋" w:hAnsi="仿宋" w:eastAsia="仿宋"/>
          <w:color w:val="000000"/>
          <w:sz w:val="32"/>
          <w:szCs w:val="32"/>
        </w:rPr>
        <w:t>20</w:t>
      </w:r>
      <w:r>
        <w:rPr>
          <w:rFonts w:hint="eastAsia" w:ascii="仿宋" w:hAnsi="仿宋" w:eastAsia="仿宋"/>
          <w:color w:val="000000"/>
          <w:sz w:val="32"/>
          <w:szCs w:val="32"/>
          <w:lang w:val="en-US" w:eastAsia="zh-CN"/>
        </w:rPr>
        <w:t>21</w:t>
      </w:r>
      <w:r>
        <w:rPr>
          <w:rFonts w:hint="eastAsia" w:ascii="仿宋" w:hAnsi="仿宋" w:eastAsia="仿宋"/>
          <w:color w:val="000000"/>
          <w:sz w:val="32"/>
          <w:szCs w:val="32"/>
        </w:rPr>
        <w:t>年财政拨款</w:t>
      </w:r>
      <w:r>
        <w:rPr>
          <w:rFonts w:hint="eastAsia" w:ascii="仿宋" w:hAnsi="仿宋" w:eastAsia="仿宋"/>
          <w:color w:val="000000"/>
          <w:sz w:val="32"/>
          <w:szCs w:val="32"/>
          <w:lang w:eastAsia="zh-CN"/>
        </w:rPr>
        <w:t>收入</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 xml:space="preserve">148.74万元，与2020年相比，增加16.06万元，增长12.10%。主要变动原因：本年业务开展较多，经费相应增加; </w:t>
      </w:r>
      <w:r>
        <w:rPr>
          <w:rFonts w:hint="eastAsia" w:ascii="仿宋" w:hAnsi="仿宋" w:eastAsia="仿宋"/>
          <w:color w:val="000000"/>
          <w:sz w:val="32"/>
          <w:szCs w:val="32"/>
        </w:rPr>
        <w:t>20</w:t>
      </w:r>
      <w:r>
        <w:rPr>
          <w:rFonts w:hint="eastAsia" w:ascii="仿宋" w:hAnsi="仿宋" w:eastAsia="仿宋"/>
          <w:color w:val="000000"/>
          <w:sz w:val="32"/>
          <w:szCs w:val="32"/>
          <w:lang w:val="en-US" w:eastAsia="zh-CN"/>
        </w:rPr>
        <w:t>21</w:t>
      </w:r>
      <w:r>
        <w:rPr>
          <w:rFonts w:hint="eastAsia" w:ascii="仿宋" w:hAnsi="仿宋" w:eastAsia="仿宋"/>
          <w:color w:val="000000"/>
          <w:sz w:val="32"/>
          <w:szCs w:val="32"/>
        </w:rPr>
        <w:t>年财政拨款支出总计</w:t>
      </w:r>
      <w:r>
        <w:rPr>
          <w:rFonts w:hint="eastAsia" w:ascii="仿宋" w:hAnsi="仿宋" w:eastAsia="仿宋"/>
          <w:color w:val="000000"/>
          <w:sz w:val="32"/>
          <w:szCs w:val="32"/>
          <w:lang w:val="en-US" w:eastAsia="zh-CN"/>
        </w:rPr>
        <w:t>165.45万元。与2020年相比，增加28.72万元，增长21.01%。主要变动原因:业务活动增加，相关经费支出增加</w:t>
      </w:r>
      <w:r>
        <w:rPr>
          <w:rFonts w:hint="eastAsia" w:ascii="仿宋" w:hAnsi="仿宋" w:eastAsia="仿宋"/>
          <w:color w:val="000000"/>
          <w:sz w:val="32"/>
          <w:szCs w:val="32"/>
          <w:lang w:eastAsia="zh-CN"/>
        </w:rPr>
        <w:t>。</w:t>
      </w:r>
    </w:p>
    <w:p>
      <w:pPr>
        <w:pStyle w:val="21"/>
        <w:jc w:val="center"/>
        <w:rPr>
          <w:rFonts w:ascii="仿宋" w:hAnsi="仿宋" w:eastAsia="仿宋"/>
          <w:color w:val="000000"/>
          <w:sz w:val="32"/>
          <w:szCs w:val="32"/>
        </w:rPr>
      </w:pPr>
      <w:r>
        <w:rPr>
          <w:rFonts w:ascii="仿宋" w:hAnsi="仿宋" w:eastAsia="仿宋"/>
          <w:color w:val="000000"/>
          <w:sz w:val="32"/>
          <w:szCs w:val="32"/>
        </w:rPr>
        <w:drawing>
          <wp:inline distT="0" distB="0" distL="114300" distR="114300">
            <wp:extent cx="4208780" cy="2270760"/>
            <wp:effectExtent l="4445" t="4445" r="15875" b="10795"/>
            <wp:docPr id="1338"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Pr>
          <w:rFonts w:ascii="仿宋" w:hAnsi="仿宋" w:eastAsia="仿宋"/>
          <w:color w:val="000000"/>
          <w:sz w:val="32"/>
          <w:szCs w:val="32"/>
        </w:rPr>
        <w:drawing>
          <wp:inline distT="0" distB="0" distL="114300" distR="114300">
            <wp:extent cx="4339590" cy="2130425"/>
            <wp:effectExtent l="4445" t="4445" r="12065" b="11430"/>
            <wp:docPr id="1339"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pageBreakBefore w:val="0"/>
        <w:widowControl w:val="0"/>
        <w:kinsoku/>
        <w:wordWrap/>
        <w:overflowPunct/>
        <w:topLinePunct w:val="0"/>
        <w:bidi w:val="0"/>
        <w:spacing w:line="560" w:lineRule="exact"/>
        <w:ind w:firstLine="640" w:firstLineChars="200"/>
        <w:textAlignment w:val="auto"/>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4</w:t>
      </w:r>
      <w:r>
        <w:rPr>
          <w:rFonts w:hint="eastAsia" w:ascii="仿宋" w:hAnsi="仿宋" w:eastAsia="仿宋"/>
          <w:color w:val="000000"/>
          <w:sz w:val="32"/>
          <w:szCs w:val="32"/>
        </w:rPr>
        <w:t>：财政拨款收、支决算总计变动情况）（柱状图）</w:t>
      </w:r>
    </w:p>
    <w:p>
      <w:pPr>
        <w:pageBreakBefore w:val="0"/>
        <w:widowControl w:val="0"/>
        <w:kinsoku/>
        <w:wordWrap/>
        <w:overflowPunct/>
        <w:topLinePunct w:val="0"/>
        <w:bidi w:val="0"/>
        <w:spacing w:line="560" w:lineRule="exact"/>
        <w:ind w:firstLine="640"/>
        <w:textAlignment w:val="auto"/>
        <w:rPr>
          <w:rFonts w:ascii="仿宋" w:hAnsi="仿宋" w:eastAsia="仿宋"/>
          <w:b/>
          <w:color w:val="00B050"/>
          <w:sz w:val="32"/>
          <w:szCs w:val="32"/>
        </w:rPr>
      </w:pPr>
    </w:p>
    <w:p>
      <w:pPr>
        <w:pageBreakBefore w:val="0"/>
        <w:widowControl w:val="0"/>
        <w:kinsoku/>
        <w:wordWrap/>
        <w:overflowPunct/>
        <w:topLinePunct w:val="0"/>
        <w:bidi w:val="0"/>
        <w:spacing w:line="560" w:lineRule="exact"/>
        <w:ind w:firstLine="640" w:firstLineChars="200"/>
        <w:textAlignment w:val="auto"/>
        <w:outlineLvl w:val="1"/>
        <w:rPr>
          <w:rStyle w:val="29"/>
          <w:rFonts w:ascii="黑体" w:hAnsi="黑体" w:eastAsia="黑体"/>
          <w:b w:val="0"/>
        </w:rPr>
      </w:pPr>
      <w:bookmarkStart w:id="43" w:name="_Toc79163864"/>
      <w:bookmarkStart w:id="44" w:name="_Toc15396607"/>
      <w:bookmarkStart w:id="45" w:name="_Toc15377209"/>
      <w:bookmarkStart w:id="46" w:name="_Toc79163614"/>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9"/>
          <w:rFonts w:hint="eastAsia" w:ascii="黑体" w:hAnsi="黑体" w:eastAsia="黑体"/>
          <w:b w:val="0"/>
        </w:rPr>
        <w:t>般公共预算财政拨款支出决算情况说明</w:t>
      </w:r>
      <w:bookmarkEnd w:id="43"/>
      <w:bookmarkEnd w:id="44"/>
      <w:bookmarkEnd w:id="45"/>
      <w:bookmarkEnd w:id="46"/>
    </w:p>
    <w:p>
      <w:pPr>
        <w:pageBreakBefore w:val="0"/>
        <w:widowControl w:val="0"/>
        <w:kinsoku/>
        <w:wordWrap/>
        <w:overflowPunct/>
        <w:topLinePunct w:val="0"/>
        <w:bidi w:val="0"/>
        <w:spacing w:line="560" w:lineRule="exact"/>
        <w:ind w:firstLine="642" w:firstLineChars="200"/>
        <w:textAlignment w:val="auto"/>
        <w:outlineLvl w:val="2"/>
        <w:rPr>
          <w:rFonts w:ascii="仿宋" w:hAnsi="仿宋" w:eastAsia="仿宋"/>
          <w:b/>
          <w:color w:val="000000"/>
          <w:sz w:val="32"/>
          <w:szCs w:val="32"/>
        </w:rPr>
      </w:pPr>
      <w:bookmarkStart w:id="47" w:name="_Toc79163615"/>
      <w:bookmarkStart w:id="48" w:name="_Toc79163865"/>
      <w:bookmarkStart w:id="49" w:name="_Toc15377210"/>
      <w:r>
        <w:rPr>
          <w:rFonts w:hint="eastAsia" w:ascii="仿宋" w:hAnsi="仿宋" w:eastAsia="仿宋"/>
          <w:b/>
          <w:color w:val="000000"/>
          <w:sz w:val="32"/>
          <w:szCs w:val="32"/>
        </w:rPr>
        <w:t>（一）一般公共预算财政拨款支出决算总体情况</w:t>
      </w:r>
      <w:bookmarkEnd w:id="47"/>
      <w:bookmarkEnd w:id="48"/>
      <w:bookmarkEnd w:id="49"/>
    </w:p>
    <w:p>
      <w:pPr>
        <w:pageBreakBefore w:val="0"/>
        <w:widowControl w:val="0"/>
        <w:kinsoku/>
        <w:wordWrap/>
        <w:overflowPunct/>
        <w:topLinePunct w:val="0"/>
        <w:bidi w:val="0"/>
        <w:spacing w:line="560" w:lineRule="exact"/>
        <w:ind w:firstLine="640" w:firstLineChars="200"/>
        <w:textAlignment w:val="auto"/>
        <w:rPr>
          <w:rFonts w:hint="eastAsia" w:ascii="仿宋" w:hAnsi="仿宋" w:eastAsia="仿宋"/>
          <w:color w:val="000000"/>
          <w:sz w:val="32"/>
          <w:szCs w:val="32"/>
          <w:lang w:val="en-US" w:eastAsia="zh-CN"/>
        </w:rPr>
      </w:pPr>
      <w:r>
        <w:rPr>
          <w:rFonts w:ascii="仿宋" w:hAnsi="仿宋" w:eastAsia="仿宋"/>
          <w:color w:val="000000"/>
          <w:sz w:val="32"/>
          <w:szCs w:val="32"/>
        </w:rPr>
        <w:t>202</w:t>
      </w:r>
      <w:r>
        <w:rPr>
          <w:rFonts w:hint="eastAsia" w:ascii="仿宋" w:hAnsi="仿宋" w:eastAsia="仿宋"/>
          <w:color w:val="000000"/>
          <w:sz w:val="32"/>
          <w:szCs w:val="32"/>
        </w:rPr>
        <w:t>1年一般公共预算财政拨款支出165.45万元，占本年支出合计的</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w:t>
      </w:r>
      <w:r>
        <w:rPr>
          <w:rFonts w:hint="eastAsia" w:ascii="仿宋" w:hAnsi="仿宋" w:eastAsia="仿宋"/>
          <w:color w:val="000000"/>
          <w:sz w:val="32"/>
          <w:szCs w:val="32"/>
        </w:rPr>
        <w:t>20年相比，一般公共预算财政拨款</w:t>
      </w:r>
      <w:r>
        <w:rPr>
          <w:rFonts w:hint="eastAsia" w:ascii="仿宋" w:hAnsi="仿宋" w:eastAsia="仿宋"/>
          <w:color w:val="000000"/>
          <w:sz w:val="32"/>
          <w:szCs w:val="32"/>
          <w:lang w:val="en-US" w:eastAsia="zh-CN"/>
        </w:rPr>
        <w:t>增加28.72万元，增长21.01%。主要变动原因:业务活动增加，相关经费支出增加。</w:t>
      </w:r>
    </w:p>
    <w:p>
      <w:pPr>
        <w:jc w:val="center"/>
        <w:rPr>
          <w:rFonts w:ascii="仿宋" w:hAnsi="仿宋" w:eastAsia="仿宋"/>
          <w:color w:val="000000"/>
          <w:sz w:val="32"/>
          <w:szCs w:val="32"/>
        </w:rPr>
      </w:pPr>
      <w:r>
        <w:rPr>
          <w:rFonts w:ascii="仿宋" w:hAnsi="仿宋" w:eastAsia="仿宋"/>
          <w:color w:val="000000"/>
          <w:sz w:val="32"/>
          <w:szCs w:val="32"/>
        </w:rPr>
        <w:drawing>
          <wp:inline distT="0" distB="0" distL="114300" distR="114300">
            <wp:extent cx="4451350" cy="2411095"/>
            <wp:effectExtent l="4445" t="4445" r="14605" b="10160"/>
            <wp:docPr id="1340"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pageBreakBefore w:val="0"/>
        <w:widowControl w:val="0"/>
        <w:kinsoku/>
        <w:wordWrap/>
        <w:overflowPunct/>
        <w:topLinePunct w:val="0"/>
        <w:bidi w:val="0"/>
        <w:spacing w:line="560" w:lineRule="exact"/>
        <w:textAlignment w:val="auto"/>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5</w:t>
      </w:r>
      <w:r>
        <w:rPr>
          <w:rFonts w:hint="eastAsia" w:ascii="仿宋" w:hAnsi="仿宋" w:eastAsia="仿宋"/>
          <w:color w:val="000000"/>
          <w:sz w:val="32"/>
          <w:szCs w:val="32"/>
        </w:rPr>
        <w:t>：一般公共预算财政拨款支出决算变动情况）（柱状图）</w:t>
      </w:r>
    </w:p>
    <w:p>
      <w:pPr>
        <w:pageBreakBefore w:val="0"/>
        <w:widowControl w:val="0"/>
        <w:kinsoku/>
        <w:wordWrap/>
        <w:overflowPunct/>
        <w:topLinePunct w:val="0"/>
        <w:bidi w:val="0"/>
        <w:spacing w:line="560" w:lineRule="exact"/>
        <w:ind w:firstLine="640" w:firstLineChars="200"/>
        <w:textAlignment w:val="auto"/>
        <w:rPr>
          <w:rFonts w:ascii="仿宋" w:hAnsi="仿宋" w:eastAsia="仿宋"/>
          <w:color w:val="000000"/>
          <w:sz w:val="32"/>
          <w:szCs w:val="32"/>
        </w:rPr>
      </w:pPr>
    </w:p>
    <w:p>
      <w:pPr>
        <w:pageBreakBefore w:val="0"/>
        <w:widowControl w:val="0"/>
        <w:kinsoku/>
        <w:wordWrap/>
        <w:overflowPunct/>
        <w:topLinePunct w:val="0"/>
        <w:bidi w:val="0"/>
        <w:spacing w:line="560" w:lineRule="exact"/>
        <w:ind w:firstLine="642" w:firstLineChars="200"/>
        <w:textAlignment w:val="auto"/>
        <w:outlineLvl w:val="2"/>
        <w:rPr>
          <w:rFonts w:ascii="仿宋" w:hAnsi="仿宋" w:eastAsia="仿宋"/>
          <w:b/>
          <w:color w:val="000000"/>
          <w:sz w:val="32"/>
          <w:szCs w:val="32"/>
        </w:rPr>
      </w:pPr>
      <w:bookmarkStart w:id="50" w:name="_Toc15377211"/>
      <w:bookmarkStart w:id="51" w:name="_Toc79163616"/>
      <w:bookmarkStart w:id="52" w:name="_Toc79163866"/>
      <w:r>
        <w:rPr>
          <w:rFonts w:hint="eastAsia" w:ascii="仿宋" w:hAnsi="仿宋" w:eastAsia="仿宋"/>
          <w:b/>
          <w:color w:val="000000"/>
          <w:sz w:val="32"/>
          <w:szCs w:val="32"/>
        </w:rPr>
        <w:t>（二）一般公共预算财政拨款支出决算结构情况</w:t>
      </w:r>
      <w:bookmarkEnd w:id="50"/>
      <w:bookmarkEnd w:id="51"/>
      <w:bookmarkEnd w:id="52"/>
    </w:p>
    <w:p>
      <w:pPr>
        <w:pageBreakBefore w:val="0"/>
        <w:widowControl w:val="0"/>
        <w:kinsoku/>
        <w:wordWrap/>
        <w:overflowPunct/>
        <w:topLinePunct w:val="0"/>
        <w:bidi w:val="0"/>
        <w:spacing w:line="560" w:lineRule="exact"/>
        <w:ind w:firstLine="640"/>
        <w:textAlignment w:val="auto"/>
        <w:rPr>
          <w:rFonts w:hint="eastAsia" w:ascii="仿宋" w:hAnsi="仿宋" w:eastAsia="仿宋"/>
          <w:b/>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rPr>
        <w:t>1年一般公共预算财政拨款支出165.45万元，主要用于以下方面</w:t>
      </w:r>
      <w:r>
        <w:rPr>
          <w:rFonts w:ascii="仿宋" w:hAnsi="仿宋" w:eastAsia="仿宋"/>
          <w:color w:val="000000"/>
          <w:sz w:val="32"/>
          <w:szCs w:val="32"/>
        </w:rPr>
        <w:t>:</w:t>
      </w:r>
      <w:r>
        <w:rPr>
          <w:rFonts w:hint="eastAsia" w:ascii="仿宋" w:hAnsi="仿宋" w:eastAsia="仿宋"/>
          <w:b/>
          <w:bCs/>
          <w:color w:val="000000"/>
          <w:sz w:val="32"/>
          <w:szCs w:val="32"/>
        </w:rPr>
        <w:t>一般公共服务支出</w:t>
      </w:r>
      <w:r>
        <w:rPr>
          <w:rFonts w:hint="eastAsia" w:ascii="仿宋" w:hAnsi="仿宋" w:eastAsia="仿宋"/>
          <w:b/>
          <w:color w:val="000000"/>
          <w:sz w:val="32"/>
          <w:szCs w:val="32"/>
        </w:rPr>
        <w:t>（类）</w:t>
      </w:r>
      <w:r>
        <w:rPr>
          <w:rFonts w:hint="eastAsia" w:ascii="仿宋" w:hAnsi="仿宋" w:eastAsia="仿宋"/>
          <w:color w:val="000000"/>
          <w:sz w:val="32"/>
          <w:szCs w:val="32"/>
        </w:rPr>
        <w:t>支出134.54万元，占81.32%；</w:t>
      </w:r>
      <w:r>
        <w:rPr>
          <w:rFonts w:hint="eastAsia" w:ascii="仿宋" w:hAnsi="仿宋" w:eastAsia="仿宋"/>
          <w:b/>
          <w:color w:val="000000"/>
          <w:sz w:val="32"/>
          <w:szCs w:val="32"/>
        </w:rPr>
        <w:t>社会保障和就业（类）</w:t>
      </w:r>
      <w:r>
        <w:rPr>
          <w:rFonts w:hint="eastAsia" w:ascii="仿宋" w:hAnsi="仿宋" w:eastAsia="仿宋"/>
          <w:color w:val="000000"/>
          <w:sz w:val="32"/>
          <w:szCs w:val="32"/>
        </w:rPr>
        <w:t>支出13.42万元，占8.11%；</w:t>
      </w:r>
      <w:r>
        <w:rPr>
          <w:rFonts w:hint="eastAsia" w:ascii="仿宋" w:hAnsi="仿宋" w:eastAsia="仿宋"/>
          <w:b/>
          <w:bCs/>
          <w:color w:val="000000"/>
          <w:sz w:val="32"/>
          <w:szCs w:val="32"/>
        </w:rPr>
        <w:t>卫生健康支出（类）</w:t>
      </w:r>
      <w:r>
        <w:rPr>
          <w:rFonts w:hint="eastAsia" w:ascii="仿宋" w:hAnsi="仿宋" w:eastAsia="仿宋"/>
          <w:b w:val="0"/>
          <w:bCs w:val="0"/>
          <w:color w:val="000000"/>
          <w:sz w:val="32"/>
          <w:szCs w:val="32"/>
          <w:lang w:val="en-US" w:eastAsia="zh-CN"/>
        </w:rPr>
        <w:t>支出6.52</w:t>
      </w:r>
      <w:r>
        <w:rPr>
          <w:rFonts w:hint="eastAsia" w:ascii="仿宋" w:hAnsi="仿宋" w:eastAsia="仿宋"/>
          <w:color w:val="000000"/>
          <w:sz w:val="32"/>
          <w:szCs w:val="32"/>
        </w:rPr>
        <w:t>万元，占3.94%；</w:t>
      </w:r>
      <w:r>
        <w:rPr>
          <w:rFonts w:hint="eastAsia" w:ascii="仿宋" w:hAnsi="仿宋" w:eastAsia="仿宋"/>
          <w:b/>
          <w:bCs/>
          <w:color w:val="000000"/>
          <w:sz w:val="32"/>
          <w:szCs w:val="32"/>
          <w:lang w:eastAsia="zh-CN"/>
        </w:rPr>
        <w:t>住房保障支出（类）</w:t>
      </w:r>
      <w:r>
        <w:rPr>
          <w:rFonts w:hint="eastAsia" w:ascii="仿宋" w:hAnsi="仿宋" w:eastAsia="仿宋"/>
          <w:b w:val="0"/>
          <w:bCs w:val="0"/>
          <w:color w:val="000000"/>
          <w:sz w:val="32"/>
          <w:szCs w:val="32"/>
          <w:lang w:val="en-US" w:eastAsia="zh-CN"/>
        </w:rPr>
        <w:t>支出10.97</w:t>
      </w:r>
      <w:r>
        <w:rPr>
          <w:rFonts w:hint="eastAsia" w:ascii="仿宋" w:hAnsi="仿宋" w:eastAsia="仿宋"/>
          <w:color w:val="000000"/>
          <w:sz w:val="32"/>
          <w:szCs w:val="32"/>
          <w:lang w:eastAsia="zh-CN"/>
        </w:rPr>
        <w:t>万元，6.63%。</w:t>
      </w:r>
    </w:p>
    <w:p>
      <w:pPr>
        <w:jc w:val="center"/>
        <w:rPr>
          <w:rFonts w:ascii="仿宋" w:hAnsi="仿宋" w:eastAsia="仿宋"/>
          <w:color w:val="000000"/>
          <w:sz w:val="32"/>
          <w:szCs w:val="32"/>
        </w:rPr>
      </w:pPr>
      <w:r>
        <w:rPr>
          <w:rFonts w:ascii="仿宋" w:hAnsi="仿宋" w:eastAsia="仿宋"/>
          <w:color w:val="000000"/>
          <w:sz w:val="32"/>
          <w:szCs w:val="32"/>
        </w:rPr>
        <w:drawing>
          <wp:inline distT="0" distB="0" distL="114300" distR="114300">
            <wp:extent cx="4466590" cy="2393950"/>
            <wp:effectExtent l="4445" t="4445" r="12065" b="14605"/>
            <wp:docPr id="1342"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pageBreakBefore w:val="0"/>
        <w:widowControl w:val="0"/>
        <w:kinsoku/>
        <w:wordWrap/>
        <w:overflowPunct/>
        <w:topLinePunct w:val="0"/>
        <w:bidi w:val="0"/>
        <w:spacing w:line="560" w:lineRule="exact"/>
        <w:textAlignment w:val="auto"/>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6</w:t>
      </w:r>
      <w:r>
        <w:rPr>
          <w:rFonts w:hint="eastAsia" w:ascii="仿宋" w:hAnsi="仿宋" w:eastAsia="仿宋"/>
          <w:color w:val="000000"/>
          <w:sz w:val="32"/>
          <w:szCs w:val="32"/>
        </w:rPr>
        <w:t>：一般公共预算财政拨款支出决算结构）（饼状图）</w:t>
      </w:r>
    </w:p>
    <w:p>
      <w:pPr>
        <w:pageBreakBefore w:val="0"/>
        <w:widowControl w:val="0"/>
        <w:kinsoku/>
        <w:wordWrap/>
        <w:overflowPunct/>
        <w:topLinePunct w:val="0"/>
        <w:bidi w:val="0"/>
        <w:spacing w:line="560" w:lineRule="exact"/>
        <w:ind w:firstLine="640" w:firstLineChars="200"/>
        <w:textAlignment w:val="auto"/>
        <w:rPr>
          <w:rFonts w:ascii="仿宋" w:hAnsi="仿宋" w:eastAsia="仿宋"/>
          <w:color w:val="000000"/>
          <w:sz w:val="32"/>
          <w:szCs w:val="32"/>
        </w:rPr>
      </w:pPr>
    </w:p>
    <w:p>
      <w:pPr>
        <w:pageBreakBefore w:val="0"/>
        <w:widowControl w:val="0"/>
        <w:kinsoku/>
        <w:wordWrap/>
        <w:overflowPunct/>
        <w:topLinePunct w:val="0"/>
        <w:bidi w:val="0"/>
        <w:spacing w:line="560" w:lineRule="exact"/>
        <w:ind w:firstLine="642" w:firstLineChars="200"/>
        <w:textAlignment w:val="auto"/>
        <w:outlineLvl w:val="2"/>
        <w:rPr>
          <w:rFonts w:ascii="仿宋" w:hAnsi="仿宋" w:eastAsia="仿宋"/>
          <w:b/>
          <w:color w:val="000000"/>
          <w:sz w:val="32"/>
          <w:szCs w:val="32"/>
        </w:rPr>
      </w:pPr>
      <w:bookmarkStart w:id="53" w:name="_Toc79163617"/>
      <w:bookmarkStart w:id="54" w:name="_Toc15377212"/>
      <w:bookmarkStart w:id="55" w:name="_Toc79163867"/>
      <w:r>
        <w:rPr>
          <w:rFonts w:hint="eastAsia" w:ascii="仿宋" w:hAnsi="仿宋" w:eastAsia="仿宋"/>
          <w:b/>
          <w:color w:val="000000"/>
          <w:sz w:val="32"/>
          <w:szCs w:val="32"/>
        </w:rPr>
        <w:t>（三）一般公共预算财政拨款支出决算具体情况</w:t>
      </w:r>
      <w:bookmarkEnd w:id="53"/>
      <w:bookmarkEnd w:id="54"/>
      <w:bookmarkEnd w:id="55"/>
    </w:p>
    <w:p>
      <w:pPr>
        <w:pageBreakBefore w:val="0"/>
        <w:widowControl w:val="0"/>
        <w:kinsoku/>
        <w:wordWrap/>
        <w:overflowPunct/>
        <w:topLinePunct w:val="0"/>
        <w:bidi w:val="0"/>
        <w:spacing w:line="560" w:lineRule="exact"/>
        <w:ind w:firstLine="642" w:firstLineChars="200"/>
        <w:textAlignment w:val="auto"/>
        <w:rPr>
          <w:rFonts w:hint="eastAsia" w:ascii="仿宋_GB2312" w:eastAsia="仿宋_GB2312"/>
          <w:b/>
          <w:bCs/>
          <w:sz w:val="32"/>
          <w:szCs w:val="32"/>
        </w:rPr>
      </w:pPr>
      <w:bookmarkStart w:id="56" w:name="_Toc15378460"/>
      <w:bookmarkStart w:id="57" w:name="_Toc15377444"/>
      <w:bookmarkStart w:id="58" w:name="_Toc15377213"/>
      <w:r>
        <w:rPr>
          <w:rFonts w:ascii="仿宋_GB2312" w:eastAsia="仿宋_GB2312"/>
          <w:b/>
          <w:bCs/>
          <w:sz w:val="32"/>
          <w:szCs w:val="32"/>
        </w:rPr>
        <w:t>202</w:t>
      </w:r>
      <w:r>
        <w:rPr>
          <w:rFonts w:hint="eastAsia" w:ascii="仿宋_GB2312" w:eastAsia="仿宋_GB2312"/>
          <w:b/>
          <w:bCs/>
          <w:sz w:val="32"/>
          <w:szCs w:val="32"/>
        </w:rPr>
        <w:t>1年一般公共预算支出决算数为165.45</w:t>
      </w:r>
      <w:r>
        <w:rPr>
          <w:rFonts w:hint="eastAsia" w:ascii="仿宋_GB2312" w:eastAsia="仿宋_GB2312"/>
          <w:b/>
          <w:bCs/>
          <w:sz w:val="32"/>
          <w:szCs w:val="32"/>
          <w:lang w:val="en-US" w:eastAsia="zh-CN"/>
        </w:rPr>
        <w:t>万元</w:t>
      </w:r>
      <w:r>
        <w:rPr>
          <w:rFonts w:hint="eastAsia" w:ascii="仿宋_GB2312" w:eastAsia="仿宋_GB2312"/>
          <w:b/>
          <w:bCs/>
          <w:sz w:val="32"/>
          <w:szCs w:val="32"/>
        </w:rPr>
        <w:t>，完成预算</w:t>
      </w:r>
      <w:r>
        <w:rPr>
          <w:rFonts w:hint="eastAsia" w:ascii="仿宋_GB2312" w:eastAsia="仿宋_GB2312"/>
          <w:b/>
          <w:bCs/>
          <w:sz w:val="32"/>
          <w:szCs w:val="32"/>
          <w:lang w:val="en-US" w:eastAsia="zh-CN"/>
        </w:rPr>
        <w:t>100</w:t>
      </w:r>
      <w:r>
        <w:rPr>
          <w:rFonts w:ascii="仿宋_GB2312" w:eastAsia="仿宋_GB2312"/>
          <w:b/>
          <w:bCs/>
          <w:sz w:val="32"/>
          <w:szCs w:val="32"/>
        </w:rPr>
        <w:t>%</w:t>
      </w:r>
      <w:r>
        <w:rPr>
          <w:rFonts w:hint="eastAsia" w:ascii="仿宋_GB2312" w:eastAsia="仿宋_GB2312"/>
          <w:b/>
          <w:bCs/>
          <w:sz w:val="32"/>
          <w:szCs w:val="32"/>
        </w:rPr>
        <w:t>。其中：</w:t>
      </w:r>
      <w:bookmarkEnd w:id="56"/>
      <w:bookmarkEnd w:id="57"/>
      <w:bookmarkEnd w:id="58"/>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642" w:firstLineChars="200"/>
        <w:jc w:val="both"/>
        <w:textAlignment w:val="auto"/>
        <w:rPr>
          <w:rFonts w:hint="default" w:ascii="仿宋_GB2312" w:hAnsi="仿宋" w:eastAsia="仿宋_GB2312" w:cs="仿宋_GB2312"/>
          <w:b w:val="0"/>
          <w:bCs/>
          <w:color w:val="000000"/>
          <w:kern w:val="2"/>
          <w:sz w:val="32"/>
          <w:szCs w:val="32"/>
          <w:lang w:val="en-US" w:eastAsia="zh-CN" w:bidi="ar"/>
        </w:rPr>
      </w:pPr>
      <w:r>
        <w:rPr>
          <w:rFonts w:hint="eastAsia" w:ascii="仿宋_GB2312" w:hAnsi="仿宋" w:eastAsia="仿宋_GB2312" w:cs="仿宋_GB2312"/>
          <w:b/>
          <w:bCs w:val="0"/>
          <w:color w:val="000000"/>
          <w:kern w:val="2"/>
          <w:sz w:val="32"/>
          <w:szCs w:val="32"/>
          <w:lang w:val="en-US" w:eastAsia="zh-CN" w:bidi="ar"/>
        </w:rPr>
        <w:t>1.</w:t>
      </w:r>
      <w:r>
        <w:rPr>
          <w:rFonts w:hint="default" w:ascii="仿宋_GB2312" w:hAnsi="仿宋" w:eastAsia="仿宋_GB2312" w:cs="仿宋_GB2312"/>
          <w:b/>
          <w:bCs w:val="0"/>
          <w:color w:val="000000"/>
          <w:kern w:val="2"/>
          <w:sz w:val="32"/>
          <w:szCs w:val="32"/>
          <w:lang w:val="en-US" w:eastAsia="zh-CN" w:bidi="ar"/>
        </w:rPr>
        <w:t>一般公共服务（类）民族事务（款）行政运行（项）</w:t>
      </w:r>
      <w:r>
        <w:rPr>
          <w:rFonts w:hint="default" w:ascii="仿宋_GB2312" w:hAnsi="仿宋" w:eastAsia="仿宋_GB2312" w:cs="仿宋_GB2312"/>
          <w:b w:val="0"/>
          <w:bCs/>
          <w:color w:val="000000"/>
          <w:kern w:val="2"/>
          <w:sz w:val="32"/>
          <w:szCs w:val="32"/>
          <w:lang w:val="en-US" w:eastAsia="zh-CN" w:bidi="ar"/>
        </w:rPr>
        <w:t>:支出决算为123.58万元，完成预算100%。</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Chars="0" w:right="0" w:rightChars="0" w:firstLine="642" w:firstLineChars="200"/>
        <w:jc w:val="both"/>
        <w:textAlignment w:val="auto"/>
        <w:rPr>
          <w:rFonts w:hint="default" w:ascii="仿宋_GB2312" w:hAnsi="仿宋" w:eastAsia="仿宋_GB2312" w:cs="仿宋_GB2312"/>
          <w:b w:val="0"/>
          <w:bCs/>
          <w:color w:val="000000"/>
          <w:kern w:val="2"/>
          <w:sz w:val="32"/>
          <w:szCs w:val="32"/>
          <w:lang w:val="en-US" w:eastAsia="zh-CN" w:bidi="ar"/>
        </w:rPr>
      </w:pPr>
      <w:r>
        <w:rPr>
          <w:rFonts w:hint="eastAsia" w:ascii="仿宋_GB2312" w:hAnsi="仿宋" w:eastAsia="仿宋_GB2312" w:cs="仿宋_GB2312"/>
          <w:b/>
          <w:bCs w:val="0"/>
          <w:color w:val="000000"/>
          <w:kern w:val="2"/>
          <w:sz w:val="32"/>
          <w:szCs w:val="32"/>
          <w:lang w:val="en-US" w:eastAsia="zh-CN" w:bidi="ar"/>
        </w:rPr>
        <w:t>2.一般公共服务（类）民族事务（款）</w:t>
      </w:r>
      <w:r>
        <w:rPr>
          <w:rFonts w:hint="default" w:ascii="仿宋_GB2312" w:hAnsi="仿宋" w:eastAsia="仿宋_GB2312" w:cs="仿宋_GB2312"/>
          <w:b/>
          <w:bCs w:val="0"/>
          <w:color w:val="000000"/>
          <w:kern w:val="2"/>
          <w:sz w:val="32"/>
          <w:szCs w:val="32"/>
          <w:lang w:val="en-US" w:eastAsia="zh-CN" w:bidi="ar"/>
        </w:rPr>
        <w:t>一般行政管理事务（项）</w:t>
      </w:r>
      <w:r>
        <w:rPr>
          <w:rFonts w:hint="default" w:ascii="仿宋_GB2312" w:hAnsi="仿宋" w:eastAsia="仿宋_GB2312" w:cs="仿宋_GB2312"/>
          <w:b w:val="0"/>
          <w:bCs/>
          <w:color w:val="000000"/>
          <w:kern w:val="2"/>
          <w:sz w:val="32"/>
          <w:szCs w:val="32"/>
          <w:lang w:val="en-US" w:eastAsia="zh-CN" w:bidi="ar"/>
        </w:rPr>
        <w:t>:支出决算为</w:t>
      </w:r>
      <w:r>
        <w:rPr>
          <w:rFonts w:hint="eastAsia" w:ascii="仿宋_GB2312" w:hAnsi="仿宋" w:eastAsia="仿宋_GB2312" w:cs="仿宋_GB2312"/>
          <w:b w:val="0"/>
          <w:bCs/>
          <w:color w:val="000000"/>
          <w:kern w:val="2"/>
          <w:sz w:val="32"/>
          <w:szCs w:val="32"/>
          <w:lang w:val="en-US" w:eastAsia="zh-CN" w:bidi="ar"/>
        </w:rPr>
        <w:t>4</w:t>
      </w:r>
      <w:r>
        <w:rPr>
          <w:rFonts w:hint="default" w:ascii="仿宋_GB2312" w:hAnsi="仿宋" w:eastAsia="仿宋_GB2312" w:cs="仿宋_GB2312"/>
          <w:b w:val="0"/>
          <w:bCs/>
          <w:color w:val="000000"/>
          <w:kern w:val="2"/>
          <w:sz w:val="32"/>
          <w:szCs w:val="32"/>
          <w:lang w:val="en-US" w:eastAsia="zh-CN" w:bidi="ar"/>
        </w:rPr>
        <w:t>万元，完成预算100%。</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Chars="0" w:right="0" w:rightChars="0" w:firstLine="642" w:firstLineChars="200"/>
        <w:jc w:val="both"/>
        <w:textAlignment w:val="auto"/>
        <w:rPr>
          <w:rFonts w:hint="eastAsia" w:ascii="仿宋_GB2312" w:hAnsi="仿宋" w:eastAsia="仿宋_GB2312" w:cs="仿宋_GB2312"/>
          <w:b w:val="0"/>
          <w:bCs/>
          <w:color w:val="000000"/>
          <w:kern w:val="2"/>
          <w:sz w:val="32"/>
          <w:szCs w:val="32"/>
          <w:lang w:val="en-US" w:eastAsia="zh-CN" w:bidi="ar"/>
        </w:rPr>
      </w:pPr>
      <w:r>
        <w:rPr>
          <w:rFonts w:hint="eastAsia" w:ascii="仿宋_GB2312" w:hAnsi="仿宋" w:eastAsia="仿宋_GB2312" w:cs="仿宋_GB2312"/>
          <w:b/>
          <w:bCs w:val="0"/>
          <w:color w:val="000000"/>
          <w:kern w:val="2"/>
          <w:sz w:val="32"/>
          <w:szCs w:val="32"/>
          <w:lang w:val="en-US" w:eastAsia="zh-CN" w:bidi="ar"/>
        </w:rPr>
        <w:t>3</w:t>
      </w:r>
      <w:r>
        <w:rPr>
          <w:rFonts w:hint="eastAsia" w:ascii="仿宋_GB2312" w:hAnsi="仿宋" w:eastAsia="仿宋_GB2312" w:cs="仿宋_GB2312"/>
          <w:b w:val="0"/>
          <w:bCs/>
          <w:color w:val="000000"/>
          <w:kern w:val="2"/>
          <w:sz w:val="32"/>
          <w:szCs w:val="32"/>
          <w:lang w:val="en-US" w:eastAsia="zh-CN" w:bidi="ar"/>
        </w:rPr>
        <w:t>.</w:t>
      </w:r>
      <w:r>
        <w:rPr>
          <w:rFonts w:hint="eastAsia" w:ascii="仿宋_GB2312" w:hAnsi="仿宋" w:eastAsia="仿宋_GB2312" w:cs="仿宋_GB2312"/>
          <w:b/>
          <w:bCs w:val="0"/>
          <w:color w:val="000000"/>
          <w:kern w:val="2"/>
          <w:sz w:val="32"/>
          <w:szCs w:val="32"/>
          <w:lang w:val="en-US" w:eastAsia="zh-CN" w:bidi="ar"/>
        </w:rPr>
        <w:t>一般公共服务（类）民族事务（款）</w:t>
      </w:r>
      <w:r>
        <w:rPr>
          <w:rFonts w:hint="default" w:ascii="仿宋_GB2312" w:hAnsi="仿宋" w:eastAsia="仿宋_GB2312" w:cs="仿宋_GB2312"/>
          <w:b/>
          <w:bCs w:val="0"/>
          <w:color w:val="000000"/>
          <w:kern w:val="2"/>
          <w:sz w:val="32"/>
          <w:szCs w:val="32"/>
          <w:lang w:val="en-US" w:eastAsia="zh-CN" w:bidi="ar"/>
        </w:rPr>
        <w:t>民族工作专项（项）:</w:t>
      </w:r>
      <w:r>
        <w:rPr>
          <w:rFonts w:hint="default" w:ascii="仿宋_GB2312" w:hAnsi="仿宋" w:eastAsia="仿宋_GB2312" w:cs="仿宋_GB2312"/>
          <w:b w:val="0"/>
          <w:bCs/>
          <w:color w:val="000000"/>
          <w:kern w:val="2"/>
          <w:sz w:val="32"/>
          <w:szCs w:val="32"/>
          <w:lang w:val="en-US" w:eastAsia="zh-CN" w:bidi="ar"/>
        </w:rPr>
        <w:t>支出决算为2.</w:t>
      </w:r>
      <w:r>
        <w:rPr>
          <w:rFonts w:hint="eastAsia" w:ascii="仿宋_GB2312" w:hAnsi="仿宋" w:eastAsia="仿宋_GB2312" w:cs="仿宋_GB2312"/>
          <w:b w:val="0"/>
          <w:bCs/>
          <w:color w:val="000000"/>
          <w:kern w:val="2"/>
          <w:sz w:val="32"/>
          <w:szCs w:val="32"/>
          <w:lang w:val="en-US" w:eastAsia="zh-CN" w:bidi="ar"/>
        </w:rPr>
        <w:t>96</w:t>
      </w:r>
      <w:r>
        <w:rPr>
          <w:rFonts w:hint="default" w:ascii="仿宋_GB2312" w:hAnsi="仿宋" w:eastAsia="仿宋_GB2312" w:cs="仿宋_GB2312"/>
          <w:b w:val="0"/>
          <w:bCs/>
          <w:color w:val="000000"/>
          <w:kern w:val="2"/>
          <w:sz w:val="32"/>
          <w:szCs w:val="32"/>
          <w:lang w:val="en-US" w:eastAsia="zh-CN" w:bidi="ar"/>
        </w:rPr>
        <w:t>万元，完成预算100%</w:t>
      </w:r>
      <w:r>
        <w:rPr>
          <w:rFonts w:hint="eastAsia" w:ascii="仿宋_GB2312" w:hAnsi="仿宋" w:eastAsia="仿宋_GB2312" w:cs="仿宋_GB2312"/>
          <w:b w:val="0"/>
          <w:bCs/>
          <w:color w:val="000000"/>
          <w:kern w:val="2"/>
          <w:sz w:val="32"/>
          <w:szCs w:val="32"/>
          <w:lang w:val="en-US" w:eastAsia="zh-CN" w:bidi="ar"/>
        </w:rPr>
        <w:t>。</w:t>
      </w:r>
    </w:p>
    <w:p>
      <w:pPr>
        <w:pStyle w:val="26"/>
        <w:keepNext w:val="0"/>
        <w:keepLines w:val="0"/>
        <w:pageBreakBefore w:val="0"/>
        <w:widowControl w:val="0"/>
        <w:kinsoku/>
        <w:wordWrap/>
        <w:overflowPunct/>
        <w:topLinePunct w:val="0"/>
        <w:autoSpaceDE/>
        <w:autoSpaceDN/>
        <w:bidi w:val="0"/>
        <w:adjustRightInd/>
        <w:snapToGrid/>
        <w:spacing w:after="0" w:line="560" w:lineRule="exact"/>
        <w:ind w:left="0" w:leftChars="0" w:firstLine="642" w:firstLineChars="200"/>
        <w:textAlignment w:val="baseline"/>
        <w:rPr>
          <w:rFonts w:hint="default"/>
          <w:lang w:val="en-US"/>
        </w:rPr>
      </w:pPr>
      <w:r>
        <w:rPr>
          <w:rFonts w:hint="eastAsia" w:ascii="仿宋_GB2312" w:hAnsi="仿宋" w:eastAsia="仿宋_GB2312" w:cs="仿宋_GB2312"/>
          <w:b/>
          <w:bCs w:val="0"/>
          <w:color w:val="000000"/>
          <w:kern w:val="2"/>
          <w:sz w:val="32"/>
          <w:szCs w:val="32"/>
          <w:lang w:val="en-US" w:eastAsia="zh-CN" w:bidi="ar"/>
        </w:rPr>
        <w:t>4</w:t>
      </w:r>
      <w:r>
        <w:rPr>
          <w:rFonts w:hint="eastAsia" w:ascii="仿宋_GB2312" w:hAnsi="仿宋" w:eastAsia="仿宋_GB2312" w:cs="仿宋_GB2312"/>
          <w:b w:val="0"/>
          <w:bCs/>
          <w:color w:val="000000"/>
          <w:kern w:val="2"/>
          <w:sz w:val="32"/>
          <w:szCs w:val="32"/>
          <w:lang w:val="en-US" w:eastAsia="zh-CN" w:bidi="ar"/>
        </w:rPr>
        <w:t>.</w:t>
      </w:r>
      <w:r>
        <w:rPr>
          <w:rFonts w:hint="eastAsia" w:ascii="仿宋_GB2312" w:hAnsi="仿宋" w:eastAsia="仿宋_GB2312" w:cs="仿宋_GB2312"/>
          <w:b/>
          <w:bCs w:val="0"/>
          <w:color w:val="000000"/>
          <w:kern w:val="2"/>
          <w:sz w:val="32"/>
          <w:szCs w:val="32"/>
          <w:lang w:val="en-US" w:eastAsia="zh-CN" w:bidi="ar"/>
        </w:rPr>
        <w:t>一般公共服务（类）统战事务（款）一般行政管理事务</w:t>
      </w:r>
      <w:r>
        <w:rPr>
          <w:rFonts w:hint="default" w:ascii="仿宋_GB2312" w:hAnsi="仿宋" w:eastAsia="仿宋_GB2312" w:cs="仿宋_GB2312"/>
          <w:b/>
          <w:bCs w:val="0"/>
          <w:color w:val="000000"/>
          <w:kern w:val="2"/>
          <w:sz w:val="32"/>
          <w:szCs w:val="32"/>
          <w:lang w:val="en-US" w:eastAsia="zh-CN" w:bidi="ar"/>
        </w:rPr>
        <w:t>（项）:</w:t>
      </w:r>
      <w:r>
        <w:rPr>
          <w:rFonts w:hint="default" w:ascii="仿宋_GB2312" w:hAnsi="仿宋" w:eastAsia="仿宋_GB2312" w:cs="仿宋_GB2312"/>
          <w:b w:val="0"/>
          <w:bCs/>
          <w:color w:val="000000"/>
          <w:kern w:val="2"/>
          <w:sz w:val="32"/>
          <w:szCs w:val="32"/>
          <w:lang w:val="en-US" w:eastAsia="zh-CN" w:bidi="ar"/>
        </w:rPr>
        <w:t>支出决算为</w:t>
      </w:r>
      <w:r>
        <w:rPr>
          <w:rFonts w:hint="eastAsia" w:ascii="仿宋_GB2312" w:hAnsi="仿宋" w:eastAsia="仿宋_GB2312" w:cs="仿宋_GB2312"/>
          <w:b w:val="0"/>
          <w:bCs/>
          <w:color w:val="000000"/>
          <w:kern w:val="2"/>
          <w:sz w:val="32"/>
          <w:szCs w:val="32"/>
          <w:lang w:val="en-US" w:eastAsia="zh-CN" w:bidi="ar"/>
        </w:rPr>
        <w:t>4</w:t>
      </w:r>
      <w:r>
        <w:rPr>
          <w:rFonts w:hint="default" w:ascii="仿宋_GB2312" w:hAnsi="仿宋" w:eastAsia="仿宋_GB2312" w:cs="仿宋_GB2312"/>
          <w:b w:val="0"/>
          <w:bCs/>
          <w:color w:val="000000"/>
          <w:kern w:val="2"/>
          <w:sz w:val="32"/>
          <w:szCs w:val="32"/>
          <w:lang w:val="en-US" w:eastAsia="zh-CN" w:bidi="ar"/>
        </w:rPr>
        <w:t>万元，完成预算100%</w:t>
      </w:r>
      <w:r>
        <w:rPr>
          <w:rFonts w:hint="eastAsia" w:ascii="仿宋_GB2312" w:hAnsi="仿宋" w:eastAsia="仿宋_GB2312" w:cs="仿宋_GB2312"/>
          <w:b w:val="0"/>
          <w:bCs/>
          <w:color w:val="000000"/>
          <w:kern w:val="2"/>
          <w:sz w:val="32"/>
          <w:szCs w:val="32"/>
          <w:lang w:val="en-US" w:eastAsia="zh-CN" w:bidi="ar"/>
        </w:rPr>
        <w:t>。</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ascii="仿宋" w:hAnsi="仿宋" w:eastAsia="仿宋"/>
          <w:b/>
          <w:color w:val="000000"/>
          <w:sz w:val="32"/>
          <w:szCs w:val="32"/>
        </w:rPr>
      </w:pPr>
      <w:r>
        <w:rPr>
          <w:rStyle w:val="24"/>
          <w:rFonts w:hint="eastAsia" w:ascii="仿宋" w:hAnsi="仿宋" w:eastAsia="仿宋"/>
          <w:bCs/>
          <w:color w:val="000000"/>
          <w:sz w:val="32"/>
          <w:szCs w:val="32"/>
          <w:lang w:val="en-US" w:eastAsia="zh-CN"/>
        </w:rPr>
        <w:t>5</w:t>
      </w:r>
      <w:r>
        <w:rPr>
          <w:rStyle w:val="24"/>
          <w:rFonts w:ascii="仿宋" w:hAnsi="仿宋" w:eastAsia="仿宋"/>
          <w:bCs/>
          <w:color w:val="000000"/>
          <w:sz w:val="32"/>
          <w:szCs w:val="32"/>
        </w:rPr>
        <w:t>.</w:t>
      </w:r>
      <w:r>
        <w:rPr>
          <w:rStyle w:val="24"/>
          <w:rFonts w:hint="eastAsia" w:ascii="仿宋" w:hAnsi="仿宋" w:eastAsia="仿宋"/>
          <w:bCs/>
          <w:color w:val="000000"/>
          <w:sz w:val="32"/>
          <w:szCs w:val="32"/>
        </w:rPr>
        <w:t>社会保障和就业支出（类）行政事业单位养老支出（款）机关事业单位基本养老保险缴费支出（项）</w:t>
      </w:r>
      <w:r>
        <w:rPr>
          <w:rStyle w:val="24"/>
          <w:rFonts w:ascii="仿宋" w:hAnsi="仿宋" w:eastAsia="仿宋"/>
          <w:bCs/>
          <w:color w:val="000000"/>
          <w:sz w:val="32"/>
          <w:szCs w:val="32"/>
        </w:rPr>
        <w:t>:</w:t>
      </w:r>
      <w:r>
        <w:rPr>
          <w:rStyle w:val="24"/>
          <w:rFonts w:ascii="仿宋" w:hAnsi="仿宋" w:eastAsia="仿宋"/>
          <w:b w:val="0"/>
          <w:bCs/>
          <w:color w:val="000000"/>
          <w:sz w:val="32"/>
          <w:szCs w:val="32"/>
        </w:rPr>
        <w:t xml:space="preserve"> </w:t>
      </w:r>
      <w:r>
        <w:rPr>
          <w:rStyle w:val="24"/>
          <w:rFonts w:hint="eastAsia" w:ascii="仿宋" w:hAnsi="仿宋" w:eastAsia="仿宋"/>
          <w:b w:val="0"/>
          <w:bCs/>
          <w:color w:val="000000"/>
          <w:sz w:val="32"/>
          <w:szCs w:val="32"/>
        </w:rPr>
        <w:t>支出决算为8.95万元，完成预算</w:t>
      </w:r>
      <w:r>
        <w:rPr>
          <w:rStyle w:val="24"/>
          <w:rFonts w:hint="eastAsia" w:ascii="仿宋" w:hAnsi="仿宋" w:eastAsia="仿宋"/>
          <w:b w:val="0"/>
          <w:bCs/>
          <w:color w:val="000000"/>
          <w:sz w:val="32"/>
          <w:szCs w:val="32"/>
          <w:lang w:val="en-US" w:eastAsia="zh-CN"/>
        </w:rPr>
        <w:t>100</w:t>
      </w:r>
      <w:r>
        <w:rPr>
          <w:rStyle w:val="24"/>
          <w:rFonts w:ascii="仿宋" w:hAnsi="仿宋" w:eastAsia="仿宋"/>
          <w:b w:val="0"/>
          <w:bCs/>
          <w:color w:val="000000"/>
          <w:sz w:val="32"/>
          <w:szCs w:val="32"/>
        </w:rPr>
        <w:t>%</w:t>
      </w:r>
      <w:r>
        <w:rPr>
          <w:rStyle w:val="24"/>
          <w:rFonts w:hint="eastAsia" w:ascii="仿宋" w:hAnsi="仿宋" w:eastAsia="仿宋"/>
          <w:b w:val="0"/>
          <w:bCs/>
          <w:color w:val="000000"/>
          <w:sz w:val="32"/>
          <w:szCs w:val="32"/>
        </w:rPr>
        <w:t>。</w:t>
      </w:r>
    </w:p>
    <w:p>
      <w:pPr>
        <w:keepNext w:val="0"/>
        <w:keepLines w:val="0"/>
        <w:pageBreakBefore w:val="0"/>
        <w:widowControl w:val="0"/>
        <w:kinsoku/>
        <w:wordWrap/>
        <w:overflowPunct/>
        <w:topLinePunct w:val="0"/>
        <w:autoSpaceDE/>
        <w:autoSpaceDN/>
        <w:bidi w:val="0"/>
        <w:adjustRightInd/>
        <w:snapToGrid/>
        <w:spacing w:beforeLines="0" w:afterLines="0" w:line="560" w:lineRule="exact"/>
        <w:ind w:firstLine="642" w:firstLineChars="200"/>
        <w:rPr>
          <w:rStyle w:val="24"/>
          <w:rFonts w:hint="eastAsia" w:ascii="仿宋" w:hAnsi="仿宋" w:eastAsia="仿宋"/>
          <w:b w:val="0"/>
          <w:bCs/>
          <w:color w:val="000000"/>
          <w:sz w:val="32"/>
          <w:szCs w:val="32"/>
        </w:rPr>
      </w:pPr>
      <w:r>
        <w:rPr>
          <w:rStyle w:val="24"/>
          <w:rFonts w:hint="eastAsia" w:ascii="仿宋" w:hAnsi="仿宋" w:eastAsia="仿宋"/>
          <w:bCs/>
          <w:color w:val="000000"/>
          <w:sz w:val="32"/>
          <w:szCs w:val="32"/>
          <w:lang w:val="en-US" w:eastAsia="zh-CN"/>
        </w:rPr>
        <w:t>6</w:t>
      </w:r>
      <w:r>
        <w:rPr>
          <w:rStyle w:val="24"/>
          <w:rFonts w:ascii="仿宋" w:hAnsi="仿宋" w:eastAsia="仿宋"/>
          <w:bCs/>
          <w:color w:val="000000"/>
          <w:sz w:val="32"/>
          <w:szCs w:val="32"/>
        </w:rPr>
        <w:t>.</w:t>
      </w:r>
      <w:r>
        <w:rPr>
          <w:rFonts w:hint="eastAsia" w:ascii="仿宋" w:hAnsi="仿宋" w:eastAsia="仿宋"/>
          <w:b/>
          <w:bCs/>
          <w:color w:val="000000"/>
          <w:sz w:val="32"/>
          <w:szCs w:val="32"/>
        </w:rPr>
        <w:t>社会保障和就业支出（类）行政事业单位养老支出（款）机关事业单位职业年金缴费支出（项）</w:t>
      </w:r>
      <w:r>
        <w:rPr>
          <w:rStyle w:val="24"/>
          <w:rFonts w:ascii="仿宋" w:hAnsi="仿宋" w:eastAsia="仿宋"/>
          <w:bCs/>
          <w:color w:val="000000"/>
          <w:sz w:val="32"/>
          <w:szCs w:val="32"/>
        </w:rPr>
        <w:t>:</w:t>
      </w:r>
      <w:r>
        <w:rPr>
          <w:rStyle w:val="24"/>
          <w:rFonts w:hint="eastAsia" w:ascii="仿宋" w:hAnsi="仿宋" w:eastAsia="仿宋"/>
          <w:b w:val="0"/>
          <w:bCs/>
          <w:color w:val="000000"/>
          <w:sz w:val="32"/>
          <w:szCs w:val="32"/>
        </w:rPr>
        <w:t>支出决算为4.47万元，完成预算</w:t>
      </w:r>
      <w:r>
        <w:rPr>
          <w:rStyle w:val="24"/>
          <w:rFonts w:hint="eastAsia" w:ascii="仿宋" w:hAnsi="仿宋" w:eastAsia="仿宋"/>
          <w:b w:val="0"/>
          <w:bCs/>
          <w:color w:val="000000"/>
          <w:sz w:val="32"/>
          <w:szCs w:val="32"/>
          <w:lang w:val="en-US" w:eastAsia="zh-CN"/>
        </w:rPr>
        <w:t>100</w:t>
      </w:r>
      <w:r>
        <w:rPr>
          <w:rStyle w:val="24"/>
          <w:rFonts w:ascii="仿宋" w:hAnsi="仿宋" w:eastAsia="仿宋"/>
          <w:b w:val="0"/>
          <w:bCs/>
          <w:color w:val="000000"/>
          <w:sz w:val="32"/>
          <w:szCs w:val="32"/>
        </w:rPr>
        <w:t>%</w:t>
      </w:r>
      <w:r>
        <w:rPr>
          <w:rStyle w:val="24"/>
          <w:rFonts w:hint="eastAsia" w:ascii="仿宋" w:hAnsi="仿宋" w:eastAsia="仿宋"/>
          <w:b w:val="0"/>
          <w:bCs/>
          <w:color w:val="000000"/>
          <w:sz w:val="32"/>
          <w:szCs w:val="32"/>
        </w:rPr>
        <w:t>。</w:t>
      </w:r>
    </w:p>
    <w:p>
      <w:pPr>
        <w:keepNext w:val="0"/>
        <w:keepLines w:val="0"/>
        <w:pageBreakBefore w:val="0"/>
        <w:widowControl w:val="0"/>
        <w:kinsoku/>
        <w:wordWrap/>
        <w:overflowPunct/>
        <w:topLinePunct w:val="0"/>
        <w:autoSpaceDE/>
        <w:autoSpaceDN/>
        <w:bidi w:val="0"/>
        <w:adjustRightInd/>
        <w:snapToGrid/>
        <w:spacing w:beforeLines="0" w:afterLines="0" w:line="560" w:lineRule="exact"/>
        <w:ind w:firstLine="642" w:firstLineChars="200"/>
        <w:rPr>
          <w:rFonts w:hint="eastAsia" w:ascii="仿宋" w:hAnsi="仿宋" w:eastAsia="仿宋"/>
          <w:b/>
          <w:color w:val="000000"/>
          <w:sz w:val="32"/>
          <w:szCs w:val="32"/>
        </w:rPr>
      </w:pPr>
      <w:r>
        <w:rPr>
          <w:rStyle w:val="24"/>
          <w:rFonts w:hint="eastAsia" w:ascii="仿宋" w:hAnsi="仿宋" w:eastAsia="仿宋"/>
          <w:color w:val="000000"/>
          <w:sz w:val="32"/>
          <w:szCs w:val="32"/>
          <w:lang w:val="en-US" w:eastAsia="zh-CN"/>
        </w:rPr>
        <w:t>7</w:t>
      </w:r>
      <w:r>
        <w:rPr>
          <w:rStyle w:val="24"/>
          <w:rFonts w:hint="eastAsia" w:ascii="仿宋" w:hAnsi="仿宋" w:eastAsia="仿宋"/>
          <w:color w:val="000000"/>
          <w:sz w:val="32"/>
          <w:szCs w:val="32"/>
        </w:rPr>
        <w:t>.卫生健康支出（类）行政事业单位医疗（款）行政单位医疗（项）:</w:t>
      </w:r>
      <w:r>
        <w:rPr>
          <w:rStyle w:val="24"/>
          <w:rFonts w:hint="eastAsia" w:ascii="仿宋" w:hAnsi="仿宋" w:eastAsia="仿宋"/>
          <w:b w:val="0"/>
          <w:color w:val="000000"/>
          <w:sz w:val="32"/>
          <w:szCs w:val="32"/>
        </w:rPr>
        <w:t xml:space="preserve"> 支出决算为5.38万元，完成预算100%。</w:t>
      </w:r>
    </w:p>
    <w:p>
      <w:pPr>
        <w:keepNext w:val="0"/>
        <w:keepLines w:val="0"/>
        <w:pageBreakBefore w:val="0"/>
        <w:widowControl w:val="0"/>
        <w:kinsoku/>
        <w:wordWrap/>
        <w:overflowPunct/>
        <w:topLinePunct w:val="0"/>
        <w:autoSpaceDE/>
        <w:autoSpaceDN/>
        <w:bidi w:val="0"/>
        <w:adjustRightInd/>
        <w:snapToGrid/>
        <w:spacing w:beforeLines="0" w:afterLines="0" w:line="560" w:lineRule="exact"/>
        <w:ind w:firstLine="642" w:firstLineChars="200"/>
        <w:rPr>
          <w:rFonts w:hint="eastAsia" w:ascii="仿宋" w:hAnsi="仿宋" w:eastAsia="仿宋"/>
          <w:b/>
          <w:color w:val="000000"/>
          <w:sz w:val="32"/>
          <w:szCs w:val="32"/>
        </w:rPr>
      </w:pPr>
      <w:r>
        <w:rPr>
          <w:rStyle w:val="24"/>
          <w:rFonts w:hint="eastAsia" w:ascii="仿宋" w:hAnsi="仿宋" w:eastAsia="仿宋"/>
          <w:color w:val="000000"/>
          <w:sz w:val="32"/>
          <w:szCs w:val="32"/>
          <w:lang w:val="en-US" w:eastAsia="zh-CN"/>
        </w:rPr>
        <w:t>8</w:t>
      </w:r>
      <w:r>
        <w:rPr>
          <w:rStyle w:val="24"/>
          <w:rFonts w:hint="eastAsia" w:ascii="仿宋" w:hAnsi="仿宋" w:eastAsia="仿宋"/>
          <w:color w:val="000000"/>
          <w:sz w:val="32"/>
          <w:szCs w:val="32"/>
        </w:rPr>
        <w:t xml:space="preserve">.卫生健康支出（类）行政事业单位医疗（款）公务员医疗补助（项）: </w:t>
      </w:r>
      <w:r>
        <w:rPr>
          <w:rStyle w:val="24"/>
          <w:rFonts w:hint="eastAsia" w:ascii="仿宋" w:hAnsi="仿宋" w:eastAsia="仿宋"/>
          <w:b w:val="0"/>
          <w:color w:val="000000"/>
          <w:sz w:val="32"/>
          <w:szCs w:val="32"/>
        </w:rPr>
        <w:t>支出决算为1.14万元，完成预算100%。</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ascii="仿宋" w:hAnsi="仿宋" w:eastAsia="仿宋"/>
          <w:b/>
          <w:color w:val="FF0000"/>
          <w:sz w:val="32"/>
          <w:szCs w:val="32"/>
        </w:rPr>
      </w:pPr>
      <w:r>
        <w:rPr>
          <w:rStyle w:val="24"/>
          <w:rFonts w:hint="eastAsia" w:ascii="仿宋" w:hAnsi="仿宋" w:eastAsia="仿宋"/>
          <w:color w:val="000000"/>
          <w:sz w:val="32"/>
          <w:szCs w:val="32"/>
          <w:lang w:val="en-US" w:eastAsia="zh-CN"/>
        </w:rPr>
        <w:t>9</w:t>
      </w:r>
      <w:r>
        <w:rPr>
          <w:rFonts w:hint="eastAsia" w:ascii="仿宋" w:hAnsi="仿宋" w:eastAsia="仿宋" w:cs="仿宋"/>
          <w:b/>
          <w:bCs w:val="0"/>
          <w:color w:val="000000"/>
          <w:kern w:val="2"/>
          <w:sz w:val="32"/>
          <w:szCs w:val="32"/>
          <w:lang w:val="en-US" w:eastAsia="zh-CN" w:bidi="ar"/>
        </w:rPr>
        <w:t>.住房保障支出（类）住房改革支出（款）住房公积金（项）:</w:t>
      </w:r>
      <w:r>
        <w:rPr>
          <w:rFonts w:hint="eastAsia" w:ascii="仿宋" w:hAnsi="仿宋" w:eastAsia="仿宋" w:cs="仿宋"/>
          <w:b w:val="0"/>
          <w:color w:val="000000"/>
          <w:kern w:val="2"/>
          <w:sz w:val="32"/>
          <w:szCs w:val="32"/>
          <w:lang w:val="en-US" w:eastAsia="zh-CN" w:bidi="ar"/>
        </w:rPr>
        <w:t>支出决算为10.97万元，完成预算100%。</w:t>
      </w:r>
    </w:p>
    <w:p>
      <w:pPr>
        <w:pageBreakBefore w:val="0"/>
        <w:widowControl w:val="0"/>
        <w:kinsoku/>
        <w:wordWrap/>
        <w:overflowPunct/>
        <w:topLinePunct w:val="0"/>
        <w:bidi w:val="0"/>
        <w:spacing w:line="560" w:lineRule="exact"/>
        <w:ind w:firstLine="640"/>
        <w:textAlignment w:val="auto"/>
        <w:rPr>
          <w:rFonts w:ascii="仿宋" w:hAnsi="仿宋" w:eastAsia="仿宋"/>
          <w:b/>
          <w:color w:val="000000"/>
          <w:sz w:val="32"/>
          <w:szCs w:val="32"/>
        </w:rPr>
      </w:pPr>
    </w:p>
    <w:p>
      <w:pPr>
        <w:pageBreakBefore w:val="0"/>
        <w:widowControl w:val="0"/>
        <w:tabs>
          <w:tab w:val="right" w:pos="8306"/>
        </w:tabs>
        <w:kinsoku/>
        <w:wordWrap/>
        <w:overflowPunct/>
        <w:topLinePunct w:val="0"/>
        <w:bidi w:val="0"/>
        <w:spacing w:line="560" w:lineRule="exact"/>
        <w:ind w:firstLine="640"/>
        <w:textAlignment w:val="auto"/>
        <w:outlineLvl w:val="1"/>
        <w:rPr>
          <w:rStyle w:val="29"/>
        </w:rPr>
      </w:pPr>
      <w:bookmarkStart w:id="59" w:name="_Toc79163618"/>
      <w:bookmarkStart w:id="60" w:name="_Toc15396608"/>
      <w:bookmarkStart w:id="61" w:name="_Toc15377214"/>
      <w:bookmarkStart w:id="62" w:name="_Toc7916386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9"/>
          <w:rFonts w:hint="eastAsia" w:ascii="黑体" w:hAnsi="黑体" w:eastAsia="黑体"/>
          <w:b w:val="0"/>
        </w:rPr>
        <w:t>般公共预算财政拨款基本支出决算情况说明</w:t>
      </w:r>
      <w:bookmarkEnd w:id="59"/>
      <w:bookmarkEnd w:id="60"/>
      <w:bookmarkEnd w:id="61"/>
      <w:bookmarkEnd w:id="62"/>
      <w:r>
        <w:rPr>
          <w:rStyle w:val="29"/>
          <w:rFonts w:ascii="黑体" w:hAnsi="黑体" w:eastAsia="黑体"/>
          <w:b w:val="0"/>
        </w:rPr>
        <w:tab/>
      </w:r>
    </w:p>
    <w:p>
      <w:pPr>
        <w:pageBreakBefore w:val="0"/>
        <w:widowControl w:val="0"/>
        <w:kinsoku/>
        <w:wordWrap/>
        <w:overflowPunct/>
        <w:topLinePunct w:val="0"/>
        <w:bidi w:val="0"/>
        <w:spacing w:line="560" w:lineRule="exact"/>
        <w:ind w:firstLine="645"/>
        <w:textAlignment w:val="auto"/>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rPr>
        <w:t>1年一般公共预算财政拨款基本支出154.49万元，其中：</w:t>
      </w:r>
    </w:p>
    <w:p>
      <w:pPr>
        <w:pageBreakBefore w:val="0"/>
        <w:widowControl w:val="0"/>
        <w:kinsoku/>
        <w:wordWrap/>
        <w:overflowPunct/>
        <w:topLinePunct w:val="0"/>
        <w:bidi w:val="0"/>
        <w:spacing w:line="560" w:lineRule="exact"/>
        <w:ind w:firstLine="645"/>
        <w:textAlignment w:val="auto"/>
        <w:rPr>
          <w:rFonts w:hint="eastAsia" w:ascii="仿宋" w:hAnsi="仿宋" w:eastAsia="仿宋"/>
          <w:color w:val="000000"/>
          <w:sz w:val="32"/>
          <w:szCs w:val="32"/>
          <w:lang w:eastAsia="zh-CN"/>
        </w:rPr>
      </w:pPr>
      <w:r>
        <w:rPr>
          <w:rFonts w:hint="eastAsia" w:ascii="仿宋" w:hAnsi="仿宋" w:eastAsia="仿宋"/>
          <w:color w:val="000000"/>
          <w:sz w:val="32"/>
          <w:szCs w:val="32"/>
        </w:rPr>
        <w:t>人员经费130.01万元，主要包括：基本工资、津贴补贴</w:t>
      </w:r>
      <w:r>
        <w:rPr>
          <w:rFonts w:hint="eastAsia" w:ascii="仿宋" w:hAnsi="仿宋" w:eastAsia="仿宋"/>
          <w:color w:val="000000"/>
          <w:sz w:val="32"/>
          <w:szCs w:val="32"/>
          <w:lang w:eastAsia="zh-CN"/>
        </w:rPr>
        <w:t>、奖金、</w:t>
      </w:r>
      <w:r>
        <w:rPr>
          <w:rFonts w:hint="eastAsia" w:ascii="仿宋" w:hAnsi="仿宋" w:eastAsia="仿宋"/>
          <w:color w:val="000000"/>
          <w:sz w:val="32"/>
          <w:szCs w:val="32"/>
          <w:lang w:val="en-US" w:eastAsia="zh-CN"/>
        </w:rPr>
        <w:t>绩效工资、</w:t>
      </w:r>
      <w:r>
        <w:rPr>
          <w:rFonts w:hint="eastAsia" w:ascii="仿宋" w:hAnsi="仿宋" w:eastAsia="仿宋"/>
          <w:color w:val="000000"/>
          <w:sz w:val="32"/>
          <w:szCs w:val="32"/>
          <w:lang w:eastAsia="zh-CN"/>
        </w:rPr>
        <w:t>机关事业单位基本养老保险费、职业年金缴费、职工基本医疗保险缴费、其他社会保障缴费、住房公积金、医疗费补助</w:t>
      </w:r>
      <w:r>
        <w:rPr>
          <w:rFonts w:hint="eastAsia" w:ascii="仿宋" w:hAnsi="仿宋" w:eastAsia="仿宋"/>
          <w:color w:val="000000"/>
          <w:sz w:val="32"/>
          <w:szCs w:val="32"/>
        </w:rPr>
        <w:t>。</w:t>
      </w:r>
    </w:p>
    <w:p>
      <w:pPr>
        <w:pageBreakBefore w:val="0"/>
        <w:widowControl w:val="0"/>
        <w:kinsoku/>
        <w:wordWrap/>
        <w:overflowPunct/>
        <w:topLinePunct w:val="0"/>
        <w:bidi w:val="0"/>
        <w:spacing w:line="560" w:lineRule="exact"/>
        <w:ind w:firstLine="645"/>
        <w:textAlignment w:val="auto"/>
        <w:rPr>
          <w:rFonts w:ascii="仿宋" w:hAnsi="仿宋" w:eastAsia="仿宋"/>
          <w:b/>
          <w:color w:val="FF0000"/>
          <w:sz w:val="32"/>
          <w:szCs w:val="32"/>
        </w:rPr>
      </w:pPr>
      <w:r>
        <w:rPr>
          <w:rFonts w:hint="eastAsia" w:ascii="仿宋" w:hAnsi="仿宋" w:eastAsia="仿宋"/>
          <w:color w:val="000000"/>
          <w:sz w:val="32"/>
          <w:szCs w:val="32"/>
        </w:rPr>
        <w:t>日常公用经费24.48万元，主要包括：办公费、</w:t>
      </w:r>
      <w:r>
        <w:rPr>
          <w:rFonts w:hint="eastAsia" w:ascii="仿宋" w:hAnsi="仿宋" w:eastAsia="仿宋"/>
          <w:color w:val="000000"/>
          <w:sz w:val="32"/>
          <w:szCs w:val="32"/>
          <w:lang w:eastAsia="zh-CN"/>
        </w:rPr>
        <w:t>印刷</w:t>
      </w:r>
      <w:r>
        <w:rPr>
          <w:rFonts w:hint="eastAsia" w:ascii="仿宋" w:hAnsi="仿宋" w:eastAsia="仿宋"/>
          <w:color w:val="000000"/>
          <w:sz w:val="32"/>
          <w:szCs w:val="32"/>
        </w:rPr>
        <w:t>费</w:t>
      </w:r>
      <w:r>
        <w:rPr>
          <w:rFonts w:hint="eastAsia" w:ascii="仿宋" w:hAnsi="仿宋" w:eastAsia="仿宋"/>
          <w:color w:val="000000"/>
          <w:sz w:val="32"/>
          <w:szCs w:val="32"/>
          <w:lang w:eastAsia="zh-CN"/>
        </w:rPr>
        <w:t>、电费、</w:t>
      </w:r>
      <w:r>
        <w:rPr>
          <w:rFonts w:hint="eastAsia" w:ascii="仿宋" w:hAnsi="仿宋" w:eastAsia="仿宋"/>
          <w:color w:val="000000"/>
          <w:sz w:val="32"/>
          <w:szCs w:val="32"/>
          <w:lang w:val="en-US" w:eastAsia="zh-CN"/>
        </w:rPr>
        <w:t>邮电费、</w:t>
      </w:r>
      <w:r>
        <w:rPr>
          <w:rFonts w:hint="eastAsia" w:ascii="仿宋" w:hAnsi="仿宋" w:eastAsia="仿宋"/>
          <w:color w:val="000000"/>
          <w:sz w:val="32"/>
          <w:szCs w:val="32"/>
          <w:lang w:eastAsia="zh-CN"/>
        </w:rPr>
        <w:t>差旅费、</w:t>
      </w:r>
      <w:r>
        <w:rPr>
          <w:rFonts w:hint="eastAsia" w:ascii="仿宋" w:hAnsi="仿宋" w:eastAsia="仿宋"/>
          <w:color w:val="000000"/>
          <w:sz w:val="32"/>
          <w:szCs w:val="32"/>
          <w:lang w:val="en-US" w:eastAsia="zh-CN"/>
        </w:rPr>
        <w:t>维修（护）费、</w:t>
      </w:r>
      <w:r>
        <w:rPr>
          <w:rFonts w:hint="eastAsia" w:ascii="仿宋" w:hAnsi="仿宋" w:eastAsia="仿宋"/>
          <w:color w:val="000000"/>
          <w:sz w:val="32"/>
          <w:szCs w:val="32"/>
          <w:lang w:eastAsia="zh-CN"/>
        </w:rPr>
        <w:t>劳务费、公务用车运行维护费</w:t>
      </w:r>
      <w:r>
        <w:rPr>
          <w:rFonts w:hint="eastAsia" w:ascii="仿宋" w:hAnsi="仿宋" w:eastAsia="仿宋"/>
          <w:color w:val="000000"/>
          <w:sz w:val="32"/>
          <w:szCs w:val="32"/>
        </w:rPr>
        <w:t>。</w:t>
      </w:r>
    </w:p>
    <w:p>
      <w:pPr>
        <w:pageBreakBefore w:val="0"/>
        <w:widowControl w:val="0"/>
        <w:kinsoku/>
        <w:wordWrap/>
        <w:overflowPunct/>
        <w:topLinePunct w:val="0"/>
        <w:bidi w:val="0"/>
        <w:spacing w:line="560" w:lineRule="exact"/>
        <w:ind w:firstLine="640"/>
        <w:textAlignment w:val="auto"/>
        <w:rPr>
          <w:rFonts w:ascii="仿宋" w:hAnsi="仿宋" w:eastAsia="仿宋"/>
          <w:b/>
          <w:color w:val="FF0000"/>
          <w:sz w:val="32"/>
          <w:szCs w:val="32"/>
        </w:rPr>
      </w:pPr>
    </w:p>
    <w:p>
      <w:pPr>
        <w:pageBreakBefore w:val="0"/>
        <w:widowControl w:val="0"/>
        <w:kinsoku/>
        <w:wordWrap/>
        <w:overflowPunct/>
        <w:topLinePunct w:val="0"/>
        <w:bidi w:val="0"/>
        <w:spacing w:line="560" w:lineRule="exact"/>
        <w:ind w:firstLine="640"/>
        <w:textAlignment w:val="auto"/>
        <w:outlineLvl w:val="1"/>
        <w:rPr>
          <w:rStyle w:val="29"/>
          <w:rFonts w:ascii="黑体" w:hAnsi="黑体" w:eastAsia="黑体"/>
          <w:b w:val="0"/>
        </w:rPr>
      </w:pPr>
      <w:bookmarkStart w:id="63" w:name="_Toc79163869"/>
      <w:bookmarkStart w:id="64" w:name="_Toc15396609"/>
      <w:bookmarkStart w:id="65" w:name="_Toc15377215"/>
      <w:bookmarkStart w:id="66" w:name="_Toc79163619"/>
      <w:r>
        <w:rPr>
          <w:rFonts w:hint="eastAsia" w:ascii="黑体" w:eastAsia="黑体"/>
          <w:color w:val="000000"/>
          <w:sz w:val="32"/>
          <w:szCs w:val="32"/>
        </w:rPr>
        <w:t>七、</w:t>
      </w:r>
      <w:r>
        <w:rPr>
          <w:rStyle w:val="29"/>
          <w:rFonts w:hint="eastAsia" w:ascii="黑体" w:hAnsi="黑体" w:eastAsia="黑体"/>
        </w:rPr>
        <w:t>“</w:t>
      </w:r>
      <w:r>
        <w:rPr>
          <w:rStyle w:val="29"/>
          <w:rFonts w:hint="eastAsia" w:ascii="黑体" w:hAnsi="黑体" w:eastAsia="黑体"/>
          <w:b w:val="0"/>
        </w:rPr>
        <w:t>三公”经费财政拨款支出决算情况说明</w:t>
      </w:r>
      <w:bookmarkEnd w:id="63"/>
      <w:bookmarkEnd w:id="64"/>
      <w:bookmarkEnd w:id="65"/>
      <w:bookmarkEnd w:id="66"/>
    </w:p>
    <w:p>
      <w:pPr>
        <w:pageBreakBefore w:val="0"/>
        <w:widowControl w:val="0"/>
        <w:kinsoku/>
        <w:wordWrap/>
        <w:overflowPunct/>
        <w:topLinePunct w:val="0"/>
        <w:bidi w:val="0"/>
        <w:spacing w:line="560" w:lineRule="exact"/>
        <w:ind w:firstLine="640"/>
        <w:textAlignment w:val="auto"/>
        <w:outlineLvl w:val="2"/>
        <w:rPr>
          <w:rFonts w:ascii="仿宋" w:hAnsi="仿宋" w:eastAsia="仿宋"/>
          <w:b/>
          <w:color w:val="000000"/>
          <w:sz w:val="32"/>
          <w:szCs w:val="32"/>
        </w:rPr>
      </w:pPr>
      <w:bookmarkStart w:id="67" w:name="_Toc79163620"/>
      <w:bookmarkStart w:id="68" w:name="_Toc79163870"/>
      <w:bookmarkStart w:id="69" w:name="_Toc15377216"/>
      <w:r>
        <w:rPr>
          <w:rFonts w:hint="eastAsia" w:ascii="仿宋" w:hAnsi="仿宋" w:eastAsia="仿宋"/>
          <w:b/>
          <w:color w:val="000000"/>
          <w:sz w:val="32"/>
          <w:szCs w:val="32"/>
        </w:rPr>
        <w:t>（一）“三公”经费财政拨款支出决算总体情况说明</w:t>
      </w:r>
      <w:bookmarkEnd w:id="67"/>
      <w:bookmarkEnd w:id="68"/>
      <w:bookmarkEnd w:id="69"/>
    </w:p>
    <w:p>
      <w:pPr>
        <w:pageBreakBefore w:val="0"/>
        <w:widowControl w:val="0"/>
        <w:kinsoku/>
        <w:wordWrap/>
        <w:overflowPunct/>
        <w:topLinePunct w:val="0"/>
        <w:bidi w:val="0"/>
        <w:spacing w:line="560" w:lineRule="exact"/>
        <w:ind w:firstLine="640"/>
        <w:textAlignment w:val="auto"/>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rPr>
        <w:t>1年“三公”经费财政拨款支出决算为9.07万元，完成预算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，决算数或与预算数持平的主要原因是</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按照预算数执行</w:t>
      </w:r>
      <w:r>
        <w:rPr>
          <w:rFonts w:hint="eastAsia" w:ascii="仿宋" w:hAnsi="仿宋" w:eastAsia="仿宋"/>
          <w:color w:val="000000"/>
          <w:sz w:val="32"/>
          <w:szCs w:val="32"/>
        </w:rPr>
        <w:t>。</w:t>
      </w:r>
    </w:p>
    <w:p>
      <w:pPr>
        <w:pageBreakBefore w:val="0"/>
        <w:widowControl w:val="0"/>
        <w:kinsoku/>
        <w:wordWrap/>
        <w:overflowPunct/>
        <w:topLinePunct w:val="0"/>
        <w:bidi w:val="0"/>
        <w:spacing w:line="560" w:lineRule="exact"/>
        <w:ind w:firstLine="640"/>
        <w:textAlignment w:val="auto"/>
        <w:outlineLvl w:val="2"/>
        <w:rPr>
          <w:rFonts w:ascii="仿宋" w:hAnsi="仿宋" w:eastAsia="仿宋"/>
          <w:b/>
          <w:color w:val="000000"/>
          <w:sz w:val="32"/>
          <w:szCs w:val="32"/>
        </w:rPr>
      </w:pPr>
      <w:bookmarkStart w:id="70" w:name="_Toc79163621"/>
      <w:bookmarkStart w:id="71" w:name="_Toc15377217"/>
      <w:bookmarkStart w:id="72" w:name="_Toc79163871"/>
      <w:r>
        <w:rPr>
          <w:rFonts w:hint="eastAsia" w:ascii="仿宋" w:hAnsi="仿宋" w:eastAsia="仿宋"/>
          <w:b/>
          <w:color w:val="000000"/>
          <w:sz w:val="32"/>
          <w:szCs w:val="32"/>
        </w:rPr>
        <w:t>（二）“三公”经费财政拨款支出决算具体情况说明</w:t>
      </w:r>
      <w:bookmarkEnd w:id="70"/>
      <w:bookmarkEnd w:id="71"/>
      <w:bookmarkEnd w:id="72"/>
    </w:p>
    <w:p>
      <w:pPr>
        <w:pageBreakBefore w:val="0"/>
        <w:widowControl w:val="0"/>
        <w:kinsoku/>
        <w:wordWrap/>
        <w:overflowPunct/>
        <w:topLinePunct w:val="0"/>
        <w:bidi w:val="0"/>
        <w:spacing w:line="560" w:lineRule="exact"/>
        <w:ind w:firstLine="640"/>
        <w:textAlignment w:val="auto"/>
        <w:rPr>
          <w:rFonts w:hint="eastAsia" w:ascii="仿宋" w:hAnsi="仿宋" w:eastAsia="仿宋"/>
          <w:color w:val="000000"/>
          <w:sz w:val="32"/>
          <w:szCs w:val="32"/>
          <w:lang w:val="en-US" w:eastAsia="zh-CN"/>
        </w:rPr>
      </w:pPr>
      <w:r>
        <w:rPr>
          <w:rFonts w:ascii="仿宋" w:hAnsi="仿宋" w:eastAsia="仿宋"/>
          <w:color w:val="000000"/>
          <w:sz w:val="32"/>
          <w:szCs w:val="32"/>
        </w:rPr>
        <w:t>202</w:t>
      </w:r>
      <w:r>
        <w:rPr>
          <w:rFonts w:hint="eastAsia" w:ascii="仿宋" w:hAnsi="仿宋" w:eastAsia="仿宋"/>
          <w:color w:val="000000"/>
          <w:sz w:val="32"/>
          <w:szCs w:val="32"/>
        </w:rPr>
        <w:t>1年“三公”经费财政拨款支出决算中，因公出国（境）费支出决算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；公务用车购置及运行维护费支出决算9.07万元，占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olor w:val="000000"/>
          <w:sz w:val="32"/>
          <w:szCs w:val="32"/>
          <w:lang w:val="en-US" w:eastAsia="zh-CN"/>
        </w:rPr>
        <w:t>具体情况如下：</w:t>
      </w:r>
    </w:p>
    <w:p>
      <w:pPr>
        <w:pStyle w:val="2"/>
        <w:rPr>
          <w:rFonts w:hint="default"/>
          <w:lang w:val="en-US" w:eastAsia="zh-CN"/>
        </w:rPr>
      </w:pPr>
      <w:r>
        <w:rPr>
          <w:rFonts w:hint="default"/>
          <w:lang w:val="en-US" w:eastAsia="zh-CN"/>
        </w:rPr>
        <w:drawing>
          <wp:inline distT="0" distB="0" distL="114300" distR="114300">
            <wp:extent cx="4623435" cy="2080895"/>
            <wp:effectExtent l="4445" t="4445" r="7620" b="10160"/>
            <wp:docPr id="134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pPr>
        <w:pStyle w:val="2"/>
        <w:rPr>
          <w:rFonts w:hint="default"/>
          <w:lang w:val="en-US" w:eastAsia="zh-CN"/>
        </w:rPr>
      </w:pPr>
      <w:r>
        <w:rPr>
          <w:rFonts w:hint="eastAsia" w:ascii="仿宋" w:hAnsi="仿宋" w:eastAsia="仿宋"/>
          <w:color w:val="000000"/>
          <w:sz w:val="32"/>
          <w:szCs w:val="32"/>
        </w:rPr>
        <w:t>（图</w:t>
      </w:r>
      <w:r>
        <w:rPr>
          <w:rFonts w:ascii="仿宋" w:hAnsi="仿宋" w:eastAsia="仿宋"/>
          <w:color w:val="000000"/>
          <w:sz w:val="32"/>
          <w:szCs w:val="32"/>
        </w:rPr>
        <w:t>7</w:t>
      </w:r>
      <w:r>
        <w:rPr>
          <w:rFonts w:hint="eastAsia" w:ascii="仿宋" w:hAnsi="仿宋" w:eastAsia="仿宋"/>
          <w:color w:val="000000"/>
          <w:sz w:val="32"/>
          <w:szCs w:val="32"/>
        </w:rPr>
        <w:t>：“三公”经费财政拨款支出结构）（饼状图）</w:t>
      </w:r>
    </w:p>
    <w:p>
      <w:pPr>
        <w:pageBreakBefore w:val="0"/>
        <w:widowControl w:val="0"/>
        <w:kinsoku/>
        <w:wordWrap/>
        <w:overflowPunct/>
        <w:topLinePunct w:val="0"/>
        <w:bidi w:val="0"/>
        <w:spacing w:line="560" w:lineRule="exact"/>
        <w:ind w:firstLine="640"/>
        <w:textAlignment w:val="auto"/>
        <w:rPr>
          <w:rFonts w:ascii="仿宋_GB2312" w:eastAsia="仿宋_GB2312"/>
          <w:b/>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24"/>
          <w:rFonts w:hint="eastAsia" w:ascii="仿宋" w:hAnsi="仿宋" w:eastAsia="仿宋"/>
          <w:b w:val="0"/>
          <w:bCs/>
          <w:color w:val="000000"/>
          <w:sz w:val="32"/>
          <w:szCs w:val="32"/>
        </w:rPr>
        <w:t>完成预算</w:t>
      </w:r>
      <w:r>
        <w:rPr>
          <w:rStyle w:val="24"/>
          <w:rFonts w:hint="eastAsia" w:ascii="仿宋" w:hAnsi="仿宋" w:eastAsia="仿宋"/>
          <w:b w:val="0"/>
          <w:bCs/>
          <w:color w:val="000000"/>
          <w:sz w:val="32"/>
          <w:szCs w:val="32"/>
          <w:lang w:val="en-US" w:eastAsia="zh-CN"/>
        </w:rPr>
        <w:t>100</w:t>
      </w:r>
      <w:r>
        <w:rPr>
          <w:rStyle w:val="24"/>
          <w:rFonts w:ascii="仿宋" w:hAnsi="仿宋" w:eastAsia="仿宋"/>
          <w:b w:val="0"/>
          <w:bCs/>
          <w:color w:val="000000"/>
          <w:sz w:val="32"/>
          <w:szCs w:val="32"/>
        </w:rPr>
        <w:t>%</w:t>
      </w:r>
      <w:r>
        <w:rPr>
          <w:rStyle w:val="24"/>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人。因公出国（境）支出决算比</w:t>
      </w:r>
      <w:r>
        <w:rPr>
          <w:rFonts w:ascii="仿宋_GB2312" w:eastAsia="仿宋_GB2312"/>
          <w:color w:val="000000"/>
          <w:sz w:val="32"/>
          <w:szCs w:val="32"/>
        </w:rPr>
        <w:t>20</w:t>
      </w:r>
      <w:r>
        <w:rPr>
          <w:rFonts w:hint="eastAsia" w:ascii="仿宋_GB2312" w:eastAsia="仿宋_GB2312"/>
          <w:color w:val="000000"/>
          <w:sz w:val="32"/>
          <w:szCs w:val="32"/>
        </w:rPr>
        <w:t>20年增加</w:t>
      </w:r>
      <w:r>
        <w:rPr>
          <w:rFonts w:ascii="仿宋_GB2312" w:eastAsia="仿宋_GB2312"/>
          <w:color w:val="000000"/>
          <w:sz w:val="32"/>
          <w:szCs w:val="32"/>
        </w:rPr>
        <w:t>/</w:t>
      </w:r>
      <w:r>
        <w:rPr>
          <w:rFonts w:hint="eastAsia" w:ascii="仿宋_GB2312" w:eastAsia="仿宋_GB2312"/>
          <w:color w:val="000000"/>
          <w:sz w:val="32"/>
          <w:szCs w:val="32"/>
        </w:rPr>
        <w:t>减少</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万元，增长</w:t>
      </w:r>
      <w:r>
        <w:rPr>
          <w:rFonts w:ascii="仿宋_GB2312" w:eastAsia="仿宋_GB2312"/>
          <w:color w:val="000000"/>
          <w:sz w:val="32"/>
          <w:szCs w:val="32"/>
        </w:rPr>
        <w:t>/</w:t>
      </w:r>
      <w:r>
        <w:rPr>
          <w:rFonts w:hint="eastAsia" w:ascii="仿宋_GB2312" w:eastAsia="仿宋_GB2312"/>
          <w:color w:val="000000"/>
          <w:sz w:val="32"/>
          <w:szCs w:val="32"/>
        </w:rPr>
        <w:t>下降</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val="en-US" w:eastAsia="zh-CN"/>
        </w:rPr>
        <w:t>2020年与2021年均无因公出国（境）经费支出</w:t>
      </w:r>
      <w:r>
        <w:rPr>
          <w:rFonts w:hint="eastAsia" w:ascii="仿宋_GB2312" w:eastAsia="仿宋_GB2312"/>
          <w:color w:val="000000"/>
          <w:sz w:val="32"/>
          <w:szCs w:val="32"/>
        </w:rPr>
        <w:t>。</w:t>
      </w:r>
    </w:p>
    <w:p>
      <w:pPr>
        <w:pageBreakBefore w:val="0"/>
        <w:widowControl w:val="0"/>
        <w:kinsoku/>
        <w:wordWrap/>
        <w:overflowPunct/>
        <w:topLinePunct w:val="0"/>
        <w:bidi w:val="0"/>
        <w:spacing w:line="560" w:lineRule="exact"/>
        <w:ind w:firstLine="640"/>
        <w:textAlignment w:val="auto"/>
        <w:rPr>
          <w:rFonts w:ascii="仿宋_GB2312" w:eastAsia="仿宋_GB2312"/>
          <w:color w:val="000000"/>
          <w:sz w:val="32"/>
          <w:szCs w:val="32"/>
        </w:rPr>
      </w:pPr>
      <w:r>
        <w:rPr>
          <w:rFonts w:hint="eastAsia" w:ascii="仿宋_GB2312" w:eastAsia="仿宋_GB2312"/>
          <w:color w:val="000000"/>
          <w:sz w:val="32"/>
          <w:szCs w:val="32"/>
        </w:rPr>
        <w:t>开支内容包括：</w:t>
      </w:r>
      <w:r>
        <w:rPr>
          <w:rFonts w:hint="eastAsia" w:ascii="仿宋_GB2312" w:eastAsia="仿宋_GB2312"/>
          <w:color w:val="000000"/>
          <w:sz w:val="32"/>
          <w:szCs w:val="32"/>
          <w:lang w:val="en-US" w:eastAsia="zh-CN"/>
        </w:rPr>
        <w:t>无</w:t>
      </w:r>
      <w:r>
        <w:rPr>
          <w:rFonts w:hint="eastAsia" w:ascii="仿宋_GB2312" w:eastAsia="仿宋_GB2312"/>
          <w:color w:val="000000"/>
          <w:sz w:val="32"/>
          <w:szCs w:val="32"/>
        </w:rPr>
        <w:t>（团组名称、出访地点、取得成效）等。</w:t>
      </w:r>
    </w:p>
    <w:p>
      <w:pPr>
        <w:pageBreakBefore w:val="0"/>
        <w:widowControl w:val="0"/>
        <w:kinsoku/>
        <w:wordWrap/>
        <w:overflowPunct/>
        <w:topLinePunct w:val="0"/>
        <w:bidi w:val="0"/>
        <w:spacing w:line="560" w:lineRule="exact"/>
        <w:ind w:firstLine="640"/>
        <w:textAlignment w:val="auto"/>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公务用车购置及运行维护费支出9.07</w:t>
      </w:r>
      <w:r>
        <w:rPr>
          <w:rFonts w:hint="eastAsia" w:ascii="仿宋_GB2312" w:eastAsia="仿宋_GB2312"/>
          <w:color w:val="000000"/>
          <w:sz w:val="32"/>
          <w:szCs w:val="32"/>
        </w:rPr>
        <w:t>万元</w:t>
      </w:r>
      <w:r>
        <w:rPr>
          <w:rFonts w:ascii="仿宋_GB2312" w:eastAsia="仿宋_GB2312"/>
          <w:color w:val="000000"/>
          <w:sz w:val="32"/>
          <w:szCs w:val="32"/>
        </w:rPr>
        <w:t>,</w:t>
      </w:r>
      <w:r>
        <w:rPr>
          <w:rStyle w:val="24"/>
          <w:rFonts w:hint="eastAsia" w:ascii="仿宋" w:hAnsi="仿宋" w:eastAsia="仿宋"/>
          <w:b w:val="0"/>
          <w:bCs/>
          <w:color w:val="000000"/>
          <w:sz w:val="32"/>
          <w:szCs w:val="32"/>
        </w:rPr>
        <w:t>完成预算</w:t>
      </w:r>
      <w:r>
        <w:rPr>
          <w:rStyle w:val="24"/>
          <w:rFonts w:hint="eastAsia" w:ascii="仿宋" w:hAnsi="仿宋" w:eastAsia="仿宋"/>
          <w:b w:val="0"/>
          <w:bCs/>
          <w:color w:val="000000"/>
          <w:sz w:val="32"/>
          <w:szCs w:val="32"/>
          <w:lang w:val="en-US" w:eastAsia="zh-CN"/>
        </w:rPr>
        <w:t>100</w:t>
      </w:r>
      <w:r>
        <w:rPr>
          <w:rStyle w:val="24"/>
          <w:rFonts w:ascii="仿宋" w:hAnsi="仿宋" w:eastAsia="仿宋"/>
          <w:b w:val="0"/>
          <w:bCs/>
          <w:color w:val="000000"/>
          <w:sz w:val="32"/>
          <w:szCs w:val="32"/>
        </w:rPr>
        <w:t>%</w:t>
      </w:r>
      <w:r>
        <w:rPr>
          <w:rStyle w:val="24"/>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w:t>
      </w:r>
      <w:r>
        <w:rPr>
          <w:rFonts w:hint="eastAsia" w:ascii="仿宋_GB2312" w:eastAsia="仿宋_GB2312"/>
          <w:color w:val="000000"/>
          <w:sz w:val="32"/>
          <w:szCs w:val="32"/>
        </w:rPr>
        <w:t>20年增加3.03万元，增长50.07</w:t>
      </w:r>
      <w:r>
        <w:rPr>
          <w:rFonts w:hint="eastAsia" w:ascii="仿宋_GB2312" w:eastAsia="仿宋_GB2312"/>
          <w:color w:val="000000"/>
          <w:sz w:val="32"/>
          <w:szCs w:val="32"/>
          <w:lang w:val="en-US" w:eastAsia="zh-CN"/>
        </w:rPr>
        <w:t>%</w:t>
      </w:r>
      <w:r>
        <w:rPr>
          <w:rFonts w:hint="eastAsia" w:ascii="仿宋_GB2312" w:eastAsia="仿宋_GB2312"/>
          <w:color w:val="000000"/>
          <w:sz w:val="32"/>
          <w:szCs w:val="32"/>
        </w:rPr>
        <w:t>。主要原因是本年人员增加</w:t>
      </w:r>
      <w:r>
        <w:rPr>
          <w:rFonts w:hint="eastAsia" w:ascii="仿宋_GB2312" w:eastAsia="仿宋_GB2312"/>
          <w:color w:val="000000"/>
          <w:sz w:val="32"/>
          <w:szCs w:val="32"/>
          <w:lang w:eastAsia="zh-CN"/>
        </w:rPr>
        <w:t>，</w:t>
      </w:r>
      <w:r>
        <w:rPr>
          <w:rFonts w:hint="eastAsia" w:ascii="仿宋_GB2312" w:eastAsia="仿宋_GB2312"/>
          <w:color w:val="000000"/>
          <w:sz w:val="32"/>
          <w:szCs w:val="32"/>
        </w:rPr>
        <w:t>业务活动增加。</w:t>
      </w:r>
    </w:p>
    <w:p>
      <w:pPr>
        <w:pageBreakBefore w:val="0"/>
        <w:widowControl w:val="0"/>
        <w:kinsoku/>
        <w:wordWrap/>
        <w:overflowPunct/>
        <w:topLinePunct w:val="0"/>
        <w:bidi w:val="0"/>
        <w:spacing w:line="560" w:lineRule="exact"/>
        <w:ind w:firstLine="640" w:firstLineChars="200"/>
        <w:textAlignment w:val="auto"/>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b/>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万元，越野车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万元，载客汽车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r>
        <w:rPr>
          <w:rFonts w:hint="eastAsia" w:ascii="仿宋_GB2312" w:eastAsia="仿宋_GB2312"/>
          <w:color w:val="000000"/>
          <w:sz w:val="32"/>
          <w:szCs w:val="32"/>
        </w:rPr>
        <w:t>截至</w:t>
      </w:r>
      <w:r>
        <w:rPr>
          <w:rFonts w:ascii="仿宋_GB2312" w:eastAsia="仿宋_GB2312"/>
          <w:color w:val="000000"/>
          <w:sz w:val="32"/>
          <w:szCs w:val="32"/>
        </w:rPr>
        <w:t>202</w:t>
      </w:r>
      <w:r>
        <w:rPr>
          <w:rFonts w:hint="eastAsia" w:ascii="仿宋_GB2312" w:eastAsia="仿宋_GB2312"/>
          <w:color w:val="000000"/>
          <w:sz w:val="32"/>
          <w:szCs w:val="32"/>
        </w:rPr>
        <w:t>1年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辆、越野车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辆、载客汽车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其他用车1辆</w:t>
      </w:r>
      <w:r>
        <w:rPr>
          <w:rFonts w:hint="eastAsia" w:ascii="仿宋_GB2312" w:eastAsia="仿宋_GB2312"/>
          <w:color w:val="000000"/>
          <w:sz w:val="32"/>
          <w:szCs w:val="32"/>
        </w:rPr>
        <w:t>。</w:t>
      </w:r>
    </w:p>
    <w:p>
      <w:pPr>
        <w:pageBreakBefore w:val="0"/>
        <w:widowControl w:val="0"/>
        <w:kinsoku/>
        <w:wordWrap/>
        <w:overflowPunct/>
        <w:topLinePunct w:val="0"/>
        <w:bidi w:val="0"/>
        <w:spacing w:line="560" w:lineRule="exact"/>
        <w:ind w:firstLine="640"/>
        <w:textAlignment w:val="auto"/>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9.07</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主要用于车辆日常所需的维修费、过路费、保险费等支出</w:t>
      </w:r>
      <w:r>
        <w:rPr>
          <w:rFonts w:hint="eastAsia" w:ascii="仿宋_GB2312" w:eastAsia="仿宋_GB2312"/>
          <w:color w:val="000000"/>
          <w:sz w:val="32"/>
          <w:szCs w:val="32"/>
        </w:rPr>
        <w:t>。</w:t>
      </w:r>
    </w:p>
    <w:p>
      <w:pPr>
        <w:pageBreakBefore w:val="0"/>
        <w:widowControl w:val="0"/>
        <w:kinsoku/>
        <w:wordWrap/>
        <w:overflowPunct/>
        <w:topLinePunct w:val="0"/>
        <w:bidi w:val="0"/>
        <w:spacing w:line="560" w:lineRule="exact"/>
        <w:ind w:firstLine="640"/>
        <w:textAlignment w:val="auto"/>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24"/>
          <w:rFonts w:hint="eastAsia" w:ascii="仿宋" w:hAnsi="仿宋" w:eastAsia="仿宋"/>
          <w:b w:val="0"/>
          <w:bCs/>
          <w:color w:val="000000"/>
          <w:sz w:val="32"/>
          <w:szCs w:val="32"/>
        </w:rPr>
        <w:t>完成预算</w:t>
      </w:r>
      <w:r>
        <w:rPr>
          <w:rStyle w:val="24"/>
          <w:rFonts w:hint="eastAsia" w:ascii="仿宋" w:hAnsi="仿宋" w:eastAsia="仿宋"/>
          <w:b w:val="0"/>
          <w:bCs/>
          <w:color w:val="000000"/>
          <w:sz w:val="32"/>
          <w:szCs w:val="32"/>
          <w:lang w:val="en-US" w:eastAsia="zh-CN"/>
        </w:rPr>
        <w:t>100</w:t>
      </w:r>
      <w:r>
        <w:rPr>
          <w:rStyle w:val="24"/>
          <w:rFonts w:ascii="仿宋" w:hAnsi="仿宋" w:eastAsia="仿宋"/>
          <w:b w:val="0"/>
          <w:bCs/>
          <w:color w:val="000000"/>
          <w:sz w:val="32"/>
          <w:szCs w:val="32"/>
        </w:rPr>
        <w:t>%</w:t>
      </w:r>
      <w:r>
        <w:rPr>
          <w:rStyle w:val="24"/>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w:t>
      </w:r>
      <w:r>
        <w:rPr>
          <w:rFonts w:hint="eastAsia" w:ascii="仿宋_GB2312" w:eastAsia="仿宋_GB2312"/>
          <w:color w:val="000000"/>
          <w:sz w:val="32"/>
          <w:szCs w:val="32"/>
        </w:rPr>
        <w:t>20年增加</w:t>
      </w:r>
      <w:r>
        <w:rPr>
          <w:rFonts w:ascii="仿宋_GB2312" w:eastAsia="仿宋_GB2312"/>
          <w:color w:val="000000"/>
          <w:sz w:val="32"/>
          <w:szCs w:val="32"/>
        </w:rPr>
        <w:t>/</w:t>
      </w:r>
      <w:r>
        <w:rPr>
          <w:rFonts w:hint="eastAsia" w:ascii="仿宋_GB2312" w:eastAsia="仿宋_GB2312"/>
          <w:color w:val="000000"/>
          <w:sz w:val="32"/>
          <w:szCs w:val="32"/>
        </w:rPr>
        <w:t>减少</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万元，增长</w:t>
      </w:r>
      <w:r>
        <w:rPr>
          <w:rFonts w:ascii="仿宋_GB2312" w:eastAsia="仿宋_GB2312"/>
          <w:color w:val="000000"/>
          <w:sz w:val="32"/>
          <w:szCs w:val="32"/>
        </w:rPr>
        <w:t>/</w:t>
      </w:r>
      <w:r>
        <w:rPr>
          <w:rFonts w:hint="eastAsia" w:ascii="仿宋_GB2312" w:eastAsia="仿宋_GB2312"/>
          <w:color w:val="000000"/>
          <w:sz w:val="32"/>
          <w:szCs w:val="32"/>
        </w:rPr>
        <w:t>下降</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val="en-US" w:eastAsia="zh-CN"/>
        </w:rPr>
        <w:t>2020年与2021年均无公务接待费支出</w:t>
      </w:r>
      <w:r>
        <w:rPr>
          <w:rFonts w:hint="eastAsia" w:ascii="仿宋_GB2312" w:eastAsia="仿宋_GB2312"/>
          <w:color w:val="000000"/>
          <w:sz w:val="32"/>
          <w:szCs w:val="32"/>
        </w:rPr>
        <w:t>。其中：</w:t>
      </w:r>
    </w:p>
    <w:p>
      <w:pPr>
        <w:pageBreakBefore w:val="0"/>
        <w:widowControl w:val="0"/>
        <w:kinsoku/>
        <w:wordWrap/>
        <w:overflowPunct/>
        <w:topLinePunct w:val="0"/>
        <w:bidi w:val="0"/>
        <w:spacing w:line="560" w:lineRule="exact"/>
        <w:ind w:firstLine="640"/>
        <w:textAlignment w:val="auto"/>
        <w:rPr>
          <w:rFonts w:ascii="仿宋_GB2312" w:eastAsia="仿宋_GB2312"/>
          <w:color w:val="000000"/>
          <w:sz w:val="32"/>
          <w:szCs w:val="32"/>
        </w:rPr>
      </w:pPr>
      <w:r>
        <w:rPr>
          <w:rFonts w:hint="eastAsia" w:ascii="仿宋" w:hAnsi="仿宋" w:eastAsia="仿宋"/>
          <w:b/>
          <w:color w:val="000000"/>
          <w:sz w:val="32"/>
          <w:szCs w:val="32"/>
        </w:rPr>
        <w:t>国内公务接待支出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万元。国内公务接待</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人次（不包括陪同人员），共计支出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pageBreakBefore w:val="0"/>
        <w:widowControl w:val="0"/>
        <w:kinsoku/>
        <w:wordWrap/>
        <w:overflowPunct/>
        <w:topLinePunct w:val="0"/>
        <w:bidi w:val="0"/>
        <w:spacing w:line="560" w:lineRule="exact"/>
        <w:ind w:firstLine="642" w:firstLineChars="200"/>
        <w:textAlignment w:val="auto"/>
        <w:rPr>
          <w:rFonts w:ascii="仿宋_GB2312" w:eastAsia="仿宋_GB2312"/>
          <w:color w:val="000000"/>
          <w:sz w:val="32"/>
          <w:szCs w:val="32"/>
        </w:rPr>
      </w:pPr>
      <w:r>
        <w:rPr>
          <w:rFonts w:hint="eastAsia" w:ascii="仿宋" w:hAnsi="仿宋" w:eastAsia="仿宋"/>
          <w:b/>
          <w:color w:val="000000"/>
          <w:sz w:val="32"/>
          <w:szCs w:val="32"/>
        </w:rPr>
        <w:t>外事接待支出</w:t>
      </w:r>
      <w:r>
        <w:rPr>
          <w:rFonts w:hint="eastAsia" w:ascii="仿宋" w:hAnsi="仿宋" w:eastAsia="仿宋"/>
          <w:b/>
          <w:color w:val="000000"/>
          <w:sz w:val="32"/>
          <w:szCs w:val="32"/>
          <w:lang w:val="en-US" w:eastAsia="zh-CN"/>
        </w:rPr>
        <w:t>0</w:t>
      </w:r>
      <w:r>
        <w:rPr>
          <w:rFonts w:hint="eastAsia" w:ascii="仿宋_GB2312" w:eastAsia="仿宋_GB2312"/>
          <w:color w:val="000000"/>
          <w:sz w:val="32"/>
          <w:szCs w:val="32"/>
        </w:rPr>
        <w:t>万元，外事接待</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人，共计支出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pageBreakBefore w:val="0"/>
        <w:widowControl w:val="0"/>
        <w:kinsoku/>
        <w:wordWrap/>
        <w:overflowPunct/>
        <w:topLinePunct w:val="0"/>
        <w:bidi w:val="0"/>
        <w:spacing w:line="560" w:lineRule="exact"/>
        <w:ind w:firstLine="640" w:firstLineChars="200"/>
        <w:textAlignment w:val="auto"/>
        <w:rPr>
          <w:rFonts w:ascii="仿宋_GB2312" w:eastAsia="仿宋_GB2312"/>
          <w:color w:val="000000"/>
          <w:sz w:val="32"/>
          <w:szCs w:val="32"/>
        </w:rPr>
      </w:pPr>
    </w:p>
    <w:p>
      <w:pPr>
        <w:pageBreakBefore w:val="0"/>
        <w:widowControl w:val="0"/>
        <w:kinsoku/>
        <w:wordWrap/>
        <w:overflowPunct/>
        <w:topLinePunct w:val="0"/>
        <w:bidi w:val="0"/>
        <w:spacing w:line="560" w:lineRule="exact"/>
        <w:ind w:firstLine="640"/>
        <w:textAlignment w:val="auto"/>
        <w:outlineLvl w:val="1"/>
        <w:rPr>
          <w:rStyle w:val="29"/>
          <w:rFonts w:ascii="黑体" w:hAnsi="黑体" w:eastAsia="黑体"/>
        </w:rPr>
      </w:pPr>
      <w:bookmarkStart w:id="73" w:name="_Toc79163622"/>
      <w:bookmarkStart w:id="74" w:name="_Toc15396610"/>
      <w:bookmarkStart w:id="75" w:name="_Toc79163872"/>
      <w:bookmarkStart w:id="76" w:name="_Toc15377218"/>
      <w:r>
        <w:rPr>
          <w:rFonts w:hint="eastAsia" w:ascii="黑体" w:eastAsia="黑体"/>
          <w:color w:val="000000"/>
          <w:sz w:val="32"/>
          <w:szCs w:val="32"/>
        </w:rPr>
        <w:t>八、</w:t>
      </w:r>
      <w:r>
        <w:rPr>
          <w:rStyle w:val="29"/>
          <w:rFonts w:hint="eastAsia" w:ascii="黑体" w:hAnsi="黑体" w:eastAsia="黑体"/>
          <w:b w:val="0"/>
        </w:rPr>
        <w:t>政府性基金预算支出决算情况说明</w:t>
      </w:r>
      <w:bookmarkEnd w:id="73"/>
      <w:bookmarkEnd w:id="74"/>
      <w:bookmarkEnd w:id="75"/>
      <w:bookmarkEnd w:id="76"/>
    </w:p>
    <w:p>
      <w:pPr>
        <w:pageBreakBefore w:val="0"/>
        <w:widowControl w:val="0"/>
        <w:kinsoku/>
        <w:wordWrap/>
        <w:overflowPunct/>
        <w:topLinePunct w:val="0"/>
        <w:bidi w:val="0"/>
        <w:spacing w:line="560" w:lineRule="exact"/>
        <w:ind w:firstLine="640"/>
        <w:textAlignment w:val="auto"/>
        <w:rPr>
          <w:rFonts w:ascii="仿宋_GB2312" w:eastAsia="仿宋_GB2312"/>
          <w:color w:val="000000"/>
          <w:sz w:val="32"/>
          <w:szCs w:val="32"/>
        </w:rPr>
      </w:pPr>
      <w:r>
        <w:rPr>
          <w:rFonts w:ascii="仿宋_GB2312" w:eastAsia="仿宋_GB2312"/>
          <w:color w:val="000000"/>
          <w:sz w:val="32"/>
          <w:szCs w:val="32"/>
        </w:rPr>
        <w:t>202</w:t>
      </w:r>
      <w:r>
        <w:rPr>
          <w:rFonts w:hint="eastAsia" w:ascii="仿宋_GB2312" w:eastAsia="仿宋_GB2312"/>
          <w:color w:val="000000"/>
          <w:sz w:val="32"/>
          <w:szCs w:val="32"/>
        </w:rPr>
        <w:t>1年政府性基金预算拨款支出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pageBreakBefore w:val="0"/>
        <w:widowControl w:val="0"/>
        <w:kinsoku/>
        <w:wordWrap/>
        <w:overflowPunct/>
        <w:topLinePunct w:val="0"/>
        <w:bidi w:val="0"/>
        <w:spacing w:line="560" w:lineRule="exact"/>
        <w:ind w:firstLine="640"/>
        <w:textAlignment w:val="auto"/>
        <w:rPr>
          <w:rFonts w:ascii="仿宋_GB2312" w:eastAsia="仿宋_GB2312"/>
          <w:color w:val="000000"/>
          <w:sz w:val="32"/>
          <w:szCs w:val="32"/>
        </w:rPr>
      </w:pPr>
    </w:p>
    <w:p>
      <w:pPr>
        <w:pageBreakBefore w:val="0"/>
        <w:widowControl w:val="0"/>
        <w:numPr>
          <w:ilvl w:val="0"/>
          <w:numId w:val="2"/>
        </w:numPr>
        <w:kinsoku/>
        <w:wordWrap/>
        <w:overflowPunct/>
        <w:topLinePunct w:val="0"/>
        <w:bidi w:val="0"/>
        <w:spacing w:line="560" w:lineRule="exact"/>
        <w:ind w:firstLine="640"/>
        <w:textAlignment w:val="auto"/>
        <w:outlineLvl w:val="1"/>
        <w:rPr>
          <w:rStyle w:val="29"/>
          <w:rFonts w:ascii="黑体" w:hAnsi="黑体" w:eastAsia="黑体"/>
          <w:b w:val="0"/>
        </w:rPr>
      </w:pPr>
      <w:bookmarkStart w:id="77" w:name="_Toc79163873"/>
      <w:bookmarkStart w:id="78" w:name="_Toc79163623"/>
      <w:bookmarkStart w:id="79" w:name="_Toc15396611"/>
      <w:bookmarkStart w:id="80" w:name="_Toc15377219"/>
      <w:r>
        <w:rPr>
          <w:rStyle w:val="29"/>
          <w:rFonts w:hint="eastAsia" w:ascii="黑体" w:hAnsi="黑体" w:eastAsia="黑体"/>
          <w:b w:val="0"/>
        </w:rPr>
        <w:t>国有资本经营预算支出决算情况说明</w:t>
      </w:r>
      <w:bookmarkEnd w:id="77"/>
      <w:bookmarkEnd w:id="78"/>
      <w:bookmarkEnd w:id="79"/>
      <w:bookmarkEnd w:id="80"/>
    </w:p>
    <w:p>
      <w:pPr>
        <w:pageBreakBefore w:val="0"/>
        <w:widowControl w:val="0"/>
        <w:kinsoku/>
        <w:wordWrap/>
        <w:overflowPunct/>
        <w:topLinePunct w:val="0"/>
        <w:bidi w:val="0"/>
        <w:spacing w:line="560" w:lineRule="exact"/>
        <w:ind w:firstLine="640"/>
        <w:textAlignment w:val="auto"/>
        <w:rPr>
          <w:rFonts w:ascii="仿宋_GB2312" w:eastAsia="仿宋_GB2312"/>
          <w:color w:val="000000"/>
          <w:sz w:val="32"/>
          <w:szCs w:val="32"/>
        </w:rPr>
      </w:pPr>
      <w:r>
        <w:rPr>
          <w:rFonts w:ascii="仿宋_GB2312" w:eastAsia="仿宋_GB2312"/>
          <w:color w:val="000000"/>
          <w:sz w:val="32"/>
          <w:szCs w:val="32"/>
        </w:rPr>
        <w:t>202</w:t>
      </w:r>
      <w:r>
        <w:rPr>
          <w:rFonts w:hint="eastAsia" w:ascii="仿宋_GB2312" w:eastAsia="仿宋_GB2312"/>
          <w:color w:val="000000"/>
          <w:sz w:val="32"/>
          <w:szCs w:val="32"/>
        </w:rPr>
        <w:t>1年国有资本经营预算拨款支出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pageBreakBefore w:val="0"/>
        <w:widowControl w:val="0"/>
        <w:kinsoku/>
        <w:wordWrap/>
        <w:overflowPunct/>
        <w:topLinePunct w:val="0"/>
        <w:bidi w:val="0"/>
        <w:spacing w:line="560" w:lineRule="exact"/>
        <w:jc w:val="center"/>
        <w:textAlignment w:val="auto"/>
        <w:rPr>
          <w:rFonts w:ascii="方正小标宋简体" w:hAnsi="方正小标宋简体" w:eastAsia="方正小标宋简体" w:cs="方正小标宋简体"/>
          <w:sz w:val="44"/>
          <w:szCs w:val="44"/>
        </w:rPr>
      </w:pPr>
    </w:p>
    <w:p>
      <w:pPr>
        <w:pageBreakBefore w:val="0"/>
        <w:widowControl w:val="0"/>
        <w:kinsoku/>
        <w:wordWrap/>
        <w:overflowPunct/>
        <w:topLinePunct w:val="0"/>
        <w:bidi w:val="0"/>
        <w:spacing w:line="560" w:lineRule="exact"/>
        <w:ind w:firstLine="800" w:firstLineChars="250"/>
        <w:textAlignment w:val="auto"/>
        <w:outlineLvl w:val="1"/>
        <w:rPr>
          <w:rStyle w:val="29"/>
          <w:rFonts w:ascii="黑体" w:hAnsi="黑体" w:eastAsia="黑体"/>
        </w:rPr>
      </w:pPr>
      <w:bookmarkStart w:id="81" w:name="_Toc79163874"/>
      <w:bookmarkStart w:id="82" w:name="_Toc15377221"/>
      <w:bookmarkStart w:id="83" w:name="_Toc79163624"/>
      <w:bookmarkStart w:id="84" w:name="_Toc15396612"/>
      <w:r>
        <w:rPr>
          <w:rFonts w:hint="eastAsia" w:ascii="黑体" w:hAnsi="黑体" w:eastAsia="黑体"/>
          <w:color w:val="000000"/>
          <w:sz w:val="32"/>
          <w:szCs w:val="32"/>
        </w:rPr>
        <w:t>十</w:t>
      </w:r>
      <w:r>
        <w:rPr>
          <w:rStyle w:val="29"/>
          <w:rFonts w:hint="eastAsia" w:ascii="黑体" w:hAnsi="黑体" w:eastAsia="黑体"/>
        </w:rPr>
        <w:t>、</w:t>
      </w:r>
      <w:r>
        <w:rPr>
          <w:rStyle w:val="29"/>
          <w:rFonts w:hint="eastAsia" w:ascii="黑体" w:hAnsi="黑体" w:eastAsia="黑体"/>
          <w:b w:val="0"/>
        </w:rPr>
        <w:t>其他重要事项的情况说明</w:t>
      </w:r>
      <w:bookmarkEnd w:id="81"/>
      <w:bookmarkEnd w:id="82"/>
      <w:bookmarkEnd w:id="83"/>
      <w:bookmarkEnd w:id="84"/>
    </w:p>
    <w:p>
      <w:pPr>
        <w:pageBreakBefore w:val="0"/>
        <w:widowControl w:val="0"/>
        <w:kinsoku/>
        <w:wordWrap/>
        <w:overflowPunct/>
        <w:topLinePunct w:val="0"/>
        <w:bidi w:val="0"/>
        <w:spacing w:line="560" w:lineRule="exact"/>
        <w:ind w:firstLine="642" w:firstLineChars="200"/>
        <w:textAlignment w:val="auto"/>
        <w:outlineLvl w:val="2"/>
        <w:rPr>
          <w:rFonts w:ascii="仿宋" w:hAnsi="仿宋" w:eastAsia="仿宋"/>
          <w:color w:val="000000"/>
          <w:sz w:val="32"/>
          <w:szCs w:val="32"/>
        </w:rPr>
      </w:pPr>
      <w:bookmarkStart w:id="85" w:name="_Toc79163625"/>
      <w:bookmarkStart w:id="86" w:name="_Toc79163875"/>
      <w:bookmarkStart w:id="87" w:name="_Toc15377222"/>
      <w:r>
        <w:rPr>
          <w:rFonts w:hint="eastAsia" w:ascii="仿宋" w:hAnsi="仿宋" w:eastAsia="仿宋"/>
          <w:b/>
          <w:color w:val="000000"/>
          <w:sz w:val="32"/>
          <w:szCs w:val="32"/>
        </w:rPr>
        <w:t>（一）机关运行经费支出情况</w:t>
      </w:r>
      <w:bookmarkEnd w:id="85"/>
      <w:bookmarkEnd w:id="86"/>
      <w:bookmarkEnd w:id="87"/>
    </w:p>
    <w:p>
      <w:pPr>
        <w:pageBreakBefore w:val="0"/>
        <w:widowControl w:val="0"/>
        <w:kinsoku/>
        <w:wordWrap/>
        <w:overflowPunct/>
        <w:topLinePunct w:val="0"/>
        <w:bidi w:val="0"/>
        <w:spacing w:line="560" w:lineRule="exact"/>
        <w:ind w:firstLine="640" w:firstLineChars="200"/>
        <w:textAlignment w:val="auto"/>
        <w:rPr>
          <w:rFonts w:hint="eastAsia" w:ascii="仿宋_GB2312" w:eastAsia="仿宋_GB2312"/>
          <w:color w:val="000000"/>
          <w:sz w:val="32"/>
          <w:szCs w:val="32"/>
          <w:lang w:val="en-US" w:eastAsia="zh-CN"/>
        </w:rPr>
      </w:pPr>
      <w:r>
        <w:rPr>
          <w:rFonts w:ascii="仿宋_GB2312" w:eastAsia="仿宋_GB2312"/>
          <w:color w:val="000000"/>
          <w:sz w:val="32"/>
          <w:szCs w:val="32"/>
        </w:rPr>
        <w:t>202</w:t>
      </w:r>
      <w:r>
        <w:rPr>
          <w:rFonts w:hint="eastAsia" w:ascii="仿宋_GB2312" w:eastAsia="仿宋_GB2312"/>
          <w:color w:val="000000"/>
          <w:sz w:val="32"/>
          <w:szCs w:val="32"/>
        </w:rPr>
        <w:t>1年，</w:t>
      </w:r>
      <w:r>
        <w:rPr>
          <w:rFonts w:hint="eastAsia" w:ascii="仿宋_GB2312" w:eastAsia="仿宋_GB2312"/>
          <w:color w:val="000000"/>
          <w:sz w:val="32"/>
          <w:szCs w:val="32"/>
          <w:lang w:eastAsia="zh-CN"/>
        </w:rPr>
        <w:t>阿坝州壤塘县三郎寺寺庙管理委员会</w:t>
      </w:r>
      <w:r>
        <w:rPr>
          <w:rFonts w:hint="eastAsia" w:ascii="仿宋_GB2312" w:eastAsia="仿宋_GB2312"/>
          <w:color w:val="000000"/>
          <w:sz w:val="32"/>
          <w:szCs w:val="32"/>
        </w:rPr>
        <w:t>机关运行经费支出24.48万元，比</w:t>
      </w:r>
      <w:r>
        <w:rPr>
          <w:rFonts w:ascii="仿宋_GB2312" w:eastAsia="仿宋_GB2312"/>
          <w:color w:val="000000"/>
          <w:sz w:val="32"/>
          <w:szCs w:val="32"/>
        </w:rPr>
        <w:t>20</w:t>
      </w:r>
      <w:r>
        <w:rPr>
          <w:rFonts w:hint="eastAsia" w:ascii="仿宋_GB2312" w:eastAsia="仿宋_GB2312"/>
          <w:color w:val="000000"/>
          <w:sz w:val="32"/>
          <w:szCs w:val="32"/>
        </w:rPr>
        <w:t>20年增加8.92万元，增长57.31</w:t>
      </w:r>
      <w:r>
        <w:rPr>
          <w:rFonts w:hint="eastAsia" w:ascii="仿宋_GB2312" w:eastAsia="仿宋_GB2312"/>
          <w:color w:val="000000"/>
          <w:sz w:val="32"/>
          <w:szCs w:val="32"/>
          <w:lang w:val="en-US" w:eastAsia="zh-CN"/>
        </w:rPr>
        <w:t>%</w:t>
      </w:r>
      <w:r>
        <w:rPr>
          <w:rFonts w:hint="eastAsia" w:ascii="仿宋_GB2312" w:eastAsia="仿宋_GB2312"/>
          <w:color w:val="000000"/>
          <w:sz w:val="32"/>
          <w:szCs w:val="32"/>
        </w:rPr>
        <w:t>。主要原因是本年人员增加业务活动增加</w:t>
      </w:r>
      <w:r>
        <w:rPr>
          <w:rFonts w:hint="eastAsia" w:ascii="仿宋_GB2312" w:eastAsia="仿宋_GB2312"/>
          <w:color w:val="000000"/>
          <w:sz w:val="32"/>
          <w:szCs w:val="32"/>
          <w:lang w:eastAsia="zh-CN"/>
        </w:rPr>
        <w:t>。</w:t>
      </w:r>
    </w:p>
    <w:p>
      <w:pPr>
        <w:pageBreakBefore w:val="0"/>
        <w:widowControl w:val="0"/>
        <w:kinsoku/>
        <w:wordWrap/>
        <w:overflowPunct/>
        <w:topLinePunct w:val="0"/>
        <w:autoSpaceDE w:val="0"/>
        <w:autoSpaceDN w:val="0"/>
        <w:bidi w:val="0"/>
        <w:adjustRightInd w:val="0"/>
        <w:spacing w:line="560" w:lineRule="exact"/>
        <w:ind w:firstLine="642" w:firstLineChars="200"/>
        <w:jc w:val="left"/>
        <w:textAlignment w:val="auto"/>
        <w:outlineLvl w:val="2"/>
        <w:rPr>
          <w:rFonts w:ascii="仿宋" w:hAnsi="仿宋" w:eastAsia="仿宋"/>
          <w:b/>
          <w:color w:val="000000"/>
          <w:sz w:val="32"/>
          <w:szCs w:val="32"/>
        </w:rPr>
      </w:pPr>
      <w:bookmarkStart w:id="88" w:name="_Toc79163626"/>
      <w:bookmarkStart w:id="89" w:name="_Toc15377223"/>
      <w:bookmarkStart w:id="90" w:name="_Toc79163876"/>
      <w:r>
        <w:rPr>
          <w:rFonts w:hint="eastAsia" w:ascii="仿宋" w:hAnsi="仿宋" w:eastAsia="仿宋"/>
          <w:b/>
          <w:color w:val="000000"/>
          <w:sz w:val="32"/>
          <w:szCs w:val="32"/>
        </w:rPr>
        <w:t>（二）政府采购支出情况</w:t>
      </w:r>
      <w:bookmarkEnd w:id="88"/>
      <w:bookmarkEnd w:id="89"/>
      <w:bookmarkEnd w:id="90"/>
    </w:p>
    <w:p>
      <w:pPr>
        <w:pageBreakBefore w:val="0"/>
        <w:widowControl w:val="0"/>
        <w:kinsoku/>
        <w:wordWrap/>
        <w:overflowPunct/>
        <w:topLinePunct w:val="0"/>
        <w:bidi w:val="0"/>
        <w:spacing w:line="560" w:lineRule="exact"/>
        <w:ind w:firstLine="640" w:firstLineChars="200"/>
        <w:textAlignment w:val="auto"/>
        <w:rPr>
          <w:rFonts w:ascii="仿宋_GB2312" w:eastAsia="仿宋_GB2312"/>
          <w:color w:val="000000"/>
          <w:sz w:val="32"/>
          <w:szCs w:val="32"/>
        </w:rPr>
      </w:pPr>
      <w:r>
        <w:rPr>
          <w:rFonts w:ascii="仿宋_GB2312" w:eastAsia="仿宋_GB2312"/>
          <w:color w:val="000000"/>
          <w:sz w:val="32"/>
          <w:szCs w:val="32"/>
        </w:rPr>
        <w:t>202</w:t>
      </w:r>
      <w:r>
        <w:rPr>
          <w:rFonts w:hint="eastAsia" w:ascii="仿宋_GB2312" w:eastAsia="仿宋_GB2312"/>
          <w:color w:val="000000"/>
          <w:sz w:val="32"/>
          <w:szCs w:val="32"/>
        </w:rPr>
        <w:t>1年，</w:t>
      </w:r>
      <w:r>
        <w:rPr>
          <w:rFonts w:hint="eastAsia" w:ascii="仿宋_GB2312" w:eastAsia="仿宋_GB2312"/>
          <w:color w:val="000000"/>
          <w:sz w:val="32"/>
          <w:szCs w:val="32"/>
          <w:lang w:eastAsia="zh-CN"/>
        </w:rPr>
        <w:t>阿坝州壤塘县三郎寺寺庙管理委员会</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万元。授予中小企业合同金额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100</w:t>
      </w:r>
      <w:r>
        <w:rPr>
          <w:rFonts w:ascii="仿宋_GB2312" w:eastAsia="仿宋_GB2312"/>
          <w:color w:val="000000"/>
          <w:sz w:val="32"/>
          <w:szCs w:val="32"/>
        </w:rPr>
        <w:t>%</w:t>
      </w:r>
      <w:r>
        <w:rPr>
          <w:rFonts w:hint="eastAsia" w:ascii="仿宋_GB2312" w:eastAsia="仿宋_GB2312"/>
          <w:color w:val="000000"/>
          <w:sz w:val="32"/>
          <w:szCs w:val="32"/>
        </w:rPr>
        <w:t>，其中：授予小微企业合同金额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w:t>
      </w:r>
    </w:p>
    <w:p>
      <w:pPr>
        <w:pageBreakBefore w:val="0"/>
        <w:widowControl w:val="0"/>
        <w:kinsoku/>
        <w:wordWrap/>
        <w:overflowPunct/>
        <w:topLinePunct w:val="0"/>
        <w:autoSpaceDE w:val="0"/>
        <w:autoSpaceDN w:val="0"/>
        <w:bidi w:val="0"/>
        <w:adjustRightInd w:val="0"/>
        <w:spacing w:line="560" w:lineRule="exact"/>
        <w:ind w:firstLine="642" w:firstLineChars="200"/>
        <w:jc w:val="left"/>
        <w:textAlignment w:val="auto"/>
        <w:outlineLvl w:val="2"/>
        <w:rPr>
          <w:rFonts w:ascii="仿宋" w:hAnsi="仿宋" w:eastAsia="仿宋"/>
          <w:b/>
          <w:color w:val="000000"/>
          <w:sz w:val="32"/>
          <w:szCs w:val="32"/>
        </w:rPr>
      </w:pPr>
      <w:bookmarkStart w:id="91" w:name="_Toc15377224"/>
      <w:bookmarkStart w:id="92" w:name="_Toc79163877"/>
      <w:bookmarkStart w:id="93" w:name="_Toc79163627"/>
      <w:r>
        <w:rPr>
          <w:rFonts w:hint="eastAsia" w:ascii="仿宋" w:hAnsi="仿宋" w:eastAsia="仿宋"/>
          <w:b/>
          <w:color w:val="000000"/>
          <w:sz w:val="32"/>
          <w:szCs w:val="32"/>
        </w:rPr>
        <w:t>（三）国有资产占有使用情况</w:t>
      </w:r>
      <w:bookmarkEnd w:id="91"/>
      <w:bookmarkEnd w:id="92"/>
      <w:bookmarkEnd w:id="93"/>
    </w:p>
    <w:p>
      <w:pPr>
        <w:pageBreakBefore w:val="0"/>
        <w:widowControl w:val="0"/>
        <w:kinsoku/>
        <w:wordWrap/>
        <w:overflowPunct/>
        <w:topLinePunct w:val="0"/>
        <w:autoSpaceDE w:val="0"/>
        <w:autoSpaceDN w:val="0"/>
        <w:bidi w:val="0"/>
        <w:adjustRightInd w:val="0"/>
        <w:spacing w:line="560" w:lineRule="exact"/>
        <w:ind w:firstLine="640" w:firstLineChars="200"/>
        <w:jc w:val="left"/>
        <w:textAlignment w:val="auto"/>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202</w:t>
      </w:r>
      <w:r>
        <w:rPr>
          <w:rFonts w:hint="eastAsia" w:ascii="仿宋_GB2312" w:eastAsia="仿宋_GB2312"/>
          <w:color w:val="000000"/>
          <w:sz w:val="32"/>
          <w:szCs w:val="32"/>
        </w:rPr>
        <w:t>1年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阿坝州壤塘县三郎寺寺庙管理委员会</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color w:val="000000"/>
          <w:sz w:val="32"/>
          <w:szCs w:val="32"/>
        </w:rPr>
        <w:t>单价</w:t>
      </w:r>
      <w:r>
        <w:rPr>
          <w:rFonts w:ascii="仿宋_GB2312" w:eastAsia="仿宋_GB2312"/>
          <w:color w:val="000000"/>
          <w:sz w:val="32"/>
          <w:szCs w:val="32"/>
        </w:rPr>
        <w:t>50</w:t>
      </w:r>
      <w:r>
        <w:rPr>
          <w:rFonts w:hint="eastAsia" w:ascii="仿宋_GB2312" w:eastAsia="仿宋_GB2312"/>
          <w:color w:val="000000"/>
          <w:sz w:val="32"/>
          <w:szCs w:val="32"/>
        </w:rPr>
        <w:t>万元以上通用设备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w:t>
      </w:r>
    </w:p>
    <w:p>
      <w:pPr>
        <w:pageBreakBefore w:val="0"/>
        <w:widowControl w:val="0"/>
        <w:kinsoku/>
        <w:wordWrap/>
        <w:overflowPunct/>
        <w:topLinePunct w:val="0"/>
        <w:autoSpaceDE w:val="0"/>
        <w:autoSpaceDN w:val="0"/>
        <w:bidi w:val="0"/>
        <w:adjustRightInd w:val="0"/>
        <w:spacing w:line="560" w:lineRule="exact"/>
        <w:ind w:firstLine="642" w:firstLineChars="200"/>
        <w:jc w:val="left"/>
        <w:textAlignment w:val="auto"/>
        <w:outlineLvl w:val="2"/>
        <w:rPr>
          <w:rFonts w:ascii="仿宋" w:hAnsi="仿宋" w:eastAsia="仿宋"/>
          <w:b/>
          <w:color w:val="000000"/>
          <w:sz w:val="32"/>
          <w:szCs w:val="32"/>
        </w:rPr>
      </w:pPr>
      <w:bookmarkStart w:id="94" w:name="_Toc79163878"/>
      <w:bookmarkStart w:id="95" w:name="_Toc79163628"/>
      <w:r>
        <w:rPr>
          <w:rFonts w:hint="eastAsia" w:ascii="仿宋" w:hAnsi="仿宋" w:eastAsia="仿宋"/>
          <w:b/>
          <w:color w:val="000000"/>
          <w:sz w:val="32"/>
          <w:szCs w:val="32"/>
        </w:rPr>
        <w:t>（四）预算绩效管理情况。</w:t>
      </w:r>
      <w:bookmarkEnd w:id="94"/>
      <w:bookmarkEnd w:id="95"/>
    </w:p>
    <w:p>
      <w:pPr>
        <w:pageBreakBefore w:val="0"/>
        <w:widowControl w:val="0"/>
        <w:kinsoku/>
        <w:wordWrap/>
        <w:overflowPunct/>
        <w:topLinePunct w:val="0"/>
        <w:bidi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根据预算绩效管理要求，本单位在年初预算编制阶段，组织对</w:t>
      </w:r>
      <w:r>
        <w:rPr>
          <w:rFonts w:hint="eastAsia" w:ascii="仿宋_GB2312" w:hAnsi="仿宋_GB2312" w:eastAsia="仿宋_GB2312" w:cs="仿宋_GB2312"/>
          <w:sz w:val="32"/>
          <w:szCs w:val="32"/>
          <w:lang w:val="en-US" w:eastAsia="zh-CN"/>
        </w:rPr>
        <w:t>0个</w:t>
      </w:r>
      <w:r>
        <w:rPr>
          <w:rFonts w:hint="eastAsia" w:ascii="仿宋_GB2312" w:hAnsi="仿宋_GB2312" w:eastAsia="仿宋_GB2312" w:cs="仿宋_GB2312"/>
          <w:sz w:val="32"/>
          <w:szCs w:val="32"/>
        </w:rPr>
        <w:t>项目开展了预算事前绩效评估，对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个项目开展了绩效目标完成情况自评。</w:t>
      </w:r>
    </w:p>
    <w:p>
      <w:pPr>
        <w:pageBreakBefore w:val="0"/>
        <w:widowControl w:val="0"/>
        <w:kinsoku/>
        <w:wordWrap/>
        <w:overflowPunct/>
        <w:topLinePunct w:val="0"/>
        <w:bidi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202</w:t>
      </w:r>
      <w:r>
        <w:rPr>
          <w:rFonts w:hint="eastAsia" w:ascii="仿宋_GB2312" w:hAnsi="仿宋_GB2312" w:eastAsia="仿宋_GB2312" w:cs="仿宋_GB2312"/>
          <w:sz w:val="32"/>
          <w:szCs w:val="32"/>
        </w:rPr>
        <w:t>1年部门整体支出开展绩效自评，从评价情况来看我</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部门整体支出情况良好，从预算到执行和收入、支出管理均严格按照相关要求进行，全年收支平衡，有效保障了单位正常运转，圆满完成了单位目标任务。本部门无专项预算项目，因此未组织开展项目支出绩效评价。</w:t>
      </w:r>
    </w:p>
    <w:p>
      <w:pPr>
        <w:pageBreakBefore w:val="0"/>
        <w:widowControl w:val="0"/>
        <w:kinsoku/>
        <w:wordWrap/>
        <w:overflowPunct/>
        <w:topLinePunct w:val="0"/>
        <w:bidi w:val="0"/>
        <w:spacing w:line="560" w:lineRule="exact"/>
        <w:ind w:firstLine="640" w:firstLineChars="200"/>
        <w:textAlignment w:val="auto"/>
        <w:rPr>
          <w:rFonts w:hint="eastAsia" w:ascii="楷体_GB2312" w:hAnsi="楷体_GB2312" w:eastAsia="楷体_GB2312" w:cs="楷体_GB2312"/>
          <w:sz w:val="32"/>
          <w:szCs w:val="32"/>
          <w:lang w:eastAsia="zh-CN"/>
        </w:rPr>
      </w:pPr>
      <w:r>
        <w:rPr>
          <w:rFonts w:ascii="楷体_GB2312" w:hAnsi="楷体_GB2312" w:eastAsia="楷体_GB2312" w:cs="楷体_GB2312"/>
          <w:sz w:val="32"/>
          <w:szCs w:val="32"/>
        </w:rPr>
        <w:t>1.</w:t>
      </w:r>
      <w:r>
        <w:rPr>
          <w:rFonts w:hint="eastAsia" w:ascii="楷体_GB2312" w:hAnsi="楷体_GB2312" w:eastAsia="楷体_GB2312" w:cs="楷体_GB2312"/>
          <w:sz w:val="32"/>
          <w:szCs w:val="32"/>
        </w:rPr>
        <w:t>项目绩效目标完成情况。</w:t>
      </w:r>
    </w:p>
    <w:p>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本部门在</w:t>
      </w:r>
      <w:r>
        <w:rPr>
          <w:rFonts w:ascii="仿宋_GB2312" w:hAnsi="仿宋_GB2312" w:eastAsia="仿宋_GB2312" w:cs="仿宋_GB2312"/>
          <w:sz w:val="32"/>
          <w:szCs w:val="32"/>
        </w:rPr>
        <w:t>202</w:t>
      </w:r>
      <w:r>
        <w:rPr>
          <w:rFonts w:hint="eastAsia" w:ascii="仿宋_GB2312" w:hAnsi="仿宋_GB2312" w:eastAsia="仿宋_GB2312" w:cs="仿宋_GB2312"/>
          <w:sz w:val="32"/>
          <w:szCs w:val="32"/>
        </w:rPr>
        <w:t>1年度部门决算中反映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个项目绩效目标实际完成情况。（本单位部门项目绩效目标个数在</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个以上的，选取</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个项目进行公开，目标个数在</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个以下的，全部进行公开，公开内容包括选取的全部项目完成情况综述和完成情况表）。</w:t>
      </w:r>
    </w:p>
    <w:p>
      <w:pPr>
        <w:spacing w:line="580" w:lineRule="exact"/>
        <w:ind w:left="630"/>
        <w:rPr>
          <w:rFonts w:ascii="仿宋_GB2312" w:hAnsi="仿宋_GB2312" w:eastAsia="仿宋_GB2312" w:cs="仿宋_GB2312"/>
          <w:sz w:val="32"/>
          <w:szCs w:val="32"/>
        </w:rPr>
      </w:pPr>
      <w:r>
        <w:rPr>
          <w:rFonts w:ascii="楷体_GB2312" w:hAnsi="楷体_GB2312" w:eastAsia="楷体_GB2312" w:cs="楷体_GB2312"/>
          <w:sz w:val="32"/>
          <w:szCs w:val="32"/>
        </w:rPr>
        <w:t>2.</w:t>
      </w:r>
      <w:r>
        <w:rPr>
          <w:rFonts w:hint="eastAsia" w:ascii="楷体_GB2312" w:hAnsi="楷体_GB2312" w:eastAsia="楷体_GB2312" w:cs="楷体_GB2312"/>
          <w:sz w:val="32"/>
          <w:szCs w:val="32"/>
        </w:rPr>
        <w:t>部门绩效评价结果。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202</w:t>
      </w:r>
      <w:r>
        <w:rPr>
          <w:rFonts w:hint="eastAsia" w:ascii="仿宋_GB2312" w:hAnsi="仿宋_GB2312" w:eastAsia="仿宋_GB2312" w:cs="仿宋_GB2312"/>
          <w:sz w:val="32"/>
          <w:szCs w:val="32"/>
        </w:rPr>
        <w:t>1年部门整体支出绩效评价情况开展自评，《</w:t>
      </w:r>
      <w:r>
        <w:rPr>
          <w:rFonts w:hint="eastAsia" w:ascii="仿宋_GB2312" w:hAnsi="仿宋_GB2312" w:eastAsia="仿宋_GB2312" w:cs="仿宋_GB2312"/>
          <w:sz w:val="32"/>
          <w:szCs w:val="32"/>
          <w:lang w:eastAsia="zh-CN"/>
        </w:rPr>
        <w:t>阿坝州壤塘县三郎寺寺庙管理委员会</w:t>
      </w:r>
      <w:r>
        <w:rPr>
          <w:rFonts w:ascii="仿宋_GB2312" w:hAnsi="仿宋_GB2312" w:eastAsia="仿宋_GB2312" w:cs="仿宋_GB2312"/>
          <w:sz w:val="32"/>
          <w:szCs w:val="32"/>
        </w:rPr>
        <w:t>202</w:t>
      </w:r>
      <w:r>
        <w:rPr>
          <w:rFonts w:hint="eastAsia" w:ascii="仿宋_GB2312" w:hAnsi="仿宋_GB2312" w:eastAsia="仿宋_GB2312" w:cs="仿宋_GB2312"/>
          <w:sz w:val="32"/>
          <w:szCs w:val="32"/>
        </w:rPr>
        <w:t>1年部门整体支出绩效评价报告》见附件（附件</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w:t>
      </w:r>
    </w:p>
    <w:p>
      <w:pPr>
        <w:spacing w:line="580" w:lineRule="exact"/>
        <w:ind w:firstLine="640" w:firstLineChars="200"/>
        <w:rPr>
          <w:rFonts w:ascii="仿宋_GB2312" w:eastAsia="仿宋_GB2312"/>
          <w:b/>
          <w:color w:val="000000"/>
          <w:sz w:val="32"/>
          <w:szCs w:val="32"/>
        </w:rPr>
      </w:pPr>
      <w:r>
        <w:rPr>
          <w:rFonts w:hint="eastAsia" w:ascii="仿宋_GB2312" w:hAnsi="仿宋_GB2312" w:eastAsia="仿宋_GB2312" w:cs="仿宋_GB2312"/>
          <w:sz w:val="32"/>
          <w:szCs w:val="32"/>
        </w:rPr>
        <w:t>本部门自行组织对</w:t>
      </w:r>
      <w:r>
        <w:rPr>
          <w:rFonts w:hint="eastAsia" w:ascii="仿宋_GB2312" w:hAnsi="仿宋_GB2312" w:eastAsia="仿宋_GB2312" w:cs="仿宋_GB2312"/>
          <w:sz w:val="32"/>
          <w:szCs w:val="32"/>
          <w:lang w:val="en-US" w:eastAsia="zh-CN"/>
        </w:rPr>
        <w:t>0个</w:t>
      </w:r>
      <w:r>
        <w:rPr>
          <w:rFonts w:hint="eastAsia" w:ascii="仿宋_GB2312" w:hAnsi="仿宋_GB2312" w:eastAsia="仿宋_GB2312" w:cs="仿宋_GB2312"/>
          <w:sz w:val="32"/>
          <w:szCs w:val="32"/>
        </w:rPr>
        <w:t>项目开展了绩效评价。</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3"/>
        </w:numPr>
        <w:spacing w:line="600" w:lineRule="exact"/>
        <w:ind w:firstLine="660" w:firstLineChars="150"/>
        <w:jc w:val="center"/>
        <w:outlineLvl w:val="0"/>
        <w:rPr>
          <w:rStyle w:val="28"/>
          <w:rFonts w:ascii="黑体" w:hAnsi="黑体" w:eastAsia="黑体"/>
          <w:b w:val="0"/>
        </w:rPr>
      </w:pPr>
      <w:bookmarkStart w:id="96" w:name="_Toc79163629"/>
      <w:bookmarkStart w:id="97" w:name="_Toc15396613"/>
      <w:bookmarkStart w:id="98" w:name="_Toc79163879"/>
      <w:bookmarkStart w:id="99" w:name="_Toc15377225"/>
      <w:r>
        <w:rPr>
          <w:rFonts w:hint="eastAsia" w:ascii="黑体" w:hAnsi="黑体" w:eastAsia="黑体"/>
          <w:color w:val="000000"/>
          <w:sz w:val="44"/>
          <w:szCs w:val="44"/>
        </w:rPr>
        <w:t>名</w:t>
      </w:r>
      <w:r>
        <w:rPr>
          <w:rStyle w:val="28"/>
          <w:rFonts w:hint="eastAsia" w:ascii="黑体" w:hAnsi="黑体" w:eastAsia="黑体"/>
          <w:b w:val="0"/>
        </w:rPr>
        <w:t>词解释</w:t>
      </w:r>
      <w:bookmarkEnd w:id="96"/>
      <w:bookmarkEnd w:id="97"/>
      <w:bookmarkEnd w:id="98"/>
      <w:bookmarkEnd w:id="99"/>
    </w:p>
    <w:p>
      <w:pPr>
        <w:spacing w:line="600" w:lineRule="exact"/>
        <w:jc w:val="left"/>
        <w:rPr>
          <w:rFonts w:ascii="宋体"/>
          <w:b/>
          <w:color w:val="000000"/>
          <w:sz w:val="44"/>
          <w:szCs w:val="44"/>
        </w:rPr>
      </w:pPr>
    </w:p>
    <w:p>
      <w:pPr>
        <w:pStyle w:val="38"/>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38"/>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事业收入：指事业单位开展专业业务活动及辅助活动取得的收入。（二级预算单位事业收入情况）等。</w:t>
      </w:r>
    </w:p>
    <w:p>
      <w:pPr>
        <w:pStyle w:val="38"/>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经营收入：指事业单位在专业业务活动及其辅助活动之外开展非独立核算经营活动取得的收入。（二级预算单位经营收入情况）等。</w:t>
      </w:r>
    </w:p>
    <w:p>
      <w:pPr>
        <w:pStyle w:val="38"/>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其他收入：指单位取得的除上述收入以外的各项收入。主要是（收入类型）等。</w:t>
      </w:r>
      <w:r>
        <w:rPr>
          <w:rFonts w:ascii="仿宋_GB2312" w:eastAsia="仿宋_GB2312"/>
          <w:sz w:val="32"/>
          <w:szCs w:val="32"/>
        </w:rPr>
        <w:t xml:space="preserve"> </w:t>
      </w:r>
    </w:p>
    <w:p>
      <w:pPr>
        <w:pStyle w:val="38"/>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使用非财政拨款结余：指事业单位使用以前年度积累的非财政拨款结余弥补当年收支差额的金额。</w:t>
      </w:r>
      <w:r>
        <w:rPr>
          <w:rFonts w:ascii="仿宋_GB2312" w:eastAsia="仿宋_GB2312"/>
          <w:sz w:val="32"/>
          <w:szCs w:val="32"/>
        </w:rPr>
        <w:t xml:space="preserve"> </w:t>
      </w:r>
    </w:p>
    <w:p>
      <w:pPr>
        <w:pStyle w:val="38"/>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38"/>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结余分配：指事业单位按照会计制度规定缴纳的所得税、提取的专用结余以及转入非财政拨款结余的金额等。</w:t>
      </w:r>
    </w:p>
    <w:p>
      <w:pPr>
        <w:pStyle w:val="38"/>
        <w:spacing w:line="560" w:lineRule="exact"/>
        <w:ind w:firstLine="640" w:firstLineChars="200"/>
        <w:rPr>
          <w:rFonts w:hint="eastAsia"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pStyle w:val="38"/>
        <w:spacing w:line="56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9.一般公共服务（类）民族事务（款）行政运行（项）：反映行政单位（包括实行公务员管理的事业单位）的基本支出。</w:t>
      </w:r>
    </w:p>
    <w:p>
      <w:pPr>
        <w:pStyle w:val="38"/>
        <w:spacing w:line="56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10.一般公共服务（类）民族事务（款）一般行政管理事务（项）：反映行政单位（包括实行公务员管理的事业单位）未单独设置项级科目的其他项目支出。</w:t>
      </w:r>
    </w:p>
    <w:p>
      <w:pPr>
        <w:pStyle w:val="38"/>
        <w:spacing w:line="560" w:lineRule="exact"/>
        <w:ind w:firstLine="640" w:firstLineChars="200"/>
        <w:rPr>
          <w:rFonts w:hint="default" w:ascii="仿宋_GB2312" w:eastAsia="仿宋_GB2312"/>
          <w:sz w:val="32"/>
          <w:szCs w:val="32"/>
          <w:lang w:val="en-US" w:eastAsia="zh-CN"/>
        </w:rPr>
      </w:pPr>
      <w:r>
        <w:rPr>
          <w:rFonts w:hint="eastAsia" w:ascii="仿宋_GB2312" w:eastAsia="仿宋_GB2312"/>
          <w:sz w:val="32"/>
          <w:szCs w:val="32"/>
          <w:lang w:val="en-US" w:eastAsia="zh-CN"/>
        </w:rPr>
        <w:t>11.一般公共服务（类）民族事务（款）民族工作专项（项）：反映用于民族事务管理方面的支出。</w:t>
      </w:r>
    </w:p>
    <w:p>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12</w:t>
      </w:r>
      <w:r>
        <w:rPr>
          <w:rFonts w:hint="eastAsia" w:ascii="仿宋_GB2312" w:eastAsia="仿宋_GB2312"/>
          <w:color w:val="000000"/>
          <w:sz w:val="32"/>
          <w:szCs w:val="32"/>
        </w:rPr>
        <w:t>.社会保障和就业（类）行政事业单位养老支出（款）机关事业单位基本养老保险缴费支出（项）：指机关事业单位实施养老保险制度由单位缴纳的基本养老保险费支出。</w:t>
      </w:r>
    </w:p>
    <w:p>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 社会保障和就业（类）行政事业单位养老支出（款）机关事业单位职业年金缴费支出（项）：指机关事业单位养老保险制度由单位缴纳的职业年金支出。</w:t>
      </w:r>
    </w:p>
    <w:p>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.卫生健康支出（类）行政事业单位医疗（款）事业单位医疗（项）：指财政部门集中安排的事业单位基本医疗保险缴费。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.住房保障（类）住房改革（款）住房公积金（项）：指行政事业单位按规定的标准和比例为职工缴纳的住房公积金。</w:t>
      </w:r>
    </w:p>
    <w:p>
      <w:pPr>
        <w:pStyle w:val="38"/>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.基本支出：指为保障机构正常运转、完成日常工作任务而发生的人员支出和公用支出。</w:t>
      </w:r>
    </w:p>
    <w:p>
      <w:pPr>
        <w:pStyle w:val="38"/>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7</w:t>
      </w:r>
      <w:r>
        <w:rPr>
          <w:rFonts w:hint="eastAsia" w:ascii="仿宋_GB2312" w:eastAsia="仿宋_GB2312"/>
          <w:color w:val="000000"/>
          <w:sz w:val="32"/>
          <w:szCs w:val="32"/>
        </w:rPr>
        <w:t>.项目支出：指在基本支出之外为完成特定行政任务和事业发展目标所发生的支出。</w:t>
      </w:r>
    </w:p>
    <w:p>
      <w:pPr>
        <w:pStyle w:val="38"/>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.经营支出：指事业单位在专业业务活动及其辅助活动之外开展非独立核算经营活动发生的支出。</w:t>
      </w:r>
    </w:p>
    <w:p>
      <w:pPr>
        <w:pStyle w:val="38"/>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8"/>
        <w:spacing w:line="560" w:lineRule="exact"/>
        <w:ind w:firstLine="640" w:firstLineChars="200"/>
        <w:rPr>
          <w:rFonts w:ascii="仿宋_GB2312" w:eastAsia="仿宋_GB2312"/>
          <w:sz w:val="32"/>
          <w:szCs w:val="32"/>
        </w:rPr>
      </w:pP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rPr>
          <w:rFonts w:hint="eastAsia" w:ascii="仿宋_GB2312" w:eastAsia="仿宋_GB2312"/>
          <w:sz w:val="32"/>
          <w:szCs w:val="32"/>
        </w:rPr>
        <w:t>。</w:t>
      </w:r>
    </w:p>
    <w:p>
      <w:pPr>
        <w:spacing w:line="600" w:lineRule="exact"/>
        <w:jc w:val="center"/>
        <w:outlineLvl w:val="0"/>
        <w:rPr>
          <w:rStyle w:val="28"/>
          <w:rFonts w:ascii="黑体" w:hAnsi="黑体" w:eastAsia="黑体"/>
          <w:b w:val="0"/>
        </w:rPr>
      </w:pPr>
      <w:bookmarkStart w:id="100" w:name="_Toc15377226"/>
      <w:r>
        <w:rPr>
          <w:rFonts w:ascii="宋体"/>
          <w:b/>
          <w:color w:val="000000"/>
          <w:sz w:val="44"/>
          <w:szCs w:val="44"/>
        </w:rPr>
        <w:br w:type="page"/>
      </w:r>
      <w:bookmarkStart w:id="101" w:name="_Toc79163880"/>
      <w:bookmarkStart w:id="102" w:name="_Toc79163630"/>
      <w:bookmarkStart w:id="103" w:name="_Toc15396614"/>
      <w:r>
        <w:rPr>
          <w:rFonts w:hint="eastAsia" w:ascii="黑体" w:hAnsi="黑体" w:eastAsia="黑体"/>
          <w:color w:val="000000"/>
          <w:sz w:val="44"/>
          <w:szCs w:val="44"/>
        </w:rPr>
        <w:t>第</w:t>
      </w:r>
      <w:r>
        <w:rPr>
          <w:rStyle w:val="28"/>
          <w:rFonts w:hint="eastAsia" w:ascii="黑体" w:hAnsi="黑体" w:eastAsia="黑体"/>
          <w:b w:val="0"/>
        </w:rPr>
        <w:t>四部分</w:t>
      </w:r>
      <w:r>
        <w:rPr>
          <w:rStyle w:val="28"/>
          <w:rFonts w:ascii="黑体" w:hAnsi="黑体" w:eastAsia="黑体"/>
          <w:b w:val="0"/>
        </w:rPr>
        <w:t xml:space="preserve"> </w:t>
      </w:r>
      <w:r>
        <w:rPr>
          <w:rStyle w:val="28"/>
          <w:rFonts w:hint="eastAsia" w:ascii="黑体" w:hAnsi="黑体" w:eastAsia="黑体"/>
          <w:b w:val="0"/>
        </w:rPr>
        <w:t>附件</w:t>
      </w:r>
      <w:bookmarkEnd w:id="101"/>
      <w:bookmarkEnd w:id="102"/>
      <w:bookmarkEnd w:id="103"/>
    </w:p>
    <w:p>
      <w:pPr>
        <w:spacing w:line="600" w:lineRule="exact"/>
        <w:jc w:val="left"/>
        <w:outlineLvl w:val="0"/>
        <w:rPr>
          <w:rFonts w:ascii="方正小标宋简体" w:hAnsi="方正小标宋简体" w:eastAsia="方正小标宋简体" w:cs="方正小标宋简体"/>
          <w:sz w:val="32"/>
          <w:szCs w:val="32"/>
        </w:rPr>
      </w:pPr>
      <w:bookmarkStart w:id="104" w:name="_Toc79163631"/>
      <w:bookmarkStart w:id="105" w:name="_Toc79163881"/>
      <w:r>
        <w:rPr>
          <w:rFonts w:hint="eastAsia" w:ascii="黑体" w:hAnsi="黑体" w:eastAsia="黑体" w:cs="黑体"/>
          <w:sz w:val="32"/>
          <w:szCs w:val="32"/>
        </w:rPr>
        <w:t>附件</w:t>
      </w:r>
      <w:r>
        <w:rPr>
          <w:rFonts w:ascii="黑体" w:hAnsi="黑体" w:eastAsia="黑体" w:cs="黑体"/>
          <w:sz w:val="32"/>
          <w:szCs w:val="32"/>
        </w:rPr>
        <w:t>1</w:t>
      </w:r>
      <w:bookmarkEnd w:id="104"/>
      <w:bookmarkEnd w:id="105"/>
    </w:p>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b/>
          <w:bCs/>
          <w:kern w:val="0"/>
          <w:sz w:val="44"/>
          <w:szCs w:val="44"/>
        </w:rPr>
      </w:pPr>
      <w:r>
        <w:rPr>
          <w:rFonts w:hint="eastAsia" w:ascii="宋体" w:hAnsi="宋体" w:eastAsia="宋体" w:cs="宋体"/>
          <w:b/>
          <w:bCs/>
          <w:kern w:val="0"/>
          <w:sz w:val="44"/>
          <w:szCs w:val="44"/>
          <w:lang w:val="en-US" w:eastAsia="zh-CN" w:bidi="ar"/>
        </w:rPr>
        <w:t>2021年度壤塘县三郎寺寺庙管理委员会部门整体支出绩效评价自评报告</w:t>
      </w:r>
    </w:p>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0"/>
          <w:sz w:val="21"/>
          <w:szCs w:val="21"/>
        </w:rPr>
      </w:pPr>
      <w:r>
        <w:rPr>
          <w:rFonts w:hint="eastAsia" w:ascii="宋体" w:hAnsi="宋体" w:eastAsia="宋体" w:cs="宋体"/>
          <w:kern w:val="0"/>
          <w:sz w:val="21"/>
          <w:szCs w:val="21"/>
          <w:lang w:val="en-US" w:eastAsia="zh-CN" w:bidi="ar"/>
        </w:rPr>
        <w:t xml:space="preserve"> </w:t>
      </w:r>
    </w:p>
    <w:p>
      <w:pPr>
        <w:keepNext w:val="0"/>
        <w:keepLines w:val="0"/>
        <w:widowControl w:val="0"/>
        <w:suppressLineNumbers w:val="0"/>
        <w:spacing w:before="0" w:beforeAutospacing="0" w:after="0" w:afterAutospacing="0" w:line="360" w:lineRule="auto"/>
        <w:ind w:left="0" w:right="0" w:firstLine="642" w:firstLineChars="200"/>
        <w:jc w:val="both"/>
        <w:rPr>
          <w:rFonts w:hint="default" w:ascii="仿宋_GB2312" w:eastAsia="仿宋_GB2312" w:cs="仿宋_GB2312"/>
          <w:b/>
          <w:bCs/>
          <w:kern w:val="2"/>
          <w:sz w:val="32"/>
          <w:szCs w:val="32"/>
        </w:rPr>
      </w:pPr>
      <w:r>
        <w:rPr>
          <w:rFonts w:hint="default" w:ascii="仿宋_GB2312" w:hAnsi="Calibri" w:eastAsia="仿宋_GB2312" w:cs="仿宋_GB2312"/>
          <w:b/>
          <w:bCs/>
          <w:kern w:val="0"/>
          <w:sz w:val="32"/>
          <w:szCs w:val="32"/>
          <w:lang w:val="en-US" w:eastAsia="zh-CN" w:bidi="ar"/>
        </w:rPr>
        <w:t>一、部门（单位）概况</w:t>
      </w:r>
    </w:p>
    <w:p>
      <w:pPr>
        <w:keepNext w:val="0"/>
        <w:keepLines w:val="0"/>
        <w:widowControl w:val="0"/>
        <w:suppressLineNumbers w:val="0"/>
        <w:spacing w:before="0" w:beforeAutospacing="0" w:after="0" w:afterAutospacing="0" w:line="360" w:lineRule="auto"/>
        <w:ind w:left="0" w:right="0" w:firstLine="640" w:firstLineChars="200"/>
        <w:jc w:val="both"/>
        <w:rPr>
          <w:rFonts w:hint="default" w:ascii="仿宋_GB2312" w:hAnsi="Calibri" w:eastAsia="仿宋_GB2312" w:cs="仿宋_GB2312"/>
          <w:kern w:val="2"/>
          <w:sz w:val="32"/>
          <w:szCs w:val="32"/>
          <w:lang w:val="en-US" w:eastAsia="zh-CN" w:bidi="ar"/>
        </w:rPr>
      </w:pPr>
      <w:r>
        <w:rPr>
          <w:rFonts w:hint="default" w:ascii="仿宋_GB2312" w:hAnsi="Calibri" w:eastAsia="仿宋_GB2312" w:cs="仿宋_GB2312"/>
          <w:kern w:val="2"/>
          <w:sz w:val="32"/>
          <w:szCs w:val="32"/>
          <w:lang w:val="en-US" w:eastAsia="zh-CN" w:bidi="ar"/>
        </w:rPr>
        <w:t>壤塘县三郎寺寺庙管理委员会机构性质：机关，机构地址：四川省壤塘县南木达镇谐多街5号，单位负责人：张世钊。</w:t>
      </w:r>
    </w:p>
    <w:p>
      <w:pPr>
        <w:keepNext w:val="0"/>
        <w:keepLines w:val="0"/>
        <w:widowControl w:val="0"/>
        <w:suppressLineNumbers w:val="0"/>
        <w:spacing w:before="0" w:beforeAutospacing="0" w:after="0" w:afterAutospacing="0" w:line="360" w:lineRule="auto"/>
        <w:ind w:left="0" w:right="0" w:firstLine="642" w:firstLineChars="200"/>
        <w:jc w:val="both"/>
        <w:rPr>
          <w:rFonts w:hint="default" w:ascii="仿宋_GB2312" w:hAnsi="Calibri" w:eastAsia="仿宋_GB2312" w:cs="仿宋_GB2312"/>
          <w:b/>
          <w:bCs/>
          <w:kern w:val="0"/>
          <w:sz w:val="32"/>
          <w:szCs w:val="32"/>
          <w:lang w:val="en-US" w:eastAsia="zh-CN" w:bidi="ar"/>
        </w:rPr>
      </w:pPr>
      <w:r>
        <w:rPr>
          <w:rFonts w:hint="default" w:ascii="仿宋_GB2312" w:hAnsi="Calibri" w:eastAsia="仿宋_GB2312" w:cs="仿宋_GB2312"/>
          <w:b/>
          <w:bCs/>
          <w:kern w:val="0"/>
          <w:sz w:val="32"/>
          <w:szCs w:val="32"/>
          <w:lang w:val="en-US" w:eastAsia="zh-CN" w:bidi="ar"/>
        </w:rPr>
        <w:t>（一）机构组成</w:t>
      </w:r>
    </w:p>
    <w:p>
      <w:pPr>
        <w:keepNext w:val="0"/>
        <w:keepLines w:val="0"/>
        <w:widowControl w:val="0"/>
        <w:suppressLineNumbers w:val="0"/>
        <w:spacing w:before="0" w:beforeAutospacing="0" w:after="0" w:afterAutospacing="0" w:line="360" w:lineRule="auto"/>
        <w:ind w:left="0" w:right="0" w:firstLine="640" w:firstLineChars="200"/>
        <w:jc w:val="both"/>
        <w:rPr>
          <w:rFonts w:hint="default" w:ascii="仿宋_GB2312" w:hAnsi="Calibri" w:eastAsia="仿宋_GB2312" w:cs="仿宋_GB2312"/>
          <w:kern w:val="2"/>
          <w:sz w:val="32"/>
          <w:szCs w:val="32"/>
          <w:lang w:val="en-US" w:eastAsia="zh-CN" w:bidi="ar"/>
        </w:rPr>
      </w:pPr>
      <w:r>
        <w:rPr>
          <w:rFonts w:hint="default" w:ascii="仿宋_GB2312" w:hAnsi="Calibri" w:eastAsia="仿宋_GB2312" w:cs="仿宋_GB2312"/>
          <w:kern w:val="2"/>
          <w:sz w:val="32"/>
          <w:szCs w:val="32"/>
          <w:lang w:val="en-US" w:eastAsia="zh-CN" w:bidi="ar"/>
        </w:rPr>
        <w:t>壤塘三郎寺寺庙管理委员会共有1个股室，办公室。</w:t>
      </w:r>
    </w:p>
    <w:p>
      <w:pPr>
        <w:keepNext w:val="0"/>
        <w:keepLines w:val="0"/>
        <w:widowControl w:val="0"/>
        <w:suppressLineNumbers w:val="0"/>
        <w:spacing w:before="0" w:beforeAutospacing="0" w:after="0" w:afterAutospacing="0" w:line="360" w:lineRule="auto"/>
        <w:ind w:left="0" w:right="0" w:firstLine="642" w:firstLineChars="200"/>
        <w:jc w:val="both"/>
        <w:rPr>
          <w:rFonts w:hint="default" w:ascii="仿宋_GB2312" w:hAnsi="Calibri" w:eastAsia="仿宋_GB2312" w:cs="仿宋_GB2312"/>
          <w:b/>
          <w:bCs/>
          <w:kern w:val="0"/>
          <w:sz w:val="32"/>
          <w:szCs w:val="32"/>
          <w:lang w:val="en-US" w:eastAsia="zh-CN" w:bidi="ar"/>
        </w:rPr>
      </w:pPr>
      <w:r>
        <w:rPr>
          <w:rFonts w:hint="eastAsia" w:ascii="仿宋_GB2312" w:hAnsi="Calibri" w:eastAsia="仿宋_GB2312" w:cs="仿宋_GB2312"/>
          <w:b/>
          <w:bCs/>
          <w:kern w:val="0"/>
          <w:sz w:val="32"/>
          <w:szCs w:val="32"/>
          <w:lang w:val="en-US" w:eastAsia="zh-CN" w:bidi="ar"/>
        </w:rPr>
        <w:t>（二）</w:t>
      </w:r>
      <w:r>
        <w:rPr>
          <w:rFonts w:hint="default" w:ascii="仿宋_GB2312" w:hAnsi="Calibri" w:eastAsia="仿宋_GB2312" w:cs="仿宋_GB2312"/>
          <w:b/>
          <w:bCs/>
          <w:kern w:val="0"/>
          <w:sz w:val="32"/>
          <w:szCs w:val="32"/>
          <w:lang w:val="en-US" w:eastAsia="zh-CN" w:bidi="ar"/>
        </w:rPr>
        <w:t>机构职能</w:t>
      </w:r>
    </w:p>
    <w:p>
      <w:pPr>
        <w:keepNext w:val="0"/>
        <w:keepLines w:val="0"/>
        <w:widowControl w:val="0"/>
        <w:numPr>
          <w:ilvl w:val="0"/>
          <w:numId w:val="0"/>
        </w:numPr>
        <w:suppressLineNumbers w:val="0"/>
        <w:spacing w:before="0" w:beforeAutospacing="0" w:after="0" w:afterAutospacing="0" w:line="360" w:lineRule="auto"/>
        <w:ind w:right="0" w:rightChars="0" w:firstLine="640" w:firstLineChars="200"/>
        <w:jc w:val="both"/>
        <w:rPr>
          <w:rFonts w:hint="default" w:ascii="仿宋_GB2312" w:hAnsi="Calibri" w:eastAsia="仿宋_GB2312" w:cs="仿宋_GB2312"/>
          <w:kern w:val="10"/>
          <w:sz w:val="32"/>
          <w:szCs w:val="32"/>
          <w:lang w:val="en-US" w:eastAsia="zh-CN" w:bidi="ar"/>
        </w:rPr>
      </w:pPr>
      <w:r>
        <w:rPr>
          <w:rFonts w:hint="default" w:ascii="仿宋_GB2312" w:hAnsi="Calibri" w:eastAsia="仿宋_GB2312" w:cs="仿宋_GB2312"/>
          <w:kern w:val="10"/>
          <w:sz w:val="32"/>
          <w:szCs w:val="32"/>
          <w:lang w:val="en-US" w:eastAsia="zh-CN" w:bidi="ar"/>
        </w:rPr>
        <w:t>依法加强寺庙宗教事务管理：一是加强寺庙管理。规范寺庙建设，严格落实寺庙建设“五评一审”制度，加强寺庙财务收支、文物保护等工作；二是加强僧人管理。健全完善并及时更新僧人基本信息台账</w:t>
      </w:r>
      <w:r>
        <w:rPr>
          <w:rFonts w:hint="eastAsia" w:ascii="仿宋_GB2312" w:hAnsi="Calibri" w:eastAsia="仿宋_GB2312" w:cs="仿宋_GB2312"/>
          <w:kern w:val="10"/>
          <w:sz w:val="32"/>
          <w:szCs w:val="32"/>
          <w:lang w:val="en-US" w:eastAsia="zh-CN" w:bidi="ar"/>
        </w:rPr>
        <w:t>，</w:t>
      </w:r>
      <w:r>
        <w:rPr>
          <w:rFonts w:hint="default" w:ascii="仿宋_GB2312" w:hAnsi="Calibri" w:eastAsia="仿宋_GB2312" w:cs="仿宋_GB2312"/>
          <w:kern w:val="10"/>
          <w:sz w:val="32"/>
          <w:szCs w:val="32"/>
          <w:lang w:val="en-US" w:eastAsia="zh-CN" w:bidi="ar"/>
        </w:rPr>
        <w:t>完善僧人证信息采集，僧人办理僧人证并持证住寺</w:t>
      </w:r>
      <w:r>
        <w:rPr>
          <w:rFonts w:hint="eastAsia" w:ascii="仿宋_GB2312" w:hAnsi="Calibri" w:eastAsia="仿宋_GB2312" w:cs="仿宋_GB2312"/>
          <w:kern w:val="10"/>
          <w:sz w:val="32"/>
          <w:szCs w:val="32"/>
          <w:lang w:val="en-US" w:eastAsia="zh-CN" w:bidi="ar"/>
        </w:rPr>
        <w:t>，</w:t>
      </w:r>
      <w:r>
        <w:rPr>
          <w:rFonts w:hint="default" w:ascii="仿宋_GB2312" w:hAnsi="Calibri" w:eastAsia="仿宋_GB2312" w:cs="仿宋_GB2312"/>
          <w:kern w:val="10"/>
          <w:sz w:val="32"/>
          <w:szCs w:val="32"/>
          <w:lang w:val="en-US" w:eastAsia="zh-CN" w:bidi="ar"/>
        </w:rPr>
        <w:t>严格落实僧人外出请销假制度。</w:t>
      </w:r>
    </w:p>
    <w:p>
      <w:pPr>
        <w:keepNext w:val="0"/>
        <w:keepLines w:val="0"/>
        <w:widowControl w:val="0"/>
        <w:numPr>
          <w:ilvl w:val="0"/>
          <w:numId w:val="0"/>
        </w:numPr>
        <w:suppressLineNumbers w:val="0"/>
        <w:spacing w:before="0" w:beforeAutospacing="0" w:after="0" w:afterAutospacing="0" w:line="360" w:lineRule="auto"/>
        <w:ind w:right="0" w:rightChars="0" w:firstLine="640" w:firstLineChars="200"/>
        <w:jc w:val="both"/>
        <w:rPr>
          <w:rFonts w:hint="default" w:ascii="仿宋_GB2312" w:hAnsi="Calibri" w:eastAsia="仿宋_GB2312" w:cs="仿宋_GB2312"/>
          <w:kern w:val="10"/>
          <w:sz w:val="32"/>
          <w:szCs w:val="32"/>
          <w:lang w:val="en-US" w:eastAsia="zh-CN" w:bidi="ar"/>
        </w:rPr>
      </w:pPr>
      <w:r>
        <w:rPr>
          <w:rFonts w:hint="default" w:ascii="仿宋_GB2312" w:hAnsi="Calibri" w:eastAsia="仿宋_GB2312" w:cs="仿宋_GB2312"/>
          <w:kern w:val="10"/>
          <w:sz w:val="32"/>
          <w:szCs w:val="32"/>
          <w:lang w:val="en-US" w:eastAsia="zh-CN" w:bidi="ar"/>
        </w:rPr>
        <w:t>加强教育引导：增强僧人国家意识、法治意识、公民意识，坚持不懈加强对僧人的教育引导。一是完善教育制度。把寺庙爱国主义教育和法治宣传教育常态化、制度化，引导僧人坚定不移守法持戒、爱国爱教。二是丰富教育。开展法治教育、政策教育、爱国教育、团结教育、教规教育。</w:t>
      </w:r>
    </w:p>
    <w:p>
      <w:pPr>
        <w:keepNext w:val="0"/>
        <w:keepLines w:val="0"/>
        <w:widowControl w:val="0"/>
        <w:numPr>
          <w:ilvl w:val="0"/>
          <w:numId w:val="0"/>
        </w:numPr>
        <w:suppressLineNumbers w:val="0"/>
        <w:spacing w:before="0" w:beforeAutospacing="0" w:after="0" w:afterAutospacing="0" w:line="360" w:lineRule="auto"/>
        <w:ind w:right="0" w:rightChars="0" w:firstLine="642" w:firstLineChars="200"/>
        <w:jc w:val="both"/>
        <w:rPr>
          <w:rFonts w:hint="default" w:ascii="仿宋_GB2312" w:hAnsi="Calibri" w:eastAsia="仿宋_GB2312" w:cs="仿宋_GB2312"/>
          <w:b/>
          <w:bCs/>
          <w:kern w:val="0"/>
          <w:sz w:val="32"/>
          <w:szCs w:val="32"/>
          <w:lang w:val="en-US" w:eastAsia="zh-CN" w:bidi="ar"/>
        </w:rPr>
      </w:pPr>
      <w:r>
        <w:rPr>
          <w:rFonts w:hint="eastAsia" w:ascii="仿宋_GB2312" w:hAnsi="Calibri" w:eastAsia="仿宋_GB2312" w:cs="仿宋_GB2312"/>
          <w:b/>
          <w:bCs/>
          <w:kern w:val="0"/>
          <w:sz w:val="32"/>
          <w:szCs w:val="32"/>
          <w:lang w:val="en-US" w:eastAsia="zh-CN" w:bidi="ar"/>
        </w:rPr>
        <w:t>（三）</w:t>
      </w:r>
      <w:r>
        <w:rPr>
          <w:rFonts w:hint="default" w:ascii="仿宋_GB2312" w:hAnsi="Calibri" w:eastAsia="仿宋_GB2312" w:cs="仿宋_GB2312"/>
          <w:b/>
          <w:bCs/>
          <w:kern w:val="0"/>
          <w:sz w:val="32"/>
          <w:szCs w:val="32"/>
          <w:lang w:val="en-US" w:eastAsia="zh-CN" w:bidi="ar"/>
        </w:rPr>
        <w:t>人员概况</w:t>
      </w:r>
    </w:p>
    <w:p>
      <w:pPr>
        <w:keepNext w:val="0"/>
        <w:keepLines w:val="0"/>
        <w:widowControl w:val="0"/>
        <w:suppressLineNumbers w:val="0"/>
        <w:spacing w:before="0" w:beforeAutospacing="0" w:after="0" w:afterAutospacing="0"/>
        <w:ind w:left="0" w:right="0" w:firstLine="800" w:firstLineChars="250"/>
        <w:jc w:val="both"/>
        <w:rPr>
          <w:rFonts w:hint="default" w:ascii="仿宋_GB2312" w:eastAsia="仿宋_GB2312" w:cs="仿宋_GB2312"/>
          <w:kern w:val="2"/>
          <w:sz w:val="32"/>
          <w:szCs w:val="32"/>
        </w:rPr>
      </w:pPr>
      <w:r>
        <w:rPr>
          <w:rFonts w:hint="default" w:ascii="仿宋_GB2312" w:hAnsi="宋体" w:eastAsia="仿宋_GB2312" w:cs="仿宋_GB2312"/>
          <w:kern w:val="0"/>
          <w:sz w:val="32"/>
          <w:szCs w:val="32"/>
          <w:lang w:val="en-US" w:eastAsia="zh-CN" w:bidi="ar"/>
        </w:rPr>
        <w:t>人员情况：总编制7名</w:t>
      </w:r>
      <w:r>
        <w:rPr>
          <w:rFonts w:hint="default" w:ascii="仿宋_GB2312" w:hAnsi="Calibri" w:eastAsia="仿宋_GB2312" w:cs="仿宋_GB2312"/>
          <w:kern w:val="2"/>
          <w:sz w:val="32"/>
          <w:szCs w:val="32"/>
          <w:lang w:val="en-US" w:eastAsia="zh-CN" w:bidi="ar"/>
        </w:rPr>
        <w:t>。</w:t>
      </w:r>
    </w:p>
    <w:p>
      <w:pPr>
        <w:keepNext w:val="0"/>
        <w:keepLines w:val="0"/>
        <w:widowControl w:val="0"/>
        <w:numPr>
          <w:ilvl w:val="0"/>
          <w:numId w:val="0"/>
        </w:numPr>
        <w:suppressLineNumbers w:val="0"/>
        <w:spacing w:before="0" w:beforeAutospacing="0" w:after="0" w:afterAutospacing="0" w:line="360" w:lineRule="auto"/>
        <w:ind w:leftChars="0" w:right="0" w:rightChars="0" w:firstLine="642" w:firstLineChars="200"/>
        <w:jc w:val="both"/>
        <w:rPr>
          <w:rFonts w:hint="default" w:ascii="仿宋_GB2312" w:hAnsi="Calibri" w:eastAsia="仿宋_GB2312" w:cs="仿宋_GB2312"/>
          <w:b/>
          <w:bCs/>
          <w:kern w:val="0"/>
          <w:sz w:val="32"/>
          <w:szCs w:val="32"/>
          <w:lang w:val="en-US" w:eastAsia="zh-CN" w:bidi="ar"/>
        </w:rPr>
      </w:pPr>
      <w:r>
        <w:rPr>
          <w:rFonts w:hint="eastAsia" w:ascii="仿宋_GB2312" w:hAnsi="Calibri" w:eastAsia="仿宋_GB2312" w:cs="仿宋_GB2312"/>
          <w:b/>
          <w:bCs/>
          <w:kern w:val="0"/>
          <w:sz w:val="32"/>
          <w:szCs w:val="32"/>
          <w:lang w:val="en-US" w:eastAsia="zh-CN" w:bidi="ar"/>
        </w:rPr>
        <w:t>二、</w:t>
      </w:r>
      <w:r>
        <w:rPr>
          <w:rFonts w:hint="default" w:ascii="仿宋_GB2312" w:hAnsi="Calibri" w:eastAsia="仿宋_GB2312" w:cs="仿宋_GB2312"/>
          <w:b/>
          <w:bCs/>
          <w:kern w:val="0"/>
          <w:sz w:val="32"/>
          <w:szCs w:val="32"/>
          <w:lang w:val="en-US" w:eastAsia="zh-CN" w:bidi="ar"/>
        </w:rPr>
        <w:t>预算管理情况</w:t>
      </w:r>
    </w:p>
    <w:p>
      <w:pPr>
        <w:keepNext w:val="0"/>
        <w:keepLines w:val="0"/>
        <w:widowControl w:val="0"/>
        <w:numPr>
          <w:ilvl w:val="0"/>
          <w:numId w:val="0"/>
        </w:numPr>
        <w:suppressLineNumbers w:val="0"/>
        <w:spacing w:before="0" w:beforeAutospacing="0" w:after="0" w:afterAutospacing="0" w:line="360" w:lineRule="auto"/>
        <w:ind w:leftChars="0" w:right="0" w:rightChars="0" w:firstLine="642" w:firstLineChars="200"/>
        <w:jc w:val="both"/>
        <w:rPr>
          <w:rFonts w:hint="default" w:ascii="仿宋_GB2312" w:eastAsia="仿宋_GB2312" w:cs="仿宋_GB2312"/>
          <w:b/>
          <w:bCs/>
          <w:kern w:val="0"/>
          <w:sz w:val="32"/>
          <w:szCs w:val="32"/>
        </w:rPr>
      </w:pPr>
      <w:r>
        <w:rPr>
          <w:rFonts w:hint="default" w:ascii="仿宋_GB2312" w:hAnsi="Calibri" w:eastAsia="仿宋_GB2312" w:cs="仿宋_GB2312"/>
          <w:b/>
          <w:bCs/>
          <w:kern w:val="0"/>
          <w:sz w:val="32"/>
          <w:szCs w:val="32"/>
          <w:lang w:val="en-US" w:eastAsia="zh-CN" w:bidi="ar"/>
        </w:rPr>
        <w:t>（一）预算编制情况</w:t>
      </w:r>
    </w:p>
    <w:p>
      <w:pPr>
        <w:pStyle w:val="20"/>
        <w:keepNext w:val="0"/>
        <w:keepLines w:val="0"/>
        <w:widowControl w:val="0"/>
        <w:suppressLineNumbers w:val="0"/>
        <w:spacing w:before="0" w:beforeAutospacing="0" w:after="0" w:afterAutospacing="0" w:line="360" w:lineRule="auto"/>
        <w:ind w:left="0" w:right="0" w:firstLine="640" w:firstLineChars="200"/>
        <w:jc w:val="both"/>
        <w:rPr>
          <w:rFonts w:hint="default" w:ascii="仿宋_GB2312" w:eastAsia="仿宋_GB2312" w:cs="仿宋_GB2312"/>
          <w:kern w:val="2"/>
          <w:sz w:val="32"/>
          <w:szCs w:val="32"/>
        </w:rPr>
      </w:pPr>
      <w:r>
        <w:rPr>
          <w:rFonts w:hint="default" w:ascii="仿宋_GB2312" w:hAnsi="Calibri" w:eastAsia="仿宋_GB2312" w:cs="仿宋_GB2312"/>
          <w:kern w:val="2"/>
          <w:sz w:val="32"/>
          <w:szCs w:val="32"/>
          <w:lang w:val="en-US" w:eastAsia="zh-CN" w:bidi="ar"/>
        </w:rPr>
        <w:t xml:space="preserve">2021年财政下达壤塘县三郎寺寺庙管理委员会年初预算收入116.20万元，执行期中追加收入32.54万元。   </w:t>
      </w:r>
    </w:p>
    <w:p>
      <w:pPr>
        <w:pStyle w:val="20"/>
        <w:keepNext w:val="0"/>
        <w:keepLines w:val="0"/>
        <w:widowControl w:val="0"/>
        <w:suppressLineNumbers w:val="0"/>
        <w:spacing w:before="0" w:beforeAutospacing="0" w:after="0" w:afterAutospacing="0" w:line="360" w:lineRule="auto"/>
        <w:ind w:left="0" w:right="0" w:firstLine="640" w:firstLineChars="200"/>
        <w:jc w:val="both"/>
        <w:rPr>
          <w:rFonts w:hint="default" w:ascii="仿宋_GB2312" w:eastAsia="仿宋_GB2312" w:cs="仿宋_GB2312"/>
          <w:kern w:val="2"/>
          <w:sz w:val="32"/>
          <w:szCs w:val="32"/>
        </w:rPr>
      </w:pPr>
      <w:r>
        <w:rPr>
          <w:rFonts w:hint="default" w:ascii="仿宋_GB2312" w:hAnsi="Calibri" w:eastAsia="仿宋_GB2312" w:cs="仿宋_GB2312"/>
          <w:kern w:val="2"/>
          <w:sz w:val="32"/>
          <w:szCs w:val="32"/>
          <w:lang w:val="en-US" w:eastAsia="zh-CN" w:bidi="ar"/>
        </w:rPr>
        <w:t>2021年壤塘三郎寺寺庙管理委员会共计预算支出116.20万元，基本支出113.20万元，项目支出3.00万元。</w:t>
      </w:r>
    </w:p>
    <w:p>
      <w:pPr>
        <w:keepNext w:val="0"/>
        <w:keepLines w:val="0"/>
        <w:widowControl w:val="0"/>
        <w:numPr>
          <w:ilvl w:val="0"/>
          <w:numId w:val="4"/>
        </w:numPr>
        <w:suppressLineNumbers w:val="0"/>
        <w:spacing w:before="0" w:beforeAutospacing="0" w:after="0" w:afterAutospacing="0" w:line="360" w:lineRule="auto"/>
        <w:ind w:left="0" w:right="0" w:firstLine="642" w:firstLineChars="200"/>
        <w:jc w:val="both"/>
        <w:rPr>
          <w:rFonts w:hint="default" w:ascii="仿宋_GB2312" w:eastAsia="仿宋_GB2312" w:cs="仿宋_GB2312"/>
          <w:b/>
          <w:bCs/>
          <w:kern w:val="0"/>
          <w:sz w:val="32"/>
          <w:szCs w:val="32"/>
        </w:rPr>
      </w:pPr>
      <w:r>
        <w:rPr>
          <w:rFonts w:hint="default" w:ascii="仿宋_GB2312" w:hAnsi="Calibri" w:eastAsia="仿宋_GB2312" w:cs="仿宋_GB2312"/>
          <w:b/>
          <w:bCs/>
          <w:kern w:val="0"/>
          <w:sz w:val="32"/>
          <w:szCs w:val="32"/>
          <w:lang w:val="en-US" w:eastAsia="zh-CN" w:bidi="ar"/>
        </w:rPr>
        <w:t>预算执行情况</w:t>
      </w:r>
    </w:p>
    <w:p>
      <w:pPr>
        <w:pStyle w:val="20"/>
        <w:keepNext w:val="0"/>
        <w:keepLines w:val="0"/>
        <w:widowControl w:val="0"/>
        <w:suppressLineNumbers w:val="0"/>
        <w:spacing w:before="0" w:beforeAutospacing="0" w:after="0" w:afterAutospacing="0" w:line="360" w:lineRule="auto"/>
        <w:ind w:left="0" w:right="0" w:firstLine="640" w:firstLineChars="200"/>
        <w:jc w:val="both"/>
        <w:rPr>
          <w:rFonts w:hint="default" w:ascii="仿宋_GB2312" w:eastAsia="仿宋_GB2312" w:cs="仿宋_GB2312"/>
          <w:kern w:val="2"/>
          <w:sz w:val="32"/>
          <w:szCs w:val="32"/>
        </w:rPr>
      </w:pPr>
      <w:r>
        <w:rPr>
          <w:rFonts w:hint="default" w:ascii="仿宋_GB2312" w:hAnsi="Calibri" w:eastAsia="仿宋_GB2312" w:cs="仿宋_GB2312"/>
          <w:kern w:val="2"/>
          <w:sz w:val="32"/>
          <w:szCs w:val="32"/>
          <w:lang w:val="en-US" w:eastAsia="zh-CN" w:bidi="ar"/>
        </w:rPr>
        <w:t>壤塘县三郎寺寺庙管理委员会2021年财政拨款收入：共计148.74万元，2020年财政拨款132.68万元，比上年减少16.06万元，减少12.10%，主要变动原因是人员经费减少。</w:t>
      </w:r>
    </w:p>
    <w:p>
      <w:pPr>
        <w:keepNext w:val="0"/>
        <w:keepLines w:val="0"/>
        <w:widowControl w:val="0"/>
        <w:suppressLineNumbers w:val="0"/>
        <w:spacing w:before="0" w:beforeAutospacing="0" w:after="0" w:afterAutospacing="0" w:line="360" w:lineRule="auto"/>
        <w:ind w:left="0" w:right="0" w:firstLine="642" w:firstLineChars="200"/>
        <w:jc w:val="both"/>
        <w:rPr>
          <w:rFonts w:hint="default" w:ascii="仿宋_GB2312" w:eastAsia="仿宋_GB2312" w:cs="仿宋_GB2312"/>
          <w:b/>
          <w:bCs/>
          <w:kern w:val="0"/>
          <w:sz w:val="32"/>
          <w:szCs w:val="32"/>
        </w:rPr>
      </w:pPr>
      <w:r>
        <w:rPr>
          <w:rFonts w:hint="default" w:ascii="仿宋_GB2312" w:hAnsi="Calibri" w:eastAsia="仿宋_GB2312" w:cs="仿宋_GB2312"/>
          <w:b/>
          <w:bCs/>
          <w:kern w:val="0"/>
          <w:sz w:val="32"/>
          <w:szCs w:val="32"/>
          <w:lang w:val="en-US" w:eastAsia="zh-CN" w:bidi="ar"/>
        </w:rPr>
        <w:t>三、部门管理情况</w:t>
      </w:r>
    </w:p>
    <w:p>
      <w:pPr>
        <w:pStyle w:val="20"/>
        <w:keepNext w:val="0"/>
        <w:keepLines w:val="0"/>
        <w:widowControl w:val="0"/>
        <w:suppressLineNumbers w:val="0"/>
        <w:spacing w:before="0" w:beforeAutospacing="0" w:after="0" w:afterAutospacing="0" w:line="360" w:lineRule="auto"/>
        <w:ind w:left="0" w:right="0" w:firstLine="642" w:firstLineChars="200"/>
        <w:jc w:val="both"/>
        <w:rPr>
          <w:rFonts w:hint="default" w:ascii="仿宋_GB2312" w:eastAsia="仿宋_GB2312" w:cs="仿宋_GB2312"/>
          <w:b/>
          <w:bCs/>
          <w:kern w:val="0"/>
          <w:sz w:val="32"/>
          <w:szCs w:val="32"/>
        </w:rPr>
      </w:pPr>
      <w:r>
        <w:rPr>
          <w:rFonts w:hint="default" w:ascii="仿宋_GB2312" w:hAnsi="Calibri" w:eastAsia="仿宋_GB2312" w:cs="仿宋_GB2312"/>
          <w:b/>
          <w:bCs/>
          <w:kern w:val="0"/>
          <w:sz w:val="32"/>
          <w:szCs w:val="32"/>
          <w:lang w:val="en-US" w:eastAsia="zh-CN" w:bidi="ar"/>
        </w:rPr>
        <w:t>（一）基础管理</w:t>
      </w:r>
    </w:p>
    <w:p>
      <w:pPr>
        <w:pStyle w:val="20"/>
        <w:keepNext w:val="0"/>
        <w:keepLines w:val="0"/>
        <w:widowControl w:val="0"/>
        <w:suppressLineNumbers w:val="0"/>
        <w:spacing w:before="0" w:beforeAutospacing="0" w:after="0" w:afterAutospacing="0" w:line="360" w:lineRule="auto"/>
        <w:ind w:left="0" w:right="0" w:firstLine="642" w:firstLineChars="200"/>
        <w:jc w:val="both"/>
        <w:rPr>
          <w:rFonts w:hint="default" w:ascii="仿宋_GB2312" w:eastAsia="仿宋_GB2312" w:cs="仿宋_GB2312"/>
          <w:kern w:val="0"/>
          <w:sz w:val="32"/>
          <w:szCs w:val="32"/>
        </w:rPr>
      </w:pPr>
      <w:r>
        <w:rPr>
          <w:rFonts w:hint="default" w:ascii="仿宋_GB2312" w:hAnsi="Calibri" w:eastAsia="仿宋_GB2312" w:cs="仿宋_GB2312"/>
          <w:b/>
          <w:bCs/>
          <w:kern w:val="0"/>
          <w:sz w:val="32"/>
          <w:szCs w:val="32"/>
          <w:lang w:val="en-US" w:eastAsia="zh-CN" w:bidi="ar"/>
        </w:rPr>
        <w:t>1、管理制度健全性</w:t>
      </w:r>
    </w:p>
    <w:p>
      <w:pPr>
        <w:pStyle w:val="20"/>
        <w:keepNext w:val="0"/>
        <w:keepLines w:val="0"/>
        <w:widowControl w:val="0"/>
        <w:suppressLineNumbers w:val="0"/>
        <w:spacing w:before="0" w:beforeAutospacing="0" w:after="0" w:afterAutospacing="0" w:line="360" w:lineRule="auto"/>
        <w:ind w:left="0" w:right="0" w:firstLine="640" w:firstLineChars="200"/>
        <w:jc w:val="both"/>
        <w:rPr>
          <w:rFonts w:hint="default" w:ascii="仿宋_GB2312" w:eastAsia="仿宋_GB2312" w:cs="仿宋_GB2312"/>
          <w:kern w:val="2"/>
          <w:sz w:val="32"/>
          <w:szCs w:val="32"/>
        </w:rPr>
      </w:pPr>
      <w:r>
        <w:rPr>
          <w:rFonts w:hint="default" w:ascii="仿宋_GB2312" w:hAnsi="Calibri" w:eastAsia="仿宋_GB2312" w:cs="仿宋_GB2312"/>
          <w:kern w:val="2"/>
          <w:sz w:val="32"/>
          <w:szCs w:val="32"/>
          <w:lang w:val="en-US" w:eastAsia="zh-CN" w:bidi="ar"/>
        </w:rPr>
        <w:t>壤塘县三郎寺寺庙管理委员会根据财政部颁布《行政单位内部控制规范》、《关于全部推进行政单位内部控制建设的指导意见》文件要求等法律法规及规章制度规定，结合单位实际情况，在对单位主要经济活动及业务流程梳理分析的基础上，初步建立覆盖本单位经济活动的内部控制体系，形成一系列的内部管理制度。主要包括有值班管理制度、档案管理制度、印章管理制度、会计核算管理制度、厉行节约管理措施、内部财务管理制度、预算资金管理办法等内部管理制度,另还有公文管理制度、督查管理制度在建；以上相关管理制度合法、合规、完整，均得到了有效执行。</w:t>
      </w:r>
    </w:p>
    <w:p>
      <w:pPr>
        <w:pStyle w:val="20"/>
        <w:keepNext w:val="0"/>
        <w:keepLines w:val="0"/>
        <w:widowControl w:val="0"/>
        <w:suppressLineNumbers w:val="0"/>
        <w:spacing w:before="0" w:beforeAutospacing="0" w:after="0" w:afterAutospacing="0" w:line="360" w:lineRule="auto"/>
        <w:ind w:left="420" w:leftChars="200" w:right="0" w:firstLine="0" w:firstLineChars="0"/>
        <w:jc w:val="both"/>
        <w:rPr>
          <w:rFonts w:hint="default" w:ascii="仿宋_GB2312" w:eastAsia="仿宋_GB2312" w:cs="仿宋_GB2312"/>
          <w:b/>
          <w:bCs/>
          <w:kern w:val="0"/>
          <w:sz w:val="32"/>
          <w:szCs w:val="32"/>
        </w:rPr>
      </w:pPr>
      <w:r>
        <w:rPr>
          <w:rFonts w:hint="default" w:ascii="仿宋_GB2312" w:hAnsi="Calibri" w:eastAsia="仿宋_GB2312" w:cs="仿宋_GB2312"/>
          <w:b/>
          <w:bCs/>
          <w:kern w:val="0"/>
          <w:sz w:val="32"/>
          <w:szCs w:val="32"/>
          <w:lang w:val="en-US" w:eastAsia="zh-CN" w:bidi="ar"/>
        </w:rPr>
        <w:t>2、财务管理以及资金使用合规性</w:t>
      </w:r>
    </w:p>
    <w:p>
      <w:pPr>
        <w:keepNext w:val="0"/>
        <w:keepLines w:val="0"/>
        <w:widowControl w:val="0"/>
        <w:suppressLineNumbers w:val="0"/>
        <w:spacing w:before="0" w:beforeAutospacing="0" w:after="0" w:afterAutospacing="0" w:line="360" w:lineRule="auto"/>
        <w:ind w:left="0" w:right="0" w:firstLine="640" w:firstLineChars="200"/>
        <w:jc w:val="both"/>
        <w:rPr>
          <w:rFonts w:hint="default" w:ascii="仿宋_GB2312" w:eastAsia="仿宋_GB2312" w:cs="仿宋_GB2312"/>
          <w:kern w:val="2"/>
          <w:sz w:val="32"/>
          <w:szCs w:val="32"/>
        </w:rPr>
      </w:pPr>
      <w:r>
        <w:rPr>
          <w:rFonts w:hint="default" w:ascii="仿宋_GB2312" w:hAnsi="Calibri" w:eastAsia="仿宋_GB2312" w:cs="仿宋_GB2312"/>
          <w:kern w:val="2"/>
          <w:sz w:val="32"/>
          <w:szCs w:val="32"/>
          <w:lang w:val="en-US" w:eastAsia="zh-CN" w:bidi="ar"/>
        </w:rPr>
        <w:t>壤塘三郎寺寺庙管理委员会本年度资金使用过程中严格按照单位财务管理制度要求执行，资金使用的合规性体现在：</w:t>
      </w:r>
    </w:p>
    <w:p>
      <w:pPr>
        <w:keepNext w:val="0"/>
        <w:keepLines w:val="0"/>
        <w:widowControl w:val="0"/>
        <w:suppressLineNumbers w:val="0"/>
        <w:spacing w:before="0" w:beforeAutospacing="0" w:after="0" w:afterAutospacing="0" w:line="360" w:lineRule="auto"/>
        <w:ind w:left="0" w:right="0" w:firstLine="640" w:firstLineChars="200"/>
        <w:jc w:val="both"/>
        <w:rPr>
          <w:rFonts w:hint="default" w:ascii="仿宋_GB2312" w:eastAsia="仿宋_GB2312" w:cs="仿宋_GB2312"/>
          <w:kern w:val="2"/>
          <w:sz w:val="32"/>
          <w:szCs w:val="32"/>
        </w:rPr>
      </w:pPr>
      <w:r>
        <w:rPr>
          <w:rFonts w:hint="default" w:ascii="仿宋_GB2312" w:hAnsi="Calibri" w:eastAsia="仿宋_GB2312" w:cs="仿宋_GB2312"/>
          <w:kern w:val="2"/>
          <w:sz w:val="32"/>
          <w:szCs w:val="32"/>
          <w:lang w:val="en-US" w:eastAsia="zh-CN" w:bidi="ar"/>
        </w:rPr>
        <w:t>1.所有经费开支坚持财务审批制度，重大资金支出由镇党组会、职工大会、村两委会议研究决定。</w:t>
      </w:r>
    </w:p>
    <w:p>
      <w:pPr>
        <w:keepNext w:val="0"/>
        <w:keepLines w:val="0"/>
        <w:widowControl w:val="0"/>
        <w:suppressLineNumbers w:val="0"/>
        <w:spacing w:before="0" w:beforeAutospacing="0" w:after="0" w:afterAutospacing="0" w:line="360" w:lineRule="auto"/>
        <w:ind w:left="0" w:right="0" w:firstLine="640" w:firstLineChars="200"/>
        <w:jc w:val="both"/>
        <w:rPr>
          <w:rFonts w:hint="default" w:ascii="仿宋_GB2312" w:eastAsia="仿宋_GB2312" w:cs="仿宋_GB2312"/>
          <w:kern w:val="2"/>
          <w:sz w:val="32"/>
          <w:szCs w:val="32"/>
        </w:rPr>
      </w:pPr>
      <w:r>
        <w:rPr>
          <w:rFonts w:hint="default" w:ascii="仿宋_GB2312" w:hAnsi="Calibri" w:eastAsia="仿宋_GB2312" w:cs="仿宋_GB2312"/>
          <w:kern w:val="2"/>
          <w:sz w:val="32"/>
          <w:szCs w:val="32"/>
          <w:lang w:val="en-US" w:eastAsia="zh-CN" w:bidi="ar"/>
        </w:rPr>
        <w:t>2.在报销经费时，经办人使用统一规范的审批单，在审批单上写明用途、经办人员、股室负责人、财务负责人、单位领导、金额、报销日期等内容。</w:t>
      </w:r>
    </w:p>
    <w:p>
      <w:pPr>
        <w:keepNext w:val="0"/>
        <w:keepLines w:val="0"/>
        <w:widowControl w:val="0"/>
        <w:suppressLineNumbers w:val="0"/>
        <w:spacing w:before="0" w:beforeAutospacing="0" w:after="0" w:afterAutospacing="0" w:line="360" w:lineRule="auto"/>
        <w:ind w:left="0" w:right="0" w:firstLine="640" w:firstLineChars="200"/>
        <w:jc w:val="both"/>
        <w:rPr>
          <w:rFonts w:hint="default" w:ascii="仿宋_GB2312" w:eastAsia="仿宋_GB2312" w:cs="仿宋_GB2312"/>
          <w:kern w:val="2"/>
          <w:sz w:val="32"/>
          <w:szCs w:val="32"/>
        </w:rPr>
      </w:pPr>
      <w:r>
        <w:rPr>
          <w:rFonts w:hint="default" w:ascii="仿宋_GB2312" w:hAnsi="Calibri" w:eastAsia="仿宋_GB2312" w:cs="仿宋_GB2312"/>
          <w:kern w:val="2"/>
          <w:sz w:val="32"/>
          <w:szCs w:val="32"/>
          <w:lang w:val="en-US" w:eastAsia="zh-CN" w:bidi="ar"/>
        </w:rPr>
        <w:t xml:space="preserve">3.费用报销审批程序  </w:t>
      </w:r>
    </w:p>
    <w:p>
      <w:pPr>
        <w:keepNext w:val="0"/>
        <w:keepLines w:val="0"/>
        <w:widowControl w:val="0"/>
        <w:suppressLineNumbers w:val="0"/>
        <w:spacing w:before="0" w:beforeAutospacing="0" w:after="0" w:afterAutospacing="0" w:line="360" w:lineRule="auto"/>
        <w:ind w:left="0" w:right="0" w:firstLine="640" w:firstLineChars="200"/>
        <w:jc w:val="both"/>
        <w:rPr>
          <w:rFonts w:hint="default" w:ascii="仿宋_GB2312" w:eastAsia="仿宋_GB2312" w:cs="仿宋_GB2312"/>
          <w:kern w:val="2"/>
          <w:sz w:val="32"/>
          <w:szCs w:val="32"/>
        </w:rPr>
      </w:pPr>
      <w:r>
        <w:rPr>
          <w:rFonts w:hint="default" w:ascii="仿宋_GB2312" w:hAnsi="Calibri" w:eastAsia="仿宋_GB2312" w:cs="仿宋_GB2312"/>
          <w:kern w:val="2"/>
          <w:sz w:val="32"/>
          <w:szCs w:val="32"/>
          <w:lang w:val="en-US" w:eastAsia="zh-CN" w:bidi="ar"/>
        </w:rPr>
        <w:t>经办人填写报销单→由业务科室负责人确认签字→财务人员核签字→财务分管领导确认批准后，到财务出纳处办理支付手续。</w:t>
      </w:r>
    </w:p>
    <w:p>
      <w:pPr>
        <w:keepNext w:val="0"/>
        <w:keepLines w:val="0"/>
        <w:widowControl w:val="0"/>
        <w:suppressLineNumbers w:val="0"/>
        <w:spacing w:before="0" w:beforeAutospacing="0" w:after="0" w:afterAutospacing="0" w:line="360" w:lineRule="auto"/>
        <w:ind w:left="0" w:right="0" w:firstLine="640" w:firstLineChars="200"/>
        <w:jc w:val="both"/>
        <w:rPr>
          <w:rFonts w:hint="default" w:ascii="仿宋_GB2312" w:eastAsia="仿宋_GB2312" w:cs="仿宋_GB2312"/>
          <w:kern w:val="2"/>
          <w:sz w:val="32"/>
          <w:szCs w:val="32"/>
        </w:rPr>
      </w:pPr>
      <w:r>
        <w:rPr>
          <w:rFonts w:hint="default" w:ascii="仿宋_GB2312" w:hAnsi="Calibri" w:eastAsia="仿宋_GB2312" w:cs="仿宋_GB2312"/>
          <w:kern w:val="2"/>
          <w:sz w:val="32"/>
          <w:szCs w:val="32"/>
          <w:lang w:val="en-US" w:eastAsia="zh-CN" w:bidi="ar"/>
        </w:rPr>
        <w:t>各个审批环节的具体职责：</w:t>
      </w:r>
    </w:p>
    <w:p>
      <w:pPr>
        <w:keepNext w:val="0"/>
        <w:keepLines w:val="0"/>
        <w:widowControl w:val="0"/>
        <w:suppressLineNumbers w:val="0"/>
        <w:spacing w:before="0" w:beforeAutospacing="0" w:after="0" w:afterAutospacing="0" w:line="360" w:lineRule="auto"/>
        <w:ind w:left="0" w:right="0" w:firstLine="640" w:firstLineChars="200"/>
        <w:jc w:val="both"/>
        <w:rPr>
          <w:rFonts w:hint="default" w:ascii="仿宋_GB2312" w:eastAsia="仿宋_GB2312" w:cs="仿宋_GB2312"/>
          <w:kern w:val="2"/>
          <w:sz w:val="32"/>
          <w:szCs w:val="32"/>
        </w:rPr>
      </w:pPr>
      <w:r>
        <w:rPr>
          <w:rFonts w:hint="default" w:ascii="仿宋_GB2312" w:hAnsi="Calibri" w:eastAsia="仿宋_GB2312" w:cs="仿宋_GB2312"/>
          <w:kern w:val="2"/>
          <w:sz w:val="32"/>
          <w:szCs w:val="32"/>
          <w:lang w:val="en-US" w:eastAsia="zh-CN" w:bidi="ar"/>
        </w:rPr>
        <w:t>业务科室负责人及其分管领导对其发生的支出用途及金额的真实性、准确性负责，并对其科室填写的支出审批单内容、大小写金额、票据张数进行审核。经济业务发生后，原则上在30天之内报账完毕。不得将几个经济事项的票据合并填报。</w:t>
      </w:r>
    </w:p>
    <w:p>
      <w:pPr>
        <w:keepNext w:val="0"/>
        <w:keepLines w:val="0"/>
        <w:widowControl w:val="0"/>
        <w:suppressLineNumbers w:val="0"/>
        <w:spacing w:before="0" w:beforeAutospacing="0" w:after="0" w:afterAutospacing="0" w:line="360" w:lineRule="auto"/>
        <w:ind w:left="0" w:right="0" w:firstLine="640" w:firstLineChars="200"/>
        <w:jc w:val="both"/>
        <w:rPr>
          <w:rFonts w:hint="default" w:ascii="仿宋_GB2312" w:eastAsia="仿宋_GB2312" w:cs="仿宋_GB2312"/>
          <w:kern w:val="2"/>
          <w:sz w:val="32"/>
          <w:szCs w:val="32"/>
        </w:rPr>
      </w:pPr>
      <w:r>
        <w:rPr>
          <w:rFonts w:hint="default" w:ascii="仿宋_GB2312" w:hAnsi="Calibri" w:eastAsia="仿宋_GB2312" w:cs="仿宋_GB2312"/>
          <w:kern w:val="2"/>
          <w:sz w:val="32"/>
          <w:szCs w:val="32"/>
          <w:lang w:val="en-US" w:eastAsia="zh-CN" w:bidi="ar"/>
        </w:rPr>
        <w:t>财务室对提供的原始票据的合法性进行审核监督。审核发票是否真实合法、填写是否规范、印章是否齐全、报销金额与原始票据是否相符；审核是否符合审批程序；审核是否在预算额度内、在审计金额内按进度、按比例、按范围付款。对不符合规定的票据，财务有权拒绝受理。</w:t>
      </w:r>
    </w:p>
    <w:p>
      <w:pPr>
        <w:keepNext w:val="0"/>
        <w:keepLines w:val="0"/>
        <w:widowControl w:val="0"/>
        <w:suppressLineNumbers w:val="0"/>
        <w:spacing w:before="0" w:beforeAutospacing="0" w:after="0" w:afterAutospacing="0" w:line="360" w:lineRule="auto"/>
        <w:ind w:left="0" w:right="0" w:firstLine="640" w:firstLineChars="200"/>
        <w:jc w:val="both"/>
        <w:rPr>
          <w:rFonts w:hint="default" w:ascii="仿宋_GB2312" w:eastAsia="仿宋_GB2312" w:cs="仿宋_GB2312"/>
          <w:kern w:val="2"/>
          <w:sz w:val="32"/>
          <w:szCs w:val="32"/>
        </w:rPr>
      </w:pPr>
      <w:r>
        <w:rPr>
          <w:rFonts w:hint="default" w:ascii="仿宋_GB2312" w:hAnsi="Calibri" w:eastAsia="仿宋_GB2312" w:cs="仿宋_GB2312"/>
          <w:kern w:val="2"/>
          <w:sz w:val="32"/>
          <w:szCs w:val="32"/>
          <w:lang w:val="en-US" w:eastAsia="zh-CN" w:bidi="ar"/>
        </w:rPr>
        <w:t>各审批领导审查财务收支的真实性、合法性、必要性，并在报销凭证上明确签署报销意见。</w:t>
      </w:r>
    </w:p>
    <w:p>
      <w:pPr>
        <w:keepNext w:val="0"/>
        <w:keepLines w:val="0"/>
        <w:widowControl w:val="0"/>
        <w:suppressLineNumbers w:val="0"/>
        <w:spacing w:before="0" w:beforeAutospacing="0" w:after="0" w:afterAutospacing="0" w:line="360" w:lineRule="auto"/>
        <w:ind w:left="0" w:right="0" w:firstLine="640" w:firstLineChars="200"/>
        <w:jc w:val="both"/>
        <w:rPr>
          <w:rFonts w:hint="default" w:ascii="仿宋_GB2312" w:eastAsia="仿宋_GB2312" w:cs="仿宋_GB2312"/>
          <w:kern w:val="2"/>
          <w:sz w:val="32"/>
          <w:szCs w:val="32"/>
        </w:rPr>
      </w:pPr>
      <w:r>
        <w:rPr>
          <w:rFonts w:hint="default" w:ascii="仿宋_GB2312" w:hAnsi="Calibri" w:eastAsia="仿宋_GB2312" w:cs="仿宋_GB2312"/>
          <w:kern w:val="2"/>
          <w:sz w:val="32"/>
          <w:szCs w:val="32"/>
          <w:lang w:val="en-US" w:eastAsia="zh-CN" w:bidi="ar"/>
        </w:rPr>
        <w:t>所有费用报销实行单位负责人“一支笔”签批制度。</w:t>
      </w:r>
    </w:p>
    <w:p>
      <w:pPr>
        <w:keepNext w:val="0"/>
        <w:keepLines w:val="0"/>
        <w:widowControl w:val="0"/>
        <w:suppressLineNumbers w:val="0"/>
        <w:spacing w:before="0" w:beforeAutospacing="0" w:after="0" w:afterAutospacing="0" w:line="360" w:lineRule="auto"/>
        <w:ind w:left="0" w:right="0" w:firstLine="640" w:firstLineChars="200"/>
        <w:jc w:val="both"/>
        <w:rPr>
          <w:rFonts w:hint="default" w:ascii="仿宋_GB2312" w:eastAsia="仿宋_GB2312" w:cs="仿宋_GB2312"/>
          <w:kern w:val="2"/>
          <w:sz w:val="32"/>
          <w:szCs w:val="32"/>
        </w:rPr>
      </w:pPr>
      <w:r>
        <w:rPr>
          <w:rFonts w:hint="default" w:ascii="仿宋_GB2312" w:hAnsi="Calibri" w:eastAsia="仿宋_GB2312" w:cs="仿宋_GB2312"/>
          <w:kern w:val="2"/>
          <w:sz w:val="32"/>
          <w:szCs w:val="32"/>
          <w:lang w:val="en-US" w:eastAsia="zh-CN" w:bidi="ar"/>
        </w:rPr>
        <w:t>出纳人员对已经审批后的支出票据必须进行复核（复核票据张数、金额、审批程序），对不符合规定的票据有权拒绝支付并立即向机关领导报告。严格控制现金支付，原则上采用公务卡和转账结算。会计人员进行会计核算时，对不符合财经管理规定的票据有权拒绝接受并应立即报告。</w:t>
      </w:r>
    </w:p>
    <w:p>
      <w:pPr>
        <w:pStyle w:val="20"/>
        <w:keepNext w:val="0"/>
        <w:keepLines w:val="0"/>
        <w:widowControl w:val="0"/>
        <w:suppressLineNumbers w:val="0"/>
        <w:spacing w:before="0" w:beforeAutospacing="0" w:after="0" w:afterAutospacing="0" w:line="360" w:lineRule="auto"/>
        <w:ind w:left="0" w:right="0" w:firstLine="642" w:firstLineChars="200"/>
        <w:jc w:val="both"/>
        <w:rPr>
          <w:rFonts w:hint="default" w:ascii="仿宋_GB2312" w:eastAsia="仿宋_GB2312" w:cs="仿宋_GB2312"/>
          <w:b/>
          <w:bCs/>
          <w:kern w:val="2"/>
          <w:sz w:val="32"/>
          <w:szCs w:val="32"/>
        </w:rPr>
      </w:pPr>
      <w:r>
        <w:rPr>
          <w:rFonts w:hint="default" w:ascii="仿宋_GB2312" w:hAnsi="Calibri" w:eastAsia="仿宋_GB2312" w:cs="仿宋_GB2312"/>
          <w:b/>
          <w:bCs/>
          <w:kern w:val="0"/>
          <w:sz w:val="32"/>
          <w:szCs w:val="32"/>
          <w:lang w:val="en-US" w:eastAsia="zh-CN" w:bidi="ar"/>
        </w:rPr>
        <w:t>（二）行政成本</w:t>
      </w:r>
    </w:p>
    <w:p>
      <w:pPr>
        <w:pStyle w:val="20"/>
        <w:keepNext w:val="0"/>
        <w:keepLines w:val="0"/>
        <w:widowControl w:val="0"/>
        <w:suppressLineNumbers w:val="0"/>
        <w:spacing w:before="0" w:beforeAutospacing="0" w:after="0" w:afterAutospacing="0" w:line="360" w:lineRule="auto"/>
        <w:ind w:left="0" w:right="0" w:firstLine="640" w:firstLineChars="200"/>
        <w:jc w:val="both"/>
        <w:rPr>
          <w:rFonts w:hint="default" w:ascii="仿宋_GB2312" w:eastAsia="仿宋_GB2312" w:cs="仿宋_GB2312"/>
          <w:kern w:val="2"/>
          <w:sz w:val="32"/>
          <w:szCs w:val="32"/>
        </w:rPr>
      </w:pPr>
      <w:r>
        <w:rPr>
          <w:rFonts w:hint="default" w:ascii="仿宋_GB2312" w:hAnsi="Calibri" w:eastAsia="仿宋_GB2312" w:cs="仿宋_GB2312"/>
          <w:kern w:val="2"/>
          <w:sz w:val="32"/>
          <w:szCs w:val="32"/>
          <w:lang w:val="en-US" w:eastAsia="zh-CN" w:bidi="ar"/>
        </w:rPr>
        <w:t>“三公”经费控制。壤塘县三郎寺寺庙管理委员会2021年“三公”经费预算9.07万元，决算支出9.07万元。其中公务用车购置及运行维护费预算9.07万元，决算支出9.07万元（其中公务用车运行维护费9.07万元）,未发生因公出国（境）费及公务接待费，2021年“三公”经费决算均未超过预算。</w:t>
      </w:r>
    </w:p>
    <w:p>
      <w:pPr>
        <w:pStyle w:val="20"/>
        <w:keepNext w:val="0"/>
        <w:keepLines w:val="0"/>
        <w:widowControl w:val="0"/>
        <w:suppressLineNumbers w:val="0"/>
        <w:spacing w:before="0" w:beforeAutospacing="0" w:after="0" w:afterAutospacing="0" w:line="360" w:lineRule="auto"/>
        <w:ind w:left="0" w:right="0" w:firstLine="642" w:firstLineChars="200"/>
        <w:jc w:val="both"/>
        <w:rPr>
          <w:rFonts w:hint="default" w:ascii="仿宋_GB2312" w:eastAsia="仿宋_GB2312" w:cs="仿宋_GB2312"/>
          <w:b/>
          <w:bCs/>
          <w:kern w:val="0"/>
          <w:sz w:val="32"/>
          <w:szCs w:val="32"/>
        </w:rPr>
      </w:pPr>
      <w:r>
        <w:rPr>
          <w:rFonts w:hint="default" w:ascii="仿宋_GB2312" w:hAnsi="Calibri" w:eastAsia="仿宋_GB2312" w:cs="仿宋_GB2312"/>
          <w:b/>
          <w:bCs/>
          <w:kern w:val="0"/>
          <w:sz w:val="32"/>
          <w:szCs w:val="32"/>
          <w:lang w:val="en-US" w:eastAsia="zh-CN" w:bidi="ar"/>
        </w:rPr>
        <w:t>（三）政府采购</w:t>
      </w:r>
    </w:p>
    <w:p>
      <w:pPr>
        <w:pStyle w:val="20"/>
        <w:keepNext w:val="0"/>
        <w:keepLines w:val="0"/>
        <w:widowControl w:val="0"/>
        <w:suppressLineNumbers w:val="0"/>
        <w:spacing w:before="0" w:beforeAutospacing="0" w:after="0" w:afterAutospacing="0" w:line="360" w:lineRule="auto"/>
        <w:ind w:left="0" w:right="0" w:firstLine="640" w:firstLineChars="200"/>
        <w:jc w:val="both"/>
        <w:rPr>
          <w:rFonts w:hint="default" w:ascii="仿宋_GB2312" w:eastAsia="仿宋_GB2312" w:cs="仿宋_GB2312"/>
          <w:kern w:val="2"/>
          <w:sz w:val="32"/>
          <w:szCs w:val="32"/>
        </w:rPr>
      </w:pPr>
      <w:r>
        <w:rPr>
          <w:rFonts w:hint="default" w:ascii="仿宋_GB2312" w:hAnsi="Calibri" w:eastAsia="仿宋_GB2312" w:cs="仿宋_GB2312"/>
          <w:kern w:val="2"/>
          <w:sz w:val="32"/>
          <w:szCs w:val="32"/>
          <w:lang w:val="en-US" w:eastAsia="zh-CN" w:bidi="ar"/>
        </w:rPr>
        <w:t>采购规范性。壤塘县三郎寺寺庙管理委员会2021年度政府采购货物支出0万元，政府采购工程支出0万元，政府采购服务支出0万元。</w:t>
      </w:r>
    </w:p>
    <w:p>
      <w:pPr>
        <w:keepNext w:val="0"/>
        <w:keepLines w:val="0"/>
        <w:widowControl w:val="0"/>
        <w:suppressLineNumbers w:val="0"/>
        <w:autoSpaceDE w:val="0"/>
        <w:autoSpaceDN/>
        <w:snapToGrid w:val="0"/>
        <w:spacing w:before="0" w:beforeAutospacing="0" w:after="0" w:afterAutospacing="0" w:line="360" w:lineRule="auto"/>
        <w:ind w:left="0" w:right="0" w:firstLine="642" w:firstLineChars="200"/>
        <w:jc w:val="both"/>
        <w:rPr>
          <w:rFonts w:hint="default" w:ascii="仿宋_GB2312" w:eastAsia="仿宋_GB2312" w:cs="仿宋_GB2312"/>
          <w:b/>
          <w:bCs/>
          <w:kern w:val="2"/>
          <w:sz w:val="32"/>
          <w:szCs w:val="32"/>
        </w:rPr>
      </w:pPr>
      <w:r>
        <w:rPr>
          <w:rFonts w:hint="default" w:ascii="仿宋_GB2312" w:hAnsi="Calibri" w:eastAsia="仿宋_GB2312" w:cs="仿宋_GB2312"/>
          <w:b/>
          <w:bCs/>
          <w:kern w:val="0"/>
          <w:sz w:val="32"/>
          <w:szCs w:val="32"/>
          <w:lang w:val="en-US" w:eastAsia="zh-CN" w:bidi="ar"/>
        </w:rPr>
        <w:t xml:space="preserve">（四）资产管理 </w:t>
      </w:r>
      <w:r>
        <w:rPr>
          <w:rFonts w:hint="default" w:ascii="仿宋_GB2312" w:hAnsi="Calibri" w:eastAsia="仿宋_GB2312" w:cs="仿宋_GB2312"/>
          <w:b/>
          <w:bCs/>
          <w:kern w:val="2"/>
          <w:sz w:val="32"/>
          <w:szCs w:val="32"/>
          <w:lang w:val="en-US" w:eastAsia="zh-CN" w:bidi="ar"/>
        </w:rPr>
        <w:t xml:space="preserve"> </w:t>
      </w:r>
    </w:p>
    <w:p>
      <w:pPr>
        <w:pStyle w:val="20"/>
        <w:keepNext w:val="0"/>
        <w:keepLines w:val="0"/>
        <w:widowControl w:val="0"/>
        <w:suppressLineNumbers w:val="0"/>
        <w:spacing w:before="0" w:beforeAutospacing="0" w:after="0" w:afterAutospacing="0" w:line="360" w:lineRule="auto"/>
        <w:ind w:left="0" w:right="0" w:firstLine="640" w:firstLineChars="200"/>
        <w:jc w:val="both"/>
        <w:rPr>
          <w:rFonts w:hint="default" w:ascii="仿宋_GB2312" w:eastAsia="仿宋_GB2312" w:cs="仿宋_GB2312"/>
          <w:kern w:val="2"/>
          <w:sz w:val="32"/>
          <w:szCs w:val="32"/>
        </w:rPr>
      </w:pPr>
      <w:r>
        <w:rPr>
          <w:rFonts w:hint="default" w:ascii="仿宋_GB2312" w:hAnsi="Calibri" w:eastAsia="仿宋_GB2312" w:cs="仿宋_GB2312"/>
          <w:kern w:val="2"/>
          <w:sz w:val="32"/>
          <w:szCs w:val="32"/>
          <w:lang w:val="en-US" w:eastAsia="zh-CN" w:bidi="ar"/>
        </w:rPr>
        <w:t>固定资产在用率。2021年12月31日，壤塘县三郎寺寺庙管理委员会《行政单位资产管理系统》固定资产总计40.32万元，在用的固定资产总计40.32万元，固定资产在用率达100%。</w:t>
      </w:r>
    </w:p>
    <w:p>
      <w:pPr>
        <w:pStyle w:val="20"/>
        <w:keepNext w:val="0"/>
        <w:keepLines w:val="0"/>
        <w:widowControl w:val="0"/>
        <w:suppressLineNumbers w:val="0"/>
        <w:spacing w:before="0" w:beforeAutospacing="0" w:after="0" w:afterAutospacing="0" w:line="360" w:lineRule="auto"/>
        <w:ind w:left="420" w:leftChars="200" w:right="0" w:firstLine="0" w:firstLineChars="0"/>
        <w:jc w:val="both"/>
        <w:rPr>
          <w:rFonts w:hint="default" w:ascii="仿宋_GB2312" w:eastAsia="仿宋_GB2312" w:cs="仿宋_GB2312"/>
          <w:b/>
          <w:bCs/>
          <w:kern w:val="0"/>
          <w:sz w:val="32"/>
          <w:szCs w:val="32"/>
        </w:rPr>
      </w:pPr>
      <w:r>
        <w:rPr>
          <w:rFonts w:hint="default" w:ascii="仿宋_GB2312" w:hAnsi="Calibri" w:eastAsia="仿宋_GB2312" w:cs="仿宋_GB2312"/>
          <w:b/>
          <w:bCs/>
          <w:kern w:val="0"/>
          <w:sz w:val="32"/>
          <w:szCs w:val="32"/>
          <w:lang w:val="en-US" w:eastAsia="zh-CN" w:bidi="ar"/>
        </w:rPr>
        <w:t>（五）信息公开</w:t>
      </w:r>
    </w:p>
    <w:p>
      <w:pPr>
        <w:pStyle w:val="20"/>
        <w:keepNext w:val="0"/>
        <w:keepLines w:val="0"/>
        <w:widowControl w:val="0"/>
        <w:suppressLineNumbers w:val="0"/>
        <w:spacing w:before="0" w:beforeAutospacing="0" w:after="0" w:afterAutospacing="0" w:line="360" w:lineRule="auto"/>
        <w:ind w:left="0" w:right="0" w:firstLine="640" w:firstLineChars="200"/>
        <w:jc w:val="both"/>
        <w:rPr>
          <w:rFonts w:hint="default" w:ascii="仿宋_GB2312" w:eastAsia="仿宋_GB2312" w:cs="仿宋_GB2312"/>
          <w:kern w:val="2"/>
          <w:sz w:val="32"/>
          <w:szCs w:val="32"/>
        </w:rPr>
      </w:pPr>
      <w:r>
        <w:rPr>
          <w:rFonts w:hint="default" w:ascii="仿宋_GB2312" w:hAnsi="Calibri" w:eastAsia="仿宋_GB2312" w:cs="仿宋_GB2312"/>
          <w:kern w:val="2"/>
          <w:sz w:val="32"/>
          <w:szCs w:val="32"/>
          <w:lang w:val="en-US" w:eastAsia="zh-CN" w:bidi="ar"/>
        </w:rPr>
        <w:t>信息公开。壤塘县三郎寺寺庙管理委员会已经按财政要求及时完成预算、决算、绩效等信息公开工作，信息公开在壤塘县门户网站中。</w:t>
      </w:r>
    </w:p>
    <w:p>
      <w:pPr>
        <w:pStyle w:val="20"/>
        <w:keepNext w:val="0"/>
        <w:keepLines w:val="0"/>
        <w:widowControl w:val="0"/>
        <w:suppressLineNumbers w:val="0"/>
        <w:spacing w:before="0" w:beforeAutospacing="0" w:after="0" w:afterAutospacing="0" w:line="360" w:lineRule="auto"/>
        <w:ind w:left="0" w:right="0" w:firstLine="642" w:firstLineChars="200"/>
        <w:jc w:val="both"/>
        <w:rPr>
          <w:rFonts w:hint="default" w:ascii="仿宋_GB2312" w:eastAsia="仿宋_GB2312" w:cs="仿宋_GB2312"/>
          <w:b/>
          <w:bCs/>
          <w:kern w:val="0"/>
          <w:sz w:val="32"/>
          <w:szCs w:val="32"/>
        </w:rPr>
      </w:pPr>
      <w:r>
        <w:rPr>
          <w:rFonts w:hint="default" w:ascii="仿宋_GB2312" w:hAnsi="Calibri" w:eastAsia="仿宋_GB2312" w:cs="仿宋_GB2312"/>
          <w:b/>
          <w:bCs/>
          <w:kern w:val="0"/>
          <w:sz w:val="32"/>
          <w:szCs w:val="32"/>
          <w:lang w:val="en-US" w:eastAsia="zh-CN" w:bidi="ar"/>
        </w:rPr>
        <w:t>四、部门履职效能</w:t>
      </w:r>
    </w:p>
    <w:p>
      <w:pPr>
        <w:pStyle w:val="20"/>
        <w:keepNext w:val="0"/>
        <w:keepLines w:val="0"/>
        <w:widowControl w:val="0"/>
        <w:suppressLineNumbers w:val="0"/>
        <w:spacing w:before="0" w:beforeAutospacing="0" w:after="0" w:afterAutospacing="0" w:line="360" w:lineRule="auto"/>
        <w:ind w:left="0" w:right="0" w:firstLine="0" w:firstLineChars="0"/>
        <w:jc w:val="both"/>
        <w:rPr>
          <w:rFonts w:hint="default" w:ascii="仿宋_GB2312" w:eastAsia="仿宋_GB2312" w:cs="仿宋_GB2312"/>
          <w:b/>
          <w:bCs/>
          <w:kern w:val="0"/>
          <w:sz w:val="32"/>
          <w:szCs w:val="32"/>
        </w:rPr>
      </w:pPr>
      <w:r>
        <w:rPr>
          <w:rFonts w:hint="default" w:ascii="仿宋_GB2312" w:hAnsi="Calibri" w:eastAsia="仿宋_GB2312" w:cs="仿宋_GB2312"/>
          <w:kern w:val="0"/>
          <w:sz w:val="32"/>
          <w:szCs w:val="32"/>
          <w:lang w:val="en-US" w:eastAsia="zh-CN" w:bidi="ar"/>
        </w:rPr>
        <w:t xml:space="preserve">   </w:t>
      </w:r>
      <w:r>
        <w:rPr>
          <w:rFonts w:hint="default" w:ascii="仿宋_GB2312" w:hAnsi="Calibri" w:eastAsia="仿宋_GB2312" w:cs="仿宋_GB2312"/>
          <w:b/>
          <w:bCs/>
          <w:kern w:val="0"/>
          <w:sz w:val="32"/>
          <w:szCs w:val="32"/>
          <w:lang w:val="en-US" w:eastAsia="zh-CN" w:bidi="ar"/>
        </w:rPr>
        <w:t>（一）部门履职的年度总体目标</w:t>
      </w:r>
    </w:p>
    <w:p>
      <w:pPr>
        <w:keepNext w:val="0"/>
        <w:keepLines w:val="0"/>
        <w:widowControl w:val="0"/>
        <w:suppressLineNumbers w:val="0"/>
        <w:autoSpaceDE w:val="0"/>
        <w:autoSpaceDN/>
        <w:spacing w:before="0" w:beforeAutospacing="0" w:after="0" w:afterAutospacing="0" w:line="576" w:lineRule="exact"/>
        <w:ind w:right="0" w:firstLine="642" w:firstLineChars="200"/>
        <w:jc w:val="both"/>
        <w:rPr>
          <w:rFonts w:hint="default" w:ascii="仿宋_GB2312" w:eastAsia="仿宋_GB2312" w:cs="仿宋_GB2312"/>
          <w:b/>
          <w:bCs/>
          <w:kern w:val="2"/>
          <w:sz w:val="32"/>
          <w:szCs w:val="32"/>
        </w:rPr>
      </w:pPr>
      <w:r>
        <w:rPr>
          <w:rFonts w:hint="default" w:ascii="仿宋_GB2312" w:hAnsi="Calibri" w:eastAsia="仿宋_GB2312" w:cs="仿宋_GB2312"/>
          <w:b/>
          <w:bCs/>
          <w:kern w:val="2"/>
          <w:sz w:val="32"/>
          <w:szCs w:val="32"/>
          <w:lang w:val="en-US" w:eastAsia="zh-CN" w:bidi="ar"/>
        </w:rPr>
        <w:t>一是加强寺庙管理。</w:t>
      </w:r>
      <w:r>
        <w:rPr>
          <w:rFonts w:hint="default" w:ascii="仿宋_GB2312" w:hAnsi="Calibri" w:eastAsia="仿宋_GB2312" w:cs="仿宋_GB2312"/>
          <w:b w:val="0"/>
          <w:bCs w:val="0"/>
          <w:kern w:val="2"/>
          <w:sz w:val="32"/>
          <w:szCs w:val="32"/>
          <w:lang w:val="en-US" w:eastAsia="zh-CN" w:bidi="ar"/>
        </w:rPr>
        <w:t>持续加强</w:t>
      </w:r>
      <w:r>
        <w:rPr>
          <w:rFonts w:hint="eastAsia" w:ascii="仿宋_GB2312" w:hAnsi="Calibri" w:eastAsia="仿宋_GB2312" w:cs="仿宋_GB2312"/>
          <w:b w:val="0"/>
          <w:bCs w:val="0"/>
          <w:kern w:val="2"/>
          <w:sz w:val="32"/>
          <w:szCs w:val="32"/>
          <w:lang w:val="en-US" w:eastAsia="zh-CN" w:bidi="ar"/>
        </w:rPr>
        <w:t>寺庙场所管控，</w:t>
      </w:r>
      <w:r>
        <w:rPr>
          <w:rFonts w:hint="default" w:ascii="仿宋_GB2312" w:hAnsi="Calibri" w:eastAsia="仿宋_GB2312" w:cs="仿宋_GB2312"/>
          <w:b w:val="0"/>
          <w:bCs w:val="0"/>
          <w:kern w:val="2"/>
          <w:sz w:val="32"/>
          <w:szCs w:val="32"/>
          <w:lang w:val="en-US" w:eastAsia="zh-CN" w:bidi="ar"/>
        </w:rPr>
        <w:t>持续加强寺庙人员管控，持续加强对寺庙资金监管</w:t>
      </w:r>
      <w:r>
        <w:rPr>
          <w:rFonts w:hint="default" w:ascii="仿宋_GB2312" w:hAnsi="Calibri" w:eastAsia="仿宋_GB2312" w:cs="仿宋_GB2312"/>
          <w:b/>
          <w:bCs/>
          <w:kern w:val="2"/>
          <w:sz w:val="32"/>
          <w:szCs w:val="32"/>
          <w:lang w:val="en-US" w:eastAsia="zh-CN" w:bidi="ar"/>
        </w:rPr>
        <w:t>。</w:t>
      </w:r>
    </w:p>
    <w:p>
      <w:pPr>
        <w:keepNext w:val="0"/>
        <w:keepLines w:val="0"/>
        <w:widowControl w:val="0"/>
        <w:suppressLineNumbers w:val="0"/>
        <w:autoSpaceDE w:val="0"/>
        <w:autoSpaceDN/>
        <w:spacing w:before="0" w:beforeAutospacing="0" w:after="0" w:afterAutospacing="0" w:line="576" w:lineRule="exact"/>
        <w:ind w:right="0" w:firstLine="642" w:firstLineChars="200"/>
        <w:jc w:val="both"/>
        <w:rPr>
          <w:rFonts w:hint="default" w:ascii="仿宋_GB2312" w:eastAsia="仿宋_GB2312" w:cs="仿宋_GB2312"/>
          <w:b/>
          <w:bCs/>
          <w:kern w:val="2"/>
          <w:sz w:val="32"/>
          <w:szCs w:val="32"/>
        </w:rPr>
      </w:pPr>
      <w:r>
        <w:rPr>
          <w:rFonts w:hint="default" w:ascii="仿宋_GB2312" w:hAnsi="Calibri" w:eastAsia="仿宋_GB2312" w:cs="仿宋_GB2312"/>
          <w:b/>
          <w:bCs/>
          <w:kern w:val="2"/>
          <w:sz w:val="32"/>
          <w:szCs w:val="32"/>
          <w:lang w:val="en-US" w:eastAsia="zh-CN" w:bidi="ar"/>
        </w:rPr>
        <w:t>二是加强僧人教育。</w:t>
      </w:r>
      <w:r>
        <w:rPr>
          <w:rFonts w:hint="default" w:ascii="仿宋_GB2312" w:hAnsi="Calibri" w:eastAsia="仿宋_GB2312" w:cs="仿宋_GB2312"/>
          <w:b w:val="0"/>
          <w:bCs w:val="0"/>
          <w:kern w:val="2"/>
          <w:sz w:val="32"/>
          <w:szCs w:val="32"/>
          <w:lang w:val="en-US" w:eastAsia="zh-CN" w:bidi="ar"/>
        </w:rPr>
        <w:t>增强僧人</w:t>
      </w:r>
      <w:r>
        <w:rPr>
          <w:rFonts w:hint="eastAsia" w:ascii="仿宋_GB2312" w:hAnsi="Calibri" w:eastAsia="仿宋_GB2312" w:cs="仿宋_GB2312"/>
          <w:b w:val="0"/>
          <w:bCs w:val="0"/>
          <w:kern w:val="2"/>
          <w:sz w:val="32"/>
          <w:szCs w:val="32"/>
          <w:lang w:val="en-US" w:eastAsia="zh-CN" w:bidi="ar"/>
        </w:rPr>
        <w:t>国家意识、法治</w:t>
      </w:r>
      <w:r>
        <w:rPr>
          <w:rFonts w:hint="default" w:ascii="仿宋_GB2312" w:hAnsi="Calibri" w:eastAsia="仿宋_GB2312" w:cs="仿宋_GB2312"/>
          <w:b w:val="0"/>
          <w:bCs w:val="0"/>
          <w:kern w:val="2"/>
          <w:sz w:val="32"/>
          <w:szCs w:val="32"/>
          <w:lang w:val="en-US" w:eastAsia="zh-CN" w:bidi="ar"/>
        </w:rPr>
        <w:t>意识、公民意识，坚持不懈加强对僧人的教育引导。把寺庙爱国主义教育和法治教育常态化、制度化，引导僧人坚定不移守法持戒、爱国爱教</w:t>
      </w:r>
      <w:r>
        <w:rPr>
          <w:rFonts w:hint="eastAsia" w:ascii="仿宋_GB2312" w:hAnsi="Calibri" w:eastAsia="仿宋_GB2312" w:cs="仿宋_GB2312"/>
          <w:b w:val="0"/>
          <w:bCs w:val="0"/>
          <w:kern w:val="2"/>
          <w:sz w:val="32"/>
          <w:szCs w:val="32"/>
          <w:lang w:val="en-US" w:eastAsia="zh-CN" w:bidi="ar"/>
        </w:rPr>
        <w:t>，</w:t>
      </w:r>
      <w:r>
        <w:rPr>
          <w:rFonts w:hint="default" w:ascii="仿宋_GB2312" w:hAnsi="Calibri" w:eastAsia="仿宋_GB2312" w:cs="仿宋_GB2312"/>
          <w:b w:val="0"/>
          <w:bCs w:val="0"/>
          <w:kern w:val="2"/>
          <w:sz w:val="32"/>
          <w:szCs w:val="32"/>
          <w:lang w:val="en-US" w:eastAsia="zh-CN" w:bidi="ar"/>
        </w:rPr>
        <w:t>进一步完善联系宗教界代表人士制度，定期交心谈心进行政策引导，让其在僧尼守法持戒方面发挥示范作用，在爱国爱教方面发挥教育引导作用</w:t>
      </w:r>
      <w:r>
        <w:rPr>
          <w:rFonts w:hint="default" w:ascii="仿宋_GB2312" w:hAnsi="Calibri" w:eastAsia="仿宋_GB2312" w:cs="仿宋_GB2312"/>
          <w:b/>
          <w:bCs/>
          <w:kern w:val="2"/>
          <w:sz w:val="32"/>
          <w:szCs w:val="32"/>
          <w:lang w:val="en-US" w:eastAsia="zh-CN" w:bidi="ar"/>
        </w:rPr>
        <w:t>。</w:t>
      </w:r>
    </w:p>
    <w:p>
      <w:pPr>
        <w:keepNext w:val="0"/>
        <w:keepLines w:val="0"/>
        <w:widowControl w:val="0"/>
        <w:suppressLineNumbers w:val="0"/>
        <w:autoSpaceDE w:val="0"/>
        <w:autoSpaceDN/>
        <w:spacing w:before="0" w:beforeAutospacing="0" w:after="0" w:afterAutospacing="0" w:line="576" w:lineRule="exact"/>
        <w:ind w:left="0" w:right="0" w:firstLine="642" w:firstLineChars="200"/>
        <w:jc w:val="both"/>
        <w:rPr>
          <w:rFonts w:hint="default" w:ascii="仿宋_GB2312" w:eastAsia="仿宋_GB2312" w:cs="仿宋_GB2312"/>
          <w:b/>
          <w:bCs/>
          <w:kern w:val="2"/>
          <w:sz w:val="32"/>
          <w:szCs w:val="32"/>
        </w:rPr>
      </w:pPr>
      <w:r>
        <w:rPr>
          <w:rFonts w:hint="default" w:ascii="仿宋_GB2312" w:hAnsi="Calibri" w:eastAsia="仿宋_GB2312" w:cs="仿宋_GB2312"/>
          <w:b/>
          <w:bCs/>
          <w:kern w:val="2"/>
          <w:sz w:val="32"/>
          <w:szCs w:val="32"/>
          <w:lang w:val="en-US" w:eastAsia="zh-CN" w:bidi="ar"/>
        </w:rPr>
        <w:t>三是加强公共服务。</w:t>
      </w:r>
      <w:r>
        <w:rPr>
          <w:rFonts w:hint="default" w:ascii="仿宋_GB2312" w:hAnsi="Calibri" w:eastAsia="仿宋_GB2312" w:cs="仿宋_GB2312"/>
          <w:b w:val="0"/>
          <w:bCs w:val="0"/>
          <w:kern w:val="2"/>
          <w:sz w:val="32"/>
          <w:szCs w:val="32"/>
          <w:lang w:val="en-US" w:eastAsia="zh-CN" w:bidi="ar"/>
        </w:rPr>
        <w:t>坚决执行“寺庙是基本社会单元，僧人是基本社会公民”的重要论述，充分保障寺庙和僧人普惠性待遇。落实符合条件僧人的低保求助、五保供养政策，实现“应保尽保”，解决好僧人的现实困难；</w:t>
      </w:r>
      <w:bookmarkStart w:id="150" w:name="_GoBack"/>
      <w:bookmarkEnd w:id="150"/>
      <w:r>
        <w:rPr>
          <w:rFonts w:hint="default" w:ascii="仿宋_GB2312" w:hAnsi="Calibri" w:eastAsia="仿宋_GB2312" w:cs="仿宋_GB2312"/>
          <w:b w:val="0"/>
          <w:bCs w:val="0"/>
          <w:kern w:val="2"/>
          <w:sz w:val="32"/>
          <w:szCs w:val="32"/>
          <w:lang w:val="en-US" w:eastAsia="zh-CN" w:bidi="ar"/>
        </w:rPr>
        <w:t>统筹争取推进寺庙地灾防治工作，解决好寺庙的现实困难</w:t>
      </w:r>
      <w:r>
        <w:rPr>
          <w:rFonts w:hint="default" w:ascii="仿宋_GB2312" w:hAnsi="Calibri" w:eastAsia="仿宋_GB2312" w:cs="仿宋_GB2312"/>
          <w:b/>
          <w:bCs/>
          <w:kern w:val="2"/>
          <w:sz w:val="32"/>
          <w:szCs w:val="32"/>
          <w:lang w:val="en-US" w:eastAsia="zh-CN" w:bidi="ar"/>
        </w:rPr>
        <w:t>。</w:t>
      </w:r>
    </w:p>
    <w:p>
      <w:pPr>
        <w:keepNext w:val="0"/>
        <w:keepLines w:val="0"/>
        <w:widowControl w:val="0"/>
        <w:suppressLineNumbers w:val="0"/>
        <w:autoSpaceDE w:val="0"/>
        <w:autoSpaceDN/>
        <w:spacing w:before="0" w:beforeAutospacing="0" w:after="0" w:afterAutospacing="0" w:line="576" w:lineRule="exact"/>
        <w:ind w:left="0" w:right="0" w:firstLine="642" w:firstLineChars="200"/>
        <w:jc w:val="both"/>
        <w:rPr>
          <w:rFonts w:hint="default" w:ascii="仿宋_GB2312" w:eastAsia="仿宋_GB2312" w:cs="仿宋_GB2312"/>
          <w:b/>
          <w:bCs/>
          <w:kern w:val="2"/>
          <w:sz w:val="32"/>
          <w:szCs w:val="32"/>
        </w:rPr>
      </w:pPr>
      <w:r>
        <w:rPr>
          <w:rFonts w:hint="default" w:ascii="仿宋_GB2312" w:hAnsi="Calibri" w:eastAsia="仿宋_GB2312" w:cs="仿宋_GB2312"/>
          <w:b/>
          <w:bCs/>
          <w:kern w:val="2"/>
          <w:sz w:val="32"/>
          <w:szCs w:val="32"/>
          <w:lang w:val="en-US" w:eastAsia="zh-CN" w:bidi="ar"/>
        </w:rPr>
        <w:t>四是加强关系协调。</w:t>
      </w:r>
      <w:r>
        <w:rPr>
          <w:rFonts w:hint="default" w:ascii="仿宋_GB2312" w:hAnsi="Calibri" w:eastAsia="仿宋_GB2312" w:cs="仿宋_GB2312"/>
          <w:b w:val="0"/>
          <w:bCs w:val="0"/>
          <w:kern w:val="2"/>
          <w:sz w:val="32"/>
          <w:szCs w:val="32"/>
          <w:lang w:val="en-US" w:eastAsia="zh-CN" w:bidi="ar"/>
        </w:rPr>
        <w:t>以“一家人、一条心、一盘棋、一起拼”的姿态，协调好管委会与乡镇党委、管委会与寺管所的关系，理顺主体责任、属地责任和属事责任，动员大家心往一处想，劲往一处使，主动担当、履职尽责，确保明年工作取得更优成绩</w:t>
      </w:r>
      <w:r>
        <w:rPr>
          <w:rFonts w:hint="default" w:ascii="仿宋_GB2312" w:hAnsi="Calibri" w:eastAsia="仿宋_GB2312" w:cs="仿宋_GB2312"/>
          <w:b/>
          <w:bCs/>
          <w:kern w:val="2"/>
          <w:sz w:val="32"/>
          <w:szCs w:val="32"/>
          <w:lang w:val="en-US" w:eastAsia="zh-CN" w:bidi="ar"/>
        </w:rPr>
        <w:t>。</w:t>
      </w:r>
    </w:p>
    <w:p>
      <w:pPr>
        <w:keepNext w:val="0"/>
        <w:keepLines w:val="0"/>
        <w:widowControl w:val="0"/>
        <w:suppressLineNumbers w:val="0"/>
        <w:autoSpaceDE w:val="0"/>
        <w:autoSpaceDN/>
        <w:spacing w:before="0" w:beforeAutospacing="0" w:after="0" w:afterAutospacing="0" w:line="576" w:lineRule="exact"/>
        <w:ind w:left="0" w:right="0" w:firstLine="321" w:firstLineChars="100"/>
        <w:jc w:val="both"/>
        <w:rPr>
          <w:rFonts w:hint="default" w:ascii="仿宋_GB2312" w:eastAsia="仿宋_GB2312" w:cs="仿宋_GB2312"/>
          <w:b/>
          <w:bCs/>
          <w:kern w:val="2"/>
          <w:sz w:val="32"/>
          <w:szCs w:val="32"/>
        </w:rPr>
      </w:pPr>
      <w:r>
        <w:rPr>
          <w:rFonts w:hint="default" w:ascii="仿宋_GB2312" w:hAnsi="Calibri" w:eastAsia="仿宋_GB2312" w:cs="仿宋_GB2312"/>
          <w:b/>
          <w:bCs/>
          <w:kern w:val="2"/>
          <w:sz w:val="32"/>
          <w:szCs w:val="32"/>
          <w:lang w:val="en-US" w:eastAsia="zh-CN" w:bidi="ar"/>
        </w:rPr>
        <w:t>五是加强工作创新。</w:t>
      </w:r>
      <w:r>
        <w:rPr>
          <w:rFonts w:hint="default" w:ascii="仿宋_GB2312" w:hAnsi="Calibri" w:eastAsia="仿宋_GB2312" w:cs="仿宋_GB2312"/>
          <w:b w:val="0"/>
          <w:bCs w:val="0"/>
          <w:kern w:val="2"/>
          <w:sz w:val="32"/>
          <w:szCs w:val="32"/>
          <w:lang w:val="en-US" w:eastAsia="zh-CN" w:bidi="ar"/>
        </w:rPr>
        <w:t>积极探索“干部+僧人”的新型民管会管理模式，落实专人入寺担任寺庙专职副主任，推动寺庙管理干部和寺庙及僧尼关系进一步融洽，达到相互沟通、相互信任、相互支持，各项工作有序推进、向好发展。</w:t>
      </w:r>
    </w:p>
    <w:p>
      <w:pPr>
        <w:keepNext w:val="0"/>
        <w:keepLines w:val="0"/>
        <w:widowControl/>
        <w:suppressLineNumbers w:val="0"/>
        <w:spacing w:before="0" w:beforeAutospacing="0" w:after="0" w:afterAutospacing="0" w:line="360" w:lineRule="auto"/>
        <w:ind w:left="0" w:right="0" w:firstLine="642" w:firstLineChars="200"/>
        <w:jc w:val="both"/>
        <w:rPr>
          <w:rFonts w:hint="default" w:ascii="仿宋_GB2312" w:eastAsia="仿宋_GB2312" w:cs="仿宋_GB2312"/>
          <w:b/>
          <w:bCs w:val="0"/>
          <w:kern w:val="0"/>
          <w:sz w:val="32"/>
          <w:szCs w:val="32"/>
        </w:rPr>
      </w:pPr>
      <w:r>
        <w:rPr>
          <w:rFonts w:hint="default" w:ascii="仿宋_GB2312" w:hAnsi="Calibri" w:eastAsia="仿宋_GB2312" w:cs="仿宋_GB2312"/>
          <w:b/>
          <w:bCs w:val="0"/>
          <w:kern w:val="0"/>
          <w:sz w:val="32"/>
          <w:szCs w:val="32"/>
          <w:lang w:val="en-US" w:eastAsia="zh-CN" w:bidi="ar"/>
        </w:rPr>
        <w:t>（二）重点工作任务绩效目标完成情况</w:t>
      </w:r>
    </w:p>
    <w:p>
      <w:pPr>
        <w:keepNext w:val="0"/>
        <w:keepLines w:val="0"/>
        <w:widowControl w:val="0"/>
        <w:suppressLineNumbers w:val="0"/>
        <w:spacing w:before="0" w:beforeAutospacing="0" w:after="0" w:afterAutospacing="0" w:line="560" w:lineRule="exact"/>
        <w:ind w:left="0" w:right="0" w:firstLine="640" w:firstLineChars="200"/>
        <w:jc w:val="both"/>
        <w:rPr>
          <w:rFonts w:hint="default" w:ascii="仿宋_GB2312" w:eastAsia="仿宋_GB2312" w:cs="仿宋_GB2312"/>
          <w:b/>
          <w:bCs w:val="0"/>
          <w:kern w:val="2"/>
          <w:sz w:val="32"/>
          <w:szCs w:val="32"/>
        </w:rPr>
      </w:pPr>
      <w:r>
        <w:rPr>
          <w:rFonts w:hint="default" w:ascii="仿宋_GB2312" w:hAnsi="Calibri" w:eastAsia="仿宋_GB2312" w:cs="仿宋_GB2312"/>
          <w:kern w:val="2"/>
          <w:sz w:val="32"/>
          <w:szCs w:val="32"/>
          <w:lang w:val="en-US" w:eastAsia="zh-CN" w:bidi="ar"/>
        </w:rPr>
        <w:t xml:space="preserve"> 1、重点工作任务一：</w:t>
      </w:r>
      <w:r>
        <w:rPr>
          <w:rFonts w:hint="default" w:ascii="仿宋_GB2312" w:hAnsi="Calibri" w:eastAsia="仿宋_GB2312" w:cs="仿宋_GB2312"/>
          <w:b/>
          <w:bCs w:val="0"/>
          <w:kern w:val="2"/>
          <w:sz w:val="32"/>
          <w:szCs w:val="32"/>
          <w:lang w:val="en-US" w:eastAsia="zh-CN" w:bidi="ar"/>
        </w:rPr>
        <w:t>依法依规管好寺庙，努力践行服务宗旨。</w:t>
      </w:r>
    </w:p>
    <w:p>
      <w:pPr>
        <w:keepNext w:val="0"/>
        <w:keepLines w:val="0"/>
        <w:widowControl w:val="0"/>
        <w:suppressLineNumbers w:val="0"/>
        <w:spacing w:before="0" w:beforeAutospacing="0" w:after="0" w:afterAutospacing="0" w:line="560" w:lineRule="exact"/>
        <w:ind w:left="0" w:right="0" w:firstLine="640" w:firstLineChars="200"/>
        <w:jc w:val="both"/>
        <w:rPr>
          <w:rFonts w:hint="default" w:ascii="仿宋_GB2312" w:eastAsia="仿宋_GB2312" w:cs="仿宋_GB2312"/>
          <w:b/>
          <w:bCs w:val="0"/>
          <w:kern w:val="2"/>
          <w:sz w:val="32"/>
          <w:szCs w:val="32"/>
        </w:rPr>
      </w:pPr>
      <w:r>
        <w:rPr>
          <w:rFonts w:hint="default" w:ascii="仿宋_GB2312" w:hAnsi="Calibri" w:eastAsia="仿宋_GB2312" w:cs="仿宋_GB2312"/>
          <w:kern w:val="2"/>
          <w:sz w:val="32"/>
          <w:szCs w:val="32"/>
          <w:lang w:val="en-US" w:eastAsia="zh-CN" w:bidi="ar"/>
        </w:rPr>
        <w:t>工作任务的内容：</w:t>
      </w:r>
      <w:r>
        <w:rPr>
          <w:rFonts w:hint="default" w:ascii="仿宋_GB2312" w:hAnsi="仿宋" w:eastAsia="仿宋_GB2312" w:cs="仿宋_GB2312"/>
          <w:kern w:val="2"/>
          <w:sz w:val="32"/>
          <w:szCs w:val="32"/>
          <w:lang w:val="en-US" w:eastAsia="zh-CN" w:bidi="ar"/>
        </w:rPr>
        <w:t>换届不换帮扶，结合实际开展班子作风整顿建设和“我为群众办实事”活动，及时调整“联寺联僧”和“两联一进”对象，聚焦辖区寺庙僧尼、联系村群众急难愁盼问题，拟定“我为群众办实事”任务事项清单13项。以“五美寺庙”建设为目标，持续对寺庙环境卫生开展集中整治，着力解决“脏、乱、差”等突出问题，已组织辖区7寺庙开展大扫除20余次，共发动僧尼400余人次，清理各类垃圾死角30余处，寺庙环境卫生、僧人个人卫生得到显著提高；深入开展寺庙绿化、美化行动，大力建设护寺林、绿地花坛等，组织辖区寺庙植树700余株，建绿地花坛等16处，努力营造洁净祥和的居住修行氛围</w:t>
      </w:r>
      <w:r>
        <w:rPr>
          <w:rFonts w:hint="default" w:ascii="仿宋_GB2312" w:hAnsi="Calibri" w:eastAsia="仿宋_GB2312" w:cs="仿宋_GB2312"/>
          <w:kern w:val="2"/>
          <w:sz w:val="32"/>
          <w:szCs w:val="32"/>
          <w:lang w:val="en-US" w:eastAsia="zh-CN" w:bidi="ar"/>
        </w:rPr>
        <w:t>。</w:t>
      </w:r>
    </w:p>
    <w:p>
      <w:pPr>
        <w:keepNext w:val="0"/>
        <w:keepLines w:val="0"/>
        <w:widowControl w:val="0"/>
        <w:suppressLineNumbers w:val="0"/>
        <w:spacing w:before="0" w:beforeAutospacing="0" w:after="0" w:afterAutospacing="0" w:line="560" w:lineRule="exact"/>
        <w:ind w:left="0" w:right="0" w:firstLine="640" w:firstLineChars="200"/>
        <w:jc w:val="both"/>
        <w:rPr>
          <w:rFonts w:hint="default" w:ascii="仿宋_GB2312" w:eastAsia="仿宋_GB2312" w:cs="仿宋_GB2312"/>
          <w:b/>
          <w:bCs w:val="0"/>
          <w:kern w:val="2"/>
          <w:sz w:val="32"/>
          <w:szCs w:val="32"/>
        </w:rPr>
      </w:pPr>
      <w:r>
        <w:rPr>
          <w:rFonts w:hint="default" w:ascii="仿宋_GB2312" w:hAnsi="Calibri" w:eastAsia="仿宋_GB2312" w:cs="仿宋_GB2312"/>
          <w:kern w:val="2"/>
          <w:sz w:val="32"/>
          <w:szCs w:val="32"/>
          <w:lang w:val="en-US" w:eastAsia="zh-CN" w:bidi="ar"/>
        </w:rPr>
        <w:t>2、重点工作任务二：</w:t>
      </w:r>
      <w:r>
        <w:rPr>
          <w:rFonts w:hint="default" w:ascii="仿宋_GB2312" w:hAnsi="Calibri" w:eastAsia="仿宋_GB2312" w:cs="仿宋_GB2312"/>
          <w:b/>
          <w:bCs w:val="0"/>
          <w:kern w:val="2"/>
          <w:sz w:val="32"/>
          <w:szCs w:val="32"/>
          <w:lang w:val="en-US" w:eastAsia="zh-CN" w:bidi="ar"/>
        </w:rPr>
        <w:t>疫情防控。</w:t>
      </w:r>
    </w:p>
    <w:p>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default" w:ascii="仿宋_GB2312" w:eastAsia="仿宋_GB2312" w:cs="仿宋_GB2312"/>
          <w:b/>
          <w:bCs/>
          <w:kern w:val="2"/>
          <w:sz w:val="32"/>
          <w:szCs w:val="32"/>
        </w:rPr>
      </w:pPr>
      <w:r>
        <w:rPr>
          <w:rFonts w:hint="default" w:ascii="仿宋_GB2312" w:hAnsi="Calibri" w:eastAsia="仿宋_GB2312" w:cs="仿宋_GB2312"/>
          <w:kern w:val="2"/>
          <w:sz w:val="32"/>
          <w:szCs w:val="32"/>
          <w:lang w:val="en-US" w:eastAsia="zh-CN" w:bidi="ar"/>
        </w:rPr>
        <w:t>工作任务的内容：在今年疫情防控重点节点，制定相应疫情防控应急预案，通过线上线下多种方式宣传教育引导僧尼防疫知识20余次，免费发放84消毒液、泡腾片、口罩、红外线体温仪等防疫物资1万余件；组织动员辖区寺庙设立寺庙门禁卡点7个</w:t>
      </w:r>
      <w:r>
        <w:rPr>
          <w:rFonts w:hint="eastAsia" w:ascii="仿宋_GB2312" w:hAnsi="Calibri" w:eastAsia="仿宋_GB2312" w:cs="仿宋_GB2312"/>
          <w:kern w:val="2"/>
          <w:sz w:val="32"/>
          <w:szCs w:val="32"/>
          <w:lang w:val="en-US" w:eastAsia="zh-CN" w:bidi="ar"/>
        </w:rPr>
        <w:t>，</w:t>
      </w:r>
      <w:r>
        <w:rPr>
          <w:rFonts w:hint="default" w:ascii="仿宋_GB2312" w:hAnsi="Calibri" w:eastAsia="仿宋_GB2312" w:cs="仿宋_GB2312"/>
          <w:kern w:val="2"/>
          <w:sz w:val="32"/>
          <w:szCs w:val="32"/>
          <w:lang w:val="en-US" w:eastAsia="zh-CN" w:bidi="ar"/>
        </w:rPr>
        <w:t>对僧人开展消毒培训3次14余人次，对寺庙进行</w:t>
      </w:r>
      <w:r>
        <w:rPr>
          <w:rFonts w:hint="eastAsia" w:ascii="仿宋_GB2312" w:hAnsi="Calibri" w:eastAsia="仿宋_GB2312" w:cs="仿宋_GB2312"/>
          <w:kern w:val="2"/>
          <w:sz w:val="32"/>
          <w:szCs w:val="32"/>
          <w:lang w:val="en-US" w:eastAsia="zh-CN" w:bidi="ar"/>
        </w:rPr>
        <w:t>多次</w:t>
      </w:r>
      <w:r>
        <w:rPr>
          <w:rFonts w:hint="default" w:ascii="仿宋_GB2312" w:hAnsi="Calibri" w:eastAsia="仿宋_GB2312" w:cs="仿宋_GB2312"/>
          <w:kern w:val="2"/>
          <w:sz w:val="32"/>
          <w:szCs w:val="32"/>
          <w:lang w:val="en-US" w:eastAsia="zh-CN" w:bidi="ar"/>
        </w:rPr>
        <w:t>全面消杀</w:t>
      </w:r>
      <w:r>
        <w:rPr>
          <w:rFonts w:hint="eastAsia" w:ascii="仿宋_GB2312" w:hAnsi="Calibri" w:eastAsia="仿宋_GB2312" w:cs="仿宋_GB2312"/>
          <w:kern w:val="2"/>
          <w:sz w:val="32"/>
          <w:szCs w:val="32"/>
          <w:lang w:val="en-US" w:eastAsia="zh-CN" w:bidi="ar"/>
        </w:rPr>
        <w:t>，</w:t>
      </w:r>
      <w:r>
        <w:rPr>
          <w:rFonts w:hint="default" w:ascii="仿宋_GB2312" w:hAnsi="Calibri" w:eastAsia="仿宋_GB2312" w:cs="仿宋_GB2312"/>
          <w:kern w:val="2"/>
          <w:sz w:val="32"/>
          <w:szCs w:val="32"/>
          <w:lang w:val="en-US" w:eastAsia="zh-CN" w:bidi="ar"/>
        </w:rPr>
        <w:t>联合乡镇卫生院入寺送疫苗上门服务3次</w:t>
      </w:r>
      <w:r>
        <w:rPr>
          <w:rFonts w:hint="default" w:ascii="仿宋_GB2312" w:hAnsi="Calibri" w:eastAsia="仿宋_GB2312" w:cs="仿宋_GB2312"/>
          <w:b w:val="0"/>
          <w:bCs w:val="0"/>
          <w:kern w:val="2"/>
          <w:sz w:val="32"/>
          <w:szCs w:val="32"/>
          <w:lang w:val="en-US" w:eastAsia="zh-CN" w:bidi="ar"/>
        </w:rPr>
        <w:t>。</w:t>
      </w:r>
    </w:p>
    <w:p>
      <w:pPr>
        <w:pStyle w:val="20"/>
        <w:keepNext w:val="0"/>
        <w:keepLines w:val="0"/>
        <w:widowControl w:val="0"/>
        <w:suppressLineNumbers w:val="0"/>
        <w:spacing w:before="0" w:beforeAutospacing="0" w:after="0" w:afterAutospacing="0" w:line="360" w:lineRule="auto"/>
        <w:ind w:left="0" w:right="0" w:firstLine="642" w:firstLineChars="200"/>
        <w:jc w:val="both"/>
        <w:rPr>
          <w:rFonts w:hint="default" w:ascii="仿宋_GB2312" w:eastAsia="仿宋_GB2312" w:cs="仿宋_GB2312"/>
          <w:b/>
          <w:bCs/>
          <w:kern w:val="0"/>
          <w:sz w:val="32"/>
          <w:szCs w:val="32"/>
        </w:rPr>
      </w:pPr>
      <w:r>
        <w:rPr>
          <w:rFonts w:hint="default" w:ascii="仿宋_GB2312" w:hAnsi="Calibri" w:eastAsia="仿宋_GB2312" w:cs="仿宋_GB2312"/>
          <w:b/>
          <w:bCs/>
          <w:kern w:val="0"/>
          <w:sz w:val="32"/>
          <w:szCs w:val="32"/>
          <w:lang w:val="en-US" w:eastAsia="zh-CN" w:bidi="ar"/>
        </w:rPr>
        <w:t>五、评价结论及措施</w:t>
      </w:r>
    </w:p>
    <w:p>
      <w:pPr>
        <w:pStyle w:val="20"/>
        <w:keepNext w:val="0"/>
        <w:keepLines w:val="0"/>
        <w:widowControl w:val="0"/>
        <w:suppressLineNumbers w:val="0"/>
        <w:spacing w:before="0" w:beforeAutospacing="0" w:after="0" w:afterAutospacing="0" w:line="360" w:lineRule="auto"/>
        <w:ind w:left="0" w:right="0" w:firstLine="642" w:firstLineChars="200"/>
        <w:jc w:val="both"/>
        <w:rPr>
          <w:rFonts w:hint="default" w:ascii="仿宋_GB2312" w:eastAsia="仿宋_GB2312" w:cs="仿宋_GB2312"/>
          <w:b/>
          <w:bCs/>
          <w:kern w:val="2"/>
          <w:sz w:val="32"/>
          <w:szCs w:val="32"/>
        </w:rPr>
      </w:pPr>
      <w:r>
        <w:rPr>
          <w:rFonts w:hint="default" w:ascii="仿宋_GB2312" w:hAnsi="Calibri" w:eastAsia="仿宋_GB2312" w:cs="仿宋_GB2312"/>
          <w:b/>
          <w:bCs/>
          <w:kern w:val="2"/>
          <w:sz w:val="32"/>
          <w:szCs w:val="32"/>
          <w:lang w:val="en-US" w:eastAsia="zh-CN" w:bidi="ar"/>
        </w:rPr>
        <w:t>（一）评价结论：见附表</w:t>
      </w:r>
    </w:p>
    <w:p>
      <w:pPr>
        <w:pStyle w:val="20"/>
        <w:keepNext w:val="0"/>
        <w:keepLines w:val="0"/>
        <w:widowControl w:val="0"/>
        <w:suppressLineNumbers w:val="0"/>
        <w:spacing w:before="0" w:beforeAutospacing="0" w:after="0" w:afterAutospacing="0" w:line="360" w:lineRule="auto"/>
        <w:ind w:left="0" w:right="0" w:firstLine="642" w:firstLineChars="200"/>
        <w:jc w:val="both"/>
        <w:rPr>
          <w:rFonts w:hint="default" w:ascii="仿宋_GB2312" w:eastAsia="仿宋_GB2312" w:cs="仿宋_GB2312"/>
          <w:b/>
          <w:bCs/>
          <w:kern w:val="2"/>
          <w:sz w:val="32"/>
          <w:szCs w:val="32"/>
        </w:rPr>
      </w:pPr>
      <w:r>
        <w:rPr>
          <w:rFonts w:hint="default" w:ascii="仿宋_GB2312" w:hAnsi="Calibri" w:eastAsia="仿宋_GB2312" w:cs="仿宋_GB2312"/>
          <w:b/>
          <w:bCs/>
          <w:kern w:val="2"/>
          <w:sz w:val="32"/>
          <w:szCs w:val="32"/>
          <w:lang w:val="en-US" w:eastAsia="zh-CN" w:bidi="ar"/>
        </w:rPr>
        <w:t>（二）存在问题</w:t>
      </w:r>
    </w:p>
    <w:p>
      <w:pPr>
        <w:pStyle w:val="20"/>
        <w:keepNext w:val="0"/>
        <w:keepLines w:val="0"/>
        <w:widowControl w:val="0"/>
        <w:suppressLineNumbers w:val="0"/>
        <w:spacing w:before="0" w:beforeAutospacing="0" w:after="0" w:afterAutospacing="0" w:line="360" w:lineRule="auto"/>
        <w:ind w:left="0" w:right="0" w:firstLine="640" w:firstLineChars="200"/>
        <w:jc w:val="both"/>
        <w:rPr>
          <w:rFonts w:hint="default" w:ascii="仿宋_GB2312" w:eastAsia="仿宋_GB2312" w:cs="仿宋_GB2312"/>
          <w:kern w:val="2"/>
          <w:sz w:val="32"/>
          <w:szCs w:val="32"/>
        </w:rPr>
      </w:pPr>
      <w:r>
        <w:rPr>
          <w:rFonts w:hint="default" w:ascii="仿宋_GB2312" w:hAnsi="Calibri" w:eastAsia="仿宋_GB2312" w:cs="仿宋_GB2312"/>
          <w:kern w:val="2"/>
          <w:sz w:val="32"/>
          <w:szCs w:val="32"/>
          <w:lang w:val="en-US" w:eastAsia="zh-CN" w:bidi="ar"/>
        </w:rPr>
        <w:t>办公用品耗材使用量大，存在一定浪费的情况。</w:t>
      </w:r>
    </w:p>
    <w:p>
      <w:pPr>
        <w:pStyle w:val="20"/>
        <w:keepNext w:val="0"/>
        <w:keepLines w:val="0"/>
        <w:widowControl w:val="0"/>
        <w:suppressLineNumbers w:val="0"/>
        <w:spacing w:before="0" w:beforeAutospacing="0" w:after="0" w:afterAutospacing="0" w:line="360" w:lineRule="auto"/>
        <w:ind w:left="0" w:right="0" w:firstLine="642" w:firstLineChars="200"/>
        <w:jc w:val="both"/>
        <w:rPr>
          <w:rFonts w:hint="default" w:ascii="仿宋_GB2312" w:eastAsia="仿宋_GB2312" w:cs="仿宋_GB2312"/>
          <w:b/>
          <w:bCs/>
          <w:kern w:val="2"/>
          <w:sz w:val="32"/>
          <w:szCs w:val="32"/>
        </w:rPr>
      </w:pPr>
      <w:r>
        <w:rPr>
          <w:rFonts w:hint="default" w:ascii="仿宋_GB2312" w:hAnsi="Calibri" w:eastAsia="仿宋_GB2312" w:cs="仿宋_GB2312"/>
          <w:b/>
          <w:bCs/>
          <w:kern w:val="2"/>
          <w:sz w:val="32"/>
          <w:szCs w:val="32"/>
          <w:lang w:val="en-US" w:eastAsia="zh-CN" w:bidi="ar"/>
        </w:rPr>
        <w:t>（三）改进措施</w:t>
      </w:r>
    </w:p>
    <w:p>
      <w:pPr>
        <w:pStyle w:val="20"/>
        <w:keepNext w:val="0"/>
        <w:keepLines w:val="0"/>
        <w:widowControl w:val="0"/>
        <w:suppressLineNumbers w:val="0"/>
        <w:spacing w:before="0" w:beforeAutospacing="0" w:after="0" w:afterAutospacing="0" w:line="360" w:lineRule="auto"/>
        <w:ind w:left="0" w:right="0" w:firstLine="640" w:firstLineChars="200"/>
        <w:jc w:val="both"/>
        <w:rPr>
          <w:rFonts w:hint="default" w:ascii="仿宋_GB2312" w:eastAsia="仿宋_GB2312" w:cs="仿宋_GB2312"/>
          <w:kern w:val="2"/>
          <w:sz w:val="32"/>
          <w:szCs w:val="32"/>
        </w:rPr>
      </w:pPr>
      <w:r>
        <w:rPr>
          <w:rFonts w:hint="default" w:ascii="仿宋_GB2312" w:hAnsi="Calibri" w:eastAsia="仿宋_GB2312" w:cs="仿宋_GB2312"/>
          <w:kern w:val="2"/>
          <w:sz w:val="32"/>
          <w:szCs w:val="32"/>
          <w:lang w:val="en-US" w:eastAsia="zh-CN" w:bidi="ar"/>
        </w:rPr>
        <w:t>合理安排办公耗材使用，切实做到物尽其用，尽可能减少浪费的情况。</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p>
    <w:p>
      <w:pPr>
        <w:pStyle w:val="2"/>
        <w:rPr>
          <w:rFonts w:ascii="仿宋_GB2312" w:hAnsi="宋体" w:eastAsia="仿宋_GB2312" w:cs="宋体"/>
          <w:color w:val="000000"/>
          <w:kern w:val="0"/>
          <w:sz w:val="32"/>
          <w:szCs w:val="32"/>
          <w:shd w:val="clear" w:color="auto" w:fill="FFFFFF"/>
          <w:lang w:val="zh-CN"/>
        </w:rPr>
      </w:pPr>
    </w:p>
    <w:p>
      <w:pPr>
        <w:spacing w:line="600" w:lineRule="exact"/>
        <w:jc w:val="center"/>
        <w:outlineLvl w:val="0"/>
        <w:rPr>
          <w:rFonts w:hint="eastAsia" w:ascii="黑体" w:hAnsi="黑体" w:eastAsia="黑体"/>
          <w:color w:val="000000"/>
          <w:sz w:val="44"/>
          <w:szCs w:val="44"/>
        </w:rPr>
      </w:pPr>
      <w:bookmarkStart w:id="106" w:name="_Toc15396618"/>
      <w:bookmarkStart w:id="107" w:name="_Toc79163635"/>
      <w:bookmarkStart w:id="108" w:name="_Toc79163885"/>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Style w:val="28"/>
          <w:rFonts w:ascii="黑体" w:hAnsi="黑体" w:eastAsia="黑体"/>
          <w:b w:val="0"/>
        </w:rPr>
      </w:pPr>
      <w:r>
        <w:rPr>
          <w:rFonts w:hint="eastAsia" w:ascii="黑体" w:hAnsi="黑体" w:eastAsia="黑体"/>
          <w:color w:val="000000"/>
          <w:sz w:val="44"/>
          <w:szCs w:val="44"/>
        </w:rPr>
        <w:t>第</w:t>
      </w:r>
      <w:r>
        <w:rPr>
          <w:rStyle w:val="28"/>
          <w:rFonts w:hint="eastAsia" w:ascii="黑体" w:hAnsi="黑体" w:eastAsia="黑体"/>
          <w:b w:val="0"/>
        </w:rPr>
        <w:t>五部分</w:t>
      </w:r>
      <w:r>
        <w:rPr>
          <w:rStyle w:val="28"/>
          <w:rFonts w:ascii="黑体" w:hAnsi="黑体" w:eastAsia="黑体"/>
          <w:b w:val="0"/>
        </w:rPr>
        <w:t xml:space="preserve"> </w:t>
      </w:r>
      <w:r>
        <w:rPr>
          <w:rStyle w:val="28"/>
          <w:rFonts w:hint="eastAsia" w:ascii="黑体" w:hAnsi="黑体" w:eastAsia="黑体"/>
          <w:b w:val="0"/>
        </w:rPr>
        <w:t>附表</w:t>
      </w:r>
      <w:bookmarkEnd w:id="100"/>
      <w:bookmarkEnd w:id="106"/>
      <w:bookmarkEnd w:id="107"/>
      <w:bookmarkEnd w:id="108"/>
    </w:p>
    <w:p>
      <w:pPr>
        <w:pStyle w:val="4"/>
        <w:rPr>
          <w:rFonts w:ascii="仿宋" w:hAnsi="仿宋" w:eastAsia="仿宋"/>
          <w:color w:val="000000"/>
        </w:rPr>
      </w:pPr>
      <w:bookmarkStart w:id="109" w:name="_Toc79163886"/>
      <w:bookmarkStart w:id="110" w:name="_Toc79163636"/>
      <w:bookmarkStart w:id="111" w:name="_Toc15396619"/>
      <w:r>
        <w:rPr>
          <w:rFonts w:hint="eastAsia" w:ascii="仿宋" w:hAnsi="仿宋" w:eastAsia="仿宋"/>
          <w:b w:val="0"/>
          <w:color w:val="000000"/>
        </w:rPr>
        <w:t>一、收</w:t>
      </w:r>
      <w:r>
        <w:rPr>
          <w:rStyle w:val="29"/>
          <w:rFonts w:hint="eastAsia" w:ascii="仿宋" w:hAnsi="仿宋" w:eastAsia="仿宋"/>
          <w:b w:val="0"/>
          <w:bCs w:val="0"/>
        </w:rPr>
        <w:t>入支出决算总表</w:t>
      </w:r>
      <w:bookmarkEnd w:id="109"/>
      <w:bookmarkEnd w:id="110"/>
      <w:bookmarkEnd w:id="111"/>
    </w:p>
    <w:p>
      <w:pPr>
        <w:pStyle w:val="4"/>
        <w:rPr>
          <w:rFonts w:ascii="仿宋" w:hAnsi="仿宋" w:eastAsia="仿宋"/>
          <w:color w:val="000000"/>
        </w:rPr>
      </w:pPr>
      <w:bookmarkStart w:id="112" w:name="_Toc15396620"/>
      <w:bookmarkStart w:id="113" w:name="_Toc79163637"/>
      <w:bookmarkStart w:id="114" w:name="_Toc79163887"/>
      <w:r>
        <w:rPr>
          <w:rFonts w:hint="eastAsia" w:ascii="仿宋" w:hAnsi="仿宋" w:eastAsia="仿宋"/>
          <w:b w:val="0"/>
          <w:color w:val="000000"/>
        </w:rPr>
        <w:t>二、收</w:t>
      </w:r>
      <w:r>
        <w:rPr>
          <w:rStyle w:val="29"/>
          <w:rFonts w:hint="eastAsia" w:ascii="仿宋" w:hAnsi="仿宋" w:eastAsia="仿宋"/>
          <w:b w:val="0"/>
          <w:bCs w:val="0"/>
        </w:rPr>
        <w:t>入决算表</w:t>
      </w:r>
      <w:bookmarkEnd w:id="112"/>
      <w:bookmarkEnd w:id="113"/>
      <w:bookmarkEnd w:id="114"/>
    </w:p>
    <w:p>
      <w:pPr>
        <w:pStyle w:val="4"/>
        <w:rPr>
          <w:rFonts w:ascii="仿宋" w:hAnsi="仿宋" w:eastAsia="仿宋"/>
          <w:color w:val="000000"/>
        </w:rPr>
      </w:pPr>
      <w:bookmarkStart w:id="115" w:name="_Toc79163888"/>
      <w:bookmarkStart w:id="116" w:name="_Toc79163638"/>
      <w:bookmarkStart w:id="117" w:name="_Toc15396621"/>
      <w:r>
        <w:rPr>
          <w:rStyle w:val="29"/>
          <w:rFonts w:hint="eastAsia" w:ascii="仿宋" w:hAnsi="仿宋" w:eastAsia="仿宋"/>
          <w:b w:val="0"/>
          <w:bCs w:val="0"/>
        </w:rPr>
        <w:t>三、</w:t>
      </w:r>
      <w:r>
        <w:rPr>
          <w:rFonts w:hint="eastAsia" w:ascii="仿宋" w:hAnsi="仿宋" w:eastAsia="仿宋"/>
          <w:b w:val="0"/>
          <w:color w:val="000000"/>
        </w:rPr>
        <w:t>支</w:t>
      </w:r>
      <w:r>
        <w:rPr>
          <w:rStyle w:val="29"/>
          <w:rFonts w:hint="eastAsia" w:ascii="仿宋" w:hAnsi="仿宋" w:eastAsia="仿宋"/>
          <w:b w:val="0"/>
          <w:bCs w:val="0"/>
        </w:rPr>
        <w:t>出决算表</w:t>
      </w:r>
      <w:bookmarkEnd w:id="115"/>
      <w:bookmarkEnd w:id="116"/>
      <w:bookmarkEnd w:id="117"/>
    </w:p>
    <w:p>
      <w:pPr>
        <w:pStyle w:val="4"/>
        <w:rPr>
          <w:rFonts w:ascii="仿宋" w:hAnsi="仿宋" w:eastAsia="仿宋"/>
          <w:b w:val="0"/>
          <w:color w:val="000000"/>
        </w:rPr>
      </w:pPr>
      <w:bookmarkStart w:id="118" w:name="_Toc15396622"/>
      <w:bookmarkStart w:id="119" w:name="_Toc79163889"/>
      <w:bookmarkStart w:id="120" w:name="_Toc79163639"/>
      <w:r>
        <w:rPr>
          <w:rStyle w:val="29"/>
          <w:rFonts w:hint="eastAsia" w:ascii="仿宋" w:hAnsi="仿宋" w:eastAsia="仿宋"/>
          <w:b w:val="0"/>
          <w:bCs w:val="0"/>
        </w:rPr>
        <w:t>四、</w:t>
      </w:r>
      <w:r>
        <w:rPr>
          <w:rFonts w:hint="eastAsia" w:ascii="仿宋" w:hAnsi="仿宋" w:eastAsia="仿宋"/>
          <w:b w:val="0"/>
          <w:color w:val="000000"/>
        </w:rPr>
        <w:t>财</w:t>
      </w:r>
      <w:r>
        <w:rPr>
          <w:rStyle w:val="29"/>
          <w:rFonts w:hint="eastAsia" w:ascii="仿宋" w:hAnsi="仿宋" w:eastAsia="仿宋"/>
          <w:b w:val="0"/>
          <w:bCs w:val="0"/>
        </w:rPr>
        <w:t>政拨款收入支出决算总表</w:t>
      </w:r>
      <w:bookmarkEnd w:id="118"/>
      <w:bookmarkEnd w:id="119"/>
      <w:bookmarkEnd w:id="120"/>
    </w:p>
    <w:p>
      <w:pPr>
        <w:pStyle w:val="4"/>
        <w:rPr>
          <w:rStyle w:val="29"/>
          <w:rFonts w:ascii="仿宋" w:hAnsi="仿宋" w:eastAsia="仿宋"/>
          <w:b w:val="0"/>
          <w:bCs w:val="0"/>
        </w:rPr>
      </w:pPr>
      <w:bookmarkStart w:id="121" w:name="_Toc79163640"/>
      <w:bookmarkStart w:id="122" w:name="_Toc79163890"/>
      <w:bookmarkStart w:id="123" w:name="_Toc15396623"/>
      <w:r>
        <w:rPr>
          <w:rStyle w:val="29"/>
          <w:rFonts w:hint="eastAsia" w:ascii="仿宋" w:hAnsi="仿宋" w:eastAsia="仿宋"/>
          <w:b w:val="0"/>
          <w:bCs w:val="0"/>
        </w:rPr>
        <w:t>五、</w:t>
      </w:r>
      <w:r>
        <w:rPr>
          <w:rFonts w:hint="eastAsia" w:ascii="仿宋" w:hAnsi="仿宋" w:eastAsia="仿宋"/>
          <w:b w:val="0"/>
          <w:color w:val="000000"/>
        </w:rPr>
        <w:t>财</w:t>
      </w:r>
      <w:r>
        <w:rPr>
          <w:rStyle w:val="29"/>
          <w:rFonts w:hint="eastAsia" w:ascii="仿宋" w:hAnsi="仿宋" w:eastAsia="仿宋"/>
          <w:b w:val="0"/>
          <w:bCs w:val="0"/>
        </w:rPr>
        <w:t>政拨款支出决算明细表</w:t>
      </w:r>
      <w:bookmarkEnd w:id="121"/>
      <w:bookmarkEnd w:id="122"/>
      <w:bookmarkEnd w:id="123"/>
      <w:bookmarkStart w:id="124" w:name="_Toc15396624"/>
    </w:p>
    <w:p>
      <w:pPr>
        <w:pStyle w:val="4"/>
        <w:rPr>
          <w:rFonts w:ascii="仿宋" w:hAnsi="仿宋" w:eastAsia="仿宋"/>
          <w:color w:val="000000"/>
        </w:rPr>
      </w:pPr>
      <w:bookmarkStart w:id="125" w:name="_Toc79163891"/>
      <w:bookmarkStart w:id="126" w:name="_Toc79163641"/>
      <w:r>
        <w:rPr>
          <w:rStyle w:val="29"/>
          <w:rFonts w:hint="eastAsia" w:ascii="仿宋" w:hAnsi="仿宋" w:eastAsia="仿宋"/>
          <w:b w:val="0"/>
          <w:bCs w:val="0"/>
        </w:rPr>
        <w:t>六、</w:t>
      </w:r>
      <w:r>
        <w:rPr>
          <w:rFonts w:hint="eastAsia" w:ascii="仿宋" w:hAnsi="仿宋" w:eastAsia="仿宋"/>
          <w:b w:val="0"/>
          <w:color w:val="000000"/>
        </w:rPr>
        <w:t>一</w:t>
      </w:r>
      <w:r>
        <w:rPr>
          <w:rStyle w:val="29"/>
          <w:rFonts w:hint="eastAsia" w:ascii="仿宋" w:hAnsi="仿宋" w:eastAsia="仿宋"/>
          <w:b w:val="0"/>
          <w:bCs w:val="0"/>
        </w:rPr>
        <w:t>般公共预算财政拨款支出决算表</w:t>
      </w:r>
      <w:bookmarkEnd w:id="124"/>
      <w:bookmarkEnd w:id="125"/>
      <w:bookmarkEnd w:id="126"/>
    </w:p>
    <w:p>
      <w:pPr>
        <w:pStyle w:val="4"/>
        <w:rPr>
          <w:rFonts w:ascii="仿宋" w:hAnsi="仿宋" w:eastAsia="仿宋"/>
          <w:color w:val="000000"/>
        </w:rPr>
      </w:pPr>
      <w:bookmarkStart w:id="127" w:name="_Toc79163642"/>
      <w:bookmarkStart w:id="128" w:name="_Toc79163892"/>
      <w:bookmarkStart w:id="129" w:name="_Toc15396625"/>
      <w:r>
        <w:rPr>
          <w:rStyle w:val="29"/>
          <w:rFonts w:hint="eastAsia" w:ascii="仿宋" w:hAnsi="仿宋" w:eastAsia="仿宋"/>
          <w:b w:val="0"/>
          <w:bCs w:val="0"/>
        </w:rPr>
        <w:t>七、</w:t>
      </w:r>
      <w:r>
        <w:rPr>
          <w:rFonts w:hint="eastAsia" w:ascii="仿宋" w:hAnsi="仿宋" w:eastAsia="仿宋"/>
          <w:b w:val="0"/>
          <w:color w:val="000000"/>
        </w:rPr>
        <w:t>一</w:t>
      </w:r>
      <w:r>
        <w:rPr>
          <w:rStyle w:val="29"/>
          <w:rFonts w:hint="eastAsia" w:ascii="仿宋" w:hAnsi="仿宋" w:eastAsia="仿宋"/>
          <w:b w:val="0"/>
          <w:bCs w:val="0"/>
        </w:rPr>
        <w:t>般公共预算财政拨款支出决算明细表</w:t>
      </w:r>
      <w:bookmarkEnd w:id="127"/>
      <w:bookmarkEnd w:id="128"/>
      <w:bookmarkEnd w:id="129"/>
    </w:p>
    <w:p>
      <w:pPr>
        <w:pStyle w:val="4"/>
        <w:rPr>
          <w:rFonts w:ascii="仿宋" w:hAnsi="仿宋" w:eastAsia="仿宋"/>
          <w:color w:val="000000"/>
        </w:rPr>
      </w:pPr>
      <w:bookmarkStart w:id="130" w:name="_Toc79163893"/>
      <w:bookmarkStart w:id="131" w:name="_Toc15396626"/>
      <w:bookmarkStart w:id="132" w:name="_Toc79163643"/>
      <w:r>
        <w:rPr>
          <w:rStyle w:val="29"/>
          <w:rFonts w:hint="eastAsia" w:ascii="仿宋" w:hAnsi="仿宋" w:eastAsia="仿宋"/>
          <w:b w:val="0"/>
          <w:bCs w:val="0"/>
        </w:rPr>
        <w:t>八、</w:t>
      </w:r>
      <w:r>
        <w:rPr>
          <w:rFonts w:hint="eastAsia" w:ascii="仿宋" w:hAnsi="仿宋" w:eastAsia="仿宋"/>
          <w:b w:val="0"/>
          <w:color w:val="000000"/>
        </w:rPr>
        <w:t>一</w:t>
      </w:r>
      <w:r>
        <w:rPr>
          <w:rStyle w:val="29"/>
          <w:rFonts w:hint="eastAsia" w:ascii="仿宋" w:hAnsi="仿宋" w:eastAsia="仿宋"/>
          <w:b w:val="0"/>
          <w:bCs w:val="0"/>
        </w:rPr>
        <w:t>般公共预算财政拨款基本支出决算表</w:t>
      </w:r>
      <w:bookmarkEnd w:id="130"/>
      <w:bookmarkEnd w:id="131"/>
      <w:bookmarkEnd w:id="132"/>
    </w:p>
    <w:p>
      <w:pPr>
        <w:pStyle w:val="4"/>
        <w:rPr>
          <w:rFonts w:ascii="仿宋" w:hAnsi="仿宋" w:eastAsia="仿宋"/>
          <w:color w:val="000000"/>
        </w:rPr>
      </w:pPr>
      <w:bookmarkStart w:id="133" w:name="_Toc79163644"/>
      <w:bookmarkStart w:id="134" w:name="_Toc79163894"/>
      <w:bookmarkStart w:id="135" w:name="_Toc15396627"/>
      <w:r>
        <w:rPr>
          <w:rStyle w:val="29"/>
          <w:rFonts w:hint="eastAsia" w:ascii="仿宋" w:hAnsi="仿宋" w:eastAsia="仿宋"/>
          <w:b w:val="0"/>
          <w:bCs w:val="0"/>
        </w:rPr>
        <w:t>九、</w:t>
      </w:r>
      <w:r>
        <w:rPr>
          <w:rFonts w:hint="eastAsia" w:ascii="仿宋" w:hAnsi="仿宋" w:eastAsia="仿宋"/>
          <w:b w:val="0"/>
          <w:color w:val="000000"/>
        </w:rPr>
        <w:t>一</w:t>
      </w:r>
      <w:r>
        <w:rPr>
          <w:rStyle w:val="29"/>
          <w:rFonts w:hint="eastAsia" w:ascii="仿宋" w:hAnsi="仿宋" w:eastAsia="仿宋"/>
          <w:b w:val="0"/>
          <w:bCs w:val="0"/>
        </w:rPr>
        <w:t>般公共预算财政拨款项目支出决算表</w:t>
      </w:r>
      <w:bookmarkEnd w:id="133"/>
      <w:bookmarkEnd w:id="134"/>
      <w:bookmarkEnd w:id="135"/>
    </w:p>
    <w:p>
      <w:pPr>
        <w:pStyle w:val="4"/>
        <w:rPr>
          <w:rFonts w:ascii="仿宋" w:hAnsi="仿宋" w:eastAsia="仿宋"/>
          <w:color w:val="000000"/>
        </w:rPr>
      </w:pPr>
      <w:bookmarkStart w:id="136" w:name="_Toc15396628"/>
      <w:bookmarkStart w:id="137" w:name="_Toc79163895"/>
      <w:bookmarkStart w:id="138" w:name="_Toc79163645"/>
      <w:r>
        <w:rPr>
          <w:rStyle w:val="29"/>
          <w:rFonts w:hint="eastAsia" w:ascii="仿宋" w:hAnsi="仿宋" w:eastAsia="仿宋"/>
          <w:b w:val="0"/>
          <w:bCs w:val="0"/>
        </w:rPr>
        <w:t>十、</w:t>
      </w:r>
      <w:r>
        <w:rPr>
          <w:rFonts w:hint="eastAsia" w:ascii="仿宋" w:hAnsi="仿宋" w:eastAsia="仿宋"/>
          <w:b w:val="0"/>
          <w:color w:val="000000"/>
        </w:rPr>
        <w:t>一</w:t>
      </w:r>
      <w:r>
        <w:rPr>
          <w:rStyle w:val="29"/>
          <w:rFonts w:hint="eastAsia" w:ascii="仿宋" w:hAnsi="仿宋" w:eastAsia="仿宋"/>
          <w:b w:val="0"/>
          <w:bCs w:val="0"/>
        </w:rPr>
        <w:t>般公共预算财政拨款“三公”经费支出决算表</w:t>
      </w:r>
      <w:bookmarkEnd w:id="136"/>
      <w:bookmarkEnd w:id="137"/>
      <w:bookmarkEnd w:id="138"/>
    </w:p>
    <w:p>
      <w:pPr>
        <w:pStyle w:val="4"/>
        <w:rPr>
          <w:rFonts w:ascii="仿宋" w:hAnsi="仿宋" w:eastAsia="仿宋"/>
          <w:color w:val="000000"/>
        </w:rPr>
      </w:pPr>
      <w:bookmarkStart w:id="139" w:name="_Toc79163896"/>
      <w:bookmarkStart w:id="140" w:name="_Toc79163646"/>
      <w:bookmarkStart w:id="141" w:name="_Toc15396629"/>
      <w:r>
        <w:rPr>
          <w:rStyle w:val="29"/>
          <w:rFonts w:hint="eastAsia" w:ascii="仿宋" w:hAnsi="仿宋" w:eastAsia="仿宋"/>
          <w:b w:val="0"/>
          <w:bCs w:val="0"/>
        </w:rPr>
        <w:t>十一、</w:t>
      </w:r>
      <w:r>
        <w:rPr>
          <w:rFonts w:hint="eastAsia" w:ascii="仿宋" w:hAnsi="仿宋" w:eastAsia="仿宋"/>
          <w:b w:val="0"/>
          <w:color w:val="000000"/>
        </w:rPr>
        <w:t>政</w:t>
      </w:r>
      <w:r>
        <w:rPr>
          <w:rStyle w:val="29"/>
          <w:rFonts w:hint="eastAsia" w:ascii="仿宋" w:hAnsi="仿宋" w:eastAsia="仿宋"/>
          <w:b w:val="0"/>
          <w:bCs w:val="0"/>
        </w:rPr>
        <w:t>府性基金预算财政拨款收入支出决算表</w:t>
      </w:r>
      <w:bookmarkEnd w:id="139"/>
      <w:bookmarkEnd w:id="140"/>
      <w:bookmarkEnd w:id="141"/>
    </w:p>
    <w:p>
      <w:pPr>
        <w:pStyle w:val="4"/>
        <w:rPr>
          <w:rFonts w:ascii="仿宋" w:hAnsi="仿宋" w:eastAsia="仿宋"/>
          <w:color w:val="000000"/>
        </w:rPr>
      </w:pPr>
      <w:bookmarkStart w:id="142" w:name="_Toc15396630"/>
      <w:bookmarkStart w:id="143" w:name="_Toc79163647"/>
      <w:bookmarkStart w:id="144" w:name="_Toc79163897"/>
      <w:r>
        <w:rPr>
          <w:rStyle w:val="29"/>
          <w:rFonts w:hint="eastAsia" w:ascii="仿宋" w:hAnsi="仿宋" w:eastAsia="仿宋"/>
          <w:b w:val="0"/>
          <w:bCs w:val="0"/>
        </w:rPr>
        <w:t>十二、</w:t>
      </w:r>
      <w:r>
        <w:rPr>
          <w:rFonts w:hint="eastAsia" w:ascii="仿宋" w:hAnsi="仿宋" w:eastAsia="仿宋"/>
          <w:b w:val="0"/>
          <w:color w:val="000000"/>
        </w:rPr>
        <w:t>政</w:t>
      </w:r>
      <w:r>
        <w:rPr>
          <w:rStyle w:val="29"/>
          <w:rFonts w:hint="eastAsia" w:ascii="仿宋" w:hAnsi="仿宋" w:eastAsia="仿宋"/>
          <w:b w:val="0"/>
          <w:bCs w:val="0"/>
        </w:rPr>
        <w:t>府性基金预算财政拨款“三公”经费支出决算表</w:t>
      </w:r>
      <w:bookmarkEnd w:id="142"/>
      <w:bookmarkEnd w:id="143"/>
      <w:bookmarkEnd w:id="144"/>
    </w:p>
    <w:p>
      <w:pPr>
        <w:pStyle w:val="4"/>
        <w:rPr>
          <w:rStyle w:val="29"/>
          <w:rFonts w:ascii="仿宋" w:hAnsi="仿宋" w:eastAsia="仿宋"/>
          <w:b w:val="0"/>
          <w:bCs w:val="0"/>
        </w:rPr>
      </w:pPr>
      <w:bookmarkStart w:id="145" w:name="_Toc79163648"/>
      <w:bookmarkStart w:id="146" w:name="_Toc79163898"/>
      <w:bookmarkStart w:id="147" w:name="_Toc15396631"/>
      <w:r>
        <w:rPr>
          <w:rStyle w:val="29"/>
          <w:rFonts w:hint="eastAsia" w:ascii="仿宋" w:hAnsi="仿宋" w:eastAsia="仿宋"/>
          <w:b w:val="0"/>
          <w:bCs w:val="0"/>
        </w:rPr>
        <w:t>十三、</w:t>
      </w:r>
      <w:r>
        <w:rPr>
          <w:rFonts w:hint="eastAsia" w:ascii="仿宋" w:hAnsi="仿宋" w:eastAsia="仿宋"/>
          <w:b w:val="0"/>
          <w:color w:val="000000"/>
        </w:rPr>
        <w:t>国</w:t>
      </w:r>
      <w:r>
        <w:rPr>
          <w:rStyle w:val="29"/>
          <w:rFonts w:hint="eastAsia" w:ascii="仿宋" w:hAnsi="仿宋" w:eastAsia="仿宋"/>
          <w:b w:val="0"/>
          <w:bCs w:val="0"/>
        </w:rPr>
        <w:t>有资本经营预算财政拨款支出决算表</w:t>
      </w:r>
      <w:bookmarkEnd w:id="145"/>
      <w:bookmarkEnd w:id="146"/>
      <w:bookmarkEnd w:id="147"/>
    </w:p>
    <w:p>
      <w:pPr>
        <w:pStyle w:val="4"/>
        <w:rPr>
          <w:rStyle w:val="29"/>
          <w:rFonts w:ascii="仿宋" w:hAnsi="仿宋" w:eastAsia="仿宋"/>
          <w:b w:val="0"/>
          <w:bCs w:val="0"/>
        </w:rPr>
      </w:pPr>
      <w:bookmarkStart w:id="148" w:name="_Toc79163899"/>
      <w:bookmarkStart w:id="149" w:name="_Toc79163649"/>
      <w:r>
        <w:rPr>
          <w:rStyle w:val="29"/>
          <w:rFonts w:hint="eastAsia" w:ascii="仿宋" w:hAnsi="仿宋" w:eastAsia="仿宋"/>
          <w:b w:val="0"/>
          <w:bCs w:val="0"/>
        </w:rPr>
        <w:t>十四、国有资本经营预算财政拨款支出决算表</w:t>
      </w:r>
      <w:bookmarkEnd w:id="148"/>
      <w:bookmarkEnd w:id="149"/>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Cambria">
    <w:altName w:val="Noto Sans Syriac Eastern"/>
    <w:panose1 w:val="02040503050406030204"/>
    <w:charset w:val="00"/>
    <w:family w:val="roman"/>
    <w:pitch w:val="default"/>
    <w:sig w:usb0="00000000" w:usb1="00000000" w:usb2="00000000" w:usb3="00000000" w:csb0="2000019F" w:csb1="00000000"/>
  </w:font>
  <w:font w:name="等线">
    <w:altName w:val="宋体"/>
    <w:panose1 w:val="02010600030101010101"/>
    <w:charset w:val="86"/>
    <w:family w:val="auto"/>
    <w:pitch w:val="default"/>
    <w:sig w:usb0="00000000" w:usb1="00000000" w:usb2="00000016" w:usb3="00000000" w:csb0="0004000F" w:csb1="00000000"/>
  </w:font>
  <w:font w:name="仿宋">
    <w:panose1 w:val="02010609060101010101"/>
    <w:charset w:val="86"/>
    <w:family w:val="auto"/>
    <w:pitch w:val="default"/>
    <w:sig w:usb0="800002BF" w:usb1="38CF7CFA" w:usb2="00000016" w:usb3="00000000" w:csb0="00040001" w:csb1="00000000"/>
  </w:font>
  <w:font w:name="等线 Light">
    <w:altName w:val="宋体"/>
    <w:panose1 w:val="02010600030101010101"/>
    <w:charset w:val="86"/>
    <w:family w:val="auto"/>
    <w:pitch w:val="default"/>
    <w:sig w:usb0="00000000" w:usb1="00000000" w:usb2="00000016" w:usb3="00000000" w:csb0="0004000F" w:csb1="00000000"/>
  </w:font>
  <w:font w:name="方正小标宋简体">
    <w:panose1 w:val="02010601030101010101"/>
    <w:charset w:val="86"/>
    <w:family w:val="auto"/>
    <w:pitch w:val="default"/>
    <w:sig w:usb0="00000001" w:usb1="080E0000" w:usb2="00000000" w:usb3="00000000" w:csb0="00040000" w:csb1="00000000"/>
  </w:font>
  <w:font w:name="等线">
    <w:altName w:val="仿宋"/>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Noto Sans Syriac Eastern">
    <w:panose1 w:val="02040503050306020203"/>
    <w:charset w:val="86"/>
    <w:family w:val="auto"/>
    <w:pitch w:val="default"/>
    <w:sig w:usb0="00000000" w:usb1="00000000" w:usb2="00000080" w:usb3="00000000" w:csb0="203E0161" w:csb1="D7FF0000"/>
  </w:font>
  <w:font w:name="方正仿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r>
      <w:fldChar w:fldCharType="begin"/>
    </w:r>
    <w:r>
      <w:instrText xml:space="preserve">PAGE   \* MERGEFORMAT</w:instrText>
    </w:r>
    <w:r>
      <w:fldChar w:fldCharType="separate"/>
    </w:r>
    <w:r>
      <w:t>25</w:t>
    </w:r>
    <w:r>
      <w:fldChar w:fldCharType="end"/>
    </w:r>
  </w:p>
  <w:p>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1">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2">
    <w:nsid w:val="ECEFB357"/>
    <w:multiLevelType w:val="multilevel"/>
    <w:tmpl w:val="ECEFB357"/>
    <w:lvl w:ilvl="0" w:tentative="0">
      <w:start w:val="2"/>
      <w:numFmt w:val="chineseCounting"/>
      <w:suff w:val="nothing"/>
      <w:lvlText w:val="（%1）"/>
      <w:lvlJc w:val="left"/>
      <w:pPr>
        <w:ind w:left="0" w:firstLine="0"/>
      </w:pPr>
      <w:rPr>
        <w:rFonts w:hint="eastAsia" w:ascii="宋体" w:hAnsi="宋体" w:eastAsia="宋体" w:cs="宋体"/>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3">
    <w:nsid w:val="7EED1195"/>
    <w:multiLevelType w:val="singleLevel"/>
    <w:tmpl w:val="7EED1195"/>
    <w:lvl w:ilvl="0" w:tentative="0">
      <w:start w:val="1"/>
      <w:numFmt w:val="chineseCounting"/>
      <w:suff w:val="nothing"/>
      <w:lvlText w:val="%1、"/>
      <w:lvlJc w:val="left"/>
      <w:rPr>
        <w:rFonts w:hint="eastAsia"/>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true"/>
  <w:bordersDoNotSurroundHeader w:val="false"/>
  <w:bordersDoNotSurroundFooter w:val="false"/>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JiM2RhYjBhZDI3NDIxN2U3MzVkYzJjMzEyMWMxMWIifQ=="/>
  </w:docVars>
  <w:rsids>
    <w:rsidRoot w:val="00172A27"/>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15301"/>
    <w:rsid w:val="001319E1"/>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26640"/>
    <w:rsid w:val="00235629"/>
    <w:rsid w:val="00256262"/>
    <w:rsid w:val="00260C38"/>
    <w:rsid w:val="002616C0"/>
    <w:rsid w:val="00264FA2"/>
    <w:rsid w:val="00265372"/>
    <w:rsid w:val="002662AA"/>
    <w:rsid w:val="0027224D"/>
    <w:rsid w:val="00280496"/>
    <w:rsid w:val="00294DC9"/>
    <w:rsid w:val="00295495"/>
    <w:rsid w:val="002A31DE"/>
    <w:rsid w:val="002B2613"/>
    <w:rsid w:val="002D6D05"/>
    <w:rsid w:val="002F1818"/>
    <w:rsid w:val="002F567B"/>
    <w:rsid w:val="003216A9"/>
    <w:rsid w:val="00335A74"/>
    <w:rsid w:val="0036561B"/>
    <w:rsid w:val="0037013F"/>
    <w:rsid w:val="00380C92"/>
    <w:rsid w:val="00394E7F"/>
    <w:rsid w:val="003A484F"/>
    <w:rsid w:val="003A4883"/>
    <w:rsid w:val="003B0BE0"/>
    <w:rsid w:val="003B0C1B"/>
    <w:rsid w:val="003B688C"/>
    <w:rsid w:val="003C0291"/>
    <w:rsid w:val="003C39AE"/>
    <w:rsid w:val="003C7B60"/>
    <w:rsid w:val="003D0C0F"/>
    <w:rsid w:val="003D1FB2"/>
    <w:rsid w:val="003D53FE"/>
    <w:rsid w:val="003D66DA"/>
    <w:rsid w:val="003E1310"/>
    <w:rsid w:val="003E6F55"/>
    <w:rsid w:val="003E6FE4"/>
    <w:rsid w:val="00406254"/>
    <w:rsid w:val="004223DE"/>
    <w:rsid w:val="00434489"/>
    <w:rsid w:val="00437085"/>
    <w:rsid w:val="00443880"/>
    <w:rsid w:val="00445607"/>
    <w:rsid w:val="004464F4"/>
    <w:rsid w:val="00471401"/>
    <w:rsid w:val="00473F31"/>
    <w:rsid w:val="00476DF9"/>
    <w:rsid w:val="0048263A"/>
    <w:rsid w:val="00487E5D"/>
    <w:rsid w:val="004A711F"/>
    <w:rsid w:val="004B199D"/>
    <w:rsid w:val="004B4690"/>
    <w:rsid w:val="004D5479"/>
    <w:rsid w:val="004E0A2D"/>
    <w:rsid w:val="004E206B"/>
    <w:rsid w:val="004E6DF7"/>
    <w:rsid w:val="004F0FBD"/>
    <w:rsid w:val="00505A47"/>
    <w:rsid w:val="00512FDA"/>
    <w:rsid w:val="00520DA0"/>
    <w:rsid w:val="005269A7"/>
    <w:rsid w:val="005269D7"/>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45F81"/>
    <w:rsid w:val="0065271A"/>
    <w:rsid w:val="0066343B"/>
    <w:rsid w:val="00664777"/>
    <w:rsid w:val="006748A4"/>
    <w:rsid w:val="00681A31"/>
    <w:rsid w:val="00683E73"/>
    <w:rsid w:val="006A3141"/>
    <w:rsid w:val="006A5E34"/>
    <w:rsid w:val="006B2422"/>
    <w:rsid w:val="006B2B9A"/>
    <w:rsid w:val="006C1937"/>
    <w:rsid w:val="006E2684"/>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D4A41"/>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632E0"/>
    <w:rsid w:val="00871F71"/>
    <w:rsid w:val="00872FD8"/>
    <w:rsid w:val="00885AF4"/>
    <w:rsid w:val="00892977"/>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D8"/>
    <w:rsid w:val="00935C98"/>
    <w:rsid w:val="00946945"/>
    <w:rsid w:val="00951248"/>
    <w:rsid w:val="0095152F"/>
    <w:rsid w:val="00954C49"/>
    <w:rsid w:val="00955E37"/>
    <w:rsid w:val="00962656"/>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11E4"/>
    <w:rsid w:val="00B03C9D"/>
    <w:rsid w:val="00B060AE"/>
    <w:rsid w:val="00B10517"/>
    <w:rsid w:val="00B14E76"/>
    <w:rsid w:val="00B161B8"/>
    <w:rsid w:val="00B2048C"/>
    <w:rsid w:val="00B20FF3"/>
    <w:rsid w:val="00B310B9"/>
    <w:rsid w:val="00B35F3F"/>
    <w:rsid w:val="00B36CBB"/>
    <w:rsid w:val="00B425E0"/>
    <w:rsid w:val="00B440AA"/>
    <w:rsid w:val="00B44B70"/>
    <w:rsid w:val="00B53C56"/>
    <w:rsid w:val="00B54DB4"/>
    <w:rsid w:val="00B57DAF"/>
    <w:rsid w:val="00B77EA6"/>
    <w:rsid w:val="00B81598"/>
    <w:rsid w:val="00B841F1"/>
    <w:rsid w:val="00B90E4E"/>
    <w:rsid w:val="00B944D6"/>
    <w:rsid w:val="00B965DC"/>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4B0"/>
    <w:rsid w:val="00DC7CBA"/>
    <w:rsid w:val="00DD73B7"/>
    <w:rsid w:val="00DF1C39"/>
    <w:rsid w:val="00DF28BC"/>
    <w:rsid w:val="00DF34B9"/>
    <w:rsid w:val="00E01053"/>
    <w:rsid w:val="00E07ACF"/>
    <w:rsid w:val="00E32CAD"/>
    <w:rsid w:val="00E331A1"/>
    <w:rsid w:val="00E33202"/>
    <w:rsid w:val="00E336A9"/>
    <w:rsid w:val="00E472B1"/>
    <w:rsid w:val="00E50624"/>
    <w:rsid w:val="00E568DF"/>
    <w:rsid w:val="00E64269"/>
    <w:rsid w:val="00E70975"/>
    <w:rsid w:val="00E82267"/>
    <w:rsid w:val="00E853CE"/>
    <w:rsid w:val="00E867B6"/>
    <w:rsid w:val="00EA010F"/>
    <w:rsid w:val="00ED1B63"/>
    <w:rsid w:val="00ED3C1F"/>
    <w:rsid w:val="00ED4085"/>
    <w:rsid w:val="00ED420E"/>
    <w:rsid w:val="00ED6FBE"/>
    <w:rsid w:val="00EE2F57"/>
    <w:rsid w:val="00EF4C34"/>
    <w:rsid w:val="00EF60EF"/>
    <w:rsid w:val="00EF77C6"/>
    <w:rsid w:val="00F05438"/>
    <w:rsid w:val="00F05477"/>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952C9"/>
    <w:rsid w:val="00FA23E8"/>
    <w:rsid w:val="00FD3CC1"/>
    <w:rsid w:val="00FF1E02"/>
    <w:rsid w:val="00FF30B4"/>
    <w:rsid w:val="014C4DA3"/>
    <w:rsid w:val="016D3530"/>
    <w:rsid w:val="02F91977"/>
    <w:rsid w:val="051200B1"/>
    <w:rsid w:val="05AF3C0F"/>
    <w:rsid w:val="05B747B5"/>
    <w:rsid w:val="06FA704F"/>
    <w:rsid w:val="08674270"/>
    <w:rsid w:val="09844198"/>
    <w:rsid w:val="0A2032A3"/>
    <w:rsid w:val="0A5026DB"/>
    <w:rsid w:val="0B91295B"/>
    <w:rsid w:val="0C917B0E"/>
    <w:rsid w:val="0D1A52F9"/>
    <w:rsid w:val="10C055FF"/>
    <w:rsid w:val="114C04A7"/>
    <w:rsid w:val="118107EC"/>
    <w:rsid w:val="11BD58B2"/>
    <w:rsid w:val="12C30C3D"/>
    <w:rsid w:val="13D44FA7"/>
    <w:rsid w:val="169923E1"/>
    <w:rsid w:val="16BB723D"/>
    <w:rsid w:val="17C36CFC"/>
    <w:rsid w:val="18D53478"/>
    <w:rsid w:val="19094ED0"/>
    <w:rsid w:val="1D155CEE"/>
    <w:rsid w:val="210E5779"/>
    <w:rsid w:val="22BA200B"/>
    <w:rsid w:val="240371BF"/>
    <w:rsid w:val="29481B83"/>
    <w:rsid w:val="29FD04D3"/>
    <w:rsid w:val="2B6F5066"/>
    <w:rsid w:val="2E67780F"/>
    <w:rsid w:val="2E6C3ADF"/>
    <w:rsid w:val="2F0401BB"/>
    <w:rsid w:val="2FA67F9C"/>
    <w:rsid w:val="2FC101D2"/>
    <w:rsid w:val="303D5733"/>
    <w:rsid w:val="319F7F4E"/>
    <w:rsid w:val="326B7F22"/>
    <w:rsid w:val="34AE30A3"/>
    <w:rsid w:val="361374D2"/>
    <w:rsid w:val="396D4B38"/>
    <w:rsid w:val="3B4E6126"/>
    <w:rsid w:val="3CD74F51"/>
    <w:rsid w:val="3D0C62A9"/>
    <w:rsid w:val="3D477BF1"/>
    <w:rsid w:val="3F47037C"/>
    <w:rsid w:val="3FEA2348"/>
    <w:rsid w:val="40F778EA"/>
    <w:rsid w:val="41004C87"/>
    <w:rsid w:val="41CC4B89"/>
    <w:rsid w:val="42755200"/>
    <w:rsid w:val="42864E7C"/>
    <w:rsid w:val="464A0752"/>
    <w:rsid w:val="47971775"/>
    <w:rsid w:val="48B85449"/>
    <w:rsid w:val="4A235542"/>
    <w:rsid w:val="4C352983"/>
    <w:rsid w:val="4C6365C5"/>
    <w:rsid w:val="4E3D0561"/>
    <w:rsid w:val="4E606D65"/>
    <w:rsid w:val="4EBC7D13"/>
    <w:rsid w:val="4ECE2238"/>
    <w:rsid w:val="4F3F2E1E"/>
    <w:rsid w:val="50CC248F"/>
    <w:rsid w:val="52020AD7"/>
    <w:rsid w:val="52350508"/>
    <w:rsid w:val="529B480F"/>
    <w:rsid w:val="53AB0A82"/>
    <w:rsid w:val="595D1779"/>
    <w:rsid w:val="5AC81C56"/>
    <w:rsid w:val="5DC664B8"/>
    <w:rsid w:val="5E0A6709"/>
    <w:rsid w:val="5E3E24F3"/>
    <w:rsid w:val="5F526256"/>
    <w:rsid w:val="5FC37F08"/>
    <w:rsid w:val="5FFDF11F"/>
    <w:rsid w:val="600734E4"/>
    <w:rsid w:val="61502C69"/>
    <w:rsid w:val="61F730E4"/>
    <w:rsid w:val="623600B0"/>
    <w:rsid w:val="626616D3"/>
    <w:rsid w:val="631A4274"/>
    <w:rsid w:val="67B37AAD"/>
    <w:rsid w:val="6850354E"/>
    <w:rsid w:val="69780FAF"/>
    <w:rsid w:val="6C4A05C8"/>
    <w:rsid w:val="6C845EBC"/>
    <w:rsid w:val="71724535"/>
    <w:rsid w:val="72020D13"/>
    <w:rsid w:val="72734D90"/>
    <w:rsid w:val="79725A1A"/>
    <w:rsid w:val="79BC6C95"/>
    <w:rsid w:val="79C773E8"/>
    <w:rsid w:val="7A6B246A"/>
    <w:rsid w:val="7B580C40"/>
    <w:rsid w:val="7D44147C"/>
    <w:rsid w:val="7E0429B9"/>
    <w:rsid w:val="7E3239C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43"/>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9"/>
    <w:qFormat/>
    <w:uiPriority w:val="9"/>
    <w:pPr>
      <w:keepNext/>
      <w:keepLines/>
      <w:spacing w:before="260" w:after="260" w:line="416" w:lineRule="auto"/>
      <w:outlineLvl w:val="1"/>
    </w:pPr>
    <w:rPr>
      <w:rFonts w:ascii="Cambria" w:hAnsi="Cambria"/>
      <w:b/>
      <w:bCs/>
      <w:sz w:val="32"/>
      <w:szCs w:val="32"/>
    </w:rPr>
  </w:style>
  <w:style w:type="paragraph" w:styleId="5">
    <w:name w:val="heading 3"/>
    <w:basedOn w:val="1"/>
    <w:next w:val="1"/>
    <w:link w:val="30"/>
    <w:qFormat/>
    <w:uiPriority w:val="9"/>
    <w:pPr>
      <w:keepNext/>
      <w:keepLines/>
      <w:spacing w:before="260" w:after="260" w:line="416" w:lineRule="auto"/>
      <w:outlineLvl w:val="2"/>
    </w:pPr>
    <w:rPr>
      <w:b/>
      <w:bCs/>
      <w:sz w:val="32"/>
      <w:szCs w:val="32"/>
    </w:rPr>
  </w:style>
  <w:style w:type="character" w:default="1" w:styleId="23">
    <w:name w:val="Default Paragraph Font"/>
    <w:unhideWhenUsed/>
    <w:qFormat/>
    <w:uiPriority w:val="1"/>
  </w:style>
  <w:style w:type="table" w:default="1" w:styleId="22">
    <w:name w:val="Normal Table"/>
    <w:unhideWhenUsed/>
    <w:qFormat/>
    <w:uiPriority w:val="99"/>
    <w:tblPr>
      <w:tblCellMar>
        <w:top w:w="0" w:type="dxa"/>
        <w:left w:w="108" w:type="dxa"/>
        <w:bottom w:w="0" w:type="dxa"/>
        <w:right w:w="108" w:type="dxa"/>
      </w:tblCellMar>
    </w:tblPr>
  </w:style>
  <w:style w:type="paragraph" w:styleId="2">
    <w:name w:val="table of figures"/>
    <w:basedOn w:val="1"/>
    <w:next w:val="1"/>
    <w:qFormat/>
    <w:uiPriority w:val="0"/>
    <w:pPr>
      <w:widowControl w:val="0"/>
      <w:ind w:left="400" w:leftChars="200" w:hanging="200" w:hangingChars="200"/>
      <w:jc w:val="both"/>
    </w:pPr>
    <w:rPr>
      <w:rFonts w:ascii="Calibri" w:hAnsi="Calibri" w:eastAsia="宋体" w:cs="Times New Roman"/>
      <w:kern w:val="2"/>
      <w:sz w:val="21"/>
      <w:szCs w:val="24"/>
      <w:lang w:val="en-US" w:eastAsia="zh-CN" w:bidi="ar-SA"/>
    </w:rPr>
  </w:style>
  <w:style w:type="paragraph" w:styleId="6">
    <w:name w:val="toc 7"/>
    <w:basedOn w:val="1"/>
    <w:next w:val="1"/>
    <w:unhideWhenUsed/>
    <w:qFormat/>
    <w:uiPriority w:val="39"/>
    <w:pPr>
      <w:ind w:left="1260"/>
      <w:jc w:val="left"/>
    </w:pPr>
    <w:rPr>
      <w:rFonts w:asciiTheme="minorHAnsi" w:eastAsiaTheme="minorHAnsi"/>
      <w:sz w:val="18"/>
      <w:szCs w:val="18"/>
    </w:rPr>
  </w:style>
  <w:style w:type="paragraph" w:styleId="7">
    <w:name w:val="Body Text"/>
    <w:basedOn w:val="1"/>
    <w:link w:val="37"/>
    <w:qFormat/>
    <w:uiPriority w:val="99"/>
    <w:pPr>
      <w:spacing w:beforeLines="30"/>
    </w:pPr>
    <w:rPr>
      <w:rFonts w:ascii="仿宋_GB2312" w:eastAsia="仿宋_GB2312"/>
      <w:kern w:val="0"/>
      <w:sz w:val="24"/>
      <w:szCs w:val="20"/>
      <w:lang w:val="zh-CN"/>
    </w:rPr>
  </w:style>
  <w:style w:type="paragraph" w:styleId="8">
    <w:name w:val="Body Text Indent"/>
    <w:basedOn w:val="1"/>
    <w:next w:val="1"/>
    <w:qFormat/>
    <w:uiPriority w:val="0"/>
    <w:pPr>
      <w:spacing w:after="120"/>
      <w:ind w:left="420" w:leftChars="200"/>
    </w:pPr>
    <w:rPr>
      <w:rFonts w:ascii="Calibri" w:hAnsi="Calibri"/>
      <w:szCs w:val="22"/>
    </w:rPr>
  </w:style>
  <w:style w:type="paragraph" w:styleId="9">
    <w:name w:val="toc 5"/>
    <w:basedOn w:val="1"/>
    <w:next w:val="1"/>
    <w:unhideWhenUsed/>
    <w:qFormat/>
    <w:uiPriority w:val="39"/>
    <w:pPr>
      <w:ind w:left="840"/>
      <w:jc w:val="left"/>
    </w:pPr>
    <w:rPr>
      <w:rFonts w:asciiTheme="minorHAnsi" w:eastAsiaTheme="minorHAnsi"/>
      <w:sz w:val="18"/>
      <w:szCs w:val="18"/>
    </w:rPr>
  </w:style>
  <w:style w:type="paragraph" w:styleId="10">
    <w:name w:val="toc 3"/>
    <w:basedOn w:val="1"/>
    <w:next w:val="1"/>
    <w:unhideWhenUsed/>
    <w:qFormat/>
    <w:uiPriority w:val="39"/>
    <w:pPr>
      <w:ind w:left="420"/>
      <w:jc w:val="left"/>
    </w:pPr>
    <w:rPr>
      <w:rFonts w:asciiTheme="minorHAnsi" w:eastAsiaTheme="minorHAnsi"/>
      <w:i/>
      <w:iCs/>
      <w:sz w:val="20"/>
      <w:szCs w:val="20"/>
    </w:rPr>
  </w:style>
  <w:style w:type="paragraph" w:styleId="11">
    <w:name w:val="toc 8"/>
    <w:basedOn w:val="1"/>
    <w:next w:val="1"/>
    <w:unhideWhenUsed/>
    <w:qFormat/>
    <w:uiPriority w:val="39"/>
    <w:pPr>
      <w:ind w:left="1470"/>
      <w:jc w:val="left"/>
    </w:pPr>
    <w:rPr>
      <w:rFonts w:asciiTheme="minorHAnsi" w:eastAsiaTheme="minorHAnsi"/>
      <w:sz w:val="18"/>
      <w:szCs w:val="18"/>
    </w:rPr>
  </w:style>
  <w:style w:type="paragraph" w:styleId="12">
    <w:name w:val="Balloon Text"/>
    <w:basedOn w:val="1"/>
    <w:link w:val="32"/>
    <w:unhideWhenUsed/>
    <w:qFormat/>
    <w:uiPriority w:val="99"/>
    <w:rPr>
      <w:sz w:val="18"/>
      <w:szCs w:val="18"/>
    </w:rPr>
  </w:style>
  <w:style w:type="paragraph" w:styleId="13">
    <w:name w:val="footer"/>
    <w:basedOn w:val="1"/>
    <w:link w:val="36"/>
    <w:qFormat/>
    <w:uiPriority w:val="99"/>
    <w:pPr>
      <w:tabs>
        <w:tab w:val="center" w:pos="4153"/>
        <w:tab w:val="right" w:pos="8306"/>
      </w:tabs>
      <w:snapToGrid w:val="0"/>
      <w:jc w:val="left"/>
    </w:pPr>
    <w:rPr>
      <w:rFonts w:ascii="Calibri" w:hAnsi="Calibri"/>
      <w:kern w:val="0"/>
      <w:sz w:val="18"/>
      <w:szCs w:val="20"/>
      <w:lang w:val="zh-CN"/>
    </w:rPr>
  </w:style>
  <w:style w:type="paragraph" w:styleId="14">
    <w:name w:val="header"/>
    <w:basedOn w:val="1"/>
    <w:link w:val="35"/>
    <w:semiHidden/>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rPr>
  </w:style>
  <w:style w:type="paragraph" w:styleId="15">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6">
    <w:name w:val="toc 4"/>
    <w:basedOn w:val="1"/>
    <w:next w:val="1"/>
    <w:unhideWhenUsed/>
    <w:qFormat/>
    <w:uiPriority w:val="39"/>
    <w:pPr>
      <w:ind w:left="630"/>
      <w:jc w:val="left"/>
    </w:pPr>
    <w:rPr>
      <w:rFonts w:asciiTheme="minorHAnsi" w:eastAsiaTheme="minorHAnsi"/>
      <w:sz w:val="18"/>
      <w:szCs w:val="18"/>
    </w:rPr>
  </w:style>
  <w:style w:type="paragraph" w:styleId="17">
    <w:name w:val="toc 6"/>
    <w:basedOn w:val="1"/>
    <w:next w:val="1"/>
    <w:unhideWhenUsed/>
    <w:qFormat/>
    <w:uiPriority w:val="39"/>
    <w:pPr>
      <w:ind w:left="1050"/>
      <w:jc w:val="left"/>
    </w:pPr>
    <w:rPr>
      <w:rFonts w:asciiTheme="minorHAnsi" w:eastAsiaTheme="minorHAnsi"/>
      <w:sz w:val="18"/>
      <w:szCs w:val="18"/>
    </w:rPr>
  </w:style>
  <w:style w:type="paragraph" w:styleId="18">
    <w:name w:val="toc 2"/>
    <w:basedOn w:val="1"/>
    <w:next w:val="1"/>
    <w:unhideWhenUsed/>
    <w:qFormat/>
    <w:uiPriority w:val="39"/>
    <w:pPr>
      <w:ind w:left="210"/>
      <w:jc w:val="left"/>
    </w:pPr>
    <w:rPr>
      <w:rFonts w:asciiTheme="minorHAnsi" w:eastAsiaTheme="minorHAnsi"/>
      <w:smallCaps/>
      <w:sz w:val="20"/>
      <w:szCs w:val="20"/>
    </w:rPr>
  </w:style>
  <w:style w:type="paragraph" w:styleId="19">
    <w:name w:val="toc 9"/>
    <w:basedOn w:val="1"/>
    <w:next w:val="1"/>
    <w:unhideWhenUsed/>
    <w:qFormat/>
    <w:uiPriority w:val="39"/>
    <w:pPr>
      <w:ind w:left="1680"/>
      <w:jc w:val="left"/>
    </w:pPr>
    <w:rPr>
      <w:rFonts w:asciiTheme="minorHAnsi" w:eastAsiaTheme="minorHAnsi"/>
      <w:sz w:val="18"/>
      <w:szCs w:val="18"/>
    </w:rPr>
  </w:style>
  <w:style w:type="paragraph" w:styleId="20">
    <w:name w:val="Normal (Web)"/>
    <w:basedOn w:val="1"/>
    <w:unhideWhenUsed/>
    <w:qFormat/>
    <w:uiPriority w:val="0"/>
    <w:pPr>
      <w:spacing w:before="100" w:beforeAutospacing="1" w:after="100" w:afterAutospacing="1"/>
    </w:pPr>
  </w:style>
  <w:style w:type="paragraph" w:styleId="21">
    <w:name w:val="Body Text First Indent 2"/>
    <w:basedOn w:val="8"/>
    <w:next w:val="1"/>
    <w:qFormat/>
    <w:uiPriority w:val="0"/>
    <w:pPr>
      <w:spacing w:line="360" w:lineRule="auto"/>
      <w:ind w:left="0" w:leftChars="0" w:firstLine="420" w:firstLineChars="200"/>
    </w:pPr>
    <w:rPr>
      <w:rFonts w:ascii="Times New Roman" w:hAnsi="Times New Roman" w:eastAsia="宋体"/>
    </w:rPr>
  </w:style>
  <w:style w:type="character" w:styleId="24">
    <w:name w:val="Strong"/>
    <w:basedOn w:val="23"/>
    <w:qFormat/>
    <w:uiPriority w:val="99"/>
    <w:rPr>
      <w:rFonts w:cs="Times New Roman"/>
      <w:b/>
    </w:rPr>
  </w:style>
  <w:style w:type="character" w:styleId="25">
    <w:name w:val="Hyperlink"/>
    <w:basedOn w:val="23"/>
    <w:unhideWhenUsed/>
    <w:qFormat/>
    <w:uiPriority w:val="99"/>
    <w:rPr>
      <w:rFonts w:cs="Times New Roman"/>
      <w:color w:val="0000FF"/>
      <w:u w:val="single"/>
    </w:rPr>
  </w:style>
  <w:style w:type="paragraph" w:customStyle="1" w:styleId="26">
    <w:name w:val="BodyText1I2"/>
    <w:basedOn w:val="27"/>
    <w:next w:val="1"/>
    <w:qFormat/>
    <w:uiPriority w:val="0"/>
    <w:pPr>
      <w:tabs>
        <w:tab w:val="left" w:pos="960"/>
      </w:tabs>
      <w:spacing w:after="120"/>
      <w:ind w:left="420" w:leftChars="200" w:firstLine="200" w:firstLineChars="200"/>
      <w:jc w:val="both"/>
      <w:textAlignment w:val="baseline"/>
    </w:pPr>
  </w:style>
  <w:style w:type="paragraph" w:customStyle="1" w:styleId="27">
    <w:name w:val="BodyTextIndent"/>
    <w:basedOn w:val="1"/>
    <w:next w:val="26"/>
    <w:qFormat/>
    <w:uiPriority w:val="0"/>
    <w:pPr>
      <w:spacing w:after="120"/>
      <w:ind w:left="420" w:leftChars="200"/>
      <w:jc w:val="both"/>
      <w:textAlignment w:val="baseline"/>
    </w:pPr>
  </w:style>
  <w:style w:type="character" w:customStyle="1" w:styleId="28">
    <w:name w:val="标题 1 Char"/>
    <w:basedOn w:val="23"/>
    <w:link w:val="3"/>
    <w:qFormat/>
    <w:locked/>
    <w:uiPriority w:val="9"/>
    <w:rPr>
      <w:rFonts w:ascii="Times New Roman" w:hAnsi="Times New Roman" w:cs="Times New Roman"/>
      <w:b/>
      <w:bCs/>
      <w:kern w:val="44"/>
      <w:sz w:val="44"/>
      <w:szCs w:val="44"/>
    </w:rPr>
  </w:style>
  <w:style w:type="character" w:customStyle="1" w:styleId="29">
    <w:name w:val="标题 2 Char"/>
    <w:basedOn w:val="23"/>
    <w:link w:val="4"/>
    <w:qFormat/>
    <w:locked/>
    <w:uiPriority w:val="9"/>
    <w:rPr>
      <w:rFonts w:ascii="Cambria" w:hAnsi="Cambria" w:eastAsia="宋体" w:cs="Times New Roman"/>
      <w:b/>
      <w:bCs/>
      <w:kern w:val="2"/>
      <w:sz w:val="32"/>
      <w:szCs w:val="32"/>
    </w:rPr>
  </w:style>
  <w:style w:type="character" w:customStyle="1" w:styleId="30">
    <w:name w:val="标题 3 Char"/>
    <w:basedOn w:val="23"/>
    <w:link w:val="5"/>
    <w:qFormat/>
    <w:locked/>
    <w:uiPriority w:val="9"/>
    <w:rPr>
      <w:rFonts w:ascii="Times New Roman" w:hAnsi="Times New Roman" w:cs="Times New Roman"/>
      <w:b/>
      <w:bCs/>
      <w:kern w:val="2"/>
      <w:sz w:val="32"/>
      <w:szCs w:val="32"/>
    </w:rPr>
  </w:style>
  <w:style w:type="character" w:customStyle="1" w:styleId="31">
    <w:name w:val="Body Text Char"/>
    <w:basedOn w:val="23"/>
    <w:semiHidden/>
    <w:qFormat/>
    <w:uiPriority w:val="99"/>
    <w:rPr>
      <w:rFonts w:ascii="Times New Roman" w:hAnsi="Times New Roman" w:cs="Times New Roman"/>
      <w:sz w:val="24"/>
      <w:szCs w:val="24"/>
    </w:rPr>
  </w:style>
  <w:style w:type="character" w:customStyle="1" w:styleId="32">
    <w:name w:val="批注框文本 Char"/>
    <w:basedOn w:val="23"/>
    <w:link w:val="12"/>
    <w:semiHidden/>
    <w:qFormat/>
    <w:locked/>
    <w:uiPriority w:val="99"/>
    <w:rPr>
      <w:rFonts w:ascii="Times New Roman" w:hAnsi="Times New Roman" w:cs="Times New Roman"/>
      <w:kern w:val="2"/>
      <w:sz w:val="18"/>
      <w:szCs w:val="18"/>
    </w:rPr>
  </w:style>
  <w:style w:type="character" w:customStyle="1" w:styleId="33">
    <w:name w:val="Footer Char"/>
    <w:basedOn w:val="23"/>
    <w:semiHidden/>
    <w:qFormat/>
    <w:uiPriority w:val="99"/>
    <w:rPr>
      <w:rFonts w:ascii="Times New Roman" w:hAnsi="Times New Roman" w:cs="Times New Roman"/>
      <w:sz w:val="18"/>
      <w:szCs w:val="18"/>
    </w:rPr>
  </w:style>
  <w:style w:type="character" w:customStyle="1" w:styleId="34">
    <w:name w:val="Header Char"/>
    <w:basedOn w:val="23"/>
    <w:semiHidden/>
    <w:qFormat/>
    <w:uiPriority w:val="99"/>
    <w:rPr>
      <w:rFonts w:ascii="Times New Roman" w:hAnsi="Times New Roman" w:cs="Times New Roman"/>
      <w:sz w:val="18"/>
      <w:szCs w:val="18"/>
    </w:rPr>
  </w:style>
  <w:style w:type="character" w:customStyle="1" w:styleId="35">
    <w:name w:val="页眉 Char"/>
    <w:link w:val="14"/>
    <w:semiHidden/>
    <w:qFormat/>
    <w:locked/>
    <w:uiPriority w:val="99"/>
    <w:rPr>
      <w:sz w:val="18"/>
    </w:rPr>
  </w:style>
  <w:style w:type="character" w:customStyle="1" w:styleId="36">
    <w:name w:val="页脚 Char"/>
    <w:link w:val="13"/>
    <w:qFormat/>
    <w:locked/>
    <w:uiPriority w:val="99"/>
    <w:rPr>
      <w:sz w:val="18"/>
    </w:rPr>
  </w:style>
  <w:style w:type="character" w:customStyle="1" w:styleId="37">
    <w:name w:val="正文文本 Char"/>
    <w:link w:val="7"/>
    <w:qFormat/>
    <w:locked/>
    <w:uiPriority w:val="99"/>
    <w:rPr>
      <w:rFonts w:ascii="仿宋_GB2312" w:hAnsi="Times New Roman" w:eastAsia="仿宋_GB2312"/>
      <w:sz w:val="24"/>
    </w:rPr>
  </w:style>
  <w:style w:type="paragraph" w:customStyle="1" w:styleId="38">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9">
    <w:name w:val="列表段落1"/>
    <w:basedOn w:val="1"/>
    <w:qFormat/>
    <w:uiPriority w:val="34"/>
    <w:pPr>
      <w:ind w:firstLine="420" w:firstLineChars="200"/>
    </w:pPr>
  </w:style>
  <w:style w:type="paragraph" w:customStyle="1" w:styleId="40">
    <w:name w:val="TOC 标题1"/>
    <w:basedOn w:val="3"/>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1">
    <w:name w:val="TOC Heading1"/>
    <w:basedOn w:val="3"/>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2">
    <w:name w:val="TOC 标题2"/>
    <w:basedOn w:val="3"/>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character" w:customStyle="1" w:styleId="43">
    <w:name w:val="NormalCharacter"/>
    <w:link w:val="1"/>
    <w:semiHidden/>
    <w:qFormat/>
    <w:uiPriority w:val="0"/>
    <w:rPr>
      <w:rFonts w:ascii="Times New Roman" w:hAnsi="Times New Roman" w:eastAsia="宋体" w:cs="Times New Roman"/>
      <w:kern w:val="2"/>
      <w:sz w:val="21"/>
      <w:szCs w:val="24"/>
      <w:lang w:val="en-US" w:eastAsia="zh-CN" w:bidi="ar-SA"/>
    </w:rPr>
  </w:style>
  <w:style w:type="paragraph" w:customStyle="1" w:styleId="44">
    <w:name w:val="列出段落1"/>
    <w:basedOn w:val="1"/>
    <w:qFormat/>
    <w:uiPriority w:val="34"/>
    <w:pPr>
      <w:ind w:firstLine="420" w:firstLineChars="200"/>
    </w:pPr>
    <w:rPr>
      <w:rFonts w:ascii="Calibri" w:hAnsi="Calibri" w:eastAsia="宋体" w:cs="Times New Roman"/>
    </w:rPr>
  </w:style>
  <w:style w:type="character" w:customStyle="1" w:styleId="45">
    <w:name w:val="15"/>
    <w:basedOn w:val="23"/>
    <w:qFormat/>
    <w:uiPriority w:val="0"/>
    <w:rPr>
      <w:rFonts w:hint="default" w:ascii="Cambria" w:hAnsi="Cambria" w:eastAsia="宋体" w:cs="Times New Roman"/>
      <w:b/>
      <w:bCs/>
      <w:kern w:val="2"/>
      <w:sz w:val="32"/>
      <w:szCs w:val="32"/>
    </w:rPr>
  </w:style>
  <w:style w:type="character" w:customStyle="1" w:styleId="46">
    <w:name w:val="10"/>
    <w:basedOn w:val="23"/>
    <w:qFormat/>
    <w:uiPriority w:val="0"/>
    <w:rPr>
      <w:rFonts w:hint="default" w:ascii="Times New Roman" w:hAnsi="Times New Roman" w:cs="Times New Roman"/>
    </w:rPr>
  </w:style>
  <w:style w:type="paragraph" w:customStyle="1" w:styleId="47">
    <w:name w:val="UserStyle_2"/>
    <w:basedOn w:val="1"/>
    <w:qFormat/>
    <w:uiPriority w:val="0"/>
    <w:pPr>
      <w:spacing w:before="0" w:beforeAutospacing="0" w:after="0" w:afterAutospacing="0"/>
      <w:ind w:left="0" w:right="0" w:firstLine="420" w:firstLineChars="200"/>
      <w:jc w:val="both"/>
      <w:textAlignment w:val="baseline"/>
    </w:pPr>
    <w:rPr>
      <w:rFonts w:hint="default" w:ascii="Calibri" w:hAnsi="Calibri" w:eastAsia="宋体" w:cs="Times New Roman"/>
      <w:kern w:val="2"/>
      <w:sz w:val="21"/>
      <w:szCs w:val="21"/>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chart" Target="charts/chart3.xml"/><Relationship Id="rId8" Type="http://schemas.openxmlformats.org/officeDocument/2006/relationships/image" Target="media/image1.jpeg"/><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chart" Target="charts/chart8.xml"/><Relationship Id="rId13" Type="http://schemas.openxmlformats.org/officeDocument/2006/relationships/chart" Target="charts/chart7.xml"/><Relationship Id="rId12" Type="http://schemas.openxmlformats.org/officeDocument/2006/relationships/chart" Target="charts/chart6.xml"/><Relationship Id="rId11" Type="http://schemas.openxmlformats.org/officeDocument/2006/relationships/chart" Target="charts/chart5.xml"/><Relationship Id="rId10" Type="http://schemas.openxmlformats.org/officeDocument/2006/relationships/chart" Target="charts/chart4.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15307\Desktop\2020&#24180;&#20915;&#31639;&#20844;&#24320;&#20998;&#26512;&#22270;&#34920;.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15307\Desktop\2020&#24180;&#20915;&#31639;&#20844;&#24320;&#20998;&#26512;&#22270;&#34920;.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15307\Desktop\2020&#24180;&#20915;&#31639;&#20844;&#24320;&#20998;&#26512;&#22270;&#34920;.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15307\Desktop\2020&#24180;&#20915;&#31639;&#20844;&#24320;&#20998;&#26512;&#22270;&#34920;.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15307\Desktop\2020&#24180;&#20915;&#31639;&#20844;&#24320;&#20998;&#26512;&#22270;&#34920;.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15307\Desktop\2020&#24180;&#20915;&#31639;&#20844;&#24320;&#20998;&#26512;&#22270;&#34920;.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15307\Desktop\2020&#24180;&#20915;&#31639;&#20844;&#24320;&#20998;&#26512;&#22270;&#34920;.xls"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15307\Desktop\2020&#24180;&#20915;&#31639;&#20844;&#24320;&#20998;&#26512;&#22270;&#34920;.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t>收入决算总计变动情况图</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false"/>
      <c:spPr>
        <a:noFill/>
        <a:ln>
          <a:noFill/>
        </a:ln>
        <a:effectLst/>
      </c:spPr>
    </c:title>
    <c:autoTitleDeleted val="false"/>
    <c:plotArea>
      <c:layout>
        <c:manualLayout>
          <c:layoutTarget val="inner"/>
          <c:xMode val="edge"/>
          <c:yMode val="edge"/>
          <c:x val="0.0988333333333333"/>
          <c:y val="0.22037037037037"/>
          <c:w val="0.844222222222222"/>
          <c:h val="0.711666666666667"/>
        </c:manualLayout>
      </c:layout>
      <c:barChart>
        <c:barDir val="col"/>
        <c:grouping val="clustered"/>
        <c:varyColors val="false"/>
        <c:ser>
          <c:idx val="0"/>
          <c:order val="0"/>
          <c:spPr>
            <a:solidFill>
              <a:schemeClr val="accent1"/>
            </a:solidFill>
            <a:ln>
              <a:noFill/>
            </a:ln>
            <a:effectLst/>
          </c:spPr>
          <c:invertIfNegative val="false"/>
          <c:dLbls>
            <c:delete val="true"/>
          </c:dLbls>
          <c:cat>
            <c:strRef>
              <c:f>Sheet1!$A$3:$B$3</c:f>
              <c:strCache>
                <c:ptCount val="2"/>
                <c:pt idx="0">
                  <c:v>2020年</c:v>
                </c:pt>
                <c:pt idx="1">
                  <c:v>2021年</c:v>
                </c:pt>
              </c:strCache>
            </c:strRef>
          </c:cat>
          <c:val>
            <c:numRef>
              <c:f>Sheet1!$A$4:$B$4</c:f>
              <c:numCache>
                <c:formatCode>#,##0.00</c:formatCode>
                <c:ptCount val="2"/>
                <c:pt idx="0">
                  <c:v>132.68</c:v>
                </c:pt>
                <c:pt idx="1">
                  <c:v>148.74</c:v>
                </c:pt>
              </c:numCache>
            </c:numRef>
          </c:val>
        </c:ser>
        <c:dLbls>
          <c:showLegendKey val="false"/>
          <c:showVal val="false"/>
          <c:showCatName val="false"/>
          <c:showSerName val="false"/>
          <c:showPercent val="false"/>
          <c:showBubbleSize val="false"/>
        </c:dLbls>
        <c:gapWidth val="219"/>
        <c:overlap val="-27"/>
        <c:axId val="705978299"/>
        <c:axId val="104472091"/>
      </c:barChart>
      <c:catAx>
        <c:axId val="705978299"/>
        <c:scaling>
          <c:orientation val="minMax"/>
        </c:scaling>
        <c:delete val="false"/>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104472091"/>
        <c:crosses val="autoZero"/>
        <c:auto val="true"/>
        <c:lblAlgn val="ctr"/>
        <c:lblOffset val="100"/>
        <c:noMultiLvlLbl val="false"/>
      </c:catAx>
      <c:valAx>
        <c:axId val="104472091"/>
        <c:scaling>
          <c:orientation val="minMax"/>
        </c:scaling>
        <c:delete val="false"/>
        <c:axPos val="l"/>
        <c:majorGridlines>
          <c:spPr>
            <a:ln w="9525" cap="flat" cmpd="sng" algn="ctr">
              <a:solidFill>
                <a:schemeClr val="tx1">
                  <a:lumMod val="15000"/>
                  <a:lumOff val="85000"/>
                </a:schemeClr>
              </a:solidFill>
              <a:prstDash val="solid"/>
              <a:round/>
            </a:ln>
            <a:effectLst/>
          </c:spPr>
        </c:majorGridlines>
        <c:numFmt formatCode="#,##0.00" sourceLinked="true"/>
        <c:majorTickMark val="none"/>
        <c:minorTickMark val="none"/>
        <c:tickLblPos val="nextTo"/>
        <c:spPr>
          <a:noFill/>
          <a:ln w="6350" cap="flat" cmpd="sng" algn="ctr">
            <a:noFill/>
            <a:prstDash val="solid"/>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705978299"/>
        <c:crosses val="autoZero"/>
        <c:crossBetween val="between"/>
      </c:valAx>
      <c:spPr>
        <a:noFill/>
        <a:ln>
          <a:noFill/>
        </a:ln>
        <a:effectLst/>
      </c:spPr>
    </c:plotArea>
    <c:plotVisOnly val="true"/>
    <c:dispBlanksAs val="gap"/>
    <c:showDLblsOverMax val="false"/>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false"/>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t>支出决算总计变动情况图</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false"/>
      <c:spPr>
        <a:noFill/>
        <a:ln>
          <a:noFill/>
        </a:ln>
        <a:effectLst/>
      </c:spPr>
    </c:title>
    <c:autoTitleDeleted val="false"/>
    <c:plotArea>
      <c:layout/>
      <c:barChart>
        <c:barDir val="col"/>
        <c:grouping val="clustered"/>
        <c:varyColors val="false"/>
        <c:ser>
          <c:idx val="0"/>
          <c:order val="0"/>
          <c:spPr>
            <a:solidFill>
              <a:schemeClr val="accent1"/>
            </a:solidFill>
            <a:ln>
              <a:noFill/>
            </a:ln>
            <a:effectLst/>
          </c:spPr>
          <c:invertIfNegative val="false"/>
          <c:dLbls>
            <c:delete val="true"/>
          </c:dLbls>
          <c:cat>
            <c:strRef>
              <c:f>Sheet1!$A$24:$B$24</c:f>
              <c:strCache>
                <c:ptCount val="2"/>
                <c:pt idx="0">
                  <c:v>2020年</c:v>
                </c:pt>
                <c:pt idx="1">
                  <c:v>2021年</c:v>
                </c:pt>
              </c:strCache>
            </c:strRef>
          </c:cat>
          <c:val>
            <c:numRef>
              <c:f>Sheet1!$A$25:$B$25</c:f>
              <c:numCache>
                <c:formatCode>#,##0.00</c:formatCode>
                <c:ptCount val="2"/>
                <c:pt idx="0">
                  <c:v>136.73</c:v>
                </c:pt>
                <c:pt idx="1">
                  <c:v>165.45</c:v>
                </c:pt>
              </c:numCache>
            </c:numRef>
          </c:val>
        </c:ser>
        <c:dLbls>
          <c:showLegendKey val="false"/>
          <c:showVal val="false"/>
          <c:showCatName val="false"/>
          <c:showSerName val="false"/>
          <c:showPercent val="false"/>
          <c:showBubbleSize val="false"/>
        </c:dLbls>
        <c:gapWidth val="219"/>
        <c:overlap val="-27"/>
        <c:axId val="551907305"/>
        <c:axId val="548821634"/>
      </c:barChart>
      <c:catAx>
        <c:axId val="551907305"/>
        <c:scaling>
          <c:orientation val="minMax"/>
        </c:scaling>
        <c:delete val="false"/>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548821634"/>
        <c:crosses val="autoZero"/>
        <c:auto val="true"/>
        <c:lblAlgn val="ctr"/>
        <c:lblOffset val="100"/>
        <c:noMultiLvlLbl val="false"/>
      </c:catAx>
      <c:valAx>
        <c:axId val="548821634"/>
        <c:scaling>
          <c:orientation val="minMax"/>
        </c:scaling>
        <c:delete val="false"/>
        <c:axPos val="l"/>
        <c:majorGridlines>
          <c:spPr>
            <a:ln w="9525" cap="flat" cmpd="sng" algn="ctr">
              <a:solidFill>
                <a:schemeClr val="tx1">
                  <a:lumMod val="15000"/>
                  <a:lumOff val="85000"/>
                </a:schemeClr>
              </a:solidFill>
              <a:prstDash val="solid"/>
              <a:round/>
            </a:ln>
            <a:effectLst/>
          </c:spPr>
        </c:majorGridlines>
        <c:numFmt formatCode="#,##0.00" sourceLinked="true"/>
        <c:majorTickMark val="none"/>
        <c:minorTickMark val="none"/>
        <c:tickLblPos val="nextTo"/>
        <c:spPr>
          <a:noFill/>
          <a:ln w="6350" cap="flat" cmpd="sng" algn="ctr">
            <a:noFill/>
            <a:prstDash val="solid"/>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551907305"/>
        <c:crosses val="autoZero"/>
        <c:crossBetween val="between"/>
      </c:valAx>
      <c:spPr>
        <a:noFill/>
        <a:ln>
          <a:noFill/>
        </a:ln>
        <a:effectLst/>
      </c:spPr>
    </c:plotArea>
    <c:plotVisOnly val="true"/>
    <c:dispBlanksAs val="gap"/>
    <c:showDLblsOverMax val="false"/>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false"/>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t>支出决算结构图</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false"/>
      <c:spPr>
        <a:noFill/>
        <a:ln>
          <a:noFill/>
        </a:ln>
        <a:effectLst/>
      </c:spPr>
    </c:title>
    <c:autoTitleDeleted val="false"/>
    <c:plotArea>
      <c:layout/>
      <c:pieChart>
        <c:varyColors val="true"/>
        <c:ser>
          <c:idx val="0"/>
          <c:order val="0"/>
          <c:explosion val="0"/>
          <c:dPt>
            <c:idx val="0"/>
            <c:bubble3D val="false"/>
            <c:explosion val="0"/>
            <c:spPr>
              <a:solidFill>
                <a:schemeClr val="accent1"/>
              </a:solidFill>
              <a:ln w="19050">
                <a:solidFill>
                  <a:schemeClr val="lt1"/>
                </a:solidFill>
              </a:ln>
              <a:effectLst/>
            </c:spPr>
          </c:dPt>
          <c:dPt>
            <c:idx val="1"/>
            <c:bubble3D val="false"/>
            <c:explosion val="0"/>
            <c:spPr>
              <a:solidFill>
                <a:schemeClr val="accent2"/>
              </a:solidFill>
              <a:ln w="19050">
                <a:solidFill>
                  <a:schemeClr val="lt1"/>
                </a:solidFill>
              </a:ln>
              <a:effectLst/>
            </c:spPr>
          </c:dPt>
          <c:dPt>
            <c:idx val="2"/>
            <c:bubble3D val="false"/>
            <c:explosion val="0"/>
            <c:spPr>
              <a:solidFill>
                <a:schemeClr val="accent3"/>
              </a:solidFill>
              <a:ln w="19050">
                <a:solidFill>
                  <a:schemeClr val="lt1"/>
                </a:solidFill>
              </a:ln>
              <a:effectLst/>
            </c:spPr>
          </c:dPt>
          <c:dPt>
            <c:idx val="3"/>
            <c:bubble3D val="false"/>
            <c:explosion val="0"/>
            <c:spPr>
              <a:solidFill>
                <a:schemeClr val="accent4"/>
              </a:solidFill>
              <a:ln w="19050">
                <a:solidFill>
                  <a:schemeClr val="lt1"/>
                </a:solidFill>
              </a:ln>
              <a:effectLst/>
            </c:spPr>
          </c:dPt>
          <c:dPt>
            <c:idx val="4"/>
            <c:bubble3D val="false"/>
            <c:explosion val="0"/>
            <c:spPr>
              <a:solidFill>
                <a:schemeClr val="accent5"/>
              </a:solidFill>
              <a:ln w="19050">
                <a:solidFill>
                  <a:schemeClr val="lt1"/>
                </a:solidFill>
              </a:ln>
              <a:effectLst/>
            </c:spPr>
          </c:dPt>
          <c:dLbls>
            <c:delete val="true"/>
          </c:dLbls>
          <c:cat>
            <c:strRef>
              <c:f>Sheet1!$C$58:$C$62</c:f>
              <c:strCache>
                <c:ptCount val="5"/>
                <c:pt idx="0">
                  <c:v>基本支出</c:v>
                </c:pt>
                <c:pt idx="1">
                  <c:v>项目支出</c:v>
                </c:pt>
                <c:pt idx="2">
                  <c:v>上缴上级支出</c:v>
                </c:pt>
                <c:pt idx="3">
                  <c:v>经营支出</c:v>
                </c:pt>
                <c:pt idx="4">
                  <c:v>对附属单位补助支出</c:v>
                </c:pt>
              </c:strCache>
            </c:strRef>
          </c:cat>
          <c:val>
            <c:numRef>
              <c:f>Sheet1!$D$58:$D$62</c:f>
              <c:numCache>
                <c:formatCode>#,##0.00</c:formatCode>
                <c:ptCount val="5"/>
                <c:pt idx="0">
                  <c:v>154.49</c:v>
                </c:pt>
                <c:pt idx="1">
                  <c:v>10.96</c:v>
                </c:pt>
                <c:pt idx="2" c:formatCode="General">
                  <c:v>0</c:v>
                </c:pt>
                <c:pt idx="3" c:formatCode="General">
                  <c:v>0</c:v>
                </c:pt>
                <c:pt idx="4" c:formatCode="General">
                  <c:v>0</c:v>
                </c:pt>
              </c:numCache>
            </c:numRef>
          </c:val>
        </c:ser>
        <c:dLbls>
          <c:showLegendKey val="false"/>
          <c:showVal val="false"/>
          <c:showCatName val="false"/>
          <c:showSerName val="false"/>
          <c:showPercent val="false"/>
          <c:showBubbleSize val="false"/>
          <c:showLeaderLines val="false"/>
        </c:dLbls>
        <c:firstSliceAng val="0"/>
      </c:pieChart>
      <c:spPr>
        <a:noFill/>
        <a:ln>
          <a:noFill/>
        </a:ln>
        <a:effectLst/>
      </c:spPr>
    </c:plotArea>
    <c:legend>
      <c:legendPos val="b"/>
      <c:layout>
        <c:manualLayout>
          <c:xMode val="edge"/>
          <c:yMode val="edge"/>
          <c:x val="0.0220883534136546"/>
          <c:y val="0.894951852932594"/>
          <c:w val="0.928328699413037"/>
          <c:h val="0.0960023344032681"/>
        </c:manualLayout>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false"/>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财政拨款收入总计变动表</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false"/>
      <c:spPr>
        <a:noFill/>
        <a:ln>
          <a:noFill/>
        </a:ln>
        <a:effectLst/>
      </c:spPr>
    </c:title>
    <c:autoTitleDeleted val="false"/>
    <c:plotArea>
      <c:layout/>
      <c:barChart>
        <c:barDir val="col"/>
        <c:grouping val="clustered"/>
        <c:varyColors val="false"/>
        <c:ser>
          <c:idx val="0"/>
          <c:order val="0"/>
          <c:spPr>
            <a:solidFill>
              <a:schemeClr val="accent1"/>
            </a:solidFill>
            <a:ln>
              <a:noFill/>
            </a:ln>
            <a:effectLst/>
          </c:spPr>
          <c:invertIfNegative val="false"/>
          <c:dLbls>
            <c:delete val="true"/>
          </c:dLbls>
          <c:cat>
            <c:strRef>
              <c:f>Sheet1!$A$83:$B$83</c:f>
              <c:strCache>
                <c:ptCount val="2"/>
                <c:pt idx="0">
                  <c:v>2020年</c:v>
                </c:pt>
                <c:pt idx="1">
                  <c:v>2021年</c:v>
                </c:pt>
              </c:strCache>
            </c:strRef>
          </c:cat>
          <c:val>
            <c:numRef>
              <c:f>Sheet1!$A$84:$B$84</c:f>
              <c:numCache>
                <c:formatCode>#,##0.00</c:formatCode>
                <c:ptCount val="2"/>
                <c:pt idx="0">
                  <c:v>132.68</c:v>
                </c:pt>
                <c:pt idx="1">
                  <c:v>148.74</c:v>
                </c:pt>
              </c:numCache>
            </c:numRef>
          </c:val>
        </c:ser>
        <c:dLbls>
          <c:showLegendKey val="false"/>
          <c:showVal val="false"/>
          <c:showCatName val="false"/>
          <c:showSerName val="false"/>
          <c:showPercent val="false"/>
          <c:showBubbleSize val="false"/>
        </c:dLbls>
        <c:gapWidth val="219"/>
        <c:overlap val="-27"/>
        <c:axId val="494538087"/>
        <c:axId val="726106016"/>
      </c:barChart>
      <c:catAx>
        <c:axId val="494538087"/>
        <c:scaling>
          <c:orientation val="minMax"/>
        </c:scaling>
        <c:delete val="false"/>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726106016"/>
        <c:crosses val="autoZero"/>
        <c:auto val="true"/>
        <c:lblAlgn val="ctr"/>
        <c:lblOffset val="100"/>
        <c:noMultiLvlLbl val="false"/>
      </c:catAx>
      <c:valAx>
        <c:axId val="726106016"/>
        <c:scaling>
          <c:orientation val="minMax"/>
        </c:scaling>
        <c:delete val="false"/>
        <c:axPos val="l"/>
        <c:majorGridlines>
          <c:spPr>
            <a:ln w="9525" cap="flat" cmpd="sng" algn="ctr">
              <a:solidFill>
                <a:schemeClr val="tx1">
                  <a:lumMod val="15000"/>
                  <a:lumOff val="85000"/>
                </a:schemeClr>
              </a:solidFill>
              <a:prstDash val="solid"/>
              <a:round/>
            </a:ln>
            <a:effectLst/>
          </c:spPr>
        </c:majorGridlines>
        <c:numFmt formatCode="#,##0.00" sourceLinked="true"/>
        <c:majorTickMark val="none"/>
        <c:minorTickMark val="none"/>
        <c:tickLblPos val="nextTo"/>
        <c:spPr>
          <a:noFill/>
          <a:ln w="6350" cap="flat" cmpd="sng" algn="ctr">
            <a:noFill/>
            <a:prstDash val="solid"/>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494538087"/>
        <c:crosses val="autoZero"/>
        <c:crossBetween val="between"/>
      </c:valAx>
      <c:spPr>
        <a:noFill/>
        <a:ln>
          <a:noFill/>
        </a:ln>
        <a:effectLst/>
      </c:spPr>
    </c:plotArea>
    <c:plotVisOnly val="true"/>
    <c:dispBlanksAs val="gap"/>
    <c:showDLblsOverMax val="false"/>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false"/>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财政拨款支出总计变动表</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false"/>
      <c:spPr>
        <a:noFill/>
        <a:ln>
          <a:noFill/>
        </a:ln>
        <a:effectLst/>
      </c:spPr>
    </c:title>
    <c:autoTitleDeleted val="false"/>
    <c:plotArea>
      <c:layout/>
      <c:barChart>
        <c:barDir val="col"/>
        <c:grouping val="clustered"/>
        <c:varyColors val="false"/>
        <c:ser>
          <c:idx val="0"/>
          <c:order val="0"/>
          <c:spPr>
            <a:solidFill>
              <a:schemeClr val="accent1"/>
            </a:solidFill>
            <a:ln>
              <a:noFill/>
            </a:ln>
            <a:effectLst/>
          </c:spPr>
          <c:invertIfNegative val="false"/>
          <c:dLbls>
            <c:delete val="true"/>
          </c:dLbls>
          <c:cat>
            <c:strRef>
              <c:f>Sheet1!$A$100:$B$100</c:f>
              <c:strCache>
                <c:ptCount val="2"/>
                <c:pt idx="0">
                  <c:v>2020年</c:v>
                </c:pt>
                <c:pt idx="1">
                  <c:v>2021年</c:v>
                </c:pt>
              </c:strCache>
            </c:strRef>
          </c:cat>
          <c:val>
            <c:numRef>
              <c:f>Sheet1!$A$101:$B$101</c:f>
              <c:numCache>
                <c:formatCode>#,##0.00</c:formatCode>
                <c:ptCount val="2"/>
                <c:pt idx="0">
                  <c:v>136.73</c:v>
                </c:pt>
                <c:pt idx="1">
                  <c:v>165.45</c:v>
                </c:pt>
              </c:numCache>
            </c:numRef>
          </c:val>
        </c:ser>
        <c:dLbls>
          <c:showLegendKey val="false"/>
          <c:showVal val="false"/>
          <c:showCatName val="false"/>
          <c:showSerName val="false"/>
          <c:showPercent val="false"/>
          <c:showBubbleSize val="false"/>
        </c:dLbls>
        <c:gapWidth val="219"/>
        <c:overlap val="-27"/>
        <c:axId val="401113984"/>
        <c:axId val="563312275"/>
      </c:barChart>
      <c:catAx>
        <c:axId val="401113984"/>
        <c:scaling>
          <c:orientation val="minMax"/>
        </c:scaling>
        <c:delete val="false"/>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563312275"/>
        <c:crosses val="autoZero"/>
        <c:auto val="true"/>
        <c:lblAlgn val="ctr"/>
        <c:lblOffset val="100"/>
        <c:noMultiLvlLbl val="false"/>
      </c:catAx>
      <c:valAx>
        <c:axId val="563312275"/>
        <c:scaling>
          <c:orientation val="minMax"/>
        </c:scaling>
        <c:delete val="false"/>
        <c:axPos val="l"/>
        <c:majorGridlines>
          <c:spPr>
            <a:ln w="9525" cap="flat" cmpd="sng" algn="ctr">
              <a:solidFill>
                <a:schemeClr val="tx1">
                  <a:lumMod val="15000"/>
                  <a:lumOff val="85000"/>
                </a:schemeClr>
              </a:solidFill>
              <a:prstDash val="solid"/>
              <a:round/>
            </a:ln>
            <a:effectLst/>
          </c:spPr>
        </c:majorGridlines>
        <c:numFmt formatCode="#,##0.00" sourceLinked="true"/>
        <c:majorTickMark val="none"/>
        <c:minorTickMark val="none"/>
        <c:tickLblPos val="nextTo"/>
        <c:spPr>
          <a:noFill/>
          <a:ln w="6350" cap="flat" cmpd="sng" algn="ctr">
            <a:noFill/>
            <a:prstDash val="solid"/>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401113984"/>
        <c:crosses val="autoZero"/>
        <c:crossBetween val="between"/>
      </c:valAx>
      <c:spPr>
        <a:noFill/>
        <a:ln>
          <a:noFill/>
        </a:ln>
        <a:effectLst/>
      </c:spPr>
    </c:plotArea>
    <c:plotVisOnly val="true"/>
    <c:dispBlanksAs val="gap"/>
    <c:showDLblsOverMax val="false"/>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false"/>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一般公共预算财政拨款支出决算变动情况</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manualLayout>
          <c:xMode val="edge"/>
          <c:yMode val="edge"/>
          <c:x val="0.238259236067627"/>
          <c:y val="0.0616061606160616"/>
        </c:manualLayout>
      </c:layout>
      <c:overlay val="false"/>
      <c:spPr>
        <a:noFill/>
        <a:ln>
          <a:noFill/>
        </a:ln>
        <a:effectLst/>
      </c:spPr>
    </c:title>
    <c:autoTitleDeleted val="false"/>
    <c:plotArea>
      <c:layout>
        <c:manualLayout>
          <c:layoutTarget val="inner"/>
          <c:xMode val="edge"/>
          <c:yMode val="edge"/>
          <c:x val="0.058544689334367"/>
          <c:y val="0.255962378233121"/>
          <c:w val="0.915981836305239"/>
          <c:h val="0.581592206919718"/>
        </c:manualLayout>
      </c:layout>
      <c:barChart>
        <c:barDir val="col"/>
        <c:grouping val="clustered"/>
        <c:varyColors val="false"/>
        <c:ser>
          <c:idx val="0"/>
          <c:order val="0"/>
          <c:spPr>
            <a:solidFill>
              <a:schemeClr val="accent1"/>
            </a:solidFill>
            <a:ln>
              <a:noFill/>
            </a:ln>
            <a:effectLst/>
          </c:spPr>
          <c:invertIfNegative val="false"/>
          <c:dLbls>
            <c:delete val="true"/>
          </c:dLbls>
          <c:cat>
            <c:strRef>
              <c:f>Sheet1!$A$116:$B$116</c:f>
              <c:strCache>
                <c:ptCount val="2"/>
                <c:pt idx="0">
                  <c:v>2020年</c:v>
                </c:pt>
                <c:pt idx="1">
                  <c:v>2021年</c:v>
                </c:pt>
              </c:strCache>
            </c:strRef>
          </c:cat>
          <c:val>
            <c:numRef>
              <c:f>Sheet1!$A$117:$B$117</c:f>
              <c:numCache>
                <c:formatCode>#,##0.00</c:formatCode>
                <c:ptCount val="2"/>
                <c:pt idx="0">
                  <c:v>136.73</c:v>
                </c:pt>
                <c:pt idx="1">
                  <c:v>165.45</c:v>
                </c:pt>
              </c:numCache>
            </c:numRef>
          </c:val>
        </c:ser>
        <c:dLbls>
          <c:showLegendKey val="false"/>
          <c:showVal val="false"/>
          <c:showCatName val="false"/>
          <c:showSerName val="false"/>
          <c:showPercent val="false"/>
          <c:showBubbleSize val="false"/>
        </c:dLbls>
        <c:gapWidth val="219"/>
        <c:overlap val="-27"/>
        <c:axId val="176526759"/>
        <c:axId val="363182399"/>
      </c:barChart>
      <c:catAx>
        <c:axId val="176526759"/>
        <c:scaling>
          <c:orientation val="minMax"/>
        </c:scaling>
        <c:delete val="false"/>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363182399"/>
        <c:crosses val="autoZero"/>
        <c:auto val="true"/>
        <c:lblAlgn val="ctr"/>
        <c:lblOffset val="100"/>
        <c:noMultiLvlLbl val="false"/>
      </c:catAx>
      <c:valAx>
        <c:axId val="363182399"/>
        <c:scaling>
          <c:orientation val="minMax"/>
        </c:scaling>
        <c:delete val="false"/>
        <c:axPos val="l"/>
        <c:majorGridlines>
          <c:spPr>
            <a:ln w="9525" cap="flat" cmpd="sng" algn="ctr">
              <a:solidFill>
                <a:schemeClr val="tx1">
                  <a:lumMod val="15000"/>
                  <a:lumOff val="85000"/>
                </a:schemeClr>
              </a:solidFill>
              <a:prstDash val="solid"/>
              <a:round/>
            </a:ln>
            <a:effectLst/>
          </c:spPr>
        </c:majorGridlines>
        <c:numFmt formatCode="#,##0.00" sourceLinked="true"/>
        <c:majorTickMark val="none"/>
        <c:minorTickMark val="none"/>
        <c:tickLblPos val="nextTo"/>
        <c:spPr>
          <a:noFill/>
          <a:ln w="6350" cap="flat" cmpd="sng" algn="ctr">
            <a:noFill/>
            <a:prstDash val="solid"/>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176526759"/>
        <c:crosses val="autoZero"/>
        <c:crossBetween val="between"/>
      </c:valAx>
      <c:spPr>
        <a:noFill/>
        <a:ln>
          <a:noFill/>
        </a:ln>
        <a:effectLst/>
      </c:spPr>
    </c:plotArea>
    <c:plotVisOnly val="true"/>
    <c:dispBlanksAs val="gap"/>
    <c:showDLblsOverMax val="false"/>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false"/>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一般公共预算财政拨款支出决算结构</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false"/>
      <c:spPr>
        <a:noFill/>
        <a:ln>
          <a:noFill/>
        </a:ln>
        <a:effectLst/>
      </c:spPr>
    </c:title>
    <c:autoTitleDeleted val="false"/>
    <c:plotArea>
      <c:layout/>
      <c:pieChart>
        <c:varyColors val="true"/>
        <c:ser>
          <c:idx val="0"/>
          <c:order val="0"/>
          <c:explosion val="0"/>
          <c:dPt>
            <c:idx val="0"/>
            <c:bubble3D val="false"/>
            <c:explosion val="0"/>
            <c:spPr>
              <a:solidFill>
                <a:schemeClr val="accent1"/>
              </a:solidFill>
              <a:ln w="19050">
                <a:solidFill>
                  <a:schemeClr val="lt1"/>
                </a:solidFill>
              </a:ln>
              <a:effectLst/>
            </c:spPr>
          </c:dPt>
          <c:dPt>
            <c:idx val="1"/>
            <c:bubble3D val="false"/>
            <c:explosion val="0"/>
            <c:spPr>
              <a:solidFill>
                <a:schemeClr val="accent2"/>
              </a:solidFill>
              <a:ln w="19050">
                <a:solidFill>
                  <a:schemeClr val="lt1"/>
                </a:solidFill>
              </a:ln>
              <a:effectLst/>
            </c:spPr>
          </c:dPt>
          <c:dPt>
            <c:idx val="2"/>
            <c:bubble3D val="false"/>
            <c:explosion val="0"/>
            <c:spPr>
              <a:solidFill>
                <a:schemeClr val="accent3"/>
              </a:solidFill>
              <a:ln w="19050">
                <a:solidFill>
                  <a:schemeClr val="lt1"/>
                </a:solidFill>
              </a:ln>
              <a:effectLst/>
            </c:spPr>
          </c:dPt>
          <c:dPt>
            <c:idx val="3"/>
            <c:bubble3D val="false"/>
            <c:explosion val="0"/>
            <c:spPr>
              <a:solidFill>
                <a:schemeClr val="accent4"/>
              </a:solidFill>
              <a:ln w="19050">
                <a:solidFill>
                  <a:schemeClr val="lt1"/>
                </a:solidFill>
              </a:ln>
              <a:effectLst/>
            </c:spPr>
          </c:dPt>
          <c:dLbls>
            <c:delete val="true"/>
          </c:dLbls>
          <c:cat>
            <c:strRef>
              <c:f>Sheet1!$C$140:$C$143</c:f>
              <c:strCache>
                <c:ptCount val="4"/>
                <c:pt idx="0">
                  <c:v>一般公共服务支出</c:v>
                </c:pt>
                <c:pt idx="1">
                  <c:v>社会保障和就业支出</c:v>
                </c:pt>
                <c:pt idx="2">
                  <c:v>卫生健康支出</c:v>
                </c:pt>
                <c:pt idx="3">
                  <c:v>住房保障支出</c:v>
                </c:pt>
              </c:strCache>
            </c:strRef>
          </c:cat>
          <c:val>
            <c:numRef>
              <c:f>Sheet1!$D$140:$D$143</c:f>
              <c:numCache>
                <c:formatCode>#,##0.00</c:formatCode>
                <c:ptCount val="4"/>
                <c:pt idx="0">
                  <c:v>134.54</c:v>
                </c:pt>
                <c:pt idx="1">
                  <c:v>13.42</c:v>
                </c:pt>
                <c:pt idx="2">
                  <c:v>6.52</c:v>
                </c:pt>
                <c:pt idx="3">
                  <c:v>10.97</c:v>
                </c:pt>
              </c:numCache>
            </c:numRef>
          </c:val>
        </c:ser>
        <c:dLbls>
          <c:showLegendKey val="false"/>
          <c:showVal val="false"/>
          <c:showCatName val="false"/>
          <c:showSerName val="false"/>
          <c:showPercent val="false"/>
          <c:showBubbleSize val="false"/>
          <c:showLeaderLines val="false"/>
        </c:dLbls>
        <c:firstSliceAng val="0"/>
      </c:pieChart>
      <c:spPr>
        <a:noFill/>
        <a:ln>
          <a:noFill/>
        </a:ln>
        <a:effectLst/>
      </c:spPr>
    </c:plotArea>
    <c:legend>
      <c:legendPos val="b"/>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false"/>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t>“三公”经费财政拨款支出结构</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false"/>
      <c:spPr>
        <a:noFill/>
        <a:ln>
          <a:noFill/>
        </a:ln>
        <a:effectLst/>
      </c:spPr>
    </c:title>
    <c:autoTitleDeleted val="false"/>
    <c:plotArea>
      <c:layout/>
      <c:pieChart>
        <c:varyColors val="true"/>
        <c:ser>
          <c:idx val="0"/>
          <c:order val="0"/>
          <c:explosion val="0"/>
          <c:dPt>
            <c:idx val="0"/>
            <c:bubble3D val="false"/>
            <c:explosion val="0"/>
            <c:spPr>
              <a:solidFill>
                <a:schemeClr val="accent1"/>
              </a:solidFill>
              <a:ln w="19050">
                <a:solidFill>
                  <a:schemeClr val="lt1"/>
                </a:solidFill>
              </a:ln>
              <a:effectLst/>
            </c:spPr>
          </c:dPt>
          <c:dPt>
            <c:idx val="1"/>
            <c:bubble3D val="false"/>
            <c:explosion val="0"/>
            <c:spPr>
              <a:solidFill>
                <a:schemeClr val="accent2"/>
              </a:solidFill>
              <a:ln w="19050">
                <a:solidFill>
                  <a:schemeClr val="lt1"/>
                </a:solidFill>
              </a:ln>
              <a:effectLst/>
            </c:spPr>
          </c:dPt>
          <c:dPt>
            <c:idx val="2"/>
            <c:bubble3D val="false"/>
            <c:explosion val="0"/>
            <c:spPr>
              <a:solidFill>
                <a:schemeClr val="accent3"/>
              </a:solidFill>
              <a:ln w="19050">
                <a:solidFill>
                  <a:schemeClr val="lt1"/>
                </a:solidFill>
              </a:ln>
              <a:effectLst/>
            </c:spPr>
          </c:dPt>
          <c:dLbls>
            <c:delete val="true"/>
          </c:dLbls>
          <c:cat>
            <c:strRef>
              <c:f>[2020年决算公开分析图表.xls]Sheet1!$A$165:$A$167</c:f>
              <c:strCache>
                <c:ptCount val="3"/>
                <c:pt idx="0">
                  <c:v>因公出国（境）费</c:v>
                </c:pt>
                <c:pt idx="1">
                  <c:v>公务接待费</c:v>
                </c:pt>
                <c:pt idx="2">
                  <c:v>公务用车购置及运行维护费</c:v>
                </c:pt>
              </c:strCache>
            </c:strRef>
          </c:cat>
          <c:val>
            <c:numRef>
              <c:f>[2020年决算公开分析图表.xls]Sheet1!$B$165:$B$167</c:f>
              <c:numCache>
                <c:formatCode>General</c:formatCode>
                <c:ptCount val="3"/>
                <c:pt idx="0">
                  <c:v>0</c:v>
                </c:pt>
                <c:pt idx="1" c:formatCode="#,##0.00">
                  <c:v>0.38</c:v>
                </c:pt>
                <c:pt idx="2" c:formatCode="#,##0.00">
                  <c:v>43.93</c:v>
                </c:pt>
              </c:numCache>
            </c:numRef>
          </c:val>
        </c:ser>
        <c:dLbls>
          <c:showLegendKey val="false"/>
          <c:showVal val="false"/>
          <c:showCatName val="false"/>
          <c:showSerName val="false"/>
          <c:showPercent val="false"/>
          <c:showBubbleSize val="false"/>
          <c:showLeaderLines val="false"/>
        </c:dLbls>
        <c:firstSliceAng val="0"/>
      </c:pieChart>
      <c:spPr>
        <a:noFill/>
        <a:ln>
          <a:noFill/>
        </a:ln>
        <a:effectLst/>
      </c:spPr>
    </c:plotArea>
    <c:legend>
      <c:legendPos val="b"/>
      <c:layout>
        <c:manualLayout>
          <c:xMode val="edge"/>
          <c:yMode val="edge"/>
          <c:x val="0.0329715620277511"/>
          <c:y val="0.894993894993895"/>
          <c:w val="0.928698997114988"/>
          <c:h val="0.0775335775335776"/>
        </c:manualLayout>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false"/>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29</Pages>
  <Words>9681</Words>
  <Characters>10303</Characters>
  <Lines>1</Lines>
  <Paragraphs>1</Paragraphs>
  <TotalTime>2</TotalTime>
  <ScaleCrop>false</ScaleCrop>
  <LinksUpToDate>false</LinksUpToDate>
  <CharactersWithSpaces>10577</CharactersWithSpaces>
  <Application>WPS Office_11.1.0.10161_F1E327BC-269C-435d-A152-05C5408002CA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2021-08-06T17:38:00Z</dcterms:created>
  <dc:creator>曹颖</dc:creator>
  <cp:lastModifiedBy>碧落  </cp:lastModifiedBy>
  <cp:lastPrinted>2021-07-29T11:56:00Z</cp:lastPrinted>
  <dcterms:modified xsi:type="dcterms:W3CDTF">2023-09-14T16:56:56Z</dcterms:modified>
  <dc:title>阿坝州部门决算说明</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2052-11.1.0.10161</vt:lpwstr>
  </property>
  <property fmtid="{D5CDD505-2E9C-101B-9397-08002B2CF9AE}" pid="3" name="ICV">
    <vt:lpwstr>2AB57F0D55064F55A4FDFADB0E26F1E3</vt:lpwstr>
  </property>
</Properties>
</file>