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425"/>
      <w:bookmarkStart w:id="3" w:name="_Toc15396475"/>
      <w:bookmarkStart w:id="4" w:name="_Toc15377193"/>
      <w:bookmarkStart w:id="5" w:name="_Toc15396597"/>
      <w:r>
        <w:rPr>
          <w:rFonts w:hint="eastAsia" w:ascii="黑体" w:hAnsi="黑体" w:eastAsia="黑体"/>
          <w:sz w:val="72"/>
          <w:szCs w:val="72"/>
          <w:lang w:eastAsia="zh-CN"/>
        </w:rPr>
        <w:t>2022年</w:t>
      </w:r>
      <w:r>
        <w:rPr>
          <w:rFonts w:hint="eastAsia" w:ascii="黑体" w:hAnsi="黑体" w:eastAsia="黑体"/>
          <w:sz w:val="72"/>
          <w:szCs w:val="72"/>
        </w:rPr>
        <w:t>度</w:t>
      </w:r>
      <w:bookmarkEnd w:id="1"/>
      <w:bookmarkEnd w:id="2"/>
      <w:bookmarkEnd w:id="3"/>
      <w:bookmarkEnd w:id="4"/>
      <w:bookmarkEnd w:id="5"/>
    </w:p>
    <w:bookmarkEnd w:id="0"/>
    <w:p>
      <w:pPr>
        <w:jc w:val="center"/>
        <w:rPr>
          <w:rFonts w:ascii="方正小标宋简体" w:eastAsia="方正小标宋简体"/>
          <w:sz w:val="72"/>
          <w:szCs w:val="72"/>
        </w:rPr>
      </w:pPr>
      <w:bookmarkStart w:id="6" w:name="_Toc15378442"/>
      <w:bookmarkStart w:id="7" w:name="_Toc15377426"/>
      <w:bookmarkStart w:id="8" w:name="_Toc15396476"/>
      <w:bookmarkStart w:id="9" w:name="_Toc15396598"/>
      <w:bookmarkStart w:id="10" w:name="_Toc15377194"/>
      <w:bookmarkStart w:id="11" w:name="_Toc15306268"/>
      <w:r>
        <w:rPr>
          <w:rFonts w:hint="eastAsia" w:ascii="方正小标宋简体" w:eastAsia="方正小标宋简体"/>
          <w:sz w:val="72"/>
          <w:szCs w:val="72"/>
          <w:lang w:eastAsia="zh-CN"/>
        </w:rPr>
        <w:t>阿坝州壤塘县三郎寺寺庙管理委员会</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
      <w:pPr>
        <w:rPr>
          <w:rFonts w:ascii="方正小标宋简体" w:hAnsi="宋体" w:eastAsia="方正小标宋简体"/>
          <w:sz w:val="36"/>
          <w:szCs w:val="36"/>
        </w:rPr>
      </w:pPr>
    </w:p>
    <w:p>
      <w:pPr>
        <w:widowControl/>
        <w:jc w:val="center"/>
        <w:rPr>
          <w:rFonts w:hint="eastAsia" w:ascii="方正小标宋简体" w:hAnsi="宋体" w:eastAsia="方正小标宋简体"/>
          <w:color w:val="000000"/>
          <w:sz w:val="36"/>
          <w:szCs w:val="36"/>
          <w:lang w:val="en-US" w:eastAsia="zh-CN"/>
        </w:rPr>
      </w:pPr>
      <w:r>
        <w:rPr>
          <w:rFonts w:hint="eastAsia" w:ascii="方正小标宋简体" w:hAnsi="宋体" w:eastAsia="方正小标宋简体"/>
          <w:color w:val="000000"/>
          <w:sz w:val="36"/>
          <w:szCs w:val="36"/>
          <w:lang w:val="en-US" w:eastAsia="zh-CN"/>
        </w:rPr>
        <w:t xml:space="preserve"> </w:t>
      </w:r>
    </w:p>
    <w:p>
      <w:pPr>
        <w:pStyle w:val="2"/>
        <w:rPr>
          <w:rFonts w:hint="eastAsia" w:ascii="方正小标宋简体" w:hAnsi="宋体" w:eastAsia="方正小标宋简体"/>
          <w:color w:val="000000"/>
          <w:sz w:val="36"/>
          <w:szCs w:val="36"/>
          <w:lang w:val="en-US" w:eastAsia="zh-CN"/>
        </w:rPr>
      </w:pPr>
    </w:p>
    <w:p>
      <w:pPr>
        <w:rPr>
          <w:rFonts w:hint="eastAsia" w:ascii="方正小标宋简体" w:hAnsi="宋体" w:eastAsia="方正小标宋简体"/>
          <w:color w:val="000000"/>
          <w:sz w:val="36"/>
          <w:szCs w:val="36"/>
          <w:lang w:val="en-US" w:eastAsia="zh-CN"/>
        </w:rPr>
      </w:pPr>
    </w:p>
    <w:p>
      <w:pPr>
        <w:pStyle w:val="2"/>
        <w:rPr>
          <w:rFonts w:hint="eastAsia"/>
          <w:lang w:val="en-US" w:eastAsia="zh-CN"/>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12</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w:t>
      </w:r>
      <w:r>
        <w:rPr>
          <w:rFonts w:hint="eastAsia" w:ascii="黑体" w:hAnsi="黑体" w:eastAsia="黑体"/>
          <w:color w:val="000000"/>
          <w:lang w:val="en-US" w:eastAsia="zh-CN"/>
        </w:rPr>
        <w:t>部门职责</w:t>
      </w:r>
      <w:r>
        <w:tab/>
      </w:r>
      <w:r>
        <w:fldChar w:fldCharType="begin"/>
      </w:r>
      <w:r>
        <w:instrText xml:space="preserve"> PAGEREF _Toc79163852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5</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2022年</w:t>
      </w:r>
      <w:r>
        <w:rPr>
          <w:rFonts w:ascii="黑体" w:hAnsi="黑体" w:eastAsia="黑体"/>
          <w:b w:val="0"/>
          <w:bCs w:val="0"/>
        </w:rPr>
        <w:t>度部门决算情况说明</w:t>
      </w:r>
      <w:r>
        <w:tab/>
      </w:r>
      <w:r>
        <w:fldChar w:fldCharType="begin"/>
      </w:r>
      <w:r>
        <w:instrText xml:space="preserve"> PAGEREF _Toc79163859 \h </w:instrText>
      </w:r>
      <w:r>
        <w:fldChar w:fldCharType="separate"/>
      </w:r>
      <w:r>
        <w:t>6</w:t>
      </w:r>
      <w:r>
        <w:fldChar w:fldCharType="end"/>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 xml:space="preserve">     7</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8</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8</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8</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10</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10</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12</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12</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12</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15</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16</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19</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rPr>
          <w:rFonts w:hint="eastAsia" w:ascii="黑体" w:hAnsi="黑体" w:eastAsia="黑体" w:cs="黑体"/>
          <w:lang w:val="en-US" w:eastAsia="zh-CN"/>
        </w:rPr>
        <w:t>阿坝州壤塘县三郎寺寺庙管理委员会</w:t>
      </w:r>
      <w:r>
        <w:rPr>
          <w:rFonts w:hint="eastAsia" w:ascii="黑体" w:hAnsi="黑体" w:eastAsia="黑体" w:cs="黑体"/>
          <w:lang w:eastAsia="zh-CN"/>
        </w:rPr>
        <w:t>2022年</w:t>
      </w:r>
      <w:r>
        <w:rPr>
          <w:rFonts w:hint="eastAsia" w:ascii="黑体" w:hAnsi="黑体" w:eastAsia="黑体" w:cs="黑体"/>
        </w:rPr>
        <w:t>部门整体支出绩效评价</w:t>
      </w:r>
      <w:r>
        <w:rPr>
          <w:rFonts w:hint="eastAsia" w:ascii="黑体" w:hAnsi="黑体" w:eastAsia="黑体" w:cs="黑体"/>
          <w:lang w:val="en-US" w:eastAsia="zh-CN"/>
        </w:rPr>
        <w:t>报告</w:t>
      </w:r>
      <w:r>
        <w:rPr>
          <w:rFonts w:hint="eastAsia" w:ascii="黑体" w:hAnsi="黑体" w:eastAsia="黑体" w:cs="黑体"/>
          <w:lang w:val="en-US" w:eastAsia="zh-CN"/>
        </w:rPr>
        <w:tab/>
      </w:r>
      <w:r>
        <w:fldChar w:fldCharType="begin"/>
      </w:r>
      <w:r>
        <w:instrText xml:space="preserve"> PAGEREF _Toc79163881 \h </w:instrText>
      </w:r>
      <w:r>
        <w:fldChar w:fldCharType="separate"/>
      </w:r>
      <w:r>
        <w:t>19</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26</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26</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8"/>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Fonts w:ascii="仿宋" w:hAnsi="仿宋" w:eastAsia="仿宋"/>
          <w:bCs/>
          <w:color w:val="000000"/>
          <w:sz w:val="32"/>
          <w:szCs w:val="32"/>
        </w:rPr>
      </w:pPr>
      <w:bookmarkStart w:id="16" w:name="_Toc15377197"/>
      <w:bookmarkStart w:id="17" w:name="_Toc79163602"/>
      <w:bookmarkStart w:id="18" w:name="_Toc15396600"/>
      <w:bookmarkStart w:id="19" w:name="_Toc79163852"/>
      <w:r>
        <w:rPr>
          <w:rStyle w:val="29"/>
          <w:rFonts w:hint="eastAsia" w:ascii="黑体" w:hAnsi="黑体" w:eastAsia="黑体"/>
          <w:b w:val="0"/>
          <w:bCs w:val="0"/>
          <w:lang w:val="en-US" w:eastAsia="zh-CN"/>
        </w:rPr>
        <w:t>部门职责</w:t>
      </w:r>
      <w:bookmarkEnd w:id="16"/>
      <w:bookmarkEnd w:id="17"/>
      <w:bookmarkEnd w:id="18"/>
      <w:bookmarkEnd w:id="19"/>
      <w:bookmarkStart w:id="20" w:name="_Toc15378445"/>
      <w:bookmarkStart w:id="21" w:name="_Toc15377198"/>
    </w:p>
    <w:bookmarkEnd w:id="20"/>
    <w:bookmarkEnd w:id="21"/>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依法加强寺庙宗教事务管理：一是加强寺庙管理。规范寺庙建设，严格落实寺庙建设“五评一审”制度，加强寺庙财务收支、文物保护等工作；二是加强僧人管理。健全完善并及时更新僧人基本信息台账，完善僧人证信息采集，僧人办理僧人证并持证住寺，严格落实僧人外出请销假制度。</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ascii="仿宋" w:hAnsi="仿宋" w:eastAsia="仿宋"/>
          <w:bCs/>
          <w:color w:val="000000"/>
          <w:sz w:val="32"/>
          <w:szCs w:val="32"/>
        </w:rPr>
      </w:pPr>
      <w:r>
        <w:rPr>
          <w:rFonts w:hint="eastAsia"/>
          <w:sz w:val="32"/>
          <w:szCs w:val="32"/>
          <w:lang w:val="en-US" w:eastAsia="zh-CN"/>
        </w:rPr>
        <w:t>加强教育引导：增强僧人国家意识、法治意识、公民意识，坚持不懈加强对僧人的教育引导。一是完善教育制度。把寺庙爱国主义教育和法治宣传教育常态化、制度化，引导僧人坚定不移守法持戒、爱国爱教；二是丰富教育。开展法治教育、政策教育、爱国教育、团结教育、教规教育。</w:t>
      </w:r>
    </w:p>
    <w:p>
      <w:pPr>
        <w:pStyle w:val="4"/>
        <w:pageBreakBefore w:val="0"/>
        <w:widowControl w:val="0"/>
        <w:kinsoku/>
        <w:wordWrap/>
        <w:overflowPunct/>
        <w:topLinePunct w:val="0"/>
        <w:bidi w:val="0"/>
        <w:spacing w:line="560" w:lineRule="exact"/>
        <w:textAlignment w:val="auto"/>
        <w:rPr>
          <w:rStyle w:val="29"/>
          <w:b w:val="0"/>
          <w:bCs w:val="0"/>
        </w:rPr>
      </w:pPr>
      <w:bookmarkStart w:id="22" w:name="_Toc79163855"/>
      <w:bookmarkStart w:id="23" w:name="_Toc15396601"/>
      <w:bookmarkStart w:id="24" w:name="_Toc15377200"/>
      <w:bookmarkStart w:id="25" w:name="_Toc79163605"/>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2"/>
      <w:bookmarkEnd w:id="23"/>
      <w:bookmarkEnd w:id="24"/>
      <w:bookmarkEnd w:id="25"/>
    </w:p>
    <w:p>
      <w:pPr>
        <w:pStyle w:val="7"/>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26" w:name="_Toc10699"/>
      <w:bookmarkStart w:id="27" w:name="_Toc30939"/>
      <w:bookmarkStart w:id="28" w:name="_Toc12356"/>
      <w:r>
        <w:rPr>
          <w:rFonts w:hint="eastAsia" w:hAnsi="仿宋" w:cs="Times New Roman"/>
          <w:b w:val="0"/>
          <w:bCs w:val="0"/>
          <w:kern w:val="2"/>
          <w:sz w:val="32"/>
          <w:szCs w:val="32"/>
          <w:highlight w:val="none"/>
          <w:lang w:val="en-US" w:eastAsia="zh-CN" w:bidi="ar-SA"/>
        </w:rPr>
        <w:t>阿坝州壤塘县三郎寺寺庙管理委员会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26"/>
      <w:bookmarkEnd w:id="27"/>
      <w:bookmarkEnd w:id="28"/>
      <w:r>
        <w:rPr>
          <w:rFonts w:ascii="仿宋" w:hAnsi="仿宋" w:eastAsia="仿宋"/>
          <w:color w:val="000000"/>
          <w:sz w:val="32"/>
          <w:szCs w:val="32"/>
        </w:rPr>
        <w:br w:type="page"/>
      </w:r>
    </w:p>
    <w:p>
      <w:pPr>
        <w:pStyle w:val="3"/>
        <w:pageBreakBefore w:val="0"/>
        <w:widowControl w:val="0"/>
        <w:kinsoku/>
        <w:wordWrap/>
        <w:overflowPunct/>
        <w:topLinePunct w:val="0"/>
        <w:bidi w:val="0"/>
        <w:spacing w:line="560" w:lineRule="exact"/>
        <w:ind w:right="440"/>
        <w:jc w:val="right"/>
        <w:textAlignment w:val="auto"/>
        <w:rPr>
          <w:rStyle w:val="28"/>
          <w:rFonts w:ascii="黑体" w:hAnsi="黑体" w:eastAsia="黑体"/>
          <w:b w:val="0"/>
          <w:bCs w:val="0"/>
        </w:rPr>
      </w:pPr>
      <w:bookmarkStart w:id="29" w:name="_Toc79163609"/>
      <w:bookmarkStart w:id="30" w:name="_Toc15377204"/>
      <w:bookmarkStart w:id="31" w:name="_Toc79163859"/>
      <w:bookmarkStart w:id="32" w:name="_Toc15396602"/>
      <w:r>
        <w:rPr>
          <w:rFonts w:hint="eastAsia" w:ascii="黑体" w:hAnsi="黑体" w:eastAsia="黑体"/>
          <w:b w:val="0"/>
          <w:color w:val="000000"/>
        </w:rPr>
        <w:t>第二部分</w:t>
      </w:r>
      <w:r>
        <w:rPr>
          <w:rFonts w:ascii="黑体" w:hAnsi="黑体" w:eastAsia="黑体"/>
          <w:color w:val="000000"/>
        </w:rPr>
        <w:t xml:space="preserve"> </w:t>
      </w:r>
      <w:r>
        <w:rPr>
          <w:rStyle w:val="28"/>
          <w:rFonts w:hint="eastAsia" w:ascii="黑体" w:hAnsi="黑体" w:eastAsia="黑体"/>
          <w:b w:val="0"/>
          <w:bCs w:val="0"/>
          <w:lang w:eastAsia="zh-CN"/>
        </w:rPr>
        <w:t>2022年</w:t>
      </w:r>
      <w:r>
        <w:rPr>
          <w:rStyle w:val="28"/>
          <w:rFonts w:hint="eastAsia" w:ascii="黑体" w:hAnsi="黑体" w:eastAsia="黑体"/>
          <w:b w:val="0"/>
          <w:bCs w:val="0"/>
        </w:rPr>
        <w:t>度部门决算情况说明</w:t>
      </w:r>
      <w:bookmarkEnd w:id="29"/>
      <w:bookmarkEnd w:id="30"/>
      <w:bookmarkEnd w:id="31"/>
      <w:bookmarkEnd w:id="32"/>
    </w:p>
    <w:p>
      <w:pPr>
        <w:pStyle w:val="4"/>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2022年度收入总计190.10万元，与2021年相比，增加41.36万元，增长27.80%。主要变动原因：人员工资福利政策变化，收支增加; 2022年支出总计211.72万元。与2021年相比，增加46.28万元，增长27.97%。主要变动原因:人员工资福利政策变化，收支增加。</w:t>
      </w:r>
    </w:p>
    <w:p>
      <w:pPr>
        <w:pStyle w:val="20"/>
        <w:keepNext w:val="0"/>
        <w:keepLines w:val="0"/>
        <w:widowControl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2"/>
          <w:sz w:val="21"/>
          <w:szCs w:val="21"/>
        </w:rPr>
      </w:pPr>
      <w:r>
        <w:drawing>
          <wp:inline distT="0" distB="0" distL="114300" distR="114300">
            <wp:extent cx="4705350" cy="2452370"/>
            <wp:effectExtent l="4445" t="4445" r="14605" b="19685"/>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drawing>
          <wp:inline distT="0" distB="0" distL="114300" distR="114300">
            <wp:extent cx="4617085" cy="2290445"/>
            <wp:effectExtent l="4445" t="4445" r="7620" b="1016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color w:val="000000"/>
          <w:kern w:val="2"/>
          <w:sz w:val="32"/>
          <w:szCs w:val="32"/>
        </w:rPr>
      </w:pPr>
      <w:r>
        <w:rPr>
          <w:rFonts w:hint="default" w:ascii="仿宋_GB2312" w:hAnsi="Times New Roman" w:eastAsia="仿宋_GB2312" w:cs="Times New Roman"/>
          <w:color w:val="00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Times New Roman"/>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2022年</w:t>
      </w:r>
      <w:r>
        <w:rPr>
          <w:rFonts w:hint="eastAsia" w:ascii="仿宋" w:hAnsi="仿宋" w:eastAsia="仿宋" w:cs="仿宋"/>
          <w:color w:val="000000"/>
          <w:kern w:val="2"/>
          <w:sz w:val="32"/>
          <w:szCs w:val="32"/>
          <w:lang w:val="en-US" w:eastAsia="zh-CN" w:bidi="ar"/>
        </w:rPr>
        <w:t>本年收入合计190.10万元，其中：一般公共预算财政拨款收入190.10万元，占100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；政府性基金预算财政拨款收入0万元，占0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；上级补助收入0万元，占0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；事业收入0万元，占0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；经营收入0万元，占0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；附属单位上缴收入0万元，占0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；其他收入0万元，占0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pPr>
        <w:pStyle w:val="20"/>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bidi="ar"/>
        </w:rPr>
        <w:t>2022年</w:t>
      </w:r>
      <w:r>
        <w:rPr>
          <w:rFonts w:hint="default" w:ascii="仿宋_GB2312" w:hAnsi="Times New Roman" w:eastAsia="仿宋_GB2312" w:cs="仿宋_GB2312"/>
          <w:kern w:val="2"/>
          <w:sz w:val="32"/>
          <w:szCs w:val="32"/>
          <w:lang w:val="en-US" w:eastAsia="zh-CN" w:bidi="ar"/>
        </w:rPr>
        <w:t>本年支出合计</w:t>
      </w:r>
      <w:r>
        <w:rPr>
          <w:rFonts w:hint="eastAsia" w:ascii="仿宋_GB2312" w:eastAsia="仿宋_GB2312" w:cs="仿宋_GB2312"/>
          <w:kern w:val="2"/>
          <w:sz w:val="32"/>
          <w:szCs w:val="32"/>
          <w:lang w:val="en-US" w:eastAsia="zh-CN" w:bidi="ar"/>
        </w:rPr>
        <w:t>211.72万</w:t>
      </w:r>
      <w:r>
        <w:rPr>
          <w:rFonts w:hint="default" w:ascii="仿宋_GB2312" w:hAnsi="Times New Roman" w:eastAsia="仿宋_GB2312" w:cs="仿宋_GB2312"/>
          <w:kern w:val="2"/>
          <w:sz w:val="32"/>
          <w:szCs w:val="32"/>
          <w:lang w:val="en-US" w:eastAsia="zh-CN" w:bidi="ar"/>
        </w:rPr>
        <w:t>元</w:t>
      </w:r>
      <w:r>
        <w:rPr>
          <w:rFonts w:hint="eastAsia" w:ascii="仿宋_GB2312" w:eastAsia="仿宋_GB2312"/>
          <w:sz w:val="32"/>
          <w:szCs w:val="32"/>
        </w:rPr>
        <w:t>，其中：基本支出176.12万元，占</w:t>
      </w:r>
      <w:r>
        <w:rPr>
          <w:rFonts w:hint="eastAsia" w:ascii="仿宋_GB2312" w:eastAsia="仿宋_GB2312"/>
          <w:sz w:val="32"/>
          <w:szCs w:val="32"/>
          <w:lang w:val="en-US" w:eastAsia="zh-CN"/>
        </w:rPr>
        <w:t>83.19</w:t>
      </w:r>
      <w:r>
        <w:rPr>
          <w:rFonts w:hint="eastAsia" w:ascii="仿宋_GB2312" w:eastAsia="仿宋_GB2312"/>
          <w:sz w:val="32"/>
          <w:szCs w:val="32"/>
        </w:rPr>
        <w:t>%；项目支出35.60万元，占</w:t>
      </w:r>
      <w:r>
        <w:rPr>
          <w:rFonts w:hint="eastAsia" w:ascii="仿宋_GB2312" w:eastAsia="仿宋_GB2312"/>
          <w:sz w:val="32"/>
          <w:szCs w:val="32"/>
          <w:lang w:val="en-US" w:eastAsia="zh-CN"/>
        </w:rPr>
        <w:t>16.81</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rPr>
          <w:rFonts w:hint="eastAsia" w:ascii="仿宋_GB2312" w:eastAsia="仿宋_GB2312"/>
          <w:sz w:val="32"/>
          <w:szCs w:val="32"/>
        </w:rPr>
      </w:pPr>
    </w:p>
    <w:p>
      <w:pPr>
        <w:pStyle w:val="21"/>
        <w:jc w:val="both"/>
        <w:rPr>
          <w:rFonts w:ascii="仿宋" w:hAnsi="仿宋" w:eastAsia="仿宋"/>
          <w:color w:val="000000"/>
          <w:sz w:val="32"/>
          <w:szCs w:val="32"/>
          <w:shd w:val="pct10" w:color="auto" w:fill="FFFFFF"/>
        </w:rPr>
      </w:pPr>
      <w:r>
        <w:drawing>
          <wp:inline distT="0" distB="0" distL="114300" distR="114300">
            <wp:extent cx="4107180" cy="2071370"/>
            <wp:effectExtent l="4445" t="4445" r="22225" b="19685"/>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3" w:name="_Toc79163613"/>
      <w:bookmarkStart w:id="34" w:name="_Toc79163863"/>
      <w:bookmarkStart w:id="35" w:name="_Toc15377208"/>
      <w:bookmarkStart w:id="36"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3"/>
      <w:bookmarkEnd w:id="34"/>
      <w:bookmarkEnd w:id="35"/>
      <w:bookmarkEnd w:id="36"/>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 xml:space="preserve">190.10万元，与2021年相比，增加41.36万元，增长27.80%。主要变动原因：人员工资福利政策变化，收支增加; </w:t>
      </w: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211.72万元。与2021年相比，增加46.28万元，增长27.97%。主要变动原因:</w:t>
      </w:r>
      <w:r>
        <w:rPr>
          <w:rFonts w:hint="eastAsia" w:ascii="仿宋" w:hAnsi="仿宋" w:eastAsia="仿宋" w:cs="仿宋"/>
          <w:color w:val="000000"/>
          <w:kern w:val="2"/>
          <w:sz w:val="32"/>
          <w:szCs w:val="32"/>
          <w:lang w:val="en-US" w:eastAsia="zh-CN" w:bidi="ar"/>
        </w:rPr>
        <w:t>人员工资福利政策变化，收支增加</w:t>
      </w:r>
      <w:r>
        <w:rPr>
          <w:rFonts w:hint="eastAsia" w:ascii="仿宋" w:hAnsi="仿宋" w:eastAsia="仿宋"/>
          <w:color w:val="000000"/>
          <w:sz w:val="32"/>
          <w:szCs w:val="32"/>
          <w:lang w:eastAsia="zh-CN"/>
        </w:rPr>
        <w:t>。</w:t>
      </w:r>
    </w:p>
    <w:p>
      <w:pPr>
        <w:pStyle w:val="21"/>
        <w:jc w:val="center"/>
        <w:rPr>
          <w:rFonts w:ascii="仿宋" w:hAnsi="仿宋" w:eastAsia="仿宋"/>
          <w:color w:val="000000"/>
          <w:sz w:val="32"/>
          <w:szCs w:val="32"/>
        </w:rPr>
      </w:pPr>
      <w:r>
        <w:drawing>
          <wp:inline distT="0" distB="0" distL="114300" distR="114300">
            <wp:extent cx="4208780" cy="2165985"/>
            <wp:effectExtent l="5080" t="4445" r="15240" b="20320"/>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4339590" cy="2025650"/>
            <wp:effectExtent l="4445" t="4445" r="18415" b="8255"/>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7" w:name="_Toc79163614"/>
      <w:bookmarkStart w:id="38" w:name="_Toc15396607"/>
      <w:bookmarkStart w:id="39" w:name="_Toc15377209"/>
      <w:bookmarkStart w:id="40"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7"/>
      <w:bookmarkEnd w:id="38"/>
      <w:bookmarkEnd w:id="39"/>
      <w:bookmarkEnd w:id="40"/>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1" w:name="_Toc15377210"/>
      <w:bookmarkStart w:id="42" w:name="_Toc79163865"/>
      <w:bookmarkStart w:id="43" w:name="_Toc79163615"/>
      <w:r>
        <w:rPr>
          <w:rFonts w:hint="eastAsia" w:ascii="仿宋" w:hAnsi="仿宋" w:eastAsia="仿宋"/>
          <w:b/>
          <w:color w:val="000000"/>
          <w:sz w:val="32"/>
          <w:szCs w:val="32"/>
        </w:rPr>
        <w:t>（一）一般公共预算财政拨款支出决算总体情况</w:t>
      </w:r>
      <w:bookmarkEnd w:id="41"/>
      <w:bookmarkEnd w:id="42"/>
      <w:bookmarkEnd w:id="43"/>
    </w:p>
    <w:p>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211.72万</w:t>
      </w:r>
      <w:r>
        <w:rPr>
          <w:rFonts w:hint="eastAsia" w:ascii="仿宋" w:hAnsi="仿宋" w:eastAsia="仿宋"/>
          <w:color w:val="000000"/>
          <w:sz w:val="32"/>
          <w:szCs w:val="32"/>
        </w:rPr>
        <w:t>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相比，一般公共预算财政拨款</w:t>
      </w:r>
      <w:r>
        <w:rPr>
          <w:rFonts w:hint="eastAsia" w:ascii="仿宋" w:hAnsi="仿宋" w:eastAsia="仿宋"/>
          <w:color w:val="000000"/>
          <w:sz w:val="32"/>
          <w:szCs w:val="32"/>
          <w:lang w:val="en-US" w:eastAsia="zh-CN"/>
        </w:rPr>
        <w:t>增加46.28万元，增长27.97%。主要变动原因:</w:t>
      </w:r>
      <w:r>
        <w:rPr>
          <w:rFonts w:hint="eastAsia" w:ascii="仿宋" w:hAnsi="仿宋" w:eastAsia="仿宋" w:cs="仿宋"/>
          <w:color w:val="000000"/>
          <w:kern w:val="2"/>
          <w:sz w:val="32"/>
          <w:szCs w:val="32"/>
          <w:lang w:val="en-US" w:eastAsia="zh-CN" w:bidi="ar"/>
        </w:rPr>
        <w:t>人员工资福利政策变化，收支增加</w:t>
      </w:r>
      <w:r>
        <w:rPr>
          <w:rFonts w:hint="eastAsia" w:ascii="仿宋" w:hAnsi="仿宋" w:eastAsia="仿宋"/>
          <w:color w:val="000000"/>
          <w:sz w:val="32"/>
          <w:szCs w:val="32"/>
          <w:lang w:val="en-US" w:eastAsia="zh-CN"/>
        </w:rPr>
        <w:t>。</w:t>
      </w:r>
    </w:p>
    <w:p>
      <w:pPr>
        <w:jc w:val="center"/>
        <w:rPr>
          <w:rFonts w:ascii="仿宋" w:hAnsi="仿宋" w:eastAsia="仿宋"/>
          <w:color w:val="000000"/>
          <w:sz w:val="32"/>
          <w:szCs w:val="32"/>
        </w:rPr>
      </w:pPr>
      <w:r>
        <w:drawing>
          <wp:inline distT="0" distB="0" distL="114300" distR="114300">
            <wp:extent cx="4451350" cy="2287270"/>
            <wp:effectExtent l="4445" t="4445" r="20955" b="13335"/>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4" w:name="_Toc15377211"/>
      <w:bookmarkStart w:id="45" w:name="_Toc79163616"/>
      <w:bookmarkStart w:id="46" w:name="_Toc79163866"/>
      <w:r>
        <w:rPr>
          <w:rFonts w:hint="eastAsia" w:ascii="仿宋" w:hAnsi="仿宋" w:eastAsia="仿宋"/>
          <w:b/>
          <w:color w:val="000000"/>
          <w:sz w:val="32"/>
          <w:szCs w:val="32"/>
        </w:rPr>
        <w:t>（二）一般公共预算财政拨款支出决算结构情况</w:t>
      </w:r>
      <w:bookmarkEnd w:id="44"/>
      <w:bookmarkEnd w:id="45"/>
      <w:bookmarkEnd w:id="46"/>
    </w:p>
    <w:p>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211.72万</w:t>
      </w:r>
      <w:r>
        <w:rPr>
          <w:rFonts w:hint="eastAsia" w:ascii="仿宋" w:hAnsi="仿宋" w:eastAsia="仿宋"/>
          <w:color w:val="000000"/>
          <w:sz w:val="32"/>
          <w:szCs w:val="32"/>
        </w:rPr>
        <w:t>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color w:val="000000"/>
          <w:sz w:val="32"/>
          <w:szCs w:val="32"/>
        </w:rPr>
        <w:t>154.49万元，占72.97%；</w:t>
      </w:r>
      <w:r>
        <w:rPr>
          <w:rFonts w:hint="eastAsia" w:ascii="仿宋" w:hAnsi="仿宋" w:eastAsia="仿宋"/>
          <w:b/>
          <w:color w:val="000000"/>
          <w:sz w:val="32"/>
          <w:szCs w:val="32"/>
        </w:rPr>
        <w:t>公共安全支出</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1.42</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rPr>
        <w:t>30.08万元，占14.21%；</w:t>
      </w:r>
      <w:r>
        <w:rPr>
          <w:rFonts w:hint="eastAsia" w:ascii="仿宋" w:hAnsi="仿宋" w:eastAsia="仿宋"/>
          <w:b/>
          <w:bCs/>
          <w:color w:val="000000"/>
          <w:sz w:val="32"/>
          <w:szCs w:val="32"/>
        </w:rPr>
        <w:t>卫生健康支出</w:t>
      </w:r>
      <w:r>
        <w:rPr>
          <w:rFonts w:hint="eastAsia" w:ascii="仿宋" w:hAnsi="仿宋" w:eastAsia="仿宋"/>
          <w:b w:val="0"/>
          <w:bCs w:val="0"/>
          <w:color w:val="000000"/>
          <w:sz w:val="32"/>
          <w:szCs w:val="32"/>
        </w:rPr>
        <w:t>7.47万</w:t>
      </w:r>
      <w:r>
        <w:rPr>
          <w:rFonts w:hint="eastAsia" w:ascii="仿宋" w:hAnsi="仿宋" w:eastAsia="仿宋"/>
          <w:color w:val="000000"/>
          <w:sz w:val="32"/>
          <w:szCs w:val="32"/>
        </w:rPr>
        <w:t>元，占3.</w:t>
      </w:r>
      <w:r>
        <w:rPr>
          <w:rFonts w:hint="eastAsia" w:ascii="仿宋" w:hAnsi="仿宋" w:eastAsia="仿宋"/>
          <w:color w:val="000000"/>
          <w:sz w:val="32"/>
          <w:szCs w:val="32"/>
          <w:lang w:val="en-US" w:eastAsia="zh-CN"/>
        </w:rPr>
        <w:t>53</w:t>
      </w:r>
      <w:r>
        <w:rPr>
          <w:rFonts w:hint="eastAsia" w:ascii="仿宋" w:hAnsi="仿宋" w:eastAsia="仿宋"/>
          <w:color w:val="000000"/>
          <w:sz w:val="32"/>
          <w:szCs w:val="32"/>
        </w:rPr>
        <w:t>%；</w:t>
      </w:r>
      <w:r>
        <w:rPr>
          <w:rFonts w:hint="eastAsia" w:ascii="仿宋" w:hAnsi="仿宋" w:eastAsia="仿宋"/>
          <w:b/>
          <w:bCs/>
          <w:color w:val="000000"/>
          <w:sz w:val="32"/>
          <w:szCs w:val="32"/>
        </w:rPr>
        <w:t>节能环保支出</w:t>
      </w:r>
      <w:r>
        <w:rPr>
          <w:rFonts w:hint="eastAsia" w:ascii="仿宋" w:hAnsi="仿宋" w:eastAsia="仿宋"/>
          <w:b w:val="0"/>
          <w:bCs w:val="0"/>
          <w:color w:val="000000"/>
          <w:sz w:val="32"/>
          <w:szCs w:val="32"/>
          <w:lang w:val="en-US" w:eastAsia="zh-CN"/>
        </w:rPr>
        <w:t>4.5</w:t>
      </w:r>
      <w:r>
        <w:rPr>
          <w:rFonts w:hint="eastAsia" w:ascii="仿宋" w:hAnsi="仿宋" w:eastAsia="仿宋"/>
          <w:color w:val="000000"/>
          <w:sz w:val="32"/>
          <w:szCs w:val="32"/>
        </w:rPr>
        <w:t>万元，占2.13%</w:t>
      </w:r>
      <w:r>
        <w:rPr>
          <w:rFonts w:hint="eastAsia" w:ascii="仿宋" w:hAnsi="仿宋" w:eastAsia="仿宋"/>
          <w:color w:val="000000"/>
          <w:sz w:val="32"/>
          <w:szCs w:val="32"/>
          <w:lang w:eastAsia="zh-CN"/>
        </w:rPr>
        <w:t>；</w:t>
      </w:r>
      <w:r>
        <w:rPr>
          <w:rFonts w:hint="eastAsia" w:ascii="仿宋" w:hAnsi="仿宋" w:eastAsia="仿宋"/>
          <w:b/>
          <w:bCs/>
          <w:color w:val="000000"/>
          <w:sz w:val="32"/>
          <w:szCs w:val="32"/>
          <w:lang w:eastAsia="zh-CN"/>
        </w:rPr>
        <w:t>住房保障支出</w:t>
      </w:r>
      <w:r>
        <w:rPr>
          <w:rFonts w:hint="eastAsia" w:ascii="仿宋" w:hAnsi="仿宋" w:eastAsia="仿宋"/>
          <w:b w:val="0"/>
          <w:bCs w:val="0"/>
          <w:color w:val="000000"/>
          <w:sz w:val="32"/>
          <w:szCs w:val="32"/>
          <w:lang w:eastAsia="zh-CN"/>
        </w:rPr>
        <w:t>12.19</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5.76</w:t>
      </w:r>
      <w:r>
        <w:rPr>
          <w:rFonts w:hint="eastAsia" w:ascii="仿宋" w:hAnsi="仿宋" w:eastAsia="仿宋"/>
          <w:color w:val="000000"/>
          <w:sz w:val="32"/>
          <w:szCs w:val="32"/>
          <w:lang w:eastAsia="zh-CN"/>
        </w:rPr>
        <w:t>%。</w:t>
      </w:r>
    </w:p>
    <w:p>
      <w:pPr>
        <w:jc w:val="center"/>
        <w:rPr>
          <w:rFonts w:ascii="仿宋" w:hAnsi="仿宋" w:eastAsia="仿宋"/>
          <w:color w:val="000000"/>
          <w:sz w:val="32"/>
          <w:szCs w:val="32"/>
        </w:rPr>
      </w:pPr>
      <w:r>
        <w:drawing>
          <wp:inline distT="0" distB="0" distL="114300" distR="114300">
            <wp:extent cx="4466590" cy="2279650"/>
            <wp:effectExtent l="4445" t="4445" r="5715" b="2095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7" w:name="_Toc79163867"/>
      <w:bookmarkStart w:id="48" w:name="_Toc79163617"/>
      <w:bookmarkStart w:id="49" w:name="_Toc15377212"/>
      <w:r>
        <w:rPr>
          <w:rFonts w:hint="eastAsia" w:ascii="仿宋" w:hAnsi="仿宋" w:eastAsia="仿宋"/>
          <w:b/>
          <w:color w:val="000000"/>
          <w:sz w:val="32"/>
          <w:szCs w:val="32"/>
        </w:rPr>
        <w:t>（三）一般公共预算财政拨款支出决算具体情况</w:t>
      </w:r>
      <w:bookmarkEnd w:id="47"/>
      <w:bookmarkEnd w:id="48"/>
      <w:bookmarkEnd w:id="49"/>
    </w:p>
    <w:p>
      <w:pPr>
        <w:pageBreakBefore w:val="0"/>
        <w:widowControl w:val="0"/>
        <w:kinsoku/>
        <w:wordWrap/>
        <w:overflowPunct/>
        <w:topLinePunct w:val="0"/>
        <w:bidi w:val="0"/>
        <w:spacing w:line="560" w:lineRule="exact"/>
        <w:ind w:firstLine="643" w:firstLineChars="200"/>
        <w:textAlignment w:val="auto"/>
        <w:rPr>
          <w:rFonts w:hint="eastAsia" w:ascii="仿宋_GB2312" w:eastAsia="仿宋_GB2312"/>
          <w:b/>
          <w:bCs/>
          <w:sz w:val="32"/>
          <w:szCs w:val="32"/>
        </w:rPr>
      </w:pPr>
      <w:bookmarkStart w:id="50" w:name="_Toc15377444"/>
      <w:bookmarkStart w:id="51" w:name="_Toc15377213"/>
      <w:bookmarkStart w:id="52" w:name="_Toc15378460"/>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211.72万</w:t>
      </w:r>
      <w:r>
        <w:rPr>
          <w:rFonts w:hint="eastAsia" w:ascii="仿宋_GB2312" w:eastAsia="仿宋_GB2312"/>
          <w:b/>
          <w:bCs/>
          <w:sz w:val="32"/>
          <w:szCs w:val="32"/>
          <w:lang w:val="en-US" w:eastAsia="zh-CN"/>
        </w:rPr>
        <w:t>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0"/>
      <w:bookmarkEnd w:id="51"/>
      <w:bookmarkEnd w:id="52"/>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仿宋_GB2312" w:hAnsi="仿宋" w:eastAsia="仿宋_GB2312" w:cs="仿宋_GB2312"/>
          <w:b w:val="0"/>
          <w:bCs/>
          <w:color w:val="000000"/>
          <w:kern w:val="2"/>
          <w:sz w:val="32"/>
          <w:szCs w:val="32"/>
          <w:lang w:val="en-US" w:eastAsia="zh-CN" w:bidi="ar"/>
        </w:rPr>
      </w:pPr>
      <w:r>
        <w:rPr>
          <w:rFonts w:hint="eastAsia" w:ascii="仿宋_GB2312" w:hAnsi="仿宋" w:eastAsia="仿宋_GB2312" w:cs="仿宋_GB2312"/>
          <w:b/>
          <w:bCs w:val="0"/>
          <w:color w:val="000000"/>
          <w:kern w:val="2"/>
          <w:sz w:val="32"/>
          <w:szCs w:val="32"/>
          <w:lang w:val="en-US" w:eastAsia="zh-CN" w:bidi="ar"/>
        </w:rPr>
        <w:t>1.</w:t>
      </w:r>
      <w:r>
        <w:rPr>
          <w:rFonts w:hint="default" w:ascii="仿宋_GB2312" w:hAnsi="仿宋" w:eastAsia="仿宋_GB2312" w:cs="仿宋_GB2312"/>
          <w:b/>
          <w:bCs w:val="0"/>
          <w:color w:val="000000"/>
          <w:kern w:val="2"/>
          <w:sz w:val="32"/>
          <w:szCs w:val="32"/>
          <w:lang w:eastAsia="zh-CN" w:bidi="ar"/>
        </w:rPr>
        <w:t>一般公共服务支出（类）</w:t>
      </w:r>
      <w:r>
        <w:rPr>
          <w:rFonts w:hint="default" w:ascii="仿宋_GB2312" w:hAnsi="仿宋" w:eastAsia="仿宋_GB2312" w:cs="仿宋_GB2312"/>
          <w:b/>
          <w:bCs w:val="0"/>
          <w:color w:val="000000"/>
          <w:kern w:val="2"/>
          <w:sz w:val="32"/>
          <w:szCs w:val="32"/>
          <w:lang w:val="en-US" w:eastAsia="zh-CN" w:bidi="ar"/>
        </w:rPr>
        <w:t>民族事务（款）行政运行（项）</w:t>
      </w:r>
      <w:r>
        <w:rPr>
          <w:rFonts w:hint="default" w:ascii="仿宋_GB2312" w:hAnsi="仿宋" w:eastAsia="仿宋_GB2312" w:cs="仿宋_GB2312"/>
          <w:b w:val="0"/>
          <w:bCs/>
          <w:color w:val="000000"/>
          <w:kern w:val="2"/>
          <w:sz w:val="32"/>
          <w:szCs w:val="32"/>
          <w:lang w:val="en-US" w:eastAsia="zh-CN" w:bidi="ar"/>
        </w:rPr>
        <w:t>:支出决算为136.38万元，完成预算100%。</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default" w:ascii="仿宋_GB2312" w:hAnsi="仿宋" w:eastAsia="仿宋_GB2312" w:cs="仿宋_GB2312"/>
          <w:b w:val="0"/>
          <w:bCs/>
          <w:color w:val="000000"/>
          <w:kern w:val="2"/>
          <w:sz w:val="32"/>
          <w:szCs w:val="32"/>
          <w:lang w:val="en-US" w:eastAsia="zh-CN" w:bidi="ar"/>
        </w:rPr>
      </w:pPr>
      <w:r>
        <w:rPr>
          <w:rFonts w:hint="eastAsia" w:ascii="仿宋_GB2312" w:hAnsi="仿宋" w:eastAsia="仿宋_GB2312" w:cs="仿宋_GB2312"/>
          <w:b/>
          <w:bCs w:val="0"/>
          <w:color w:val="000000"/>
          <w:kern w:val="2"/>
          <w:sz w:val="32"/>
          <w:szCs w:val="32"/>
          <w:lang w:val="en-US" w:eastAsia="zh-CN" w:bidi="ar"/>
        </w:rPr>
        <w:t>2.</w:t>
      </w:r>
      <w:r>
        <w:rPr>
          <w:rFonts w:hint="default" w:ascii="仿宋_GB2312" w:hAnsi="仿宋" w:eastAsia="仿宋_GB2312" w:cs="仿宋_GB2312"/>
          <w:b/>
          <w:bCs w:val="0"/>
          <w:color w:val="000000"/>
          <w:kern w:val="2"/>
          <w:sz w:val="32"/>
          <w:szCs w:val="32"/>
          <w:lang w:eastAsia="zh-CN" w:bidi="ar"/>
        </w:rPr>
        <w:t>一般公共服务支出（类）</w:t>
      </w:r>
      <w:r>
        <w:rPr>
          <w:rFonts w:hint="eastAsia" w:ascii="仿宋_GB2312" w:hAnsi="仿宋" w:eastAsia="仿宋_GB2312" w:cs="仿宋_GB2312"/>
          <w:b/>
          <w:bCs w:val="0"/>
          <w:color w:val="000000"/>
          <w:kern w:val="2"/>
          <w:sz w:val="32"/>
          <w:szCs w:val="32"/>
          <w:lang w:val="en-US" w:eastAsia="zh-CN" w:bidi="ar"/>
        </w:rPr>
        <w:t>民族事务（款）</w:t>
      </w:r>
      <w:r>
        <w:rPr>
          <w:rFonts w:hint="default" w:ascii="仿宋_GB2312" w:hAnsi="仿宋" w:eastAsia="仿宋_GB2312" w:cs="仿宋_GB2312"/>
          <w:b/>
          <w:bCs w:val="0"/>
          <w:color w:val="000000"/>
          <w:kern w:val="2"/>
          <w:sz w:val="32"/>
          <w:szCs w:val="32"/>
          <w:lang w:val="en-US" w:eastAsia="zh-CN" w:bidi="ar"/>
        </w:rPr>
        <w:t>一般行政管理事务（项）</w:t>
      </w:r>
      <w:r>
        <w:rPr>
          <w:rFonts w:hint="default" w:ascii="仿宋_GB2312" w:hAnsi="仿宋" w:eastAsia="仿宋_GB2312" w:cs="仿宋_GB2312"/>
          <w:b w:val="0"/>
          <w:bCs/>
          <w:color w:val="000000"/>
          <w:kern w:val="2"/>
          <w:sz w:val="32"/>
          <w:szCs w:val="32"/>
          <w:lang w:val="en-US" w:eastAsia="zh-CN" w:bidi="ar"/>
        </w:rPr>
        <w:t>:支出决算为</w:t>
      </w:r>
      <w:r>
        <w:rPr>
          <w:rFonts w:hint="eastAsia" w:ascii="仿宋_GB2312" w:hAnsi="仿宋" w:eastAsia="仿宋_GB2312" w:cs="仿宋_GB2312"/>
          <w:b w:val="0"/>
          <w:bCs/>
          <w:color w:val="000000"/>
          <w:kern w:val="2"/>
          <w:sz w:val="32"/>
          <w:szCs w:val="32"/>
          <w:lang w:val="en-US" w:eastAsia="zh-CN" w:bidi="ar"/>
        </w:rPr>
        <w:t>15.26</w:t>
      </w:r>
      <w:r>
        <w:rPr>
          <w:rFonts w:hint="default" w:ascii="仿宋_GB2312" w:hAnsi="仿宋" w:eastAsia="仿宋_GB2312" w:cs="仿宋_GB2312"/>
          <w:b w:val="0"/>
          <w:bCs/>
          <w:color w:val="000000"/>
          <w:kern w:val="2"/>
          <w:sz w:val="32"/>
          <w:szCs w:val="32"/>
          <w:lang w:val="en-US" w:eastAsia="zh-CN" w:bidi="ar"/>
        </w:rPr>
        <w:t>万元，完成预算100%。</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eastAsia" w:ascii="仿宋_GB2312" w:hAnsi="仿宋" w:eastAsia="仿宋_GB2312" w:cs="仿宋_GB2312"/>
          <w:b w:val="0"/>
          <w:bCs/>
          <w:color w:val="000000"/>
          <w:kern w:val="2"/>
          <w:sz w:val="32"/>
          <w:szCs w:val="32"/>
          <w:lang w:val="en-US" w:eastAsia="zh-CN" w:bidi="ar"/>
        </w:rPr>
      </w:pPr>
      <w:r>
        <w:rPr>
          <w:rFonts w:hint="eastAsia" w:ascii="仿宋_GB2312" w:hAnsi="仿宋" w:eastAsia="仿宋_GB2312" w:cs="仿宋_GB2312"/>
          <w:b/>
          <w:bCs w:val="0"/>
          <w:color w:val="000000"/>
          <w:kern w:val="2"/>
          <w:sz w:val="32"/>
          <w:szCs w:val="32"/>
          <w:lang w:val="en-US" w:eastAsia="zh-CN" w:bidi="ar"/>
        </w:rPr>
        <w:t>3</w:t>
      </w:r>
      <w:r>
        <w:rPr>
          <w:rFonts w:hint="eastAsia" w:ascii="仿宋_GB2312" w:hAnsi="仿宋" w:eastAsia="仿宋_GB2312" w:cs="仿宋_GB2312"/>
          <w:b w:val="0"/>
          <w:bCs/>
          <w:color w:val="000000"/>
          <w:kern w:val="2"/>
          <w:sz w:val="32"/>
          <w:szCs w:val="32"/>
          <w:lang w:val="en-US" w:eastAsia="zh-CN" w:bidi="ar"/>
        </w:rPr>
        <w:t>.</w:t>
      </w:r>
      <w:r>
        <w:rPr>
          <w:rFonts w:hint="default" w:ascii="仿宋_GB2312" w:hAnsi="仿宋" w:eastAsia="仿宋_GB2312" w:cs="仿宋_GB2312"/>
          <w:b/>
          <w:bCs w:val="0"/>
          <w:color w:val="000000"/>
          <w:kern w:val="2"/>
          <w:sz w:val="32"/>
          <w:szCs w:val="32"/>
          <w:lang w:eastAsia="zh-CN" w:bidi="ar"/>
        </w:rPr>
        <w:t>一般公共服务支出（类）</w:t>
      </w:r>
      <w:r>
        <w:rPr>
          <w:rFonts w:hint="eastAsia" w:ascii="仿宋_GB2312" w:hAnsi="仿宋" w:eastAsia="仿宋_GB2312" w:cs="仿宋_GB2312"/>
          <w:b/>
          <w:bCs w:val="0"/>
          <w:color w:val="000000"/>
          <w:kern w:val="2"/>
          <w:sz w:val="32"/>
          <w:szCs w:val="32"/>
          <w:lang w:val="en-US" w:eastAsia="zh-CN" w:bidi="ar"/>
        </w:rPr>
        <w:t>统战事务（款）</w:t>
      </w:r>
      <w:r>
        <w:rPr>
          <w:rFonts w:hint="default" w:ascii="仿宋_GB2312" w:hAnsi="仿宋" w:eastAsia="仿宋_GB2312" w:cs="仿宋_GB2312"/>
          <w:b/>
          <w:bCs w:val="0"/>
          <w:color w:val="000000"/>
          <w:kern w:val="2"/>
          <w:sz w:val="32"/>
          <w:szCs w:val="32"/>
          <w:lang w:val="en-US" w:eastAsia="zh-CN" w:bidi="ar"/>
        </w:rPr>
        <w:t>宗教事务（项）:</w:t>
      </w:r>
      <w:r>
        <w:rPr>
          <w:rFonts w:hint="default" w:ascii="仿宋_GB2312" w:hAnsi="仿宋" w:eastAsia="仿宋_GB2312" w:cs="仿宋_GB2312"/>
          <w:b w:val="0"/>
          <w:bCs/>
          <w:color w:val="000000"/>
          <w:kern w:val="2"/>
          <w:sz w:val="32"/>
          <w:szCs w:val="32"/>
          <w:lang w:val="en-US" w:eastAsia="zh-CN" w:bidi="ar"/>
        </w:rPr>
        <w:t>支出决算为2.85万元，完成预算100%</w:t>
      </w:r>
      <w:r>
        <w:rPr>
          <w:rFonts w:hint="eastAsia" w:ascii="仿宋_GB2312" w:hAnsi="仿宋" w:eastAsia="仿宋_GB2312" w:cs="仿宋_GB2312"/>
          <w:b w:val="0"/>
          <w:bCs/>
          <w:color w:val="000000"/>
          <w:kern w:val="2"/>
          <w:sz w:val="32"/>
          <w:szCs w:val="32"/>
          <w:lang w:val="en-US" w:eastAsia="zh-CN" w:bidi="ar"/>
        </w:rPr>
        <w:t>。</w:t>
      </w:r>
    </w:p>
    <w:p>
      <w:pPr>
        <w:pStyle w:val="26"/>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baseline"/>
        <w:rPr>
          <w:rFonts w:hint="default" w:ascii="仿宋_GB2312" w:hAnsi="仿宋" w:eastAsia="仿宋_GB2312" w:cs="仿宋_GB2312"/>
          <w:b w:val="0"/>
          <w:bCs/>
          <w:color w:val="000000"/>
          <w:kern w:val="2"/>
          <w:sz w:val="32"/>
          <w:szCs w:val="32"/>
          <w:lang w:eastAsia="zh-CN" w:bidi="ar"/>
        </w:rPr>
      </w:pPr>
      <w:r>
        <w:rPr>
          <w:rFonts w:hint="eastAsia" w:ascii="仿宋_GB2312" w:hAnsi="仿宋" w:eastAsia="仿宋_GB2312" w:cs="仿宋_GB2312"/>
          <w:b/>
          <w:bCs w:val="0"/>
          <w:color w:val="000000"/>
          <w:kern w:val="2"/>
          <w:sz w:val="32"/>
          <w:szCs w:val="32"/>
          <w:lang w:val="en-US" w:eastAsia="zh-CN" w:bidi="ar"/>
        </w:rPr>
        <w:t>4</w:t>
      </w:r>
      <w:r>
        <w:rPr>
          <w:rFonts w:hint="eastAsia" w:ascii="仿宋_GB2312" w:hAnsi="仿宋" w:eastAsia="仿宋_GB2312" w:cs="仿宋_GB2312"/>
          <w:b w:val="0"/>
          <w:bCs/>
          <w:color w:val="000000"/>
          <w:kern w:val="2"/>
          <w:sz w:val="32"/>
          <w:szCs w:val="32"/>
          <w:lang w:val="en-US" w:eastAsia="zh-CN" w:bidi="ar"/>
        </w:rPr>
        <w:t>.</w:t>
      </w:r>
      <w:r>
        <w:rPr>
          <w:rFonts w:hint="eastAsia" w:ascii="仿宋_GB2312" w:hAnsi="仿宋" w:eastAsia="仿宋_GB2312" w:cs="仿宋_GB2312"/>
          <w:b/>
          <w:bCs w:val="0"/>
          <w:color w:val="000000"/>
          <w:kern w:val="2"/>
          <w:sz w:val="32"/>
          <w:szCs w:val="32"/>
          <w:lang w:val="en-US" w:eastAsia="zh-CN" w:bidi="ar"/>
        </w:rPr>
        <w:t>公共安全支出（类）其他公共安全支出（款）其他公共安全支出</w:t>
      </w:r>
      <w:r>
        <w:rPr>
          <w:rFonts w:hint="default" w:ascii="仿宋_GB2312" w:hAnsi="仿宋" w:eastAsia="仿宋_GB2312" w:cs="仿宋_GB2312"/>
          <w:b/>
          <w:bCs w:val="0"/>
          <w:color w:val="000000"/>
          <w:kern w:val="2"/>
          <w:sz w:val="32"/>
          <w:szCs w:val="32"/>
          <w:lang w:val="en-US" w:eastAsia="zh-CN" w:bidi="ar"/>
        </w:rPr>
        <w:t>（项）:</w:t>
      </w:r>
      <w:r>
        <w:rPr>
          <w:rFonts w:hint="default" w:ascii="仿宋_GB2312" w:hAnsi="仿宋" w:eastAsia="仿宋_GB2312" w:cs="仿宋_GB2312"/>
          <w:b w:val="0"/>
          <w:bCs/>
          <w:color w:val="000000"/>
          <w:kern w:val="2"/>
          <w:sz w:val="32"/>
          <w:szCs w:val="32"/>
          <w:lang w:val="en-US" w:eastAsia="zh-CN" w:bidi="ar"/>
        </w:rPr>
        <w:t>支出决算为</w:t>
      </w:r>
      <w:r>
        <w:rPr>
          <w:rFonts w:hint="eastAsia" w:ascii="仿宋_GB2312" w:hAnsi="仿宋" w:eastAsia="仿宋_GB2312" w:cs="仿宋_GB2312"/>
          <w:b w:val="0"/>
          <w:bCs/>
          <w:color w:val="000000"/>
          <w:kern w:val="2"/>
          <w:sz w:val="32"/>
          <w:szCs w:val="32"/>
          <w:lang w:val="en-US" w:eastAsia="zh-CN" w:bidi="ar"/>
        </w:rPr>
        <w:t>3.00</w:t>
      </w:r>
      <w:r>
        <w:rPr>
          <w:rFonts w:hint="default" w:ascii="仿宋_GB2312" w:hAnsi="仿宋" w:eastAsia="仿宋_GB2312" w:cs="仿宋_GB2312"/>
          <w:b w:val="0"/>
          <w:bCs/>
          <w:color w:val="000000"/>
          <w:kern w:val="2"/>
          <w:sz w:val="32"/>
          <w:szCs w:val="32"/>
          <w:lang w:val="en-US" w:eastAsia="zh-CN" w:bidi="ar"/>
        </w:rPr>
        <w:t>万元，完成预算100%</w:t>
      </w:r>
      <w:r>
        <w:rPr>
          <w:rFonts w:hint="eastAsia" w:ascii="仿宋_GB2312" w:hAnsi="仿宋" w:eastAsia="仿宋_GB2312" w:cs="仿宋_GB2312"/>
          <w:b w:val="0"/>
          <w:bCs/>
          <w:color w:val="000000"/>
          <w:kern w:val="2"/>
          <w:sz w:val="32"/>
          <w:szCs w:val="32"/>
          <w:lang w:val="en-US" w:eastAsia="zh-CN" w:bidi="ar"/>
        </w:rPr>
        <w:t>。</w:t>
      </w:r>
      <w:r>
        <w:rPr>
          <w:rFonts w:hint="default" w:ascii="仿宋_GB2312" w:hAnsi="仿宋" w:eastAsia="仿宋_GB2312" w:cs="仿宋_GB2312"/>
          <w:b w:val="0"/>
          <w:bCs/>
          <w:color w:val="000000"/>
          <w:kern w:val="2"/>
          <w:sz w:val="32"/>
          <w:szCs w:val="32"/>
          <w:lang w:eastAsia="zh-CN" w:bidi="ar"/>
        </w:rPr>
        <w:t xml:space="preserve">      </w:t>
      </w:r>
    </w:p>
    <w:p>
      <w:pPr>
        <w:pStyle w:val="26"/>
        <w:keepNext w:val="0"/>
        <w:keepLines w:val="0"/>
        <w:pageBreakBefore w:val="0"/>
        <w:widowControl w:val="0"/>
        <w:kinsoku/>
        <w:wordWrap/>
        <w:overflowPunct/>
        <w:topLinePunct w:val="0"/>
        <w:autoSpaceDE/>
        <w:autoSpaceDN/>
        <w:bidi w:val="0"/>
        <w:adjustRightInd/>
        <w:snapToGrid/>
        <w:spacing w:after="0" w:line="560" w:lineRule="exact"/>
        <w:ind w:left="0" w:leftChars="0" w:firstLine="643" w:firstLineChars="200"/>
        <w:textAlignment w:val="baseline"/>
        <w:rPr>
          <w:rFonts w:hint="default"/>
          <w:lang w:val="en-US"/>
        </w:rPr>
      </w:pPr>
      <w:r>
        <w:rPr>
          <w:rStyle w:val="24"/>
          <w:rFonts w:hint="default" w:ascii="仿宋" w:hAnsi="仿宋" w:eastAsia="仿宋"/>
          <w:bCs/>
          <w:color w:val="000000"/>
          <w:sz w:val="32"/>
          <w:szCs w:val="32"/>
          <w:lang w:eastAsia="zh-CN"/>
        </w:rPr>
        <w:t>5</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社会保障和就业支出（类）民政管理事务（款）  基层政权建设和社区治理（项）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支出决算为9.99万元，完成预算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color w:val="000000"/>
          <w:sz w:val="32"/>
          <w:szCs w:val="32"/>
        </w:rPr>
      </w:pPr>
      <w:r>
        <w:rPr>
          <w:rStyle w:val="24"/>
          <w:rFonts w:hint="default" w:ascii="仿宋" w:hAnsi="仿宋" w:eastAsia="仿宋"/>
          <w:bCs/>
          <w:color w:val="000000"/>
          <w:sz w:val="32"/>
          <w:szCs w:val="32"/>
          <w:lang w:eastAsia="zh-CN"/>
        </w:rPr>
        <w:t>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社会保障和就业支出（类）行政事业单位养老支出（款）机关事业单位基本养老保险缴费支出（项）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支出决算为14.28万元，完成预算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rPr>
          <w:rStyle w:val="24"/>
          <w:rFonts w:hint="eastAsia" w:ascii="仿宋" w:hAnsi="仿宋" w:eastAsia="仿宋"/>
          <w:b w:val="0"/>
          <w:bCs/>
          <w:color w:val="000000"/>
          <w:sz w:val="32"/>
          <w:szCs w:val="32"/>
        </w:rPr>
      </w:pPr>
      <w:r>
        <w:rPr>
          <w:rStyle w:val="24"/>
          <w:rFonts w:hint="default" w:ascii="仿宋" w:hAnsi="仿宋" w:eastAsia="仿宋"/>
          <w:bCs/>
          <w:color w:val="000000"/>
          <w:sz w:val="32"/>
          <w:szCs w:val="32"/>
          <w:lang w:eastAsia="zh-CN"/>
        </w:rPr>
        <w:t>7</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支出决算为5.81万元，完成预算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rPr>
          <w:rFonts w:hint="eastAsia" w:ascii="仿宋" w:hAnsi="仿宋" w:eastAsia="仿宋"/>
          <w:b/>
          <w:color w:val="000000"/>
          <w:sz w:val="32"/>
          <w:szCs w:val="32"/>
        </w:rPr>
      </w:pPr>
      <w:r>
        <w:rPr>
          <w:rStyle w:val="24"/>
          <w:rFonts w:hint="default" w:ascii="仿宋" w:hAnsi="仿宋" w:eastAsia="仿宋"/>
          <w:color w:val="000000"/>
          <w:sz w:val="32"/>
          <w:szCs w:val="32"/>
          <w:lang w:eastAsia="zh-CN"/>
        </w:rPr>
        <w:t>8</w:t>
      </w:r>
      <w:r>
        <w:rPr>
          <w:rStyle w:val="24"/>
          <w:rFonts w:hint="eastAsia" w:ascii="仿宋" w:hAnsi="仿宋" w:eastAsia="仿宋"/>
          <w:color w:val="000000"/>
          <w:sz w:val="32"/>
          <w:szCs w:val="32"/>
        </w:rPr>
        <w:t>.卫生健康支出（类）行政事业单位医疗（款）行政单位医疗（项）:</w:t>
      </w:r>
      <w:r>
        <w:rPr>
          <w:rStyle w:val="24"/>
          <w:rFonts w:hint="eastAsia" w:ascii="仿宋" w:hAnsi="仿宋" w:eastAsia="仿宋"/>
          <w:b w:val="0"/>
          <w:color w:val="000000"/>
          <w:sz w:val="32"/>
          <w:szCs w:val="32"/>
        </w:rPr>
        <w:t xml:space="preserve"> 支出决算为6.26万元，完成预算100%。</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rPr>
          <w:rStyle w:val="24"/>
          <w:rFonts w:hint="eastAsia" w:ascii="仿宋" w:hAnsi="仿宋" w:eastAsia="仿宋"/>
          <w:b w:val="0"/>
          <w:color w:val="000000"/>
          <w:sz w:val="32"/>
          <w:szCs w:val="32"/>
        </w:rPr>
      </w:pPr>
      <w:r>
        <w:rPr>
          <w:rStyle w:val="24"/>
          <w:rFonts w:hint="default" w:ascii="仿宋" w:hAnsi="仿宋" w:eastAsia="仿宋"/>
          <w:color w:val="000000"/>
          <w:sz w:val="32"/>
          <w:szCs w:val="32"/>
          <w:lang w:eastAsia="zh-CN"/>
        </w:rPr>
        <w:t>9</w:t>
      </w:r>
      <w:r>
        <w:rPr>
          <w:rStyle w:val="24"/>
          <w:rFonts w:hint="eastAsia" w:ascii="仿宋" w:hAnsi="仿宋" w:eastAsia="仿宋"/>
          <w:color w:val="000000"/>
          <w:sz w:val="32"/>
          <w:szCs w:val="32"/>
        </w:rPr>
        <w:t xml:space="preserve">.卫生健康支出（类）行政事业单位医疗（款）公务员医疗补助（项）: </w:t>
      </w:r>
      <w:r>
        <w:rPr>
          <w:rStyle w:val="24"/>
          <w:rFonts w:hint="eastAsia" w:ascii="仿宋" w:hAnsi="仿宋" w:eastAsia="仿宋"/>
          <w:b w:val="0"/>
          <w:color w:val="000000"/>
          <w:sz w:val="32"/>
          <w:szCs w:val="32"/>
        </w:rPr>
        <w:t>支出决算为1.21万元，完成预算100%。</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10</w:t>
      </w:r>
      <w:r>
        <w:rPr>
          <w:rFonts w:hint="eastAsia" w:ascii="仿宋" w:hAnsi="仿宋" w:eastAsia="仿宋" w:cs="仿宋"/>
          <w:b/>
          <w:bCs w:val="0"/>
          <w:color w:val="000000"/>
          <w:kern w:val="2"/>
          <w:sz w:val="32"/>
          <w:szCs w:val="32"/>
          <w:lang w:val="en-US" w:eastAsia="zh-CN" w:bidi="ar"/>
        </w:rPr>
        <w:t>.节能环保支出（类）自然生态保护（款）农村环境保护（项）:</w:t>
      </w:r>
      <w:r>
        <w:rPr>
          <w:rFonts w:hint="eastAsia" w:ascii="仿宋" w:hAnsi="仿宋" w:eastAsia="仿宋" w:cs="仿宋"/>
          <w:b w:val="0"/>
          <w:color w:val="000000"/>
          <w:kern w:val="2"/>
          <w:sz w:val="32"/>
          <w:szCs w:val="32"/>
          <w:lang w:val="en-US" w:eastAsia="zh-CN" w:bidi="ar"/>
        </w:rPr>
        <w:t>支出决算为4.50万元，完成预算100%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color w:val="FF0000"/>
          <w:sz w:val="32"/>
          <w:szCs w:val="32"/>
        </w:rPr>
      </w:pPr>
      <w:r>
        <w:rPr>
          <w:rStyle w:val="24"/>
          <w:rFonts w:hint="eastAsia" w:ascii="仿宋" w:hAnsi="仿宋" w:eastAsia="仿宋"/>
          <w:color w:val="000000"/>
          <w:sz w:val="32"/>
          <w:szCs w:val="32"/>
          <w:lang w:val="en-US" w:eastAsia="zh-CN"/>
        </w:rPr>
        <w:t>11</w:t>
      </w:r>
      <w:r>
        <w:rPr>
          <w:rFonts w:hint="eastAsia" w:ascii="仿宋" w:hAnsi="仿宋" w:eastAsia="仿宋" w:cs="仿宋"/>
          <w:b/>
          <w:bCs w:val="0"/>
          <w:color w:val="000000"/>
          <w:kern w:val="2"/>
          <w:sz w:val="32"/>
          <w:szCs w:val="32"/>
          <w:lang w:val="en-US" w:eastAsia="zh-CN" w:bidi="ar"/>
        </w:rPr>
        <w:t>.住房保障支出（类）住房改革支出（款）住房公积金（项）:</w:t>
      </w:r>
      <w:r>
        <w:rPr>
          <w:rFonts w:hint="eastAsia" w:ascii="仿宋" w:hAnsi="仿宋" w:eastAsia="仿宋" w:cs="仿宋"/>
          <w:b w:val="0"/>
          <w:color w:val="000000"/>
          <w:kern w:val="2"/>
          <w:sz w:val="32"/>
          <w:szCs w:val="32"/>
          <w:lang w:val="en-US" w:eastAsia="zh-CN" w:bidi="ar"/>
        </w:rPr>
        <w:t>支出决算为12.19万元，完成预算100%。</w:t>
      </w:r>
    </w:p>
    <w:p>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3" w:name="_Toc79163868"/>
      <w:bookmarkStart w:id="54" w:name="_Toc15377214"/>
      <w:bookmarkStart w:id="55" w:name="_Toc79163618"/>
      <w:bookmarkStart w:id="56"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3"/>
      <w:bookmarkEnd w:id="54"/>
      <w:bookmarkEnd w:id="55"/>
      <w:bookmarkEnd w:id="56"/>
      <w:r>
        <w:rPr>
          <w:rStyle w:val="29"/>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一般公共预算财政拨款基本支出176.12万元，其中：</w:t>
      </w:r>
    </w:p>
    <w:p>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人员经费114.52万元，主要包括：基本工资、津贴补贴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机关事业单位基本养老保险费、职业年金缴费、职工基本医疗保险缴费、其他社会保障缴费、住房公积金、医疗费补助</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日常公用经费20.82万元，主要包括：办公费、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劳务费、公务用车运行维护费</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b w:val="0"/>
        </w:rPr>
      </w:pPr>
      <w:bookmarkStart w:id="57" w:name="_Toc15377215"/>
      <w:bookmarkStart w:id="58" w:name="_Toc79163869"/>
      <w:bookmarkStart w:id="59" w:name="_Toc79163619"/>
      <w:bookmarkStart w:id="60"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57"/>
      <w:bookmarkEnd w:id="58"/>
      <w:bookmarkEnd w:id="59"/>
      <w:bookmarkEnd w:id="60"/>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1" w:name="_Toc79163620"/>
      <w:bookmarkStart w:id="62" w:name="_Toc15377216"/>
      <w:bookmarkStart w:id="63" w:name="_Toc79163870"/>
      <w:r>
        <w:rPr>
          <w:rFonts w:hint="eastAsia" w:ascii="仿宋" w:hAnsi="仿宋" w:eastAsia="仿宋"/>
          <w:b/>
          <w:color w:val="000000"/>
          <w:sz w:val="32"/>
          <w:szCs w:val="32"/>
        </w:rPr>
        <w:t>（一）“三公”经费财政拨款支出决算总体情况说明</w:t>
      </w:r>
      <w:bookmarkEnd w:id="61"/>
      <w:bookmarkEnd w:id="62"/>
      <w:bookmarkEnd w:id="63"/>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4.9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按照预算数执行</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4" w:name="_Toc79163621"/>
      <w:bookmarkStart w:id="65" w:name="_Toc15377217"/>
      <w:bookmarkStart w:id="66" w:name="_Toc79163871"/>
      <w:r>
        <w:rPr>
          <w:rFonts w:hint="eastAsia" w:ascii="仿宋" w:hAnsi="仿宋" w:eastAsia="仿宋"/>
          <w:b/>
          <w:color w:val="000000"/>
          <w:sz w:val="32"/>
          <w:szCs w:val="32"/>
        </w:rPr>
        <w:t>（二）“三公”经费财政拨款支出决算具体情况说明</w:t>
      </w:r>
      <w:bookmarkEnd w:id="64"/>
      <w:bookmarkEnd w:id="65"/>
      <w:bookmarkEnd w:id="66"/>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具体情况如下：</w:t>
      </w:r>
    </w:p>
    <w:p>
      <w:pPr>
        <w:pStyle w:val="2"/>
        <w:rPr>
          <w:rFonts w:hint="default"/>
          <w:lang w:val="en-US" w:eastAsia="zh-CN"/>
        </w:rPr>
      </w:pPr>
      <w:r>
        <w:rPr>
          <w:rFonts w:hint="default"/>
          <w:lang w:val="en-US" w:eastAsia="zh-CN"/>
        </w:rP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2"/>
        <w:rPr>
          <w:rFonts w:hint="default"/>
          <w:lang w:val="en-US" w:eastAsia="zh-CN"/>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2021年与2022年均无因公出国（境）经费支出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4.9</w:t>
      </w:r>
      <w:r>
        <w:rPr>
          <w:rFonts w:hint="eastAsia" w:ascii="仿宋_GB2312" w:eastAsia="仿宋_GB2312"/>
          <w:b w:val="0"/>
          <w:bCs/>
          <w:color w:val="000000"/>
          <w:sz w:val="32"/>
          <w:szCs w:val="32"/>
        </w:rPr>
        <w:t>万</w:t>
      </w:r>
      <w:r>
        <w:rPr>
          <w:rFonts w:hint="eastAsia" w:ascii="仿宋_GB2312" w:eastAsia="仿宋_GB2312"/>
          <w:color w:val="000000"/>
          <w:sz w:val="32"/>
          <w:szCs w:val="32"/>
        </w:rPr>
        <w:t>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lang w:val="en-US" w:eastAsia="zh-CN"/>
        </w:rPr>
        <w:t>减少4.18</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下降46.05%</w:t>
      </w:r>
      <w:r>
        <w:rPr>
          <w:rFonts w:hint="eastAsia" w:ascii="仿宋_GB2312" w:eastAsia="仿宋_GB2312"/>
          <w:color w:val="000000"/>
          <w:sz w:val="32"/>
          <w:szCs w:val="32"/>
        </w:rPr>
        <w:t>。主要原因是维修次数减少，经费减少。</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主要用于车辆日常所需的维修费、过路费、保险费等支出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2021年与2022年均无公务接待费支出</w:t>
      </w:r>
      <w:r>
        <w:rPr>
          <w:rFonts w:hint="eastAsia" w:ascii="仿宋_GB2312" w:eastAsia="仿宋_GB2312"/>
          <w:color w:val="000000"/>
          <w:sz w:val="32"/>
          <w:szCs w:val="32"/>
        </w:rPr>
        <w:t>。其中：</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rPr>
      </w:pPr>
      <w:bookmarkStart w:id="67" w:name="_Toc15396610"/>
      <w:bookmarkStart w:id="68" w:name="_Toc79163622"/>
      <w:bookmarkStart w:id="69" w:name="_Toc79163872"/>
      <w:bookmarkStart w:id="70"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67"/>
      <w:bookmarkEnd w:id="68"/>
      <w:bookmarkEnd w:id="69"/>
      <w:bookmarkEnd w:id="70"/>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pPr>
        <w:pageBreakBefore w:val="0"/>
        <w:widowControl w:val="0"/>
        <w:numPr>
          <w:ilvl w:val="0"/>
          <w:numId w:val="2"/>
        </w:numPr>
        <w:kinsoku/>
        <w:wordWrap/>
        <w:overflowPunct/>
        <w:topLinePunct w:val="0"/>
        <w:bidi w:val="0"/>
        <w:spacing w:line="560" w:lineRule="exact"/>
        <w:ind w:firstLine="640"/>
        <w:textAlignment w:val="auto"/>
        <w:outlineLvl w:val="1"/>
        <w:rPr>
          <w:rStyle w:val="29"/>
          <w:rFonts w:ascii="黑体" w:hAnsi="黑体" w:eastAsia="黑体"/>
          <w:b w:val="0"/>
        </w:rPr>
      </w:pPr>
      <w:bookmarkStart w:id="71" w:name="_Toc15377219"/>
      <w:bookmarkStart w:id="72" w:name="_Toc79163623"/>
      <w:bookmarkStart w:id="73" w:name="_Toc79163873"/>
      <w:bookmarkStart w:id="74" w:name="_Toc15396611"/>
      <w:r>
        <w:rPr>
          <w:rStyle w:val="29"/>
          <w:rFonts w:hint="eastAsia" w:ascii="黑体" w:hAnsi="黑体" w:eastAsia="黑体"/>
          <w:b w:val="0"/>
        </w:rPr>
        <w:t>国有资本经营预算支出决算情况说明</w:t>
      </w:r>
      <w:bookmarkEnd w:id="71"/>
      <w:bookmarkEnd w:id="72"/>
      <w:bookmarkEnd w:id="73"/>
      <w:bookmarkEnd w:id="74"/>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pPr>
        <w:pageBreakBefore w:val="0"/>
        <w:widowControl w:val="0"/>
        <w:kinsoku/>
        <w:wordWrap/>
        <w:overflowPunct/>
        <w:topLinePunct w:val="0"/>
        <w:bidi w:val="0"/>
        <w:spacing w:line="560" w:lineRule="exact"/>
        <w:ind w:firstLine="800" w:firstLineChars="250"/>
        <w:textAlignment w:val="auto"/>
        <w:outlineLvl w:val="1"/>
        <w:rPr>
          <w:rStyle w:val="29"/>
          <w:rFonts w:ascii="黑体" w:hAnsi="黑体" w:eastAsia="黑体"/>
        </w:rPr>
      </w:pPr>
      <w:bookmarkStart w:id="75" w:name="_Toc79163874"/>
      <w:bookmarkStart w:id="76" w:name="_Toc15377221"/>
      <w:bookmarkStart w:id="77" w:name="_Toc15396612"/>
      <w:bookmarkStart w:id="78" w:name="_Toc7916362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75"/>
      <w:bookmarkEnd w:id="76"/>
      <w:bookmarkEnd w:id="77"/>
      <w:bookmarkEnd w:id="78"/>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79" w:name="_Toc79163625"/>
      <w:bookmarkStart w:id="80" w:name="_Toc15377222"/>
      <w:bookmarkStart w:id="81" w:name="_Toc79163875"/>
      <w:r>
        <w:rPr>
          <w:rFonts w:hint="eastAsia" w:ascii="仿宋" w:hAnsi="仿宋" w:eastAsia="仿宋"/>
          <w:b/>
          <w:color w:val="000000"/>
          <w:sz w:val="32"/>
          <w:szCs w:val="32"/>
        </w:rPr>
        <w:t>（一）机关运行经费支出情况</w:t>
      </w:r>
      <w:bookmarkEnd w:id="79"/>
      <w:bookmarkEnd w:id="80"/>
      <w:bookmarkEnd w:id="81"/>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22.13</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lang w:val="en-US" w:eastAsia="zh-CN"/>
        </w:rPr>
        <w:t>减少2.35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w:t>
      </w:r>
      <w:r>
        <w:rPr>
          <w:rFonts w:hint="eastAsia" w:ascii="仿宋_GB2312" w:eastAsia="仿宋_GB2312"/>
          <w:color w:val="000000"/>
          <w:sz w:val="32"/>
          <w:szCs w:val="32"/>
        </w:rPr>
        <w:t>9.59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。主要原因是人员减少，机关运行经费减少</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2" w:name="_Toc79163626"/>
      <w:bookmarkStart w:id="83" w:name="_Toc15377223"/>
      <w:bookmarkStart w:id="84" w:name="_Toc79163876"/>
      <w:r>
        <w:rPr>
          <w:rFonts w:hint="eastAsia" w:ascii="仿宋" w:hAnsi="仿宋" w:eastAsia="仿宋"/>
          <w:b/>
          <w:color w:val="000000"/>
          <w:sz w:val="32"/>
          <w:szCs w:val="32"/>
        </w:rPr>
        <w:t>（二）政府采购支出情况</w:t>
      </w:r>
      <w:bookmarkEnd w:id="82"/>
      <w:bookmarkEnd w:id="83"/>
      <w:bookmarkEnd w:id="84"/>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5" w:name="_Toc15377224"/>
      <w:bookmarkStart w:id="86" w:name="_Toc79163877"/>
      <w:bookmarkStart w:id="87" w:name="_Toc79163627"/>
      <w:r>
        <w:rPr>
          <w:rFonts w:hint="eastAsia" w:ascii="仿宋" w:hAnsi="仿宋" w:eastAsia="仿宋"/>
          <w:b/>
          <w:color w:val="000000"/>
          <w:sz w:val="32"/>
          <w:szCs w:val="32"/>
        </w:rPr>
        <w:t>（三）国有资产占有使用情况</w:t>
      </w:r>
      <w:bookmarkEnd w:id="85"/>
      <w:bookmarkEnd w:id="86"/>
      <w:bookmarkEnd w:id="87"/>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8" w:name="_Toc79163628"/>
      <w:bookmarkStart w:id="89" w:name="_Toc79163878"/>
      <w:r>
        <w:rPr>
          <w:rFonts w:hint="eastAsia" w:ascii="仿宋" w:hAnsi="仿宋" w:eastAsia="仿宋"/>
          <w:b/>
          <w:color w:val="000000"/>
          <w:sz w:val="32"/>
          <w:szCs w:val="32"/>
        </w:rPr>
        <w:t>（四）预算绩效管理情况。</w:t>
      </w:r>
      <w:bookmarkEnd w:id="88"/>
      <w:bookmarkEnd w:id="89"/>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部门整体支出开展绩效自评，从评价情况来看我</w:t>
      </w:r>
      <w:r>
        <w:rPr>
          <w:rFonts w:hint="eastAsia" w:ascii="仿宋_GB2312" w:hAnsi="仿宋_GB2312" w:eastAsia="仿宋_GB2312" w:cs="仿宋_GB2312"/>
          <w:sz w:val="32"/>
          <w:szCs w:val="32"/>
          <w:lang w:eastAsia="zh-CN"/>
        </w:rPr>
        <w:t>单位2022年</w:t>
      </w:r>
      <w:r>
        <w:rPr>
          <w:rFonts w:hint="eastAsia" w:ascii="仿宋_GB2312" w:hAnsi="仿宋_GB2312" w:eastAsia="仿宋_GB2312" w:cs="仿宋_GB2312"/>
          <w:sz w:val="32"/>
          <w:szCs w:val="32"/>
        </w:rPr>
        <w:t>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度部门决算中反映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个以下的，全部进行公开，公开内容包括选取的全部项目完成情况综述和完成情况表）。</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部门整体支出绩效评价情况开展自评，《</w:t>
      </w:r>
      <w:r>
        <w:rPr>
          <w:rFonts w:hint="eastAsia" w:ascii="仿宋_GB2312" w:hAnsi="仿宋_GB2312" w:eastAsia="仿宋_GB2312" w:cs="仿宋_GB2312"/>
          <w:sz w:val="32"/>
          <w:szCs w:val="32"/>
          <w:lang w:eastAsia="zh-CN"/>
        </w:rPr>
        <w:t>阿坝州壤塘县三郎寺寺庙管理委员会2022年</w:t>
      </w:r>
      <w:r>
        <w:rPr>
          <w:rFonts w:hint="eastAsia" w:ascii="仿宋_GB2312" w:hAnsi="仿宋_GB2312" w:eastAsia="仿宋_GB2312" w:cs="仿宋_GB2312"/>
          <w:sz w:val="32"/>
          <w:szCs w:val="32"/>
        </w:rPr>
        <w:t>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项目开展了绩效评价。</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8"/>
          <w:rFonts w:ascii="黑体" w:hAnsi="黑体" w:eastAsia="黑体"/>
          <w:b w:val="0"/>
        </w:rPr>
      </w:pPr>
      <w:bookmarkStart w:id="90" w:name="_Toc79163879"/>
      <w:bookmarkStart w:id="91" w:name="_Toc15396613"/>
      <w:bookmarkStart w:id="92" w:name="_Toc79163629"/>
      <w:bookmarkStart w:id="93"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90"/>
      <w:bookmarkEnd w:id="91"/>
      <w:bookmarkEnd w:id="92"/>
      <w:bookmarkEnd w:id="93"/>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8"/>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8"/>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民族事务（款）行政运行（项）：反映行政单位（包括实行公务员管理的事业单位）的基本支出。</w:t>
      </w:r>
    </w:p>
    <w:p>
      <w:pPr>
        <w:pStyle w:val="38"/>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民族事务（款）一般行政管理事务（项）：反映行政单位（包括实行公务员管理的事业单位）未单独设置项级科目的其他项目支出。</w:t>
      </w:r>
    </w:p>
    <w:p>
      <w:pPr>
        <w:pStyle w:val="38"/>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11.</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民族事务（款）民族工作专项（项）：反映用于民族事务管理方面的支出。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.社会保障和就业（类）行政事业单位养老支出（款）机关事业单位基本养老保险缴费支出（项）：指机关事业单位实施养老保险制度由单位缴纳的基本养老保险费支出。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 社会保障和就业（类）行政事业单位养老支出（款）机关事业单位职业年金缴费支出（项）：指机关事业单位养老保险制度由单位缴纳的职业年金支出。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.卫生健康支出（类）行政事业单位医疗（款）事业单位医疗（项）：指财政部门集中安排的事业单位基本医疗保险缴费。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.住房保障（类）住房改革（款）住房公积金（项）：指行政事业单位按规定的标准和比例为职工缴纳的住房公积金。</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.基本支出：指为保障机构正常运转、完成日常工作任务而发生的人员支出和公用支出。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.项目支出：指在基本支出之外为完成特定行政任务和事业发展目标所发生的支出。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8"/>
          <w:rFonts w:ascii="黑体" w:hAnsi="黑体" w:eastAsia="黑体"/>
          <w:b w:val="0"/>
        </w:rPr>
      </w:pPr>
      <w:bookmarkStart w:id="94" w:name="_Toc15377226"/>
      <w:r>
        <w:rPr>
          <w:rFonts w:ascii="宋体"/>
          <w:b/>
          <w:color w:val="000000"/>
          <w:sz w:val="44"/>
          <w:szCs w:val="44"/>
        </w:rPr>
        <w:br w:type="page"/>
      </w:r>
      <w:bookmarkStart w:id="95" w:name="_Toc79163880"/>
      <w:bookmarkStart w:id="96" w:name="_Toc79163630"/>
      <w:bookmarkStart w:id="97" w:name="_Toc15396614"/>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95"/>
      <w:bookmarkEnd w:id="96"/>
      <w:bookmarkEnd w:id="97"/>
    </w:p>
    <w:p>
      <w:pPr>
        <w:spacing w:line="600" w:lineRule="exact"/>
        <w:jc w:val="left"/>
        <w:outlineLvl w:val="0"/>
        <w:rPr>
          <w:rFonts w:ascii="方正小标宋简体" w:hAnsi="方正小标宋简体" w:eastAsia="方正小标宋简体" w:cs="方正小标宋简体"/>
          <w:sz w:val="32"/>
          <w:szCs w:val="32"/>
        </w:rPr>
      </w:pPr>
      <w:bookmarkStart w:id="98" w:name="_Toc79163881"/>
      <w:bookmarkStart w:id="99" w:name="_Toc79163631"/>
      <w:r>
        <w:rPr>
          <w:rFonts w:hint="eastAsia" w:ascii="黑体" w:hAnsi="黑体" w:eastAsia="黑体" w:cs="黑体"/>
          <w:sz w:val="32"/>
          <w:szCs w:val="32"/>
        </w:rPr>
        <w:t>附件</w:t>
      </w:r>
      <w:r>
        <w:rPr>
          <w:rFonts w:ascii="黑体" w:hAnsi="黑体" w:eastAsia="黑体" w:cs="黑体"/>
          <w:sz w:val="32"/>
          <w:szCs w:val="32"/>
        </w:rPr>
        <w:t>1</w:t>
      </w:r>
      <w:bookmarkEnd w:id="98"/>
      <w:bookmarkEnd w:id="99"/>
    </w:p>
    <w:p>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壤塘县三郎寺寺庙管理委员会</w:t>
      </w:r>
    </w:p>
    <w:p>
      <w:pPr>
        <w:spacing w:line="360" w:lineRule="auto"/>
        <w:jc w:val="center"/>
        <w:rPr>
          <w:rFonts w:ascii="宋体" w:hAnsi="宋体" w:cs="宋体"/>
          <w:b/>
          <w:bCs/>
          <w:kern w:val="0"/>
          <w:sz w:val="44"/>
          <w:szCs w:val="44"/>
        </w:rPr>
      </w:pPr>
      <w:r>
        <w:rPr>
          <w:rFonts w:hint="eastAsia" w:ascii="宋体" w:hAnsi="宋体" w:cs="宋体"/>
          <w:b/>
          <w:bCs/>
          <w:kern w:val="0"/>
          <w:sz w:val="44"/>
          <w:szCs w:val="44"/>
        </w:rPr>
        <w:t>2022年度部门整体支出绩效评价自评报告</w:t>
      </w:r>
    </w:p>
    <w:p>
      <w:pPr>
        <w:spacing w:line="360" w:lineRule="auto"/>
        <w:jc w:val="center"/>
        <w:rPr>
          <w:rFonts w:ascii="宋体" w:hAnsi="宋体" w:cs="宋体"/>
          <w:kern w:val="0"/>
          <w:szCs w:val="21"/>
        </w:rPr>
      </w:pPr>
    </w:p>
    <w:p>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壤塘县三郎寺寺庙管理委员会机构性质：机关，机构地址：四川省壤塘县南木达镇谐多街5号，单位负责人：张世钊。</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壤塘县三郎寺寺庙管理委员会</w:t>
      </w:r>
      <w:r>
        <w:rPr>
          <w:rFonts w:hint="eastAsia" w:ascii="仿宋_GB2312" w:hAnsi="仿宋_GB2312" w:eastAsia="仿宋_GB2312" w:cs="仿宋_GB2312"/>
          <w:color w:val="auto"/>
          <w:sz w:val="32"/>
          <w:szCs w:val="32"/>
        </w:rPr>
        <w:t>共有1个股室，办公室</w:t>
      </w:r>
      <w:r>
        <w:rPr>
          <w:rFonts w:hint="eastAsia" w:ascii="仿宋_GB2312" w:hAnsi="仿宋_GB2312" w:eastAsia="仿宋_GB2312" w:cs="仿宋_GB2312"/>
          <w:sz w:val="32"/>
          <w:szCs w:val="32"/>
        </w:rPr>
        <w:t>。</w:t>
      </w:r>
    </w:p>
    <w:p>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依法加强寺庙宗教事务管理：一是加强寺庙管理。规范寺庙建设，严格落实寺庙建设“五评一审”制度，加强寺庙财务收支、文物保护等工作；二是加强僧人管理。健全完善并及时更新僧人基本信息台账，完善僧人证信息采集，僧人办理僧人证并持证住寺，严格落实僧人外出请销假制度。</w:t>
      </w:r>
    </w:p>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lang w:val="en-US" w:eastAsia="zh-CN"/>
        </w:rPr>
      </w:pPr>
      <w:r>
        <w:rPr>
          <w:rFonts w:hint="eastAsia"/>
          <w:sz w:val="32"/>
          <w:szCs w:val="32"/>
          <w:lang w:val="en-US" w:eastAsia="zh-CN"/>
        </w:rPr>
        <w:t>加强教育引导：增强僧人国家意识、法治意识、公民意识，坚持不懈加强对僧人的教育引导。一是完善教育制度。把寺庙爱国主义教育和法治宣传教育常态化、制度化，引导僧人坚定不移守法持戒、爱国爱教；二是丰富教育。开展法治教育、政策教育、爱国教育、团结教育、教规教育。</w:t>
      </w:r>
    </w:p>
    <w:p>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人员情况：总编制6名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行政编制5人、行政工勤1人</w:t>
      </w:r>
      <w:r>
        <w:rPr>
          <w:rFonts w:hint="eastAsia" w:ascii="仿宋_GB2312" w:hAnsi="仿宋_GB2312" w:eastAsia="仿宋_GB2312" w:cs="仿宋_GB2312"/>
          <w:sz w:val="32"/>
          <w:szCs w:val="32"/>
        </w:rPr>
        <w:t>。</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2022年财政下达壤塘县三郎寺寺庙管理委员会年初预算收入</w:t>
      </w:r>
      <w:r>
        <w:rPr>
          <w:rFonts w:hint="eastAsia" w:ascii="仿宋_GB2312" w:hAnsi="仿宋_GB2312" w:eastAsia="仿宋_GB2312" w:cs="仿宋_GB2312"/>
          <w:sz w:val="32"/>
          <w:szCs w:val="32"/>
          <w:lang w:val="en-US" w:eastAsia="zh-CN"/>
        </w:rPr>
        <w:t>156.96</w:t>
      </w:r>
      <w:r>
        <w:rPr>
          <w:rFonts w:hint="eastAsia" w:ascii="仿宋_GB2312" w:hAnsi="仿宋_GB2312" w:eastAsia="仿宋_GB2312" w:cs="仿宋_GB2312"/>
          <w:sz w:val="32"/>
          <w:szCs w:val="32"/>
        </w:rPr>
        <w:t>万元，执行期中追加收入</w:t>
      </w:r>
      <w:r>
        <w:rPr>
          <w:rFonts w:ascii="仿宋_GB2312" w:hAnsi="仿宋_GB2312" w:eastAsia="仿宋_GB2312" w:cs="仿宋_GB2312"/>
          <w:sz w:val="32"/>
          <w:szCs w:val="32"/>
        </w:rPr>
        <w:t>54.76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全年实际收入合计为211.72万元，本年度无财政应返还额度</w:t>
      </w:r>
      <w:r>
        <w:rPr>
          <w:rFonts w:hint="eastAsia" w:ascii="仿宋_GB2312" w:hAnsi="仿宋_GB2312" w:eastAsia="仿宋_GB2312" w:cs="仿宋_GB2312"/>
          <w:sz w:val="32"/>
          <w:szCs w:val="32"/>
        </w:rPr>
        <w:t xml:space="preserve">。 </w:t>
      </w:r>
    </w:p>
    <w:p>
      <w:pPr>
        <w:pStyle w:val="44"/>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2022年壤塘县三郎寺寺庙管理委员会支出全年预算数共计</w:t>
      </w:r>
      <w:r>
        <w:rPr>
          <w:rFonts w:ascii="仿宋_GB2312" w:hAnsi="仿宋_GB2312" w:eastAsia="仿宋_GB2312" w:cs="仿宋_GB2312"/>
          <w:sz w:val="32"/>
          <w:szCs w:val="32"/>
        </w:rPr>
        <w:t>211.72</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173.13</w:t>
      </w:r>
      <w:r>
        <w:rPr>
          <w:rFonts w:hint="eastAsia" w:ascii="仿宋_GB2312" w:hAnsi="仿宋_GB2312" w:eastAsia="仿宋_GB2312" w:cs="仿宋_GB2312"/>
          <w:sz w:val="32"/>
          <w:szCs w:val="32"/>
        </w:rPr>
        <w:t>万元，项目支出</w:t>
      </w:r>
      <w:r>
        <w:rPr>
          <w:rFonts w:ascii="仿宋_GB2312" w:hAnsi="仿宋_GB2312" w:eastAsia="仿宋_GB2312" w:cs="仿宋_GB2312"/>
          <w:sz w:val="32"/>
          <w:szCs w:val="32"/>
        </w:rPr>
        <w:t>38.59</w:t>
      </w:r>
      <w:r>
        <w:rPr>
          <w:rFonts w:hint="eastAsia" w:ascii="仿宋_GB2312" w:hAnsi="仿宋_GB2312" w:eastAsia="仿宋_GB2312" w:cs="仿宋_GB2312"/>
          <w:sz w:val="32"/>
          <w:szCs w:val="32"/>
        </w:rPr>
        <w:t>万元。</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寺庙</w:t>
      </w:r>
      <w:r>
        <w:rPr>
          <w:rFonts w:hint="eastAsia" w:ascii="仿宋_GB2312" w:hAnsi="仿宋_GB2312" w:eastAsia="仿宋_GB2312" w:cs="仿宋_GB2312"/>
          <w:sz w:val="32"/>
          <w:szCs w:val="32"/>
        </w:rPr>
        <w:t>依法规范管理工作</w:t>
      </w:r>
    </w:p>
    <w:p>
      <w:pPr>
        <w:pStyle w:val="44"/>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）“两联一进”工作</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）“干部+僧人”新型民管会工作</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pPr>
        <w:keepNext w:val="0"/>
        <w:keepLines w:val="0"/>
        <w:widowControl w:val="0"/>
        <w:suppressLineNumbers w:val="0"/>
        <w:autoSpaceDE w:val="0"/>
        <w:autoSpaceDN/>
        <w:spacing w:before="0" w:beforeAutospacing="0" w:after="0" w:afterAutospacing="0" w:line="576" w:lineRule="exact"/>
        <w:ind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一是加强寺庙管理。</w:t>
      </w:r>
      <w:r>
        <w:rPr>
          <w:rFonts w:hint="default" w:ascii="仿宋_GB2312" w:hAnsi="Calibri" w:eastAsia="仿宋_GB2312" w:cs="仿宋_GB2312"/>
          <w:b w:val="0"/>
          <w:bCs w:val="0"/>
          <w:kern w:val="2"/>
          <w:sz w:val="32"/>
          <w:szCs w:val="32"/>
          <w:lang w:val="en-US" w:eastAsia="zh-CN" w:bidi="ar"/>
        </w:rPr>
        <w:t>持续加强</w:t>
      </w:r>
      <w:r>
        <w:rPr>
          <w:rFonts w:hint="eastAsia" w:ascii="仿宋_GB2312" w:hAnsi="Calibri" w:eastAsia="仿宋_GB2312" w:cs="仿宋_GB2312"/>
          <w:b w:val="0"/>
          <w:bCs w:val="0"/>
          <w:kern w:val="2"/>
          <w:sz w:val="32"/>
          <w:szCs w:val="32"/>
          <w:lang w:val="en-US" w:eastAsia="zh-CN" w:bidi="ar"/>
        </w:rPr>
        <w:t>寺庙场所管控，</w:t>
      </w:r>
      <w:r>
        <w:rPr>
          <w:rFonts w:hint="default" w:ascii="仿宋_GB2312" w:hAnsi="Calibri" w:eastAsia="仿宋_GB2312" w:cs="仿宋_GB2312"/>
          <w:b w:val="0"/>
          <w:bCs w:val="0"/>
          <w:kern w:val="2"/>
          <w:sz w:val="32"/>
          <w:szCs w:val="32"/>
          <w:lang w:val="en-US" w:eastAsia="zh-CN" w:bidi="ar"/>
        </w:rPr>
        <w:t>持续加强寺庙人员管控，持续加强对寺庙资金监管</w:t>
      </w:r>
      <w:r>
        <w:rPr>
          <w:rFonts w:hint="eastAsia" w:ascii="仿宋_GB2312" w:hAnsi="Calibri" w:eastAsia="仿宋_GB2312" w:cs="仿宋_GB2312"/>
          <w:b/>
          <w:bCs/>
          <w:kern w:val="2"/>
          <w:sz w:val="32"/>
          <w:szCs w:val="32"/>
          <w:lang w:val="en-US" w:eastAsia="zh-CN" w:bidi="ar"/>
        </w:rPr>
        <w:t>；</w:t>
      </w:r>
      <w:r>
        <w:rPr>
          <w:rFonts w:hint="default" w:ascii="仿宋_GB2312" w:hAnsi="Calibri" w:eastAsia="仿宋_GB2312" w:cs="仿宋_GB2312"/>
          <w:b/>
          <w:bCs/>
          <w:kern w:val="2"/>
          <w:sz w:val="32"/>
          <w:szCs w:val="32"/>
          <w:lang w:val="en-US" w:eastAsia="zh-CN" w:bidi="ar"/>
        </w:rPr>
        <w:t>二是加强僧人教育。</w:t>
      </w:r>
      <w:r>
        <w:rPr>
          <w:rFonts w:hint="default" w:ascii="仿宋_GB2312" w:hAnsi="Calibri" w:eastAsia="仿宋_GB2312" w:cs="仿宋_GB2312"/>
          <w:b w:val="0"/>
          <w:bCs w:val="0"/>
          <w:kern w:val="2"/>
          <w:sz w:val="32"/>
          <w:szCs w:val="32"/>
          <w:lang w:val="en-US" w:eastAsia="zh-CN" w:bidi="ar"/>
        </w:rPr>
        <w:t>增强僧人</w:t>
      </w:r>
      <w:r>
        <w:rPr>
          <w:rFonts w:hint="eastAsia" w:ascii="仿宋_GB2312" w:hAnsi="Calibri" w:eastAsia="仿宋_GB2312" w:cs="仿宋_GB2312"/>
          <w:b w:val="0"/>
          <w:bCs w:val="0"/>
          <w:kern w:val="2"/>
          <w:sz w:val="32"/>
          <w:szCs w:val="32"/>
          <w:lang w:val="en-US" w:eastAsia="zh-CN" w:bidi="ar"/>
        </w:rPr>
        <w:t>国家意识、法治</w:t>
      </w:r>
      <w:r>
        <w:rPr>
          <w:rFonts w:hint="default" w:ascii="仿宋_GB2312" w:hAnsi="Calibri" w:eastAsia="仿宋_GB2312" w:cs="仿宋_GB2312"/>
          <w:b w:val="0"/>
          <w:bCs w:val="0"/>
          <w:kern w:val="2"/>
          <w:sz w:val="32"/>
          <w:szCs w:val="32"/>
          <w:lang w:val="en-US" w:eastAsia="zh-CN" w:bidi="ar"/>
        </w:rPr>
        <w:t>意识、公民意识，坚持不懈加强对僧人的教育引导。把寺庙爱国主义教育和法治教育常态化、制度化，引导僧人坚定不移守法持戒、爱国爱教</w:t>
      </w:r>
      <w:r>
        <w:rPr>
          <w:rFonts w:hint="eastAsia" w:ascii="仿宋_GB2312" w:hAnsi="Calibri" w:eastAsia="仿宋_GB2312" w:cs="仿宋_GB2312"/>
          <w:b w:val="0"/>
          <w:bCs w:val="0"/>
          <w:kern w:val="2"/>
          <w:sz w:val="32"/>
          <w:szCs w:val="32"/>
          <w:lang w:val="en-US" w:eastAsia="zh-CN" w:bidi="ar"/>
        </w:rPr>
        <w:t>；</w:t>
      </w:r>
      <w:r>
        <w:rPr>
          <w:rFonts w:hint="default" w:ascii="仿宋_GB2312" w:hAnsi="Calibri" w:eastAsia="仿宋_GB2312" w:cs="仿宋_GB2312"/>
          <w:b/>
          <w:bCs/>
          <w:kern w:val="2"/>
          <w:sz w:val="32"/>
          <w:szCs w:val="32"/>
          <w:lang w:val="en-US" w:eastAsia="zh-CN" w:bidi="ar"/>
        </w:rPr>
        <w:t>三是加强公共服务。</w:t>
      </w:r>
      <w:r>
        <w:rPr>
          <w:rFonts w:hint="default" w:ascii="仿宋_GB2312" w:hAnsi="Calibri" w:eastAsia="仿宋_GB2312" w:cs="仿宋_GB2312"/>
          <w:b w:val="0"/>
          <w:bCs w:val="0"/>
          <w:kern w:val="2"/>
          <w:sz w:val="32"/>
          <w:szCs w:val="32"/>
          <w:lang w:val="en-US" w:eastAsia="zh-CN" w:bidi="ar"/>
        </w:rPr>
        <w:t>坚决执行“寺庙是基本社会单元，僧人是基本社会公民”的重要论述，充分保障寺庙和僧人普惠性待遇。落实符合条件僧人的低保求助、五保供养政策，解决好僧人的现实困难；统筹争取推进寺庙地灾防治工作，解决好寺庙的现实困难</w:t>
      </w:r>
      <w:r>
        <w:rPr>
          <w:rFonts w:hint="eastAsia" w:ascii="仿宋_GB2312" w:hAnsi="Calibri" w:eastAsia="仿宋_GB2312" w:cs="仿宋_GB2312"/>
          <w:b w:val="0"/>
          <w:bCs w:val="0"/>
          <w:kern w:val="2"/>
          <w:sz w:val="32"/>
          <w:szCs w:val="32"/>
          <w:lang w:val="en-US" w:eastAsia="zh-CN" w:bidi="ar"/>
        </w:rPr>
        <w:t>；</w:t>
      </w:r>
      <w:r>
        <w:rPr>
          <w:rFonts w:hint="eastAsia" w:ascii="仿宋_GB2312" w:hAnsi="Calibri" w:eastAsia="仿宋_GB2312" w:cs="仿宋_GB2312"/>
          <w:b/>
          <w:bCs/>
          <w:kern w:val="2"/>
          <w:sz w:val="32"/>
          <w:szCs w:val="32"/>
          <w:lang w:val="en-US" w:eastAsia="zh-CN" w:bidi="ar"/>
        </w:rPr>
        <w:t>四</w:t>
      </w:r>
      <w:r>
        <w:rPr>
          <w:rFonts w:hint="default" w:ascii="仿宋_GB2312" w:hAnsi="Calibri" w:eastAsia="仿宋_GB2312" w:cs="仿宋_GB2312"/>
          <w:b/>
          <w:bCs/>
          <w:kern w:val="2"/>
          <w:sz w:val="32"/>
          <w:szCs w:val="32"/>
          <w:lang w:val="en-US" w:eastAsia="zh-CN" w:bidi="ar"/>
        </w:rPr>
        <w:t>是加强工作创新。</w:t>
      </w:r>
      <w:r>
        <w:rPr>
          <w:rFonts w:hint="default" w:ascii="仿宋_GB2312" w:hAnsi="Calibri" w:eastAsia="仿宋_GB2312" w:cs="仿宋_GB2312"/>
          <w:b w:val="0"/>
          <w:bCs w:val="0"/>
          <w:kern w:val="2"/>
          <w:sz w:val="32"/>
          <w:szCs w:val="32"/>
          <w:lang w:val="en-US" w:eastAsia="zh-CN" w:bidi="ar"/>
        </w:rPr>
        <w:t>积极探索“干部+僧人”的新型民管会管理模式，落实专人入寺担任寺庙专职副主任，推动寺庙管理干部和寺庙及僧尼关系进一步融洽，达到相互沟通、相互信任、相互支持，各项工作有序推进、向好发展。</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pPr>
        <w:pStyle w:val="44"/>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壤塘县三郎寺寺庙管理委员会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156.96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执行期间根据工作安排和开展情况追加收入54.76万元，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211.72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年末无结转结余，</w:t>
      </w:r>
      <w:r>
        <w:rPr>
          <w:rFonts w:ascii="仿宋_GB2312" w:hAnsi="仿宋_GB2312" w:eastAsia="仿宋_GB2312" w:cs="仿宋_GB2312"/>
          <w:sz w:val="32"/>
          <w:szCs w:val="32"/>
        </w:rPr>
        <w:t>预算安排</w:t>
      </w:r>
      <w:r>
        <w:rPr>
          <w:rFonts w:hint="eastAsia" w:ascii="仿宋_GB2312" w:hAnsi="仿宋_GB2312" w:eastAsia="仿宋_GB2312" w:cs="仿宋_GB2312"/>
          <w:sz w:val="32"/>
          <w:szCs w:val="32"/>
          <w:lang w:val="en-US" w:eastAsia="zh-CN"/>
        </w:rPr>
        <w:t>不</w:t>
      </w:r>
      <w:r>
        <w:rPr>
          <w:rFonts w:ascii="仿宋_GB2312" w:hAnsi="仿宋_GB2312" w:eastAsia="仿宋_GB2312" w:cs="仿宋_GB2312"/>
          <w:sz w:val="32"/>
          <w:szCs w:val="32"/>
        </w:rPr>
        <w:t>为准确。</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2022年壤塘县三郎寺寺庙管理委员会财政拨款执行数</w:t>
      </w:r>
      <w:r>
        <w:rPr>
          <w:rFonts w:ascii="仿宋_GB2312" w:hAnsi="仿宋_GB2312" w:eastAsia="仿宋_GB2312" w:cs="仿宋_GB2312"/>
          <w:sz w:val="32"/>
          <w:szCs w:val="32"/>
        </w:rPr>
        <w:t>211.72</w:t>
      </w:r>
      <w:r>
        <w:rPr>
          <w:rFonts w:hint="eastAsia" w:ascii="仿宋_GB2312" w:hAnsi="仿宋_GB2312" w:eastAsia="仿宋_GB2312" w:cs="仿宋_GB2312"/>
          <w:sz w:val="32"/>
          <w:szCs w:val="32"/>
        </w:rPr>
        <w:t>万元，财政拨款调整预算数211.72万元，部门总体执行进度</w:t>
      </w:r>
      <w:r>
        <w:rPr>
          <w:rFonts w:hint="eastAsia" w:ascii="仿宋_GB2312" w:hAnsi="仿宋_GB2312" w:eastAsia="仿宋_GB2312" w:cs="仿宋_GB2312"/>
          <w:sz w:val="32"/>
          <w:szCs w:val="32"/>
          <w:lang w:val="en-US" w:eastAsia="zh-CN"/>
        </w:rPr>
        <w:t>较高</w:t>
      </w:r>
      <w:r>
        <w:rPr>
          <w:rFonts w:hint="eastAsia" w:ascii="仿宋_GB2312" w:hAnsi="仿宋_GB2312" w:eastAsia="仿宋_GB2312" w:cs="仿宋_GB2312"/>
          <w:sz w:val="32"/>
          <w:szCs w:val="32"/>
        </w:rPr>
        <w:t>。</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pPr>
        <w:pStyle w:val="44"/>
        <w:spacing w:line="360" w:lineRule="auto"/>
        <w:ind w:firstLine="640"/>
        <w:rPr>
          <w:rFonts w:ascii="仿宋_GB2312" w:hAnsi="仿宋_GB2312" w:eastAsia="仿宋_GB2312" w:cs="仿宋_GB2312"/>
          <w:b/>
          <w:bCs/>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壤塘县三郎寺寺庙管理委员</w:t>
      </w:r>
      <w:bookmarkStart w:id="144" w:name="_GoBack"/>
      <w:r>
        <w:rPr>
          <w:rFonts w:hint="eastAsia" w:ascii="仿宋_GB2312" w:hAnsi="仿宋_GB2312" w:eastAsia="仿宋_GB2312" w:cs="仿宋_GB2312"/>
          <w:sz w:val="32"/>
          <w:szCs w:val="32"/>
        </w:rPr>
        <w:t>会</w:t>
      </w:r>
      <w:bookmarkEnd w:id="144"/>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156.96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执行期间根据工作安排和开展情况追加收入54.76万元，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211.72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，预算完成进度为100%，预算完成度较高。</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截至2022年12月31日，我单位无违规纪录情况。</w:t>
      </w:r>
    </w:p>
    <w:p>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三郎寺寺庙管理委员会2022年“三公”经费预算5万元，决算支出4.9万元。其中公务用车购置及运行维护费预算5万元，决算支出4.9万元（其中公务用车运行维护费4.9万元）,未发生因公出国（境）费及公务接待费，2022年“三公”经费决算均未超过预算。</w:t>
      </w:r>
    </w:p>
    <w:p>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采购规范性。壤塘县三郎寺寺庙管理委员会2022年度政府采购货物支出0万元，政府采购工程支出0万元，政府采购服务支出0万元。</w:t>
      </w:r>
    </w:p>
    <w:p>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固定资产在用率。截止2022年12月31日，壤塘县三郎寺寺庙管理委员会《行政单位资产管理系统》固定资产总计40.32万元，在用的固定资产总计40.32万元，固定资产在用率达100%。</w:t>
      </w:r>
    </w:p>
    <w:p>
      <w:pPr>
        <w:pStyle w:val="44"/>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pPr>
        <w:pStyle w:val="44"/>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各项工作的正常运转。</w:t>
      </w:r>
    </w:p>
    <w:p>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44"/>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委将继续努力，科学合理编制预决算，进行绩效评价，加强精细管理，完善不足</w:t>
      </w:r>
      <w:r>
        <w:rPr>
          <w:rFonts w:hint="eastAsia" w:ascii="仿宋_GB2312" w:hAnsi="仿宋_GB2312" w:eastAsia="仿宋_GB2312" w:cs="仿宋_GB2312"/>
          <w:sz w:val="32"/>
          <w:szCs w:val="32"/>
        </w:rPr>
        <w:t>。</w:t>
      </w:r>
    </w:p>
    <w:p>
      <w:pPr>
        <w:pStyle w:val="44"/>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执行期间根据工作安排和开展情况追加收入较多，年初预算数与调整预算数差别较大，预算安排不为准确</w:t>
      </w:r>
      <w:r>
        <w:rPr>
          <w:rFonts w:hint="eastAsia" w:ascii="仿宋_GB2312" w:hAnsi="仿宋_GB2312" w:eastAsia="仿宋_GB2312" w:cs="仿宋_GB2312"/>
          <w:sz w:val="32"/>
          <w:szCs w:val="32"/>
          <w:lang w:val="zh-CN"/>
        </w:rPr>
        <w:t>。</w:t>
      </w:r>
    </w:p>
    <w:p>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pPr>
        <w:pStyle w:val="44"/>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加强预算安排准确性，尽量减少执行中期追加数。</w:t>
      </w:r>
    </w:p>
    <w:p>
      <w:pPr>
        <w:pStyle w:val="2"/>
        <w:ind w:left="0" w:leftChars="0" w:firstLine="0" w:firstLineChars="0"/>
      </w:pPr>
    </w:p>
    <w:p>
      <w:pPr>
        <w:spacing w:line="600" w:lineRule="exact"/>
        <w:jc w:val="center"/>
        <w:outlineLvl w:val="0"/>
        <w:rPr>
          <w:rStyle w:val="28"/>
          <w:rFonts w:ascii="黑体" w:hAnsi="黑体" w:eastAsia="黑体"/>
          <w:b w:val="0"/>
        </w:rPr>
      </w:pPr>
      <w:bookmarkStart w:id="100" w:name="_Toc79163635"/>
      <w:bookmarkStart w:id="101" w:name="_Toc15396618"/>
      <w:bookmarkStart w:id="102" w:name="_Toc79163885"/>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94"/>
      <w:bookmarkEnd w:id="100"/>
      <w:bookmarkEnd w:id="101"/>
      <w:bookmarkEnd w:id="102"/>
    </w:p>
    <w:p>
      <w:pPr>
        <w:pStyle w:val="4"/>
        <w:rPr>
          <w:rFonts w:ascii="仿宋" w:hAnsi="仿宋" w:eastAsia="仿宋"/>
          <w:color w:val="000000"/>
        </w:rPr>
      </w:pPr>
      <w:bookmarkStart w:id="103" w:name="_Toc15396619"/>
      <w:bookmarkStart w:id="104" w:name="_Toc79163636"/>
      <w:bookmarkStart w:id="105" w:name="_Toc79163886"/>
      <w:r>
        <w:rPr>
          <w:rFonts w:hint="eastAsia" w:ascii="仿宋" w:hAnsi="仿宋" w:eastAsia="仿宋"/>
          <w:b w:val="0"/>
          <w:color w:val="000000"/>
        </w:rPr>
        <w:t>一、收</w:t>
      </w:r>
      <w:r>
        <w:rPr>
          <w:rStyle w:val="29"/>
          <w:rFonts w:hint="eastAsia" w:ascii="仿宋" w:hAnsi="仿宋" w:eastAsia="仿宋"/>
          <w:b w:val="0"/>
          <w:bCs w:val="0"/>
        </w:rPr>
        <w:t>入支出决算总表</w:t>
      </w:r>
      <w:bookmarkEnd w:id="103"/>
      <w:bookmarkEnd w:id="104"/>
      <w:bookmarkEnd w:id="105"/>
    </w:p>
    <w:p>
      <w:pPr>
        <w:pStyle w:val="4"/>
        <w:rPr>
          <w:rFonts w:ascii="仿宋" w:hAnsi="仿宋" w:eastAsia="仿宋"/>
          <w:color w:val="000000"/>
        </w:rPr>
      </w:pPr>
      <w:bookmarkStart w:id="106" w:name="_Toc79163637"/>
      <w:bookmarkStart w:id="107" w:name="_Toc15396620"/>
      <w:bookmarkStart w:id="108" w:name="_Toc79163887"/>
      <w:r>
        <w:rPr>
          <w:rFonts w:hint="eastAsia" w:ascii="仿宋" w:hAnsi="仿宋" w:eastAsia="仿宋"/>
          <w:b w:val="0"/>
          <w:color w:val="000000"/>
        </w:rPr>
        <w:t>二、收</w:t>
      </w:r>
      <w:r>
        <w:rPr>
          <w:rStyle w:val="29"/>
          <w:rFonts w:hint="eastAsia" w:ascii="仿宋" w:hAnsi="仿宋" w:eastAsia="仿宋"/>
          <w:b w:val="0"/>
          <w:bCs w:val="0"/>
        </w:rPr>
        <w:t>入决算表</w:t>
      </w:r>
      <w:bookmarkEnd w:id="106"/>
      <w:bookmarkEnd w:id="107"/>
      <w:bookmarkEnd w:id="108"/>
    </w:p>
    <w:p>
      <w:pPr>
        <w:pStyle w:val="4"/>
        <w:rPr>
          <w:rFonts w:ascii="仿宋" w:hAnsi="仿宋" w:eastAsia="仿宋"/>
          <w:color w:val="000000"/>
        </w:rPr>
      </w:pPr>
      <w:bookmarkStart w:id="109" w:name="_Toc15396621"/>
      <w:bookmarkStart w:id="110" w:name="_Toc79163888"/>
      <w:bookmarkStart w:id="111" w:name="_Toc7916363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09"/>
      <w:bookmarkEnd w:id="110"/>
      <w:bookmarkEnd w:id="111"/>
    </w:p>
    <w:p>
      <w:pPr>
        <w:pStyle w:val="4"/>
        <w:rPr>
          <w:rFonts w:ascii="仿宋" w:hAnsi="仿宋" w:eastAsia="仿宋"/>
          <w:b w:val="0"/>
          <w:color w:val="000000"/>
        </w:rPr>
      </w:pPr>
      <w:bookmarkStart w:id="112" w:name="_Toc15396622"/>
      <w:bookmarkStart w:id="113" w:name="_Toc79163889"/>
      <w:bookmarkStart w:id="114" w:name="_Toc7916363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2"/>
      <w:bookmarkEnd w:id="113"/>
      <w:bookmarkEnd w:id="114"/>
    </w:p>
    <w:p>
      <w:pPr>
        <w:pStyle w:val="4"/>
        <w:rPr>
          <w:rStyle w:val="29"/>
          <w:rFonts w:ascii="仿宋" w:hAnsi="仿宋" w:eastAsia="仿宋"/>
          <w:b w:val="0"/>
          <w:bCs w:val="0"/>
        </w:rPr>
      </w:pPr>
      <w:bookmarkStart w:id="115" w:name="_Toc15396623"/>
      <w:bookmarkStart w:id="116" w:name="_Toc79163890"/>
      <w:bookmarkStart w:id="117" w:name="_Toc79163640"/>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15"/>
      <w:bookmarkEnd w:id="116"/>
      <w:bookmarkEnd w:id="117"/>
      <w:bookmarkStart w:id="118" w:name="_Toc15396624"/>
    </w:p>
    <w:p>
      <w:pPr>
        <w:pStyle w:val="4"/>
        <w:rPr>
          <w:rFonts w:ascii="仿宋" w:hAnsi="仿宋" w:eastAsia="仿宋"/>
          <w:color w:val="000000"/>
        </w:rPr>
      </w:pPr>
      <w:bookmarkStart w:id="119" w:name="_Toc79163891"/>
      <w:bookmarkStart w:id="120" w:name="_Toc7916364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18"/>
      <w:bookmarkEnd w:id="119"/>
      <w:bookmarkEnd w:id="120"/>
    </w:p>
    <w:p>
      <w:pPr>
        <w:pStyle w:val="4"/>
        <w:rPr>
          <w:rFonts w:ascii="仿宋" w:hAnsi="仿宋" w:eastAsia="仿宋"/>
          <w:color w:val="000000"/>
        </w:rPr>
      </w:pPr>
      <w:bookmarkStart w:id="121" w:name="_Toc79163892"/>
      <w:bookmarkStart w:id="122" w:name="_Toc15396625"/>
      <w:bookmarkStart w:id="123" w:name="_Toc7916364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1"/>
      <w:bookmarkEnd w:id="122"/>
      <w:bookmarkEnd w:id="123"/>
    </w:p>
    <w:p>
      <w:pPr>
        <w:pStyle w:val="4"/>
        <w:rPr>
          <w:rFonts w:ascii="仿宋" w:hAnsi="仿宋" w:eastAsia="仿宋"/>
          <w:color w:val="000000"/>
        </w:rPr>
      </w:pPr>
      <w:bookmarkStart w:id="124" w:name="_Toc79163643"/>
      <w:bookmarkStart w:id="125" w:name="_Toc15396626"/>
      <w:bookmarkStart w:id="126" w:name="_Toc79163893"/>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24"/>
      <w:bookmarkEnd w:id="125"/>
      <w:bookmarkEnd w:id="126"/>
    </w:p>
    <w:p>
      <w:pPr>
        <w:pStyle w:val="4"/>
        <w:rPr>
          <w:rFonts w:ascii="仿宋" w:hAnsi="仿宋" w:eastAsia="仿宋"/>
          <w:color w:val="000000"/>
        </w:rPr>
      </w:pPr>
      <w:bookmarkStart w:id="127" w:name="_Toc79163894"/>
      <w:bookmarkStart w:id="128" w:name="_Toc15396627"/>
      <w:bookmarkStart w:id="129" w:name="_Toc7916364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27"/>
      <w:bookmarkEnd w:id="128"/>
      <w:bookmarkEnd w:id="129"/>
    </w:p>
    <w:p>
      <w:pPr>
        <w:pStyle w:val="4"/>
        <w:rPr>
          <w:rFonts w:ascii="仿宋" w:hAnsi="仿宋" w:eastAsia="仿宋"/>
          <w:color w:val="000000"/>
        </w:rPr>
      </w:pPr>
      <w:bookmarkStart w:id="130" w:name="_Toc79163895"/>
      <w:bookmarkStart w:id="131" w:name="_Toc15396628"/>
      <w:bookmarkStart w:id="132" w:name="_Toc79163645"/>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30"/>
      <w:bookmarkEnd w:id="131"/>
      <w:bookmarkEnd w:id="132"/>
    </w:p>
    <w:p>
      <w:pPr>
        <w:pStyle w:val="4"/>
        <w:rPr>
          <w:rFonts w:ascii="仿宋" w:hAnsi="仿宋" w:eastAsia="仿宋"/>
          <w:color w:val="000000"/>
        </w:rPr>
      </w:pPr>
      <w:bookmarkStart w:id="133" w:name="_Toc15396629"/>
      <w:bookmarkStart w:id="134" w:name="_Toc79163896"/>
      <w:bookmarkStart w:id="135" w:name="_Toc7916364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33"/>
      <w:bookmarkEnd w:id="134"/>
      <w:bookmarkEnd w:id="135"/>
    </w:p>
    <w:p>
      <w:pPr>
        <w:pStyle w:val="4"/>
        <w:rPr>
          <w:rFonts w:ascii="仿宋" w:hAnsi="仿宋" w:eastAsia="仿宋"/>
          <w:color w:val="000000"/>
        </w:rPr>
      </w:pPr>
      <w:bookmarkStart w:id="136" w:name="_Toc15396630"/>
      <w:bookmarkStart w:id="137" w:name="_Toc79163647"/>
      <w:bookmarkStart w:id="138" w:name="_Toc7916389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36"/>
      <w:bookmarkEnd w:id="137"/>
      <w:bookmarkEnd w:id="138"/>
    </w:p>
    <w:p>
      <w:pPr>
        <w:pStyle w:val="4"/>
        <w:rPr>
          <w:rStyle w:val="29"/>
          <w:rFonts w:ascii="仿宋" w:hAnsi="仿宋" w:eastAsia="仿宋"/>
          <w:b w:val="0"/>
          <w:bCs w:val="0"/>
        </w:rPr>
      </w:pPr>
      <w:bookmarkStart w:id="139" w:name="_Toc79163898"/>
      <w:bookmarkStart w:id="140" w:name="_Toc79163648"/>
      <w:bookmarkStart w:id="141"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39"/>
      <w:bookmarkEnd w:id="140"/>
      <w:bookmarkEnd w:id="141"/>
    </w:p>
    <w:p>
      <w:pPr>
        <w:pStyle w:val="4"/>
        <w:rPr>
          <w:rStyle w:val="29"/>
          <w:rFonts w:ascii="仿宋" w:hAnsi="仿宋" w:eastAsia="仿宋"/>
          <w:b w:val="0"/>
          <w:bCs w:val="0"/>
        </w:rPr>
      </w:pPr>
      <w:bookmarkStart w:id="142" w:name="_Toc79163899"/>
      <w:bookmarkStart w:id="143" w:name="_Toc79163649"/>
      <w:r>
        <w:rPr>
          <w:rStyle w:val="29"/>
          <w:rFonts w:hint="eastAsia" w:ascii="仿宋" w:hAnsi="仿宋" w:eastAsia="仿宋"/>
          <w:b w:val="0"/>
          <w:bCs w:val="0"/>
        </w:rPr>
        <w:t>十四、国有资本经营预算财政拨款支出决算表</w:t>
      </w:r>
      <w:bookmarkEnd w:id="142"/>
      <w:bookmarkEnd w:id="14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abstractNum w:abstractNumId="4">
    <w:nsid w:val="7EED1195"/>
    <w:multiLevelType w:val="singleLevel"/>
    <w:tmpl w:val="7EED1195"/>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ZmM4YzY2NDFkMTZmM2Y2M2VhNmVlNWJjOTk4ZTA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2F91977"/>
    <w:rsid w:val="051200B1"/>
    <w:rsid w:val="05B747B5"/>
    <w:rsid w:val="06FA704F"/>
    <w:rsid w:val="08674270"/>
    <w:rsid w:val="09844198"/>
    <w:rsid w:val="0A2032A3"/>
    <w:rsid w:val="0A5026DB"/>
    <w:rsid w:val="0B91295B"/>
    <w:rsid w:val="0C917B0E"/>
    <w:rsid w:val="0D1A52F9"/>
    <w:rsid w:val="10C055FF"/>
    <w:rsid w:val="114C04A7"/>
    <w:rsid w:val="118107EC"/>
    <w:rsid w:val="11BD58B2"/>
    <w:rsid w:val="12C30C3D"/>
    <w:rsid w:val="13D44FA7"/>
    <w:rsid w:val="169923E1"/>
    <w:rsid w:val="16BB723D"/>
    <w:rsid w:val="18D53478"/>
    <w:rsid w:val="19094ED0"/>
    <w:rsid w:val="1D155CEE"/>
    <w:rsid w:val="210E5779"/>
    <w:rsid w:val="22BA200B"/>
    <w:rsid w:val="240371BF"/>
    <w:rsid w:val="29481B83"/>
    <w:rsid w:val="29FD04D3"/>
    <w:rsid w:val="2B6F5066"/>
    <w:rsid w:val="2E67780F"/>
    <w:rsid w:val="2E6C3ADF"/>
    <w:rsid w:val="2EDE51FC"/>
    <w:rsid w:val="2F0401BB"/>
    <w:rsid w:val="2FC101D2"/>
    <w:rsid w:val="303D5733"/>
    <w:rsid w:val="319F7F4E"/>
    <w:rsid w:val="326B7F22"/>
    <w:rsid w:val="34AE30A3"/>
    <w:rsid w:val="361374D2"/>
    <w:rsid w:val="396D4B38"/>
    <w:rsid w:val="3B4E6126"/>
    <w:rsid w:val="3D0C62A9"/>
    <w:rsid w:val="3D477BF1"/>
    <w:rsid w:val="3F47037C"/>
    <w:rsid w:val="3FEA2348"/>
    <w:rsid w:val="40F778EA"/>
    <w:rsid w:val="41004C87"/>
    <w:rsid w:val="42755200"/>
    <w:rsid w:val="42864E7C"/>
    <w:rsid w:val="464A0752"/>
    <w:rsid w:val="47971775"/>
    <w:rsid w:val="48B85449"/>
    <w:rsid w:val="4A235542"/>
    <w:rsid w:val="4C6365C5"/>
    <w:rsid w:val="4E606D65"/>
    <w:rsid w:val="4EBC7D13"/>
    <w:rsid w:val="4ECE2238"/>
    <w:rsid w:val="4F3F2E1E"/>
    <w:rsid w:val="50CC248F"/>
    <w:rsid w:val="52020AD7"/>
    <w:rsid w:val="52350508"/>
    <w:rsid w:val="529B480F"/>
    <w:rsid w:val="53AB0A82"/>
    <w:rsid w:val="595D1779"/>
    <w:rsid w:val="5DC664B8"/>
    <w:rsid w:val="5E0A6709"/>
    <w:rsid w:val="5E3E24F3"/>
    <w:rsid w:val="5EFF5C7C"/>
    <w:rsid w:val="5F526256"/>
    <w:rsid w:val="5FC37F08"/>
    <w:rsid w:val="600734E4"/>
    <w:rsid w:val="61502C69"/>
    <w:rsid w:val="61F730E4"/>
    <w:rsid w:val="623600B0"/>
    <w:rsid w:val="626616D3"/>
    <w:rsid w:val="631A4274"/>
    <w:rsid w:val="67B37AAD"/>
    <w:rsid w:val="6850354E"/>
    <w:rsid w:val="69780FAF"/>
    <w:rsid w:val="6C4A05C8"/>
    <w:rsid w:val="6C845EBC"/>
    <w:rsid w:val="71724535"/>
    <w:rsid w:val="72020D13"/>
    <w:rsid w:val="72734D90"/>
    <w:rsid w:val="79725A1A"/>
    <w:rsid w:val="79BC6C95"/>
    <w:rsid w:val="79C773E8"/>
    <w:rsid w:val="7A6B246A"/>
    <w:rsid w:val="7B580C40"/>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2"/>
    <w:semiHidden/>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0"/>
    <w:pPr>
      <w:spacing w:before="100" w:beforeAutospacing="1" w:after="100" w:afterAutospacing="1"/>
    </w:pPr>
  </w:style>
  <w:style w:type="paragraph" w:styleId="21">
    <w:name w:val="Body Text First Indent 2"/>
    <w:basedOn w:val="8"/>
    <w:next w:val="1"/>
    <w:qFormat/>
    <w:uiPriority w:val="0"/>
    <w:pPr>
      <w:spacing w:line="360" w:lineRule="auto"/>
      <w:ind w:left="0" w:leftChars="0" w:firstLine="420" w:firstLineChars="200"/>
    </w:pPr>
    <w:rPr>
      <w:rFonts w:ascii="Times New Roman" w:hAnsi="Times New Roman" w:eastAsia="宋体"/>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paragraph" w:customStyle="1" w:styleId="26">
    <w:name w:val="BodyText1I2"/>
    <w:basedOn w:val="27"/>
    <w:next w:val="1"/>
    <w:qFormat/>
    <w:uiPriority w:val="0"/>
    <w:pPr>
      <w:tabs>
        <w:tab w:val="left" w:pos="960"/>
      </w:tabs>
      <w:spacing w:after="120"/>
      <w:ind w:left="420" w:leftChars="200" w:firstLine="200" w:firstLineChars="200"/>
      <w:jc w:val="both"/>
      <w:textAlignment w:val="baseline"/>
    </w:pPr>
  </w:style>
  <w:style w:type="paragraph" w:customStyle="1" w:styleId="27">
    <w:name w:val="BodyTextIndent"/>
    <w:basedOn w:val="1"/>
    <w:next w:val="26"/>
    <w:qFormat/>
    <w:uiPriority w:val="0"/>
    <w:pPr>
      <w:spacing w:after="120"/>
      <w:ind w:left="420" w:leftChars="200"/>
      <w:jc w:val="both"/>
      <w:textAlignment w:val="baseline"/>
    </w:pPr>
  </w:style>
  <w:style w:type="character" w:customStyle="1" w:styleId="28">
    <w:name w:val="标题 1 Char"/>
    <w:basedOn w:val="23"/>
    <w:link w:val="3"/>
    <w:qFormat/>
    <w:locked/>
    <w:uiPriority w:val="9"/>
    <w:rPr>
      <w:rFonts w:ascii="Times New Roman" w:hAnsi="Times New Roman" w:cs="Times New Roman"/>
      <w:b/>
      <w:bCs/>
      <w:kern w:val="44"/>
      <w:sz w:val="44"/>
      <w:szCs w:val="44"/>
    </w:rPr>
  </w:style>
  <w:style w:type="character" w:customStyle="1" w:styleId="29">
    <w:name w:val="标题 2 Char"/>
    <w:basedOn w:val="23"/>
    <w:link w:val="4"/>
    <w:qFormat/>
    <w:locked/>
    <w:uiPriority w:val="9"/>
    <w:rPr>
      <w:rFonts w:ascii="Cambria" w:hAnsi="Cambria" w:eastAsia="宋体" w:cs="Times New Roman"/>
      <w:b/>
      <w:bCs/>
      <w:kern w:val="2"/>
      <w:sz w:val="32"/>
      <w:szCs w:val="32"/>
    </w:rPr>
  </w:style>
  <w:style w:type="character" w:customStyle="1" w:styleId="30">
    <w:name w:val="标题 3 Char"/>
    <w:basedOn w:val="23"/>
    <w:link w:val="5"/>
    <w:qFormat/>
    <w:locked/>
    <w:uiPriority w:val="9"/>
    <w:rPr>
      <w:rFonts w:ascii="Times New Roman" w:hAnsi="Times New Roman" w:cs="Times New Roman"/>
      <w:b/>
      <w:bCs/>
      <w:kern w:val="2"/>
      <w:sz w:val="32"/>
      <w:szCs w:val="32"/>
    </w:rPr>
  </w:style>
  <w:style w:type="character" w:customStyle="1" w:styleId="31">
    <w:name w:val="Body Text Char"/>
    <w:basedOn w:val="23"/>
    <w:semiHidden/>
    <w:qFormat/>
    <w:uiPriority w:val="99"/>
    <w:rPr>
      <w:rFonts w:ascii="Times New Roman" w:hAnsi="Times New Roman" w:cs="Times New Roman"/>
      <w:sz w:val="24"/>
      <w:szCs w:val="24"/>
    </w:rPr>
  </w:style>
  <w:style w:type="character" w:customStyle="1" w:styleId="32">
    <w:name w:val="批注框文本 Char"/>
    <w:basedOn w:val="23"/>
    <w:link w:val="12"/>
    <w:semiHidden/>
    <w:qFormat/>
    <w:locked/>
    <w:uiPriority w:val="99"/>
    <w:rPr>
      <w:rFonts w:ascii="Times New Roman" w:hAnsi="Times New Roman" w:cs="Times New Roman"/>
      <w:kern w:val="2"/>
      <w:sz w:val="18"/>
      <w:szCs w:val="18"/>
    </w:rPr>
  </w:style>
  <w:style w:type="character" w:customStyle="1" w:styleId="33">
    <w:name w:val="Footer Char"/>
    <w:basedOn w:val="23"/>
    <w:semiHidden/>
    <w:qFormat/>
    <w:uiPriority w:val="99"/>
    <w:rPr>
      <w:rFonts w:ascii="Times New Roman" w:hAnsi="Times New Roman" w:cs="Times New Roman"/>
      <w:sz w:val="18"/>
      <w:szCs w:val="18"/>
    </w:rPr>
  </w:style>
  <w:style w:type="character" w:customStyle="1" w:styleId="34">
    <w:name w:val="Header Char"/>
    <w:basedOn w:val="23"/>
    <w:semiHidden/>
    <w:qFormat/>
    <w:uiPriority w:val="99"/>
    <w:rPr>
      <w:rFonts w:ascii="Times New Roman" w:hAnsi="Times New Roman" w:cs="Times New Roman"/>
      <w:sz w:val="18"/>
      <w:szCs w:val="18"/>
    </w:rPr>
  </w:style>
  <w:style w:type="character" w:customStyle="1" w:styleId="35">
    <w:name w:val="页眉 Char"/>
    <w:link w:val="14"/>
    <w:semiHidden/>
    <w:qFormat/>
    <w:locked/>
    <w:uiPriority w:val="99"/>
    <w:rPr>
      <w:sz w:val="18"/>
    </w:rPr>
  </w:style>
  <w:style w:type="character" w:customStyle="1" w:styleId="36">
    <w:name w:val="页脚 Char"/>
    <w:link w:val="13"/>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eastAsia="宋体" w:cs="Times New Roman"/>
    </w:rPr>
  </w:style>
  <w:style w:type="character" w:customStyle="1" w:styleId="45">
    <w:name w:val="15"/>
    <w:basedOn w:val="23"/>
    <w:qFormat/>
    <w:uiPriority w:val="0"/>
    <w:rPr>
      <w:rFonts w:hint="default" w:ascii="Cambria" w:hAnsi="Cambria" w:eastAsia="宋体" w:cs="Times New Roman"/>
      <w:b/>
      <w:bCs/>
      <w:kern w:val="2"/>
      <w:sz w:val="32"/>
      <w:szCs w:val="32"/>
    </w:rPr>
  </w:style>
  <w:style w:type="character" w:customStyle="1" w:styleId="46">
    <w:name w:val="10"/>
    <w:basedOn w:val="23"/>
    <w:qFormat/>
    <w:uiPriority w:val="0"/>
    <w:rPr>
      <w:rFonts w:hint="default" w:ascii="Times New Roman" w:hAnsi="Times New Roman" w:cs="Times New Roman"/>
    </w:rPr>
  </w:style>
  <w:style w:type="paragraph" w:customStyle="1" w:styleId="47">
    <w:name w:val="UserStyle_2"/>
    <w:basedOn w:val="1"/>
    <w:qFormat/>
    <w:uiPriority w:val="0"/>
    <w:pPr>
      <w:spacing w:before="0" w:beforeAutospacing="0" w:after="0" w:afterAutospacing="0"/>
      <w:ind w:left="0" w:right="0" w:firstLine="420" w:firstLineChars="200"/>
      <w:jc w:val="both"/>
      <w:textAlignment w:val="baseline"/>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General</c:formatCode>
                <c:ptCount val="2"/>
                <c:pt idx="0">
                  <c:v>148.74</c:v>
                </c:pt>
                <c:pt idx="1" c:formatCode="#,##0.00">
                  <c:v>190.1</c:v>
                </c:pt>
              </c:numCache>
            </c:numRef>
          </c:val>
        </c:ser>
        <c:dLbls>
          <c:showLegendKey val="0"/>
          <c:showVal val="0"/>
          <c:showCatName val="0"/>
          <c:showSerName val="0"/>
          <c:showPercent val="0"/>
          <c:showBubbleSize val="0"/>
        </c:dLbls>
        <c:gapWidth val="219"/>
        <c:overlap val="-27"/>
        <c:axId val="335732434"/>
        <c:axId val="535165240"/>
      </c:barChart>
      <c:catAx>
        <c:axId val="33573243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5165240"/>
        <c:crosses val="autoZero"/>
        <c:auto val="1"/>
        <c:lblAlgn val="ctr"/>
        <c:lblOffset val="100"/>
        <c:noMultiLvlLbl val="0"/>
      </c:catAx>
      <c:valAx>
        <c:axId val="53516524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573243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#,##0.00</c:formatCode>
                <c:ptCount val="2"/>
                <c:pt idx="0">
                  <c:v>165.45</c:v>
                </c:pt>
                <c:pt idx="1">
                  <c:v>211.72</c:v>
                </c:pt>
              </c:numCache>
            </c:numRef>
          </c:val>
        </c:ser>
        <c:dLbls>
          <c:showLegendKey val="0"/>
          <c:showVal val="0"/>
          <c:showCatName val="0"/>
          <c:showSerName val="0"/>
          <c:showPercent val="0"/>
          <c:showBubbleSize val="0"/>
        </c:dLbls>
        <c:gapWidth val="219"/>
        <c:overlap val="-27"/>
        <c:axId val="514351951"/>
        <c:axId val="690663680"/>
      </c:barChart>
      <c:catAx>
        <c:axId val="51435195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0663680"/>
        <c:crosses val="autoZero"/>
        <c:auto val="1"/>
        <c:lblAlgn val="ctr"/>
        <c:lblOffset val="100"/>
        <c:noMultiLvlLbl val="0"/>
      </c:catAx>
      <c:valAx>
        <c:axId val="6906636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4351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176.12</c:v>
                </c:pt>
                <c:pt idx="1">
                  <c:v>35.6</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7643802294027"/>
          <c:h val="0.093376135715693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2021年</c:v>
                </c:pt>
                <c:pt idx="1">
                  <c:v>2022年</c:v>
                </c:pt>
              </c:strCache>
            </c:strRef>
          </c:cat>
          <c:val>
            <c:numRef>
              <c:f>[决算公开分析图表.xls]Sheet1!$A$84:$B$84</c:f>
              <c:numCache>
                <c:formatCode>General</c:formatCode>
                <c:ptCount val="2"/>
                <c:pt idx="0">
                  <c:v>148.74</c:v>
                </c:pt>
                <c:pt idx="1" c:formatCode="#,##0.00">
                  <c:v>190.1</c:v>
                </c:pt>
              </c:numCache>
            </c:numRef>
          </c:val>
        </c:ser>
        <c:dLbls>
          <c:showLegendKey val="0"/>
          <c:showVal val="0"/>
          <c:showCatName val="0"/>
          <c:showSerName val="0"/>
          <c:showPercent val="0"/>
          <c:showBubbleSize val="0"/>
        </c:dLbls>
        <c:gapWidth val="219"/>
        <c:overlap val="-27"/>
        <c:axId val="565125471"/>
        <c:axId val="349981098"/>
      </c:barChart>
      <c:catAx>
        <c:axId val="56512547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9981098"/>
        <c:crosses val="autoZero"/>
        <c:auto val="1"/>
        <c:lblAlgn val="ctr"/>
        <c:lblOffset val="100"/>
        <c:noMultiLvlLbl val="0"/>
      </c:catAx>
      <c:valAx>
        <c:axId val="34998109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1254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2021年</c:v>
                </c:pt>
                <c:pt idx="1">
                  <c:v>2022年</c:v>
                </c:pt>
              </c:strCache>
            </c:strRef>
          </c:cat>
          <c:val>
            <c:numRef>
              <c:f>[决算公开分析图表.xls]Sheet1!$A$101:$B$101</c:f>
              <c:numCache>
                <c:formatCode>#,##0.00</c:formatCode>
                <c:ptCount val="2"/>
                <c:pt idx="0">
                  <c:v>165.45</c:v>
                </c:pt>
                <c:pt idx="1">
                  <c:v>211.72</c:v>
                </c:pt>
              </c:numCache>
            </c:numRef>
          </c:val>
        </c:ser>
        <c:dLbls>
          <c:showLegendKey val="0"/>
          <c:showVal val="0"/>
          <c:showCatName val="0"/>
          <c:showSerName val="0"/>
          <c:showPercent val="0"/>
          <c:showBubbleSize val="0"/>
        </c:dLbls>
        <c:gapWidth val="219"/>
        <c:overlap val="-27"/>
        <c:axId val="552141145"/>
        <c:axId val="100619776"/>
      </c:barChart>
      <c:catAx>
        <c:axId val="55214114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0619776"/>
        <c:crosses val="autoZero"/>
        <c:auto val="1"/>
        <c:lblAlgn val="ctr"/>
        <c:lblOffset val="100"/>
        <c:noMultiLvlLbl val="0"/>
      </c:catAx>
      <c:valAx>
        <c:axId val="1006197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214114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[决算公开分析图表.xls]Sheet1!$A$116:$B$116</c:f>
              <c:strCache>
                <c:ptCount val="2"/>
                <c:pt idx="0">
                  <c:v>2021年</c:v>
                </c:pt>
                <c:pt idx="1">
                  <c:v>2022年</c:v>
                </c:pt>
              </c:strCache>
            </c:strRef>
          </c:cat>
          <c:val>
            <c:numRef>
              <c:f>[决算公开分析图表.xls]Sheet1!$A$117:$B$117</c:f>
              <c:numCache>
                <c:formatCode>#,##0.00</c:formatCode>
                <c:ptCount val="2"/>
                <c:pt idx="0">
                  <c:v>165.45</c:v>
                </c:pt>
                <c:pt idx="1">
                  <c:v>211.72</c:v>
                </c:pt>
              </c:numCache>
            </c:numRef>
          </c:val>
        </c:ser>
        <c:dLbls>
          <c:showLegendKey val="0"/>
          <c:showVal val="0"/>
          <c:showCatName val="0"/>
          <c:showSerName val="0"/>
          <c:showPercent val="0"/>
          <c:showBubbleSize val="0"/>
        </c:dLbls>
        <c:gapWidth val="219"/>
        <c:overlap val="-27"/>
        <c:axId val="153181274"/>
        <c:axId val="995215901"/>
      </c:barChart>
      <c:catAx>
        <c:axId val="15318127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215901"/>
        <c:crosses val="autoZero"/>
        <c:auto val="1"/>
        <c:lblAlgn val="ctr"/>
        <c:lblOffset val="100"/>
        <c:noMultiLvlLbl val="0"/>
      </c:catAx>
      <c:valAx>
        <c:axId val="99521590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31812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dPt>
          <c:dPt>
            <c:idx val="5"/>
            <c:bubble3D val="0"/>
          </c:dPt>
          <c:dLbls>
            <c:delete val="1"/>
          </c:dLbls>
          <c:cat>
            <c:strRef>
              <c:f>[决算公开分析图表.xls]Sheet1!$C$140:$C$145</c:f>
              <c:strCache>
                <c:ptCount val="6"/>
                <c:pt idx="0">
                  <c:v>一般公共服务支出</c:v>
                </c:pt>
                <c:pt idx="1">
                  <c:v>公共安全支出</c:v>
                </c:pt>
                <c:pt idx="2">
                  <c:v>社会保障和就业支出</c:v>
                </c:pt>
                <c:pt idx="3">
                  <c:v>卫生健康支出</c:v>
                </c:pt>
                <c:pt idx="4">
                  <c:v>节能环保支出</c:v>
                </c:pt>
                <c:pt idx="5">
                  <c:v>住房保障支出</c:v>
                </c:pt>
              </c:strCache>
            </c:strRef>
          </c:cat>
          <c:val>
            <c:numRef>
              <c:f>[决算公开分析图表.xls]Sheet1!$D$140:$D$145</c:f>
              <c:numCache>
                <c:formatCode>General</c:formatCode>
                <c:ptCount val="6"/>
                <c:pt idx="0">
                  <c:v>154.49</c:v>
                </c:pt>
                <c:pt idx="1">
                  <c:v>3</c:v>
                </c:pt>
                <c:pt idx="2" c:formatCode="#,##0.00">
                  <c:v>30.08</c:v>
                </c:pt>
                <c:pt idx="3" c:formatCode="#,##0.00">
                  <c:v>7.47</c:v>
                </c:pt>
                <c:pt idx="4" c:formatCode="#,##0.00">
                  <c:v>4.5</c:v>
                </c:pt>
                <c:pt idx="5" c:formatCode="#,##0.00">
                  <c:v>12.19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0925"/>
          <c:y val="0.87975"/>
          <c:w val="0.781"/>
          <c:h val="0.088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[2020年决算公开分析图表.xls]Sheet1!$A$165:$A$167</c:f>
              <c:strCache>
                <c:ptCount val="3"/>
                <c:pt idx="0">
                  <c:v>因公出国（境）费</c:v>
                </c:pt>
                <c:pt idx="1">
                  <c:v>公务接待费</c:v>
                </c:pt>
                <c:pt idx="2">
                  <c:v>公务用车购置及运行维护费</c:v>
                </c:pt>
              </c:strCache>
            </c:strRef>
          </c:cat>
          <c:val>
            <c:numRef>
              <c:f>[2020年决算公开分析图表.xls]Sheet1!$B$165:$B$167</c:f>
              <c:numCache>
                <c:formatCode>General</c:formatCode>
                <c:ptCount val="3"/>
                <c:pt idx="0">
                  <c:v>0</c:v>
                </c:pt>
                <c:pt idx="1" c:formatCode="#,##0.00">
                  <c:v>0.38</c:v>
                </c:pt>
                <c:pt idx="2" c:formatCode="#,##0.00">
                  <c:v>43.93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15845</Words>
  <Characters>16547</Characters>
  <Lines>1</Lines>
  <Paragraphs>1</Paragraphs>
  <TotalTime>7</TotalTime>
  <ScaleCrop>false</ScaleCrop>
  <LinksUpToDate>false</LinksUpToDate>
  <CharactersWithSpaces>20601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2021-07-29T03:56:00Z</cp:lastPrinted>
  <dcterms:modified xsi:type="dcterms:W3CDTF">2023-10-13T01:46:26Z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2AB57F0D55064F55A4FDFADB0E26F1E3</vt:lpwstr>
  </property>
</Properties>
</file>