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629F8">
      <w:pPr>
        <w:spacing w:line="600" w:lineRule="exact"/>
        <w:jc w:val="center"/>
        <w:outlineLvl w:val="0"/>
        <w:rPr>
          <w:rFonts w:ascii="方正小标宋简体" w:hAnsi="宋体" w:eastAsia="方正小标宋简体"/>
          <w:color w:val="000000"/>
          <w:sz w:val="72"/>
          <w:szCs w:val="72"/>
        </w:rPr>
      </w:pPr>
      <w:bookmarkStart w:id="0" w:name="_Toc15306267"/>
    </w:p>
    <w:p w14:paraId="4DC1E2C7">
      <w:pPr>
        <w:spacing w:line="600" w:lineRule="exact"/>
        <w:jc w:val="center"/>
        <w:outlineLvl w:val="0"/>
        <w:rPr>
          <w:rFonts w:ascii="方正小标宋简体" w:hAnsi="宋体" w:eastAsia="方正小标宋简体"/>
          <w:color w:val="000000"/>
          <w:sz w:val="72"/>
          <w:szCs w:val="72"/>
        </w:rPr>
      </w:pPr>
    </w:p>
    <w:p w14:paraId="1D471909">
      <w:pPr>
        <w:spacing w:line="600" w:lineRule="exact"/>
        <w:jc w:val="center"/>
        <w:outlineLvl w:val="0"/>
        <w:rPr>
          <w:rFonts w:ascii="方正小标宋简体" w:hAnsi="宋体" w:eastAsia="方正小标宋简体"/>
          <w:color w:val="000000"/>
          <w:sz w:val="72"/>
          <w:szCs w:val="72"/>
        </w:rPr>
      </w:pPr>
    </w:p>
    <w:bookmarkEnd w:id="0"/>
    <w:p w14:paraId="46B9D2FE">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阿坝州壤塘县</w:t>
      </w:r>
    </w:p>
    <w:p w14:paraId="41BB0103">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2024年度壤塘县三郎寺寺庙管理委员会</w:t>
      </w:r>
    </w:p>
    <w:p w14:paraId="13FB1F80">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部门决算公开</w:t>
      </w:r>
    </w:p>
    <w:p w14:paraId="5CA221AA">
      <w:pPr>
        <w:jc w:val="center"/>
        <w:rPr>
          <w:rFonts w:ascii="方正小标宋简体" w:eastAsia="方正小标宋简体"/>
          <w:sz w:val="72"/>
          <w:szCs w:val="72"/>
        </w:rPr>
      </w:pPr>
    </w:p>
    <w:p w14:paraId="03C4D781">
      <w:pPr>
        <w:widowControl/>
        <w:jc w:val="center"/>
        <w:rPr>
          <w:rFonts w:ascii="方正小标宋简体" w:hAnsi="宋体" w:eastAsia="方正小标宋简体"/>
          <w:color w:val="000000"/>
          <w:sz w:val="36"/>
          <w:szCs w:val="36"/>
        </w:rPr>
      </w:pPr>
    </w:p>
    <w:p w14:paraId="421EC506">
      <w:pPr>
        <w:rPr>
          <w:rFonts w:ascii="方正小标宋简体" w:hAnsi="宋体" w:eastAsia="方正小标宋简体"/>
          <w:sz w:val="36"/>
          <w:szCs w:val="36"/>
        </w:rPr>
      </w:pPr>
    </w:p>
    <w:p w14:paraId="3F425DCE">
      <w:pPr>
        <w:rPr>
          <w:rFonts w:ascii="方正小标宋简体" w:hAnsi="宋体" w:eastAsia="方正小标宋简体"/>
          <w:sz w:val="36"/>
          <w:szCs w:val="36"/>
        </w:rPr>
      </w:pPr>
    </w:p>
    <w:p w14:paraId="7F668BBF">
      <w:pPr>
        <w:rPr>
          <w:rFonts w:ascii="方正小标宋简体" w:hAnsi="宋体" w:eastAsia="方正小标宋简体"/>
          <w:sz w:val="36"/>
          <w:szCs w:val="36"/>
        </w:rPr>
      </w:pPr>
    </w:p>
    <w:p w14:paraId="7390B03B">
      <w:pPr>
        <w:rPr>
          <w:rFonts w:ascii="方正小标宋简体" w:hAnsi="宋体" w:eastAsia="方正小标宋简体"/>
          <w:sz w:val="36"/>
          <w:szCs w:val="36"/>
        </w:rPr>
      </w:pPr>
    </w:p>
    <w:p w14:paraId="13C99C2C">
      <w:pPr>
        <w:rPr>
          <w:rFonts w:ascii="方正小标宋简体" w:hAnsi="宋体" w:eastAsia="方正小标宋简体"/>
          <w:sz w:val="36"/>
          <w:szCs w:val="36"/>
        </w:rPr>
      </w:pPr>
    </w:p>
    <w:p w14:paraId="27426AFD">
      <w:pPr>
        <w:pStyle w:val="19"/>
        <w:rPr>
          <w:rFonts w:ascii="方正小标宋简体" w:hAnsi="宋体" w:eastAsia="方正小标宋简体"/>
          <w:sz w:val="36"/>
          <w:szCs w:val="36"/>
        </w:rPr>
      </w:pPr>
    </w:p>
    <w:p w14:paraId="3A973338">
      <w:pPr>
        <w:rPr>
          <w:rFonts w:ascii="方正小标宋简体" w:hAnsi="宋体" w:eastAsia="方正小标宋简体"/>
          <w:sz w:val="36"/>
          <w:szCs w:val="36"/>
        </w:rPr>
      </w:pPr>
    </w:p>
    <w:p w14:paraId="254E257E">
      <w:pPr>
        <w:pStyle w:val="19"/>
        <w:rPr>
          <w:rFonts w:ascii="方正小标宋简体" w:hAnsi="宋体" w:eastAsia="方正小标宋简体"/>
          <w:sz w:val="36"/>
          <w:szCs w:val="36"/>
        </w:rPr>
      </w:pPr>
    </w:p>
    <w:p w14:paraId="0AB57A02"/>
    <w:p w14:paraId="40EA7FCE">
      <w:pPr>
        <w:rPr>
          <w:rFonts w:ascii="方正小标宋简体" w:hAnsi="宋体" w:eastAsia="方正小标宋简体"/>
          <w:sz w:val="36"/>
          <w:szCs w:val="36"/>
        </w:rPr>
      </w:pPr>
    </w:p>
    <w:p w14:paraId="36A2E3C7">
      <w:pPr>
        <w:widowControl/>
        <w:jc w:val="center"/>
        <w:rPr>
          <w:rFonts w:hint="eastAsia" w:ascii="方正小标宋简体" w:hAnsi="宋体" w:eastAsia="方正小标宋简体"/>
          <w:color w:val="000000"/>
          <w:sz w:val="36"/>
          <w:szCs w:val="36"/>
          <w:lang w:val="en-US" w:eastAsia="zh-CN"/>
        </w:rPr>
      </w:pPr>
      <w:r>
        <w:rPr>
          <w:rFonts w:hint="eastAsia" w:ascii="方正小标宋简体" w:hAnsi="宋体" w:eastAsia="方正小标宋简体"/>
          <w:color w:val="000000"/>
          <w:sz w:val="36"/>
          <w:szCs w:val="36"/>
          <w:lang w:val="en-US" w:eastAsia="zh-CN"/>
        </w:rPr>
        <w:t xml:space="preserve"> </w:t>
      </w:r>
    </w:p>
    <w:p w14:paraId="24E715E8">
      <w:pPr>
        <w:pStyle w:val="19"/>
        <w:rPr>
          <w:rFonts w:hint="eastAsia" w:ascii="方正小标宋简体" w:hAnsi="宋体" w:eastAsia="方正小标宋简体"/>
          <w:color w:val="000000"/>
          <w:sz w:val="36"/>
          <w:szCs w:val="36"/>
          <w:lang w:val="en-US" w:eastAsia="zh-CN"/>
        </w:rPr>
      </w:pPr>
    </w:p>
    <w:p w14:paraId="2E03A22A">
      <w:pPr>
        <w:rPr>
          <w:rFonts w:hint="eastAsia" w:ascii="方正小标宋简体" w:hAnsi="宋体" w:eastAsia="方正小标宋简体"/>
          <w:color w:val="000000"/>
          <w:sz w:val="36"/>
          <w:szCs w:val="36"/>
          <w:lang w:val="en-US" w:eastAsia="zh-CN"/>
        </w:rPr>
      </w:pPr>
    </w:p>
    <w:p w14:paraId="1EC2512B">
      <w:pPr>
        <w:pStyle w:val="19"/>
        <w:rPr>
          <w:rFonts w:hint="eastAsia"/>
          <w:lang w:val="en-US" w:eastAsia="zh-CN"/>
        </w:rPr>
      </w:pPr>
    </w:p>
    <w:p w14:paraId="1AE417DB">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32B69678">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5</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21</w:t>
      </w:r>
      <w:r>
        <w:rPr>
          <w:rFonts w:hint="eastAsia" w:hAnsiTheme="minorHAnsi"/>
          <w:b w:val="0"/>
          <w:bCs w:val="0"/>
          <w:sz w:val="24"/>
          <w:szCs w:val="24"/>
        </w:rPr>
        <w:t>日</w:t>
      </w:r>
    </w:p>
    <w:p w14:paraId="30969137">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_Toc29378 \h </w:instrText>
      </w:r>
      <w:r>
        <w:fldChar w:fldCharType="separate"/>
      </w:r>
      <w:r>
        <w:t>1</w:t>
      </w:r>
      <w:r>
        <w:fldChar w:fldCharType="end"/>
      </w:r>
    </w:p>
    <w:p w14:paraId="07410872">
      <w:pPr>
        <w:pStyle w:val="20"/>
        <w:tabs>
          <w:tab w:val="right" w:leader="dot" w:pos="8306"/>
        </w:tabs>
      </w:pPr>
      <w:r>
        <w:rPr>
          <w:rFonts w:hint="eastAsia" w:ascii="黑体" w:hAnsi="黑体" w:eastAsia="黑体"/>
          <w:bCs w:val="0"/>
          <w:lang w:val="en-US" w:eastAsia="zh-CN"/>
        </w:rPr>
        <w:t>一、 部门职责</w:t>
      </w:r>
      <w:r>
        <w:tab/>
      </w:r>
      <w:r>
        <w:fldChar w:fldCharType="begin"/>
      </w:r>
      <w:r>
        <w:instrText xml:space="preserve"> PAGEREF _Toc21186 \h </w:instrText>
      </w:r>
      <w:r>
        <w:fldChar w:fldCharType="separate"/>
      </w:r>
      <w:r>
        <w:t>1</w:t>
      </w:r>
      <w:r>
        <w:fldChar w:fldCharType="end"/>
      </w:r>
    </w:p>
    <w:p w14:paraId="44C9FCA6">
      <w:pPr>
        <w:pStyle w:val="20"/>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_Toc19752 \h </w:instrText>
      </w:r>
      <w:r>
        <w:fldChar w:fldCharType="separate"/>
      </w:r>
      <w:r>
        <w:t>1</w:t>
      </w:r>
      <w:r>
        <w:fldChar w:fldCharType="end"/>
      </w:r>
    </w:p>
    <w:p w14:paraId="70C96892">
      <w:pPr>
        <w:pStyle w:val="15"/>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hint="eastAsia" w:ascii="黑体" w:hAnsi="黑体" w:eastAsia="黑体"/>
          <w:bCs w:val="0"/>
          <w:lang w:eastAsia="zh-CN"/>
        </w:rPr>
        <w:t>2024年</w:t>
      </w:r>
      <w:r>
        <w:rPr>
          <w:rFonts w:hint="eastAsia" w:ascii="黑体" w:hAnsi="黑体" w:eastAsia="黑体"/>
          <w:bCs w:val="0"/>
        </w:rPr>
        <w:t>度部门决算情况说明</w:t>
      </w:r>
      <w:r>
        <w:tab/>
      </w:r>
      <w:r>
        <w:fldChar w:fldCharType="begin"/>
      </w:r>
      <w:r>
        <w:instrText xml:space="preserve"> PAGEREF _Toc23287 \h </w:instrText>
      </w:r>
      <w:r>
        <w:fldChar w:fldCharType="separate"/>
      </w:r>
      <w:r>
        <w:t>1</w:t>
      </w:r>
      <w:r>
        <w:fldChar w:fldCharType="end"/>
      </w:r>
    </w:p>
    <w:p w14:paraId="24D6B9C3">
      <w:pPr>
        <w:pStyle w:val="20"/>
        <w:tabs>
          <w:tab w:val="right" w:leader="dot" w:pos="8306"/>
        </w:tabs>
      </w:pPr>
      <w:r>
        <w:rPr>
          <w:rFonts w:hint="eastAsia" w:ascii="黑体" w:hAnsi="黑体" w:eastAsia="黑体" w:cs="黑体"/>
          <w:lang w:val="en-US" w:eastAsia="zh-CN"/>
        </w:rPr>
        <w:t>一、收入支出决算总体情况说明</w:t>
      </w:r>
      <w:r>
        <w:tab/>
      </w:r>
      <w:r>
        <w:fldChar w:fldCharType="begin"/>
      </w:r>
      <w:r>
        <w:instrText xml:space="preserve"> PAGEREF _Toc5625 \h </w:instrText>
      </w:r>
      <w:r>
        <w:fldChar w:fldCharType="separate"/>
      </w:r>
      <w:r>
        <w:t>1</w:t>
      </w:r>
      <w:r>
        <w:fldChar w:fldCharType="end"/>
      </w:r>
    </w:p>
    <w:p w14:paraId="32314EE3">
      <w:pPr>
        <w:pStyle w:val="20"/>
        <w:tabs>
          <w:tab w:val="right" w:leader="dot" w:pos="8306"/>
        </w:tabs>
      </w:pPr>
      <w:r>
        <w:rPr>
          <w:rFonts w:hint="eastAsia" w:ascii="黑体" w:hAnsi="黑体" w:eastAsia="黑体" w:cs="Times New Roman"/>
          <w:bCs w:val="0"/>
          <w:color w:val="000000"/>
          <w:kern w:val="2"/>
          <w:szCs w:val="32"/>
          <w:lang w:val="en-US" w:eastAsia="zh-CN" w:bidi="ar-SA"/>
        </w:rPr>
        <w:t>二、收入决算情况说明</w:t>
      </w:r>
      <w:r>
        <w:tab/>
      </w:r>
      <w:r>
        <w:fldChar w:fldCharType="begin"/>
      </w:r>
      <w:r>
        <w:instrText xml:space="preserve"> PAGEREF _Toc25939 \h </w:instrText>
      </w:r>
      <w:r>
        <w:fldChar w:fldCharType="separate"/>
      </w:r>
      <w:r>
        <w:t>2</w:t>
      </w:r>
      <w:r>
        <w:fldChar w:fldCharType="end"/>
      </w:r>
    </w:p>
    <w:p w14:paraId="23698CC6">
      <w:pPr>
        <w:pStyle w:val="20"/>
        <w:tabs>
          <w:tab w:val="right" w:leader="dot" w:pos="8306"/>
        </w:tabs>
      </w:pPr>
      <w:r>
        <w:rPr>
          <w:rFonts w:hint="eastAsia" w:ascii="黑体" w:hAnsi="黑体" w:eastAsia="黑体" w:cs="Times New Roman"/>
          <w:bCs w:val="0"/>
          <w:color w:val="000000"/>
          <w:kern w:val="2"/>
          <w:szCs w:val="32"/>
          <w:lang w:val="en-US" w:eastAsia="zh-CN" w:bidi="ar-SA"/>
        </w:rPr>
        <w:t>三、支出决算情况说</w:t>
      </w:r>
      <w:r>
        <w:rPr>
          <w:rFonts w:hint="eastAsia"/>
          <w:lang w:val="en-US" w:eastAsia="zh-CN"/>
        </w:rPr>
        <w:t>明</w:t>
      </w:r>
      <w:r>
        <w:tab/>
      </w:r>
      <w:r>
        <w:fldChar w:fldCharType="begin"/>
      </w:r>
      <w:r>
        <w:instrText xml:space="preserve"> PAGEREF _Toc11538 \h </w:instrText>
      </w:r>
      <w:r>
        <w:fldChar w:fldCharType="separate"/>
      </w:r>
      <w:r>
        <w:t>3</w:t>
      </w:r>
      <w:r>
        <w:fldChar w:fldCharType="end"/>
      </w:r>
    </w:p>
    <w:p w14:paraId="4429BB0D">
      <w:pPr>
        <w:pStyle w:val="20"/>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_Toc20383 \h </w:instrText>
      </w:r>
      <w:r>
        <w:fldChar w:fldCharType="separate"/>
      </w:r>
      <w:r>
        <w:t>3</w:t>
      </w:r>
      <w:r>
        <w:fldChar w:fldCharType="end"/>
      </w:r>
    </w:p>
    <w:p w14:paraId="45E3732B">
      <w:pPr>
        <w:pStyle w:val="20"/>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_Toc26894 \h </w:instrText>
      </w:r>
      <w:r>
        <w:fldChar w:fldCharType="separate"/>
      </w:r>
      <w:r>
        <w:t>4</w:t>
      </w:r>
      <w:r>
        <w:fldChar w:fldCharType="end"/>
      </w:r>
    </w:p>
    <w:p w14:paraId="3EAF7B22">
      <w:pPr>
        <w:pStyle w:val="20"/>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_Toc7382 \h </w:instrText>
      </w:r>
      <w:r>
        <w:fldChar w:fldCharType="separate"/>
      </w:r>
      <w:r>
        <w:t>6</w:t>
      </w:r>
      <w:r>
        <w:fldChar w:fldCharType="end"/>
      </w:r>
    </w:p>
    <w:p w14:paraId="11C89636">
      <w:pPr>
        <w:pStyle w:val="20"/>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_Toc8807 \h </w:instrText>
      </w:r>
      <w:r>
        <w:fldChar w:fldCharType="separate"/>
      </w:r>
      <w:r>
        <w:t>7</w:t>
      </w:r>
      <w:r>
        <w:fldChar w:fldCharType="end"/>
      </w:r>
    </w:p>
    <w:p w14:paraId="7778D082">
      <w:pPr>
        <w:pStyle w:val="20"/>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_Toc29657 \h </w:instrText>
      </w:r>
      <w:r>
        <w:fldChar w:fldCharType="separate"/>
      </w:r>
      <w:r>
        <w:t>8</w:t>
      </w:r>
      <w:r>
        <w:fldChar w:fldCharType="end"/>
      </w:r>
    </w:p>
    <w:p w14:paraId="0A1D80A0">
      <w:pPr>
        <w:pStyle w:val="20"/>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_Toc7924 \h </w:instrText>
      </w:r>
      <w:r>
        <w:fldChar w:fldCharType="separate"/>
      </w:r>
      <w:r>
        <w:t>8</w:t>
      </w:r>
      <w:r>
        <w:fldChar w:fldCharType="end"/>
      </w:r>
    </w:p>
    <w:p w14:paraId="3E4A632A">
      <w:pPr>
        <w:pStyle w:val="20"/>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_Toc9008 \h </w:instrText>
      </w:r>
      <w:r>
        <w:fldChar w:fldCharType="separate"/>
      </w:r>
      <w:r>
        <w:t>8</w:t>
      </w:r>
      <w:r>
        <w:fldChar w:fldCharType="end"/>
      </w:r>
    </w:p>
    <w:p w14:paraId="4C28A55C">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bookmarkStart w:id="143" w:name="_GoBack"/>
      <w:bookmarkEnd w:id="143"/>
      <w:r>
        <w:tab/>
      </w:r>
      <w:r>
        <w:fldChar w:fldCharType="begin"/>
      </w:r>
      <w:r>
        <w:instrText xml:space="preserve"> PAGEREF _Toc12304 \h </w:instrText>
      </w:r>
      <w:r>
        <w:fldChar w:fldCharType="separate"/>
      </w:r>
      <w:r>
        <w:t>9</w:t>
      </w:r>
      <w:r>
        <w:fldChar w:fldCharType="end"/>
      </w:r>
    </w:p>
    <w:p w14:paraId="50CA0297">
      <w:pPr>
        <w:pStyle w:val="15"/>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_Toc14215 \h </w:instrText>
      </w:r>
      <w:r>
        <w:fldChar w:fldCharType="separate"/>
      </w:r>
      <w:r>
        <w:t>13</w:t>
      </w:r>
      <w:r>
        <w:fldChar w:fldCharType="end"/>
      </w:r>
    </w:p>
    <w:p w14:paraId="518D2C84">
      <w:pPr>
        <w:pStyle w:val="15"/>
        <w:tabs>
          <w:tab w:val="right" w:leader="dot" w:pos="8306"/>
        </w:tabs>
      </w:pPr>
      <w:r>
        <w:rPr>
          <w:rFonts w:hint="eastAsia" w:ascii="黑体" w:eastAsia="黑体"/>
          <w:color w:val="000000"/>
          <w:szCs w:val="44"/>
        </w:rPr>
        <w:t>第</w:t>
      </w:r>
      <w:r>
        <w:rPr>
          <w:rFonts w:hint="eastAsia" w:ascii="黑体" w:eastAsia="黑体"/>
          <w:bCs/>
          <w:kern w:val="44"/>
          <w:szCs w:val="44"/>
        </w:rPr>
        <w:t>五部分</w:t>
      </w:r>
      <w:r>
        <w:rPr>
          <w:rFonts w:ascii="黑体" w:eastAsia="黑体"/>
          <w:bCs/>
          <w:kern w:val="44"/>
          <w:szCs w:val="44"/>
        </w:rPr>
        <w:t xml:space="preserve"> </w:t>
      </w:r>
      <w:r>
        <w:rPr>
          <w:rFonts w:hint="eastAsia" w:ascii="黑体" w:eastAsia="黑体"/>
          <w:bCs/>
          <w:kern w:val="44"/>
          <w:szCs w:val="44"/>
        </w:rPr>
        <w:t>附表</w:t>
      </w:r>
      <w:r>
        <w:tab/>
      </w:r>
      <w:r>
        <w:fldChar w:fldCharType="begin"/>
      </w:r>
      <w:r>
        <w:instrText xml:space="preserve"> PAGEREF _Toc9716 \h </w:instrText>
      </w:r>
      <w:r>
        <w:fldChar w:fldCharType="separate"/>
      </w:r>
      <w:r>
        <w:t>20</w:t>
      </w:r>
      <w:r>
        <w:fldChar w:fldCharType="end"/>
      </w:r>
    </w:p>
    <w:p w14:paraId="1BCA23AF">
      <w:pPr>
        <w:pStyle w:val="20"/>
        <w:tabs>
          <w:tab w:val="right" w:leader="dot" w:pos="8306"/>
        </w:tabs>
      </w:pPr>
      <w:r>
        <w:rPr>
          <w:rFonts w:hint="eastAsia" w:ascii="仿宋" w:hAnsi="Cambria" w:eastAsia="仿宋" w:cs="Times New Roman"/>
          <w:bCs/>
          <w:color w:val="000000"/>
          <w:kern w:val="2"/>
          <w:szCs w:val="32"/>
          <w:lang w:val="en-US" w:eastAsia="zh-CN" w:bidi="ar-SA"/>
        </w:rPr>
        <w:t>一、收</w:t>
      </w:r>
      <w:r>
        <w:rPr>
          <w:rFonts w:hint="eastAsia" w:ascii="仿宋" w:hAnsi="Cambria" w:eastAsia="仿宋" w:cs="Times New Roman"/>
          <w:bCs w:val="0"/>
          <w:kern w:val="2"/>
          <w:szCs w:val="32"/>
          <w:lang w:val="en-US" w:eastAsia="zh-CN" w:bidi="ar-SA"/>
        </w:rPr>
        <w:t>入支出决算总表</w:t>
      </w:r>
      <w:r>
        <w:tab/>
      </w:r>
      <w:r>
        <w:fldChar w:fldCharType="begin"/>
      </w:r>
      <w:r>
        <w:instrText xml:space="preserve"> PAGEREF _Toc31486 \h </w:instrText>
      </w:r>
      <w:r>
        <w:fldChar w:fldCharType="separate"/>
      </w:r>
      <w:r>
        <w:t>20</w:t>
      </w:r>
      <w:r>
        <w:fldChar w:fldCharType="end"/>
      </w:r>
    </w:p>
    <w:p w14:paraId="04584AAC">
      <w:pPr>
        <w:pStyle w:val="20"/>
        <w:tabs>
          <w:tab w:val="right" w:leader="dot" w:pos="8306"/>
        </w:tabs>
      </w:pPr>
      <w:r>
        <w:rPr>
          <w:rFonts w:hint="eastAsia" w:ascii="仿宋" w:hAnsi="Cambria" w:eastAsia="仿宋" w:cs="Times New Roman"/>
          <w:bCs/>
          <w:color w:val="000000"/>
          <w:kern w:val="2"/>
          <w:szCs w:val="32"/>
          <w:lang w:val="en-US" w:eastAsia="zh-CN" w:bidi="ar-SA"/>
        </w:rPr>
        <w:t>二、收</w:t>
      </w:r>
      <w:r>
        <w:rPr>
          <w:rFonts w:hint="eastAsia" w:ascii="仿宋" w:hAnsi="Cambria" w:eastAsia="仿宋" w:cs="Times New Roman"/>
          <w:bCs w:val="0"/>
          <w:kern w:val="2"/>
          <w:szCs w:val="32"/>
          <w:lang w:val="en-US" w:eastAsia="zh-CN" w:bidi="ar-SA"/>
        </w:rPr>
        <w:t>入决算表</w:t>
      </w:r>
      <w:r>
        <w:tab/>
      </w:r>
      <w:r>
        <w:fldChar w:fldCharType="begin"/>
      </w:r>
      <w:r>
        <w:instrText xml:space="preserve"> PAGEREF _Toc6181 \h </w:instrText>
      </w:r>
      <w:r>
        <w:fldChar w:fldCharType="separate"/>
      </w:r>
      <w:r>
        <w:t>20</w:t>
      </w:r>
      <w:r>
        <w:fldChar w:fldCharType="end"/>
      </w:r>
    </w:p>
    <w:p w14:paraId="6E59E95C">
      <w:pPr>
        <w:pStyle w:val="20"/>
        <w:tabs>
          <w:tab w:val="right" w:leader="dot" w:pos="8306"/>
        </w:tabs>
      </w:pPr>
      <w:r>
        <w:rPr>
          <w:rFonts w:hint="eastAsia" w:ascii="仿宋" w:hAnsi="Cambria" w:eastAsia="仿宋" w:cs="Times New Roman"/>
          <w:bCs w:val="0"/>
          <w:kern w:val="2"/>
          <w:szCs w:val="32"/>
          <w:lang w:val="en-US" w:eastAsia="zh-CN" w:bidi="ar-SA"/>
        </w:rPr>
        <w:t>三、</w:t>
      </w:r>
      <w:r>
        <w:rPr>
          <w:rFonts w:hint="eastAsia" w:ascii="仿宋" w:hAnsi="Cambria" w:eastAsia="仿宋" w:cs="Times New Roman"/>
          <w:bCs/>
          <w:color w:val="000000"/>
          <w:kern w:val="2"/>
          <w:szCs w:val="32"/>
          <w:lang w:val="en-US" w:eastAsia="zh-CN" w:bidi="ar-SA"/>
        </w:rPr>
        <w:t>支</w:t>
      </w:r>
      <w:r>
        <w:rPr>
          <w:rFonts w:hint="eastAsia" w:ascii="仿宋" w:hAnsi="Cambria" w:eastAsia="仿宋" w:cs="Times New Roman"/>
          <w:bCs w:val="0"/>
          <w:kern w:val="2"/>
          <w:szCs w:val="32"/>
          <w:lang w:val="en-US" w:eastAsia="zh-CN" w:bidi="ar-SA"/>
        </w:rPr>
        <w:t>出决算表</w:t>
      </w:r>
      <w:r>
        <w:tab/>
      </w:r>
      <w:r>
        <w:fldChar w:fldCharType="begin"/>
      </w:r>
      <w:r>
        <w:instrText xml:space="preserve"> PAGEREF _Toc5004 \h </w:instrText>
      </w:r>
      <w:r>
        <w:fldChar w:fldCharType="separate"/>
      </w:r>
      <w:r>
        <w:t>20</w:t>
      </w:r>
      <w:r>
        <w:fldChar w:fldCharType="end"/>
      </w:r>
    </w:p>
    <w:p w14:paraId="22171C77">
      <w:pPr>
        <w:pStyle w:val="20"/>
        <w:tabs>
          <w:tab w:val="right" w:leader="dot" w:pos="8306"/>
        </w:tabs>
      </w:pPr>
      <w:r>
        <w:rPr>
          <w:rFonts w:hint="eastAsia" w:ascii="仿宋" w:hAnsi="Cambria" w:eastAsia="仿宋" w:cs="Times New Roman"/>
          <w:bCs w:val="0"/>
          <w:kern w:val="2"/>
          <w:szCs w:val="32"/>
          <w:lang w:val="en-US" w:eastAsia="zh-CN" w:bidi="ar-SA"/>
        </w:rPr>
        <w:t>四、</w:t>
      </w:r>
      <w:r>
        <w:rPr>
          <w:rFonts w:hint="eastAsia" w:ascii="仿宋" w:hAnsi="Cambria" w:eastAsia="仿宋" w:cs="Times New Roman"/>
          <w:bCs/>
          <w:color w:val="000000"/>
          <w:kern w:val="2"/>
          <w:szCs w:val="32"/>
          <w:lang w:val="en-US" w:eastAsia="zh-CN" w:bidi="ar-SA"/>
        </w:rPr>
        <w:t>财</w:t>
      </w:r>
      <w:r>
        <w:rPr>
          <w:rFonts w:hint="eastAsia" w:ascii="仿宋" w:hAnsi="Cambria" w:eastAsia="仿宋" w:cs="Times New Roman"/>
          <w:bCs w:val="0"/>
          <w:kern w:val="2"/>
          <w:szCs w:val="32"/>
          <w:lang w:val="en-US" w:eastAsia="zh-CN" w:bidi="ar-SA"/>
        </w:rPr>
        <w:t>政拨款收入支出决算总表</w:t>
      </w:r>
      <w:r>
        <w:tab/>
      </w:r>
      <w:r>
        <w:fldChar w:fldCharType="begin"/>
      </w:r>
      <w:r>
        <w:instrText xml:space="preserve"> PAGEREF _Toc29105 \h </w:instrText>
      </w:r>
      <w:r>
        <w:fldChar w:fldCharType="separate"/>
      </w:r>
      <w:r>
        <w:t>20</w:t>
      </w:r>
      <w:r>
        <w:fldChar w:fldCharType="end"/>
      </w:r>
    </w:p>
    <w:p w14:paraId="50CF4BBA">
      <w:pPr>
        <w:pStyle w:val="20"/>
        <w:tabs>
          <w:tab w:val="right" w:leader="dot" w:pos="8306"/>
        </w:tabs>
      </w:pPr>
      <w:r>
        <w:rPr>
          <w:rFonts w:hint="eastAsia" w:ascii="仿宋" w:hAnsi="Cambria" w:eastAsia="仿宋" w:cs="Times New Roman"/>
          <w:bCs w:val="0"/>
          <w:kern w:val="2"/>
          <w:szCs w:val="32"/>
          <w:lang w:val="en-US" w:eastAsia="zh-CN" w:bidi="ar-SA"/>
        </w:rPr>
        <w:t>五、</w:t>
      </w:r>
      <w:r>
        <w:rPr>
          <w:rFonts w:hint="eastAsia" w:ascii="仿宋" w:hAnsi="Cambria" w:eastAsia="仿宋" w:cs="Times New Roman"/>
          <w:bCs/>
          <w:color w:val="000000"/>
          <w:kern w:val="2"/>
          <w:szCs w:val="32"/>
          <w:lang w:val="en-US" w:eastAsia="zh-CN" w:bidi="ar-SA"/>
        </w:rPr>
        <w:t>财</w:t>
      </w:r>
      <w:r>
        <w:rPr>
          <w:rFonts w:hint="eastAsia" w:ascii="仿宋" w:hAnsi="Cambria" w:eastAsia="仿宋" w:cs="Times New Roman"/>
          <w:bCs w:val="0"/>
          <w:kern w:val="2"/>
          <w:szCs w:val="32"/>
          <w:lang w:val="en-US" w:eastAsia="zh-CN" w:bidi="ar-SA"/>
        </w:rPr>
        <w:t>政拨款支出决算明细表</w:t>
      </w:r>
      <w:r>
        <w:tab/>
      </w:r>
      <w:r>
        <w:fldChar w:fldCharType="begin"/>
      </w:r>
      <w:r>
        <w:instrText xml:space="preserve"> PAGEREF _Toc19307 \h </w:instrText>
      </w:r>
      <w:r>
        <w:fldChar w:fldCharType="separate"/>
      </w:r>
      <w:r>
        <w:t>20</w:t>
      </w:r>
      <w:r>
        <w:fldChar w:fldCharType="end"/>
      </w:r>
    </w:p>
    <w:p w14:paraId="4834DEFA">
      <w:pPr>
        <w:pStyle w:val="20"/>
        <w:tabs>
          <w:tab w:val="right" w:leader="dot" w:pos="8306"/>
        </w:tabs>
      </w:pPr>
      <w:r>
        <w:rPr>
          <w:rFonts w:hint="eastAsia" w:ascii="仿宋" w:hAnsi="Cambria" w:eastAsia="仿宋" w:cs="Times New Roman"/>
          <w:bCs w:val="0"/>
          <w:kern w:val="2"/>
          <w:szCs w:val="32"/>
          <w:lang w:val="en-US" w:eastAsia="zh-CN" w:bidi="ar-SA"/>
        </w:rPr>
        <w:t>六、</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般公共预算财政拨款支出决算表</w:t>
      </w:r>
      <w:r>
        <w:tab/>
      </w:r>
      <w:r>
        <w:fldChar w:fldCharType="begin"/>
      </w:r>
      <w:r>
        <w:instrText xml:space="preserve"> PAGEREF _Toc29231 \h </w:instrText>
      </w:r>
      <w:r>
        <w:fldChar w:fldCharType="separate"/>
      </w:r>
      <w:r>
        <w:t>20</w:t>
      </w:r>
      <w:r>
        <w:fldChar w:fldCharType="end"/>
      </w:r>
    </w:p>
    <w:p w14:paraId="4C43CF07">
      <w:pPr>
        <w:pStyle w:val="20"/>
        <w:tabs>
          <w:tab w:val="right" w:leader="dot" w:pos="8306"/>
        </w:tabs>
      </w:pPr>
      <w:r>
        <w:rPr>
          <w:rFonts w:hint="eastAsia" w:ascii="仿宋" w:hAnsi="Cambria" w:eastAsia="仿宋" w:cs="Times New Roman"/>
          <w:bCs w:val="0"/>
          <w:kern w:val="2"/>
          <w:szCs w:val="32"/>
          <w:lang w:val="en-US" w:eastAsia="zh-CN" w:bidi="ar-SA"/>
        </w:rPr>
        <w:t>七、</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般公共预算财政拨款支出决算明细表</w:t>
      </w:r>
      <w:r>
        <w:tab/>
      </w:r>
      <w:r>
        <w:fldChar w:fldCharType="begin"/>
      </w:r>
      <w:r>
        <w:instrText xml:space="preserve"> PAGEREF _Toc28856 \h </w:instrText>
      </w:r>
      <w:r>
        <w:fldChar w:fldCharType="separate"/>
      </w:r>
      <w:r>
        <w:t>20</w:t>
      </w:r>
      <w:r>
        <w:fldChar w:fldCharType="end"/>
      </w:r>
    </w:p>
    <w:p w14:paraId="1E223501">
      <w:pPr>
        <w:pStyle w:val="20"/>
        <w:tabs>
          <w:tab w:val="right" w:leader="dot" w:pos="8306"/>
        </w:tabs>
      </w:pPr>
      <w:r>
        <w:rPr>
          <w:rFonts w:hint="eastAsia" w:ascii="仿宋" w:hAnsi="Cambria" w:eastAsia="仿宋" w:cs="Times New Roman"/>
          <w:bCs w:val="0"/>
          <w:kern w:val="2"/>
          <w:szCs w:val="32"/>
          <w:lang w:val="en-US" w:eastAsia="zh-CN" w:bidi="ar-SA"/>
        </w:rPr>
        <w:t>八、</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般公共预算财政拨款基本支出决算表</w:t>
      </w:r>
      <w:r>
        <w:tab/>
      </w:r>
      <w:r>
        <w:fldChar w:fldCharType="begin"/>
      </w:r>
      <w:r>
        <w:instrText xml:space="preserve"> PAGEREF _Toc12433 \h </w:instrText>
      </w:r>
      <w:r>
        <w:fldChar w:fldCharType="separate"/>
      </w:r>
      <w:r>
        <w:t>20</w:t>
      </w:r>
      <w:r>
        <w:fldChar w:fldCharType="end"/>
      </w:r>
    </w:p>
    <w:p w14:paraId="79A14E84">
      <w:pPr>
        <w:pStyle w:val="20"/>
        <w:tabs>
          <w:tab w:val="right" w:leader="dot" w:pos="8306"/>
        </w:tabs>
      </w:pPr>
      <w:r>
        <w:rPr>
          <w:rFonts w:hint="eastAsia" w:ascii="仿宋" w:hAnsi="Cambria" w:eastAsia="仿宋" w:cs="Times New Roman"/>
          <w:bCs w:val="0"/>
          <w:kern w:val="2"/>
          <w:szCs w:val="32"/>
          <w:lang w:val="en-US" w:eastAsia="zh-CN" w:bidi="ar-SA"/>
        </w:rPr>
        <w:t>九、</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般公共预算财政拨款项目支出决算表</w:t>
      </w:r>
      <w:r>
        <w:tab/>
      </w:r>
      <w:r>
        <w:fldChar w:fldCharType="begin"/>
      </w:r>
      <w:r>
        <w:instrText xml:space="preserve"> PAGEREF _Toc17116 \h </w:instrText>
      </w:r>
      <w:r>
        <w:fldChar w:fldCharType="separate"/>
      </w:r>
      <w:r>
        <w:t>20</w:t>
      </w:r>
      <w:r>
        <w:fldChar w:fldCharType="end"/>
      </w:r>
    </w:p>
    <w:p w14:paraId="0BE3FC7D">
      <w:pPr>
        <w:pStyle w:val="20"/>
        <w:tabs>
          <w:tab w:val="right" w:leader="dot" w:pos="8306"/>
        </w:tabs>
      </w:pPr>
      <w:r>
        <w:rPr>
          <w:rFonts w:hint="eastAsia" w:ascii="仿宋" w:hAnsi="Cambria" w:eastAsia="仿宋" w:cs="Times New Roman"/>
          <w:bCs w:val="0"/>
          <w:kern w:val="2"/>
          <w:szCs w:val="32"/>
          <w:lang w:val="en-US" w:eastAsia="zh-CN" w:bidi="ar-SA"/>
        </w:rPr>
        <w:t>十、</w:t>
      </w:r>
      <w:r>
        <w:rPr>
          <w:rFonts w:hint="eastAsia" w:ascii="仿宋" w:hAnsi="Cambria" w:eastAsia="仿宋" w:cs="Times New Roman"/>
          <w:bCs/>
          <w:color w:val="000000"/>
          <w:kern w:val="2"/>
          <w:szCs w:val="32"/>
          <w:lang w:val="en-US" w:eastAsia="zh-CN" w:bidi="ar-SA"/>
        </w:rPr>
        <w:t>政</w:t>
      </w:r>
      <w:r>
        <w:rPr>
          <w:rFonts w:hint="eastAsia" w:ascii="仿宋" w:hAnsi="Cambria" w:eastAsia="仿宋" w:cs="Times New Roman"/>
          <w:bCs w:val="0"/>
          <w:kern w:val="2"/>
          <w:szCs w:val="32"/>
          <w:lang w:val="en-US" w:eastAsia="zh-CN" w:bidi="ar-SA"/>
        </w:rPr>
        <w:t>府性基金预算财政拨款收入支出决算表</w:t>
      </w:r>
      <w:r>
        <w:tab/>
      </w:r>
      <w:r>
        <w:fldChar w:fldCharType="begin"/>
      </w:r>
      <w:r>
        <w:instrText xml:space="preserve"> PAGEREF _Toc18920 \h </w:instrText>
      </w:r>
      <w:r>
        <w:fldChar w:fldCharType="separate"/>
      </w:r>
      <w:r>
        <w:t>20</w:t>
      </w:r>
      <w:r>
        <w:fldChar w:fldCharType="end"/>
      </w:r>
    </w:p>
    <w:p w14:paraId="2A2A6AB2">
      <w:pPr>
        <w:pStyle w:val="20"/>
        <w:tabs>
          <w:tab w:val="right" w:leader="dot" w:pos="8306"/>
        </w:tabs>
      </w:pPr>
      <w:r>
        <w:rPr>
          <w:rFonts w:hint="eastAsia" w:ascii="仿宋" w:hAnsi="Cambria" w:eastAsia="仿宋" w:cs="Times New Roman"/>
          <w:bCs w:val="0"/>
          <w:kern w:val="2"/>
          <w:szCs w:val="32"/>
          <w:lang w:val="en-US" w:eastAsia="zh-CN" w:bidi="ar-SA"/>
        </w:rPr>
        <w:t>十一、</w:t>
      </w:r>
      <w:r>
        <w:rPr>
          <w:rFonts w:hint="eastAsia" w:ascii="仿宋" w:hAnsi="Cambria" w:eastAsia="仿宋" w:cs="Times New Roman"/>
          <w:bCs/>
          <w:color w:val="000000"/>
          <w:kern w:val="2"/>
          <w:szCs w:val="32"/>
          <w:lang w:val="en-US" w:eastAsia="zh-CN" w:bidi="ar-SA"/>
        </w:rPr>
        <w:t>国</w:t>
      </w:r>
      <w:r>
        <w:rPr>
          <w:rFonts w:hint="eastAsia" w:ascii="仿宋" w:hAnsi="Cambria" w:eastAsia="仿宋" w:cs="Times New Roman"/>
          <w:bCs w:val="0"/>
          <w:kern w:val="2"/>
          <w:szCs w:val="32"/>
          <w:lang w:val="en-US" w:eastAsia="zh-CN" w:bidi="ar-SA"/>
        </w:rPr>
        <w:t>有资本经营预算财政拨款收入支出决算表</w:t>
      </w:r>
      <w:r>
        <w:tab/>
      </w:r>
      <w:r>
        <w:fldChar w:fldCharType="begin"/>
      </w:r>
      <w:r>
        <w:instrText xml:space="preserve"> PAGEREF _Toc8364 \h </w:instrText>
      </w:r>
      <w:r>
        <w:fldChar w:fldCharType="separate"/>
      </w:r>
      <w:r>
        <w:t>20</w:t>
      </w:r>
      <w:r>
        <w:fldChar w:fldCharType="end"/>
      </w:r>
    </w:p>
    <w:p w14:paraId="3B8280C7">
      <w:pPr>
        <w:pStyle w:val="20"/>
        <w:tabs>
          <w:tab w:val="right" w:leader="dot" w:pos="8306"/>
        </w:tabs>
      </w:pPr>
      <w:r>
        <w:rPr>
          <w:rFonts w:hint="eastAsia" w:ascii="仿宋" w:hAnsi="Cambria" w:eastAsia="仿宋" w:cs="Times New Roman"/>
          <w:bCs w:val="0"/>
          <w:kern w:val="2"/>
          <w:szCs w:val="32"/>
          <w:lang w:val="en-US" w:eastAsia="zh-CN" w:bidi="ar-SA"/>
        </w:rPr>
        <w:t>十二、国有资本经营预算财政拨款支出决算表</w:t>
      </w:r>
      <w:r>
        <w:tab/>
      </w:r>
      <w:r>
        <w:fldChar w:fldCharType="begin"/>
      </w:r>
      <w:r>
        <w:instrText xml:space="preserve"> PAGEREF _Toc10137 \h </w:instrText>
      </w:r>
      <w:r>
        <w:fldChar w:fldCharType="separate"/>
      </w:r>
      <w:r>
        <w:t>20</w:t>
      </w:r>
      <w:r>
        <w:fldChar w:fldCharType="end"/>
      </w:r>
    </w:p>
    <w:p w14:paraId="3A1FCAF2">
      <w:r>
        <w:rPr>
          <w:rFonts w:asciiTheme="minorHAnsi" w:eastAsiaTheme="minorHAnsi"/>
          <w:bCs/>
          <w:caps/>
          <w:szCs w:val="20"/>
        </w:rPr>
        <w:fldChar w:fldCharType="end"/>
      </w:r>
    </w:p>
    <w:p w14:paraId="047A4734">
      <w:pPr>
        <w:pStyle w:val="2"/>
        <w:jc w:val="center"/>
        <w:rPr>
          <w:rFonts w:hint="eastAsia" w:ascii="黑体" w:hAnsi="黑体" w:eastAsia="黑体"/>
          <w:b w:val="0"/>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bookmarkStart w:id="1" w:name="_Toc79163601"/>
      <w:bookmarkStart w:id="2" w:name="_Toc29378"/>
      <w:bookmarkStart w:id="3" w:name="_Toc15377196"/>
      <w:bookmarkStart w:id="4" w:name="_Toc15396599"/>
    </w:p>
    <w:p w14:paraId="5F352073">
      <w:pPr>
        <w:pStyle w:val="2"/>
        <w:jc w:val="center"/>
        <w:rPr>
          <w:rStyle w:val="29"/>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9"/>
          <w:rFonts w:hint="eastAsia" w:ascii="黑体" w:hAnsi="黑体" w:eastAsia="黑体"/>
          <w:b w:val="0"/>
          <w:bCs w:val="0"/>
        </w:rPr>
        <w:t>部门概况</w:t>
      </w:r>
      <w:bookmarkEnd w:id="1"/>
      <w:bookmarkEnd w:id="2"/>
      <w:bookmarkEnd w:id="3"/>
      <w:bookmarkEnd w:id="4"/>
    </w:p>
    <w:p w14:paraId="43A0E4F0">
      <w:pPr>
        <w:widowControl/>
        <w:jc w:val="left"/>
        <w:rPr>
          <w:rFonts w:ascii="黑体" w:eastAsia="黑体"/>
          <w:color w:val="000000"/>
          <w:sz w:val="32"/>
          <w:szCs w:val="32"/>
        </w:rPr>
      </w:pPr>
    </w:p>
    <w:p w14:paraId="7290AF53">
      <w:pPr>
        <w:pStyle w:val="3"/>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30"/>
          <w:rFonts w:hint="eastAsia" w:ascii="黑体" w:hAnsi="黑体" w:eastAsia="黑体"/>
          <w:b w:val="0"/>
          <w:bCs w:val="0"/>
          <w:lang w:val="en-US" w:eastAsia="zh-CN"/>
        </w:rPr>
      </w:pPr>
      <w:bookmarkStart w:id="5" w:name="_Toc21186"/>
      <w:bookmarkStart w:id="6" w:name="_Toc15396600"/>
      <w:bookmarkStart w:id="7" w:name="_Toc15377197"/>
      <w:bookmarkStart w:id="8" w:name="_Toc79163602"/>
      <w:r>
        <w:rPr>
          <w:rStyle w:val="30"/>
          <w:rFonts w:hint="eastAsia" w:ascii="黑体" w:hAnsi="黑体" w:eastAsia="黑体"/>
          <w:b w:val="0"/>
          <w:bCs w:val="0"/>
          <w:lang w:val="en-US" w:eastAsia="zh-CN"/>
        </w:rPr>
        <w:t>部门职责</w:t>
      </w:r>
      <w:bookmarkEnd w:id="5"/>
      <w:bookmarkEnd w:id="6"/>
      <w:bookmarkEnd w:id="7"/>
      <w:bookmarkEnd w:id="8"/>
      <w:bookmarkStart w:id="9" w:name="_Toc15377198"/>
      <w:bookmarkStart w:id="10" w:name="_Toc15378445"/>
    </w:p>
    <w:bookmarkEnd w:id="9"/>
    <w:bookmarkEnd w:id="10"/>
    <w:p w14:paraId="1F998B82">
      <w:pPr>
        <w:pStyle w:val="6"/>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依法加强寺庙宗教事务管理：严守法律底线，坚决把以寺庙、僧人、宗教佛事活动管理为重点的宗教事务管理纳入依法管理轨道，牢牢掌握寺庙领导权和管理权，做到不发生重大责任事故和稳定责任事故。</w:t>
      </w:r>
    </w:p>
    <w:p w14:paraId="41B3BD10">
      <w:pPr>
        <w:pStyle w:val="6"/>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sz w:val="32"/>
          <w:szCs w:val="32"/>
          <w:lang w:val="en-US" w:eastAsia="zh-CN"/>
        </w:rPr>
        <w:t>加强教育引导：以增强僧人法治意识、公民意识、政府意识、祖国意识为目的，坚持不懈加强对僧人的教育引导</w:t>
      </w:r>
      <w:r>
        <w:rPr>
          <w:rFonts w:hint="eastAsia" w:hAnsi="Times New Roman" w:cs="Times New Roman"/>
          <w:sz w:val="32"/>
          <w:szCs w:val="32"/>
          <w:lang w:eastAsia="zh-CN"/>
        </w:rPr>
        <w:t>。</w:t>
      </w:r>
    </w:p>
    <w:p w14:paraId="296F9B8C">
      <w:pPr>
        <w:pStyle w:val="3"/>
        <w:pageBreakBefore w:val="0"/>
        <w:widowControl w:val="0"/>
        <w:kinsoku/>
        <w:wordWrap/>
        <w:overflowPunct/>
        <w:topLinePunct w:val="0"/>
        <w:bidi w:val="0"/>
        <w:spacing w:line="560" w:lineRule="exact"/>
        <w:ind w:firstLine="640" w:firstLineChars="200"/>
        <w:textAlignment w:val="auto"/>
        <w:rPr>
          <w:rStyle w:val="30"/>
          <w:b w:val="0"/>
          <w:bCs w:val="0"/>
        </w:rPr>
      </w:pPr>
      <w:bookmarkStart w:id="11" w:name="_Toc15377200"/>
      <w:bookmarkStart w:id="12" w:name="_Toc19752"/>
      <w:bookmarkStart w:id="13" w:name="_Toc15396601"/>
      <w:bookmarkStart w:id="14" w:name="_Toc79163605"/>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11"/>
      <w:bookmarkEnd w:id="12"/>
      <w:bookmarkEnd w:id="13"/>
      <w:bookmarkEnd w:id="14"/>
    </w:p>
    <w:p w14:paraId="42A298A3">
      <w:pPr>
        <w:pStyle w:val="6"/>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15" w:name="_Toc10699"/>
      <w:bookmarkStart w:id="16" w:name="_Toc30939"/>
      <w:bookmarkStart w:id="17" w:name="_Toc12356"/>
      <w:r>
        <w:rPr>
          <w:rFonts w:hint="eastAsia" w:hAnsi="仿宋" w:cs="Times New Roman"/>
          <w:b w:val="0"/>
          <w:bCs w:val="0"/>
          <w:kern w:val="2"/>
          <w:sz w:val="32"/>
          <w:szCs w:val="32"/>
          <w:highlight w:val="none"/>
          <w:lang w:val="en-US" w:eastAsia="zh-CN" w:bidi="ar-SA"/>
        </w:rPr>
        <w:t>阿坝州壤塘县三郎寺寺庙管理委员会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15"/>
      <w:bookmarkEnd w:id="16"/>
      <w:bookmarkEnd w:id="17"/>
    </w:p>
    <w:p w14:paraId="37EA6E69">
      <w:pPr>
        <w:pStyle w:val="2"/>
        <w:pageBreakBefore w:val="0"/>
        <w:widowControl w:val="0"/>
        <w:kinsoku/>
        <w:wordWrap/>
        <w:overflowPunct/>
        <w:topLinePunct w:val="0"/>
        <w:bidi w:val="0"/>
        <w:spacing w:line="560" w:lineRule="exact"/>
        <w:ind w:right="440"/>
        <w:jc w:val="right"/>
        <w:textAlignment w:val="auto"/>
        <w:rPr>
          <w:rStyle w:val="29"/>
          <w:rFonts w:ascii="黑体" w:hAnsi="黑体" w:eastAsia="黑体"/>
          <w:b w:val="0"/>
          <w:bCs w:val="0"/>
        </w:rPr>
      </w:pPr>
      <w:bookmarkStart w:id="18" w:name="_Toc15396602"/>
      <w:bookmarkStart w:id="19" w:name="_Toc79163609"/>
      <w:bookmarkStart w:id="20" w:name="_Toc15377204"/>
      <w:bookmarkStart w:id="21" w:name="_Toc23287"/>
      <w:r>
        <w:rPr>
          <w:rFonts w:hint="eastAsia" w:ascii="黑体" w:hAnsi="黑体" w:eastAsia="黑体"/>
          <w:b w:val="0"/>
          <w:color w:val="000000"/>
        </w:rPr>
        <w:t>第二部分</w:t>
      </w:r>
      <w:r>
        <w:rPr>
          <w:rFonts w:ascii="黑体" w:hAnsi="黑体" w:eastAsia="黑体"/>
          <w:color w:val="000000"/>
        </w:rPr>
        <w:t xml:space="preserve"> </w:t>
      </w:r>
      <w:r>
        <w:rPr>
          <w:rStyle w:val="29"/>
          <w:rFonts w:hint="eastAsia" w:ascii="黑体" w:hAnsi="黑体" w:eastAsia="黑体"/>
          <w:b w:val="0"/>
          <w:bCs w:val="0"/>
          <w:lang w:eastAsia="zh-CN"/>
        </w:rPr>
        <w:t>2024年</w:t>
      </w:r>
      <w:r>
        <w:rPr>
          <w:rStyle w:val="29"/>
          <w:rFonts w:hint="eastAsia" w:ascii="黑体" w:hAnsi="黑体" w:eastAsia="黑体"/>
          <w:b w:val="0"/>
          <w:bCs w:val="0"/>
        </w:rPr>
        <w:t>度部门决算情况说明</w:t>
      </w:r>
      <w:bookmarkEnd w:id="18"/>
      <w:bookmarkEnd w:id="19"/>
      <w:bookmarkEnd w:id="20"/>
      <w:bookmarkEnd w:id="21"/>
    </w:p>
    <w:p w14:paraId="0E2B25AB">
      <w:pPr>
        <w:pStyle w:val="3"/>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bookmarkStart w:id="22" w:name="_Toc5625"/>
      <w:r>
        <w:rPr>
          <w:rFonts w:hint="eastAsia" w:ascii="黑体" w:hAnsi="黑体" w:eastAsia="黑体" w:cs="黑体"/>
          <w:lang w:val="en-US" w:eastAsia="zh-CN"/>
        </w:rPr>
        <w:t>一、收入支出决算总体情况说明</w:t>
      </w:r>
      <w:bookmarkEnd w:id="22"/>
    </w:p>
    <w:p w14:paraId="0BCA08ED">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2024年度收入总计207.19万元，与2023年相比，增加22.26万元，增长12.04%。 2024年支出总计207.19万元，与2023年相比，增加22.26万元，增长12.04%。主要变动原因:本年度业务活动增加，相应收支增加。</w:t>
      </w:r>
    </w:p>
    <w:p w14:paraId="77697E69">
      <w:pPr>
        <w:pStyle w:val="22"/>
        <w:keepNext w:val="0"/>
        <w:keepLines w:val="0"/>
        <w:widowControl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2"/>
          <w:sz w:val="21"/>
          <w:szCs w:val="21"/>
        </w:rPr>
      </w:pPr>
      <w:r>
        <w:drawing>
          <wp:inline distT="0" distB="0" distL="114300" distR="114300">
            <wp:extent cx="4134485" cy="2405380"/>
            <wp:effectExtent l="4445" t="4445" r="13970" b="9525"/>
            <wp:docPr id="135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drawing>
          <wp:inline distT="0" distB="0" distL="114300" distR="114300">
            <wp:extent cx="4062730" cy="2372360"/>
            <wp:effectExtent l="4445" t="4445" r="9525" b="23495"/>
            <wp:docPr id="134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5B4930">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14:paraId="1B8284C8">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bookmarkStart w:id="23" w:name="_Toc25939"/>
      <w:r>
        <w:rPr>
          <w:rFonts w:hint="eastAsia" w:ascii="黑体" w:hAnsi="黑体" w:eastAsia="黑体" w:cs="Times New Roman"/>
          <w:b w:val="0"/>
          <w:bCs w:val="0"/>
          <w:color w:val="000000"/>
          <w:kern w:val="2"/>
          <w:sz w:val="32"/>
          <w:szCs w:val="32"/>
          <w:lang w:val="en-US" w:eastAsia="zh-CN" w:bidi="ar-SA"/>
        </w:rPr>
        <w:t>二、收入决算情况说明</w:t>
      </w:r>
      <w:bookmarkEnd w:id="23"/>
    </w:p>
    <w:p w14:paraId="0A24FC92">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2024年</w:t>
      </w:r>
      <w:r>
        <w:rPr>
          <w:rFonts w:hint="eastAsia" w:ascii="仿宋" w:hAnsi="仿宋" w:eastAsia="仿宋" w:cs="仿宋"/>
          <w:color w:val="000000"/>
          <w:kern w:val="2"/>
          <w:sz w:val="32"/>
          <w:szCs w:val="32"/>
          <w:lang w:val="en-US" w:eastAsia="zh-CN" w:bidi="ar"/>
        </w:rPr>
        <w:t>本年收入合计207.19万元，其中：一般公共预算财政拨款收入207.19万元，占100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14:paraId="5BD33A40">
      <w:pPr>
        <w:pStyle w:val="22"/>
        <w:keepNext w:val="0"/>
        <w:keepLines w:val="0"/>
        <w:widowControl w:val="0"/>
        <w:suppressLineNumbers w:val="0"/>
        <w:spacing w:before="0" w:beforeAutospacing="1" w:after="120" w:afterAutospacing="0" w:line="360" w:lineRule="auto"/>
        <w:ind w:left="0" w:leftChars="0" w:right="0" w:firstLine="420" w:firstLineChars="200"/>
        <w:jc w:val="center"/>
        <w:rPr>
          <w:rFonts w:hint="default" w:ascii="Times New Roman" w:hAnsi="Times New Roman" w:eastAsia="宋体" w:cs="Times New Roman"/>
          <w:kern w:val="2"/>
          <w:sz w:val="21"/>
          <w:szCs w:val="21"/>
        </w:rPr>
      </w:pPr>
      <w:r>
        <w:drawing>
          <wp:inline distT="0" distB="0" distL="114300" distR="114300">
            <wp:extent cx="3620135" cy="2018030"/>
            <wp:effectExtent l="5080" t="4445" r="13335" b="15875"/>
            <wp:docPr id="135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801C4E">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14:paraId="4BBB0F09">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bookmarkStart w:id="24" w:name="_Toc11538"/>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bookmarkEnd w:id="24"/>
    </w:p>
    <w:p w14:paraId="2D52F7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bidi="ar"/>
        </w:rPr>
        <w:t>2024年</w:t>
      </w:r>
      <w:r>
        <w:rPr>
          <w:rFonts w:hint="default" w:ascii="仿宋_GB2312" w:hAnsi="Times New Roman" w:eastAsia="仿宋_GB2312" w:cs="仿宋_GB2312"/>
          <w:kern w:val="2"/>
          <w:sz w:val="32"/>
          <w:szCs w:val="32"/>
          <w:lang w:val="en-US" w:eastAsia="zh-CN" w:bidi="ar"/>
        </w:rPr>
        <w:t>本年支出合计</w:t>
      </w:r>
      <w:r>
        <w:rPr>
          <w:rFonts w:hint="eastAsia" w:ascii="仿宋_GB2312" w:eastAsia="仿宋_GB2312" w:cs="仿宋_GB2312"/>
          <w:kern w:val="2"/>
          <w:sz w:val="32"/>
          <w:szCs w:val="32"/>
          <w:lang w:val="en-US" w:eastAsia="zh-CN" w:bidi="ar"/>
        </w:rPr>
        <w:t>207.19万</w:t>
      </w:r>
      <w:r>
        <w:rPr>
          <w:rFonts w:hint="default" w:ascii="仿宋_GB2312" w:hAnsi="Times New Roman" w:eastAsia="仿宋_GB2312" w:cs="仿宋_GB2312"/>
          <w:kern w:val="2"/>
          <w:sz w:val="32"/>
          <w:szCs w:val="32"/>
          <w:lang w:val="en-US" w:eastAsia="zh-CN" w:bidi="ar"/>
        </w:rPr>
        <w:t>元</w:t>
      </w:r>
      <w:r>
        <w:rPr>
          <w:rFonts w:hint="eastAsia" w:ascii="仿宋_GB2312" w:eastAsia="仿宋_GB2312"/>
          <w:sz w:val="32"/>
          <w:szCs w:val="32"/>
        </w:rPr>
        <w:t>，其中：基本支出</w:t>
      </w:r>
      <w:r>
        <w:rPr>
          <w:rFonts w:hint="eastAsia" w:ascii="仿宋_GB2312" w:eastAsia="仿宋_GB2312"/>
          <w:sz w:val="32"/>
          <w:szCs w:val="32"/>
          <w:lang w:val="en-US" w:eastAsia="zh-CN"/>
        </w:rPr>
        <w:t>204.22</w:t>
      </w:r>
      <w:r>
        <w:rPr>
          <w:rFonts w:hint="eastAsia" w:ascii="仿宋_GB2312" w:eastAsia="仿宋_GB2312"/>
          <w:sz w:val="32"/>
          <w:szCs w:val="32"/>
        </w:rPr>
        <w:t>万元，占</w:t>
      </w:r>
      <w:r>
        <w:rPr>
          <w:rFonts w:hint="eastAsia" w:ascii="仿宋_GB2312" w:eastAsia="仿宋_GB2312"/>
          <w:sz w:val="32"/>
          <w:szCs w:val="32"/>
          <w:lang w:val="en-US" w:eastAsia="zh-CN"/>
        </w:rPr>
        <w:t>98.57</w:t>
      </w:r>
      <w:r>
        <w:rPr>
          <w:rFonts w:hint="eastAsia" w:ascii="仿宋_GB2312" w:eastAsia="仿宋_GB2312"/>
          <w:sz w:val="32"/>
          <w:szCs w:val="32"/>
        </w:rPr>
        <w:t>%；项目支出</w:t>
      </w:r>
      <w:r>
        <w:rPr>
          <w:rFonts w:hint="eastAsia" w:ascii="仿宋_GB2312" w:eastAsia="仿宋_GB2312"/>
          <w:sz w:val="32"/>
          <w:szCs w:val="32"/>
          <w:lang w:val="en-US" w:eastAsia="zh-CN"/>
        </w:rPr>
        <w:t>2.96</w:t>
      </w:r>
      <w:r>
        <w:rPr>
          <w:rFonts w:hint="eastAsia" w:ascii="仿宋_GB2312" w:eastAsia="仿宋_GB2312"/>
          <w:sz w:val="32"/>
          <w:szCs w:val="32"/>
        </w:rPr>
        <w:t>万元，占</w:t>
      </w:r>
      <w:r>
        <w:rPr>
          <w:rFonts w:hint="eastAsia" w:ascii="仿宋_GB2312" w:eastAsia="仿宋_GB2312"/>
          <w:sz w:val="32"/>
          <w:szCs w:val="32"/>
          <w:lang w:val="en-US" w:eastAsia="zh-CN"/>
        </w:rPr>
        <w:t>1.43</w:t>
      </w:r>
      <w:r>
        <w:rPr>
          <w:rFonts w:ascii="仿宋_GB2312" w:eastAsia="仿宋_GB2312"/>
          <w:sz w:val="32"/>
          <w:szCs w:val="32"/>
        </w:rPr>
        <w:t>%</w:t>
      </w:r>
      <w:r>
        <w:rPr>
          <w:rFonts w:hint="eastAsia" w:ascii="仿宋_GB2312" w:eastAsia="仿宋_GB2312"/>
          <w:sz w:val="32"/>
          <w:szCs w:val="32"/>
        </w:rPr>
        <w:t>。</w:t>
      </w:r>
    </w:p>
    <w:p w14:paraId="06F0BA84">
      <w:pPr>
        <w:pStyle w:val="8"/>
        <w:jc w:val="center"/>
        <w:rPr>
          <w:rFonts w:ascii="仿宋" w:hAnsi="仿宋" w:eastAsia="仿宋"/>
          <w:color w:val="000000"/>
          <w:sz w:val="32"/>
          <w:szCs w:val="32"/>
          <w:shd w:val="pct10" w:color="auto" w:fill="FFFFFF"/>
        </w:rPr>
      </w:pPr>
      <w:r>
        <w:drawing>
          <wp:inline distT="0" distB="0" distL="114300" distR="114300">
            <wp:extent cx="3658870" cy="2108200"/>
            <wp:effectExtent l="4445" t="4445" r="13335" b="20955"/>
            <wp:docPr id="134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3548BA">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36FCC029">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14:paraId="768E211E">
      <w:pPr>
        <w:pageBreakBefore w:val="0"/>
        <w:widowControl w:val="0"/>
        <w:kinsoku/>
        <w:wordWrap/>
        <w:overflowPunct/>
        <w:topLinePunct w:val="0"/>
        <w:bidi w:val="0"/>
        <w:spacing w:line="560" w:lineRule="exact"/>
        <w:ind w:firstLine="640" w:firstLineChars="200"/>
        <w:textAlignment w:val="auto"/>
        <w:outlineLvl w:val="1"/>
        <w:rPr>
          <w:rStyle w:val="30"/>
          <w:rFonts w:ascii="黑体" w:hAnsi="黑体" w:eastAsia="黑体"/>
          <w:b w:val="0"/>
        </w:rPr>
      </w:pPr>
      <w:bookmarkStart w:id="25" w:name="_Toc20383"/>
      <w:bookmarkStart w:id="26" w:name="_Toc15377208"/>
      <w:bookmarkStart w:id="27" w:name="_Toc15396606"/>
      <w:bookmarkStart w:id="28" w:name="_Toc79163613"/>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25"/>
      <w:bookmarkEnd w:id="26"/>
      <w:bookmarkEnd w:id="27"/>
      <w:bookmarkEnd w:id="28"/>
    </w:p>
    <w:p w14:paraId="22F69DD2">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207.19万元，与2023年相比，</w:t>
      </w:r>
      <w:r>
        <w:rPr>
          <w:rFonts w:hint="eastAsia" w:ascii="仿宋" w:hAnsi="仿宋" w:eastAsia="仿宋" w:cs="仿宋"/>
          <w:color w:val="000000"/>
          <w:kern w:val="2"/>
          <w:sz w:val="32"/>
          <w:szCs w:val="32"/>
          <w:lang w:val="en-US" w:eastAsia="zh-CN" w:bidi="ar"/>
        </w:rPr>
        <w:t>增加22.26万元，增长12.04%。</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lang w:eastAsia="zh-CN"/>
        </w:rPr>
        <w:t>2024年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207.19万元。与2023年相比，</w:t>
      </w:r>
      <w:r>
        <w:rPr>
          <w:rFonts w:hint="eastAsia" w:ascii="仿宋" w:hAnsi="仿宋" w:eastAsia="仿宋" w:cs="仿宋"/>
          <w:color w:val="000000"/>
          <w:kern w:val="2"/>
          <w:sz w:val="32"/>
          <w:szCs w:val="32"/>
          <w:lang w:val="en-US" w:eastAsia="zh-CN" w:bidi="ar"/>
        </w:rPr>
        <w:t>增加22.26万元，增长12.04%。主要变动原因：本年度业务活动增加，相应收支增加</w:t>
      </w:r>
      <w:r>
        <w:rPr>
          <w:rFonts w:hint="eastAsia" w:ascii="仿宋" w:hAnsi="仿宋" w:eastAsia="仿宋"/>
          <w:color w:val="000000"/>
          <w:sz w:val="32"/>
          <w:szCs w:val="32"/>
          <w:lang w:eastAsia="zh-CN"/>
        </w:rPr>
        <w:t>。</w:t>
      </w:r>
    </w:p>
    <w:p w14:paraId="45A6A886">
      <w:pPr>
        <w:pStyle w:val="8"/>
        <w:jc w:val="center"/>
        <w:rPr>
          <w:rFonts w:ascii="仿宋" w:hAnsi="仿宋" w:eastAsia="仿宋"/>
          <w:color w:val="000000"/>
          <w:sz w:val="32"/>
          <w:szCs w:val="32"/>
        </w:rPr>
      </w:pPr>
      <w:r>
        <w:drawing>
          <wp:inline distT="0" distB="0" distL="114300" distR="114300">
            <wp:extent cx="4208780" cy="2156460"/>
            <wp:effectExtent l="4445" t="4445" r="15875" b="10795"/>
            <wp:docPr id="134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hint="eastAsia"/>
          <w:lang w:val="en-US" w:eastAsia="zh-CN"/>
        </w:rPr>
        <w:t xml:space="preserve">   </w:t>
      </w:r>
      <w:r>
        <w:drawing>
          <wp:inline distT="0" distB="0" distL="114300" distR="114300">
            <wp:extent cx="4340860" cy="2025650"/>
            <wp:effectExtent l="4445" t="4445" r="17145" b="8255"/>
            <wp:docPr id="134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CAB9C0">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1A18599F">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14:paraId="5CA99049">
      <w:pPr>
        <w:pageBreakBefore w:val="0"/>
        <w:widowControl w:val="0"/>
        <w:kinsoku/>
        <w:wordWrap/>
        <w:overflowPunct/>
        <w:topLinePunct w:val="0"/>
        <w:bidi w:val="0"/>
        <w:spacing w:line="560" w:lineRule="exact"/>
        <w:ind w:firstLine="640" w:firstLineChars="200"/>
        <w:textAlignment w:val="auto"/>
        <w:outlineLvl w:val="1"/>
        <w:rPr>
          <w:rStyle w:val="30"/>
          <w:rFonts w:ascii="黑体" w:hAnsi="黑体" w:eastAsia="黑体"/>
          <w:b w:val="0"/>
        </w:rPr>
      </w:pPr>
      <w:bookmarkStart w:id="29" w:name="_Toc26894"/>
      <w:bookmarkStart w:id="30" w:name="_Toc15396607"/>
      <w:bookmarkStart w:id="31" w:name="_Toc15377209"/>
      <w:bookmarkStart w:id="32"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29"/>
      <w:bookmarkEnd w:id="30"/>
      <w:bookmarkEnd w:id="31"/>
      <w:bookmarkEnd w:id="32"/>
    </w:p>
    <w:p w14:paraId="7EF85C12">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33" w:name="_Toc3631"/>
      <w:bookmarkStart w:id="34" w:name="_Toc79163615"/>
      <w:bookmarkStart w:id="35" w:name="_Toc15377210"/>
      <w:r>
        <w:rPr>
          <w:rFonts w:hint="eastAsia" w:ascii="仿宋" w:hAnsi="仿宋" w:eastAsia="仿宋"/>
          <w:b/>
          <w:color w:val="000000"/>
          <w:sz w:val="32"/>
          <w:szCs w:val="32"/>
        </w:rPr>
        <w:t>（一）一般公共预算财政拨款支出决算总体情况</w:t>
      </w:r>
      <w:bookmarkEnd w:id="33"/>
      <w:bookmarkEnd w:id="34"/>
      <w:bookmarkEnd w:id="35"/>
    </w:p>
    <w:p w14:paraId="5E4E0681">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207.19万</w:t>
      </w:r>
      <w:r>
        <w:rPr>
          <w:rFonts w:hint="eastAsia" w:ascii="仿宋" w:hAnsi="仿宋" w:eastAsia="仿宋"/>
          <w:color w:val="000000"/>
          <w:sz w:val="32"/>
          <w:szCs w:val="32"/>
        </w:rPr>
        <w:t>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相比，一般公共预算财政拨款</w:t>
      </w:r>
      <w:r>
        <w:rPr>
          <w:rFonts w:hint="eastAsia" w:ascii="仿宋" w:hAnsi="仿宋" w:eastAsia="仿宋" w:cs="仿宋"/>
          <w:color w:val="000000"/>
          <w:kern w:val="2"/>
          <w:sz w:val="32"/>
          <w:szCs w:val="32"/>
          <w:lang w:val="en-US" w:eastAsia="zh-CN" w:bidi="ar"/>
        </w:rPr>
        <w:t>增加22.26万元，增长12.04%。主要变动原因：本年度业务活动增加，相应收支增加</w:t>
      </w:r>
      <w:r>
        <w:rPr>
          <w:rFonts w:hint="eastAsia" w:ascii="仿宋" w:hAnsi="仿宋" w:eastAsia="仿宋"/>
          <w:color w:val="000000"/>
          <w:sz w:val="32"/>
          <w:szCs w:val="32"/>
          <w:lang w:val="en-US" w:eastAsia="zh-CN"/>
        </w:rPr>
        <w:t>。</w:t>
      </w:r>
    </w:p>
    <w:p w14:paraId="4B958B48">
      <w:pPr>
        <w:jc w:val="center"/>
        <w:rPr>
          <w:rFonts w:ascii="仿宋" w:hAnsi="仿宋" w:eastAsia="仿宋"/>
          <w:color w:val="000000"/>
          <w:sz w:val="32"/>
          <w:szCs w:val="32"/>
        </w:rPr>
      </w:pPr>
      <w:r>
        <w:drawing>
          <wp:inline distT="0" distB="0" distL="114300" distR="114300">
            <wp:extent cx="4168140" cy="2200910"/>
            <wp:effectExtent l="4445" t="4445" r="18415" b="23495"/>
            <wp:docPr id="134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5FD671">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1FCD3090">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14:paraId="1A6BAD0D">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36" w:name="_Toc15377211"/>
      <w:bookmarkStart w:id="37" w:name="_Toc79163616"/>
      <w:bookmarkStart w:id="38" w:name="_Toc11374"/>
      <w:r>
        <w:rPr>
          <w:rFonts w:hint="eastAsia" w:ascii="仿宋" w:hAnsi="仿宋" w:eastAsia="仿宋"/>
          <w:b/>
          <w:color w:val="000000"/>
          <w:sz w:val="32"/>
          <w:szCs w:val="32"/>
        </w:rPr>
        <w:t>（二）一般公共预算财政拨款支出决算结构情况</w:t>
      </w:r>
      <w:bookmarkEnd w:id="36"/>
      <w:bookmarkEnd w:id="37"/>
      <w:bookmarkEnd w:id="38"/>
    </w:p>
    <w:p w14:paraId="6F3F97F4">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207.19万</w:t>
      </w:r>
      <w:r>
        <w:rPr>
          <w:rFonts w:hint="eastAsia" w:ascii="仿宋" w:hAnsi="仿宋" w:eastAsia="仿宋"/>
          <w:color w:val="000000"/>
          <w:sz w:val="32"/>
          <w:szCs w:val="32"/>
        </w:rPr>
        <w:t>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color w:val="000000"/>
          <w:sz w:val="32"/>
          <w:szCs w:val="32"/>
        </w:rPr>
        <w:t>153.95万元，占</w:t>
      </w:r>
      <w:r>
        <w:rPr>
          <w:rFonts w:hint="eastAsia" w:ascii="仿宋" w:hAnsi="仿宋" w:eastAsia="仿宋"/>
          <w:color w:val="000000"/>
          <w:sz w:val="32"/>
          <w:szCs w:val="32"/>
          <w:lang w:val="en-US" w:eastAsia="zh-CN"/>
        </w:rPr>
        <w:t>74.3</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rPr>
        <w:t>27.81万元，占</w:t>
      </w:r>
      <w:r>
        <w:rPr>
          <w:rFonts w:hint="eastAsia" w:ascii="仿宋" w:hAnsi="仿宋" w:eastAsia="仿宋"/>
          <w:color w:val="000000"/>
          <w:sz w:val="32"/>
          <w:szCs w:val="32"/>
          <w:lang w:val="en-US" w:eastAsia="zh-CN"/>
        </w:rPr>
        <w:t>13.42</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val="0"/>
          <w:bCs w:val="0"/>
          <w:color w:val="000000"/>
          <w:sz w:val="32"/>
          <w:szCs w:val="32"/>
        </w:rPr>
        <w:t>10.07万</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4.86</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住房保障支出</w:t>
      </w:r>
      <w:r>
        <w:rPr>
          <w:rFonts w:hint="eastAsia" w:ascii="仿宋" w:hAnsi="仿宋" w:eastAsia="仿宋"/>
          <w:b w:val="0"/>
          <w:bCs w:val="0"/>
          <w:color w:val="000000"/>
          <w:sz w:val="32"/>
          <w:szCs w:val="32"/>
          <w:lang w:val="en-US" w:eastAsia="zh-CN"/>
        </w:rPr>
        <w:t>15.36</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占7.41</w:t>
      </w:r>
      <w:r>
        <w:rPr>
          <w:rFonts w:hint="eastAsia" w:ascii="仿宋" w:hAnsi="仿宋" w:eastAsia="仿宋"/>
          <w:color w:val="000000"/>
          <w:sz w:val="32"/>
          <w:szCs w:val="32"/>
          <w:lang w:eastAsia="zh-CN"/>
        </w:rPr>
        <w:t>%。</w:t>
      </w:r>
    </w:p>
    <w:p w14:paraId="6020C94A">
      <w:pPr>
        <w:jc w:val="center"/>
        <w:rPr>
          <w:rFonts w:ascii="仿宋" w:hAnsi="仿宋" w:eastAsia="仿宋"/>
          <w:color w:val="000000"/>
          <w:sz w:val="32"/>
          <w:szCs w:val="32"/>
        </w:rPr>
      </w:pPr>
      <w:r>
        <w:drawing>
          <wp:inline distT="0" distB="0" distL="114300" distR="114300">
            <wp:extent cx="4180840" cy="2260600"/>
            <wp:effectExtent l="4445" t="4445" r="5715" b="20955"/>
            <wp:docPr id="135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28693B">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40AE7809">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14:paraId="0CE7045B">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39" w:name="_Toc15377212"/>
      <w:bookmarkStart w:id="40" w:name="_Toc79163617"/>
      <w:bookmarkStart w:id="41" w:name="_Toc17150"/>
      <w:r>
        <w:rPr>
          <w:rFonts w:hint="eastAsia" w:ascii="仿宋" w:hAnsi="仿宋" w:eastAsia="仿宋"/>
          <w:b/>
          <w:color w:val="000000"/>
          <w:sz w:val="32"/>
          <w:szCs w:val="32"/>
        </w:rPr>
        <w:t>（三）一般公共预算财政拨款支出决算具体情况</w:t>
      </w:r>
      <w:bookmarkEnd w:id="39"/>
      <w:bookmarkEnd w:id="40"/>
      <w:bookmarkEnd w:id="41"/>
    </w:p>
    <w:p w14:paraId="1FAA42BE">
      <w:pPr>
        <w:pageBreakBefore w:val="0"/>
        <w:widowControl w:val="0"/>
        <w:kinsoku/>
        <w:wordWrap/>
        <w:overflowPunct/>
        <w:topLinePunct w:val="0"/>
        <w:bidi w:val="0"/>
        <w:spacing w:line="560" w:lineRule="exact"/>
        <w:ind w:firstLine="643" w:firstLineChars="200"/>
        <w:textAlignment w:val="auto"/>
        <w:rPr>
          <w:rFonts w:hint="eastAsia" w:ascii="仿宋_GB2312" w:eastAsia="仿宋_GB2312"/>
          <w:b/>
          <w:bCs/>
          <w:sz w:val="32"/>
          <w:szCs w:val="32"/>
        </w:rPr>
      </w:pPr>
      <w:bookmarkStart w:id="42" w:name="_Toc15377444"/>
      <w:bookmarkStart w:id="43" w:name="_Toc15378460"/>
      <w:bookmarkStart w:id="44" w:name="_Toc15377213"/>
      <w:r>
        <w:rPr>
          <w:rFonts w:hint="eastAsia" w:ascii="仿宋_GB2312" w:eastAsia="仿宋_GB2312"/>
          <w:b/>
          <w:bCs/>
          <w:sz w:val="32"/>
          <w:szCs w:val="32"/>
          <w:lang w:eastAsia="zh-CN"/>
        </w:rPr>
        <w:t>2024年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207.19万</w:t>
      </w:r>
      <w:r>
        <w:rPr>
          <w:rFonts w:hint="eastAsia" w:ascii="仿宋_GB2312" w:eastAsia="仿宋_GB2312"/>
          <w:b/>
          <w:bCs/>
          <w:sz w:val="32"/>
          <w:szCs w:val="32"/>
          <w:lang w:val="en-US" w:eastAsia="zh-CN"/>
        </w:rPr>
        <w:t>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42"/>
      <w:bookmarkEnd w:id="43"/>
      <w:bookmarkEnd w:id="44"/>
    </w:p>
    <w:p w14:paraId="256378D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仿宋_GB2312" w:hAnsi="仿宋" w:eastAsia="仿宋_GB2312" w:cs="仿宋_GB2312"/>
          <w:b w:val="0"/>
          <w:bCs/>
          <w:color w:val="000000"/>
          <w:kern w:val="2"/>
          <w:sz w:val="32"/>
          <w:szCs w:val="32"/>
          <w:lang w:val="en-US" w:eastAsia="zh-CN" w:bidi="ar"/>
        </w:rPr>
      </w:pPr>
      <w:r>
        <w:rPr>
          <w:rFonts w:hint="eastAsia" w:ascii="仿宋_GB2312" w:hAnsi="仿宋" w:eastAsia="仿宋_GB2312" w:cs="仿宋_GB2312"/>
          <w:b/>
          <w:bCs w:val="0"/>
          <w:color w:val="000000"/>
          <w:kern w:val="2"/>
          <w:sz w:val="32"/>
          <w:szCs w:val="32"/>
          <w:lang w:val="en-US" w:eastAsia="zh-CN" w:bidi="ar"/>
        </w:rPr>
        <w:t>1.</w:t>
      </w:r>
      <w:r>
        <w:rPr>
          <w:rFonts w:hint="default" w:ascii="仿宋_GB2312" w:hAnsi="仿宋" w:eastAsia="仿宋_GB2312" w:cs="仿宋_GB2312"/>
          <w:b/>
          <w:bCs w:val="0"/>
          <w:color w:val="000000"/>
          <w:kern w:val="2"/>
          <w:sz w:val="32"/>
          <w:szCs w:val="32"/>
          <w:lang w:eastAsia="zh-CN" w:bidi="ar"/>
        </w:rPr>
        <w:t>一般公共服务支出（类）</w:t>
      </w:r>
      <w:r>
        <w:rPr>
          <w:rFonts w:hint="default" w:ascii="仿宋_GB2312" w:hAnsi="仿宋" w:eastAsia="仿宋_GB2312" w:cs="仿宋_GB2312"/>
          <w:b/>
          <w:bCs w:val="0"/>
          <w:color w:val="000000"/>
          <w:kern w:val="2"/>
          <w:sz w:val="32"/>
          <w:szCs w:val="32"/>
          <w:lang w:val="en-US" w:eastAsia="zh-CN" w:bidi="ar"/>
        </w:rPr>
        <w:t>民族事务（款）行政运行（项）</w:t>
      </w:r>
      <w:r>
        <w:rPr>
          <w:rFonts w:hint="default" w:ascii="仿宋_GB2312" w:hAnsi="仿宋" w:eastAsia="仿宋_GB2312" w:cs="仿宋_GB2312"/>
          <w:b w:val="0"/>
          <w:bCs/>
          <w:color w:val="000000"/>
          <w:kern w:val="2"/>
          <w:sz w:val="32"/>
          <w:szCs w:val="32"/>
          <w:lang w:val="en-US" w:eastAsia="zh-CN" w:bidi="ar"/>
        </w:rPr>
        <w:t>:支出决算为150.99万元，完成预算100%。</w:t>
      </w:r>
    </w:p>
    <w:p w14:paraId="0E2010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default" w:ascii="仿宋_GB2312" w:hAnsi="仿宋" w:eastAsia="仿宋_GB2312" w:cs="仿宋_GB2312"/>
          <w:b w:val="0"/>
          <w:bCs/>
          <w:color w:val="000000"/>
          <w:kern w:val="2"/>
          <w:sz w:val="32"/>
          <w:szCs w:val="32"/>
          <w:lang w:eastAsia="zh-CN" w:bidi="ar"/>
        </w:rPr>
      </w:pPr>
      <w:r>
        <w:rPr>
          <w:rFonts w:hint="eastAsia" w:ascii="仿宋_GB2312" w:hAnsi="仿宋" w:eastAsia="仿宋_GB2312" w:cs="仿宋_GB2312"/>
          <w:b/>
          <w:bCs w:val="0"/>
          <w:color w:val="000000"/>
          <w:kern w:val="2"/>
          <w:sz w:val="32"/>
          <w:szCs w:val="32"/>
          <w:lang w:val="en-US" w:eastAsia="zh-CN" w:bidi="ar"/>
        </w:rPr>
        <w:t>2</w:t>
      </w:r>
      <w:r>
        <w:rPr>
          <w:rFonts w:hint="eastAsia" w:ascii="仿宋_GB2312" w:hAnsi="仿宋" w:eastAsia="仿宋_GB2312" w:cs="仿宋_GB2312"/>
          <w:b w:val="0"/>
          <w:bCs/>
          <w:color w:val="000000"/>
          <w:kern w:val="2"/>
          <w:sz w:val="32"/>
          <w:szCs w:val="32"/>
          <w:lang w:val="en-US" w:eastAsia="zh-CN" w:bidi="ar"/>
        </w:rPr>
        <w:t>.</w:t>
      </w:r>
      <w:r>
        <w:rPr>
          <w:rFonts w:hint="default" w:ascii="仿宋_GB2312" w:hAnsi="仿宋" w:eastAsia="仿宋_GB2312" w:cs="仿宋_GB2312"/>
          <w:b/>
          <w:bCs w:val="0"/>
          <w:color w:val="000000"/>
          <w:kern w:val="2"/>
          <w:sz w:val="32"/>
          <w:szCs w:val="32"/>
          <w:lang w:eastAsia="zh-CN" w:bidi="ar"/>
        </w:rPr>
        <w:t>一般公共服务支出（类）</w:t>
      </w:r>
      <w:r>
        <w:rPr>
          <w:rFonts w:hint="eastAsia" w:ascii="仿宋_GB2312" w:hAnsi="仿宋" w:eastAsia="仿宋_GB2312" w:cs="仿宋_GB2312"/>
          <w:b/>
          <w:bCs w:val="0"/>
          <w:color w:val="000000"/>
          <w:kern w:val="2"/>
          <w:sz w:val="32"/>
          <w:szCs w:val="32"/>
          <w:lang w:val="en-US" w:eastAsia="zh-CN" w:bidi="ar"/>
        </w:rPr>
        <w:t>统战事务（款）</w:t>
      </w:r>
      <w:r>
        <w:rPr>
          <w:rFonts w:hint="default" w:ascii="仿宋_GB2312" w:hAnsi="仿宋" w:eastAsia="仿宋_GB2312" w:cs="仿宋_GB2312"/>
          <w:b/>
          <w:bCs w:val="0"/>
          <w:color w:val="000000"/>
          <w:kern w:val="2"/>
          <w:sz w:val="32"/>
          <w:szCs w:val="32"/>
          <w:lang w:val="en-US" w:eastAsia="zh-CN" w:bidi="ar"/>
        </w:rPr>
        <w:t>宗教事务（项）:</w:t>
      </w:r>
      <w:r>
        <w:rPr>
          <w:rFonts w:hint="default" w:ascii="仿宋_GB2312" w:hAnsi="仿宋" w:eastAsia="仿宋_GB2312" w:cs="仿宋_GB2312"/>
          <w:b w:val="0"/>
          <w:bCs/>
          <w:color w:val="000000"/>
          <w:kern w:val="2"/>
          <w:sz w:val="32"/>
          <w:szCs w:val="32"/>
          <w:lang w:val="en-US" w:eastAsia="zh-CN" w:bidi="ar"/>
        </w:rPr>
        <w:t>支出决算为2.96万元，完成预算100%</w:t>
      </w:r>
      <w:r>
        <w:rPr>
          <w:rFonts w:hint="eastAsia" w:ascii="仿宋_GB2312" w:hAnsi="仿宋" w:eastAsia="仿宋_GB2312" w:cs="仿宋_GB2312"/>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eastAsia="zh-CN" w:bidi="ar"/>
        </w:rPr>
        <w:t xml:space="preserve">    </w:t>
      </w:r>
    </w:p>
    <w:p w14:paraId="71933FD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color w:val="000000"/>
          <w:sz w:val="32"/>
          <w:szCs w:val="32"/>
        </w:rPr>
      </w:pPr>
      <w:r>
        <w:rPr>
          <w:rStyle w:val="25"/>
          <w:rFonts w:hint="eastAsia" w:ascii="仿宋" w:hAnsi="仿宋" w:eastAsia="仿宋"/>
          <w:bCs/>
          <w:color w:val="000000"/>
          <w:sz w:val="32"/>
          <w:szCs w:val="32"/>
          <w:lang w:val="en-US" w:eastAsia="zh-CN"/>
        </w:rPr>
        <w:t>3</w:t>
      </w:r>
      <w:r>
        <w:rPr>
          <w:rStyle w:val="25"/>
          <w:rFonts w:ascii="仿宋" w:hAnsi="仿宋" w:eastAsia="仿宋"/>
          <w:bCs/>
          <w:color w:val="000000"/>
          <w:sz w:val="32"/>
          <w:szCs w:val="32"/>
        </w:rPr>
        <w:t>.</w:t>
      </w:r>
      <w:r>
        <w:rPr>
          <w:rStyle w:val="25"/>
          <w:rFonts w:hint="eastAsia" w:ascii="仿宋" w:hAnsi="仿宋" w:eastAsia="仿宋"/>
          <w:bCs/>
          <w:color w:val="000000"/>
          <w:sz w:val="32"/>
          <w:szCs w:val="32"/>
        </w:rPr>
        <w:t>社会保障和就业支出（类）行政事业单位养老支出（款）机关事业单位基本养老保险缴费支出（项）</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支出决算为18.54万元，完成预算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4C1FBD1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4</w:t>
      </w:r>
      <w:r>
        <w:rPr>
          <w:rStyle w:val="25"/>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9.27</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384AC73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rPr>
          <w:rFonts w:hint="eastAsia" w:ascii="仿宋" w:hAnsi="仿宋" w:eastAsia="仿宋"/>
          <w:b/>
          <w:color w:val="000000"/>
          <w:sz w:val="32"/>
          <w:szCs w:val="32"/>
        </w:rPr>
      </w:pPr>
      <w:r>
        <w:rPr>
          <w:rStyle w:val="25"/>
          <w:rFonts w:hint="eastAsia" w:ascii="仿宋" w:hAnsi="仿宋" w:eastAsia="仿宋"/>
          <w:color w:val="000000"/>
          <w:sz w:val="32"/>
          <w:szCs w:val="32"/>
          <w:lang w:val="en-US" w:eastAsia="zh-CN"/>
        </w:rPr>
        <w:t>5</w:t>
      </w:r>
      <w:r>
        <w:rPr>
          <w:rStyle w:val="25"/>
          <w:rFonts w:hint="eastAsia" w:ascii="仿宋" w:hAnsi="仿宋" w:eastAsia="仿宋"/>
          <w:color w:val="000000"/>
          <w:sz w:val="32"/>
          <w:szCs w:val="32"/>
        </w:rPr>
        <w:t>.卫生健康支出（类）行政事业单位医疗（款）行政单位医疗（项）:</w:t>
      </w:r>
      <w:r>
        <w:rPr>
          <w:rStyle w:val="25"/>
          <w:rFonts w:hint="eastAsia" w:ascii="仿宋" w:hAnsi="仿宋" w:eastAsia="仿宋"/>
          <w:b w:val="0"/>
          <w:color w:val="000000"/>
          <w:sz w:val="32"/>
          <w:szCs w:val="32"/>
        </w:rPr>
        <w:t xml:space="preserve"> 支出决算为</w:t>
      </w:r>
      <w:r>
        <w:rPr>
          <w:rStyle w:val="25"/>
          <w:rFonts w:hint="eastAsia" w:ascii="仿宋" w:hAnsi="仿宋" w:eastAsia="仿宋"/>
          <w:b w:val="0"/>
          <w:color w:val="000000"/>
          <w:sz w:val="32"/>
          <w:szCs w:val="32"/>
          <w:lang w:val="en-US" w:eastAsia="zh-CN"/>
        </w:rPr>
        <w:t>8.54</w:t>
      </w:r>
      <w:r>
        <w:rPr>
          <w:rStyle w:val="25"/>
          <w:rFonts w:hint="eastAsia" w:ascii="仿宋" w:hAnsi="仿宋" w:eastAsia="仿宋"/>
          <w:b w:val="0"/>
          <w:color w:val="000000"/>
          <w:sz w:val="32"/>
          <w:szCs w:val="32"/>
        </w:rPr>
        <w:t>万元，完成预算100%。</w:t>
      </w:r>
    </w:p>
    <w:p w14:paraId="27B1B118">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rPr>
          <w:rStyle w:val="25"/>
          <w:rFonts w:hint="eastAsia" w:ascii="仿宋" w:hAnsi="仿宋" w:eastAsia="仿宋"/>
          <w:b w:val="0"/>
          <w:color w:val="000000"/>
          <w:sz w:val="32"/>
          <w:szCs w:val="32"/>
        </w:rPr>
      </w:pPr>
      <w:r>
        <w:rPr>
          <w:rStyle w:val="25"/>
          <w:rFonts w:hint="eastAsia" w:ascii="仿宋" w:hAnsi="仿宋" w:eastAsia="仿宋"/>
          <w:color w:val="000000"/>
          <w:sz w:val="32"/>
          <w:szCs w:val="32"/>
          <w:lang w:val="en-US" w:eastAsia="zh-CN"/>
        </w:rPr>
        <w:t>6</w:t>
      </w:r>
      <w:r>
        <w:rPr>
          <w:rStyle w:val="25"/>
          <w:rFonts w:hint="eastAsia" w:ascii="仿宋" w:hAnsi="仿宋" w:eastAsia="仿宋"/>
          <w:color w:val="000000"/>
          <w:sz w:val="32"/>
          <w:szCs w:val="32"/>
        </w:rPr>
        <w:t xml:space="preserve">.卫生健康支出（类）行政事业单位医疗（款）公务员医疗补助（项）: </w:t>
      </w:r>
      <w:r>
        <w:rPr>
          <w:rStyle w:val="25"/>
          <w:rFonts w:hint="eastAsia" w:ascii="仿宋" w:hAnsi="仿宋" w:eastAsia="仿宋"/>
          <w:b w:val="0"/>
          <w:color w:val="000000"/>
          <w:sz w:val="32"/>
          <w:szCs w:val="32"/>
        </w:rPr>
        <w:t>支出决算为1.53万元，完成预算100%。</w:t>
      </w:r>
    </w:p>
    <w:p w14:paraId="1F1006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color w:val="FF0000"/>
          <w:sz w:val="32"/>
          <w:szCs w:val="32"/>
        </w:rPr>
      </w:pPr>
      <w:r>
        <w:rPr>
          <w:rStyle w:val="25"/>
          <w:rFonts w:hint="eastAsia" w:ascii="仿宋" w:hAnsi="仿宋" w:eastAsia="仿宋"/>
          <w:color w:val="000000"/>
          <w:sz w:val="32"/>
          <w:szCs w:val="32"/>
          <w:lang w:val="en-US" w:eastAsia="zh-CN"/>
        </w:rPr>
        <w:t>7</w:t>
      </w:r>
      <w:r>
        <w:rPr>
          <w:rFonts w:hint="eastAsia" w:ascii="仿宋" w:hAnsi="仿宋" w:eastAsia="仿宋" w:cs="仿宋"/>
          <w:b/>
          <w:bCs w:val="0"/>
          <w:color w:val="000000"/>
          <w:kern w:val="2"/>
          <w:sz w:val="32"/>
          <w:szCs w:val="32"/>
          <w:lang w:val="en-US" w:eastAsia="zh-CN" w:bidi="ar"/>
        </w:rPr>
        <w:t>.住房保障支出（类）住房改革支出（款）住房公积金（项）:</w:t>
      </w:r>
      <w:r>
        <w:rPr>
          <w:rFonts w:hint="eastAsia" w:ascii="仿宋" w:hAnsi="仿宋" w:eastAsia="仿宋" w:cs="仿宋"/>
          <w:b w:val="0"/>
          <w:color w:val="000000"/>
          <w:kern w:val="2"/>
          <w:sz w:val="32"/>
          <w:szCs w:val="32"/>
          <w:lang w:val="en-US" w:eastAsia="zh-CN" w:bidi="ar"/>
        </w:rPr>
        <w:t>支出决算为15.36万元，完成预算100%。</w:t>
      </w:r>
    </w:p>
    <w:p w14:paraId="5B304ECE">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14:paraId="017AD810">
      <w:pPr>
        <w:pageBreakBefore w:val="0"/>
        <w:widowControl w:val="0"/>
        <w:tabs>
          <w:tab w:val="right" w:pos="8306"/>
        </w:tabs>
        <w:kinsoku/>
        <w:wordWrap/>
        <w:overflowPunct/>
        <w:topLinePunct w:val="0"/>
        <w:bidi w:val="0"/>
        <w:spacing w:line="560" w:lineRule="exact"/>
        <w:ind w:firstLine="640"/>
        <w:textAlignment w:val="auto"/>
        <w:outlineLvl w:val="1"/>
        <w:rPr>
          <w:rStyle w:val="30"/>
        </w:rPr>
      </w:pPr>
      <w:bookmarkStart w:id="45" w:name="_Toc15377214"/>
      <w:bookmarkStart w:id="46" w:name="_Toc79163618"/>
      <w:bookmarkStart w:id="47" w:name="_Toc15396608"/>
      <w:bookmarkStart w:id="48" w:name="_Toc738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5"/>
      <w:bookmarkEnd w:id="46"/>
      <w:bookmarkEnd w:id="47"/>
      <w:bookmarkEnd w:id="48"/>
      <w:r>
        <w:rPr>
          <w:rStyle w:val="30"/>
          <w:rFonts w:ascii="黑体" w:hAnsi="黑体" w:eastAsia="黑体"/>
          <w:b w:val="0"/>
        </w:rPr>
        <w:tab/>
      </w:r>
    </w:p>
    <w:p w14:paraId="02F8F5AF">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一般公共预算财政拨款基本支出</w:t>
      </w:r>
      <w:r>
        <w:rPr>
          <w:rFonts w:hint="eastAsia" w:ascii="仿宋" w:hAnsi="仿宋" w:eastAsia="仿宋"/>
          <w:color w:val="000000"/>
          <w:sz w:val="32"/>
          <w:szCs w:val="32"/>
          <w:lang w:val="en-US" w:eastAsia="zh-CN"/>
        </w:rPr>
        <w:t>204.22</w:t>
      </w:r>
      <w:r>
        <w:rPr>
          <w:rFonts w:hint="eastAsia" w:ascii="仿宋" w:hAnsi="仿宋" w:eastAsia="仿宋"/>
          <w:color w:val="000000"/>
          <w:sz w:val="32"/>
          <w:szCs w:val="32"/>
        </w:rPr>
        <w:t>万元，其中：</w:t>
      </w:r>
    </w:p>
    <w:p w14:paraId="77E9C0D3">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186.83</w:t>
      </w:r>
      <w:r>
        <w:rPr>
          <w:rFonts w:hint="eastAsia" w:ascii="仿宋" w:hAnsi="仿宋" w:eastAsia="仿宋"/>
          <w:color w:val="000000"/>
          <w:sz w:val="32"/>
          <w:szCs w:val="32"/>
        </w:rPr>
        <w:t>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机关事业单位基本养老保险费、职业年金缴费、职工基本医疗保险缴费、其他社会保障缴费、住房公积金、医疗费补助</w:t>
      </w:r>
      <w:r>
        <w:rPr>
          <w:rFonts w:hint="eastAsia" w:ascii="仿宋" w:hAnsi="仿宋" w:eastAsia="仿宋"/>
          <w:color w:val="000000"/>
          <w:sz w:val="32"/>
          <w:szCs w:val="32"/>
        </w:rPr>
        <w:t>。</w:t>
      </w:r>
    </w:p>
    <w:p w14:paraId="6DD309ED">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17.39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劳务费、公务用车运行维护费</w:t>
      </w:r>
      <w:r>
        <w:rPr>
          <w:rFonts w:hint="eastAsia" w:ascii="仿宋" w:hAnsi="仿宋" w:eastAsia="仿宋"/>
          <w:color w:val="000000"/>
          <w:sz w:val="32"/>
          <w:szCs w:val="32"/>
        </w:rPr>
        <w:t>。</w:t>
      </w:r>
    </w:p>
    <w:p w14:paraId="56AB5C7F">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14:paraId="042F216D">
      <w:pPr>
        <w:pageBreakBefore w:val="0"/>
        <w:widowControl w:val="0"/>
        <w:kinsoku/>
        <w:wordWrap/>
        <w:overflowPunct/>
        <w:topLinePunct w:val="0"/>
        <w:bidi w:val="0"/>
        <w:spacing w:line="560" w:lineRule="exact"/>
        <w:ind w:firstLine="640"/>
        <w:textAlignment w:val="auto"/>
        <w:outlineLvl w:val="1"/>
        <w:rPr>
          <w:rStyle w:val="30"/>
          <w:rFonts w:ascii="黑体" w:hAnsi="黑体" w:eastAsia="黑体"/>
          <w:b w:val="0"/>
        </w:rPr>
      </w:pPr>
      <w:bookmarkStart w:id="49" w:name="_Toc79163619"/>
      <w:bookmarkStart w:id="50" w:name="_Toc8807"/>
      <w:bookmarkStart w:id="51" w:name="_Toc15396609"/>
      <w:bookmarkStart w:id="52"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9"/>
      <w:bookmarkEnd w:id="50"/>
      <w:bookmarkEnd w:id="51"/>
      <w:bookmarkEnd w:id="52"/>
    </w:p>
    <w:p w14:paraId="340E3032">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53" w:name="_Toc79163620"/>
      <w:bookmarkStart w:id="54" w:name="_Toc21846"/>
      <w:bookmarkStart w:id="55" w:name="_Toc15377216"/>
      <w:r>
        <w:rPr>
          <w:rFonts w:hint="eastAsia" w:ascii="仿宋" w:hAnsi="仿宋" w:eastAsia="仿宋"/>
          <w:b/>
          <w:color w:val="000000"/>
          <w:sz w:val="32"/>
          <w:szCs w:val="32"/>
        </w:rPr>
        <w:t>（一）“三公”经费财政拨款支出决算总体情况说明</w:t>
      </w:r>
      <w:bookmarkEnd w:id="53"/>
      <w:bookmarkEnd w:id="54"/>
      <w:bookmarkEnd w:id="55"/>
    </w:p>
    <w:p w14:paraId="0018CCA8">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4.67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93.4</w:t>
      </w:r>
      <w:r>
        <w:rPr>
          <w:rFonts w:ascii="仿宋" w:hAnsi="仿宋" w:eastAsia="仿宋"/>
          <w:color w:val="000000"/>
          <w:sz w:val="32"/>
          <w:szCs w:val="32"/>
        </w:rPr>
        <w:t>%</w:t>
      </w:r>
      <w:r>
        <w:rPr>
          <w:rFonts w:hint="eastAsia" w:ascii="仿宋" w:hAnsi="仿宋" w:eastAsia="仿宋"/>
          <w:color w:val="000000"/>
          <w:sz w:val="32"/>
          <w:szCs w:val="32"/>
        </w:rPr>
        <w:t>。</w:t>
      </w:r>
    </w:p>
    <w:p w14:paraId="043CDC3F">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56" w:name="_Toc15377217"/>
      <w:bookmarkStart w:id="57" w:name="_Toc15063"/>
      <w:bookmarkStart w:id="58" w:name="_Toc79163621"/>
      <w:r>
        <w:rPr>
          <w:rFonts w:hint="eastAsia" w:ascii="仿宋" w:hAnsi="仿宋" w:eastAsia="仿宋"/>
          <w:b/>
          <w:color w:val="000000"/>
          <w:sz w:val="32"/>
          <w:szCs w:val="32"/>
        </w:rPr>
        <w:t>（二）“三公”经费财政拨款支出决算具体情况说明</w:t>
      </w:r>
      <w:bookmarkEnd w:id="56"/>
      <w:bookmarkEnd w:id="57"/>
      <w:bookmarkEnd w:id="58"/>
    </w:p>
    <w:p w14:paraId="31452AA5">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具体情况如下：</w:t>
      </w:r>
    </w:p>
    <w:p w14:paraId="1E6F0F21">
      <w:pPr>
        <w:pStyle w:val="8"/>
        <w:rPr>
          <w:rFonts w:hint="eastAsia" w:ascii="仿宋" w:hAnsi="仿宋" w:eastAsia="仿宋"/>
          <w:color w:val="000000"/>
          <w:sz w:val="32"/>
          <w:szCs w:val="32"/>
          <w:lang w:val="en-US" w:eastAsia="zh-CN"/>
        </w:rPr>
      </w:pPr>
      <w:r>
        <w:drawing>
          <wp:inline distT="0" distB="0" distL="114300" distR="114300">
            <wp:extent cx="4444365" cy="2331085"/>
            <wp:effectExtent l="4445" t="4445" r="8890" b="7620"/>
            <wp:docPr id="1350"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261B3C">
      <w:pPr>
        <w:pStyle w:val="19"/>
        <w:rPr>
          <w:rFonts w:hint="default"/>
          <w:lang w:val="en-US" w:eastAsia="zh-CN"/>
        </w:rPr>
      </w:pPr>
    </w:p>
    <w:p w14:paraId="2265F6D3">
      <w:pPr>
        <w:pStyle w:val="19"/>
        <w:rPr>
          <w:rFonts w:hint="default"/>
          <w:lang w:val="en-US" w:eastAsia="zh-CN"/>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4BCD75C1">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0AF9CC3">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4.67</w:t>
      </w:r>
      <w:r>
        <w:rPr>
          <w:rFonts w:hint="eastAsia" w:ascii="仿宋_GB2312" w:eastAsia="仿宋_GB2312"/>
          <w:b w:val="0"/>
          <w:bCs/>
          <w:color w:val="000000"/>
          <w:sz w:val="32"/>
          <w:szCs w:val="32"/>
        </w:rPr>
        <w:t>万</w:t>
      </w:r>
      <w:r>
        <w:rPr>
          <w:rFonts w:hint="eastAsia" w:ascii="仿宋_GB2312" w:eastAsia="仿宋_GB2312"/>
          <w:color w:val="000000"/>
          <w:sz w:val="32"/>
          <w:szCs w:val="32"/>
        </w:rPr>
        <w:t>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93.4</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lang w:val="en-US" w:eastAsia="zh-CN"/>
        </w:rPr>
        <w:t>增加0.37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增长8.6%</w:t>
      </w:r>
      <w:r>
        <w:rPr>
          <w:rFonts w:hint="eastAsia" w:ascii="仿宋_GB2312" w:eastAsia="仿宋_GB2312"/>
          <w:color w:val="000000"/>
          <w:sz w:val="32"/>
          <w:szCs w:val="32"/>
        </w:rPr>
        <w:t>。主要原因是本年度业务活动</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，相应费用</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w:t>
      </w:r>
    </w:p>
    <w:p w14:paraId="41A4824E">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。截止2024年</w:t>
      </w:r>
      <w:r>
        <w:rPr>
          <w:rFonts w:ascii="仿宋_GB2312" w:eastAsia="仿宋_GB2312"/>
          <w:color w:val="000000"/>
          <w:sz w:val="32"/>
          <w:szCs w:val="32"/>
        </w:rPr>
        <w:t>12</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31日</w:t>
      </w:r>
      <w:r>
        <w:rPr>
          <w:rFonts w:hint="eastAsia" w:ascii="仿宋_GB2312" w:eastAsia="仿宋_GB2312"/>
          <w:color w:val="000000"/>
          <w:sz w:val="32"/>
          <w:szCs w:val="32"/>
        </w:rPr>
        <w:t>，单位共有公务用车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14:paraId="417DDA7E">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4.67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主要用于车辆日常所需的维修费、过路费、保险费等支出</w:t>
      </w:r>
      <w:r>
        <w:rPr>
          <w:rFonts w:hint="eastAsia" w:ascii="仿宋_GB2312" w:eastAsia="仿宋_GB2312"/>
          <w:color w:val="000000"/>
          <w:sz w:val="32"/>
          <w:szCs w:val="32"/>
        </w:rPr>
        <w:t>。</w:t>
      </w:r>
    </w:p>
    <w:p w14:paraId="6F22F6ED">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ACAAE61">
      <w:pPr>
        <w:pageBreakBefore w:val="0"/>
        <w:widowControl w:val="0"/>
        <w:kinsoku/>
        <w:wordWrap/>
        <w:overflowPunct/>
        <w:topLinePunct w:val="0"/>
        <w:bidi w:val="0"/>
        <w:spacing w:line="560" w:lineRule="exact"/>
        <w:ind w:firstLine="640"/>
        <w:textAlignment w:val="auto"/>
        <w:outlineLvl w:val="1"/>
        <w:rPr>
          <w:rStyle w:val="30"/>
          <w:rFonts w:ascii="黑体" w:hAnsi="黑体" w:eastAsia="黑体"/>
        </w:rPr>
      </w:pPr>
      <w:bookmarkStart w:id="59" w:name="_Toc79163622"/>
      <w:bookmarkStart w:id="60" w:name="_Toc15377218"/>
      <w:bookmarkStart w:id="61" w:name="_Toc29657"/>
      <w:bookmarkStart w:id="62" w:name="_Toc15396610"/>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59"/>
      <w:bookmarkEnd w:id="60"/>
      <w:bookmarkEnd w:id="61"/>
      <w:bookmarkEnd w:id="62"/>
    </w:p>
    <w:p w14:paraId="780C5D7A">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2FEA4A3">
      <w:pPr>
        <w:pageBreakBefore w:val="0"/>
        <w:widowControl w:val="0"/>
        <w:numPr>
          <w:ilvl w:val="0"/>
          <w:numId w:val="2"/>
        </w:numPr>
        <w:kinsoku/>
        <w:wordWrap/>
        <w:overflowPunct/>
        <w:topLinePunct w:val="0"/>
        <w:bidi w:val="0"/>
        <w:spacing w:line="560" w:lineRule="exact"/>
        <w:ind w:firstLine="640"/>
        <w:textAlignment w:val="auto"/>
        <w:outlineLvl w:val="1"/>
        <w:rPr>
          <w:rStyle w:val="30"/>
          <w:rFonts w:ascii="黑体" w:hAnsi="黑体" w:eastAsia="黑体"/>
          <w:b w:val="0"/>
        </w:rPr>
      </w:pPr>
      <w:bookmarkStart w:id="63" w:name="_Toc7924"/>
      <w:bookmarkStart w:id="64" w:name="_Toc15377219"/>
      <w:bookmarkStart w:id="65" w:name="_Toc79163623"/>
      <w:bookmarkStart w:id="66" w:name="_Toc15396611"/>
      <w:r>
        <w:rPr>
          <w:rStyle w:val="30"/>
          <w:rFonts w:hint="eastAsia" w:ascii="黑体" w:hAnsi="黑体" w:eastAsia="黑体"/>
          <w:b w:val="0"/>
        </w:rPr>
        <w:t>国有资本经营预算支出决算情况说明</w:t>
      </w:r>
      <w:bookmarkEnd w:id="63"/>
      <w:bookmarkEnd w:id="64"/>
      <w:bookmarkEnd w:id="65"/>
      <w:bookmarkEnd w:id="66"/>
    </w:p>
    <w:p w14:paraId="7AC7C235">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6F0F5DD">
      <w:pPr>
        <w:pageBreakBefore w:val="0"/>
        <w:widowControl w:val="0"/>
        <w:kinsoku/>
        <w:wordWrap/>
        <w:overflowPunct/>
        <w:topLinePunct w:val="0"/>
        <w:bidi w:val="0"/>
        <w:spacing w:line="560" w:lineRule="exact"/>
        <w:ind w:firstLine="800" w:firstLineChars="250"/>
        <w:textAlignment w:val="auto"/>
        <w:outlineLvl w:val="1"/>
        <w:rPr>
          <w:rStyle w:val="30"/>
          <w:rFonts w:ascii="黑体" w:hAnsi="黑体" w:eastAsia="黑体"/>
        </w:rPr>
      </w:pPr>
      <w:bookmarkStart w:id="67" w:name="_Toc9008"/>
      <w:bookmarkStart w:id="68" w:name="_Toc15396612"/>
      <w:bookmarkStart w:id="69" w:name="_Toc79163624"/>
      <w:bookmarkStart w:id="70" w:name="_Toc15377221"/>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67"/>
      <w:bookmarkEnd w:id="68"/>
      <w:bookmarkEnd w:id="69"/>
      <w:bookmarkEnd w:id="70"/>
    </w:p>
    <w:p w14:paraId="5F0434E0">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71" w:name="_Toc79163625"/>
      <w:bookmarkStart w:id="72" w:name="_Toc15377222"/>
      <w:bookmarkStart w:id="73" w:name="_Toc11781"/>
      <w:r>
        <w:rPr>
          <w:rFonts w:hint="eastAsia" w:ascii="仿宋" w:hAnsi="仿宋" w:eastAsia="仿宋"/>
          <w:b/>
          <w:color w:val="000000"/>
          <w:sz w:val="32"/>
          <w:szCs w:val="32"/>
        </w:rPr>
        <w:t>（一）机关运行经费支出情况</w:t>
      </w:r>
      <w:bookmarkEnd w:id="71"/>
      <w:bookmarkEnd w:id="72"/>
      <w:bookmarkEnd w:id="73"/>
    </w:p>
    <w:p w14:paraId="1A4EB657">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壤塘县三郎寺寺庙管理委员会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17.39</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lang w:val="en-US" w:eastAsia="zh-CN"/>
        </w:rPr>
        <w:t>增加3.48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增长25.02%</w:t>
      </w:r>
      <w:r>
        <w:rPr>
          <w:rFonts w:hint="eastAsia" w:ascii="仿宋_GB2312" w:eastAsia="仿宋_GB2312"/>
          <w:color w:val="000000"/>
          <w:sz w:val="32"/>
          <w:szCs w:val="32"/>
        </w:rPr>
        <w:t>。主要原因是本年度业务活动</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rPr>
        <w:t>，相应费用</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lang w:eastAsia="zh-CN"/>
        </w:rPr>
        <w:t>。</w:t>
      </w:r>
    </w:p>
    <w:p w14:paraId="61B8D2D2">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74" w:name="_Toc3670"/>
      <w:bookmarkStart w:id="75" w:name="_Toc79163626"/>
      <w:bookmarkStart w:id="76" w:name="_Toc15377223"/>
      <w:r>
        <w:rPr>
          <w:rFonts w:hint="eastAsia" w:ascii="仿宋" w:hAnsi="仿宋" w:eastAsia="仿宋"/>
          <w:b/>
          <w:color w:val="000000"/>
          <w:sz w:val="32"/>
          <w:szCs w:val="32"/>
        </w:rPr>
        <w:t>（二）政府采购支出情况</w:t>
      </w:r>
      <w:bookmarkEnd w:id="74"/>
      <w:bookmarkEnd w:id="75"/>
      <w:bookmarkEnd w:id="76"/>
    </w:p>
    <w:p w14:paraId="4BF8FA79">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壤塘县三郎寺寺庙管理委员会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516C1B8B">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77" w:name="_Toc21672"/>
      <w:bookmarkStart w:id="78" w:name="_Toc15377224"/>
      <w:bookmarkStart w:id="79" w:name="_Toc79163627"/>
      <w:r>
        <w:rPr>
          <w:rFonts w:hint="eastAsia" w:ascii="仿宋" w:hAnsi="仿宋" w:eastAsia="仿宋"/>
          <w:b/>
          <w:color w:val="000000"/>
          <w:sz w:val="32"/>
          <w:szCs w:val="32"/>
        </w:rPr>
        <w:t>（三）国有资产占有使用情况</w:t>
      </w:r>
      <w:bookmarkEnd w:id="77"/>
      <w:bookmarkEnd w:id="78"/>
      <w:bookmarkEnd w:id="79"/>
    </w:p>
    <w:p w14:paraId="22C2CCAD">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lang w:eastAsia="zh-CN"/>
        </w:rPr>
        <w:t>截止2024年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壤塘县三郎寺寺庙管理委员会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569695A3">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0" w:name="_Toc20182"/>
      <w:bookmarkStart w:id="81" w:name="_Toc79163628"/>
      <w:r>
        <w:rPr>
          <w:rFonts w:hint="eastAsia" w:ascii="仿宋" w:hAnsi="仿宋" w:eastAsia="仿宋"/>
          <w:b/>
          <w:color w:val="000000"/>
          <w:sz w:val="32"/>
          <w:szCs w:val="32"/>
        </w:rPr>
        <w:t>（四）预算绩效管理情况。</w:t>
      </w:r>
      <w:bookmarkEnd w:id="80"/>
      <w:bookmarkEnd w:id="81"/>
    </w:p>
    <w:p w14:paraId="59432366">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val="en-US" w:eastAsia="zh-CN"/>
        </w:rPr>
        <w:t>2024年度</w:t>
      </w:r>
      <w:r>
        <w:rPr>
          <w:rFonts w:hint="eastAsia" w:ascii="仿宋_GB2312" w:hAnsi="仿宋_GB2312" w:eastAsia="仿宋_GB2312" w:cs="仿宋_GB2312"/>
          <w:sz w:val="32"/>
          <w:szCs w:val="32"/>
        </w:rPr>
        <w:t>预算编制阶段，组织对寺管会特殊工作经费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2个项目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w:t>
      </w:r>
      <w:r>
        <w:rPr>
          <w:rFonts w:hint="eastAsia" w:ascii="仿宋_GB2312" w:hAnsi="仿宋_GB2312" w:eastAsia="仿宋_GB2312" w:cs="仿宋_GB2312"/>
          <w:sz w:val="32"/>
          <w:szCs w:val="32"/>
          <w:lang w:eastAsia="zh-CN"/>
        </w:rPr>
        <w:t>。</w:t>
      </w:r>
    </w:p>
    <w:p w14:paraId="1559BE12">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ascii="仿宋_GB2312" w:eastAsia="仿宋_GB2312"/>
          <w:b/>
          <w:color w:val="000000"/>
          <w:sz w:val="32"/>
          <w:szCs w:val="32"/>
        </w:rPr>
      </w:pP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2024年度一般公共预算</w:t>
      </w:r>
      <w:r>
        <w:rPr>
          <w:rFonts w:hint="eastAsia" w:ascii="仿宋_GB2312" w:hAnsi="仿宋_GB2312" w:eastAsia="仿宋_GB2312" w:cs="仿宋_GB2312"/>
          <w:sz w:val="32"/>
          <w:szCs w:val="32"/>
          <w:lang w:eastAsia="zh-CN"/>
        </w:rPr>
        <w:t>以及资本资产等</w:t>
      </w:r>
      <w:r>
        <w:rPr>
          <w:rFonts w:hint="eastAsia" w:ascii="仿宋_GB2312" w:hAnsi="仿宋_GB2312" w:eastAsia="仿宋_GB2312" w:cs="仿宋_GB2312"/>
          <w:sz w:val="32"/>
          <w:szCs w:val="32"/>
          <w:lang w:val="en-US" w:eastAsia="zh-CN"/>
        </w:rPr>
        <w:t>全面开展绩效自评，形成壤塘县三郎寺寺庙管理委员会</w:t>
      </w:r>
      <w:r>
        <w:rPr>
          <w:rFonts w:hint="eastAsia" w:ascii="仿宋_GB2312" w:hAnsi="仿宋_GB2312" w:eastAsia="仿宋_GB2312" w:cs="仿宋_GB2312"/>
          <w:sz w:val="32"/>
          <w:szCs w:val="32"/>
          <w:lang w:eastAsia="zh-CN"/>
        </w:rPr>
        <w:t>部门整体（含部门预算项目）</w:t>
      </w:r>
      <w:r>
        <w:rPr>
          <w:rFonts w:hint="eastAsia" w:ascii="仿宋_GB2312" w:hAnsi="仿宋_GB2312" w:eastAsia="仿宋_GB2312" w:cs="仿宋_GB2312"/>
          <w:sz w:val="32"/>
          <w:szCs w:val="32"/>
          <w:lang w:val="en-US" w:eastAsia="zh-CN"/>
        </w:rPr>
        <w:t>绩效自评报告，其中，壤塘县三郎寺寺庙管理委员会部门整体</w:t>
      </w:r>
      <w:r>
        <w:rPr>
          <w:rFonts w:hint="eastAsia" w:ascii="仿宋_GB2312" w:hAnsi="仿宋_GB2312" w:eastAsia="仿宋_GB2312" w:cs="仿宋_GB2312"/>
          <w:sz w:val="32"/>
          <w:szCs w:val="32"/>
          <w:lang w:eastAsia="zh-CN"/>
        </w:rPr>
        <w:t>（含部门预算项目）</w:t>
      </w:r>
      <w:r>
        <w:rPr>
          <w:rFonts w:hint="eastAsia" w:ascii="仿宋_GB2312" w:hAnsi="仿宋_GB2312" w:eastAsia="仿宋_GB2312" w:cs="仿宋_GB2312"/>
          <w:sz w:val="32"/>
          <w:szCs w:val="32"/>
          <w:lang w:val="en-US" w:eastAsia="zh-CN"/>
        </w:rPr>
        <w:t>绩效自评得分为97分，绩效自评综述：本次自评得分为97分，总体表现较好；我单位无专项项目，因此未开展专项项目自评。整体绩效自评报告详见附件。</w:t>
      </w:r>
    </w:p>
    <w:p w14:paraId="0D3E2929">
      <w:pPr>
        <w:numPr>
          <w:ilvl w:val="0"/>
          <w:numId w:val="3"/>
        </w:numPr>
        <w:spacing w:line="600" w:lineRule="exact"/>
        <w:ind w:firstLine="660" w:firstLineChars="150"/>
        <w:jc w:val="center"/>
        <w:outlineLvl w:val="0"/>
        <w:rPr>
          <w:rStyle w:val="29"/>
          <w:rFonts w:ascii="黑体" w:hAnsi="黑体" w:eastAsia="黑体"/>
          <w:b w:val="0"/>
        </w:rPr>
      </w:pPr>
      <w:bookmarkStart w:id="82" w:name="_Toc79163629"/>
      <w:bookmarkStart w:id="83" w:name="_Toc15396613"/>
      <w:bookmarkStart w:id="84" w:name="_Toc12304"/>
      <w:bookmarkStart w:id="85" w:name="_Toc15377225"/>
      <w:r>
        <w:rPr>
          <w:rFonts w:hint="eastAsia" w:ascii="黑体" w:hAnsi="黑体" w:eastAsia="黑体"/>
          <w:color w:val="000000"/>
          <w:sz w:val="44"/>
          <w:szCs w:val="44"/>
        </w:rPr>
        <w:t>名</w:t>
      </w:r>
      <w:r>
        <w:rPr>
          <w:rStyle w:val="29"/>
          <w:rFonts w:hint="eastAsia" w:ascii="黑体" w:hAnsi="黑体" w:eastAsia="黑体"/>
          <w:b w:val="0"/>
        </w:rPr>
        <w:t>词解释</w:t>
      </w:r>
      <w:bookmarkEnd w:id="82"/>
      <w:bookmarkEnd w:id="83"/>
      <w:bookmarkEnd w:id="84"/>
      <w:bookmarkEnd w:id="85"/>
    </w:p>
    <w:p w14:paraId="623D9F9D">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77D7840">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14:paraId="6685AEDC">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14:paraId="5B25AC02">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025C0954">
      <w:pPr>
        <w:pStyle w:val="3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4662847A">
      <w:pPr>
        <w:pStyle w:val="3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1D6FBA4">
      <w:pPr>
        <w:pStyle w:val="3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613000F3">
      <w:pPr>
        <w:pStyle w:val="39"/>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310F0E6">
      <w:pPr>
        <w:pStyle w:val="3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民族事务（款）行政运行（项）：反映行政单位（包括实行公务员管理的事业单位）的基本支出。</w:t>
      </w:r>
    </w:p>
    <w:p w14:paraId="11AE3D1E">
      <w:pPr>
        <w:pStyle w:val="3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民族事务（款）一般行政管理事务（项）：反映行政单位（包括实行公务员管理的事业单位）未单独设置项级科目的其他项目支出。</w:t>
      </w:r>
    </w:p>
    <w:p w14:paraId="21F1228E">
      <w:pPr>
        <w:pStyle w:val="39"/>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11.</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民族事务（款）民族工作专项（项）：反映用于民族事务管理方面的支出。</w:t>
      </w:r>
    </w:p>
    <w:p w14:paraId="2A643A00">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.社会保障和就业（类）行政事业单位养老支出（款）机关事业单位基本养老保险缴费支出（项）：指机关事业单位实施养老保险制度由单位缴纳的基本养老保险费支出。</w:t>
      </w:r>
    </w:p>
    <w:p w14:paraId="2B25809D">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 社会保障和就业（类）行政事业单位养老支出（款）机关事业单位职业年金缴费支出（项）：指机关事业单位养老保险制度由单位缴纳的职业年金支出。</w:t>
      </w:r>
    </w:p>
    <w:p w14:paraId="5319C50D">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.卫生健康支出（类）行政事业单位医疗（款）事业单位医疗（项）：指财政部门集中安排的事业单位基本医疗保险缴费。</w:t>
      </w:r>
    </w:p>
    <w:p w14:paraId="790AE818">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.住房保障（类）住房改革（款）住房公积金（项）：指行政事业单位按规定的标准和比例为职工缴纳的住房公积金。</w:t>
      </w:r>
    </w:p>
    <w:p w14:paraId="527A4A1C">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.基本支出：指为保障机构正常运转、完成日常工作任务而发生的人员支出和公用支出。</w:t>
      </w:r>
    </w:p>
    <w:p w14:paraId="22C2C547">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.项目支出：指在基本支出之外为完成特定行政任务和事业发展目标所发生的支出。</w:t>
      </w:r>
    </w:p>
    <w:p w14:paraId="147F80AB">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.经营支出：指事业单位在专业业务活动及其辅助活动之外开展非独立核算经营活动发生的支出。</w:t>
      </w:r>
    </w:p>
    <w:p w14:paraId="357E5887">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758AB4B">
      <w:pPr>
        <w:pStyle w:val="39"/>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14:paraId="18F162BA">
      <w:pPr>
        <w:spacing w:line="600" w:lineRule="exact"/>
        <w:jc w:val="center"/>
        <w:outlineLvl w:val="0"/>
        <w:rPr>
          <w:rStyle w:val="29"/>
          <w:rFonts w:hint="eastAsia" w:ascii="黑体" w:hAnsi="黑体" w:eastAsia="黑体"/>
          <w:b w:val="0"/>
        </w:rPr>
      </w:pPr>
      <w:bookmarkStart w:id="86" w:name="_Toc15377226"/>
      <w:r>
        <w:rPr>
          <w:rFonts w:ascii="宋体"/>
          <w:b/>
          <w:color w:val="000000"/>
          <w:sz w:val="44"/>
          <w:szCs w:val="44"/>
        </w:rPr>
        <w:br w:type="page"/>
      </w:r>
      <w:bookmarkStart w:id="87" w:name="_Toc79163630"/>
      <w:bookmarkStart w:id="88" w:name="_Toc14215"/>
      <w:bookmarkStart w:id="89" w:name="_Toc15396614"/>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87"/>
      <w:bookmarkEnd w:id="88"/>
      <w:bookmarkEnd w:id="89"/>
    </w:p>
    <w:p w14:paraId="406A9B65">
      <w:pPr>
        <w:pStyle w:val="19"/>
      </w:pPr>
    </w:p>
    <w:p w14:paraId="0440B90D">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壤塘县三郎寺寺庙管理委员会</w:t>
      </w:r>
    </w:p>
    <w:p w14:paraId="440BAA2E">
      <w:pPr>
        <w:spacing w:line="360" w:lineRule="auto"/>
        <w:jc w:val="center"/>
        <w:rPr>
          <w:rFonts w:ascii="宋体" w:hAnsi="宋体" w:cs="宋体"/>
          <w:b/>
          <w:bCs/>
          <w:kern w:val="0"/>
          <w:sz w:val="44"/>
          <w:szCs w:val="44"/>
        </w:rPr>
      </w:pPr>
      <w:r>
        <w:rPr>
          <w:rFonts w:hint="eastAsia" w:ascii="宋体" w:hAnsi="宋体" w:cs="宋体"/>
          <w:b/>
          <w:bCs/>
          <w:kern w:val="0"/>
          <w:sz w:val="44"/>
          <w:szCs w:val="44"/>
          <w:lang w:eastAsia="zh-CN"/>
        </w:rPr>
        <w:t>2024年</w:t>
      </w:r>
      <w:r>
        <w:rPr>
          <w:rFonts w:hint="eastAsia" w:ascii="宋体" w:hAnsi="宋体" w:cs="宋体"/>
          <w:b/>
          <w:bCs/>
          <w:kern w:val="0"/>
          <w:sz w:val="44"/>
          <w:szCs w:val="44"/>
        </w:rPr>
        <w:t>度部门整体支出绩效评价自评报告</w:t>
      </w:r>
    </w:p>
    <w:p w14:paraId="00FC806A">
      <w:pPr>
        <w:spacing w:line="360" w:lineRule="auto"/>
        <w:jc w:val="center"/>
        <w:rPr>
          <w:rFonts w:ascii="宋体" w:hAnsi="宋体" w:cs="宋体"/>
          <w:kern w:val="0"/>
          <w:szCs w:val="21"/>
        </w:rPr>
      </w:pPr>
    </w:p>
    <w:p w14:paraId="79D2534D">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14:paraId="41C1EBCA">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壤塘县三郎寺寺庙管理委员会机构性质：机关，机构地址：四川省壤塘县南木达镇谐多街5号，单位负责人：</w:t>
      </w:r>
      <w:r>
        <w:rPr>
          <w:rFonts w:hint="eastAsia" w:ascii="仿宋_GB2312" w:hAnsi="仿宋_GB2312" w:eastAsia="仿宋_GB2312" w:cs="仿宋_GB2312"/>
          <w:sz w:val="32"/>
          <w:szCs w:val="32"/>
          <w:lang w:val="en-US" w:eastAsia="zh-CN"/>
        </w:rPr>
        <w:t>王生</w:t>
      </w:r>
      <w:r>
        <w:rPr>
          <w:rFonts w:hint="eastAsia" w:ascii="仿宋_GB2312" w:hAnsi="仿宋_GB2312" w:eastAsia="仿宋_GB2312" w:cs="仿宋_GB2312"/>
          <w:sz w:val="32"/>
          <w:szCs w:val="32"/>
        </w:rPr>
        <w:t>。</w:t>
      </w:r>
    </w:p>
    <w:p w14:paraId="7D1222D2">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14:paraId="637A6A1D">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壤塘县三郎寺寺庙管理委员会</w:t>
      </w:r>
      <w:r>
        <w:rPr>
          <w:rFonts w:hint="eastAsia" w:ascii="仿宋_GB2312" w:hAnsi="仿宋_GB2312" w:eastAsia="仿宋_GB2312" w:cs="仿宋_GB2312"/>
          <w:color w:val="auto"/>
          <w:sz w:val="32"/>
          <w:szCs w:val="32"/>
        </w:rPr>
        <w:t>共有1个股室，办公室</w:t>
      </w:r>
      <w:r>
        <w:rPr>
          <w:rFonts w:hint="eastAsia" w:ascii="仿宋_GB2312" w:hAnsi="仿宋_GB2312" w:eastAsia="仿宋_GB2312" w:cs="仿宋_GB2312"/>
          <w:sz w:val="32"/>
          <w:szCs w:val="32"/>
        </w:rPr>
        <w:t>。</w:t>
      </w:r>
    </w:p>
    <w:p w14:paraId="783A7528">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14:paraId="46749F08">
      <w:pPr>
        <w:pStyle w:val="6"/>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依法加强寺庙宗教事务管理：严守法律底线，坚决把以寺庙、僧人、宗教佛事活动管理为重点的宗教事务管理纳入依法管理轨道，牢牢掌握寺庙领导权和管理权，做到不发生重大责任事故和稳定责任事故。</w:t>
      </w:r>
    </w:p>
    <w:p w14:paraId="3B1CA49C">
      <w:pPr>
        <w:pStyle w:val="6"/>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sz w:val="32"/>
          <w:szCs w:val="32"/>
          <w:lang w:val="en-US" w:eastAsia="zh-CN"/>
        </w:rPr>
        <w:t>加强教育引导：以增强僧人法治意识、公民意识、政府意识、祖国意识为目的，坚持不懈加强对僧人的教育引导</w:t>
      </w:r>
      <w:r>
        <w:rPr>
          <w:rFonts w:hint="eastAsia" w:hAnsi="Times New Roman" w:cs="Times New Roman"/>
          <w:sz w:val="32"/>
          <w:szCs w:val="32"/>
          <w:lang w:eastAsia="zh-CN"/>
        </w:rPr>
        <w:t>。</w:t>
      </w:r>
    </w:p>
    <w:p w14:paraId="3DEE6A95">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14:paraId="72F69F45">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w:t>
      </w:r>
      <w:r>
        <w:rPr>
          <w:rFonts w:hint="eastAsia" w:ascii="仿宋_GB2312" w:hAnsi="宋体" w:eastAsia="仿宋_GB2312" w:cs="仿宋_GB2312"/>
          <w:kern w:val="0"/>
          <w:sz w:val="32"/>
          <w:szCs w:val="32"/>
          <w:lang w:val="en-US" w:eastAsia="zh-CN"/>
        </w:rPr>
        <w:t>7</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hint="eastAsia" w:ascii="仿宋_GB2312" w:hAnsi="宋体" w:eastAsia="仿宋_GB2312" w:cs="仿宋_GB2312"/>
          <w:kern w:val="0"/>
          <w:sz w:val="32"/>
          <w:szCs w:val="32"/>
          <w:lang w:val="en-US" w:eastAsia="zh-CN"/>
        </w:rPr>
        <w:t>6</w:t>
      </w:r>
      <w:r>
        <w:rPr>
          <w:rFonts w:hint="eastAsia" w:ascii="仿宋_GB2312" w:hAnsi="宋体" w:eastAsia="仿宋_GB2312" w:cs="仿宋_GB2312"/>
          <w:kern w:val="0"/>
          <w:sz w:val="32"/>
          <w:szCs w:val="32"/>
        </w:rPr>
        <w:t>人、行政工勤1人</w:t>
      </w:r>
      <w:r>
        <w:rPr>
          <w:rFonts w:hint="eastAsia" w:ascii="仿宋_GB2312" w:hAnsi="仿宋_GB2312" w:eastAsia="仿宋_GB2312" w:cs="仿宋_GB2312"/>
          <w:sz w:val="32"/>
          <w:szCs w:val="32"/>
        </w:rPr>
        <w:t>。</w:t>
      </w:r>
    </w:p>
    <w:p w14:paraId="75845559">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14:paraId="4AFDD330">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14:paraId="2EC178A3">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财政下达壤塘县三郎寺寺庙管理委员会年初预算收入</w:t>
      </w:r>
      <w:r>
        <w:rPr>
          <w:rFonts w:hint="eastAsia" w:ascii="仿宋_GB2312" w:hAnsi="仿宋_GB2312" w:eastAsia="仿宋_GB2312" w:cs="仿宋_GB2312"/>
          <w:sz w:val="32"/>
          <w:szCs w:val="32"/>
          <w:lang w:val="en-US" w:eastAsia="zh-CN"/>
        </w:rPr>
        <w:t>165.15</w:t>
      </w:r>
      <w:r>
        <w:rPr>
          <w:rFonts w:hint="eastAsia" w:ascii="仿宋_GB2312" w:hAnsi="仿宋_GB2312" w:eastAsia="仿宋_GB2312" w:cs="仿宋_GB2312"/>
          <w:sz w:val="32"/>
          <w:szCs w:val="32"/>
        </w:rPr>
        <w:t>万元，执行期中追加收入</w:t>
      </w:r>
      <w:r>
        <w:rPr>
          <w:rFonts w:hint="eastAsia" w:ascii="仿宋_GB2312" w:hAnsi="仿宋_GB2312" w:eastAsia="仿宋_GB2312" w:cs="仿宋_GB2312"/>
          <w:sz w:val="32"/>
          <w:szCs w:val="32"/>
          <w:lang w:eastAsia="zh-CN"/>
        </w:rPr>
        <w:t>42.04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全年实际收入合计为207.19万元，本年度无财政应返还额度</w:t>
      </w:r>
      <w:r>
        <w:rPr>
          <w:rFonts w:hint="eastAsia" w:ascii="仿宋_GB2312" w:hAnsi="仿宋_GB2312" w:eastAsia="仿宋_GB2312" w:cs="仿宋_GB2312"/>
          <w:sz w:val="32"/>
          <w:szCs w:val="32"/>
        </w:rPr>
        <w:t xml:space="preserve">。 </w:t>
      </w:r>
    </w:p>
    <w:p w14:paraId="1CEF9695">
      <w:pPr>
        <w:pStyle w:val="45"/>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14:paraId="360E5C30">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壤塘县三郎寺寺庙管理委员会支出全年预算数共计</w:t>
      </w:r>
      <w:r>
        <w:rPr>
          <w:rFonts w:hint="eastAsia" w:ascii="仿宋_GB2312" w:hAnsi="仿宋_GB2312" w:eastAsia="仿宋_GB2312" w:cs="仿宋_GB2312"/>
          <w:sz w:val="32"/>
          <w:szCs w:val="32"/>
          <w:lang w:eastAsia="zh-CN"/>
        </w:rPr>
        <w:t>207.19</w:t>
      </w:r>
      <w:r>
        <w:rPr>
          <w:rFonts w:hint="eastAsia" w:ascii="仿宋_GB2312" w:hAnsi="仿宋_GB2312" w:eastAsia="仿宋_GB2312" w:cs="仿宋_GB2312"/>
          <w:sz w:val="32"/>
          <w:szCs w:val="32"/>
        </w:rPr>
        <w:t>万元，其中基本支出204.22万元，项目支出</w:t>
      </w:r>
      <w:r>
        <w:rPr>
          <w:rFonts w:hint="eastAsia" w:ascii="仿宋_GB2312" w:hAnsi="仿宋_GB2312" w:eastAsia="仿宋_GB2312" w:cs="仿宋_GB2312"/>
          <w:sz w:val="32"/>
          <w:szCs w:val="32"/>
          <w:lang w:val="en-US" w:eastAsia="zh-CN"/>
        </w:rPr>
        <w:t>2.96</w:t>
      </w:r>
      <w:r>
        <w:rPr>
          <w:rFonts w:hint="eastAsia" w:ascii="仿宋_GB2312" w:hAnsi="仿宋_GB2312" w:eastAsia="仿宋_GB2312" w:cs="仿宋_GB2312"/>
          <w:sz w:val="32"/>
          <w:szCs w:val="32"/>
        </w:rPr>
        <w:t>万元。</w:t>
      </w:r>
    </w:p>
    <w:p w14:paraId="3AC0083E">
      <w:pPr>
        <w:spacing w:line="360" w:lineRule="auto"/>
        <w:ind w:firstLine="643" w:firstLineChars="200"/>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三、部门整体预算绩效管理情况</w:t>
      </w:r>
    </w:p>
    <w:p w14:paraId="374B1C4E">
      <w:pPr>
        <w:pStyle w:val="45"/>
        <w:spacing w:line="360" w:lineRule="auto"/>
        <w:ind w:firstLine="643"/>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（一）部门预算管理</w:t>
      </w:r>
    </w:p>
    <w:p w14:paraId="4553CDE9">
      <w:pPr>
        <w:pStyle w:val="45"/>
        <w:spacing w:line="360" w:lineRule="auto"/>
        <w:ind w:firstLine="643"/>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1.部门整体绩效目标制定情况</w:t>
      </w:r>
    </w:p>
    <w:p w14:paraId="73ED09ED">
      <w:pPr>
        <w:pStyle w:val="45"/>
        <w:spacing w:line="360" w:lineRule="auto"/>
        <w:ind w:firstLine="64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lang w:val="en-US" w:eastAsia="zh-CN"/>
        </w:rPr>
        <w:t>扎实开展群众工作、寺庙管理，有力地维护辖区寺庙和谐稳定。</w:t>
      </w:r>
    </w:p>
    <w:p w14:paraId="2D1E98C7">
      <w:pPr>
        <w:pStyle w:val="45"/>
        <w:spacing w:line="360" w:lineRule="auto"/>
        <w:ind w:firstLine="643"/>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2.部门整体绩效目标完成情况</w:t>
      </w:r>
    </w:p>
    <w:p w14:paraId="549819B2">
      <w:pPr>
        <w:pStyle w:val="45"/>
        <w:spacing w:line="360" w:lineRule="auto"/>
        <w:ind w:firstLine="643"/>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1）寺庙管理更规范</w:t>
      </w:r>
    </w:p>
    <w:p w14:paraId="3DBC25F8">
      <w:pPr>
        <w:pStyle w:val="45"/>
        <w:spacing w:line="360" w:lineRule="auto"/>
        <w:ind w:firstLine="643"/>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2）联系僧尼更紧密</w:t>
      </w:r>
    </w:p>
    <w:p w14:paraId="710BF48F">
      <w:pPr>
        <w:pStyle w:val="45"/>
        <w:spacing w:line="360" w:lineRule="auto"/>
        <w:ind w:firstLine="643"/>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3）僧尼安全意识更牢固</w:t>
      </w:r>
    </w:p>
    <w:p w14:paraId="0A9240F6">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14:paraId="75DC3744">
      <w:pPr>
        <w:pStyle w:val="4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壤塘县三郎寺寺庙管理委员会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165.15</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eastAsia="zh-CN"/>
        </w:rPr>
        <w:t>42.04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eastAsia="zh-CN"/>
        </w:rPr>
        <w:t>207.19</w:t>
      </w:r>
      <w:r>
        <w:rPr>
          <w:rFonts w:ascii="仿宋_GB2312" w:hAnsi="仿宋_GB2312" w:eastAsia="仿宋_GB2312" w:cs="仿宋_GB2312"/>
          <w:sz w:val="32"/>
          <w:szCs w:val="32"/>
        </w:rPr>
        <w:t>万元。</w:t>
      </w:r>
    </w:p>
    <w:p w14:paraId="5F6DD1D1">
      <w:pPr>
        <w:pStyle w:val="45"/>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14:paraId="7305FCF9">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壤塘县三郎寺寺庙管理委员会财政拨款执行数</w:t>
      </w:r>
      <w:r>
        <w:rPr>
          <w:rFonts w:hint="eastAsia" w:ascii="仿宋_GB2312" w:hAnsi="仿宋_GB2312" w:eastAsia="仿宋_GB2312" w:cs="仿宋_GB2312"/>
          <w:sz w:val="32"/>
          <w:szCs w:val="32"/>
          <w:lang w:eastAsia="zh-CN"/>
        </w:rPr>
        <w:t>207.19</w:t>
      </w:r>
      <w:r>
        <w:rPr>
          <w:rFonts w:hint="eastAsia" w:ascii="仿宋_GB2312" w:hAnsi="仿宋_GB2312" w:eastAsia="仿宋_GB2312" w:cs="仿宋_GB2312"/>
          <w:sz w:val="32"/>
          <w:szCs w:val="32"/>
        </w:rPr>
        <w:t>万元，财政拨款调整预算数</w:t>
      </w:r>
      <w:r>
        <w:rPr>
          <w:rFonts w:hint="eastAsia" w:ascii="仿宋_GB2312" w:hAnsi="仿宋_GB2312" w:eastAsia="仿宋_GB2312" w:cs="仿宋_GB2312"/>
          <w:sz w:val="32"/>
          <w:szCs w:val="32"/>
          <w:lang w:eastAsia="zh-CN"/>
        </w:rPr>
        <w:t>207.19</w:t>
      </w:r>
      <w:r>
        <w:rPr>
          <w:rFonts w:hint="eastAsia" w:ascii="仿宋_GB2312" w:hAnsi="仿宋_GB2312" w:eastAsia="仿宋_GB2312" w:cs="仿宋_GB2312"/>
          <w:sz w:val="32"/>
          <w:szCs w:val="32"/>
        </w:rPr>
        <w:t>万元，部门总体执行进度</w:t>
      </w:r>
      <w:r>
        <w:rPr>
          <w:rFonts w:hint="eastAsia" w:ascii="仿宋_GB2312" w:hAnsi="仿宋_GB2312" w:eastAsia="仿宋_GB2312" w:cs="仿宋_GB2312"/>
          <w:sz w:val="32"/>
          <w:szCs w:val="32"/>
          <w:lang w:val="en-US" w:eastAsia="zh-CN"/>
        </w:rPr>
        <w:t>为100%，执行进度较高</w:t>
      </w:r>
      <w:r>
        <w:rPr>
          <w:rFonts w:hint="eastAsia" w:ascii="仿宋_GB2312" w:hAnsi="仿宋_GB2312" w:eastAsia="仿宋_GB2312" w:cs="仿宋_GB2312"/>
          <w:sz w:val="32"/>
          <w:szCs w:val="32"/>
        </w:rPr>
        <w:t>。</w:t>
      </w:r>
    </w:p>
    <w:p w14:paraId="36F62A78">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14:paraId="53197CB5">
      <w:pPr>
        <w:pStyle w:val="45"/>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壤塘县三郎寺寺庙管理委员会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165.15</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eastAsia="zh-CN"/>
        </w:rPr>
        <w:t>42.04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eastAsia="zh-CN"/>
        </w:rPr>
        <w:t>207.19</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年末决算数为207.19万元，</w:t>
      </w:r>
      <w:r>
        <w:rPr>
          <w:rFonts w:hint="eastAsia" w:ascii="仿宋_GB2312" w:hAnsi="仿宋_GB2312" w:eastAsia="仿宋_GB2312" w:cs="仿宋_GB2312"/>
          <w:sz w:val="32"/>
          <w:szCs w:val="32"/>
        </w:rPr>
        <w:t>预算完成进度为100%，预算完成度较高。</w:t>
      </w:r>
    </w:p>
    <w:p w14:paraId="72E234CD">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14:paraId="68DB58C4">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截止2024年</w:t>
      </w:r>
      <w:r>
        <w:rPr>
          <w:rFonts w:hint="eastAsia" w:ascii="仿宋_GB2312" w:hAnsi="仿宋_GB2312" w:eastAsia="仿宋_GB2312" w:cs="仿宋_GB2312"/>
          <w:sz w:val="32"/>
          <w:szCs w:val="32"/>
        </w:rPr>
        <w:t>12月31日，我单位无违规纪录情况。</w:t>
      </w:r>
    </w:p>
    <w:p w14:paraId="062D133D">
      <w:pPr>
        <w:pStyle w:val="45"/>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14:paraId="1D2A59D2">
      <w:pPr>
        <w:pStyle w:val="45"/>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三郎寺寺庙管理委员会2024年“三公”经费预算5万元，决算支出4.67万元。其中公务用车购置及运行维护费预算5万元，决算支出4.67万元（其中公务用车运行维护费4.67万元）,未发生因公出国（境）费及公务接待费，2024年“三公”经费决算均未超过预算。</w:t>
      </w:r>
    </w:p>
    <w:p w14:paraId="69370A0C">
      <w:pPr>
        <w:pStyle w:val="45"/>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14:paraId="14D6E5A8">
      <w:pPr>
        <w:pStyle w:val="45"/>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采购规范性。壤塘县三郎寺寺庙管理委员会2024年度政府采购货物支出0万元，政府采购工程支出0万元，政府采购服务支出0万元。</w:t>
      </w:r>
    </w:p>
    <w:p w14:paraId="783BC2C4">
      <w:pPr>
        <w:pStyle w:val="45"/>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14:paraId="5E888007">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固定资产在用率。截止2024年12月31日，壤塘县三郎寺寺庙管理委员会《行政单位资产管理系统》固定资产总计46.67万元，在用的固定资产总计46.67万元，固定资产在用率达100%。</w:t>
      </w:r>
    </w:p>
    <w:p w14:paraId="2E05C221">
      <w:pPr>
        <w:pStyle w:val="45"/>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14:paraId="41BE8B69">
      <w:pPr>
        <w:pStyle w:val="45"/>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根据县财政局要求，我会成立自评工作小组，组织实施本单位</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有关厉行勤俭节约相关规定，严格执行财务管理制度，根据年初预算合理安排日常公用经费资金，做到厉行节约、精打细算，把有效的资金用到刀刃上，让财政资金发挥最大的社会及经济效益并保证</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各项工作的正常运转。</w:t>
      </w:r>
    </w:p>
    <w:p w14:paraId="2A1F87C2">
      <w:pPr>
        <w:pStyle w:val="45"/>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14:paraId="5C445E80">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14:paraId="18605A20">
      <w:pPr>
        <w:pStyle w:val="45"/>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val="zh-CN"/>
        </w:rPr>
        <w:t>将继续努力，科学合理编制预决算，进行绩效评价，加强精细管理，完善不足</w:t>
      </w:r>
      <w:r>
        <w:rPr>
          <w:rFonts w:hint="eastAsia" w:ascii="仿宋_GB2312" w:hAnsi="仿宋_GB2312" w:eastAsia="仿宋_GB2312" w:cs="仿宋_GB2312"/>
          <w:sz w:val="32"/>
          <w:szCs w:val="32"/>
        </w:rPr>
        <w:t>。</w:t>
      </w:r>
    </w:p>
    <w:p w14:paraId="3CDF1B2B">
      <w:pPr>
        <w:pStyle w:val="45"/>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14:paraId="25D7042F">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1.未制定明确的财务监控监督措施。</w:t>
      </w:r>
    </w:p>
    <w:p w14:paraId="36091784">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14:paraId="108753AA">
      <w:pPr>
        <w:pStyle w:val="45"/>
        <w:spacing w:line="360" w:lineRule="auto"/>
        <w:ind w:firstLine="640"/>
        <w:rPr>
          <w:rFonts w:hint="default" w:ascii="仿宋_GB2312" w:hAnsi="仿宋_GB2312" w:eastAsia="仿宋_GB2312" w:cs="仿宋_GB2312"/>
          <w:b/>
          <w:bCs/>
          <w:sz w:val="32"/>
          <w:szCs w:val="32"/>
          <w:lang w:val="en-US"/>
        </w:rPr>
      </w:pPr>
      <w:r>
        <w:rPr>
          <w:rFonts w:hint="eastAsia" w:ascii="仿宋_GB2312" w:hAnsi="仿宋_GB2312" w:eastAsia="仿宋_GB2312" w:cs="仿宋_GB2312"/>
          <w:sz w:val="32"/>
          <w:szCs w:val="32"/>
          <w:lang w:val="en-US" w:eastAsia="zh-CN"/>
        </w:rPr>
        <w:t>1.制定明确的财务监控监督措施且确保监控监督有效。</w:t>
      </w:r>
    </w:p>
    <w:p w14:paraId="670DAB5B">
      <w:pPr>
        <w:pStyle w:val="17"/>
        <w:rPr>
          <w:lang w:val="zh-CN"/>
        </w:rPr>
      </w:pPr>
    </w:p>
    <w:p w14:paraId="2BC9E1E2">
      <w:pPr>
        <w:pStyle w:val="19"/>
        <w:rPr>
          <w:rFonts w:hint="eastAsia" w:hAnsi="Times New Roman" w:cs="Times New Roman"/>
          <w:color w:val="auto"/>
          <w:sz w:val="32"/>
          <w:szCs w:val="32"/>
          <w:highlight w:val="none"/>
          <w:lang w:val="en-US" w:eastAsia="zh-CN"/>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部门预算项目支出绩效自评表（2024年度）</w:t>
      </w:r>
    </w:p>
    <w:tbl>
      <w:tblPr>
        <w:tblStyle w:val="23"/>
        <w:tblW w:w="0" w:type="auto"/>
        <w:tblInd w:w="0" w:type="dxa"/>
        <w:shd w:val="clear" w:color="auto" w:fill="auto"/>
        <w:tblLayout w:type="autofit"/>
        <w:tblCellMar>
          <w:top w:w="0" w:type="dxa"/>
          <w:left w:w="0" w:type="dxa"/>
          <w:bottom w:w="0" w:type="dxa"/>
          <w:right w:w="0" w:type="dxa"/>
        </w:tblCellMar>
      </w:tblPr>
      <w:tblGrid>
        <w:gridCol w:w="646"/>
        <w:gridCol w:w="700"/>
        <w:gridCol w:w="607"/>
        <w:gridCol w:w="886"/>
        <w:gridCol w:w="303"/>
        <w:gridCol w:w="346"/>
        <w:gridCol w:w="303"/>
        <w:gridCol w:w="740"/>
        <w:gridCol w:w="315"/>
        <w:gridCol w:w="241"/>
        <w:gridCol w:w="3249"/>
      </w:tblGrid>
      <w:tr w14:paraId="2145F7B3">
        <w:tblPrEx>
          <w:shd w:val="clear" w:color="auto" w:fill="auto"/>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1AA4E">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E42D080">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75E7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FE02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51323021T000000064779-伙食团经费</w:t>
            </w:r>
          </w:p>
        </w:tc>
      </w:tr>
      <w:tr w14:paraId="50AB0A5D">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A95E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A3FE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壤塘县三郎寺寺庙管理委员会</w:t>
            </w:r>
          </w:p>
        </w:tc>
        <w:tc>
          <w:tcPr>
            <w:tcW w:w="0" w:type="auto"/>
            <w:tcBorders>
              <w:top w:val="nil"/>
              <w:left w:val="nil"/>
              <w:bottom w:val="nil"/>
              <w:right w:val="nil"/>
            </w:tcBorders>
            <w:shd w:val="clear" w:color="auto" w:fill="auto"/>
            <w:tcMar>
              <w:top w:w="15" w:type="dxa"/>
              <w:left w:w="15" w:type="dxa"/>
              <w:right w:w="15" w:type="dxa"/>
            </w:tcMar>
            <w:vAlign w:val="center"/>
          </w:tcPr>
          <w:p w14:paraId="471D6E2A">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33B7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壤塘县三郎寺寺庙管委会</w:t>
            </w:r>
          </w:p>
        </w:tc>
      </w:tr>
      <w:tr w14:paraId="5020930A">
        <w:tblPrEx>
          <w:shd w:val="clear" w:color="auto" w:fill="auto"/>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F308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2DC8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D74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C5A5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0DAEE2E">
        <w:tblPrEx>
          <w:shd w:val="clear" w:color="auto" w:fill="auto"/>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5E7DB">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455CF">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6096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用于三郎寺伙食团日常经费开支。提高生活质量和生活水平。</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A23D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14:paraId="04D44794">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794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7426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DC9C">
            <w:pPr>
              <w:rPr>
                <w:rFonts w:hint="eastAsia" w:ascii="宋体" w:hAnsi="宋体" w:eastAsia="宋体" w:cs="宋体"/>
                <w:i w:val="0"/>
                <w:color w:val="000000"/>
                <w:sz w:val="18"/>
                <w:szCs w:val="18"/>
                <w:u w:val="none"/>
              </w:rPr>
            </w:pPr>
          </w:p>
        </w:tc>
      </w:tr>
      <w:tr w14:paraId="1DA25145">
        <w:tblPrEx>
          <w:shd w:val="clear" w:color="auto" w:fill="auto"/>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B99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382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E5E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7D5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3D3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6BF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45E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917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4C5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66E5754">
        <w:tblPrEx>
          <w:shd w:val="clear" w:color="auto" w:fill="auto"/>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DC3CA">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5C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F2D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A0F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2DE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722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99.43%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8F8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698C8">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7FD65">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5202EE7">
        <w:tblPrEx>
          <w:shd w:val="clear" w:color="auto" w:fill="auto"/>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E576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E43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FDF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029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653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D7D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99.43%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7E9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BEA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C32D9">
            <w:pPr>
              <w:rPr>
                <w:rFonts w:hint="eastAsia" w:ascii="黑体" w:hAnsi="黑体" w:eastAsia="黑体" w:cs="黑体"/>
                <w:i/>
                <w:color w:val="000000"/>
                <w:sz w:val="18"/>
                <w:szCs w:val="18"/>
                <w:u w:val="none"/>
              </w:rPr>
            </w:pPr>
          </w:p>
        </w:tc>
      </w:tr>
      <w:tr w14:paraId="06F94E5A">
        <w:tblPrEx>
          <w:shd w:val="clear" w:color="auto" w:fill="auto"/>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E693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909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55A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989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640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7E8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F62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4DE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34DC8">
            <w:pPr>
              <w:rPr>
                <w:rFonts w:hint="eastAsia" w:ascii="黑体" w:hAnsi="黑体" w:eastAsia="黑体" w:cs="黑体"/>
                <w:i/>
                <w:color w:val="000000"/>
                <w:sz w:val="18"/>
                <w:szCs w:val="18"/>
                <w:u w:val="none"/>
              </w:rPr>
            </w:pPr>
          </w:p>
        </w:tc>
      </w:tr>
      <w:tr w14:paraId="124855C0">
        <w:tblPrEx>
          <w:shd w:val="clear" w:color="auto" w:fill="auto"/>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037C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0C7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647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DAC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3DF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461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A29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D6B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D87D7">
            <w:pPr>
              <w:rPr>
                <w:rFonts w:hint="eastAsia" w:ascii="黑体" w:hAnsi="黑体" w:eastAsia="黑体" w:cs="黑体"/>
                <w:i/>
                <w:color w:val="000000"/>
                <w:sz w:val="18"/>
                <w:szCs w:val="18"/>
                <w:u w:val="none"/>
              </w:rPr>
            </w:pPr>
          </w:p>
        </w:tc>
      </w:tr>
      <w:tr w14:paraId="516067CB">
        <w:tblPrEx>
          <w:shd w:val="clear" w:color="auto" w:fill="auto"/>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6E5A7">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37D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A2CCE">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90934">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2F89A">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267CD">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B82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D98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B0FDC">
            <w:pPr>
              <w:rPr>
                <w:rFonts w:hint="eastAsia" w:ascii="黑体" w:hAnsi="黑体" w:eastAsia="黑体" w:cs="黑体"/>
                <w:i/>
                <w:color w:val="000000"/>
                <w:sz w:val="18"/>
                <w:szCs w:val="18"/>
                <w:u w:val="none"/>
              </w:rPr>
            </w:pPr>
          </w:p>
        </w:tc>
      </w:tr>
      <w:tr w14:paraId="1D25728C">
        <w:tblPrEx>
          <w:shd w:val="clear" w:color="auto" w:fill="auto"/>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73A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049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DB8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D25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654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6FB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E54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177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E2E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6A1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2A4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FCB3451">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5915E">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9CA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74C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9D7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寺管会伙食安全质量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3B9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803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AB6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B7531">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724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6F570">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459CF">
            <w:pPr>
              <w:jc w:val="center"/>
              <w:rPr>
                <w:rFonts w:hint="eastAsia" w:ascii="微软雅黑" w:hAnsi="微软雅黑" w:eastAsia="微软雅黑" w:cs="微软雅黑"/>
                <w:i/>
                <w:color w:val="000000"/>
                <w:sz w:val="16"/>
                <w:szCs w:val="16"/>
                <w:u w:val="none"/>
              </w:rPr>
            </w:pPr>
          </w:p>
        </w:tc>
      </w:tr>
      <w:tr w14:paraId="5E538361">
        <w:tblPrEx>
          <w:shd w:val="clear" w:color="auto" w:fill="auto"/>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363D8">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FFE9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73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B76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伙食团运营时间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13D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229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A25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C7F7F">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393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CD4E3">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C402C">
            <w:pPr>
              <w:jc w:val="center"/>
              <w:rPr>
                <w:rFonts w:hint="eastAsia" w:ascii="微软雅黑" w:hAnsi="微软雅黑" w:eastAsia="微软雅黑" w:cs="微软雅黑"/>
                <w:i/>
                <w:color w:val="000000"/>
                <w:sz w:val="16"/>
                <w:szCs w:val="16"/>
                <w:u w:val="none"/>
              </w:rPr>
            </w:pPr>
          </w:p>
        </w:tc>
      </w:tr>
      <w:tr w14:paraId="48F8C933">
        <w:tblPrEx>
          <w:shd w:val="clear" w:color="auto" w:fill="auto"/>
          <w:tblCellMar>
            <w:top w:w="0" w:type="dxa"/>
            <w:left w:w="0" w:type="dxa"/>
            <w:bottom w:w="0" w:type="dxa"/>
            <w:right w:w="0"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91139">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28A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438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D82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保障职工生活水平，提高职工工作积极性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F28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7FA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D50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4E03A">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7A3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A6D0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281BD">
            <w:pPr>
              <w:jc w:val="center"/>
              <w:rPr>
                <w:rFonts w:hint="eastAsia" w:ascii="微软雅黑" w:hAnsi="微软雅黑" w:eastAsia="微软雅黑" w:cs="微软雅黑"/>
                <w:i/>
                <w:color w:val="000000"/>
                <w:sz w:val="16"/>
                <w:szCs w:val="16"/>
                <w:u w:val="none"/>
              </w:rPr>
            </w:pPr>
          </w:p>
        </w:tc>
      </w:tr>
      <w:tr w14:paraId="51F19A3B">
        <w:tblPrEx>
          <w:shd w:val="clear" w:color="auto" w:fill="auto"/>
          <w:tblCellMar>
            <w:top w:w="0" w:type="dxa"/>
            <w:left w:w="0" w:type="dxa"/>
            <w:bottom w:w="0" w:type="dxa"/>
            <w:right w:w="0"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2E683">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CA6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9AE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63B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寺管会工作者对食堂伙食的满意度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7AA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03C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326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6CBF8">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23A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FF359">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3F47A">
            <w:pPr>
              <w:jc w:val="center"/>
              <w:rPr>
                <w:rFonts w:hint="eastAsia" w:ascii="微软雅黑" w:hAnsi="微软雅黑" w:eastAsia="微软雅黑" w:cs="微软雅黑"/>
                <w:i/>
                <w:color w:val="000000"/>
                <w:sz w:val="16"/>
                <w:szCs w:val="16"/>
                <w:u w:val="none"/>
              </w:rPr>
            </w:pPr>
          </w:p>
        </w:tc>
      </w:tr>
      <w:tr w14:paraId="43EBCBA3">
        <w:tblPrEx>
          <w:shd w:val="clear" w:color="auto" w:fill="auto"/>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7FF5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BA3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A40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C45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寺管会伙食团成本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7C8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6B3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24F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DD41E">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475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1E1E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04EAE">
            <w:pPr>
              <w:jc w:val="center"/>
              <w:rPr>
                <w:rFonts w:hint="eastAsia" w:ascii="微软雅黑" w:hAnsi="微软雅黑" w:eastAsia="微软雅黑" w:cs="微软雅黑"/>
                <w:i/>
                <w:color w:val="000000"/>
                <w:sz w:val="16"/>
                <w:szCs w:val="16"/>
                <w:u w:val="none"/>
              </w:rPr>
            </w:pPr>
          </w:p>
        </w:tc>
      </w:tr>
      <w:tr w14:paraId="315541D9">
        <w:tblPrEx>
          <w:shd w:val="clear" w:color="auto" w:fill="auto"/>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B3D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240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8DAD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E7946">
            <w:pPr>
              <w:rPr>
                <w:rFonts w:hint="eastAsia" w:ascii="宋体" w:hAnsi="宋体" w:eastAsia="宋体" w:cs="宋体"/>
                <w:i w:val="0"/>
                <w:color w:val="000000"/>
                <w:sz w:val="18"/>
                <w:szCs w:val="18"/>
                <w:u w:val="none"/>
              </w:rPr>
            </w:pPr>
          </w:p>
        </w:tc>
      </w:tr>
      <w:tr w14:paraId="6FE306DA">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73D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731A7">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14:paraId="792C98FE">
        <w:tblPrEx>
          <w:shd w:val="clear" w:color="auto" w:fill="auto"/>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3FC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4C070">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14:paraId="0098DA61">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8E8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CDD0B">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14:paraId="2ADDBDE7">
        <w:tblPrEx>
          <w:shd w:val="clear" w:color="auto" w:fill="auto"/>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349F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D46A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14:paraId="6CF27AD2">
        <w:tblPrEx>
          <w:tblCellMar>
            <w:top w:w="0" w:type="dxa"/>
            <w:left w:w="0" w:type="dxa"/>
            <w:bottom w:w="0" w:type="dxa"/>
            <w:right w:w="0" w:type="dxa"/>
          </w:tblCellMar>
        </w:tblPrEx>
        <w:trPr>
          <w:trHeight w:val="286" w:hRule="atLeast"/>
        </w:trPr>
        <w:tc>
          <w:tcPr>
            <w:tcW w:w="0" w:type="auto"/>
            <w:tcBorders>
              <w:top w:val="nil"/>
              <w:left w:val="nil"/>
              <w:bottom w:val="nil"/>
              <w:right w:val="nil"/>
            </w:tcBorders>
            <w:shd w:val="clear" w:color="auto" w:fill="auto"/>
            <w:tcMar>
              <w:top w:w="15" w:type="dxa"/>
              <w:left w:w="15" w:type="dxa"/>
              <w:right w:w="15" w:type="dxa"/>
            </w:tcMar>
            <w:vAlign w:val="center"/>
          </w:tcPr>
          <w:p w14:paraId="47C01E2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58FDF2BA">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22E4328B">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4AE7358B">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5EC5DA0A">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62176E0F">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5417E81B">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02616273">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7C99FFA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245A6D4A">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tcMar>
              <w:top w:w="15" w:type="dxa"/>
              <w:left w:w="15" w:type="dxa"/>
              <w:right w:w="15" w:type="dxa"/>
            </w:tcMar>
            <w:vAlign w:val="center"/>
          </w:tcPr>
          <w:p w14:paraId="5A657E38">
            <w:pPr>
              <w:rPr>
                <w:rFonts w:hint="eastAsia" w:ascii="宋体" w:hAnsi="宋体" w:eastAsia="宋体" w:cs="宋体"/>
                <w:i w:val="0"/>
                <w:color w:val="000000"/>
                <w:sz w:val="18"/>
                <w:szCs w:val="18"/>
                <w:u w:val="none"/>
              </w:rPr>
            </w:pPr>
          </w:p>
        </w:tc>
      </w:tr>
      <w:tr w14:paraId="69073FED">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5B92A">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95254DF">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4CB0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840D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51323021T000000064798-寺管会特殊工作经费</w:t>
            </w:r>
          </w:p>
        </w:tc>
      </w:tr>
      <w:tr w14:paraId="58558DB6">
        <w:tblPrEx>
          <w:shd w:val="clear" w:color="auto" w:fill="auto"/>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FE4F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24E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壤塘县三郎寺寺庙管理委员会</w:t>
            </w:r>
          </w:p>
        </w:tc>
        <w:tc>
          <w:tcPr>
            <w:tcW w:w="0" w:type="auto"/>
            <w:tcBorders>
              <w:top w:val="nil"/>
              <w:left w:val="nil"/>
              <w:bottom w:val="nil"/>
              <w:right w:val="nil"/>
            </w:tcBorders>
            <w:shd w:val="clear" w:color="auto" w:fill="auto"/>
            <w:tcMar>
              <w:top w:w="15" w:type="dxa"/>
              <w:left w:w="15" w:type="dxa"/>
              <w:right w:w="15" w:type="dxa"/>
            </w:tcMar>
            <w:vAlign w:val="center"/>
          </w:tcPr>
          <w:p w14:paraId="278E539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FC0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壤塘县三郎寺寺庙管委会</w:t>
            </w:r>
          </w:p>
        </w:tc>
      </w:tr>
      <w:tr w14:paraId="316B7524">
        <w:tblPrEx>
          <w:shd w:val="clear" w:color="auto" w:fill="auto"/>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E4E6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AD7D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212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D9D05">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0328451">
        <w:tblPrEx>
          <w:shd w:val="clear" w:color="auto" w:fill="auto"/>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8FFD9">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74CF1">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1DD1B">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FEF8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14:paraId="226DEBF2">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EFA2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92D0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71DE2">
            <w:pPr>
              <w:rPr>
                <w:rFonts w:hint="eastAsia" w:ascii="宋体" w:hAnsi="宋体" w:eastAsia="宋体" w:cs="宋体"/>
                <w:i w:val="0"/>
                <w:color w:val="000000"/>
                <w:sz w:val="18"/>
                <w:szCs w:val="18"/>
                <w:u w:val="none"/>
              </w:rPr>
            </w:pPr>
          </w:p>
        </w:tc>
      </w:tr>
      <w:tr w14:paraId="4A315B84">
        <w:tblPrEx>
          <w:shd w:val="clear" w:color="auto" w:fill="auto"/>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745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3D2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08A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8B8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D8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E05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57F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07A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201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C39724E">
        <w:tblPrEx>
          <w:shd w:val="clear" w:color="auto" w:fill="auto"/>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15FF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988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9C7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506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D24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2C0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98.76%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5DE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328FC">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D41C2">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B14737">
        <w:tblPrEx>
          <w:shd w:val="clear" w:color="auto" w:fill="auto"/>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8230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162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47C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F57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4A5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B3C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98.76%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B61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E7A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E1BF6">
            <w:pPr>
              <w:rPr>
                <w:rFonts w:hint="eastAsia" w:ascii="黑体" w:hAnsi="黑体" w:eastAsia="黑体" w:cs="黑体"/>
                <w:i/>
                <w:color w:val="000000"/>
                <w:sz w:val="18"/>
                <w:szCs w:val="18"/>
                <w:u w:val="none"/>
              </w:rPr>
            </w:pPr>
          </w:p>
        </w:tc>
      </w:tr>
      <w:tr w14:paraId="65106537">
        <w:tblPrEx>
          <w:shd w:val="clear" w:color="auto" w:fill="auto"/>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4153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338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8DC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CA4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A79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23A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F30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3F1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08FA7">
            <w:pPr>
              <w:rPr>
                <w:rFonts w:hint="eastAsia" w:ascii="黑体" w:hAnsi="黑体" w:eastAsia="黑体" w:cs="黑体"/>
                <w:i/>
                <w:color w:val="000000"/>
                <w:sz w:val="18"/>
                <w:szCs w:val="18"/>
                <w:u w:val="none"/>
              </w:rPr>
            </w:pPr>
          </w:p>
        </w:tc>
      </w:tr>
      <w:tr w14:paraId="5389A819">
        <w:tblPrEx>
          <w:shd w:val="clear" w:color="auto" w:fill="auto"/>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D6662">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708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9364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642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B0B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F4B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9F9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2CF6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06872">
            <w:pPr>
              <w:rPr>
                <w:rFonts w:hint="eastAsia" w:ascii="黑体" w:hAnsi="黑体" w:eastAsia="黑体" w:cs="黑体"/>
                <w:i/>
                <w:color w:val="000000"/>
                <w:sz w:val="18"/>
                <w:szCs w:val="18"/>
                <w:u w:val="none"/>
              </w:rPr>
            </w:pPr>
          </w:p>
        </w:tc>
      </w:tr>
      <w:tr w14:paraId="42058A0A">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29439">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705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07439">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5DF9D">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8EDEC">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65A07">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D56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8C2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4F28D">
            <w:pPr>
              <w:rPr>
                <w:rFonts w:hint="eastAsia" w:ascii="黑体" w:hAnsi="黑体" w:eastAsia="黑体" w:cs="黑体"/>
                <w:i/>
                <w:color w:val="000000"/>
                <w:sz w:val="18"/>
                <w:szCs w:val="18"/>
                <w:u w:val="none"/>
              </w:rPr>
            </w:pPr>
          </w:p>
        </w:tc>
      </w:tr>
      <w:tr w14:paraId="1A5F82C1">
        <w:tblPrEx>
          <w:shd w:val="clear" w:color="auto" w:fill="auto"/>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66A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940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E14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B01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745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EFA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AD3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2CC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5CE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505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66B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81DAEEC">
        <w:tblPrEx>
          <w:shd w:val="clear" w:color="auto" w:fill="auto"/>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6473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E6E6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4E3DA">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29370">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5E0E3">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8729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AE09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F212E">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E03B7">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B1A1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15474">
            <w:pPr>
              <w:jc w:val="center"/>
              <w:rPr>
                <w:rFonts w:hint="eastAsia" w:ascii="微软雅黑" w:hAnsi="微软雅黑" w:eastAsia="微软雅黑" w:cs="微软雅黑"/>
                <w:i/>
                <w:color w:val="000000"/>
                <w:sz w:val="16"/>
                <w:szCs w:val="16"/>
                <w:u w:val="none"/>
              </w:rPr>
            </w:pPr>
          </w:p>
        </w:tc>
      </w:tr>
      <w:tr w14:paraId="607DF31D">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10E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764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B137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6DB62">
            <w:pPr>
              <w:rPr>
                <w:rFonts w:hint="eastAsia" w:ascii="宋体" w:hAnsi="宋体" w:eastAsia="宋体" w:cs="宋体"/>
                <w:i w:val="0"/>
                <w:color w:val="000000"/>
                <w:sz w:val="18"/>
                <w:szCs w:val="18"/>
                <w:u w:val="none"/>
              </w:rPr>
            </w:pPr>
          </w:p>
        </w:tc>
      </w:tr>
      <w:tr w14:paraId="43E1B80E">
        <w:tblPrEx>
          <w:shd w:val="clear" w:color="auto" w:fill="auto"/>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5EE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ED11E">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14:paraId="57573792">
        <w:tblPrEx>
          <w:shd w:val="clear" w:color="auto" w:fill="auto"/>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3B5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CF29C">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14:paraId="769CAE51">
        <w:tblPrEx>
          <w:shd w:val="clear" w:color="auto" w:fill="auto"/>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D1A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371E2">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14:paraId="5B666B8A">
        <w:tblPrEx>
          <w:shd w:val="clear" w:color="auto" w:fill="auto"/>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8A6A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4909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14:paraId="26448D0C">
      <w:pPr>
        <w:pStyle w:val="19"/>
        <w:rPr>
          <w:rFonts w:ascii="仿宋_GB2312" w:hAnsi="仿宋_GB2312" w:eastAsia="仿宋_GB2312" w:cs="仿宋_GB2312"/>
          <w:sz w:val="32"/>
          <w:szCs w:val="32"/>
        </w:rPr>
      </w:pPr>
    </w:p>
    <w:p w14:paraId="03F308E8"/>
    <w:p w14:paraId="78E00ECB">
      <w:pPr>
        <w:pStyle w:val="19"/>
        <w:ind w:left="0" w:leftChars="0" w:firstLine="0" w:firstLineChars="0"/>
        <w:rPr>
          <w:rFonts w:ascii="仿宋_GB2312" w:hAnsi="仿宋_GB2312" w:eastAsia="仿宋_GB2312" w:cs="仿宋_GB2312"/>
          <w:sz w:val="32"/>
          <w:szCs w:val="32"/>
        </w:rPr>
      </w:pPr>
    </w:p>
    <w:p w14:paraId="759185D2">
      <w:pPr>
        <w:rPr>
          <w:rFonts w:ascii="仿宋_GB2312" w:hAnsi="仿宋_GB2312" w:eastAsia="仿宋_GB2312" w:cs="仿宋_GB2312"/>
          <w:sz w:val="32"/>
          <w:szCs w:val="32"/>
        </w:rPr>
      </w:pPr>
    </w:p>
    <w:p w14:paraId="3A7086E1">
      <w:pPr>
        <w:pStyle w:val="19"/>
        <w:rPr>
          <w:rFonts w:ascii="仿宋_GB2312" w:hAnsi="仿宋_GB2312" w:eastAsia="仿宋_GB2312" w:cs="仿宋_GB2312"/>
          <w:sz w:val="32"/>
          <w:szCs w:val="32"/>
        </w:rPr>
      </w:pPr>
    </w:p>
    <w:p w14:paraId="1FB34E29">
      <w:pPr>
        <w:rPr>
          <w:rFonts w:ascii="仿宋_GB2312" w:hAnsi="仿宋_GB2312" w:eastAsia="仿宋_GB2312" w:cs="仿宋_GB2312"/>
          <w:sz w:val="32"/>
          <w:szCs w:val="32"/>
        </w:rPr>
      </w:pPr>
    </w:p>
    <w:p w14:paraId="3952B499">
      <w:pPr>
        <w:pStyle w:val="19"/>
        <w:rPr>
          <w:rFonts w:ascii="仿宋_GB2312" w:hAnsi="仿宋_GB2312" w:eastAsia="仿宋_GB2312" w:cs="仿宋_GB2312"/>
          <w:sz w:val="32"/>
          <w:szCs w:val="32"/>
        </w:rPr>
      </w:pPr>
    </w:p>
    <w:p w14:paraId="332B9398">
      <w:pPr>
        <w:rPr>
          <w:rFonts w:ascii="仿宋_GB2312" w:hAnsi="仿宋_GB2312" w:eastAsia="仿宋_GB2312" w:cs="仿宋_GB2312"/>
          <w:sz w:val="32"/>
          <w:szCs w:val="32"/>
        </w:rPr>
      </w:pPr>
    </w:p>
    <w:p w14:paraId="5699E425">
      <w:pPr>
        <w:pStyle w:val="19"/>
      </w:pPr>
    </w:p>
    <w:p w14:paraId="2DA8F7AF">
      <w:pPr>
        <w:pStyle w:val="19"/>
        <w:rPr>
          <w:rFonts w:ascii="仿宋_GB2312" w:hAnsi="仿宋_GB2312" w:eastAsia="仿宋_GB2312" w:cs="仿宋_GB2312"/>
          <w:sz w:val="32"/>
          <w:szCs w:val="32"/>
        </w:rPr>
      </w:pPr>
    </w:p>
    <w:p w14:paraId="33DD7A76"/>
    <w:bookmarkEnd w:id="86"/>
    <w:p w14:paraId="3E6C621E">
      <w:pPr>
        <w:rPr>
          <w:rFonts w:hint="eastAsia"/>
        </w:rPr>
      </w:pPr>
    </w:p>
    <w:p w14:paraId="78AB97AC">
      <w:pPr>
        <w:spacing w:line="600" w:lineRule="exact"/>
        <w:jc w:val="center"/>
        <w:outlineLvl w:val="0"/>
        <w:rPr>
          <w:rFonts w:ascii="黑体" w:eastAsia="黑体"/>
          <w:b w:val="0"/>
        </w:rPr>
      </w:pPr>
      <w:bookmarkStart w:id="90" w:name="_Toc9716"/>
      <w:r>
        <w:rPr>
          <w:rFonts w:hint="eastAsia" w:ascii="黑体" w:eastAsia="黑体"/>
          <w:color w:val="000000"/>
          <w:sz w:val="44"/>
          <w:szCs w:val="44"/>
        </w:rPr>
        <w:t>第</w:t>
      </w:r>
      <w:r>
        <w:rPr>
          <w:rFonts w:hint="eastAsia" w:ascii="黑体" w:eastAsia="黑体"/>
          <w:b w:val="0"/>
          <w:bCs/>
          <w:kern w:val="44"/>
          <w:sz w:val="44"/>
          <w:szCs w:val="44"/>
        </w:rPr>
        <w:t>五部分</w:t>
      </w:r>
      <w:r>
        <w:rPr>
          <w:rFonts w:ascii="黑体" w:eastAsia="黑体"/>
          <w:b w:val="0"/>
          <w:bCs/>
          <w:kern w:val="44"/>
          <w:sz w:val="44"/>
          <w:szCs w:val="44"/>
        </w:rPr>
        <w:t xml:space="preserve"> </w:t>
      </w:r>
      <w:r>
        <w:rPr>
          <w:rFonts w:hint="eastAsia" w:ascii="黑体" w:eastAsia="黑体"/>
          <w:b w:val="0"/>
          <w:bCs/>
          <w:kern w:val="44"/>
          <w:sz w:val="44"/>
          <w:szCs w:val="44"/>
        </w:rPr>
        <w:t>附表</w:t>
      </w:r>
      <w:bookmarkEnd w:id="90"/>
    </w:p>
    <w:p w14:paraId="7FFA9881">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91" w:name="_Toc79163636"/>
      <w:bookmarkStart w:id="92" w:name="_Toc31486"/>
      <w:bookmarkStart w:id="93" w:name="_Toc18544"/>
      <w:bookmarkStart w:id="94" w:name="_Toc15396619"/>
      <w:r>
        <w:rPr>
          <w:rFonts w:hint="eastAsia" w:ascii="仿宋" w:hAnsi="Cambria" w:eastAsia="仿宋" w:cs="Times New Roman"/>
          <w:b w:val="0"/>
          <w:bCs/>
          <w:color w:val="000000"/>
          <w:kern w:val="2"/>
          <w:sz w:val="32"/>
          <w:szCs w:val="32"/>
          <w:lang w:val="en-US" w:eastAsia="zh-CN" w:bidi="ar-SA"/>
        </w:rPr>
        <w:t>一、收</w:t>
      </w:r>
      <w:r>
        <w:rPr>
          <w:rFonts w:hint="eastAsia" w:ascii="仿宋" w:hAnsi="Cambria" w:eastAsia="仿宋" w:cs="Times New Roman"/>
          <w:b w:val="0"/>
          <w:bCs w:val="0"/>
          <w:kern w:val="2"/>
          <w:sz w:val="32"/>
          <w:szCs w:val="32"/>
          <w:lang w:val="en-US" w:eastAsia="zh-CN" w:bidi="ar-SA"/>
        </w:rPr>
        <w:t>入支出决算总表</w:t>
      </w:r>
      <w:bookmarkEnd w:id="91"/>
      <w:bookmarkEnd w:id="92"/>
      <w:bookmarkEnd w:id="93"/>
      <w:bookmarkEnd w:id="94"/>
    </w:p>
    <w:p w14:paraId="18F48F82">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95" w:name="_Toc13553"/>
      <w:bookmarkStart w:id="96" w:name="_Toc6181"/>
      <w:bookmarkStart w:id="97" w:name="_Toc79163637"/>
      <w:bookmarkStart w:id="98" w:name="_Toc15396620"/>
      <w:r>
        <w:rPr>
          <w:rFonts w:hint="eastAsia" w:ascii="仿宋" w:hAnsi="Cambria" w:eastAsia="仿宋" w:cs="Times New Roman"/>
          <w:b w:val="0"/>
          <w:bCs/>
          <w:color w:val="000000"/>
          <w:kern w:val="2"/>
          <w:sz w:val="32"/>
          <w:szCs w:val="32"/>
          <w:lang w:val="en-US" w:eastAsia="zh-CN" w:bidi="ar-SA"/>
        </w:rPr>
        <w:t>二、收</w:t>
      </w:r>
      <w:r>
        <w:rPr>
          <w:rFonts w:hint="eastAsia" w:ascii="仿宋" w:hAnsi="Cambria" w:eastAsia="仿宋" w:cs="Times New Roman"/>
          <w:b w:val="0"/>
          <w:bCs w:val="0"/>
          <w:kern w:val="2"/>
          <w:sz w:val="32"/>
          <w:szCs w:val="32"/>
          <w:lang w:val="en-US" w:eastAsia="zh-CN" w:bidi="ar-SA"/>
        </w:rPr>
        <w:t>入决算表</w:t>
      </w:r>
      <w:bookmarkEnd w:id="95"/>
      <w:bookmarkEnd w:id="96"/>
      <w:bookmarkEnd w:id="97"/>
      <w:bookmarkEnd w:id="98"/>
    </w:p>
    <w:p w14:paraId="76C1CD9A">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99" w:name="_Toc15396621"/>
      <w:bookmarkStart w:id="100" w:name="_Toc401"/>
      <w:bookmarkStart w:id="101" w:name="_Toc79163638"/>
      <w:bookmarkStart w:id="102" w:name="_Toc5004"/>
      <w:r>
        <w:rPr>
          <w:rFonts w:hint="eastAsia" w:ascii="仿宋" w:hAnsi="Cambria" w:eastAsia="仿宋" w:cs="Times New Roman"/>
          <w:b w:val="0"/>
          <w:bCs w:val="0"/>
          <w:kern w:val="2"/>
          <w:sz w:val="32"/>
          <w:szCs w:val="32"/>
          <w:lang w:val="en-US" w:eastAsia="zh-CN" w:bidi="ar-SA"/>
        </w:rPr>
        <w:t>三、</w:t>
      </w:r>
      <w:r>
        <w:rPr>
          <w:rFonts w:hint="eastAsia" w:ascii="仿宋" w:hAnsi="Cambria" w:eastAsia="仿宋" w:cs="Times New Roman"/>
          <w:b w:val="0"/>
          <w:bCs/>
          <w:color w:val="000000"/>
          <w:kern w:val="2"/>
          <w:sz w:val="32"/>
          <w:szCs w:val="32"/>
          <w:lang w:val="en-US" w:eastAsia="zh-CN" w:bidi="ar-SA"/>
        </w:rPr>
        <w:t>支</w:t>
      </w:r>
      <w:r>
        <w:rPr>
          <w:rFonts w:hint="eastAsia" w:ascii="仿宋" w:hAnsi="Cambria" w:eastAsia="仿宋" w:cs="Times New Roman"/>
          <w:b w:val="0"/>
          <w:bCs w:val="0"/>
          <w:kern w:val="2"/>
          <w:sz w:val="32"/>
          <w:szCs w:val="32"/>
          <w:lang w:val="en-US" w:eastAsia="zh-CN" w:bidi="ar-SA"/>
        </w:rPr>
        <w:t>出决算表</w:t>
      </w:r>
      <w:bookmarkEnd w:id="99"/>
      <w:bookmarkEnd w:id="100"/>
      <w:bookmarkEnd w:id="101"/>
      <w:bookmarkEnd w:id="102"/>
    </w:p>
    <w:p w14:paraId="05C00BD2">
      <w:pPr>
        <w:keepNext/>
        <w:keepLines/>
        <w:widowControl w:val="0"/>
        <w:spacing w:before="260" w:after="260" w:line="415" w:lineRule="auto"/>
        <w:jc w:val="both"/>
        <w:outlineLvl w:val="1"/>
        <w:rPr>
          <w:rFonts w:ascii="仿宋" w:hAnsi="Cambria" w:eastAsia="仿宋" w:cs="Times New Roman"/>
          <w:b w:val="0"/>
          <w:bCs/>
          <w:color w:val="000000"/>
          <w:kern w:val="2"/>
          <w:sz w:val="32"/>
          <w:szCs w:val="32"/>
          <w:lang w:val="en-US" w:eastAsia="zh-CN" w:bidi="ar-SA"/>
        </w:rPr>
      </w:pPr>
      <w:bookmarkStart w:id="103" w:name="_Toc29105"/>
      <w:bookmarkStart w:id="104" w:name="_Toc15396622"/>
      <w:bookmarkStart w:id="105" w:name="_Toc7929"/>
      <w:bookmarkStart w:id="106" w:name="_Toc79163639"/>
      <w:r>
        <w:rPr>
          <w:rFonts w:hint="eastAsia" w:ascii="仿宋" w:hAnsi="Cambria" w:eastAsia="仿宋" w:cs="Times New Roman"/>
          <w:b w:val="0"/>
          <w:bCs w:val="0"/>
          <w:kern w:val="2"/>
          <w:sz w:val="32"/>
          <w:szCs w:val="32"/>
          <w:lang w:val="en-US" w:eastAsia="zh-CN" w:bidi="ar-SA"/>
        </w:rPr>
        <w:t>四、</w:t>
      </w:r>
      <w:r>
        <w:rPr>
          <w:rFonts w:hint="eastAsia" w:ascii="仿宋" w:hAnsi="Cambria" w:eastAsia="仿宋" w:cs="Times New Roman"/>
          <w:b w:val="0"/>
          <w:bCs/>
          <w:color w:val="000000"/>
          <w:kern w:val="2"/>
          <w:sz w:val="32"/>
          <w:szCs w:val="32"/>
          <w:lang w:val="en-US" w:eastAsia="zh-CN" w:bidi="ar-SA"/>
        </w:rPr>
        <w:t>财</w:t>
      </w:r>
      <w:r>
        <w:rPr>
          <w:rFonts w:hint="eastAsia" w:ascii="仿宋" w:hAnsi="Cambria" w:eastAsia="仿宋" w:cs="Times New Roman"/>
          <w:b w:val="0"/>
          <w:bCs w:val="0"/>
          <w:kern w:val="2"/>
          <w:sz w:val="32"/>
          <w:szCs w:val="32"/>
          <w:lang w:val="en-US" w:eastAsia="zh-CN" w:bidi="ar-SA"/>
        </w:rPr>
        <w:t>政拨款收入支出决算总表</w:t>
      </w:r>
      <w:bookmarkEnd w:id="103"/>
      <w:bookmarkEnd w:id="104"/>
      <w:bookmarkEnd w:id="105"/>
      <w:bookmarkEnd w:id="106"/>
    </w:p>
    <w:p w14:paraId="08076AC3">
      <w:pPr>
        <w:keepNext/>
        <w:keepLines/>
        <w:widowControl w:val="0"/>
        <w:spacing w:before="260" w:after="260" w:line="415" w:lineRule="auto"/>
        <w:jc w:val="both"/>
        <w:outlineLvl w:val="1"/>
        <w:rPr>
          <w:rFonts w:ascii="仿宋" w:hAnsi="Cambria" w:eastAsia="仿宋" w:cs="Times New Roman"/>
          <w:b w:val="0"/>
          <w:bCs w:val="0"/>
          <w:kern w:val="2"/>
          <w:sz w:val="32"/>
          <w:szCs w:val="32"/>
          <w:lang w:val="en-US" w:eastAsia="zh-CN" w:bidi="ar-SA"/>
        </w:rPr>
      </w:pPr>
      <w:bookmarkStart w:id="107" w:name="_Toc15396623"/>
      <w:bookmarkStart w:id="108" w:name="_Toc20440"/>
      <w:bookmarkStart w:id="109" w:name="_Toc19307"/>
      <w:bookmarkStart w:id="110" w:name="_Toc79163640"/>
      <w:r>
        <w:rPr>
          <w:rFonts w:hint="eastAsia" w:ascii="仿宋" w:hAnsi="Cambria" w:eastAsia="仿宋" w:cs="Times New Roman"/>
          <w:b w:val="0"/>
          <w:bCs w:val="0"/>
          <w:kern w:val="2"/>
          <w:sz w:val="32"/>
          <w:szCs w:val="32"/>
          <w:lang w:val="en-US" w:eastAsia="zh-CN" w:bidi="ar-SA"/>
        </w:rPr>
        <w:t>五、</w:t>
      </w:r>
      <w:r>
        <w:rPr>
          <w:rFonts w:hint="eastAsia" w:ascii="仿宋" w:hAnsi="Cambria" w:eastAsia="仿宋" w:cs="Times New Roman"/>
          <w:b w:val="0"/>
          <w:bCs/>
          <w:color w:val="000000"/>
          <w:kern w:val="2"/>
          <w:sz w:val="32"/>
          <w:szCs w:val="32"/>
          <w:lang w:val="en-US" w:eastAsia="zh-CN" w:bidi="ar-SA"/>
        </w:rPr>
        <w:t>财</w:t>
      </w:r>
      <w:r>
        <w:rPr>
          <w:rFonts w:hint="eastAsia" w:ascii="仿宋" w:hAnsi="Cambria" w:eastAsia="仿宋" w:cs="Times New Roman"/>
          <w:b w:val="0"/>
          <w:bCs w:val="0"/>
          <w:kern w:val="2"/>
          <w:sz w:val="32"/>
          <w:szCs w:val="32"/>
          <w:lang w:val="en-US" w:eastAsia="zh-CN" w:bidi="ar-SA"/>
        </w:rPr>
        <w:t>政拨款支出决算明细表</w:t>
      </w:r>
      <w:bookmarkEnd w:id="107"/>
      <w:bookmarkEnd w:id="108"/>
      <w:bookmarkEnd w:id="109"/>
      <w:bookmarkEnd w:id="110"/>
      <w:bookmarkStart w:id="111" w:name="_Toc15396624"/>
    </w:p>
    <w:p w14:paraId="39AD7EE9">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12" w:name="_Toc29231"/>
      <w:bookmarkStart w:id="113" w:name="_Toc10532"/>
      <w:bookmarkStart w:id="114" w:name="_Toc79163641"/>
      <w:r>
        <w:rPr>
          <w:rFonts w:hint="eastAsia" w:ascii="仿宋" w:hAnsi="Cambria" w:eastAsia="仿宋" w:cs="Times New Roman"/>
          <w:b w:val="0"/>
          <w:bCs w:val="0"/>
          <w:kern w:val="2"/>
          <w:sz w:val="32"/>
          <w:szCs w:val="32"/>
          <w:lang w:val="en-US" w:eastAsia="zh-CN" w:bidi="ar-SA"/>
        </w:rPr>
        <w:t>六、</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般公共预算财政拨款支出决算表</w:t>
      </w:r>
      <w:bookmarkEnd w:id="111"/>
      <w:bookmarkEnd w:id="112"/>
      <w:bookmarkEnd w:id="113"/>
      <w:bookmarkEnd w:id="114"/>
    </w:p>
    <w:p w14:paraId="2CAE1EC7">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15" w:name="_Toc79163642"/>
      <w:bookmarkStart w:id="116" w:name="_Toc28856"/>
      <w:bookmarkStart w:id="117" w:name="_Toc1017"/>
      <w:bookmarkStart w:id="118" w:name="_Toc15396625"/>
      <w:r>
        <w:rPr>
          <w:rFonts w:hint="eastAsia" w:ascii="仿宋" w:hAnsi="Cambria" w:eastAsia="仿宋" w:cs="Times New Roman"/>
          <w:b w:val="0"/>
          <w:bCs w:val="0"/>
          <w:kern w:val="2"/>
          <w:sz w:val="32"/>
          <w:szCs w:val="32"/>
          <w:lang w:val="en-US" w:eastAsia="zh-CN" w:bidi="ar-SA"/>
        </w:rPr>
        <w:t>七、</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般公共预算财政拨款支出决算明细表</w:t>
      </w:r>
      <w:bookmarkEnd w:id="115"/>
      <w:bookmarkEnd w:id="116"/>
      <w:bookmarkEnd w:id="117"/>
      <w:bookmarkEnd w:id="118"/>
    </w:p>
    <w:p w14:paraId="1AACEDFB">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19" w:name="_Toc32767"/>
      <w:bookmarkStart w:id="120" w:name="_Toc12433"/>
      <w:bookmarkStart w:id="121" w:name="_Toc15396626"/>
      <w:bookmarkStart w:id="122" w:name="_Toc79163643"/>
      <w:r>
        <w:rPr>
          <w:rFonts w:hint="eastAsia" w:ascii="仿宋" w:hAnsi="Cambria" w:eastAsia="仿宋" w:cs="Times New Roman"/>
          <w:b w:val="0"/>
          <w:bCs w:val="0"/>
          <w:kern w:val="2"/>
          <w:sz w:val="32"/>
          <w:szCs w:val="32"/>
          <w:lang w:val="en-US" w:eastAsia="zh-CN" w:bidi="ar-SA"/>
        </w:rPr>
        <w:t>八、</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般公共预算财政拨款基本支出决算表</w:t>
      </w:r>
      <w:bookmarkEnd w:id="119"/>
      <w:bookmarkEnd w:id="120"/>
      <w:bookmarkEnd w:id="121"/>
      <w:bookmarkEnd w:id="122"/>
    </w:p>
    <w:p w14:paraId="5A83338F">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23" w:name="_Toc17116"/>
      <w:bookmarkStart w:id="124" w:name="_Toc25673"/>
      <w:bookmarkStart w:id="125" w:name="_Toc79163644"/>
      <w:bookmarkStart w:id="126" w:name="_Toc15396627"/>
      <w:r>
        <w:rPr>
          <w:rFonts w:hint="eastAsia" w:ascii="仿宋" w:hAnsi="Cambria" w:eastAsia="仿宋" w:cs="Times New Roman"/>
          <w:b w:val="0"/>
          <w:bCs w:val="0"/>
          <w:kern w:val="2"/>
          <w:sz w:val="32"/>
          <w:szCs w:val="32"/>
          <w:lang w:val="en-US" w:eastAsia="zh-CN" w:bidi="ar-SA"/>
        </w:rPr>
        <w:t>九、</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般公共预算财政拨款项目支出决算表</w:t>
      </w:r>
      <w:bookmarkEnd w:id="123"/>
      <w:bookmarkEnd w:id="124"/>
      <w:bookmarkEnd w:id="125"/>
      <w:bookmarkEnd w:id="126"/>
    </w:p>
    <w:p w14:paraId="745674E0">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27" w:name="_Toc79163645"/>
      <w:bookmarkStart w:id="128" w:name="_Toc15396628"/>
      <w:bookmarkStart w:id="129" w:name="_Toc29832"/>
      <w:bookmarkStart w:id="130" w:name="_Toc18920"/>
      <w:r>
        <w:rPr>
          <w:rFonts w:hint="eastAsia" w:ascii="仿宋" w:hAnsi="Cambria" w:eastAsia="仿宋" w:cs="Times New Roman"/>
          <w:b w:val="0"/>
          <w:bCs w:val="0"/>
          <w:kern w:val="2"/>
          <w:sz w:val="32"/>
          <w:szCs w:val="32"/>
          <w:lang w:val="en-US" w:eastAsia="zh-CN" w:bidi="ar-SA"/>
        </w:rPr>
        <w:t>十、</w:t>
      </w:r>
      <w:bookmarkEnd w:id="127"/>
      <w:bookmarkEnd w:id="128"/>
      <w:bookmarkStart w:id="131" w:name="_Toc15396629"/>
      <w:bookmarkStart w:id="132" w:name="_Toc79163646"/>
      <w:r>
        <w:rPr>
          <w:rFonts w:hint="eastAsia" w:ascii="仿宋" w:hAnsi="Cambria" w:eastAsia="仿宋" w:cs="Times New Roman"/>
          <w:b w:val="0"/>
          <w:bCs/>
          <w:color w:val="000000"/>
          <w:kern w:val="2"/>
          <w:sz w:val="32"/>
          <w:szCs w:val="32"/>
          <w:lang w:val="en-US" w:eastAsia="zh-CN" w:bidi="ar-SA"/>
        </w:rPr>
        <w:t>政</w:t>
      </w:r>
      <w:r>
        <w:rPr>
          <w:rFonts w:hint="eastAsia" w:ascii="仿宋" w:hAnsi="Cambria" w:eastAsia="仿宋" w:cs="Times New Roman"/>
          <w:b w:val="0"/>
          <w:bCs w:val="0"/>
          <w:kern w:val="2"/>
          <w:sz w:val="32"/>
          <w:szCs w:val="32"/>
          <w:lang w:val="en-US" w:eastAsia="zh-CN" w:bidi="ar-SA"/>
        </w:rPr>
        <w:t>府性基金预算财政拨款收入支出决算表</w:t>
      </w:r>
      <w:bookmarkEnd w:id="129"/>
      <w:bookmarkEnd w:id="130"/>
      <w:bookmarkEnd w:id="131"/>
      <w:bookmarkEnd w:id="132"/>
    </w:p>
    <w:p w14:paraId="6172DAC7">
      <w:pPr>
        <w:keepNext/>
        <w:keepLines/>
        <w:widowControl w:val="0"/>
        <w:spacing w:before="260" w:after="260" w:line="415" w:lineRule="auto"/>
        <w:jc w:val="both"/>
        <w:outlineLvl w:val="1"/>
        <w:rPr>
          <w:rFonts w:ascii="仿宋" w:hAnsi="Cambria" w:eastAsia="仿宋" w:cs="Times New Roman"/>
          <w:b w:val="0"/>
          <w:bCs w:val="0"/>
          <w:kern w:val="2"/>
          <w:sz w:val="32"/>
          <w:szCs w:val="32"/>
          <w:lang w:val="en-US" w:eastAsia="zh-CN" w:bidi="ar-SA"/>
        </w:rPr>
      </w:pPr>
      <w:bookmarkStart w:id="133" w:name="_Toc15396630"/>
      <w:bookmarkStart w:id="134" w:name="_Toc79163647"/>
      <w:bookmarkStart w:id="135" w:name="_Toc8364"/>
      <w:bookmarkStart w:id="136" w:name="_Toc31206"/>
      <w:r>
        <w:rPr>
          <w:rFonts w:hint="eastAsia" w:ascii="仿宋" w:hAnsi="Cambria" w:eastAsia="仿宋" w:cs="Times New Roman"/>
          <w:b w:val="0"/>
          <w:bCs w:val="0"/>
          <w:kern w:val="2"/>
          <w:sz w:val="32"/>
          <w:szCs w:val="32"/>
          <w:lang w:val="en-US" w:eastAsia="zh-CN" w:bidi="ar-SA"/>
        </w:rPr>
        <w:t>十</w:t>
      </w:r>
      <w:bookmarkEnd w:id="133"/>
      <w:bookmarkEnd w:id="134"/>
      <w:bookmarkStart w:id="137" w:name="_Toc15396631"/>
      <w:bookmarkStart w:id="138" w:name="_Toc79163648"/>
      <w:r>
        <w:rPr>
          <w:rFonts w:hint="eastAsia" w:ascii="仿宋" w:hAnsi="Cambria" w:eastAsia="仿宋" w:cs="Times New Roman"/>
          <w:b w:val="0"/>
          <w:bCs w:val="0"/>
          <w:kern w:val="2"/>
          <w:sz w:val="32"/>
          <w:szCs w:val="32"/>
          <w:lang w:val="en-US" w:eastAsia="zh-CN" w:bidi="ar-SA"/>
        </w:rPr>
        <w:t>一、</w:t>
      </w:r>
      <w:r>
        <w:rPr>
          <w:rFonts w:hint="eastAsia" w:ascii="仿宋" w:hAnsi="Cambria" w:eastAsia="仿宋" w:cs="Times New Roman"/>
          <w:b w:val="0"/>
          <w:bCs/>
          <w:color w:val="000000"/>
          <w:kern w:val="2"/>
          <w:sz w:val="32"/>
          <w:szCs w:val="32"/>
          <w:lang w:val="en-US" w:eastAsia="zh-CN" w:bidi="ar-SA"/>
        </w:rPr>
        <w:t>国</w:t>
      </w:r>
      <w:r>
        <w:rPr>
          <w:rFonts w:hint="eastAsia" w:ascii="仿宋" w:hAnsi="Cambria" w:eastAsia="仿宋" w:cs="Times New Roman"/>
          <w:b w:val="0"/>
          <w:bCs w:val="0"/>
          <w:kern w:val="2"/>
          <w:sz w:val="32"/>
          <w:szCs w:val="32"/>
          <w:lang w:val="en-US" w:eastAsia="zh-CN" w:bidi="ar-SA"/>
        </w:rPr>
        <w:t>有资本经营预算财政拨款收入支出决算表</w:t>
      </w:r>
      <w:bookmarkEnd w:id="135"/>
      <w:bookmarkEnd w:id="136"/>
      <w:bookmarkEnd w:id="137"/>
      <w:bookmarkEnd w:id="138"/>
    </w:p>
    <w:p w14:paraId="328EC771">
      <w:pPr>
        <w:keepNext/>
        <w:keepLines/>
        <w:widowControl w:val="0"/>
        <w:spacing w:before="260" w:after="260" w:line="415" w:lineRule="auto"/>
        <w:jc w:val="both"/>
        <w:outlineLvl w:val="1"/>
        <w:rPr>
          <w:rFonts w:hint="eastAsia" w:ascii="仿宋" w:hAnsi="Cambria" w:eastAsia="仿宋" w:cs="Times New Roman"/>
          <w:b w:val="0"/>
          <w:bCs w:val="0"/>
          <w:kern w:val="2"/>
          <w:sz w:val="32"/>
          <w:szCs w:val="32"/>
          <w:lang w:val="en-US" w:eastAsia="zh-CN" w:bidi="ar-SA"/>
        </w:rPr>
      </w:pPr>
      <w:bookmarkStart w:id="139" w:name="_Toc79163649"/>
      <w:bookmarkStart w:id="140" w:name="_Toc16172"/>
      <w:bookmarkStart w:id="141" w:name="_Toc10137"/>
      <w:r>
        <w:rPr>
          <w:rFonts w:hint="eastAsia" w:ascii="仿宋" w:hAnsi="Cambria" w:eastAsia="仿宋" w:cs="Times New Roman"/>
          <w:b w:val="0"/>
          <w:bCs w:val="0"/>
          <w:kern w:val="2"/>
          <w:sz w:val="32"/>
          <w:szCs w:val="32"/>
          <w:lang w:val="en-US" w:eastAsia="zh-CN" w:bidi="ar-SA"/>
        </w:rPr>
        <w:t>十二、国有资本经营预算财政拨款支出决算表</w:t>
      </w:r>
      <w:bookmarkEnd w:id="139"/>
      <w:bookmarkEnd w:id="140"/>
      <w:bookmarkEnd w:id="141"/>
    </w:p>
    <w:p w14:paraId="715958D3">
      <w:bookmarkStart w:id="142" w:name="_Toc18470"/>
      <w:r>
        <w:rPr>
          <w:rFonts w:hint="eastAsia" w:ascii="仿宋" w:hAnsi="Cambria" w:eastAsia="仿宋"/>
          <w:b w:val="0"/>
          <w:bCs w:val="0"/>
          <w:sz w:val="32"/>
          <w:szCs w:val="32"/>
          <w:lang w:val="en-US" w:eastAsia="zh-CN"/>
        </w:rPr>
        <w:t>十三、</w:t>
      </w:r>
      <w:r>
        <w:rPr>
          <w:rFonts w:hint="eastAsia" w:ascii="仿宋" w:hAnsi="Cambria" w:eastAsia="仿宋"/>
          <w:b w:val="0"/>
          <w:bCs w:val="0"/>
          <w:sz w:val="32"/>
          <w:szCs w:val="32"/>
        </w:rPr>
        <w:t>财政拨款“三公”经费支出决算表</w:t>
      </w:r>
      <w:bookmarkEnd w:id="142"/>
    </w:p>
    <w:p w14:paraId="16F1B3CB">
      <w:pPr>
        <w:pStyle w:val="19"/>
        <w:ind w:left="0" w:leftChars="0" w:firstLine="0" w:firstLineChars="0"/>
        <w:rPr>
          <w:rFonts w:hint="eastAsia"/>
        </w:rPr>
      </w:pPr>
    </w:p>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06CEC">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5BFC24">
                          <w:pPr>
                            <w:pStyle w:val="13"/>
                            <w:jc w:val="center"/>
                          </w:pPr>
                          <w:r>
                            <w:fldChar w:fldCharType="begin"/>
                          </w:r>
                          <w:r>
                            <w:instrText xml:space="preserve">PAGE   \* MERGEFORMAT</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5BFC24">
                    <w:pPr>
                      <w:pStyle w:val="13"/>
                      <w:jc w:val="center"/>
                    </w:pPr>
                    <w:r>
                      <w:fldChar w:fldCharType="begin"/>
                    </w:r>
                    <w:r>
                      <w:instrText xml:space="preserve">PAGE   \* MERGEFORMAT</w:instrText>
                    </w:r>
                    <w:r>
                      <w:fldChar w:fldCharType="separate"/>
                    </w:r>
                    <w:r>
                      <w:t>25</w:t>
                    </w:r>
                    <w:r>
                      <w:fldChar w:fldCharType="end"/>
                    </w:r>
                  </w:p>
                </w:txbxContent>
              </v:textbox>
            </v:shape>
          </w:pict>
        </mc:Fallback>
      </mc:AlternateContent>
    </w:r>
  </w:p>
  <w:p w14:paraId="0F65C9E2">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49A11">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FC739">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7FC739">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5F7F5">
    <w:pPr>
      <w:pStyle w:val="1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DC507">
                          <w:pPr>
                            <w:pStyle w:val="13"/>
                            <w:jc w:val="center"/>
                          </w:pPr>
                          <w:r>
                            <w:fldChar w:fldCharType="begin"/>
                          </w:r>
                          <w:r>
                            <w:instrText xml:space="preserve">PAGE   \* MERGEFORMAT</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1CDC507">
                    <w:pPr>
                      <w:pStyle w:val="13"/>
                      <w:jc w:val="center"/>
                    </w:pPr>
                    <w:r>
                      <w:fldChar w:fldCharType="begin"/>
                    </w:r>
                    <w:r>
                      <w:instrText xml:space="preserve">PAGE   \* MERGEFORMAT</w:instrText>
                    </w:r>
                    <w:r>
                      <w:fldChar w:fldCharType="separate"/>
                    </w:r>
                    <w:r>
                      <w:t>25</w:t>
                    </w:r>
                    <w:r>
                      <w:fldChar w:fldCharType="end"/>
                    </w:r>
                  </w:p>
                </w:txbxContent>
              </v:textbox>
            </v:shape>
          </w:pict>
        </mc:Fallback>
      </mc:AlternateContent>
    </w:r>
  </w:p>
  <w:p w14:paraId="343CA653">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FEFF8">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70D04">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CF70D04">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1F69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abstractNum w:abstractNumId="4">
    <w:nsid w:val="7EED1195"/>
    <w:multiLevelType w:val="singleLevel"/>
    <w:tmpl w:val="7EED1195"/>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2F91977"/>
    <w:rsid w:val="051200B1"/>
    <w:rsid w:val="05B747B5"/>
    <w:rsid w:val="06FA704F"/>
    <w:rsid w:val="07FB6BDB"/>
    <w:rsid w:val="08674270"/>
    <w:rsid w:val="09844198"/>
    <w:rsid w:val="0A2032A3"/>
    <w:rsid w:val="0A5026DB"/>
    <w:rsid w:val="0B91295B"/>
    <w:rsid w:val="0B925AA8"/>
    <w:rsid w:val="0C917B0E"/>
    <w:rsid w:val="0D1A52F9"/>
    <w:rsid w:val="10C055FF"/>
    <w:rsid w:val="114C04A7"/>
    <w:rsid w:val="118107EC"/>
    <w:rsid w:val="11BD58B2"/>
    <w:rsid w:val="12C30C3D"/>
    <w:rsid w:val="13D44FA7"/>
    <w:rsid w:val="169923E1"/>
    <w:rsid w:val="16BB723D"/>
    <w:rsid w:val="18D53478"/>
    <w:rsid w:val="19094ED0"/>
    <w:rsid w:val="1D155CEE"/>
    <w:rsid w:val="1E8E3821"/>
    <w:rsid w:val="210E5779"/>
    <w:rsid w:val="22BA200B"/>
    <w:rsid w:val="240371BF"/>
    <w:rsid w:val="29481B83"/>
    <w:rsid w:val="29FD04D3"/>
    <w:rsid w:val="2B6F5066"/>
    <w:rsid w:val="2E67780F"/>
    <w:rsid w:val="2E6C3ADF"/>
    <w:rsid w:val="2EE713B8"/>
    <w:rsid w:val="2F0401BB"/>
    <w:rsid w:val="2FC101D2"/>
    <w:rsid w:val="303D5733"/>
    <w:rsid w:val="319F7F4E"/>
    <w:rsid w:val="326B7F22"/>
    <w:rsid w:val="33A20380"/>
    <w:rsid w:val="34AE30A3"/>
    <w:rsid w:val="361374D2"/>
    <w:rsid w:val="39237490"/>
    <w:rsid w:val="396D4B38"/>
    <w:rsid w:val="3B4E6126"/>
    <w:rsid w:val="3D0C62A9"/>
    <w:rsid w:val="3D477BF1"/>
    <w:rsid w:val="3F47037C"/>
    <w:rsid w:val="3FEA2348"/>
    <w:rsid w:val="40F778EA"/>
    <w:rsid w:val="41004C87"/>
    <w:rsid w:val="41122F36"/>
    <w:rsid w:val="42755200"/>
    <w:rsid w:val="42864E7C"/>
    <w:rsid w:val="464A0752"/>
    <w:rsid w:val="47971775"/>
    <w:rsid w:val="48B85449"/>
    <w:rsid w:val="4A235542"/>
    <w:rsid w:val="4C6365C5"/>
    <w:rsid w:val="4E606D65"/>
    <w:rsid w:val="4EBC7D13"/>
    <w:rsid w:val="4ECE2238"/>
    <w:rsid w:val="4F3F2E1E"/>
    <w:rsid w:val="50CC248F"/>
    <w:rsid w:val="52020AD7"/>
    <w:rsid w:val="52350508"/>
    <w:rsid w:val="529B480F"/>
    <w:rsid w:val="53AB0A82"/>
    <w:rsid w:val="595D1779"/>
    <w:rsid w:val="5BA763A4"/>
    <w:rsid w:val="5BC80B8E"/>
    <w:rsid w:val="5CB63FF4"/>
    <w:rsid w:val="5DC664B8"/>
    <w:rsid w:val="5E0A6709"/>
    <w:rsid w:val="5E3E24F3"/>
    <w:rsid w:val="5EFF5C7C"/>
    <w:rsid w:val="5F526256"/>
    <w:rsid w:val="5FC37F08"/>
    <w:rsid w:val="600734E4"/>
    <w:rsid w:val="61502C69"/>
    <w:rsid w:val="61F730E4"/>
    <w:rsid w:val="623600B0"/>
    <w:rsid w:val="626616D3"/>
    <w:rsid w:val="631A352E"/>
    <w:rsid w:val="631A4274"/>
    <w:rsid w:val="67B37AAD"/>
    <w:rsid w:val="6850354E"/>
    <w:rsid w:val="69780FAF"/>
    <w:rsid w:val="6C4A05C8"/>
    <w:rsid w:val="6C845EBC"/>
    <w:rsid w:val="71724535"/>
    <w:rsid w:val="72020D13"/>
    <w:rsid w:val="72734D90"/>
    <w:rsid w:val="79725A1A"/>
    <w:rsid w:val="79BC6C95"/>
    <w:rsid w:val="79C773E8"/>
    <w:rsid w:val="7A6B246A"/>
    <w:rsid w:val="7B580C40"/>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4"/>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8"/>
    <w:qFormat/>
    <w:uiPriority w:val="99"/>
    <w:pPr>
      <w:spacing w:beforeLines="30"/>
    </w:pPr>
    <w:rPr>
      <w:rFonts w:ascii="仿宋_GB2312" w:eastAsia="仿宋_GB2312"/>
      <w:kern w:val="0"/>
      <w:sz w:val="24"/>
      <w:szCs w:val="20"/>
      <w:lang w:val="zh-CN"/>
    </w:rPr>
  </w:style>
  <w:style w:type="paragraph" w:styleId="7">
    <w:name w:val="Body Text Indent"/>
    <w:basedOn w:val="1"/>
    <w:next w:val="8"/>
    <w:qFormat/>
    <w:uiPriority w:val="0"/>
    <w:pPr>
      <w:spacing w:after="120"/>
      <w:ind w:left="420" w:leftChars="200"/>
    </w:pPr>
    <w:rPr>
      <w:rFonts w:ascii="Calibri" w:hAnsi="Calibri"/>
      <w:szCs w:val="22"/>
    </w:rPr>
  </w:style>
  <w:style w:type="paragraph" w:styleId="8">
    <w:name w:val="Body Text First Indent 2"/>
    <w:basedOn w:val="7"/>
    <w:qFormat/>
    <w:uiPriority w:val="0"/>
    <w:pPr>
      <w:spacing w:line="360" w:lineRule="auto"/>
      <w:ind w:left="0" w:leftChars="0" w:firstLine="420" w:firstLineChars="200"/>
    </w:pPr>
    <w:rPr>
      <w:rFonts w:ascii="Times New Roman" w:hAnsi="Times New Roman" w:eastAsia="宋体"/>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3"/>
    <w:semiHidden/>
    <w:unhideWhenUsed/>
    <w:qFormat/>
    <w:uiPriority w:val="99"/>
    <w:rPr>
      <w:sz w:val="18"/>
      <w:szCs w:val="18"/>
    </w:rPr>
  </w:style>
  <w:style w:type="paragraph" w:styleId="13">
    <w:name w:val="footer"/>
    <w:basedOn w:val="1"/>
    <w:link w:val="37"/>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6"/>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footnote text"/>
    <w:basedOn w:val="1"/>
    <w:next w:val="8"/>
    <w:semiHidden/>
    <w:qFormat/>
    <w:uiPriority w:val="0"/>
    <w:pPr>
      <w:snapToGrid w:val="0"/>
      <w:jc w:val="left"/>
    </w:pPr>
    <w:rPr>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unhideWhenUsed/>
    <w:qFormat/>
    <w:uiPriority w:val="0"/>
    <w:pPr>
      <w:spacing w:before="100" w:beforeAutospacing="1" w:after="100" w:afterAutospacing="1"/>
    </w:p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paragraph" w:customStyle="1" w:styleId="27">
    <w:name w:val="BodyText1I2"/>
    <w:basedOn w:val="28"/>
    <w:next w:val="1"/>
    <w:qFormat/>
    <w:uiPriority w:val="0"/>
    <w:pPr>
      <w:tabs>
        <w:tab w:val="left" w:pos="960"/>
      </w:tabs>
      <w:spacing w:after="120"/>
      <w:ind w:left="420" w:leftChars="200" w:firstLine="200" w:firstLineChars="200"/>
      <w:jc w:val="both"/>
      <w:textAlignment w:val="baseline"/>
    </w:pPr>
  </w:style>
  <w:style w:type="paragraph" w:customStyle="1" w:styleId="28">
    <w:name w:val="BodyTextIndent"/>
    <w:basedOn w:val="1"/>
    <w:next w:val="27"/>
    <w:qFormat/>
    <w:uiPriority w:val="0"/>
    <w:pPr>
      <w:spacing w:after="120"/>
      <w:ind w:left="420" w:leftChars="200"/>
      <w:jc w:val="both"/>
      <w:textAlignment w:val="baseline"/>
    </w:pPr>
  </w:style>
  <w:style w:type="character" w:customStyle="1" w:styleId="29">
    <w:name w:val="标题 1 Char"/>
    <w:basedOn w:val="24"/>
    <w:link w:val="2"/>
    <w:qFormat/>
    <w:locked/>
    <w:uiPriority w:val="9"/>
    <w:rPr>
      <w:rFonts w:ascii="Times New Roman" w:hAnsi="Times New Roman" w:cs="Times New Roman"/>
      <w:b/>
      <w:bCs/>
      <w:kern w:val="44"/>
      <w:sz w:val="44"/>
      <w:szCs w:val="44"/>
    </w:rPr>
  </w:style>
  <w:style w:type="character" w:customStyle="1" w:styleId="30">
    <w:name w:val="标题 2 Char"/>
    <w:basedOn w:val="24"/>
    <w:link w:val="3"/>
    <w:qFormat/>
    <w:locked/>
    <w:uiPriority w:val="9"/>
    <w:rPr>
      <w:rFonts w:ascii="Cambria" w:hAnsi="Cambria" w:eastAsia="宋体" w:cs="Times New Roman"/>
      <w:b/>
      <w:bCs/>
      <w:kern w:val="2"/>
      <w:sz w:val="32"/>
      <w:szCs w:val="32"/>
    </w:rPr>
  </w:style>
  <w:style w:type="character" w:customStyle="1" w:styleId="31">
    <w:name w:val="标题 3 Char"/>
    <w:basedOn w:val="24"/>
    <w:link w:val="4"/>
    <w:qFormat/>
    <w:locked/>
    <w:uiPriority w:val="9"/>
    <w:rPr>
      <w:rFonts w:ascii="Times New Roman" w:hAnsi="Times New Roman" w:cs="Times New Roman"/>
      <w:b/>
      <w:bCs/>
      <w:kern w:val="2"/>
      <w:sz w:val="32"/>
      <w:szCs w:val="32"/>
    </w:rPr>
  </w:style>
  <w:style w:type="character" w:customStyle="1" w:styleId="32">
    <w:name w:val="Body Text Char"/>
    <w:basedOn w:val="24"/>
    <w:semiHidden/>
    <w:qFormat/>
    <w:uiPriority w:val="99"/>
    <w:rPr>
      <w:rFonts w:ascii="Times New Roman" w:hAnsi="Times New Roman" w:cs="Times New Roman"/>
      <w:sz w:val="24"/>
      <w:szCs w:val="24"/>
    </w:rPr>
  </w:style>
  <w:style w:type="character" w:customStyle="1" w:styleId="33">
    <w:name w:val="批注框文本 Char"/>
    <w:basedOn w:val="24"/>
    <w:link w:val="12"/>
    <w:semiHidden/>
    <w:qFormat/>
    <w:locked/>
    <w:uiPriority w:val="99"/>
    <w:rPr>
      <w:rFonts w:ascii="Times New Roman" w:hAnsi="Times New Roman" w:cs="Times New Roman"/>
      <w:kern w:val="2"/>
      <w:sz w:val="18"/>
      <w:szCs w:val="18"/>
    </w:rPr>
  </w:style>
  <w:style w:type="character" w:customStyle="1" w:styleId="34">
    <w:name w:val="Footer Char"/>
    <w:basedOn w:val="24"/>
    <w:semiHidden/>
    <w:qFormat/>
    <w:uiPriority w:val="99"/>
    <w:rPr>
      <w:rFonts w:ascii="Times New Roman" w:hAnsi="Times New Roman" w:cs="Times New Roman"/>
      <w:sz w:val="18"/>
      <w:szCs w:val="18"/>
    </w:rPr>
  </w:style>
  <w:style w:type="character" w:customStyle="1" w:styleId="35">
    <w:name w:val="Header Char"/>
    <w:basedOn w:val="24"/>
    <w:semiHidden/>
    <w:qFormat/>
    <w:uiPriority w:val="99"/>
    <w:rPr>
      <w:rFonts w:ascii="Times New Roman" w:hAnsi="Times New Roman" w:cs="Times New Roman"/>
      <w:sz w:val="18"/>
      <w:szCs w:val="18"/>
    </w:rPr>
  </w:style>
  <w:style w:type="character" w:customStyle="1" w:styleId="36">
    <w:name w:val="页眉 Char"/>
    <w:link w:val="14"/>
    <w:semiHidden/>
    <w:qFormat/>
    <w:locked/>
    <w:uiPriority w:val="99"/>
    <w:rPr>
      <w:sz w:val="18"/>
    </w:rPr>
  </w:style>
  <w:style w:type="character" w:customStyle="1" w:styleId="37">
    <w:name w:val="页脚 Char"/>
    <w:link w:val="13"/>
    <w:qFormat/>
    <w:locked/>
    <w:uiPriority w:val="99"/>
    <w:rPr>
      <w:sz w:val="18"/>
    </w:rPr>
  </w:style>
  <w:style w:type="character" w:customStyle="1" w:styleId="38">
    <w:name w:val="正文文本 Char"/>
    <w:link w:val="6"/>
    <w:qFormat/>
    <w:locked/>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4">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45">
    <w:name w:val="列出段落1"/>
    <w:basedOn w:val="1"/>
    <w:qFormat/>
    <w:uiPriority w:val="34"/>
    <w:pPr>
      <w:ind w:firstLine="420" w:firstLineChars="200"/>
    </w:pPr>
    <w:rPr>
      <w:rFonts w:ascii="Calibri" w:hAnsi="Calibri" w:eastAsia="宋体" w:cs="Times New Roman"/>
    </w:rPr>
  </w:style>
  <w:style w:type="character" w:customStyle="1" w:styleId="46">
    <w:name w:val="15"/>
    <w:basedOn w:val="24"/>
    <w:qFormat/>
    <w:uiPriority w:val="0"/>
    <w:rPr>
      <w:rFonts w:hint="default" w:ascii="Cambria" w:hAnsi="Cambria" w:eastAsia="宋体" w:cs="Times New Roman"/>
      <w:b/>
      <w:bCs/>
      <w:kern w:val="2"/>
      <w:sz w:val="32"/>
      <w:szCs w:val="32"/>
    </w:rPr>
  </w:style>
  <w:style w:type="character" w:customStyle="1" w:styleId="47">
    <w:name w:val="10"/>
    <w:basedOn w:val="24"/>
    <w:qFormat/>
    <w:uiPriority w:val="0"/>
    <w:rPr>
      <w:rFonts w:hint="default" w:ascii="Times New Roman" w:hAnsi="Times New Roman" w:cs="Times New Roman"/>
    </w:rPr>
  </w:style>
  <w:style w:type="paragraph" w:customStyle="1" w:styleId="48">
    <w:name w:val="UserStyle_2"/>
    <w:basedOn w:val="1"/>
    <w:qFormat/>
    <w:uiPriority w:val="0"/>
    <w:pPr>
      <w:spacing w:before="0" w:beforeAutospacing="0" w:after="0" w:afterAutospacing="0"/>
      <w:ind w:left="0" w:right="0" w:firstLine="420" w:firstLineChars="200"/>
      <w:jc w:val="both"/>
      <w:textAlignment w:val="baseline"/>
    </w:pPr>
    <w:rPr>
      <w:rFonts w:hint="default" w:ascii="Calibri" w:hAnsi="Calibri" w:eastAsia="宋体" w:cs="Times New Roman"/>
      <w:kern w:val="2"/>
      <w:sz w:val="21"/>
      <w:szCs w:val="21"/>
      <w:lang w:val="en-US" w:eastAsia="zh-CN" w:bidi="ar"/>
    </w:rPr>
  </w:style>
  <w:style w:type="character" w:customStyle="1" w:styleId="49">
    <w:name w:val="heading 1 Char"/>
    <w:basedOn w:val="24"/>
    <w:link w:val="2"/>
    <w:qFormat/>
    <w:uiPriority w:val="0"/>
    <w:rPr>
      <w:rFonts w:ascii="Times New Roman" w:hAnsi="Times New Roman" w:eastAsia="宋体" w:cs="Times New Roman"/>
      <w:b/>
      <w:bCs/>
      <w:kern w:val="44"/>
      <w:sz w:val="44"/>
      <w:szCs w:val="44"/>
      <w:lang w:val="en-US" w:eastAsia="zh-CN" w:bidi="ar-SA"/>
    </w:rPr>
  </w:style>
  <w:style w:type="character" w:customStyle="1" w:styleId="50">
    <w:name w:val="heading 2 Char"/>
    <w:basedOn w:val="24"/>
    <w:link w:val="3"/>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2023年</c:v>
                </c:pt>
                <c:pt idx="1">
                  <c:v>2024年</c:v>
                </c:pt>
              </c:strCache>
            </c:strRef>
          </c:cat>
          <c:val>
            <c:numRef>
              <c:f>[决算公开分析图表.xls]Sheet1!$A$4:$B$4</c:f>
              <c:numCache>
                <c:formatCode>#,##0.00</c:formatCode>
                <c:ptCount val="2"/>
                <c:pt idx="0">
                  <c:v>184.93</c:v>
                </c:pt>
                <c:pt idx="1">
                  <c:v>207.19</c:v>
                </c:pt>
              </c:numCache>
            </c:numRef>
          </c:val>
        </c:ser>
        <c:dLbls>
          <c:showLegendKey val="0"/>
          <c:showVal val="0"/>
          <c:showCatName val="0"/>
          <c:showSerName val="0"/>
          <c:showPercent val="0"/>
          <c:showBubbleSize val="0"/>
        </c:dLbls>
        <c:gapWidth val="219"/>
        <c:overlap val="-27"/>
        <c:axId val="509357684"/>
        <c:axId val="604182059"/>
      </c:barChart>
      <c:catAx>
        <c:axId val="50935768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4182059"/>
        <c:crosses val="autoZero"/>
        <c:auto val="1"/>
        <c:lblAlgn val="ctr"/>
        <c:lblOffset val="100"/>
        <c:noMultiLvlLbl val="0"/>
      </c:catAx>
      <c:valAx>
        <c:axId val="60418205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9357684"/>
        <c:crosses val="autoZero"/>
        <c:crossBetween val="between"/>
      </c:valAx>
      <c:spPr>
        <a:noFill/>
        <a:ln>
          <a:noFill/>
        </a:ln>
        <a:effectLst/>
      </c:spPr>
    </c:plotArea>
    <c:plotVisOnly val="1"/>
    <c:dispBlanksAs val="gap"/>
    <c:showDLblsOverMax val="0"/>
    <c:extLst>
      <c:ext uri="{0b15fc19-7d7d-44ad-8c2d-2c3a37ce22c3}">
        <chartProps xmlns="https://web.wps.cn/et/2018/main" chartId="{fd054a7e-1b75-40ac-8805-0237746f162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2023年</c:v>
                </c:pt>
                <c:pt idx="1">
                  <c:v>2024年</c:v>
                </c:pt>
              </c:strCache>
            </c:strRef>
          </c:cat>
          <c:val>
            <c:numRef>
              <c:f>[决算公开分析图表.xls]Sheet1!$A$25:$B$25</c:f>
              <c:numCache>
                <c:formatCode>#,##0.00</c:formatCode>
                <c:ptCount val="2"/>
                <c:pt idx="0">
                  <c:v>184.93</c:v>
                </c:pt>
                <c:pt idx="1">
                  <c:v>207.19</c:v>
                </c:pt>
              </c:numCache>
            </c:numRef>
          </c:val>
        </c:ser>
        <c:dLbls>
          <c:showLegendKey val="0"/>
          <c:showVal val="0"/>
          <c:showCatName val="0"/>
          <c:showSerName val="0"/>
          <c:showPercent val="0"/>
          <c:showBubbleSize val="0"/>
        </c:dLbls>
        <c:gapWidth val="219"/>
        <c:overlap val="-27"/>
        <c:axId val="893556245"/>
        <c:axId val="992280307"/>
      </c:barChart>
      <c:catAx>
        <c:axId val="89355624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2280307"/>
        <c:crosses val="autoZero"/>
        <c:auto val="1"/>
        <c:lblAlgn val="ctr"/>
        <c:lblOffset val="100"/>
        <c:noMultiLvlLbl val="0"/>
      </c:catAx>
      <c:valAx>
        <c:axId val="99228030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3556245"/>
        <c:crosses val="autoZero"/>
        <c:crossBetween val="between"/>
      </c:valAx>
      <c:spPr>
        <a:noFill/>
        <a:ln>
          <a:noFill/>
        </a:ln>
        <a:effectLst/>
      </c:spPr>
    </c:plotArea>
    <c:plotVisOnly val="1"/>
    <c:dispBlanksAs val="gap"/>
    <c:showDLblsOverMax val="0"/>
    <c:extLst>
      <c:ext uri="{0b15fc19-7d7d-44ad-8c2d-2c3a37ce22c3}">
        <chartProps xmlns="https://web.wps.cn/et/2018/main" chartId="{8cd62f0b-c35a-44c7-9834-4266dd15e41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Lbls>
            <c:delete val="1"/>
          </c:dLbls>
          <c:cat>
            <c:strRef>
              <c:f>[决算公开分析图表.xls]Sheet1!$D$43</c:f>
              <c:strCache>
                <c:ptCount val="1"/>
                <c:pt idx="0">
                  <c:v>一般公共预算财政拨款收入</c:v>
                </c:pt>
              </c:strCache>
            </c:strRef>
          </c:cat>
          <c:val>
            <c:numRef>
              <c:f>[决算公开分析图表.xls]Sheet1!$E$43</c:f>
              <c:numCache>
                <c:formatCode>General</c:formatCode>
                <c:ptCount val="1"/>
                <c:pt idx="0">
                  <c:v>388.55</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ae07816-dbf1-4006-b0b5-6cc7a3275c2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[决算公开分析图表.xls]Sheet1!$C$57:$C$58</c:f>
              <c:strCache>
                <c:ptCount val="2"/>
                <c:pt idx="0">
                  <c:v>基本支出</c:v>
                </c:pt>
                <c:pt idx="1">
                  <c:v>项目支出</c:v>
                </c:pt>
              </c:strCache>
            </c:strRef>
          </c:cat>
          <c:val>
            <c:numRef>
              <c:f>[决算公开分析图表.xls]Sheet1!$D$57:$D$58</c:f>
              <c:numCache>
                <c:formatCode>General</c:formatCode>
                <c:ptCount val="2"/>
                <c:pt idx="0">
                  <c:v>204.22</c:v>
                </c:pt>
                <c:pt idx="1" c:formatCode="#,##0.00">
                  <c:v>2.96</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75"/>
          <c:h val="0.093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635fb75-e66a-4c01-a4c8-3a7329e6891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[决算公开分析图表.xls]Sheet1!$A$82:$B$82</c:f>
              <c:strCache>
                <c:ptCount val="2"/>
                <c:pt idx="0">
                  <c:v>2023年</c:v>
                </c:pt>
                <c:pt idx="1">
                  <c:v>2024年</c:v>
                </c:pt>
              </c:strCache>
            </c:strRef>
          </c:cat>
          <c:val>
            <c:numRef>
              <c:f>[决算公开分析图表.xls]Sheet1!$A$83:$B$83</c:f>
              <c:numCache>
                <c:formatCode>#,##0.00</c:formatCode>
                <c:ptCount val="2"/>
                <c:pt idx="0">
                  <c:v>184.93</c:v>
                </c:pt>
                <c:pt idx="1">
                  <c:v>207.19</c:v>
                </c:pt>
              </c:numCache>
            </c:numRef>
          </c:val>
        </c:ser>
        <c:dLbls>
          <c:showLegendKey val="0"/>
          <c:showVal val="0"/>
          <c:showCatName val="0"/>
          <c:showSerName val="0"/>
          <c:showPercent val="0"/>
          <c:showBubbleSize val="0"/>
        </c:dLbls>
        <c:gapWidth val="219"/>
        <c:overlap val="-27"/>
        <c:axId val="14919643"/>
        <c:axId val="436598156"/>
      </c:barChart>
      <c:catAx>
        <c:axId val="1491964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598156"/>
        <c:crosses val="autoZero"/>
        <c:auto val="1"/>
        <c:lblAlgn val="ctr"/>
        <c:lblOffset val="100"/>
        <c:noMultiLvlLbl val="0"/>
      </c:catAx>
      <c:valAx>
        <c:axId val="4365981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919643"/>
        <c:crosses val="autoZero"/>
        <c:crossBetween val="between"/>
      </c:valAx>
      <c:spPr>
        <a:noFill/>
        <a:ln>
          <a:noFill/>
        </a:ln>
        <a:effectLst/>
      </c:spPr>
    </c:plotArea>
    <c:plotVisOnly val="1"/>
    <c:dispBlanksAs val="gap"/>
    <c:showDLblsOverMax val="0"/>
    <c:extLst>
      <c:ext uri="{0b15fc19-7d7d-44ad-8c2d-2c3a37ce22c3}">
        <chartProps xmlns="https://web.wps.cn/et/2018/main" chartId="{23eb187a-b593-440b-a077-f66a33a474d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[决算公开分析图表.xls]Sheet1!$A$99:$B$99</c:f>
              <c:strCache>
                <c:ptCount val="2"/>
                <c:pt idx="0">
                  <c:v>2023年</c:v>
                </c:pt>
                <c:pt idx="1">
                  <c:v>2024年</c:v>
                </c:pt>
              </c:strCache>
            </c:strRef>
          </c:cat>
          <c:val>
            <c:numRef>
              <c:f>[决算公开分析图表.xls]Sheet1!$A$100:$B$100</c:f>
              <c:numCache>
                <c:formatCode>#,##0.00</c:formatCode>
                <c:ptCount val="2"/>
                <c:pt idx="0">
                  <c:v>184.93</c:v>
                </c:pt>
                <c:pt idx="1">
                  <c:v>207.19</c:v>
                </c:pt>
              </c:numCache>
            </c:numRef>
          </c:val>
        </c:ser>
        <c:dLbls>
          <c:showLegendKey val="0"/>
          <c:showVal val="0"/>
          <c:showCatName val="0"/>
          <c:showSerName val="0"/>
          <c:showPercent val="0"/>
          <c:showBubbleSize val="0"/>
        </c:dLbls>
        <c:gapWidth val="219"/>
        <c:overlap val="-27"/>
        <c:axId val="261125823"/>
        <c:axId val="995106622"/>
      </c:barChart>
      <c:catAx>
        <c:axId val="26112582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106622"/>
        <c:crosses val="autoZero"/>
        <c:auto val="1"/>
        <c:lblAlgn val="ctr"/>
        <c:lblOffset val="100"/>
        <c:noMultiLvlLbl val="0"/>
      </c:catAx>
      <c:valAx>
        <c:axId val="99510662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1125823"/>
        <c:crosses val="autoZero"/>
        <c:crossBetween val="between"/>
      </c:valAx>
      <c:spPr>
        <a:noFill/>
        <a:ln>
          <a:noFill/>
        </a:ln>
        <a:effectLst/>
      </c:spPr>
    </c:plotArea>
    <c:plotVisOnly val="1"/>
    <c:dispBlanksAs val="gap"/>
    <c:showDLblsOverMax val="0"/>
    <c:extLst>
      <c:ext uri="{0b15fc19-7d7d-44ad-8c2d-2c3a37ce22c3}">
        <chartProps xmlns="https://web.wps.cn/et/2018/main" chartId="{466f1009-6223-4ea0-9ea4-afa21b36f31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5321992487624"/>
          <c:y val="0.0787843557603584"/>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[决算公开分析图表.xls]Sheet1!$A$115:$B$115</c:f>
              <c:strCache>
                <c:ptCount val="2"/>
                <c:pt idx="0">
                  <c:v>2023年</c:v>
                </c:pt>
                <c:pt idx="1">
                  <c:v>2024年</c:v>
                </c:pt>
              </c:strCache>
            </c:strRef>
          </c:cat>
          <c:val>
            <c:numRef>
              <c:f>[决算公开分析图表.xls]Sheet1!$A$116:$B$116</c:f>
              <c:numCache>
                <c:formatCode>#,##0.00</c:formatCode>
                <c:ptCount val="2"/>
                <c:pt idx="0">
                  <c:v>184.93</c:v>
                </c:pt>
                <c:pt idx="1">
                  <c:v>207.19</c:v>
                </c:pt>
              </c:numCache>
            </c:numRef>
          </c:val>
        </c:ser>
        <c:dLbls>
          <c:showLegendKey val="0"/>
          <c:showVal val="0"/>
          <c:showCatName val="0"/>
          <c:showSerName val="0"/>
          <c:showPercent val="0"/>
          <c:showBubbleSize val="0"/>
        </c:dLbls>
        <c:gapWidth val="219"/>
        <c:overlap val="-27"/>
        <c:axId val="256854640"/>
        <c:axId val="524158120"/>
      </c:barChart>
      <c:catAx>
        <c:axId val="2568546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4158120"/>
        <c:crosses val="autoZero"/>
        <c:auto val="1"/>
        <c:lblAlgn val="ctr"/>
        <c:lblOffset val="100"/>
        <c:noMultiLvlLbl val="0"/>
      </c:catAx>
      <c:valAx>
        <c:axId val="5241581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854640"/>
        <c:crosses val="autoZero"/>
        <c:crossBetween val="between"/>
      </c:valAx>
      <c:spPr>
        <a:noFill/>
        <a:ln>
          <a:noFill/>
        </a:ln>
        <a:effectLst/>
      </c:spPr>
    </c:plotArea>
    <c:plotVisOnly val="1"/>
    <c:dispBlanksAs val="gap"/>
    <c:showDLblsOverMax val="0"/>
    <c:extLst>
      <c:ext uri="{0b15fc19-7d7d-44ad-8c2d-2c3a37ce22c3}">
        <chartProps xmlns="https://web.wps.cn/et/2018/main" chartId="{fe9fdc41-6834-4c27-8605-83338adef5e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2923053574139"/>
          <c:y val="0.0421348314606742"/>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[决算公开分析图表.xls]Sheet1!$C$140:$C$143</c:f>
              <c:strCache>
                <c:ptCount val="4"/>
                <c:pt idx="0">
                  <c:v>社会保障和就业支出</c:v>
                </c:pt>
                <c:pt idx="1">
                  <c:v>卫生健康支出</c:v>
                </c:pt>
                <c:pt idx="2">
                  <c:v>住房保障支出</c:v>
                </c:pt>
                <c:pt idx="3">
                  <c:v>一般公共服务支出</c:v>
                </c:pt>
              </c:strCache>
            </c:strRef>
          </c:cat>
          <c:val>
            <c:numRef>
              <c:f>[决算公开分析图表.xls]Sheet1!$D$140:$D$143</c:f>
              <c:numCache>
                <c:formatCode>General</c:formatCode>
                <c:ptCount val="4"/>
                <c:pt idx="0">
                  <c:v>27.81</c:v>
                </c:pt>
                <c:pt idx="1">
                  <c:v>10.07</c:v>
                </c:pt>
                <c:pt idx="2" c:formatCode="#,##0.00">
                  <c:v>15.36</c:v>
                </c:pt>
                <c:pt idx="3" c:formatCode="#,##0.00">
                  <c:v>153.95</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c15c52-f513-4d22-9b8a-b3d993d7258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dPt>
          <c:dPt>
            <c:idx val="4"/>
            <c:bubble3D val="0"/>
            <c:explosion val="0"/>
          </c:dPt>
          <c:dLbls>
            <c:delete val="1"/>
          </c:dLbls>
          <c:cat>
            <c:strRef>
              <c:f>[决算公开分析图表.xls]Sheet1!$A$163:$A$167</c:f>
              <c:strCache>
                <c:ptCount val="5"/>
                <c:pt idx="0">
                  <c:v>因公出国（境）费</c:v>
                </c:pt>
                <c:pt idx="1">
                  <c:v>公务接待费</c:v>
                </c:pt>
                <c:pt idx="2">
                  <c:v>公务用车购置及运行维护费</c:v>
                </c:pt>
                <c:pt idx="3">
                  <c:v>其中：购置费</c:v>
                </c:pt>
                <c:pt idx="4">
                  <c:v>       运行费</c:v>
                </c:pt>
              </c:strCache>
            </c:strRef>
          </c:cat>
          <c:val>
            <c:numRef>
              <c:f>[决算公开分析图表.xls]Sheet1!$B$163:$B$167</c:f>
              <c:numCache>
                <c:formatCode>General</c:formatCode>
                <c:ptCount val="5"/>
                <c:pt idx="0">
                  <c:v>0</c:v>
                </c:pt>
                <c:pt idx="1">
                  <c:v>0</c:v>
                </c:pt>
                <c:pt idx="2">
                  <c:v>0</c:v>
                </c:pt>
                <c:pt idx="4">
                  <c:v>3.95</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609244273762172"/>
          <c:y val="0.327893931667517"/>
          <c:w val="0.35175"/>
          <c:h val="0.639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4fbfc97-8446-4eba-bb1a-0670ce4b08c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6771</Words>
  <Characters>7367</Characters>
  <Lines>1</Lines>
  <Paragraphs>1</Paragraphs>
  <TotalTime>2</TotalTime>
  <ScaleCrop>false</ScaleCrop>
  <LinksUpToDate>false</LinksUpToDate>
  <CharactersWithSpaces>7431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always</cp:lastModifiedBy>
  <cp:lastPrinted>2021-07-29T03:56:00Z</cp:lastPrinted>
  <dcterms:modified xsi:type="dcterms:W3CDTF">2026-08-19T08:08:17Z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99B954AB24874C71A81EBF3F885EBC60_13</vt:lpwstr>
  </property>
  <property fmtid="{D5CDD505-2E9C-101B-9397-08002B2CF9AE}" pid="4" name="KSOTemplateDocerSaveRecord">
    <vt:lpwstr>eyJoZGlkIjoiYzZkNzQ4ZWFiZmQ4NTRhOWRkZTk3YTMwMjlmMmZhYmUiLCJ1c2VySWQiOiI3MDIxNjYyMzcifQ==</vt:lpwstr>
  </property>
</Properties>
</file>