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ascii="黑体" w:hAnsi="黑体" w:eastAsia="黑体" w:cs="Times New Roman"/>
          <w:sz w:val="72"/>
          <w:szCs w:val="72"/>
        </w:rPr>
      </w:pPr>
      <w:r>
        <w:rPr>
          <w:rFonts w:hint="eastAsia" w:ascii="黑体" w:hAnsi="黑体" w:eastAsia="黑体" w:cs="黑体"/>
          <w:sz w:val="72"/>
          <w:szCs w:val="72"/>
        </w:rPr>
        <w:t>壤塘县退役军人事务局</w:t>
      </w:r>
      <w:r>
        <w:rPr>
          <w:rFonts w:hint="default" w:ascii="黑体" w:hAnsi="黑体" w:eastAsia="黑体" w:cs="黑体"/>
          <w:sz w:val="72"/>
          <w:szCs w:val="72"/>
        </w:rPr>
        <w:t>202</w:t>
      </w:r>
      <w:r>
        <w:rPr>
          <w:rFonts w:hint="default" w:ascii="黑体" w:hAnsi="黑体" w:eastAsia="黑体" w:cs="黑体"/>
          <w:sz w:val="72"/>
          <w:szCs w:val="72"/>
          <w:lang w:val="en-US" w:eastAsia="zh-CN"/>
        </w:rPr>
        <w:t>2</w:t>
      </w:r>
      <w:r>
        <w:rPr>
          <w:rFonts w:ascii="黑体" w:hAnsi="黑体" w:eastAsia="黑体" w:cs="黑体"/>
          <w:sz w:val="72"/>
          <w:szCs w:val="72"/>
        </w:rPr>
        <w:t>年</w:t>
      </w:r>
      <w:r>
        <w:rPr>
          <w:rFonts w:hint="eastAsia" w:ascii="黑体" w:hAnsi="黑体" w:eastAsia="黑体" w:cs="黑体"/>
          <w:sz w:val="72"/>
          <w:szCs w:val="72"/>
        </w:rPr>
        <w:t>部门预算</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hint="default" w:ascii="黑体" w:hAnsi="黑体" w:eastAsia="黑体" w:cs="黑体"/>
          <w:sz w:val="52"/>
          <w:szCs w:val="52"/>
          <w:lang w:val="en-US" w:eastAsia="zh-CN"/>
        </w:rPr>
      </w:pPr>
      <w:r>
        <w:rPr>
          <w:rFonts w:hint="default" w:ascii="黑体" w:hAnsi="黑体" w:eastAsia="黑体" w:cs="黑体"/>
          <w:sz w:val="52"/>
          <w:szCs w:val="52"/>
          <w:lang w:val="en-US" w:eastAsia="zh-CN"/>
        </w:rPr>
        <w:t>2022</w:t>
      </w:r>
      <w:r>
        <w:rPr>
          <w:rFonts w:hint="eastAsia" w:ascii="黑体" w:hAnsi="黑体" w:eastAsia="黑体" w:cs="黑体"/>
          <w:sz w:val="52"/>
          <w:szCs w:val="52"/>
        </w:rPr>
        <w:t>年</w:t>
      </w:r>
      <w:r>
        <w:rPr>
          <w:rFonts w:ascii="黑体" w:hAnsi="黑体" w:eastAsia="黑体" w:cs="黑体"/>
          <w:sz w:val="52"/>
          <w:szCs w:val="52"/>
        </w:rPr>
        <w:t xml:space="preserve"> </w:t>
      </w:r>
      <w:r>
        <w:rPr>
          <w:rFonts w:hint="default" w:ascii="黑体" w:hAnsi="黑体" w:eastAsia="黑体" w:cs="黑体"/>
          <w:sz w:val="52"/>
          <w:szCs w:val="52"/>
          <w:lang w:val="en-US" w:eastAsia="zh-CN"/>
        </w:rPr>
        <w:t>1</w:t>
      </w:r>
      <w:r>
        <w:rPr>
          <w:rFonts w:hint="eastAsia" w:ascii="黑体" w:hAnsi="黑体" w:eastAsia="黑体" w:cs="黑体"/>
          <w:sz w:val="52"/>
          <w:szCs w:val="52"/>
          <w:lang w:val="en-US" w:eastAsia="zh-CN"/>
        </w:rPr>
        <w:t>月</w:t>
      </w:r>
      <w:r>
        <w:rPr>
          <w:rFonts w:hint="default" w:ascii="黑体" w:hAnsi="黑体" w:eastAsia="黑体" w:cs="黑体"/>
          <w:sz w:val="52"/>
          <w:szCs w:val="52"/>
          <w:lang w:val="en-US" w:eastAsia="zh-CN"/>
        </w:rPr>
        <w:t xml:space="preserve">25 </w:t>
      </w:r>
      <w:r>
        <w:rPr>
          <w:rFonts w:hint="eastAsia" w:ascii="黑体" w:hAnsi="黑体" w:eastAsia="黑体" w:cs="黑体"/>
          <w:sz w:val="52"/>
          <w:szCs w:val="52"/>
          <w:lang w:val="en-US" w:eastAsia="zh-CN"/>
        </w:rPr>
        <w:t>日</w:t>
      </w:r>
    </w:p>
    <w:p>
      <w:pPr>
        <w:rPr>
          <w:rFonts w:ascii="黑体" w:hAnsi="黑体" w:eastAsia="黑体" w:cs="Times New Roman"/>
          <w:sz w:val="44"/>
          <w:szCs w:val="44"/>
        </w:rPr>
      </w:pPr>
    </w:p>
    <w:p>
      <w:pPr>
        <w:tabs>
          <w:tab w:val="left" w:pos="6681"/>
        </w:tabs>
        <w:rPr>
          <w:rFonts w:hint="eastAsia" w:ascii="黑体" w:hAnsi="黑体" w:eastAsia="黑体" w:cs="Times New Roman"/>
          <w:sz w:val="44"/>
          <w:szCs w:val="44"/>
          <w:lang w:eastAsia="zh-CN"/>
        </w:rPr>
      </w:pPr>
      <w:r>
        <w:rPr>
          <w:rFonts w:hint="eastAsia" w:ascii="黑体" w:hAnsi="黑体" w:eastAsia="黑体" w:cs="Times New Roman"/>
          <w:sz w:val="44"/>
          <w:szCs w:val="44"/>
          <w:lang w:eastAsia="zh-CN"/>
        </w:rPr>
        <w:tab/>
      </w:r>
    </w:p>
    <w:p>
      <w:pPr>
        <w:spacing w:before="0" w:beforeLines="0" w:after="0" w:afterLines="0" w:line="240" w:lineRule="auto"/>
        <w:ind w:left="0" w:leftChars="0" w:right="0" w:rightChars="0" w:firstLine="0" w:firstLineChars="0"/>
        <w:jc w:val="center"/>
        <w:rPr>
          <w:rFonts w:hint="eastAsia" w:ascii="仿宋_GB2312" w:hAnsi="仿宋_GB2312" w:eastAsia="仿宋_GB2312" w:cs="仿宋_GB2312"/>
          <w:kern w:val="0"/>
          <w:sz w:val="32"/>
          <w:szCs w:val="32"/>
          <w:lang w:val="en-US" w:eastAsia="zh-CN" w:bidi="ar-SA"/>
        </w:rPr>
      </w:pPr>
    </w:p>
    <w:p>
      <w:pPr>
        <w:spacing w:before="0" w:beforeLines="0" w:after="0" w:afterLines="0" w:line="240" w:lineRule="auto"/>
        <w:ind w:left="0" w:leftChars="0" w:right="0" w:rightChars="0" w:firstLine="0" w:firstLineChars="0"/>
        <w:jc w:val="center"/>
        <w:rPr>
          <w:rFonts w:hint="eastAsia" w:ascii="仿宋_GB2312" w:hAnsi="仿宋_GB2312" w:eastAsia="仿宋_GB2312" w:cs="仿宋_GB2312"/>
          <w:kern w:val="0"/>
          <w:sz w:val="32"/>
          <w:szCs w:val="32"/>
          <w:lang w:val="en-US" w:eastAsia="zh-CN" w:bidi="ar-SA"/>
        </w:rPr>
      </w:pPr>
    </w:p>
    <w:p>
      <w:pPr>
        <w:spacing w:before="0" w:beforeLines="0" w:after="0" w:afterLines="0" w:line="240" w:lineRule="auto"/>
        <w:ind w:left="0" w:leftChars="0" w:right="0" w:rightChars="0" w:firstLine="0" w:firstLineChars="0"/>
        <w:jc w:val="center"/>
        <w:rPr>
          <w:rFonts w:hint="eastAsia" w:ascii="仿宋_GB2312" w:hAnsi="仿宋_GB2312" w:eastAsia="仿宋_GB2312" w:cs="仿宋_GB2312"/>
          <w:kern w:val="0"/>
          <w:sz w:val="32"/>
          <w:szCs w:val="32"/>
          <w:lang w:val="en-US" w:eastAsia="zh-CN" w:bidi="ar-SA"/>
        </w:rPr>
      </w:pPr>
      <w:bookmarkStart w:id="21" w:name="_GoBack"/>
      <w:bookmarkEnd w:id="21"/>
      <w:r>
        <w:rPr>
          <w:rFonts w:hint="eastAsia" w:ascii="仿宋_GB2312" w:hAnsi="仿宋_GB2312" w:eastAsia="仿宋_GB2312" w:cs="仿宋_GB2312"/>
          <w:kern w:val="0"/>
          <w:sz w:val="32"/>
          <w:szCs w:val="32"/>
          <w:lang w:val="en-US" w:eastAsia="zh-CN" w:bidi="ar-SA"/>
        </w:rPr>
        <w:t>目    录</w:t>
      </w:r>
    </w:p>
    <w:p>
      <w:pPr>
        <w:pStyle w:val="21"/>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TOC \o "1-3" \h \u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_Toc1876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一、基本职能及主要工作</w:t>
      </w:r>
      <w:r>
        <w:rPr>
          <w:rFonts w:hint="eastAsia" w:ascii="仿宋_GB2312" w:hAnsi="仿宋_GB2312" w:eastAsia="仿宋_GB2312" w:cs="仿宋_GB2312"/>
          <w:kern w:val="0"/>
          <w:sz w:val="32"/>
          <w:szCs w:val="32"/>
          <w:lang w:val="en-US" w:eastAsia="zh-CN" w:bidi="ar-SA"/>
        </w:rPr>
        <w:tab/>
      </w:r>
      <w:r>
        <w:rPr>
          <w:rFonts w:hint="default" w:ascii="Times New Roman" w:hAnsi="Times New Roman" w:eastAsia="仿宋_GB2312" w:cs="Times New Roman"/>
          <w:kern w:val="0"/>
          <w:sz w:val="32"/>
          <w:szCs w:val="32"/>
          <w:lang w:val="en-US" w:eastAsia="zh-CN" w:bidi="ar-SA"/>
        </w:rPr>
        <w:fldChar w:fldCharType="begin"/>
      </w:r>
      <w:r>
        <w:rPr>
          <w:rFonts w:hint="default" w:ascii="Times New Roman" w:hAnsi="Times New Roman" w:eastAsia="仿宋_GB2312" w:cs="Times New Roman"/>
          <w:kern w:val="0"/>
          <w:sz w:val="32"/>
          <w:szCs w:val="32"/>
          <w:lang w:val="en-US" w:eastAsia="zh-CN" w:bidi="ar-SA"/>
        </w:rPr>
        <w:instrText xml:space="preserve"> PAGEREF _Toc1876 </w:instrText>
      </w:r>
      <w:r>
        <w:rPr>
          <w:rFonts w:hint="default" w:ascii="Times New Roman" w:hAnsi="Times New Roman" w:eastAsia="仿宋_GB2312" w:cs="Times New Roman"/>
          <w:kern w:val="0"/>
          <w:sz w:val="32"/>
          <w:szCs w:val="32"/>
          <w:lang w:val="en-US" w:eastAsia="zh-CN" w:bidi="ar-SA"/>
        </w:rPr>
        <w:fldChar w:fldCharType="separate"/>
      </w:r>
      <w:r>
        <w:rPr>
          <w:rFonts w:hint="default" w:ascii="Times New Roman" w:hAnsi="Times New Roman" w:eastAsia="仿宋_GB2312" w:cs="Times New Roman"/>
          <w:kern w:val="0"/>
          <w:sz w:val="32"/>
          <w:szCs w:val="32"/>
          <w:lang w:val="en-US" w:eastAsia="zh-CN" w:bidi="ar-SA"/>
        </w:rPr>
        <w:t>3</w:t>
      </w:r>
      <w:r>
        <w:rPr>
          <w:rFonts w:hint="default" w:ascii="Times New Roman" w:hAnsi="Times New Roman" w:eastAsia="仿宋_GB2312" w:cs="Times New Roman"/>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5"/>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_Toc29465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（一）壤塘县退役军人事务局职能简介</w:t>
      </w:r>
      <w:r>
        <w:rPr>
          <w:rFonts w:hint="eastAsia" w:ascii="仿宋_GB2312" w:hAnsi="仿宋_GB2312" w:eastAsia="仿宋_GB2312" w:cs="仿宋_GB2312"/>
          <w:kern w:val="0"/>
          <w:sz w:val="32"/>
          <w:szCs w:val="32"/>
          <w:lang w:val="en-US" w:eastAsia="zh-CN" w:bidi="ar-SA"/>
        </w:rPr>
        <w:tab/>
      </w:r>
      <w:r>
        <w:rPr>
          <w:rFonts w:hint="default" w:ascii="Times New Roman" w:hAnsi="Times New Roman" w:eastAsia="仿宋_GB2312" w:cs="Times New Roman"/>
          <w:kern w:val="0"/>
          <w:sz w:val="32"/>
          <w:szCs w:val="32"/>
          <w:lang w:val="en-US" w:eastAsia="zh-CN" w:bidi="ar-SA"/>
        </w:rPr>
        <w:fldChar w:fldCharType="begin"/>
      </w:r>
      <w:r>
        <w:rPr>
          <w:rFonts w:hint="default" w:ascii="Times New Roman" w:hAnsi="Times New Roman" w:eastAsia="仿宋_GB2312" w:cs="Times New Roman"/>
          <w:kern w:val="0"/>
          <w:sz w:val="32"/>
          <w:szCs w:val="32"/>
          <w:lang w:val="en-US" w:eastAsia="zh-CN" w:bidi="ar-SA"/>
        </w:rPr>
        <w:instrText xml:space="preserve"> PAGEREF _Toc29465 </w:instrText>
      </w:r>
      <w:r>
        <w:rPr>
          <w:rFonts w:hint="default" w:ascii="Times New Roman" w:hAnsi="Times New Roman" w:eastAsia="仿宋_GB2312" w:cs="Times New Roman"/>
          <w:kern w:val="0"/>
          <w:sz w:val="32"/>
          <w:szCs w:val="32"/>
          <w:lang w:val="en-US" w:eastAsia="zh-CN" w:bidi="ar-SA"/>
        </w:rPr>
        <w:fldChar w:fldCharType="separate"/>
      </w:r>
      <w:r>
        <w:rPr>
          <w:rFonts w:hint="default" w:ascii="Times New Roman" w:hAnsi="Times New Roman" w:eastAsia="仿宋_GB2312" w:cs="Times New Roman"/>
          <w:kern w:val="0"/>
          <w:sz w:val="32"/>
          <w:szCs w:val="32"/>
          <w:lang w:val="en-US" w:eastAsia="zh-CN" w:bidi="ar-SA"/>
        </w:rPr>
        <w:t>3</w:t>
      </w:r>
      <w:r>
        <w:rPr>
          <w:rFonts w:hint="default" w:ascii="Times New Roman" w:hAnsi="Times New Roman" w:eastAsia="仿宋_GB2312" w:cs="Times New Roman"/>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5"/>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_Toc3882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（二）壤塘县退役军人事务局</w:t>
      </w:r>
      <w:r>
        <w:rPr>
          <w:rFonts w:hint="default" w:ascii="Times New Roman" w:hAnsi="Times New Roman" w:eastAsia="仿宋_GB2312" w:cs="Times New Roman"/>
          <w:kern w:val="0"/>
          <w:sz w:val="32"/>
          <w:szCs w:val="32"/>
          <w:lang w:val="en-US" w:eastAsia="zh-CN" w:bidi="ar-SA"/>
        </w:rPr>
        <w:t>2022</w:t>
      </w:r>
      <w:r>
        <w:rPr>
          <w:rFonts w:hint="eastAsia" w:ascii="仿宋_GB2312" w:hAnsi="仿宋_GB2312" w:eastAsia="仿宋_GB2312" w:cs="仿宋_GB2312"/>
          <w:kern w:val="0"/>
          <w:sz w:val="32"/>
          <w:szCs w:val="32"/>
          <w:lang w:val="en-US" w:eastAsia="zh-CN" w:bidi="ar-SA"/>
        </w:rPr>
        <w:t>年重点工作</w:t>
      </w:r>
      <w:r>
        <w:rPr>
          <w:rFonts w:hint="eastAsia" w:ascii="仿宋_GB2312" w:hAnsi="仿宋_GB2312" w:eastAsia="仿宋_GB2312" w:cs="仿宋_GB2312"/>
          <w:kern w:val="0"/>
          <w:sz w:val="32"/>
          <w:szCs w:val="32"/>
          <w:lang w:val="en-US" w:eastAsia="zh-CN" w:bidi="ar-SA"/>
        </w:rPr>
        <w:tab/>
      </w:r>
      <w:r>
        <w:rPr>
          <w:rFonts w:hint="default" w:ascii="Times New Roman" w:hAnsi="Times New Roman" w:eastAsia="仿宋_GB2312" w:cs="Times New Roman"/>
          <w:kern w:val="0"/>
          <w:sz w:val="32"/>
          <w:szCs w:val="32"/>
          <w:lang w:val="en-US" w:eastAsia="zh-CN" w:bidi="ar-SA"/>
        </w:rPr>
        <w:fldChar w:fldCharType="begin"/>
      </w:r>
      <w:r>
        <w:rPr>
          <w:rFonts w:hint="default" w:ascii="Times New Roman" w:hAnsi="Times New Roman" w:eastAsia="仿宋_GB2312" w:cs="Times New Roman"/>
          <w:kern w:val="0"/>
          <w:sz w:val="32"/>
          <w:szCs w:val="32"/>
          <w:lang w:val="en-US" w:eastAsia="zh-CN" w:bidi="ar-SA"/>
        </w:rPr>
        <w:instrText xml:space="preserve"> PAGEREF _Toc3882 </w:instrText>
      </w:r>
      <w:r>
        <w:rPr>
          <w:rFonts w:hint="default" w:ascii="Times New Roman" w:hAnsi="Times New Roman" w:eastAsia="仿宋_GB2312" w:cs="Times New Roman"/>
          <w:kern w:val="0"/>
          <w:sz w:val="32"/>
          <w:szCs w:val="32"/>
          <w:lang w:val="en-US" w:eastAsia="zh-CN" w:bidi="ar-SA"/>
        </w:rPr>
        <w:fldChar w:fldCharType="separate"/>
      </w:r>
      <w:r>
        <w:rPr>
          <w:rFonts w:hint="default" w:ascii="Times New Roman" w:hAnsi="Times New Roman" w:eastAsia="仿宋_GB2312" w:cs="Times New Roman"/>
          <w:kern w:val="0"/>
          <w:sz w:val="32"/>
          <w:szCs w:val="32"/>
          <w:lang w:val="en-US" w:eastAsia="zh-CN" w:bidi="ar-SA"/>
        </w:rPr>
        <w:t>3</w:t>
      </w:r>
      <w:r>
        <w:rPr>
          <w:rFonts w:hint="default" w:ascii="Times New Roman" w:hAnsi="Times New Roman" w:eastAsia="仿宋_GB2312" w:cs="Times New Roman"/>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1"/>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_Toc8544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二、部门预算单位构成</w:t>
      </w:r>
      <w:r>
        <w:rPr>
          <w:rFonts w:hint="eastAsia" w:ascii="仿宋_GB2312" w:hAnsi="仿宋_GB2312" w:eastAsia="仿宋_GB2312" w:cs="仿宋_GB2312"/>
          <w:kern w:val="0"/>
          <w:sz w:val="32"/>
          <w:szCs w:val="32"/>
          <w:lang w:val="en-US" w:eastAsia="zh-CN" w:bidi="ar-SA"/>
        </w:rPr>
        <w:tab/>
      </w:r>
      <w:r>
        <w:rPr>
          <w:rFonts w:hint="default" w:ascii="Times New Roman" w:hAnsi="Times New Roman" w:eastAsia="仿宋_GB2312" w:cs="Times New Roman"/>
          <w:kern w:val="0"/>
          <w:sz w:val="32"/>
          <w:szCs w:val="32"/>
          <w:lang w:val="en-US" w:eastAsia="zh-CN" w:bidi="ar-SA"/>
        </w:rPr>
        <w:fldChar w:fldCharType="begin"/>
      </w:r>
      <w:r>
        <w:rPr>
          <w:rFonts w:hint="default" w:ascii="Times New Roman" w:hAnsi="Times New Roman" w:eastAsia="仿宋_GB2312" w:cs="Times New Roman"/>
          <w:kern w:val="0"/>
          <w:sz w:val="32"/>
          <w:szCs w:val="32"/>
          <w:lang w:val="en-US" w:eastAsia="zh-CN" w:bidi="ar-SA"/>
        </w:rPr>
        <w:instrText xml:space="preserve"> PAGEREF _Toc8544 </w:instrText>
      </w:r>
      <w:r>
        <w:rPr>
          <w:rFonts w:hint="default" w:ascii="Times New Roman" w:hAnsi="Times New Roman" w:eastAsia="仿宋_GB2312" w:cs="Times New Roman"/>
          <w:kern w:val="0"/>
          <w:sz w:val="32"/>
          <w:szCs w:val="32"/>
          <w:lang w:val="en-US" w:eastAsia="zh-CN" w:bidi="ar-SA"/>
        </w:rPr>
        <w:fldChar w:fldCharType="separate"/>
      </w:r>
      <w:r>
        <w:rPr>
          <w:rFonts w:hint="default" w:ascii="Times New Roman" w:hAnsi="Times New Roman" w:eastAsia="仿宋_GB2312" w:cs="Times New Roman"/>
          <w:kern w:val="0"/>
          <w:sz w:val="32"/>
          <w:szCs w:val="32"/>
          <w:lang w:val="en-US" w:eastAsia="zh-CN" w:bidi="ar-SA"/>
        </w:rPr>
        <w:t>4</w:t>
      </w:r>
      <w:r>
        <w:rPr>
          <w:rFonts w:hint="default" w:ascii="Times New Roman" w:hAnsi="Times New Roman" w:eastAsia="仿宋_GB2312" w:cs="Times New Roman"/>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1"/>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_Toc32511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三、收支预算情况说明</w:t>
      </w:r>
      <w:r>
        <w:rPr>
          <w:rFonts w:hint="eastAsia" w:ascii="仿宋_GB2312" w:hAnsi="仿宋_GB2312" w:eastAsia="仿宋_GB2312" w:cs="仿宋_GB2312"/>
          <w:kern w:val="0"/>
          <w:sz w:val="32"/>
          <w:szCs w:val="32"/>
          <w:lang w:val="en-US" w:eastAsia="zh-CN" w:bidi="ar-SA"/>
        </w:rPr>
        <w:tab/>
      </w:r>
      <w:r>
        <w:rPr>
          <w:rFonts w:hint="default" w:ascii="Times New Roman" w:hAnsi="Times New Roman" w:eastAsia="仿宋_GB2312" w:cs="Times New Roman"/>
          <w:kern w:val="0"/>
          <w:sz w:val="32"/>
          <w:szCs w:val="32"/>
          <w:lang w:val="en-US" w:eastAsia="zh-CN" w:bidi="ar-SA"/>
        </w:rPr>
        <w:fldChar w:fldCharType="begin"/>
      </w:r>
      <w:r>
        <w:rPr>
          <w:rFonts w:hint="default" w:ascii="Times New Roman" w:hAnsi="Times New Roman" w:eastAsia="仿宋_GB2312" w:cs="Times New Roman"/>
          <w:kern w:val="0"/>
          <w:sz w:val="32"/>
          <w:szCs w:val="32"/>
          <w:lang w:val="en-US" w:eastAsia="zh-CN" w:bidi="ar-SA"/>
        </w:rPr>
        <w:instrText xml:space="preserve"> PAGEREF _Toc32511 </w:instrText>
      </w:r>
      <w:r>
        <w:rPr>
          <w:rFonts w:hint="default" w:ascii="Times New Roman" w:hAnsi="Times New Roman" w:eastAsia="仿宋_GB2312" w:cs="Times New Roman"/>
          <w:kern w:val="0"/>
          <w:sz w:val="32"/>
          <w:szCs w:val="32"/>
          <w:lang w:val="en-US" w:eastAsia="zh-CN" w:bidi="ar-SA"/>
        </w:rPr>
        <w:fldChar w:fldCharType="separate"/>
      </w:r>
      <w:r>
        <w:rPr>
          <w:rFonts w:hint="default" w:ascii="Times New Roman" w:hAnsi="Times New Roman" w:eastAsia="仿宋_GB2312" w:cs="Times New Roman"/>
          <w:kern w:val="0"/>
          <w:sz w:val="32"/>
          <w:szCs w:val="32"/>
          <w:lang w:val="en-US" w:eastAsia="zh-CN" w:bidi="ar-SA"/>
        </w:rPr>
        <w:t>4</w:t>
      </w:r>
      <w:r>
        <w:rPr>
          <w:rFonts w:hint="default" w:ascii="Times New Roman" w:hAnsi="Times New Roman" w:eastAsia="仿宋_GB2312" w:cs="Times New Roman"/>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5"/>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_Toc29450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（一）收入预算情况</w:t>
      </w:r>
      <w:r>
        <w:rPr>
          <w:rFonts w:hint="eastAsia" w:ascii="仿宋_GB2312" w:hAnsi="仿宋_GB2312" w:eastAsia="仿宋_GB2312" w:cs="仿宋_GB2312"/>
          <w:kern w:val="0"/>
          <w:sz w:val="32"/>
          <w:szCs w:val="32"/>
          <w:lang w:val="en-US" w:eastAsia="zh-CN" w:bidi="ar-SA"/>
        </w:rPr>
        <w:tab/>
      </w:r>
      <w:r>
        <w:rPr>
          <w:rFonts w:hint="default" w:ascii="Times New Roman" w:hAnsi="Times New Roman" w:eastAsia="仿宋_GB2312" w:cs="Times New Roman"/>
          <w:kern w:val="0"/>
          <w:sz w:val="32"/>
          <w:szCs w:val="32"/>
          <w:lang w:val="en-US" w:eastAsia="zh-CN" w:bidi="ar-SA"/>
        </w:rPr>
        <w:fldChar w:fldCharType="begin"/>
      </w:r>
      <w:r>
        <w:rPr>
          <w:rFonts w:hint="default" w:ascii="Times New Roman" w:hAnsi="Times New Roman" w:eastAsia="仿宋_GB2312" w:cs="Times New Roman"/>
          <w:kern w:val="0"/>
          <w:sz w:val="32"/>
          <w:szCs w:val="32"/>
          <w:lang w:val="en-US" w:eastAsia="zh-CN" w:bidi="ar-SA"/>
        </w:rPr>
        <w:instrText xml:space="preserve"> PAGEREF _Toc29450 </w:instrText>
      </w:r>
      <w:r>
        <w:rPr>
          <w:rFonts w:hint="default" w:ascii="Times New Roman" w:hAnsi="Times New Roman" w:eastAsia="仿宋_GB2312" w:cs="Times New Roman"/>
          <w:kern w:val="0"/>
          <w:sz w:val="32"/>
          <w:szCs w:val="32"/>
          <w:lang w:val="en-US" w:eastAsia="zh-CN" w:bidi="ar-SA"/>
        </w:rPr>
        <w:fldChar w:fldCharType="separate"/>
      </w:r>
      <w:r>
        <w:rPr>
          <w:rFonts w:hint="default" w:ascii="Times New Roman" w:hAnsi="Times New Roman" w:eastAsia="仿宋_GB2312" w:cs="Times New Roman"/>
          <w:kern w:val="0"/>
          <w:sz w:val="32"/>
          <w:szCs w:val="32"/>
          <w:lang w:val="en-US" w:eastAsia="zh-CN" w:bidi="ar-SA"/>
        </w:rPr>
        <w:t>4</w:t>
      </w:r>
      <w:r>
        <w:rPr>
          <w:rFonts w:hint="default" w:ascii="Times New Roman" w:hAnsi="Times New Roman" w:eastAsia="仿宋_GB2312" w:cs="Times New Roman"/>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5"/>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_Toc28898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（二）支出预算情况</w:t>
      </w:r>
      <w:r>
        <w:rPr>
          <w:rFonts w:hint="eastAsia" w:ascii="仿宋_GB2312" w:hAnsi="仿宋_GB2312" w:eastAsia="仿宋_GB2312" w:cs="仿宋_GB2312"/>
          <w:kern w:val="0"/>
          <w:sz w:val="32"/>
          <w:szCs w:val="32"/>
          <w:lang w:val="en-US" w:eastAsia="zh-CN" w:bidi="ar-SA"/>
        </w:rPr>
        <w:tab/>
      </w:r>
      <w:r>
        <w:rPr>
          <w:rFonts w:hint="default" w:ascii="Times New Roman" w:hAnsi="Times New Roman" w:eastAsia="仿宋_GB2312" w:cs="Times New Roman"/>
          <w:kern w:val="0"/>
          <w:sz w:val="32"/>
          <w:szCs w:val="32"/>
          <w:lang w:val="en-US" w:eastAsia="zh-CN" w:bidi="ar-SA"/>
        </w:rPr>
        <w:fldChar w:fldCharType="begin"/>
      </w:r>
      <w:r>
        <w:rPr>
          <w:rFonts w:hint="default" w:ascii="Times New Roman" w:hAnsi="Times New Roman" w:eastAsia="仿宋_GB2312" w:cs="Times New Roman"/>
          <w:kern w:val="0"/>
          <w:sz w:val="32"/>
          <w:szCs w:val="32"/>
          <w:lang w:val="en-US" w:eastAsia="zh-CN" w:bidi="ar-SA"/>
        </w:rPr>
        <w:instrText xml:space="preserve"> PAGEREF _Toc28898 </w:instrText>
      </w:r>
      <w:r>
        <w:rPr>
          <w:rFonts w:hint="default" w:ascii="Times New Roman" w:hAnsi="Times New Roman" w:eastAsia="仿宋_GB2312" w:cs="Times New Roman"/>
          <w:kern w:val="0"/>
          <w:sz w:val="32"/>
          <w:szCs w:val="32"/>
          <w:lang w:val="en-US" w:eastAsia="zh-CN" w:bidi="ar-SA"/>
        </w:rPr>
        <w:fldChar w:fldCharType="separate"/>
      </w:r>
      <w:r>
        <w:rPr>
          <w:rFonts w:hint="default" w:ascii="Times New Roman" w:hAnsi="Times New Roman" w:eastAsia="仿宋_GB2312" w:cs="Times New Roman"/>
          <w:kern w:val="0"/>
          <w:sz w:val="32"/>
          <w:szCs w:val="32"/>
          <w:lang w:val="en-US" w:eastAsia="zh-CN" w:bidi="ar-SA"/>
        </w:rPr>
        <w:t>4</w:t>
      </w:r>
      <w:r>
        <w:rPr>
          <w:rFonts w:hint="default" w:ascii="Times New Roman" w:hAnsi="Times New Roman" w:eastAsia="仿宋_GB2312" w:cs="Times New Roman"/>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1"/>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_Toc10085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四、财政拨款收支预算情况说明</w:t>
      </w:r>
      <w:r>
        <w:rPr>
          <w:rFonts w:hint="eastAsia" w:ascii="仿宋_GB2312" w:hAnsi="仿宋_GB2312" w:eastAsia="仿宋_GB2312" w:cs="仿宋_GB2312"/>
          <w:kern w:val="0"/>
          <w:sz w:val="32"/>
          <w:szCs w:val="32"/>
          <w:lang w:val="en-US" w:eastAsia="zh-CN" w:bidi="ar-SA"/>
        </w:rPr>
        <w:tab/>
      </w:r>
      <w:r>
        <w:rPr>
          <w:rFonts w:hint="default" w:ascii="Times New Roman" w:hAnsi="Times New Roman" w:eastAsia="仿宋_GB2312" w:cs="Times New Roman"/>
          <w:kern w:val="0"/>
          <w:sz w:val="32"/>
          <w:szCs w:val="32"/>
          <w:lang w:val="en-US" w:eastAsia="zh-CN" w:bidi="ar-SA"/>
        </w:rPr>
        <w:fldChar w:fldCharType="begin"/>
      </w:r>
      <w:r>
        <w:rPr>
          <w:rFonts w:hint="default" w:ascii="Times New Roman" w:hAnsi="Times New Roman" w:eastAsia="仿宋_GB2312" w:cs="Times New Roman"/>
          <w:kern w:val="0"/>
          <w:sz w:val="32"/>
          <w:szCs w:val="32"/>
          <w:lang w:val="en-US" w:eastAsia="zh-CN" w:bidi="ar-SA"/>
        </w:rPr>
        <w:instrText xml:space="preserve"> PAGEREF _Toc10085 </w:instrText>
      </w:r>
      <w:r>
        <w:rPr>
          <w:rFonts w:hint="default" w:ascii="Times New Roman" w:hAnsi="Times New Roman" w:eastAsia="仿宋_GB2312" w:cs="Times New Roman"/>
          <w:kern w:val="0"/>
          <w:sz w:val="32"/>
          <w:szCs w:val="32"/>
          <w:lang w:val="en-US" w:eastAsia="zh-CN" w:bidi="ar-SA"/>
        </w:rPr>
        <w:fldChar w:fldCharType="separate"/>
      </w:r>
      <w:r>
        <w:rPr>
          <w:rFonts w:hint="default" w:ascii="Times New Roman" w:hAnsi="Times New Roman" w:eastAsia="仿宋_GB2312" w:cs="Times New Roman"/>
          <w:kern w:val="0"/>
          <w:sz w:val="32"/>
          <w:szCs w:val="32"/>
          <w:lang w:val="en-US" w:eastAsia="zh-CN" w:bidi="ar-SA"/>
        </w:rPr>
        <w:t>5</w:t>
      </w:r>
      <w:r>
        <w:rPr>
          <w:rFonts w:hint="default" w:ascii="Times New Roman" w:hAnsi="Times New Roman" w:eastAsia="仿宋_GB2312" w:cs="Times New Roman"/>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1"/>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_Toc31207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五、一般公共预算当年拨款情况说明</w:t>
      </w:r>
      <w:r>
        <w:rPr>
          <w:rFonts w:hint="eastAsia" w:ascii="仿宋_GB2312" w:hAnsi="仿宋_GB2312" w:eastAsia="仿宋_GB2312" w:cs="仿宋_GB2312"/>
          <w:kern w:val="0"/>
          <w:sz w:val="32"/>
          <w:szCs w:val="32"/>
          <w:lang w:val="en-US" w:eastAsia="zh-CN" w:bidi="ar-SA"/>
        </w:rPr>
        <w:tab/>
      </w:r>
      <w:r>
        <w:rPr>
          <w:rFonts w:hint="default" w:ascii="Times New Roman" w:hAnsi="Times New Roman" w:eastAsia="仿宋_GB2312" w:cs="Times New Roman"/>
          <w:kern w:val="0"/>
          <w:sz w:val="32"/>
          <w:szCs w:val="32"/>
          <w:lang w:val="en-US" w:eastAsia="zh-CN" w:bidi="ar-SA"/>
        </w:rPr>
        <w:fldChar w:fldCharType="begin"/>
      </w:r>
      <w:r>
        <w:rPr>
          <w:rFonts w:hint="default" w:ascii="Times New Roman" w:hAnsi="Times New Roman" w:eastAsia="仿宋_GB2312" w:cs="Times New Roman"/>
          <w:kern w:val="0"/>
          <w:sz w:val="32"/>
          <w:szCs w:val="32"/>
          <w:lang w:val="en-US" w:eastAsia="zh-CN" w:bidi="ar-SA"/>
        </w:rPr>
        <w:instrText xml:space="preserve"> PAGEREF _Toc31207 </w:instrText>
      </w:r>
      <w:r>
        <w:rPr>
          <w:rFonts w:hint="default" w:ascii="Times New Roman" w:hAnsi="Times New Roman" w:eastAsia="仿宋_GB2312" w:cs="Times New Roman"/>
          <w:kern w:val="0"/>
          <w:sz w:val="32"/>
          <w:szCs w:val="32"/>
          <w:lang w:val="en-US" w:eastAsia="zh-CN" w:bidi="ar-SA"/>
        </w:rPr>
        <w:fldChar w:fldCharType="separate"/>
      </w:r>
      <w:r>
        <w:rPr>
          <w:rFonts w:hint="default" w:ascii="Times New Roman" w:hAnsi="Times New Roman" w:eastAsia="仿宋_GB2312" w:cs="Times New Roman"/>
          <w:kern w:val="0"/>
          <w:sz w:val="32"/>
          <w:szCs w:val="32"/>
          <w:lang w:val="en-US" w:eastAsia="zh-CN" w:bidi="ar-SA"/>
        </w:rPr>
        <w:t>5</w:t>
      </w:r>
      <w:r>
        <w:rPr>
          <w:rFonts w:hint="default" w:ascii="Times New Roman" w:hAnsi="Times New Roman" w:eastAsia="仿宋_GB2312" w:cs="Times New Roman"/>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5"/>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_Toc19883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（一）一般公共预算当年拨款规模变化情况</w:t>
      </w:r>
      <w:r>
        <w:rPr>
          <w:rFonts w:hint="eastAsia" w:ascii="仿宋_GB2312" w:hAnsi="仿宋_GB2312" w:eastAsia="仿宋_GB2312" w:cs="仿宋_GB2312"/>
          <w:kern w:val="0"/>
          <w:sz w:val="32"/>
          <w:szCs w:val="32"/>
          <w:lang w:val="en-US" w:eastAsia="zh-CN" w:bidi="ar-SA"/>
        </w:rPr>
        <w:tab/>
      </w:r>
      <w:r>
        <w:rPr>
          <w:rFonts w:hint="default" w:ascii="Times New Roman" w:hAnsi="Times New Roman" w:eastAsia="仿宋_GB2312" w:cs="Times New Roman"/>
          <w:kern w:val="0"/>
          <w:sz w:val="32"/>
          <w:szCs w:val="32"/>
          <w:lang w:val="en-US" w:eastAsia="zh-CN" w:bidi="ar-SA"/>
        </w:rPr>
        <w:fldChar w:fldCharType="begin"/>
      </w:r>
      <w:r>
        <w:rPr>
          <w:rFonts w:hint="default" w:ascii="Times New Roman" w:hAnsi="Times New Roman" w:eastAsia="仿宋_GB2312" w:cs="Times New Roman"/>
          <w:kern w:val="0"/>
          <w:sz w:val="32"/>
          <w:szCs w:val="32"/>
          <w:lang w:val="en-US" w:eastAsia="zh-CN" w:bidi="ar-SA"/>
        </w:rPr>
        <w:instrText xml:space="preserve"> PAGEREF _Toc19883 </w:instrText>
      </w:r>
      <w:r>
        <w:rPr>
          <w:rFonts w:hint="default" w:ascii="Times New Roman" w:hAnsi="Times New Roman" w:eastAsia="仿宋_GB2312" w:cs="Times New Roman"/>
          <w:kern w:val="0"/>
          <w:sz w:val="32"/>
          <w:szCs w:val="32"/>
          <w:lang w:val="en-US" w:eastAsia="zh-CN" w:bidi="ar-SA"/>
        </w:rPr>
        <w:fldChar w:fldCharType="separate"/>
      </w:r>
      <w:r>
        <w:rPr>
          <w:rFonts w:hint="default" w:ascii="Times New Roman" w:hAnsi="Times New Roman" w:eastAsia="仿宋_GB2312" w:cs="Times New Roman"/>
          <w:kern w:val="0"/>
          <w:sz w:val="32"/>
          <w:szCs w:val="32"/>
          <w:lang w:val="en-US" w:eastAsia="zh-CN" w:bidi="ar-SA"/>
        </w:rPr>
        <w:t>5</w:t>
      </w:r>
      <w:r>
        <w:rPr>
          <w:rFonts w:hint="default" w:ascii="Times New Roman" w:hAnsi="Times New Roman" w:eastAsia="仿宋_GB2312" w:cs="Times New Roman"/>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5"/>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_Toc10289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（二）一般公共预算当年拨款结构情况</w:t>
      </w:r>
      <w:r>
        <w:rPr>
          <w:rFonts w:hint="eastAsia" w:ascii="仿宋_GB2312" w:hAnsi="仿宋_GB2312" w:eastAsia="仿宋_GB2312" w:cs="仿宋_GB2312"/>
          <w:kern w:val="0"/>
          <w:sz w:val="32"/>
          <w:szCs w:val="32"/>
          <w:lang w:val="en-US" w:eastAsia="zh-CN" w:bidi="ar-SA"/>
        </w:rPr>
        <w:tab/>
      </w:r>
      <w:r>
        <w:rPr>
          <w:rFonts w:hint="default" w:ascii="Times New Roman" w:hAnsi="Times New Roman" w:eastAsia="仿宋_GB2312" w:cs="Times New Roman"/>
          <w:kern w:val="0"/>
          <w:sz w:val="32"/>
          <w:szCs w:val="32"/>
          <w:lang w:val="en-US" w:eastAsia="zh-CN" w:bidi="ar-SA"/>
        </w:rPr>
        <w:fldChar w:fldCharType="begin"/>
      </w:r>
      <w:r>
        <w:rPr>
          <w:rFonts w:hint="default" w:ascii="Times New Roman" w:hAnsi="Times New Roman" w:eastAsia="仿宋_GB2312" w:cs="Times New Roman"/>
          <w:kern w:val="0"/>
          <w:sz w:val="32"/>
          <w:szCs w:val="32"/>
          <w:lang w:val="en-US" w:eastAsia="zh-CN" w:bidi="ar-SA"/>
        </w:rPr>
        <w:instrText xml:space="preserve"> PAGEREF _Toc10289 </w:instrText>
      </w:r>
      <w:r>
        <w:rPr>
          <w:rFonts w:hint="default" w:ascii="Times New Roman" w:hAnsi="Times New Roman" w:eastAsia="仿宋_GB2312" w:cs="Times New Roman"/>
          <w:kern w:val="0"/>
          <w:sz w:val="32"/>
          <w:szCs w:val="32"/>
          <w:lang w:val="en-US" w:eastAsia="zh-CN" w:bidi="ar-SA"/>
        </w:rPr>
        <w:fldChar w:fldCharType="separate"/>
      </w:r>
      <w:r>
        <w:rPr>
          <w:rFonts w:hint="default" w:ascii="Times New Roman" w:hAnsi="Times New Roman" w:eastAsia="仿宋_GB2312" w:cs="Times New Roman"/>
          <w:kern w:val="0"/>
          <w:sz w:val="32"/>
          <w:szCs w:val="32"/>
          <w:lang w:val="en-US" w:eastAsia="zh-CN" w:bidi="ar-SA"/>
        </w:rPr>
        <w:t>5</w:t>
      </w:r>
      <w:r>
        <w:rPr>
          <w:rFonts w:hint="default" w:ascii="Times New Roman" w:hAnsi="Times New Roman" w:eastAsia="仿宋_GB2312" w:cs="Times New Roman"/>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5"/>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_Toc12315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（三）一般公共预算当年拨款具体使用情况</w:t>
      </w:r>
      <w:r>
        <w:rPr>
          <w:rFonts w:hint="eastAsia" w:ascii="仿宋_GB2312" w:hAnsi="仿宋_GB2312" w:eastAsia="仿宋_GB2312" w:cs="仿宋_GB2312"/>
          <w:kern w:val="0"/>
          <w:sz w:val="32"/>
          <w:szCs w:val="32"/>
          <w:lang w:val="en-US" w:eastAsia="zh-CN" w:bidi="ar-SA"/>
        </w:rPr>
        <w:tab/>
      </w:r>
      <w:r>
        <w:rPr>
          <w:rFonts w:hint="default" w:ascii="Times New Roman" w:hAnsi="Times New Roman" w:eastAsia="仿宋_GB2312" w:cs="Times New Roman"/>
          <w:kern w:val="0"/>
          <w:sz w:val="32"/>
          <w:szCs w:val="32"/>
          <w:lang w:val="en-US" w:eastAsia="zh-CN" w:bidi="ar-SA"/>
        </w:rPr>
        <w:fldChar w:fldCharType="begin"/>
      </w:r>
      <w:r>
        <w:rPr>
          <w:rFonts w:hint="default" w:ascii="Times New Roman" w:hAnsi="Times New Roman" w:eastAsia="仿宋_GB2312" w:cs="Times New Roman"/>
          <w:kern w:val="0"/>
          <w:sz w:val="32"/>
          <w:szCs w:val="32"/>
          <w:lang w:val="en-US" w:eastAsia="zh-CN" w:bidi="ar-SA"/>
        </w:rPr>
        <w:instrText xml:space="preserve"> PAGEREF _Toc12315 </w:instrText>
      </w:r>
      <w:r>
        <w:rPr>
          <w:rFonts w:hint="default" w:ascii="Times New Roman" w:hAnsi="Times New Roman" w:eastAsia="仿宋_GB2312" w:cs="Times New Roman"/>
          <w:kern w:val="0"/>
          <w:sz w:val="32"/>
          <w:szCs w:val="32"/>
          <w:lang w:val="en-US" w:eastAsia="zh-CN" w:bidi="ar-SA"/>
        </w:rPr>
        <w:fldChar w:fldCharType="separate"/>
      </w:r>
      <w:r>
        <w:rPr>
          <w:rFonts w:hint="default" w:ascii="Times New Roman" w:hAnsi="Times New Roman" w:eastAsia="仿宋_GB2312" w:cs="Times New Roman"/>
          <w:kern w:val="0"/>
          <w:sz w:val="32"/>
          <w:szCs w:val="32"/>
          <w:lang w:val="en-US" w:eastAsia="zh-CN" w:bidi="ar-SA"/>
        </w:rPr>
        <w:t>5</w:t>
      </w:r>
      <w:r>
        <w:rPr>
          <w:rFonts w:hint="default" w:ascii="Times New Roman" w:hAnsi="Times New Roman" w:eastAsia="仿宋_GB2312" w:cs="Times New Roman"/>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1"/>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_Toc18201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六、一般公共预算基本支出情况说明</w:t>
      </w:r>
      <w:r>
        <w:rPr>
          <w:rFonts w:hint="eastAsia" w:ascii="仿宋_GB2312" w:hAnsi="仿宋_GB2312" w:eastAsia="仿宋_GB2312" w:cs="仿宋_GB2312"/>
          <w:kern w:val="0"/>
          <w:sz w:val="32"/>
          <w:szCs w:val="32"/>
          <w:lang w:val="en-US" w:eastAsia="zh-CN" w:bidi="ar-SA"/>
        </w:rPr>
        <w:tab/>
      </w:r>
      <w:r>
        <w:rPr>
          <w:rFonts w:hint="default" w:ascii="Times New Roman" w:hAnsi="Times New Roman" w:eastAsia="仿宋_GB2312" w:cs="Times New Roman"/>
          <w:kern w:val="0"/>
          <w:sz w:val="32"/>
          <w:szCs w:val="32"/>
          <w:lang w:val="en-US" w:eastAsia="zh-CN" w:bidi="ar-SA"/>
        </w:rPr>
        <w:fldChar w:fldCharType="begin"/>
      </w:r>
      <w:r>
        <w:rPr>
          <w:rFonts w:hint="default" w:ascii="Times New Roman" w:hAnsi="Times New Roman" w:eastAsia="仿宋_GB2312" w:cs="Times New Roman"/>
          <w:kern w:val="0"/>
          <w:sz w:val="32"/>
          <w:szCs w:val="32"/>
          <w:lang w:val="en-US" w:eastAsia="zh-CN" w:bidi="ar-SA"/>
        </w:rPr>
        <w:instrText xml:space="preserve"> PAGEREF _Toc18201 </w:instrText>
      </w:r>
      <w:r>
        <w:rPr>
          <w:rFonts w:hint="default" w:ascii="Times New Roman" w:hAnsi="Times New Roman" w:eastAsia="仿宋_GB2312" w:cs="Times New Roman"/>
          <w:kern w:val="0"/>
          <w:sz w:val="32"/>
          <w:szCs w:val="32"/>
          <w:lang w:val="en-US" w:eastAsia="zh-CN" w:bidi="ar-SA"/>
        </w:rPr>
        <w:fldChar w:fldCharType="separate"/>
      </w:r>
      <w:r>
        <w:rPr>
          <w:rFonts w:hint="default" w:ascii="Times New Roman" w:hAnsi="Times New Roman" w:eastAsia="仿宋_GB2312" w:cs="Times New Roman"/>
          <w:kern w:val="0"/>
          <w:sz w:val="32"/>
          <w:szCs w:val="32"/>
          <w:lang w:val="en-US" w:eastAsia="zh-CN" w:bidi="ar-SA"/>
        </w:rPr>
        <w:t>8</w:t>
      </w:r>
      <w:r>
        <w:rPr>
          <w:rFonts w:hint="default" w:ascii="Times New Roman" w:hAnsi="Times New Roman" w:eastAsia="仿宋_GB2312" w:cs="Times New Roman"/>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1"/>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_Toc22103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七、“三公”经费财政拨款预算安排情况说明</w:t>
      </w:r>
      <w:r>
        <w:rPr>
          <w:rFonts w:hint="eastAsia" w:ascii="仿宋_GB2312" w:hAnsi="仿宋_GB2312" w:eastAsia="仿宋_GB2312" w:cs="仿宋_GB2312"/>
          <w:kern w:val="0"/>
          <w:sz w:val="32"/>
          <w:szCs w:val="32"/>
          <w:lang w:val="en-US" w:eastAsia="zh-CN" w:bidi="ar-SA"/>
        </w:rPr>
        <w:tab/>
      </w:r>
      <w:r>
        <w:rPr>
          <w:rFonts w:hint="default" w:ascii="Times New Roman" w:hAnsi="Times New Roman" w:eastAsia="仿宋_GB2312" w:cs="Times New Roman"/>
          <w:kern w:val="0"/>
          <w:sz w:val="32"/>
          <w:szCs w:val="32"/>
          <w:lang w:val="en-US" w:eastAsia="zh-CN" w:bidi="ar-SA"/>
        </w:rPr>
        <w:fldChar w:fldCharType="begin"/>
      </w:r>
      <w:r>
        <w:rPr>
          <w:rFonts w:hint="default" w:ascii="Times New Roman" w:hAnsi="Times New Roman" w:eastAsia="仿宋_GB2312" w:cs="Times New Roman"/>
          <w:kern w:val="0"/>
          <w:sz w:val="32"/>
          <w:szCs w:val="32"/>
          <w:lang w:val="en-US" w:eastAsia="zh-CN" w:bidi="ar-SA"/>
        </w:rPr>
        <w:instrText xml:space="preserve"> PAGEREF _Toc22103 </w:instrText>
      </w:r>
      <w:r>
        <w:rPr>
          <w:rFonts w:hint="default" w:ascii="Times New Roman" w:hAnsi="Times New Roman" w:eastAsia="仿宋_GB2312" w:cs="Times New Roman"/>
          <w:kern w:val="0"/>
          <w:sz w:val="32"/>
          <w:szCs w:val="32"/>
          <w:lang w:val="en-US" w:eastAsia="zh-CN" w:bidi="ar-SA"/>
        </w:rPr>
        <w:fldChar w:fldCharType="separate"/>
      </w:r>
      <w:r>
        <w:rPr>
          <w:rFonts w:hint="default" w:ascii="Times New Roman" w:hAnsi="Times New Roman" w:eastAsia="仿宋_GB2312" w:cs="Times New Roman"/>
          <w:kern w:val="0"/>
          <w:sz w:val="32"/>
          <w:szCs w:val="32"/>
          <w:lang w:val="en-US" w:eastAsia="zh-CN" w:bidi="ar-SA"/>
        </w:rPr>
        <w:t>8</w:t>
      </w:r>
      <w:r>
        <w:rPr>
          <w:rFonts w:hint="default" w:ascii="Times New Roman" w:hAnsi="Times New Roman" w:eastAsia="仿宋_GB2312" w:cs="Times New Roman"/>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1"/>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_Toc19110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八、政府性基金预算支出情况说明</w:t>
      </w:r>
      <w:r>
        <w:rPr>
          <w:rFonts w:hint="eastAsia" w:ascii="仿宋_GB2312" w:hAnsi="仿宋_GB2312" w:eastAsia="仿宋_GB2312" w:cs="仿宋_GB2312"/>
          <w:kern w:val="0"/>
          <w:sz w:val="32"/>
          <w:szCs w:val="32"/>
          <w:lang w:val="en-US" w:eastAsia="zh-CN" w:bidi="ar-SA"/>
        </w:rPr>
        <w:tab/>
      </w:r>
      <w:r>
        <w:rPr>
          <w:rFonts w:hint="default" w:ascii="Times New Roman" w:hAnsi="Times New Roman" w:eastAsia="仿宋_GB2312" w:cs="Times New Roman"/>
          <w:kern w:val="0"/>
          <w:sz w:val="32"/>
          <w:szCs w:val="32"/>
          <w:lang w:val="en-US" w:eastAsia="zh-CN" w:bidi="ar-SA"/>
        </w:rPr>
        <w:fldChar w:fldCharType="begin"/>
      </w:r>
      <w:r>
        <w:rPr>
          <w:rFonts w:hint="default" w:ascii="Times New Roman" w:hAnsi="Times New Roman" w:eastAsia="仿宋_GB2312" w:cs="Times New Roman"/>
          <w:kern w:val="0"/>
          <w:sz w:val="32"/>
          <w:szCs w:val="32"/>
          <w:lang w:val="en-US" w:eastAsia="zh-CN" w:bidi="ar-SA"/>
        </w:rPr>
        <w:instrText xml:space="preserve"> PAGEREF _Toc19110 </w:instrText>
      </w:r>
      <w:r>
        <w:rPr>
          <w:rFonts w:hint="default" w:ascii="Times New Roman" w:hAnsi="Times New Roman" w:eastAsia="仿宋_GB2312" w:cs="Times New Roman"/>
          <w:kern w:val="0"/>
          <w:sz w:val="32"/>
          <w:szCs w:val="32"/>
          <w:lang w:val="en-US" w:eastAsia="zh-CN" w:bidi="ar-SA"/>
        </w:rPr>
        <w:fldChar w:fldCharType="separate"/>
      </w:r>
      <w:r>
        <w:rPr>
          <w:rFonts w:hint="default" w:ascii="Times New Roman" w:hAnsi="Times New Roman" w:eastAsia="仿宋_GB2312" w:cs="Times New Roman"/>
          <w:kern w:val="0"/>
          <w:sz w:val="32"/>
          <w:szCs w:val="32"/>
          <w:lang w:val="en-US" w:eastAsia="zh-CN" w:bidi="ar-SA"/>
        </w:rPr>
        <w:t>8</w:t>
      </w:r>
      <w:r>
        <w:rPr>
          <w:rFonts w:hint="default" w:ascii="Times New Roman" w:hAnsi="Times New Roman" w:eastAsia="仿宋_GB2312" w:cs="Times New Roman"/>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5"/>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_Toc9078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（一）机关运行经费</w:t>
      </w:r>
      <w:r>
        <w:rPr>
          <w:rFonts w:hint="eastAsia" w:ascii="仿宋_GB2312" w:hAnsi="仿宋_GB2312" w:eastAsia="仿宋_GB2312" w:cs="仿宋_GB2312"/>
          <w:kern w:val="0"/>
          <w:sz w:val="32"/>
          <w:szCs w:val="32"/>
          <w:lang w:val="en-US" w:eastAsia="zh-CN" w:bidi="ar-SA"/>
        </w:rPr>
        <w:tab/>
      </w: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PAGEREF _Toc9078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9</w:t>
      </w:r>
      <w:r>
        <w:rPr>
          <w:rFonts w:hint="eastAsia" w:ascii="仿宋_GB2312" w:hAnsi="仿宋_GB2312" w:eastAsia="仿宋_GB2312" w:cs="仿宋_GB2312"/>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5"/>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_Toc12094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（二）政府采购情况</w:t>
      </w:r>
      <w:r>
        <w:rPr>
          <w:rFonts w:hint="eastAsia" w:ascii="仿宋_GB2312" w:hAnsi="仿宋_GB2312" w:eastAsia="仿宋_GB2312" w:cs="仿宋_GB2312"/>
          <w:kern w:val="0"/>
          <w:sz w:val="32"/>
          <w:szCs w:val="32"/>
          <w:lang w:val="en-US" w:eastAsia="zh-CN" w:bidi="ar-SA"/>
        </w:rPr>
        <w:tab/>
      </w: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PAGEREF _Toc12094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9</w:t>
      </w:r>
      <w:r>
        <w:rPr>
          <w:rFonts w:hint="eastAsia" w:ascii="仿宋_GB2312" w:hAnsi="仿宋_GB2312" w:eastAsia="仿宋_GB2312" w:cs="仿宋_GB2312"/>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5"/>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_Toc10047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（三）国有资产占有使用情况</w:t>
      </w:r>
      <w:r>
        <w:rPr>
          <w:rFonts w:hint="eastAsia" w:ascii="仿宋_GB2312" w:hAnsi="仿宋_GB2312" w:eastAsia="仿宋_GB2312" w:cs="仿宋_GB2312"/>
          <w:kern w:val="0"/>
          <w:sz w:val="32"/>
          <w:szCs w:val="32"/>
          <w:lang w:val="en-US" w:eastAsia="zh-CN" w:bidi="ar-SA"/>
        </w:rPr>
        <w:tab/>
      </w: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PAGEREF _Toc10047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9</w:t>
      </w:r>
      <w:r>
        <w:rPr>
          <w:rFonts w:hint="eastAsia" w:ascii="仿宋_GB2312" w:hAnsi="仿宋_GB2312" w:eastAsia="仿宋_GB2312" w:cs="仿宋_GB2312"/>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5"/>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_Toc3100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（四） 绩效目标设置情况</w:t>
      </w:r>
      <w:r>
        <w:rPr>
          <w:rFonts w:hint="eastAsia" w:ascii="仿宋_GB2312" w:hAnsi="仿宋_GB2312" w:eastAsia="仿宋_GB2312" w:cs="仿宋_GB2312"/>
          <w:kern w:val="0"/>
          <w:sz w:val="32"/>
          <w:szCs w:val="32"/>
          <w:lang w:val="en-US" w:eastAsia="zh-CN" w:bidi="ar-SA"/>
        </w:rPr>
        <w:tab/>
      </w: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PAGEREF _Toc3100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9</w:t>
      </w:r>
      <w:r>
        <w:rPr>
          <w:rFonts w:hint="eastAsia" w:ascii="仿宋_GB2312" w:hAnsi="仿宋_GB2312" w:eastAsia="仿宋_GB2312" w:cs="仿宋_GB2312"/>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pStyle w:val="21"/>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_Toc27539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九、其他重要事项的情况说明...</w:t>
      </w:r>
      <w:r>
        <w:rPr>
          <w:rFonts w:hint="eastAsia" w:ascii="仿宋_GB2312" w:hAnsi="仿宋_GB2312" w:eastAsia="仿宋_GB2312" w:cs="仿宋_GB2312"/>
          <w:kern w:val="0"/>
          <w:sz w:val="32"/>
          <w:szCs w:val="32"/>
          <w:lang w:val="en-US" w:eastAsia="zh-CN" w:bidi="ar-SA"/>
        </w:rPr>
        <w:tab/>
      </w:r>
      <w:r>
        <w:rPr>
          <w:rFonts w:hint="eastAsia" w:ascii="仿宋_GB2312" w:hAnsi="仿宋_GB2312" w:eastAsia="仿宋_GB2312" w:cs="仿宋_GB2312"/>
          <w:kern w:val="0"/>
          <w:sz w:val="32"/>
          <w:szCs w:val="32"/>
          <w:lang w:val="en-US" w:eastAsia="zh-CN" w:bidi="ar-SA"/>
        </w:rPr>
        <w:t>9</w:t>
      </w:r>
      <w:r>
        <w:rPr>
          <w:rFonts w:hint="eastAsia" w:ascii="仿宋_GB2312" w:hAnsi="仿宋_GB2312" w:eastAsia="仿宋_GB2312" w:cs="仿宋_GB2312"/>
          <w:kern w:val="0"/>
          <w:sz w:val="32"/>
          <w:szCs w:val="32"/>
          <w:lang w:val="en-US" w:eastAsia="zh-CN" w:bidi="ar-SA"/>
        </w:rPr>
        <w:fldChar w:fldCharType="end"/>
      </w:r>
    </w:p>
    <w:p>
      <w:pPr>
        <w:pStyle w:val="21"/>
        <w:tabs>
          <w:tab w:val="right" w:leader="dot" w:pos="8306"/>
        </w:tabs>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HYPERLINK \l _Toc23064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十、名词解释</w:t>
      </w:r>
      <w:r>
        <w:rPr>
          <w:rFonts w:hint="eastAsia" w:ascii="仿宋_GB2312" w:hAnsi="仿宋_GB2312" w:eastAsia="仿宋_GB2312" w:cs="仿宋_GB2312"/>
          <w:kern w:val="0"/>
          <w:sz w:val="32"/>
          <w:szCs w:val="32"/>
          <w:lang w:val="en-US" w:eastAsia="zh-CN" w:bidi="ar-SA"/>
        </w:rPr>
        <w:tab/>
      </w:r>
      <w:r>
        <w:rPr>
          <w:rFonts w:hint="eastAsia" w:ascii="仿宋_GB2312" w:hAnsi="仿宋_GB2312" w:eastAsia="仿宋_GB2312" w:cs="仿宋_GB2312"/>
          <w:kern w:val="0"/>
          <w:sz w:val="32"/>
          <w:szCs w:val="32"/>
          <w:lang w:val="en-US" w:eastAsia="zh-CN" w:bidi="ar-SA"/>
        </w:rPr>
        <w:fldChar w:fldCharType="begin"/>
      </w:r>
      <w:r>
        <w:rPr>
          <w:rFonts w:hint="eastAsia" w:ascii="仿宋_GB2312" w:hAnsi="仿宋_GB2312" w:eastAsia="仿宋_GB2312" w:cs="仿宋_GB2312"/>
          <w:kern w:val="0"/>
          <w:sz w:val="32"/>
          <w:szCs w:val="32"/>
          <w:lang w:val="en-US" w:eastAsia="zh-CN" w:bidi="ar-SA"/>
        </w:rPr>
        <w:instrText xml:space="preserve"> PAGEREF _Toc23064 </w:instrText>
      </w:r>
      <w:r>
        <w:rPr>
          <w:rFonts w:hint="eastAsia" w:ascii="仿宋_GB2312" w:hAnsi="仿宋_GB2312" w:eastAsia="仿宋_GB2312" w:cs="仿宋_GB2312"/>
          <w:kern w:val="0"/>
          <w:sz w:val="32"/>
          <w:szCs w:val="32"/>
          <w:lang w:val="en-US" w:eastAsia="zh-CN" w:bidi="ar-SA"/>
        </w:rPr>
        <w:fldChar w:fldCharType="separate"/>
      </w:r>
      <w:r>
        <w:rPr>
          <w:rFonts w:hint="eastAsia" w:ascii="仿宋_GB2312" w:hAnsi="仿宋_GB2312" w:eastAsia="仿宋_GB2312" w:cs="仿宋_GB2312"/>
          <w:kern w:val="0"/>
          <w:sz w:val="32"/>
          <w:szCs w:val="32"/>
          <w:lang w:val="en-US" w:eastAsia="zh-CN" w:bidi="ar-SA"/>
        </w:rPr>
        <w:t>9</w:t>
      </w:r>
      <w:r>
        <w:rPr>
          <w:rFonts w:hint="eastAsia" w:ascii="仿宋_GB2312" w:hAnsi="仿宋_GB2312" w:eastAsia="仿宋_GB2312" w:cs="仿宋_GB2312"/>
          <w:kern w:val="0"/>
          <w:sz w:val="32"/>
          <w:szCs w:val="32"/>
          <w:lang w:val="en-US" w:eastAsia="zh-CN" w:bidi="ar-SA"/>
        </w:rPr>
        <w:fldChar w:fldCharType="end"/>
      </w:r>
      <w:r>
        <w:rPr>
          <w:rFonts w:hint="eastAsia" w:ascii="仿宋_GB2312" w:hAnsi="仿宋_GB2312" w:eastAsia="仿宋_GB2312" w:cs="仿宋_GB2312"/>
          <w:kern w:val="0"/>
          <w:sz w:val="32"/>
          <w:szCs w:val="32"/>
          <w:lang w:val="en-US" w:eastAsia="zh-CN" w:bidi="ar-SA"/>
        </w:rPr>
        <w:fldChar w:fldCharType="end"/>
      </w:r>
    </w:p>
    <w:p>
      <w:pPr>
        <w:rPr>
          <w:rFonts w:ascii="黑体" w:hAnsi="黑体" w:eastAsia="黑体" w:cs="Times New Roman"/>
          <w:sz w:val="32"/>
          <w:szCs w:val="32"/>
        </w:rPr>
      </w:pPr>
      <w:r>
        <w:rPr>
          <w:rFonts w:hint="eastAsia" w:ascii="仿宋_GB2312" w:hAnsi="仿宋_GB2312" w:eastAsia="仿宋_GB2312" w:cs="仿宋_GB2312"/>
          <w:kern w:val="0"/>
          <w:sz w:val="32"/>
          <w:szCs w:val="32"/>
          <w:lang w:val="en-US" w:eastAsia="zh-CN" w:bidi="ar-SA"/>
        </w:rPr>
        <w:fldChar w:fldCharType="end"/>
      </w:r>
    </w:p>
    <w:p>
      <w:pPr>
        <w:pStyle w:val="23"/>
        <w:numPr>
          <w:ilvl w:val="0"/>
          <w:numId w:val="0"/>
        </w:numPr>
        <w:spacing w:before="0" w:line="360" w:lineRule="auto"/>
        <w:ind w:firstLine="640" w:firstLineChars="200"/>
        <w:outlineLvl w:val="0"/>
        <w:rPr>
          <w:rFonts w:hint="eastAsia" w:ascii="黑体" w:hAnsi="黑体" w:eastAsia="黑体" w:cs="黑体"/>
          <w:kern w:val="2"/>
          <w:sz w:val="32"/>
          <w:szCs w:val="32"/>
        </w:rPr>
      </w:pPr>
      <w:bookmarkStart w:id="0" w:name="_Toc1876"/>
      <w:r>
        <w:rPr>
          <w:rFonts w:hint="eastAsia" w:ascii="黑体" w:hAnsi="黑体" w:eastAsia="黑体" w:cs="黑体"/>
          <w:kern w:val="2"/>
          <w:sz w:val="32"/>
          <w:szCs w:val="32"/>
          <w:lang w:eastAsia="zh-CN"/>
        </w:rPr>
        <w:t>一、</w:t>
      </w:r>
      <w:r>
        <w:rPr>
          <w:rFonts w:hint="eastAsia" w:ascii="黑体" w:hAnsi="黑体" w:eastAsia="黑体" w:cs="黑体"/>
          <w:kern w:val="2"/>
          <w:sz w:val="32"/>
          <w:szCs w:val="32"/>
        </w:rPr>
        <w:t>基本职能及主要工作</w:t>
      </w:r>
      <w:bookmarkEnd w:id="0"/>
    </w:p>
    <w:p>
      <w:pPr>
        <w:pStyle w:val="23"/>
        <w:numPr>
          <w:ilvl w:val="0"/>
          <w:numId w:val="0"/>
        </w:numPr>
        <w:spacing w:before="0" w:line="360" w:lineRule="auto"/>
        <w:ind w:firstLine="643" w:firstLineChars="200"/>
        <w:outlineLvl w:val="1"/>
        <w:rPr>
          <w:rFonts w:hint="eastAsia" w:ascii="楷体_GB2312" w:hAnsi="黑体" w:eastAsia="楷体_GB2312" w:cs="楷体_GB2312"/>
          <w:b/>
          <w:bCs/>
          <w:kern w:val="2"/>
          <w:sz w:val="32"/>
          <w:szCs w:val="32"/>
        </w:rPr>
      </w:pPr>
      <w:bookmarkStart w:id="1" w:name="_Toc29465"/>
      <w:r>
        <w:rPr>
          <w:rFonts w:hint="eastAsia" w:ascii="楷体_GB2312" w:hAnsi="黑体" w:eastAsia="楷体_GB2312" w:cs="楷体_GB2312"/>
          <w:b/>
          <w:bCs/>
          <w:kern w:val="2"/>
          <w:sz w:val="32"/>
          <w:szCs w:val="32"/>
          <w:lang w:eastAsia="zh-CN"/>
        </w:rPr>
        <w:t>（一）</w:t>
      </w:r>
      <w:r>
        <w:rPr>
          <w:rFonts w:hint="eastAsia" w:ascii="楷体_GB2312" w:hAnsi="黑体" w:eastAsia="楷体_GB2312" w:cs="楷体_GB2312"/>
          <w:b/>
          <w:bCs/>
          <w:kern w:val="2"/>
          <w:sz w:val="32"/>
          <w:szCs w:val="32"/>
        </w:rPr>
        <w:t>壤塘县退役军人事务局职能简介</w:t>
      </w:r>
      <w:bookmarkEnd w:id="1"/>
      <w:bookmarkStart w:id="2" w:name="_Toc54685342"/>
    </w:p>
    <w:p>
      <w:pPr>
        <w:pStyle w:val="23"/>
        <w:numPr>
          <w:ilvl w:val="0"/>
          <w:numId w:val="0"/>
        </w:numPr>
        <w:spacing w:before="0" w:line="360" w:lineRule="auto"/>
        <w:ind w:firstLine="640" w:firstLineChars="200"/>
        <w:outlineLvl w:val="9"/>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贯彻执行党和国家关于退役军人思想政治、管理保障和安置优抚等工作政策法规，起草有关地方性法规、规章草案，拟订全县退役军人事务发展规划和政策，并组织实施；褒扬彰显退役军人为党、国家和人民牺牲奉献的精神风范和价值导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lang w:val="en-US" w:eastAsia="zh-CN"/>
        </w:rPr>
        <w:t>、负责全县军队转业干部、复员干部、离休退休干部、退役士兵和无军籍退休退职职工的移交安置工作和自主择业、就业退役军人服务管理工作。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lang w:val="en-US" w:eastAsia="zh-CN"/>
        </w:rPr>
        <w:t>、组织指导全县退役军人教育培训工作，协调扶持退役军人和随军随调家属就业创业。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4</w:t>
      </w:r>
      <w:r>
        <w:rPr>
          <w:rFonts w:hint="eastAsia" w:ascii="仿宋_GB2312" w:hAnsi="仿宋_GB2312" w:eastAsia="仿宋_GB2312" w:cs="仿宋_GB2312"/>
          <w:sz w:val="32"/>
          <w:szCs w:val="32"/>
          <w:lang w:val="en-US" w:eastAsia="zh-CN"/>
        </w:rPr>
        <w:t>、贯彻落实国家关于退役军人的特殊保障政策，会同有关部门制定我省相关政策，并组织实施。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lang w:val="en-US" w:eastAsia="zh-CN"/>
        </w:rPr>
        <w:t>、组织协调落实全县移交地方的离休退休军人、符合条件</w:t>
      </w:r>
      <w:r>
        <w:rPr>
          <w:rFonts w:hint="eastAsia" w:ascii="仿宋_GB2312" w:hAnsi="仿宋_GB2312" w:eastAsia="仿宋_GB2312" w:cs="仿宋_GB2312"/>
          <w:kern w:val="0"/>
          <w:sz w:val="32"/>
          <w:szCs w:val="32"/>
          <w:lang w:val="en-US" w:eastAsia="zh-CN" w:bidi="ar-SA"/>
        </w:rPr>
        <w:t>的其他退役军人和无军籍退休退职职工的住房保障工</w:t>
      </w:r>
      <w:r>
        <w:rPr>
          <w:rFonts w:hint="eastAsia" w:ascii="仿宋_GB2312" w:hAnsi="仿宋_GB2312" w:eastAsia="仿宋_GB2312" w:cs="仿宋_GB2312"/>
          <w:sz w:val="32"/>
          <w:szCs w:val="32"/>
          <w:lang w:val="en-US" w:eastAsia="zh-CN"/>
        </w:rPr>
        <w:t>作，以及退役军人医疗保障、社会保险等待遇保障工作。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6</w:t>
      </w:r>
      <w:r>
        <w:rPr>
          <w:rFonts w:hint="eastAsia" w:ascii="仿宋_GB2312" w:hAnsi="仿宋_GB2312" w:eastAsia="仿宋_GB2312" w:cs="仿宋_GB2312"/>
          <w:sz w:val="32"/>
          <w:szCs w:val="32"/>
          <w:lang w:val="en-US" w:eastAsia="zh-CN"/>
        </w:rPr>
        <w:t>、组织指导全县伤病残退役军人服务管理和抚恤工作，贯彻落实退役军人医疗、疗养、养老等机构的规划政策并指导实施。承担全县不适宜继续服役的伤病残军人相关工作。组织指导全县军供服务保障工作。</w:t>
      </w:r>
    </w:p>
    <w:bookmarkEnd w:id="2"/>
    <w:p>
      <w:pPr>
        <w:pStyle w:val="23"/>
        <w:numPr>
          <w:ilvl w:val="0"/>
          <w:numId w:val="0"/>
        </w:numPr>
        <w:spacing w:before="0" w:line="360" w:lineRule="auto"/>
        <w:ind w:firstLine="643" w:firstLineChars="200"/>
        <w:outlineLvl w:val="1"/>
        <w:rPr>
          <w:rFonts w:hint="eastAsia" w:ascii="楷体_GB2312" w:hAnsi="黑体" w:eastAsia="楷体_GB2312" w:cs="楷体_GB2312"/>
          <w:b/>
          <w:bCs/>
          <w:kern w:val="2"/>
          <w:sz w:val="32"/>
          <w:szCs w:val="32"/>
        </w:rPr>
      </w:pPr>
      <w:bookmarkStart w:id="3" w:name="_Toc3882"/>
      <w:r>
        <w:rPr>
          <w:rFonts w:hint="eastAsia" w:ascii="楷体_GB2312" w:hAnsi="黑体" w:eastAsia="楷体_GB2312" w:cs="楷体_GB2312"/>
          <w:b/>
          <w:bCs/>
          <w:kern w:val="2"/>
          <w:sz w:val="32"/>
          <w:szCs w:val="32"/>
        </w:rPr>
        <w:t>（二）壤塘县退役军人事务局</w:t>
      </w:r>
      <w:r>
        <w:rPr>
          <w:rFonts w:hint="default" w:ascii="Times New Roman" w:hAnsi="Times New Roman" w:eastAsia="楷体_GB2312" w:cs="Times New Roman"/>
          <w:b/>
          <w:bCs/>
          <w:kern w:val="2"/>
          <w:sz w:val="32"/>
          <w:szCs w:val="32"/>
        </w:rPr>
        <w:t>202</w:t>
      </w:r>
      <w:r>
        <w:rPr>
          <w:rFonts w:hint="default" w:ascii="Times New Roman" w:hAnsi="Times New Roman" w:eastAsia="楷体_GB2312" w:cs="Times New Roman"/>
          <w:b/>
          <w:bCs/>
          <w:kern w:val="2"/>
          <w:sz w:val="32"/>
          <w:szCs w:val="32"/>
          <w:lang w:val="en-US" w:eastAsia="zh-CN"/>
        </w:rPr>
        <w:t>2</w:t>
      </w:r>
      <w:r>
        <w:rPr>
          <w:rFonts w:hint="eastAsia" w:ascii="楷体_GB2312" w:hAnsi="黑体" w:eastAsia="楷体_GB2312" w:cs="楷体_GB2312"/>
          <w:b/>
          <w:bCs/>
          <w:kern w:val="2"/>
          <w:sz w:val="32"/>
          <w:szCs w:val="32"/>
        </w:rPr>
        <w:t>年重点工作</w:t>
      </w:r>
      <w:bookmarkEnd w:id="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2022</w:t>
      </w:r>
      <w:r>
        <w:rPr>
          <w:rFonts w:hint="eastAsia" w:ascii="仿宋_GB2312" w:hAnsi="仿宋_GB2312" w:eastAsia="仿宋_GB2312" w:cs="仿宋_GB2312"/>
          <w:sz w:val="32"/>
          <w:szCs w:val="32"/>
          <w:lang w:val="en-US" w:eastAsia="zh-CN"/>
        </w:rPr>
        <w:t>年，我们将在县委、县政府的坚强领导下，以健全退役军人服务保障体系为基础，紧紧围绕退役军人的“所思、所想、所盼”，在退役军人教育管理、安置就业、优待抚恤、尊崇褒扬、维护权益、服务保障等方面精准发力，全力推进壤塘退役军人事务。全力做好</w:t>
      </w:r>
      <w:r>
        <w:rPr>
          <w:rFonts w:hint="default" w:ascii="Times New Roman" w:hAnsi="Times New Roman" w:eastAsia="仿宋_GB2312" w:cs="Times New Roman"/>
          <w:sz w:val="32"/>
          <w:szCs w:val="32"/>
          <w:lang w:val="en-US" w:eastAsia="zh-CN"/>
        </w:rPr>
        <w:t>2022</w:t>
      </w:r>
      <w:r>
        <w:rPr>
          <w:rFonts w:hint="eastAsia" w:ascii="仿宋_GB2312" w:hAnsi="仿宋_GB2312" w:eastAsia="仿宋_GB2312" w:cs="仿宋_GB2312"/>
          <w:sz w:val="32"/>
          <w:szCs w:val="32"/>
          <w:lang w:val="en-US" w:eastAsia="zh-CN"/>
        </w:rPr>
        <w:t>年退役军人思想建设、能力提升、就业创业、优抚安置、双拥工作、信访化解等常规性工作。</w:t>
      </w:r>
    </w:p>
    <w:p>
      <w:pPr>
        <w:pStyle w:val="4"/>
        <w:numPr>
          <w:ilvl w:val="0"/>
          <w:numId w:val="0"/>
        </w:numPr>
        <w:adjustRightInd w:val="0"/>
        <w:snapToGrid w:val="0"/>
        <w:spacing w:before="93" w:line="600" w:lineRule="exact"/>
        <w:ind w:leftChars="196" w:firstLine="640" w:firstLineChars="200"/>
        <w:outlineLvl w:val="0"/>
        <w:rPr>
          <w:rFonts w:hint="eastAsia" w:ascii="黑体" w:hAnsi="黑体" w:eastAsia="黑体" w:cs="黑体"/>
          <w:kern w:val="2"/>
          <w:sz w:val="32"/>
          <w:szCs w:val="32"/>
        </w:rPr>
      </w:pPr>
      <w:bookmarkStart w:id="4" w:name="_Toc8544"/>
      <w:r>
        <w:rPr>
          <w:rFonts w:hint="eastAsia" w:ascii="黑体" w:hAnsi="黑体" w:eastAsia="黑体" w:cs="黑体"/>
          <w:kern w:val="2"/>
          <w:sz w:val="32"/>
          <w:szCs w:val="32"/>
          <w:lang w:eastAsia="zh-CN"/>
        </w:rPr>
        <w:t>二、</w:t>
      </w:r>
      <w:r>
        <w:rPr>
          <w:rFonts w:hint="eastAsia" w:ascii="黑体" w:hAnsi="黑体" w:eastAsia="黑体" w:cs="黑体"/>
          <w:kern w:val="2"/>
          <w:sz w:val="32"/>
          <w:szCs w:val="32"/>
        </w:rPr>
        <w:t>部门预算单位构成</w:t>
      </w:r>
      <w:bookmarkEnd w:id="4"/>
    </w:p>
    <w:p>
      <w:pPr>
        <w:pStyle w:val="4"/>
        <w:numPr>
          <w:ilvl w:val="0"/>
          <w:numId w:val="0"/>
        </w:numPr>
        <w:adjustRightInd w:val="0"/>
        <w:snapToGrid w:val="0"/>
        <w:spacing w:before="93" w:line="600" w:lineRule="exact"/>
        <w:ind w:leftChars="196"/>
        <w:outlineLvl w:val="9"/>
        <w:rPr>
          <w:rFonts w:hAnsi="黑体" w:cs="仿宋_GB2312"/>
          <w:kern w:val="2"/>
          <w:sz w:val="32"/>
          <w:szCs w:val="32"/>
        </w:rPr>
      </w:pPr>
      <w:r>
        <w:rPr>
          <w:rFonts w:hint="eastAsia" w:hAnsi="黑体" w:cs="仿宋_GB2312"/>
          <w:kern w:val="2"/>
          <w:sz w:val="32"/>
          <w:szCs w:val="32"/>
          <w:lang w:val="en-US" w:eastAsia="zh-CN"/>
        </w:rPr>
        <w:t xml:space="preserve">  </w:t>
      </w:r>
      <w:r>
        <w:rPr>
          <w:rFonts w:hint="eastAsia" w:hAnsi="黑体" w:cs="仿宋_GB2312"/>
          <w:kern w:val="2"/>
          <w:sz w:val="32"/>
          <w:szCs w:val="32"/>
        </w:rPr>
        <w:t>退役军人事务局是一级预算单位，无下属二级预算单位。</w:t>
      </w:r>
    </w:p>
    <w:p>
      <w:pPr>
        <w:pStyle w:val="23"/>
        <w:numPr>
          <w:ilvl w:val="0"/>
          <w:numId w:val="0"/>
        </w:numPr>
        <w:spacing w:before="0" w:line="360" w:lineRule="auto"/>
        <w:ind w:leftChars="196" w:firstLine="640" w:firstLineChars="200"/>
        <w:outlineLvl w:val="0"/>
        <w:rPr>
          <w:rFonts w:hint="eastAsia" w:ascii="黑体" w:hAnsi="黑体" w:eastAsia="黑体" w:cs="黑体"/>
          <w:kern w:val="2"/>
          <w:sz w:val="32"/>
          <w:szCs w:val="32"/>
        </w:rPr>
      </w:pPr>
      <w:bookmarkStart w:id="5" w:name="_Toc32511"/>
      <w:r>
        <w:rPr>
          <w:rFonts w:hint="eastAsia" w:ascii="黑体" w:hAnsi="黑体" w:eastAsia="黑体" w:cs="黑体"/>
          <w:kern w:val="2"/>
          <w:sz w:val="32"/>
          <w:szCs w:val="32"/>
          <w:lang w:eastAsia="zh-CN"/>
        </w:rPr>
        <w:t>三、</w:t>
      </w:r>
      <w:r>
        <w:rPr>
          <w:rFonts w:hint="eastAsia" w:ascii="黑体" w:hAnsi="黑体" w:eastAsia="黑体" w:cs="黑体"/>
          <w:kern w:val="2"/>
          <w:sz w:val="32"/>
          <w:szCs w:val="32"/>
        </w:rPr>
        <w:t>收支预算情况说明</w:t>
      </w:r>
      <w:bookmarkEnd w:id="5"/>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0" w:firstLineChars="200"/>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按照综合预算的原则，壤塘县退役军人事务局所有收入和支出均纳入部门预算管理。收入包括：一般公共预算拨款收入</w:t>
      </w:r>
      <w:r>
        <w:rPr>
          <w:rFonts w:hint="default" w:ascii="Times New Roman" w:hAnsi="Times New Roman" w:eastAsia="仿宋_GB2312" w:cs="Times New Roman"/>
          <w:kern w:val="2"/>
          <w:sz w:val="32"/>
          <w:szCs w:val="32"/>
          <w:lang w:val="en-US" w:eastAsia="zh-CN" w:bidi="ar-SA"/>
        </w:rPr>
        <w:t>304</w:t>
      </w:r>
      <w:r>
        <w:rPr>
          <w:rFonts w:hint="eastAsia" w:ascii="仿宋_GB2312" w:hAnsi="仿宋_GB2312" w:eastAsia="仿宋_GB2312" w:cs="仿宋_GB2312"/>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93</w:t>
      </w:r>
      <w:r>
        <w:rPr>
          <w:rFonts w:hint="eastAsia" w:ascii="仿宋_GB2312" w:hAnsi="仿宋_GB2312" w:eastAsia="仿宋_GB2312" w:cs="仿宋_GB2312"/>
          <w:kern w:val="2"/>
          <w:sz w:val="32"/>
          <w:szCs w:val="32"/>
          <w:lang w:val="en-US" w:eastAsia="zh-CN" w:bidi="ar-SA"/>
        </w:rPr>
        <w:t>万元，；支出包括：社会保障和就业支出</w:t>
      </w:r>
      <w:r>
        <w:rPr>
          <w:rFonts w:hint="default" w:ascii="Times New Roman" w:hAnsi="Times New Roman" w:eastAsia="仿宋_GB2312" w:cs="Times New Roman"/>
          <w:kern w:val="2"/>
          <w:sz w:val="32"/>
          <w:szCs w:val="32"/>
          <w:lang w:val="en-US" w:eastAsia="zh-CN" w:bidi="ar-SA"/>
        </w:rPr>
        <w:t>285</w:t>
      </w:r>
      <w:r>
        <w:rPr>
          <w:rFonts w:hint="eastAsia" w:ascii="仿宋_GB2312" w:hAnsi="仿宋_GB2312" w:eastAsia="仿宋_GB2312" w:cs="仿宋_GB2312"/>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16</w:t>
      </w:r>
      <w:r>
        <w:rPr>
          <w:rFonts w:hint="eastAsia" w:ascii="仿宋_GB2312" w:hAnsi="仿宋_GB2312" w:eastAsia="仿宋_GB2312" w:cs="仿宋_GB2312"/>
          <w:kern w:val="2"/>
          <w:sz w:val="32"/>
          <w:szCs w:val="32"/>
          <w:lang w:val="en-US" w:eastAsia="zh-CN" w:bidi="ar-SA"/>
        </w:rPr>
        <w:t>万元，卫生健康支出</w:t>
      </w:r>
      <w:r>
        <w:rPr>
          <w:rFonts w:hint="default" w:ascii="Times New Roman" w:hAnsi="Times New Roman" w:eastAsia="仿宋_GB2312" w:cs="Times New Roman"/>
          <w:kern w:val="2"/>
          <w:sz w:val="32"/>
          <w:szCs w:val="32"/>
          <w:lang w:val="en-US" w:eastAsia="zh-CN" w:bidi="ar-SA"/>
        </w:rPr>
        <w:t>7</w:t>
      </w:r>
      <w:r>
        <w:rPr>
          <w:rFonts w:hint="eastAsia" w:ascii="仿宋_GB2312" w:hAnsi="仿宋_GB2312" w:eastAsia="仿宋_GB2312" w:cs="仿宋_GB2312"/>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12</w:t>
      </w:r>
      <w:r>
        <w:rPr>
          <w:rFonts w:hint="eastAsia" w:ascii="仿宋_GB2312" w:hAnsi="仿宋_GB2312" w:eastAsia="仿宋_GB2312" w:cs="仿宋_GB2312"/>
          <w:kern w:val="2"/>
          <w:sz w:val="32"/>
          <w:szCs w:val="32"/>
          <w:lang w:val="en-US" w:eastAsia="zh-CN" w:bidi="ar-SA"/>
        </w:rPr>
        <w:t>万元，住房保障支出</w:t>
      </w:r>
      <w:r>
        <w:rPr>
          <w:rFonts w:hint="default" w:ascii="Times New Roman" w:hAnsi="Times New Roman" w:eastAsia="仿宋_GB2312" w:cs="Times New Roman"/>
          <w:kern w:val="2"/>
          <w:sz w:val="32"/>
          <w:szCs w:val="32"/>
          <w:lang w:val="en-US" w:eastAsia="zh-CN" w:bidi="ar-SA"/>
        </w:rPr>
        <w:t>12</w:t>
      </w:r>
      <w:r>
        <w:rPr>
          <w:rFonts w:hint="eastAsia" w:ascii="仿宋_GB2312" w:hAnsi="仿宋_GB2312" w:eastAsia="仿宋_GB2312" w:cs="仿宋_GB2312"/>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64</w:t>
      </w:r>
      <w:r>
        <w:rPr>
          <w:rFonts w:hint="eastAsia" w:ascii="仿宋_GB2312" w:hAnsi="仿宋_GB2312" w:eastAsia="仿宋_GB2312" w:cs="仿宋_GB2312"/>
          <w:kern w:val="2"/>
          <w:sz w:val="32"/>
          <w:szCs w:val="32"/>
          <w:lang w:val="en-US" w:eastAsia="zh-CN" w:bidi="ar-SA"/>
        </w:rPr>
        <w:t>万元。壤塘县退役军人事务局</w:t>
      </w:r>
      <w:r>
        <w:rPr>
          <w:rFonts w:hint="default" w:ascii="Times New Roman" w:hAnsi="Times New Roman" w:eastAsia="仿宋_GB2312" w:cs="Times New Roman"/>
          <w:kern w:val="2"/>
          <w:sz w:val="32"/>
          <w:szCs w:val="32"/>
          <w:lang w:val="en-US" w:eastAsia="zh-CN" w:bidi="ar-SA"/>
        </w:rPr>
        <w:t>2022</w:t>
      </w:r>
      <w:r>
        <w:rPr>
          <w:rFonts w:hint="eastAsia" w:ascii="仿宋_GB2312" w:hAnsi="仿宋_GB2312" w:eastAsia="仿宋_GB2312" w:cs="仿宋_GB2312"/>
          <w:kern w:val="2"/>
          <w:sz w:val="32"/>
          <w:szCs w:val="32"/>
          <w:lang w:val="en-US" w:eastAsia="zh-CN" w:bidi="ar-SA"/>
        </w:rPr>
        <w:t>年收支总预算</w:t>
      </w:r>
      <w:r>
        <w:rPr>
          <w:rFonts w:hint="default" w:ascii="Times New Roman" w:hAnsi="Times New Roman" w:eastAsia="仿宋_GB2312" w:cs="Times New Roman"/>
          <w:kern w:val="2"/>
          <w:sz w:val="32"/>
          <w:szCs w:val="32"/>
          <w:lang w:val="en-US" w:eastAsia="zh-CN" w:bidi="ar-SA"/>
        </w:rPr>
        <w:t>304</w:t>
      </w:r>
      <w:r>
        <w:rPr>
          <w:rFonts w:hint="eastAsia" w:ascii="仿宋_GB2312" w:hAnsi="仿宋_GB2312" w:eastAsia="仿宋_GB2312" w:cs="仿宋_GB2312"/>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93</w:t>
      </w:r>
      <w:r>
        <w:rPr>
          <w:rFonts w:hint="eastAsia" w:ascii="仿宋_GB2312" w:hAnsi="仿宋_GB2312" w:eastAsia="仿宋_GB2312" w:cs="仿宋_GB2312"/>
          <w:kern w:val="2"/>
          <w:sz w:val="32"/>
          <w:szCs w:val="32"/>
          <w:lang w:val="en-US" w:eastAsia="zh-CN" w:bidi="ar-SA"/>
        </w:rPr>
        <w:t>万元,　比</w:t>
      </w:r>
      <w:r>
        <w:rPr>
          <w:rFonts w:hint="default" w:ascii="Times New Roman" w:hAnsi="Times New Roman" w:eastAsia="仿宋_GB2312" w:cs="Times New Roman"/>
          <w:kern w:val="2"/>
          <w:sz w:val="32"/>
          <w:szCs w:val="32"/>
          <w:lang w:val="en-US" w:eastAsia="zh-CN" w:bidi="ar-SA"/>
        </w:rPr>
        <w:t>2021</w:t>
      </w:r>
      <w:r>
        <w:rPr>
          <w:rFonts w:hint="eastAsia" w:ascii="仿宋_GB2312" w:hAnsi="仿宋_GB2312" w:eastAsia="仿宋_GB2312" w:cs="仿宋_GB2312"/>
          <w:kern w:val="2"/>
          <w:sz w:val="32"/>
          <w:szCs w:val="32"/>
          <w:lang w:val="en-US" w:eastAsia="zh-CN" w:bidi="ar-SA"/>
        </w:rPr>
        <w:t>年收支预算总数增加</w:t>
      </w:r>
      <w:r>
        <w:rPr>
          <w:rFonts w:hint="default" w:ascii="Times New Roman" w:hAnsi="Times New Roman" w:eastAsia="仿宋_GB2312" w:cs="Times New Roman"/>
          <w:kern w:val="2"/>
          <w:sz w:val="32"/>
          <w:szCs w:val="32"/>
          <w:lang w:val="en-US" w:eastAsia="zh-CN" w:bidi="ar-SA"/>
        </w:rPr>
        <w:t>39</w:t>
      </w:r>
      <w:r>
        <w:rPr>
          <w:rFonts w:hint="eastAsia" w:ascii="仿宋_GB2312" w:hAnsi="仿宋_GB2312" w:eastAsia="仿宋_GB2312" w:cs="仿宋_GB2312"/>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93</w:t>
      </w:r>
      <w:r>
        <w:rPr>
          <w:rFonts w:hint="eastAsia" w:ascii="仿宋_GB2312" w:hAnsi="仿宋_GB2312" w:eastAsia="仿宋_GB2312" w:cs="仿宋_GB2312"/>
          <w:kern w:val="2"/>
          <w:sz w:val="32"/>
          <w:szCs w:val="32"/>
          <w:lang w:val="en-US" w:eastAsia="zh-CN" w:bidi="ar-SA"/>
        </w:rPr>
        <w:t>万元，主要原因:项目增多，支出增多。</w:t>
      </w:r>
    </w:p>
    <w:p>
      <w:pPr>
        <w:pStyle w:val="23"/>
        <w:numPr>
          <w:ilvl w:val="0"/>
          <w:numId w:val="0"/>
        </w:numPr>
        <w:spacing w:before="0" w:line="360" w:lineRule="auto"/>
        <w:ind w:firstLine="643" w:firstLineChars="200"/>
        <w:outlineLvl w:val="1"/>
        <w:rPr>
          <w:rFonts w:hint="eastAsia" w:ascii="楷体_GB2312" w:hAnsi="黑体" w:eastAsia="楷体_GB2312" w:cs="楷体_GB2312"/>
          <w:b/>
          <w:bCs/>
          <w:kern w:val="2"/>
          <w:sz w:val="32"/>
          <w:szCs w:val="32"/>
        </w:rPr>
      </w:pPr>
      <w:bookmarkStart w:id="6" w:name="_Toc29450"/>
      <w:r>
        <w:rPr>
          <w:rFonts w:hint="eastAsia" w:ascii="楷体_GB2312" w:hAnsi="黑体" w:eastAsia="楷体_GB2312" w:cs="楷体_GB2312"/>
          <w:b/>
          <w:bCs/>
          <w:kern w:val="2"/>
          <w:sz w:val="32"/>
          <w:szCs w:val="32"/>
          <w:lang w:eastAsia="zh-CN"/>
        </w:rPr>
        <w:t>（一）</w:t>
      </w:r>
      <w:r>
        <w:rPr>
          <w:rFonts w:hint="eastAsia" w:ascii="楷体_GB2312" w:hAnsi="黑体" w:eastAsia="楷体_GB2312" w:cs="楷体_GB2312"/>
          <w:b/>
          <w:bCs/>
          <w:kern w:val="2"/>
          <w:sz w:val="32"/>
          <w:szCs w:val="32"/>
        </w:rPr>
        <w:t>收入预算情况</w:t>
      </w:r>
      <w:bookmarkEnd w:id="6"/>
    </w:p>
    <w:p>
      <w:pPr>
        <w:pStyle w:val="23"/>
        <w:numPr>
          <w:ilvl w:val="0"/>
          <w:numId w:val="0"/>
        </w:numPr>
        <w:spacing w:before="0" w:line="360" w:lineRule="auto"/>
        <w:ind w:firstLine="640" w:firstLineChars="200"/>
        <w:outlineLvl w:val="9"/>
        <w:rPr>
          <w:rFonts w:hAnsi="黑体" w:cs="Times New Roman"/>
          <w:kern w:val="2"/>
          <w:sz w:val="32"/>
          <w:szCs w:val="32"/>
        </w:rPr>
      </w:pPr>
      <w:r>
        <w:rPr>
          <w:rFonts w:hint="eastAsia" w:hAnsi="黑体"/>
          <w:kern w:val="2"/>
          <w:sz w:val="32"/>
          <w:szCs w:val="32"/>
        </w:rPr>
        <w:t>壤塘县退役军人事务局</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Ansi="黑体"/>
          <w:kern w:val="2"/>
          <w:sz w:val="32"/>
          <w:szCs w:val="32"/>
        </w:rPr>
        <w:t>年</w:t>
      </w:r>
      <w:r>
        <w:rPr>
          <w:rFonts w:hint="eastAsia" w:hAnsi="黑体"/>
          <w:kern w:val="2"/>
          <w:sz w:val="32"/>
          <w:szCs w:val="32"/>
        </w:rPr>
        <w:t>收入预算</w:t>
      </w:r>
      <w:r>
        <w:rPr>
          <w:rFonts w:hint="default" w:ascii="Times New Roman" w:hAnsi="Times New Roman" w:cs="Times New Roman"/>
          <w:kern w:val="2"/>
          <w:sz w:val="32"/>
          <w:szCs w:val="32"/>
        </w:rPr>
        <w:t>304</w:t>
      </w:r>
      <w:r>
        <w:rPr>
          <w:rFonts w:hint="eastAsia" w:hAnsi="黑体" w:cs="Times New Roman"/>
          <w:kern w:val="2"/>
          <w:sz w:val="32"/>
          <w:szCs w:val="32"/>
        </w:rPr>
        <w:t>.</w:t>
      </w:r>
      <w:r>
        <w:rPr>
          <w:rFonts w:hint="default" w:ascii="Times New Roman" w:hAnsi="Times New Roman" w:cs="Times New Roman"/>
          <w:kern w:val="2"/>
          <w:sz w:val="32"/>
          <w:szCs w:val="32"/>
        </w:rPr>
        <w:t>93</w:t>
      </w:r>
      <w:r>
        <w:rPr>
          <w:rFonts w:hint="eastAsia" w:hAnsi="黑体"/>
          <w:kern w:val="2"/>
          <w:sz w:val="32"/>
          <w:szCs w:val="32"/>
        </w:rPr>
        <w:t>万元；一般公共预算拨款收入</w:t>
      </w:r>
      <w:r>
        <w:rPr>
          <w:rFonts w:hint="default" w:ascii="Times New Roman" w:hAnsi="Times New Roman" w:cs="Times New Roman"/>
          <w:kern w:val="2"/>
          <w:sz w:val="32"/>
          <w:szCs w:val="32"/>
        </w:rPr>
        <w:t>304</w:t>
      </w:r>
      <w:r>
        <w:rPr>
          <w:rFonts w:hint="eastAsia" w:hAnsi="黑体" w:cs="Times New Roman"/>
          <w:kern w:val="2"/>
          <w:sz w:val="32"/>
          <w:szCs w:val="32"/>
        </w:rPr>
        <w:t>.</w:t>
      </w:r>
      <w:r>
        <w:rPr>
          <w:rFonts w:hint="default" w:ascii="Times New Roman" w:hAnsi="Times New Roman" w:cs="Times New Roman"/>
          <w:kern w:val="2"/>
          <w:sz w:val="32"/>
          <w:szCs w:val="32"/>
        </w:rPr>
        <w:t>93</w:t>
      </w:r>
      <w:r>
        <w:rPr>
          <w:rFonts w:hint="eastAsia" w:hAnsi="黑体"/>
          <w:kern w:val="2"/>
          <w:sz w:val="32"/>
          <w:szCs w:val="32"/>
        </w:rPr>
        <w:t>万元，占</w:t>
      </w:r>
      <w:r>
        <w:rPr>
          <w:rFonts w:hint="default" w:ascii="Times New Roman" w:hAnsi="Times New Roman" w:cs="Times New Roman"/>
          <w:kern w:val="2"/>
          <w:sz w:val="32"/>
          <w:szCs w:val="32"/>
        </w:rPr>
        <w:t>100</w:t>
      </w:r>
      <w:r>
        <w:rPr>
          <w:rFonts w:hAnsi="黑体"/>
          <w:kern w:val="2"/>
          <w:sz w:val="32"/>
          <w:szCs w:val="32"/>
        </w:rPr>
        <w:t>%</w:t>
      </w:r>
      <w:r>
        <w:rPr>
          <w:rFonts w:hint="eastAsia" w:hAnsi="黑体"/>
          <w:kern w:val="2"/>
          <w:sz w:val="32"/>
          <w:szCs w:val="32"/>
        </w:rPr>
        <w:t>。</w:t>
      </w:r>
    </w:p>
    <w:p>
      <w:pPr>
        <w:pStyle w:val="23"/>
        <w:numPr>
          <w:ilvl w:val="0"/>
          <w:numId w:val="0"/>
        </w:numPr>
        <w:spacing w:before="0" w:line="360" w:lineRule="auto"/>
        <w:ind w:firstLine="643" w:firstLineChars="200"/>
        <w:outlineLvl w:val="1"/>
        <w:rPr>
          <w:rFonts w:hint="eastAsia" w:ascii="楷体_GB2312" w:hAnsi="黑体" w:eastAsia="楷体_GB2312" w:cs="楷体_GB2312"/>
          <w:b/>
          <w:bCs/>
          <w:kern w:val="2"/>
          <w:sz w:val="32"/>
          <w:szCs w:val="32"/>
          <w:lang w:eastAsia="zh-CN"/>
        </w:rPr>
      </w:pPr>
      <w:bookmarkStart w:id="7" w:name="_Toc28898"/>
      <w:r>
        <w:rPr>
          <w:rFonts w:hint="eastAsia" w:ascii="楷体_GB2312" w:hAnsi="黑体" w:eastAsia="楷体_GB2312" w:cs="楷体_GB2312"/>
          <w:b/>
          <w:bCs/>
          <w:kern w:val="2"/>
          <w:sz w:val="32"/>
          <w:szCs w:val="32"/>
          <w:lang w:eastAsia="zh-CN"/>
        </w:rPr>
        <w:t>（二）支出预算情况</w:t>
      </w:r>
      <w:bookmarkEnd w:id="7"/>
    </w:p>
    <w:p>
      <w:pPr>
        <w:pStyle w:val="23"/>
        <w:numPr>
          <w:ilvl w:val="0"/>
          <w:numId w:val="0"/>
        </w:numPr>
        <w:spacing w:before="0" w:line="360" w:lineRule="auto"/>
        <w:ind w:firstLine="640" w:firstLineChars="200"/>
        <w:outlineLvl w:val="9"/>
        <w:rPr>
          <w:rFonts w:hint="eastAsia" w:hAnsi="黑体"/>
          <w:kern w:val="2"/>
          <w:sz w:val="32"/>
          <w:szCs w:val="32"/>
        </w:rPr>
      </w:pPr>
      <w:r>
        <w:rPr>
          <w:rFonts w:hint="eastAsia" w:hAnsi="黑体"/>
          <w:kern w:val="2"/>
          <w:sz w:val="32"/>
          <w:szCs w:val="32"/>
        </w:rPr>
        <w:t>壤塘县退役军人事务局</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年支出预算</w:t>
      </w:r>
      <w:r>
        <w:rPr>
          <w:rFonts w:hint="default" w:ascii="Times New Roman" w:hAnsi="Times New Roman" w:cs="Times New Roman"/>
          <w:kern w:val="2"/>
          <w:sz w:val="32"/>
          <w:szCs w:val="32"/>
        </w:rPr>
        <w:t>304</w:t>
      </w:r>
      <w:r>
        <w:rPr>
          <w:rFonts w:hint="eastAsia" w:hAnsi="黑体"/>
          <w:kern w:val="2"/>
          <w:sz w:val="32"/>
          <w:szCs w:val="32"/>
        </w:rPr>
        <w:t>.</w:t>
      </w:r>
      <w:r>
        <w:rPr>
          <w:rFonts w:hint="default" w:ascii="Times New Roman" w:hAnsi="Times New Roman" w:cs="Times New Roman"/>
          <w:kern w:val="2"/>
          <w:sz w:val="32"/>
          <w:szCs w:val="32"/>
        </w:rPr>
        <w:t>93</w:t>
      </w:r>
      <w:r>
        <w:rPr>
          <w:rFonts w:hint="eastAsia" w:hAnsi="黑体"/>
          <w:kern w:val="2"/>
          <w:sz w:val="32"/>
          <w:szCs w:val="32"/>
        </w:rPr>
        <w:t>万元，其中：基本支出</w:t>
      </w:r>
      <w:r>
        <w:rPr>
          <w:rFonts w:hint="default" w:ascii="Times New Roman" w:hAnsi="Times New Roman" w:cs="Times New Roman"/>
          <w:kern w:val="2"/>
          <w:sz w:val="32"/>
          <w:szCs w:val="32"/>
        </w:rPr>
        <w:t>135</w:t>
      </w:r>
      <w:r>
        <w:rPr>
          <w:rFonts w:hint="eastAsia" w:hAnsi="黑体"/>
          <w:kern w:val="2"/>
          <w:sz w:val="32"/>
          <w:szCs w:val="32"/>
        </w:rPr>
        <w:t>.</w:t>
      </w:r>
      <w:r>
        <w:rPr>
          <w:rFonts w:hint="default" w:ascii="Times New Roman" w:hAnsi="Times New Roman" w:cs="Times New Roman"/>
          <w:kern w:val="2"/>
          <w:sz w:val="32"/>
          <w:szCs w:val="32"/>
        </w:rPr>
        <w:t>79</w:t>
      </w:r>
      <w:r>
        <w:rPr>
          <w:rFonts w:hint="eastAsia" w:hAnsi="黑体"/>
          <w:kern w:val="2"/>
          <w:sz w:val="32"/>
          <w:szCs w:val="32"/>
        </w:rPr>
        <w:t>万元，占</w:t>
      </w:r>
      <w:r>
        <w:rPr>
          <w:rFonts w:hint="default" w:ascii="Times New Roman" w:hAnsi="Times New Roman" w:cs="Times New Roman"/>
          <w:kern w:val="2"/>
          <w:sz w:val="32"/>
          <w:szCs w:val="32"/>
        </w:rPr>
        <w:t>44</w:t>
      </w:r>
      <w:r>
        <w:rPr>
          <w:rFonts w:hint="eastAsia" w:hAnsi="黑体"/>
          <w:kern w:val="2"/>
          <w:sz w:val="32"/>
          <w:szCs w:val="32"/>
        </w:rPr>
        <w:t>.</w:t>
      </w:r>
      <w:r>
        <w:rPr>
          <w:rFonts w:hint="default" w:ascii="Times New Roman" w:hAnsi="Times New Roman" w:cs="Times New Roman"/>
          <w:kern w:val="2"/>
          <w:sz w:val="32"/>
          <w:szCs w:val="32"/>
        </w:rPr>
        <w:t>53</w:t>
      </w:r>
      <w:r>
        <w:rPr>
          <w:rFonts w:hint="eastAsia" w:hAnsi="黑体"/>
          <w:kern w:val="2"/>
          <w:sz w:val="32"/>
          <w:szCs w:val="32"/>
        </w:rPr>
        <w:t>%</w:t>
      </w:r>
      <w:r>
        <w:rPr>
          <w:rFonts w:hint="eastAsia" w:hAnsi="黑体"/>
          <w:kern w:val="2"/>
          <w:sz w:val="32"/>
          <w:szCs w:val="32"/>
          <w:lang w:eastAsia="zh-CN"/>
        </w:rPr>
        <w:t>，</w:t>
      </w:r>
      <w:r>
        <w:rPr>
          <w:rFonts w:hint="eastAsia" w:hAnsi="黑体"/>
          <w:kern w:val="2"/>
          <w:sz w:val="32"/>
          <w:szCs w:val="32"/>
          <w:lang w:val="en-US" w:eastAsia="zh-CN"/>
        </w:rPr>
        <w:t>项目支出</w:t>
      </w:r>
      <w:r>
        <w:rPr>
          <w:rFonts w:hint="default" w:ascii="Times New Roman" w:hAnsi="Times New Roman" w:cs="Times New Roman"/>
          <w:kern w:val="2"/>
          <w:sz w:val="32"/>
          <w:szCs w:val="32"/>
          <w:lang w:val="en-US" w:eastAsia="zh-CN"/>
        </w:rPr>
        <w:t>169</w:t>
      </w:r>
      <w:r>
        <w:rPr>
          <w:rFonts w:hint="eastAsia" w:hAnsi="黑体"/>
          <w:kern w:val="2"/>
          <w:sz w:val="32"/>
          <w:szCs w:val="32"/>
          <w:lang w:val="en-US" w:eastAsia="zh-CN"/>
        </w:rPr>
        <w:t>.</w:t>
      </w:r>
      <w:r>
        <w:rPr>
          <w:rFonts w:hint="default" w:ascii="Times New Roman" w:hAnsi="Times New Roman" w:cs="Times New Roman"/>
          <w:kern w:val="2"/>
          <w:sz w:val="32"/>
          <w:szCs w:val="32"/>
          <w:lang w:val="en-US" w:eastAsia="zh-CN"/>
        </w:rPr>
        <w:t>14</w:t>
      </w:r>
      <w:r>
        <w:rPr>
          <w:rFonts w:hint="eastAsia" w:hAnsi="黑体"/>
          <w:kern w:val="2"/>
          <w:sz w:val="32"/>
          <w:szCs w:val="32"/>
          <w:lang w:val="en-US" w:eastAsia="zh-CN"/>
        </w:rPr>
        <w:t>万元，占</w:t>
      </w:r>
      <w:r>
        <w:rPr>
          <w:rFonts w:hint="default" w:ascii="Times New Roman" w:hAnsi="Times New Roman" w:cs="Times New Roman"/>
          <w:kern w:val="2"/>
          <w:sz w:val="32"/>
          <w:szCs w:val="32"/>
          <w:lang w:val="en-US" w:eastAsia="zh-CN"/>
        </w:rPr>
        <w:t>55</w:t>
      </w:r>
      <w:r>
        <w:rPr>
          <w:rFonts w:hint="eastAsia" w:hAnsi="黑体"/>
          <w:kern w:val="2"/>
          <w:sz w:val="32"/>
          <w:szCs w:val="32"/>
          <w:lang w:val="en-US" w:eastAsia="zh-CN"/>
        </w:rPr>
        <w:t>.</w:t>
      </w:r>
      <w:r>
        <w:rPr>
          <w:rFonts w:hint="default" w:ascii="Times New Roman" w:hAnsi="Times New Roman" w:cs="Times New Roman"/>
          <w:kern w:val="2"/>
          <w:sz w:val="32"/>
          <w:szCs w:val="32"/>
          <w:lang w:val="en-US" w:eastAsia="zh-CN"/>
        </w:rPr>
        <w:t>47</w:t>
      </w:r>
      <w:r>
        <w:rPr>
          <w:rFonts w:hint="eastAsia" w:hAnsi="黑体"/>
          <w:kern w:val="2"/>
          <w:sz w:val="32"/>
          <w:szCs w:val="32"/>
          <w:lang w:val="en-US" w:eastAsia="zh-CN"/>
        </w:rPr>
        <w:t>%</w:t>
      </w:r>
      <w:r>
        <w:rPr>
          <w:rFonts w:hint="eastAsia" w:hAnsi="黑体"/>
          <w:kern w:val="2"/>
          <w:sz w:val="32"/>
          <w:szCs w:val="32"/>
        </w:rPr>
        <w:t>。</w:t>
      </w:r>
    </w:p>
    <w:p>
      <w:pPr>
        <w:pStyle w:val="23"/>
        <w:numPr>
          <w:ilvl w:val="0"/>
          <w:numId w:val="0"/>
        </w:numPr>
        <w:spacing w:before="0" w:line="360" w:lineRule="auto"/>
        <w:ind w:leftChars="196" w:firstLine="320" w:firstLineChars="100"/>
        <w:outlineLvl w:val="0"/>
        <w:rPr>
          <w:rFonts w:hint="eastAsia" w:ascii="黑体" w:hAnsi="黑体" w:eastAsia="黑体" w:cs="黑体"/>
          <w:kern w:val="2"/>
          <w:sz w:val="32"/>
          <w:szCs w:val="32"/>
        </w:rPr>
      </w:pPr>
      <w:bookmarkStart w:id="8" w:name="_Toc10085"/>
      <w:r>
        <w:rPr>
          <w:rFonts w:hint="eastAsia" w:ascii="黑体" w:hAnsi="黑体" w:eastAsia="黑体" w:cs="黑体"/>
          <w:kern w:val="2"/>
          <w:sz w:val="32"/>
          <w:szCs w:val="32"/>
          <w:lang w:eastAsia="zh-CN"/>
        </w:rPr>
        <w:t>四、</w:t>
      </w:r>
      <w:r>
        <w:rPr>
          <w:rFonts w:hint="eastAsia" w:ascii="黑体" w:hAnsi="黑体" w:eastAsia="黑体" w:cs="黑体"/>
          <w:kern w:val="2"/>
          <w:sz w:val="32"/>
          <w:szCs w:val="32"/>
        </w:rPr>
        <w:t>财政拨款收支预算情况说明</w:t>
      </w:r>
      <w:bookmarkEnd w:id="8"/>
    </w:p>
    <w:p>
      <w:pPr>
        <w:pStyle w:val="23"/>
        <w:numPr>
          <w:ilvl w:val="0"/>
          <w:numId w:val="0"/>
        </w:numPr>
        <w:spacing w:before="0" w:line="360" w:lineRule="auto"/>
        <w:ind w:firstLine="640" w:firstLineChars="200"/>
        <w:outlineLvl w:val="9"/>
        <w:rPr>
          <w:rFonts w:hint="eastAsia" w:hAnsi="黑体"/>
          <w:kern w:val="2"/>
          <w:sz w:val="32"/>
          <w:szCs w:val="32"/>
        </w:rPr>
      </w:pPr>
      <w:r>
        <w:rPr>
          <w:rFonts w:hint="eastAsia" w:hAnsi="黑体"/>
          <w:kern w:val="2"/>
          <w:sz w:val="32"/>
          <w:szCs w:val="32"/>
        </w:rPr>
        <w:t>壤塘县退役军人事务局</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年财政拨款收支总预算</w:t>
      </w:r>
      <w:r>
        <w:rPr>
          <w:rFonts w:hint="default" w:ascii="Times New Roman" w:hAnsi="Times New Roman" w:cs="Times New Roman"/>
          <w:kern w:val="2"/>
          <w:sz w:val="32"/>
          <w:szCs w:val="32"/>
        </w:rPr>
        <w:t>304</w:t>
      </w:r>
      <w:r>
        <w:rPr>
          <w:rFonts w:hint="eastAsia" w:hAnsi="黑体"/>
          <w:kern w:val="2"/>
          <w:sz w:val="32"/>
          <w:szCs w:val="32"/>
        </w:rPr>
        <w:t>.</w:t>
      </w:r>
      <w:r>
        <w:rPr>
          <w:rFonts w:hint="default" w:ascii="Times New Roman" w:hAnsi="Times New Roman" w:cs="Times New Roman"/>
          <w:kern w:val="2"/>
          <w:sz w:val="32"/>
          <w:szCs w:val="32"/>
        </w:rPr>
        <w:t>93</w:t>
      </w:r>
      <w:r>
        <w:rPr>
          <w:rFonts w:hint="eastAsia" w:hAnsi="黑体"/>
          <w:kern w:val="2"/>
          <w:sz w:val="32"/>
          <w:szCs w:val="32"/>
        </w:rPr>
        <w:t>万元,比</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1</w:t>
      </w:r>
      <w:r>
        <w:rPr>
          <w:rFonts w:hint="eastAsia" w:hAnsi="黑体"/>
          <w:kern w:val="2"/>
          <w:sz w:val="32"/>
          <w:szCs w:val="32"/>
        </w:rPr>
        <w:t>年财政拨款收支总预算</w:t>
      </w:r>
      <w:r>
        <w:rPr>
          <w:rFonts w:hint="eastAsia" w:hAnsi="黑体"/>
          <w:kern w:val="2"/>
          <w:sz w:val="32"/>
          <w:szCs w:val="32"/>
          <w:lang w:val="en-US" w:eastAsia="zh-CN"/>
        </w:rPr>
        <w:t>增加</w:t>
      </w:r>
      <w:r>
        <w:rPr>
          <w:rFonts w:hint="default" w:ascii="Times New Roman" w:hAnsi="Times New Roman" w:cs="Times New Roman"/>
          <w:kern w:val="2"/>
          <w:sz w:val="32"/>
          <w:szCs w:val="32"/>
          <w:lang w:val="en-US" w:eastAsia="zh-CN"/>
        </w:rPr>
        <w:t>39</w:t>
      </w:r>
      <w:r>
        <w:rPr>
          <w:rFonts w:hint="eastAsia" w:hAnsi="黑体"/>
          <w:kern w:val="2"/>
          <w:sz w:val="32"/>
          <w:szCs w:val="32"/>
          <w:lang w:val="en-US" w:eastAsia="zh-CN"/>
        </w:rPr>
        <w:t>.</w:t>
      </w:r>
      <w:r>
        <w:rPr>
          <w:rFonts w:hint="default" w:ascii="Times New Roman" w:hAnsi="Times New Roman" w:cs="Times New Roman"/>
          <w:kern w:val="2"/>
          <w:sz w:val="32"/>
          <w:szCs w:val="32"/>
          <w:lang w:val="en-US" w:eastAsia="zh-CN"/>
        </w:rPr>
        <w:t>93</w:t>
      </w:r>
      <w:r>
        <w:rPr>
          <w:rFonts w:hint="eastAsia" w:hAnsi="黑体"/>
          <w:kern w:val="2"/>
          <w:sz w:val="32"/>
          <w:szCs w:val="32"/>
        </w:rPr>
        <w:t xml:space="preserve">万元，主要原因: </w:t>
      </w:r>
      <w:r>
        <w:rPr>
          <w:rFonts w:hint="eastAsia" w:hAnsi="黑体"/>
          <w:kern w:val="2"/>
          <w:sz w:val="32"/>
          <w:szCs w:val="32"/>
          <w:lang w:val="en-US" w:eastAsia="zh-CN"/>
        </w:rPr>
        <w:t>项目增多，支出增多</w:t>
      </w:r>
      <w:r>
        <w:rPr>
          <w:rFonts w:hint="eastAsia" w:hAnsi="黑体"/>
          <w:kern w:val="2"/>
          <w:sz w:val="32"/>
          <w:szCs w:val="32"/>
        </w:rPr>
        <w:t>。</w:t>
      </w:r>
    </w:p>
    <w:p>
      <w:pPr>
        <w:pStyle w:val="23"/>
        <w:numPr>
          <w:ilvl w:val="0"/>
          <w:numId w:val="0"/>
        </w:numPr>
        <w:spacing w:before="0" w:line="360" w:lineRule="auto"/>
        <w:ind w:firstLine="640" w:firstLineChars="200"/>
        <w:outlineLvl w:val="9"/>
        <w:rPr>
          <w:rFonts w:hint="eastAsia" w:hAnsi="黑体"/>
          <w:kern w:val="2"/>
          <w:sz w:val="32"/>
          <w:szCs w:val="32"/>
          <w:lang w:eastAsia="zh-CN"/>
        </w:rPr>
      </w:pPr>
      <w:r>
        <w:rPr>
          <w:rFonts w:hint="eastAsia" w:hAnsi="黑体"/>
          <w:kern w:val="2"/>
          <w:sz w:val="32"/>
          <w:szCs w:val="32"/>
        </w:rPr>
        <w:t>收入包括：本年一般公共预算拨款收入</w:t>
      </w:r>
      <w:r>
        <w:rPr>
          <w:rFonts w:hint="default" w:ascii="Times New Roman" w:hAnsi="Times New Roman" w:cs="Times New Roman"/>
          <w:kern w:val="2"/>
          <w:sz w:val="32"/>
          <w:szCs w:val="32"/>
        </w:rPr>
        <w:t>304</w:t>
      </w:r>
      <w:r>
        <w:rPr>
          <w:rFonts w:hint="eastAsia" w:hAnsi="黑体"/>
          <w:kern w:val="2"/>
          <w:sz w:val="32"/>
          <w:szCs w:val="32"/>
        </w:rPr>
        <w:t>.</w:t>
      </w:r>
      <w:r>
        <w:rPr>
          <w:rFonts w:hint="default" w:ascii="Times New Roman" w:hAnsi="Times New Roman" w:cs="Times New Roman"/>
          <w:kern w:val="2"/>
          <w:sz w:val="32"/>
          <w:szCs w:val="32"/>
        </w:rPr>
        <w:t>93</w:t>
      </w:r>
      <w:r>
        <w:rPr>
          <w:rFonts w:hint="eastAsia" w:hAnsi="黑体"/>
          <w:kern w:val="2"/>
          <w:sz w:val="32"/>
          <w:szCs w:val="32"/>
        </w:rPr>
        <w:t xml:space="preserve">万元。 </w:t>
      </w:r>
    </w:p>
    <w:p>
      <w:pPr>
        <w:pStyle w:val="23"/>
        <w:numPr>
          <w:ilvl w:val="0"/>
          <w:numId w:val="0"/>
        </w:numPr>
        <w:spacing w:before="0" w:line="360" w:lineRule="auto"/>
        <w:ind w:firstLine="640" w:firstLineChars="200"/>
        <w:outlineLvl w:val="9"/>
        <w:rPr>
          <w:rFonts w:hint="eastAsia" w:hAnsi="黑体"/>
          <w:kern w:val="2"/>
          <w:sz w:val="32"/>
          <w:szCs w:val="32"/>
        </w:rPr>
      </w:pPr>
      <w:r>
        <w:rPr>
          <w:rFonts w:hint="eastAsia" w:hAnsi="黑体"/>
          <w:kern w:val="2"/>
          <w:sz w:val="32"/>
          <w:szCs w:val="32"/>
        </w:rPr>
        <w:t>支出包括：社会保障和就业支出</w:t>
      </w:r>
      <w:r>
        <w:rPr>
          <w:rFonts w:hint="default" w:ascii="Times New Roman" w:hAnsi="Times New Roman" w:cs="Times New Roman"/>
          <w:kern w:val="2"/>
          <w:sz w:val="32"/>
          <w:szCs w:val="32"/>
        </w:rPr>
        <w:t>285</w:t>
      </w:r>
      <w:r>
        <w:rPr>
          <w:rFonts w:hint="eastAsia" w:hAnsi="黑体"/>
          <w:kern w:val="2"/>
          <w:sz w:val="32"/>
          <w:szCs w:val="32"/>
        </w:rPr>
        <w:t>.</w:t>
      </w:r>
      <w:r>
        <w:rPr>
          <w:rFonts w:hint="default" w:ascii="Times New Roman" w:hAnsi="Times New Roman" w:cs="Times New Roman"/>
          <w:kern w:val="2"/>
          <w:sz w:val="32"/>
          <w:szCs w:val="32"/>
        </w:rPr>
        <w:t>16</w:t>
      </w:r>
      <w:r>
        <w:rPr>
          <w:rFonts w:hint="eastAsia" w:hAnsi="黑体"/>
          <w:kern w:val="2"/>
          <w:sz w:val="32"/>
          <w:szCs w:val="32"/>
        </w:rPr>
        <w:t>万元，卫生健康支出</w:t>
      </w:r>
      <w:r>
        <w:rPr>
          <w:rFonts w:hint="default" w:ascii="Times New Roman" w:hAnsi="Times New Roman" w:cs="Times New Roman"/>
          <w:kern w:val="2"/>
          <w:sz w:val="32"/>
          <w:szCs w:val="32"/>
        </w:rPr>
        <w:t>7</w:t>
      </w:r>
      <w:r>
        <w:rPr>
          <w:rFonts w:hint="eastAsia" w:hAnsi="黑体"/>
          <w:kern w:val="2"/>
          <w:sz w:val="32"/>
          <w:szCs w:val="32"/>
        </w:rPr>
        <w:t>.</w:t>
      </w:r>
      <w:r>
        <w:rPr>
          <w:rFonts w:hint="default" w:ascii="Times New Roman" w:hAnsi="Times New Roman" w:cs="Times New Roman"/>
          <w:kern w:val="2"/>
          <w:sz w:val="32"/>
          <w:szCs w:val="32"/>
        </w:rPr>
        <w:t>12</w:t>
      </w:r>
      <w:r>
        <w:rPr>
          <w:rFonts w:hint="eastAsia" w:hAnsi="黑体"/>
          <w:kern w:val="2"/>
          <w:sz w:val="32"/>
          <w:szCs w:val="32"/>
        </w:rPr>
        <w:t>万元，住房保障支出</w:t>
      </w:r>
      <w:r>
        <w:rPr>
          <w:rFonts w:hint="default" w:ascii="Times New Roman" w:hAnsi="Times New Roman" w:cs="Times New Roman"/>
          <w:kern w:val="2"/>
          <w:sz w:val="32"/>
          <w:szCs w:val="32"/>
        </w:rPr>
        <w:t>12</w:t>
      </w:r>
      <w:r>
        <w:rPr>
          <w:rFonts w:hint="eastAsia" w:hAnsi="黑体"/>
          <w:kern w:val="2"/>
          <w:sz w:val="32"/>
          <w:szCs w:val="32"/>
        </w:rPr>
        <w:t>.</w:t>
      </w:r>
      <w:r>
        <w:rPr>
          <w:rFonts w:hint="default" w:ascii="Times New Roman" w:hAnsi="Times New Roman" w:cs="Times New Roman"/>
          <w:kern w:val="2"/>
          <w:sz w:val="32"/>
          <w:szCs w:val="32"/>
        </w:rPr>
        <w:t>64</w:t>
      </w:r>
      <w:r>
        <w:rPr>
          <w:rFonts w:hint="eastAsia" w:hAnsi="黑体"/>
          <w:kern w:val="2"/>
          <w:sz w:val="32"/>
          <w:szCs w:val="32"/>
        </w:rPr>
        <w:t>万元。</w:t>
      </w:r>
    </w:p>
    <w:p>
      <w:pPr>
        <w:pStyle w:val="23"/>
        <w:spacing w:before="0" w:line="360" w:lineRule="auto"/>
        <w:ind w:firstLine="627" w:firstLineChars="196"/>
        <w:outlineLvl w:val="0"/>
        <w:rPr>
          <w:rFonts w:ascii="??" w:hAnsi="??" w:eastAsia="宋体" w:cs="Times New Roman"/>
          <w:sz w:val="16"/>
          <w:szCs w:val="16"/>
        </w:rPr>
      </w:pPr>
      <w:bookmarkStart w:id="9" w:name="_Toc31207"/>
      <w:r>
        <w:rPr>
          <w:rFonts w:hint="eastAsia" w:ascii="黑体" w:hAnsi="黑体" w:eastAsia="黑体" w:cs="黑体"/>
          <w:kern w:val="2"/>
          <w:sz w:val="32"/>
          <w:szCs w:val="32"/>
        </w:rPr>
        <w:t>五、一般公共预算当年拨款情况说明</w:t>
      </w:r>
      <w:bookmarkEnd w:id="9"/>
    </w:p>
    <w:p>
      <w:pPr>
        <w:pStyle w:val="23"/>
        <w:spacing w:before="0" w:line="360" w:lineRule="auto"/>
        <w:ind w:firstLine="630" w:firstLineChars="196"/>
        <w:outlineLvl w:val="1"/>
        <w:rPr>
          <w:rFonts w:hAnsi="黑体" w:cs="Times New Roman"/>
          <w:kern w:val="2"/>
          <w:sz w:val="32"/>
          <w:szCs w:val="32"/>
        </w:rPr>
      </w:pPr>
      <w:bookmarkStart w:id="10" w:name="_Toc19883"/>
      <w:r>
        <w:rPr>
          <w:rFonts w:hint="eastAsia" w:ascii="楷体_GB2312" w:hAnsi="黑体" w:eastAsia="楷体_GB2312" w:cs="楷体_GB2312"/>
          <w:b/>
          <w:bCs/>
          <w:kern w:val="2"/>
          <w:sz w:val="32"/>
          <w:szCs w:val="32"/>
        </w:rPr>
        <w:t>（一）一般公共预算当年拨款规模变化情况</w:t>
      </w:r>
      <w:bookmarkEnd w:id="10"/>
    </w:p>
    <w:p>
      <w:pPr>
        <w:pStyle w:val="23"/>
        <w:spacing w:before="0" w:line="360" w:lineRule="auto"/>
        <w:ind w:firstLine="627" w:firstLineChars="196"/>
        <w:rPr>
          <w:rFonts w:hint="eastAsia" w:hAnsi="黑体"/>
          <w:kern w:val="2"/>
          <w:sz w:val="32"/>
          <w:szCs w:val="32"/>
        </w:rPr>
      </w:pPr>
      <w:r>
        <w:rPr>
          <w:rFonts w:hint="eastAsia" w:hAnsi="黑体"/>
          <w:kern w:val="2"/>
          <w:sz w:val="32"/>
          <w:szCs w:val="32"/>
        </w:rPr>
        <w:t>壤塘县退役军人事务局</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年一般公共预算当年拨款</w:t>
      </w:r>
      <w:r>
        <w:rPr>
          <w:rFonts w:hint="default" w:ascii="Times New Roman" w:hAnsi="Times New Roman" w:cs="Times New Roman"/>
          <w:kern w:val="2"/>
          <w:sz w:val="32"/>
          <w:szCs w:val="32"/>
        </w:rPr>
        <w:t>304</w:t>
      </w:r>
      <w:r>
        <w:rPr>
          <w:rFonts w:hint="eastAsia" w:hAnsi="黑体"/>
          <w:kern w:val="2"/>
          <w:sz w:val="32"/>
          <w:szCs w:val="32"/>
        </w:rPr>
        <w:t>.</w:t>
      </w:r>
      <w:r>
        <w:rPr>
          <w:rFonts w:hint="default" w:ascii="Times New Roman" w:hAnsi="Times New Roman" w:cs="Times New Roman"/>
          <w:kern w:val="2"/>
          <w:sz w:val="32"/>
          <w:szCs w:val="32"/>
        </w:rPr>
        <w:t>93</w:t>
      </w:r>
      <w:r>
        <w:rPr>
          <w:rFonts w:hint="eastAsia" w:hAnsi="黑体"/>
          <w:kern w:val="2"/>
          <w:sz w:val="32"/>
          <w:szCs w:val="32"/>
        </w:rPr>
        <w:t>万元，比</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1</w:t>
      </w:r>
      <w:r>
        <w:rPr>
          <w:rFonts w:hint="eastAsia" w:hAnsi="黑体"/>
          <w:kern w:val="2"/>
          <w:sz w:val="32"/>
          <w:szCs w:val="32"/>
        </w:rPr>
        <w:t>年预算数增加</w:t>
      </w:r>
      <w:r>
        <w:rPr>
          <w:rFonts w:hint="default" w:ascii="Times New Roman" w:hAnsi="Times New Roman" w:cs="Times New Roman"/>
          <w:kern w:val="2"/>
          <w:sz w:val="32"/>
          <w:szCs w:val="32"/>
          <w:lang w:val="en-US" w:eastAsia="zh-CN"/>
        </w:rPr>
        <w:t>39</w:t>
      </w:r>
      <w:r>
        <w:rPr>
          <w:rFonts w:hint="eastAsia" w:hAnsi="黑体"/>
          <w:kern w:val="2"/>
          <w:sz w:val="32"/>
          <w:szCs w:val="32"/>
          <w:lang w:val="en-US" w:eastAsia="zh-CN"/>
        </w:rPr>
        <w:t>.</w:t>
      </w:r>
      <w:r>
        <w:rPr>
          <w:rFonts w:hint="default" w:ascii="Times New Roman" w:hAnsi="Times New Roman" w:cs="Times New Roman"/>
          <w:kern w:val="2"/>
          <w:sz w:val="32"/>
          <w:szCs w:val="32"/>
          <w:lang w:val="en-US" w:eastAsia="zh-CN"/>
        </w:rPr>
        <w:t>93</w:t>
      </w:r>
      <w:r>
        <w:rPr>
          <w:rFonts w:hint="eastAsia" w:hAnsi="黑体"/>
          <w:kern w:val="2"/>
          <w:sz w:val="32"/>
          <w:szCs w:val="32"/>
        </w:rPr>
        <w:t>万元，主要是基本支出</w:t>
      </w:r>
      <w:r>
        <w:rPr>
          <w:rFonts w:hint="eastAsia" w:hAnsi="黑体"/>
          <w:kern w:val="2"/>
          <w:sz w:val="32"/>
          <w:szCs w:val="32"/>
          <w:lang w:val="en-US" w:eastAsia="zh-CN"/>
        </w:rPr>
        <w:t>减少</w:t>
      </w:r>
      <w:r>
        <w:rPr>
          <w:rFonts w:hint="default" w:ascii="Times New Roman" w:hAnsi="Times New Roman" w:cs="Times New Roman"/>
          <w:kern w:val="2"/>
          <w:sz w:val="32"/>
          <w:szCs w:val="32"/>
          <w:lang w:val="en-US" w:eastAsia="zh-CN"/>
        </w:rPr>
        <w:t>129</w:t>
      </w:r>
      <w:r>
        <w:rPr>
          <w:rFonts w:hint="eastAsia" w:hAnsi="黑体"/>
          <w:kern w:val="2"/>
          <w:sz w:val="32"/>
          <w:szCs w:val="32"/>
          <w:lang w:val="en-US" w:eastAsia="zh-CN"/>
        </w:rPr>
        <w:t>.</w:t>
      </w:r>
      <w:r>
        <w:rPr>
          <w:rFonts w:hint="default" w:ascii="Times New Roman" w:hAnsi="Times New Roman" w:cs="Times New Roman"/>
          <w:kern w:val="2"/>
          <w:sz w:val="32"/>
          <w:szCs w:val="32"/>
          <w:lang w:val="en-US" w:eastAsia="zh-CN"/>
        </w:rPr>
        <w:t>21</w:t>
      </w:r>
      <w:r>
        <w:rPr>
          <w:rFonts w:hint="eastAsia" w:hAnsi="黑体"/>
          <w:kern w:val="2"/>
          <w:sz w:val="32"/>
          <w:szCs w:val="32"/>
        </w:rPr>
        <w:t>万元，</w:t>
      </w:r>
      <w:r>
        <w:rPr>
          <w:rFonts w:hint="eastAsia" w:hAnsi="黑体"/>
          <w:kern w:val="2"/>
          <w:sz w:val="32"/>
          <w:szCs w:val="32"/>
          <w:lang w:val="en-US" w:eastAsia="zh-CN"/>
        </w:rPr>
        <w:t>项目支出增加</w:t>
      </w:r>
      <w:r>
        <w:rPr>
          <w:rFonts w:hint="default" w:ascii="Times New Roman" w:hAnsi="Times New Roman" w:cs="Times New Roman"/>
          <w:kern w:val="2"/>
          <w:sz w:val="32"/>
          <w:szCs w:val="32"/>
          <w:lang w:val="en-US" w:eastAsia="zh-CN"/>
        </w:rPr>
        <w:t>169</w:t>
      </w:r>
      <w:r>
        <w:rPr>
          <w:rFonts w:hint="eastAsia" w:hAnsi="黑体"/>
          <w:kern w:val="2"/>
          <w:sz w:val="32"/>
          <w:szCs w:val="32"/>
          <w:lang w:val="en-US" w:eastAsia="zh-CN"/>
        </w:rPr>
        <w:t>.</w:t>
      </w:r>
      <w:r>
        <w:rPr>
          <w:rFonts w:hint="default" w:ascii="Times New Roman" w:hAnsi="Times New Roman" w:cs="Times New Roman"/>
          <w:kern w:val="2"/>
          <w:sz w:val="32"/>
          <w:szCs w:val="32"/>
          <w:lang w:val="en-US" w:eastAsia="zh-CN"/>
        </w:rPr>
        <w:t>14</w:t>
      </w:r>
      <w:r>
        <w:rPr>
          <w:rFonts w:hint="eastAsia" w:hAnsi="黑体"/>
          <w:kern w:val="2"/>
          <w:sz w:val="32"/>
          <w:szCs w:val="32"/>
          <w:lang w:val="en-US" w:eastAsia="zh-CN"/>
        </w:rPr>
        <w:t>万元；</w:t>
      </w:r>
      <w:r>
        <w:rPr>
          <w:rFonts w:hint="eastAsia" w:hAnsi="黑体"/>
          <w:kern w:val="2"/>
          <w:sz w:val="32"/>
          <w:szCs w:val="32"/>
        </w:rPr>
        <w:t xml:space="preserve">主要原因: </w:t>
      </w:r>
      <w:r>
        <w:rPr>
          <w:rFonts w:hint="eastAsia" w:hAnsi="黑体"/>
          <w:kern w:val="2"/>
          <w:sz w:val="32"/>
          <w:szCs w:val="32"/>
          <w:lang w:val="en-US" w:eastAsia="zh-CN"/>
        </w:rPr>
        <w:t>项目增多，支出增多</w:t>
      </w:r>
      <w:r>
        <w:rPr>
          <w:rFonts w:hint="eastAsia" w:hAnsi="黑体"/>
          <w:kern w:val="2"/>
          <w:sz w:val="32"/>
          <w:szCs w:val="32"/>
        </w:rPr>
        <w:t>。</w:t>
      </w:r>
    </w:p>
    <w:p>
      <w:pPr>
        <w:pStyle w:val="23"/>
        <w:numPr>
          <w:ilvl w:val="0"/>
          <w:numId w:val="0"/>
        </w:numPr>
        <w:spacing w:before="0" w:line="360" w:lineRule="auto"/>
        <w:ind w:leftChars="196"/>
        <w:outlineLvl w:val="1"/>
        <w:rPr>
          <w:rFonts w:hint="eastAsia" w:ascii="楷体_GB2312" w:hAnsi="黑体" w:eastAsia="楷体_GB2312" w:cs="楷体_GB2312"/>
          <w:b/>
          <w:bCs/>
          <w:kern w:val="2"/>
          <w:sz w:val="32"/>
          <w:szCs w:val="32"/>
        </w:rPr>
      </w:pPr>
      <w:bookmarkStart w:id="11" w:name="_Toc10289"/>
      <w:r>
        <w:rPr>
          <w:rFonts w:hint="eastAsia" w:ascii="楷体_GB2312" w:hAnsi="黑体" w:eastAsia="楷体_GB2312" w:cs="楷体_GB2312"/>
          <w:b/>
          <w:bCs/>
          <w:kern w:val="2"/>
          <w:sz w:val="32"/>
          <w:szCs w:val="32"/>
          <w:lang w:eastAsia="zh-CN"/>
        </w:rPr>
        <w:t>（二）</w:t>
      </w:r>
      <w:r>
        <w:rPr>
          <w:rFonts w:hint="eastAsia" w:ascii="楷体_GB2312" w:hAnsi="黑体" w:eastAsia="楷体_GB2312" w:cs="楷体_GB2312"/>
          <w:b/>
          <w:bCs/>
          <w:kern w:val="2"/>
          <w:sz w:val="32"/>
          <w:szCs w:val="32"/>
        </w:rPr>
        <w:t>一般公共预算当年拨款结构情况</w:t>
      </w:r>
      <w:bookmarkEnd w:id="11"/>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0" w:firstLineChars="200"/>
        <w:textAlignment w:val="auto"/>
        <w:outlineLvl w:val="9"/>
        <w:rPr>
          <w:rFonts w:hint="eastAsia" w:hAnsi="黑体"/>
          <w:kern w:val="2"/>
          <w:sz w:val="32"/>
          <w:szCs w:val="32"/>
        </w:rPr>
      </w:pPr>
      <w:r>
        <w:rPr>
          <w:rFonts w:hint="eastAsia" w:hAnsi="黑体"/>
          <w:kern w:val="2"/>
          <w:sz w:val="32"/>
          <w:szCs w:val="32"/>
        </w:rPr>
        <w:t>社会保障和就业支出</w:t>
      </w:r>
      <w:r>
        <w:rPr>
          <w:rFonts w:hint="default" w:ascii="Times New Roman" w:hAnsi="Times New Roman" w:cs="Times New Roman"/>
          <w:kern w:val="2"/>
          <w:sz w:val="32"/>
          <w:szCs w:val="32"/>
        </w:rPr>
        <w:t>285</w:t>
      </w:r>
      <w:r>
        <w:rPr>
          <w:rFonts w:hint="eastAsia" w:hAnsi="黑体" w:cs="Times New Roman"/>
          <w:kern w:val="2"/>
          <w:sz w:val="32"/>
          <w:szCs w:val="32"/>
        </w:rPr>
        <w:t>.</w:t>
      </w:r>
      <w:r>
        <w:rPr>
          <w:rFonts w:hint="default" w:ascii="Times New Roman" w:hAnsi="Times New Roman" w:cs="Times New Roman"/>
          <w:kern w:val="2"/>
          <w:sz w:val="32"/>
          <w:szCs w:val="32"/>
        </w:rPr>
        <w:t>16</w:t>
      </w:r>
      <w:r>
        <w:rPr>
          <w:rFonts w:hint="eastAsia" w:hAnsi="黑体"/>
          <w:kern w:val="2"/>
          <w:sz w:val="32"/>
          <w:szCs w:val="32"/>
        </w:rPr>
        <w:t>万元，占</w:t>
      </w:r>
      <w:r>
        <w:rPr>
          <w:rFonts w:hint="default" w:ascii="Times New Roman" w:hAnsi="Times New Roman" w:cs="Times New Roman"/>
          <w:kern w:val="2"/>
          <w:sz w:val="32"/>
          <w:szCs w:val="32"/>
        </w:rPr>
        <w:t>93</w:t>
      </w:r>
      <w:r>
        <w:rPr>
          <w:rFonts w:hint="eastAsia" w:hAnsi="黑体"/>
          <w:kern w:val="2"/>
          <w:sz w:val="32"/>
          <w:szCs w:val="32"/>
        </w:rPr>
        <w:t>.</w:t>
      </w:r>
      <w:r>
        <w:rPr>
          <w:rFonts w:hint="default" w:ascii="Times New Roman" w:hAnsi="Times New Roman" w:cs="Times New Roman"/>
          <w:kern w:val="2"/>
          <w:sz w:val="32"/>
          <w:szCs w:val="32"/>
        </w:rPr>
        <w:t>52</w:t>
      </w:r>
      <w:r>
        <w:rPr>
          <w:rFonts w:hint="eastAsia" w:hAnsi="黑体"/>
          <w:kern w:val="2"/>
          <w:sz w:val="32"/>
          <w:szCs w:val="32"/>
        </w:rPr>
        <w:t>%；卫生健康支出</w:t>
      </w:r>
      <w:r>
        <w:rPr>
          <w:rFonts w:hint="default" w:ascii="Times New Roman" w:hAnsi="Times New Roman" w:cs="Times New Roman"/>
          <w:kern w:val="2"/>
          <w:sz w:val="32"/>
          <w:szCs w:val="32"/>
        </w:rPr>
        <w:t>7</w:t>
      </w:r>
      <w:r>
        <w:rPr>
          <w:rFonts w:hint="eastAsia" w:hAnsi="黑体" w:cs="Times New Roman"/>
          <w:kern w:val="2"/>
          <w:sz w:val="32"/>
          <w:szCs w:val="32"/>
        </w:rPr>
        <w:t>.</w:t>
      </w:r>
      <w:r>
        <w:rPr>
          <w:rFonts w:hint="default" w:ascii="Times New Roman" w:hAnsi="Times New Roman" w:cs="Times New Roman"/>
          <w:kern w:val="2"/>
          <w:sz w:val="32"/>
          <w:szCs w:val="32"/>
        </w:rPr>
        <w:t>12</w:t>
      </w:r>
      <w:r>
        <w:rPr>
          <w:rFonts w:hint="eastAsia" w:hAnsi="黑体"/>
          <w:kern w:val="2"/>
          <w:sz w:val="32"/>
          <w:szCs w:val="32"/>
        </w:rPr>
        <w:t>万元，占</w:t>
      </w:r>
      <w:r>
        <w:rPr>
          <w:rFonts w:hint="default" w:ascii="Times New Roman" w:hAnsi="Times New Roman" w:cs="Times New Roman"/>
          <w:kern w:val="2"/>
          <w:sz w:val="32"/>
          <w:szCs w:val="32"/>
        </w:rPr>
        <w:t>2</w:t>
      </w:r>
      <w:r>
        <w:rPr>
          <w:rFonts w:hint="eastAsia" w:hAnsi="黑体"/>
          <w:kern w:val="2"/>
          <w:sz w:val="32"/>
          <w:szCs w:val="32"/>
        </w:rPr>
        <w:t>.</w:t>
      </w:r>
      <w:r>
        <w:rPr>
          <w:rFonts w:hint="default" w:ascii="Times New Roman" w:hAnsi="Times New Roman" w:cs="Times New Roman"/>
          <w:kern w:val="2"/>
          <w:sz w:val="32"/>
          <w:szCs w:val="32"/>
        </w:rPr>
        <w:t>34</w:t>
      </w:r>
      <w:r>
        <w:rPr>
          <w:rFonts w:hAnsi="黑体"/>
          <w:kern w:val="2"/>
          <w:sz w:val="32"/>
          <w:szCs w:val="32"/>
        </w:rPr>
        <w:t>%</w:t>
      </w:r>
      <w:r>
        <w:rPr>
          <w:rFonts w:hint="eastAsia" w:hAnsi="黑体"/>
          <w:kern w:val="2"/>
          <w:sz w:val="32"/>
          <w:szCs w:val="32"/>
        </w:rPr>
        <w:t>；住房保障支出</w:t>
      </w:r>
      <w:r>
        <w:rPr>
          <w:rFonts w:hint="default" w:ascii="Times New Roman" w:hAnsi="Times New Roman" w:cs="Times New Roman"/>
          <w:kern w:val="2"/>
          <w:sz w:val="32"/>
          <w:szCs w:val="32"/>
        </w:rPr>
        <w:t>12</w:t>
      </w:r>
      <w:r>
        <w:rPr>
          <w:rFonts w:hint="eastAsia" w:hAnsi="黑体" w:cs="Times New Roman"/>
          <w:kern w:val="2"/>
          <w:sz w:val="32"/>
          <w:szCs w:val="32"/>
        </w:rPr>
        <w:t>.</w:t>
      </w:r>
      <w:r>
        <w:rPr>
          <w:rFonts w:hint="default" w:ascii="Times New Roman" w:hAnsi="Times New Roman" w:cs="Times New Roman"/>
          <w:kern w:val="2"/>
          <w:sz w:val="32"/>
          <w:szCs w:val="32"/>
        </w:rPr>
        <w:t>64</w:t>
      </w:r>
      <w:r>
        <w:rPr>
          <w:rFonts w:hint="eastAsia" w:hAnsi="黑体"/>
          <w:kern w:val="2"/>
          <w:sz w:val="32"/>
          <w:szCs w:val="32"/>
        </w:rPr>
        <w:t>万元，占</w:t>
      </w:r>
      <w:r>
        <w:rPr>
          <w:rFonts w:hint="default" w:ascii="Times New Roman" w:hAnsi="Times New Roman" w:cs="Times New Roman"/>
          <w:kern w:val="2"/>
          <w:sz w:val="32"/>
          <w:szCs w:val="32"/>
        </w:rPr>
        <w:t>4</w:t>
      </w:r>
      <w:r>
        <w:rPr>
          <w:rFonts w:hint="eastAsia" w:hAnsi="黑体" w:cs="Times New Roman"/>
          <w:kern w:val="2"/>
          <w:sz w:val="32"/>
          <w:szCs w:val="32"/>
        </w:rPr>
        <w:t>.</w:t>
      </w:r>
      <w:r>
        <w:rPr>
          <w:rFonts w:hint="default" w:ascii="Times New Roman" w:hAnsi="Times New Roman" w:cs="Times New Roman"/>
          <w:kern w:val="2"/>
          <w:sz w:val="32"/>
          <w:szCs w:val="32"/>
        </w:rPr>
        <w:t>15</w:t>
      </w:r>
      <w:r>
        <w:rPr>
          <w:rFonts w:hAnsi="黑体"/>
          <w:kern w:val="2"/>
          <w:sz w:val="32"/>
          <w:szCs w:val="32"/>
        </w:rPr>
        <w:t>%</w:t>
      </w:r>
      <w:r>
        <w:rPr>
          <w:rFonts w:hint="eastAsia" w:hAnsi="黑体"/>
          <w:kern w:val="2"/>
          <w:sz w:val="32"/>
          <w:szCs w:val="32"/>
        </w:rPr>
        <w:t>。</w:t>
      </w:r>
    </w:p>
    <w:p>
      <w:pPr>
        <w:pStyle w:val="23"/>
        <w:numPr>
          <w:ilvl w:val="0"/>
          <w:numId w:val="0"/>
        </w:numPr>
        <w:spacing w:before="0" w:line="360" w:lineRule="auto"/>
        <w:ind w:leftChars="196"/>
        <w:outlineLvl w:val="1"/>
        <w:rPr>
          <w:rFonts w:hint="eastAsia" w:hAnsi="黑体"/>
          <w:kern w:val="2"/>
          <w:sz w:val="32"/>
          <w:szCs w:val="32"/>
        </w:rPr>
      </w:pPr>
      <w:bookmarkStart w:id="12" w:name="_Toc12315"/>
      <w:r>
        <w:rPr>
          <w:rFonts w:hint="eastAsia" w:ascii="楷体_GB2312" w:hAnsi="黑体" w:eastAsia="楷体_GB2312" w:cs="楷体_GB2312"/>
          <w:b/>
          <w:bCs/>
          <w:kern w:val="2"/>
          <w:sz w:val="32"/>
          <w:szCs w:val="32"/>
          <w:lang w:eastAsia="zh-CN"/>
        </w:rPr>
        <w:t>（三）</w:t>
      </w:r>
      <w:r>
        <w:rPr>
          <w:rFonts w:hint="eastAsia" w:ascii="楷体_GB2312" w:hAnsi="黑体" w:eastAsia="楷体_GB2312" w:cs="楷体_GB2312"/>
          <w:b/>
          <w:bCs/>
          <w:kern w:val="2"/>
          <w:sz w:val="32"/>
          <w:szCs w:val="32"/>
        </w:rPr>
        <w:t>一般公共预算当年拨款具体使用情况</w:t>
      </w:r>
      <w:bookmarkEnd w:id="12"/>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0" w:firstLineChars="200"/>
        <w:textAlignment w:val="auto"/>
        <w:outlineLvl w:val="9"/>
        <w:rPr>
          <w:rFonts w:hint="eastAsia" w:hAnsi="黑体"/>
          <w:kern w:val="2"/>
          <w:sz w:val="32"/>
          <w:szCs w:val="32"/>
        </w:rPr>
      </w:pPr>
      <w:r>
        <w:rPr>
          <w:rFonts w:hint="default" w:ascii="Times New Roman" w:hAnsi="Times New Roman" w:cs="Times New Roman"/>
          <w:kern w:val="2"/>
          <w:sz w:val="32"/>
          <w:szCs w:val="32"/>
        </w:rPr>
        <w:t>1</w:t>
      </w:r>
      <w:r>
        <w:rPr>
          <w:rFonts w:hint="eastAsia" w:hAnsi="黑体"/>
          <w:kern w:val="2"/>
          <w:sz w:val="32"/>
          <w:szCs w:val="32"/>
        </w:rPr>
        <w:t>.社会保障和就业支出（类）退役军人管理事务（款）行政运行（项）：</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年预算数为</w:t>
      </w:r>
      <w:r>
        <w:rPr>
          <w:rFonts w:hint="default" w:ascii="Times New Roman" w:hAnsi="Times New Roman" w:cs="Times New Roman"/>
          <w:kern w:val="2"/>
          <w:sz w:val="32"/>
          <w:szCs w:val="32"/>
        </w:rPr>
        <w:t>47</w:t>
      </w:r>
      <w:r>
        <w:rPr>
          <w:rFonts w:hint="eastAsia" w:hAnsi="黑体"/>
          <w:kern w:val="2"/>
          <w:sz w:val="32"/>
          <w:szCs w:val="32"/>
        </w:rPr>
        <w:t>.</w:t>
      </w:r>
      <w:r>
        <w:rPr>
          <w:rFonts w:hint="default" w:ascii="Times New Roman" w:hAnsi="Times New Roman" w:cs="Times New Roman"/>
          <w:kern w:val="2"/>
          <w:sz w:val="32"/>
          <w:szCs w:val="32"/>
        </w:rPr>
        <w:t>41</w:t>
      </w:r>
      <w:r>
        <w:rPr>
          <w:rFonts w:hint="eastAsia" w:hAnsi="黑体"/>
          <w:kern w:val="2"/>
          <w:sz w:val="32"/>
          <w:szCs w:val="32"/>
        </w:rPr>
        <w:t>万元，主要用于 :</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年单位职工工资福利支出（基本工资、津补贴、绩效工资等）、日常公用经费支出（办公费、邮电费、劳务费等）、工会经费和公务用车运行维护费。</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lang w:eastAsia="zh-CN"/>
        </w:rPr>
      </w:pPr>
      <w:r>
        <w:rPr>
          <w:rFonts w:hint="default" w:ascii="Times New Roman" w:hAnsi="Times New Roman" w:cs="Times New Roman"/>
          <w:kern w:val="2"/>
          <w:sz w:val="32"/>
          <w:szCs w:val="32"/>
        </w:rPr>
        <w:t>2</w:t>
      </w:r>
      <w:r>
        <w:rPr>
          <w:rFonts w:hint="eastAsia" w:hAnsi="黑体"/>
          <w:kern w:val="2"/>
          <w:sz w:val="32"/>
          <w:szCs w:val="32"/>
        </w:rPr>
        <w:t>.社会保障和就业支出（类）退役军人管理事务（款）（款）事业运行（项）：</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年预算数为</w:t>
      </w:r>
      <w:r>
        <w:rPr>
          <w:rFonts w:hint="default" w:ascii="Times New Roman" w:hAnsi="Times New Roman" w:cs="Times New Roman"/>
          <w:kern w:val="2"/>
          <w:sz w:val="32"/>
          <w:szCs w:val="32"/>
        </w:rPr>
        <w:t>49</w:t>
      </w:r>
      <w:r>
        <w:rPr>
          <w:rFonts w:hint="eastAsia" w:hAnsi="黑体"/>
          <w:kern w:val="2"/>
          <w:sz w:val="32"/>
          <w:szCs w:val="32"/>
        </w:rPr>
        <w:t>.</w:t>
      </w:r>
      <w:r>
        <w:rPr>
          <w:rFonts w:hint="default" w:ascii="Times New Roman" w:hAnsi="Times New Roman" w:cs="Times New Roman"/>
          <w:kern w:val="2"/>
          <w:sz w:val="32"/>
          <w:szCs w:val="32"/>
        </w:rPr>
        <w:t>20</w:t>
      </w:r>
      <w:r>
        <w:rPr>
          <w:rFonts w:hint="eastAsia" w:hAnsi="黑体"/>
          <w:kern w:val="2"/>
          <w:sz w:val="32"/>
          <w:szCs w:val="32"/>
        </w:rPr>
        <w:t>万元，主要用于 :</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年单位职工工资福利支出（基本工资、津补贴、绩效工资等）</w:t>
      </w:r>
      <w:r>
        <w:rPr>
          <w:rFonts w:hint="eastAsia" w:hAnsi="黑体"/>
          <w:kern w:val="2"/>
          <w:sz w:val="32"/>
          <w:szCs w:val="32"/>
          <w:lang w:eastAsia="zh-CN"/>
        </w:rPr>
        <w:t>。</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lang w:val="en-US" w:eastAsia="zh-CN"/>
        </w:rPr>
        <w:t xml:space="preserve"> </w:t>
      </w:r>
      <w:r>
        <w:rPr>
          <w:rFonts w:hint="default" w:ascii="Times New Roman" w:hAnsi="Times New Roman" w:cs="Times New Roman"/>
          <w:kern w:val="2"/>
          <w:sz w:val="32"/>
          <w:szCs w:val="32"/>
        </w:rPr>
        <w:t>3</w:t>
      </w:r>
      <w:r>
        <w:rPr>
          <w:rFonts w:hint="eastAsia" w:hAnsi="黑体"/>
          <w:kern w:val="2"/>
          <w:sz w:val="32"/>
          <w:szCs w:val="32"/>
        </w:rPr>
        <w:t>.社会保障和就业支出（类）抚恤（款）伤残抚恤（项）</w:t>
      </w:r>
      <w:r>
        <w:rPr>
          <w:rFonts w:hint="eastAsia" w:hAnsi="黑体"/>
          <w:kern w:val="2"/>
          <w:sz w:val="32"/>
          <w:szCs w:val="32"/>
          <w:lang w:eastAsia="zh-CN"/>
        </w:rPr>
        <w:t>：</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年预算数为</w:t>
      </w:r>
      <w:r>
        <w:rPr>
          <w:rFonts w:hint="default" w:ascii="Times New Roman" w:hAnsi="Times New Roman" w:cs="Times New Roman"/>
          <w:kern w:val="2"/>
          <w:sz w:val="32"/>
          <w:szCs w:val="32"/>
        </w:rPr>
        <w:t>3</w:t>
      </w:r>
      <w:r>
        <w:rPr>
          <w:rFonts w:hint="eastAsia" w:hAnsi="黑体"/>
          <w:kern w:val="2"/>
          <w:sz w:val="32"/>
          <w:szCs w:val="32"/>
        </w:rPr>
        <w:t>.</w:t>
      </w:r>
      <w:r>
        <w:rPr>
          <w:rFonts w:hint="default" w:ascii="Times New Roman" w:hAnsi="Times New Roman" w:cs="Times New Roman"/>
          <w:kern w:val="2"/>
          <w:sz w:val="32"/>
          <w:szCs w:val="32"/>
        </w:rPr>
        <w:t>86</w:t>
      </w:r>
      <w:r>
        <w:rPr>
          <w:rFonts w:hint="eastAsia" w:hAnsi="黑体"/>
          <w:kern w:val="2"/>
          <w:sz w:val="32"/>
          <w:szCs w:val="32"/>
        </w:rPr>
        <w:t>万元，主要用于 :</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年单位</w:t>
      </w:r>
      <w:r>
        <w:rPr>
          <w:rFonts w:hint="eastAsia" w:hAnsi="黑体"/>
          <w:kern w:val="2"/>
          <w:sz w:val="32"/>
          <w:szCs w:val="32"/>
          <w:lang w:val="en-US" w:eastAsia="zh-CN"/>
        </w:rPr>
        <w:t>伤残抚恤</w:t>
      </w:r>
      <w:r>
        <w:rPr>
          <w:rFonts w:hint="eastAsia" w:hAnsi="黑体"/>
          <w:kern w:val="2"/>
          <w:sz w:val="32"/>
          <w:szCs w:val="32"/>
        </w:rPr>
        <w:t>支出。</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default" w:ascii="Times New Roman" w:hAnsi="Times New Roman" w:cs="Times New Roman"/>
          <w:kern w:val="2"/>
          <w:sz w:val="32"/>
          <w:szCs w:val="32"/>
        </w:rPr>
        <w:t>4</w:t>
      </w:r>
      <w:r>
        <w:rPr>
          <w:rFonts w:hint="eastAsia" w:hAnsi="黑体"/>
          <w:kern w:val="2"/>
          <w:sz w:val="32"/>
          <w:szCs w:val="32"/>
        </w:rPr>
        <w:t>.社会保障和就业支出（类）抚恤（款）义务兵优待支出（项）</w:t>
      </w:r>
      <w:r>
        <w:rPr>
          <w:rFonts w:hint="eastAsia" w:hAnsi="黑体"/>
          <w:kern w:val="2"/>
          <w:sz w:val="32"/>
          <w:szCs w:val="32"/>
          <w:lang w:eastAsia="zh-CN"/>
        </w:rPr>
        <w:t>：</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年预算数为</w:t>
      </w:r>
      <w:r>
        <w:rPr>
          <w:rFonts w:hint="default" w:ascii="Times New Roman" w:hAnsi="Times New Roman" w:cs="Times New Roman"/>
          <w:kern w:val="2"/>
          <w:sz w:val="32"/>
          <w:szCs w:val="32"/>
        </w:rPr>
        <w:t>17</w:t>
      </w:r>
      <w:r>
        <w:rPr>
          <w:rFonts w:hint="eastAsia" w:hAnsi="黑体"/>
          <w:kern w:val="2"/>
          <w:sz w:val="32"/>
          <w:szCs w:val="32"/>
        </w:rPr>
        <w:t>.</w:t>
      </w:r>
      <w:r>
        <w:rPr>
          <w:rFonts w:hint="default" w:ascii="Times New Roman" w:hAnsi="Times New Roman" w:cs="Times New Roman"/>
          <w:kern w:val="2"/>
          <w:sz w:val="32"/>
          <w:szCs w:val="32"/>
        </w:rPr>
        <w:t>50</w:t>
      </w:r>
      <w:r>
        <w:rPr>
          <w:rFonts w:hint="eastAsia" w:hAnsi="黑体"/>
          <w:kern w:val="2"/>
          <w:sz w:val="32"/>
          <w:szCs w:val="32"/>
        </w:rPr>
        <w:t>万元，主要用于 :</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年单位义务兵优待支出。</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default" w:ascii="Times New Roman" w:hAnsi="Times New Roman" w:cs="Times New Roman"/>
          <w:kern w:val="2"/>
          <w:sz w:val="32"/>
          <w:szCs w:val="32"/>
        </w:rPr>
        <w:t>5</w:t>
      </w:r>
      <w:r>
        <w:rPr>
          <w:rFonts w:hint="eastAsia" w:hAnsi="黑体"/>
          <w:kern w:val="2"/>
          <w:sz w:val="32"/>
          <w:szCs w:val="32"/>
        </w:rPr>
        <w:t>.社会保障和就业支出（类）抚恤（款）烈士纪念设施管理维护（项）</w:t>
      </w:r>
      <w:r>
        <w:rPr>
          <w:rFonts w:hint="eastAsia" w:hAnsi="黑体"/>
          <w:kern w:val="2"/>
          <w:sz w:val="32"/>
          <w:szCs w:val="32"/>
          <w:lang w:eastAsia="zh-CN"/>
        </w:rPr>
        <w:t>：</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年预算数为</w:t>
      </w:r>
      <w:r>
        <w:rPr>
          <w:rFonts w:hint="default" w:ascii="Times New Roman" w:hAnsi="Times New Roman" w:cs="Times New Roman"/>
          <w:kern w:val="2"/>
          <w:sz w:val="32"/>
          <w:szCs w:val="32"/>
        </w:rPr>
        <w:t>3</w:t>
      </w:r>
      <w:r>
        <w:rPr>
          <w:rFonts w:hint="eastAsia" w:hAnsi="黑体"/>
          <w:kern w:val="2"/>
          <w:sz w:val="32"/>
          <w:szCs w:val="32"/>
        </w:rPr>
        <w:t>.</w:t>
      </w:r>
      <w:r>
        <w:rPr>
          <w:rFonts w:hint="default" w:ascii="Times New Roman" w:hAnsi="Times New Roman" w:cs="Times New Roman"/>
          <w:kern w:val="2"/>
          <w:sz w:val="32"/>
          <w:szCs w:val="32"/>
        </w:rPr>
        <w:t>00</w:t>
      </w:r>
      <w:r>
        <w:rPr>
          <w:rFonts w:hint="eastAsia" w:hAnsi="黑体"/>
          <w:kern w:val="2"/>
          <w:sz w:val="32"/>
          <w:szCs w:val="32"/>
        </w:rPr>
        <w:t>万元，主要用于:</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年烈士纪念设施管理维护支出。</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default" w:ascii="Times New Roman" w:hAnsi="Times New Roman" w:cs="Times New Roman"/>
          <w:kern w:val="2"/>
          <w:sz w:val="32"/>
          <w:szCs w:val="32"/>
        </w:rPr>
        <w:t>6</w:t>
      </w:r>
      <w:r>
        <w:rPr>
          <w:rFonts w:hint="eastAsia" w:hAnsi="黑体"/>
          <w:kern w:val="2"/>
          <w:sz w:val="32"/>
          <w:szCs w:val="32"/>
        </w:rPr>
        <w:t>.社会保障和就业支出（类）抚恤（款）其他优抚支出（项）</w:t>
      </w:r>
      <w:r>
        <w:rPr>
          <w:rFonts w:hint="eastAsia" w:hAnsi="黑体"/>
          <w:kern w:val="2"/>
          <w:sz w:val="32"/>
          <w:szCs w:val="32"/>
          <w:lang w:eastAsia="zh-CN"/>
        </w:rPr>
        <w:t>：</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年预算数为</w:t>
      </w:r>
      <w:r>
        <w:rPr>
          <w:rFonts w:hint="default" w:ascii="Times New Roman" w:hAnsi="Times New Roman" w:cs="Times New Roman"/>
          <w:kern w:val="2"/>
          <w:sz w:val="32"/>
          <w:szCs w:val="32"/>
        </w:rPr>
        <w:t>5</w:t>
      </w:r>
      <w:r>
        <w:rPr>
          <w:rFonts w:hint="eastAsia" w:hAnsi="黑体"/>
          <w:kern w:val="2"/>
          <w:sz w:val="32"/>
          <w:szCs w:val="32"/>
        </w:rPr>
        <w:t>.</w:t>
      </w:r>
      <w:r>
        <w:rPr>
          <w:rFonts w:hint="default" w:ascii="Times New Roman" w:hAnsi="Times New Roman" w:cs="Times New Roman"/>
          <w:kern w:val="2"/>
          <w:sz w:val="32"/>
          <w:szCs w:val="32"/>
        </w:rPr>
        <w:t>00</w:t>
      </w:r>
      <w:r>
        <w:rPr>
          <w:rFonts w:hint="eastAsia" w:hAnsi="黑体"/>
          <w:kern w:val="2"/>
          <w:sz w:val="32"/>
          <w:szCs w:val="32"/>
        </w:rPr>
        <w:t>万元，主要用于 :</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年其他优抚支出。</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default" w:ascii="Times New Roman" w:hAnsi="Times New Roman" w:cs="Times New Roman"/>
          <w:kern w:val="2"/>
          <w:sz w:val="32"/>
          <w:szCs w:val="32"/>
          <w:lang w:val="en-US" w:eastAsia="zh-CN"/>
        </w:rPr>
        <w:t>7</w:t>
      </w:r>
      <w:r>
        <w:rPr>
          <w:rFonts w:hint="eastAsia" w:hAnsi="黑体"/>
          <w:kern w:val="2"/>
          <w:sz w:val="32"/>
          <w:szCs w:val="32"/>
        </w:rPr>
        <w:t>.社会保障和就业支出（类）退役安置（款）退役士兵安置（项）</w:t>
      </w:r>
      <w:r>
        <w:rPr>
          <w:rFonts w:hint="eastAsia" w:hAnsi="黑体"/>
          <w:kern w:val="2"/>
          <w:sz w:val="32"/>
          <w:szCs w:val="32"/>
          <w:lang w:eastAsia="zh-CN"/>
        </w:rPr>
        <w:t>：</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年预算数为</w:t>
      </w:r>
      <w:r>
        <w:rPr>
          <w:rFonts w:hint="default" w:ascii="Times New Roman" w:hAnsi="Times New Roman" w:cs="Times New Roman"/>
          <w:kern w:val="2"/>
          <w:sz w:val="32"/>
          <w:szCs w:val="32"/>
        </w:rPr>
        <w:t>6</w:t>
      </w:r>
      <w:r>
        <w:rPr>
          <w:rFonts w:hint="eastAsia" w:hAnsi="黑体"/>
          <w:kern w:val="2"/>
          <w:sz w:val="32"/>
          <w:szCs w:val="32"/>
        </w:rPr>
        <w:t>.</w:t>
      </w:r>
      <w:r>
        <w:rPr>
          <w:rFonts w:hint="default" w:ascii="Times New Roman" w:hAnsi="Times New Roman" w:cs="Times New Roman"/>
          <w:kern w:val="2"/>
          <w:sz w:val="32"/>
          <w:szCs w:val="32"/>
        </w:rPr>
        <w:t>00</w:t>
      </w:r>
      <w:r>
        <w:rPr>
          <w:rFonts w:hint="eastAsia" w:hAnsi="黑体"/>
          <w:kern w:val="2"/>
          <w:sz w:val="32"/>
          <w:szCs w:val="32"/>
        </w:rPr>
        <w:t>万元，主要用于 :</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年单位退役士兵安置支出。</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default" w:ascii="Times New Roman" w:hAnsi="Times New Roman" w:cs="Times New Roman"/>
          <w:kern w:val="2"/>
          <w:sz w:val="32"/>
          <w:szCs w:val="32"/>
          <w:lang w:val="en-US" w:eastAsia="zh-CN"/>
        </w:rPr>
        <w:t>8</w:t>
      </w:r>
      <w:r>
        <w:rPr>
          <w:rFonts w:hint="eastAsia" w:hAnsi="黑体"/>
          <w:kern w:val="2"/>
          <w:sz w:val="32"/>
          <w:szCs w:val="32"/>
        </w:rPr>
        <w:t>.社会保障和就业支出（类）退役安置（款）军队转业干部安置（项）</w:t>
      </w:r>
      <w:r>
        <w:rPr>
          <w:rFonts w:hint="eastAsia" w:hAnsi="黑体"/>
          <w:kern w:val="2"/>
          <w:sz w:val="32"/>
          <w:szCs w:val="32"/>
          <w:lang w:eastAsia="zh-CN"/>
        </w:rPr>
        <w:t>：</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年预算数为</w:t>
      </w:r>
      <w:r>
        <w:rPr>
          <w:rFonts w:hint="default" w:ascii="Times New Roman" w:hAnsi="Times New Roman" w:cs="Times New Roman"/>
          <w:kern w:val="2"/>
          <w:sz w:val="32"/>
          <w:szCs w:val="32"/>
        </w:rPr>
        <w:t>128</w:t>
      </w:r>
      <w:r>
        <w:rPr>
          <w:rFonts w:hint="eastAsia" w:hAnsi="黑体"/>
          <w:kern w:val="2"/>
          <w:sz w:val="32"/>
          <w:szCs w:val="32"/>
        </w:rPr>
        <w:t>.</w:t>
      </w:r>
      <w:r>
        <w:rPr>
          <w:rFonts w:hint="default" w:ascii="Times New Roman" w:hAnsi="Times New Roman" w:cs="Times New Roman"/>
          <w:kern w:val="2"/>
          <w:sz w:val="32"/>
          <w:szCs w:val="32"/>
        </w:rPr>
        <w:t>78</w:t>
      </w:r>
      <w:r>
        <w:rPr>
          <w:rFonts w:hint="eastAsia" w:hAnsi="黑体"/>
          <w:kern w:val="2"/>
          <w:sz w:val="32"/>
          <w:szCs w:val="32"/>
        </w:rPr>
        <w:t>万元，主要用于:</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年军队转业干部安置支出。</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default" w:ascii="Times New Roman" w:hAnsi="Times New Roman" w:cs="Times New Roman"/>
          <w:kern w:val="2"/>
          <w:sz w:val="32"/>
          <w:szCs w:val="32"/>
          <w:lang w:val="en-US" w:eastAsia="zh-CN"/>
        </w:rPr>
        <w:t>9</w:t>
      </w:r>
      <w:r>
        <w:rPr>
          <w:rFonts w:hint="eastAsia" w:hAnsi="黑体"/>
          <w:kern w:val="2"/>
          <w:sz w:val="32"/>
          <w:szCs w:val="32"/>
        </w:rPr>
        <w:t>.社会保障和就业支出（类）其他生活救助（款）其他城市生活救助（项）</w:t>
      </w:r>
      <w:r>
        <w:rPr>
          <w:rFonts w:hint="eastAsia" w:hAnsi="黑体"/>
          <w:kern w:val="2"/>
          <w:sz w:val="32"/>
          <w:szCs w:val="32"/>
          <w:lang w:eastAsia="zh-CN"/>
        </w:rPr>
        <w:t>：</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年预算数为</w:t>
      </w:r>
      <w:r>
        <w:rPr>
          <w:rFonts w:hint="default" w:ascii="Times New Roman" w:hAnsi="Times New Roman" w:cs="Times New Roman"/>
          <w:kern w:val="2"/>
          <w:sz w:val="32"/>
          <w:szCs w:val="32"/>
          <w:lang w:val="en-US" w:eastAsia="zh-CN"/>
        </w:rPr>
        <w:t>1</w:t>
      </w:r>
      <w:r>
        <w:rPr>
          <w:rFonts w:hint="eastAsia" w:hAnsi="黑体"/>
          <w:kern w:val="2"/>
          <w:sz w:val="32"/>
          <w:szCs w:val="32"/>
        </w:rPr>
        <w:t>.</w:t>
      </w:r>
      <w:r>
        <w:rPr>
          <w:rFonts w:hint="default" w:ascii="Times New Roman" w:hAnsi="Times New Roman" w:cs="Times New Roman"/>
          <w:kern w:val="2"/>
          <w:sz w:val="32"/>
          <w:szCs w:val="32"/>
        </w:rPr>
        <w:t>00</w:t>
      </w:r>
      <w:r>
        <w:rPr>
          <w:rFonts w:hint="eastAsia" w:hAnsi="黑体"/>
          <w:kern w:val="2"/>
          <w:sz w:val="32"/>
          <w:szCs w:val="32"/>
        </w:rPr>
        <w:t>万元，主要用于 :</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年单位其他城市生活救助支出。</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lang w:eastAsia="zh-CN"/>
        </w:rPr>
      </w:pPr>
      <w:r>
        <w:rPr>
          <w:rFonts w:hint="default" w:ascii="Times New Roman" w:hAnsi="Times New Roman" w:cs="Times New Roman"/>
          <w:kern w:val="2"/>
          <w:sz w:val="32"/>
          <w:szCs w:val="32"/>
          <w:lang w:val="en-US" w:eastAsia="zh-CN"/>
        </w:rPr>
        <w:t>10</w:t>
      </w:r>
      <w:r>
        <w:rPr>
          <w:rFonts w:hint="eastAsia" w:hAnsi="黑体"/>
          <w:kern w:val="2"/>
          <w:sz w:val="32"/>
          <w:szCs w:val="32"/>
        </w:rPr>
        <w:t>.社会保障和就业支出（类）退役军人管理事务（款）一般行政管理事务（项）公务员医疗补助</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年预算数为</w:t>
      </w:r>
      <w:r>
        <w:rPr>
          <w:rFonts w:hint="default" w:ascii="Times New Roman" w:hAnsi="Times New Roman" w:cs="Times New Roman"/>
          <w:kern w:val="2"/>
          <w:sz w:val="32"/>
          <w:szCs w:val="32"/>
        </w:rPr>
        <w:t>0</w:t>
      </w:r>
      <w:r>
        <w:rPr>
          <w:rFonts w:hint="eastAsia" w:hAnsi="黑体"/>
          <w:kern w:val="2"/>
          <w:sz w:val="32"/>
          <w:szCs w:val="32"/>
        </w:rPr>
        <w:t>.</w:t>
      </w:r>
      <w:r>
        <w:rPr>
          <w:rFonts w:hint="default" w:ascii="Times New Roman" w:hAnsi="Times New Roman" w:cs="Times New Roman"/>
          <w:kern w:val="2"/>
          <w:sz w:val="32"/>
          <w:szCs w:val="32"/>
        </w:rPr>
        <w:t>55</w:t>
      </w:r>
      <w:r>
        <w:rPr>
          <w:rFonts w:hint="eastAsia" w:hAnsi="黑体"/>
          <w:kern w:val="2"/>
          <w:sz w:val="32"/>
          <w:szCs w:val="32"/>
        </w:rPr>
        <w:t>万元，主要用于 :</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年单位一般行政管理事务支出</w:t>
      </w:r>
      <w:r>
        <w:rPr>
          <w:rFonts w:hint="eastAsia" w:hAnsi="黑体"/>
          <w:kern w:val="2"/>
          <w:sz w:val="32"/>
          <w:szCs w:val="32"/>
          <w:lang w:eastAsia="zh-CN"/>
        </w:rPr>
        <w:t>。</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eastAsia="仿宋_GB2312"/>
          <w:kern w:val="2"/>
          <w:sz w:val="32"/>
          <w:szCs w:val="32"/>
          <w:lang w:eastAsia="zh-CN"/>
        </w:rPr>
      </w:pPr>
      <w:r>
        <w:rPr>
          <w:rFonts w:hint="default" w:ascii="Times New Roman" w:hAnsi="Times New Roman" w:cs="Times New Roman"/>
          <w:kern w:val="2"/>
          <w:sz w:val="32"/>
          <w:szCs w:val="32"/>
          <w:lang w:val="en-US" w:eastAsia="zh-CN"/>
        </w:rPr>
        <w:t>11</w:t>
      </w:r>
      <w:r>
        <w:rPr>
          <w:rFonts w:hint="eastAsia" w:hAnsi="黑体"/>
          <w:kern w:val="2"/>
          <w:sz w:val="32"/>
          <w:szCs w:val="32"/>
        </w:rPr>
        <w:t>.卫生健康支出（类）行政事业单位医疗（款）其他行政事业单位医疗支出（项）</w:t>
      </w:r>
      <w:r>
        <w:rPr>
          <w:rFonts w:hint="eastAsia" w:hAnsi="黑体"/>
          <w:kern w:val="2"/>
          <w:sz w:val="32"/>
          <w:szCs w:val="32"/>
          <w:lang w:eastAsia="zh-CN"/>
        </w:rPr>
        <w:t>：</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年预算数为</w:t>
      </w:r>
      <w:r>
        <w:rPr>
          <w:rFonts w:hint="default" w:ascii="Times New Roman" w:hAnsi="Times New Roman" w:cs="Times New Roman"/>
          <w:kern w:val="2"/>
          <w:sz w:val="32"/>
          <w:szCs w:val="32"/>
        </w:rPr>
        <w:t>0</w:t>
      </w:r>
      <w:r>
        <w:rPr>
          <w:rFonts w:hint="eastAsia" w:hAnsi="黑体"/>
          <w:kern w:val="2"/>
          <w:sz w:val="32"/>
          <w:szCs w:val="32"/>
        </w:rPr>
        <w:t>.</w:t>
      </w:r>
      <w:r>
        <w:rPr>
          <w:rFonts w:hint="default" w:ascii="Times New Roman" w:hAnsi="Times New Roman" w:cs="Times New Roman"/>
          <w:kern w:val="2"/>
          <w:sz w:val="32"/>
          <w:szCs w:val="32"/>
        </w:rPr>
        <w:t>91</w:t>
      </w:r>
      <w:r>
        <w:rPr>
          <w:rFonts w:hint="eastAsia" w:hAnsi="黑体"/>
          <w:kern w:val="2"/>
          <w:sz w:val="32"/>
          <w:szCs w:val="32"/>
        </w:rPr>
        <w:t>万元，主要用于:</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年单位其他行政事业单位医疗支出。</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default" w:ascii="Times New Roman" w:hAnsi="Times New Roman" w:cs="Times New Roman"/>
          <w:kern w:val="2"/>
          <w:sz w:val="32"/>
          <w:szCs w:val="32"/>
          <w:lang w:val="en-US" w:eastAsia="zh-CN"/>
        </w:rPr>
        <w:t>12</w:t>
      </w:r>
      <w:r>
        <w:rPr>
          <w:rFonts w:hint="eastAsia" w:hAnsi="黑体"/>
          <w:kern w:val="2"/>
          <w:sz w:val="32"/>
          <w:szCs w:val="32"/>
        </w:rPr>
        <w:t>.社会保障和就业支出（类）行政事业单位养老支出（款）机关事业单位基本养老保险缴费支出（项）</w:t>
      </w:r>
      <w:r>
        <w:rPr>
          <w:rFonts w:hint="eastAsia" w:hAnsi="黑体"/>
          <w:kern w:val="2"/>
          <w:sz w:val="32"/>
          <w:szCs w:val="32"/>
          <w:lang w:eastAsia="zh-CN"/>
        </w:rPr>
        <w:t>：</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年预算数为</w:t>
      </w:r>
      <w:r>
        <w:rPr>
          <w:rFonts w:hint="default" w:ascii="Times New Roman" w:hAnsi="Times New Roman" w:cs="Times New Roman"/>
          <w:kern w:val="2"/>
          <w:sz w:val="32"/>
          <w:szCs w:val="32"/>
        </w:rPr>
        <w:t>12</w:t>
      </w:r>
      <w:r>
        <w:rPr>
          <w:rFonts w:hint="eastAsia" w:hAnsi="黑体"/>
          <w:kern w:val="2"/>
          <w:sz w:val="32"/>
          <w:szCs w:val="32"/>
        </w:rPr>
        <w:t>.</w:t>
      </w:r>
      <w:r>
        <w:rPr>
          <w:rFonts w:hint="default" w:ascii="Times New Roman" w:hAnsi="Times New Roman" w:cs="Times New Roman"/>
          <w:kern w:val="2"/>
          <w:sz w:val="32"/>
          <w:szCs w:val="32"/>
        </w:rPr>
        <w:t>94</w:t>
      </w:r>
      <w:r>
        <w:rPr>
          <w:rFonts w:hint="eastAsia" w:hAnsi="黑体"/>
          <w:kern w:val="2"/>
          <w:sz w:val="32"/>
          <w:szCs w:val="32"/>
        </w:rPr>
        <w:t>万元，主要用于 :</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年单位养老保险支出。</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0" w:firstLineChars="200"/>
        <w:textAlignment w:val="auto"/>
        <w:outlineLvl w:val="9"/>
        <w:rPr>
          <w:rFonts w:hint="eastAsia" w:hAnsi="黑体"/>
          <w:kern w:val="2"/>
          <w:sz w:val="32"/>
          <w:szCs w:val="32"/>
        </w:rPr>
      </w:pPr>
      <w:r>
        <w:rPr>
          <w:rFonts w:hint="default" w:ascii="Times New Roman" w:hAnsi="Times New Roman" w:cs="Times New Roman"/>
          <w:kern w:val="2"/>
          <w:sz w:val="32"/>
          <w:szCs w:val="32"/>
          <w:lang w:val="en-US" w:eastAsia="zh-CN"/>
        </w:rPr>
        <w:t>13</w:t>
      </w:r>
      <w:r>
        <w:rPr>
          <w:rFonts w:hint="eastAsia" w:hAnsi="黑体"/>
          <w:kern w:val="2"/>
          <w:sz w:val="32"/>
          <w:szCs w:val="32"/>
        </w:rPr>
        <w:t>.社会保障和就业支出（类）行政事业单位养老支出（款）机关事业单位职业年金缴费支出（项）</w:t>
      </w:r>
      <w:r>
        <w:rPr>
          <w:rFonts w:hint="eastAsia" w:hAnsi="黑体"/>
          <w:kern w:val="2"/>
          <w:sz w:val="32"/>
          <w:szCs w:val="32"/>
          <w:lang w:eastAsia="zh-CN"/>
        </w:rPr>
        <w:t>：</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年预算数为</w:t>
      </w:r>
      <w:r>
        <w:rPr>
          <w:rFonts w:hint="default" w:ascii="Times New Roman" w:hAnsi="Times New Roman" w:cs="Times New Roman"/>
          <w:kern w:val="2"/>
          <w:sz w:val="32"/>
          <w:szCs w:val="32"/>
        </w:rPr>
        <w:t>6</w:t>
      </w:r>
      <w:r>
        <w:rPr>
          <w:rFonts w:hint="eastAsia" w:hAnsi="黑体"/>
          <w:kern w:val="2"/>
          <w:sz w:val="32"/>
          <w:szCs w:val="32"/>
        </w:rPr>
        <w:t>.</w:t>
      </w:r>
      <w:r>
        <w:rPr>
          <w:rFonts w:hint="default" w:ascii="Times New Roman" w:hAnsi="Times New Roman" w:cs="Times New Roman"/>
          <w:kern w:val="2"/>
          <w:sz w:val="32"/>
          <w:szCs w:val="32"/>
        </w:rPr>
        <w:t>47</w:t>
      </w:r>
      <w:r>
        <w:rPr>
          <w:rFonts w:hint="eastAsia" w:hAnsi="黑体"/>
          <w:kern w:val="2"/>
          <w:sz w:val="32"/>
          <w:szCs w:val="32"/>
        </w:rPr>
        <w:t>万元，主要用于 :</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年单位职业年金支出。</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0" w:firstLineChars="200"/>
        <w:textAlignment w:val="auto"/>
        <w:outlineLvl w:val="9"/>
        <w:rPr>
          <w:rFonts w:hint="eastAsia" w:hAnsi="黑体"/>
          <w:kern w:val="2"/>
          <w:sz w:val="32"/>
          <w:szCs w:val="32"/>
        </w:rPr>
      </w:pPr>
      <w:r>
        <w:rPr>
          <w:rFonts w:hint="default" w:ascii="Times New Roman" w:hAnsi="Times New Roman" w:cs="Times New Roman"/>
          <w:kern w:val="2"/>
          <w:sz w:val="32"/>
          <w:szCs w:val="32"/>
          <w:lang w:val="en-US" w:eastAsia="zh-CN"/>
        </w:rPr>
        <w:t>14</w:t>
      </w:r>
      <w:r>
        <w:rPr>
          <w:rFonts w:hint="eastAsia" w:hAnsi="黑体"/>
          <w:kern w:val="2"/>
          <w:sz w:val="32"/>
          <w:szCs w:val="32"/>
        </w:rPr>
        <w:t>.卫生健康支出（类）行政事业单位医疗（款）行政单位医疗（项）</w:t>
      </w:r>
      <w:r>
        <w:rPr>
          <w:rFonts w:hint="eastAsia" w:hAnsi="黑体"/>
          <w:kern w:val="2"/>
          <w:sz w:val="32"/>
          <w:szCs w:val="32"/>
          <w:lang w:eastAsia="zh-CN"/>
        </w:rPr>
        <w:t>：</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Ansi="黑体"/>
          <w:kern w:val="2"/>
          <w:sz w:val="32"/>
          <w:szCs w:val="32"/>
        </w:rPr>
        <w:t>年</w:t>
      </w:r>
      <w:r>
        <w:rPr>
          <w:rFonts w:hint="eastAsia" w:hAnsi="黑体"/>
          <w:kern w:val="2"/>
          <w:sz w:val="32"/>
          <w:szCs w:val="32"/>
        </w:rPr>
        <w:t>预算数为</w:t>
      </w:r>
      <w:r>
        <w:rPr>
          <w:rFonts w:hint="default" w:ascii="Times New Roman" w:hAnsi="Times New Roman" w:cs="Times New Roman"/>
          <w:kern w:val="2"/>
          <w:sz w:val="32"/>
          <w:szCs w:val="32"/>
        </w:rPr>
        <w:t>2</w:t>
      </w:r>
      <w:r>
        <w:rPr>
          <w:rFonts w:hint="eastAsia" w:hAnsi="黑体"/>
          <w:kern w:val="2"/>
          <w:sz w:val="32"/>
          <w:szCs w:val="32"/>
        </w:rPr>
        <w:t>.</w:t>
      </w:r>
      <w:r>
        <w:rPr>
          <w:rFonts w:hint="default" w:ascii="Times New Roman" w:hAnsi="Times New Roman" w:cs="Times New Roman"/>
          <w:kern w:val="2"/>
          <w:sz w:val="32"/>
          <w:szCs w:val="32"/>
        </w:rPr>
        <w:t>68</w:t>
      </w:r>
      <w:r>
        <w:rPr>
          <w:rFonts w:hint="eastAsia" w:hAnsi="黑体"/>
          <w:kern w:val="2"/>
          <w:sz w:val="32"/>
          <w:szCs w:val="32"/>
        </w:rPr>
        <w:t>万元，主要用于</w:t>
      </w:r>
      <w:r>
        <w:rPr>
          <w:rFonts w:hAnsi="黑体"/>
          <w:kern w:val="2"/>
          <w:sz w:val="32"/>
          <w:szCs w:val="32"/>
        </w:rPr>
        <w:t>:</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年单位行政医疗支出。</w:t>
      </w:r>
    </w:p>
    <w:p>
      <w:pPr>
        <w:pStyle w:val="23"/>
        <w:spacing w:before="0" w:line="360" w:lineRule="auto"/>
        <w:ind w:firstLine="640" w:firstLineChars="200"/>
        <w:rPr>
          <w:rFonts w:hint="eastAsia" w:hAnsi="黑体"/>
          <w:kern w:val="2"/>
          <w:sz w:val="32"/>
          <w:szCs w:val="32"/>
        </w:rPr>
      </w:pPr>
      <w:r>
        <w:rPr>
          <w:rFonts w:hint="default" w:ascii="Times New Roman" w:hAnsi="Times New Roman" w:cs="Times New Roman"/>
          <w:kern w:val="2"/>
          <w:sz w:val="32"/>
          <w:szCs w:val="32"/>
          <w:lang w:val="en-US" w:eastAsia="zh-CN"/>
        </w:rPr>
        <w:t>15</w:t>
      </w:r>
      <w:r>
        <w:rPr>
          <w:rFonts w:hAnsi="黑体"/>
          <w:kern w:val="2"/>
          <w:sz w:val="32"/>
          <w:szCs w:val="32"/>
        </w:rPr>
        <w:t>.</w:t>
      </w:r>
      <w:r>
        <w:rPr>
          <w:rFonts w:hint="eastAsia" w:hAnsi="黑体"/>
          <w:kern w:val="2"/>
          <w:sz w:val="32"/>
          <w:szCs w:val="32"/>
        </w:rPr>
        <w:t>卫生健康支出（类）行政事业单位医疗（款）事业单位医疗（项）</w:t>
      </w:r>
      <w:r>
        <w:rPr>
          <w:rFonts w:hint="eastAsia" w:hAnsi="黑体"/>
          <w:kern w:val="2"/>
          <w:sz w:val="32"/>
          <w:szCs w:val="32"/>
          <w:lang w:eastAsia="zh-CN"/>
        </w:rPr>
        <w:t>：</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Ansi="黑体"/>
          <w:kern w:val="2"/>
          <w:sz w:val="32"/>
          <w:szCs w:val="32"/>
        </w:rPr>
        <w:t>年</w:t>
      </w:r>
      <w:r>
        <w:rPr>
          <w:rFonts w:hint="eastAsia" w:hAnsi="黑体"/>
          <w:kern w:val="2"/>
          <w:sz w:val="32"/>
          <w:szCs w:val="32"/>
        </w:rPr>
        <w:t>预算数为</w:t>
      </w:r>
      <w:r>
        <w:rPr>
          <w:rFonts w:hint="default" w:ascii="Times New Roman" w:hAnsi="Times New Roman" w:cs="Times New Roman"/>
          <w:kern w:val="2"/>
          <w:sz w:val="32"/>
          <w:szCs w:val="32"/>
        </w:rPr>
        <w:t>2</w:t>
      </w:r>
      <w:r>
        <w:rPr>
          <w:rFonts w:hint="eastAsia" w:hAnsi="黑体"/>
          <w:kern w:val="2"/>
          <w:sz w:val="32"/>
          <w:szCs w:val="32"/>
        </w:rPr>
        <w:t>.</w:t>
      </w:r>
      <w:r>
        <w:rPr>
          <w:rFonts w:hint="default" w:ascii="Times New Roman" w:hAnsi="Times New Roman" w:cs="Times New Roman"/>
          <w:kern w:val="2"/>
          <w:sz w:val="32"/>
          <w:szCs w:val="32"/>
        </w:rPr>
        <w:t>98</w:t>
      </w:r>
      <w:r>
        <w:rPr>
          <w:rFonts w:hint="eastAsia" w:hAnsi="黑体"/>
          <w:kern w:val="2"/>
          <w:sz w:val="32"/>
          <w:szCs w:val="32"/>
        </w:rPr>
        <w:t>万元，主要用于</w:t>
      </w:r>
      <w:r>
        <w:rPr>
          <w:rFonts w:hAnsi="黑体"/>
          <w:kern w:val="2"/>
          <w:sz w:val="32"/>
          <w:szCs w:val="32"/>
        </w:rPr>
        <w:t xml:space="preserve"> :</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年单位事业医疗支出。</w:t>
      </w:r>
    </w:p>
    <w:p>
      <w:pPr>
        <w:pStyle w:val="23"/>
        <w:spacing w:before="0" w:line="360" w:lineRule="auto"/>
        <w:ind w:firstLine="640" w:firstLineChars="200"/>
        <w:rPr>
          <w:rFonts w:hint="eastAsia" w:hAnsi="黑体"/>
          <w:kern w:val="2"/>
          <w:sz w:val="32"/>
          <w:szCs w:val="32"/>
        </w:rPr>
      </w:pPr>
      <w:r>
        <w:rPr>
          <w:rFonts w:hint="default" w:ascii="Times New Roman" w:hAnsi="Times New Roman" w:cs="Times New Roman"/>
          <w:kern w:val="2"/>
          <w:sz w:val="32"/>
          <w:szCs w:val="32"/>
          <w:lang w:val="en-US" w:eastAsia="zh-CN"/>
        </w:rPr>
        <w:t>16</w:t>
      </w:r>
      <w:r>
        <w:rPr>
          <w:rFonts w:hAnsi="黑体"/>
          <w:kern w:val="2"/>
          <w:sz w:val="32"/>
          <w:szCs w:val="32"/>
        </w:rPr>
        <w:t>.</w:t>
      </w:r>
      <w:r>
        <w:rPr>
          <w:rFonts w:hint="eastAsia" w:hAnsi="黑体"/>
          <w:kern w:val="2"/>
          <w:sz w:val="32"/>
          <w:szCs w:val="32"/>
        </w:rPr>
        <w:t>卫生健康支出（类）行政事业单位医疗（款）公务员医疗补助（项）公务员医疗补助</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Ansi="黑体"/>
          <w:kern w:val="2"/>
          <w:sz w:val="32"/>
          <w:szCs w:val="32"/>
        </w:rPr>
        <w:t>年</w:t>
      </w:r>
      <w:r>
        <w:rPr>
          <w:rFonts w:hint="eastAsia" w:hAnsi="黑体"/>
          <w:kern w:val="2"/>
          <w:sz w:val="32"/>
          <w:szCs w:val="32"/>
        </w:rPr>
        <w:t>预算数为</w:t>
      </w:r>
      <w:r>
        <w:rPr>
          <w:rFonts w:hint="default" w:ascii="Times New Roman" w:hAnsi="Times New Roman" w:cs="Times New Roman"/>
          <w:kern w:val="2"/>
          <w:sz w:val="32"/>
          <w:szCs w:val="32"/>
        </w:rPr>
        <w:t>0</w:t>
      </w:r>
      <w:r>
        <w:rPr>
          <w:rFonts w:hint="eastAsia" w:hAnsi="黑体"/>
          <w:kern w:val="2"/>
          <w:sz w:val="32"/>
          <w:szCs w:val="32"/>
        </w:rPr>
        <w:t>.</w:t>
      </w:r>
      <w:r>
        <w:rPr>
          <w:rFonts w:hint="default" w:ascii="Times New Roman" w:hAnsi="Times New Roman" w:cs="Times New Roman"/>
          <w:kern w:val="2"/>
          <w:sz w:val="32"/>
          <w:szCs w:val="32"/>
        </w:rPr>
        <w:t>55</w:t>
      </w:r>
      <w:r>
        <w:rPr>
          <w:rFonts w:hint="eastAsia" w:hAnsi="黑体"/>
          <w:kern w:val="2"/>
          <w:sz w:val="32"/>
          <w:szCs w:val="32"/>
        </w:rPr>
        <w:t>万元，主要用于</w:t>
      </w:r>
      <w:r>
        <w:rPr>
          <w:rFonts w:hAnsi="黑体"/>
          <w:kern w:val="2"/>
          <w:sz w:val="32"/>
          <w:szCs w:val="32"/>
        </w:rPr>
        <w:t xml:space="preserve"> :</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年单位公务员医疗补助支出。</w:t>
      </w:r>
    </w:p>
    <w:p>
      <w:pPr>
        <w:pStyle w:val="23"/>
        <w:spacing w:before="0" w:line="360" w:lineRule="auto"/>
        <w:ind w:firstLine="640" w:firstLineChars="200"/>
        <w:rPr>
          <w:rFonts w:hAnsi="黑体"/>
          <w:kern w:val="2"/>
          <w:sz w:val="32"/>
          <w:szCs w:val="32"/>
        </w:rPr>
      </w:pPr>
      <w:r>
        <w:rPr>
          <w:rFonts w:hint="default" w:ascii="Times New Roman" w:hAnsi="Times New Roman" w:cs="Times New Roman"/>
          <w:kern w:val="2"/>
          <w:sz w:val="32"/>
          <w:szCs w:val="32"/>
          <w:lang w:val="en-US" w:eastAsia="zh-CN"/>
        </w:rPr>
        <w:t>17</w:t>
      </w:r>
      <w:r>
        <w:rPr>
          <w:rFonts w:hAnsi="黑体"/>
          <w:kern w:val="2"/>
          <w:sz w:val="32"/>
          <w:szCs w:val="32"/>
        </w:rPr>
        <w:t>.</w:t>
      </w:r>
      <w:r>
        <w:rPr>
          <w:rFonts w:hint="eastAsia" w:hAnsi="黑体"/>
          <w:kern w:val="2"/>
          <w:sz w:val="32"/>
          <w:szCs w:val="32"/>
        </w:rPr>
        <w:t>住房保障支出（类）住房改革支出（款）住房公积金（项）</w:t>
      </w:r>
      <w:r>
        <w:rPr>
          <w:rFonts w:hint="eastAsia" w:hAnsi="黑体"/>
          <w:kern w:val="2"/>
          <w:sz w:val="32"/>
          <w:szCs w:val="32"/>
          <w:lang w:eastAsia="zh-CN"/>
        </w:rPr>
        <w:t>：</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Ansi="黑体"/>
          <w:kern w:val="2"/>
          <w:sz w:val="32"/>
          <w:szCs w:val="32"/>
        </w:rPr>
        <w:t>年</w:t>
      </w:r>
      <w:r>
        <w:rPr>
          <w:rFonts w:hint="eastAsia" w:hAnsi="黑体"/>
          <w:kern w:val="2"/>
          <w:sz w:val="32"/>
          <w:szCs w:val="32"/>
        </w:rPr>
        <w:t>预算数为</w:t>
      </w:r>
      <w:r>
        <w:rPr>
          <w:rFonts w:hint="default" w:ascii="Times New Roman" w:hAnsi="Times New Roman" w:cs="Times New Roman"/>
          <w:kern w:val="2"/>
          <w:sz w:val="32"/>
          <w:szCs w:val="32"/>
        </w:rPr>
        <w:t>12</w:t>
      </w:r>
      <w:r>
        <w:rPr>
          <w:rFonts w:hint="eastAsia" w:hAnsi="黑体"/>
          <w:kern w:val="2"/>
          <w:sz w:val="32"/>
          <w:szCs w:val="32"/>
        </w:rPr>
        <w:t>.</w:t>
      </w:r>
      <w:r>
        <w:rPr>
          <w:rFonts w:hint="default" w:ascii="Times New Roman" w:hAnsi="Times New Roman" w:cs="Times New Roman"/>
          <w:kern w:val="2"/>
          <w:sz w:val="32"/>
          <w:szCs w:val="32"/>
        </w:rPr>
        <w:t>64</w:t>
      </w:r>
      <w:r>
        <w:rPr>
          <w:rFonts w:hint="eastAsia" w:hAnsi="黑体"/>
          <w:kern w:val="2"/>
          <w:sz w:val="32"/>
          <w:szCs w:val="32"/>
        </w:rPr>
        <w:t>万元，主要用于</w:t>
      </w:r>
      <w:r>
        <w:rPr>
          <w:rFonts w:hAnsi="黑体"/>
          <w:kern w:val="2"/>
          <w:sz w:val="32"/>
          <w:szCs w:val="32"/>
        </w:rPr>
        <w:t xml:space="preserve"> :</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int="eastAsia" w:hAnsi="黑体"/>
          <w:kern w:val="2"/>
          <w:sz w:val="32"/>
          <w:szCs w:val="32"/>
        </w:rPr>
        <w:t>年单位住房公积金支出。</w:t>
      </w:r>
    </w:p>
    <w:p>
      <w:pPr>
        <w:pStyle w:val="23"/>
        <w:numPr>
          <w:ilvl w:val="0"/>
          <w:numId w:val="0"/>
        </w:numPr>
        <w:spacing w:before="0" w:line="360" w:lineRule="auto"/>
        <w:ind w:leftChars="196"/>
        <w:outlineLvl w:val="0"/>
        <w:rPr>
          <w:rFonts w:hint="eastAsia" w:ascii="黑体" w:hAnsi="黑体" w:eastAsia="黑体" w:cs="黑体"/>
          <w:kern w:val="2"/>
          <w:sz w:val="32"/>
          <w:szCs w:val="32"/>
        </w:rPr>
      </w:pPr>
      <w:bookmarkStart w:id="13" w:name="_Toc18201"/>
      <w:r>
        <w:rPr>
          <w:rFonts w:hint="eastAsia" w:ascii="黑体" w:hAnsi="黑体" w:eastAsia="黑体" w:cs="黑体"/>
          <w:kern w:val="2"/>
          <w:sz w:val="32"/>
          <w:szCs w:val="32"/>
          <w:lang w:val="en-US" w:eastAsia="zh-CN"/>
        </w:rPr>
        <w:t>六、</w:t>
      </w:r>
      <w:r>
        <w:rPr>
          <w:rFonts w:hint="eastAsia" w:ascii="黑体" w:hAnsi="黑体" w:eastAsia="黑体" w:cs="黑体"/>
          <w:kern w:val="2"/>
          <w:sz w:val="32"/>
          <w:szCs w:val="32"/>
        </w:rPr>
        <w:t>一般公共预算基本支出情况说明</w:t>
      </w:r>
      <w:bookmarkEnd w:id="13"/>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0" w:firstLineChars="200"/>
        <w:textAlignment w:val="auto"/>
        <w:outlineLvl w:val="9"/>
        <w:rPr>
          <w:rFonts w:hAnsi="黑体" w:cs="Times New Roman"/>
          <w:kern w:val="2"/>
          <w:sz w:val="32"/>
          <w:szCs w:val="32"/>
        </w:rPr>
      </w:pPr>
      <w:r>
        <w:rPr>
          <w:rFonts w:hint="eastAsia" w:hAnsi="黑体"/>
          <w:kern w:val="2"/>
          <w:sz w:val="32"/>
          <w:szCs w:val="32"/>
        </w:rPr>
        <w:t>壤塘县退役军人事务局</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Ansi="黑体"/>
          <w:kern w:val="2"/>
          <w:sz w:val="32"/>
          <w:szCs w:val="32"/>
        </w:rPr>
        <w:t>年</w:t>
      </w:r>
      <w:r>
        <w:rPr>
          <w:rFonts w:hint="eastAsia" w:hAnsi="黑体"/>
          <w:kern w:val="2"/>
          <w:sz w:val="32"/>
          <w:szCs w:val="32"/>
        </w:rPr>
        <w:t>一般公共预算基本支出</w:t>
      </w:r>
      <w:r>
        <w:rPr>
          <w:rFonts w:hint="default" w:ascii="Times New Roman" w:hAnsi="Times New Roman" w:cs="Times New Roman"/>
          <w:kern w:val="2"/>
          <w:sz w:val="32"/>
          <w:szCs w:val="32"/>
        </w:rPr>
        <w:t>135</w:t>
      </w:r>
      <w:r>
        <w:rPr>
          <w:rFonts w:hint="eastAsia" w:hAnsi="黑体"/>
          <w:kern w:val="2"/>
          <w:sz w:val="32"/>
          <w:szCs w:val="32"/>
        </w:rPr>
        <w:t>.</w:t>
      </w:r>
      <w:r>
        <w:rPr>
          <w:rFonts w:hint="default" w:ascii="Times New Roman" w:hAnsi="Times New Roman" w:cs="Times New Roman"/>
          <w:kern w:val="2"/>
          <w:sz w:val="32"/>
          <w:szCs w:val="32"/>
        </w:rPr>
        <w:t>79</w:t>
      </w:r>
      <w:r>
        <w:rPr>
          <w:rFonts w:hint="eastAsia" w:hAnsi="黑体"/>
          <w:kern w:val="2"/>
          <w:sz w:val="32"/>
          <w:szCs w:val="32"/>
        </w:rPr>
        <w:t>万元，其中：人员经费</w:t>
      </w:r>
      <w:r>
        <w:rPr>
          <w:rFonts w:hint="default" w:ascii="Times New Roman" w:hAnsi="Times New Roman" w:cs="Times New Roman"/>
          <w:kern w:val="2"/>
          <w:sz w:val="32"/>
          <w:szCs w:val="32"/>
        </w:rPr>
        <w:t>121</w:t>
      </w:r>
      <w:r>
        <w:rPr>
          <w:rFonts w:hint="eastAsia" w:hAnsi="黑体"/>
          <w:kern w:val="2"/>
          <w:sz w:val="32"/>
          <w:szCs w:val="32"/>
        </w:rPr>
        <w:t>.</w:t>
      </w:r>
      <w:r>
        <w:rPr>
          <w:rFonts w:hint="default" w:ascii="Times New Roman" w:hAnsi="Times New Roman" w:cs="Times New Roman"/>
          <w:kern w:val="2"/>
          <w:sz w:val="32"/>
          <w:szCs w:val="32"/>
        </w:rPr>
        <w:t>77</w:t>
      </w:r>
      <w:r>
        <w:rPr>
          <w:rFonts w:hint="eastAsia" w:hAnsi="黑体"/>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default" w:ascii="Times New Roman" w:hAnsi="Times New Roman" w:cs="Times New Roman"/>
          <w:kern w:val="2"/>
          <w:sz w:val="32"/>
          <w:szCs w:val="32"/>
        </w:rPr>
        <w:t>14</w:t>
      </w:r>
      <w:r>
        <w:rPr>
          <w:rFonts w:hint="eastAsia" w:hAnsi="黑体"/>
          <w:kern w:val="2"/>
          <w:sz w:val="32"/>
          <w:szCs w:val="32"/>
        </w:rPr>
        <w:t>.</w:t>
      </w:r>
      <w:r>
        <w:rPr>
          <w:rFonts w:hint="default" w:ascii="Times New Roman" w:hAnsi="Times New Roman" w:cs="Times New Roman"/>
          <w:kern w:val="2"/>
          <w:sz w:val="32"/>
          <w:szCs w:val="32"/>
        </w:rPr>
        <w:t>02</w:t>
      </w:r>
      <w:r>
        <w:rPr>
          <w:rFonts w:hint="eastAsia" w:hAnsi="黑体"/>
          <w:kern w:val="2"/>
          <w:sz w:val="32"/>
          <w:szCs w:val="32"/>
        </w:rPr>
        <w:t>万元，主要包括：办公费、印刷费、手续费、水费、电费、邮电费、差旅费、维修（护）费、租赁费、会议费、培训费、劳务费、工会经费、福利费、其他交通工具运行维护费、其他商品和服务支出。</w:t>
      </w:r>
    </w:p>
    <w:p>
      <w:pPr>
        <w:pStyle w:val="23"/>
        <w:numPr>
          <w:ilvl w:val="0"/>
          <w:numId w:val="2"/>
        </w:numPr>
        <w:spacing w:before="0" w:line="360" w:lineRule="auto"/>
        <w:ind w:left="-10" w:leftChars="0" w:firstLine="640" w:firstLineChars="0"/>
        <w:outlineLvl w:val="0"/>
        <w:rPr>
          <w:rFonts w:hint="eastAsia" w:ascii="黑体" w:hAnsi="黑体" w:eastAsia="黑体" w:cs="黑体"/>
          <w:kern w:val="2"/>
          <w:sz w:val="32"/>
          <w:szCs w:val="32"/>
        </w:rPr>
      </w:pPr>
      <w:bookmarkStart w:id="14" w:name="_Toc22103"/>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bookmarkEnd w:id="14"/>
    </w:p>
    <w:p>
      <w:pPr>
        <w:pStyle w:val="23"/>
        <w:numPr>
          <w:ilvl w:val="0"/>
          <w:numId w:val="0"/>
        </w:numPr>
        <w:spacing w:before="0" w:line="360" w:lineRule="auto"/>
        <w:ind w:firstLine="640" w:firstLineChars="200"/>
        <w:outlineLvl w:val="9"/>
        <w:rPr>
          <w:rFonts w:hint="eastAsia" w:hAnsi="黑体"/>
          <w:kern w:val="2"/>
          <w:sz w:val="32"/>
          <w:szCs w:val="32"/>
        </w:rPr>
      </w:pPr>
      <w:r>
        <w:rPr>
          <w:rFonts w:hint="eastAsia" w:hAnsi="黑体"/>
          <w:kern w:val="2"/>
          <w:sz w:val="32"/>
          <w:szCs w:val="32"/>
        </w:rPr>
        <w:t>壤塘县退役军人事务局</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default" w:ascii="Times New Roman" w:hAnsi="Times New Roman" w:cs="Times New Roman"/>
          <w:kern w:val="2"/>
          <w:sz w:val="32"/>
          <w:szCs w:val="32"/>
        </w:rPr>
        <w:t>4</w:t>
      </w:r>
      <w:r>
        <w:rPr>
          <w:rFonts w:hint="eastAsia" w:hAnsi="黑体"/>
          <w:kern w:val="2"/>
          <w:sz w:val="32"/>
          <w:szCs w:val="32"/>
        </w:rPr>
        <w:t>万元，其中：公务用车购置及运行维护费</w:t>
      </w:r>
      <w:r>
        <w:rPr>
          <w:rFonts w:hint="default" w:ascii="Times New Roman" w:hAnsi="Times New Roman" w:cs="Times New Roman"/>
          <w:kern w:val="2"/>
          <w:sz w:val="32"/>
          <w:szCs w:val="32"/>
        </w:rPr>
        <w:t>4</w:t>
      </w:r>
      <w:r>
        <w:rPr>
          <w:rFonts w:hint="eastAsia" w:hAnsi="黑体"/>
          <w:kern w:val="2"/>
          <w:sz w:val="32"/>
          <w:szCs w:val="32"/>
        </w:rPr>
        <w:t>万元。</w:t>
      </w:r>
    </w:p>
    <w:p>
      <w:pPr>
        <w:pStyle w:val="23"/>
        <w:numPr>
          <w:ilvl w:val="0"/>
          <w:numId w:val="2"/>
        </w:numPr>
        <w:spacing w:before="0" w:line="360" w:lineRule="auto"/>
        <w:ind w:left="-10" w:leftChars="0" w:firstLine="640" w:firstLineChars="0"/>
        <w:outlineLvl w:val="0"/>
        <w:rPr>
          <w:rFonts w:hint="eastAsia" w:ascii="黑体" w:hAnsi="黑体" w:eastAsia="黑体" w:cs="黑体"/>
          <w:kern w:val="2"/>
          <w:sz w:val="32"/>
          <w:szCs w:val="32"/>
        </w:rPr>
      </w:pPr>
      <w:bookmarkStart w:id="15" w:name="_Toc19110"/>
      <w:r>
        <w:rPr>
          <w:rFonts w:hint="eastAsia" w:ascii="黑体" w:hAnsi="黑体" w:eastAsia="黑体" w:cs="黑体"/>
          <w:kern w:val="2"/>
          <w:sz w:val="32"/>
          <w:szCs w:val="32"/>
        </w:rPr>
        <w:t>政府性基金预算支出情况说明</w:t>
      </w:r>
      <w:bookmarkEnd w:id="15"/>
    </w:p>
    <w:p>
      <w:pPr>
        <w:pStyle w:val="23"/>
        <w:numPr>
          <w:ilvl w:val="0"/>
          <w:numId w:val="0"/>
        </w:numPr>
        <w:spacing w:before="0" w:line="360" w:lineRule="auto"/>
        <w:ind w:leftChars="200"/>
        <w:outlineLvl w:val="9"/>
        <w:rPr>
          <w:rFonts w:hint="default" w:hAnsi="黑体"/>
          <w:kern w:val="2"/>
          <w:sz w:val="32"/>
          <w:szCs w:val="32"/>
          <w:lang w:val="en-US" w:eastAsia="zh-CN"/>
        </w:rPr>
      </w:pPr>
      <w:r>
        <w:rPr>
          <w:rFonts w:hint="eastAsia" w:hAnsi="黑体"/>
          <w:kern w:val="2"/>
          <w:sz w:val="32"/>
          <w:szCs w:val="32"/>
        </w:rPr>
        <w:t>壤塘县退役军人事务局</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Ansi="黑体"/>
          <w:kern w:val="2"/>
          <w:sz w:val="32"/>
          <w:szCs w:val="32"/>
        </w:rPr>
        <w:t>年</w:t>
      </w:r>
      <w:r>
        <w:rPr>
          <w:rFonts w:hint="eastAsia" w:hAnsi="黑体"/>
          <w:kern w:val="2"/>
          <w:sz w:val="32"/>
          <w:szCs w:val="32"/>
        </w:rPr>
        <w:t>无政府性基金预算拨款。</w:t>
      </w:r>
    </w:p>
    <w:p>
      <w:pPr>
        <w:pStyle w:val="23"/>
        <w:numPr>
          <w:ilvl w:val="0"/>
          <w:numId w:val="3"/>
        </w:numPr>
        <w:spacing w:before="0" w:line="360" w:lineRule="auto"/>
        <w:ind w:left="580" w:leftChars="0" w:firstLine="0" w:firstLineChars="0"/>
        <w:outlineLvl w:val="1"/>
        <w:rPr>
          <w:rFonts w:hint="eastAsia" w:ascii="楷体_GB2312" w:hAnsi="黑体" w:eastAsia="楷体_GB2312" w:cs="楷体_GB2312"/>
          <w:b/>
          <w:bCs/>
          <w:kern w:val="2"/>
          <w:sz w:val="32"/>
          <w:szCs w:val="32"/>
        </w:rPr>
      </w:pPr>
      <w:bookmarkStart w:id="16" w:name="_Toc9078"/>
      <w:r>
        <w:rPr>
          <w:rFonts w:hint="eastAsia" w:ascii="楷体_GB2312" w:hAnsi="黑体" w:eastAsia="楷体_GB2312" w:cs="楷体_GB2312"/>
          <w:b/>
          <w:bCs/>
          <w:kern w:val="2"/>
          <w:sz w:val="32"/>
          <w:szCs w:val="32"/>
        </w:rPr>
        <w:t>机关运行经费</w:t>
      </w:r>
      <w:bookmarkEnd w:id="16"/>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0" w:leftChars="0" w:firstLine="640" w:firstLineChars="200"/>
        <w:textAlignment w:val="auto"/>
        <w:outlineLvl w:val="9"/>
        <w:rPr>
          <w:rFonts w:hint="default" w:hAnsi="黑体"/>
          <w:kern w:val="2"/>
          <w:sz w:val="32"/>
          <w:szCs w:val="32"/>
          <w:lang w:val="en-US" w:eastAsia="zh-CN"/>
        </w:rPr>
      </w:pPr>
      <w:r>
        <w:rPr>
          <w:rFonts w:hint="eastAsia" w:hAnsi="黑体"/>
          <w:kern w:val="2"/>
          <w:sz w:val="32"/>
          <w:szCs w:val="32"/>
        </w:rPr>
        <w:t>壤塘县退役军人事务局</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Ansi="黑体"/>
          <w:kern w:val="2"/>
          <w:sz w:val="32"/>
          <w:szCs w:val="32"/>
        </w:rPr>
        <w:t>年</w:t>
      </w:r>
      <w:r>
        <w:rPr>
          <w:rFonts w:hint="eastAsia" w:hAnsi="黑体"/>
          <w:color w:val="auto"/>
          <w:kern w:val="2"/>
          <w:sz w:val="32"/>
          <w:szCs w:val="32"/>
        </w:rPr>
        <w:t>机关运行经费</w:t>
      </w:r>
      <w:r>
        <w:rPr>
          <w:rFonts w:hint="eastAsia" w:hAnsi="黑体"/>
          <w:kern w:val="2"/>
          <w:sz w:val="32"/>
          <w:szCs w:val="32"/>
        </w:rPr>
        <w:t>财政拨款预算为</w:t>
      </w:r>
      <w:r>
        <w:rPr>
          <w:rFonts w:hint="default" w:ascii="Times New Roman" w:hAnsi="Times New Roman" w:cs="Times New Roman"/>
          <w:kern w:val="2"/>
          <w:sz w:val="32"/>
          <w:szCs w:val="32"/>
        </w:rPr>
        <w:t>14</w:t>
      </w:r>
      <w:r>
        <w:rPr>
          <w:rFonts w:hint="eastAsia" w:hAnsi="黑体"/>
          <w:kern w:val="2"/>
          <w:sz w:val="32"/>
          <w:szCs w:val="32"/>
        </w:rPr>
        <w:t>.</w:t>
      </w:r>
      <w:r>
        <w:rPr>
          <w:rFonts w:hint="default" w:ascii="Times New Roman" w:hAnsi="Times New Roman" w:cs="Times New Roman"/>
          <w:kern w:val="2"/>
          <w:sz w:val="32"/>
          <w:szCs w:val="32"/>
        </w:rPr>
        <w:t>02</w:t>
      </w:r>
      <w:r>
        <w:rPr>
          <w:rFonts w:hint="eastAsia" w:hAnsi="黑体"/>
          <w:kern w:val="2"/>
          <w:sz w:val="32"/>
          <w:szCs w:val="32"/>
        </w:rPr>
        <w:t>万元，比</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1</w:t>
      </w:r>
      <w:r>
        <w:rPr>
          <w:rFonts w:hint="eastAsia" w:hAnsi="黑体"/>
          <w:kern w:val="2"/>
          <w:sz w:val="32"/>
          <w:szCs w:val="32"/>
        </w:rPr>
        <w:t>年预算增加</w:t>
      </w:r>
      <w:r>
        <w:rPr>
          <w:rFonts w:hint="default" w:ascii="Times New Roman" w:hAnsi="Times New Roman" w:cs="Times New Roman"/>
          <w:kern w:val="2"/>
          <w:sz w:val="32"/>
          <w:szCs w:val="32"/>
          <w:lang w:val="en-US" w:eastAsia="zh-CN"/>
        </w:rPr>
        <w:t>2</w:t>
      </w:r>
      <w:r>
        <w:rPr>
          <w:rFonts w:hint="eastAsia" w:hAnsi="黑体"/>
          <w:kern w:val="2"/>
          <w:sz w:val="32"/>
          <w:szCs w:val="32"/>
          <w:lang w:val="en-US" w:eastAsia="zh-CN"/>
        </w:rPr>
        <w:t>.</w:t>
      </w:r>
      <w:r>
        <w:rPr>
          <w:rFonts w:hint="default" w:ascii="Times New Roman" w:hAnsi="Times New Roman" w:cs="Times New Roman"/>
          <w:kern w:val="2"/>
          <w:sz w:val="32"/>
          <w:szCs w:val="32"/>
          <w:lang w:val="en-US" w:eastAsia="zh-CN"/>
        </w:rPr>
        <w:t>02</w:t>
      </w:r>
      <w:r>
        <w:rPr>
          <w:rFonts w:hint="eastAsia" w:hAnsi="黑体"/>
          <w:kern w:val="2"/>
          <w:sz w:val="32"/>
          <w:szCs w:val="32"/>
        </w:rPr>
        <w:t>万元，增长</w:t>
      </w:r>
      <w:r>
        <w:rPr>
          <w:rFonts w:hint="default" w:ascii="Times New Roman" w:hAnsi="Times New Roman" w:cs="Times New Roman"/>
          <w:kern w:val="2"/>
          <w:sz w:val="32"/>
          <w:szCs w:val="32"/>
        </w:rPr>
        <w:t>16</w:t>
      </w:r>
      <w:r>
        <w:rPr>
          <w:rFonts w:hint="eastAsia" w:hAnsi="黑体"/>
          <w:kern w:val="2"/>
          <w:sz w:val="32"/>
          <w:szCs w:val="32"/>
        </w:rPr>
        <w:t>.</w:t>
      </w:r>
      <w:r>
        <w:rPr>
          <w:rFonts w:hint="default" w:ascii="Times New Roman" w:hAnsi="Times New Roman" w:cs="Times New Roman"/>
          <w:kern w:val="2"/>
          <w:sz w:val="32"/>
          <w:szCs w:val="32"/>
        </w:rPr>
        <w:t>83</w:t>
      </w:r>
      <w:r>
        <w:rPr>
          <w:rFonts w:hint="eastAsia" w:hAnsi="黑体"/>
          <w:kern w:val="2"/>
          <w:sz w:val="32"/>
          <w:szCs w:val="32"/>
        </w:rPr>
        <w:t>%。</w:t>
      </w:r>
      <w:r>
        <w:rPr>
          <w:rFonts w:hint="eastAsia" w:hAnsi="黑体"/>
          <w:kern w:val="2"/>
          <w:sz w:val="32"/>
          <w:szCs w:val="32"/>
          <w:lang w:val="en-US" w:eastAsia="zh-CN"/>
        </w:rPr>
        <w:t>主要原因是单位人员变动。</w:t>
      </w:r>
    </w:p>
    <w:p>
      <w:pPr>
        <w:pStyle w:val="23"/>
        <w:numPr>
          <w:ilvl w:val="0"/>
          <w:numId w:val="0"/>
        </w:numPr>
        <w:spacing w:before="0" w:line="360" w:lineRule="auto"/>
        <w:ind w:left="580" w:leftChars="0"/>
        <w:outlineLvl w:val="1"/>
        <w:rPr>
          <w:rFonts w:hAnsi="黑体" w:cs="Times New Roman"/>
          <w:kern w:val="2"/>
          <w:sz w:val="32"/>
          <w:szCs w:val="32"/>
        </w:rPr>
      </w:pPr>
      <w:bookmarkStart w:id="17" w:name="_Toc12094"/>
      <w:r>
        <w:rPr>
          <w:rFonts w:hint="eastAsia" w:ascii="楷体_GB2312" w:hAnsi="黑体" w:eastAsia="楷体_GB2312" w:cs="楷体_GB2312"/>
          <w:b/>
          <w:bCs/>
          <w:kern w:val="2"/>
          <w:sz w:val="32"/>
          <w:szCs w:val="32"/>
        </w:rPr>
        <w:t>（二）政府采购情况</w:t>
      </w:r>
      <w:bookmarkEnd w:id="17"/>
    </w:p>
    <w:p>
      <w:pPr>
        <w:pStyle w:val="23"/>
        <w:spacing w:before="0" w:line="360" w:lineRule="auto"/>
        <w:ind w:firstLine="640" w:firstLineChars="200"/>
        <w:rPr>
          <w:rFonts w:hAnsi="黑体"/>
          <w:kern w:val="2"/>
          <w:sz w:val="32"/>
          <w:szCs w:val="32"/>
        </w:rPr>
      </w:pP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Ansi="黑体"/>
          <w:kern w:val="2"/>
          <w:sz w:val="32"/>
          <w:szCs w:val="32"/>
        </w:rPr>
        <w:t>年</w:t>
      </w:r>
      <w:r>
        <w:rPr>
          <w:rFonts w:hint="eastAsia" w:hAnsi="黑体"/>
          <w:kern w:val="2"/>
          <w:sz w:val="32"/>
          <w:szCs w:val="32"/>
        </w:rPr>
        <w:t>壤塘县退役军人事务局未安排政府采购预算。</w:t>
      </w:r>
    </w:p>
    <w:p>
      <w:pPr>
        <w:pStyle w:val="23"/>
        <w:numPr>
          <w:ilvl w:val="0"/>
          <w:numId w:val="0"/>
        </w:numPr>
        <w:spacing w:before="0" w:line="360" w:lineRule="auto"/>
        <w:ind w:firstLine="643" w:firstLineChars="200"/>
        <w:outlineLvl w:val="1"/>
        <w:rPr>
          <w:rFonts w:hint="eastAsia" w:ascii="楷体_GB2312" w:hAnsi="黑体" w:eastAsia="楷体_GB2312" w:cs="楷体_GB2312"/>
          <w:b/>
          <w:bCs/>
          <w:kern w:val="2"/>
          <w:sz w:val="32"/>
          <w:szCs w:val="32"/>
        </w:rPr>
      </w:pPr>
      <w:bookmarkStart w:id="18" w:name="_Toc10047"/>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三</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国有资产占有使用情况</w:t>
      </w:r>
      <w:bookmarkEnd w:id="18"/>
    </w:p>
    <w:p>
      <w:pPr>
        <w:pStyle w:val="23"/>
        <w:numPr>
          <w:ilvl w:val="0"/>
          <w:numId w:val="0"/>
        </w:numPr>
        <w:spacing w:before="0" w:line="360" w:lineRule="auto"/>
        <w:ind w:left="580" w:leftChars="0"/>
        <w:outlineLvl w:val="9"/>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无</w:t>
      </w:r>
    </w:p>
    <w:p>
      <w:pPr>
        <w:pStyle w:val="23"/>
        <w:numPr>
          <w:ilvl w:val="0"/>
          <w:numId w:val="0"/>
        </w:numPr>
        <w:spacing w:before="0" w:line="360" w:lineRule="auto"/>
        <w:ind w:leftChars="196"/>
        <w:outlineLvl w:val="1"/>
        <w:rPr>
          <w:rFonts w:hint="eastAsia" w:ascii="楷体_GB2312" w:hAnsi="黑体" w:eastAsia="楷体_GB2312" w:cs="楷体_GB2312"/>
          <w:b/>
          <w:bCs/>
          <w:kern w:val="2"/>
          <w:sz w:val="32"/>
          <w:szCs w:val="32"/>
        </w:rPr>
      </w:pPr>
      <w:bookmarkStart w:id="19" w:name="_Toc3100"/>
      <w:r>
        <w:rPr>
          <w:rFonts w:hint="eastAsia" w:ascii="楷体_GB2312" w:hAnsi="黑体" w:eastAsia="楷体_GB2312" w:cs="楷体_GB2312"/>
          <w:b/>
          <w:bCs/>
          <w:kern w:val="2"/>
          <w:sz w:val="32"/>
          <w:szCs w:val="32"/>
          <w:lang w:eastAsia="zh-CN"/>
        </w:rPr>
        <w:t>（四）</w:t>
      </w:r>
      <w:r>
        <w:rPr>
          <w:rFonts w:hint="eastAsia" w:ascii="楷体_GB2312" w:hAnsi="黑体" w:eastAsia="楷体_GB2312" w:cs="楷体_GB2312"/>
          <w:b/>
          <w:bCs/>
          <w:kern w:val="2"/>
          <w:sz w:val="32"/>
          <w:szCs w:val="32"/>
        </w:rPr>
        <w:t>绩效目标设置情况</w:t>
      </w:r>
      <w:bookmarkEnd w:id="19"/>
    </w:p>
    <w:p>
      <w:pPr>
        <w:pStyle w:val="2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0" w:firstLineChars="200"/>
        <w:textAlignment w:val="auto"/>
        <w:outlineLvl w:val="9"/>
        <w:rPr>
          <w:rFonts w:hint="eastAsia" w:hAnsi="黑体"/>
          <w:kern w:val="2"/>
          <w:sz w:val="32"/>
          <w:szCs w:val="32"/>
        </w:rPr>
      </w:pP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2</w:t>
      </w:r>
      <w:r>
        <w:rPr>
          <w:rFonts w:hAnsi="黑体"/>
          <w:kern w:val="2"/>
          <w:sz w:val="32"/>
          <w:szCs w:val="32"/>
        </w:rPr>
        <w:t>年</w:t>
      </w:r>
      <w:r>
        <w:rPr>
          <w:rFonts w:hint="eastAsia" w:hAnsi="黑体"/>
          <w:kern w:val="2"/>
          <w:sz w:val="32"/>
          <w:szCs w:val="32"/>
        </w:rPr>
        <w:t>壤塘县退役军人事务局通用项目和专用项目均按要求实行绩效目标管理。</w:t>
      </w:r>
    </w:p>
    <w:p>
      <w:pPr>
        <w:pStyle w:val="23"/>
        <w:numPr>
          <w:ilvl w:val="0"/>
          <w:numId w:val="2"/>
        </w:numPr>
        <w:spacing w:before="0" w:line="360" w:lineRule="auto"/>
        <w:ind w:left="-10" w:leftChars="0" w:firstLine="640" w:firstLineChars="0"/>
        <w:outlineLvl w:val="0"/>
        <w:rPr>
          <w:rFonts w:hint="eastAsia" w:ascii="黑体" w:hAnsi="黑体" w:eastAsia="黑体" w:cs="黑体"/>
          <w:kern w:val="2"/>
          <w:sz w:val="32"/>
          <w:szCs w:val="32"/>
          <w:lang w:val="en-US" w:eastAsia="zh-CN"/>
        </w:rPr>
      </w:pPr>
      <w:r>
        <w:rPr>
          <w:rFonts w:hint="eastAsia" w:ascii="黑体" w:hAnsi="黑体" w:eastAsia="黑体" w:cs="黑体"/>
          <w:kern w:val="2"/>
          <w:sz w:val="32"/>
          <w:szCs w:val="32"/>
          <w:lang w:val="en-US" w:eastAsia="zh-CN"/>
        </w:rPr>
        <w:t>其他需说明的情况</w:t>
      </w:r>
    </w:p>
    <w:p>
      <w:pPr>
        <w:pStyle w:val="23"/>
        <w:numPr>
          <w:ilvl w:val="0"/>
          <w:numId w:val="0"/>
        </w:numPr>
        <w:spacing w:before="0" w:line="360" w:lineRule="auto"/>
        <w:ind w:left="630" w:leftChars="0"/>
        <w:outlineLvl w:val="0"/>
        <w:rPr>
          <w:rFonts w:hint="default" w:ascii="黑体" w:hAnsi="黑体" w:eastAsia="黑体" w:cs="黑体"/>
          <w:kern w:val="2"/>
          <w:sz w:val="32"/>
          <w:szCs w:val="32"/>
          <w:lang w:val="en-US" w:eastAsia="zh-CN"/>
        </w:rPr>
      </w:pPr>
      <w:r>
        <w:rPr>
          <w:rFonts w:hint="eastAsia" w:ascii="黑体" w:hAnsi="黑体" w:eastAsia="黑体" w:cs="黑体"/>
          <w:kern w:val="2"/>
          <w:sz w:val="32"/>
          <w:szCs w:val="32"/>
          <w:lang w:val="en-US" w:eastAsia="zh-CN"/>
        </w:rPr>
        <w:t xml:space="preserve"> </w:t>
      </w:r>
      <w:r>
        <w:rPr>
          <w:rFonts w:hint="eastAsia" w:hAnsi="黑体"/>
          <w:kern w:val="2"/>
          <w:sz w:val="32"/>
          <w:szCs w:val="32"/>
          <w:lang w:val="en-US" w:eastAsia="zh-CN"/>
        </w:rPr>
        <w:t>无。</w:t>
      </w:r>
    </w:p>
    <w:p>
      <w:pPr>
        <w:pStyle w:val="23"/>
        <w:spacing w:before="0" w:line="360" w:lineRule="auto"/>
        <w:ind w:firstLine="640" w:firstLineChars="200"/>
        <w:outlineLvl w:val="0"/>
        <w:rPr>
          <w:rFonts w:hint="eastAsia" w:ascii="??" w:hAnsi="??" w:eastAsia="宋体" w:cs="Times New Roman"/>
          <w:sz w:val="16"/>
          <w:szCs w:val="16"/>
        </w:rPr>
      </w:pPr>
      <w:bookmarkStart w:id="20" w:name="_Toc23064"/>
      <w:r>
        <w:rPr>
          <w:rFonts w:hint="eastAsia" w:ascii="黑体" w:hAnsi="黑体" w:eastAsia="黑体" w:cs="黑体"/>
          <w:kern w:val="2"/>
          <w:sz w:val="32"/>
          <w:szCs w:val="32"/>
        </w:rPr>
        <w:t>十、名词解释</w:t>
      </w:r>
      <w:bookmarkEnd w:id="20"/>
    </w:p>
    <w:p>
      <w:pPr>
        <w:pStyle w:val="23"/>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hAnsi="黑体"/>
          <w:kern w:val="2"/>
          <w:sz w:val="32"/>
          <w:szCs w:val="32"/>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p>
    <w:p>
      <w:pPr>
        <w:pStyle w:val="23"/>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hAnsi="黑体"/>
          <w:kern w:val="2"/>
          <w:sz w:val="32"/>
          <w:szCs w:val="32"/>
        </w:rPr>
      </w:pPr>
      <w:r>
        <w:rPr>
          <w:rFonts w:hint="eastAsia" w:hAnsi="黑体"/>
          <w:kern w:val="2"/>
          <w:sz w:val="32"/>
          <w:szCs w:val="32"/>
        </w:rPr>
        <w:t>（二）事业收入：指所属事业单位开展专业业务活动及辅助活动所取得的收入。</w:t>
      </w:r>
    </w:p>
    <w:p>
      <w:pPr>
        <w:pStyle w:val="23"/>
        <w:spacing w:before="0" w:line="360" w:lineRule="auto"/>
        <w:ind w:firstLine="640" w:firstLineChars="200"/>
        <w:rPr>
          <w:rFonts w:hint="eastAsia" w:hAnsi="黑体"/>
          <w:kern w:val="2"/>
          <w:sz w:val="32"/>
          <w:szCs w:val="32"/>
        </w:rPr>
      </w:pPr>
      <w:r>
        <w:rPr>
          <w:rFonts w:hint="eastAsia" w:hAnsi="黑体"/>
          <w:kern w:val="2"/>
          <w:sz w:val="32"/>
          <w:szCs w:val="32"/>
        </w:rPr>
        <w:t>（三）事业单位经营收入：指所属事业单位在专业业务活动及其辅助活动之外开展非独立核算经营活动取得的收入。</w:t>
      </w:r>
    </w:p>
    <w:p>
      <w:pPr>
        <w:pStyle w:val="23"/>
        <w:spacing w:before="0" w:line="360" w:lineRule="auto"/>
        <w:ind w:firstLine="640" w:firstLineChars="200"/>
        <w:rPr>
          <w:rFonts w:hint="eastAsia" w:hAnsi="黑体"/>
          <w:kern w:val="2"/>
          <w:sz w:val="32"/>
          <w:szCs w:val="32"/>
        </w:rPr>
      </w:pPr>
      <w:r>
        <w:rPr>
          <w:rFonts w:hint="eastAsia" w:hAnsi="黑体"/>
          <w:kern w:val="2"/>
          <w:sz w:val="32"/>
          <w:szCs w:val="32"/>
        </w:rPr>
        <w:t>（四）其他收入：指除上述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p>
    <w:p>
      <w:pPr>
        <w:pStyle w:val="23"/>
        <w:spacing w:before="0" w:line="360" w:lineRule="auto"/>
        <w:ind w:firstLine="640" w:firstLineChars="200"/>
        <w:rPr>
          <w:rFonts w:hint="eastAsia" w:hAnsi="黑体"/>
          <w:kern w:val="2"/>
          <w:sz w:val="32"/>
          <w:szCs w:val="32"/>
        </w:rPr>
      </w:pPr>
      <w:r>
        <w:rPr>
          <w:rFonts w:hint="eastAsia" w:hAnsi="黑体"/>
          <w:kern w:val="2"/>
          <w:sz w:val="32"/>
          <w:szCs w:val="32"/>
        </w:rPr>
        <w:t>（五）用事业基金弥补收支差额：指所属事业单位在预计用当年的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p>
    <w:p>
      <w:pPr>
        <w:pStyle w:val="23"/>
        <w:spacing w:before="0" w:line="360" w:lineRule="auto"/>
        <w:ind w:firstLine="640" w:firstLineChars="200"/>
        <w:rPr>
          <w:rFonts w:hAnsi="黑体" w:cs="Times New Roman"/>
          <w:kern w:val="2"/>
          <w:sz w:val="32"/>
          <w:szCs w:val="32"/>
        </w:rPr>
      </w:pPr>
      <w:r>
        <w:rPr>
          <w:rFonts w:hint="eastAsia" w:hAnsi="黑体"/>
          <w:kern w:val="2"/>
          <w:sz w:val="32"/>
          <w:szCs w:val="32"/>
        </w:rPr>
        <w:t>（六）上年结转：指所属行政事业单位以前年度尚未完成、结转至本年按原规定用途继续使用的资金和以前年度已完成项目剩余资金经批准用于新用途使用的资金。</w:t>
      </w:r>
    </w:p>
    <w:p>
      <w:pPr>
        <w:rPr>
          <w:rFonts w:hint="eastAsia" w:ascii="仿宋_GB2312" w:hAnsi="黑体" w:eastAsia="仿宋_GB2312" w:cs="Times New Roman"/>
          <w:sz w:val="32"/>
          <w:szCs w:val="32"/>
          <w:lang w:val="en-US" w:eastAsia="zh-CN"/>
        </w:rPr>
      </w:pPr>
      <w:r>
        <w:rPr>
          <w:rFonts w:hint="eastAsia" w:ascii="仿宋_GB2312" w:hAnsi="黑体" w:eastAsia="仿宋_GB2312" w:cs="Times New Roman"/>
          <w:sz w:val="32"/>
          <w:szCs w:val="32"/>
          <w:lang w:val="en-US" w:eastAsia="zh-CN"/>
        </w:rPr>
        <w:t xml:space="preserve">                         </w:t>
      </w:r>
    </w:p>
    <w:p>
      <w:pPr>
        <w:pStyle w:val="2"/>
        <w:rPr>
          <w:rFonts w:hint="eastAsia" w:ascii="仿宋_GB2312" w:hAnsi="黑体" w:eastAsia="仿宋_GB2312" w:cs="Times New Roman"/>
          <w:sz w:val="32"/>
          <w:szCs w:val="32"/>
          <w:lang w:val="en-US" w:eastAsia="zh-CN"/>
        </w:rPr>
      </w:pPr>
    </w:p>
    <w:p>
      <w:pPr>
        <w:rPr>
          <w:rFonts w:hint="eastAsia"/>
          <w:lang w:val="en-US" w:eastAsia="zh-CN"/>
        </w:rPr>
      </w:pPr>
    </w:p>
    <w:p>
      <w:pPr>
        <w:rPr>
          <w:rFonts w:hint="eastAsia" w:ascii="仿宋_GB2312" w:hAnsi="黑体" w:eastAsia="仿宋_GB2312" w:cs="Times New Roman"/>
          <w:sz w:val="32"/>
          <w:szCs w:val="32"/>
          <w:lang w:val="en-US" w:eastAsia="zh-CN"/>
        </w:rPr>
      </w:pPr>
      <w:r>
        <w:rPr>
          <w:rFonts w:hint="eastAsia" w:ascii="仿宋_GB2312" w:hAnsi="黑体" w:eastAsia="仿宋_GB2312" w:cs="Times New Roman"/>
          <w:sz w:val="32"/>
          <w:szCs w:val="32"/>
          <w:lang w:val="en-US" w:eastAsia="zh-CN"/>
        </w:rPr>
        <w:t xml:space="preserve">                            壤塘县退役军人事务局</w:t>
      </w:r>
    </w:p>
    <w:p>
      <w:pPr>
        <w:rPr>
          <w:rFonts w:hint="default" w:ascii="仿宋_GB2312" w:hAnsi="黑体" w:eastAsia="仿宋_GB2312" w:cs="Times New Roman"/>
          <w:sz w:val="32"/>
          <w:szCs w:val="32"/>
          <w:lang w:val="en-US" w:eastAsia="zh-CN"/>
        </w:rPr>
      </w:pPr>
      <w:r>
        <w:rPr>
          <w:rFonts w:hint="eastAsia" w:ascii="仿宋_GB2312" w:hAnsi="黑体"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eastAsia" w:ascii="仿宋_GB2312" w:hAnsi="黑体"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1</w:t>
      </w:r>
      <w:r>
        <w:rPr>
          <w:rFonts w:hint="eastAsia" w:ascii="仿宋_GB2312" w:hAnsi="黑体" w:eastAsia="仿宋_GB2312" w:cs="Times New Roman"/>
          <w:sz w:val="32"/>
          <w:szCs w:val="32"/>
          <w:lang w:val="en-US" w:eastAsia="zh-CN"/>
        </w:rPr>
        <w:t>月</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5</w:t>
      </w:r>
      <w:r>
        <w:rPr>
          <w:rFonts w:hint="eastAsia" w:ascii="仿宋_GB2312" w:hAnsi="黑体" w:eastAsia="仿宋_GB2312" w:cs="Times New Roman"/>
          <w:sz w:val="32"/>
          <w:szCs w:val="32"/>
          <w:lang w:val="en-US" w:eastAsia="zh-CN"/>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53745"/>
    <w:multiLevelType w:val="singleLevel"/>
    <w:tmpl w:val="AFD53745"/>
    <w:lvl w:ilvl="0" w:tentative="0">
      <w:start w:val="7"/>
      <w:numFmt w:val="chineseCounting"/>
      <w:suff w:val="nothing"/>
      <w:lvlText w:val="%1、"/>
      <w:lvlJc w:val="left"/>
      <w:pPr>
        <w:ind w:left="-10"/>
      </w:pPr>
      <w:rPr>
        <w:rFonts w:hint="eastAsia"/>
      </w:rPr>
    </w:lvl>
  </w:abstractNum>
  <w:abstractNum w:abstractNumId="1">
    <w:nsid w:val="3EBB3C91"/>
    <w:multiLevelType w:val="multilevel"/>
    <w:tmpl w:val="3EBB3C91"/>
    <w:lvl w:ilvl="0" w:tentative="0">
      <w:start w:val="1"/>
      <w:numFmt w:val="chineseCountingThousand"/>
      <w:suff w:val="space"/>
      <w:lvlText w:val="%1. "/>
      <w:lvlJc w:val="left"/>
      <w:pPr>
        <w:ind w:left="907" w:hanging="907"/>
      </w:pPr>
    </w:lvl>
    <w:lvl w:ilvl="1" w:tentative="0">
      <w:start w:val="1"/>
      <w:numFmt w:val="decimal"/>
      <w:suff w:val="space"/>
      <w:lvlText w:val="%1.%2 "/>
      <w:lvlJc w:val="left"/>
      <w:pPr>
        <w:ind w:left="794" w:hanging="794"/>
      </w:pPr>
    </w:lvl>
    <w:lvl w:ilvl="2" w:tentative="0">
      <w:start w:val="0"/>
      <w:numFmt w:val="decimal"/>
      <w:lvlText w:val=""/>
      <w:lvlJc w:val="left"/>
      <w:pPr>
        <w:tabs>
          <w:tab w:val="left" w:pos="360"/>
        </w:tabs>
      </w:pPr>
    </w:lvl>
    <w:lvl w:ilvl="3" w:tentative="0">
      <w:start w:val="0"/>
      <w:numFmt w:val="decimal"/>
      <w:lvlText w:val=""/>
      <w:lvlJc w:val="left"/>
      <w:pPr>
        <w:tabs>
          <w:tab w:val="left" w:pos="360"/>
        </w:tabs>
      </w:pPr>
    </w:lvl>
    <w:lvl w:ilvl="4" w:tentative="0">
      <w:start w:val="0"/>
      <w:numFmt w:val="decimal"/>
      <w:pStyle w:val="26"/>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780F45B5"/>
    <w:multiLevelType w:val="singleLevel"/>
    <w:tmpl w:val="780F45B5"/>
    <w:lvl w:ilvl="0" w:tentative="0">
      <w:start w:val="1"/>
      <w:numFmt w:val="chineseCounting"/>
      <w:suff w:val="nothing"/>
      <w:lvlText w:val="（%1）"/>
      <w:lvlJc w:val="left"/>
      <w:pPr>
        <w:ind w:left="580" w:firstLine="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xNTZlM2FmZTQ2NzVhYjdhZDA4NWZiNmYyODY5NGIifQ=="/>
  </w:docVars>
  <w:rsids>
    <w:rsidRoot w:val="00352854"/>
    <w:rsid w:val="00002FEA"/>
    <w:rsid w:val="00082EF4"/>
    <w:rsid w:val="00085137"/>
    <w:rsid w:val="00097A74"/>
    <w:rsid w:val="00105B15"/>
    <w:rsid w:val="0018636E"/>
    <w:rsid w:val="001A196D"/>
    <w:rsid w:val="002026C1"/>
    <w:rsid w:val="00212DBB"/>
    <w:rsid w:val="00260082"/>
    <w:rsid w:val="00264016"/>
    <w:rsid w:val="002946BD"/>
    <w:rsid w:val="002F6713"/>
    <w:rsid w:val="00316466"/>
    <w:rsid w:val="00352854"/>
    <w:rsid w:val="003762A5"/>
    <w:rsid w:val="004103CC"/>
    <w:rsid w:val="0043059D"/>
    <w:rsid w:val="00471829"/>
    <w:rsid w:val="0047755A"/>
    <w:rsid w:val="00484AEB"/>
    <w:rsid w:val="004A7CFC"/>
    <w:rsid w:val="00527A2C"/>
    <w:rsid w:val="0059475F"/>
    <w:rsid w:val="005C3E15"/>
    <w:rsid w:val="00681CB7"/>
    <w:rsid w:val="006B284B"/>
    <w:rsid w:val="006F18F1"/>
    <w:rsid w:val="007B3677"/>
    <w:rsid w:val="007C7CD1"/>
    <w:rsid w:val="007F3687"/>
    <w:rsid w:val="00844940"/>
    <w:rsid w:val="00882412"/>
    <w:rsid w:val="008C1FFD"/>
    <w:rsid w:val="008D3923"/>
    <w:rsid w:val="008E7962"/>
    <w:rsid w:val="008F63EB"/>
    <w:rsid w:val="009272A9"/>
    <w:rsid w:val="009544A0"/>
    <w:rsid w:val="00986E64"/>
    <w:rsid w:val="00987B5A"/>
    <w:rsid w:val="009C5F76"/>
    <w:rsid w:val="00A55379"/>
    <w:rsid w:val="00AC5A97"/>
    <w:rsid w:val="00B35F0F"/>
    <w:rsid w:val="00B713B0"/>
    <w:rsid w:val="00BB34A8"/>
    <w:rsid w:val="00C0348B"/>
    <w:rsid w:val="00C37CDC"/>
    <w:rsid w:val="00C451EA"/>
    <w:rsid w:val="00C8183B"/>
    <w:rsid w:val="00D20EAB"/>
    <w:rsid w:val="00EF71D0"/>
    <w:rsid w:val="00F743F0"/>
    <w:rsid w:val="00F806C0"/>
    <w:rsid w:val="00F80C32"/>
    <w:rsid w:val="00FF11B9"/>
    <w:rsid w:val="035B243B"/>
    <w:rsid w:val="088D4D10"/>
    <w:rsid w:val="08AF5C17"/>
    <w:rsid w:val="093A786E"/>
    <w:rsid w:val="0A1019C3"/>
    <w:rsid w:val="0C076B26"/>
    <w:rsid w:val="0FA63E4D"/>
    <w:rsid w:val="11207761"/>
    <w:rsid w:val="1292638E"/>
    <w:rsid w:val="15714E01"/>
    <w:rsid w:val="1A762656"/>
    <w:rsid w:val="1B873E10"/>
    <w:rsid w:val="1F1575A0"/>
    <w:rsid w:val="1F3E40C2"/>
    <w:rsid w:val="1F3F0BA5"/>
    <w:rsid w:val="208166E4"/>
    <w:rsid w:val="2328664D"/>
    <w:rsid w:val="2379286D"/>
    <w:rsid w:val="270D1C26"/>
    <w:rsid w:val="276048DD"/>
    <w:rsid w:val="28FC0879"/>
    <w:rsid w:val="29DB5D5D"/>
    <w:rsid w:val="2AAD2A22"/>
    <w:rsid w:val="2FA37F04"/>
    <w:rsid w:val="3329254E"/>
    <w:rsid w:val="337B1955"/>
    <w:rsid w:val="33B859A0"/>
    <w:rsid w:val="37AB24F9"/>
    <w:rsid w:val="39AC4D26"/>
    <w:rsid w:val="39B15714"/>
    <w:rsid w:val="3BFE4104"/>
    <w:rsid w:val="4319376A"/>
    <w:rsid w:val="46F030A7"/>
    <w:rsid w:val="46F06B03"/>
    <w:rsid w:val="47134FE8"/>
    <w:rsid w:val="4884619D"/>
    <w:rsid w:val="4FDB274D"/>
    <w:rsid w:val="504964A4"/>
    <w:rsid w:val="51814F84"/>
    <w:rsid w:val="57A314E8"/>
    <w:rsid w:val="585B234B"/>
    <w:rsid w:val="5B1A756E"/>
    <w:rsid w:val="5D134493"/>
    <w:rsid w:val="5DE45918"/>
    <w:rsid w:val="5EC60749"/>
    <w:rsid w:val="60F06481"/>
    <w:rsid w:val="64982B61"/>
    <w:rsid w:val="68C22A13"/>
    <w:rsid w:val="6B131E68"/>
    <w:rsid w:val="6EDB7B1D"/>
    <w:rsid w:val="6F5F69C4"/>
    <w:rsid w:val="739369E5"/>
    <w:rsid w:val="74475895"/>
    <w:rsid w:val="788F3A2D"/>
    <w:rsid w:val="7DA72945"/>
    <w:rsid w:val="7DF804B8"/>
    <w:rsid w:val="7E05575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Calibri"/>
      <w:kern w:val="2"/>
      <w:sz w:val="21"/>
      <w:szCs w:val="21"/>
      <w:lang w:val="en-US" w:eastAsia="zh-CN" w:bidi="ar-SA"/>
    </w:rPr>
  </w:style>
  <w:style w:type="character" w:default="1" w:styleId="11">
    <w:name w:val="Default Paragraph Font"/>
    <w:semiHidden/>
    <w:qFormat/>
    <w:uiPriority w:val="99"/>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spacing w:after="0" w:line="560" w:lineRule="atLeast"/>
      <w:ind w:left="0" w:leftChars="0" w:firstLine="420" w:firstLineChars="200"/>
    </w:pPr>
    <w:rPr>
      <w:rFonts w:ascii="仿宋_GB2312" w:hAnsi="Calibri"/>
    </w:rPr>
  </w:style>
  <w:style w:type="paragraph" w:styleId="3">
    <w:name w:val="annotation text"/>
    <w:basedOn w:val="1"/>
    <w:link w:val="19"/>
    <w:unhideWhenUsed/>
    <w:qFormat/>
    <w:uiPriority w:val="99"/>
    <w:pPr>
      <w:jc w:val="left"/>
    </w:pPr>
  </w:style>
  <w:style w:type="paragraph" w:styleId="4">
    <w:name w:val="Body Text"/>
    <w:basedOn w:val="1"/>
    <w:link w:val="15"/>
    <w:qFormat/>
    <w:uiPriority w:val="99"/>
    <w:pPr>
      <w:spacing w:beforeLines="30"/>
    </w:pPr>
    <w:rPr>
      <w:rFonts w:ascii="仿宋_GB2312" w:hAnsi="Times New Roman" w:eastAsia="仿宋_GB2312" w:cs="Times New Roman"/>
      <w:kern w:val="0"/>
      <w:sz w:val="30"/>
      <w:szCs w:val="24"/>
    </w:rPr>
  </w:style>
  <w:style w:type="paragraph" w:styleId="5">
    <w:name w:val="footer"/>
    <w:basedOn w:val="1"/>
    <w:link w:val="16"/>
    <w:semiHidden/>
    <w:qFormat/>
    <w:uiPriority w:val="99"/>
    <w:pPr>
      <w:tabs>
        <w:tab w:val="center" w:pos="4153"/>
        <w:tab w:val="right" w:pos="8306"/>
      </w:tabs>
      <w:snapToGrid w:val="0"/>
      <w:jc w:val="left"/>
    </w:pPr>
    <w:rPr>
      <w:sz w:val="18"/>
      <w:szCs w:val="18"/>
    </w:rPr>
  </w:style>
  <w:style w:type="paragraph" w:styleId="6">
    <w:name w:val="header"/>
    <w:basedOn w:val="1"/>
    <w:link w:val="14"/>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17"/>
    <w:unhideWhenUsed/>
    <w:qFormat/>
    <w:uiPriority w:val="99"/>
    <w:rPr>
      <w:b/>
      <w:bCs/>
    </w:rPr>
  </w:style>
  <w:style w:type="table" w:styleId="10">
    <w:name w:val="Table Grid"/>
    <w:basedOn w:val="9"/>
    <w:unhideWhenUsed/>
    <w:qFormat/>
    <w:locked/>
    <w:uiPriority w:val="9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99"/>
  </w:style>
  <w:style w:type="character" w:styleId="13">
    <w:name w:val="annotation reference"/>
    <w:unhideWhenUsed/>
    <w:qFormat/>
    <w:uiPriority w:val="99"/>
    <w:rPr>
      <w:sz w:val="21"/>
      <w:szCs w:val="21"/>
    </w:rPr>
  </w:style>
  <w:style w:type="character" w:customStyle="1" w:styleId="14">
    <w:name w:val="页眉 Char"/>
    <w:link w:val="6"/>
    <w:semiHidden/>
    <w:qFormat/>
    <w:locked/>
    <w:uiPriority w:val="99"/>
    <w:rPr>
      <w:sz w:val="18"/>
      <w:szCs w:val="18"/>
    </w:rPr>
  </w:style>
  <w:style w:type="character" w:customStyle="1" w:styleId="15">
    <w:name w:val="正文文本 字符"/>
    <w:link w:val="4"/>
    <w:qFormat/>
    <w:uiPriority w:val="99"/>
    <w:rPr>
      <w:rFonts w:ascii="仿宋_GB2312" w:hAnsi="Times New Roman" w:eastAsia="仿宋_GB2312"/>
      <w:sz w:val="30"/>
      <w:szCs w:val="24"/>
    </w:rPr>
  </w:style>
  <w:style w:type="character" w:customStyle="1" w:styleId="16">
    <w:name w:val="页脚 Char"/>
    <w:link w:val="5"/>
    <w:semiHidden/>
    <w:qFormat/>
    <w:locked/>
    <w:uiPriority w:val="99"/>
    <w:rPr>
      <w:sz w:val="18"/>
      <w:szCs w:val="18"/>
    </w:rPr>
  </w:style>
  <w:style w:type="character" w:customStyle="1" w:styleId="17">
    <w:name w:val="批注主题 字符"/>
    <w:link w:val="8"/>
    <w:semiHidden/>
    <w:qFormat/>
    <w:uiPriority w:val="99"/>
    <w:rPr>
      <w:rFonts w:cs="Calibri"/>
      <w:b/>
      <w:bCs/>
      <w:kern w:val="2"/>
      <w:sz w:val="21"/>
      <w:szCs w:val="21"/>
    </w:rPr>
  </w:style>
  <w:style w:type="character" w:customStyle="1" w:styleId="18">
    <w:name w:val="NormalCharacter"/>
    <w:semiHidden/>
    <w:qFormat/>
    <w:uiPriority w:val="0"/>
  </w:style>
  <w:style w:type="character" w:customStyle="1" w:styleId="19">
    <w:name w:val="批注文字 字符"/>
    <w:link w:val="3"/>
    <w:semiHidden/>
    <w:qFormat/>
    <w:uiPriority w:val="99"/>
    <w:rPr>
      <w:rFonts w:cs="Calibri"/>
      <w:kern w:val="2"/>
      <w:sz w:val="21"/>
      <w:szCs w:val="21"/>
    </w:rPr>
  </w:style>
  <w:style w:type="character" w:customStyle="1" w:styleId="20">
    <w:name w:val="默认段落字体1"/>
    <w:qFormat/>
    <w:uiPriority w:val="99"/>
    <w:rPr>
      <w:sz w:val="22"/>
      <w:szCs w:val="22"/>
    </w:rPr>
  </w:style>
  <w:style w:type="paragraph" w:customStyle="1" w:styleId="21">
    <w:name w:val="WPSOffice手动目录 1"/>
    <w:qFormat/>
    <w:uiPriority w:val="0"/>
    <w:pPr>
      <w:ind w:leftChars="0"/>
    </w:pPr>
    <w:rPr>
      <w:rFonts w:ascii="Times New Roman" w:hAnsi="Times New Roman" w:eastAsia="宋体" w:cs="Times New Roman"/>
      <w:sz w:val="20"/>
      <w:szCs w:val="20"/>
    </w:rPr>
  </w:style>
  <w:style w:type="paragraph" w:customStyle="1" w:styleId="22">
    <w:name w:val="WPSOffice手动目录 3"/>
    <w:qFormat/>
    <w:uiPriority w:val="0"/>
    <w:pPr>
      <w:ind w:leftChars="400"/>
    </w:pPr>
    <w:rPr>
      <w:rFonts w:ascii="Times New Roman" w:hAnsi="Times New Roman" w:eastAsia="宋体" w:cs="Times New Roman"/>
      <w:sz w:val="20"/>
      <w:szCs w:val="20"/>
    </w:rPr>
  </w:style>
  <w:style w:type="paragraph" w:customStyle="1" w:styleId="23">
    <w:name w:val="正文文本1"/>
    <w:basedOn w:val="1"/>
    <w:qFormat/>
    <w:uiPriority w:val="99"/>
    <w:pPr>
      <w:spacing w:before="93"/>
    </w:pPr>
    <w:rPr>
      <w:rFonts w:ascii="仿宋_GB2312" w:hAnsi="仿宋_GB2312" w:eastAsia="仿宋_GB2312" w:cs="仿宋_GB2312"/>
      <w:kern w:val="0"/>
      <w:sz w:val="30"/>
      <w:szCs w:val="30"/>
    </w:rPr>
  </w:style>
  <w:style w:type="paragraph" w:customStyle="1" w:styleId="24">
    <w:name w:val="List Paragraph"/>
    <w:basedOn w:val="1"/>
    <w:qFormat/>
    <w:uiPriority w:val="99"/>
    <w:pPr>
      <w:ind w:firstLine="420" w:firstLineChars="200"/>
    </w:pPr>
  </w:style>
  <w:style w:type="paragraph" w:customStyle="1" w:styleId="25">
    <w:name w:val="WPSOffice手动目录 2"/>
    <w:qFormat/>
    <w:uiPriority w:val="0"/>
    <w:pPr>
      <w:ind w:leftChars="200"/>
    </w:pPr>
    <w:rPr>
      <w:rFonts w:ascii="Times New Roman" w:hAnsi="Times New Roman" w:eastAsia="宋体" w:cs="Times New Roman"/>
      <w:sz w:val="20"/>
      <w:szCs w:val="20"/>
    </w:rPr>
  </w:style>
  <w:style w:type="paragraph" w:customStyle="1" w:styleId="26">
    <w:name w:val="UserStyle_1"/>
    <w:basedOn w:val="1"/>
    <w:next w:val="27"/>
    <w:qFormat/>
    <w:uiPriority w:val="0"/>
    <w:pPr>
      <w:keepNext/>
      <w:keepLines/>
      <w:widowControl w:val="0"/>
      <w:numPr>
        <w:ilvl w:val="4"/>
        <w:numId w:val="1"/>
      </w:numPr>
      <w:tabs>
        <w:tab w:val="left" w:pos="3600"/>
      </w:tabs>
      <w:spacing w:before="280" w:after="156" w:line="377" w:lineRule="auto"/>
      <w:ind w:left="3600" w:hanging="360"/>
      <w:textAlignment w:val="auto"/>
    </w:pPr>
    <w:rPr>
      <w:rFonts w:ascii="Arial" w:hAnsi="Arial" w:eastAsia="黑体" w:cs="Times New Roman"/>
      <w:b/>
      <w:sz w:val="24"/>
      <w:szCs w:val="28"/>
    </w:rPr>
  </w:style>
  <w:style w:type="paragraph" w:customStyle="1" w:styleId="27">
    <w:name w:val="UserStyle_0"/>
    <w:qFormat/>
    <w:uiPriority w:val="0"/>
    <w:pPr>
      <w:spacing w:line="300" w:lineRule="auto"/>
      <w:textAlignment w:val="baseline"/>
    </w:pPr>
    <w:rPr>
      <w:rFonts w:ascii="Arial" w:hAnsi="Arial"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10</Pages>
  <Words>3588</Words>
  <Characters>4020</Characters>
  <Lines>28</Lines>
  <Paragraphs>7</Paragraphs>
  <TotalTime>11</TotalTime>
  <ScaleCrop>false</ScaleCrop>
  <LinksUpToDate>false</LinksUpToDate>
  <CharactersWithSpaces>4154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wjj</cp:lastModifiedBy>
  <cp:lastPrinted>2023-09-13T08:32:03Z</cp:lastPrinted>
  <dcterms:modified xsi:type="dcterms:W3CDTF">2023-09-13T08:32:19Z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749C3A5C985240478068DE7D99CA8024</vt:lpwstr>
  </property>
</Properties>
</file>