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96475"/>
      <w:bookmarkStart w:id="2" w:name="_Toc15396597"/>
      <w:bookmarkStart w:id="3" w:name="_Toc15378441"/>
      <w:bookmarkStart w:id="4" w:name="_Toc15377193"/>
      <w:bookmarkStart w:id="5" w:name="_Toc15377425"/>
      <w:r>
        <w:rPr>
          <w:rFonts w:ascii="黑体" w:hAnsi="黑体" w:eastAsia="黑体"/>
          <w:sz w:val="72"/>
          <w:szCs w:val="72"/>
        </w:rPr>
        <w:t>202</w:t>
      </w:r>
      <w:r>
        <w:rPr>
          <w:rFonts w:hint="eastAsia" w:ascii="黑体" w:hAnsi="黑体" w:eastAsia="黑体"/>
          <w:sz w:val="72"/>
          <w:szCs w:val="72"/>
        </w:rPr>
        <w:t>1年度</w:t>
      </w:r>
      <w:bookmarkEnd w:id="1"/>
      <w:bookmarkEnd w:id="2"/>
      <w:bookmarkEnd w:id="3"/>
      <w:bookmarkEnd w:id="4"/>
      <w:bookmarkEnd w:id="5"/>
    </w:p>
    <w:p>
      <w:pPr>
        <w:jc w:val="center"/>
        <w:rPr>
          <w:rFonts w:ascii="方正小标宋简体" w:eastAsia="方正小标宋简体"/>
          <w:sz w:val="72"/>
          <w:szCs w:val="72"/>
        </w:rPr>
      </w:pPr>
      <w:bookmarkStart w:id="6" w:name="_Toc15396476"/>
      <w:bookmarkStart w:id="7" w:name="_Toc15377426"/>
      <w:bookmarkStart w:id="8" w:name="_Toc15377194"/>
      <w:bookmarkStart w:id="9" w:name="_Toc15396598"/>
      <w:bookmarkStart w:id="10" w:name="_Toc15378442"/>
      <w:r>
        <w:rPr>
          <w:rFonts w:hint="eastAsia" w:ascii="方正小标宋简体" w:eastAsia="方正小标宋简体"/>
          <w:sz w:val="72"/>
          <w:szCs w:val="72"/>
        </w:rPr>
        <w:t>阿坝州壤塘县</w:t>
      </w:r>
      <w:bookmarkEnd w:id="0"/>
      <w:bookmarkStart w:id="11" w:name="_Toc15306268"/>
      <w:r>
        <w:rPr>
          <w:rFonts w:hint="eastAsia" w:ascii="方正小标宋简体" w:eastAsia="方正小标宋简体"/>
          <w:sz w:val="72"/>
          <w:szCs w:val="72"/>
          <w:lang w:val="en-US" w:eastAsia="zh-CN"/>
        </w:rPr>
        <w:t>退役军人事务局</w:t>
      </w: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hint="eastAsia" w:ascii="宋体" w:hAnsi="宋体" w:cs="仿宋_GB2312"/>
          <w:sz w:val="32"/>
          <w:szCs w:val="32"/>
        </w:rPr>
      </w:pPr>
      <w:r>
        <w:rPr>
          <w:rFonts w:hint="eastAsia" w:ascii="宋体" w:hAnsi="宋体" w:cs="仿宋_GB2312"/>
          <w:sz w:val="32"/>
          <w:szCs w:val="32"/>
        </w:rPr>
        <w:t>部门主要负责人审签情况：已审签，同意对外公开</w:t>
      </w:r>
    </w:p>
    <w:p>
      <w:pPr>
        <w:pStyle w:val="15"/>
        <w:jc w:val="center"/>
        <w:rPr>
          <w:rFonts w:hAnsiTheme="minorHAnsi"/>
          <w:b w:val="0"/>
          <w:bCs w:val="0"/>
          <w:sz w:val="24"/>
          <w:szCs w:val="24"/>
        </w:rPr>
      </w:pPr>
      <w:r>
        <w:rPr>
          <w:rFonts w:hint="eastAsia" w:hAnsiTheme="minorHAnsi"/>
          <w:b w:val="0"/>
          <w:bCs w:val="0"/>
          <w:sz w:val="24"/>
          <w:szCs w:val="24"/>
        </w:rPr>
        <w:t>公开时间：2022年</w:t>
      </w:r>
      <w:r>
        <w:rPr>
          <w:rFonts w:hint="eastAsia" w:hAnsiTheme="minorHAnsi"/>
          <w:b w:val="0"/>
          <w:bCs w:val="0"/>
          <w:sz w:val="24"/>
          <w:szCs w:val="24"/>
          <w:lang w:val="en-US" w:eastAsia="zh-CN"/>
        </w:rPr>
        <w:t>10</w:t>
      </w:r>
      <w:r>
        <w:rPr>
          <w:rFonts w:hint="eastAsia" w:hAnsiTheme="minorHAnsi"/>
          <w:b w:val="0"/>
          <w:bCs w:val="0"/>
          <w:sz w:val="24"/>
          <w:szCs w:val="24"/>
        </w:rPr>
        <w:t>月</w:t>
      </w:r>
      <w:r>
        <w:rPr>
          <w:rFonts w:hint="eastAsia" w:hAnsiTheme="minorHAnsi"/>
          <w:b w:val="0"/>
          <w:bCs w:val="0"/>
          <w:sz w:val="24"/>
          <w:szCs w:val="24"/>
          <w:lang w:val="en-US" w:eastAsia="zh-CN"/>
        </w:rPr>
        <w:t>20</w:t>
      </w:r>
      <w:r>
        <w:rPr>
          <w:rFonts w:hint="eastAsia" w:hAnsiTheme="minorHAnsi"/>
          <w:b w:val="0"/>
          <w:bCs w:val="0"/>
          <w:sz w:val="24"/>
          <w:szCs w:val="24"/>
        </w:rPr>
        <w:t>日</w:t>
      </w: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5"/>
        <w:tabs>
          <w:tab w:val="right" w:leader="dot" w:pos="8306"/>
        </w:tabs>
      </w:pPr>
      <w:r>
        <w:rPr>
          <w:b w:val="0"/>
          <w:bCs w:val="0"/>
          <w:caps w:val="0"/>
        </w:rPr>
        <w:fldChar w:fldCharType="begin"/>
      </w:r>
      <w:r>
        <w:rPr>
          <w:b w:val="0"/>
          <w:bCs w:val="0"/>
          <w:caps w:val="0"/>
        </w:rPr>
        <w:instrText xml:space="preserve"> TOC \o \u </w:instrText>
      </w:r>
      <w:r>
        <w:rPr>
          <w:b w:val="0"/>
          <w:bCs w:val="0"/>
          <w:caps w:val="0"/>
        </w:rPr>
        <w:fldChar w:fldCharType="separate"/>
      </w:r>
      <w:r>
        <w:rPr>
          <w:rFonts w:hint="eastAsia" w:ascii="黑体" w:hAnsi="黑体" w:eastAsia="黑体"/>
        </w:rPr>
        <w:t>第一部分</w:t>
      </w:r>
      <w:r>
        <w:rPr>
          <w:rFonts w:ascii="黑体" w:hAnsi="黑体" w:eastAsia="黑体"/>
        </w:rPr>
        <w:t xml:space="preserve"> </w:t>
      </w:r>
      <w:r>
        <w:rPr>
          <w:rFonts w:hint="eastAsia" w:ascii="黑体" w:hAnsi="黑体" w:eastAsia="黑体"/>
          <w:bCs w:val="0"/>
        </w:rPr>
        <w:t>部门概况</w:t>
      </w:r>
      <w:r>
        <w:tab/>
      </w:r>
      <w:r>
        <w:fldChar w:fldCharType="begin"/>
      </w:r>
      <w:r>
        <w:instrText xml:space="preserve"> PAGEREF _Toc12972 \h </w:instrText>
      </w:r>
      <w:r>
        <w:fldChar w:fldCharType="separate"/>
      </w:r>
      <w:r>
        <w:t>1</w:t>
      </w:r>
      <w:r>
        <w:fldChar w:fldCharType="end"/>
      </w:r>
    </w:p>
    <w:p>
      <w:pPr>
        <w:pStyle w:val="18"/>
        <w:tabs>
          <w:tab w:val="right" w:leader="dot" w:pos="8306"/>
        </w:tabs>
      </w:pPr>
      <w:r>
        <w:rPr>
          <w:rFonts w:hint="eastAsia" w:ascii="黑体" w:hAnsi="黑体" w:eastAsia="黑体"/>
          <w:color w:val="000000"/>
        </w:rPr>
        <w:t>一、基</w:t>
      </w:r>
      <w:r>
        <w:rPr>
          <w:rFonts w:hint="eastAsia" w:ascii="黑体" w:hAnsi="黑体" w:eastAsia="黑体"/>
          <w:bCs w:val="0"/>
        </w:rPr>
        <w:t>本职能及主要工作</w:t>
      </w:r>
      <w:r>
        <w:tab/>
      </w:r>
      <w:r>
        <w:fldChar w:fldCharType="begin"/>
      </w:r>
      <w:r>
        <w:instrText xml:space="preserve"> PAGEREF _Toc6105 \h </w:instrText>
      </w:r>
      <w:r>
        <w:fldChar w:fldCharType="separate"/>
      </w:r>
      <w:r>
        <w:t>1</w:t>
      </w:r>
      <w:r>
        <w:fldChar w:fldCharType="end"/>
      </w:r>
    </w:p>
    <w:p>
      <w:pPr>
        <w:pStyle w:val="10"/>
        <w:tabs>
          <w:tab w:val="right" w:leader="dot" w:pos="8306"/>
        </w:tabs>
      </w:pPr>
      <w:r>
        <w:rPr>
          <w:rFonts w:hint="eastAsia" w:ascii="仿宋" w:hAnsi="仿宋" w:eastAsia="仿宋"/>
          <w:bCs/>
          <w:color w:val="000000"/>
          <w:szCs w:val="32"/>
        </w:rPr>
        <w:t>（一）主要职能</w:t>
      </w:r>
      <w:r>
        <w:tab/>
      </w:r>
      <w:r>
        <w:fldChar w:fldCharType="begin"/>
      </w:r>
      <w:r>
        <w:instrText xml:space="preserve"> PAGEREF _Toc28949 \h </w:instrText>
      </w:r>
      <w:r>
        <w:fldChar w:fldCharType="separate"/>
      </w:r>
      <w:r>
        <w:t>1</w:t>
      </w:r>
      <w:r>
        <w:fldChar w:fldCharType="end"/>
      </w:r>
    </w:p>
    <w:p>
      <w:pPr>
        <w:pStyle w:val="10"/>
        <w:tabs>
          <w:tab w:val="right" w:leader="dot" w:pos="8306"/>
        </w:tabs>
      </w:pPr>
      <w:r>
        <w:rPr>
          <w:rFonts w:hint="eastAsia" w:ascii="仿宋" w:hAnsi="仿宋" w:eastAsia="仿宋"/>
          <w:bCs/>
          <w:color w:val="auto"/>
          <w:szCs w:val="32"/>
        </w:rPr>
        <w:t>（二）</w:t>
      </w:r>
      <w:r>
        <w:rPr>
          <w:rFonts w:ascii="仿宋" w:hAnsi="仿宋" w:eastAsia="仿宋"/>
          <w:bCs/>
          <w:color w:val="auto"/>
          <w:szCs w:val="32"/>
        </w:rPr>
        <w:t>202</w:t>
      </w:r>
      <w:r>
        <w:rPr>
          <w:rFonts w:hint="eastAsia" w:ascii="仿宋" w:hAnsi="仿宋" w:eastAsia="仿宋"/>
          <w:bCs/>
          <w:color w:val="auto"/>
          <w:szCs w:val="32"/>
        </w:rPr>
        <w:t>1年重点工作完成情况</w:t>
      </w:r>
      <w:r>
        <w:tab/>
      </w:r>
      <w:r>
        <w:fldChar w:fldCharType="begin"/>
      </w:r>
      <w:r>
        <w:instrText xml:space="preserve"> PAGEREF _Toc20616 \h </w:instrText>
      </w:r>
      <w:r>
        <w:fldChar w:fldCharType="separate"/>
      </w:r>
      <w:r>
        <w:t>3</w:t>
      </w:r>
      <w:r>
        <w:fldChar w:fldCharType="end"/>
      </w:r>
    </w:p>
    <w:p>
      <w:pPr>
        <w:pStyle w:val="18"/>
        <w:tabs>
          <w:tab w:val="right" w:leader="dot" w:pos="8306"/>
        </w:tabs>
      </w:pPr>
      <w:r>
        <w:rPr>
          <w:rFonts w:hint="eastAsia" w:ascii="黑体" w:eastAsia="黑体"/>
          <w:color w:val="000000"/>
        </w:rPr>
        <w:t>二、</w:t>
      </w:r>
      <w:r>
        <w:rPr>
          <w:rFonts w:hint="eastAsia" w:ascii="黑体" w:hAnsi="黑体" w:eastAsia="黑体"/>
          <w:color w:val="000000"/>
        </w:rPr>
        <w:t>机</w:t>
      </w:r>
      <w:r>
        <w:rPr>
          <w:rFonts w:hint="eastAsia" w:ascii="黑体" w:hAnsi="黑体" w:eastAsia="黑体"/>
          <w:bCs w:val="0"/>
        </w:rPr>
        <w:t>构设置</w:t>
      </w:r>
      <w:r>
        <w:tab/>
      </w:r>
      <w:r>
        <w:fldChar w:fldCharType="begin"/>
      </w:r>
      <w:r>
        <w:instrText xml:space="preserve"> PAGEREF _Toc8295 \h </w:instrText>
      </w:r>
      <w:r>
        <w:fldChar w:fldCharType="separate"/>
      </w:r>
      <w:r>
        <w:t>4</w:t>
      </w:r>
      <w:r>
        <w:fldChar w:fldCharType="end"/>
      </w:r>
    </w:p>
    <w:p>
      <w:pPr>
        <w:pStyle w:val="15"/>
        <w:tabs>
          <w:tab w:val="right" w:leader="dot" w:pos="8306"/>
        </w:tabs>
      </w:pPr>
      <w:r>
        <w:rPr>
          <w:rFonts w:hint="eastAsia" w:ascii="黑体" w:hAnsi="黑体" w:eastAsia="黑体"/>
          <w:color w:val="000000"/>
        </w:rPr>
        <w:t>第二部分</w:t>
      </w:r>
      <w:r>
        <w:rPr>
          <w:rFonts w:ascii="黑体" w:hAnsi="黑体" w:eastAsia="黑体"/>
          <w:color w:val="000000"/>
        </w:rPr>
        <w:t xml:space="preserve"> </w:t>
      </w:r>
      <w:r>
        <w:rPr>
          <w:rFonts w:ascii="黑体" w:hAnsi="黑体" w:eastAsia="黑体"/>
          <w:bCs w:val="0"/>
        </w:rPr>
        <w:t>202</w:t>
      </w:r>
      <w:r>
        <w:rPr>
          <w:rFonts w:hint="eastAsia" w:ascii="黑体" w:hAnsi="黑体" w:eastAsia="黑体"/>
          <w:bCs w:val="0"/>
        </w:rPr>
        <w:t>1年度部门决算情况说明</w:t>
      </w:r>
      <w:r>
        <w:tab/>
      </w:r>
      <w:r>
        <w:fldChar w:fldCharType="begin"/>
      </w:r>
      <w:r>
        <w:instrText xml:space="preserve"> PAGEREF _Toc5908 \h </w:instrText>
      </w:r>
      <w:r>
        <w:fldChar w:fldCharType="separate"/>
      </w:r>
      <w:r>
        <w:t>5</w:t>
      </w:r>
      <w:r>
        <w:fldChar w:fldCharType="end"/>
      </w:r>
    </w:p>
    <w:p>
      <w:pPr>
        <w:pStyle w:val="18"/>
        <w:tabs>
          <w:tab w:val="right" w:leader="dot" w:pos="8306"/>
        </w:tabs>
      </w:pPr>
      <w:r>
        <w:rPr>
          <w:rFonts w:hint="default" w:ascii="黑体" w:hAnsi="黑体" w:eastAsia="黑体" w:cs="Times New Roman"/>
        </w:rPr>
        <w:t xml:space="preserve">一、 </w:t>
      </w:r>
      <w:r>
        <w:rPr>
          <w:rFonts w:hint="eastAsia" w:ascii="黑体" w:hAnsi="黑体" w:eastAsia="黑体"/>
          <w:color w:val="000000"/>
          <w:szCs w:val="32"/>
        </w:rPr>
        <w:t>收</w:t>
      </w:r>
      <w:r>
        <w:rPr>
          <w:rFonts w:hint="eastAsia" w:ascii="黑体" w:hAnsi="黑体" w:eastAsia="黑体"/>
        </w:rPr>
        <w:t>入支出决算总体情况说明</w:t>
      </w:r>
      <w:r>
        <w:tab/>
      </w:r>
      <w:r>
        <w:fldChar w:fldCharType="begin"/>
      </w:r>
      <w:r>
        <w:instrText xml:space="preserve"> PAGEREF _Toc11618 \h </w:instrText>
      </w:r>
      <w:r>
        <w:fldChar w:fldCharType="separate"/>
      </w:r>
      <w:r>
        <w:t>5</w:t>
      </w:r>
      <w:r>
        <w:fldChar w:fldCharType="end"/>
      </w:r>
    </w:p>
    <w:p>
      <w:pPr>
        <w:pStyle w:val="18"/>
        <w:tabs>
          <w:tab w:val="right" w:leader="dot" w:pos="8306"/>
        </w:tabs>
      </w:pPr>
      <w:r>
        <w:rPr>
          <w:rFonts w:hint="default" w:ascii="黑体" w:hAnsi="黑体" w:eastAsia="黑体" w:cs="Times New Roman"/>
        </w:rPr>
        <w:t xml:space="preserve">二、 </w:t>
      </w:r>
      <w:r>
        <w:rPr>
          <w:rFonts w:hint="eastAsia" w:ascii="黑体" w:hAnsi="黑体" w:eastAsia="黑体"/>
          <w:color w:val="000000"/>
          <w:szCs w:val="32"/>
        </w:rPr>
        <w:t>收</w:t>
      </w:r>
      <w:r>
        <w:rPr>
          <w:rFonts w:hint="eastAsia" w:ascii="黑体" w:hAnsi="黑体" w:eastAsia="黑体"/>
        </w:rPr>
        <w:t>入决算情况说明</w:t>
      </w:r>
      <w:r>
        <w:tab/>
      </w:r>
      <w:r>
        <w:fldChar w:fldCharType="begin"/>
      </w:r>
      <w:r>
        <w:instrText xml:space="preserve"> PAGEREF _Toc13293 \h </w:instrText>
      </w:r>
      <w:r>
        <w:fldChar w:fldCharType="separate"/>
      </w:r>
      <w:r>
        <w:t>5</w:t>
      </w:r>
      <w:r>
        <w:fldChar w:fldCharType="end"/>
      </w:r>
    </w:p>
    <w:p>
      <w:pPr>
        <w:pStyle w:val="18"/>
        <w:tabs>
          <w:tab w:val="right" w:leader="dot" w:pos="8306"/>
        </w:tabs>
      </w:pPr>
      <w:r>
        <w:rPr>
          <w:rFonts w:hint="eastAsia" w:ascii="黑体" w:hAnsi="黑体" w:eastAsia="黑体"/>
          <w:color w:val="000000"/>
          <w:szCs w:val="32"/>
          <w:lang w:val="en-US" w:eastAsia="zh-CN"/>
        </w:rPr>
        <w:t>三、</w:t>
      </w:r>
      <w:r>
        <w:rPr>
          <w:rFonts w:hint="eastAsia" w:ascii="黑体" w:hAnsi="黑体" w:eastAsia="黑体"/>
          <w:color w:val="000000"/>
          <w:szCs w:val="32"/>
        </w:rPr>
        <w:t>支</w:t>
      </w:r>
      <w:r>
        <w:rPr>
          <w:rFonts w:hint="eastAsia" w:ascii="黑体" w:hAnsi="黑体" w:eastAsia="黑体"/>
        </w:rPr>
        <w:t>出决算情况说明</w:t>
      </w:r>
      <w:r>
        <w:tab/>
      </w:r>
      <w:r>
        <w:fldChar w:fldCharType="begin"/>
      </w:r>
      <w:r>
        <w:instrText xml:space="preserve"> PAGEREF _Toc23193 \h </w:instrText>
      </w:r>
      <w:r>
        <w:fldChar w:fldCharType="separate"/>
      </w:r>
      <w:r>
        <w:t>6</w:t>
      </w:r>
      <w:r>
        <w:fldChar w:fldCharType="end"/>
      </w:r>
    </w:p>
    <w:p>
      <w:pPr>
        <w:pStyle w:val="18"/>
        <w:tabs>
          <w:tab w:val="right" w:leader="dot" w:pos="8306"/>
        </w:tabs>
      </w:pPr>
      <w:r>
        <w:rPr>
          <w:rFonts w:hint="eastAsia" w:ascii="黑体" w:hAnsi="黑体" w:eastAsia="黑体"/>
          <w:color w:val="000000"/>
          <w:szCs w:val="32"/>
        </w:rPr>
        <w:t>四、财</w:t>
      </w:r>
      <w:r>
        <w:rPr>
          <w:rFonts w:hint="eastAsia" w:ascii="黑体" w:hAnsi="黑体" w:eastAsia="黑体"/>
        </w:rPr>
        <w:t>政拨款收入支出决算总体情况说明</w:t>
      </w:r>
      <w:r>
        <w:tab/>
      </w:r>
      <w:r>
        <w:fldChar w:fldCharType="begin"/>
      </w:r>
      <w:r>
        <w:instrText xml:space="preserve"> PAGEREF _Toc13210 \h </w:instrText>
      </w:r>
      <w:r>
        <w:fldChar w:fldCharType="separate"/>
      </w:r>
      <w:r>
        <w:t>7</w:t>
      </w:r>
      <w:r>
        <w:fldChar w:fldCharType="end"/>
      </w:r>
    </w:p>
    <w:p>
      <w:pPr>
        <w:pStyle w:val="18"/>
        <w:tabs>
          <w:tab w:val="right" w:leader="dot" w:pos="8306"/>
        </w:tabs>
      </w:pPr>
      <w:r>
        <w:rPr>
          <w:rFonts w:hint="eastAsia" w:ascii="黑体" w:hAnsi="黑体" w:eastAsia="黑体"/>
          <w:color w:val="000000"/>
          <w:szCs w:val="32"/>
        </w:rPr>
        <w:t>五、一</w:t>
      </w:r>
      <w:r>
        <w:rPr>
          <w:rFonts w:hint="eastAsia" w:ascii="黑体" w:hAnsi="黑体" w:eastAsia="黑体"/>
        </w:rPr>
        <w:t>般公共预算财政拨款支出决算情况说明</w:t>
      </w:r>
      <w:r>
        <w:tab/>
      </w:r>
      <w:r>
        <w:fldChar w:fldCharType="begin"/>
      </w:r>
      <w:r>
        <w:instrText xml:space="preserve"> PAGEREF _Toc3511 \h </w:instrText>
      </w:r>
      <w:r>
        <w:fldChar w:fldCharType="separate"/>
      </w:r>
      <w:r>
        <w:t>7</w:t>
      </w:r>
      <w:r>
        <w:fldChar w:fldCharType="end"/>
      </w:r>
    </w:p>
    <w:p>
      <w:pPr>
        <w:pStyle w:val="10"/>
        <w:tabs>
          <w:tab w:val="right" w:leader="dot" w:pos="8306"/>
        </w:tabs>
      </w:pPr>
      <w:r>
        <w:rPr>
          <w:rFonts w:hint="eastAsia" w:ascii="仿宋" w:hAnsi="仿宋" w:eastAsia="仿宋"/>
          <w:color w:val="000000"/>
          <w:szCs w:val="32"/>
        </w:rPr>
        <w:t>（一）一般公共预算财政拨款支出决算总体情况</w:t>
      </w:r>
      <w:r>
        <w:tab/>
      </w:r>
      <w:r>
        <w:fldChar w:fldCharType="begin"/>
      </w:r>
      <w:r>
        <w:instrText xml:space="preserve"> PAGEREF _Toc11121 \h </w:instrText>
      </w:r>
      <w:r>
        <w:fldChar w:fldCharType="separate"/>
      </w:r>
      <w:r>
        <w:t>7</w:t>
      </w:r>
      <w:r>
        <w:fldChar w:fldCharType="end"/>
      </w:r>
    </w:p>
    <w:p>
      <w:pPr>
        <w:pStyle w:val="10"/>
        <w:tabs>
          <w:tab w:val="right" w:leader="dot" w:pos="8306"/>
        </w:tabs>
      </w:pPr>
      <w:r>
        <w:rPr>
          <w:rFonts w:hint="eastAsia" w:ascii="仿宋" w:hAnsi="仿宋" w:eastAsia="仿宋"/>
          <w:color w:val="000000"/>
          <w:szCs w:val="32"/>
        </w:rPr>
        <w:t>（二）一般公共预算财政拨款支出决算结构情况</w:t>
      </w:r>
      <w:r>
        <w:tab/>
      </w:r>
      <w:r>
        <w:fldChar w:fldCharType="begin"/>
      </w:r>
      <w:r>
        <w:instrText xml:space="preserve"> PAGEREF _Toc31684 \h </w:instrText>
      </w:r>
      <w:r>
        <w:fldChar w:fldCharType="separate"/>
      </w:r>
      <w:r>
        <w:t>8</w:t>
      </w:r>
      <w:r>
        <w:fldChar w:fldCharType="end"/>
      </w:r>
    </w:p>
    <w:p>
      <w:pPr>
        <w:pStyle w:val="10"/>
        <w:tabs>
          <w:tab w:val="right" w:leader="dot" w:pos="8306"/>
        </w:tabs>
      </w:pPr>
      <w:r>
        <w:rPr>
          <w:rFonts w:hint="eastAsia" w:ascii="仿宋" w:hAnsi="仿宋" w:eastAsia="仿宋"/>
          <w:color w:val="000000"/>
          <w:szCs w:val="32"/>
        </w:rPr>
        <w:t>（图</w:t>
      </w:r>
      <w:r>
        <w:rPr>
          <w:rFonts w:ascii="仿宋" w:hAnsi="仿宋" w:eastAsia="仿宋"/>
          <w:color w:val="000000"/>
          <w:szCs w:val="32"/>
        </w:rPr>
        <w:t>6</w:t>
      </w:r>
      <w:r>
        <w:rPr>
          <w:rFonts w:hint="eastAsia" w:ascii="仿宋" w:hAnsi="仿宋" w:eastAsia="仿宋"/>
          <w:color w:val="000000"/>
          <w:szCs w:val="32"/>
        </w:rPr>
        <w:t>：一般公共预算财政拨款支出决算结构）</w:t>
      </w:r>
      <w:r>
        <w:tab/>
      </w:r>
      <w:r>
        <w:fldChar w:fldCharType="begin"/>
      </w:r>
      <w:r>
        <w:instrText xml:space="preserve"> PAGEREF _Toc17721 \h </w:instrText>
      </w:r>
      <w:r>
        <w:fldChar w:fldCharType="separate"/>
      </w:r>
      <w:r>
        <w:t>8</w:t>
      </w:r>
      <w:r>
        <w:fldChar w:fldCharType="end"/>
      </w:r>
    </w:p>
    <w:p>
      <w:pPr>
        <w:pStyle w:val="10"/>
        <w:tabs>
          <w:tab w:val="right" w:leader="dot" w:pos="8306"/>
        </w:tabs>
      </w:pPr>
      <w:r>
        <w:rPr>
          <w:rFonts w:hint="eastAsia" w:ascii="仿宋" w:hAnsi="仿宋" w:eastAsia="仿宋"/>
          <w:color w:val="000000"/>
          <w:szCs w:val="32"/>
        </w:rPr>
        <w:t>（三）一般公共预算财政拨款支出决算具体情况</w:t>
      </w:r>
      <w:r>
        <w:tab/>
      </w:r>
      <w:r>
        <w:fldChar w:fldCharType="begin"/>
      </w:r>
      <w:r>
        <w:instrText xml:space="preserve"> PAGEREF _Toc21699 \h </w:instrText>
      </w:r>
      <w:r>
        <w:fldChar w:fldCharType="separate"/>
      </w:r>
      <w:r>
        <w:t>9</w:t>
      </w:r>
      <w:r>
        <w:fldChar w:fldCharType="end"/>
      </w:r>
    </w:p>
    <w:p>
      <w:pPr>
        <w:pStyle w:val="18"/>
        <w:tabs>
          <w:tab w:val="right" w:leader="dot" w:pos="8306"/>
        </w:tabs>
      </w:pPr>
      <w:r>
        <w:rPr>
          <w:rFonts w:hint="eastAsia" w:ascii="黑体" w:eastAsia="黑体"/>
          <w:color w:val="000000"/>
          <w:szCs w:val="32"/>
        </w:rPr>
        <w:t>六、</w:t>
      </w:r>
      <w:r>
        <w:rPr>
          <w:rFonts w:hint="eastAsia" w:ascii="黑体" w:hAnsi="黑体" w:eastAsia="黑体"/>
          <w:color w:val="000000"/>
          <w:szCs w:val="32"/>
        </w:rPr>
        <w:t>一</w:t>
      </w:r>
      <w:r>
        <w:rPr>
          <w:rFonts w:hint="eastAsia" w:ascii="黑体" w:hAnsi="黑体" w:eastAsia="黑体"/>
        </w:rPr>
        <w:t>般公共预算财政拨款基本支出决算情况说明</w:t>
      </w:r>
      <w:r>
        <w:tab/>
      </w:r>
      <w:r>
        <w:fldChar w:fldCharType="begin"/>
      </w:r>
      <w:r>
        <w:instrText xml:space="preserve"> PAGEREF _Toc20697 \h </w:instrText>
      </w:r>
      <w:r>
        <w:fldChar w:fldCharType="separate"/>
      </w:r>
      <w:r>
        <w:t>11</w:t>
      </w:r>
      <w:r>
        <w:fldChar w:fldCharType="end"/>
      </w:r>
    </w:p>
    <w:p>
      <w:pPr>
        <w:pStyle w:val="18"/>
        <w:tabs>
          <w:tab w:val="right" w:leader="dot" w:pos="8306"/>
        </w:tabs>
      </w:pPr>
      <w:r>
        <w:rPr>
          <w:rFonts w:hint="eastAsia" w:ascii="黑体" w:eastAsia="黑体"/>
          <w:color w:val="000000"/>
          <w:szCs w:val="32"/>
        </w:rPr>
        <w:t>七、</w:t>
      </w:r>
      <w:r>
        <w:rPr>
          <w:rFonts w:hint="eastAsia" w:ascii="黑体" w:hAnsi="黑体" w:eastAsia="黑体"/>
        </w:rPr>
        <w:t>“三公”经费财政拨款支出决算情况说明</w:t>
      </w:r>
      <w:r>
        <w:tab/>
      </w:r>
      <w:r>
        <w:fldChar w:fldCharType="begin"/>
      </w:r>
      <w:r>
        <w:instrText xml:space="preserve"> PAGEREF _Toc20775 \h </w:instrText>
      </w:r>
      <w:r>
        <w:fldChar w:fldCharType="separate"/>
      </w:r>
      <w:r>
        <w:t>12</w:t>
      </w:r>
      <w:r>
        <w:fldChar w:fldCharType="end"/>
      </w:r>
    </w:p>
    <w:p>
      <w:pPr>
        <w:pStyle w:val="10"/>
        <w:tabs>
          <w:tab w:val="right" w:leader="dot" w:pos="8306"/>
        </w:tabs>
      </w:pPr>
      <w:r>
        <w:rPr>
          <w:rFonts w:hint="eastAsia" w:ascii="仿宋" w:hAnsi="仿宋" w:eastAsia="仿宋"/>
          <w:color w:val="000000"/>
          <w:szCs w:val="32"/>
        </w:rPr>
        <w:t>（一）“三公”经费财政拨款支出决算总体情况说明</w:t>
      </w:r>
      <w:r>
        <w:tab/>
      </w:r>
      <w:r>
        <w:fldChar w:fldCharType="begin"/>
      </w:r>
      <w:r>
        <w:instrText xml:space="preserve"> PAGEREF _Toc21631 \h </w:instrText>
      </w:r>
      <w:r>
        <w:fldChar w:fldCharType="separate"/>
      </w:r>
      <w:r>
        <w:t>12</w:t>
      </w:r>
      <w:r>
        <w:fldChar w:fldCharType="end"/>
      </w:r>
    </w:p>
    <w:p>
      <w:pPr>
        <w:pStyle w:val="10"/>
        <w:tabs>
          <w:tab w:val="right" w:leader="dot" w:pos="8306"/>
        </w:tabs>
      </w:pPr>
      <w:r>
        <w:rPr>
          <w:rFonts w:hint="eastAsia" w:ascii="仿宋" w:hAnsi="仿宋" w:eastAsia="仿宋"/>
          <w:color w:val="000000"/>
          <w:szCs w:val="32"/>
        </w:rPr>
        <w:t>（二）“三公”经费财政拨款支出决算具体情况说明</w:t>
      </w:r>
      <w:r>
        <w:tab/>
      </w:r>
      <w:r>
        <w:fldChar w:fldCharType="begin"/>
      </w:r>
      <w:r>
        <w:instrText xml:space="preserve"> PAGEREF _Toc22500 \h </w:instrText>
      </w:r>
      <w:r>
        <w:fldChar w:fldCharType="separate"/>
      </w:r>
      <w:r>
        <w:t>12</w:t>
      </w:r>
      <w:r>
        <w:fldChar w:fldCharType="end"/>
      </w:r>
    </w:p>
    <w:p>
      <w:pPr>
        <w:pStyle w:val="18"/>
        <w:tabs>
          <w:tab w:val="right" w:leader="dot" w:pos="8306"/>
        </w:tabs>
      </w:pPr>
      <w:r>
        <w:rPr>
          <w:rFonts w:hint="eastAsia" w:ascii="黑体" w:eastAsia="黑体"/>
          <w:color w:val="000000"/>
          <w:szCs w:val="32"/>
        </w:rPr>
        <w:t>八、</w:t>
      </w:r>
      <w:r>
        <w:rPr>
          <w:rFonts w:hint="eastAsia" w:ascii="黑体" w:hAnsi="黑体" w:eastAsia="黑体"/>
        </w:rPr>
        <w:t>政府性基金预算支出决算情况说明</w:t>
      </w:r>
      <w:r>
        <w:tab/>
      </w:r>
      <w:r>
        <w:fldChar w:fldCharType="begin"/>
      </w:r>
      <w:r>
        <w:instrText xml:space="preserve"> PAGEREF _Toc5850 \h </w:instrText>
      </w:r>
      <w:r>
        <w:fldChar w:fldCharType="separate"/>
      </w:r>
      <w:r>
        <w:t>13</w:t>
      </w:r>
      <w:r>
        <w:fldChar w:fldCharType="end"/>
      </w:r>
    </w:p>
    <w:p>
      <w:pPr>
        <w:pStyle w:val="18"/>
        <w:tabs>
          <w:tab w:val="right" w:leader="dot" w:pos="8306"/>
        </w:tabs>
      </w:pPr>
      <w:r>
        <w:rPr>
          <w:rFonts w:hint="eastAsia" w:ascii="黑体" w:hAnsi="黑体" w:eastAsia="黑体" w:cs="Times New Roman"/>
        </w:rPr>
        <w:t xml:space="preserve">九、 </w:t>
      </w:r>
      <w:r>
        <w:rPr>
          <w:rFonts w:hint="eastAsia" w:ascii="黑体" w:hAnsi="黑体" w:eastAsia="黑体"/>
        </w:rPr>
        <w:t>国有资本经营预算支出决算情况说明</w:t>
      </w:r>
      <w:r>
        <w:tab/>
      </w:r>
      <w:r>
        <w:fldChar w:fldCharType="begin"/>
      </w:r>
      <w:r>
        <w:instrText xml:space="preserve"> PAGEREF _Toc27188 \h </w:instrText>
      </w:r>
      <w:r>
        <w:fldChar w:fldCharType="separate"/>
      </w:r>
      <w:r>
        <w:t>13</w:t>
      </w:r>
      <w:r>
        <w:fldChar w:fldCharType="end"/>
      </w:r>
    </w:p>
    <w:p>
      <w:pPr>
        <w:pStyle w:val="18"/>
        <w:tabs>
          <w:tab w:val="right" w:leader="dot" w:pos="8306"/>
        </w:tabs>
      </w:pPr>
      <w:r>
        <w:rPr>
          <w:rFonts w:hint="eastAsia" w:ascii="黑体" w:hAnsi="黑体" w:eastAsia="黑体"/>
          <w:color w:val="000000"/>
          <w:szCs w:val="32"/>
        </w:rPr>
        <w:t>十</w:t>
      </w:r>
      <w:r>
        <w:rPr>
          <w:rFonts w:hint="eastAsia" w:ascii="黑体" w:hAnsi="黑体" w:eastAsia="黑体"/>
        </w:rPr>
        <w:t>、其他重要事项的情况说明</w:t>
      </w:r>
      <w:r>
        <w:tab/>
      </w:r>
      <w:r>
        <w:fldChar w:fldCharType="begin"/>
      </w:r>
      <w:r>
        <w:instrText xml:space="preserve"> PAGEREF _Toc15462 \h </w:instrText>
      </w:r>
      <w:r>
        <w:fldChar w:fldCharType="separate"/>
      </w:r>
      <w:r>
        <w:t>13</w:t>
      </w:r>
      <w:r>
        <w:fldChar w:fldCharType="end"/>
      </w:r>
    </w:p>
    <w:p>
      <w:pPr>
        <w:pStyle w:val="10"/>
        <w:tabs>
          <w:tab w:val="right" w:leader="dot" w:pos="8306"/>
        </w:tabs>
      </w:pPr>
      <w:r>
        <w:rPr>
          <w:rFonts w:hint="eastAsia" w:ascii="仿宋" w:hAnsi="仿宋" w:eastAsia="仿宋"/>
          <w:color w:val="000000"/>
          <w:szCs w:val="32"/>
        </w:rPr>
        <w:t>（一）机关运行经费支出情况</w:t>
      </w:r>
      <w:r>
        <w:tab/>
      </w:r>
      <w:r>
        <w:fldChar w:fldCharType="begin"/>
      </w:r>
      <w:r>
        <w:instrText xml:space="preserve"> PAGEREF _Toc10814 \h </w:instrText>
      </w:r>
      <w:r>
        <w:fldChar w:fldCharType="separate"/>
      </w:r>
      <w:r>
        <w:t>13</w:t>
      </w:r>
      <w:r>
        <w:fldChar w:fldCharType="end"/>
      </w:r>
    </w:p>
    <w:p>
      <w:pPr>
        <w:pStyle w:val="10"/>
        <w:tabs>
          <w:tab w:val="right" w:leader="dot" w:pos="8306"/>
        </w:tabs>
      </w:pPr>
      <w:r>
        <w:rPr>
          <w:rFonts w:hint="eastAsia" w:ascii="仿宋" w:hAnsi="仿宋" w:eastAsia="仿宋"/>
          <w:color w:val="000000"/>
          <w:szCs w:val="32"/>
        </w:rPr>
        <w:t>（二）政府采购支出情况</w:t>
      </w:r>
      <w:r>
        <w:tab/>
      </w:r>
      <w:r>
        <w:fldChar w:fldCharType="begin"/>
      </w:r>
      <w:r>
        <w:instrText xml:space="preserve"> PAGEREF _Toc6108 \h </w:instrText>
      </w:r>
      <w:r>
        <w:fldChar w:fldCharType="separate"/>
      </w:r>
      <w:r>
        <w:t>13</w:t>
      </w:r>
      <w:r>
        <w:fldChar w:fldCharType="end"/>
      </w:r>
    </w:p>
    <w:p>
      <w:pPr>
        <w:pStyle w:val="10"/>
        <w:tabs>
          <w:tab w:val="right" w:leader="dot" w:pos="8306"/>
        </w:tabs>
      </w:pPr>
      <w:r>
        <w:rPr>
          <w:rFonts w:hint="eastAsia" w:ascii="仿宋" w:hAnsi="仿宋" w:eastAsia="仿宋"/>
          <w:color w:val="000000"/>
          <w:szCs w:val="32"/>
        </w:rPr>
        <w:t>（三）国有资产占有使用情况</w:t>
      </w:r>
      <w:r>
        <w:tab/>
      </w:r>
      <w:r>
        <w:fldChar w:fldCharType="begin"/>
      </w:r>
      <w:r>
        <w:instrText xml:space="preserve"> PAGEREF _Toc15428 \h </w:instrText>
      </w:r>
      <w:r>
        <w:fldChar w:fldCharType="separate"/>
      </w:r>
      <w:r>
        <w:t>14</w:t>
      </w:r>
      <w:r>
        <w:fldChar w:fldCharType="end"/>
      </w:r>
    </w:p>
    <w:p>
      <w:pPr>
        <w:pStyle w:val="10"/>
        <w:tabs>
          <w:tab w:val="right" w:leader="dot" w:pos="8306"/>
        </w:tabs>
      </w:pPr>
      <w:r>
        <w:rPr>
          <w:rFonts w:hint="eastAsia" w:ascii="仿宋" w:hAnsi="仿宋" w:eastAsia="仿宋"/>
          <w:color w:val="000000"/>
          <w:szCs w:val="32"/>
        </w:rPr>
        <w:t>（四）预算绩效管理情况。</w:t>
      </w:r>
      <w:r>
        <w:tab/>
      </w:r>
      <w:r>
        <w:fldChar w:fldCharType="begin"/>
      </w:r>
      <w:r>
        <w:instrText xml:space="preserve"> PAGEREF _Toc3895 \h </w:instrText>
      </w:r>
      <w:r>
        <w:fldChar w:fldCharType="separate"/>
      </w:r>
      <w:r>
        <w:t>14</w:t>
      </w:r>
      <w:r>
        <w:fldChar w:fldCharType="end"/>
      </w:r>
    </w:p>
    <w:p>
      <w:pPr>
        <w:pStyle w:val="15"/>
        <w:tabs>
          <w:tab w:val="right" w:leader="dot" w:pos="8306"/>
        </w:tabs>
      </w:pPr>
      <w:r>
        <w:rPr>
          <w:rFonts w:hint="eastAsia" w:ascii="黑体" w:hAnsi="黑体" w:eastAsia="黑体" w:cs="Times New Roman"/>
        </w:rPr>
        <w:t xml:space="preserve">第三部分 </w:t>
      </w:r>
      <w:r>
        <w:rPr>
          <w:rFonts w:hint="eastAsia" w:ascii="黑体" w:hAnsi="黑体" w:eastAsia="黑体"/>
          <w:color w:val="000000"/>
          <w:szCs w:val="44"/>
        </w:rPr>
        <w:t>名</w:t>
      </w:r>
      <w:r>
        <w:rPr>
          <w:rFonts w:hint="eastAsia" w:ascii="黑体" w:hAnsi="黑体" w:eastAsia="黑体"/>
        </w:rPr>
        <w:t>词解释</w:t>
      </w:r>
      <w:r>
        <w:tab/>
      </w:r>
      <w:r>
        <w:fldChar w:fldCharType="begin"/>
      </w:r>
      <w:r>
        <w:instrText xml:space="preserve"> PAGEREF _Toc32267 \h </w:instrText>
      </w:r>
      <w:r>
        <w:fldChar w:fldCharType="separate"/>
      </w:r>
      <w:r>
        <w:t>15</w:t>
      </w:r>
      <w:r>
        <w:fldChar w:fldCharType="end"/>
      </w:r>
    </w:p>
    <w:p>
      <w:pPr>
        <w:pStyle w:val="15"/>
        <w:tabs>
          <w:tab w:val="right" w:leader="dot" w:pos="8306"/>
        </w:tabs>
      </w:pPr>
      <w:r>
        <w:rPr>
          <w:rFonts w:hint="eastAsia" w:ascii="黑体" w:hAnsi="黑体" w:eastAsia="黑体"/>
          <w:color w:val="000000"/>
          <w:szCs w:val="44"/>
        </w:rPr>
        <w:t>第</w:t>
      </w:r>
      <w:r>
        <w:rPr>
          <w:rFonts w:hint="eastAsia" w:ascii="黑体" w:hAnsi="黑体" w:eastAsia="黑体"/>
          <w:lang w:eastAsia="zh-CN"/>
        </w:rPr>
        <w:t>四</w:t>
      </w:r>
      <w:r>
        <w:rPr>
          <w:rFonts w:hint="eastAsia" w:ascii="黑体" w:hAnsi="黑体" w:eastAsia="黑体"/>
        </w:rPr>
        <w:t>部分</w:t>
      </w:r>
      <w:r>
        <w:rPr>
          <w:rFonts w:ascii="黑体" w:hAnsi="黑体" w:eastAsia="黑体"/>
        </w:rPr>
        <w:t xml:space="preserve"> </w:t>
      </w:r>
      <w:r>
        <w:rPr>
          <w:rFonts w:hint="eastAsia" w:ascii="黑体" w:hAnsi="黑体" w:eastAsia="黑体"/>
        </w:rPr>
        <w:t>附表</w:t>
      </w:r>
      <w:r>
        <w:tab/>
      </w:r>
      <w:r>
        <w:fldChar w:fldCharType="begin"/>
      </w:r>
      <w:r>
        <w:instrText xml:space="preserve"> PAGEREF _Toc16893 \h </w:instrText>
      </w:r>
      <w:r>
        <w:fldChar w:fldCharType="separate"/>
      </w:r>
      <w:r>
        <w:t>19</w:t>
      </w:r>
      <w:r>
        <w:fldChar w:fldCharType="end"/>
      </w:r>
    </w:p>
    <w:p>
      <w:pPr>
        <w:pStyle w:val="18"/>
        <w:tabs>
          <w:tab w:val="right" w:leader="dot" w:pos="8306"/>
        </w:tabs>
      </w:pPr>
      <w:r>
        <w:rPr>
          <w:rFonts w:hint="eastAsia" w:ascii="仿宋" w:hAnsi="仿宋" w:eastAsia="仿宋"/>
          <w:color w:val="000000"/>
        </w:rPr>
        <w:t>一、收</w:t>
      </w:r>
      <w:r>
        <w:rPr>
          <w:rFonts w:hint="eastAsia" w:ascii="仿宋" w:hAnsi="仿宋" w:eastAsia="仿宋"/>
          <w:bCs w:val="0"/>
        </w:rPr>
        <w:t>入支出决算总表</w:t>
      </w:r>
      <w:r>
        <w:tab/>
      </w:r>
      <w:r>
        <w:fldChar w:fldCharType="begin"/>
      </w:r>
      <w:r>
        <w:instrText xml:space="preserve"> PAGEREF _Toc11914 \h </w:instrText>
      </w:r>
      <w:r>
        <w:fldChar w:fldCharType="separate"/>
      </w:r>
      <w:r>
        <w:t>19</w:t>
      </w:r>
      <w:r>
        <w:fldChar w:fldCharType="end"/>
      </w:r>
    </w:p>
    <w:p>
      <w:pPr>
        <w:pStyle w:val="18"/>
        <w:tabs>
          <w:tab w:val="right" w:leader="dot" w:pos="8306"/>
        </w:tabs>
      </w:pPr>
      <w:r>
        <w:rPr>
          <w:rFonts w:hint="eastAsia" w:ascii="仿宋" w:hAnsi="仿宋" w:eastAsia="仿宋"/>
          <w:color w:val="000000"/>
        </w:rPr>
        <w:t>二、收</w:t>
      </w:r>
      <w:r>
        <w:rPr>
          <w:rFonts w:hint="eastAsia" w:ascii="仿宋" w:hAnsi="仿宋" w:eastAsia="仿宋"/>
          <w:bCs w:val="0"/>
        </w:rPr>
        <w:t>入决算表</w:t>
      </w:r>
      <w:r>
        <w:tab/>
      </w:r>
      <w:r>
        <w:fldChar w:fldCharType="begin"/>
      </w:r>
      <w:r>
        <w:instrText xml:space="preserve"> PAGEREF _Toc17064 \h </w:instrText>
      </w:r>
      <w:r>
        <w:fldChar w:fldCharType="separate"/>
      </w:r>
      <w:r>
        <w:t>19</w:t>
      </w:r>
      <w:r>
        <w:fldChar w:fldCharType="end"/>
      </w:r>
    </w:p>
    <w:p>
      <w:pPr>
        <w:pStyle w:val="18"/>
        <w:tabs>
          <w:tab w:val="right" w:leader="dot" w:pos="8306"/>
        </w:tabs>
      </w:pPr>
      <w:r>
        <w:rPr>
          <w:rFonts w:hint="eastAsia" w:ascii="仿宋" w:hAnsi="仿宋" w:eastAsia="仿宋"/>
          <w:bCs w:val="0"/>
        </w:rPr>
        <w:t>三、</w:t>
      </w:r>
      <w:r>
        <w:rPr>
          <w:rFonts w:hint="eastAsia" w:ascii="仿宋" w:hAnsi="仿宋" w:eastAsia="仿宋"/>
          <w:color w:val="000000"/>
        </w:rPr>
        <w:t>支</w:t>
      </w:r>
      <w:r>
        <w:rPr>
          <w:rFonts w:hint="eastAsia" w:ascii="仿宋" w:hAnsi="仿宋" w:eastAsia="仿宋"/>
          <w:bCs w:val="0"/>
        </w:rPr>
        <w:t>出决算表</w:t>
      </w:r>
      <w:r>
        <w:tab/>
      </w:r>
      <w:r>
        <w:fldChar w:fldCharType="begin"/>
      </w:r>
      <w:r>
        <w:instrText xml:space="preserve"> PAGEREF _Toc12337 \h </w:instrText>
      </w:r>
      <w:r>
        <w:fldChar w:fldCharType="separate"/>
      </w:r>
      <w:r>
        <w:t>19</w:t>
      </w:r>
      <w:r>
        <w:fldChar w:fldCharType="end"/>
      </w:r>
    </w:p>
    <w:p>
      <w:pPr>
        <w:pStyle w:val="18"/>
        <w:tabs>
          <w:tab w:val="right" w:leader="dot" w:pos="8306"/>
        </w:tabs>
      </w:pPr>
      <w:r>
        <w:rPr>
          <w:rFonts w:hint="eastAsia" w:ascii="仿宋" w:hAnsi="仿宋" w:eastAsia="仿宋"/>
          <w:bCs w:val="0"/>
        </w:rPr>
        <w:t>四、</w:t>
      </w:r>
      <w:r>
        <w:rPr>
          <w:rFonts w:hint="eastAsia" w:ascii="仿宋" w:hAnsi="仿宋" w:eastAsia="仿宋"/>
          <w:color w:val="000000"/>
        </w:rPr>
        <w:t>财</w:t>
      </w:r>
      <w:r>
        <w:rPr>
          <w:rFonts w:hint="eastAsia" w:ascii="仿宋" w:hAnsi="仿宋" w:eastAsia="仿宋"/>
          <w:bCs w:val="0"/>
        </w:rPr>
        <w:t>政拨款收入支出决算总表</w:t>
      </w:r>
      <w:r>
        <w:tab/>
      </w:r>
      <w:r>
        <w:fldChar w:fldCharType="begin"/>
      </w:r>
      <w:r>
        <w:instrText xml:space="preserve"> PAGEREF _Toc1113 \h </w:instrText>
      </w:r>
      <w:r>
        <w:fldChar w:fldCharType="separate"/>
      </w:r>
      <w:r>
        <w:t>19</w:t>
      </w:r>
      <w:r>
        <w:fldChar w:fldCharType="end"/>
      </w:r>
    </w:p>
    <w:p>
      <w:pPr>
        <w:pStyle w:val="18"/>
        <w:tabs>
          <w:tab w:val="right" w:leader="dot" w:pos="8306"/>
        </w:tabs>
      </w:pPr>
      <w:r>
        <w:rPr>
          <w:rFonts w:hint="eastAsia" w:ascii="仿宋" w:hAnsi="仿宋" w:eastAsia="仿宋"/>
          <w:bCs w:val="0"/>
        </w:rPr>
        <w:t>五、</w:t>
      </w:r>
      <w:r>
        <w:rPr>
          <w:rFonts w:hint="eastAsia" w:ascii="仿宋" w:hAnsi="仿宋" w:eastAsia="仿宋"/>
          <w:color w:val="000000"/>
        </w:rPr>
        <w:t>财</w:t>
      </w:r>
      <w:r>
        <w:rPr>
          <w:rFonts w:hint="eastAsia" w:ascii="仿宋" w:hAnsi="仿宋" w:eastAsia="仿宋"/>
          <w:bCs w:val="0"/>
        </w:rPr>
        <w:t>政拨款支出决算明细表</w:t>
      </w:r>
      <w:r>
        <w:tab/>
      </w:r>
      <w:r>
        <w:fldChar w:fldCharType="begin"/>
      </w:r>
      <w:r>
        <w:instrText xml:space="preserve"> PAGEREF _Toc8773 \h </w:instrText>
      </w:r>
      <w:r>
        <w:fldChar w:fldCharType="separate"/>
      </w:r>
      <w:r>
        <w:t>19</w:t>
      </w:r>
      <w:r>
        <w:fldChar w:fldCharType="end"/>
      </w:r>
    </w:p>
    <w:p>
      <w:pPr>
        <w:pStyle w:val="18"/>
        <w:tabs>
          <w:tab w:val="right" w:leader="dot" w:pos="8306"/>
        </w:tabs>
      </w:pPr>
      <w:r>
        <w:rPr>
          <w:rFonts w:hint="eastAsia" w:ascii="仿宋" w:hAnsi="仿宋" w:eastAsia="仿宋"/>
          <w:bCs w:val="0"/>
        </w:rPr>
        <w:t>六、</w:t>
      </w:r>
      <w:r>
        <w:rPr>
          <w:rFonts w:hint="eastAsia" w:ascii="仿宋" w:hAnsi="仿宋" w:eastAsia="仿宋"/>
          <w:color w:val="000000"/>
        </w:rPr>
        <w:t>一</w:t>
      </w:r>
      <w:r>
        <w:rPr>
          <w:rFonts w:hint="eastAsia" w:ascii="仿宋" w:hAnsi="仿宋" w:eastAsia="仿宋"/>
          <w:bCs w:val="0"/>
        </w:rPr>
        <w:t>般公共预算财政拨款支出决算表</w:t>
      </w:r>
      <w:r>
        <w:tab/>
      </w:r>
      <w:r>
        <w:fldChar w:fldCharType="begin"/>
      </w:r>
      <w:r>
        <w:instrText xml:space="preserve"> PAGEREF _Toc26439 \h </w:instrText>
      </w:r>
      <w:r>
        <w:fldChar w:fldCharType="separate"/>
      </w:r>
      <w:r>
        <w:t>19</w:t>
      </w:r>
      <w:r>
        <w:fldChar w:fldCharType="end"/>
      </w:r>
    </w:p>
    <w:p>
      <w:pPr>
        <w:pStyle w:val="18"/>
        <w:tabs>
          <w:tab w:val="right" w:leader="dot" w:pos="8306"/>
        </w:tabs>
      </w:pPr>
      <w:r>
        <w:rPr>
          <w:rFonts w:hint="eastAsia" w:ascii="仿宋" w:hAnsi="仿宋" w:eastAsia="仿宋"/>
          <w:bCs w:val="0"/>
        </w:rPr>
        <w:t>七、</w:t>
      </w:r>
      <w:r>
        <w:rPr>
          <w:rFonts w:hint="eastAsia" w:ascii="仿宋" w:hAnsi="仿宋" w:eastAsia="仿宋"/>
          <w:color w:val="000000"/>
        </w:rPr>
        <w:t>一</w:t>
      </w:r>
      <w:r>
        <w:rPr>
          <w:rFonts w:hint="eastAsia" w:ascii="仿宋" w:hAnsi="仿宋" w:eastAsia="仿宋"/>
          <w:bCs w:val="0"/>
        </w:rPr>
        <w:t>般公共预算财政拨款支出决算明细表</w:t>
      </w:r>
      <w:r>
        <w:tab/>
      </w:r>
      <w:r>
        <w:fldChar w:fldCharType="begin"/>
      </w:r>
      <w:r>
        <w:instrText xml:space="preserve"> PAGEREF _Toc12826 \h </w:instrText>
      </w:r>
      <w:r>
        <w:fldChar w:fldCharType="separate"/>
      </w:r>
      <w:r>
        <w:t>19</w:t>
      </w:r>
      <w:r>
        <w:fldChar w:fldCharType="end"/>
      </w:r>
    </w:p>
    <w:p>
      <w:pPr>
        <w:pStyle w:val="18"/>
        <w:tabs>
          <w:tab w:val="right" w:leader="dot" w:pos="8306"/>
        </w:tabs>
      </w:pPr>
      <w:r>
        <w:rPr>
          <w:rFonts w:hint="eastAsia" w:ascii="仿宋" w:hAnsi="仿宋" w:eastAsia="仿宋"/>
          <w:bCs w:val="0"/>
        </w:rPr>
        <w:t>八、</w:t>
      </w:r>
      <w:r>
        <w:rPr>
          <w:rFonts w:hint="eastAsia" w:ascii="仿宋" w:hAnsi="仿宋" w:eastAsia="仿宋"/>
          <w:color w:val="000000"/>
        </w:rPr>
        <w:t>一</w:t>
      </w:r>
      <w:r>
        <w:rPr>
          <w:rFonts w:hint="eastAsia" w:ascii="仿宋" w:hAnsi="仿宋" w:eastAsia="仿宋"/>
          <w:bCs w:val="0"/>
        </w:rPr>
        <w:t>般公共预算财政拨款基本支出决算表</w:t>
      </w:r>
      <w:r>
        <w:tab/>
      </w:r>
      <w:r>
        <w:fldChar w:fldCharType="begin"/>
      </w:r>
      <w:r>
        <w:instrText xml:space="preserve"> PAGEREF _Toc24969 \h </w:instrText>
      </w:r>
      <w:r>
        <w:fldChar w:fldCharType="separate"/>
      </w:r>
      <w:r>
        <w:t>19</w:t>
      </w:r>
      <w:r>
        <w:fldChar w:fldCharType="end"/>
      </w:r>
    </w:p>
    <w:p>
      <w:pPr>
        <w:pStyle w:val="18"/>
        <w:tabs>
          <w:tab w:val="right" w:leader="dot" w:pos="8306"/>
        </w:tabs>
      </w:pPr>
      <w:r>
        <w:rPr>
          <w:rFonts w:hint="eastAsia" w:ascii="仿宋" w:hAnsi="仿宋" w:eastAsia="仿宋"/>
          <w:bCs w:val="0"/>
        </w:rPr>
        <w:t>九、</w:t>
      </w:r>
      <w:r>
        <w:rPr>
          <w:rFonts w:hint="eastAsia" w:ascii="仿宋" w:hAnsi="仿宋" w:eastAsia="仿宋"/>
          <w:color w:val="000000"/>
        </w:rPr>
        <w:t>一</w:t>
      </w:r>
      <w:r>
        <w:rPr>
          <w:rFonts w:hint="eastAsia" w:ascii="仿宋" w:hAnsi="仿宋" w:eastAsia="仿宋"/>
          <w:bCs w:val="0"/>
        </w:rPr>
        <w:t>般公共预算财政拨款项目支出决算表</w:t>
      </w:r>
      <w:r>
        <w:tab/>
      </w:r>
      <w:r>
        <w:fldChar w:fldCharType="begin"/>
      </w:r>
      <w:r>
        <w:instrText xml:space="preserve"> PAGEREF _Toc19258 \h </w:instrText>
      </w:r>
      <w:r>
        <w:fldChar w:fldCharType="separate"/>
      </w:r>
      <w:r>
        <w:t>19</w:t>
      </w:r>
      <w:r>
        <w:fldChar w:fldCharType="end"/>
      </w:r>
    </w:p>
    <w:p>
      <w:pPr>
        <w:pStyle w:val="18"/>
        <w:tabs>
          <w:tab w:val="right" w:leader="dot" w:pos="8306"/>
        </w:tabs>
      </w:pPr>
      <w:r>
        <w:rPr>
          <w:rFonts w:hint="eastAsia" w:ascii="仿宋" w:hAnsi="仿宋" w:eastAsia="仿宋"/>
          <w:bCs w:val="0"/>
        </w:rPr>
        <w:t>十、</w:t>
      </w:r>
      <w:r>
        <w:rPr>
          <w:rFonts w:hint="eastAsia" w:ascii="仿宋" w:hAnsi="仿宋" w:eastAsia="仿宋"/>
          <w:color w:val="000000"/>
        </w:rPr>
        <w:t>一</w:t>
      </w:r>
      <w:r>
        <w:rPr>
          <w:rFonts w:hint="eastAsia" w:ascii="仿宋" w:hAnsi="仿宋" w:eastAsia="仿宋"/>
          <w:bCs w:val="0"/>
        </w:rPr>
        <w:t>般公共预算财政拨款“三公”经费支出决算表</w:t>
      </w:r>
      <w:r>
        <w:tab/>
      </w:r>
      <w:r>
        <w:fldChar w:fldCharType="begin"/>
      </w:r>
      <w:r>
        <w:instrText xml:space="preserve"> PAGEREF _Toc28444 \h </w:instrText>
      </w:r>
      <w:r>
        <w:fldChar w:fldCharType="separate"/>
      </w:r>
      <w:r>
        <w:t>19</w:t>
      </w:r>
      <w:r>
        <w:fldChar w:fldCharType="end"/>
      </w:r>
    </w:p>
    <w:p>
      <w:pPr>
        <w:pStyle w:val="18"/>
        <w:tabs>
          <w:tab w:val="right" w:leader="dot" w:pos="8306"/>
        </w:tabs>
      </w:pPr>
      <w:r>
        <w:rPr>
          <w:rFonts w:hint="eastAsia" w:ascii="仿宋" w:hAnsi="仿宋" w:eastAsia="仿宋"/>
          <w:bCs w:val="0"/>
        </w:rPr>
        <w:t>十一、</w:t>
      </w:r>
      <w:r>
        <w:rPr>
          <w:rFonts w:hint="eastAsia" w:ascii="仿宋" w:hAnsi="仿宋" w:eastAsia="仿宋"/>
          <w:color w:val="000000"/>
        </w:rPr>
        <w:t>政</w:t>
      </w:r>
      <w:r>
        <w:rPr>
          <w:rFonts w:hint="eastAsia" w:ascii="仿宋" w:hAnsi="仿宋" w:eastAsia="仿宋"/>
          <w:bCs w:val="0"/>
        </w:rPr>
        <w:t>府性基金预算财政拨款收入支出决算表</w:t>
      </w:r>
      <w:r>
        <w:tab/>
      </w:r>
      <w:r>
        <w:fldChar w:fldCharType="begin"/>
      </w:r>
      <w:r>
        <w:instrText xml:space="preserve"> PAGEREF _Toc17856 \h </w:instrText>
      </w:r>
      <w:r>
        <w:fldChar w:fldCharType="separate"/>
      </w:r>
      <w:r>
        <w:t>19</w:t>
      </w:r>
      <w:r>
        <w:fldChar w:fldCharType="end"/>
      </w:r>
    </w:p>
    <w:p>
      <w:pPr>
        <w:pStyle w:val="18"/>
        <w:tabs>
          <w:tab w:val="right" w:leader="dot" w:pos="8306"/>
        </w:tabs>
      </w:pPr>
      <w:r>
        <w:rPr>
          <w:rFonts w:hint="eastAsia" w:ascii="仿宋" w:hAnsi="仿宋" w:eastAsia="仿宋"/>
          <w:bCs w:val="0"/>
        </w:rPr>
        <w:t>十二、</w:t>
      </w:r>
      <w:r>
        <w:rPr>
          <w:rFonts w:hint="eastAsia" w:ascii="仿宋" w:hAnsi="仿宋" w:eastAsia="仿宋"/>
          <w:color w:val="000000"/>
        </w:rPr>
        <w:t>政</w:t>
      </w:r>
      <w:r>
        <w:rPr>
          <w:rFonts w:hint="eastAsia" w:ascii="仿宋" w:hAnsi="仿宋" w:eastAsia="仿宋"/>
          <w:bCs w:val="0"/>
        </w:rPr>
        <w:t>府性基金预算财政拨款“三公”经费支出决算表</w:t>
      </w:r>
      <w:r>
        <w:tab/>
      </w:r>
      <w:r>
        <w:fldChar w:fldCharType="begin"/>
      </w:r>
      <w:r>
        <w:instrText xml:space="preserve"> PAGEREF _Toc2921 \h </w:instrText>
      </w:r>
      <w:r>
        <w:fldChar w:fldCharType="separate"/>
      </w:r>
      <w:r>
        <w:t>19</w:t>
      </w:r>
      <w:r>
        <w:fldChar w:fldCharType="end"/>
      </w:r>
    </w:p>
    <w:p>
      <w:pPr>
        <w:pStyle w:val="18"/>
        <w:tabs>
          <w:tab w:val="right" w:leader="dot" w:pos="8306"/>
        </w:tabs>
      </w:pPr>
      <w:r>
        <w:rPr>
          <w:rFonts w:hint="eastAsia" w:ascii="仿宋" w:hAnsi="仿宋" w:eastAsia="仿宋"/>
          <w:bCs w:val="0"/>
        </w:rPr>
        <w:t>十三、</w:t>
      </w:r>
      <w:r>
        <w:rPr>
          <w:rFonts w:hint="eastAsia" w:ascii="仿宋" w:hAnsi="仿宋" w:eastAsia="仿宋"/>
          <w:color w:val="000000"/>
        </w:rPr>
        <w:t>国</w:t>
      </w:r>
      <w:r>
        <w:rPr>
          <w:rFonts w:hint="eastAsia" w:ascii="仿宋" w:hAnsi="仿宋" w:eastAsia="仿宋"/>
          <w:bCs w:val="0"/>
        </w:rPr>
        <w:t>有资本经营预算财政拨款支出决算表</w:t>
      </w:r>
      <w:r>
        <w:tab/>
      </w:r>
      <w:r>
        <w:fldChar w:fldCharType="begin"/>
      </w:r>
      <w:r>
        <w:instrText xml:space="preserve"> PAGEREF _Toc27746 \h </w:instrText>
      </w:r>
      <w:r>
        <w:fldChar w:fldCharType="separate"/>
      </w:r>
      <w:r>
        <w:t>19</w:t>
      </w:r>
      <w:r>
        <w:fldChar w:fldCharType="end"/>
      </w:r>
    </w:p>
    <w:p>
      <w:pPr>
        <w:pStyle w:val="18"/>
        <w:tabs>
          <w:tab w:val="right" w:leader="dot" w:pos="8306"/>
        </w:tabs>
      </w:pPr>
      <w:r>
        <w:rPr>
          <w:rFonts w:hint="eastAsia" w:ascii="仿宋" w:hAnsi="仿宋" w:eastAsia="仿宋"/>
          <w:bCs w:val="0"/>
        </w:rPr>
        <w:t>十四、国有资本经营预算财政拨款支出决算表</w:t>
      </w:r>
      <w:r>
        <w:tab/>
      </w:r>
      <w:r>
        <w:fldChar w:fldCharType="begin"/>
      </w:r>
      <w:r>
        <w:instrText xml:space="preserve"> PAGEREF _Toc18314 \h </w:instrText>
      </w:r>
      <w:r>
        <w:fldChar w:fldCharType="separate"/>
      </w:r>
      <w:r>
        <w:t>19</w:t>
      </w:r>
      <w:r>
        <w:fldChar w:fldCharType="end"/>
      </w:r>
    </w:p>
    <w:p>
      <w:r>
        <w:rPr>
          <w:rFonts w:asciiTheme="minorHAnsi" w:eastAsiaTheme="minorHAnsi"/>
          <w:bCs/>
          <w:caps/>
          <w:szCs w:val="20"/>
        </w:rPr>
        <w:fldChar w:fldCharType="end"/>
      </w:r>
    </w:p>
    <w:p>
      <w:pPr>
        <w:pStyle w:val="3"/>
        <w:keepNext/>
        <w:keepLines/>
        <w:pageBreakBefore w:val="0"/>
        <w:widowControl w:val="0"/>
        <w:kinsoku/>
        <w:wordWrap/>
        <w:overflowPunct/>
        <w:topLinePunct w:val="0"/>
        <w:autoSpaceDE/>
        <w:autoSpaceDN/>
        <w:bidi w:val="0"/>
        <w:adjustRightInd/>
        <w:snapToGrid/>
        <w:spacing w:before="0" w:after="0" w:line="560" w:lineRule="exact"/>
        <w:jc w:val="center"/>
        <w:textAlignment w:val="auto"/>
        <w:rPr>
          <w:rFonts w:hint="eastAsia" w:ascii="黑体" w:hAnsi="黑体" w:eastAsia="黑体"/>
          <w:b w:val="0"/>
        </w:rPr>
        <w:sectPr>
          <w:headerReference r:id="rId3" w:type="default"/>
          <w:pgSz w:w="11906" w:h="16838"/>
          <w:pgMar w:top="1440" w:right="1800" w:bottom="1440" w:left="1800" w:header="851" w:footer="992" w:gutter="0"/>
          <w:pgNumType w:start="1"/>
          <w:cols w:space="425" w:num="1"/>
          <w:titlePg/>
          <w:docGrid w:type="lines" w:linePitch="312" w:charSpace="0"/>
        </w:sectPr>
      </w:pPr>
      <w:bookmarkStart w:id="12" w:name="_Toc79163601"/>
      <w:bookmarkStart w:id="13" w:name="_Toc15396599"/>
      <w:bookmarkStart w:id="14" w:name="_Toc15377196"/>
    </w:p>
    <w:p>
      <w:pPr>
        <w:pStyle w:val="3"/>
        <w:keepNext/>
        <w:keepLines/>
        <w:pageBreakBefore w:val="0"/>
        <w:widowControl w:val="0"/>
        <w:kinsoku/>
        <w:wordWrap/>
        <w:overflowPunct/>
        <w:topLinePunct w:val="0"/>
        <w:autoSpaceDE/>
        <w:autoSpaceDN/>
        <w:bidi w:val="0"/>
        <w:adjustRightInd/>
        <w:snapToGrid/>
        <w:spacing w:before="0" w:after="0" w:line="560" w:lineRule="exact"/>
        <w:jc w:val="center"/>
        <w:textAlignment w:val="auto"/>
        <w:rPr>
          <w:rFonts w:ascii="黑体" w:eastAsia="黑体"/>
          <w:color w:val="000000"/>
          <w:sz w:val="32"/>
          <w:szCs w:val="32"/>
        </w:rPr>
      </w:pPr>
      <w:bookmarkStart w:id="15" w:name="_Toc12972"/>
      <w:r>
        <w:rPr>
          <w:rFonts w:hint="eastAsia" w:ascii="黑体" w:hAnsi="黑体" w:eastAsia="黑体"/>
          <w:b w:val="0"/>
        </w:rPr>
        <w:t>第一部分</w:t>
      </w:r>
      <w:r>
        <w:rPr>
          <w:rFonts w:ascii="黑体" w:hAnsi="黑体" w:eastAsia="黑体"/>
          <w:b w:val="0"/>
        </w:rPr>
        <w:t xml:space="preserve"> </w:t>
      </w:r>
      <w:r>
        <w:rPr>
          <w:rStyle w:val="26"/>
          <w:rFonts w:hint="eastAsia" w:ascii="黑体" w:hAnsi="黑体" w:eastAsia="黑体"/>
          <w:b w:val="0"/>
          <w:bCs w:val="0"/>
        </w:rPr>
        <w:t>部门概况</w:t>
      </w:r>
      <w:bookmarkEnd w:id="12"/>
      <w:bookmarkEnd w:id="13"/>
      <w:bookmarkEnd w:id="14"/>
      <w:bookmarkEnd w:id="15"/>
    </w:p>
    <w:p>
      <w:pPr>
        <w:pStyle w:val="4"/>
        <w:keepNext/>
        <w:keepLines/>
        <w:pageBreakBefore w:val="0"/>
        <w:widowControl w:val="0"/>
        <w:kinsoku/>
        <w:wordWrap/>
        <w:overflowPunct/>
        <w:topLinePunct w:val="0"/>
        <w:autoSpaceDE/>
        <w:autoSpaceDN/>
        <w:bidi w:val="0"/>
        <w:adjustRightInd/>
        <w:snapToGrid/>
        <w:spacing w:before="0" w:after="0" w:line="560" w:lineRule="exact"/>
        <w:textAlignment w:val="auto"/>
        <w:rPr>
          <w:rStyle w:val="27"/>
          <w:rFonts w:ascii="仿宋" w:hAnsi="仿宋" w:eastAsia="仿宋"/>
          <w:b w:val="0"/>
          <w:bCs w:val="0"/>
        </w:rPr>
      </w:pPr>
      <w:bookmarkStart w:id="16" w:name="_Toc6105"/>
      <w:bookmarkStart w:id="17" w:name="_Toc15396600"/>
      <w:bookmarkStart w:id="18" w:name="_Toc15377197"/>
      <w:bookmarkStart w:id="19" w:name="_Toc79163602"/>
      <w:r>
        <w:rPr>
          <w:rFonts w:hint="eastAsia" w:ascii="黑体" w:hAnsi="黑体" w:eastAsia="黑体"/>
          <w:b w:val="0"/>
          <w:color w:val="000000"/>
        </w:rPr>
        <w:t>一、基</w:t>
      </w:r>
      <w:r>
        <w:rPr>
          <w:rStyle w:val="27"/>
          <w:rFonts w:hint="eastAsia" w:ascii="黑体" w:hAnsi="黑体" w:eastAsia="黑体"/>
          <w:b w:val="0"/>
          <w:bCs w:val="0"/>
        </w:rPr>
        <w:t>本职能及主要工作</w:t>
      </w:r>
      <w:bookmarkEnd w:id="16"/>
      <w:bookmarkEnd w:id="17"/>
      <w:bookmarkEnd w:id="18"/>
      <w:bookmarkEnd w:id="19"/>
    </w:p>
    <w:p>
      <w:pPr>
        <w:pStyle w:val="7"/>
        <w:keepNext w:val="0"/>
        <w:keepLines w:val="0"/>
        <w:pageBreakBefore w:val="0"/>
        <w:widowControl w:val="0"/>
        <w:kinsoku/>
        <w:wordWrap/>
        <w:overflowPunct/>
        <w:topLinePunct w:val="0"/>
        <w:autoSpaceDE/>
        <w:autoSpaceDN/>
        <w:bidi w:val="0"/>
        <w:adjustRightInd w:val="0"/>
        <w:snapToGrid w:val="0"/>
        <w:spacing w:beforeLines="0" w:line="600" w:lineRule="exact"/>
        <w:ind w:firstLine="672" w:firstLineChars="210"/>
        <w:textAlignment w:val="auto"/>
        <w:outlineLvl w:val="2"/>
        <w:rPr>
          <w:rFonts w:ascii="仿宋" w:hAnsi="仿宋" w:eastAsia="仿宋"/>
          <w:bCs/>
          <w:color w:val="000000"/>
          <w:sz w:val="32"/>
          <w:szCs w:val="32"/>
        </w:rPr>
      </w:pPr>
      <w:bookmarkStart w:id="20" w:name="_Toc79163603"/>
      <w:bookmarkStart w:id="21" w:name="_Toc28949"/>
      <w:bookmarkStart w:id="22" w:name="_Toc15378445"/>
      <w:bookmarkStart w:id="23" w:name="_Toc15377198"/>
      <w:r>
        <w:rPr>
          <w:rFonts w:hint="eastAsia" w:ascii="仿宋" w:hAnsi="仿宋" w:eastAsia="仿宋"/>
          <w:bCs/>
          <w:color w:val="000000"/>
          <w:sz w:val="32"/>
          <w:szCs w:val="32"/>
        </w:rPr>
        <w:t>（一）主要职能</w:t>
      </w:r>
      <w:bookmarkEnd w:id="20"/>
      <w:bookmarkEnd w:id="21"/>
    </w:p>
    <w:bookmarkEnd w:id="22"/>
    <w:bookmarkEnd w:id="23"/>
    <w:p>
      <w:pPr>
        <w:pStyle w:val="7"/>
        <w:keepNext w:val="0"/>
        <w:keepLines w:val="0"/>
        <w:pageBreakBefore w:val="0"/>
        <w:widowControl w:val="0"/>
        <w:kinsoku/>
        <w:wordWrap/>
        <w:overflowPunct/>
        <w:topLinePunct w:val="0"/>
        <w:autoSpaceDE/>
        <w:autoSpaceDN/>
        <w:bidi w:val="0"/>
        <w:adjustRightInd w:val="0"/>
        <w:snapToGrid w:val="0"/>
        <w:spacing w:beforeLines="0" w:line="560" w:lineRule="exact"/>
        <w:ind w:left="0" w:right="0" w:firstLine="640" w:firstLineChars="200"/>
        <w:textAlignment w:val="auto"/>
        <w:outlineLvl w:val="9"/>
        <w:rPr>
          <w:rFonts w:hint="eastAsia" w:ascii="仿宋_GB2312" w:hAnsi="仿宋_GB2312" w:eastAsia="仿宋_GB2312" w:cs="仿宋_GB2312"/>
          <w:bCs/>
          <w:color w:val="000000"/>
          <w:kern w:val="0"/>
          <w:sz w:val="32"/>
          <w:szCs w:val="32"/>
          <w:lang w:val="zh-CN" w:eastAsia="zh-CN" w:bidi="ar-SA"/>
        </w:rPr>
      </w:pPr>
      <w:bookmarkStart w:id="24" w:name="_Toc79163604"/>
      <w:bookmarkStart w:id="25" w:name="_Toc15377199"/>
      <w:bookmarkStart w:id="26" w:name="_Toc15378446"/>
      <w:r>
        <w:rPr>
          <w:rFonts w:hint="eastAsia" w:ascii="仿宋_GB2312" w:hAnsi="仿宋_GB2312" w:eastAsia="仿宋_GB2312" w:cs="仿宋_GB2312"/>
          <w:bCs/>
          <w:color w:val="000000"/>
          <w:kern w:val="0"/>
          <w:sz w:val="32"/>
          <w:szCs w:val="32"/>
          <w:lang w:val="zh-CN" w:eastAsia="zh-CN" w:bidi="ar-SA"/>
        </w:rPr>
        <w:t>县退役军人</w:t>
      </w:r>
      <w:r>
        <w:rPr>
          <w:rFonts w:hint="eastAsia" w:hAnsi="仿宋_GB2312" w:cs="仿宋_GB2312"/>
          <w:bCs/>
          <w:color w:val="000000"/>
          <w:kern w:val="0"/>
          <w:sz w:val="32"/>
          <w:szCs w:val="32"/>
          <w:lang w:val="zh-CN" w:eastAsia="zh-CN" w:bidi="ar-SA"/>
        </w:rPr>
        <w:t>事务</w:t>
      </w:r>
      <w:r>
        <w:rPr>
          <w:rFonts w:hint="eastAsia" w:ascii="仿宋_GB2312" w:hAnsi="仿宋_GB2312" w:eastAsia="仿宋_GB2312" w:cs="仿宋_GB2312"/>
          <w:bCs/>
          <w:color w:val="000000"/>
          <w:kern w:val="0"/>
          <w:sz w:val="32"/>
          <w:szCs w:val="32"/>
          <w:lang w:val="zh-CN" w:eastAsia="zh-CN" w:bidi="ar-SA"/>
        </w:rPr>
        <w:t>局贯彻落实党中央关于退役军人工作的方针政策和省委、州委、县委的决策部署，在</w:t>
      </w:r>
      <w:r>
        <w:rPr>
          <w:rFonts w:hint="eastAsia" w:hAnsi="仿宋_GB2312" w:cs="仿宋_GB2312"/>
          <w:bCs/>
          <w:color w:val="000000"/>
          <w:kern w:val="0"/>
          <w:sz w:val="32"/>
          <w:szCs w:val="32"/>
          <w:lang w:val="zh-CN" w:eastAsia="zh-CN" w:bidi="ar-SA"/>
        </w:rPr>
        <w:t>执</w:t>
      </w:r>
      <w:r>
        <w:rPr>
          <w:rFonts w:hint="eastAsia" w:ascii="仿宋_GB2312" w:hAnsi="仿宋_GB2312" w:eastAsia="仿宋_GB2312" w:cs="仿宋_GB2312"/>
          <w:bCs/>
          <w:color w:val="000000"/>
          <w:kern w:val="0"/>
          <w:sz w:val="32"/>
          <w:szCs w:val="32"/>
          <w:lang w:val="zh-CN" w:eastAsia="zh-CN" w:bidi="ar-SA"/>
        </w:rPr>
        <w:t>行职责过程中坚持和加强党对退役军人工作的集中统一领导。主要职责是：</w:t>
      </w:r>
    </w:p>
    <w:p>
      <w:pPr>
        <w:pStyle w:val="7"/>
        <w:keepNext w:val="0"/>
        <w:keepLines w:val="0"/>
        <w:pageBreakBefore w:val="0"/>
        <w:widowControl w:val="0"/>
        <w:kinsoku/>
        <w:wordWrap/>
        <w:overflowPunct/>
        <w:topLinePunct w:val="0"/>
        <w:autoSpaceDE/>
        <w:autoSpaceDN/>
        <w:bidi w:val="0"/>
        <w:adjustRightInd w:val="0"/>
        <w:snapToGrid w:val="0"/>
        <w:spacing w:beforeLines="0" w:line="560" w:lineRule="exact"/>
        <w:ind w:right="0" w:firstLine="640" w:firstLineChars="200"/>
        <w:textAlignment w:val="auto"/>
        <w:outlineLvl w:val="9"/>
        <w:rPr>
          <w:rFonts w:hint="eastAsia" w:ascii="仿宋_GB2312" w:hAnsi="仿宋_GB2312" w:eastAsia="仿宋_GB2312" w:cs="仿宋_GB2312"/>
          <w:bCs/>
          <w:color w:val="000000"/>
          <w:kern w:val="0"/>
          <w:sz w:val="32"/>
          <w:szCs w:val="32"/>
          <w:lang w:val="zh-CN" w:eastAsia="zh-CN" w:bidi="ar-SA"/>
        </w:rPr>
      </w:pPr>
      <w:r>
        <w:rPr>
          <w:rFonts w:hint="eastAsia" w:hAnsi="仿宋_GB2312" w:cs="仿宋_GB2312"/>
          <w:bCs/>
          <w:color w:val="000000"/>
          <w:kern w:val="0"/>
          <w:sz w:val="32"/>
          <w:szCs w:val="32"/>
          <w:lang w:val="en-US" w:eastAsia="zh-CN" w:bidi="ar-SA"/>
        </w:rPr>
        <w:t>1.</w:t>
      </w:r>
      <w:r>
        <w:rPr>
          <w:rFonts w:hint="eastAsia" w:ascii="仿宋_GB2312" w:hAnsi="仿宋_GB2312" w:eastAsia="仿宋_GB2312" w:cs="仿宋_GB2312"/>
          <w:bCs/>
          <w:color w:val="000000"/>
          <w:kern w:val="0"/>
          <w:sz w:val="32"/>
          <w:szCs w:val="32"/>
          <w:lang w:val="zh-CN" w:eastAsia="zh-CN" w:bidi="ar-SA"/>
        </w:rPr>
        <w:t>贯彻执行有关退役军人思想政治、管理保障和安置优抚等法律法规，拟订退役军人工作政策并组织实施，褒扬彰显退役军人为党、国家和人民牺牲奉献的精神风范和价值导向。</w:t>
      </w:r>
    </w:p>
    <w:p>
      <w:pPr>
        <w:pStyle w:val="7"/>
        <w:keepNext w:val="0"/>
        <w:keepLines w:val="0"/>
        <w:pageBreakBefore w:val="0"/>
        <w:widowControl w:val="0"/>
        <w:kinsoku/>
        <w:wordWrap/>
        <w:overflowPunct/>
        <w:topLinePunct w:val="0"/>
        <w:autoSpaceDE/>
        <w:autoSpaceDN/>
        <w:bidi w:val="0"/>
        <w:adjustRightInd w:val="0"/>
        <w:snapToGrid w:val="0"/>
        <w:spacing w:beforeLines="0" w:line="560" w:lineRule="exact"/>
        <w:ind w:left="0" w:right="0" w:firstLine="640" w:firstLineChars="200"/>
        <w:textAlignment w:val="auto"/>
        <w:outlineLvl w:val="9"/>
        <w:rPr>
          <w:rFonts w:hint="eastAsia" w:ascii="仿宋_GB2312" w:hAnsi="仿宋_GB2312" w:eastAsia="仿宋_GB2312" w:cs="仿宋_GB2312"/>
          <w:bCs/>
          <w:color w:val="000000"/>
          <w:kern w:val="0"/>
          <w:sz w:val="32"/>
          <w:szCs w:val="32"/>
          <w:lang w:val="zh-CN" w:eastAsia="zh-CN" w:bidi="ar-SA"/>
        </w:rPr>
      </w:pPr>
      <w:r>
        <w:rPr>
          <w:rFonts w:hint="eastAsia" w:hAnsi="仿宋_GB2312" w:cs="仿宋_GB2312"/>
          <w:bCs/>
          <w:color w:val="000000"/>
          <w:kern w:val="0"/>
          <w:sz w:val="32"/>
          <w:szCs w:val="32"/>
          <w:lang w:val="en-US" w:eastAsia="zh-CN" w:bidi="ar-SA"/>
        </w:rPr>
        <w:t>2.</w:t>
      </w:r>
      <w:r>
        <w:rPr>
          <w:rFonts w:hint="eastAsia" w:ascii="仿宋_GB2312" w:hAnsi="仿宋_GB2312" w:eastAsia="仿宋_GB2312" w:cs="仿宋_GB2312"/>
          <w:bCs/>
          <w:color w:val="000000"/>
          <w:kern w:val="0"/>
          <w:sz w:val="32"/>
          <w:szCs w:val="32"/>
          <w:lang w:val="zh-CN" w:eastAsia="zh-CN" w:bidi="ar-SA"/>
        </w:rPr>
        <w:t>负责军队转业干部、复员干部、离休退休干部、退役士兵和无军籍退休退职职工的移交安置和自主择业、就业退役军人服务管理工作。</w:t>
      </w:r>
    </w:p>
    <w:p>
      <w:pPr>
        <w:pStyle w:val="7"/>
        <w:keepNext w:val="0"/>
        <w:keepLines w:val="0"/>
        <w:pageBreakBefore w:val="0"/>
        <w:widowControl w:val="0"/>
        <w:kinsoku/>
        <w:wordWrap/>
        <w:overflowPunct/>
        <w:topLinePunct w:val="0"/>
        <w:autoSpaceDE/>
        <w:autoSpaceDN/>
        <w:bidi w:val="0"/>
        <w:adjustRightInd w:val="0"/>
        <w:snapToGrid w:val="0"/>
        <w:spacing w:beforeLines="0" w:line="560" w:lineRule="exact"/>
        <w:ind w:left="0" w:right="0" w:firstLine="640" w:firstLineChars="200"/>
        <w:textAlignment w:val="auto"/>
        <w:outlineLvl w:val="9"/>
        <w:rPr>
          <w:rFonts w:hint="eastAsia" w:ascii="仿宋_GB2312" w:hAnsi="仿宋_GB2312" w:eastAsia="仿宋_GB2312" w:cs="仿宋_GB2312"/>
          <w:bCs/>
          <w:color w:val="000000"/>
          <w:kern w:val="0"/>
          <w:sz w:val="32"/>
          <w:szCs w:val="32"/>
          <w:lang w:val="zh-CN" w:eastAsia="zh-CN" w:bidi="ar-SA"/>
        </w:rPr>
      </w:pPr>
      <w:r>
        <w:rPr>
          <w:rFonts w:hint="eastAsia" w:hAnsi="仿宋_GB2312" w:cs="仿宋_GB2312"/>
          <w:bCs/>
          <w:color w:val="000000"/>
          <w:kern w:val="0"/>
          <w:sz w:val="32"/>
          <w:szCs w:val="32"/>
          <w:lang w:val="en-US" w:eastAsia="zh-CN" w:bidi="ar-SA"/>
        </w:rPr>
        <w:t>3.</w:t>
      </w:r>
      <w:r>
        <w:rPr>
          <w:rFonts w:hint="eastAsia" w:ascii="仿宋_GB2312" w:hAnsi="仿宋_GB2312" w:eastAsia="仿宋_GB2312" w:cs="仿宋_GB2312"/>
          <w:bCs/>
          <w:color w:val="000000"/>
          <w:kern w:val="0"/>
          <w:sz w:val="32"/>
          <w:szCs w:val="32"/>
          <w:lang w:val="zh-CN" w:eastAsia="zh-CN" w:bidi="ar-SA"/>
        </w:rPr>
        <w:t>组织、指导退役军人教育培训工作，承担退役军人和随军随调家属就业创业扶持工作。</w:t>
      </w:r>
    </w:p>
    <w:p>
      <w:pPr>
        <w:pStyle w:val="7"/>
        <w:keepNext w:val="0"/>
        <w:keepLines w:val="0"/>
        <w:pageBreakBefore w:val="0"/>
        <w:widowControl w:val="0"/>
        <w:kinsoku/>
        <w:wordWrap/>
        <w:overflowPunct/>
        <w:topLinePunct w:val="0"/>
        <w:autoSpaceDE/>
        <w:autoSpaceDN/>
        <w:bidi w:val="0"/>
        <w:adjustRightInd w:val="0"/>
        <w:snapToGrid w:val="0"/>
        <w:spacing w:beforeLines="0" w:line="560" w:lineRule="exact"/>
        <w:ind w:left="0" w:right="0" w:firstLine="640" w:firstLineChars="200"/>
        <w:textAlignment w:val="auto"/>
        <w:outlineLvl w:val="9"/>
        <w:rPr>
          <w:rFonts w:hint="eastAsia" w:ascii="仿宋_GB2312" w:hAnsi="仿宋_GB2312" w:eastAsia="仿宋_GB2312" w:cs="仿宋_GB2312"/>
          <w:bCs/>
          <w:color w:val="000000"/>
          <w:kern w:val="0"/>
          <w:sz w:val="32"/>
          <w:szCs w:val="32"/>
          <w:lang w:val="zh-CN" w:eastAsia="zh-CN" w:bidi="ar-SA"/>
        </w:rPr>
      </w:pPr>
      <w:r>
        <w:rPr>
          <w:rFonts w:hint="eastAsia" w:hAnsi="仿宋_GB2312" w:cs="仿宋_GB2312"/>
          <w:bCs/>
          <w:color w:val="000000"/>
          <w:kern w:val="0"/>
          <w:sz w:val="32"/>
          <w:szCs w:val="32"/>
          <w:lang w:val="en-US" w:eastAsia="zh-CN" w:bidi="ar-SA"/>
        </w:rPr>
        <w:t>4.</w:t>
      </w:r>
      <w:r>
        <w:rPr>
          <w:rFonts w:hint="eastAsia" w:ascii="仿宋_GB2312" w:hAnsi="仿宋_GB2312" w:eastAsia="仿宋_GB2312" w:cs="仿宋_GB2312"/>
          <w:bCs/>
          <w:color w:val="000000"/>
          <w:kern w:val="0"/>
          <w:sz w:val="32"/>
          <w:szCs w:val="32"/>
          <w:lang w:val="zh-CN" w:eastAsia="zh-CN" w:bidi="ar-SA"/>
        </w:rPr>
        <w:t>贯彻执行国家有关退役军人特殊保障政策。</w:t>
      </w:r>
    </w:p>
    <w:p>
      <w:pPr>
        <w:pStyle w:val="7"/>
        <w:keepNext w:val="0"/>
        <w:keepLines w:val="0"/>
        <w:pageBreakBefore w:val="0"/>
        <w:widowControl w:val="0"/>
        <w:kinsoku/>
        <w:wordWrap/>
        <w:overflowPunct/>
        <w:topLinePunct w:val="0"/>
        <w:autoSpaceDE/>
        <w:autoSpaceDN/>
        <w:bidi w:val="0"/>
        <w:adjustRightInd w:val="0"/>
        <w:snapToGrid w:val="0"/>
        <w:spacing w:beforeLines="0" w:line="560" w:lineRule="exact"/>
        <w:ind w:left="0" w:right="0" w:firstLine="640" w:firstLineChars="200"/>
        <w:textAlignment w:val="auto"/>
        <w:outlineLvl w:val="9"/>
        <w:rPr>
          <w:rFonts w:hint="eastAsia" w:ascii="仿宋_GB2312" w:hAnsi="仿宋_GB2312" w:eastAsia="仿宋_GB2312" w:cs="仿宋_GB2312"/>
          <w:bCs/>
          <w:color w:val="000000"/>
          <w:kern w:val="0"/>
          <w:sz w:val="32"/>
          <w:szCs w:val="32"/>
          <w:lang w:val="zh-CN" w:eastAsia="zh-CN" w:bidi="ar-SA"/>
        </w:rPr>
      </w:pPr>
      <w:r>
        <w:rPr>
          <w:rFonts w:hint="eastAsia" w:hAnsi="仿宋_GB2312" w:cs="仿宋_GB2312"/>
          <w:bCs/>
          <w:color w:val="000000"/>
          <w:kern w:val="0"/>
          <w:sz w:val="32"/>
          <w:szCs w:val="32"/>
          <w:lang w:val="en-US" w:eastAsia="zh-CN" w:bidi="ar-SA"/>
        </w:rPr>
        <w:t>5.</w:t>
      </w:r>
      <w:r>
        <w:rPr>
          <w:rFonts w:hint="eastAsia" w:ascii="仿宋_GB2312" w:hAnsi="仿宋_GB2312" w:eastAsia="仿宋_GB2312" w:cs="仿宋_GB2312"/>
          <w:bCs/>
          <w:color w:val="000000"/>
          <w:kern w:val="0"/>
          <w:sz w:val="32"/>
          <w:szCs w:val="32"/>
          <w:lang w:val="zh-CN" w:eastAsia="zh-CN" w:bidi="ar-SA"/>
        </w:rPr>
        <w:t>组织、协调落实移交地方的离休退休军人、符合条件的其他退役军人和无军籍退休退职职工的住房保障工作，以及退役军人医疗保障、社会保险等待遇保障工作。</w:t>
      </w:r>
    </w:p>
    <w:p>
      <w:pPr>
        <w:pStyle w:val="7"/>
        <w:keepNext w:val="0"/>
        <w:keepLines w:val="0"/>
        <w:pageBreakBefore w:val="0"/>
        <w:widowControl w:val="0"/>
        <w:kinsoku/>
        <w:wordWrap/>
        <w:overflowPunct/>
        <w:topLinePunct w:val="0"/>
        <w:autoSpaceDE/>
        <w:autoSpaceDN/>
        <w:bidi w:val="0"/>
        <w:adjustRightInd w:val="0"/>
        <w:snapToGrid w:val="0"/>
        <w:spacing w:beforeLines="0" w:line="560" w:lineRule="exact"/>
        <w:ind w:left="0" w:right="0" w:firstLine="640" w:firstLineChars="200"/>
        <w:textAlignment w:val="auto"/>
        <w:outlineLvl w:val="9"/>
        <w:rPr>
          <w:rFonts w:hint="eastAsia" w:ascii="仿宋_GB2312" w:hAnsi="仿宋_GB2312" w:eastAsia="仿宋_GB2312" w:cs="仿宋_GB2312"/>
          <w:bCs/>
          <w:color w:val="000000"/>
          <w:kern w:val="0"/>
          <w:sz w:val="32"/>
          <w:szCs w:val="32"/>
          <w:lang w:val="zh-CN" w:eastAsia="zh-CN" w:bidi="ar-SA"/>
        </w:rPr>
      </w:pPr>
      <w:r>
        <w:rPr>
          <w:rFonts w:hint="eastAsia" w:hAnsi="仿宋_GB2312" w:cs="仿宋_GB2312"/>
          <w:bCs/>
          <w:color w:val="000000"/>
          <w:kern w:val="0"/>
          <w:sz w:val="32"/>
          <w:szCs w:val="32"/>
          <w:lang w:val="en-US" w:eastAsia="zh-CN" w:bidi="ar-SA"/>
        </w:rPr>
        <w:t>6.</w:t>
      </w:r>
      <w:r>
        <w:rPr>
          <w:rFonts w:hint="eastAsia" w:ascii="仿宋_GB2312" w:hAnsi="仿宋_GB2312" w:eastAsia="仿宋_GB2312" w:cs="仿宋_GB2312"/>
          <w:bCs/>
          <w:color w:val="000000"/>
          <w:kern w:val="0"/>
          <w:sz w:val="32"/>
          <w:szCs w:val="32"/>
          <w:lang w:val="zh-CN" w:eastAsia="zh-CN" w:bidi="ar-SA"/>
        </w:rPr>
        <w:t>负责伤病残退役军人服务管理和抚恤工作，贯彻执行有关退役军人医疗、疗养、养老等机构的规划政策。承担不适宜继续服役的伤病残军人移交安置、退休安置、供养等工作。组织军供服务保障工作。</w:t>
      </w:r>
    </w:p>
    <w:p>
      <w:pPr>
        <w:pStyle w:val="7"/>
        <w:keepNext w:val="0"/>
        <w:keepLines w:val="0"/>
        <w:pageBreakBefore w:val="0"/>
        <w:widowControl w:val="0"/>
        <w:kinsoku/>
        <w:wordWrap/>
        <w:overflowPunct/>
        <w:topLinePunct w:val="0"/>
        <w:autoSpaceDE/>
        <w:autoSpaceDN/>
        <w:bidi w:val="0"/>
        <w:adjustRightInd w:val="0"/>
        <w:snapToGrid w:val="0"/>
        <w:spacing w:beforeLines="0" w:line="560" w:lineRule="exact"/>
        <w:ind w:left="0" w:right="0" w:firstLine="640" w:firstLineChars="200"/>
        <w:textAlignment w:val="auto"/>
        <w:outlineLvl w:val="9"/>
        <w:rPr>
          <w:rFonts w:hint="eastAsia" w:ascii="仿宋_GB2312" w:hAnsi="仿宋_GB2312" w:eastAsia="仿宋_GB2312" w:cs="仿宋_GB2312"/>
          <w:bCs/>
          <w:color w:val="000000"/>
          <w:kern w:val="0"/>
          <w:sz w:val="32"/>
          <w:szCs w:val="32"/>
          <w:lang w:val="zh-CN" w:eastAsia="zh-CN" w:bidi="ar-SA"/>
        </w:rPr>
      </w:pPr>
      <w:r>
        <w:rPr>
          <w:rFonts w:hint="eastAsia" w:hAnsi="仿宋_GB2312" w:cs="仿宋_GB2312"/>
          <w:bCs/>
          <w:color w:val="000000"/>
          <w:kern w:val="0"/>
          <w:sz w:val="32"/>
          <w:szCs w:val="32"/>
          <w:lang w:val="en-US" w:eastAsia="zh-CN" w:bidi="ar-SA"/>
        </w:rPr>
        <w:t>7.</w:t>
      </w:r>
      <w:r>
        <w:rPr>
          <w:rFonts w:hint="eastAsia" w:ascii="仿宋_GB2312" w:hAnsi="仿宋_GB2312" w:eastAsia="仿宋_GB2312" w:cs="仿宋_GB2312"/>
          <w:bCs/>
          <w:color w:val="000000"/>
          <w:kern w:val="0"/>
          <w:sz w:val="32"/>
          <w:szCs w:val="32"/>
          <w:lang w:val="zh-CN" w:eastAsia="zh-CN" w:bidi="ar-SA"/>
        </w:rPr>
        <w:t>组织、指导拥军优属工作，承担现役军人、退役军人，军队文职人员和军属的优待、抚恤等工作。贯彻执行有关国民党抗战老兵等有关人员优待政策。</w:t>
      </w:r>
      <w:bookmarkStart w:id="155" w:name="_GoBack"/>
      <w:bookmarkEnd w:id="155"/>
    </w:p>
    <w:p>
      <w:pPr>
        <w:pStyle w:val="7"/>
        <w:keepNext w:val="0"/>
        <w:keepLines w:val="0"/>
        <w:pageBreakBefore w:val="0"/>
        <w:widowControl w:val="0"/>
        <w:kinsoku/>
        <w:wordWrap/>
        <w:overflowPunct/>
        <w:topLinePunct w:val="0"/>
        <w:autoSpaceDE/>
        <w:autoSpaceDN/>
        <w:bidi w:val="0"/>
        <w:adjustRightInd w:val="0"/>
        <w:snapToGrid w:val="0"/>
        <w:spacing w:beforeLines="0" w:line="560" w:lineRule="exact"/>
        <w:ind w:left="0" w:right="0" w:firstLine="640" w:firstLineChars="200"/>
        <w:textAlignment w:val="auto"/>
        <w:outlineLvl w:val="9"/>
        <w:rPr>
          <w:rFonts w:hint="eastAsia" w:ascii="仿宋_GB2312" w:hAnsi="仿宋_GB2312" w:eastAsia="仿宋_GB2312" w:cs="仿宋_GB2312"/>
          <w:bCs/>
          <w:color w:val="000000"/>
          <w:kern w:val="0"/>
          <w:sz w:val="32"/>
          <w:szCs w:val="32"/>
          <w:lang w:val="zh-CN" w:eastAsia="zh-CN" w:bidi="ar-SA"/>
        </w:rPr>
      </w:pPr>
      <w:r>
        <w:rPr>
          <w:rFonts w:hint="eastAsia" w:hAnsi="仿宋_GB2312" w:cs="仿宋_GB2312"/>
          <w:bCs/>
          <w:color w:val="000000"/>
          <w:kern w:val="0"/>
          <w:sz w:val="32"/>
          <w:szCs w:val="32"/>
          <w:lang w:val="en-US" w:eastAsia="zh-CN" w:bidi="ar-SA"/>
        </w:rPr>
        <w:t>8.</w:t>
      </w:r>
      <w:r>
        <w:rPr>
          <w:rFonts w:hint="eastAsia" w:ascii="仿宋_GB2312" w:hAnsi="仿宋_GB2312" w:eastAsia="仿宋_GB2312" w:cs="仿宋_GB2312"/>
          <w:bCs/>
          <w:color w:val="000000"/>
          <w:kern w:val="0"/>
          <w:sz w:val="32"/>
          <w:szCs w:val="32"/>
          <w:lang w:val="zh-CN" w:eastAsia="zh-CN" w:bidi="ar-SA"/>
        </w:rPr>
        <w:t>负责烈士及退役军人荣誉奖励、军人公墓和烈士纪念设施的建设管理、纪念活动等工作，依法承担英雄烈士保护相关工作，审核拟列入县重点保护单位的烈士纪念建筑物名录，总结表彰和宣扬退役军人，退役军人工作单位和个人先进典型事迹。</w:t>
      </w:r>
    </w:p>
    <w:p>
      <w:pPr>
        <w:pStyle w:val="7"/>
        <w:keepNext w:val="0"/>
        <w:keepLines w:val="0"/>
        <w:pageBreakBefore w:val="0"/>
        <w:widowControl w:val="0"/>
        <w:kinsoku/>
        <w:wordWrap/>
        <w:overflowPunct/>
        <w:topLinePunct w:val="0"/>
        <w:autoSpaceDE/>
        <w:autoSpaceDN/>
        <w:bidi w:val="0"/>
        <w:adjustRightInd w:val="0"/>
        <w:snapToGrid w:val="0"/>
        <w:spacing w:beforeLines="0" w:line="560" w:lineRule="exact"/>
        <w:ind w:left="0" w:right="0" w:firstLine="640" w:firstLineChars="200"/>
        <w:textAlignment w:val="auto"/>
        <w:outlineLvl w:val="9"/>
        <w:rPr>
          <w:rFonts w:hint="eastAsia" w:ascii="仿宋_GB2312" w:hAnsi="仿宋_GB2312" w:eastAsia="仿宋_GB2312" w:cs="仿宋_GB2312"/>
          <w:bCs/>
          <w:color w:val="000000"/>
          <w:kern w:val="0"/>
          <w:sz w:val="32"/>
          <w:szCs w:val="32"/>
          <w:lang w:val="zh-CN" w:eastAsia="zh-CN" w:bidi="ar-SA"/>
        </w:rPr>
      </w:pPr>
      <w:r>
        <w:rPr>
          <w:rFonts w:hint="eastAsia" w:hAnsi="仿宋_GB2312" w:cs="仿宋_GB2312"/>
          <w:bCs/>
          <w:color w:val="000000"/>
          <w:kern w:val="0"/>
          <w:sz w:val="32"/>
          <w:szCs w:val="32"/>
          <w:lang w:val="en-US" w:eastAsia="zh-CN" w:bidi="ar-SA"/>
        </w:rPr>
        <w:t>9.</w:t>
      </w:r>
      <w:r>
        <w:rPr>
          <w:rFonts w:hint="eastAsia" w:ascii="仿宋_GB2312" w:hAnsi="仿宋_GB2312" w:eastAsia="仿宋_GB2312" w:cs="仿宋_GB2312"/>
          <w:bCs/>
          <w:color w:val="000000"/>
          <w:kern w:val="0"/>
          <w:sz w:val="32"/>
          <w:szCs w:val="32"/>
          <w:lang w:val="zh-CN" w:eastAsia="zh-CN" w:bidi="ar-SA"/>
        </w:rPr>
        <w:t>指导并监督检查退役军人相关法律法规和政策措施的落实，组织开展退役军人权益维护和有关人员的帮扶援助工作。</w:t>
      </w:r>
    </w:p>
    <w:p>
      <w:pPr>
        <w:pStyle w:val="7"/>
        <w:keepNext w:val="0"/>
        <w:keepLines w:val="0"/>
        <w:pageBreakBefore w:val="0"/>
        <w:widowControl w:val="0"/>
        <w:kinsoku/>
        <w:wordWrap/>
        <w:overflowPunct/>
        <w:topLinePunct w:val="0"/>
        <w:autoSpaceDE/>
        <w:autoSpaceDN/>
        <w:bidi w:val="0"/>
        <w:adjustRightInd w:val="0"/>
        <w:snapToGrid w:val="0"/>
        <w:spacing w:beforeLines="0" w:line="560" w:lineRule="exact"/>
        <w:ind w:left="0" w:right="0" w:firstLine="640" w:firstLineChars="200"/>
        <w:textAlignment w:val="auto"/>
        <w:outlineLvl w:val="9"/>
        <w:rPr>
          <w:rFonts w:hint="eastAsia" w:ascii="仿宋_GB2312" w:hAnsi="仿宋_GB2312" w:eastAsia="仿宋_GB2312" w:cs="仿宋_GB2312"/>
          <w:bCs/>
          <w:color w:val="000000"/>
          <w:kern w:val="0"/>
          <w:sz w:val="32"/>
          <w:szCs w:val="32"/>
          <w:lang w:val="zh-CN" w:eastAsia="zh-CN" w:bidi="ar-SA"/>
        </w:rPr>
      </w:pPr>
      <w:r>
        <w:rPr>
          <w:rFonts w:hint="eastAsia" w:hAnsi="仿宋_GB2312" w:cs="仿宋_GB2312"/>
          <w:bCs/>
          <w:color w:val="000000"/>
          <w:kern w:val="0"/>
          <w:sz w:val="32"/>
          <w:szCs w:val="32"/>
          <w:lang w:val="en-US" w:eastAsia="zh-CN" w:bidi="ar-SA"/>
        </w:rPr>
        <w:t>10.</w:t>
      </w:r>
      <w:r>
        <w:rPr>
          <w:rFonts w:hint="eastAsia" w:ascii="仿宋_GB2312" w:hAnsi="仿宋_GB2312" w:eastAsia="仿宋_GB2312" w:cs="仿宋_GB2312"/>
          <w:bCs/>
          <w:color w:val="000000"/>
          <w:kern w:val="0"/>
          <w:sz w:val="32"/>
          <w:szCs w:val="32"/>
          <w:lang w:val="zh-CN" w:eastAsia="zh-CN" w:bidi="ar-SA"/>
        </w:rPr>
        <w:t>推动建立退役军人事务分级负责和突发事件应急联动机制，组织、指导退役军人综合服务体系建设。配合指导退役军人党建工作。</w:t>
      </w:r>
    </w:p>
    <w:p>
      <w:pPr>
        <w:pStyle w:val="7"/>
        <w:keepNext w:val="0"/>
        <w:keepLines w:val="0"/>
        <w:pageBreakBefore w:val="0"/>
        <w:widowControl w:val="0"/>
        <w:kinsoku/>
        <w:wordWrap/>
        <w:overflowPunct/>
        <w:topLinePunct w:val="0"/>
        <w:autoSpaceDE/>
        <w:autoSpaceDN/>
        <w:bidi w:val="0"/>
        <w:adjustRightInd w:val="0"/>
        <w:snapToGrid w:val="0"/>
        <w:spacing w:beforeLines="0" w:line="560" w:lineRule="exact"/>
        <w:ind w:left="0" w:right="0" w:firstLine="640" w:firstLineChars="200"/>
        <w:textAlignment w:val="auto"/>
        <w:outlineLvl w:val="9"/>
        <w:rPr>
          <w:rFonts w:hint="eastAsia" w:ascii="仿宋_GB2312" w:hAnsi="仿宋_GB2312" w:eastAsia="仿宋_GB2312" w:cs="仿宋_GB2312"/>
          <w:bCs/>
          <w:color w:val="000000"/>
          <w:kern w:val="0"/>
          <w:sz w:val="32"/>
          <w:szCs w:val="32"/>
          <w:lang w:val="zh-CN" w:eastAsia="zh-CN" w:bidi="ar-SA"/>
        </w:rPr>
      </w:pPr>
      <w:r>
        <w:rPr>
          <w:rFonts w:hint="eastAsia" w:hAnsi="仿宋_GB2312" w:cs="仿宋_GB2312"/>
          <w:bCs/>
          <w:color w:val="000000"/>
          <w:kern w:val="0"/>
          <w:sz w:val="32"/>
          <w:szCs w:val="32"/>
          <w:lang w:val="en-US" w:eastAsia="zh-CN" w:bidi="ar-SA"/>
        </w:rPr>
        <w:t>11.</w:t>
      </w:r>
      <w:r>
        <w:rPr>
          <w:rFonts w:hint="eastAsia" w:ascii="仿宋_GB2312" w:hAnsi="仿宋_GB2312" w:eastAsia="仿宋_GB2312" w:cs="仿宋_GB2312"/>
          <w:bCs/>
          <w:color w:val="000000"/>
          <w:kern w:val="0"/>
          <w:sz w:val="32"/>
          <w:szCs w:val="32"/>
          <w:lang w:val="zh-CN" w:eastAsia="zh-CN" w:bidi="ar-SA"/>
        </w:rPr>
        <w:t xml:space="preserve">负责职责范围内的安全生产和职业健康、生态环境保护、审批服务便民化工作， </w:t>
      </w:r>
    </w:p>
    <w:p>
      <w:pPr>
        <w:pStyle w:val="7"/>
        <w:keepNext w:val="0"/>
        <w:keepLines w:val="0"/>
        <w:pageBreakBefore w:val="0"/>
        <w:widowControl w:val="0"/>
        <w:kinsoku/>
        <w:wordWrap/>
        <w:overflowPunct/>
        <w:topLinePunct w:val="0"/>
        <w:autoSpaceDE/>
        <w:autoSpaceDN/>
        <w:bidi w:val="0"/>
        <w:adjustRightInd w:val="0"/>
        <w:snapToGrid w:val="0"/>
        <w:spacing w:beforeLines="0" w:line="560" w:lineRule="exact"/>
        <w:ind w:left="0" w:right="0" w:firstLine="640" w:firstLineChars="200"/>
        <w:textAlignment w:val="auto"/>
        <w:outlineLvl w:val="9"/>
        <w:rPr>
          <w:rFonts w:hint="eastAsia" w:ascii="仿宋_GB2312" w:hAnsi="仿宋_GB2312" w:eastAsia="仿宋_GB2312" w:cs="仿宋_GB2312"/>
          <w:bCs/>
          <w:color w:val="000000"/>
          <w:kern w:val="0"/>
          <w:sz w:val="32"/>
          <w:szCs w:val="32"/>
          <w:lang w:val="zh-CN" w:eastAsia="zh-CN" w:bidi="ar-SA"/>
        </w:rPr>
      </w:pPr>
      <w:r>
        <w:rPr>
          <w:rFonts w:hint="eastAsia" w:hAnsi="仿宋_GB2312" w:cs="仿宋_GB2312"/>
          <w:bCs/>
          <w:color w:val="000000"/>
          <w:kern w:val="0"/>
          <w:sz w:val="32"/>
          <w:szCs w:val="32"/>
          <w:lang w:val="en-US" w:eastAsia="zh-CN" w:bidi="ar-SA"/>
        </w:rPr>
        <w:t>12.</w:t>
      </w:r>
      <w:r>
        <w:rPr>
          <w:rFonts w:hint="eastAsia" w:ascii="仿宋_GB2312" w:hAnsi="仿宋_GB2312" w:eastAsia="仿宋_GB2312" w:cs="仿宋_GB2312"/>
          <w:bCs/>
          <w:color w:val="000000"/>
          <w:kern w:val="0"/>
          <w:sz w:val="32"/>
          <w:szCs w:val="32"/>
          <w:lang w:val="zh-CN" w:eastAsia="zh-CN" w:bidi="ar-SA"/>
        </w:rPr>
        <w:t>完成县委、县政府和军方交办的其他任务，</w:t>
      </w:r>
    </w:p>
    <w:p>
      <w:pPr>
        <w:pStyle w:val="7"/>
        <w:keepNext w:val="0"/>
        <w:keepLines w:val="0"/>
        <w:pageBreakBefore w:val="0"/>
        <w:widowControl w:val="0"/>
        <w:kinsoku/>
        <w:wordWrap/>
        <w:overflowPunct/>
        <w:topLinePunct w:val="0"/>
        <w:autoSpaceDE/>
        <w:autoSpaceDN/>
        <w:bidi w:val="0"/>
        <w:adjustRightInd w:val="0"/>
        <w:snapToGrid w:val="0"/>
        <w:spacing w:beforeLines="0" w:line="560" w:lineRule="exact"/>
        <w:ind w:left="0" w:right="0" w:firstLine="640" w:firstLineChars="200"/>
        <w:textAlignment w:val="auto"/>
        <w:outlineLvl w:val="9"/>
        <w:rPr>
          <w:rFonts w:hint="eastAsia" w:ascii="仿宋_GB2312" w:hAnsi="仿宋_GB2312" w:eastAsia="仿宋_GB2312" w:cs="仿宋_GB2312"/>
          <w:bCs/>
          <w:color w:val="000000"/>
          <w:kern w:val="0"/>
          <w:sz w:val="32"/>
          <w:szCs w:val="32"/>
          <w:lang w:val="zh-CN" w:eastAsia="zh-CN" w:bidi="ar-SA"/>
        </w:rPr>
      </w:pPr>
      <w:r>
        <w:rPr>
          <w:rFonts w:hint="eastAsia" w:hAnsi="仿宋_GB2312" w:cs="仿宋_GB2312"/>
          <w:bCs/>
          <w:color w:val="000000"/>
          <w:kern w:val="0"/>
          <w:sz w:val="32"/>
          <w:szCs w:val="32"/>
          <w:lang w:val="en-US" w:eastAsia="zh-CN" w:bidi="ar-SA"/>
        </w:rPr>
        <w:t>13.</w:t>
      </w:r>
      <w:r>
        <w:rPr>
          <w:rFonts w:hint="eastAsia" w:ascii="仿宋_GB2312" w:hAnsi="仿宋_GB2312" w:eastAsia="仿宋_GB2312" w:cs="仿宋_GB2312"/>
          <w:bCs/>
          <w:color w:val="000000"/>
          <w:kern w:val="0"/>
          <w:sz w:val="32"/>
          <w:szCs w:val="32"/>
          <w:lang w:val="zh-CN" w:eastAsia="zh-CN" w:bidi="ar-SA"/>
        </w:rPr>
        <w:t>职能转变。加强全县退役军人思想政治工作以及服务保障体系建设，建立健全集中统一、职责清晰的退役军人管理保障机制，协调各方力量更好为军人军属服务，维护军人军属合法权益，让军人成为全社会尊崇的职业，褒扬彰显退役军人为党、国家和人民牺牲奉献的精神风范和价值导向，更好地为增强部队战斗力和凝聚力做好组织保障。</w:t>
      </w:r>
    </w:p>
    <w:p>
      <w:pPr>
        <w:pStyle w:val="7"/>
        <w:keepNext w:val="0"/>
        <w:keepLines w:val="0"/>
        <w:pageBreakBefore w:val="0"/>
        <w:widowControl w:val="0"/>
        <w:kinsoku/>
        <w:wordWrap/>
        <w:overflowPunct/>
        <w:topLinePunct w:val="0"/>
        <w:autoSpaceDE/>
        <w:autoSpaceDN/>
        <w:bidi w:val="0"/>
        <w:adjustRightInd w:val="0"/>
        <w:snapToGrid w:val="0"/>
        <w:spacing w:beforeLines="0" w:line="560" w:lineRule="exact"/>
        <w:ind w:left="0" w:right="0" w:firstLine="640" w:firstLineChars="200"/>
        <w:textAlignment w:val="auto"/>
        <w:outlineLvl w:val="9"/>
        <w:rPr>
          <w:rFonts w:hint="eastAsia" w:ascii="仿宋_GB2312" w:hAnsi="仿宋_GB2312" w:eastAsia="仿宋_GB2312" w:cs="仿宋_GB2312"/>
          <w:bCs/>
          <w:color w:val="000000"/>
          <w:kern w:val="0"/>
          <w:sz w:val="32"/>
          <w:szCs w:val="32"/>
          <w:lang w:val="zh-CN" w:eastAsia="zh-CN" w:bidi="ar-SA"/>
        </w:rPr>
      </w:pPr>
    </w:p>
    <w:p>
      <w:pPr>
        <w:pStyle w:val="7"/>
        <w:keepNext w:val="0"/>
        <w:keepLines w:val="0"/>
        <w:pageBreakBefore w:val="0"/>
        <w:widowControl w:val="0"/>
        <w:kinsoku/>
        <w:wordWrap/>
        <w:overflowPunct/>
        <w:topLinePunct w:val="0"/>
        <w:autoSpaceDE/>
        <w:autoSpaceDN/>
        <w:bidi w:val="0"/>
        <w:adjustRightInd w:val="0"/>
        <w:snapToGrid w:val="0"/>
        <w:spacing w:beforeLines="0" w:line="560" w:lineRule="exact"/>
        <w:ind w:firstLine="672" w:firstLineChars="210"/>
        <w:textAlignment w:val="auto"/>
        <w:outlineLvl w:val="2"/>
        <w:rPr>
          <w:rFonts w:hint="eastAsia" w:ascii="仿宋" w:hAnsi="仿宋" w:eastAsia="仿宋"/>
          <w:bCs/>
          <w:color w:val="auto"/>
          <w:sz w:val="32"/>
          <w:szCs w:val="32"/>
        </w:rPr>
      </w:pPr>
      <w:bookmarkStart w:id="27" w:name="_Toc20616"/>
      <w:r>
        <w:rPr>
          <w:rFonts w:hint="eastAsia" w:ascii="仿宋" w:hAnsi="仿宋" w:eastAsia="仿宋"/>
          <w:bCs/>
          <w:color w:val="auto"/>
          <w:sz w:val="32"/>
          <w:szCs w:val="32"/>
        </w:rPr>
        <w:t>（二）</w:t>
      </w:r>
      <w:r>
        <w:rPr>
          <w:rFonts w:ascii="仿宋" w:hAnsi="仿宋" w:eastAsia="仿宋"/>
          <w:bCs/>
          <w:color w:val="auto"/>
          <w:sz w:val="32"/>
          <w:szCs w:val="32"/>
        </w:rPr>
        <w:t>202</w:t>
      </w:r>
      <w:r>
        <w:rPr>
          <w:rFonts w:hint="eastAsia" w:ascii="仿宋" w:hAnsi="仿宋" w:eastAsia="仿宋"/>
          <w:bCs/>
          <w:color w:val="auto"/>
          <w:sz w:val="32"/>
          <w:szCs w:val="32"/>
        </w:rPr>
        <w:t>1年重点工作完成情况</w:t>
      </w:r>
      <w:bookmarkEnd w:id="24"/>
      <w:bookmarkEnd w:id="25"/>
      <w:bookmarkEnd w:id="26"/>
      <w:bookmarkEnd w:id="27"/>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1.统一思想，提高政治站位。</w:t>
      </w:r>
      <w:r>
        <w:rPr>
          <w:rFonts w:hint="eastAsia" w:ascii="仿宋_GB2312" w:hAnsi="仿宋_GB2312" w:eastAsia="仿宋_GB2312" w:cs="仿宋_GB2312"/>
          <w:sz w:val="32"/>
          <w:szCs w:val="32"/>
        </w:rPr>
        <w:t>加强政治理论学习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坚持以习近平新时代中国特色社会主义思想为指导，认真贯彻落实习近平总书记关于整治形式主义、官僚主义和制止餐饮浪费行为的重要指示精神，</w:t>
      </w:r>
      <w:r>
        <w:rPr>
          <w:rFonts w:hint="eastAsia" w:ascii="仿宋_GB2312" w:hAnsi="仿宋_GB2312" w:eastAsia="仿宋_GB2312" w:cs="仿宋_GB2312"/>
          <w:sz w:val="32"/>
          <w:szCs w:val="32"/>
        </w:rPr>
        <w:t>召开党组扩大会议集中学习</w:t>
      </w:r>
      <w:r>
        <w:rPr>
          <w:rFonts w:hint="default" w:ascii="Times New Roman" w:hAnsi="Times New Roman" w:eastAsia="仿宋_GB2312" w:cs="Times New Roman"/>
          <w:sz w:val="32"/>
          <w:szCs w:val="32"/>
        </w:rPr>
        <w:t>12</w:t>
      </w:r>
      <w:r>
        <w:rPr>
          <w:rFonts w:hint="eastAsia" w:ascii="仿宋_GB2312" w:hAnsi="仿宋_GB2312" w:eastAsia="仿宋_GB2312" w:cs="仿宋_GB2312"/>
          <w:sz w:val="32"/>
          <w:szCs w:val="32"/>
        </w:rPr>
        <w:t>次，</w:t>
      </w:r>
      <w:r>
        <w:rPr>
          <w:rFonts w:hint="eastAsia" w:ascii="仿宋_GB2312" w:hAnsi="仿宋_GB2312" w:eastAsia="仿宋_GB2312" w:cs="仿宋_GB2312"/>
          <w:sz w:val="32"/>
          <w:szCs w:val="32"/>
          <w:lang w:val="en-US" w:eastAsia="zh-CN"/>
        </w:rPr>
        <w:t>切实增强“四个意识”、坚定“四个自信”、做到“两个维护”，认真履行“一岗双责”，积极践行“清正廉洁做表率”要求，严格落实中央八项规定精神。</w:t>
      </w:r>
    </w:p>
    <w:p>
      <w:pPr>
        <w:pStyle w:val="2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leftChars="0" w:right="0" w:rightChars="0" w:firstLine="643" w:firstLineChars="200"/>
        <w:jc w:val="left"/>
        <w:textAlignment w:val="auto"/>
        <w:rPr>
          <w:rFonts w:hint="eastAsia" w:ascii="仿宋_GB2312" w:hAnsi="仿宋_GB2312" w:eastAsia="仿宋_GB2312" w:cs="仿宋_GB2312"/>
          <w:sz w:val="32"/>
          <w:szCs w:val="32"/>
          <w:shd w:val="clear" w:color="auto" w:fill="FFFFFF"/>
          <w:lang w:val="en-US" w:eastAsia="zh-CN" w:bidi="ar-SA"/>
        </w:rPr>
      </w:pPr>
      <w:r>
        <w:rPr>
          <w:rFonts w:hint="eastAsia" w:ascii="仿宋_GB2312" w:hAnsi="仿宋_GB2312" w:eastAsia="仿宋_GB2312" w:cs="仿宋_GB2312"/>
          <w:b/>
          <w:bCs/>
          <w:sz w:val="32"/>
          <w:szCs w:val="32"/>
          <w:lang w:val="en-US" w:eastAsia="zh-CN"/>
        </w:rPr>
        <w:t>2.严明纪律，切实维护换届工作的严肃性。</w:t>
      </w:r>
      <w:r>
        <w:rPr>
          <w:rFonts w:hint="eastAsia" w:ascii="仿宋_GB2312" w:hAnsi="仿宋_GB2312" w:eastAsia="仿宋_GB2312" w:cs="仿宋_GB2312"/>
          <w:sz w:val="32"/>
          <w:szCs w:val="32"/>
          <w:lang w:val="en-US" w:eastAsia="zh-CN"/>
        </w:rPr>
        <w:t>认真开展换届纪律专题学习，明确换届纪律及有关要求，统一思想，提高认识，顾全大局，在思想上和行动上与县委、县政府保持高度一致，充分认识换届纪律工作的重要性和必要性。</w:t>
      </w:r>
      <w:r>
        <w:rPr>
          <w:rFonts w:hint="eastAsia" w:ascii="仿宋_GB2312" w:hAnsi="仿宋_GB2312" w:eastAsia="仿宋_GB2312" w:cs="仿宋_GB2312"/>
          <w:sz w:val="32"/>
          <w:szCs w:val="32"/>
          <w:shd w:val="clear" w:color="auto" w:fill="FFFFFF"/>
          <w:lang w:val="en-US" w:eastAsia="zh-CN" w:bidi="ar-SA"/>
        </w:rPr>
        <w:t>把“十严禁、四必须、五好目标、五个责任主体、六个坚持、六个导向”贯穿到换届工作中。</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3.学习警示教育读本。一是</w:t>
      </w:r>
      <w:r>
        <w:rPr>
          <w:rFonts w:hint="eastAsia" w:ascii="仿宋_GB2312" w:hAnsi="仿宋_GB2312" w:eastAsia="仿宋_GB2312" w:cs="仿宋_GB2312"/>
          <w:sz w:val="32"/>
          <w:szCs w:val="32"/>
          <w:lang w:val="en-US" w:eastAsia="zh-CN"/>
        </w:rPr>
        <w:t>学习警示教育读本《忏悔实录IX》</w:t>
      </w:r>
      <w:r>
        <w:rPr>
          <w:rFonts w:hint="eastAsia" w:cs="仿宋_GB2312"/>
          <w:sz w:val="32"/>
          <w:szCs w:val="32"/>
          <w:lang w:val="en-US" w:eastAsia="zh-CN"/>
        </w:rPr>
        <w:t>，</w:t>
      </w:r>
      <w:r>
        <w:rPr>
          <w:rFonts w:hint="eastAsia" w:ascii="仿宋_GB2312" w:hAnsi="仿宋_GB2312" w:eastAsia="仿宋_GB2312" w:cs="仿宋_GB2312"/>
          <w:sz w:val="32"/>
          <w:szCs w:val="32"/>
          <w:lang w:eastAsia="zh-CN"/>
        </w:rPr>
        <w:t>认真学习四川警示教育读本</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忏悔实录</w:t>
      </w:r>
      <w:r>
        <w:rPr>
          <w:rFonts w:hint="eastAsia" w:ascii="仿宋_GB2312" w:hAnsi="仿宋_GB2312" w:eastAsia="仿宋_GB2312" w:cs="仿宋_GB2312"/>
          <w:sz w:val="32"/>
          <w:szCs w:val="32"/>
          <w:lang w:val="en-US" w:eastAsia="zh-CN"/>
        </w:rPr>
        <w:t>IX》，通过以案讲法的形式，</w:t>
      </w:r>
      <w:r>
        <w:rPr>
          <w:rFonts w:hint="eastAsia" w:ascii="仿宋_GB2312" w:hAnsi="仿宋_GB2312" w:eastAsia="仿宋_GB2312" w:cs="仿宋_GB2312"/>
          <w:sz w:val="32"/>
          <w:szCs w:val="32"/>
          <w:lang w:eastAsia="zh-CN"/>
        </w:rPr>
        <w:t>深刻剖析领导干部违反党纪国法的根源之所在，引起全局干部职工强烈共鸣，纷纷表示要保持高尚的道德情操和健康生活情趣，廉洁修生、清正齐家，做家风建设的表率。</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lang w:val="en-US" w:eastAsia="zh-CN"/>
        </w:rPr>
        <w:t>组织观看《白衣黑幕》警示教育片</w:t>
      </w:r>
      <w:r>
        <w:rPr>
          <w:rFonts w:hint="eastAsia" w:cs="仿宋_GB2312"/>
          <w:sz w:val="32"/>
          <w:szCs w:val="32"/>
          <w:lang w:val="en-US" w:eastAsia="zh-CN"/>
        </w:rPr>
        <w:t>，</w:t>
      </w:r>
      <w:r>
        <w:rPr>
          <w:rFonts w:hint="eastAsia" w:ascii="仿宋_GB2312" w:hAnsi="仿宋_GB2312" w:eastAsia="仿宋_GB2312" w:cs="仿宋_GB2312"/>
          <w:sz w:val="32"/>
          <w:szCs w:val="32"/>
          <w:lang w:val="en-US" w:eastAsia="zh-CN"/>
        </w:rPr>
        <w:t>这部教育片深刻剖析了阿坝州卫健系统部分医务人员违法违纪案例，通过透视违纪违法人员的腐化历程，深刻剖析其堕落的根源，警示广大党员干部以案为鉴，心存戒惧，严守法纪底线。</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组织观看《对党忠诚 严守秘密》警示教育片，保密教育专题片讲述了国家工作人员利用工作便利进行窃密泄密的典型案例，清楚</w:t>
      </w:r>
      <w:r>
        <w:rPr>
          <w:rFonts w:hint="eastAsia" w:ascii="仿宋_GB2312" w:hAnsi="仿宋_GB2312" w:eastAsia="仿宋_GB2312" w:cs="仿宋_GB2312"/>
          <w:sz w:val="32"/>
          <w:szCs w:val="32"/>
        </w:rPr>
        <w:t>地看到他们无视党纪国法，目无组织纪律，利用自己的地位和手中权力去中饱私囊，满足私欲，严重损害了党和政府的形象，使国家财产和人民利益遭受了重大损失，最终受到了法律的惩处。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编制印发《壤塘县退役军人相关法律法规汇编》《壤塘县退役军人办事指南》《壤塘县优抚政策解读》《壤塘县征兵手册》及《退役军人保障法》共计</w:t>
      </w:r>
      <w:r>
        <w:rPr>
          <w:rFonts w:hint="default" w:ascii="Times New Roman" w:hAnsi="Times New Roman" w:eastAsia="仿宋_GB2312" w:cs="Times New Roman"/>
          <w:sz w:val="32"/>
          <w:szCs w:val="32"/>
        </w:rPr>
        <w:t>1600</w:t>
      </w:r>
      <w:r>
        <w:rPr>
          <w:rFonts w:hint="eastAsia" w:ascii="仿宋_GB2312" w:hAnsi="仿宋_GB2312" w:eastAsia="仿宋_GB2312" w:cs="仿宋_GB2312"/>
          <w:sz w:val="32"/>
          <w:szCs w:val="32"/>
        </w:rPr>
        <w:t>余册，同时，充分运用政府网、新媒体平台，创新宣传方式，加大涉及退役军人相关政策和法律法规宣传力度，教育引导广大退役军人尊法、学法、守法、用法。倡导退役军人积极参与社会公益事业、提供志愿服务，充分展示退役军人服务社会、乐于助人的良好形象。</w:t>
      </w:r>
    </w:p>
    <w:p>
      <w:pPr>
        <w:pStyle w:val="4"/>
        <w:keepNext/>
        <w:keepLines/>
        <w:pageBreakBefore w:val="0"/>
        <w:widowControl w:val="0"/>
        <w:kinsoku/>
        <w:wordWrap/>
        <w:overflowPunct/>
        <w:topLinePunct w:val="0"/>
        <w:autoSpaceDE/>
        <w:autoSpaceDN/>
        <w:bidi w:val="0"/>
        <w:adjustRightInd/>
        <w:snapToGrid/>
        <w:spacing w:before="0" w:after="0" w:line="560" w:lineRule="exact"/>
        <w:ind w:firstLine="640" w:firstLineChars="200"/>
        <w:textAlignment w:val="auto"/>
        <w:rPr>
          <w:rStyle w:val="27"/>
          <w:b w:val="0"/>
          <w:bCs w:val="0"/>
        </w:rPr>
      </w:pPr>
      <w:bookmarkStart w:id="28" w:name="_Toc79163605"/>
      <w:bookmarkStart w:id="29" w:name="_Toc8295"/>
      <w:bookmarkStart w:id="30" w:name="_Toc15377200"/>
      <w:bookmarkStart w:id="31" w:name="_Toc15396601"/>
      <w:r>
        <w:rPr>
          <w:rFonts w:hint="eastAsia" w:ascii="黑体" w:eastAsia="黑体"/>
          <w:b w:val="0"/>
          <w:color w:val="000000"/>
        </w:rPr>
        <w:t>二、</w:t>
      </w:r>
      <w:r>
        <w:rPr>
          <w:rFonts w:hint="eastAsia" w:ascii="黑体" w:hAnsi="黑体" w:eastAsia="黑体"/>
          <w:b w:val="0"/>
          <w:color w:val="000000"/>
        </w:rPr>
        <w:t>机</w:t>
      </w:r>
      <w:r>
        <w:rPr>
          <w:rStyle w:val="27"/>
          <w:rFonts w:hint="eastAsia" w:ascii="黑体" w:hAnsi="黑体" w:eastAsia="黑体"/>
          <w:b w:val="0"/>
          <w:bCs w:val="0"/>
        </w:rPr>
        <w:t>构设置</w:t>
      </w:r>
      <w:bookmarkEnd w:id="28"/>
      <w:bookmarkEnd w:id="29"/>
      <w:bookmarkEnd w:id="30"/>
      <w:bookmarkEnd w:id="31"/>
    </w:p>
    <w:p>
      <w:pPr>
        <w:keepNext w:val="0"/>
        <w:keepLines w:val="0"/>
        <w:pageBreakBefore w:val="0"/>
        <w:widowControl w:val="0"/>
        <w:kinsoku/>
        <w:wordWrap/>
        <w:overflowPunct/>
        <w:topLinePunct w:val="0"/>
        <w:autoSpaceDE/>
        <w:autoSpaceDN/>
        <w:bidi w:val="0"/>
        <w:adjustRightInd/>
        <w:snapToGrid/>
        <w:spacing w:line="560" w:lineRule="exact"/>
        <w:ind w:left="0" w:right="0" w:firstLine="640" w:firstLineChars="200"/>
        <w:textAlignment w:val="auto"/>
        <w:rPr>
          <w:rFonts w:hint="eastAsia" w:ascii="仿宋_GB2312" w:hAnsi="仿宋_GB2312" w:eastAsia="仿宋_GB2312" w:cs="仿宋_GB2312"/>
          <w:bCs/>
          <w:color w:val="auto"/>
          <w:kern w:val="0"/>
          <w:sz w:val="32"/>
          <w:szCs w:val="32"/>
          <w:lang w:val="en-US" w:eastAsia="zh-CN" w:bidi="ar-SA"/>
        </w:rPr>
      </w:pPr>
      <w:bookmarkStart w:id="32" w:name="_Toc15396602"/>
      <w:bookmarkStart w:id="33" w:name="_Toc15377204"/>
      <w:bookmarkStart w:id="34" w:name="_Toc79163609"/>
      <w:r>
        <w:rPr>
          <w:rFonts w:hint="eastAsia" w:ascii="仿宋_GB2312" w:hAnsi="仿宋_GB2312" w:eastAsia="仿宋_GB2312" w:cs="仿宋_GB2312"/>
          <w:bCs/>
          <w:color w:val="auto"/>
          <w:kern w:val="0"/>
          <w:sz w:val="32"/>
          <w:szCs w:val="32"/>
          <w:lang w:val="en-US" w:eastAsia="zh-CN" w:bidi="ar-SA"/>
        </w:rPr>
        <w:t>壤塘县退役军人事务局为一级预算单位，基本性质为行政单位。</w:t>
      </w:r>
    </w:p>
    <w:p>
      <w:pPr>
        <w:pStyle w:val="21"/>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lang w:val="zh-CN" w:eastAsia="zh-CN"/>
        </w:rPr>
      </w:pPr>
    </w:p>
    <w:p>
      <w:pPr>
        <w:rPr>
          <w:rFonts w:hint="eastAsia"/>
          <w:lang w:val="zh-CN" w:eastAsia="zh-CN"/>
        </w:rPr>
      </w:pPr>
    </w:p>
    <w:p>
      <w:pPr>
        <w:pStyle w:val="21"/>
        <w:rPr>
          <w:rFonts w:hint="eastAsia"/>
          <w:lang w:val="zh-CN" w:eastAsia="zh-CN"/>
        </w:rPr>
      </w:pPr>
    </w:p>
    <w:p>
      <w:pPr>
        <w:rPr>
          <w:rFonts w:hint="eastAsia"/>
          <w:lang w:val="zh-CN" w:eastAsia="zh-CN"/>
        </w:rPr>
      </w:pPr>
    </w:p>
    <w:p>
      <w:pPr>
        <w:pStyle w:val="21"/>
        <w:rPr>
          <w:rFonts w:hint="eastAsia"/>
          <w:lang w:val="zh-CN" w:eastAsia="zh-CN"/>
        </w:rPr>
      </w:pPr>
    </w:p>
    <w:p>
      <w:pPr>
        <w:rPr>
          <w:rFonts w:hint="eastAsia"/>
          <w:lang w:val="zh-CN" w:eastAsia="zh-CN"/>
        </w:rPr>
      </w:pPr>
    </w:p>
    <w:p>
      <w:pPr>
        <w:pStyle w:val="21"/>
        <w:rPr>
          <w:rFonts w:hint="eastAsia"/>
          <w:lang w:val="zh-CN" w:eastAsia="zh-CN"/>
        </w:rPr>
      </w:pPr>
    </w:p>
    <w:p>
      <w:pPr>
        <w:rPr>
          <w:rFonts w:hint="eastAsia"/>
          <w:lang w:val="zh-CN" w:eastAsia="zh-CN"/>
        </w:rPr>
      </w:pPr>
    </w:p>
    <w:p>
      <w:pPr>
        <w:pStyle w:val="21"/>
        <w:rPr>
          <w:rFonts w:hint="eastAsia"/>
          <w:lang w:val="zh-CN" w:eastAsia="zh-CN"/>
        </w:rPr>
      </w:pPr>
    </w:p>
    <w:p>
      <w:pPr>
        <w:pStyle w:val="3"/>
        <w:keepNext/>
        <w:keepLines/>
        <w:pageBreakBefore w:val="0"/>
        <w:widowControl w:val="0"/>
        <w:kinsoku/>
        <w:wordWrap/>
        <w:overflowPunct/>
        <w:topLinePunct w:val="0"/>
        <w:autoSpaceDE/>
        <w:autoSpaceDN/>
        <w:bidi w:val="0"/>
        <w:adjustRightInd/>
        <w:snapToGrid/>
        <w:spacing w:before="0" w:after="0" w:line="560" w:lineRule="exact"/>
        <w:ind w:right="442"/>
        <w:jc w:val="right"/>
        <w:textAlignment w:val="auto"/>
        <w:rPr>
          <w:rStyle w:val="26"/>
          <w:rFonts w:ascii="黑体" w:hAnsi="黑体" w:eastAsia="黑体"/>
          <w:b w:val="0"/>
          <w:bCs w:val="0"/>
        </w:rPr>
      </w:pPr>
      <w:bookmarkStart w:id="35" w:name="_Toc5908"/>
      <w:r>
        <w:rPr>
          <w:rFonts w:hint="eastAsia" w:ascii="黑体" w:hAnsi="黑体" w:eastAsia="黑体"/>
          <w:b w:val="0"/>
          <w:color w:val="000000"/>
        </w:rPr>
        <w:t>第二部分</w:t>
      </w:r>
      <w:r>
        <w:rPr>
          <w:rFonts w:ascii="黑体" w:hAnsi="黑体" w:eastAsia="黑体"/>
          <w:color w:val="000000"/>
        </w:rPr>
        <w:t xml:space="preserve"> </w:t>
      </w:r>
      <w:r>
        <w:rPr>
          <w:rStyle w:val="26"/>
          <w:rFonts w:ascii="黑体" w:hAnsi="黑体" w:eastAsia="黑体"/>
          <w:b w:val="0"/>
          <w:bCs w:val="0"/>
        </w:rPr>
        <w:t>202</w:t>
      </w:r>
      <w:r>
        <w:rPr>
          <w:rStyle w:val="26"/>
          <w:rFonts w:hint="eastAsia" w:ascii="黑体" w:hAnsi="黑体" w:eastAsia="黑体"/>
          <w:b w:val="0"/>
          <w:bCs w:val="0"/>
        </w:rPr>
        <w:t>1年度部门决算情况说明</w:t>
      </w:r>
      <w:bookmarkEnd w:id="32"/>
      <w:bookmarkEnd w:id="33"/>
      <w:bookmarkEnd w:id="34"/>
      <w:bookmarkEnd w:id="35"/>
    </w:p>
    <w:p>
      <w:pPr>
        <w:keepNext w:val="0"/>
        <w:keepLines w:val="0"/>
        <w:pageBreakBefore w:val="0"/>
        <w:widowControl w:val="0"/>
        <w:kinsoku/>
        <w:wordWrap/>
        <w:overflowPunct/>
        <w:topLinePunct w:val="0"/>
        <w:autoSpaceDE/>
        <w:autoSpaceDN/>
        <w:bidi w:val="0"/>
        <w:adjustRightInd/>
        <w:snapToGrid/>
        <w:spacing w:line="560" w:lineRule="exact"/>
        <w:textAlignment w:val="auto"/>
      </w:pPr>
    </w:p>
    <w:p>
      <w:pPr>
        <w:pStyle w:val="37"/>
        <w:numPr>
          <w:ilvl w:val="0"/>
          <w:numId w:val="1"/>
        </w:numPr>
        <w:spacing w:line="600" w:lineRule="exact"/>
        <w:ind w:firstLineChars="0"/>
        <w:outlineLvl w:val="1"/>
        <w:rPr>
          <w:rStyle w:val="27"/>
          <w:rFonts w:ascii="黑体" w:hAnsi="黑体" w:eastAsia="黑体"/>
          <w:b w:val="0"/>
        </w:rPr>
      </w:pPr>
      <w:bookmarkStart w:id="36" w:name="_Toc11618"/>
      <w:bookmarkStart w:id="37" w:name="_Toc15377205"/>
      <w:bookmarkStart w:id="38" w:name="_Toc79163610"/>
      <w:bookmarkStart w:id="39" w:name="_Toc15396603"/>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36"/>
      <w:bookmarkEnd w:id="37"/>
      <w:bookmarkEnd w:id="38"/>
      <w:bookmarkEnd w:id="39"/>
    </w:p>
    <w:p>
      <w:pPr>
        <w:spacing w:line="600" w:lineRule="exact"/>
        <w:ind w:firstLine="640" w:firstLineChars="200"/>
        <w:rPr>
          <w:rFonts w:hint="eastAsia"/>
          <w:lang w:val="en-US" w:eastAsia="zh-CN"/>
        </w:rPr>
      </w:pPr>
      <w:r>
        <w:rPr>
          <w:rFonts w:ascii="仿宋" w:hAnsi="仿宋" w:eastAsia="仿宋"/>
          <w:color w:val="000000"/>
          <w:sz w:val="32"/>
          <w:szCs w:val="32"/>
        </w:rPr>
        <w:t>202</w:t>
      </w:r>
      <w:r>
        <w:rPr>
          <w:rFonts w:hint="eastAsia" w:ascii="仿宋" w:hAnsi="仿宋" w:eastAsia="仿宋"/>
          <w:color w:val="000000"/>
          <w:sz w:val="32"/>
          <w:szCs w:val="32"/>
        </w:rPr>
        <w:t>1年度收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为</w:t>
      </w:r>
      <w:r>
        <w:rPr>
          <w:rFonts w:hint="eastAsia" w:ascii="仿宋" w:hAnsi="仿宋" w:eastAsia="仿宋"/>
          <w:color w:val="000000"/>
          <w:sz w:val="32"/>
          <w:szCs w:val="32"/>
        </w:rPr>
        <w:t>845.53万元。与</w:t>
      </w:r>
      <w:r>
        <w:rPr>
          <w:rFonts w:ascii="仿宋" w:hAnsi="仿宋" w:eastAsia="仿宋"/>
          <w:color w:val="000000"/>
          <w:sz w:val="32"/>
          <w:szCs w:val="32"/>
        </w:rPr>
        <w:t>20</w:t>
      </w:r>
      <w:r>
        <w:rPr>
          <w:rFonts w:hint="eastAsia" w:ascii="仿宋" w:hAnsi="仿宋" w:eastAsia="仿宋"/>
          <w:color w:val="000000"/>
          <w:sz w:val="32"/>
          <w:szCs w:val="32"/>
        </w:rPr>
        <w:t>20年相比，收</w:t>
      </w:r>
      <w:r>
        <w:rPr>
          <w:rFonts w:hint="eastAsia" w:ascii="仿宋" w:hAnsi="仿宋" w:eastAsia="仿宋"/>
          <w:color w:val="000000"/>
          <w:sz w:val="32"/>
          <w:szCs w:val="32"/>
          <w:lang w:val="en-US" w:eastAsia="zh-CN"/>
        </w:rPr>
        <w:t>入</w:t>
      </w:r>
      <w:r>
        <w:rPr>
          <w:rFonts w:hint="eastAsia" w:ascii="仿宋" w:hAnsi="仿宋" w:eastAsia="仿宋"/>
          <w:color w:val="000000"/>
          <w:sz w:val="32"/>
          <w:szCs w:val="32"/>
        </w:rPr>
        <w:t>总计减少</w:t>
      </w:r>
      <w:r>
        <w:rPr>
          <w:rFonts w:hint="eastAsia" w:ascii="仿宋" w:hAnsi="仿宋" w:eastAsia="仿宋"/>
          <w:color w:val="000000"/>
          <w:sz w:val="32"/>
          <w:szCs w:val="32"/>
          <w:lang w:val="en-US" w:eastAsia="zh-CN"/>
        </w:rPr>
        <w:t>364.09</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30.10</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支出总计减少32.74万元，同比下降3.73%</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2021当年专项项目收入减少，支出减少。</w:t>
      </w:r>
    </w:p>
    <w:p>
      <w:pPr>
        <w:rPr>
          <w:rFonts w:hint="eastAsia"/>
          <w:lang w:val="en-US" w:eastAsia="zh-CN"/>
        </w:rPr>
      </w:pPr>
      <w:r>
        <w:rPr>
          <w:rFonts w:hint="eastAsia"/>
          <w:lang w:val="en-US" w:eastAsia="zh-CN"/>
        </w:rPr>
        <w:t xml:space="preserve">      </w:t>
      </w:r>
      <w:r>
        <w:rPr>
          <w:rFonts w:hint="eastAsia"/>
          <w:lang w:val="en-US" w:eastAsia="zh-CN"/>
        </w:rPr>
        <w:drawing>
          <wp:inline distT="0" distB="0" distL="114300" distR="114300">
            <wp:extent cx="3777615" cy="2189480"/>
            <wp:effectExtent l="4445" t="4445" r="8890" b="1587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ind w:firstLine="960" w:firstLineChars="300"/>
        <w:rPr>
          <w:rFonts w:ascii="仿宋_GB2312" w:eastAsia="仿宋_GB2312"/>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w:t>
      </w:r>
    </w:p>
    <w:p>
      <w:pPr>
        <w:pStyle w:val="37"/>
        <w:numPr>
          <w:ilvl w:val="0"/>
          <w:numId w:val="1"/>
        </w:numPr>
        <w:spacing w:line="600" w:lineRule="exact"/>
        <w:ind w:firstLineChars="0"/>
        <w:outlineLvl w:val="1"/>
        <w:rPr>
          <w:rStyle w:val="27"/>
          <w:rFonts w:ascii="黑体" w:hAnsi="黑体" w:eastAsia="黑体"/>
          <w:b w:val="0"/>
        </w:rPr>
      </w:pPr>
      <w:bookmarkStart w:id="40" w:name="_Toc79163611"/>
      <w:bookmarkStart w:id="41" w:name="_Toc15377206"/>
      <w:bookmarkStart w:id="42" w:name="_Toc15396604"/>
      <w:bookmarkStart w:id="43" w:name="_Toc13293"/>
      <w:r>
        <w:rPr>
          <w:rFonts w:hint="eastAsia" w:ascii="黑体" w:hAnsi="黑体" w:eastAsia="黑体"/>
          <w:color w:val="000000"/>
          <w:sz w:val="32"/>
          <w:szCs w:val="32"/>
        </w:rPr>
        <w:t>收</w:t>
      </w:r>
      <w:r>
        <w:rPr>
          <w:rStyle w:val="27"/>
          <w:rFonts w:hint="eastAsia" w:ascii="黑体" w:hAnsi="黑体" w:eastAsia="黑体"/>
          <w:b w:val="0"/>
        </w:rPr>
        <w:t>入决算情况说明</w:t>
      </w:r>
      <w:bookmarkEnd w:id="40"/>
      <w:bookmarkEnd w:id="41"/>
      <w:bookmarkEnd w:id="42"/>
      <w:bookmarkEnd w:id="43"/>
    </w:p>
    <w:p>
      <w:pPr>
        <w:spacing w:line="600" w:lineRule="exact"/>
        <w:ind w:firstLine="640" w:firstLineChars="200"/>
        <w:rPr>
          <w:rFonts w:hint="eastAsia" w:ascii="仿宋" w:hAnsi="仿宋" w:eastAsia="仿宋" w:cs="Times New Roman"/>
          <w:b w:val="0"/>
          <w:bCs w:val="0"/>
          <w:color w:val="000000"/>
          <w:kern w:val="2"/>
          <w:sz w:val="32"/>
          <w:szCs w:val="32"/>
          <w:lang w:val="en-US" w:eastAsia="zh-CN" w:bidi="ar-SA"/>
        </w:rPr>
      </w:pPr>
      <w:r>
        <w:rPr>
          <w:rFonts w:ascii="仿宋" w:hAnsi="仿宋" w:eastAsia="仿宋"/>
          <w:color w:val="000000"/>
          <w:sz w:val="32"/>
          <w:szCs w:val="32"/>
        </w:rPr>
        <w:t>202</w:t>
      </w:r>
      <w:r>
        <w:rPr>
          <w:rFonts w:hint="eastAsia" w:ascii="仿宋" w:hAnsi="仿宋" w:eastAsia="仿宋"/>
          <w:color w:val="000000"/>
          <w:sz w:val="32"/>
          <w:szCs w:val="32"/>
        </w:rPr>
        <w:t>1年本年收入合计656.55万元，其中：一般公共预算财政拨款收入656.55万元，占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keepNext/>
        <w:keepLines/>
        <w:pageBreakBefore w:val="0"/>
        <w:widowControl w:val="0"/>
        <w:kinsoku/>
        <w:wordWrap/>
        <w:overflowPunct/>
        <w:topLinePunct w:val="0"/>
        <w:autoSpaceDE/>
        <w:autoSpaceDN/>
        <w:bidi w:val="0"/>
        <w:adjustRightInd/>
        <w:snapToGrid/>
        <w:spacing w:line="560" w:lineRule="exact"/>
        <w:ind w:left="0" w:hanging="1470" w:hangingChars="700"/>
        <w:textAlignment w:val="auto"/>
        <w:outlineLvl w:val="9"/>
        <w:rPr>
          <w:rFonts w:hint="default" w:ascii="仿宋" w:hAnsi="仿宋" w:eastAsia="仿宋" w:cs="Times New Roman"/>
          <w:b w:val="0"/>
          <w:bCs w:val="0"/>
          <w:color w:val="000000"/>
          <w:kern w:val="2"/>
          <w:sz w:val="32"/>
          <w:szCs w:val="32"/>
          <w:lang w:val="en-US" w:eastAsia="zh-CN" w:bidi="ar-SA"/>
        </w:rPr>
      </w:pPr>
      <w:r>
        <w:rPr>
          <w:rFonts w:hint="eastAsia" w:eastAsia="仿宋_GB2312"/>
          <w:lang w:eastAsia="zh-CN"/>
        </w:rPr>
        <w:drawing>
          <wp:anchor distT="0" distB="0" distL="114300" distR="114300" simplePos="0" relativeHeight="251659264" behindDoc="1" locked="0" layoutInCell="1" allowOverlap="1">
            <wp:simplePos x="0" y="0"/>
            <wp:positionH relativeFrom="column">
              <wp:posOffset>329565</wp:posOffset>
            </wp:positionH>
            <wp:positionV relativeFrom="paragraph">
              <wp:posOffset>38735</wp:posOffset>
            </wp:positionV>
            <wp:extent cx="4843145" cy="3056255"/>
            <wp:effectExtent l="4445" t="4445" r="10160" b="6350"/>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 w:hAnsi="仿宋" w:eastAsia="仿宋" w:cs="Times New Roman"/>
          <w:b w:val="0"/>
          <w:bCs w:val="0"/>
          <w:color w:val="000000"/>
          <w:kern w:val="2"/>
          <w:sz w:val="32"/>
          <w:szCs w:val="32"/>
          <w:lang w:val="en-US" w:eastAsia="zh-CN" w:bidi="ar-SA"/>
        </w:rPr>
        <w:t xml:space="preserve">   </w:t>
      </w:r>
    </w:p>
    <w:p>
      <w:pPr>
        <w:keepNext/>
        <w:keepLines/>
        <w:pageBreakBefore w:val="0"/>
        <w:widowControl w:val="0"/>
        <w:kinsoku/>
        <w:wordWrap/>
        <w:overflowPunct/>
        <w:topLinePunct w:val="0"/>
        <w:autoSpaceDE/>
        <w:autoSpaceDN/>
        <w:bidi w:val="0"/>
        <w:adjustRightInd/>
        <w:snapToGrid/>
        <w:spacing w:line="560" w:lineRule="exact"/>
        <w:ind w:left="0" w:hanging="2240" w:hangingChars="700"/>
        <w:textAlignment w:val="auto"/>
        <w:outlineLvl w:val="9"/>
        <w:rPr>
          <w:rFonts w:hint="eastAsia" w:ascii="仿宋" w:hAnsi="仿宋" w:eastAsia="仿宋" w:cs="Times New Roman"/>
          <w:b w:val="0"/>
          <w:bCs w:val="0"/>
          <w:color w:val="000000"/>
          <w:kern w:val="2"/>
          <w:sz w:val="32"/>
          <w:szCs w:val="32"/>
          <w:lang w:val="en-US" w:eastAsia="zh-CN" w:bidi="ar-SA"/>
        </w:rPr>
      </w:pPr>
    </w:p>
    <w:p>
      <w:pPr>
        <w:keepNext/>
        <w:keepLines/>
        <w:pageBreakBefore w:val="0"/>
        <w:widowControl w:val="0"/>
        <w:kinsoku/>
        <w:wordWrap/>
        <w:overflowPunct/>
        <w:topLinePunct w:val="0"/>
        <w:autoSpaceDE/>
        <w:autoSpaceDN/>
        <w:bidi w:val="0"/>
        <w:adjustRightInd/>
        <w:snapToGrid/>
        <w:spacing w:line="560" w:lineRule="exact"/>
        <w:ind w:left="0" w:hanging="2240" w:hangingChars="700"/>
        <w:textAlignment w:val="auto"/>
        <w:outlineLvl w:val="9"/>
        <w:rPr>
          <w:rFonts w:hint="eastAsia" w:ascii="仿宋" w:hAnsi="仿宋" w:eastAsia="仿宋" w:cs="Times New Roman"/>
          <w:b w:val="0"/>
          <w:bCs w:val="0"/>
          <w:color w:val="000000"/>
          <w:kern w:val="2"/>
          <w:sz w:val="32"/>
          <w:szCs w:val="32"/>
          <w:lang w:val="en-US" w:eastAsia="zh-CN" w:bidi="ar-SA"/>
        </w:rPr>
      </w:pPr>
    </w:p>
    <w:p>
      <w:pPr>
        <w:keepNext/>
        <w:keepLines/>
        <w:pageBreakBefore w:val="0"/>
        <w:widowControl w:val="0"/>
        <w:kinsoku/>
        <w:wordWrap/>
        <w:overflowPunct/>
        <w:topLinePunct w:val="0"/>
        <w:autoSpaceDE/>
        <w:autoSpaceDN/>
        <w:bidi w:val="0"/>
        <w:adjustRightInd/>
        <w:snapToGrid/>
        <w:spacing w:line="560" w:lineRule="exact"/>
        <w:ind w:left="0" w:hanging="2240" w:hangingChars="700"/>
        <w:textAlignment w:val="auto"/>
        <w:outlineLvl w:val="9"/>
        <w:rPr>
          <w:rFonts w:hint="eastAsia" w:ascii="仿宋" w:hAnsi="仿宋" w:eastAsia="仿宋" w:cs="Times New Roman"/>
          <w:b w:val="0"/>
          <w:bCs w:val="0"/>
          <w:color w:val="000000"/>
          <w:kern w:val="2"/>
          <w:sz w:val="32"/>
          <w:szCs w:val="32"/>
          <w:lang w:val="en-US" w:eastAsia="zh-CN" w:bidi="ar-SA"/>
        </w:rPr>
      </w:pPr>
    </w:p>
    <w:p>
      <w:pPr>
        <w:keepNext/>
        <w:keepLines/>
        <w:pageBreakBefore w:val="0"/>
        <w:widowControl w:val="0"/>
        <w:kinsoku/>
        <w:wordWrap/>
        <w:overflowPunct/>
        <w:topLinePunct w:val="0"/>
        <w:autoSpaceDE/>
        <w:autoSpaceDN/>
        <w:bidi w:val="0"/>
        <w:adjustRightInd/>
        <w:snapToGrid/>
        <w:spacing w:line="560" w:lineRule="exact"/>
        <w:ind w:left="0" w:hanging="2240" w:hangingChars="700"/>
        <w:textAlignment w:val="auto"/>
        <w:outlineLvl w:val="9"/>
        <w:rPr>
          <w:rFonts w:hint="eastAsia" w:ascii="仿宋" w:hAnsi="仿宋" w:eastAsia="仿宋" w:cs="Times New Roman"/>
          <w:b w:val="0"/>
          <w:bCs w:val="0"/>
          <w:color w:val="000000"/>
          <w:kern w:val="2"/>
          <w:sz w:val="32"/>
          <w:szCs w:val="32"/>
          <w:lang w:val="en-US" w:eastAsia="zh-CN" w:bidi="ar-SA"/>
        </w:rPr>
      </w:pPr>
    </w:p>
    <w:p>
      <w:pPr>
        <w:keepNext/>
        <w:keepLines/>
        <w:pageBreakBefore w:val="0"/>
        <w:widowControl w:val="0"/>
        <w:kinsoku/>
        <w:wordWrap/>
        <w:overflowPunct/>
        <w:topLinePunct w:val="0"/>
        <w:autoSpaceDE/>
        <w:autoSpaceDN/>
        <w:bidi w:val="0"/>
        <w:adjustRightInd/>
        <w:snapToGrid/>
        <w:spacing w:line="560" w:lineRule="exact"/>
        <w:ind w:left="0" w:hanging="2240" w:hangingChars="700"/>
        <w:textAlignment w:val="auto"/>
        <w:outlineLvl w:val="9"/>
        <w:rPr>
          <w:rFonts w:hint="eastAsia" w:ascii="仿宋" w:hAnsi="仿宋" w:eastAsia="仿宋" w:cs="Times New Roman"/>
          <w:b w:val="0"/>
          <w:bCs w:val="0"/>
          <w:color w:val="000000"/>
          <w:kern w:val="2"/>
          <w:sz w:val="32"/>
          <w:szCs w:val="32"/>
          <w:lang w:val="en-US" w:eastAsia="zh-CN" w:bidi="ar-SA"/>
        </w:rPr>
      </w:pPr>
    </w:p>
    <w:p>
      <w:pPr>
        <w:keepNext/>
        <w:keepLines/>
        <w:pageBreakBefore w:val="0"/>
        <w:widowControl w:val="0"/>
        <w:kinsoku/>
        <w:wordWrap/>
        <w:overflowPunct/>
        <w:topLinePunct w:val="0"/>
        <w:autoSpaceDE/>
        <w:autoSpaceDN/>
        <w:bidi w:val="0"/>
        <w:adjustRightInd/>
        <w:snapToGrid/>
        <w:spacing w:line="560" w:lineRule="exact"/>
        <w:ind w:left="0" w:hanging="2240" w:hangingChars="700"/>
        <w:textAlignment w:val="auto"/>
        <w:outlineLvl w:val="9"/>
        <w:rPr>
          <w:rFonts w:hint="eastAsia" w:ascii="仿宋" w:hAnsi="仿宋" w:eastAsia="仿宋" w:cs="Times New Roman"/>
          <w:b w:val="0"/>
          <w:bCs w:val="0"/>
          <w:color w:val="000000"/>
          <w:kern w:val="2"/>
          <w:sz w:val="32"/>
          <w:szCs w:val="32"/>
          <w:lang w:val="en-US" w:eastAsia="zh-CN" w:bidi="ar-SA"/>
        </w:rPr>
      </w:pPr>
    </w:p>
    <w:p>
      <w:pPr>
        <w:keepNext/>
        <w:keepLines/>
        <w:pageBreakBefore w:val="0"/>
        <w:widowControl w:val="0"/>
        <w:kinsoku/>
        <w:wordWrap/>
        <w:overflowPunct/>
        <w:topLinePunct w:val="0"/>
        <w:autoSpaceDE/>
        <w:autoSpaceDN/>
        <w:bidi w:val="0"/>
        <w:adjustRightInd/>
        <w:snapToGrid/>
        <w:spacing w:line="560" w:lineRule="exact"/>
        <w:textAlignment w:val="auto"/>
        <w:outlineLvl w:val="9"/>
        <w:rPr>
          <w:rFonts w:hint="eastAsia" w:ascii="仿宋" w:hAnsi="仿宋" w:eastAsia="仿宋" w:cs="Times New Roman"/>
          <w:b w:val="0"/>
          <w:bCs w:val="0"/>
          <w:color w:val="000000"/>
          <w:kern w:val="2"/>
          <w:sz w:val="32"/>
          <w:szCs w:val="32"/>
          <w:lang w:val="en-US" w:eastAsia="zh-CN" w:bidi="ar-SA"/>
        </w:rPr>
      </w:pPr>
    </w:p>
    <w:p>
      <w:pPr>
        <w:keepNext/>
        <w:keepLines/>
        <w:pageBreakBefore w:val="0"/>
        <w:widowControl w:val="0"/>
        <w:kinsoku/>
        <w:wordWrap/>
        <w:overflowPunct/>
        <w:topLinePunct w:val="0"/>
        <w:autoSpaceDE/>
        <w:autoSpaceDN/>
        <w:bidi w:val="0"/>
        <w:adjustRightInd/>
        <w:snapToGrid/>
        <w:spacing w:line="560" w:lineRule="exact"/>
        <w:textAlignment w:val="auto"/>
        <w:outlineLvl w:val="9"/>
        <w:rPr>
          <w:rFonts w:hint="eastAsia" w:eastAsia="仿宋_GB2312"/>
          <w:lang w:val="en-US" w:eastAsia="zh-CN"/>
        </w:rPr>
      </w:pPr>
      <w:bookmarkStart w:id="44" w:name="_Toc15396605"/>
      <w:bookmarkStart w:id="45" w:name="_Toc79163612"/>
      <w:bookmarkStart w:id="46" w:name="_Toc15377207"/>
      <w:r>
        <w:rPr>
          <w:rFonts w:hint="eastAsia" w:eastAsia="仿宋_GB2312"/>
          <w:lang w:val="en-US" w:eastAsia="zh-CN"/>
        </w:rPr>
        <w:t xml:space="preserve">        </w:t>
      </w:r>
    </w:p>
    <w:p>
      <w:pPr>
        <w:keepNext/>
        <w:keepLines/>
        <w:pageBreakBefore w:val="0"/>
        <w:widowControl w:val="0"/>
        <w:kinsoku/>
        <w:wordWrap/>
        <w:overflowPunct/>
        <w:topLinePunct w:val="0"/>
        <w:autoSpaceDE/>
        <w:autoSpaceDN/>
        <w:bidi w:val="0"/>
        <w:adjustRightInd/>
        <w:snapToGrid/>
        <w:spacing w:line="560" w:lineRule="exact"/>
        <w:ind w:firstLine="2240" w:firstLineChars="700"/>
        <w:textAlignment w:val="auto"/>
        <w:outlineLvl w:val="9"/>
        <w:rPr>
          <w:rFonts w:hint="eastAsia" w:ascii="仿宋" w:hAnsi="仿宋" w:eastAsia="仿宋" w:cs="Times New Roman"/>
          <w:b w:val="0"/>
          <w:bCs w:val="0"/>
          <w:color w:val="000000"/>
          <w:kern w:val="2"/>
          <w:sz w:val="32"/>
          <w:szCs w:val="32"/>
          <w:lang w:val="en-US" w:eastAsia="zh-CN" w:bidi="ar-SA"/>
        </w:rPr>
      </w:pPr>
      <w:r>
        <w:rPr>
          <w:rFonts w:hint="eastAsia" w:ascii="仿宋" w:hAnsi="仿宋" w:eastAsia="仿宋" w:cs="Times New Roman"/>
          <w:b w:val="0"/>
          <w:bCs w:val="0"/>
          <w:color w:val="000000"/>
          <w:kern w:val="2"/>
          <w:sz w:val="32"/>
          <w:szCs w:val="32"/>
          <w:lang w:val="en-US" w:eastAsia="zh-CN" w:bidi="ar-SA"/>
        </w:rPr>
        <w:t>（图2：收入决算结构图）</w:t>
      </w:r>
    </w:p>
    <w:p>
      <w:pPr>
        <w:pStyle w:val="37"/>
        <w:numPr>
          <w:ilvl w:val="0"/>
          <w:numId w:val="0"/>
        </w:numPr>
        <w:spacing w:line="600" w:lineRule="exact"/>
        <w:ind w:left="640" w:leftChars="0"/>
        <w:outlineLvl w:val="1"/>
        <w:rPr>
          <w:rFonts w:hint="eastAsia" w:ascii="黑体" w:hAnsi="黑体" w:eastAsia="黑体"/>
          <w:color w:val="000000"/>
          <w:sz w:val="32"/>
          <w:szCs w:val="32"/>
          <w:lang w:val="en-US" w:eastAsia="zh-CN"/>
        </w:rPr>
      </w:pPr>
    </w:p>
    <w:p>
      <w:pPr>
        <w:pStyle w:val="37"/>
        <w:numPr>
          <w:ilvl w:val="0"/>
          <w:numId w:val="0"/>
        </w:numPr>
        <w:spacing w:line="600" w:lineRule="exact"/>
        <w:ind w:left="640" w:leftChars="0"/>
        <w:outlineLvl w:val="1"/>
        <w:rPr>
          <w:rStyle w:val="27"/>
          <w:rFonts w:ascii="黑体" w:hAnsi="黑体" w:eastAsia="黑体"/>
          <w:b w:val="0"/>
        </w:rPr>
      </w:pPr>
      <w:bookmarkStart w:id="47" w:name="_Toc23193"/>
      <w:r>
        <w:rPr>
          <w:rFonts w:hint="eastAsia" w:ascii="黑体" w:hAnsi="黑体" w:eastAsia="黑体"/>
          <w:color w:val="000000"/>
          <w:sz w:val="32"/>
          <w:szCs w:val="32"/>
          <w:lang w:val="en-US" w:eastAsia="zh-CN"/>
        </w:rPr>
        <w:t>三、</w:t>
      </w:r>
      <w:r>
        <w:rPr>
          <w:rFonts w:hint="eastAsia" w:ascii="黑体" w:hAnsi="黑体" w:eastAsia="黑体"/>
          <w:color w:val="000000"/>
          <w:sz w:val="32"/>
          <w:szCs w:val="32"/>
        </w:rPr>
        <w:t>支</w:t>
      </w:r>
      <w:r>
        <w:rPr>
          <w:rStyle w:val="27"/>
          <w:rFonts w:hint="eastAsia" w:ascii="黑体" w:hAnsi="黑体" w:eastAsia="黑体"/>
          <w:b w:val="0"/>
        </w:rPr>
        <w:t>出决算情况说明</w:t>
      </w:r>
      <w:bookmarkEnd w:id="44"/>
      <w:bookmarkEnd w:id="45"/>
      <w:bookmarkEnd w:id="46"/>
      <w:bookmarkEnd w:id="47"/>
    </w:p>
    <w:p>
      <w:pPr>
        <w:spacing w:line="600" w:lineRule="exact"/>
        <w:ind w:firstLine="640" w:firstLineChars="200"/>
        <w:rPr>
          <w:rFonts w:hint="eastAsia" w:ascii="仿宋_GB2312" w:eastAsia="仿宋_GB2312"/>
          <w:sz w:val="32"/>
          <w:szCs w:val="32"/>
          <w:lang w:val="en-US" w:eastAsia="zh-CN"/>
        </w:rPr>
      </w:pPr>
      <w:r>
        <w:rPr>
          <w:rFonts w:ascii="仿宋_GB2312" w:eastAsia="仿宋_GB2312"/>
          <w:sz w:val="32"/>
          <w:szCs w:val="32"/>
        </w:rPr>
        <w:t>202</w:t>
      </w:r>
      <w:r>
        <w:rPr>
          <w:rFonts w:hint="eastAsia" w:ascii="仿宋_GB2312" w:eastAsia="仿宋_GB2312"/>
          <w:sz w:val="32"/>
          <w:szCs w:val="32"/>
        </w:rPr>
        <w:t>1年本年支出合计845.53万元，其中：基本支出171.68万元，占</w:t>
      </w:r>
      <w:r>
        <w:rPr>
          <w:rFonts w:hint="eastAsia" w:ascii="仿宋_GB2312" w:eastAsia="仿宋_GB2312"/>
          <w:sz w:val="32"/>
          <w:szCs w:val="32"/>
          <w:lang w:val="en-US" w:eastAsia="zh-CN"/>
        </w:rPr>
        <w:t>20.30</w:t>
      </w:r>
      <w:r>
        <w:rPr>
          <w:rFonts w:ascii="仿宋_GB2312" w:eastAsia="仿宋_GB2312"/>
          <w:sz w:val="32"/>
          <w:szCs w:val="32"/>
        </w:rPr>
        <w:t>%</w:t>
      </w:r>
      <w:r>
        <w:rPr>
          <w:rFonts w:hint="eastAsia" w:ascii="仿宋_GB2312" w:eastAsia="仿宋_GB2312"/>
          <w:sz w:val="32"/>
          <w:szCs w:val="32"/>
        </w:rPr>
        <w:t>；项目支出673.86万元，占</w:t>
      </w:r>
      <w:r>
        <w:rPr>
          <w:rFonts w:hint="eastAsia" w:ascii="仿宋_GB2312" w:eastAsia="仿宋_GB2312"/>
          <w:sz w:val="32"/>
          <w:szCs w:val="32"/>
          <w:lang w:val="en-US" w:eastAsia="zh-CN"/>
        </w:rPr>
        <w:t>79.70</w:t>
      </w:r>
      <w:r>
        <w:rPr>
          <w:rFonts w:ascii="仿宋_GB2312" w:eastAsia="仿宋_GB2312"/>
          <w:sz w:val="32"/>
          <w:szCs w:val="32"/>
        </w:rPr>
        <w:t>%</w:t>
      </w:r>
      <w:r>
        <w:rPr>
          <w:rFonts w:hint="eastAsia" w:ascii="仿宋_GB2312" w:eastAsia="仿宋_GB2312"/>
          <w:sz w:val="32"/>
          <w:szCs w:val="32"/>
          <w:lang w:eastAsia="zh-CN"/>
        </w:rPr>
        <w:t>。</w:t>
      </w:r>
    </w:p>
    <w:p>
      <w:r>
        <w:rPr>
          <w:rFonts w:hint="eastAsia" w:ascii="仿宋" w:hAnsi="仿宋" w:eastAsia="仿宋"/>
          <w:color w:val="000000"/>
          <w:sz w:val="32"/>
          <w:szCs w:val="32"/>
          <w:shd w:val="pct10" w:color="auto" w:fill="FFFFFF"/>
          <w:lang w:eastAsia="zh-CN"/>
        </w:rPr>
        <w:drawing>
          <wp:anchor distT="0" distB="0" distL="114300" distR="114300" simplePos="0" relativeHeight="251660288" behindDoc="1" locked="0" layoutInCell="1" allowOverlap="1">
            <wp:simplePos x="0" y="0"/>
            <wp:positionH relativeFrom="column">
              <wp:posOffset>353695</wp:posOffset>
            </wp:positionH>
            <wp:positionV relativeFrom="paragraph">
              <wp:posOffset>91440</wp:posOffset>
            </wp:positionV>
            <wp:extent cx="4421505" cy="2767965"/>
            <wp:effectExtent l="4445" t="4445" r="12700" b="8890"/>
            <wp:wrapNone/>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firstLineChars="200"/>
        <w:rPr>
          <w:rFonts w:ascii="仿宋_GB2312" w:eastAsia="仿宋_GB2312"/>
          <w:color w:val="FF0000"/>
          <w:sz w:val="32"/>
          <w:szCs w:val="32"/>
        </w:rPr>
      </w:pPr>
    </w:p>
    <w:p>
      <w:pPr>
        <w:pStyle w:val="21"/>
        <w:rPr>
          <w:rFonts w:ascii="仿宋_GB2312" w:eastAsia="仿宋_GB2312"/>
          <w:color w:val="FF0000"/>
          <w:sz w:val="32"/>
          <w:szCs w:val="32"/>
        </w:rPr>
      </w:pPr>
    </w:p>
    <w:p>
      <w:pPr>
        <w:rPr>
          <w:rFonts w:ascii="仿宋_GB2312" w:eastAsia="仿宋_GB2312"/>
          <w:color w:val="FF0000"/>
          <w:sz w:val="32"/>
          <w:szCs w:val="32"/>
        </w:rPr>
      </w:pPr>
    </w:p>
    <w:p>
      <w:pPr>
        <w:pStyle w:val="21"/>
        <w:rPr>
          <w:rFonts w:hint="eastAsia" w:ascii="仿宋_GB2312" w:eastAsia="仿宋_GB2312"/>
          <w:color w:val="FF0000"/>
          <w:sz w:val="32"/>
          <w:szCs w:val="32"/>
          <w:lang w:val="en-US" w:eastAsia="zh-CN"/>
        </w:rPr>
      </w:pPr>
      <w:r>
        <w:rPr>
          <w:rFonts w:hint="eastAsia" w:eastAsia="仿宋_GB2312"/>
          <w:color w:val="FF0000"/>
          <w:sz w:val="32"/>
          <w:szCs w:val="32"/>
          <w:lang w:val="en-US" w:eastAsia="zh-CN"/>
        </w:rPr>
        <w:t xml:space="preserve"> </w:t>
      </w:r>
    </w:p>
    <w:p>
      <w:pPr>
        <w:rPr>
          <w:rFonts w:ascii="仿宋_GB2312" w:eastAsia="仿宋_GB2312"/>
          <w:color w:val="FF0000"/>
          <w:sz w:val="32"/>
          <w:szCs w:val="32"/>
        </w:rPr>
      </w:pPr>
    </w:p>
    <w:p>
      <w:pPr>
        <w:pStyle w:val="21"/>
        <w:rPr>
          <w:rFonts w:ascii="仿宋_GB2312" w:eastAsia="仿宋_GB2312"/>
          <w:color w:val="FF0000"/>
          <w:sz w:val="32"/>
          <w:szCs w:val="32"/>
        </w:rPr>
      </w:pPr>
    </w:p>
    <w:p>
      <w:pPr>
        <w:rPr>
          <w:rFonts w:ascii="仿宋_GB2312" w:eastAsia="仿宋_GB2312"/>
          <w:color w:val="FF0000"/>
          <w:sz w:val="32"/>
          <w:szCs w:val="32"/>
        </w:rPr>
      </w:pPr>
    </w:p>
    <w:p>
      <w:pPr>
        <w:spacing w:line="600" w:lineRule="exact"/>
        <w:ind w:firstLine="1920" w:firstLineChars="6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3</w:t>
      </w:r>
      <w:r>
        <w:rPr>
          <w:rFonts w:hint="eastAsia" w:ascii="仿宋" w:hAnsi="仿宋" w:eastAsia="仿宋"/>
          <w:color w:val="000000"/>
          <w:sz w:val="32"/>
          <w:szCs w:val="32"/>
        </w:rPr>
        <w:t>：支出决算结构图）</w:t>
      </w:r>
    </w:p>
    <w:p>
      <w:pPr>
        <w:pStyle w:val="21"/>
      </w:pPr>
    </w:p>
    <w:p>
      <w:pPr>
        <w:spacing w:line="600" w:lineRule="exact"/>
        <w:ind w:firstLine="640" w:firstLineChars="200"/>
        <w:outlineLvl w:val="1"/>
        <w:rPr>
          <w:rStyle w:val="27"/>
          <w:rFonts w:ascii="黑体" w:hAnsi="黑体" w:eastAsia="黑体"/>
          <w:b w:val="0"/>
        </w:rPr>
      </w:pPr>
      <w:bookmarkStart w:id="48" w:name="_Toc79163613"/>
      <w:bookmarkStart w:id="49" w:name="_Toc13210"/>
      <w:bookmarkStart w:id="50" w:name="_Toc15377208"/>
      <w:bookmarkStart w:id="51" w:name="_Toc15396606"/>
      <w:r>
        <w:rPr>
          <w:rFonts w:hint="eastAsia" w:ascii="黑体" w:hAnsi="黑体" w:eastAsia="黑体"/>
          <w:color w:val="000000"/>
          <w:sz w:val="32"/>
          <w:szCs w:val="32"/>
        </w:rPr>
        <w:t>四、财</w:t>
      </w:r>
      <w:r>
        <w:rPr>
          <w:rStyle w:val="27"/>
          <w:rFonts w:hint="eastAsia" w:ascii="黑体" w:hAnsi="黑体" w:eastAsia="黑体"/>
          <w:b w:val="0"/>
        </w:rPr>
        <w:t>政拨款收入支出决算总体情况说明</w:t>
      </w:r>
      <w:bookmarkEnd w:id="48"/>
      <w:bookmarkEnd w:id="49"/>
      <w:bookmarkEnd w:id="50"/>
      <w:bookmarkEnd w:id="51"/>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1年财政拨款收、支总计845.53万元。与</w:t>
      </w:r>
      <w:r>
        <w:rPr>
          <w:rFonts w:ascii="仿宋" w:hAnsi="仿宋" w:eastAsia="仿宋"/>
          <w:color w:val="000000"/>
          <w:sz w:val="32"/>
          <w:szCs w:val="32"/>
        </w:rPr>
        <w:t>20</w:t>
      </w:r>
      <w:r>
        <w:rPr>
          <w:rFonts w:hint="eastAsia" w:ascii="仿宋" w:hAnsi="仿宋" w:eastAsia="仿宋"/>
          <w:color w:val="000000"/>
          <w:sz w:val="32"/>
          <w:szCs w:val="32"/>
        </w:rPr>
        <w:t>20年相比，财政拨款收</w:t>
      </w:r>
      <w:r>
        <w:rPr>
          <w:rFonts w:hint="eastAsia" w:ascii="仿宋" w:hAnsi="仿宋" w:eastAsia="仿宋"/>
          <w:color w:val="000000"/>
          <w:sz w:val="32"/>
          <w:szCs w:val="32"/>
          <w:lang w:val="en-US" w:eastAsia="zh-CN"/>
        </w:rPr>
        <w:t>入比2020年减少364.09</w:t>
      </w:r>
      <w:r>
        <w:rPr>
          <w:rFonts w:hint="eastAsia" w:ascii="仿宋" w:hAnsi="仿宋" w:eastAsia="仿宋"/>
          <w:color w:val="000000"/>
          <w:sz w:val="32"/>
          <w:szCs w:val="32"/>
        </w:rPr>
        <w:t>万元，下降</w:t>
      </w:r>
      <w:r>
        <w:rPr>
          <w:rFonts w:hint="eastAsia" w:ascii="仿宋" w:hAnsi="仿宋" w:eastAsia="仿宋"/>
          <w:color w:val="000000"/>
          <w:sz w:val="32"/>
          <w:szCs w:val="32"/>
          <w:lang w:val="en-US" w:eastAsia="zh-CN"/>
        </w:rPr>
        <w:t>30.10</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财政拨款支出同比减少32.74万元，同比下降3.73%</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2021当年专项项目收入减少，支出减少。</w:t>
      </w:r>
    </w:p>
    <w:p>
      <w:pPr>
        <w:pStyle w:val="21"/>
        <w:rPr>
          <w:rFonts w:hint="eastAsia" w:eastAsia="仿宋"/>
          <w:lang w:eastAsia="zh-CN"/>
        </w:rPr>
      </w:pPr>
      <w:r>
        <w:rPr>
          <w:rFonts w:hint="eastAsia" w:eastAsia="仿宋"/>
          <w:lang w:eastAsia="zh-CN"/>
        </w:rPr>
        <w:drawing>
          <wp:inline distT="0" distB="0" distL="114300" distR="114300">
            <wp:extent cx="5080000" cy="3810000"/>
            <wp:effectExtent l="4445" t="4445" r="20955" b="1460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w:t>
      </w: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Style w:val="27"/>
          <w:rFonts w:ascii="黑体" w:hAnsi="黑体" w:eastAsia="黑体"/>
          <w:b w:val="0"/>
        </w:rPr>
      </w:pPr>
      <w:bookmarkStart w:id="52" w:name="_Toc79163614"/>
      <w:bookmarkStart w:id="53" w:name="_Toc15396607"/>
      <w:bookmarkStart w:id="54" w:name="_Toc15377209"/>
      <w:bookmarkStart w:id="55" w:name="_Toc3511"/>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52"/>
      <w:bookmarkEnd w:id="53"/>
      <w:bookmarkEnd w:id="54"/>
      <w:bookmarkEnd w:id="55"/>
    </w:p>
    <w:p>
      <w:pPr>
        <w:spacing w:line="600" w:lineRule="exact"/>
        <w:ind w:firstLine="643" w:firstLineChars="200"/>
        <w:outlineLvl w:val="2"/>
        <w:rPr>
          <w:rFonts w:ascii="仿宋" w:hAnsi="仿宋" w:eastAsia="仿宋"/>
          <w:b/>
          <w:color w:val="000000"/>
          <w:sz w:val="32"/>
          <w:szCs w:val="32"/>
        </w:rPr>
      </w:pPr>
      <w:bookmarkStart w:id="56" w:name="_Toc11121"/>
      <w:bookmarkStart w:id="57" w:name="_Toc79163615"/>
      <w:bookmarkStart w:id="58" w:name="_Toc15377210"/>
      <w:r>
        <w:rPr>
          <w:rFonts w:hint="eastAsia" w:ascii="仿宋" w:hAns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1年一般公共预算财政拨款支出845.53万元，占本年支出合计的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rPr>
        <w:t>20年相比，一般公共预算</w:t>
      </w:r>
      <w:r>
        <w:rPr>
          <w:rFonts w:hint="eastAsia" w:ascii="仿宋" w:hAnsi="仿宋" w:eastAsia="仿宋"/>
          <w:color w:val="000000"/>
          <w:sz w:val="32"/>
          <w:szCs w:val="32"/>
          <w:lang w:val="en-US" w:eastAsia="zh-CN"/>
        </w:rPr>
        <w:t>财政拨款支出同比减少32.74万元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下降3.73%</w:t>
      </w:r>
      <w:r>
        <w:rPr>
          <w:rFonts w:hint="eastAsia" w:ascii="仿宋" w:hAnsi="仿宋" w:eastAsia="仿宋"/>
          <w:color w:val="000000"/>
          <w:sz w:val="32"/>
          <w:szCs w:val="32"/>
        </w:rPr>
        <w:t>。主要变动原因是</w:t>
      </w:r>
      <w:r>
        <w:rPr>
          <w:rFonts w:hint="eastAsia" w:ascii="仿宋" w:hAnsi="仿宋" w:eastAsia="仿宋"/>
          <w:color w:val="000000"/>
          <w:sz w:val="32"/>
          <w:szCs w:val="32"/>
          <w:lang w:val="en-US" w:eastAsia="zh-CN"/>
        </w:rPr>
        <w:t>2021当年专项项目收入减少，支出减少。</w:t>
      </w:r>
    </w:p>
    <w:p>
      <w:pPr>
        <w:pStyle w:val="21"/>
        <w:ind w:left="0" w:leftChars="0" w:firstLine="0" w:firstLineChars="0"/>
      </w:pPr>
      <w:r>
        <w:rPr>
          <w:rFonts w:hint="eastAsia" w:ascii="仿宋" w:hAnsi="仿宋" w:eastAsia="仿宋"/>
          <w:color w:val="000000"/>
          <w:sz w:val="32"/>
          <w:szCs w:val="32"/>
          <w:lang w:eastAsia="zh-CN"/>
        </w:rPr>
        <w:drawing>
          <wp:inline distT="0" distB="0" distL="114300" distR="114300">
            <wp:extent cx="5127625" cy="1952625"/>
            <wp:effectExtent l="4445" t="4445" r="11430" b="508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5</w:t>
      </w:r>
      <w:r>
        <w:rPr>
          <w:rFonts w:hint="eastAsia" w:ascii="仿宋" w:hAnsi="仿宋" w:eastAsia="仿宋"/>
          <w:color w:val="000000"/>
          <w:sz w:val="32"/>
          <w:szCs w:val="32"/>
        </w:rPr>
        <w:t>：一般公共预算财政拨款支出决算变动情况）</w:t>
      </w:r>
    </w:p>
    <w:p>
      <w:pPr>
        <w:spacing w:line="600" w:lineRule="exact"/>
        <w:ind w:firstLine="643" w:firstLineChars="200"/>
        <w:outlineLvl w:val="2"/>
        <w:rPr>
          <w:rFonts w:ascii="仿宋" w:hAnsi="仿宋" w:eastAsia="仿宋"/>
          <w:b/>
          <w:color w:val="000000"/>
          <w:sz w:val="32"/>
          <w:szCs w:val="32"/>
        </w:rPr>
      </w:pPr>
      <w:bookmarkStart w:id="59" w:name="_Toc79163616"/>
      <w:bookmarkStart w:id="60" w:name="_Toc15377211"/>
      <w:bookmarkStart w:id="61" w:name="_Toc31684"/>
      <w:r>
        <w:rPr>
          <w:rFonts w:hint="eastAsia" w:ascii="仿宋" w:hAnsi="仿宋" w:eastAsia="仿宋"/>
          <w:b/>
          <w:color w:val="000000"/>
          <w:sz w:val="32"/>
          <w:szCs w:val="32"/>
        </w:rPr>
        <w:t>（二）一般公共预算财政拨款支出决算结构情况</w:t>
      </w:r>
      <w:bookmarkEnd w:id="59"/>
      <w:bookmarkEnd w:id="60"/>
      <w:bookmarkEnd w:id="61"/>
    </w:p>
    <w:p>
      <w:pPr>
        <w:spacing w:line="600" w:lineRule="exact"/>
        <w:ind w:firstLine="640"/>
        <w:rPr>
          <w:rFonts w:ascii="仿宋" w:hAnsi="仿宋" w:eastAsia="仿宋"/>
          <w:b/>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1年一般公共预算财政拨款支出845.53万元，主要用于以下方面</w:t>
      </w:r>
      <w:r>
        <w:rPr>
          <w:rFonts w:ascii="仿宋" w:hAnsi="仿宋" w:eastAsia="仿宋"/>
          <w:color w:val="000000"/>
          <w:sz w:val="32"/>
          <w:szCs w:val="32"/>
        </w:rPr>
        <w:t>:</w:t>
      </w:r>
      <w:r>
        <w:rPr>
          <w:rFonts w:hint="eastAsia" w:ascii="仿宋" w:hAnsi="仿宋" w:eastAsia="仿宋"/>
          <w:b/>
          <w:color w:val="000000"/>
          <w:sz w:val="32"/>
          <w:szCs w:val="32"/>
        </w:rPr>
        <w:t>国防支出（类）</w:t>
      </w:r>
      <w:r>
        <w:rPr>
          <w:rFonts w:hint="eastAsia" w:ascii="仿宋" w:hAnsi="仿宋" w:eastAsia="仿宋"/>
          <w:color w:val="000000"/>
          <w:sz w:val="32"/>
          <w:szCs w:val="32"/>
        </w:rPr>
        <w:t>支出1.66万元，占</w:t>
      </w:r>
      <w:r>
        <w:rPr>
          <w:rFonts w:hint="eastAsia" w:ascii="仿宋" w:hAnsi="仿宋" w:eastAsia="仿宋"/>
          <w:color w:val="000000"/>
          <w:sz w:val="32"/>
          <w:szCs w:val="32"/>
          <w:lang w:val="en-US" w:eastAsia="zh-CN"/>
        </w:rPr>
        <w:t>0.2</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社会保障和就业支出（类）</w:t>
      </w:r>
      <w:r>
        <w:rPr>
          <w:rFonts w:hint="eastAsia" w:ascii="仿宋" w:hAnsi="仿宋" w:eastAsia="仿宋"/>
          <w:color w:val="000000"/>
          <w:sz w:val="32"/>
          <w:szCs w:val="32"/>
        </w:rPr>
        <w:t>820.2万元，占</w:t>
      </w:r>
      <w:r>
        <w:rPr>
          <w:rFonts w:hint="eastAsia" w:ascii="仿宋" w:hAnsi="仿宋" w:eastAsia="仿宋"/>
          <w:color w:val="000000"/>
          <w:sz w:val="32"/>
          <w:szCs w:val="32"/>
          <w:lang w:val="en-US" w:eastAsia="zh-CN"/>
        </w:rPr>
        <w:t>97.00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卫生健康支出（类）</w:t>
      </w:r>
      <w:r>
        <w:rPr>
          <w:rFonts w:hint="eastAsia" w:ascii="仿宋" w:hAnsi="仿宋" w:eastAsia="仿宋"/>
          <w:color w:val="000000"/>
          <w:sz w:val="32"/>
          <w:szCs w:val="32"/>
        </w:rPr>
        <w:t>支出11.49万元，占</w:t>
      </w:r>
      <w:r>
        <w:rPr>
          <w:rFonts w:hint="eastAsia" w:ascii="仿宋" w:hAnsi="仿宋" w:eastAsia="仿宋"/>
          <w:color w:val="000000"/>
          <w:sz w:val="32"/>
          <w:szCs w:val="32"/>
          <w:lang w:val="en-US" w:eastAsia="zh-CN"/>
        </w:rPr>
        <w:t>1.36</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住房保障支出（类）支出12.18万元，占</w:t>
      </w:r>
      <w:r>
        <w:rPr>
          <w:rFonts w:hint="eastAsia" w:ascii="仿宋" w:hAnsi="仿宋" w:eastAsia="仿宋"/>
          <w:b/>
          <w:bCs/>
          <w:color w:val="000000"/>
          <w:sz w:val="32"/>
          <w:szCs w:val="32"/>
          <w:lang w:val="en-US" w:eastAsia="zh-CN"/>
        </w:rPr>
        <w:t>1.44</w:t>
      </w:r>
      <w:r>
        <w:rPr>
          <w:rFonts w:ascii="仿宋" w:hAnsi="仿宋" w:eastAsia="仿宋"/>
          <w:b/>
          <w:bCs/>
          <w:color w:val="000000"/>
          <w:sz w:val="32"/>
          <w:szCs w:val="32"/>
        </w:rPr>
        <w:t>%</w:t>
      </w:r>
      <w:r>
        <w:rPr>
          <w:rFonts w:hint="eastAsia" w:ascii="仿宋" w:hAnsi="仿宋" w:eastAsia="仿宋"/>
          <w:b/>
          <w:color w:val="000000"/>
          <w:sz w:val="32"/>
          <w:szCs w:val="32"/>
        </w:rPr>
        <w:t>。</w:t>
      </w:r>
    </w:p>
    <w:p>
      <w:pPr>
        <w:spacing w:line="600" w:lineRule="exact"/>
        <w:ind w:firstLine="640"/>
        <w:rPr>
          <w:rFonts w:hint="eastAsia" w:ascii="仿宋" w:hAnsi="仿宋" w:eastAsia="仿宋"/>
          <w:color w:val="000000"/>
          <w:sz w:val="32"/>
          <w:szCs w:val="32"/>
          <w:lang w:eastAsia="zh-CN"/>
        </w:rPr>
      </w:pPr>
    </w:p>
    <w:p>
      <w:pPr>
        <w:spacing w:line="600" w:lineRule="exact"/>
        <w:ind w:firstLine="640"/>
        <w:rPr>
          <w:rFonts w:hint="eastAsia" w:ascii="仿宋" w:hAnsi="仿宋" w:eastAsia="仿宋"/>
          <w:color w:val="000000"/>
          <w:sz w:val="32"/>
          <w:szCs w:val="32"/>
          <w:lang w:eastAsia="zh-CN"/>
        </w:rPr>
      </w:pPr>
    </w:p>
    <w:p>
      <w:pPr>
        <w:spacing w:line="600" w:lineRule="exact"/>
        <w:ind w:firstLine="640"/>
        <w:rPr>
          <w:rFonts w:hint="eastAsia" w:ascii="仿宋" w:hAnsi="仿宋" w:eastAsia="仿宋"/>
          <w:color w:val="000000"/>
          <w:sz w:val="32"/>
          <w:szCs w:val="32"/>
          <w:lang w:eastAsia="zh-CN"/>
        </w:rPr>
      </w:pPr>
    </w:p>
    <w:p>
      <w:pPr>
        <w:spacing w:line="600" w:lineRule="exact"/>
        <w:ind w:firstLine="640"/>
        <w:rPr>
          <w:rFonts w:hint="eastAsia" w:ascii="仿宋" w:hAnsi="仿宋" w:eastAsia="仿宋"/>
          <w:color w:val="000000"/>
          <w:sz w:val="32"/>
          <w:szCs w:val="32"/>
          <w:lang w:eastAsia="zh-CN"/>
        </w:rPr>
      </w:pPr>
    </w:p>
    <w:p>
      <w:pPr>
        <w:spacing w:line="600" w:lineRule="exact"/>
        <w:ind w:firstLine="640"/>
        <w:rPr>
          <w:rFonts w:hint="eastAsia" w:ascii="仿宋" w:hAnsi="仿宋" w:eastAsia="仿宋"/>
          <w:color w:val="000000"/>
          <w:sz w:val="32"/>
          <w:szCs w:val="32"/>
          <w:lang w:eastAsia="zh-CN"/>
        </w:rPr>
      </w:pPr>
    </w:p>
    <w:p>
      <w:pPr>
        <w:pStyle w:val="21"/>
        <w:rPr>
          <w:rFonts w:hint="eastAsia" w:ascii="仿宋" w:hAnsi="仿宋" w:eastAsia="仿宋"/>
          <w:color w:val="000000"/>
          <w:sz w:val="32"/>
          <w:szCs w:val="32"/>
          <w:lang w:eastAsia="zh-CN"/>
        </w:rPr>
      </w:pPr>
    </w:p>
    <w:p>
      <w:pPr>
        <w:rPr>
          <w:rFonts w:hint="eastAsia"/>
          <w:lang w:eastAsia="zh-CN"/>
        </w:rPr>
      </w:pPr>
    </w:p>
    <w:p>
      <w:pPr>
        <w:spacing w:line="600" w:lineRule="exact"/>
        <w:ind w:firstLine="640"/>
        <w:rPr>
          <w:rFonts w:hint="eastAsia" w:ascii="仿宋" w:hAnsi="仿宋" w:eastAsia="仿宋"/>
          <w:color w:val="000000"/>
          <w:sz w:val="32"/>
          <w:szCs w:val="32"/>
          <w:lang w:eastAsia="zh-CN"/>
        </w:rPr>
      </w:pPr>
      <w:r>
        <w:rPr>
          <w:rFonts w:hint="eastAsia" w:ascii="仿宋" w:hAnsi="仿宋" w:eastAsia="仿宋"/>
          <w:color w:val="000000"/>
          <w:sz w:val="32"/>
          <w:szCs w:val="32"/>
          <w:lang w:eastAsia="zh-CN"/>
        </w:rPr>
        <w:drawing>
          <wp:anchor distT="0" distB="0" distL="114300" distR="114300" simplePos="0" relativeHeight="251661312" behindDoc="0" locked="0" layoutInCell="1" allowOverlap="1">
            <wp:simplePos x="0" y="0"/>
            <wp:positionH relativeFrom="column">
              <wp:posOffset>410845</wp:posOffset>
            </wp:positionH>
            <wp:positionV relativeFrom="paragraph">
              <wp:posOffset>-2491105</wp:posOffset>
            </wp:positionV>
            <wp:extent cx="4454525" cy="3228975"/>
            <wp:effectExtent l="4445" t="4445" r="17780" b="5080"/>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firstLineChars="200"/>
        <w:outlineLvl w:val="2"/>
        <w:rPr>
          <w:rFonts w:hint="eastAsia" w:ascii="仿宋" w:hAnsi="仿宋" w:eastAsia="仿宋"/>
          <w:color w:val="000000"/>
          <w:sz w:val="32"/>
          <w:szCs w:val="32"/>
        </w:rPr>
      </w:pPr>
    </w:p>
    <w:p>
      <w:pPr>
        <w:spacing w:line="600" w:lineRule="exact"/>
        <w:ind w:firstLine="960" w:firstLineChars="300"/>
        <w:outlineLvl w:val="2"/>
        <w:rPr>
          <w:rFonts w:hint="eastAsia" w:ascii="仿宋" w:hAnsi="仿宋" w:eastAsia="仿宋"/>
          <w:color w:val="000000"/>
          <w:sz w:val="32"/>
          <w:szCs w:val="32"/>
        </w:rPr>
      </w:pPr>
      <w:bookmarkStart w:id="62" w:name="_Toc17721"/>
      <w:r>
        <w:rPr>
          <w:rFonts w:hint="eastAsia" w:ascii="仿宋" w:hAnsi="仿宋" w:eastAsia="仿宋"/>
          <w:color w:val="000000"/>
          <w:sz w:val="32"/>
          <w:szCs w:val="32"/>
        </w:rPr>
        <w:t>（图</w:t>
      </w:r>
      <w:r>
        <w:rPr>
          <w:rFonts w:ascii="仿宋" w:hAnsi="仿宋" w:eastAsia="仿宋"/>
          <w:color w:val="000000"/>
          <w:sz w:val="32"/>
          <w:szCs w:val="32"/>
        </w:rPr>
        <w:t>6</w:t>
      </w:r>
      <w:r>
        <w:rPr>
          <w:rFonts w:hint="eastAsia" w:ascii="仿宋" w:hAnsi="仿宋" w:eastAsia="仿宋"/>
          <w:color w:val="000000"/>
          <w:sz w:val="32"/>
          <w:szCs w:val="32"/>
        </w:rPr>
        <w:t>：一般公共预算财政拨款支出决算结构）</w:t>
      </w:r>
      <w:bookmarkEnd w:id="62"/>
      <w:bookmarkStart w:id="63" w:name="_Toc15377212"/>
      <w:bookmarkStart w:id="64" w:name="_Toc79163617"/>
    </w:p>
    <w:p>
      <w:pPr>
        <w:spacing w:line="600" w:lineRule="exact"/>
        <w:ind w:firstLine="640" w:firstLineChars="200"/>
        <w:outlineLvl w:val="2"/>
        <w:rPr>
          <w:rFonts w:hint="eastAsia"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65" w:name="_Toc21699"/>
      <w:r>
        <w:rPr>
          <w:rFonts w:hint="eastAsia" w:ascii="仿宋" w:hAnsi="仿宋" w:eastAsia="仿宋"/>
          <w:b/>
          <w:color w:val="000000"/>
          <w:sz w:val="32"/>
          <w:szCs w:val="32"/>
        </w:rPr>
        <w:t>（三）一般公共预算财政拨款支出决算具体情况</w:t>
      </w:r>
      <w:bookmarkEnd w:id="63"/>
      <w:bookmarkEnd w:id="64"/>
      <w:bookmarkEnd w:id="65"/>
    </w:p>
    <w:p>
      <w:pPr>
        <w:spacing w:line="600" w:lineRule="exact"/>
        <w:ind w:firstLine="643" w:firstLineChars="200"/>
        <w:rPr>
          <w:rFonts w:ascii="仿宋_GB2312" w:eastAsia="仿宋_GB2312"/>
          <w:b/>
          <w:bCs/>
          <w:sz w:val="32"/>
          <w:szCs w:val="32"/>
        </w:rPr>
      </w:pPr>
      <w:bookmarkStart w:id="66" w:name="_Toc15377444"/>
      <w:bookmarkStart w:id="67" w:name="_Toc15377213"/>
      <w:bookmarkStart w:id="68" w:name="_Toc15378460"/>
      <w:r>
        <w:rPr>
          <w:rFonts w:ascii="仿宋_GB2312" w:eastAsia="仿宋_GB2312"/>
          <w:b/>
          <w:bCs/>
          <w:sz w:val="32"/>
          <w:szCs w:val="32"/>
        </w:rPr>
        <w:t>202</w:t>
      </w:r>
      <w:r>
        <w:rPr>
          <w:rFonts w:hint="eastAsia" w:ascii="仿宋_GB2312" w:eastAsia="仿宋_GB2312"/>
          <w:b/>
          <w:bCs/>
          <w:sz w:val="32"/>
          <w:szCs w:val="32"/>
        </w:rPr>
        <w:t>1年一般公共预算支出决算数为845.53</w:t>
      </w:r>
      <w:r>
        <w:rPr>
          <w:rFonts w:hint="eastAsia" w:ascii="仿宋_GB2312" w:eastAsia="仿宋_GB2312"/>
          <w:b/>
          <w:bCs/>
          <w:sz w:val="32"/>
          <w:szCs w:val="32"/>
          <w:lang w:val="en-US" w:eastAsia="zh-CN"/>
        </w:rPr>
        <w:t>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66"/>
      <w:bookmarkEnd w:id="67"/>
      <w:bookmarkEnd w:id="68"/>
    </w:p>
    <w:p>
      <w:pPr>
        <w:spacing w:line="600" w:lineRule="exact"/>
        <w:ind w:firstLine="643" w:firstLineChars="200"/>
        <w:rPr>
          <w:rFonts w:ascii="仿宋" w:hAnsi="仿宋" w:eastAsia="仿宋"/>
          <w:b/>
          <w:color w:val="000000"/>
          <w:sz w:val="32"/>
          <w:szCs w:val="32"/>
        </w:rPr>
      </w:pPr>
      <w:r>
        <w:rPr>
          <w:rStyle w:val="24"/>
          <w:rFonts w:ascii="仿宋" w:hAnsi="仿宋" w:eastAsia="仿宋"/>
          <w:bCs/>
          <w:color w:val="000000"/>
          <w:sz w:val="32"/>
          <w:szCs w:val="32"/>
        </w:rPr>
        <w:t>1.</w:t>
      </w:r>
      <w:r>
        <w:rPr>
          <w:rStyle w:val="24"/>
          <w:rFonts w:hint="eastAsia" w:ascii="仿宋" w:hAnsi="仿宋" w:eastAsia="仿宋"/>
          <w:bCs/>
          <w:color w:val="000000"/>
          <w:sz w:val="32"/>
          <w:szCs w:val="32"/>
        </w:rPr>
        <w:t>国防支出（类）国防动员（款）兵役征集（项）</w:t>
      </w:r>
      <w:r>
        <w:rPr>
          <w:rStyle w:val="24"/>
          <w:rFonts w:ascii="仿宋" w:hAnsi="仿宋" w:eastAsia="仿宋"/>
          <w:bCs/>
          <w:color w:val="000000"/>
          <w:sz w:val="32"/>
          <w:szCs w:val="32"/>
        </w:rPr>
        <w:t>:</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支出决算为1.66万元，完成预算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24"/>
          <w:rFonts w:ascii="仿宋" w:hAnsi="仿宋" w:eastAsia="仿宋"/>
          <w:bCs/>
          <w:color w:val="000000"/>
          <w:sz w:val="32"/>
          <w:szCs w:val="32"/>
        </w:rPr>
        <w:t>2.</w:t>
      </w:r>
      <w:r>
        <w:rPr>
          <w:rStyle w:val="24"/>
          <w:rFonts w:hint="eastAsia" w:ascii="仿宋" w:hAnsi="仿宋" w:eastAsia="仿宋"/>
          <w:bCs/>
          <w:color w:val="000000"/>
          <w:sz w:val="32"/>
          <w:szCs w:val="32"/>
        </w:rPr>
        <w:t>社会保障和就业支出（类）民政管理事务（款）其他民政管理事务支出（项）</w:t>
      </w:r>
      <w:r>
        <w:rPr>
          <w:rStyle w:val="24"/>
          <w:rFonts w:ascii="仿宋" w:hAnsi="仿宋" w:eastAsia="仿宋"/>
          <w:bCs/>
          <w:color w:val="000000"/>
          <w:sz w:val="32"/>
          <w:szCs w:val="32"/>
        </w:rPr>
        <w:t>:</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支出决算为6.18万元，完成预算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24"/>
          <w:rFonts w:hint="eastAsia" w:ascii="仿宋" w:hAnsi="仿宋" w:eastAsia="仿宋"/>
          <w:bCs/>
          <w:color w:val="000000"/>
          <w:sz w:val="32"/>
          <w:szCs w:val="32"/>
          <w:lang w:val="en-US" w:eastAsia="zh-CN"/>
        </w:rPr>
        <w:t>3</w:t>
      </w:r>
      <w:r>
        <w:rPr>
          <w:rStyle w:val="24"/>
          <w:rFonts w:ascii="仿宋" w:hAnsi="仿宋" w:eastAsia="仿宋"/>
          <w:bCs/>
          <w:color w:val="000000"/>
          <w:sz w:val="32"/>
          <w:szCs w:val="32"/>
        </w:rPr>
        <w:t>.</w:t>
      </w:r>
      <w:r>
        <w:rPr>
          <w:rStyle w:val="24"/>
          <w:rFonts w:hint="eastAsia" w:ascii="仿宋" w:hAnsi="仿宋" w:eastAsia="仿宋"/>
          <w:bCs/>
          <w:color w:val="000000"/>
          <w:sz w:val="32"/>
          <w:szCs w:val="32"/>
        </w:rPr>
        <w:t>社会保障和就业支出（类）行政事业单位养老支出（款）机关事业单位基本养老保险缴费支出</w:t>
      </w:r>
      <w:r>
        <w:rPr>
          <w:rStyle w:val="24"/>
          <w:rFonts w:hint="eastAsia" w:ascii="仿宋" w:hAnsi="仿宋" w:eastAsia="仿宋"/>
          <w:bCs/>
          <w:color w:val="000000"/>
          <w:sz w:val="32"/>
          <w:szCs w:val="32"/>
          <w:lang w:eastAsia="zh-CN"/>
        </w:rPr>
        <w:t>（</w:t>
      </w:r>
      <w:r>
        <w:rPr>
          <w:rStyle w:val="24"/>
          <w:rFonts w:hint="eastAsia" w:ascii="仿宋" w:hAnsi="仿宋" w:eastAsia="仿宋"/>
          <w:bCs/>
          <w:color w:val="000000"/>
          <w:sz w:val="32"/>
          <w:szCs w:val="32"/>
        </w:rPr>
        <w:t>项）</w:t>
      </w:r>
      <w:r>
        <w:rPr>
          <w:rStyle w:val="24"/>
          <w:rFonts w:ascii="仿宋" w:hAnsi="仿宋" w:eastAsia="仿宋"/>
          <w:bCs/>
          <w:color w:val="000000"/>
          <w:sz w:val="32"/>
          <w:szCs w:val="32"/>
        </w:rPr>
        <w:t>:</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支出决算为12.53万元，完成预算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24"/>
          <w:rFonts w:hint="eastAsia" w:ascii="仿宋" w:hAnsi="仿宋" w:eastAsia="仿宋"/>
          <w:bCs/>
          <w:color w:val="000000"/>
          <w:sz w:val="32"/>
          <w:szCs w:val="32"/>
          <w:lang w:val="en-US" w:eastAsia="zh-CN"/>
        </w:rPr>
        <w:t>4</w:t>
      </w:r>
      <w:r>
        <w:rPr>
          <w:rStyle w:val="24"/>
          <w:rFonts w:ascii="仿宋" w:hAnsi="仿宋" w:eastAsia="仿宋"/>
          <w:bCs/>
          <w:color w:val="000000"/>
          <w:sz w:val="32"/>
          <w:szCs w:val="32"/>
        </w:rPr>
        <w:t>.</w:t>
      </w:r>
      <w:r>
        <w:rPr>
          <w:rStyle w:val="24"/>
          <w:rFonts w:hint="eastAsia" w:ascii="仿宋" w:hAnsi="仿宋" w:eastAsia="仿宋"/>
          <w:bCs/>
          <w:color w:val="000000"/>
          <w:sz w:val="32"/>
          <w:szCs w:val="32"/>
        </w:rPr>
        <w:t>社会保障和就业支出（类）行政事业单位养老支出（款）机关事业单位职业年金缴费支出</w:t>
      </w:r>
      <w:r>
        <w:rPr>
          <w:rStyle w:val="24"/>
          <w:rFonts w:hint="eastAsia" w:ascii="仿宋" w:hAnsi="仿宋" w:eastAsia="仿宋"/>
          <w:bCs/>
          <w:color w:val="000000"/>
          <w:sz w:val="32"/>
          <w:szCs w:val="32"/>
          <w:lang w:eastAsia="zh-CN"/>
        </w:rPr>
        <w:t>（</w:t>
      </w:r>
      <w:r>
        <w:rPr>
          <w:rStyle w:val="24"/>
          <w:rFonts w:hint="eastAsia" w:ascii="仿宋" w:hAnsi="仿宋" w:eastAsia="仿宋"/>
          <w:bCs/>
          <w:color w:val="000000"/>
          <w:sz w:val="32"/>
          <w:szCs w:val="32"/>
        </w:rPr>
        <w:t>项）</w:t>
      </w:r>
      <w:r>
        <w:rPr>
          <w:rStyle w:val="24"/>
          <w:rFonts w:ascii="仿宋" w:hAnsi="仿宋" w:eastAsia="仿宋"/>
          <w:bCs/>
          <w:color w:val="000000"/>
          <w:sz w:val="32"/>
          <w:szCs w:val="32"/>
        </w:rPr>
        <w:t>:</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支出决算为6.26</w:t>
      </w:r>
      <w:r>
        <w:rPr>
          <w:rStyle w:val="24"/>
          <w:rFonts w:hint="eastAsia" w:ascii="仿宋" w:hAnsi="仿宋" w:eastAsia="仿宋"/>
          <w:b w:val="0"/>
          <w:bCs/>
          <w:color w:val="000000"/>
          <w:sz w:val="32"/>
          <w:szCs w:val="32"/>
          <w:lang w:val="en-US" w:eastAsia="zh-CN"/>
        </w:rPr>
        <w:t>万元</w:t>
      </w:r>
      <w:r>
        <w:rPr>
          <w:rStyle w:val="24"/>
          <w:rFonts w:hint="eastAsia" w:ascii="仿宋" w:hAnsi="仿宋" w:eastAsia="仿宋"/>
          <w:b w:val="0"/>
          <w:bCs/>
          <w:color w:val="000000"/>
          <w:sz w:val="32"/>
          <w:szCs w:val="32"/>
        </w:rPr>
        <w:t>，完成预算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，决算数等于预算数。</w:t>
      </w:r>
    </w:p>
    <w:p>
      <w:pPr>
        <w:spacing w:line="600" w:lineRule="exact"/>
        <w:ind w:firstLine="643" w:firstLineChars="200"/>
        <w:rPr>
          <w:rStyle w:val="24"/>
          <w:rFonts w:hint="eastAsia" w:ascii="仿宋" w:hAnsi="仿宋" w:eastAsia="仿宋"/>
          <w:b w:val="0"/>
          <w:bCs/>
          <w:color w:val="000000"/>
          <w:sz w:val="32"/>
          <w:szCs w:val="32"/>
        </w:rPr>
      </w:pPr>
      <w:r>
        <w:rPr>
          <w:rStyle w:val="24"/>
          <w:rFonts w:hint="eastAsia" w:ascii="仿宋" w:hAnsi="仿宋" w:eastAsia="仿宋"/>
          <w:bCs/>
          <w:color w:val="000000"/>
          <w:sz w:val="32"/>
          <w:szCs w:val="32"/>
          <w:lang w:val="en-US" w:eastAsia="zh-CN"/>
        </w:rPr>
        <w:t>5</w:t>
      </w:r>
      <w:r>
        <w:rPr>
          <w:rStyle w:val="24"/>
          <w:rFonts w:ascii="仿宋" w:hAnsi="仿宋" w:eastAsia="仿宋"/>
          <w:bCs/>
          <w:color w:val="000000"/>
          <w:sz w:val="32"/>
          <w:szCs w:val="32"/>
        </w:rPr>
        <w:t>.</w:t>
      </w:r>
      <w:r>
        <w:rPr>
          <w:rStyle w:val="24"/>
          <w:rFonts w:hint="eastAsia" w:ascii="仿宋" w:hAnsi="仿宋" w:eastAsia="仿宋"/>
          <w:bCs/>
          <w:color w:val="000000"/>
          <w:sz w:val="32"/>
          <w:szCs w:val="32"/>
        </w:rPr>
        <w:t>社会保障和就业支出（类）抚恤（款）死亡抚恤</w:t>
      </w:r>
      <w:r>
        <w:rPr>
          <w:rStyle w:val="24"/>
          <w:rFonts w:hint="eastAsia" w:ascii="仿宋" w:hAnsi="仿宋" w:eastAsia="仿宋"/>
          <w:bCs/>
          <w:color w:val="000000"/>
          <w:sz w:val="32"/>
          <w:szCs w:val="32"/>
          <w:lang w:eastAsia="zh-CN"/>
        </w:rPr>
        <w:t>（</w:t>
      </w:r>
      <w:r>
        <w:rPr>
          <w:rStyle w:val="24"/>
          <w:rFonts w:hint="eastAsia" w:ascii="仿宋" w:hAnsi="仿宋" w:eastAsia="仿宋"/>
          <w:bCs/>
          <w:color w:val="000000"/>
          <w:sz w:val="32"/>
          <w:szCs w:val="32"/>
        </w:rPr>
        <w:t>项）</w:t>
      </w:r>
      <w:r>
        <w:rPr>
          <w:rStyle w:val="24"/>
          <w:rFonts w:ascii="仿宋" w:hAnsi="仿宋" w:eastAsia="仿宋"/>
          <w:bCs/>
          <w:color w:val="000000"/>
          <w:sz w:val="32"/>
          <w:szCs w:val="32"/>
        </w:rPr>
        <w:t>:</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支出决算为3.59万元，完成预算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，决算数等于预算数。</w:t>
      </w:r>
    </w:p>
    <w:p>
      <w:pPr>
        <w:spacing w:line="600" w:lineRule="exact"/>
        <w:ind w:firstLine="643" w:firstLineChars="200"/>
        <w:rPr>
          <w:rStyle w:val="24"/>
          <w:rFonts w:hint="eastAsia" w:ascii="仿宋" w:hAnsi="仿宋" w:eastAsia="仿宋"/>
          <w:b w:val="0"/>
          <w:bCs/>
          <w:color w:val="000000"/>
          <w:sz w:val="32"/>
          <w:szCs w:val="32"/>
        </w:rPr>
      </w:pPr>
      <w:r>
        <w:rPr>
          <w:rStyle w:val="24"/>
          <w:rFonts w:hint="eastAsia" w:ascii="仿宋" w:hAnsi="仿宋" w:eastAsia="仿宋"/>
          <w:bCs/>
          <w:color w:val="000000"/>
          <w:sz w:val="32"/>
          <w:szCs w:val="32"/>
          <w:lang w:val="en-US" w:eastAsia="zh-CN"/>
        </w:rPr>
        <w:t>6</w:t>
      </w:r>
      <w:r>
        <w:rPr>
          <w:rStyle w:val="24"/>
          <w:rFonts w:ascii="仿宋" w:hAnsi="仿宋" w:eastAsia="仿宋"/>
          <w:bCs/>
          <w:color w:val="000000"/>
          <w:sz w:val="32"/>
          <w:szCs w:val="32"/>
        </w:rPr>
        <w:t>.</w:t>
      </w:r>
      <w:r>
        <w:rPr>
          <w:rStyle w:val="24"/>
          <w:rFonts w:hint="eastAsia" w:ascii="仿宋" w:hAnsi="仿宋" w:eastAsia="仿宋"/>
          <w:bCs/>
          <w:color w:val="000000"/>
          <w:sz w:val="32"/>
          <w:szCs w:val="32"/>
        </w:rPr>
        <w:t>社会保障和就业支出（类）抚恤（款）在乡复员、退伍军人生活补助</w:t>
      </w:r>
      <w:r>
        <w:rPr>
          <w:rStyle w:val="24"/>
          <w:rFonts w:hint="eastAsia" w:ascii="仿宋" w:hAnsi="仿宋" w:eastAsia="仿宋"/>
          <w:bCs/>
          <w:color w:val="000000"/>
          <w:sz w:val="32"/>
          <w:szCs w:val="32"/>
          <w:lang w:eastAsia="zh-CN"/>
        </w:rPr>
        <w:t>（</w:t>
      </w:r>
      <w:r>
        <w:rPr>
          <w:rStyle w:val="24"/>
          <w:rFonts w:hint="eastAsia" w:ascii="仿宋" w:hAnsi="仿宋" w:eastAsia="仿宋"/>
          <w:bCs/>
          <w:color w:val="000000"/>
          <w:sz w:val="32"/>
          <w:szCs w:val="32"/>
        </w:rPr>
        <w:t>项）</w:t>
      </w:r>
      <w:r>
        <w:rPr>
          <w:rStyle w:val="24"/>
          <w:rFonts w:ascii="仿宋" w:hAnsi="仿宋" w:eastAsia="仿宋"/>
          <w:bCs/>
          <w:color w:val="000000"/>
          <w:sz w:val="32"/>
          <w:szCs w:val="32"/>
        </w:rPr>
        <w:t>:</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支出决算为10.09万元，完成预算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24"/>
          <w:rFonts w:hint="eastAsia" w:ascii="仿宋" w:hAnsi="仿宋" w:eastAsia="仿宋"/>
          <w:bCs/>
          <w:color w:val="000000"/>
          <w:sz w:val="32"/>
          <w:szCs w:val="32"/>
          <w:lang w:val="en-US" w:eastAsia="zh-CN"/>
        </w:rPr>
        <w:t>7</w:t>
      </w:r>
      <w:r>
        <w:rPr>
          <w:rStyle w:val="24"/>
          <w:rFonts w:ascii="仿宋" w:hAnsi="仿宋" w:eastAsia="仿宋"/>
          <w:bCs/>
          <w:color w:val="000000"/>
          <w:sz w:val="32"/>
          <w:szCs w:val="32"/>
        </w:rPr>
        <w:t>.</w:t>
      </w:r>
      <w:r>
        <w:rPr>
          <w:rStyle w:val="24"/>
          <w:rFonts w:hint="eastAsia" w:ascii="仿宋" w:hAnsi="仿宋" w:eastAsia="仿宋"/>
          <w:bCs/>
          <w:color w:val="000000"/>
          <w:sz w:val="32"/>
          <w:szCs w:val="32"/>
        </w:rPr>
        <w:t>社会保障和就业支出（类）抚恤（款）优抚事业单位支出</w:t>
      </w:r>
      <w:r>
        <w:rPr>
          <w:rStyle w:val="24"/>
          <w:rFonts w:hint="eastAsia" w:ascii="仿宋" w:hAnsi="仿宋" w:eastAsia="仿宋"/>
          <w:bCs/>
          <w:color w:val="000000"/>
          <w:sz w:val="32"/>
          <w:szCs w:val="32"/>
          <w:lang w:eastAsia="zh-CN"/>
        </w:rPr>
        <w:t>（</w:t>
      </w:r>
      <w:r>
        <w:rPr>
          <w:rStyle w:val="24"/>
          <w:rFonts w:hint="eastAsia" w:ascii="仿宋" w:hAnsi="仿宋" w:eastAsia="仿宋"/>
          <w:bCs/>
          <w:color w:val="000000"/>
          <w:sz w:val="32"/>
          <w:szCs w:val="32"/>
        </w:rPr>
        <w:t>项）</w:t>
      </w:r>
      <w:r>
        <w:rPr>
          <w:rStyle w:val="24"/>
          <w:rFonts w:ascii="仿宋" w:hAnsi="仿宋" w:eastAsia="仿宋"/>
          <w:bCs/>
          <w:color w:val="000000"/>
          <w:sz w:val="32"/>
          <w:szCs w:val="32"/>
        </w:rPr>
        <w:t>:</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支出决算为71.76万元，完成预算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24"/>
          <w:rFonts w:hint="eastAsia" w:ascii="仿宋" w:hAnsi="仿宋" w:eastAsia="仿宋"/>
          <w:bCs/>
          <w:color w:val="000000"/>
          <w:sz w:val="32"/>
          <w:szCs w:val="32"/>
          <w:lang w:val="en-US" w:eastAsia="zh-CN"/>
        </w:rPr>
        <w:t>8</w:t>
      </w:r>
      <w:r>
        <w:rPr>
          <w:rStyle w:val="24"/>
          <w:rFonts w:ascii="仿宋" w:hAnsi="仿宋" w:eastAsia="仿宋"/>
          <w:bCs/>
          <w:color w:val="000000"/>
          <w:sz w:val="32"/>
          <w:szCs w:val="32"/>
        </w:rPr>
        <w:t>.</w:t>
      </w:r>
      <w:r>
        <w:rPr>
          <w:rStyle w:val="24"/>
          <w:rFonts w:hint="eastAsia" w:ascii="仿宋" w:hAnsi="仿宋" w:eastAsia="仿宋"/>
          <w:bCs/>
          <w:color w:val="000000"/>
          <w:sz w:val="32"/>
          <w:szCs w:val="32"/>
        </w:rPr>
        <w:t>社会保障和就业支出（类）抚恤（款）义务兵优待</w:t>
      </w:r>
      <w:r>
        <w:rPr>
          <w:rStyle w:val="24"/>
          <w:rFonts w:hint="eastAsia" w:ascii="仿宋" w:hAnsi="仿宋" w:eastAsia="仿宋"/>
          <w:bCs/>
          <w:color w:val="000000"/>
          <w:sz w:val="32"/>
          <w:szCs w:val="32"/>
          <w:lang w:eastAsia="zh-CN"/>
        </w:rPr>
        <w:t>（</w:t>
      </w:r>
      <w:r>
        <w:rPr>
          <w:rStyle w:val="24"/>
          <w:rFonts w:hint="eastAsia" w:ascii="仿宋" w:hAnsi="仿宋" w:eastAsia="仿宋"/>
          <w:bCs/>
          <w:color w:val="000000"/>
          <w:sz w:val="32"/>
          <w:szCs w:val="32"/>
        </w:rPr>
        <w:t>项）</w:t>
      </w:r>
      <w:r>
        <w:rPr>
          <w:rStyle w:val="24"/>
          <w:rFonts w:ascii="仿宋" w:hAnsi="仿宋" w:eastAsia="仿宋"/>
          <w:bCs/>
          <w:color w:val="000000"/>
          <w:sz w:val="32"/>
          <w:szCs w:val="32"/>
        </w:rPr>
        <w:t>:</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支出决算为12万元，完成预算</w:t>
      </w:r>
      <w:r>
        <w:rPr>
          <w:rStyle w:val="24"/>
          <w:rFonts w:hint="eastAsia" w:ascii="仿宋" w:hAnsi="仿宋" w:eastAsia="仿宋"/>
          <w:b w:val="0"/>
          <w:bCs/>
          <w:color w:val="000000"/>
          <w:sz w:val="32"/>
          <w:szCs w:val="32"/>
          <w:lang w:val="en-US" w:eastAsia="zh-CN"/>
        </w:rPr>
        <w:t>100.00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24"/>
          <w:rFonts w:hint="eastAsia" w:ascii="仿宋" w:hAnsi="仿宋" w:eastAsia="仿宋"/>
          <w:bCs/>
          <w:color w:val="000000"/>
          <w:sz w:val="32"/>
          <w:szCs w:val="32"/>
          <w:lang w:val="en-US" w:eastAsia="zh-CN"/>
        </w:rPr>
        <w:t>9</w:t>
      </w:r>
      <w:r>
        <w:rPr>
          <w:rStyle w:val="24"/>
          <w:rFonts w:ascii="仿宋" w:hAnsi="仿宋" w:eastAsia="仿宋"/>
          <w:bCs/>
          <w:color w:val="000000"/>
          <w:sz w:val="32"/>
          <w:szCs w:val="32"/>
        </w:rPr>
        <w:t>.</w:t>
      </w:r>
      <w:r>
        <w:rPr>
          <w:rStyle w:val="24"/>
          <w:rFonts w:hint="eastAsia" w:ascii="仿宋" w:hAnsi="仿宋" w:eastAsia="仿宋"/>
          <w:bCs/>
          <w:color w:val="000000"/>
          <w:sz w:val="32"/>
          <w:szCs w:val="32"/>
        </w:rPr>
        <w:t>社会保障和就业支出（类）抚恤（款）义务兵优待</w:t>
      </w:r>
      <w:r>
        <w:rPr>
          <w:rStyle w:val="24"/>
          <w:rFonts w:hint="eastAsia" w:ascii="仿宋" w:hAnsi="仿宋" w:eastAsia="仿宋"/>
          <w:bCs/>
          <w:color w:val="000000"/>
          <w:sz w:val="32"/>
          <w:szCs w:val="32"/>
          <w:lang w:eastAsia="zh-CN"/>
        </w:rPr>
        <w:t>（</w:t>
      </w:r>
      <w:r>
        <w:rPr>
          <w:rStyle w:val="24"/>
          <w:rFonts w:hint="eastAsia" w:ascii="仿宋" w:hAnsi="仿宋" w:eastAsia="仿宋"/>
          <w:bCs/>
          <w:color w:val="000000"/>
          <w:sz w:val="32"/>
          <w:szCs w:val="32"/>
        </w:rPr>
        <w:t>项）</w:t>
      </w:r>
      <w:r>
        <w:rPr>
          <w:rStyle w:val="24"/>
          <w:rFonts w:ascii="仿宋" w:hAnsi="仿宋" w:eastAsia="仿宋"/>
          <w:bCs/>
          <w:color w:val="000000"/>
          <w:sz w:val="32"/>
          <w:szCs w:val="32"/>
        </w:rPr>
        <w:t>:</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支出决算为67.86万元，完成预算</w:t>
      </w:r>
      <w:r>
        <w:rPr>
          <w:rStyle w:val="24"/>
          <w:rFonts w:hint="eastAsia" w:ascii="仿宋" w:hAnsi="仿宋" w:eastAsia="仿宋"/>
          <w:b w:val="0"/>
          <w:bCs/>
          <w:color w:val="000000"/>
          <w:sz w:val="32"/>
          <w:szCs w:val="32"/>
          <w:lang w:val="en-US" w:eastAsia="zh-CN"/>
        </w:rPr>
        <w:t>100.00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，决算数等于预算数。</w:t>
      </w:r>
    </w:p>
    <w:p>
      <w:pPr>
        <w:spacing w:line="600" w:lineRule="exact"/>
        <w:ind w:firstLine="643" w:firstLineChars="200"/>
        <w:rPr>
          <w:rFonts w:ascii="仿宋" w:hAnsi="仿宋" w:eastAsia="仿宋"/>
          <w:b/>
          <w:color w:val="000000"/>
          <w:sz w:val="32"/>
          <w:szCs w:val="32"/>
        </w:rPr>
      </w:pPr>
      <w:r>
        <w:rPr>
          <w:rStyle w:val="24"/>
          <w:rFonts w:hint="eastAsia" w:ascii="仿宋" w:hAnsi="仿宋" w:eastAsia="仿宋"/>
          <w:bCs/>
          <w:color w:val="000000"/>
          <w:sz w:val="32"/>
          <w:szCs w:val="32"/>
          <w:lang w:val="en-US" w:eastAsia="zh-CN"/>
        </w:rPr>
        <w:t>10</w:t>
      </w:r>
      <w:r>
        <w:rPr>
          <w:rStyle w:val="24"/>
          <w:rFonts w:ascii="仿宋" w:hAnsi="仿宋" w:eastAsia="仿宋"/>
          <w:bCs/>
          <w:color w:val="000000"/>
          <w:sz w:val="32"/>
          <w:szCs w:val="32"/>
        </w:rPr>
        <w:t>.</w:t>
      </w:r>
      <w:r>
        <w:rPr>
          <w:rStyle w:val="24"/>
          <w:rFonts w:hint="eastAsia" w:ascii="仿宋" w:hAnsi="仿宋" w:eastAsia="仿宋"/>
          <w:bCs/>
          <w:color w:val="000000"/>
          <w:sz w:val="32"/>
          <w:szCs w:val="32"/>
        </w:rPr>
        <w:t>社会保障和就业支出（类）退役安置（款）退役士兵安置</w:t>
      </w:r>
      <w:r>
        <w:rPr>
          <w:rStyle w:val="24"/>
          <w:rFonts w:hint="eastAsia" w:ascii="仿宋" w:hAnsi="仿宋" w:eastAsia="仿宋"/>
          <w:bCs/>
          <w:color w:val="000000"/>
          <w:sz w:val="32"/>
          <w:szCs w:val="32"/>
          <w:lang w:eastAsia="zh-CN"/>
        </w:rPr>
        <w:t>（</w:t>
      </w:r>
      <w:r>
        <w:rPr>
          <w:rStyle w:val="24"/>
          <w:rFonts w:hint="eastAsia" w:ascii="仿宋" w:hAnsi="仿宋" w:eastAsia="仿宋"/>
          <w:bCs/>
          <w:color w:val="000000"/>
          <w:sz w:val="32"/>
          <w:szCs w:val="32"/>
        </w:rPr>
        <w:t>项）</w:t>
      </w:r>
      <w:r>
        <w:rPr>
          <w:rStyle w:val="24"/>
          <w:rFonts w:ascii="仿宋" w:hAnsi="仿宋" w:eastAsia="仿宋"/>
          <w:bCs/>
          <w:color w:val="000000"/>
          <w:sz w:val="32"/>
          <w:szCs w:val="32"/>
        </w:rPr>
        <w:t>:</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支出决算为2.8万元，完成预算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，决算数等于预算数。</w:t>
      </w:r>
    </w:p>
    <w:p>
      <w:pPr>
        <w:spacing w:line="600" w:lineRule="exact"/>
        <w:ind w:firstLine="643" w:firstLineChars="200"/>
        <w:rPr>
          <w:rStyle w:val="24"/>
          <w:rFonts w:hint="eastAsia" w:ascii="仿宋" w:hAnsi="仿宋" w:eastAsia="仿宋"/>
          <w:b w:val="0"/>
          <w:bCs/>
          <w:color w:val="000000"/>
          <w:sz w:val="32"/>
          <w:szCs w:val="32"/>
        </w:rPr>
      </w:pPr>
      <w:r>
        <w:rPr>
          <w:rStyle w:val="24"/>
          <w:rFonts w:hint="eastAsia" w:ascii="仿宋" w:hAnsi="仿宋" w:eastAsia="仿宋"/>
          <w:bCs/>
          <w:color w:val="000000"/>
          <w:sz w:val="32"/>
          <w:szCs w:val="32"/>
          <w:lang w:val="en-US" w:eastAsia="zh-CN"/>
        </w:rPr>
        <w:t>11</w:t>
      </w:r>
      <w:r>
        <w:rPr>
          <w:rStyle w:val="24"/>
          <w:rFonts w:ascii="仿宋" w:hAnsi="仿宋" w:eastAsia="仿宋"/>
          <w:bCs/>
          <w:color w:val="000000"/>
          <w:sz w:val="32"/>
          <w:szCs w:val="32"/>
        </w:rPr>
        <w:t>.</w:t>
      </w:r>
      <w:r>
        <w:rPr>
          <w:rStyle w:val="24"/>
          <w:rFonts w:hint="eastAsia" w:ascii="仿宋" w:hAnsi="仿宋" w:eastAsia="仿宋"/>
          <w:bCs/>
          <w:color w:val="000000"/>
          <w:sz w:val="32"/>
          <w:szCs w:val="32"/>
        </w:rPr>
        <w:t>社会保障和就业支出（类）退役安置（款）军队转业干部安置</w:t>
      </w:r>
      <w:r>
        <w:rPr>
          <w:rStyle w:val="24"/>
          <w:rFonts w:hint="eastAsia" w:ascii="仿宋" w:hAnsi="仿宋" w:eastAsia="仿宋"/>
          <w:bCs/>
          <w:color w:val="000000"/>
          <w:sz w:val="32"/>
          <w:szCs w:val="32"/>
          <w:lang w:eastAsia="zh-CN"/>
        </w:rPr>
        <w:t>（</w:t>
      </w:r>
      <w:r>
        <w:rPr>
          <w:rStyle w:val="24"/>
          <w:rFonts w:hint="eastAsia" w:ascii="仿宋" w:hAnsi="仿宋" w:eastAsia="仿宋"/>
          <w:bCs/>
          <w:color w:val="000000"/>
          <w:sz w:val="32"/>
          <w:szCs w:val="32"/>
        </w:rPr>
        <w:t>项）</w:t>
      </w:r>
      <w:r>
        <w:rPr>
          <w:rStyle w:val="24"/>
          <w:rFonts w:ascii="仿宋" w:hAnsi="仿宋" w:eastAsia="仿宋"/>
          <w:bCs/>
          <w:color w:val="000000"/>
          <w:sz w:val="32"/>
          <w:szCs w:val="32"/>
        </w:rPr>
        <w:t>:</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支出决算为388.54万元，完成预算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，决算数等于预算数。</w:t>
      </w:r>
    </w:p>
    <w:p>
      <w:pPr>
        <w:spacing w:line="600" w:lineRule="exact"/>
        <w:ind w:firstLine="643" w:firstLineChars="200"/>
        <w:rPr>
          <w:rStyle w:val="24"/>
          <w:rFonts w:hint="eastAsia" w:ascii="仿宋" w:hAnsi="仿宋" w:eastAsia="仿宋"/>
          <w:b w:val="0"/>
          <w:bCs/>
          <w:color w:val="000000"/>
          <w:sz w:val="32"/>
          <w:szCs w:val="32"/>
        </w:rPr>
      </w:pPr>
      <w:r>
        <w:rPr>
          <w:rStyle w:val="24"/>
          <w:rFonts w:hint="eastAsia" w:ascii="仿宋" w:hAnsi="仿宋" w:eastAsia="仿宋"/>
          <w:bCs/>
          <w:color w:val="000000"/>
          <w:sz w:val="32"/>
          <w:szCs w:val="32"/>
          <w:lang w:val="en-US" w:eastAsia="zh-CN"/>
        </w:rPr>
        <w:t>12</w:t>
      </w:r>
      <w:r>
        <w:rPr>
          <w:rStyle w:val="24"/>
          <w:rFonts w:ascii="仿宋" w:hAnsi="仿宋" w:eastAsia="仿宋"/>
          <w:bCs/>
          <w:color w:val="000000"/>
          <w:sz w:val="32"/>
          <w:szCs w:val="32"/>
        </w:rPr>
        <w:t>.</w:t>
      </w:r>
      <w:r>
        <w:rPr>
          <w:rStyle w:val="24"/>
          <w:rFonts w:hint="eastAsia" w:ascii="仿宋" w:hAnsi="仿宋" w:eastAsia="仿宋"/>
          <w:bCs/>
          <w:color w:val="000000"/>
          <w:sz w:val="32"/>
          <w:szCs w:val="32"/>
        </w:rPr>
        <w:t>社会保障和就业支出（类）退役安置（款） 其他退役安置支出</w:t>
      </w:r>
      <w:r>
        <w:rPr>
          <w:rStyle w:val="24"/>
          <w:rFonts w:hint="eastAsia" w:ascii="仿宋" w:hAnsi="仿宋" w:eastAsia="仿宋"/>
          <w:bCs/>
          <w:color w:val="000000"/>
          <w:sz w:val="32"/>
          <w:szCs w:val="32"/>
          <w:lang w:eastAsia="zh-CN"/>
        </w:rPr>
        <w:t>（</w:t>
      </w:r>
      <w:r>
        <w:rPr>
          <w:rStyle w:val="24"/>
          <w:rFonts w:hint="eastAsia" w:ascii="仿宋" w:hAnsi="仿宋" w:eastAsia="仿宋"/>
          <w:bCs/>
          <w:color w:val="000000"/>
          <w:sz w:val="32"/>
          <w:szCs w:val="32"/>
        </w:rPr>
        <w:t>项）</w:t>
      </w:r>
      <w:r>
        <w:rPr>
          <w:rStyle w:val="24"/>
          <w:rFonts w:ascii="仿宋" w:hAnsi="仿宋" w:eastAsia="仿宋"/>
          <w:bCs/>
          <w:color w:val="000000"/>
          <w:sz w:val="32"/>
          <w:szCs w:val="32"/>
        </w:rPr>
        <w:t>:</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支出决算为66万元，完成预算</w:t>
      </w:r>
      <w:r>
        <w:rPr>
          <w:rStyle w:val="24"/>
          <w:rFonts w:hint="eastAsia" w:ascii="仿宋" w:hAnsi="仿宋" w:eastAsia="仿宋"/>
          <w:b w:val="0"/>
          <w:bCs/>
          <w:color w:val="000000"/>
          <w:sz w:val="32"/>
          <w:szCs w:val="32"/>
          <w:lang w:val="en-US" w:eastAsia="zh-CN"/>
        </w:rPr>
        <w:t>100.00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，决算数等于预算数。</w:t>
      </w:r>
    </w:p>
    <w:p>
      <w:pPr>
        <w:spacing w:line="600" w:lineRule="exact"/>
        <w:ind w:firstLine="643" w:firstLineChars="200"/>
        <w:rPr>
          <w:rStyle w:val="24"/>
          <w:rFonts w:hint="eastAsia" w:ascii="仿宋" w:hAnsi="仿宋" w:eastAsia="仿宋"/>
          <w:b w:val="0"/>
          <w:bCs/>
          <w:color w:val="000000"/>
          <w:sz w:val="32"/>
          <w:szCs w:val="32"/>
        </w:rPr>
      </w:pPr>
      <w:r>
        <w:rPr>
          <w:rStyle w:val="24"/>
          <w:rFonts w:hint="eastAsia" w:ascii="仿宋" w:hAnsi="仿宋" w:eastAsia="仿宋"/>
          <w:bCs/>
          <w:color w:val="000000"/>
          <w:sz w:val="32"/>
          <w:szCs w:val="32"/>
          <w:lang w:val="en-US" w:eastAsia="zh-CN"/>
        </w:rPr>
        <w:t>13</w:t>
      </w:r>
      <w:r>
        <w:rPr>
          <w:rStyle w:val="24"/>
          <w:rFonts w:ascii="仿宋" w:hAnsi="仿宋" w:eastAsia="仿宋"/>
          <w:bCs/>
          <w:color w:val="000000"/>
          <w:sz w:val="32"/>
          <w:szCs w:val="32"/>
        </w:rPr>
        <w:t>.</w:t>
      </w:r>
      <w:r>
        <w:rPr>
          <w:rStyle w:val="24"/>
          <w:rFonts w:hint="eastAsia" w:ascii="仿宋" w:hAnsi="仿宋" w:eastAsia="仿宋"/>
          <w:bCs/>
          <w:color w:val="000000"/>
          <w:sz w:val="32"/>
          <w:szCs w:val="32"/>
        </w:rPr>
        <w:t>社会保障和就业支出（类）临时救助（款）临时救助支出</w:t>
      </w:r>
      <w:r>
        <w:rPr>
          <w:rStyle w:val="24"/>
          <w:rFonts w:hint="eastAsia" w:ascii="仿宋" w:hAnsi="仿宋" w:eastAsia="仿宋"/>
          <w:bCs/>
          <w:color w:val="000000"/>
          <w:sz w:val="32"/>
          <w:szCs w:val="32"/>
          <w:lang w:eastAsia="zh-CN"/>
        </w:rPr>
        <w:t>（</w:t>
      </w:r>
      <w:r>
        <w:rPr>
          <w:rStyle w:val="24"/>
          <w:rFonts w:hint="eastAsia" w:ascii="仿宋" w:hAnsi="仿宋" w:eastAsia="仿宋"/>
          <w:bCs/>
          <w:color w:val="000000"/>
          <w:sz w:val="32"/>
          <w:szCs w:val="32"/>
        </w:rPr>
        <w:t>项）</w:t>
      </w:r>
      <w:r>
        <w:rPr>
          <w:rStyle w:val="24"/>
          <w:rFonts w:ascii="仿宋" w:hAnsi="仿宋" w:eastAsia="仿宋"/>
          <w:bCs/>
          <w:color w:val="000000"/>
          <w:sz w:val="32"/>
          <w:szCs w:val="32"/>
        </w:rPr>
        <w:t>:</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支出决算为0.18万元，完成预算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，决算数等于预算数。</w:t>
      </w:r>
    </w:p>
    <w:p>
      <w:pPr>
        <w:spacing w:line="600" w:lineRule="exact"/>
        <w:ind w:firstLine="643" w:firstLineChars="200"/>
        <w:rPr>
          <w:rStyle w:val="24"/>
          <w:rFonts w:hint="eastAsia" w:ascii="仿宋" w:hAnsi="仿宋" w:eastAsia="仿宋"/>
          <w:b w:val="0"/>
          <w:bCs/>
          <w:color w:val="000000"/>
          <w:sz w:val="32"/>
          <w:szCs w:val="32"/>
        </w:rPr>
      </w:pPr>
      <w:r>
        <w:rPr>
          <w:rStyle w:val="24"/>
          <w:rFonts w:hint="eastAsia" w:ascii="仿宋" w:hAnsi="仿宋" w:eastAsia="仿宋"/>
          <w:bCs/>
          <w:color w:val="000000"/>
          <w:sz w:val="32"/>
          <w:szCs w:val="32"/>
          <w:lang w:val="en-US" w:eastAsia="zh-CN"/>
        </w:rPr>
        <w:t>14</w:t>
      </w:r>
      <w:r>
        <w:rPr>
          <w:rStyle w:val="24"/>
          <w:rFonts w:ascii="仿宋" w:hAnsi="仿宋" w:eastAsia="仿宋"/>
          <w:bCs/>
          <w:color w:val="000000"/>
          <w:sz w:val="32"/>
          <w:szCs w:val="32"/>
        </w:rPr>
        <w:t>.</w:t>
      </w:r>
      <w:r>
        <w:rPr>
          <w:rStyle w:val="24"/>
          <w:rFonts w:hint="eastAsia" w:ascii="仿宋" w:hAnsi="仿宋" w:eastAsia="仿宋"/>
          <w:bCs/>
          <w:color w:val="000000"/>
          <w:sz w:val="32"/>
          <w:szCs w:val="32"/>
        </w:rPr>
        <w:t>社会保障和就业支出（类）其他生活救助（款）其他城市生活救助</w:t>
      </w:r>
      <w:r>
        <w:rPr>
          <w:rStyle w:val="24"/>
          <w:rFonts w:hint="eastAsia" w:ascii="仿宋" w:hAnsi="仿宋" w:eastAsia="仿宋"/>
          <w:bCs/>
          <w:color w:val="000000"/>
          <w:sz w:val="32"/>
          <w:szCs w:val="32"/>
          <w:lang w:eastAsia="zh-CN"/>
        </w:rPr>
        <w:t>（</w:t>
      </w:r>
      <w:r>
        <w:rPr>
          <w:rStyle w:val="24"/>
          <w:rFonts w:hint="eastAsia" w:ascii="仿宋" w:hAnsi="仿宋" w:eastAsia="仿宋"/>
          <w:bCs/>
          <w:color w:val="000000"/>
          <w:sz w:val="32"/>
          <w:szCs w:val="32"/>
        </w:rPr>
        <w:t>项）</w:t>
      </w:r>
      <w:r>
        <w:rPr>
          <w:rStyle w:val="24"/>
          <w:rFonts w:ascii="仿宋" w:hAnsi="仿宋" w:eastAsia="仿宋"/>
          <w:bCs/>
          <w:color w:val="000000"/>
          <w:sz w:val="32"/>
          <w:szCs w:val="32"/>
        </w:rPr>
        <w:t>:</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支出决算为0.72万元，完成预算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，决算数等于预算数。</w:t>
      </w:r>
    </w:p>
    <w:p>
      <w:pPr>
        <w:spacing w:line="600" w:lineRule="exact"/>
        <w:ind w:firstLine="643" w:firstLineChars="200"/>
        <w:rPr>
          <w:rStyle w:val="24"/>
          <w:rFonts w:hint="eastAsia" w:ascii="仿宋" w:hAnsi="仿宋" w:eastAsia="仿宋"/>
          <w:b w:val="0"/>
          <w:bCs/>
          <w:color w:val="000000"/>
          <w:sz w:val="32"/>
          <w:szCs w:val="32"/>
        </w:rPr>
      </w:pPr>
      <w:r>
        <w:rPr>
          <w:rStyle w:val="24"/>
          <w:rFonts w:hint="eastAsia" w:ascii="仿宋" w:hAnsi="仿宋" w:eastAsia="仿宋"/>
          <w:bCs/>
          <w:color w:val="000000"/>
          <w:sz w:val="32"/>
          <w:szCs w:val="32"/>
          <w:lang w:val="en-US" w:eastAsia="zh-CN"/>
        </w:rPr>
        <w:t>15.</w:t>
      </w:r>
      <w:r>
        <w:rPr>
          <w:rStyle w:val="24"/>
          <w:rFonts w:hint="eastAsia" w:ascii="仿宋" w:hAnsi="仿宋" w:eastAsia="仿宋"/>
          <w:bCs/>
          <w:color w:val="000000"/>
          <w:sz w:val="32"/>
          <w:szCs w:val="32"/>
        </w:rPr>
        <w:t>社会保障和就业支出（类）退役军人管理事务（款）行政运行</w:t>
      </w:r>
      <w:r>
        <w:rPr>
          <w:rStyle w:val="24"/>
          <w:rFonts w:hint="eastAsia" w:ascii="仿宋" w:hAnsi="仿宋" w:eastAsia="仿宋"/>
          <w:bCs/>
          <w:color w:val="000000"/>
          <w:sz w:val="32"/>
          <w:szCs w:val="32"/>
          <w:lang w:eastAsia="zh-CN"/>
        </w:rPr>
        <w:t>（</w:t>
      </w:r>
      <w:r>
        <w:rPr>
          <w:rStyle w:val="24"/>
          <w:rFonts w:hint="eastAsia" w:ascii="仿宋" w:hAnsi="仿宋" w:eastAsia="仿宋"/>
          <w:bCs/>
          <w:color w:val="000000"/>
          <w:sz w:val="32"/>
          <w:szCs w:val="32"/>
        </w:rPr>
        <w:t>项）</w:t>
      </w:r>
      <w:r>
        <w:rPr>
          <w:rStyle w:val="24"/>
          <w:rFonts w:ascii="仿宋" w:hAnsi="仿宋" w:eastAsia="仿宋"/>
          <w:bCs/>
          <w:color w:val="000000"/>
          <w:sz w:val="32"/>
          <w:szCs w:val="32"/>
        </w:rPr>
        <w:t>:</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支出决算为130.82万元，完成预算</w:t>
      </w:r>
      <w:r>
        <w:rPr>
          <w:rStyle w:val="24"/>
          <w:rFonts w:hint="eastAsia" w:ascii="仿宋" w:hAnsi="仿宋" w:eastAsia="仿宋"/>
          <w:b w:val="0"/>
          <w:bCs/>
          <w:color w:val="000000"/>
          <w:sz w:val="32"/>
          <w:szCs w:val="32"/>
          <w:lang w:val="en-US" w:eastAsia="zh-CN"/>
        </w:rPr>
        <w:t>100.00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，决算数等于预算数。</w:t>
      </w:r>
    </w:p>
    <w:p>
      <w:pPr>
        <w:spacing w:line="600" w:lineRule="exact"/>
        <w:ind w:firstLine="643" w:firstLineChars="200"/>
        <w:rPr>
          <w:rStyle w:val="24"/>
          <w:rFonts w:hint="eastAsia" w:ascii="仿宋" w:hAnsi="仿宋" w:eastAsia="仿宋"/>
          <w:b w:val="0"/>
          <w:bCs/>
          <w:color w:val="000000"/>
          <w:sz w:val="32"/>
          <w:szCs w:val="32"/>
        </w:rPr>
      </w:pPr>
      <w:r>
        <w:rPr>
          <w:rStyle w:val="24"/>
          <w:rFonts w:hint="eastAsia" w:ascii="仿宋" w:hAnsi="仿宋" w:eastAsia="仿宋"/>
          <w:bCs/>
          <w:color w:val="000000"/>
          <w:sz w:val="32"/>
          <w:szCs w:val="32"/>
          <w:lang w:val="en-US" w:eastAsia="zh-CN"/>
        </w:rPr>
        <w:t>16</w:t>
      </w:r>
      <w:r>
        <w:rPr>
          <w:rStyle w:val="24"/>
          <w:rFonts w:ascii="仿宋" w:hAnsi="仿宋" w:eastAsia="仿宋"/>
          <w:bCs/>
          <w:color w:val="000000"/>
          <w:sz w:val="32"/>
          <w:szCs w:val="32"/>
        </w:rPr>
        <w:t>.</w:t>
      </w:r>
      <w:r>
        <w:rPr>
          <w:rStyle w:val="24"/>
          <w:rFonts w:hint="eastAsia" w:ascii="仿宋" w:hAnsi="仿宋" w:eastAsia="仿宋"/>
          <w:bCs/>
          <w:color w:val="000000"/>
          <w:sz w:val="32"/>
          <w:szCs w:val="32"/>
        </w:rPr>
        <w:t>社会保障和就业支出（类）退役军人管理事务（款）一般行政管理事务</w:t>
      </w:r>
      <w:r>
        <w:rPr>
          <w:rStyle w:val="24"/>
          <w:rFonts w:hint="eastAsia" w:ascii="仿宋" w:hAnsi="仿宋" w:eastAsia="仿宋"/>
          <w:bCs/>
          <w:color w:val="000000"/>
          <w:sz w:val="32"/>
          <w:szCs w:val="32"/>
          <w:lang w:eastAsia="zh-CN"/>
        </w:rPr>
        <w:t>（</w:t>
      </w:r>
      <w:r>
        <w:rPr>
          <w:rStyle w:val="24"/>
          <w:rFonts w:hint="eastAsia" w:ascii="仿宋" w:hAnsi="仿宋" w:eastAsia="仿宋"/>
          <w:bCs/>
          <w:color w:val="000000"/>
          <w:sz w:val="32"/>
          <w:szCs w:val="32"/>
        </w:rPr>
        <w:t>项）</w:t>
      </w:r>
      <w:r>
        <w:rPr>
          <w:rStyle w:val="24"/>
          <w:rFonts w:ascii="仿宋" w:hAnsi="仿宋" w:eastAsia="仿宋"/>
          <w:bCs/>
          <w:color w:val="000000"/>
          <w:sz w:val="32"/>
          <w:szCs w:val="32"/>
        </w:rPr>
        <w:t>:</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支出决算为22.81万元，完成预算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，决算数等于预算数。</w:t>
      </w:r>
    </w:p>
    <w:p>
      <w:pPr>
        <w:spacing w:line="600" w:lineRule="exact"/>
        <w:ind w:firstLine="643" w:firstLineChars="200"/>
        <w:rPr>
          <w:rStyle w:val="24"/>
          <w:rFonts w:hint="eastAsia" w:ascii="仿宋" w:hAnsi="仿宋" w:eastAsia="仿宋"/>
          <w:b w:val="0"/>
          <w:bCs/>
          <w:color w:val="000000"/>
          <w:sz w:val="32"/>
          <w:szCs w:val="32"/>
          <w:lang w:eastAsia="zh-CN"/>
        </w:rPr>
      </w:pPr>
      <w:r>
        <w:rPr>
          <w:rStyle w:val="24"/>
          <w:rFonts w:hint="eastAsia" w:ascii="仿宋" w:hAnsi="仿宋" w:eastAsia="仿宋"/>
          <w:bCs/>
          <w:color w:val="000000"/>
          <w:sz w:val="32"/>
          <w:szCs w:val="32"/>
          <w:lang w:val="en-US" w:eastAsia="zh-CN"/>
        </w:rPr>
        <w:t>17</w:t>
      </w:r>
      <w:r>
        <w:rPr>
          <w:rStyle w:val="24"/>
          <w:rFonts w:ascii="仿宋" w:hAnsi="仿宋" w:eastAsia="仿宋"/>
          <w:bCs/>
          <w:color w:val="000000"/>
          <w:sz w:val="32"/>
          <w:szCs w:val="32"/>
        </w:rPr>
        <w:t>.</w:t>
      </w:r>
      <w:r>
        <w:rPr>
          <w:rStyle w:val="24"/>
          <w:rFonts w:hint="eastAsia" w:ascii="仿宋" w:hAnsi="仿宋" w:eastAsia="仿宋"/>
          <w:bCs/>
          <w:color w:val="000000"/>
          <w:sz w:val="32"/>
          <w:szCs w:val="32"/>
        </w:rPr>
        <w:t>社会保障和就业支出（类）退役军人管理事务（款）拥军优属</w:t>
      </w:r>
      <w:r>
        <w:rPr>
          <w:rStyle w:val="24"/>
          <w:rFonts w:hint="eastAsia" w:ascii="仿宋" w:hAnsi="仿宋" w:eastAsia="仿宋"/>
          <w:bCs/>
          <w:color w:val="000000"/>
          <w:sz w:val="32"/>
          <w:szCs w:val="32"/>
          <w:lang w:eastAsia="zh-CN"/>
        </w:rPr>
        <w:t>（</w:t>
      </w:r>
      <w:r>
        <w:rPr>
          <w:rStyle w:val="24"/>
          <w:rFonts w:hint="eastAsia" w:ascii="仿宋" w:hAnsi="仿宋" w:eastAsia="仿宋"/>
          <w:bCs/>
          <w:color w:val="000000"/>
          <w:sz w:val="32"/>
          <w:szCs w:val="32"/>
        </w:rPr>
        <w:t>项）</w:t>
      </w:r>
      <w:r>
        <w:rPr>
          <w:rStyle w:val="24"/>
          <w:rFonts w:ascii="仿宋" w:hAnsi="仿宋" w:eastAsia="仿宋"/>
          <w:bCs/>
          <w:color w:val="000000"/>
          <w:sz w:val="32"/>
          <w:szCs w:val="32"/>
        </w:rPr>
        <w:t>:</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支出决算为18.07万元，完成预算18.07</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，决算数等于预算数</w:t>
      </w:r>
      <w:r>
        <w:rPr>
          <w:rStyle w:val="24"/>
          <w:rFonts w:hint="eastAsia" w:ascii="仿宋" w:hAnsi="仿宋" w:eastAsia="仿宋"/>
          <w:b w:val="0"/>
          <w:bCs/>
          <w:color w:val="000000"/>
          <w:sz w:val="32"/>
          <w:szCs w:val="32"/>
          <w:lang w:eastAsia="zh-CN"/>
        </w:rPr>
        <w:t>。</w:t>
      </w:r>
    </w:p>
    <w:p>
      <w:pPr>
        <w:spacing w:line="600" w:lineRule="exact"/>
        <w:ind w:firstLine="643" w:firstLineChars="200"/>
        <w:rPr>
          <w:rStyle w:val="24"/>
          <w:rFonts w:hint="eastAsia" w:ascii="仿宋" w:hAnsi="仿宋" w:eastAsia="仿宋"/>
          <w:b w:val="0"/>
          <w:bCs/>
          <w:color w:val="000000"/>
          <w:sz w:val="32"/>
          <w:szCs w:val="32"/>
        </w:rPr>
      </w:pPr>
      <w:r>
        <w:rPr>
          <w:rStyle w:val="24"/>
          <w:rFonts w:hint="eastAsia" w:ascii="仿宋" w:hAnsi="仿宋" w:eastAsia="仿宋"/>
          <w:bCs/>
          <w:color w:val="000000"/>
          <w:sz w:val="32"/>
          <w:szCs w:val="32"/>
          <w:lang w:val="en-US" w:eastAsia="zh-CN"/>
        </w:rPr>
        <w:t>18</w:t>
      </w:r>
      <w:r>
        <w:rPr>
          <w:rStyle w:val="24"/>
          <w:rFonts w:ascii="仿宋" w:hAnsi="仿宋" w:eastAsia="仿宋"/>
          <w:bCs/>
          <w:color w:val="000000"/>
          <w:sz w:val="32"/>
          <w:szCs w:val="32"/>
        </w:rPr>
        <w:t>.</w:t>
      </w:r>
      <w:r>
        <w:rPr>
          <w:rStyle w:val="24"/>
          <w:rFonts w:hint="eastAsia" w:ascii="仿宋" w:hAnsi="仿宋" w:eastAsia="仿宋"/>
          <w:bCs/>
          <w:color w:val="000000"/>
          <w:sz w:val="32"/>
          <w:szCs w:val="32"/>
        </w:rPr>
        <w:t>卫生健康支出（类）行政事业单位医疗（款）行政单位医疗</w:t>
      </w:r>
      <w:r>
        <w:rPr>
          <w:rStyle w:val="24"/>
          <w:rFonts w:hint="eastAsia" w:ascii="仿宋" w:hAnsi="仿宋" w:eastAsia="仿宋"/>
          <w:bCs/>
          <w:color w:val="000000"/>
          <w:sz w:val="32"/>
          <w:szCs w:val="32"/>
          <w:lang w:eastAsia="zh-CN"/>
        </w:rPr>
        <w:t>（</w:t>
      </w:r>
      <w:r>
        <w:rPr>
          <w:rStyle w:val="24"/>
          <w:rFonts w:hint="eastAsia" w:ascii="仿宋" w:hAnsi="仿宋" w:eastAsia="仿宋"/>
          <w:bCs/>
          <w:color w:val="000000"/>
          <w:sz w:val="32"/>
          <w:szCs w:val="32"/>
        </w:rPr>
        <w:t>项）</w:t>
      </w:r>
      <w:r>
        <w:rPr>
          <w:rStyle w:val="24"/>
          <w:rFonts w:ascii="仿宋" w:hAnsi="仿宋" w:eastAsia="仿宋"/>
          <w:bCs/>
          <w:color w:val="000000"/>
          <w:sz w:val="32"/>
          <w:szCs w:val="32"/>
        </w:rPr>
        <w:t>:</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支出决算为7.78万元，完成预算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，决算数等于预算数</w:t>
      </w:r>
      <w:r>
        <w:rPr>
          <w:rStyle w:val="24"/>
          <w:rFonts w:hint="eastAsia" w:ascii="仿宋" w:hAnsi="仿宋" w:eastAsia="仿宋"/>
          <w:b w:val="0"/>
          <w:bCs/>
          <w:color w:val="000000"/>
          <w:sz w:val="32"/>
          <w:szCs w:val="32"/>
          <w:lang w:eastAsia="zh-CN"/>
        </w:rPr>
        <w:t>。</w:t>
      </w:r>
    </w:p>
    <w:p>
      <w:pPr>
        <w:spacing w:line="600" w:lineRule="exact"/>
        <w:ind w:firstLine="643" w:firstLineChars="200"/>
        <w:rPr>
          <w:rStyle w:val="24"/>
          <w:rFonts w:hint="eastAsia" w:ascii="仿宋" w:hAnsi="仿宋" w:eastAsia="仿宋"/>
          <w:b w:val="0"/>
          <w:bCs/>
          <w:color w:val="000000"/>
          <w:sz w:val="32"/>
          <w:szCs w:val="32"/>
          <w:lang w:eastAsia="zh-CN"/>
        </w:rPr>
      </w:pPr>
      <w:r>
        <w:rPr>
          <w:rStyle w:val="24"/>
          <w:rFonts w:hint="eastAsia" w:ascii="仿宋" w:hAnsi="仿宋" w:eastAsia="仿宋"/>
          <w:bCs/>
          <w:color w:val="000000"/>
          <w:sz w:val="32"/>
          <w:szCs w:val="32"/>
          <w:lang w:val="en-US" w:eastAsia="zh-CN"/>
        </w:rPr>
        <w:t>19</w:t>
      </w:r>
      <w:r>
        <w:rPr>
          <w:rStyle w:val="24"/>
          <w:rFonts w:ascii="仿宋" w:hAnsi="仿宋" w:eastAsia="仿宋"/>
          <w:bCs/>
          <w:color w:val="000000"/>
          <w:sz w:val="32"/>
          <w:szCs w:val="32"/>
        </w:rPr>
        <w:t>.</w:t>
      </w:r>
      <w:r>
        <w:rPr>
          <w:rStyle w:val="24"/>
          <w:rFonts w:hint="eastAsia" w:ascii="仿宋" w:hAnsi="仿宋" w:eastAsia="仿宋"/>
          <w:bCs/>
          <w:color w:val="000000"/>
          <w:sz w:val="32"/>
          <w:szCs w:val="32"/>
        </w:rPr>
        <w:t>卫生健康支出（类）行政事业单位医疗（款）公务员医疗补助</w:t>
      </w:r>
      <w:r>
        <w:rPr>
          <w:rStyle w:val="24"/>
          <w:rFonts w:hint="eastAsia" w:ascii="仿宋" w:hAnsi="仿宋" w:eastAsia="仿宋"/>
          <w:bCs/>
          <w:color w:val="000000"/>
          <w:sz w:val="32"/>
          <w:szCs w:val="32"/>
          <w:lang w:eastAsia="zh-CN"/>
        </w:rPr>
        <w:t>（</w:t>
      </w:r>
      <w:r>
        <w:rPr>
          <w:rStyle w:val="24"/>
          <w:rFonts w:hint="eastAsia" w:ascii="仿宋" w:hAnsi="仿宋" w:eastAsia="仿宋"/>
          <w:bCs/>
          <w:color w:val="000000"/>
          <w:sz w:val="32"/>
          <w:szCs w:val="32"/>
        </w:rPr>
        <w:t>项）</w:t>
      </w:r>
      <w:r>
        <w:rPr>
          <w:rStyle w:val="24"/>
          <w:rFonts w:ascii="仿宋" w:hAnsi="仿宋" w:eastAsia="仿宋"/>
          <w:bCs/>
          <w:color w:val="000000"/>
          <w:sz w:val="32"/>
          <w:szCs w:val="32"/>
        </w:rPr>
        <w:t>:</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支出决算为2.11万元，完成预算</w:t>
      </w:r>
      <w:r>
        <w:rPr>
          <w:rStyle w:val="24"/>
          <w:rFonts w:hint="eastAsia" w:ascii="仿宋" w:hAnsi="仿宋" w:eastAsia="仿宋"/>
          <w:b w:val="0"/>
          <w:bCs/>
          <w:color w:val="000000"/>
          <w:sz w:val="32"/>
          <w:szCs w:val="32"/>
          <w:lang w:val="en-US" w:eastAsia="zh-CN"/>
        </w:rPr>
        <w:t>100.00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，决算数等于预算数</w:t>
      </w:r>
      <w:r>
        <w:rPr>
          <w:rStyle w:val="24"/>
          <w:rFonts w:hint="eastAsia" w:ascii="仿宋" w:hAnsi="仿宋" w:eastAsia="仿宋"/>
          <w:b w:val="0"/>
          <w:bCs/>
          <w:color w:val="000000"/>
          <w:sz w:val="32"/>
          <w:szCs w:val="32"/>
          <w:lang w:eastAsia="zh-CN"/>
        </w:rPr>
        <w:t>。</w:t>
      </w:r>
    </w:p>
    <w:p>
      <w:pPr>
        <w:spacing w:line="600" w:lineRule="exact"/>
        <w:ind w:firstLine="643" w:firstLineChars="200"/>
        <w:rPr>
          <w:rStyle w:val="24"/>
          <w:rFonts w:hint="eastAsia" w:ascii="仿宋" w:hAnsi="仿宋" w:eastAsia="仿宋"/>
          <w:b w:val="0"/>
          <w:bCs/>
          <w:color w:val="000000"/>
          <w:sz w:val="32"/>
          <w:szCs w:val="32"/>
          <w:lang w:eastAsia="zh-CN"/>
        </w:rPr>
      </w:pPr>
      <w:r>
        <w:rPr>
          <w:rStyle w:val="24"/>
          <w:rFonts w:hint="eastAsia" w:ascii="仿宋" w:hAnsi="仿宋" w:eastAsia="仿宋"/>
          <w:bCs/>
          <w:color w:val="000000"/>
          <w:sz w:val="32"/>
          <w:szCs w:val="32"/>
          <w:lang w:val="en-US" w:eastAsia="zh-CN"/>
        </w:rPr>
        <w:t>20</w:t>
      </w:r>
      <w:r>
        <w:rPr>
          <w:rStyle w:val="24"/>
          <w:rFonts w:ascii="仿宋" w:hAnsi="仿宋" w:eastAsia="仿宋"/>
          <w:bCs/>
          <w:color w:val="000000"/>
          <w:sz w:val="32"/>
          <w:szCs w:val="32"/>
        </w:rPr>
        <w:t>.</w:t>
      </w:r>
      <w:r>
        <w:rPr>
          <w:rStyle w:val="24"/>
          <w:rFonts w:hint="eastAsia" w:ascii="仿宋" w:hAnsi="仿宋" w:eastAsia="仿宋"/>
          <w:bCs/>
          <w:color w:val="000000"/>
          <w:sz w:val="32"/>
          <w:szCs w:val="32"/>
        </w:rPr>
        <w:t>卫生健康支出（类）优抚对象医疗（款）优抚对象医疗补助</w:t>
      </w:r>
      <w:r>
        <w:rPr>
          <w:rStyle w:val="24"/>
          <w:rFonts w:hint="eastAsia" w:ascii="仿宋" w:hAnsi="仿宋" w:eastAsia="仿宋"/>
          <w:bCs/>
          <w:color w:val="000000"/>
          <w:sz w:val="32"/>
          <w:szCs w:val="32"/>
          <w:lang w:eastAsia="zh-CN"/>
        </w:rPr>
        <w:t>（</w:t>
      </w:r>
      <w:r>
        <w:rPr>
          <w:rStyle w:val="24"/>
          <w:rFonts w:hint="eastAsia" w:ascii="仿宋" w:hAnsi="仿宋" w:eastAsia="仿宋"/>
          <w:bCs/>
          <w:color w:val="000000"/>
          <w:sz w:val="32"/>
          <w:szCs w:val="32"/>
        </w:rPr>
        <w:t>项）</w:t>
      </w:r>
      <w:r>
        <w:rPr>
          <w:rStyle w:val="24"/>
          <w:rFonts w:ascii="仿宋" w:hAnsi="仿宋" w:eastAsia="仿宋"/>
          <w:bCs/>
          <w:color w:val="000000"/>
          <w:sz w:val="32"/>
          <w:szCs w:val="32"/>
        </w:rPr>
        <w:t>:</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支出决算为1.6万元，完成预算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，决算数等于预算数</w:t>
      </w:r>
      <w:r>
        <w:rPr>
          <w:rStyle w:val="24"/>
          <w:rFonts w:hint="eastAsia" w:ascii="仿宋" w:hAnsi="仿宋" w:eastAsia="仿宋"/>
          <w:b w:val="0"/>
          <w:bCs/>
          <w:color w:val="000000"/>
          <w:sz w:val="32"/>
          <w:szCs w:val="32"/>
          <w:lang w:eastAsia="zh-CN"/>
        </w:rPr>
        <w:t>。</w:t>
      </w:r>
    </w:p>
    <w:p>
      <w:pPr>
        <w:spacing w:line="600" w:lineRule="exact"/>
        <w:ind w:firstLine="643" w:firstLineChars="200"/>
        <w:rPr>
          <w:rStyle w:val="24"/>
          <w:rFonts w:hint="eastAsia" w:ascii="仿宋" w:hAnsi="仿宋" w:eastAsia="仿宋"/>
          <w:b w:val="0"/>
          <w:bCs/>
          <w:color w:val="000000"/>
          <w:sz w:val="32"/>
          <w:szCs w:val="32"/>
          <w:lang w:eastAsia="zh-CN"/>
        </w:rPr>
      </w:pPr>
      <w:r>
        <w:rPr>
          <w:rStyle w:val="24"/>
          <w:rFonts w:hint="eastAsia" w:ascii="仿宋" w:hAnsi="仿宋" w:eastAsia="仿宋"/>
          <w:bCs/>
          <w:color w:val="000000"/>
          <w:sz w:val="32"/>
          <w:szCs w:val="32"/>
          <w:lang w:val="en-US" w:eastAsia="zh-CN"/>
        </w:rPr>
        <w:t>21</w:t>
      </w:r>
      <w:r>
        <w:rPr>
          <w:rStyle w:val="24"/>
          <w:rFonts w:ascii="仿宋" w:hAnsi="仿宋" w:eastAsia="仿宋"/>
          <w:bCs/>
          <w:color w:val="000000"/>
          <w:sz w:val="32"/>
          <w:szCs w:val="32"/>
        </w:rPr>
        <w:t>.</w:t>
      </w:r>
      <w:r>
        <w:rPr>
          <w:rStyle w:val="24"/>
          <w:rFonts w:hint="eastAsia" w:ascii="仿宋" w:hAnsi="仿宋" w:eastAsia="仿宋"/>
          <w:bCs/>
          <w:color w:val="000000"/>
          <w:sz w:val="32"/>
          <w:szCs w:val="32"/>
        </w:rPr>
        <w:t>住房保障支出（类）住房改革支出（款）住房公积金</w:t>
      </w:r>
      <w:r>
        <w:rPr>
          <w:rStyle w:val="24"/>
          <w:rFonts w:hint="eastAsia" w:ascii="仿宋" w:hAnsi="仿宋" w:eastAsia="仿宋"/>
          <w:bCs/>
          <w:color w:val="000000"/>
          <w:sz w:val="32"/>
          <w:szCs w:val="32"/>
          <w:lang w:eastAsia="zh-CN"/>
        </w:rPr>
        <w:t>（</w:t>
      </w:r>
      <w:r>
        <w:rPr>
          <w:rStyle w:val="24"/>
          <w:rFonts w:hint="eastAsia" w:ascii="仿宋" w:hAnsi="仿宋" w:eastAsia="仿宋"/>
          <w:bCs/>
          <w:color w:val="000000"/>
          <w:sz w:val="32"/>
          <w:szCs w:val="32"/>
        </w:rPr>
        <w:t>项）</w:t>
      </w:r>
      <w:r>
        <w:rPr>
          <w:rStyle w:val="24"/>
          <w:rFonts w:ascii="仿宋" w:hAnsi="仿宋" w:eastAsia="仿宋"/>
          <w:bCs/>
          <w:color w:val="000000"/>
          <w:sz w:val="32"/>
          <w:szCs w:val="32"/>
        </w:rPr>
        <w:t>:</w:t>
      </w:r>
      <w:r>
        <w:rPr>
          <w:rStyle w:val="24"/>
          <w:rFonts w:ascii="仿宋" w:hAnsi="仿宋" w:eastAsia="仿宋"/>
          <w:b w:val="0"/>
          <w:bCs/>
          <w:color w:val="000000"/>
          <w:sz w:val="32"/>
          <w:szCs w:val="32"/>
        </w:rPr>
        <w:t xml:space="preserve"> </w:t>
      </w:r>
      <w:r>
        <w:rPr>
          <w:rStyle w:val="24"/>
          <w:rFonts w:hint="eastAsia" w:ascii="仿宋" w:hAnsi="仿宋" w:eastAsia="仿宋"/>
          <w:b w:val="0"/>
          <w:bCs/>
          <w:color w:val="000000"/>
          <w:sz w:val="32"/>
          <w:szCs w:val="32"/>
        </w:rPr>
        <w:t>支出决算为12.18万元，完成预算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，决算数等于预算数</w:t>
      </w:r>
      <w:r>
        <w:rPr>
          <w:rStyle w:val="24"/>
          <w:rFonts w:hint="eastAsia" w:ascii="仿宋" w:hAnsi="仿宋" w:eastAsia="仿宋"/>
          <w:b w:val="0"/>
          <w:bCs/>
          <w:color w:val="000000"/>
          <w:sz w:val="32"/>
          <w:szCs w:val="32"/>
          <w:lang w:eastAsia="zh-CN"/>
        </w:rPr>
        <w:t>。</w:t>
      </w:r>
    </w:p>
    <w:p>
      <w:pPr>
        <w:tabs>
          <w:tab w:val="right" w:pos="8306"/>
        </w:tabs>
        <w:spacing w:line="600" w:lineRule="exact"/>
        <w:ind w:firstLine="640" w:firstLineChars="200"/>
        <w:outlineLvl w:val="1"/>
        <w:rPr>
          <w:rStyle w:val="27"/>
        </w:rPr>
      </w:pPr>
      <w:bookmarkStart w:id="69" w:name="_Toc15377214"/>
      <w:bookmarkStart w:id="70" w:name="_Toc15396608"/>
      <w:bookmarkStart w:id="71" w:name="_Toc79163618"/>
      <w:bookmarkStart w:id="72" w:name="_Toc20697"/>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般公共预算财政拨款基本支出决算情况说明</w:t>
      </w:r>
      <w:bookmarkEnd w:id="69"/>
      <w:bookmarkEnd w:id="70"/>
      <w:bookmarkEnd w:id="71"/>
      <w:bookmarkEnd w:id="72"/>
      <w:r>
        <w:rPr>
          <w:rStyle w:val="27"/>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1年一般公共预算财政拨款基本支出</w:t>
      </w:r>
      <w:r>
        <w:rPr>
          <w:rFonts w:hint="eastAsia" w:ascii="仿宋" w:hAnsi="仿宋" w:eastAsia="仿宋"/>
          <w:color w:val="000000"/>
          <w:sz w:val="32"/>
          <w:szCs w:val="32"/>
          <w:lang w:val="en-US" w:eastAsia="zh-CN"/>
        </w:rPr>
        <w:t>171.67</w:t>
      </w:r>
      <w:r>
        <w:rPr>
          <w:rFonts w:hint="eastAsia" w:ascii="仿宋" w:hAnsi="仿宋" w:eastAsia="仿宋"/>
          <w:color w:val="000000"/>
          <w:sz w:val="32"/>
          <w:szCs w:val="32"/>
        </w:rPr>
        <w:t>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人员经费161.24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日常公用经费10.43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7"/>
          <w:rFonts w:ascii="黑体" w:hAnsi="黑体" w:eastAsia="黑体"/>
          <w:b w:val="0"/>
        </w:rPr>
      </w:pPr>
      <w:bookmarkStart w:id="73" w:name="_Toc15396609"/>
      <w:bookmarkStart w:id="74" w:name="_Toc15377215"/>
      <w:bookmarkStart w:id="75" w:name="_Toc79163619"/>
      <w:bookmarkStart w:id="76" w:name="_Toc20775"/>
      <w:r>
        <w:rPr>
          <w:rFonts w:hint="eastAsia" w:ascii="黑体" w:eastAsia="黑体"/>
          <w:color w:val="000000"/>
          <w:sz w:val="32"/>
          <w:szCs w:val="32"/>
        </w:rPr>
        <w:t>七、</w:t>
      </w:r>
      <w:r>
        <w:rPr>
          <w:rStyle w:val="27"/>
          <w:rFonts w:hint="eastAsia" w:ascii="黑体" w:hAnsi="黑体" w:eastAsia="黑体"/>
        </w:rPr>
        <w:t>“</w:t>
      </w:r>
      <w:r>
        <w:rPr>
          <w:rStyle w:val="27"/>
          <w:rFonts w:hint="eastAsia" w:ascii="黑体" w:hAnsi="黑体" w:eastAsia="黑体"/>
          <w:b w:val="0"/>
        </w:rPr>
        <w:t>三公”经费财政拨款支出决算情况说明</w:t>
      </w:r>
      <w:bookmarkEnd w:id="73"/>
      <w:bookmarkEnd w:id="74"/>
      <w:bookmarkEnd w:id="75"/>
      <w:bookmarkEnd w:id="76"/>
    </w:p>
    <w:p>
      <w:pPr>
        <w:spacing w:line="600" w:lineRule="exact"/>
        <w:ind w:firstLine="640"/>
        <w:outlineLvl w:val="2"/>
        <w:rPr>
          <w:rFonts w:ascii="仿宋" w:hAnsi="仿宋" w:eastAsia="仿宋"/>
          <w:b/>
          <w:color w:val="000000"/>
          <w:sz w:val="32"/>
          <w:szCs w:val="32"/>
        </w:rPr>
      </w:pPr>
      <w:bookmarkStart w:id="77" w:name="_Toc15377216"/>
      <w:bookmarkStart w:id="78" w:name="_Toc79163620"/>
      <w:bookmarkStart w:id="79" w:name="_Toc21631"/>
      <w:r>
        <w:rPr>
          <w:rFonts w:hint="eastAsia" w:ascii="仿宋" w:hAnsi="仿宋" w:eastAsia="仿宋"/>
          <w:b/>
          <w:color w:val="000000"/>
          <w:sz w:val="32"/>
          <w:szCs w:val="32"/>
        </w:rPr>
        <w:t>（一）“三公”经费财政拨款支出决算总体情况说明</w:t>
      </w:r>
      <w:bookmarkEnd w:id="77"/>
      <w:bookmarkEnd w:id="78"/>
      <w:bookmarkEnd w:id="79"/>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1年“三公”经费财政拨款支出决算为4万元，完成预算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，决算数与预算数持平。</w:t>
      </w:r>
    </w:p>
    <w:p>
      <w:pPr>
        <w:spacing w:line="600" w:lineRule="exact"/>
        <w:ind w:firstLine="640"/>
        <w:outlineLvl w:val="2"/>
        <w:rPr>
          <w:rFonts w:ascii="仿宋" w:hAnsi="仿宋" w:eastAsia="仿宋"/>
          <w:b/>
          <w:color w:val="000000"/>
          <w:sz w:val="32"/>
          <w:szCs w:val="32"/>
        </w:rPr>
      </w:pPr>
      <w:bookmarkStart w:id="80" w:name="_Toc79163621"/>
      <w:bookmarkStart w:id="81" w:name="_Toc15377217"/>
      <w:bookmarkStart w:id="82" w:name="_Toc22500"/>
      <w:r>
        <w:rPr>
          <w:rFonts w:hint="eastAsia" w:ascii="仿宋" w:hAnsi="仿宋" w:eastAsia="仿宋"/>
          <w:b/>
          <w:color w:val="000000"/>
          <w:sz w:val="32"/>
          <w:szCs w:val="32"/>
        </w:rPr>
        <w:t>（二）“三公”经费财政拨款支出决算具体情况说明</w:t>
      </w:r>
      <w:bookmarkEnd w:id="80"/>
      <w:bookmarkEnd w:id="81"/>
      <w:bookmarkEnd w:id="82"/>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rPr>
        <w:t>1年“三公”经费财政拨款支出决算中，因公出国（境）费支出决算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万元；公务用车购置及运行维护费支出决算</w:t>
      </w:r>
      <w:r>
        <w:rPr>
          <w:rFonts w:hint="eastAsia" w:ascii="仿宋" w:hAnsi="仿宋" w:eastAsia="仿宋"/>
          <w:color w:val="000000"/>
          <w:sz w:val="32"/>
          <w:szCs w:val="32"/>
          <w:lang w:val="en-US" w:eastAsia="zh-CN"/>
        </w:rPr>
        <w:t>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万元。具体情况如下：</w:t>
      </w: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7</w:t>
      </w:r>
      <w:r>
        <w:rPr>
          <w:rFonts w:hint="eastAsia" w:ascii="仿宋" w:hAnsi="仿宋" w:eastAsia="仿宋"/>
          <w:color w:val="000000"/>
          <w:sz w:val="32"/>
          <w:szCs w:val="32"/>
        </w:rPr>
        <w:t>：“三公”经费财政拨款支出结构）</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4"/>
          <w:rFonts w:hint="eastAsia" w:ascii="仿宋" w:hAnsi="仿宋" w:eastAsia="仿宋"/>
          <w:b w:val="0"/>
          <w:bCs/>
          <w:color w:val="000000"/>
          <w:sz w:val="32"/>
          <w:szCs w:val="32"/>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万元</w:t>
      </w:r>
      <w:r>
        <w:rPr>
          <w:rFonts w:ascii="仿宋_GB2312" w:eastAsia="仿宋_GB2312"/>
          <w:color w:val="000000"/>
          <w:sz w:val="32"/>
          <w:szCs w:val="32"/>
        </w:rPr>
        <w:t>,</w:t>
      </w:r>
      <w:r>
        <w:rPr>
          <w:rStyle w:val="24"/>
          <w:rFonts w:hint="eastAsia" w:ascii="仿宋" w:hAnsi="仿宋" w:eastAsia="仿宋"/>
          <w:b w:val="0"/>
          <w:bCs/>
          <w:color w:val="000000"/>
          <w:sz w:val="32"/>
          <w:szCs w:val="32"/>
        </w:rPr>
        <w:t>完成预算</w:t>
      </w:r>
      <w:r>
        <w:rPr>
          <w:rStyle w:val="24"/>
          <w:rFonts w:hint="eastAsia" w:ascii="仿宋" w:hAnsi="仿宋" w:eastAsia="仿宋"/>
          <w:b w:val="0"/>
          <w:bCs/>
          <w:color w:val="000000"/>
          <w:sz w:val="32"/>
          <w:szCs w:val="32"/>
          <w:lang w:val="en-US" w:eastAsia="zh-CN"/>
        </w:rPr>
        <w:t>100</w:t>
      </w:r>
      <w:r>
        <w:rPr>
          <w:rStyle w:val="24"/>
          <w:rFonts w:ascii="仿宋" w:hAnsi="仿宋" w:eastAsia="仿宋"/>
          <w:b w:val="0"/>
          <w:bCs/>
          <w:color w:val="000000"/>
          <w:sz w:val="32"/>
          <w:szCs w:val="32"/>
        </w:rPr>
        <w:t>%</w:t>
      </w:r>
      <w:r>
        <w:rPr>
          <w:rStyle w:val="24"/>
          <w:rFonts w:hint="eastAsia" w:ascii="仿宋" w:hAnsi="仿宋" w:eastAsia="仿宋"/>
          <w:b w:val="0"/>
          <w:bCs/>
          <w:color w:val="000000"/>
          <w:sz w:val="32"/>
          <w:szCs w:val="32"/>
        </w:rPr>
        <w:t>。</w:t>
      </w:r>
    </w:p>
    <w:p>
      <w:pPr>
        <w:spacing w:line="600" w:lineRule="exact"/>
        <w:ind w:firstLine="643" w:firstLineChars="20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4"/>
          <w:rFonts w:hint="eastAsia" w:ascii="仿宋" w:hAnsi="仿宋" w:eastAsia="仿宋"/>
          <w:b w:val="0"/>
          <w:bCs/>
          <w:color w:val="000000"/>
          <w:sz w:val="32"/>
          <w:szCs w:val="32"/>
        </w:rPr>
        <w:t>。</w:t>
      </w:r>
    </w:p>
    <w:p>
      <w:pPr>
        <w:spacing w:line="600" w:lineRule="exact"/>
        <w:ind w:firstLine="640" w:firstLineChars="200"/>
        <w:rPr>
          <w:rFonts w:ascii="仿宋_GB2312" w:eastAsia="仿宋_GB2312"/>
          <w:color w:val="000000"/>
          <w:sz w:val="32"/>
          <w:szCs w:val="32"/>
        </w:rPr>
      </w:pPr>
    </w:p>
    <w:p>
      <w:pPr>
        <w:spacing w:line="600" w:lineRule="exact"/>
        <w:ind w:firstLine="640"/>
        <w:outlineLvl w:val="1"/>
        <w:rPr>
          <w:rStyle w:val="27"/>
          <w:rFonts w:ascii="黑体" w:hAnsi="黑体" w:eastAsia="黑体"/>
        </w:rPr>
      </w:pPr>
      <w:bookmarkStart w:id="83" w:name="_Toc79163622"/>
      <w:bookmarkStart w:id="84" w:name="_Toc15396610"/>
      <w:bookmarkStart w:id="85" w:name="_Toc15377218"/>
      <w:bookmarkStart w:id="86" w:name="_Toc5850"/>
      <w:r>
        <w:rPr>
          <w:rFonts w:hint="eastAsia" w:ascii="黑体" w:eastAsia="黑体"/>
          <w:color w:val="000000"/>
          <w:sz w:val="32"/>
          <w:szCs w:val="32"/>
        </w:rPr>
        <w:t>八、</w:t>
      </w:r>
      <w:r>
        <w:rPr>
          <w:rStyle w:val="27"/>
          <w:rFonts w:hint="eastAsia" w:ascii="黑体" w:hAnsi="黑体" w:eastAsia="黑体"/>
          <w:b w:val="0"/>
        </w:rPr>
        <w:t>政府性基金预算支出决算情况说明</w:t>
      </w:r>
      <w:bookmarkEnd w:id="83"/>
      <w:bookmarkEnd w:id="84"/>
      <w:bookmarkEnd w:id="85"/>
      <w:bookmarkEnd w:id="86"/>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p>
    <w:p>
      <w:pPr>
        <w:numPr>
          <w:ilvl w:val="0"/>
          <w:numId w:val="2"/>
        </w:numPr>
        <w:spacing w:line="600" w:lineRule="exact"/>
        <w:ind w:firstLine="640"/>
        <w:outlineLvl w:val="1"/>
        <w:rPr>
          <w:rStyle w:val="27"/>
          <w:rFonts w:ascii="黑体" w:hAnsi="黑体" w:eastAsia="黑体"/>
          <w:b w:val="0"/>
        </w:rPr>
      </w:pPr>
      <w:bookmarkStart w:id="87" w:name="_Toc15396611"/>
      <w:bookmarkStart w:id="88" w:name="_Toc15377219"/>
      <w:bookmarkStart w:id="89" w:name="_Toc79163623"/>
      <w:bookmarkStart w:id="90" w:name="_Toc27188"/>
      <w:r>
        <w:rPr>
          <w:rStyle w:val="27"/>
          <w:rFonts w:hint="eastAsia" w:ascii="黑体" w:hAnsi="黑体" w:eastAsia="黑体"/>
          <w:b w:val="0"/>
        </w:rPr>
        <w:t>国有资本经营预算支出决算情况说明</w:t>
      </w:r>
      <w:bookmarkEnd w:id="87"/>
      <w:bookmarkEnd w:id="88"/>
      <w:bookmarkEnd w:id="89"/>
      <w:bookmarkEnd w:id="90"/>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1年国有资本经营预算拨款支出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7"/>
          <w:rFonts w:ascii="黑体" w:hAnsi="黑体" w:eastAsia="黑体"/>
        </w:rPr>
      </w:pPr>
      <w:bookmarkStart w:id="91" w:name="_Toc79163624"/>
      <w:bookmarkStart w:id="92" w:name="_Toc15396612"/>
      <w:bookmarkStart w:id="93" w:name="_Toc15377221"/>
      <w:bookmarkStart w:id="94" w:name="_Toc15462"/>
      <w:r>
        <w:rPr>
          <w:rFonts w:hint="eastAsia" w:ascii="黑体" w:hAnsi="黑体" w:eastAsia="黑体"/>
          <w:color w:val="000000"/>
          <w:sz w:val="32"/>
          <w:szCs w:val="32"/>
        </w:rPr>
        <w:t>十</w:t>
      </w:r>
      <w:r>
        <w:rPr>
          <w:rStyle w:val="27"/>
          <w:rFonts w:hint="eastAsia" w:ascii="黑体" w:hAnsi="黑体" w:eastAsia="黑体"/>
        </w:rPr>
        <w:t>、</w:t>
      </w:r>
      <w:r>
        <w:rPr>
          <w:rStyle w:val="27"/>
          <w:rFonts w:hint="eastAsia" w:ascii="黑体" w:hAnsi="黑体" w:eastAsia="黑体"/>
          <w:b w:val="0"/>
        </w:rPr>
        <w:t>其他重要事项的情况说明</w:t>
      </w:r>
      <w:bookmarkEnd w:id="91"/>
      <w:bookmarkEnd w:id="92"/>
      <w:bookmarkEnd w:id="93"/>
      <w:bookmarkEnd w:id="94"/>
    </w:p>
    <w:p>
      <w:pPr>
        <w:spacing w:line="600" w:lineRule="exact"/>
        <w:ind w:firstLine="643" w:firstLineChars="200"/>
        <w:outlineLvl w:val="2"/>
        <w:rPr>
          <w:rFonts w:ascii="仿宋" w:hAnsi="仿宋" w:eastAsia="仿宋"/>
          <w:color w:val="000000"/>
          <w:sz w:val="32"/>
          <w:szCs w:val="32"/>
        </w:rPr>
      </w:pPr>
      <w:bookmarkStart w:id="95" w:name="_Toc10814"/>
      <w:bookmarkStart w:id="96" w:name="_Toc15377222"/>
      <w:bookmarkStart w:id="97" w:name="_Toc79163625"/>
      <w:r>
        <w:rPr>
          <w:rFonts w:hint="eastAsia" w:ascii="仿宋" w:hAnsi="仿宋" w:eastAsia="仿宋"/>
          <w:b/>
          <w:color w:val="000000"/>
          <w:sz w:val="32"/>
          <w:szCs w:val="32"/>
        </w:rPr>
        <w:t>（一）机关运行经费支出情况</w:t>
      </w:r>
      <w:bookmarkEnd w:id="95"/>
      <w:bookmarkEnd w:id="96"/>
      <w:bookmarkEnd w:id="97"/>
    </w:p>
    <w:p>
      <w:pPr>
        <w:spacing w:line="600" w:lineRule="exact"/>
        <w:ind w:firstLine="640" w:firstLineChars="200"/>
        <w:rPr>
          <w:rFonts w:hint="default" w:ascii="仿宋_GB2312" w:eastAsia="仿宋_GB2312"/>
          <w:color w:val="000000" w:themeColor="text1"/>
          <w:sz w:val="32"/>
          <w:szCs w:val="32"/>
          <w:lang w:val="en-US" w:eastAsia="zh-CN"/>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202</w:t>
      </w:r>
      <w:r>
        <w:rPr>
          <w:rFonts w:hint="eastAsia" w:ascii="仿宋_GB2312" w:eastAsia="仿宋_GB2312"/>
          <w:color w:val="000000" w:themeColor="text1"/>
          <w:sz w:val="32"/>
          <w:szCs w:val="32"/>
          <w14:textFill>
            <w14:solidFill>
              <w14:schemeClr w14:val="tx1"/>
            </w14:solidFill>
          </w14:textFill>
        </w:rPr>
        <w:t>1年，</w:t>
      </w:r>
      <w:r>
        <w:rPr>
          <w:rFonts w:hint="eastAsia" w:ascii="仿宋_GB2312" w:eastAsia="仿宋_GB2312"/>
          <w:color w:val="000000" w:themeColor="text1"/>
          <w:sz w:val="32"/>
          <w:szCs w:val="32"/>
          <w:lang w:val="en-US" w:eastAsia="zh-CN"/>
          <w14:textFill>
            <w14:solidFill>
              <w14:schemeClr w14:val="tx1"/>
            </w14:solidFill>
          </w14:textFill>
        </w:rPr>
        <w:t>壤塘县退役军人事务局</w:t>
      </w:r>
      <w:r>
        <w:rPr>
          <w:rFonts w:hint="eastAsia" w:ascii="仿宋_GB2312" w:eastAsia="仿宋_GB2312"/>
          <w:color w:val="000000" w:themeColor="text1"/>
          <w:sz w:val="32"/>
          <w:szCs w:val="32"/>
          <w14:textFill>
            <w14:solidFill>
              <w14:schemeClr w14:val="tx1"/>
            </w14:solidFill>
          </w14:textFill>
        </w:rPr>
        <w:t>机关运行经费支出</w:t>
      </w:r>
      <w:r>
        <w:rPr>
          <w:rFonts w:hint="eastAsia" w:ascii="仿宋_GB2312" w:eastAsia="仿宋_GB2312"/>
          <w:color w:val="000000" w:themeColor="text1"/>
          <w:sz w:val="32"/>
          <w:szCs w:val="32"/>
          <w:lang w:val="en-US" w:eastAsia="zh-CN"/>
          <w14:textFill>
            <w14:solidFill>
              <w14:schemeClr w14:val="tx1"/>
            </w14:solidFill>
          </w14:textFill>
        </w:rPr>
        <w:t>10.43</w:t>
      </w:r>
      <w:r>
        <w:rPr>
          <w:rFonts w:hint="eastAsia" w:ascii="仿宋_GB2312" w:eastAsia="仿宋_GB2312"/>
          <w:color w:val="000000" w:themeColor="text1"/>
          <w:sz w:val="32"/>
          <w:szCs w:val="32"/>
          <w14:textFill>
            <w14:solidFill>
              <w14:schemeClr w14:val="tx1"/>
            </w14:solidFill>
          </w14:textFill>
        </w:rPr>
        <w:t>万元，比</w:t>
      </w:r>
      <w:r>
        <w:rPr>
          <w:rFonts w:ascii="仿宋_GB2312" w:eastAsia="仿宋_GB2312"/>
          <w:color w:val="000000" w:themeColor="text1"/>
          <w:sz w:val="32"/>
          <w:szCs w:val="32"/>
          <w14:textFill>
            <w14:solidFill>
              <w14:schemeClr w14:val="tx1"/>
            </w14:solidFill>
          </w14:textFill>
        </w:rPr>
        <w:t>20</w:t>
      </w:r>
      <w:r>
        <w:rPr>
          <w:rFonts w:hint="eastAsia" w:ascii="仿宋_GB2312" w:eastAsia="仿宋_GB2312"/>
          <w:color w:val="000000" w:themeColor="text1"/>
          <w:sz w:val="32"/>
          <w:szCs w:val="32"/>
          <w14:textFill>
            <w14:solidFill>
              <w14:schemeClr w14:val="tx1"/>
            </w14:solidFill>
          </w14:textFill>
        </w:rPr>
        <w:t>20年增加</w:t>
      </w:r>
      <w:r>
        <w:rPr>
          <w:rFonts w:hint="eastAsia" w:ascii="仿宋_GB2312" w:eastAsia="仿宋_GB2312"/>
          <w:color w:val="000000" w:themeColor="text1"/>
          <w:sz w:val="32"/>
          <w:szCs w:val="32"/>
          <w:lang w:val="en-US" w:eastAsia="zh-CN"/>
          <w14:textFill>
            <w14:solidFill>
              <w14:schemeClr w14:val="tx1"/>
            </w14:solidFill>
          </w14:textFill>
        </w:rPr>
        <w:t>4.76</w:t>
      </w:r>
      <w:r>
        <w:rPr>
          <w:rFonts w:hint="eastAsia" w:ascii="仿宋_GB2312" w:eastAsia="仿宋_GB2312"/>
          <w:color w:val="000000" w:themeColor="text1"/>
          <w:sz w:val="32"/>
          <w:szCs w:val="32"/>
          <w14:textFill>
            <w14:solidFill>
              <w14:schemeClr w14:val="tx1"/>
            </w14:solidFill>
          </w14:textFill>
        </w:rPr>
        <w:t>万元，增长</w:t>
      </w:r>
      <w:r>
        <w:rPr>
          <w:rFonts w:hint="eastAsia" w:ascii="仿宋_GB2312" w:eastAsia="仿宋_GB2312"/>
          <w:color w:val="000000" w:themeColor="text1"/>
          <w:sz w:val="32"/>
          <w:szCs w:val="32"/>
          <w:lang w:val="en-US" w:eastAsia="zh-CN"/>
          <w14:textFill>
            <w14:solidFill>
              <w14:schemeClr w14:val="tx1"/>
            </w14:solidFill>
          </w14:textFill>
        </w:rPr>
        <w:t>81.08</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val="en-US" w:eastAsia="zh-CN"/>
          <w14:textFill>
            <w14:solidFill>
              <w14:schemeClr w14:val="tx1"/>
            </w14:solidFill>
          </w14:textFill>
        </w:rPr>
        <w:t>单位人员增加，基本支出增加。</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8" w:name="_Toc15377223"/>
      <w:bookmarkStart w:id="99" w:name="_Toc79163626"/>
      <w:bookmarkStart w:id="100" w:name="_Toc6108"/>
      <w:r>
        <w:rPr>
          <w:rFonts w:hint="eastAsia" w:ascii="仿宋" w:hAnsi="仿宋" w:eastAsia="仿宋"/>
          <w:b/>
          <w:color w:val="000000"/>
          <w:sz w:val="32"/>
          <w:szCs w:val="32"/>
        </w:rPr>
        <w:t>（二）政府采购支出情况</w:t>
      </w:r>
      <w:bookmarkEnd w:id="98"/>
      <w:bookmarkEnd w:id="99"/>
      <w:bookmarkEnd w:id="100"/>
    </w:p>
    <w:p>
      <w:pPr>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202</w:t>
      </w:r>
      <w:r>
        <w:rPr>
          <w:rFonts w:hint="eastAsia" w:ascii="仿宋_GB2312" w:eastAsia="仿宋_GB2312"/>
          <w:color w:val="000000" w:themeColor="text1"/>
          <w:sz w:val="32"/>
          <w:szCs w:val="32"/>
          <w14:textFill>
            <w14:solidFill>
              <w14:schemeClr w14:val="tx1"/>
            </w14:solidFill>
          </w14:textFill>
        </w:rPr>
        <w:t>1年，</w:t>
      </w:r>
      <w:r>
        <w:rPr>
          <w:rFonts w:hint="eastAsia" w:ascii="仿宋_GB2312" w:eastAsia="仿宋_GB2312"/>
          <w:color w:val="000000" w:themeColor="text1"/>
          <w:sz w:val="32"/>
          <w:szCs w:val="32"/>
          <w:lang w:val="en-US" w:eastAsia="zh-CN"/>
          <w14:textFill>
            <w14:solidFill>
              <w14:schemeClr w14:val="tx1"/>
            </w14:solidFill>
          </w14:textFill>
        </w:rPr>
        <w:t>壤塘县退役军人事务局</w:t>
      </w:r>
      <w:r>
        <w:rPr>
          <w:rFonts w:hint="eastAsia" w:ascii="仿宋_GB2312" w:eastAsia="仿宋_GB2312"/>
          <w:color w:val="000000" w:themeColor="text1"/>
          <w:sz w:val="32"/>
          <w:szCs w:val="32"/>
          <w14:textFill>
            <w14:solidFill>
              <w14:schemeClr w14:val="tx1"/>
            </w14:solidFill>
          </w14:textFill>
        </w:rPr>
        <w:t>政府采购支出总额</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万元，其中：政府采购货物支出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万元、政府采购工程支出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万元、政府采购服务支出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万元。主要用于</w:t>
      </w:r>
      <w:r>
        <w:rPr>
          <w:rFonts w:hint="eastAsia" w:ascii="仿宋_GB2312" w:eastAsia="仿宋_GB2312"/>
          <w:color w:val="000000" w:themeColor="text1"/>
          <w:sz w:val="32"/>
          <w:szCs w:val="32"/>
          <w:lang w:val="en-US" w:eastAsia="zh-CN"/>
          <w14:textFill>
            <w14:solidFill>
              <w14:schemeClr w14:val="tx1"/>
            </w14:solidFill>
          </w14:textFill>
        </w:rPr>
        <w:t>设施设备采购</w:t>
      </w:r>
      <w:r>
        <w:rPr>
          <w:rFonts w:hint="eastAsia" w:ascii="仿宋_GB2312" w:eastAsia="仿宋_GB2312"/>
          <w:color w:val="000000" w:themeColor="text1"/>
          <w:sz w:val="32"/>
          <w:szCs w:val="32"/>
          <w14:textFill>
            <w14:solidFill>
              <w14:schemeClr w14:val="tx1"/>
            </w14:solidFill>
          </w14:textFill>
        </w:rPr>
        <w:t>。授予中小企业合同金额</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万元，占政府采购支出总额的</w:t>
      </w:r>
      <w:r>
        <w:rPr>
          <w:rFonts w:hint="eastAsia" w:ascii="仿宋_GB2312" w:eastAsia="仿宋_GB2312"/>
          <w:color w:val="000000" w:themeColor="text1"/>
          <w:sz w:val="32"/>
          <w:szCs w:val="32"/>
          <w:lang w:val="en-US" w:eastAsia="zh-CN"/>
          <w14:textFill>
            <w14:solidFill>
              <w14:schemeClr w14:val="tx1"/>
            </w14:solidFill>
          </w14:textFill>
        </w:rPr>
        <w:t>0</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，其中：授予小微企业合同金额</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万元，占政府采购支出总额的</w:t>
      </w:r>
      <w:r>
        <w:rPr>
          <w:rFonts w:hint="eastAsia" w:ascii="仿宋_GB2312" w:eastAsia="仿宋_GB2312"/>
          <w:color w:val="000000" w:themeColor="text1"/>
          <w:sz w:val="32"/>
          <w:szCs w:val="32"/>
          <w:lang w:val="en-US" w:eastAsia="zh-CN"/>
          <w14:textFill>
            <w14:solidFill>
              <w14:schemeClr w14:val="tx1"/>
            </w14:solidFill>
          </w14:textFill>
        </w:rPr>
        <w:t>0</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w:t>
      </w:r>
    </w:p>
    <w:p>
      <w:pPr>
        <w:spacing w:line="600" w:lineRule="exact"/>
        <w:ind w:firstLine="643" w:firstLineChars="200"/>
        <w:rPr>
          <w:rFonts w:ascii="仿宋" w:hAnsi="仿宋" w:eastAsia="仿宋"/>
          <w:b/>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（注：数据来源于财决附</w:t>
      </w:r>
      <w:r>
        <w:rPr>
          <w:rFonts w:ascii="仿宋" w:hAnsi="仿宋" w:eastAsia="仿宋"/>
          <w:b/>
          <w:color w:val="000000" w:themeColor="text1"/>
          <w:sz w:val="32"/>
          <w:szCs w:val="32"/>
          <w14:textFill>
            <w14:solidFill>
              <w14:schemeClr w14:val="tx1"/>
            </w14:solidFill>
          </w14:textFill>
        </w:rPr>
        <w:t>03</w:t>
      </w:r>
      <w:r>
        <w:rPr>
          <w:rFonts w:hint="eastAsia" w:ascii="仿宋" w:hAnsi="仿宋" w:eastAsia="仿宋"/>
          <w:b/>
          <w:color w:val="000000" w:themeColor="text1"/>
          <w:sz w:val="32"/>
          <w:szCs w:val="32"/>
          <w14:textFill>
            <w14:solidFill>
              <w14:schemeClr w14:val="tx1"/>
            </w14:solidFill>
          </w14:textFill>
        </w:rPr>
        <w:t>表）</w:t>
      </w:r>
    </w:p>
    <w:p>
      <w:pPr>
        <w:autoSpaceDE w:val="0"/>
        <w:autoSpaceDN w:val="0"/>
        <w:adjustRightInd w:val="0"/>
        <w:spacing w:line="600" w:lineRule="exact"/>
        <w:ind w:firstLine="643" w:firstLineChars="200"/>
        <w:jc w:val="left"/>
        <w:outlineLvl w:val="2"/>
        <w:rPr>
          <w:rFonts w:ascii="仿宋" w:hAnsi="仿宋" w:eastAsia="仿宋"/>
          <w:b/>
          <w:color w:val="000000" w:themeColor="text1"/>
          <w:sz w:val="32"/>
          <w:szCs w:val="32"/>
          <w14:textFill>
            <w14:solidFill>
              <w14:schemeClr w14:val="tx1"/>
            </w14:solidFill>
          </w14:textFill>
        </w:rPr>
      </w:pPr>
      <w:bookmarkStart w:id="101" w:name="_Toc79163627"/>
      <w:bookmarkStart w:id="102" w:name="_Toc15377224"/>
      <w:bookmarkStart w:id="103" w:name="_Toc15428"/>
      <w:r>
        <w:rPr>
          <w:rFonts w:hint="eastAsia" w:ascii="仿宋" w:hAnsi="仿宋" w:eastAsia="仿宋"/>
          <w:b/>
          <w:color w:val="000000" w:themeColor="text1"/>
          <w:sz w:val="32"/>
          <w:szCs w:val="32"/>
          <w14:textFill>
            <w14:solidFill>
              <w14:schemeClr w14:val="tx1"/>
            </w14:solidFill>
          </w14:textFill>
        </w:rPr>
        <w:t>（三）国有资产占有使用情况</w:t>
      </w:r>
      <w:bookmarkEnd w:id="101"/>
      <w:bookmarkEnd w:id="102"/>
      <w:bookmarkEnd w:id="103"/>
    </w:p>
    <w:p>
      <w:pPr>
        <w:autoSpaceDE w:val="0"/>
        <w:autoSpaceDN w:val="0"/>
        <w:adjustRightInd w:val="0"/>
        <w:spacing w:line="600" w:lineRule="exact"/>
        <w:ind w:firstLine="640" w:firstLineChars="200"/>
        <w:jc w:val="left"/>
        <w:rPr>
          <w:rFonts w:ascii="仿宋" w:hAnsi="仿宋" w:eastAsia="仿宋"/>
          <w:b/>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截至</w:t>
      </w:r>
      <w:r>
        <w:rPr>
          <w:rFonts w:ascii="仿宋_GB2312" w:eastAsia="仿宋_GB2312"/>
          <w:color w:val="000000" w:themeColor="text1"/>
          <w:sz w:val="32"/>
          <w:szCs w:val="32"/>
          <w14:textFill>
            <w14:solidFill>
              <w14:schemeClr w14:val="tx1"/>
            </w14:solidFill>
          </w14:textFill>
        </w:rPr>
        <w:t>202</w:t>
      </w:r>
      <w:r>
        <w:rPr>
          <w:rFonts w:hint="eastAsia" w:ascii="仿宋_GB2312" w:eastAsia="仿宋_GB2312"/>
          <w:color w:val="000000" w:themeColor="text1"/>
          <w:sz w:val="32"/>
          <w:szCs w:val="32"/>
          <w14:textFill>
            <w14:solidFill>
              <w14:schemeClr w14:val="tx1"/>
            </w14:solidFill>
          </w14:textFill>
        </w:rPr>
        <w:t>1年</w:t>
      </w:r>
      <w:r>
        <w:rPr>
          <w:rFonts w:ascii="仿宋_GB2312" w:eastAsia="仿宋_GB2312"/>
          <w:color w:val="000000" w:themeColor="text1"/>
          <w:sz w:val="32"/>
          <w:szCs w:val="32"/>
          <w14:textFill>
            <w14:solidFill>
              <w14:schemeClr w14:val="tx1"/>
            </w14:solidFill>
          </w14:textFill>
        </w:rPr>
        <w:t>12</w:t>
      </w:r>
      <w:r>
        <w:rPr>
          <w:rFonts w:hint="eastAsia" w:ascii="仿宋_GB2312" w:eastAsia="仿宋_GB2312"/>
          <w:color w:val="000000" w:themeColor="text1"/>
          <w:sz w:val="32"/>
          <w:szCs w:val="32"/>
          <w14:textFill>
            <w14:solidFill>
              <w14:schemeClr w14:val="tx1"/>
            </w14:solidFill>
          </w14:textFill>
        </w:rPr>
        <w:t>月</w:t>
      </w:r>
      <w:r>
        <w:rPr>
          <w:rFonts w:ascii="仿宋_GB2312" w:eastAsia="仿宋_GB2312"/>
          <w:color w:val="000000" w:themeColor="text1"/>
          <w:sz w:val="32"/>
          <w:szCs w:val="32"/>
          <w14:textFill>
            <w14:solidFill>
              <w14:schemeClr w14:val="tx1"/>
            </w14:solidFill>
          </w14:textFill>
        </w:rPr>
        <w:t>31</w:t>
      </w:r>
      <w:r>
        <w:rPr>
          <w:rFonts w:hint="eastAsia" w:ascii="仿宋_GB2312" w:eastAsia="仿宋_GB2312"/>
          <w:color w:val="000000" w:themeColor="text1"/>
          <w:sz w:val="32"/>
          <w:szCs w:val="32"/>
          <w14:textFill>
            <w14:solidFill>
              <w14:schemeClr w14:val="tx1"/>
            </w14:solidFill>
          </w14:textFill>
        </w:rPr>
        <w:t>日，</w:t>
      </w:r>
      <w:r>
        <w:rPr>
          <w:rFonts w:hint="eastAsia" w:ascii="仿宋_GB2312" w:eastAsia="仿宋_GB2312"/>
          <w:color w:val="000000" w:themeColor="text1"/>
          <w:sz w:val="32"/>
          <w:szCs w:val="32"/>
          <w:lang w:val="en-US" w:eastAsia="zh-CN"/>
          <w14:textFill>
            <w14:solidFill>
              <w14:schemeClr w14:val="tx1"/>
            </w14:solidFill>
          </w14:textFill>
        </w:rPr>
        <w:t>壤塘县退役军人事务局</w:t>
      </w:r>
      <w:r>
        <w:rPr>
          <w:rFonts w:hint="eastAsia" w:ascii="仿宋_GB2312" w:eastAsia="仿宋_GB2312"/>
          <w:color w:val="000000" w:themeColor="text1"/>
          <w:sz w:val="32"/>
          <w:szCs w:val="32"/>
          <w14:textFill>
            <w14:solidFill>
              <w14:schemeClr w14:val="tx1"/>
            </w14:solidFill>
          </w14:textFill>
        </w:rPr>
        <w:t>共有车辆</w:t>
      </w:r>
      <w:r>
        <w:rPr>
          <w:rFonts w:hint="eastAsia" w:ascii="仿宋_GB2312" w:eastAsia="仿宋_GB2312"/>
          <w:color w:val="000000" w:themeColor="text1"/>
          <w:sz w:val="32"/>
          <w:szCs w:val="32"/>
          <w:lang w:val="en-US" w:eastAsia="zh-CN"/>
          <w14:textFill>
            <w14:solidFill>
              <w14:schemeClr w14:val="tx1"/>
            </w14:solidFill>
          </w14:textFill>
        </w:rPr>
        <w:t>1</w:t>
      </w:r>
      <w:r>
        <w:rPr>
          <w:rFonts w:hint="eastAsia" w:ascii="仿宋_GB2312" w:eastAsia="仿宋_GB2312"/>
          <w:color w:val="000000" w:themeColor="text1"/>
          <w:sz w:val="32"/>
          <w:szCs w:val="32"/>
          <w14:textFill>
            <w14:solidFill>
              <w14:schemeClr w14:val="tx1"/>
            </w14:solidFill>
          </w14:textFill>
        </w:rPr>
        <w:t>辆，其中：其他用车</w:t>
      </w:r>
      <w:r>
        <w:rPr>
          <w:rFonts w:hint="eastAsia" w:ascii="仿宋_GB2312" w:eastAsia="仿宋_GB2312"/>
          <w:color w:val="000000" w:themeColor="text1"/>
          <w:sz w:val="32"/>
          <w:szCs w:val="32"/>
          <w:lang w:val="en-US" w:eastAsia="zh-CN"/>
          <w14:textFill>
            <w14:solidFill>
              <w14:schemeClr w14:val="tx1"/>
            </w14:solidFill>
          </w14:textFill>
        </w:rPr>
        <w:t>1</w:t>
      </w:r>
      <w:r>
        <w:rPr>
          <w:rFonts w:hint="eastAsia" w:ascii="仿宋_GB2312" w:eastAsia="仿宋_GB2312"/>
          <w:color w:val="000000" w:themeColor="text1"/>
          <w:sz w:val="32"/>
          <w:szCs w:val="32"/>
          <w14:textFill>
            <w14:solidFill>
              <w14:schemeClr w14:val="tx1"/>
            </w14:solidFill>
          </w14:textFill>
        </w:rPr>
        <w:t>辆</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其他用车主要是用于</w:t>
      </w:r>
      <w:r>
        <w:rPr>
          <w:rFonts w:hint="eastAsia" w:ascii="仿宋_GB2312" w:eastAsia="仿宋_GB2312"/>
          <w:color w:val="000000" w:themeColor="text1"/>
          <w:sz w:val="32"/>
          <w:szCs w:val="32"/>
          <w:lang w:val="en-US" w:eastAsia="zh-CN"/>
          <w14:textFill>
            <w14:solidFill>
              <w14:schemeClr w14:val="tx1"/>
            </w14:solidFill>
          </w14:textFill>
        </w:rPr>
        <w:t>日常公务开展。</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themeColor="text1"/>
          <w:sz w:val="32"/>
          <w:szCs w:val="32"/>
          <w14:textFill>
            <w14:solidFill>
              <w14:schemeClr w14:val="tx1"/>
            </w14:solidFill>
          </w14:textFill>
        </w:rPr>
        <w:t>万元以上专用设备</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台（套）。</w:t>
      </w:r>
      <w:r>
        <w:rPr>
          <w:rFonts w:hint="eastAsia" w:ascii="仿宋" w:hAnsi="仿宋" w:eastAsia="仿宋"/>
          <w:b/>
          <w:color w:val="000000" w:themeColor="text1"/>
          <w:sz w:val="32"/>
          <w:szCs w:val="32"/>
          <w14:textFill>
            <w14:solidFill>
              <w14:schemeClr w14:val="tx1"/>
            </w14:solidFill>
          </w14:textFill>
        </w:rPr>
        <w:t>（注：数据来源财决附</w:t>
      </w:r>
      <w:r>
        <w:rPr>
          <w:rFonts w:ascii="仿宋" w:hAnsi="仿宋" w:eastAsia="仿宋"/>
          <w:b/>
          <w:color w:val="000000" w:themeColor="text1"/>
          <w:sz w:val="32"/>
          <w:szCs w:val="32"/>
          <w14:textFill>
            <w14:solidFill>
              <w14:schemeClr w14:val="tx1"/>
            </w14:solidFill>
          </w14:textFill>
        </w:rPr>
        <w:t>03</w:t>
      </w:r>
      <w:r>
        <w:rPr>
          <w:rFonts w:hint="eastAsia" w:ascii="仿宋" w:hAnsi="仿宋" w:eastAsia="仿宋"/>
          <w:b/>
          <w:color w:val="000000" w:themeColor="text1"/>
          <w:sz w:val="32"/>
          <w:szCs w:val="32"/>
          <w14:textFill>
            <w14:solidFill>
              <w14:schemeClr w14:val="tx1"/>
            </w14:solidFill>
          </w14:textFill>
        </w:rPr>
        <w:t>表，按部门决算报表填报数据罗列车辆情况。）</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4" w:name="_Toc79163628"/>
      <w:bookmarkStart w:id="105" w:name="_Toc3895"/>
      <w:r>
        <w:rPr>
          <w:rFonts w:hint="eastAsia" w:ascii="仿宋" w:hAnsi="仿宋" w:eastAsia="仿宋"/>
          <w:b/>
          <w:color w:val="000000"/>
          <w:sz w:val="32"/>
          <w:szCs w:val="32"/>
        </w:rPr>
        <w:t>（四）预算绩效管理情况。</w:t>
      </w:r>
      <w:bookmarkEnd w:id="104"/>
      <w:bookmarkEnd w:id="105"/>
    </w:p>
    <w:p>
      <w:pPr>
        <w:spacing w:line="580" w:lineRule="exact"/>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项目（项目名称）开展了预算事前绩效评估，对</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个项目开展了绩效目标完成情况自评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由于我局专项项目涉密，经单位讨论，决定不予对外公开。</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firstLine="660" w:firstLineChars="150"/>
        <w:jc w:val="center"/>
        <w:outlineLvl w:val="0"/>
        <w:rPr>
          <w:rStyle w:val="26"/>
          <w:rFonts w:ascii="黑体" w:hAnsi="黑体" w:eastAsia="黑体"/>
          <w:b w:val="0"/>
        </w:rPr>
      </w:pPr>
      <w:bookmarkStart w:id="106" w:name="_Toc15396613"/>
      <w:bookmarkStart w:id="107" w:name="_Toc15377225"/>
      <w:bookmarkStart w:id="108" w:name="_Toc79163629"/>
      <w:bookmarkStart w:id="109" w:name="_Toc32267"/>
      <w:r>
        <w:rPr>
          <w:rFonts w:hint="eastAsia" w:ascii="黑体" w:hAnsi="黑体" w:eastAsia="黑体"/>
          <w:color w:val="000000"/>
          <w:sz w:val="44"/>
          <w:szCs w:val="44"/>
        </w:rPr>
        <w:t>名</w:t>
      </w:r>
      <w:r>
        <w:rPr>
          <w:rStyle w:val="26"/>
          <w:rFonts w:hint="eastAsia" w:ascii="黑体" w:hAnsi="黑体" w:eastAsia="黑体"/>
          <w:b w:val="0"/>
        </w:rPr>
        <w:t>词解释</w:t>
      </w:r>
      <w:bookmarkEnd w:id="106"/>
      <w:bookmarkEnd w:id="107"/>
      <w:bookmarkEnd w:id="108"/>
      <w:bookmarkEnd w:id="109"/>
    </w:p>
    <w:p>
      <w:pPr>
        <w:spacing w:line="600" w:lineRule="exact"/>
        <w:jc w:val="left"/>
        <w:rPr>
          <w:rFonts w:ascii="宋体"/>
          <w:b/>
          <w:color w:val="000000"/>
          <w:sz w:val="44"/>
          <w:szCs w:val="44"/>
        </w:rPr>
      </w:pPr>
    </w:p>
    <w:p>
      <w:pPr>
        <w:pStyle w:val="36"/>
        <w:keepNext w:val="0"/>
        <w:keepLines w:val="0"/>
        <w:pageBreakBefore w:val="0"/>
        <w:kinsoku/>
        <w:wordWrap/>
        <w:overflowPunct/>
        <w:topLinePunct w:val="0"/>
        <w:bidi w:val="0"/>
        <w:spacing w:line="560" w:lineRule="exact"/>
        <w:ind w:firstLine="640" w:firstLineChars="200"/>
        <w:textAlignment w:val="auto"/>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6"/>
        <w:keepNext w:val="0"/>
        <w:keepLines w:val="0"/>
        <w:pageBreakBefore w:val="0"/>
        <w:kinsoku/>
        <w:wordWrap/>
        <w:overflowPunct/>
        <w:topLinePunct w:val="0"/>
        <w:bidi w:val="0"/>
        <w:spacing w:line="560" w:lineRule="exact"/>
        <w:ind w:firstLine="640" w:firstLineChars="200"/>
        <w:textAlignment w:val="auto"/>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36"/>
        <w:keepNext w:val="0"/>
        <w:keepLines w:val="0"/>
        <w:pageBreakBefore w:val="0"/>
        <w:kinsoku/>
        <w:wordWrap/>
        <w:overflowPunct/>
        <w:topLinePunct w:val="0"/>
        <w:bidi w:val="0"/>
        <w:spacing w:line="560" w:lineRule="exact"/>
        <w:ind w:firstLine="640" w:firstLineChars="200"/>
        <w:textAlignment w:val="auto"/>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36"/>
        <w:keepNext w:val="0"/>
        <w:keepLines w:val="0"/>
        <w:pageBreakBefore w:val="0"/>
        <w:kinsoku/>
        <w:wordWrap/>
        <w:overflowPunct/>
        <w:topLinePunct w:val="0"/>
        <w:bidi w:val="0"/>
        <w:spacing w:line="560" w:lineRule="exact"/>
        <w:ind w:firstLine="640" w:firstLineChars="200"/>
        <w:textAlignment w:val="auto"/>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eastAsia="zh-CN"/>
        </w:rPr>
        <w:t>援建资金</w:t>
      </w:r>
      <w:r>
        <w:rPr>
          <w:rFonts w:hint="eastAsia" w:ascii="仿宋_GB2312" w:eastAsia="仿宋_GB2312"/>
          <w:sz w:val="32"/>
          <w:szCs w:val="32"/>
        </w:rPr>
        <w:t>。</w:t>
      </w:r>
    </w:p>
    <w:p>
      <w:pPr>
        <w:pStyle w:val="36"/>
        <w:keepNext w:val="0"/>
        <w:keepLines w:val="0"/>
        <w:pageBreakBefore w:val="0"/>
        <w:kinsoku/>
        <w:wordWrap/>
        <w:overflowPunct/>
        <w:topLinePunct w:val="0"/>
        <w:bidi w:val="0"/>
        <w:spacing w:line="56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5</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p>
    <w:p>
      <w:pPr>
        <w:pStyle w:val="36"/>
        <w:keepNext w:val="0"/>
        <w:keepLines w:val="0"/>
        <w:pageBreakBefore w:val="0"/>
        <w:kinsoku/>
        <w:wordWrap/>
        <w:overflowPunct/>
        <w:topLinePunct w:val="0"/>
        <w:bidi w:val="0"/>
        <w:spacing w:line="560" w:lineRule="exact"/>
        <w:ind w:firstLine="640" w:firstLineChars="200"/>
        <w:textAlignment w:val="auto"/>
        <w:rPr>
          <w:rFonts w:ascii="仿宋_GB2312" w:eastAsia="仿宋_GB2312"/>
          <w:color w:val="000000"/>
          <w:sz w:val="32"/>
          <w:szCs w:val="32"/>
        </w:rPr>
      </w:pPr>
      <w:r>
        <w:rPr>
          <w:rFonts w:hint="eastAsia" w:ascii="仿宋_GB2312" w:eastAsia="仿宋_GB2312"/>
          <w:sz w:val="32"/>
          <w:szCs w:val="32"/>
          <w:lang w:val="en-US" w:eastAsia="zh-CN"/>
        </w:rPr>
        <w:t>6.</w:t>
      </w:r>
      <w:r>
        <w:rPr>
          <w:rFonts w:hint="eastAsia" w:ascii="仿宋_GB2312" w:eastAsia="仿宋_GB2312"/>
          <w:sz w:val="32"/>
          <w:szCs w:val="32"/>
        </w:rPr>
        <w:t>年末结转和结余：指单位按有关规定结转到下年或以后年度继续使用的资金。</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eastAsia="仿宋_GB2312"/>
          <w:color w:val="000000"/>
          <w:sz w:val="32"/>
          <w:szCs w:val="32"/>
        </w:rPr>
      </w:pPr>
      <w:r>
        <w:rPr>
          <w:rFonts w:hint="eastAsia" w:ascii="仿宋_GB2312"/>
          <w:color w:val="000000"/>
          <w:sz w:val="32"/>
          <w:szCs w:val="32"/>
          <w:lang w:val="en-US" w:eastAsia="zh-CN"/>
        </w:rPr>
        <w:t>7</w:t>
      </w:r>
      <w:r>
        <w:rPr>
          <w:rFonts w:ascii="仿宋_GB2312" w:eastAsia="仿宋_GB2312"/>
          <w:color w:val="000000"/>
          <w:sz w:val="32"/>
          <w:szCs w:val="32"/>
        </w:rPr>
        <w:t>.</w:t>
      </w:r>
      <w:r>
        <w:rPr>
          <w:rFonts w:hint="eastAsia" w:ascii="仿宋_GB2312" w:eastAsia="仿宋_GB2312"/>
          <w:color w:val="000000"/>
          <w:sz w:val="32"/>
          <w:szCs w:val="32"/>
          <w:lang w:eastAsia="zh-CN"/>
        </w:rPr>
        <w:t>社会保障和就业</w:t>
      </w:r>
      <w:r>
        <w:rPr>
          <w:rFonts w:hint="eastAsia" w:ascii="仿宋_GB2312" w:eastAsia="仿宋_GB2312"/>
          <w:color w:val="000000"/>
          <w:sz w:val="32"/>
          <w:szCs w:val="32"/>
          <w:lang w:val="en-US" w:eastAsia="zh-CN"/>
        </w:rPr>
        <w:t>支出</w:t>
      </w:r>
      <w:r>
        <w:rPr>
          <w:rFonts w:hint="eastAsia" w:ascii="仿宋_GB2312" w:eastAsia="仿宋_GB2312"/>
          <w:color w:val="000000"/>
          <w:sz w:val="32"/>
          <w:szCs w:val="32"/>
        </w:rPr>
        <w:t>（类）</w:t>
      </w:r>
      <w:r>
        <w:rPr>
          <w:rFonts w:hint="eastAsia" w:ascii="仿宋_GB2312" w:eastAsia="仿宋_GB2312"/>
          <w:color w:val="000000"/>
          <w:sz w:val="32"/>
          <w:szCs w:val="32"/>
          <w:lang w:eastAsia="zh-CN"/>
        </w:rPr>
        <w:t>行政事业单位</w:t>
      </w:r>
      <w:r>
        <w:rPr>
          <w:rFonts w:hint="eastAsia" w:ascii="仿宋_GB2312" w:eastAsia="仿宋_GB2312"/>
          <w:color w:val="000000"/>
          <w:sz w:val="32"/>
          <w:szCs w:val="32"/>
          <w:lang w:val="en-US" w:eastAsia="zh-CN"/>
        </w:rPr>
        <w:t>养老支出</w:t>
      </w:r>
      <w:r>
        <w:rPr>
          <w:rFonts w:hint="eastAsia" w:ascii="仿宋_GB2312" w:eastAsia="仿宋_GB2312"/>
          <w:color w:val="000000"/>
          <w:sz w:val="32"/>
          <w:szCs w:val="32"/>
          <w:lang w:eastAsia="zh-CN"/>
        </w:rPr>
        <w:t>（</w:t>
      </w:r>
      <w:r>
        <w:rPr>
          <w:rFonts w:hint="eastAsia" w:ascii="仿宋_GB2312" w:eastAsia="仿宋_GB2312"/>
          <w:color w:val="000000"/>
          <w:sz w:val="32"/>
          <w:szCs w:val="32"/>
        </w:rPr>
        <w:t>款）</w:t>
      </w:r>
      <w:r>
        <w:rPr>
          <w:rFonts w:hint="eastAsia" w:ascii="仿宋_GB2312" w:eastAsia="仿宋_GB2312"/>
          <w:color w:val="000000"/>
          <w:sz w:val="32"/>
          <w:szCs w:val="32"/>
          <w:lang w:eastAsia="zh-CN"/>
        </w:rPr>
        <w:t>机关事业单位基本养老保险缴费支出</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机关事业</w:t>
      </w:r>
      <w:r>
        <w:rPr>
          <w:rFonts w:hint="eastAsia" w:ascii="仿宋_GB2312" w:eastAsia="仿宋_GB2312"/>
          <w:color w:val="000000"/>
          <w:sz w:val="32"/>
          <w:szCs w:val="32"/>
          <w:lang w:eastAsia="zh-CN"/>
        </w:rPr>
        <w:t>单位</w:t>
      </w:r>
      <w:r>
        <w:rPr>
          <w:rFonts w:hint="eastAsia" w:ascii="仿宋_GB2312" w:eastAsia="仿宋_GB2312"/>
          <w:color w:val="000000"/>
          <w:sz w:val="32"/>
          <w:szCs w:val="32"/>
          <w:lang w:val="en-US" w:eastAsia="zh-CN"/>
        </w:rPr>
        <w:t>实施养老保险制度由单位缴纳的基本养老保险费支出</w:t>
      </w:r>
      <w:r>
        <w:rPr>
          <w:rFonts w:hint="eastAsia" w:ascii="仿宋_GB2312" w:eastAsia="仿宋_GB2312"/>
          <w:color w:val="000000"/>
          <w:sz w:val="32"/>
          <w:szCs w:val="32"/>
        </w:rPr>
        <w:t>。</w:t>
      </w:r>
    </w:p>
    <w:p>
      <w:pPr>
        <w:pStyle w:val="21"/>
        <w:keepNext w:val="0"/>
        <w:keepLines w:val="0"/>
        <w:pageBreakBefore w:val="0"/>
        <w:tabs>
          <w:tab w:val="left" w:pos="960"/>
        </w:tabs>
        <w:kinsoku/>
        <w:wordWrap/>
        <w:overflowPunct/>
        <w:topLinePunct w:val="0"/>
        <w:bidi w:val="0"/>
        <w:spacing w:line="560" w:lineRule="exact"/>
        <w:textAlignment w:val="auto"/>
        <w:rPr>
          <w:rFonts w:hint="default" w:eastAsia="仿宋_GB2312"/>
          <w:sz w:val="32"/>
          <w:szCs w:val="32"/>
          <w:lang w:val="en-US" w:eastAsia="zh-CN"/>
        </w:rPr>
      </w:pPr>
      <w:r>
        <w:rPr>
          <w:rFonts w:hint="eastAsia" w:ascii="仿宋_GB2312" w:eastAsia="仿宋_GB2312"/>
          <w:color w:val="000000"/>
          <w:sz w:val="32"/>
          <w:szCs w:val="32"/>
          <w:lang w:val="en-US" w:eastAsia="zh-CN"/>
        </w:rPr>
        <w:t>8.</w:t>
      </w:r>
      <w:r>
        <w:rPr>
          <w:rFonts w:hint="eastAsia" w:ascii="仿宋_GB2312" w:eastAsia="仿宋_GB2312"/>
          <w:color w:val="000000"/>
          <w:sz w:val="32"/>
          <w:szCs w:val="32"/>
          <w:lang w:eastAsia="zh-CN"/>
        </w:rPr>
        <w:t>社会保障和就业</w:t>
      </w:r>
      <w:r>
        <w:rPr>
          <w:rFonts w:hint="eastAsia" w:ascii="仿宋_GB2312" w:eastAsia="仿宋_GB2312"/>
          <w:color w:val="000000"/>
          <w:sz w:val="32"/>
          <w:szCs w:val="32"/>
          <w:lang w:val="en-US" w:eastAsia="zh-CN"/>
        </w:rPr>
        <w:t>支出</w:t>
      </w:r>
      <w:r>
        <w:rPr>
          <w:rFonts w:hint="eastAsia" w:ascii="仿宋_GB2312" w:eastAsia="仿宋_GB2312"/>
          <w:color w:val="000000"/>
          <w:sz w:val="32"/>
          <w:szCs w:val="32"/>
        </w:rPr>
        <w:t>（类）</w:t>
      </w:r>
      <w:r>
        <w:rPr>
          <w:rFonts w:hint="eastAsia" w:ascii="仿宋_GB2312" w:eastAsia="仿宋_GB2312"/>
          <w:color w:val="000000"/>
          <w:sz w:val="32"/>
          <w:szCs w:val="32"/>
          <w:lang w:eastAsia="zh-CN"/>
        </w:rPr>
        <w:t>行政事业单位</w:t>
      </w:r>
      <w:r>
        <w:rPr>
          <w:rFonts w:hint="eastAsia" w:ascii="仿宋_GB2312" w:eastAsia="仿宋_GB2312"/>
          <w:color w:val="000000"/>
          <w:sz w:val="32"/>
          <w:szCs w:val="32"/>
          <w:lang w:val="en-US" w:eastAsia="zh-CN"/>
        </w:rPr>
        <w:t>养老支出</w:t>
      </w:r>
      <w:r>
        <w:rPr>
          <w:rFonts w:hint="eastAsia" w:ascii="仿宋_GB2312" w:eastAsia="仿宋_GB2312"/>
          <w:color w:val="000000"/>
          <w:sz w:val="32"/>
          <w:szCs w:val="32"/>
          <w:lang w:eastAsia="zh-CN"/>
        </w:rPr>
        <w:t>（</w:t>
      </w:r>
      <w:r>
        <w:rPr>
          <w:rFonts w:hint="eastAsia" w:ascii="仿宋_GB2312" w:eastAsia="仿宋_GB2312"/>
          <w:color w:val="000000"/>
          <w:sz w:val="32"/>
          <w:szCs w:val="32"/>
        </w:rPr>
        <w:t>款）</w:t>
      </w:r>
      <w:r>
        <w:rPr>
          <w:rFonts w:hint="eastAsia" w:ascii="仿宋_GB2312" w:eastAsia="仿宋_GB2312"/>
          <w:color w:val="000000"/>
          <w:sz w:val="32"/>
          <w:szCs w:val="32"/>
          <w:lang w:eastAsia="zh-CN"/>
        </w:rPr>
        <w:t>机关事业单位</w:t>
      </w:r>
      <w:r>
        <w:rPr>
          <w:rFonts w:hint="eastAsia" w:ascii="仿宋_GB2312" w:eastAsia="仿宋_GB2312"/>
          <w:color w:val="000000"/>
          <w:sz w:val="32"/>
          <w:szCs w:val="32"/>
          <w:lang w:val="en-US" w:eastAsia="zh-CN"/>
        </w:rPr>
        <w:t>职业年金</w:t>
      </w:r>
      <w:r>
        <w:rPr>
          <w:rFonts w:hint="eastAsia" w:ascii="仿宋_GB2312" w:eastAsia="仿宋_GB2312"/>
          <w:color w:val="000000"/>
          <w:sz w:val="32"/>
          <w:szCs w:val="32"/>
          <w:lang w:eastAsia="zh-CN"/>
        </w:rPr>
        <w:t>缴费支出</w:t>
      </w:r>
      <w:r>
        <w:rPr>
          <w:rFonts w:hint="eastAsia" w:ascii="仿宋_GB2312" w:eastAsia="仿宋_GB2312"/>
          <w:color w:val="000000"/>
          <w:sz w:val="32"/>
          <w:szCs w:val="32"/>
        </w:rPr>
        <w:t>（项）：指</w:t>
      </w:r>
      <w:r>
        <w:rPr>
          <w:rFonts w:hint="eastAsia" w:ascii="仿宋_GB2312" w:eastAsia="仿宋_GB2312"/>
          <w:color w:val="000000"/>
          <w:sz w:val="32"/>
          <w:szCs w:val="32"/>
          <w:lang w:val="en-US" w:eastAsia="zh-CN"/>
        </w:rPr>
        <w:t>机关事业单位实施养老保险制度由单位实际缴纳的职业年金</w:t>
      </w:r>
      <w:r>
        <w:rPr>
          <w:rFonts w:hint="eastAsia" w:ascii="仿宋_GB2312" w:eastAsia="仿宋_GB2312"/>
          <w:color w:val="000000"/>
          <w:sz w:val="32"/>
          <w:szCs w:val="32"/>
        </w:rPr>
        <w:t>。</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Times New Roman" w:eastAsia="仿宋_GB2312" w:cs="Times New Roman"/>
          <w:color w:val="000000"/>
          <w:sz w:val="32"/>
          <w:szCs w:val="32"/>
          <w:lang w:eastAsia="zh-CN"/>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olor w:val="000000"/>
          <w:sz w:val="32"/>
          <w:szCs w:val="32"/>
        </w:rPr>
        <w:t>社会保</w:t>
      </w:r>
      <w:r>
        <w:rPr>
          <w:rFonts w:hint="eastAsia" w:ascii="仿宋_GB2312" w:hAnsi="Times New Roman" w:eastAsia="仿宋_GB2312" w:cs="Times New Roman"/>
          <w:color w:val="000000"/>
          <w:sz w:val="32"/>
          <w:szCs w:val="32"/>
          <w:lang w:eastAsia="zh-CN"/>
        </w:rPr>
        <w:t>障和就业</w:t>
      </w:r>
      <w:r>
        <w:rPr>
          <w:rFonts w:hint="eastAsia" w:ascii="仿宋_GB2312" w:eastAsia="仿宋_GB2312" w:cs="Times New Roman"/>
          <w:color w:val="000000"/>
          <w:sz w:val="32"/>
          <w:szCs w:val="32"/>
          <w:lang w:val="en-US" w:eastAsia="zh-CN"/>
        </w:rPr>
        <w:t>支出</w:t>
      </w:r>
      <w:r>
        <w:rPr>
          <w:rFonts w:hint="eastAsia" w:ascii="仿宋_GB2312" w:hAnsi="Times New Roman" w:eastAsia="仿宋_GB2312" w:cs="Times New Roman"/>
          <w:color w:val="000000"/>
          <w:sz w:val="32"/>
          <w:szCs w:val="32"/>
          <w:lang w:eastAsia="zh-CN"/>
        </w:rPr>
        <w:t>（类）</w:t>
      </w:r>
      <w:r>
        <w:rPr>
          <w:rFonts w:hint="eastAsia" w:ascii="仿宋_GB2312" w:hAnsi="Times New Roman" w:eastAsia="仿宋_GB2312" w:cs="Times New Roman"/>
          <w:color w:val="000000"/>
          <w:sz w:val="32"/>
          <w:szCs w:val="32"/>
          <w:lang w:val="en-US" w:eastAsia="zh-CN"/>
        </w:rPr>
        <w:t>抚恤</w:t>
      </w:r>
      <w:r>
        <w:rPr>
          <w:rFonts w:hint="eastAsia" w:ascii="仿宋_GB2312" w:hAnsi="Times New Roman" w:eastAsia="仿宋_GB2312" w:cs="Times New Roman"/>
          <w:color w:val="000000"/>
          <w:sz w:val="32"/>
          <w:szCs w:val="32"/>
          <w:lang w:eastAsia="zh-CN"/>
        </w:rPr>
        <w:t>（款）</w:t>
      </w:r>
      <w:r>
        <w:rPr>
          <w:rFonts w:hint="eastAsia" w:ascii="仿宋_GB2312" w:hAnsi="Times New Roman" w:eastAsia="仿宋_GB2312" w:cs="Times New Roman"/>
          <w:color w:val="000000"/>
          <w:sz w:val="32"/>
          <w:szCs w:val="32"/>
          <w:lang w:val="en-US" w:eastAsia="zh-CN"/>
        </w:rPr>
        <w:t>死亡抚恤</w:t>
      </w:r>
      <w:r>
        <w:rPr>
          <w:rFonts w:hint="eastAsia" w:ascii="仿宋_GB2312" w:hAnsi="Times New Roman" w:eastAsia="仿宋_GB2312" w:cs="Times New Roman"/>
          <w:color w:val="000000"/>
          <w:sz w:val="32"/>
          <w:szCs w:val="32"/>
          <w:lang w:eastAsia="zh-CN"/>
        </w:rPr>
        <w:t>（项）：指</w:t>
      </w:r>
      <w:r>
        <w:rPr>
          <w:rFonts w:hint="eastAsia" w:ascii="仿宋_GB2312" w:hAnsi="Times New Roman" w:eastAsia="仿宋_GB2312" w:cs="Times New Roman"/>
          <w:color w:val="000000"/>
          <w:sz w:val="32"/>
          <w:szCs w:val="32"/>
          <w:lang w:val="en-US" w:eastAsia="zh-CN"/>
        </w:rPr>
        <w:t>按规定用于烈士和牺牲、病故人员大家属的一次性和定期抚恤金以及丧葬补助费</w:t>
      </w:r>
      <w:r>
        <w:rPr>
          <w:rFonts w:hint="eastAsia" w:ascii="仿宋_GB2312" w:hAnsi="Times New Roman" w:eastAsia="仿宋_GB2312" w:cs="Times New Roman"/>
          <w:color w:val="000000"/>
          <w:sz w:val="32"/>
          <w:szCs w:val="32"/>
          <w:lang w:eastAsia="zh-CN"/>
        </w:rPr>
        <w:t>。</w:t>
      </w:r>
    </w:p>
    <w:p>
      <w:pPr>
        <w:pStyle w:val="21"/>
        <w:keepNext w:val="0"/>
        <w:keepLines w:val="0"/>
        <w:pageBreakBefore w:val="0"/>
        <w:tabs>
          <w:tab w:val="left" w:pos="960"/>
        </w:tabs>
        <w:kinsoku/>
        <w:wordWrap/>
        <w:overflowPunct/>
        <w:topLinePunct w:val="0"/>
        <w:bidi w:val="0"/>
        <w:spacing w:line="560" w:lineRule="exact"/>
        <w:textAlignment w:val="auto"/>
        <w:rPr>
          <w:rFonts w:hint="eastAsia" w:ascii="仿宋_GB2312" w:hAnsi="Times New Roman" w:eastAsia="仿宋_GB2312" w:cs="Times New Roman"/>
          <w:color w:val="000000"/>
          <w:sz w:val="32"/>
          <w:szCs w:val="32"/>
          <w:lang w:eastAsia="zh-CN"/>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olor w:val="000000"/>
          <w:sz w:val="32"/>
          <w:szCs w:val="32"/>
        </w:rPr>
        <w:t>社会保</w:t>
      </w:r>
      <w:r>
        <w:rPr>
          <w:rFonts w:hint="eastAsia" w:ascii="仿宋_GB2312" w:hAnsi="Times New Roman" w:eastAsia="仿宋_GB2312" w:cs="Times New Roman"/>
          <w:color w:val="000000"/>
          <w:sz w:val="32"/>
          <w:szCs w:val="32"/>
          <w:lang w:eastAsia="zh-CN"/>
        </w:rPr>
        <w:t>障和就业</w:t>
      </w:r>
      <w:r>
        <w:rPr>
          <w:rFonts w:hint="eastAsia" w:ascii="仿宋_GB2312" w:eastAsia="仿宋_GB2312" w:cs="Times New Roman"/>
          <w:color w:val="000000"/>
          <w:sz w:val="32"/>
          <w:szCs w:val="32"/>
          <w:lang w:val="en-US" w:eastAsia="zh-CN"/>
        </w:rPr>
        <w:t>支出</w:t>
      </w:r>
      <w:r>
        <w:rPr>
          <w:rFonts w:hint="eastAsia" w:ascii="仿宋_GB2312" w:hAnsi="Times New Roman" w:eastAsia="仿宋_GB2312" w:cs="Times New Roman"/>
          <w:color w:val="000000"/>
          <w:sz w:val="32"/>
          <w:szCs w:val="32"/>
          <w:lang w:eastAsia="zh-CN"/>
        </w:rPr>
        <w:t>（类）</w:t>
      </w:r>
      <w:r>
        <w:rPr>
          <w:rFonts w:hint="eastAsia" w:ascii="仿宋_GB2312" w:hAnsi="Times New Roman" w:eastAsia="仿宋_GB2312" w:cs="Times New Roman"/>
          <w:color w:val="000000"/>
          <w:sz w:val="32"/>
          <w:szCs w:val="32"/>
          <w:lang w:val="en-US" w:eastAsia="zh-CN"/>
        </w:rPr>
        <w:t>抚恤</w:t>
      </w:r>
      <w:r>
        <w:rPr>
          <w:rFonts w:hint="eastAsia" w:ascii="仿宋_GB2312" w:hAnsi="Times New Roman" w:eastAsia="仿宋_GB2312" w:cs="Times New Roman"/>
          <w:color w:val="000000"/>
          <w:sz w:val="32"/>
          <w:szCs w:val="32"/>
          <w:lang w:eastAsia="zh-CN"/>
        </w:rPr>
        <w:t>（款）</w:t>
      </w:r>
      <w:r>
        <w:rPr>
          <w:rFonts w:hint="eastAsia" w:ascii="仿宋_GB2312" w:hAnsi="Times New Roman" w:eastAsia="仿宋_GB2312" w:cs="Times New Roman"/>
          <w:color w:val="000000"/>
          <w:sz w:val="32"/>
          <w:szCs w:val="32"/>
          <w:lang w:val="en-US" w:eastAsia="zh-CN"/>
        </w:rPr>
        <w:t>伤残抚恤</w:t>
      </w:r>
      <w:r>
        <w:rPr>
          <w:rFonts w:hint="eastAsia" w:ascii="仿宋_GB2312" w:hAnsi="Times New Roman" w:eastAsia="仿宋_GB2312" w:cs="Times New Roman"/>
          <w:color w:val="000000"/>
          <w:sz w:val="32"/>
          <w:szCs w:val="32"/>
          <w:lang w:eastAsia="zh-CN"/>
        </w:rPr>
        <w:t>（项）：指</w:t>
      </w:r>
      <w:r>
        <w:rPr>
          <w:rFonts w:hint="eastAsia" w:ascii="仿宋_GB2312" w:hAnsi="Times New Roman" w:eastAsia="仿宋_GB2312" w:cs="Times New Roman"/>
          <w:color w:val="000000"/>
          <w:sz w:val="32"/>
          <w:szCs w:val="32"/>
          <w:lang w:val="en-US" w:eastAsia="zh-CN"/>
        </w:rPr>
        <w:t>按规定用于伤残人员的抚恤金和按规定开支的各种伤残补助费</w:t>
      </w:r>
      <w:r>
        <w:rPr>
          <w:rFonts w:hint="eastAsia" w:ascii="仿宋_GB2312" w:hAnsi="Times New Roman" w:eastAsia="仿宋_GB2312" w:cs="Times New Roman"/>
          <w:color w:val="000000"/>
          <w:sz w:val="32"/>
          <w:szCs w:val="32"/>
          <w:lang w:eastAsia="zh-CN"/>
        </w:rPr>
        <w:t>。</w:t>
      </w:r>
    </w:p>
    <w:p>
      <w:pPr>
        <w:pStyle w:val="21"/>
        <w:keepNext w:val="0"/>
        <w:keepLines w:val="0"/>
        <w:pageBreakBefore w:val="0"/>
        <w:tabs>
          <w:tab w:val="left" w:pos="960"/>
        </w:tabs>
        <w:kinsoku/>
        <w:wordWrap/>
        <w:overflowPunct/>
        <w:topLinePunct w:val="0"/>
        <w:bidi w:val="0"/>
        <w:spacing w:line="560" w:lineRule="exact"/>
        <w:textAlignment w:val="auto"/>
        <w:rPr>
          <w:rFonts w:hint="eastAsia" w:ascii="仿宋_GB2312" w:hAnsi="Times New Roman" w:eastAsia="仿宋_GB2312" w:cs="Times New Roman"/>
          <w:color w:val="000000"/>
          <w:sz w:val="32"/>
          <w:szCs w:val="32"/>
          <w:lang w:eastAsia="zh-CN"/>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olor w:val="000000"/>
          <w:sz w:val="32"/>
          <w:szCs w:val="32"/>
        </w:rPr>
        <w:t>社会保</w:t>
      </w:r>
      <w:r>
        <w:rPr>
          <w:rFonts w:hint="eastAsia" w:ascii="仿宋_GB2312" w:hAnsi="Times New Roman" w:eastAsia="仿宋_GB2312" w:cs="Times New Roman"/>
          <w:color w:val="000000"/>
          <w:sz w:val="32"/>
          <w:szCs w:val="32"/>
          <w:lang w:eastAsia="zh-CN"/>
        </w:rPr>
        <w:t>障和就业</w:t>
      </w:r>
      <w:r>
        <w:rPr>
          <w:rFonts w:hint="eastAsia" w:ascii="仿宋_GB2312" w:eastAsia="仿宋_GB2312" w:cs="Times New Roman"/>
          <w:color w:val="000000"/>
          <w:sz w:val="32"/>
          <w:szCs w:val="32"/>
          <w:lang w:val="en-US" w:eastAsia="zh-CN"/>
        </w:rPr>
        <w:t>支出</w:t>
      </w:r>
      <w:r>
        <w:rPr>
          <w:rFonts w:hint="eastAsia" w:ascii="仿宋_GB2312" w:hAnsi="Times New Roman" w:eastAsia="仿宋_GB2312" w:cs="Times New Roman"/>
          <w:color w:val="000000"/>
          <w:sz w:val="32"/>
          <w:szCs w:val="32"/>
          <w:lang w:eastAsia="zh-CN"/>
        </w:rPr>
        <w:t>（类）</w:t>
      </w:r>
      <w:r>
        <w:rPr>
          <w:rFonts w:hint="eastAsia" w:ascii="仿宋_GB2312" w:hAnsi="Times New Roman" w:eastAsia="仿宋_GB2312" w:cs="Times New Roman"/>
          <w:color w:val="000000"/>
          <w:sz w:val="32"/>
          <w:szCs w:val="32"/>
          <w:lang w:val="en-US" w:eastAsia="zh-CN"/>
        </w:rPr>
        <w:t>抚恤</w:t>
      </w:r>
      <w:r>
        <w:rPr>
          <w:rFonts w:hint="eastAsia" w:ascii="仿宋_GB2312" w:hAnsi="Times New Roman" w:eastAsia="仿宋_GB2312" w:cs="Times New Roman"/>
          <w:color w:val="000000"/>
          <w:sz w:val="32"/>
          <w:szCs w:val="32"/>
          <w:lang w:eastAsia="zh-CN"/>
        </w:rPr>
        <w:t>（款）</w:t>
      </w:r>
      <w:r>
        <w:rPr>
          <w:rFonts w:hint="eastAsia" w:ascii="仿宋_GB2312" w:hAnsi="Times New Roman" w:eastAsia="仿宋_GB2312" w:cs="Times New Roman"/>
          <w:color w:val="000000"/>
          <w:sz w:val="32"/>
          <w:szCs w:val="32"/>
          <w:lang w:val="en-US" w:eastAsia="zh-CN"/>
        </w:rPr>
        <w:t>在乡复员、退伍军人生活补助</w:t>
      </w:r>
      <w:r>
        <w:rPr>
          <w:rFonts w:hint="eastAsia" w:ascii="仿宋_GB2312" w:hAnsi="Times New Roman" w:eastAsia="仿宋_GB2312" w:cs="Times New Roman"/>
          <w:color w:val="000000"/>
          <w:sz w:val="32"/>
          <w:szCs w:val="32"/>
          <w:lang w:eastAsia="zh-CN"/>
        </w:rPr>
        <w:t>（项）：指</w:t>
      </w:r>
      <w:r>
        <w:rPr>
          <w:rFonts w:hint="eastAsia" w:ascii="仿宋_GB2312" w:hAnsi="Times New Roman" w:eastAsia="仿宋_GB2312" w:cs="Times New Roman"/>
          <w:color w:val="000000"/>
          <w:sz w:val="32"/>
          <w:szCs w:val="32"/>
          <w:lang w:val="en-US" w:eastAsia="zh-CN"/>
        </w:rPr>
        <w:t>在乡退伍红军老战士（含西路军红军老战士、红军失散人员）、1954年10月31日入伍的在乡复员军人、按规定办理带病回乡手续的退伍军人生活补助</w:t>
      </w:r>
      <w:r>
        <w:rPr>
          <w:rFonts w:hint="eastAsia" w:ascii="仿宋_GB2312" w:hAnsi="Times New Roman" w:eastAsia="仿宋_GB2312" w:cs="Times New Roman"/>
          <w:color w:val="000000"/>
          <w:sz w:val="32"/>
          <w:szCs w:val="32"/>
          <w:lang w:eastAsia="zh-CN"/>
        </w:rPr>
        <w:t>。</w:t>
      </w:r>
    </w:p>
    <w:p>
      <w:pPr>
        <w:pStyle w:val="21"/>
        <w:keepNext w:val="0"/>
        <w:keepLines w:val="0"/>
        <w:pageBreakBefore w:val="0"/>
        <w:tabs>
          <w:tab w:val="left" w:pos="960"/>
        </w:tabs>
        <w:kinsoku/>
        <w:wordWrap/>
        <w:overflowPunct/>
        <w:topLinePunct w:val="0"/>
        <w:bidi w:val="0"/>
        <w:spacing w:line="560" w:lineRule="exact"/>
        <w:textAlignment w:val="auto"/>
        <w:rPr>
          <w:rFonts w:hint="eastAsia" w:ascii="仿宋_GB2312" w:hAnsi="Times New Roman" w:eastAsia="仿宋_GB2312" w:cs="Times New Roman"/>
          <w:color w:val="000000"/>
          <w:sz w:val="32"/>
          <w:szCs w:val="32"/>
          <w:lang w:eastAsia="zh-CN"/>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olor w:val="000000"/>
          <w:sz w:val="32"/>
          <w:szCs w:val="32"/>
        </w:rPr>
        <w:t>社会保</w:t>
      </w:r>
      <w:r>
        <w:rPr>
          <w:rFonts w:hint="eastAsia" w:ascii="仿宋_GB2312" w:hAnsi="Times New Roman" w:eastAsia="仿宋_GB2312" w:cs="Times New Roman"/>
          <w:color w:val="000000"/>
          <w:sz w:val="32"/>
          <w:szCs w:val="32"/>
          <w:lang w:eastAsia="zh-CN"/>
        </w:rPr>
        <w:t>障和就业</w:t>
      </w:r>
      <w:r>
        <w:rPr>
          <w:rFonts w:hint="eastAsia" w:ascii="仿宋_GB2312" w:eastAsia="仿宋_GB2312" w:cs="Times New Roman"/>
          <w:color w:val="000000"/>
          <w:sz w:val="32"/>
          <w:szCs w:val="32"/>
          <w:lang w:val="en-US" w:eastAsia="zh-CN"/>
        </w:rPr>
        <w:t>支出</w:t>
      </w:r>
      <w:r>
        <w:rPr>
          <w:rFonts w:hint="eastAsia" w:ascii="仿宋_GB2312" w:hAnsi="Times New Roman" w:eastAsia="仿宋_GB2312" w:cs="Times New Roman"/>
          <w:color w:val="000000"/>
          <w:sz w:val="32"/>
          <w:szCs w:val="32"/>
          <w:lang w:eastAsia="zh-CN"/>
        </w:rPr>
        <w:t>（类）</w:t>
      </w:r>
      <w:r>
        <w:rPr>
          <w:rFonts w:hint="eastAsia" w:ascii="仿宋_GB2312" w:hAnsi="Times New Roman" w:eastAsia="仿宋_GB2312" w:cs="Times New Roman"/>
          <w:color w:val="000000"/>
          <w:sz w:val="32"/>
          <w:szCs w:val="32"/>
          <w:lang w:val="en-US" w:eastAsia="zh-CN"/>
        </w:rPr>
        <w:t>抚恤</w:t>
      </w:r>
      <w:r>
        <w:rPr>
          <w:rFonts w:hint="eastAsia" w:ascii="仿宋_GB2312" w:hAnsi="Times New Roman" w:eastAsia="仿宋_GB2312" w:cs="Times New Roman"/>
          <w:color w:val="000000"/>
          <w:sz w:val="32"/>
          <w:szCs w:val="32"/>
          <w:lang w:eastAsia="zh-CN"/>
        </w:rPr>
        <w:t>（款）</w:t>
      </w:r>
      <w:r>
        <w:rPr>
          <w:rFonts w:hint="eastAsia" w:ascii="仿宋_GB2312" w:hAnsi="Times New Roman" w:eastAsia="仿宋_GB2312" w:cs="Times New Roman"/>
          <w:color w:val="000000"/>
          <w:sz w:val="32"/>
          <w:szCs w:val="32"/>
          <w:lang w:val="en-US" w:eastAsia="zh-CN"/>
        </w:rPr>
        <w:t>优抚事业单位支出</w:t>
      </w:r>
      <w:r>
        <w:rPr>
          <w:rFonts w:hint="eastAsia" w:ascii="仿宋_GB2312" w:hAnsi="Times New Roman" w:eastAsia="仿宋_GB2312" w:cs="Times New Roman"/>
          <w:color w:val="000000"/>
          <w:sz w:val="32"/>
          <w:szCs w:val="32"/>
          <w:lang w:eastAsia="zh-CN"/>
        </w:rPr>
        <w:t>（项）：指</w:t>
      </w:r>
      <w:r>
        <w:rPr>
          <w:rFonts w:hint="eastAsia" w:ascii="仿宋_GB2312" w:hAnsi="Times New Roman" w:eastAsia="仿宋_GB2312" w:cs="Times New Roman"/>
          <w:color w:val="000000"/>
          <w:sz w:val="32"/>
          <w:szCs w:val="32"/>
          <w:lang w:val="en-US" w:eastAsia="zh-CN"/>
        </w:rPr>
        <w:t>退役军人事务部门管理的优抚事业单位支出，对集体优抚事业单位的补助，对烈士纪念设施的维修改造和管理保护支出，以及军供站设施维修改造和设备更新支出</w:t>
      </w:r>
      <w:r>
        <w:rPr>
          <w:rFonts w:hint="eastAsia" w:ascii="仿宋_GB2312" w:hAnsi="Times New Roman" w:eastAsia="仿宋_GB2312" w:cs="Times New Roman"/>
          <w:color w:val="000000"/>
          <w:sz w:val="32"/>
          <w:szCs w:val="32"/>
          <w:lang w:eastAsia="zh-CN"/>
        </w:rPr>
        <w:t>。</w:t>
      </w:r>
    </w:p>
    <w:p>
      <w:pPr>
        <w:pStyle w:val="21"/>
        <w:keepNext w:val="0"/>
        <w:keepLines w:val="0"/>
        <w:pageBreakBefore w:val="0"/>
        <w:tabs>
          <w:tab w:val="left" w:pos="960"/>
        </w:tabs>
        <w:kinsoku/>
        <w:wordWrap/>
        <w:overflowPunct/>
        <w:topLinePunct w:val="0"/>
        <w:bidi w:val="0"/>
        <w:spacing w:line="560" w:lineRule="exact"/>
        <w:textAlignment w:val="auto"/>
        <w:rPr>
          <w:rFonts w:hint="eastAsia" w:ascii="仿宋_GB2312" w:hAnsi="Times New Roman" w:eastAsia="仿宋_GB2312" w:cs="Times New Roman"/>
          <w:color w:val="000000"/>
          <w:sz w:val="32"/>
          <w:szCs w:val="32"/>
          <w:lang w:eastAsia="zh-CN"/>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rPr>
        <w:t>社会保</w:t>
      </w:r>
      <w:r>
        <w:rPr>
          <w:rFonts w:hint="eastAsia" w:ascii="仿宋_GB2312" w:hAnsi="Times New Roman" w:eastAsia="仿宋_GB2312" w:cs="Times New Roman"/>
          <w:color w:val="000000"/>
          <w:sz w:val="32"/>
          <w:szCs w:val="32"/>
          <w:lang w:eastAsia="zh-CN"/>
        </w:rPr>
        <w:t>障和就业</w:t>
      </w:r>
      <w:r>
        <w:rPr>
          <w:rFonts w:hint="eastAsia" w:ascii="仿宋_GB2312" w:eastAsia="仿宋_GB2312" w:cs="Times New Roman"/>
          <w:color w:val="000000"/>
          <w:sz w:val="32"/>
          <w:szCs w:val="32"/>
          <w:lang w:val="en-US" w:eastAsia="zh-CN"/>
        </w:rPr>
        <w:t>支出</w:t>
      </w:r>
      <w:r>
        <w:rPr>
          <w:rFonts w:hint="eastAsia" w:ascii="仿宋_GB2312" w:hAnsi="Times New Roman" w:eastAsia="仿宋_GB2312" w:cs="Times New Roman"/>
          <w:color w:val="000000"/>
          <w:sz w:val="32"/>
          <w:szCs w:val="32"/>
          <w:lang w:eastAsia="zh-CN"/>
        </w:rPr>
        <w:t>（类）</w:t>
      </w:r>
      <w:r>
        <w:rPr>
          <w:rFonts w:hint="eastAsia" w:ascii="仿宋_GB2312" w:hAnsi="Times New Roman" w:eastAsia="仿宋_GB2312" w:cs="Times New Roman"/>
          <w:color w:val="000000"/>
          <w:sz w:val="32"/>
          <w:szCs w:val="32"/>
          <w:lang w:val="en-US" w:eastAsia="zh-CN"/>
        </w:rPr>
        <w:t>抚恤</w:t>
      </w:r>
      <w:r>
        <w:rPr>
          <w:rFonts w:hint="eastAsia" w:ascii="仿宋_GB2312" w:hAnsi="Times New Roman" w:eastAsia="仿宋_GB2312" w:cs="Times New Roman"/>
          <w:color w:val="000000"/>
          <w:sz w:val="32"/>
          <w:szCs w:val="32"/>
          <w:lang w:eastAsia="zh-CN"/>
        </w:rPr>
        <w:t>（款）</w:t>
      </w:r>
      <w:r>
        <w:rPr>
          <w:rFonts w:hint="eastAsia" w:ascii="仿宋_GB2312" w:hAnsi="Times New Roman" w:eastAsia="仿宋_GB2312" w:cs="Times New Roman"/>
          <w:color w:val="000000"/>
          <w:sz w:val="32"/>
          <w:szCs w:val="32"/>
          <w:lang w:val="en-US" w:eastAsia="zh-CN"/>
        </w:rPr>
        <w:t>义务兵优待</w:t>
      </w:r>
      <w:r>
        <w:rPr>
          <w:rFonts w:hint="eastAsia" w:ascii="仿宋_GB2312" w:hAnsi="Times New Roman" w:eastAsia="仿宋_GB2312" w:cs="Times New Roman"/>
          <w:color w:val="000000"/>
          <w:sz w:val="32"/>
          <w:szCs w:val="32"/>
          <w:lang w:eastAsia="zh-CN"/>
        </w:rPr>
        <w:t>（项）：指</w:t>
      </w:r>
      <w:r>
        <w:rPr>
          <w:rFonts w:hint="eastAsia" w:ascii="仿宋_GB2312" w:hAnsi="Times New Roman" w:eastAsia="仿宋_GB2312" w:cs="Times New Roman"/>
          <w:color w:val="000000"/>
          <w:sz w:val="32"/>
          <w:szCs w:val="32"/>
          <w:lang w:val="en-US" w:eastAsia="zh-CN"/>
        </w:rPr>
        <w:t>用于义务兵优待方面的支出</w:t>
      </w:r>
      <w:r>
        <w:rPr>
          <w:rFonts w:hint="eastAsia" w:ascii="仿宋_GB2312" w:hAnsi="Times New Roman" w:eastAsia="仿宋_GB2312" w:cs="Times New Roman"/>
          <w:color w:val="000000"/>
          <w:sz w:val="32"/>
          <w:szCs w:val="32"/>
          <w:lang w:eastAsia="zh-CN"/>
        </w:rPr>
        <w:t>。</w:t>
      </w:r>
    </w:p>
    <w:p>
      <w:pPr>
        <w:pStyle w:val="21"/>
        <w:keepNext w:val="0"/>
        <w:keepLines w:val="0"/>
        <w:pageBreakBefore w:val="0"/>
        <w:tabs>
          <w:tab w:val="left" w:pos="960"/>
        </w:tabs>
        <w:kinsoku/>
        <w:wordWrap/>
        <w:overflowPunct/>
        <w:topLinePunct w:val="0"/>
        <w:bidi w:val="0"/>
        <w:spacing w:line="560" w:lineRule="exact"/>
        <w:textAlignment w:val="auto"/>
        <w:rPr>
          <w:rFonts w:hint="eastAsia" w:ascii="仿宋_GB2312" w:hAnsi="Times New Roman" w:eastAsia="仿宋_GB2312" w:cs="Times New Roman"/>
          <w:color w:val="000000"/>
          <w:sz w:val="32"/>
          <w:szCs w:val="32"/>
          <w:lang w:eastAsia="zh-CN"/>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社会保</w:t>
      </w:r>
      <w:r>
        <w:rPr>
          <w:rFonts w:hint="eastAsia" w:ascii="仿宋_GB2312" w:hAnsi="Times New Roman" w:eastAsia="仿宋_GB2312" w:cs="Times New Roman"/>
          <w:color w:val="000000"/>
          <w:sz w:val="32"/>
          <w:szCs w:val="32"/>
          <w:lang w:eastAsia="zh-CN"/>
        </w:rPr>
        <w:t>障和就业</w:t>
      </w:r>
      <w:r>
        <w:rPr>
          <w:rFonts w:hint="eastAsia" w:ascii="仿宋_GB2312" w:eastAsia="仿宋_GB2312" w:cs="Times New Roman"/>
          <w:color w:val="000000"/>
          <w:sz w:val="32"/>
          <w:szCs w:val="32"/>
          <w:lang w:val="en-US" w:eastAsia="zh-CN"/>
        </w:rPr>
        <w:t>支出</w:t>
      </w:r>
      <w:r>
        <w:rPr>
          <w:rFonts w:hint="eastAsia" w:ascii="仿宋_GB2312" w:hAnsi="Times New Roman" w:eastAsia="仿宋_GB2312" w:cs="Times New Roman"/>
          <w:color w:val="000000"/>
          <w:sz w:val="32"/>
          <w:szCs w:val="32"/>
          <w:lang w:eastAsia="zh-CN"/>
        </w:rPr>
        <w:t>（类）</w:t>
      </w:r>
      <w:r>
        <w:rPr>
          <w:rFonts w:hint="eastAsia" w:ascii="仿宋_GB2312" w:hAnsi="Times New Roman" w:eastAsia="仿宋_GB2312" w:cs="Times New Roman"/>
          <w:color w:val="000000"/>
          <w:sz w:val="32"/>
          <w:szCs w:val="32"/>
          <w:lang w:val="en-US" w:eastAsia="zh-CN"/>
        </w:rPr>
        <w:t>抚恤</w:t>
      </w:r>
      <w:r>
        <w:rPr>
          <w:rFonts w:hint="eastAsia" w:ascii="仿宋_GB2312" w:hAnsi="Times New Roman" w:eastAsia="仿宋_GB2312" w:cs="Times New Roman"/>
          <w:color w:val="000000"/>
          <w:sz w:val="32"/>
          <w:szCs w:val="32"/>
          <w:lang w:eastAsia="zh-CN"/>
        </w:rPr>
        <w:t>（款）</w:t>
      </w:r>
      <w:r>
        <w:rPr>
          <w:rFonts w:hint="eastAsia" w:ascii="仿宋_GB2312" w:hAnsi="Times New Roman" w:eastAsia="仿宋_GB2312" w:cs="Times New Roman"/>
          <w:color w:val="000000"/>
          <w:sz w:val="32"/>
          <w:szCs w:val="32"/>
          <w:lang w:val="en-US" w:eastAsia="zh-CN"/>
        </w:rPr>
        <w:t>其他优抚支出</w:t>
      </w:r>
      <w:r>
        <w:rPr>
          <w:rFonts w:hint="eastAsia" w:ascii="仿宋_GB2312" w:hAnsi="Times New Roman" w:eastAsia="仿宋_GB2312" w:cs="Times New Roman"/>
          <w:color w:val="000000"/>
          <w:sz w:val="32"/>
          <w:szCs w:val="32"/>
          <w:lang w:eastAsia="zh-CN"/>
        </w:rPr>
        <w:t>（项）：指</w:t>
      </w:r>
      <w:r>
        <w:rPr>
          <w:rFonts w:hint="eastAsia" w:ascii="仿宋_GB2312" w:hAnsi="Times New Roman" w:eastAsia="仿宋_GB2312" w:cs="Times New Roman"/>
          <w:color w:val="000000"/>
          <w:sz w:val="32"/>
          <w:szCs w:val="32"/>
          <w:lang w:val="en-US" w:eastAsia="zh-CN"/>
        </w:rPr>
        <w:t>其他用于优抚方面的支出，包括向优抚对象发放的价格临时补贴等支出</w:t>
      </w:r>
      <w:r>
        <w:rPr>
          <w:rFonts w:hint="eastAsia" w:ascii="仿宋_GB2312" w:hAnsi="Times New Roman" w:eastAsia="仿宋_GB2312" w:cs="Times New Roman"/>
          <w:color w:val="000000"/>
          <w:sz w:val="32"/>
          <w:szCs w:val="32"/>
          <w:lang w:eastAsia="zh-CN"/>
        </w:rPr>
        <w:t>。</w:t>
      </w:r>
    </w:p>
    <w:p>
      <w:pPr>
        <w:pStyle w:val="21"/>
        <w:keepNext w:val="0"/>
        <w:keepLines w:val="0"/>
        <w:pageBreakBefore w:val="0"/>
        <w:tabs>
          <w:tab w:val="left" w:pos="960"/>
        </w:tabs>
        <w:kinsoku/>
        <w:wordWrap/>
        <w:overflowPunct/>
        <w:topLinePunct w:val="0"/>
        <w:bidi w:val="0"/>
        <w:spacing w:line="560" w:lineRule="exact"/>
        <w:textAlignment w:val="auto"/>
        <w:rPr>
          <w:rFonts w:hint="eastAsia" w:ascii="仿宋_GB2312" w:hAnsi="Times New Roman" w:eastAsia="仿宋_GB2312" w:cs="Times New Roman"/>
          <w:color w:val="000000"/>
          <w:sz w:val="32"/>
          <w:szCs w:val="32"/>
          <w:lang w:eastAsia="zh-CN"/>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社会保</w:t>
      </w:r>
      <w:r>
        <w:rPr>
          <w:rFonts w:hint="eastAsia" w:ascii="仿宋_GB2312" w:hAnsi="Times New Roman" w:eastAsia="仿宋_GB2312" w:cs="Times New Roman"/>
          <w:color w:val="000000"/>
          <w:sz w:val="32"/>
          <w:szCs w:val="32"/>
          <w:lang w:eastAsia="zh-CN"/>
        </w:rPr>
        <w:t>障和就业</w:t>
      </w:r>
      <w:r>
        <w:rPr>
          <w:rFonts w:hint="eastAsia" w:ascii="仿宋_GB2312" w:eastAsia="仿宋_GB2312" w:cs="Times New Roman"/>
          <w:color w:val="000000"/>
          <w:sz w:val="32"/>
          <w:szCs w:val="32"/>
          <w:lang w:val="en-US" w:eastAsia="zh-CN"/>
        </w:rPr>
        <w:t>支出</w:t>
      </w:r>
      <w:r>
        <w:rPr>
          <w:rFonts w:hint="eastAsia" w:ascii="仿宋_GB2312" w:hAnsi="Times New Roman" w:eastAsia="仿宋_GB2312" w:cs="Times New Roman"/>
          <w:color w:val="000000"/>
          <w:sz w:val="32"/>
          <w:szCs w:val="32"/>
          <w:lang w:eastAsia="zh-CN"/>
        </w:rPr>
        <w:t>（类）</w:t>
      </w:r>
      <w:r>
        <w:rPr>
          <w:rFonts w:hint="eastAsia" w:ascii="仿宋_GB2312" w:hAnsi="Times New Roman" w:eastAsia="仿宋_GB2312" w:cs="Times New Roman"/>
          <w:color w:val="000000"/>
          <w:sz w:val="32"/>
          <w:szCs w:val="32"/>
          <w:lang w:val="en-US" w:eastAsia="zh-CN"/>
        </w:rPr>
        <w:t>退役安置</w:t>
      </w:r>
      <w:r>
        <w:rPr>
          <w:rFonts w:hint="eastAsia" w:ascii="仿宋_GB2312" w:hAnsi="Times New Roman" w:eastAsia="仿宋_GB2312" w:cs="Times New Roman"/>
          <w:color w:val="000000"/>
          <w:sz w:val="32"/>
          <w:szCs w:val="32"/>
          <w:lang w:eastAsia="zh-CN"/>
        </w:rPr>
        <w:t>（款）</w:t>
      </w:r>
      <w:r>
        <w:rPr>
          <w:rFonts w:hint="eastAsia" w:ascii="仿宋_GB2312" w:hAnsi="Times New Roman" w:eastAsia="仿宋_GB2312" w:cs="Times New Roman"/>
          <w:color w:val="000000"/>
          <w:sz w:val="32"/>
          <w:szCs w:val="32"/>
          <w:lang w:val="en-US" w:eastAsia="zh-CN"/>
        </w:rPr>
        <w:t>退役士兵安置</w:t>
      </w:r>
      <w:r>
        <w:rPr>
          <w:rFonts w:hint="eastAsia" w:ascii="仿宋_GB2312" w:hAnsi="Times New Roman" w:eastAsia="仿宋_GB2312" w:cs="Times New Roman"/>
          <w:color w:val="000000"/>
          <w:sz w:val="32"/>
          <w:szCs w:val="32"/>
          <w:lang w:eastAsia="zh-CN"/>
        </w:rPr>
        <w:t>（项）：指</w:t>
      </w:r>
      <w:r>
        <w:rPr>
          <w:rFonts w:hint="eastAsia" w:ascii="仿宋_GB2312" w:hAnsi="Times New Roman" w:eastAsia="仿宋_GB2312" w:cs="Times New Roman"/>
          <w:color w:val="000000"/>
          <w:sz w:val="32"/>
          <w:szCs w:val="32"/>
          <w:lang w:val="en-US" w:eastAsia="zh-CN"/>
        </w:rPr>
        <w:t>按规定用于伤残义务兵的一次性建房补助，对符合条件的退役士兵、转业士官的安置支出</w:t>
      </w:r>
      <w:r>
        <w:rPr>
          <w:rFonts w:hint="eastAsia" w:ascii="仿宋_GB2312" w:hAnsi="Times New Roman" w:eastAsia="仿宋_GB2312" w:cs="Times New Roman"/>
          <w:color w:val="000000"/>
          <w:sz w:val="32"/>
          <w:szCs w:val="32"/>
          <w:lang w:eastAsia="zh-CN"/>
        </w:rPr>
        <w:t>。</w:t>
      </w:r>
    </w:p>
    <w:p>
      <w:pPr>
        <w:pStyle w:val="21"/>
        <w:keepNext w:val="0"/>
        <w:keepLines w:val="0"/>
        <w:pageBreakBefore w:val="0"/>
        <w:tabs>
          <w:tab w:val="left" w:pos="960"/>
        </w:tabs>
        <w:kinsoku/>
        <w:wordWrap/>
        <w:overflowPunct/>
        <w:topLinePunct w:val="0"/>
        <w:bidi w:val="0"/>
        <w:spacing w:line="560" w:lineRule="exact"/>
        <w:textAlignment w:val="auto"/>
        <w:rPr>
          <w:rFonts w:hint="eastAsia" w:ascii="仿宋_GB2312" w:hAnsi="Times New Roman" w:eastAsia="仿宋_GB2312" w:cs="Times New Roman"/>
          <w:color w:val="000000"/>
          <w:sz w:val="32"/>
          <w:szCs w:val="32"/>
          <w:lang w:eastAsia="zh-CN"/>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社会保</w:t>
      </w:r>
      <w:r>
        <w:rPr>
          <w:rFonts w:hint="eastAsia" w:ascii="仿宋_GB2312" w:hAnsi="Times New Roman" w:eastAsia="仿宋_GB2312" w:cs="Times New Roman"/>
          <w:color w:val="000000"/>
          <w:sz w:val="32"/>
          <w:szCs w:val="32"/>
          <w:lang w:eastAsia="zh-CN"/>
        </w:rPr>
        <w:t>障和就业</w:t>
      </w:r>
      <w:r>
        <w:rPr>
          <w:rFonts w:hint="eastAsia" w:ascii="仿宋_GB2312" w:eastAsia="仿宋_GB2312" w:cs="Times New Roman"/>
          <w:color w:val="000000"/>
          <w:sz w:val="32"/>
          <w:szCs w:val="32"/>
          <w:lang w:val="en-US" w:eastAsia="zh-CN"/>
        </w:rPr>
        <w:t>支出</w:t>
      </w:r>
      <w:r>
        <w:rPr>
          <w:rFonts w:hint="eastAsia" w:ascii="仿宋_GB2312" w:hAnsi="Times New Roman" w:eastAsia="仿宋_GB2312" w:cs="Times New Roman"/>
          <w:color w:val="000000"/>
          <w:sz w:val="32"/>
          <w:szCs w:val="32"/>
          <w:lang w:eastAsia="zh-CN"/>
        </w:rPr>
        <w:t>（类）</w:t>
      </w:r>
      <w:r>
        <w:rPr>
          <w:rFonts w:hint="eastAsia" w:ascii="仿宋_GB2312" w:hAnsi="Times New Roman" w:eastAsia="仿宋_GB2312" w:cs="Times New Roman"/>
          <w:color w:val="000000"/>
          <w:sz w:val="32"/>
          <w:szCs w:val="32"/>
          <w:lang w:val="en-US" w:eastAsia="zh-CN"/>
        </w:rPr>
        <w:t>退役安置</w:t>
      </w:r>
      <w:r>
        <w:rPr>
          <w:rFonts w:hint="eastAsia" w:ascii="仿宋_GB2312" w:hAnsi="Times New Roman" w:eastAsia="仿宋_GB2312" w:cs="Times New Roman"/>
          <w:color w:val="000000"/>
          <w:sz w:val="32"/>
          <w:szCs w:val="32"/>
          <w:lang w:eastAsia="zh-CN"/>
        </w:rPr>
        <w:t>（款）</w:t>
      </w:r>
      <w:r>
        <w:rPr>
          <w:rFonts w:hint="eastAsia" w:ascii="仿宋_GB2312" w:hAnsi="Times New Roman" w:eastAsia="仿宋_GB2312" w:cs="Times New Roman"/>
          <w:color w:val="000000"/>
          <w:sz w:val="32"/>
          <w:szCs w:val="32"/>
          <w:lang w:val="en-US" w:eastAsia="zh-CN"/>
        </w:rPr>
        <w:t>军队转业干部安置</w:t>
      </w:r>
      <w:r>
        <w:rPr>
          <w:rFonts w:hint="eastAsia" w:ascii="仿宋_GB2312" w:hAnsi="Times New Roman" w:eastAsia="仿宋_GB2312" w:cs="Times New Roman"/>
          <w:color w:val="000000"/>
          <w:sz w:val="32"/>
          <w:szCs w:val="32"/>
          <w:lang w:eastAsia="zh-CN"/>
        </w:rPr>
        <w:t>（项）：指</w:t>
      </w:r>
      <w:r>
        <w:rPr>
          <w:rFonts w:hint="eastAsia" w:ascii="仿宋_GB2312" w:hAnsi="Times New Roman" w:eastAsia="仿宋_GB2312" w:cs="Times New Roman"/>
          <w:color w:val="000000"/>
          <w:sz w:val="32"/>
          <w:szCs w:val="32"/>
          <w:lang w:val="en-US" w:eastAsia="zh-CN"/>
        </w:rPr>
        <w:t>军转干部安置、人员经费、自主择业退役金等方面的支出</w:t>
      </w:r>
      <w:r>
        <w:rPr>
          <w:rFonts w:hint="eastAsia" w:ascii="仿宋_GB2312" w:hAnsi="Times New Roman" w:eastAsia="仿宋_GB2312" w:cs="Times New Roman"/>
          <w:color w:val="000000"/>
          <w:sz w:val="32"/>
          <w:szCs w:val="32"/>
          <w:lang w:eastAsia="zh-CN"/>
        </w:rPr>
        <w:t>。</w:t>
      </w:r>
    </w:p>
    <w:p>
      <w:pPr>
        <w:pStyle w:val="21"/>
        <w:keepNext w:val="0"/>
        <w:keepLines w:val="0"/>
        <w:pageBreakBefore w:val="0"/>
        <w:tabs>
          <w:tab w:val="left" w:pos="960"/>
        </w:tabs>
        <w:kinsoku/>
        <w:wordWrap/>
        <w:overflowPunct/>
        <w:topLinePunct w:val="0"/>
        <w:bidi w:val="0"/>
        <w:spacing w:line="560" w:lineRule="exact"/>
        <w:textAlignment w:val="auto"/>
        <w:rPr>
          <w:rFonts w:hint="eastAsia" w:ascii="仿宋_GB2312" w:hAnsi="Times New Roman" w:eastAsia="仿宋_GB2312" w:cs="Times New Roman"/>
          <w:color w:val="000000"/>
          <w:sz w:val="32"/>
          <w:szCs w:val="32"/>
          <w:lang w:eastAsia="zh-CN"/>
        </w:rPr>
      </w:pPr>
      <w:r>
        <w:rPr>
          <w:rFonts w:hint="eastAsia" w:ascii="仿宋_GB2312" w:eastAsia="仿宋_GB2312"/>
          <w:color w:val="000000"/>
          <w:sz w:val="32"/>
          <w:szCs w:val="32"/>
          <w:lang w:val="en-US" w:eastAsia="zh-CN"/>
        </w:rPr>
        <w:t>17</w:t>
      </w:r>
      <w:r>
        <w:rPr>
          <w:rFonts w:ascii="仿宋_GB2312" w:eastAsia="仿宋_GB2312"/>
          <w:color w:val="000000"/>
          <w:sz w:val="32"/>
          <w:szCs w:val="32"/>
        </w:rPr>
        <w:t>.</w:t>
      </w:r>
      <w:r>
        <w:rPr>
          <w:rFonts w:hint="eastAsia" w:ascii="仿宋_GB2312" w:eastAsia="仿宋_GB2312"/>
          <w:color w:val="000000"/>
          <w:sz w:val="32"/>
          <w:szCs w:val="32"/>
        </w:rPr>
        <w:t>社会保</w:t>
      </w:r>
      <w:r>
        <w:rPr>
          <w:rFonts w:hint="eastAsia" w:ascii="仿宋_GB2312" w:hAnsi="Times New Roman" w:eastAsia="仿宋_GB2312" w:cs="Times New Roman"/>
          <w:color w:val="000000"/>
          <w:sz w:val="32"/>
          <w:szCs w:val="32"/>
          <w:lang w:eastAsia="zh-CN"/>
        </w:rPr>
        <w:t>障和就业</w:t>
      </w:r>
      <w:r>
        <w:rPr>
          <w:rFonts w:hint="eastAsia" w:ascii="仿宋_GB2312" w:eastAsia="仿宋_GB2312" w:cs="Times New Roman"/>
          <w:color w:val="000000"/>
          <w:sz w:val="32"/>
          <w:szCs w:val="32"/>
          <w:lang w:val="en-US" w:eastAsia="zh-CN"/>
        </w:rPr>
        <w:t>支出</w:t>
      </w:r>
      <w:r>
        <w:rPr>
          <w:rFonts w:hint="eastAsia" w:ascii="仿宋_GB2312" w:hAnsi="Times New Roman" w:eastAsia="仿宋_GB2312" w:cs="Times New Roman"/>
          <w:color w:val="000000"/>
          <w:sz w:val="32"/>
          <w:szCs w:val="32"/>
          <w:lang w:eastAsia="zh-CN"/>
        </w:rPr>
        <w:t>（类）</w:t>
      </w:r>
      <w:r>
        <w:rPr>
          <w:rFonts w:hint="eastAsia" w:ascii="仿宋_GB2312" w:hAnsi="Times New Roman" w:eastAsia="仿宋_GB2312" w:cs="Times New Roman"/>
          <w:color w:val="000000"/>
          <w:sz w:val="32"/>
          <w:szCs w:val="32"/>
          <w:lang w:val="en-US" w:eastAsia="zh-CN"/>
        </w:rPr>
        <w:t>退役安置</w:t>
      </w:r>
      <w:r>
        <w:rPr>
          <w:rFonts w:hint="eastAsia" w:ascii="仿宋_GB2312" w:hAnsi="Times New Roman" w:eastAsia="仿宋_GB2312" w:cs="Times New Roman"/>
          <w:color w:val="000000"/>
          <w:sz w:val="32"/>
          <w:szCs w:val="32"/>
          <w:lang w:eastAsia="zh-CN"/>
        </w:rPr>
        <w:t>（款）</w:t>
      </w:r>
      <w:r>
        <w:rPr>
          <w:rFonts w:hint="eastAsia" w:ascii="仿宋_GB2312" w:hAnsi="Times New Roman" w:eastAsia="仿宋_GB2312" w:cs="Times New Roman"/>
          <w:color w:val="000000"/>
          <w:sz w:val="32"/>
          <w:szCs w:val="32"/>
          <w:lang w:val="en-US" w:eastAsia="zh-CN"/>
        </w:rPr>
        <w:t>其他退役安置支出</w:t>
      </w:r>
      <w:r>
        <w:rPr>
          <w:rFonts w:hint="eastAsia" w:ascii="仿宋_GB2312" w:hAnsi="Times New Roman" w:eastAsia="仿宋_GB2312" w:cs="Times New Roman"/>
          <w:color w:val="000000"/>
          <w:sz w:val="32"/>
          <w:szCs w:val="32"/>
          <w:lang w:eastAsia="zh-CN"/>
        </w:rPr>
        <w:t>（项）：指</w:t>
      </w:r>
      <w:r>
        <w:rPr>
          <w:rFonts w:hint="eastAsia" w:ascii="仿宋_GB2312" w:hAnsi="Times New Roman" w:eastAsia="仿宋_GB2312" w:cs="Times New Roman"/>
          <w:color w:val="000000"/>
          <w:sz w:val="32"/>
          <w:szCs w:val="32"/>
          <w:lang w:val="en-US" w:eastAsia="zh-CN"/>
        </w:rPr>
        <w:t>其他用于退役安置方面的支出</w:t>
      </w:r>
      <w:r>
        <w:rPr>
          <w:rFonts w:hint="eastAsia" w:ascii="仿宋_GB2312" w:hAnsi="Times New Roman" w:eastAsia="仿宋_GB2312" w:cs="Times New Roman"/>
          <w:color w:val="000000"/>
          <w:sz w:val="32"/>
          <w:szCs w:val="32"/>
          <w:lang w:eastAsia="zh-CN"/>
        </w:rPr>
        <w:t>。</w:t>
      </w:r>
    </w:p>
    <w:p>
      <w:pPr>
        <w:pStyle w:val="21"/>
        <w:keepNext w:val="0"/>
        <w:keepLines w:val="0"/>
        <w:pageBreakBefore w:val="0"/>
        <w:tabs>
          <w:tab w:val="left" w:pos="960"/>
        </w:tabs>
        <w:kinsoku/>
        <w:wordWrap/>
        <w:overflowPunct/>
        <w:topLinePunct w:val="0"/>
        <w:bidi w:val="0"/>
        <w:spacing w:line="560" w:lineRule="exact"/>
        <w:textAlignment w:val="auto"/>
        <w:rPr>
          <w:rFonts w:hint="eastAsia" w:ascii="仿宋_GB2312" w:hAnsi="Times New Roman" w:eastAsia="仿宋_GB2312" w:cs="Times New Roman"/>
          <w:color w:val="000000"/>
          <w:sz w:val="32"/>
          <w:szCs w:val="32"/>
          <w:lang w:eastAsia="zh-CN"/>
        </w:rPr>
      </w:pPr>
      <w:r>
        <w:rPr>
          <w:rFonts w:hint="eastAsia" w:ascii="仿宋_GB2312" w:eastAsia="仿宋_GB2312"/>
          <w:color w:val="000000"/>
          <w:sz w:val="32"/>
          <w:szCs w:val="32"/>
          <w:lang w:val="en-US" w:eastAsia="zh-CN"/>
        </w:rPr>
        <w:t>18</w:t>
      </w:r>
      <w:r>
        <w:rPr>
          <w:rFonts w:ascii="仿宋_GB2312" w:eastAsia="仿宋_GB2312"/>
          <w:color w:val="000000"/>
          <w:sz w:val="32"/>
          <w:szCs w:val="32"/>
        </w:rPr>
        <w:t>.</w:t>
      </w:r>
      <w:r>
        <w:rPr>
          <w:rFonts w:hint="eastAsia" w:ascii="仿宋_GB2312" w:eastAsia="仿宋_GB2312"/>
          <w:color w:val="000000"/>
          <w:sz w:val="32"/>
          <w:szCs w:val="32"/>
        </w:rPr>
        <w:t>社会保</w:t>
      </w:r>
      <w:r>
        <w:rPr>
          <w:rFonts w:hint="eastAsia" w:ascii="仿宋_GB2312" w:hAnsi="Times New Roman" w:eastAsia="仿宋_GB2312" w:cs="Times New Roman"/>
          <w:color w:val="000000"/>
          <w:sz w:val="32"/>
          <w:szCs w:val="32"/>
          <w:lang w:eastAsia="zh-CN"/>
        </w:rPr>
        <w:t>障和就业</w:t>
      </w:r>
      <w:r>
        <w:rPr>
          <w:rFonts w:hint="eastAsia" w:ascii="仿宋_GB2312" w:eastAsia="仿宋_GB2312" w:cs="Times New Roman"/>
          <w:color w:val="000000"/>
          <w:sz w:val="32"/>
          <w:szCs w:val="32"/>
          <w:lang w:val="en-US" w:eastAsia="zh-CN"/>
        </w:rPr>
        <w:t>支出</w:t>
      </w:r>
      <w:r>
        <w:rPr>
          <w:rFonts w:hint="eastAsia" w:ascii="仿宋_GB2312" w:hAnsi="Times New Roman" w:eastAsia="仿宋_GB2312" w:cs="Times New Roman"/>
          <w:color w:val="000000"/>
          <w:sz w:val="32"/>
          <w:szCs w:val="32"/>
          <w:lang w:eastAsia="zh-CN"/>
        </w:rPr>
        <w:t>（类）</w:t>
      </w:r>
      <w:r>
        <w:rPr>
          <w:rFonts w:hint="eastAsia" w:ascii="仿宋_GB2312" w:hAnsi="Times New Roman" w:eastAsia="仿宋_GB2312" w:cs="Times New Roman"/>
          <w:color w:val="000000"/>
          <w:sz w:val="32"/>
          <w:szCs w:val="32"/>
          <w:lang w:val="en-US" w:eastAsia="zh-CN"/>
        </w:rPr>
        <w:t>临时救助</w:t>
      </w:r>
      <w:r>
        <w:rPr>
          <w:rFonts w:hint="eastAsia" w:ascii="仿宋_GB2312" w:hAnsi="Times New Roman" w:eastAsia="仿宋_GB2312" w:cs="Times New Roman"/>
          <w:color w:val="000000"/>
          <w:sz w:val="32"/>
          <w:szCs w:val="32"/>
          <w:lang w:eastAsia="zh-CN"/>
        </w:rPr>
        <w:t>（款）</w:t>
      </w:r>
      <w:r>
        <w:rPr>
          <w:rFonts w:hint="eastAsia" w:ascii="仿宋_GB2312" w:hAnsi="Times New Roman" w:eastAsia="仿宋_GB2312" w:cs="Times New Roman"/>
          <w:color w:val="000000"/>
          <w:sz w:val="32"/>
          <w:szCs w:val="32"/>
          <w:lang w:val="en-US" w:eastAsia="zh-CN"/>
        </w:rPr>
        <w:t>临时救助支出</w:t>
      </w:r>
      <w:r>
        <w:rPr>
          <w:rFonts w:hint="eastAsia" w:ascii="仿宋_GB2312" w:hAnsi="Times New Roman" w:eastAsia="仿宋_GB2312" w:cs="Times New Roman"/>
          <w:color w:val="000000"/>
          <w:sz w:val="32"/>
          <w:szCs w:val="32"/>
          <w:lang w:eastAsia="zh-CN"/>
        </w:rPr>
        <w:t>（项）：指</w:t>
      </w:r>
      <w:r>
        <w:rPr>
          <w:rFonts w:hint="eastAsia" w:ascii="仿宋_GB2312" w:hAnsi="Times New Roman" w:eastAsia="仿宋_GB2312" w:cs="Times New Roman"/>
          <w:color w:val="000000"/>
          <w:sz w:val="32"/>
          <w:szCs w:val="32"/>
          <w:lang w:val="en-US" w:eastAsia="zh-CN"/>
        </w:rPr>
        <w:t>用于城乡生活困难居民的临时救助支出</w:t>
      </w:r>
      <w:r>
        <w:rPr>
          <w:rFonts w:hint="eastAsia" w:ascii="仿宋_GB2312" w:hAnsi="Times New Roman" w:eastAsia="仿宋_GB2312" w:cs="Times New Roman"/>
          <w:color w:val="000000"/>
          <w:sz w:val="32"/>
          <w:szCs w:val="32"/>
          <w:lang w:eastAsia="zh-CN"/>
        </w:rPr>
        <w:t>。</w:t>
      </w:r>
    </w:p>
    <w:p>
      <w:pPr>
        <w:pStyle w:val="21"/>
        <w:keepNext w:val="0"/>
        <w:keepLines w:val="0"/>
        <w:pageBreakBefore w:val="0"/>
        <w:tabs>
          <w:tab w:val="left" w:pos="960"/>
        </w:tabs>
        <w:kinsoku/>
        <w:wordWrap/>
        <w:overflowPunct/>
        <w:topLinePunct w:val="0"/>
        <w:bidi w:val="0"/>
        <w:spacing w:line="560" w:lineRule="exact"/>
        <w:textAlignment w:val="auto"/>
        <w:rPr>
          <w:rFonts w:hint="eastAsia" w:ascii="仿宋_GB2312" w:hAnsi="Times New Roman" w:eastAsia="仿宋_GB2312" w:cs="Times New Roman"/>
          <w:color w:val="000000"/>
          <w:sz w:val="32"/>
          <w:szCs w:val="32"/>
          <w:lang w:eastAsia="zh-CN"/>
        </w:rPr>
      </w:pPr>
      <w:r>
        <w:rPr>
          <w:rFonts w:hint="eastAsia" w:ascii="仿宋_GB2312" w:eastAsia="仿宋_GB2312"/>
          <w:color w:val="000000"/>
          <w:sz w:val="32"/>
          <w:szCs w:val="32"/>
          <w:lang w:val="en-US" w:eastAsia="zh-CN"/>
        </w:rPr>
        <w:t>18</w:t>
      </w:r>
      <w:r>
        <w:rPr>
          <w:rFonts w:ascii="仿宋_GB2312" w:eastAsia="仿宋_GB2312"/>
          <w:color w:val="000000"/>
          <w:sz w:val="32"/>
          <w:szCs w:val="32"/>
        </w:rPr>
        <w:t>.</w:t>
      </w:r>
      <w:r>
        <w:rPr>
          <w:rFonts w:hint="eastAsia" w:ascii="仿宋_GB2312" w:eastAsia="仿宋_GB2312"/>
          <w:color w:val="000000"/>
          <w:sz w:val="32"/>
          <w:szCs w:val="32"/>
        </w:rPr>
        <w:t>社会保</w:t>
      </w:r>
      <w:r>
        <w:rPr>
          <w:rFonts w:hint="eastAsia" w:ascii="仿宋_GB2312" w:hAnsi="Times New Roman" w:eastAsia="仿宋_GB2312" w:cs="Times New Roman"/>
          <w:color w:val="000000"/>
          <w:sz w:val="32"/>
          <w:szCs w:val="32"/>
          <w:lang w:eastAsia="zh-CN"/>
        </w:rPr>
        <w:t>障和就业</w:t>
      </w:r>
      <w:r>
        <w:rPr>
          <w:rFonts w:hint="eastAsia" w:ascii="仿宋_GB2312" w:eastAsia="仿宋_GB2312" w:cs="Times New Roman"/>
          <w:color w:val="000000"/>
          <w:sz w:val="32"/>
          <w:szCs w:val="32"/>
          <w:lang w:val="en-US" w:eastAsia="zh-CN"/>
        </w:rPr>
        <w:t>支出</w:t>
      </w:r>
      <w:r>
        <w:rPr>
          <w:rFonts w:hint="eastAsia" w:ascii="仿宋_GB2312" w:hAnsi="Times New Roman" w:eastAsia="仿宋_GB2312" w:cs="Times New Roman"/>
          <w:color w:val="000000"/>
          <w:sz w:val="32"/>
          <w:szCs w:val="32"/>
          <w:lang w:eastAsia="zh-CN"/>
        </w:rPr>
        <w:t>（类）</w:t>
      </w:r>
      <w:r>
        <w:rPr>
          <w:rFonts w:hint="eastAsia" w:ascii="仿宋_GB2312" w:hAnsi="Times New Roman" w:eastAsia="仿宋_GB2312" w:cs="Times New Roman"/>
          <w:color w:val="000000"/>
          <w:sz w:val="32"/>
          <w:szCs w:val="32"/>
          <w:lang w:val="en-US" w:eastAsia="zh-CN"/>
        </w:rPr>
        <w:t>退役军人管理事务</w:t>
      </w:r>
      <w:r>
        <w:rPr>
          <w:rFonts w:hint="eastAsia" w:ascii="仿宋_GB2312" w:hAnsi="Times New Roman" w:eastAsia="仿宋_GB2312" w:cs="Times New Roman"/>
          <w:color w:val="000000"/>
          <w:sz w:val="32"/>
          <w:szCs w:val="32"/>
          <w:lang w:eastAsia="zh-CN"/>
        </w:rPr>
        <w:t>（款）</w:t>
      </w:r>
      <w:r>
        <w:rPr>
          <w:rFonts w:hint="eastAsia" w:ascii="仿宋_GB2312" w:hAnsi="Times New Roman" w:eastAsia="仿宋_GB2312" w:cs="Times New Roman"/>
          <w:color w:val="000000"/>
          <w:sz w:val="32"/>
          <w:szCs w:val="32"/>
          <w:lang w:val="en-US" w:eastAsia="zh-CN"/>
        </w:rPr>
        <w:t>行政运行</w:t>
      </w:r>
      <w:r>
        <w:rPr>
          <w:rFonts w:hint="eastAsia" w:ascii="仿宋_GB2312" w:hAnsi="Times New Roman" w:eastAsia="仿宋_GB2312" w:cs="Times New Roman"/>
          <w:color w:val="000000"/>
          <w:sz w:val="32"/>
          <w:szCs w:val="32"/>
          <w:lang w:eastAsia="zh-CN"/>
        </w:rPr>
        <w:t>（项）：指</w:t>
      </w:r>
      <w:r>
        <w:rPr>
          <w:rFonts w:hint="eastAsia" w:ascii="仿宋_GB2312" w:hAnsi="Times New Roman" w:eastAsia="仿宋_GB2312" w:cs="Times New Roman"/>
          <w:color w:val="000000"/>
          <w:sz w:val="32"/>
          <w:szCs w:val="32"/>
          <w:lang w:val="en-US" w:eastAsia="zh-CN"/>
        </w:rPr>
        <w:t>行政单位（包括实行公务员管理的事业单位）的基本支出</w:t>
      </w:r>
      <w:r>
        <w:rPr>
          <w:rFonts w:hint="eastAsia" w:ascii="仿宋_GB2312" w:hAnsi="Times New Roman" w:eastAsia="仿宋_GB2312" w:cs="Times New Roman"/>
          <w:color w:val="000000"/>
          <w:sz w:val="32"/>
          <w:szCs w:val="32"/>
          <w:lang w:eastAsia="zh-CN"/>
        </w:rPr>
        <w:t>。</w:t>
      </w:r>
    </w:p>
    <w:p>
      <w:pPr>
        <w:pStyle w:val="21"/>
        <w:keepNext w:val="0"/>
        <w:keepLines w:val="0"/>
        <w:pageBreakBefore w:val="0"/>
        <w:tabs>
          <w:tab w:val="left" w:pos="960"/>
        </w:tabs>
        <w:kinsoku/>
        <w:wordWrap/>
        <w:overflowPunct/>
        <w:topLinePunct w:val="0"/>
        <w:bidi w:val="0"/>
        <w:spacing w:line="560" w:lineRule="exact"/>
        <w:textAlignment w:val="auto"/>
        <w:rPr>
          <w:rFonts w:hint="eastAsia" w:ascii="仿宋_GB2312" w:hAnsi="Times New Roman" w:eastAsia="仿宋_GB2312" w:cs="Times New Roman"/>
          <w:color w:val="000000"/>
          <w:sz w:val="32"/>
          <w:szCs w:val="32"/>
          <w:lang w:eastAsia="zh-CN"/>
        </w:rPr>
      </w:pPr>
      <w:r>
        <w:rPr>
          <w:rFonts w:hint="eastAsia" w:ascii="仿宋_GB2312" w:eastAsia="仿宋_GB2312"/>
          <w:color w:val="000000"/>
          <w:sz w:val="32"/>
          <w:szCs w:val="32"/>
          <w:lang w:val="en-US" w:eastAsia="zh-CN"/>
        </w:rPr>
        <w:t>19</w:t>
      </w:r>
      <w:r>
        <w:rPr>
          <w:rFonts w:ascii="仿宋_GB2312" w:eastAsia="仿宋_GB2312"/>
          <w:color w:val="000000"/>
          <w:sz w:val="32"/>
          <w:szCs w:val="32"/>
        </w:rPr>
        <w:t>.</w:t>
      </w:r>
      <w:r>
        <w:rPr>
          <w:rFonts w:hint="eastAsia" w:ascii="仿宋_GB2312" w:eastAsia="仿宋_GB2312"/>
          <w:color w:val="000000"/>
          <w:sz w:val="32"/>
          <w:szCs w:val="32"/>
        </w:rPr>
        <w:t>社会保</w:t>
      </w:r>
      <w:r>
        <w:rPr>
          <w:rFonts w:hint="eastAsia" w:ascii="仿宋_GB2312" w:hAnsi="Times New Roman" w:eastAsia="仿宋_GB2312" w:cs="Times New Roman"/>
          <w:color w:val="000000"/>
          <w:sz w:val="32"/>
          <w:szCs w:val="32"/>
          <w:lang w:eastAsia="zh-CN"/>
        </w:rPr>
        <w:t>障和就业</w:t>
      </w:r>
      <w:r>
        <w:rPr>
          <w:rFonts w:hint="eastAsia" w:ascii="仿宋_GB2312" w:eastAsia="仿宋_GB2312" w:cs="Times New Roman"/>
          <w:color w:val="000000"/>
          <w:sz w:val="32"/>
          <w:szCs w:val="32"/>
          <w:lang w:val="en-US" w:eastAsia="zh-CN"/>
        </w:rPr>
        <w:t>支出</w:t>
      </w:r>
      <w:r>
        <w:rPr>
          <w:rFonts w:hint="eastAsia" w:ascii="仿宋_GB2312" w:hAnsi="Times New Roman" w:eastAsia="仿宋_GB2312" w:cs="Times New Roman"/>
          <w:color w:val="000000"/>
          <w:sz w:val="32"/>
          <w:szCs w:val="32"/>
          <w:lang w:eastAsia="zh-CN"/>
        </w:rPr>
        <w:t>（类）</w:t>
      </w:r>
      <w:r>
        <w:rPr>
          <w:rFonts w:hint="eastAsia" w:ascii="仿宋_GB2312" w:hAnsi="Times New Roman" w:eastAsia="仿宋_GB2312" w:cs="Times New Roman"/>
          <w:color w:val="000000"/>
          <w:sz w:val="32"/>
          <w:szCs w:val="32"/>
          <w:lang w:val="en-US" w:eastAsia="zh-CN"/>
        </w:rPr>
        <w:t>退役军人管理事务</w:t>
      </w:r>
      <w:r>
        <w:rPr>
          <w:rFonts w:hint="eastAsia" w:ascii="仿宋_GB2312" w:hAnsi="Times New Roman" w:eastAsia="仿宋_GB2312" w:cs="Times New Roman"/>
          <w:color w:val="000000"/>
          <w:sz w:val="32"/>
          <w:szCs w:val="32"/>
          <w:lang w:eastAsia="zh-CN"/>
        </w:rPr>
        <w:t>（款）</w:t>
      </w:r>
      <w:r>
        <w:rPr>
          <w:rFonts w:hint="eastAsia" w:ascii="仿宋_GB2312" w:hAnsi="Times New Roman" w:eastAsia="仿宋_GB2312" w:cs="Times New Roman"/>
          <w:color w:val="000000"/>
          <w:sz w:val="32"/>
          <w:szCs w:val="32"/>
          <w:lang w:val="en-US" w:eastAsia="zh-CN"/>
        </w:rPr>
        <w:t>一般行政管理事务</w:t>
      </w:r>
      <w:r>
        <w:rPr>
          <w:rFonts w:hint="eastAsia" w:ascii="仿宋_GB2312" w:hAnsi="Times New Roman" w:eastAsia="仿宋_GB2312" w:cs="Times New Roman"/>
          <w:color w:val="000000"/>
          <w:sz w:val="32"/>
          <w:szCs w:val="32"/>
          <w:lang w:eastAsia="zh-CN"/>
        </w:rPr>
        <w:t>（项）：指</w:t>
      </w:r>
      <w:r>
        <w:rPr>
          <w:rFonts w:hint="eastAsia" w:ascii="仿宋_GB2312" w:hAnsi="Times New Roman" w:eastAsia="仿宋_GB2312" w:cs="Times New Roman"/>
          <w:color w:val="000000"/>
          <w:sz w:val="32"/>
          <w:szCs w:val="32"/>
          <w:lang w:val="en-US" w:eastAsia="zh-CN"/>
        </w:rPr>
        <w:t>行政单位（包括实行公务员管理的事业单位）未单独设置项级科目的其他项目支出</w:t>
      </w:r>
      <w:r>
        <w:rPr>
          <w:rFonts w:hint="eastAsia" w:ascii="仿宋_GB2312" w:hAnsi="Times New Roman" w:eastAsia="仿宋_GB2312" w:cs="Times New Roman"/>
          <w:color w:val="000000"/>
          <w:sz w:val="32"/>
          <w:szCs w:val="32"/>
          <w:lang w:eastAsia="zh-CN"/>
        </w:rPr>
        <w:t>。</w:t>
      </w:r>
    </w:p>
    <w:p>
      <w:pPr>
        <w:pStyle w:val="21"/>
        <w:keepNext w:val="0"/>
        <w:keepLines w:val="0"/>
        <w:pageBreakBefore w:val="0"/>
        <w:tabs>
          <w:tab w:val="left" w:pos="960"/>
        </w:tabs>
        <w:kinsoku/>
        <w:wordWrap/>
        <w:overflowPunct/>
        <w:topLinePunct w:val="0"/>
        <w:bidi w:val="0"/>
        <w:spacing w:line="560" w:lineRule="exact"/>
        <w:textAlignment w:val="auto"/>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20</w:t>
      </w:r>
      <w:r>
        <w:rPr>
          <w:rFonts w:hint="eastAsia" w:ascii="仿宋_GB2312" w:hAnsi="Times New Roman" w:eastAsia="仿宋_GB2312" w:cs="Times New Roman"/>
          <w:color w:val="000000"/>
          <w:sz w:val="32"/>
          <w:szCs w:val="32"/>
          <w:lang w:eastAsia="zh-CN"/>
        </w:rPr>
        <w:t>.</w:t>
      </w:r>
      <w:r>
        <w:rPr>
          <w:rFonts w:hint="eastAsia" w:ascii="仿宋_GB2312" w:eastAsia="仿宋_GB2312" w:cs="Times New Roman"/>
          <w:color w:val="000000"/>
          <w:sz w:val="32"/>
          <w:szCs w:val="32"/>
          <w:lang w:val="en-US" w:eastAsia="zh-CN"/>
        </w:rPr>
        <w:t>卫生健康支出</w:t>
      </w:r>
      <w:r>
        <w:rPr>
          <w:rFonts w:hint="eastAsia" w:ascii="仿宋_GB2312" w:hAnsi="Times New Roman" w:eastAsia="仿宋_GB2312" w:cs="Times New Roman"/>
          <w:color w:val="000000"/>
          <w:sz w:val="32"/>
          <w:szCs w:val="32"/>
          <w:lang w:eastAsia="zh-CN"/>
        </w:rPr>
        <w:t>（类）行政事业单位医疗（款）行政单位医疗（项）：指财政部门集中安排的行政单位基本医疗保险缴费经费。</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21</w:t>
      </w:r>
      <w:r>
        <w:rPr>
          <w:rFonts w:hint="eastAsia" w:ascii="仿宋_GB2312" w:hAnsi="Times New Roman" w:eastAsia="仿宋_GB2312" w:cs="Times New Roman"/>
          <w:color w:val="000000"/>
          <w:sz w:val="32"/>
          <w:szCs w:val="32"/>
          <w:lang w:eastAsia="zh-CN"/>
        </w:rPr>
        <w:t>.</w:t>
      </w:r>
      <w:r>
        <w:rPr>
          <w:rFonts w:hint="eastAsia" w:ascii="仿宋_GB2312" w:eastAsia="仿宋_GB2312" w:cs="Times New Roman"/>
          <w:color w:val="000000"/>
          <w:sz w:val="32"/>
          <w:szCs w:val="32"/>
          <w:lang w:val="en-US" w:eastAsia="zh-CN"/>
        </w:rPr>
        <w:t>卫生健康支出</w:t>
      </w:r>
      <w:r>
        <w:rPr>
          <w:rFonts w:hint="eastAsia" w:ascii="仿宋_GB2312" w:hAnsi="Times New Roman" w:eastAsia="仿宋_GB2312" w:cs="Times New Roman"/>
          <w:color w:val="000000"/>
          <w:sz w:val="32"/>
          <w:szCs w:val="32"/>
          <w:lang w:eastAsia="zh-CN"/>
        </w:rPr>
        <w:t>（类）</w:t>
      </w:r>
      <w:r>
        <w:rPr>
          <w:rFonts w:hint="eastAsia" w:ascii="仿宋_GB2312" w:eastAsia="仿宋_GB2312" w:cs="Times New Roman"/>
          <w:color w:val="000000"/>
          <w:sz w:val="32"/>
          <w:szCs w:val="32"/>
          <w:lang w:val="en-US" w:eastAsia="zh-CN"/>
        </w:rPr>
        <w:t>优抚对象</w:t>
      </w:r>
      <w:r>
        <w:rPr>
          <w:rFonts w:hint="eastAsia" w:ascii="仿宋_GB2312" w:hAnsi="Times New Roman" w:eastAsia="仿宋_GB2312" w:cs="Times New Roman"/>
          <w:color w:val="000000"/>
          <w:sz w:val="32"/>
          <w:szCs w:val="32"/>
          <w:lang w:eastAsia="zh-CN"/>
        </w:rPr>
        <w:t>医疗（款）</w:t>
      </w:r>
      <w:r>
        <w:rPr>
          <w:rFonts w:hint="eastAsia" w:ascii="仿宋_GB2312" w:eastAsia="仿宋_GB2312" w:cs="Times New Roman"/>
          <w:color w:val="000000"/>
          <w:sz w:val="32"/>
          <w:szCs w:val="32"/>
          <w:lang w:val="en-US" w:eastAsia="zh-CN"/>
        </w:rPr>
        <w:t>优抚对象</w:t>
      </w:r>
      <w:r>
        <w:rPr>
          <w:rFonts w:hint="eastAsia" w:ascii="仿宋_GB2312" w:hAnsi="Times New Roman" w:eastAsia="仿宋_GB2312" w:cs="Times New Roman"/>
          <w:color w:val="000000"/>
          <w:sz w:val="32"/>
          <w:szCs w:val="32"/>
          <w:lang w:eastAsia="zh-CN"/>
        </w:rPr>
        <w:t>医疗</w:t>
      </w:r>
      <w:r>
        <w:rPr>
          <w:rFonts w:hint="eastAsia" w:ascii="仿宋_GB2312" w:eastAsia="仿宋_GB2312" w:cs="Times New Roman"/>
          <w:color w:val="000000"/>
          <w:sz w:val="32"/>
          <w:szCs w:val="32"/>
          <w:lang w:val="en-US" w:eastAsia="zh-CN"/>
        </w:rPr>
        <w:t>补助（</w:t>
      </w:r>
      <w:r>
        <w:rPr>
          <w:rFonts w:hint="eastAsia" w:ascii="仿宋_GB2312" w:hAnsi="Times New Roman" w:eastAsia="仿宋_GB2312" w:cs="Times New Roman"/>
          <w:color w:val="000000"/>
          <w:sz w:val="32"/>
          <w:szCs w:val="32"/>
          <w:lang w:eastAsia="zh-CN"/>
        </w:rPr>
        <w:t>项）：指</w:t>
      </w:r>
      <w:r>
        <w:rPr>
          <w:rFonts w:hint="eastAsia" w:ascii="仿宋_GB2312" w:eastAsia="仿宋_GB2312" w:cs="Times New Roman"/>
          <w:color w:val="000000"/>
          <w:sz w:val="32"/>
          <w:szCs w:val="32"/>
          <w:lang w:val="en-US" w:eastAsia="zh-CN"/>
        </w:rPr>
        <w:t>按规定补助优抚对象的医疗经费</w:t>
      </w:r>
      <w:r>
        <w:rPr>
          <w:rFonts w:hint="eastAsia" w:ascii="仿宋_GB2312" w:hAnsi="Times New Roman" w:eastAsia="仿宋_GB2312" w:cs="Times New Roman"/>
          <w:color w:val="000000"/>
          <w:sz w:val="32"/>
          <w:szCs w:val="32"/>
          <w:lang w:eastAsia="zh-CN"/>
        </w:rPr>
        <w:t>。</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22</w:t>
      </w:r>
      <w:r>
        <w:rPr>
          <w:rFonts w:hint="eastAsia" w:ascii="仿宋_GB2312" w:hAnsi="Times New Roman" w:eastAsia="仿宋_GB2312" w:cs="Times New Roman"/>
          <w:color w:val="000000"/>
          <w:sz w:val="32"/>
          <w:szCs w:val="32"/>
          <w:lang w:eastAsia="zh-CN"/>
        </w:rPr>
        <w:t>.住房</w:t>
      </w:r>
      <w:r>
        <w:rPr>
          <w:rFonts w:hint="eastAsia" w:ascii="仿宋_GB2312" w:hAnsi="Times New Roman" w:eastAsia="仿宋_GB2312" w:cs="Times New Roman"/>
          <w:color w:val="000000"/>
          <w:sz w:val="32"/>
          <w:szCs w:val="32"/>
          <w:lang w:val="en-US" w:eastAsia="zh-CN"/>
        </w:rPr>
        <w:t>保障支出（类）住房改革支出（款）住房公积金（项）：指行政事业单位</w:t>
      </w:r>
      <w:r>
        <w:rPr>
          <w:rFonts w:hint="eastAsia" w:ascii="仿宋_GB2312" w:hAnsi="Times New Roman" w:eastAsia="仿宋_GB2312" w:cs="Times New Roman"/>
          <w:color w:val="000000"/>
          <w:sz w:val="32"/>
          <w:szCs w:val="32"/>
          <w:lang w:eastAsia="zh-CN"/>
        </w:rPr>
        <w:t>安装工资比例为职工缴纳的住房公积金。</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23</w:t>
      </w:r>
      <w:r>
        <w:rPr>
          <w:rFonts w:hint="eastAsia" w:ascii="仿宋_GB2312" w:hAnsi="Times New Roman" w:eastAsia="仿宋_GB2312" w:cs="Times New Roman"/>
          <w:color w:val="000000"/>
          <w:sz w:val="32"/>
          <w:szCs w:val="32"/>
          <w:lang w:eastAsia="zh-CN"/>
        </w:rPr>
        <w:t>.基本支出：指为保障机构正常运转、完成日常工作任务而发生的人员支出和公用支出。</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24</w:t>
      </w:r>
      <w:r>
        <w:rPr>
          <w:rFonts w:hint="eastAsia" w:ascii="仿宋_GB2312" w:hAnsi="Times New Roman" w:eastAsia="仿宋_GB2312" w:cs="Times New Roman"/>
          <w:color w:val="000000"/>
          <w:sz w:val="32"/>
          <w:szCs w:val="32"/>
          <w:lang w:eastAsia="zh-CN"/>
        </w:rPr>
        <w:t>.项目支出：指在基本支出之外为完成特定行政任务和事业发展目标所发生的支出。</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Times New Roman" w:eastAsia="仿宋_GB2312" w:cs="Times New Roman"/>
          <w:color w:val="000000"/>
          <w:sz w:val="32"/>
          <w:szCs w:val="32"/>
          <w:lang w:eastAsia="zh-CN"/>
        </w:rPr>
      </w:pPr>
      <w:r>
        <w:rPr>
          <w:rFonts w:hint="eastAsia" w:ascii="仿宋_GB2312" w:eastAsia="仿宋_GB2312" w:cs="Times New Roman"/>
          <w:color w:val="000000"/>
          <w:sz w:val="32"/>
          <w:szCs w:val="32"/>
          <w:lang w:val="en-US" w:eastAsia="zh-CN"/>
        </w:rPr>
        <w:t>25</w:t>
      </w:r>
      <w:r>
        <w:rPr>
          <w:rFonts w:hint="eastAsia" w:ascii="仿宋_GB2312" w:hAnsi="Times New Roman" w:eastAsia="仿宋_GB2312" w:cs="Times New Roman"/>
          <w:color w:val="000000"/>
          <w:sz w:val="32"/>
          <w:szCs w:val="32"/>
          <w:lang w:eastAsia="zh-CN"/>
        </w:rPr>
        <w:t>.经营支出：指事业单位在专业业务活动及其辅助活动之外开展非独立核算经营活动发生的支出。</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Times New Roman" w:eastAsia="仿宋_GB2312" w:cs="Times New Roman"/>
          <w:color w:val="000000"/>
          <w:sz w:val="32"/>
          <w:szCs w:val="32"/>
          <w:lang w:eastAsia="zh-CN"/>
        </w:rPr>
      </w:pPr>
      <w:r>
        <w:rPr>
          <w:rFonts w:hint="eastAsia" w:ascii="仿宋_GB2312" w:hAnsi="Times New Roman" w:eastAsia="仿宋_GB2312" w:cs="Times New Roman"/>
          <w:color w:val="000000"/>
          <w:sz w:val="32"/>
          <w:szCs w:val="32"/>
          <w:lang w:val="en-US" w:eastAsia="zh-CN"/>
        </w:rPr>
        <w:t>2</w:t>
      </w:r>
      <w:r>
        <w:rPr>
          <w:rFonts w:hint="eastAsia" w:ascii="仿宋_GB2312" w:eastAsia="仿宋_GB2312" w:cs="Times New Roman"/>
          <w:color w:val="000000"/>
          <w:sz w:val="32"/>
          <w:szCs w:val="32"/>
          <w:lang w:val="en-US" w:eastAsia="zh-CN"/>
        </w:rPr>
        <w:t>6</w:t>
      </w:r>
      <w:r>
        <w:rPr>
          <w:rFonts w:hint="eastAsia" w:ascii="仿宋_GB2312" w:hAnsi="Times New Roman" w:eastAsia="仿宋_GB2312" w:cs="Times New Roman"/>
          <w:color w:val="000000"/>
          <w:sz w:val="32"/>
          <w:szCs w:val="32"/>
          <w:lang w:eastAsia="zh-CN"/>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kinsoku/>
        <w:wordWrap/>
        <w:overflowPunct/>
        <w:topLinePunct w:val="0"/>
        <w:bidi w:val="0"/>
        <w:spacing w:line="560" w:lineRule="exact"/>
        <w:ind w:firstLine="640" w:firstLineChars="200"/>
        <w:textAlignment w:val="auto"/>
        <w:rPr>
          <w:rFonts w:ascii="仿宋_GB2312" w:eastAsia="仿宋_GB2312"/>
          <w:sz w:val="32"/>
          <w:szCs w:val="32"/>
        </w:rPr>
      </w:pPr>
      <w:r>
        <w:rPr>
          <w:rFonts w:hint="eastAsia" w:ascii="仿宋_GB2312" w:hAnsi="Times New Roman" w:eastAsia="仿宋_GB2312" w:cs="Times New Roman"/>
          <w:color w:val="000000"/>
          <w:sz w:val="32"/>
          <w:szCs w:val="32"/>
          <w:lang w:val="en-US" w:eastAsia="zh-CN"/>
        </w:rPr>
        <w:t>2</w:t>
      </w:r>
      <w:r>
        <w:rPr>
          <w:rFonts w:hint="eastAsia" w:ascii="仿宋_GB2312" w:eastAsia="仿宋_GB2312" w:cs="Times New Roman"/>
          <w:color w:val="000000"/>
          <w:sz w:val="32"/>
          <w:szCs w:val="32"/>
          <w:lang w:val="en-US" w:eastAsia="zh-CN"/>
        </w:rPr>
        <w:t>7</w:t>
      </w:r>
      <w:r>
        <w:rPr>
          <w:rFonts w:hint="eastAsia" w:ascii="仿宋_GB2312" w:hAnsi="Times New Roman" w:eastAsia="仿宋_GB2312" w:cs="Times New Roman"/>
          <w:color w:val="000000"/>
          <w:sz w:val="32"/>
          <w:szCs w:val="32"/>
          <w:lang w:eastAsia="zh-CN"/>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36"/>
        <w:spacing w:line="560" w:lineRule="exact"/>
        <w:ind w:firstLine="640" w:firstLineChars="200"/>
        <w:rPr>
          <w:rFonts w:ascii="仿宋_GB2312" w:eastAsia="仿宋_GB2312" w:cs="黑体"/>
          <w:sz w:val="32"/>
          <w:szCs w:val="32"/>
        </w:rPr>
      </w:pPr>
    </w:p>
    <w:p>
      <w:pPr>
        <w:widowControl/>
        <w:jc w:val="left"/>
        <w:rPr>
          <w:rStyle w:val="26"/>
          <w:rFonts w:ascii="黑体" w:hAnsi="黑体" w:eastAsia="黑体"/>
          <w:b w:val="0"/>
        </w:rPr>
      </w:pPr>
      <w:bookmarkStart w:id="110" w:name="_Toc15377226"/>
      <w:r>
        <w:rPr>
          <w:rStyle w:val="26"/>
          <w:rFonts w:ascii="黑体" w:hAnsi="黑体" w:eastAsia="黑体"/>
          <w:b w:val="0"/>
        </w:rPr>
        <w:br w:type="page"/>
      </w:r>
    </w:p>
    <w:p>
      <w:pPr>
        <w:spacing w:line="600" w:lineRule="exact"/>
        <w:jc w:val="center"/>
        <w:outlineLvl w:val="0"/>
        <w:rPr>
          <w:rStyle w:val="26"/>
          <w:rFonts w:ascii="黑体" w:hAnsi="黑体" w:eastAsia="黑体"/>
          <w:b w:val="0"/>
        </w:rPr>
      </w:pPr>
      <w:bookmarkStart w:id="111" w:name="_Toc79163635"/>
      <w:bookmarkStart w:id="112" w:name="_Toc15396618"/>
      <w:bookmarkStart w:id="113" w:name="_Toc16893"/>
      <w:r>
        <w:rPr>
          <w:rFonts w:hint="eastAsia" w:ascii="黑体" w:hAnsi="黑体" w:eastAsia="黑体"/>
          <w:color w:val="000000"/>
          <w:sz w:val="44"/>
          <w:szCs w:val="44"/>
        </w:rPr>
        <w:t>第</w:t>
      </w:r>
      <w:r>
        <w:rPr>
          <w:rStyle w:val="26"/>
          <w:rFonts w:hint="eastAsia" w:ascii="黑体" w:hAnsi="黑体" w:eastAsia="黑体"/>
          <w:b w:val="0"/>
          <w:lang w:eastAsia="zh-CN"/>
        </w:rPr>
        <w:t>四</w:t>
      </w:r>
      <w:r>
        <w:rPr>
          <w:rStyle w:val="26"/>
          <w:rFonts w:hint="eastAsia" w:ascii="黑体" w:hAnsi="黑体" w:eastAsia="黑体"/>
          <w:b w:val="0"/>
        </w:rPr>
        <w:t>部分</w:t>
      </w:r>
      <w:r>
        <w:rPr>
          <w:rStyle w:val="26"/>
          <w:rFonts w:ascii="黑体" w:hAnsi="黑体" w:eastAsia="黑体"/>
          <w:b w:val="0"/>
        </w:rPr>
        <w:t xml:space="preserve"> </w:t>
      </w:r>
      <w:r>
        <w:rPr>
          <w:rStyle w:val="26"/>
          <w:rFonts w:hint="eastAsia" w:ascii="黑体" w:hAnsi="黑体" w:eastAsia="黑体"/>
          <w:b w:val="0"/>
        </w:rPr>
        <w:t>附表</w:t>
      </w:r>
      <w:bookmarkEnd w:id="110"/>
      <w:bookmarkEnd w:id="111"/>
      <w:bookmarkEnd w:id="112"/>
      <w:bookmarkEnd w:id="113"/>
    </w:p>
    <w:p>
      <w:pPr>
        <w:pStyle w:val="4"/>
        <w:rPr>
          <w:rFonts w:ascii="仿宋" w:hAnsi="仿宋" w:eastAsia="仿宋"/>
          <w:color w:val="000000"/>
        </w:rPr>
      </w:pPr>
      <w:bookmarkStart w:id="114" w:name="_Toc11914"/>
      <w:bookmarkStart w:id="115" w:name="_Toc15396619"/>
      <w:bookmarkStart w:id="116" w:name="_Toc79163636"/>
      <w:r>
        <w:rPr>
          <w:rFonts w:hint="eastAsia" w:ascii="仿宋" w:hAnsi="仿宋" w:eastAsia="仿宋"/>
          <w:b w:val="0"/>
          <w:color w:val="000000"/>
        </w:rPr>
        <w:t>一、收</w:t>
      </w:r>
      <w:r>
        <w:rPr>
          <w:rStyle w:val="27"/>
          <w:rFonts w:hint="eastAsia" w:ascii="仿宋" w:hAnsi="仿宋" w:eastAsia="仿宋"/>
          <w:b w:val="0"/>
          <w:bCs w:val="0"/>
        </w:rPr>
        <w:t>入支出决算总表</w:t>
      </w:r>
      <w:bookmarkEnd w:id="114"/>
      <w:bookmarkEnd w:id="115"/>
      <w:bookmarkEnd w:id="116"/>
    </w:p>
    <w:p>
      <w:pPr>
        <w:pStyle w:val="4"/>
        <w:rPr>
          <w:rFonts w:ascii="仿宋" w:hAnsi="仿宋" w:eastAsia="仿宋"/>
          <w:color w:val="000000"/>
        </w:rPr>
      </w:pPr>
      <w:bookmarkStart w:id="117" w:name="_Toc79163637"/>
      <w:bookmarkStart w:id="118" w:name="_Toc15396620"/>
      <w:bookmarkStart w:id="119" w:name="_Toc17064"/>
      <w:r>
        <w:rPr>
          <w:rFonts w:hint="eastAsia" w:ascii="仿宋" w:hAnsi="仿宋" w:eastAsia="仿宋"/>
          <w:b w:val="0"/>
          <w:color w:val="000000"/>
        </w:rPr>
        <w:t>二、收</w:t>
      </w:r>
      <w:r>
        <w:rPr>
          <w:rStyle w:val="27"/>
          <w:rFonts w:hint="eastAsia" w:ascii="仿宋" w:hAnsi="仿宋" w:eastAsia="仿宋"/>
          <w:b w:val="0"/>
          <w:bCs w:val="0"/>
        </w:rPr>
        <w:t>入决算表</w:t>
      </w:r>
      <w:bookmarkEnd w:id="117"/>
      <w:bookmarkEnd w:id="118"/>
      <w:bookmarkEnd w:id="119"/>
    </w:p>
    <w:p>
      <w:pPr>
        <w:pStyle w:val="4"/>
        <w:rPr>
          <w:rFonts w:ascii="仿宋" w:hAnsi="仿宋" w:eastAsia="仿宋"/>
          <w:color w:val="000000"/>
        </w:rPr>
      </w:pPr>
      <w:bookmarkStart w:id="120" w:name="_Toc79163638"/>
      <w:bookmarkStart w:id="121" w:name="_Toc15396621"/>
      <w:bookmarkStart w:id="122" w:name="_Toc12337"/>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出决算表</w:t>
      </w:r>
      <w:bookmarkEnd w:id="120"/>
      <w:bookmarkEnd w:id="121"/>
      <w:bookmarkEnd w:id="122"/>
    </w:p>
    <w:p>
      <w:pPr>
        <w:pStyle w:val="4"/>
        <w:rPr>
          <w:rFonts w:ascii="仿宋" w:hAnsi="仿宋" w:eastAsia="仿宋"/>
          <w:b w:val="0"/>
          <w:color w:val="000000"/>
        </w:rPr>
      </w:pPr>
      <w:bookmarkStart w:id="123" w:name="_Toc79163639"/>
      <w:bookmarkStart w:id="124" w:name="_Toc15396622"/>
      <w:bookmarkStart w:id="125" w:name="_Toc1113"/>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123"/>
      <w:bookmarkEnd w:id="124"/>
      <w:bookmarkEnd w:id="125"/>
    </w:p>
    <w:p>
      <w:pPr>
        <w:pStyle w:val="4"/>
        <w:rPr>
          <w:rStyle w:val="27"/>
          <w:rFonts w:ascii="仿宋" w:hAnsi="仿宋" w:eastAsia="仿宋"/>
          <w:b w:val="0"/>
          <w:bCs w:val="0"/>
        </w:rPr>
      </w:pPr>
      <w:bookmarkStart w:id="126" w:name="_Toc79163640"/>
      <w:bookmarkStart w:id="127" w:name="_Toc15396623"/>
      <w:bookmarkStart w:id="128" w:name="_Toc8773"/>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w:t>
      </w:r>
      <w:bookmarkEnd w:id="126"/>
      <w:bookmarkEnd w:id="127"/>
      <w:bookmarkEnd w:id="128"/>
      <w:bookmarkStart w:id="129" w:name="_Toc15396624"/>
    </w:p>
    <w:p>
      <w:pPr>
        <w:pStyle w:val="4"/>
        <w:rPr>
          <w:rFonts w:ascii="仿宋" w:hAnsi="仿宋" w:eastAsia="仿宋"/>
          <w:color w:val="000000"/>
        </w:rPr>
      </w:pPr>
      <w:bookmarkStart w:id="130" w:name="_Toc79163641"/>
      <w:bookmarkStart w:id="131" w:name="_Toc26439"/>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129"/>
      <w:bookmarkEnd w:id="130"/>
      <w:bookmarkEnd w:id="131"/>
    </w:p>
    <w:p>
      <w:pPr>
        <w:pStyle w:val="4"/>
        <w:rPr>
          <w:rFonts w:ascii="仿宋" w:hAnsi="仿宋" w:eastAsia="仿宋"/>
          <w:color w:val="000000"/>
        </w:rPr>
      </w:pPr>
      <w:bookmarkStart w:id="132" w:name="_Toc79163642"/>
      <w:bookmarkStart w:id="133" w:name="_Toc15396625"/>
      <w:bookmarkStart w:id="134" w:name="_Toc12826"/>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132"/>
      <w:bookmarkEnd w:id="133"/>
      <w:bookmarkEnd w:id="134"/>
    </w:p>
    <w:p>
      <w:pPr>
        <w:pStyle w:val="4"/>
        <w:rPr>
          <w:rFonts w:ascii="仿宋" w:hAnsi="仿宋" w:eastAsia="仿宋"/>
          <w:color w:val="000000"/>
        </w:rPr>
      </w:pPr>
      <w:bookmarkStart w:id="135" w:name="_Toc79163643"/>
      <w:bookmarkStart w:id="136" w:name="_Toc15396626"/>
      <w:bookmarkStart w:id="137" w:name="_Toc24969"/>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135"/>
      <w:bookmarkEnd w:id="136"/>
      <w:bookmarkEnd w:id="137"/>
    </w:p>
    <w:p>
      <w:pPr>
        <w:pStyle w:val="4"/>
        <w:rPr>
          <w:rFonts w:ascii="仿宋" w:hAnsi="仿宋" w:eastAsia="仿宋"/>
          <w:color w:val="000000"/>
        </w:rPr>
      </w:pPr>
      <w:bookmarkStart w:id="138" w:name="_Toc15396627"/>
      <w:bookmarkStart w:id="139" w:name="_Toc79163644"/>
      <w:bookmarkStart w:id="140" w:name="_Toc19258"/>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138"/>
      <w:bookmarkEnd w:id="139"/>
      <w:bookmarkEnd w:id="140"/>
    </w:p>
    <w:p>
      <w:pPr>
        <w:pStyle w:val="4"/>
        <w:rPr>
          <w:rFonts w:ascii="仿宋" w:hAnsi="仿宋" w:eastAsia="仿宋"/>
          <w:color w:val="000000"/>
        </w:rPr>
      </w:pPr>
      <w:bookmarkStart w:id="141" w:name="_Toc15396628"/>
      <w:bookmarkStart w:id="142" w:name="_Toc79163645"/>
      <w:bookmarkStart w:id="143" w:name="_Toc28444"/>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141"/>
      <w:bookmarkEnd w:id="142"/>
      <w:bookmarkEnd w:id="143"/>
    </w:p>
    <w:p>
      <w:pPr>
        <w:pStyle w:val="4"/>
        <w:rPr>
          <w:rFonts w:ascii="仿宋" w:hAnsi="仿宋" w:eastAsia="仿宋"/>
          <w:color w:val="000000"/>
        </w:rPr>
      </w:pPr>
      <w:bookmarkStart w:id="144" w:name="_Toc15396629"/>
      <w:bookmarkStart w:id="145" w:name="_Toc79163646"/>
      <w:bookmarkStart w:id="146" w:name="_Toc17856"/>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144"/>
      <w:bookmarkEnd w:id="145"/>
      <w:bookmarkEnd w:id="146"/>
    </w:p>
    <w:p>
      <w:pPr>
        <w:pStyle w:val="4"/>
        <w:rPr>
          <w:rFonts w:ascii="仿宋" w:hAnsi="仿宋" w:eastAsia="仿宋"/>
          <w:color w:val="000000"/>
        </w:rPr>
      </w:pPr>
      <w:bookmarkStart w:id="147" w:name="_Toc15396630"/>
      <w:bookmarkStart w:id="148" w:name="_Toc79163647"/>
      <w:bookmarkStart w:id="149" w:name="_Toc2921"/>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147"/>
      <w:bookmarkEnd w:id="148"/>
      <w:bookmarkEnd w:id="149"/>
    </w:p>
    <w:p>
      <w:pPr>
        <w:pStyle w:val="4"/>
        <w:rPr>
          <w:rStyle w:val="27"/>
          <w:rFonts w:ascii="仿宋" w:hAnsi="仿宋" w:eastAsia="仿宋"/>
          <w:b w:val="0"/>
          <w:bCs w:val="0"/>
        </w:rPr>
      </w:pPr>
      <w:bookmarkStart w:id="150" w:name="_Toc79163648"/>
      <w:bookmarkStart w:id="151" w:name="_Toc15396631"/>
      <w:bookmarkStart w:id="152" w:name="_Toc27746"/>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有资本经营预算财政拨款支出决算表</w:t>
      </w:r>
      <w:bookmarkEnd w:id="150"/>
      <w:bookmarkEnd w:id="151"/>
      <w:bookmarkEnd w:id="152"/>
    </w:p>
    <w:p>
      <w:pPr>
        <w:pStyle w:val="4"/>
        <w:rPr>
          <w:rStyle w:val="27"/>
          <w:rFonts w:ascii="仿宋" w:hAnsi="仿宋" w:eastAsia="仿宋"/>
          <w:b w:val="0"/>
          <w:bCs w:val="0"/>
        </w:rPr>
      </w:pPr>
      <w:bookmarkStart w:id="153" w:name="_Toc79163649"/>
      <w:bookmarkStart w:id="154" w:name="_Toc18314"/>
      <w:r>
        <w:rPr>
          <w:rStyle w:val="27"/>
          <w:rFonts w:hint="eastAsia" w:ascii="仿宋" w:hAnsi="仿宋" w:eastAsia="仿宋"/>
          <w:b w:val="0"/>
          <w:bCs w:val="0"/>
        </w:rPr>
        <w:t>十四、国有资本经营预算财政拨款支出决算表</w:t>
      </w:r>
      <w:bookmarkEnd w:id="153"/>
      <w:bookmarkEnd w:id="154"/>
    </w:p>
    <w:sectPr>
      <w:footerReference r:id="rId5" w:type="first"/>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等线">
    <w:altName w:val="Arial Unicode MS"/>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fldChar w:fldCharType="begin"/>
    </w:r>
    <w:r>
      <w:instrText xml:space="preserve">PAGE   \* MERGEFORMAT</w:instrText>
    </w:r>
    <w:r>
      <w:fldChar w:fldCharType="separate"/>
    </w:r>
    <w:r>
      <w:t>25</w:t>
    </w:r>
    <w:r>
      <w:fldChar w:fldCharType="end"/>
    </w:r>
  </w:p>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xYWU2ODY3ZmZjM2M1ZGNjMTE3NjdkODBkODU0NDM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26640"/>
    <w:rsid w:val="00235629"/>
    <w:rsid w:val="00256262"/>
    <w:rsid w:val="00260C38"/>
    <w:rsid w:val="002616C0"/>
    <w:rsid w:val="00264FA2"/>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94E7F"/>
    <w:rsid w:val="003A484F"/>
    <w:rsid w:val="003A4883"/>
    <w:rsid w:val="003B0BE0"/>
    <w:rsid w:val="003B0C1B"/>
    <w:rsid w:val="003B688C"/>
    <w:rsid w:val="003C0291"/>
    <w:rsid w:val="003C39AE"/>
    <w:rsid w:val="003C7B60"/>
    <w:rsid w:val="003D0C0F"/>
    <w:rsid w:val="003D1FB2"/>
    <w:rsid w:val="003D53FE"/>
    <w:rsid w:val="003D66DA"/>
    <w:rsid w:val="003E1310"/>
    <w:rsid w:val="003E6F55"/>
    <w:rsid w:val="003E6FE4"/>
    <w:rsid w:val="00406254"/>
    <w:rsid w:val="004223DE"/>
    <w:rsid w:val="00434489"/>
    <w:rsid w:val="00437085"/>
    <w:rsid w:val="00443880"/>
    <w:rsid w:val="00445607"/>
    <w:rsid w:val="004464F4"/>
    <w:rsid w:val="00471401"/>
    <w:rsid w:val="00473F31"/>
    <w:rsid w:val="00476DF9"/>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5271A"/>
    <w:rsid w:val="0066343B"/>
    <w:rsid w:val="00664777"/>
    <w:rsid w:val="006748A4"/>
    <w:rsid w:val="00681A31"/>
    <w:rsid w:val="00683E73"/>
    <w:rsid w:val="006A3141"/>
    <w:rsid w:val="006A5E34"/>
    <w:rsid w:val="006B2422"/>
    <w:rsid w:val="006B2B9A"/>
    <w:rsid w:val="006C1937"/>
    <w:rsid w:val="006E2684"/>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D4A41"/>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632E0"/>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20FF3"/>
    <w:rsid w:val="00B310B9"/>
    <w:rsid w:val="00B35F3F"/>
    <w:rsid w:val="00B36CBB"/>
    <w:rsid w:val="00B425E0"/>
    <w:rsid w:val="00B440AA"/>
    <w:rsid w:val="00B44B70"/>
    <w:rsid w:val="00B53C56"/>
    <w:rsid w:val="00B54DB4"/>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1C39"/>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952C9"/>
    <w:rsid w:val="00FA23E8"/>
    <w:rsid w:val="00FD3CC1"/>
    <w:rsid w:val="00FF1E02"/>
    <w:rsid w:val="00FF30B4"/>
    <w:rsid w:val="022C297A"/>
    <w:rsid w:val="05EF6BB0"/>
    <w:rsid w:val="0A2032A3"/>
    <w:rsid w:val="10C055FF"/>
    <w:rsid w:val="118107EC"/>
    <w:rsid w:val="12B502CE"/>
    <w:rsid w:val="13675A6C"/>
    <w:rsid w:val="16BB723D"/>
    <w:rsid w:val="1B275585"/>
    <w:rsid w:val="1D155CEE"/>
    <w:rsid w:val="240371BF"/>
    <w:rsid w:val="29FD04D3"/>
    <w:rsid w:val="319F7F4E"/>
    <w:rsid w:val="326B7F22"/>
    <w:rsid w:val="3CA314AF"/>
    <w:rsid w:val="42082B23"/>
    <w:rsid w:val="4440539A"/>
    <w:rsid w:val="44E81CBA"/>
    <w:rsid w:val="465869CB"/>
    <w:rsid w:val="4ECE2238"/>
    <w:rsid w:val="543F05DD"/>
    <w:rsid w:val="55465CD9"/>
    <w:rsid w:val="5CF136DD"/>
    <w:rsid w:val="639A406B"/>
    <w:rsid w:val="6C1140F0"/>
    <w:rsid w:val="6C4A05C8"/>
    <w:rsid w:val="6DB912E7"/>
    <w:rsid w:val="72734D90"/>
    <w:rsid w:val="7C5036C5"/>
    <w:rsid w:val="7E421789"/>
    <w:rsid w:val="7FFA6F5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uiPriority="39" w:semiHidden="0" w:name="toc 7"/>
    <w:lsdException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7"/>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28"/>
    <w:qFormat/>
    <w:uiPriority w:val="9"/>
    <w:pPr>
      <w:keepNext/>
      <w:keepLines/>
      <w:spacing w:before="260" w:after="260" w:line="416" w:lineRule="auto"/>
      <w:outlineLvl w:val="2"/>
    </w:pPr>
    <w:rPr>
      <w:b/>
      <w:bCs/>
      <w:sz w:val="32"/>
      <w:szCs w:val="32"/>
    </w:rPr>
  </w:style>
  <w:style w:type="paragraph" w:styleId="2">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23">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unhideWhenUsed/>
    <w:uiPriority w:val="39"/>
    <w:pPr>
      <w:ind w:left="1260"/>
      <w:jc w:val="left"/>
    </w:pPr>
    <w:rPr>
      <w:rFonts w:asciiTheme="minorHAnsi" w:eastAsiaTheme="minorHAnsi"/>
      <w:sz w:val="18"/>
      <w:szCs w:val="18"/>
    </w:rPr>
  </w:style>
  <w:style w:type="paragraph" w:styleId="7">
    <w:name w:val="Body Text"/>
    <w:basedOn w:val="1"/>
    <w:link w:val="35"/>
    <w:qFormat/>
    <w:uiPriority w:val="99"/>
    <w:pPr>
      <w:spacing w:beforeLines="30"/>
    </w:pPr>
    <w:rPr>
      <w:rFonts w:ascii="仿宋_GB2312" w:eastAsia="仿宋_GB2312"/>
      <w:kern w:val="0"/>
      <w:sz w:val="24"/>
      <w:szCs w:val="20"/>
      <w:lang w:val="zh-CN"/>
    </w:rPr>
  </w:style>
  <w:style w:type="paragraph" w:styleId="8">
    <w:name w:val="Body Text Indent"/>
    <w:basedOn w:val="1"/>
    <w:qFormat/>
    <w:uiPriority w:val="0"/>
    <w:pPr>
      <w:spacing w:after="120"/>
      <w:ind w:left="420" w:leftChars="200"/>
    </w:pPr>
  </w:style>
  <w:style w:type="paragraph" w:styleId="9">
    <w:name w:val="toc 5"/>
    <w:basedOn w:val="1"/>
    <w:next w:val="1"/>
    <w:unhideWhenUsed/>
    <w:qFormat/>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toc 8"/>
    <w:basedOn w:val="1"/>
    <w:next w:val="1"/>
    <w:unhideWhenUsed/>
    <w:uiPriority w:val="39"/>
    <w:pPr>
      <w:ind w:left="1470"/>
      <w:jc w:val="left"/>
    </w:pPr>
    <w:rPr>
      <w:rFonts w:asciiTheme="minorHAnsi" w:eastAsiaTheme="minorHAnsi"/>
      <w:sz w:val="18"/>
      <w:szCs w:val="18"/>
    </w:rPr>
  </w:style>
  <w:style w:type="paragraph" w:styleId="12">
    <w:name w:val="Balloon Text"/>
    <w:basedOn w:val="1"/>
    <w:link w:val="30"/>
    <w:semiHidden/>
    <w:unhideWhenUsed/>
    <w:qFormat/>
    <w:uiPriority w:val="99"/>
    <w:rPr>
      <w:sz w:val="18"/>
      <w:szCs w:val="18"/>
    </w:rPr>
  </w:style>
  <w:style w:type="paragraph" w:styleId="13">
    <w:name w:val="footer"/>
    <w:basedOn w:val="1"/>
    <w:link w:val="34"/>
    <w:qFormat/>
    <w:uiPriority w:val="99"/>
    <w:pPr>
      <w:tabs>
        <w:tab w:val="center" w:pos="4153"/>
        <w:tab w:val="right" w:pos="8306"/>
      </w:tabs>
      <w:snapToGrid w:val="0"/>
      <w:jc w:val="left"/>
    </w:pPr>
    <w:rPr>
      <w:rFonts w:ascii="Calibri" w:hAnsi="Calibri"/>
      <w:kern w:val="0"/>
      <w:sz w:val="18"/>
      <w:szCs w:val="20"/>
      <w:lang w:val="zh-CN"/>
    </w:rPr>
  </w:style>
  <w:style w:type="paragraph" w:styleId="14">
    <w:name w:val="header"/>
    <w:basedOn w:val="1"/>
    <w:link w:val="33"/>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5">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6">
    <w:name w:val="toc 4"/>
    <w:basedOn w:val="1"/>
    <w:next w:val="1"/>
    <w:unhideWhenUsed/>
    <w:qFormat/>
    <w:uiPriority w:val="39"/>
    <w:pPr>
      <w:ind w:left="630"/>
      <w:jc w:val="left"/>
    </w:pPr>
    <w:rPr>
      <w:rFonts w:asciiTheme="minorHAnsi" w:eastAsiaTheme="minorHAnsi"/>
      <w:sz w:val="18"/>
      <w:szCs w:val="18"/>
    </w:rPr>
  </w:style>
  <w:style w:type="paragraph" w:styleId="17">
    <w:name w:val="toc 6"/>
    <w:basedOn w:val="1"/>
    <w:next w:val="1"/>
    <w:unhideWhenUsed/>
    <w:qFormat/>
    <w:uiPriority w:val="39"/>
    <w:pPr>
      <w:ind w:left="1050"/>
      <w:jc w:val="left"/>
    </w:pPr>
    <w:rPr>
      <w:rFonts w:asciiTheme="minorHAnsi" w:eastAsiaTheme="minorHAnsi"/>
      <w:sz w:val="18"/>
      <w:szCs w:val="18"/>
    </w:rPr>
  </w:style>
  <w:style w:type="paragraph" w:styleId="18">
    <w:name w:val="toc 2"/>
    <w:basedOn w:val="1"/>
    <w:next w:val="1"/>
    <w:unhideWhenUsed/>
    <w:qFormat/>
    <w:uiPriority w:val="39"/>
    <w:pPr>
      <w:ind w:left="210"/>
      <w:jc w:val="left"/>
    </w:pPr>
    <w:rPr>
      <w:rFonts w:asciiTheme="minorHAnsi" w:eastAsiaTheme="minorHAnsi"/>
      <w:smallCaps/>
      <w:sz w:val="20"/>
      <w:szCs w:val="20"/>
    </w:rPr>
  </w:style>
  <w:style w:type="paragraph" w:styleId="19">
    <w:name w:val="toc 9"/>
    <w:basedOn w:val="1"/>
    <w:next w:val="1"/>
    <w:unhideWhenUsed/>
    <w:qFormat/>
    <w:uiPriority w:val="39"/>
    <w:pPr>
      <w:ind w:left="1680"/>
      <w:jc w:val="left"/>
    </w:pPr>
    <w:rPr>
      <w:rFonts w:asciiTheme="minorHAnsi" w:eastAsiaTheme="minorHAnsi"/>
      <w:sz w:val="18"/>
      <w:szCs w:val="18"/>
    </w:rPr>
  </w:style>
  <w:style w:type="paragraph" w:styleId="20">
    <w:name w:val="Normal (Web)"/>
    <w:basedOn w:val="1"/>
    <w:next w:val="13"/>
    <w:qFormat/>
    <w:uiPriority w:val="0"/>
    <w:pPr>
      <w:spacing w:before="100" w:beforeAutospacing="1" w:after="100" w:afterAutospacing="1"/>
      <w:ind w:left="0" w:right="0"/>
      <w:jc w:val="left"/>
    </w:pPr>
    <w:rPr>
      <w:kern w:val="0"/>
      <w:sz w:val="24"/>
      <w:lang w:val="en-US" w:eastAsia="zh-CN" w:bidi="ar"/>
    </w:rPr>
  </w:style>
  <w:style w:type="paragraph" w:styleId="21">
    <w:name w:val="Body Text First Indent 2"/>
    <w:basedOn w:val="8"/>
    <w:next w:val="1"/>
    <w:qFormat/>
    <w:uiPriority w:val="0"/>
    <w:pPr>
      <w:spacing w:after="0" w:line="560" w:lineRule="atLeast"/>
      <w:ind w:left="0" w:leftChars="0" w:firstLine="420" w:firstLineChars="200"/>
    </w:pPr>
    <w:rPr>
      <w:rFonts w:ascii="仿宋_GB2312" w:hAnsi="Calibri"/>
    </w:rPr>
  </w:style>
  <w:style w:type="character" w:styleId="24">
    <w:name w:val="Strong"/>
    <w:basedOn w:val="23"/>
    <w:qFormat/>
    <w:uiPriority w:val="99"/>
    <w:rPr>
      <w:rFonts w:cs="Times New Roman"/>
      <w:b/>
    </w:rPr>
  </w:style>
  <w:style w:type="character" w:styleId="25">
    <w:name w:val="Hyperlink"/>
    <w:basedOn w:val="23"/>
    <w:unhideWhenUsed/>
    <w:qFormat/>
    <w:uiPriority w:val="99"/>
    <w:rPr>
      <w:rFonts w:cs="Times New Roman"/>
      <w:color w:val="0000FF"/>
      <w:u w:val="single"/>
    </w:rPr>
  </w:style>
  <w:style w:type="character" w:customStyle="1" w:styleId="26">
    <w:name w:val="标题 1 Char"/>
    <w:basedOn w:val="23"/>
    <w:link w:val="3"/>
    <w:qFormat/>
    <w:locked/>
    <w:uiPriority w:val="9"/>
    <w:rPr>
      <w:rFonts w:ascii="Times New Roman" w:hAnsi="Times New Roman" w:cs="Times New Roman"/>
      <w:b/>
      <w:bCs/>
      <w:kern w:val="44"/>
      <w:sz w:val="44"/>
      <w:szCs w:val="44"/>
    </w:rPr>
  </w:style>
  <w:style w:type="character" w:customStyle="1" w:styleId="27">
    <w:name w:val="标题 2 Char"/>
    <w:basedOn w:val="23"/>
    <w:link w:val="4"/>
    <w:qFormat/>
    <w:locked/>
    <w:uiPriority w:val="9"/>
    <w:rPr>
      <w:rFonts w:ascii="Cambria" w:hAnsi="Cambria" w:eastAsia="宋体" w:cs="Times New Roman"/>
      <w:b/>
      <w:bCs/>
      <w:kern w:val="2"/>
      <w:sz w:val="32"/>
      <w:szCs w:val="32"/>
    </w:rPr>
  </w:style>
  <w:style w:type="character" w:customStyle="1" w:styleId="28">
    <w:name w:val="标题 3 Char"/>
    <w:basedOn w:val="23"/>
    <w:link w:val="5"/>
    <w:qFormat/>
    <w:locked/>
    <w:uiPriority w:val="9"/>
    <w:rPr>
      <w:rFonts w:ascii="Times New Roman" w:hAnsi="Times New Roman" w:cs="Times New Roman"/>
      <w:b/>
      <w:bCs/>
      <w:kern w:val="2"/>
      <w:sz w:val="32"/>
      <w:szCs w:val="32"/>
    </w:rPr>
  </w:style>
  <w:style w:type="character" w:customStyle="1" w:styleId="29">
    <w:name w:val="Body Text Char"/>
    <w:basedOn w:val="23"/>
    <w:semiHidden/>
    <w:qFormat/>
    <w:uiPriority w:val="99"/>
    <w:rPr>
      <w:rFonts w:ascii="Times New Roman" w:hAnsi="Times New Roman" w:cs="Times New Roman"/>
      <w:sz w:val="24"/>
      <w:szCs w:val="24"/>
    </w:rPr>
  </w:style>
  <w:style w:type="character" w:customStyle="1" w:styleId="30">
    <w:name w:val="批注框文本 Char"/>
    <w:basedOn w:val="23"/>
    <w:link w:val="12"/>
    <w:semiHidden/>
    <w:qFormat/>
    <w:locked/>
    <w:uiPriority w:val="99"/>
    <w:rPr>
      <w:rFonts w:ascii="Times New Roman" w:hAnsi="Times New Roman" w:cs="Times New Roman"/>
      <w:kern w:val="2"/>
      <w:sz w:val="18"/>
      <w:szCs w:val="18"/>
    </w:rPr>
  </w:style>
  <w:style w:type="character" w:customStyle="1" w:styleId="31">
    <w:name w:val="Footer Char"/>
    <w:basedOn w:val="23"/>
    <w:semiHidden/>
    <w:qFormat/>
    <w:uiPriority w:val="99"/>
    <w:rPr>
      <w:rFonts w:ascii="Times New Roman" w:hAnsi="Times New Roman" w:cs="Times New Roman"/>
      <w:sz w:val="18"/>
      <w:szCs w:val="18"/>
    </w:rPr>
  </w:style>
  <w:style w:type="character" w:customStyle="1" w:styleId="32">
    <w:name w:val="Header Char"/>
    <w:basedOn w:val="23"/>
    <w:semiHidden/>
    <w:qFormat/>
    <w:uiPriority w:val="99"/>
    <w:rPr>
      <w:rFonts w:ascii="Times New Roman" w:hAnsi="Times New Roman" w:cs="Times New Roman"/>
      <w:sz w:val="18"/>
      <w:szCs w:val="18"/>
    </w:rPr>
  </w:style>
  <w:style w:type="character" w:customStyle="1" w:styleId="33">
    <w:name w:val="页眉 Char"/>
    <w:link w:val="14"/>
    <w:semiHidden/>
    <w:qFormat/>
    <w:locked/>
    <w:uiPriority w:val="99"/>
    <w:rPr>
      <w:sz w:val="18"/>
    </w:rPr>
  </w:style>
  <w:style w:type="character" w:customStyle="1" w:styleId="34">
    <w:name w:val="页脚 Char"/>
    <w:link w:val="13"/>
    <w:qFormat/>
    <w:locked/>
    <w:uiPriority w:val="99"/>
    <w:rPr>
      <w:sz w:val="18"/>
    </w:rPr>
  </w:style>
  <w:style w:type="character" w:customStyle="1" w:styleId="35">
    <w:name w:val="正文文本 Char"/>
    <w:link w:val="7"/>
    <w:qFormat/>
    <w:locked/>
    <w:uiPriority w:val="99"/>
    <w:rPr>
      <w:rFonts w:ascii="仿宋_GB2312" w:hAnsi="Times New Roman" w:eastAsia="仿宋_GB2312"/>
      <w:sz w:val="24"/>
    </w:rPr>
  </w:style>
  <w:style w:type="paragraph" w:customStyle="1" w:styleId="3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7">
    <w:name w:val="列表段落1"/>
    <w:basedOn w:val="1"/>
    <w:qFormat/>
    <w:uiPriority w:val="34"/>
    <w:pPr>
      <w:ind w:firstLine="420" w:firstLineChars="200"/>
    </w:pPr>
  </w:style>
  <w:style w:type="paragraph" w:customStyle="1" w:styleId="38">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9">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0">
    <w:name w:val="TOC 标题2"/>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chart" Target="charts/chart6.xml"/><Relationship Id="rId11" Type="http://schemas.openxmlformats.org/officeDocument/2006/relationships/chart" Target="charts/chart5.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delete val="1"/>
          </c:dLbls>
          <c:cat>
            <c:strRef>
              <c:f>Sheet1!$A$2:$A$3</c:f>
              <c:strCache>
                <c:ptCount val="2"/>
                <c:pt idx="0">
                  <c:v>2020年</c:v>
                </c:pt>
                <c:pt idx="1">
                  <c:v>22021年</c:v>
                </c:pt>
              </c:strCache>
            </c:strRef>
          </c:cat>
          <c:val>
            <c:numRef>
              <c:f>Sheet1!$B$2:$B$3</c:f>
              <c:numCache>
                <c:formatCode>General</c:formatCode>
                <c:ptCount val="2"/>
                <c:pt idx="0">
                  <c:v>1209.62</c:v>
                </c:pt>
                <c:pt idx="1">
                  <c:v>845.53</c:v>
                </c:pt>
              </c:numCache>
            </c:numRef>
          </c:val>
        </c:ser>
        <c:ser>
          <c:idx val="1"/>
          <c:order val="1"/>
          <c:tx>
            <c:strRef>
              <c:f>Sheet1!$C$1</c:f>
              <c:strCache>
                <c:ptCount val="1"/>
                <c:pt idx="0">
                  <c:v>支出</c:v>
                </c:pt>
              </c:strCache>
            </c:strRef>
          </c:tx>
          <c:spPr>
            <a:solidFill>
              <a:schemeClr val="accent2"/>
            </a:solidFill>
            <a:ln>
              <a:noFill/>
            </a:ln>
            <a:effectLst/>
          </c:spPr>
          <c:invertIfNegative val="0"/>
          <c:dLbls>
            <c:delete val="1"/>
          </c:dLbls>
          <c:cat>
            <c:strRef>
              <c:f>Sheet1!$A$2:$A$3</c:f>
              <c:strCache>
                <c:ptCount val="2"/>
                <c:pt idx="0">
                  <c:v>2020年</c:v>
                </c:pt>
                <c:pt idx="1">
                  <c:v>22021年</c:v>
                </c:pt>
              </c:strCache>
            </c:strRef>
          </c:cat>
          <c:val>
            <c:numRef>
              <c:f>Sheet1!$C$2:$C$3</c:f>
              <c:numCache>
                <c:formatCode>General</c:formatCode>
                <c:ptCount val="2"/>
                <c:pt idx="0">
                  <c:v>1209.62</c:v>
                </c:pt>
                <c:pt idx="1">
                  <c:v>845.53</c:v>
                </c:pt>
              </c:numCache>
            </c:numRef>
          </c:val>
        </c:ser>
        <c:dLbls>
          <c:showLegendKey val="0"/>
          <c:showVal val="0"/>
          <c:showCatName val="0"/>
          <c:showSerName val="0"/>
          <c:showPercent val="0"/>
          <c:showBubbleSize val="0"/>
        </c:dLbls>
        <c:gapWidth val="219"/>
        <c:overlap val="-27"/>
        <c:axId val="363649638"/>
        <c:axId val="327379038"/>
      </c:barChart>
      <c:catAx>
        <c:axId val="36364963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27379038"/>
        <c:crosses val="autoZero"/>
        <c:auto val="1"/>
        <c:lblAlgn val="ctr"/>
        <c:lblOffset val="100"/>
        <c:noMultiLvlLbl val="0"/>
      </c:catAx>
      <c:valAx>
        <c:axId val="32737903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6364963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收入决算结构</c:v>
                </c:pt>
              </c:strCache>
            </c:strRef>
          </c:tx>
          <c:spPr/>
          <c:explosion val="0"/>
          <c:dPt>
            <c:idx val="0"/>
            <c:bubble3D val="0"/>
            <c:spPr>
              <a:solidFill>
                <a:schemeClr val="accent1"/>
              </a:solidFill>
              <a:ln w="19050">
                <a:solidFill>
                  <a:schemeClr val="lt1"/>
                </a:solidFill>
              </a:ln>
              <a:effectLst/>
            </c:spPr>
          </c:dPt>
          <c:dLbls>
            <c:delete val="1"/>
          </c:dLbls>
          <c:cat>
            <c:strRef>
              <c:f>Sheet1!$A$2</c:f>
              <c:strCache>
                <c:ptCount val="1"/>
                <c:pt idx="0">
                  <c:v>一般公共预算财政拨款收入</c:v>
                </c:pt>
              </c:strCache>
            </c:strRef>
          </c:cat>
          <c:val>
            <c:numRef>
              <c:f>Sheet1!$B$2</c:f>
              <c:numCache>
                <c:formatCode>General</c:formatCode>
                <c:ptCount val="1"/>
                <c:pt idx="0">
                  <c:v>656.55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第一季度</c:v>
                </c:pt>
                <c:pt idx="1">
                  <c:v>第二季度</c:v>
                </c:pt>
                <c:pt idx="2">
                  <c:v>第三季度</c:v>
                </c:pt>
                <c:pt idx="3">
                  <c:v>第四季度</c:v>
                </c:pt>
              </c:strCache>
            </c:strRef>
          </c:cat>
          <c:val>
            <c:numRef>
              <c:f>Sheet1!$B$2:$B$5</c:f>
              <c:numCache>
                <c:formatCode>General</c:formatCode>
                <c:ptCount val="4"/>
                <c:pt idx="0">
                  <c:v>8.2</c:v>
                </c:pt>
                <c:pt idx="1">
                  <c:v>3.2</c:v>
                </c:pt>
                <c:pt idx="2">
                  <c:v>1.4</c:v>
                </c:pt>
                <c:pt idx="3">
                  <c:v>1.2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altLang="en-US"/>
              <a:t>财政拨款收、支决算总计变动</a:t>
            </a:r>
            <a:endParaRPr lang="en-US" altLang="zh-CN"/>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2020年</c:v>
                </c:pt>
              </c:strCache>
            </c:strRef>
          </c:tx>
          <c:spPr>
            <a:solidFill>
              <a:schemeClr val="accent1"/>
            </a:solidFill>
            <a:ln>
              <a:noFill/>
            </a:ln>
            <a:effectLst/>
          </c:spPr>
          <c:invertIfNegative val="0"/>
          <c:dLbls>
            <c:delete val="1"/>
          </c:dLbls>
          <c:cat>
            <c:strRef>
              <c:f>Sheet1!$A$2:$A$3</c:f>
              <c:strCache>
                <c:ptCount val="2"/>
                <c:pt idx="0">
                  <c:v>财政拨款收入总计</c:v>
                </c:pt>
                <c:pt idx="1">
                  <c:v>财政拨款支出总计</c:v>
                </c:pt>
              </c:strCache>
            </c:strRef>
          </c:cat>
          <c:val>
            <c:numRef>
              <c:f>Sheet1!$B$2:$B$3</c:f>
              <c:numCache>
                <c:formatCode>General</c:formatCode>
                <c:ptCount val="2"/>
                <c:pt idx="0">
                  <c:v>1209.62</c:v>
                </c:pt>
                <c:pt idx="1">
                  <c:v>878.27</c:v>
                </c:pt>
              </c:numCache>
            </c:numRef>
          </c:val>
        </c:ser>
        <c:ser>
          <c:idx val="1"/>
          <c:order val="1"/>
          <c:tx>
            <c:strRef>
              <c:f>Sheet1!$C$1</c:f>
              <c:strCache>
                <c:ptCount val="1"/>
                <c:pt idx="0">
                  <c:v>2021年</c:v>
                </c:pt>
              </c:strCache>
            </c:strRef>
          </c:tx>
          <c:spPr>
            <a:solidFill>
              <a:schemeClr val="accent2"/>
            </a:solidFill>
            <a:ln>
              <a:noFill/>
            </a:ln>
            <a:effectLst/>
          </c:spPr>
          <c:invertIfNegative val="0"/>
          <c:dLbls>
            <c:delete val="1"/>
          </c:dLbls>
          <c:cat>
            <c:strRef>
              <c:f>Sheet1!$A$2:$A$3</c:f>
              <c:strCache>
                <c:ptCount val="2"/>
                <c:pt idx="0">
                  <c:v>财政拨款收入总计</c:v>
                </c:pt>
                <c:pt idx="1">
                  <c:v>财政拨款支出总计</c:v>
                </c:pt>
              </c:strCache>
            </c:strRef>
          </c:cat>
          <c:val>
            <c:numRef>
              <c:f>Sheet1!$C$2:$C$3</c:f>
              <c:numCache>
                <c:formatCode>General</c:formatCode>
                <c:ptCount val="2"/>
                <c:pt idx="0">
                  <c:v>845.53</c:v>
                </c:pt>
                <c:pt idx="1">
                  <c:v>845.53</c:v>
                </c:pt>
              </c:numCache>
            </c:numRef>
          </c:val>
        </c:ser>
        <c:dLbls>
          <c:showLegendKey val="0"/>
          <c:showVal val="0"/>
          <c:showCatName val="0"/>
          <c:showSerName val="0"/>
          <c:showPercent val="0"/>
          <c:showBubbleSize val="0"/>
        </c:dLbls>
        <c:gapWidth val="219"/>
        <c:overlap val="-27"/>
        <c:axId val="159577484"/>
        <c:axId val="599661880"/>
      </c:barChart>
      <c:catAx>
        <c:axId val="15957748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99661880"/>
        <c:crosses val="autoZero"/>
        <c:auto val="1"/>
        <c:lblAlgn val="ctr"/>
        <c:lblOffset val="100"/>
        <c:noMultiLvlLbl val="0"/>
      </c:catAx>
      <c:valAx>
        <c:axId val="599661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957748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a:t>
            </a:r>
          </a:p>
        </c:rich>
      </c:tx>
      <c:layout/>
      <c:overlay val="0"/>
      <c:spPr>
        <a:noFill/>
        <a:ln>
          <a:noFill/>
        </a:ln>
        <a:effectLst/>
      </c:spPr>
    </c:title>
    <c:autoTitleDeleted val="0"/>
    <c:plotArea>
      <c:layout>
        <c:manualLayout>
          <c:layoutTarget val="inner"/>
          <c:xMode val="edge"/>
          <c:yMode val="edge"/>
          <c:x val="0.070325"/>
          <c:y val="0.125"/>
          <c:w val="0.903675"/>
          <c:h val="0.717233333333333"/>
        </c:manualLayout>
      </c:layout>
      <c:barChart>
        <c:barDir val="col"/>
        <c:grouping val="clustered"/>
        <c:varyColors val="0"/>
        <c:ser>
          <c:idx val="0"/>
          <c:order val="0"/>
          <c:tx>
            <c:strRef>
              <c:f>Sheet1!$B$1</c:f>
              <c:strCache>
                <c:ptCount val="1"/>
                <c:pt idx="0">
                  <c:v>财政拨款支出</c:v>
                </c:pt>
              </c:strCache>
            </c:strRef>
          </c:tx>
          <c:spPr>
            <a:solidFill>
              <a:schemeClr val="accent1"/>
            </a:solidFill>
            <a:ln>
              <a:noFill/>
            </a:ln>
            <a:effectLst/>
          </c:spPr>
          <c:invertIfNegative val="0"/>
          <c:dLbls>
            <c:delete val="1"/>
          </c:dLbls>
          <c:cat>
            <c:strRef>
              <c:f>Sheet1!$A$2:$A$3</c:f>
              <c:strCache>
                <c:ptCount val="2"/>
                <c:pt idx="0">
                  <c:v>2021年</c:v>
                </c:pt>
                <c:pt idx="1">
                  <c:v>2020年</c:v>
                </c:pt>
              </c:strCache>
            </c:strRef>
          </c:cat>
          <c:val>
            <c:numRef>
              <c:f>Sheet1!$B$2:$B$3</c:f>
              <c:numCache>
                <c:formatCode>General</c:formatCode>
                <c:ptCount val="2"/>
                <c:pt idx="0">
                  <c:v>845.53</c:v>
                </c:pt>
                <c:pt idx="1">
                  <c:v>878.27</c:v>
                </c:pt>
              </c:numCache>
            </c:numRef>
          </c:val>
        </c:ser>
        <c:dLbls>
          <c:showLegendKey val="0"/>
          <c:showVal val="0"/>
          <c:showCatName val="0"/>
          <c:showSerName val="0"/>
          <c:showPercent val="0"/>
          <c:showBubbleSize val="0"/>
        </c:dLbls>
        <c:gapWidth val="219"/>
        <c:overlap val="-27"/>
        <c:axId val="288526562"/>
        <c:axId val="842183159"/>
      </c:barChart>
      <c:catAx>
        <c:axId val="28852656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2183159"/>
        <c:crosses val="autoZero"/>
        <c:auto val="1"/>
        <c:lblAlgn val="ctr"/>
        <c:lblOffset val="100"/>
        <c:noMultiLvlLbl val="0"/>
      </c:catAx>
      <c:valAx>
        <c:axId val="8421831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8852656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Sheet1!$A$2:$A$5</c:f>
              <c:strCache>
                <c:ptCount val="4"/>
                <c:pt idx="0">
                  <c:v>国防支出</c:v>
                </c:pt>
                <c:pt idx="1">
                  <c:v>社会保障和就业支出</c:v>
                </c:pt>
                <c:pt idx="2">
                  <c:v>卫生健康支出</c:v>
                </c:pt>
                <c:pt idx="3">
                  <c:v>住房保障支出</c:v>
                </c:pt>
              </c:strCache>
            </c:strRef>
          </c:cat>
          <c:val>
            <c:numRef>
              <c:f>Sheet1!$B$2:$B$5</c:f>
              <c:numCache>
                <c:formatCode>General</c:formatCode>
                <c:ptCount val="4"/>
                <c:pt idx="0">
                  <c:v>1.66</c:v>
                </c:pt>
                <c:pt idx="1">
                  <c:v>820.2</c:v>
                </c:pt>
                <c:pt idx="2">
                  <c:v>11.49</c:v>
                </c:pt>
                <c:pt idx="3">
                  <c:v>12.18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0A26A-4F96-4E33-A4F8-80E1B883F3E0}">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23</Pages>
  <Words>7750</Words>
  <Characters>8322</Characters>
  <Lines>74</Lines>
  <Paragraphs>21</Paragraphs>
  <TotalTime>7</TotalTime>
  <ScaleCrop>false</ScaleCrop>
  <LinksUpToDate>false</LinksUpToDate>
  <CharactersWithSpaces>8417</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wjj</cp:lastModifiedBy>
  <cp:lastPrinted>2022-10-20T02:35:23Z</cp:lastPrinted>
  <dcterms:modified xsi:type="dcterms:W3CDTF">2022-10-20T02:35:40Z</dcterms:modified>
  <dc:title>阿坝州部门决算说明</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F47C2ED1868E4F4396E091346F50776C</vt:lpwstr>
  </property>
</Properties>
</file>