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pStyle w:val="2"/>
        <w:rPr>
          <w:rFonts w:ascii="方正小标宋简体" w:hAnsi="宋体" w:eastAsia="方正小标宋简体"/>
          <w:color w:val="000000"/>
          <w:sz w:val="72"/>
          <w:szCs w:val="72"/>
        </w:rPr>
      </w:pPr>
    </w:p>
    <w:p>
      <w:pPr>
        <w:pStyle w:val="2"/>
        <w:rPr>
          <w:rFonts w:ascii="方正小标宋简体" w:hAnsi="宋体" w:eastAsia="方正小标宋简体"/>
          <w:color w:val="000000"/>
          <w:sz w:val="72"/>
          <w:szCs w:val="72"/>
        </w:rPr>
      </w:pPr>
    </w:p>
    <w:p>
      <w:pPr>
        <w:pStyle w:val="2"/>
        <w:rPr>
          <w:rFonts w:ascii="方正小标宋简体" w:hAnsi="宋体" w:eastAsia="方正小标宋简体"/>
          <w:color w:val="000000"/>
          <w:sz w:val="72"/>
          <w:szCs w:val="72"/>
        </w:rPr>
      </w:pPr>
    </w:p>
    <w:p>
      <w:pPr>
        <w:pStyle w:val="2"/>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pStyle w:val="2"/>
        <w:rPr>
          <w:rFonts w:ascii="方正小标宋简体" w:hAnsi="宋体" w:eastAsia="方正小标宋简体"/>
          <w:color w:val="000000"/>
          <w:sz w:val="72"/>
          <w:szCs w:val="72"/>
        </w:rPr>
      </w:pPr>
    </w:p>
    <w:p>
      <w:pPr>
        <w:pStyle w:val="2"/>
        <w:rPr>
          <w:rFonts w:ascii="方正小标宋简体" w:hAnsi="宋体" w:eastAsia="方正小标宋简体"/>
          <w:color w:val="000000"/>
          <w:sz w:val="72"/>
          <w:szCs w:val="72"/>
        </w:rPr>
      </w:pPr>
    </w:p>
    <w:p>
      <w:pPr>
        <w:pStyle w:val="2"/>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keepNext w:val="0"/>
        <w:keepLines w:val="0"/>
        <w:pageBreakBefore w:val="0"/>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b/>
          <w:bCs/>
          <w:sz w:val="52"/>
          <w:szCs w:val="52"/>
          <w:lang w:val="en-US" w:eastAsia="zh-CN"/>
        </w:rPr>
      </w:pPr>
      <w:bookmarkStart w:id="1" w:name="_Toc15377193"/>
      <w:bookmarkStart w:id="2" w:name="_Toc15378441"/>
      <w:bookmarkStart w:id="3" w:name="_Toc15377425"/>
      <w:bookmarkStart w:id="4" w:name="_Toc15396475"/>
      <w:bookmarkStart w:id="5" w:name="_Toc15396597"/>
      <w:r>
        <w:rPr>
          <w:rFonts w:hint="eastAsia" w:ascii="方正小标宋简体" w:eastAsia="方正小标宋简体"/>
          <w:b/>
          <w:bCs/>
          <w:sz w:val="52"/>
          <w:szCs w:val="52"/>
        </w:rPr>
        <w:t>2021年度</w:t>
      </w:r>
      <w:bookmarkEnd w:id="1"/>
      <w:bookmarkEnd w:id="2"/>
      <w:bookmarkEnd w:id="3"/>
      <w:bookmarkEnd w:id="4"/>
      <w:bookmarkEnd w:id="5"/>
      <w:bookmarkStart w:id="6" w:name="_Toc15396476"/>
      <w:bookmarkStart w:id="7" w:name="_Toc15377426"/>
      <w:bookmarkStart w:id="8" w:name="_Toc15377194"/>
      <w:bookmarkStart w:id="9" w:name="_Toc15378442"/>
      <w:bookmarkStart w:id="10" w:name="_Toc15396598"/>
      <w:r>
        <w:rPr>
          <w:rFonts w:hint="eastAsia" w:ascii="方正小标宋简体" w:eastAsia="方正小标宋简体"/>
          <w:b/>
          <w:bCs/>
          <w:sz w:val="52"/>
          <w:szCs w:val="52"/>
          <w:lang w:eastAsia="zh-CN"/>
        </w:rPr>
        <w:t>四川省</w:t>
      </w:r>
      <w:r>
        <w:rPr>
          <w:rFonts w:hint="eastAsia" w:ascii="方正小标宋简体" w:eastAsia="方正小标宋简体"/>
          <w:b/>
          <w:bCs/>
          <w:sz w:val="52"/>
          <w:szCs w:val="52"/>
        </w:rPr>
        <w:t>阿坝州</w:t>
      </w:r>
      <w:r>
        <w:rPr>
          <w:rFonts w:hint="eastAsia" w:ascii="方正小标宋简体" w:eastAsia="方正小标宋简体"/>
          <w:b/>
          <w:bCs/>
          <w:sz w:val="52"/>
          <w:szCs w:val="52"/>
          <w:lang w:val="en-US" w:eastAsia="zh-CN"/>
        </w:rPr>
        <w:t>壤塘县</w:t>
      </w:r>
      <w:bookmarkEnd w:id="0"/>
      <w:bookmarkStart w:id="11" w:name="_Toc15306268"/>
    </w:p>
    <w:p>
      <w:pPr>
        <w:keepNext w:val="0"/>
        <w:keepLines w:val="0"/>
        <w:pageBreakBefore w:val="0"/>
        <w:kinsoku/>
        <w:wordWrap/>
        <w:overflowPunct/>
        <w:topLinePunct w:val="0"/>
        <w:autoSpaceDE/>
        <w:autoSpaceDN/>
        <w:bidi w:val="0"/>
        <w:adjustRightInd/>
        <w:snapToGrid/>
        <w:spacing w:line="800" w:lineRule="exact"/>
        <w:jc w:val="center"/>
        <w:textAlignment w:val="auto"/>
        <w:rPr>
          <w:rFonts w:hint="eastAsia" w:ascii="方正小标宋简体" w:eastAsia="方正小标宋简体"/>
          <w:b/>
          <w:bCs/>
          <w:sz w:val="52"/>
          <w:szCs w:val="52"/>
          <w:lang w:eastAsia="zh-CN"/>
        </w:rPr>
      </w:pPr>
      <w:r>
        <w:rPr>
          <w:rFonts w:hint="eastAsia" w:ascii="方正小标宋简体" w:eastAsia="方正小标宋简体"/>
          <w:b/>
          <w:bCs/>
          <w:sz w:val="52"/>
          <w:szCs w:val="52"/>
          <w:lang w:val="en-US" w:eastAsia="zh-CN"/>
        </w:rPr>
        <w:t>行政审批局</w:t>
      </w:r>
      <w:r>
        <w:rPr>
          <w:rFonts w:hint="eastAsia" w:ascii="方正小标宋简体" w:eastAsia="方正小标宋简体"/>
          <w:b/>
          <w:bCs/>
          <w:sz w:val="52"/>
          <w:szCs w:val="52"/>
        </w:rPr>
        <w:t>部门决算</w:t>
      </w:r>
      <w:bookmarkEnd w:id="6"/>
      <w:bookmarkEnd w:id="7"/>
      <w:bookmarkEnd w:id="8"/>
      <w:bookmarkEnd w:id="9"/>
      <w:bookmarkEnd w:id="10"/>
      <w:bookmarkEnd w:id="11"/>
      <w:r>
        <w:rPr>
          <w:rFonts w:hint="eastAsia" w:ascii="方正小标宋简体" w:eastAsia="方正小标宋简体"/>
          <w:b/>
          <w:bCs/>
          <w:sz w:val="52"/>
          <w:szCs w:val="52"/>
          <w:lang w:eastAsia="zh-CN"/>
        </w:rPr>
        <w:t>编制说明</w:t>
      </w:r>
    </w:p>
    <w:p>
      <w:pPr>
        <w:keepNext w:val="0"/>
        <w:keepLines w:val="0"/>
        <w:pageBreakBefore w:val="0"/>
        <w:widowControl/>
        <w:kinsoku/>
        <w:wordWrap/>
        <w:overflowPunct/>
        <w:topLinePunct w:val="0"/>
        <w:autoSpaceDE/>
        <w:autoSpaceDN/>
        <w:bidi w:val="0"/>
        <w:adjustRightInd/>
        <w:snapToGrid/>
        <w:spacing w:line="800" w:lineRule="exact"/>
        <w:jc w:val="center"/>
        <w:textAlignment w:val="auto"/>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ind w:firstLine="3360" w:firstLineChars="700"/>
        <w:jc w:val="both"/>
        <w:rPr>
          <w:rFonts w:hint="eastAsia" w:ascii="黑体" w:hAnsi="黑体" w:eastAsia="黑体"/>
          <w:color w:val="000000"/>
          <w:sz w:val="48"/>
          <w:szCs w:val="48"/>
        </w:rPr>
      </w:pPr>
    </w:p>
    <w:p>
      <w:pPr>
        <w:widowControl/>
        <w:ind w:firstLine="3360" w:firstLineChars="700"/>
        <w:jc w:val="both"/>
        <w:rPr>
          <w:rFonts w:hint="eastAsia" w:ascii="黑体" w:hAnsi="黑体" w:eastAsia="黑体"/>
          <w:color w:val="000000"/>
          <w:sz w:val="48"/>
          <w:szCs w:val="48"/>
        </w:rPr>
      </w:pPr>
    </w:p>
    <w:p>
      <w:pPr>
        <w:widowControl/>
        <w:ind w:firstLine="3360" w:firstLineChars="700"/>
        <w:jc w:val="both"/>
        <w:rPr>
          <w:rFonts w:hint="eastAsia" w:ascii="黑体" w:hAnsi="黑体" w:eastAsia="黑体"/>
          <w:color w:val="000000"/>
          <w:sz w:val="48"/>
          <w:szCs w:val="48"/>
        </w:rPr>
      </w:pPr>
    </w:p>
    <w:p>
      <w:pPr>
        <w:widowControl/>
        <w:ind w:firstLine="3360" w:firstLineChars="700"/>
        <w:jc w:val="both"/>
        <w:rPr>
          <w:rFonts w:hint="eastAsia" w:ascii="黑体" w:hAnsi="黑体" w:eastAsia="黑体"/>
          <w:color w:val="000000"/>
          <w:sz w:val="48"/>
          <w:szCs w:val="48"/>
        </w:rPr>
      </w:pPr>
    </w:p>
    <w:p>
      <w:pPr>
        <w:widowControl/>
        <w:ind w:firstLine="3360" w:firstLineChars="700"/>
        <w:jc w:val="both"/>
        <w:rPr>
          <w:rFonts w:ascii="黑体" w:hAnsi="黑体" w:eastAsia="黑体"/>
          <w:color w:val="000000"/>
          <w:sz w:val="48"/>
          <w:szCs w:val="48"/>
        </w:rPr>
      </w:pP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pStyle w:val="16"/>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bCs w:val="0"/>
        </w:rPr>
        <w:t>第一部分 部门概况</w:t>
      </w:r>
      <w:r>
        <w:tab/>
      </w:r>
      <w:r>
        <w:fldChar w:fldCharType="begin"/>
      </w:r>
      <w:r>
        <w:instrText xml:space="preserve"> PAGEREF _Toc17137 \h </w:instrText>
      </w:r>
      <w:r>
        <w:fldChar w:fldCharType="separate"/>
      </w:r>
      <w:r>
        <w:t>1</w:t>
      </w:r>
      <w:r>
        <w:fldChar w:fldCharType="end"/>
      </w:r>
    </w:p>
    <w:p>
      <w:pPr>
        <w:pStyle w:val="19"/>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_Toc21138 \h </w:instrText>
      </w:r>
      <w:r>
        <w:fldChar w:fldCharType="separate"/>
      </w:r>
      <w:r>
        <w:t>1</w:t>
      </w:r>
      <w:r>
        <w:fldChar w:fldCharType="end"/>
      </w:r>
    </w:p>
    <w:p>
      <w:pPr>
        <w:pStyle w:val="11"/>
        <w:tabs>
          <w:tab w:val="right" w:leader="dot" w:pos="8306"/>
        </w:tabs>
      </w:pPr>
      <w:r>
        <w:rPr>
          <w:rFonts w:hint="eastAsia" w:ascii="仿宋" w:hAnsi="仿宋" w:eastAsia="仿宋"/>
          <w:bCs/>
          <w:color w:val="000000"/>
          <w:szCs w:val="32"/>
        </w:rPr>
        <w:t>（一）主要职能。</w:t>
      </w:r>
      <w:r>
        <w:tab/>
      </w:r>
      <w:r>
        <w:fldChar w:fldCharType="begin"/>
      </w:r>
      <w:r>
        <w:instrText xml:space="preserve"> PAGEREF _Toc19138 \h </w:instrText>
      </w:r>
      <w:r>
        <w:fldChar w:fldCharType="separate"/>
      </w:r>
      <w:r>
        <w:t>1</w:t>
      </w:r>
      <w:r>
        <w:fldChar w:fldCharType="end"/>
      </w:r>
    </w:p>
    <w:p>
      <w:pPr>
        <w:pStyle w:val="11"/>
        <w:tabs>
          <w:tab w:val="right" w:leader="dot" w:pos="8306"/>
        </w:tabs>
      </w:pPr>
      <w:r>
        <w:rPr>
          <w:rFonts w:hint="eastAsia" w:ascii="仿宋" w:hAnsi="仿宋" w:eastAsia="仿宋"/>
          <w:bCs/>
          <w:color w:val="000000"/>
          <w:szCs w:val="32"/>
        </w:rPr>
        <w:t>（二）</w:t>
      </w:r>
      <w:r>
        <w:rPr>
          <w:rFonts w:ascii="仿宋" w:hAnsi="仿宋" w:eastAsia="仿宋"/>
          <w:bCs/>
          <w:color w:val="000000"/>
          <w:szCs w:val="32"/>
        </w:rPr>
        <w:t>202</w:t>
      </w:r>
      <w:r>
        <w:rPr>
          <w:rFonts w:hint="eastAsia" w:ascii="仿宋" w:hAnsi="仿宋" w:eastAsia="仿宋"/>
          <w:bCs/>
          <w:color w:val="000000"/>
          <w:szCs w:val="32"/>
        </w:rPr>
        <w:t>1年重点工作完成情况</w:t>
      </w:r>
      <w:r>
        <w:tab/>
      </w:r>
      <w:r>
        <w:fldChar w:fldCharType="begin"/>
      </w:r>
      <w:r>
        <w:instrText xml:space="preserve"> PAGEREF _Toc174 \h </w:instrText>
      </w:r>
      <w:r>
        <w:fldChar w:fldCharType="separate"/>
      </w:r>
      <w:r>
        <w:t>2</w:t>
      </w:r>
      <w:r>
        <w:fldChar w:fldCharType="end"/>
      </w:r>
    </w:p>
    <w:p>
      <w:pPr>
        <w:pStyle w:val="19"/>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_Toc2148 \h </w:instrText>
      </w:r>
      <w:r>
        <w:fldChar w:fldCharType="separate"/>
      </w:r>
      <w:r>
        <w:t>4</w:t>
      </w:r>
      <w:r>
        <w:fldChar w:fldCharType="end"/>
      </w:r>
    </w:p>
    <w:p>
      <w:pPr>
        <w:pStyle w:val="16"/>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_Toc9730 \h </w:instrText>
      </w:r>
      <w:r>
        <w:fldChar w:fldCharType="separate"/>
      </w:r>
      <w:r>
        <w:t>4</w:t>
      </w:r>
      <w:r>
        <w:fldChar w:fldCharType="end"/>
      </w:r>
    </w:p>
    <w:p>
      <w:pPr>
        <w:pStyle w:val="19"/>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_Toc23383 \h </w:instrText>
      </w:r>
      <w:r>
        <w:fldChar w:fldCharType="separate"/>
      </w:r>
      <w:r>
        <w:t>4</w:t>
      </w:r>
      <w:r>
        <w:fldChar w:fldCharType="end"/>
      </w:r>
    </w:p>
    <w:p>
      <w:pPr>
        <w:pStyle w:val="19"/>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_Toc19324 \h </w:instrText>
      </w:r>
      <w:r>
        <w:fldChar w:fldCharType="separate"/>
      </w:r>
      <w:r>
        <w:t>4</w:t>
      </w:r>
      <w:r>
        <w:fldChar w:fldCharType="end"/>
      </w:r>
    </w:p>
    <w:p>
      <w:pPr>
        <w:pStyle w:val="19"/>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_Toc23188 \h </w:instrText>
      </w:r>
      <w:r>
        <w:fldChar w:fldCharType="separate"/>
      </w:r>
      <w:r>
        <w:t>5</w:t>
      </w:r>
      <w:r>
        <w:fldChar w:fldCharType="end"/>
      </w:r>
    </w:p>
    <w:p>
      <w:pPr>
        <w:pStyle w:val="19"/>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_Toc7912 \h </w:instrText>
      </w:r>
      <w:r>
        <w:fldChar w:fldCharType="separate"/>
      </w:r>
      <w:r>
        <w:t>5</w:t>
      </w:r>
      <w:r>
        <w:fldChar w:fldCharType="end"/>
      </w:r>
    </w:p>
    <w:p>
      <w:pPr>
        <w:pStyle w:val="19"/>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_Toc3203 \h </w:instrText>
      </w:r>
      <w:r>
        <w:fldChar w:fldCharType="separate"/>
      </w:r>
      <w:r>
        <w:t>6</w:t>
      </w:r>
      <w:r>
        <w:fldChar w:fldCharType="end"/>
      </w:r>
    </w:p>
    <w:p>
      <w:pPr>
        <w:pStyle w:val="11"/>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_Toc9625 \h </w:instrText>
      </w:r>
      <w:r>
        <w:fldChar w:fldCharType="separate"/>
      </w:r>
      <w:r>
        <w:t>6</w:t>
      </w:r>
      <w:r>
        <w:fldChar w:fldCharType="end"/>
      </w:r>
    </w:p>
    <w:p>
      <w:pPr>
        <w:pStyle w:val="11"/>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_Toc16279 \h </w:instrText>
      </w:r>
      <w:r>
        <w:fldChar w:fldCharType="separate"/>
      </w:r>
      <w:r>
        <w:t>6</w:t>
      </w:r>
      <w:r>
        <w:fldChar w:fldCharType="end"/>
      </w:r>
    </w:p>
    <w:p>
      <w:pPr>
        <w:pStyle w:val="11"/>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_Toc24850 \h </w:instrText>
      </w:r>
      <w:r>
        <w:fldChar w:fldCharType="separate"/>
      </w:r>
      <w:r>
        <w:t>7</w:t>
      </w:r>
      <w:r>
        <w:fldChar w:fldCharType="end"/>
      </w:r>
    </w:p>
    <w:p>
      <w:pPr>
        <w:pStyle w:val="19"/>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_Toc4271 \h </w:instrText>
      </w:r>
      <w:r>
        <w:fldChar w:fldCharType="separate"/>
      </w:r>
      <w:r>
        <w:t>8</w:t>
      </w:r>
      <w:r>
        <w:fldChar w:fldCharType="end"/>
      </w:r>
    </w:p>
    <w:p>
      <w:pPr>
        <w:pStyle w:val="19"/>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_Toc24156 \h </w:instrText>
      </w:r>
      <w:r>
        <w:fldChar w:fldCharType="separate"/>
      </w:r>
      <w:r>
        <w:t>9</w:t>
      </w:r>
      <w:r>
        <w:fldChar w:fldCharType="end"/>
      </w:r>
    </w:p>
    <w:p>
      <w:pPr>
        <w:pStyle w:val="11"/>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_Toc21945 \h </w:instrText>
      </w:r>
      <w:r>
        <w:fldChar w:fldCharType="separate"/>
      </w:r>
      <w:r>
        <w:t>9</w:t>
      </w:r>
      <w:r>
        <w:fldChar w:fldCharType="end"/>
      </w:r>
    </w:p>
    <w:p>
      <w:pPr>
        <w:pStyle w:val="11"/>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_Toc11436 \h </w:instrText>
      </w:r>
      <w:r>
        <w:fldChar w:fldCharType="separate"/>
      </w:r>
      <w:r>
        <w:t>9</w:t>
      </w:r>
      <w:r>
        <w:fldChar w:fldCharType="end"/>
      </w:r>
    </w:p>
    <w:p>
      <w:pPr>
        <w:pStyle w:val="19"/>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_Toc5667 \h </w:instrText>
      </w:r>
      <w:r>
        <w:fldChar w:fldCharType="separate"/>
      </w:r>
      <w:r>
        <w:t>10</w:t>
      </w:r>
      <w:r>
        <w:fldChar w:fldCharType="end"/>
      </w:r>
    </w:p>
    <w:p>
      <w:pPr>
        <w:pStyle w:val="19"/>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_Toc24190 \h </w:instrText>
      </w:r>
      <w:r>
        <w:fldChar w:fldCharType="separate"/>
      </w:r>
      <w:r>
        <w:t>10</w:t>
      </w:r>
      <w:r>
        <w:fldChar w:fldCharType="end"/>
      </w:r>
    </w:p>
    <w:p>
      <w:pPr>
        <w:pStyle w:val="19"/>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_Toc18462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_Toc4184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_Toc200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_Toc2766 \h </w:instrText>
      </w:r>
      <w:r>
        <w:fldChar w:fldCharType="separate"/>
      </w:r>
      <w:r>
        <w:t>11</w:t>
      </w:r>
      <w:r>
        <w:fldChar w:fldCharType="end"/>
      </w:r>
    </w:p>
    <w:p>
      <w:pPr>
        <w:pStyle w:val="11"/>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_Toc30377 \h </w:instrText>
      </w:r>
      <w:r>
        <w:fldChar w:fldCharType="separate"/>
      </w:r>
      <w:r>
        <w:t>11</w:t>
      </w:r>
      <w:r>
        <w:fldChar w:fldCharType="end"/>
      </w:r>
    </w:p>
    <w:p>
      <w:pPr>
        <w:pStyle w:val="16"/>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_Toc385 \h </w:instrText>
      </w:r>
      <w:r>
        <w:fldChar w:fldCharType="separate"/>
      </w:r>
      <w:r>
        <w:t>13</w:t>
      </w:r>
      <w:r>
        <w:fldChar w:fldCharType="end"/>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四部分</w:t>
      </w:r>
      <w:r>
        <w:rPr>
          <w:rFonts w:ascii="黑体" w:hAnsi="黑体" w:eastAsia="黑体"/>
        </w:rPr>
        <w:t xml:space="preserve"> </w:t>
      </w:r>
      <w:r>
        <w:rPr>
          <w:rFonts w:hint="eastAsia" w:ascii="黑体" w:hAnsi="黑体" w:eastAsia="黑体"/>
        </w:rPr>
        <w:t>附件</w:t>
      </w:r>
      <w:r>
        <w:tab/>
      </w:r>
      <w:r>
        <w:fldChar w:fldCharType="begin"/>
      </w:r>
      <w:r>
        <w:instrText xml:space="preserve"> PAGEREF _Toc28978 \h </w:instrText>
      </w:r>
      <w:r>
        <w:fldChar w:fldCharType="separate"/>
      </w:r>
      <w:r>
        <w:t>15</w:t>
      </w:r>
      <w:r>
        <w:fldChar w:fldCharType="end"/>
      </w:r>
    </w:p>
    <w:p>
      <w:pPr>
        <w:pStyle w:val="16"/>
        <w:tabs>
          <w:tab w:val="right" w:leader="dot" w:pos="8306"/>
        </w:tabs>
      </w:pPr>
      <w:r>
        <w:rPr>
          <w:rFonts w:hint="eastAsia" w:ascii="黑体" w:hAnsi="黑体" w:eastAsia="黑体" w:cs="黑体"/>
          <w:szCs w:val="32"/>
        </w:rPr>
        <w:t>附件</w:t>
      </w:r>
      <w:r>
        <w:rPr>
          <w:rFonts w:ascii="黑体" w:hAnsi="黑体" w:eastAsia="黑体" w:cs="黑体"/>
          <w:szCs w:val="32"/>
        </w:rPr>
        <w:t>1</w:t>
      </w:r>
      <w:r>
        <w:tab/>
      </w:r>
      <w:r>
        <w:fldChar w:fldCharType="begin"/>
      </w:r>
      <w:r>
        <w:instrText xml:space="preserve"> PAGEREF _Toc16167 \h </w:instrText>
      </w:r>
      <w:r>
        <w:fldChar w:fldCharType="separate"/>
      </w:r>
      <w:r>
        <w:t>15</w:t>
      </w:r>
      <w:r>
        <w:fldChar w:fldCharType="end"/>
      </w:r>
    </w:p>
    <w:p>
      <w:pPr>
        <w:pStyle w:val="16"/>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_Toc21789 \h </w:instrText>
      </w:r>
      <w:r>
        <w:fldChar w:fldCharType="separate"/>
      </w:r>
      <w:r>
        <w:t>29</w:t>
      </w:r>
      <w:r>
        <w:fldChar w:fldCharType="end"/>
      </w:r>
    </w:p>
    <w:p>
      <w:pPr>
        <w:pStyle w:val="19"/>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_Toc20203 \h </w:instrText>
      </w:r>
      <w:r>
        <w:fldChar w:fldCharType="separate"/>
      </w:r>
      <w:r>
        <w:t>29</w:t>
      </w:r>
      <w:r>
        <w:fldChar w:fldCharType="end"/>
      </w:r>
    </w:p>
    <w:p>
      <w:pPr>
        <w:pStyle w:val="19"/>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_Toc15581 \h </w:instrText>
      </w:r>
      <w:r>
        <w:fldChar w:fldCharType="separate"/>
      </w:r>
      <w:r>
        <w:t>29</w:t>
      </w:r>
      <w:r>
        <w:fldChar w:fldCharType="end"/>
      </w:r>
    </w:p>
    <w:p>
      <w:pPr>
        <w:pStyle w:val="19"/>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_Toc30111 \h </w:instrText>
      </w:r>
      <w:r>
        <w:fldChar w:fldCharType="separate"/>
      </w:r>
      <w:r>
        <w:t>29</w:t>
      </w:r>
      <w:r>
        <w:fldChar w:fldCharType="end"/>
      </w:r>
    </w:p>
    <w:p>
      <w:pPr>
        <w:pStyle w:val="19"/>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_Toc17794 \h </w:instrText>
      </w:r>
      <w:r>
        <w:fldChar w:fldCharType="separate"/>
      </w:r>
      <w:r>
        <w:t>29</w:t>
      </w:r>
      <w:r>
        <w:fldChar w:fldCharType="end"/>
      </w:r>
    </w:p>
    <w:p>
      <w:pPr>
        <w:pStyle w:val="19"/>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_Toc8591 \h </w:instrText>
      </w:r>
      <w:r>
        <w:fldChar w:fldCharType="separate"/>
      </w:r>
      <w:r>
        <w:t>29</w:t>
      </w:r>
      <w:r>
        <w:fldChar w:fldCharType="end"/>
      </w:r>
    </w:p>
    <w:p>
      <w:pPr>
        <w:pStyle w:val="19"/>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_Toc15287 \h </w:instrText>
      </w:r>
      <w:r>
        <w:fldChar w:fldCharType="separate"/>
      </w:r>
      <w:r>
        <w:t>29</w:t>
      </w:r>
      <w:r>
        <w:fldChar w:fldCharType="end"/>
      </w:r>
    </w:p>
    <w:p>
      <w:pPr>
        <w:pStyle w:val="19"/>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_Toc28162 \h </w:instrText>
      </w:r>
      <w:r>
        <w:fldChar w:fldCharType="separate"/>
      </w:r>
      <w:r>
        <w:t>29</w:t>
      </w:r>
      <w:r>
        <w:fldChar w:fldCharType="end"/>
      </w:r>
    </w:p>
    <w:p>
      <w:pPr>
        <w:pStyle w:val="19"/>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_Toc29131 \h </w:instrText>
      </w:r>
      <w:r>
        <w:fldChar w:fldCharType="separate"/>
      </w:r>
      <w:r>
        <w:t>29</w:t>
      </w:r>
      <w:r>
        <w:fldChar w:fldCharType="end"/>
      </w:r>
    </w:p>
    <w:p>
      <w:pPr>
        <w:pStyle w:val="19"/>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_Toc32679 \h </w:instrText>
      </w:r>
      <w:r>
        <w:fldChar w:fldCharType="separate"/>
      </w:r>
      <w:r>
        <w:t>29</w:t>
      </w:r>
      <w:r>
        <w:fldChar w:fldCharType="end"/>
      </w:r>
    </w:p>
    <w:p>
      <w:pPr>
        <w:pStyle w:val="19"/>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_Toc3807 \h </w:instrText>
      </w:r>
      <w:r>
        <w:fldChar w:fldCharType="separate"/>
      </w:r>
      <w:r>
        <w:t>29</w:t>
      </w:r>
      <w:r>
        <w:fldChar w:fldCharType="end"/>
      </w:r>
    </w:p>
    <w:p>
      <w:pPr>
        <w:pStyle w:val="19"/>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_Toc27007 \h </w:instrText>
      </w:r>
      <w:r>
        <w:fldChar w:fldCharType="separate"/>
      </w:r>
      <w:r>
        <w:t>29</w:t>
      </w:r>
      <w:r>
        <w:fldChar w:fldCharType="end"/>
      </w:r>
    </w:p>
    <w:p>
      <w:pPr>
        <w:pStyle w:val="19"/>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_Toc26805 \h </w:instrText>
      </w:r>
      <w:r>
        <w:fldChar w:fldCharType="separate"/>
      </w:r>
      <w:r>
        <w:t>29</w:t>
      </w:r>
      <w:r>
        <w:fldChar w:fldCharType="end"/>
      </w:r>
    </w:p>
    <w:p>
      <w:pPr>
        <w:pStyle w:val="19"/>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_Toc1541 \h </w:instrText>
      </w:r>
      <w:r>
        <w:fldChar w:fldCharType="separate"/>
      </w:r>
      <w:r>
        <w:t>29</w:t>
      </w:r>
      <w:r>
        <w:fldChar w:fldCharType="end"/>
      </w:r>
    </w:p>
    <w:p>
      <w:pPr>
        <w:pStyle w:val="19"/>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_Toc17581 \h </w:instrText>
      </w:r>
      <w:r>
        <w:fldChar w:fldCharType="separate"/>
      </w:r>
      <w:r>
        <w:t>29</w:t>
      </w:r>
      <w:r>
        <w:fldChar w:fldCharType="end"/>
      </w:r>
    </w:p>
    <w:p>
      <w:r>
        <w:rPr>
          <w:rFonts w:asciiTheme="minorHAnsi" w:eastAsiaTheme="minorHAnsi"/>
          <w:bCs/>
          <w:caps/>
          <w:szCs w:val="20"/>
        </w:rPr>
        <w:fldChar w:fldCharType="end"/>
      </w:r>
    </w:p>
    <w:p>
      <w:pPr>
        <w:pStyle w:val="4"/>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b w:val="0"/>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15377196"/>
      <w:bookmarkStart w:id="13" w:name="_Toc79163601"/>
      <w:bookmarkStart w:id="14" w:name="_Toc15396599"/>
    </w:p>
    <w:p>
      <w:pPr>
        <w:pStyle w:val="4"/>
        <w:keepNext/>
        <w:keepLines/>
        <w:pageBreakBefore w:val="0"/>
        <w:widowControl w:val="0"/>
        <w:numPr>
          <w:ilvl w:val="0"/>
          <w:numId w:val="1"/>
        </w:numPr>
        <w:kinsoku/>
        <w:wordWrap/>
        <w:overflowPunct/>
        <w:topLinePunct w:val="0"/>
        <w:autoSpaceDE/>
        <w:autoSpaceDN/>
        <w:bidi w:val="0"/>
        <w:adjustRightInd/>
        <w:snapToGrid/>
        <w:spacing w:before="0" w:after="0" w:line="560" w:lineRule="exact"/>
        <w:jc w:val="center"/>
        <w:textAlignment w:val="auto"/>
        <w:rPr>
          <w:rStyle w:val="25"/>
          <w:rFonts w:hint="eastAsia" w:ascii="黑体" w:hAnsi="黑体" w:eastAsia="黑体"/>
          <w:b w:val="0"/>
          <w:bCs w:val="0"/>
        </w:rPr>
      </w:pPr>
      <w:bookmarkStart w:id="15" w:name="_Toc17137"/>
      <w:r>
        <w:rPr>
          <w:rStyle w:val="25"/>
          <w:rFonts w:hint="eastAsia" w:ascii="黑体" w:hAnsi="黑体" w:eastAsia="黑体"/>
          <w:b w:val="0"/>
          <w:bCs w:val="0"/>
        </w:rPr>
        <w:t>部门概况</w:t>
      </w:r>
      <w:bookmarkEnd w:id="12"/>
      <w:bookmarkEnd w:id="13"/>
      <w:bookmarkEnd w:id="14"/>
      <w:bookmarkEnd w:id="15"/>
    </w:p>
    <w:p>
      <w:pPr>
        <w:numPr>
          <w:ilvl w:val="0"/>
          <w:numId w:val="0"/>
        </w:numPr>
      </w:pPr>
    </w:p>
    <w:p>
      <w:pPr>
        <w:pStyle w:val="5"/>
        <w:keepNext/>
        <w:keepLines/>
        <w:pageBreakBefore w:val="0"/>
        <w:widowControl w:val="0"/>
        <w:kinsoku/>
        <w:wordWrap/>
        <w:overflowPunct/>
        <w:topLinePunct w:val="0"/>
        <w:autoSpaceDE/>
        <w:autoSpaceDN/>
        <w:bidi w:val="0"/>
        <w:adjustRightInd/>
        <w:snapToGrid/>
        <w:spacing w:before="0" w:after="0" w:line="560" w:lineRule="exact"/>
        <w:textAlignment w:val="auto"/>
        <w:rPr>
          <w:rStyle w:val="26"/>
          <w:rFonts w:ascii="仿宋" w:hAnsi="仿宋" w:eastAsia="仿宋"/>
          <w:b w:val="0"/>
          <w:bCs w:val="0"/>
        </w:rPr>
      </w:pPr>
      <w:bookmarkStart w:id="16" w:name="_Toc15396600"/>
      <w:bookmarkStart w:id="17" w:name="_Toc21138"/>
      <w:bookmarkStart w:id="18" w:name="_Toc15377197"/>
      <w:bookmarkStart w:id="19" w:name="_Toc79163602"/>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6"/>
      <w:bookmarkEnd w:id="17"/>
      <w:bookmarkEnd w:id="18"/>
      <w:bookmarkEnd w:id="19"/>
    </w:p>
    <w:p>
      <w:pPr>
        <w:pStyle w:val="9"/>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ascii="仿宋" w:hAnsi="仿宋" w:eastAsia="仿宋"/>
          <w:bCs/>
          <w:color w:val="000000"/>
          <w:sz w:val="32"/>
          <w:szCs w:val="32"/>
        </w:rPr>
      </w:pPr>
      <w:bookmarkStart w:id="20" w:name="_Toc19138"/>
      <w:bookmarkStart w:id="21" w:name="_Toc79163603"/>
      <w:bookmarkStart w:id="22" w:name="_Toc15377198"/>
      <w:bookmarkStart w:id="23" w:name="_Toc15378445"/>
      <w:r>
        <w:rPr>
          <w:rFonts w:hint="eastAsia" w:ascii="仿宋" w:hAnsi="仿宋" w:eastAsia="仿宋"/>
          <w:bCs/>
          <w:color w:val="000000"/>
          <w:sz w:val="32"/>
          <w:szCs w:val="32"/>
        </w:rPr>
        <w:t>（一）主要职能。</w:t>
      </w:r>
      <w:bookmarkEnd w:id="20"/>
      <w:bookmarkEnd w:id="21"/>
    </w:p>
    <w:bookmarkEnd w:id="22"/>
    <w:bookmarkEnd w:id="23"/>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bookmarkStart w:id="24" w:name="_Toc79163604"/>
      <w:bookmarkStart w:id="25" w:name="_Toc15377199"/>
      <w:bookmarkStart w:id="26" w:name="_Toc15378446"/>
      <w:r>
        <w:rPr>
          <w:rFonts w:hint="eastAsia" w:ascii="仿宋" w:hAnsi="仿宋" w:eastAsia="仿宋"/>
          <w:bCs/>
          <w:color w:val="000000"/>
          <w:sz w:val="32"/>
          <w:szCs w:val="32"/>
        </w:rPr>
        <w:t>（1）负责深化行政审批制度改革和“放管服”改革工作。贯彻实施有关法律、法规、规章，执行上级有关行政审批制度改革和“放管服”改革的方针、政策；会同有关部门推进行政审批制度改革和“放管服”改革，提出行政审批制度改革和“放管服”改革的建议，承担县本级行政权力清单和责任清单的动态调整，负责全县行政权力清单和责任清单工作，建立完善相关工作机制；制定县行政审批局各项规章制度和管理办法，并组织实施。</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（2）负责协调、指导入驻县政务大厅部门的行政审批工作。建立和完善相应工作机制，推进标准化建设；负责对划转的行政许可事项进行流程再造、环节优化、时限压缩，并对办理情况进行跟踪督办。</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3）按照“成熟一批，划转一批”的原则，负责承办经批准划入的涉及市场准入、建设工程、交通、水利、文教卫生、社会事务、涉农事务等方面的行政审批事项，逐步实行“一枚印章管审批”。负责将行政审批事项的审批结果及时通报给县直相关部门。</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（4）负责对涉及县政务服务工作、县公共资源交易中心、县行政审批服务机构的投诉举报的承办、转办和督办工作。</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（5）负责对各乡镇便民服务中心相关工作的运行进行业务指导，建立和完善高效的政务服务体系。</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（6）负责全县政务服务管理工作，指导全县政务服务体系建设。</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（7）负责全县公共资源交易管理工作，推进公共资源交易体系建设。</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（8）负责职责范围内的安全生产、职业健康、生态环境保护、公共机构能源节能减排等工作。</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outlineLvl w:val="9"/>
        <w:rPr>
          <w:rFonts w:ascii="仿宋" w:hAnsi="仿宋" w:eastAsia="仿宋"/>
          <w:bCs/>
          <w:color w:val="000000"/>
          <w:sz w:val="32"/>
          <w:szCs w:val="32"/>
        </w:rPr>
      </w:pPr>
      <w:r>
        <w:rPr>
          <w:rFonts w:hint="eastAsia" w:ascii="仿宋" w:hAnsi="仿宋" w:eastAsia="仿宋"/>
          <w:bCs/>
          <w:color w:val="000000"/>
          <w:sz w:val="32"/>
          <w:szCs w:val="32"/>
        </w:rPr>
        <w:t>（9）完成县委、县政府交办的其他任务。</w:t>
      </w:r>
    </w:p>
    <w:p>
      <w:pPr>
        <w:pStyle w:val="9"/>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 w:hAnsi="仿宋" w:eastAsia="仿宋"/>
          <w:bCs/>
          <w:color w:val="000000"/>
          <w:sz w:val="32"/>
          <w:szCs w:val="32"/>
        </w:rPr>
      </w:pPr>
      <w:bookmarkStart w:id="27" w:name="_Toc174"/>
      <w:r>
        <w:rPr>
          <w:rFonts w:hint="eastAsia" w:ascii="仿宋" w:hAnsi="仿宋" w:eastAsia="仿宋"/>
          <w:bCs/>
          <w:color w:val="000000"/>
          <w:sz w:val="32"/>
          <w:szCs w:val="32"/>
        </w:rPr>
        <w:t>（二）</w:t>
      </w:r>
      <w:r>
        <w:rPr>
          <w:rFonts w:ascii="仿宋" w:hAnsi="仿宋" w:eastAsia="仿宋"/>
          <w:bCs/>
          <w:color w:val="000000"/>
          <w:sz w:val="32"/>
          <w:szCs w:val="32"/>
        </w:rPr>
        <w:t>202</w:t>
      </w:r>
      <w:r>
        <w:rPr>
          <w:rFonts w:hint="eastAsia" w:ascii="仿宋" w:hAnsi="仿宋" w:eastAsia="仿宋"/>
          <w:bCs/>
          <w:color w:val="000000"/>
          <w:sz w:val="32"/>
          <w:szCs w:val="32"/>
        </w:rPr>
        <w:t>1年重点工作完成情况</w:t>
      </w:r>
      <w:bookmarkEnd w:id="24"/>
      <w:bookmarkEnd w:id="25"/>
      <w:bookmarkEnd w:id="26"/>
      <w:bookmarkEnd w:id="27"/>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b/>
          <w:bCs/>
          <w:sz w:val="32"/>
          <w:szCs w:val="32"/>
        </w:rPr>
      </w:pPr>
      <w:r>
        <w:rPr>
          <w:rFonts w:hint="eastAsia" w:ascii="楷体_GB2312" w:eastAsia="楷体_GB2312"/>
          <w:b/>
          <w:bCs/>
          <w:sz w:val="32"/>
          <w:szCs w:val="32"/>
        </w:rPr>
        <w:t xml:space="preserve"> </w:t>
      </w:r>
      <w:r>
        <w:rPr>
          <w:rFonts w:hint="eastAsia" w:ascii="仿宋_GB2312" w:eastAsia="仿宋_GB2312"/>
          <w:b/>
          <w:bCs/>
          <w:sz w:val="32"/>
          <w:szCs w:val="32"/>
        </w:rPr>
        <w:t>1.坚持党建引领，提高政治站位。</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sz w:val="32"/>
          <w:szCs w:val="32"/>
        </w:rPr>
      </w:pPr>
      <w:r>
        <w:rPr>
          <w:rFonts w:hint="eastAsia" w:ascii="仿宋_GB2312" w:eastAsia="仿宋_GB2312"/>
          <w:b/>
          <w:bCs/>
          <w:sz w:val="32"/>
          <w:szCs w:val="32"/>
        </w:rPr>
        <w:t>一是</w:t>
      </w:r>
      <w:r>
        <w:rPr>
          <w:rFonts w:hint="eastAsia" w:ascii="仿宋_GB2312" w:eastAsia="仿宋_GB2312"/>
          <w:sz w:val="32"/>
          <w:szCs w:val="32"/>
        </w:rPr>
        <w:t>建立学习教育机制。以持续推动学习教育常态化、制度化为载体，健全党组书记讲党课、党组理论学习中心组学习、党支部集中学习和党员干部自主学习制度，做到学习有目标、有计划、有特色、有检查，不断提升学习的针对性和实效性。集中学习15次。</w:t>
      </w:r>
      <w:r>
        <w:rPr>
          <w:rFonts w:hint="eastAsia" w:ascii="仿宋_GB2312" w:eastAsia="仿宋_GB2312"/>
          <w:b/>
          <w:bCs/>
          <w:sz w:val="32"/>
          <w:szCs w:val="32"/>
        </w:rPr>
        <w:t>二是</w:t>
      </w:r>
      <w:r>
        <w:rPr>
          <w:rFonts w:hint="eastAsia" w:ascii="仿宋_GB2312" w:eastAsia="仿宋_GB2312"/>
          <w:sz w:val="32"/>
          <w:szCs w:val="32"/>
        </w:rPr>
        <w:t>规范组织生活，打造支部战斗堡垒，先后3次到联系乡镇开展党建结对活动，积极组织开展“奋斗百年路·启航新征程”“高举党旗跟党走·百年党史寻初心--我和党旗合影”等主题党日12次。</w:t>
      </w:r>
      <w:r>
        <w:rPr>
          <w:rFonts w:hint="eastAsia" w:ascii="仿宋_GB2312" w:eastAsia="仿宋_GB2312"/>
          <w:b/>
          <w:bCs/>
          <w:sz w:val="32"/>
          <w:szCs w:val="32"/>
        </w:rPr>
        <w:t>三是</w:t>
      </w:r>
      <w:r>
        <w:rPr>
          <w:rFonts w:hint="eastAsia" w:ascii="仿宋_GB2312" w:eastAsia="仿宋_GB2312"/>
          <w:sz w:val="32"/>
          <w:szCs w:val="32"/>
        </w:rPr>
        <w:t>发挥党员干部示范引领作用，开拓工作新思路，把党建工作融汇于审批局工作的各个环节，最大限度地调动干部职工工作积极性。从业务特点和工作实际出发，组织开展丰富多彩的党建活动，培树先进典型，用身边典型感化身边人，并开展系列评选活动。今年以来，共评选出“党员示范岗”12名、“服务明星”12名、“明星窗口”8个。</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b/>
          <w:bCs/>
          <w:sz w:val="32"/>
          <w:szCs w:val="32"/>
        </w:rPr>
      </w:pPr>
      <w:r>
        <w:rPr>
          <w:rFonts w:hint="eastAsia" w:ascii="仿宋_GB2312" w:eastAsia="仿宋_GB2312"/>
          <w:b/>
          <w:bCs/>
          <w:sz w:val="32"/>
          <w:szCs w:val="32"/>
        </w:rPr>
        <w:t>2.持续开展作风整治，加强党风廉政建设。</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sz w:val="32"/>
          <w:szCs w:val="32"/>
        </w:rPr>
      </w:pPr>
      <w:r>
        <w:rPr>
          <w:rFonts w:hint="eastAsia" w:ascii="仿宋_GB2312" w:eastAsia="仿宋_GB2312"/>
          <w:b/>
          <w:bCs/>
          <w:sz w:val="32"/>
          <w:szCs w:val="32"/>
        </w:rPr>
        <w:t>一是</w:t>
      </w:r>
      <w:r>
        <w:rPr>
          <w:rFonts w:hint="eastAsia" w:ascii="仿宋_GB2312" w:eastAsia="仿宋_GB2312"/>
          <w:sz w:val="32"/>
          <w:szCs w:val="32"/>
        </w:rPr>
        <w:t>强化组织建设。严格落实主体责任，制定全年党建工作计划，明确工作重点和责任分工，定期听取党建工作汇报并研究解决审批工作中重点难点问题；持续深入开展教育学习常态化制度化建设，推动班子成员作风转变和能力提升。</w:t>
      </w:r>
      <w:r>
        <w:rPr>
          <w:rFonts w:hint="eastAsia" w:ascii="仿宋_GB2312" w:eastAsia="仿宋_GB2312"/>
          <w:b/>
          <w:bCs/>
          <w:sz w:val="32"/>
          <w:szCs w:val="32"/>
        </w:rPr>
        <w:t>二是</w:t>
      </w:r>
      <w:r>
        <w:rPr>
          <w:rFonts w:hint="eastAsia" w:ascii="仿宋_GB2312" w:eastAsia="仿宋_GB2312"/>
          <w:sz w:val="32"/>
          <w:szCs w:val="32"/>
        </w:rPr>
        <w:t>深化正风肃纪，持续推进制度规范化建设。政务服务大厅开展不间断纪律巡查，结合视频监控巡检和现场突击检查，强化问题发现机制，修订完善《考勤制度》《大厅巡查制度》《政务服务月通报制度》《窗口工作人员绩效考核办法》等制度，开展选先评优活动，管奖结合，优化行风政风。</w:t>
      </w:r>
    </w:p>
    <w:p>
      <w:pPr>
        <w:pageBreakBefore w:val="0"/>
        <w:widowControl w:val="0"/>
        <w:kinsoku/>
        <w:wordWrap/>
        <w:overflowPunct/>
        <w:topLinePunct w:val="0"/>
        <w:autoSpaceDE/>
        <w:autoSpaceDN/>
        <w:bidi w:val="0"/>
        <w:spacing w:line="560" w:lineRule="exact"/>
        <w:ind w:firstLine="642" w:firstLineChars="200"/>
        <w:textAlignment w:val="auto"/>
        <w:rPr>
          <w:rFonts w:hint="eastAsia" w:ascii="仿宋_GB2312" w:eastAsia="仿宋_GB2312"/>
          <w:b/>
          <w:bCs/>
          <w:sz w:val="32"/>
          <w:szCs w:val="32"/>
        </w:rPr>
      </w:pPr>
      <w:r>
        <w:rPr>
          <w:rFonts w:hint="eastAsia" w:ascii="仿宋_GB2312" w:eastAsia="仿宋_GB2312"/>
          <w:b/>
          <w:bCs/>
          <w:sz w:val="32"/>
          <w:szCs w:val="32"/>
        </w:rPr>
        <w:t>3.结合党史教育，秉持为民情怀，访民意办实事。</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2" w:firstLineChars="200"/>
        <w:textAlignment w:val="auto"/>
        <w:outlineLvl w:val="9"/>
        <w:rPr>
          <w:rFonts w:hint="eastAsia" w:ascii="仿宋" w:hAnsi="仿宋" w:eastAsia="仿宋"/>
          <w:bCs/>
          <w:color w:val="000000"/>
          <w:sz w:val="32"/>
          <w:szCs w:val="32"/>
        </w:rPr>
      </w:pPr>
      <w:r>
        <w:rPr>
          <w:rFonts w:hint="eastAsia" w:ascii="仿宋_GB2312" w:eastAsia="仿宋_GB2312"/>
          <w:b/>
          <w:bCs/>
          <w:sz w:val="32"/>
          <w:szCs w:val="32"/>
        </w:rPr>
        <w:t>一是</w:t>
      </w:r>
      <w:r>
        <w:rPr>
          <w:rFonts w:hint="eastAsia" w:ascii="仿宋_GB2312" w:eastAsia="仿宋_GB2312"/>
          <w:sz w:val="32"/>
          <w:szCs w:val="32"/>
        </w:rPr>
        <w:t>结合党史教育，组织开展特色鲜明、形式多样的学习教育活动。组织县政务大厅全体工作人员到红色基地参观，邀请党校专业讲师进行现场讲解。以开展书法比赛、演讲比赛、知识竞赛、观看微视频党课形式普及党史知识，推动党史学习教育深入群众、深入基层、深入人心。</w:t>
      </w:r>
      <w:r>
        <w:rPr>
          <w:rFonts w:hint="eastAsia" w:ascii="仿宋_GB2312" w:eastAsia="仿宋_GB2312"/>
          <w:b/>
          <w:bCs/>
          <w:sz w:val="32"/>
          <w:szCs w:val="32"/>
        </w:rPr>
        <w:t>二是</w:t>
      </w:r>
      <w:r>
        <w:rPr>
          <w:rFonts w:hint="eastAsia" w:ascii="仿宋_GB2312" w:eastAsia="仿宋_GB2312"/>
          <w:sz w:val="32"/>
          <w:szCs w:val="32"/>
        </w:rPr>
        <w:t>以我为群众办实事为契机，谋划产业发展，助力乡村振兴。先后投入资金9100元，无偿为种植户提供莲花白种子和肥料，并协调解决化肥10吨，网围栏1000米，组织专业技术人员解决种植管理技术难题，亩产60000斤，实现产业收入，帮助农牧民群众拓宽致富增收渠道。</w:t>
      </w:r>
      <w:r>
        <w:rPr>
          <w:rFonts w:hint="eastAsia" w:ascii="仿宋_GB2312" w:eastAsia="仿宋_GB2312"/>
          <w:b/>
          <w:bCs/>
          <w:sz w:val="32"/>
          <w:szCs w:val="32"/>
        </w:rPr>
        <w:t>三是</w:t>
      </w:r>
      <w:r>
        <w:rPr>
          <w:rFonts w:hint="eastAsia" w:ascii="仿宋_GB2312" w:eastAsia="仿宋_GB2312"/>
          <w:sz w:val="32"/>
          <w:szCs w:val="32"/>
        </w:rPr>
        <w:t>解决帮扶村上大石沟村阿泽拉藏寨村民饮水问题，与村两委积极申报项目，将饮水问题纳入今年饮水安全实施计划，目前项目正在实施。</w:t>
      </w:r>
      <w:r>
        <w:rPr>
          <w:rFonts w:hint="eastAsia"/>
          <w:b/>
          <w:bCs/>
          <w:sz w:val="32"/>
          <w:szCs w:val="32"/>
          <w:lang w:eastAsia="zh-CN"/>
        </w:rPr>
        <w:t>四</w:t>
      </w:r>
      <w:r>
        <w:rPr>
          <w:rFonts w:hint="eastAsia" w:ascii="仿宋_GB2312" w:eastAsia="仿宋_GB2312"/>
          <w:b/>
          <w:bCs/>
          <w:sz w:val="32"/>
          <w:szCs w:val="32"/>
        </w:rPr>
        <w:t>是</w:t>
      </w:r>
      <w:r>
        <w:rPr>
          <w:rFonts w:hint="eastAsia" w:ascii="仿宋_GB2312" w:eastAsia="仿宋_GB2312"/>
          <w:sz w:val="32"/>
          <w:szCs w:val="32"/>
        </w:rPr>
        <w:t>协助新成立的村两委明确责任分工，加强班子建设，指导规划年度乡村振兴实施方案，推动脱贫攻坚和乡村振兴有效衔接。</w:t>
      </w:r>
    </w:p>
    <w:p>
      <w:pPr>
        <w:pStyle w:val="5"/>
        <w:keepNext/>
        <w:keepLines/>
        <w:pageBreakBefore w:val="0"/>
        <w:widowControl w:val="0"/>
        <w:kinsoku/>
        <w:wordWrap/>
        <w:overflowPunct/>
        <w:topLinePunct w:val="0"/>
        <w:autoSpaceDE/>
        <w:autoSpaceDN/>
        <w:bidi w:val="0"/>
        <w:adjustRightInd/>
        <w:snapToGrid/>
        <w:spacing w:before="0" w:after="0" w:line="560" w:lineRule="exact"/>
        <w:textAlignment w:val="auto"/>
        <w:rPr>
          <w:rStyle w:val="26"/>
          <w:b w:val="0"/>
          <w:bCs w:val="0"/>
        </w:rPr>
      </w:pPr>
      <w:bookmarkStart w:id="28" w:name="_Toc15377200"/>
      <w:bookmarkStart w:id="29" w:name="_Toc15396601"/>
      <w:bookmarkStart w:id="30" w:name="_Toc79163605"/>
      <w:bookmarkStart w:id="31" w:name="_Toc2148"/>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pStyle w:val="9"/>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rPr>
          <w:rFonts w:hint="eastAsia" w:ascii="仿宋" w:hAnsi="仿宋" w:eastAsia="仿宋"/>
          <w:sz w:val="32"/>
          <w:szCs w:val="32"/>
          <w:lang w:val="en-US"/>
        </w:rPr>
      </w:pPr>
      <w:bookmarkStart w:id="32" w:name="_Toc15377204"/>
      <w:bookmarkStart w:id="33" w:name="_Toc79163609"/>
      <w:bookmarkStart w:id="34" w:name="_Toc15396602"/>
      <w:r>
        <w:rPr>
          <w:rFonts w:hint="eastAsia" w:ascii="仿宋" w:hAnsi="仿宋" w:eastAsia="仿宋"/>
          <w:sz w:val="32"/>
          <w:szCs w:val="32"/>
          <w:lang w:val="en-US"/>
        </w:rPr>
        <w:t>壤塘县行政审批局无下属二级单位，基本性质为行政单位。</w:t>
      </w:r>
    </w:p>
    <w:p>
      <w:pPr>
        <w:pStyle w:val="9"/>
        <w:keepNext w:val="0"/>
        <w:keepLines w:val="0"/>
        <w:pageBreakBefore w:val="0"/>
        <w:widowControl w:val="0"/>
        <w:kinsoku/>
        <w:wordWrap/>
        <w:overflowPunct/>
        <w:topLinePunct w:val="0"/>
        <w:autoSpaceDE/>
        <w:autoSpaceDN/>
        <w:bidi w:val="0"/>
        <w:adjustRightInd w:val="0"/>
        <w:snapToGrid w:val="0"/>
        <w:spacing w:beforeLines="0" w:line="560" w:lineRule="exact"/>
        <w:ind w:firstLine="640" w:firstLineChars="200"/>
        <w:textAlignment w:val="auto"/>
        <w:rPr>
          <w:rFonts w:hint="eastAsia" w:ascii="仿宋" w:hAnsi="仿宋" w:eastAsia="仿宋"/>
          <w:sz w:val="32"/>
          <w:szCs w:val="32"/>
          <w:lang w:val="en-US"/>
        </w:rPr>
      </w:pPr>
    </w:p>
    <w:p>
      <w:pPr>
        <w:pStyle w:val="4"/>
        <w:keepNext/>
        <w:keepLines/>
        <w:pageBreakBefore w:val="0"/>
        <w:widowControl w:val="0"/>
        <w:kinsoku/>
        <w:wordWrap/>
        <w:overflowPunct/>
        <w:topLinePunct w:val="0"/>
        <w:autoSpaceDE/>
        <w:autoSpaceDN/>
        <w:bidi w:val="0"/>
        <w:adjustRightInd/>
        <w:snapToGrid/>
        <w:spacing w:before="0" w:after="0" w:line="560" w:lineRule="exact"/>
        <w:ind w:right="442"/>
        <w:jc w:val="right"/>
        <w:textAlignment w:val="auto"/>
        <w:rPr>
          <w:rStyle w:val="25"/>
          <w:rFonts w:ascii="黑体" w:hAnsi="黑体" w:eastAsia="黑体"/>
          <w:b w:val="0"/>
          <w:bCs w:val="0"/>
        </w:rPr>
      </w:pPr>
      <w:bookmarkStart w:id="35" w:name="_Toc9730"/>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w:t>
      </w:r>
      <w:r>
        <w:rPr>
          <w:rStyle w:val="25"/>
          <w:rFonts w:hint="eastAsia" w:ascii="黑体" w:hAnsi="黑体" w:eastAsia="黑体"/>
          <w:b w:val="0"/>
          <w:bCs w:val="0"/>
        </w:rPr>
        <w:t>1年度部门决算情况说明</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36"/>
        <w:numPr>
          <w:ilvl w:val="0"/>
          <w:numId w:val="2"/>
        </w:numPr>
        <w:spacing w:line="600" w:lineRule="exact"/>
        <w:ind w:firstLineChars="0"/>
        <w:outlineLvl w:val="1"/>
        <w:rPr>
          <w:rStyle w:val="26"/>
          <w:rFonts w:ascii="黑体" w:hAnsi="黑体" w:eastAsia="黑体"/>
          <w:b w:val="0"/>
        </w:rPr>
      </w:pPr>
      <w:bookmarkStart w:id="36" w:name="_Toc79163610"/>
      <w:bookmarkStart w:id="37" w:name="_Toc23383"/>
      <w:bookmarkStart w:id="38" w:name="_Toc15396603"/>
      <w:bookmarkStart w:id="39"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1年度收、支总计855.23万元。与</w:t>
      </w:r>
      <w:r>
        <w:rPr>
          <w:rFonts w:ascii="仿宋" w:hAnsi="仿宋" w:eastAsia="仿宋"/>
          <w:color w:val="000000"/>
          <w:sz w:val="32"/>
          <w:szCs w:val="32"/>
        </w:rPr>
        <w:t>20</w:t>
      </w:r>
      <w:r>
        <w:rPr>
          <w:rFonts w:hint="eastAsia" w:ascii="仿宋" w:hAnsi="仿宋" w:eastAsia="仿宋"/>
          <w:color w:val="000000"/>
          <w:sz w:val="32"/>
          <w:szCs w:val="32"/>
        </w:rPr>
        <w:t>20年相比，收、支总计各增加</w:t>
      </w:r>
      <w:r>
        <w:rPr>
          <w:rFonts w:hint="eastAsia" w:ascii="仿宋" w:hAnsi="仿宋" w:eastAsia="仿宋"/>
          <w:color w:val="000000"/>
          <w:sz w:val="32"/>
          <w:szCs w:val="32"/>
          <w:lang w:val="en-US" w:eastAsia="zh-CN"/>
        </w:rPr>
        <w:t>242.59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39.60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2021年单位人员增加，项目增加，当年收入支出同比增长。</w:t>
      </w: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p>
    <w:p>
      <w:pPr>
        <w:spacing w:line="600" w:lineRule="exact"/>
        <w:ind w:firstLine="640" w:firstLineChars="200"/>
        <w:rPr>
          <w:rFonts w:hint="default" w:ascii="仿宋" w:hAnsi="仿宋" w:eastAsia="仿宋"/>
          <w:color w:val="000000"/>
          <w:sz w:val="32"/>
          <w:szCs w:val="32"/>
          <w:lang w:val="en-US" w:eastAsia="zh-CN"/>
        </w:rPr>
      </w:pPr>
      <w:r>
        <w:rPr>
          <w:rFonts w:hint="default" w:ascii="仿宋" w:hAnsi="仿宋" w:eastAsia="仿宋"/>
          <w:color w:val="000000"/>
          <w:sz w:val="32"/>
          <w:szCs w:val="32"/>
          <w:lang w:val="en-US" w:eastAsia="zh-CN"/>
        </w:rPr>
        <w:drawing>
          <wp:anchor distT="0" distB="0" distL="114300" distR="114300" simplePos="0" relativeHeight="251659264" behindDoc="1" locked="0" layoutInCell="1" allowOverlap="1">
            <wp:simplePos x="0" y="0"/>
            <wp:positionH relativeFrom="column">
              <wp:posOffset>410845</wp:posOffset>
            </wp:positionH>
            <wp:positionV relativeFrom="paragraph">
              <wp:posOffset>-1805305</wp:posOffset>
            </wp:positionV>
            <wp:extent cx="4430395" cy="2397760"/>
            <wp:effectExtent l="4445" t="4445" r="22860" b="1714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1600" w:firstLineChars="500"/>
        <w:rPr>
          <w:rFonts w:hint="eastAsia" w:ascii="仿宋" w:hAnsi="仿宋" w:eastAsia="仿宋"/>
          <w:color w:val="000000"/>
          <w:sz w:val="32"/>
          <w:szCs w:val="32"/>
        </w:rPr>
      </w:pPr>
    </w:p>
    <w:p>
      <w:pPr>
        <w:spacing w:line="600" w:lineRule="exact"/>
        <w:ind w:firstLine="1600" w:firstLineChars="5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spacing w:line="600" w:lineRule="exact"/>
        <w:ind w:firstLine="640" w:firstLineChars="200"/>
        <w:jc w:val="left"/>
        <w:rPr>
          <w:rFonts w:ascii="仿宋_GB2312" w:eastAsia="仿宋_GB2312"/>
          <w:color w:val="000000"/>
          <w:sz w:val="32"/>
          <w:szCs w:val="32"/>
        </w:rPr>
      </w:pPr>
    </w:p>
    <w:p>
      <w:pPr>
        <w:pStyle w:val="36"/>
        <w:numPr>
          <w:ilvl w:val="0"/>
          <w:numId w:val="2"/>
        </w:numPr>
        <w:spacing w:line="600" w:lineRule="exact"/>
        <w:ind w:firstLineChars="0"/>
        <w:outlineLvl w:val="1"/>
        <w:rPr>
          <w:rStyle w:val="26"/>
          <w:rFonts w:ascii="黑体" w:hAnsi="黑体" w:eastAsia="黑体"/>
          <w:b w:val="0"/>
        </w:rPr>
      </w:pPr>
      <w:bookmarkStart w:id="40" w:name="_Toc19324"/>
      <w:bookmarkStart w:id="41" w:name="_Toc79163611"/>
      <w:bookmarkStart w:id="42" w:name="_Toc15377206"/>
      <w:bookmarkStart w:id="43"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1年本年收入合计464.2万元，其中：一般公共预算财政拨款收入464.2万元，占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lang w:eastAsia="zh-CN"/>
        </w:rPr>
        <w:drawing>
          <wp:anchor distT="0" distB="0" distL="114300" distR="114300" simplePos="0" relativeHeight="251660288" behindDoc="0" locked="0" layoutInCell="1" allowOverlap="1">
            <wp:simplePos x="0" y="0"/>
            <wp:positionH relativeFrom="column">
              <wp:posOffset>505460</wp:posOffset>
            </wp:positionH>
            <wp:positionV relativeFrom="paragraph">
              <wp:posOffset>82550</wp:posOffset>
            </wp:positionV>
            <wp:extent cx="4138295" cy="2642235"/>
            <wp:effectExtent l="4445" t="4445" r="10160" b="2032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ind w:firstLine="640" w:firstLineChars="200"/>
        <w:rPr>
          <w:rFonts w:hint="eastAsia" w:ascii="仿宋_GB2312" w:eastAsia="仿宋_GB2312"/>
          <w:color w:val="FF0000"/>
          <w:sz w:val="32"/>
          <w:szCs w:val="32"/>
          <w:lang w:eastAsia="zh-CN"/>
        </w:rPr>
      </w:pPr>
    </w:p>
    <w:p>
      <w:pPr>
        <w:spacing w:line="600" w:lineRule="exact"/>
        <w:rPr>
          <w:rFonts w:hint="eastAsia" w:ascii="仿宋_GB2312" w:eastAsia="仿宋_GB2312"/>
          <w:color w:val="FF0000"/>
          <w:sz w:val="32"/>
          <w:szCs w:val="32"/>
          <w:lang w:eastAsia="zh-CN"/>
        </w:rPr>
      </w:pPr>
    </w:p>
    <w:p>
      <w:pPr>
        <w:spacing w:line="600" w:lineRule="exact"/>
        <w:ind w:firstLine="2240" w:firstLineChars="7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2</w:t>
      </w:r>
      <w:r>
        <w:rPr>
          <w:rFonts w:hint="eastAsia" w:ascii="仿宋" w:hAnsi="仿宋" w:eastAsia="仿宋"/>
          <w:color w:val="000000"/>
          <w:sz w:val="32"/>
          <w:szCs w:val="32"/>
        </w:rPr>
        <w:t>：收入决算结构图）</w:t>
      </w:r>
    </w:p>
    <w:p>
      <w:pPr>
        <w:pStyle w:val="36"/>
        <w:numPr>
          <w:ilvl w:val="0"/>
          <w:numId w:val="2"/>
        </w:numPr>
        <w:spacing w:line="600" w:lineRule="exact"/>
        <w:ind w:firstLineChars="0"/>
        <w:outlineLvl w:val="1"/>
        <w:rPr>
          <w:rStyle w:val="26"/>
          <w:rFonts w:ascii="黑体" w:hAnsi="黑体" w:eastAsia="黑体"/>
          <w:b w:val="0"/>
        </w:rPr>
      </w:pPr>
      <w:bookmarkStart w:id="44" w:name="_Toc15396605"/>
      <w:bookmarkStart w:id="45" w:name="_Toc79163612"/>
      <w:bookmarkStart w:id="46" w:name="_Toc23188"/>
      <w:bookmarkStart w:id="47"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ascii="仿宋_GB2312" w:eastAsia="仿宋_GB2312"/>
          <w:sz w:val="32"/>
          <w:szCs w:val="32"/>
        </w:rPr>
      </w:pPr>
      <w:r>
        <w:rPr>
          <w:rFonts w:ascii="仿宋_GB2312" w:eastAsia="仿宋_GB2312"/>
          <w:sz w:val="32"/>
          <w:szCs w:val="32"/>
        </w:rPr>
        <w:t>202</w:t>
      </w:r>
      <w:r>
        <w:rPr>
          <w:rFonts w:hint="eastAsia" w:ascii="仿宋_GB2312" w:eastAsia="仿宋_GB2312"/>
          <w:sz w:val="32"/>
          <w:szCs w:val="32"/>
        </w:rPr>
        <w:t>1年本年支出合计855.23万元，其中：基本支出389.38万元，占</w:t>
      </w:r>
      <w:r>
        <w:rPr>
          <w:rFonts w:hint="eastAsia" w:ascii="仿宋_GB2312" w:eastAsia="仿宋_GB2312"/>
          <w:sz w:val="32"/>
          <w:szCs w:val="32"/>
          <w:lang w:val="en-US" w:eastAsia="zh-CN"/>
        </w:rPr>
        <w:t>45.53</w:t>
      </w:r>
      <w:r>
        <w:rPr>
          <w:rFonts w:ascii="仿宋_GB2312" w:eastAsia="仿宋_GB2312"/>
          <w:sz w:val="32"/>
          <w:szCs w:val="32"/>
        </w:rPr>
        <w:t>%</w:t>
      </w:r>
      <w:r>
        <w:rPr>
          <w:rFonts w:hint="eastAsia" w:ascii="仿宋_GB2312" w:eastAsia="仿宋_GB2312"/>
          <w:sz w:val="32"/>
          <w:szCs w:val="32"/>
        </w:rPr>
        <w:t>；项目支出465.85万元，占</w:t>
      </w:r>
      <w:r>
        <w:rPr>
          <w:rFonts w:hint="eastAsia" w:ascii="仿宋_GB2312" w:eastAsia="仿宋_GB2312"/>
          <w:sz w:val="32"/>
          <w:szCs w:val="32"/>
          <w:lang w:val="en-US" w:eastAsia="zh-CN"/>
        </w:rPr>
        <w:t>54.47</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 w:hAnsi="仿宋" w:eastAsia="仿宋"/>
          <w:color w:val="000000"/>
          <w:sz w:val="32"/>
          <w:szCs w:val="32"/>
          <w:shd w:val="pct10" w:color="auto" w:fill="FFFFFF"/>
        </w:rPr>
      </w:pPr>
      <w:r>
        <w:rPr>
          <w:rFonts w:hint="eastAsia" w:ascii="仿宋_GB2312" w:eastAsia="仿宋_GB2312"/>
          <w:color w:val="FF0000"/>
          <w:sz w:val="32"/>
          <w:szCs w:val="32"/>
          <w:lang w:eastAsia="zh-CN"/>
        </w:rPr>
        <w:drawing>
          <wp:anchor distT="0" distB="0" distL="114300" distR="114300" simplePos="0" relativeHeight="251661312" behindDoc="0" locked="0" layoutInCell="1" allowOverlap="1">
            <wp:simplePos x="0" y="0"/>
            <wp:positionH relativeFrom="column">
              <wp:posOffset>389255</wp:posOffset>
            </wp:positionH>
            <wp:positionV relativeFrom="paragraph">
              <wp:posOffset>78105</wp:posOffset>
            </wp:positionV>
            <wp:extent cx="4138295" cy="2642235"/>
            <wp:effectExtent l="4445" t="4445" r="10160" b="2032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hint="eastAsia" w:ascii="仿宋" w:hAnsi="仿宋" w:eastAsia="仿宋"/>
          <w:color w:val="000000"/>
          <w:sz w:val="32"/>
          <w:szCs w:val="32"/>
        </w:rPr>
      </w:pPr>
    </w:p>
    <w:p>
      <w:pPr>
        <w:spacing w:line="600" w:lineRule="exact"/>
        <w:ind w:firstLine="640" w:firstLineChars="200"/>
        <w:rPr>
          <w:rFonts w:hint="eastAsia" w:ascii="仿宋" w:hAnsi="仿宋" w:eastAsia="仿宋"/>
          <w:color w:val="000000"/>
          <w:sz w:val="32"/>
          <w:szCs w:val="32"/>
        </w:rPr>
      </w:pPr>
    </w:p>
    <w:p>
      <w:pPr>
        <w:spacing w:line="600" w:lineRule="exact"/>
        <w:ind w:firstLine="1920" w:firstLineChars="600"/>
        <w:rPr>
          <w:rFonts w:ascii="仿宋_GB2312" w:eastAsia="仿宋_GB2312"/>
          <w:color w:val="FF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spacing w:line="600" w:lineRule="exact"/>
        <w:ind w:firstLine="640" w:firstLineChars="200"/>
        <w:outlineLvl w:val="1"/>
        <w:rPr>
          <w:rStyle w:val="26"/>
          <w:rFonts w:ascii="黑体" w:hAnsi="黑体" w:eastAsia="黑体"/>
          <w:b w:val="0"/>
        </w:rPr>
      </w:pPr>
      <w:bookmarkStart w:id="48" w:name="_Toc15377208"/>
      <w:bookmarkStart w:id="49" w:name="_Toc7912"/>
      <w:bookmarkStart w:id="50" w:name="_Toc15396606"/>
      <w:bookmarkStart w:id="51" w:name="_Toc7916361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8"/>
      <w:bookmarkEnd w:id="49"/>
      <w:bookmarkEnd w:id="50"/>
      <w:bookmarkEnd w:id="5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1年财政拨款收、支总计855.23万元。与</w:t>
      </w:r>
      <w:r>
        <w:rPr>
          <w:rFonts w:ascii="仿宋" w:hAnsi="仿宋" w:eastAsia="仿宋"/>
          <w:color w:val="000000"/>
          <w:sz w:val="32"/>
          <w:szCs w:val="32"/>
        </w:rPr>
        <w:t>20</w:t>
      </w:r>
      <w:r>
        <w:rPr>
          <w:rFonts w:hint="eastAsia" w:ascii="仿宋" w:hAnsi="仿宋" w:eastAsia="仿宋"/>
          <w:color w:val="000000"/>
          <w:sz w:val="32"/>
          <w:szCs w:val="32"/>
        </w:rPr>
        <w:t>20年相比，财政拨款收、支总计各增加</w:t>
      </w:r>
      <w:r>
        <w:rPr>
          <w:rFonts w:hint="eastAsia" w:ascii="仿宋" w:hAnsi="仿宋" w:eastAsia="仿宋"/>
          <w:color w:val="000000"/>
          <w:sz w:val="32"/>
          <w:szCs w:val="32"/>
          <w:lang w:val="en-US" w:eastAsia="zh-CN"/>
        </w:rPr>
        <w:t>242.59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39.60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2021年单位人员增加，项目增加，当年收入支出同比增长。</w:t>
      </w:r>
    </w:p>
    <w:p>
      <w:pPr>
        <w:spacing w:line="600" w:lineRule="exact"/>
        <w:rPr>
          <w:rFonts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2336" behindDoc="0" locked="0" layoutInCell="1" allowOverlap="1">
            <wp:simplePos x="0" y="0"/>
            <wp:positionH relativeFrom="column">
              <wp:posOffset>149225</wp:posOffset>
            </wp:positionH>
            <wp:positionV relativeFrom="paragraph">
              <wp:posOffset>102235</wp:posOffset>
            </wp:positionV>
            <wp:extent cx="5151755" cy="2223135"/>
            <wp:effectExtent l="4445" t="4445" r="6350" b="20320"/>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rPr>
          <w:rFonts w:hint="eastAsia" w:ascii="仿宋" w:hAnsi="仿宋" w:eastAsia="仿宋"/>
          <w:color w:val="000000"/>
          <w:sz w:val="32"/>
          <w:szCs w:val="32"/>
          <w:lang w:eastAsia="zh-CN"/>
        </w:rPr>
      </w:pPr>
    </w:p>
    <w:p>
      <w:pPr>
        <w:spacing w:line="600" w:lineRule="exact"/>
        <w:rPr>
          <w:rFonts w:hint="eastAsia" w:ascii="仿宋" w:hAnsi="仿宋" w:eastAsia="仿宋"/>
          <w:color w:val="000000"/>
          <w:sz w:val="32"/>
          <w:szCs w:val="32"/>
        </w:rPr>
      </w:pPr>
    </w:p>
    <w:p>
      <w:pPr>
        <w:spacing w:line="600" w:lineRule="exact"/>
        <w:ind w:firstLine="1280" w:firstLineChars="400"/>
        <w:rPr>
          <w:rFonts w:ascii="仿宋" w:hAnsi="仿宋" w:eastAsia="仿宋"/>
          <w:b/>
          <w:color w:val="00B05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firstLineChars="200"/>
        <w:outlineLvl w:val="1"/>
        <w:rPr>
          <w:rStyle w:val="26"/>
          <w:rFonts w:ascii="黑体" w:hAnsi="黑体" w:eastAsia="黑体"/>
          <w:b w:val="0"/>
        </w:rPr>
      </w:pPr>
      <w:bookmarkStart w:id="52" w:name="_Toc15377209"/>
      <w:bookmarkStart w:id="53" w:name="_Toc15396607"/>
      <w:bookmarkStart w:id="54" w:name="_Toc79163614"/>
      <w:bookmarkStart w:id="55" w:name="_Toc3203"/>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9625"/>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1年一般公共预算财政拨款支出855.23万元，占本年支出合计的</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20年相比，一般公共预算财政拨款增加</w:t>
      </w:r>
      <w:r>
        <w:rPr>
          <w:rFonts w:hint="eastAsia" w:ascii="仿宋" w:hAnsi="仿宋" w:eastAsia="仿宋"/>
          <w:color w:val="000000"/>
          <w:sz w:val="32"/>
          <w:szCs w:val="32"/>
          <w:lang w:val="en-US" w:eastAsia="zh-CN"/>
        </w:rPr>
        <w:t>242.59</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39.60</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2021年单位人员增加，项目增加，当年收入支出同比增长。</w:t>
      </w:r>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lang w:eastAsia="zh-CN"/>
        </w:rPr>
        <w:drawing>
          <wp:anchor distT="0" distB="0" distL="114300" distR="114300" simplePos="0" relativeHeight="251663360" behindDoc="0" locked="0" layoutInCell="1" allowOverlap="1">
            <wp:simplePos x="0" y="0"/>
            <wp:positionH relativeFrom="column">
              <wp:posOffset>508635</wp:posOffset>
            </wp:positionH>
            <wp:positionV relativeFrom="paragraph">
              <wp:posOffset>37465</wp:posOffset>
            </wp:positionV>
            <wp:extent cx="4596765" cy="2238375"/>
            <wp:effectExtent l="4445" t="4445" r="8890" b="508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ind w:firstLine="640" w:firstLineChars="200"/>
        <w:rPr>
          <w:rFonts w:hint="eastAsia" w:ascii="仿宋" w:hAnsi="仿宋" w:eastAsia="仿宋"/>
          <w:color w:val="000000"/>
          <w:sz w:val="32"/>
          <w:szCs w:val="32"/>
          <w:lang w:val="en-US" w:eastAsia="zh-CN"/>
        </w:rPr>
      </w:pPr>
    </w:p>
    <w:p>
      <w:pPr>
        <w:spacing w:line="600" w:lineRule="exact"/>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2" w:firstLineChars="200"/>
        <w:outlineLvl w:val="2"/>
        <w:rPr>
          <w:rFonts w:hint="eastAsia" w:ascii="仿宋" w:hAnsi="仿宋" w:eastAsia="仿宋"/>
          <w:b/>
          <w:color w:val="000000"/>
          <w:sz w:val="32"/>
          <w:szCs w:val="32"/>
        </w:rPr>
      </w:pPr>
      <w:bookmarkStart w:id="59" w:name="_Toc15377211"/>
      <w:bookmarkStart w:id="60" w:name="_Toc79163616"/>
    </w:p>
    <w:p>
      <w:pPr>
        <w:spacing w:line="600" w:lineRule="exact"/>
        <w:ind w:firstLine="642" w:firstLineChars="200"/>
        <w:outlineLvl w:val="2"/>
        <w:rPr>
          <w:rFonts w:ascii="仿宋" w:hAnsi="仿宋" w:eastAsia="仿宋"/>
          <w:b/>
          <w:color w:val="000000"/>
          <w:sz w:val="32"/>
          <w:szCs w:val="32"/>
        </w:rPr>
      </w:pPr>
      <w:bookmarkStart w:id="61" w:name="_Toc16279"/>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1年一般公共预算财政拨款支出855.23万元，主要用于以下方面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支出767.79万元，占</w:t>
      </w:r>
      <w:r>
        <w:rPr>
          <w:rFonts w:hint="eastAsia" w:ascii="仿宋" w:hAnsi="仿宋" w:eastAsia="仿宋"/>
          <w:color w:val="000000"/>
          <w:sz w:val="32"/>
          <w:szCs w:val="32"/>
          <w:lang w:val="en-US" w:eastAsia="zh-CN"/>
        </w:rPr>
        <w:t>89.78</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w:t>
      </w:r>
      <w:r>
        <w:rPr>
          <w:rFonts w:hint="eastAsia" w:ascii="仿宋" w:hAnsi="仿宋" w:eastAsia="仿宋"/>
          <w:b/>
          <w:bCs/>
          <w:color w:val="000000"/>
          <w:sz w:val="32"/>
          <w:szCs w:val="32"/>
        </w:rPr>
        <w:t>（类）支出42.45万元，占</w:t>
      </w:r>
      <w:r>
        <w:rPr>
          <w:rFonts w:hint="eastAsia" w:ascii="仿宋" w:hAnsi="仿宋" w:eastAsia="仿宋"/>
          <w:b/>
          <w:bCs/>
          <w:color w:val="000000"/>
          <w:sz w:val="32"/>
          <w:szCs w:val="32"/>
          <w:lang w:val="en-US" w:eastAsia="zh-CN"/>
        </w:rPr>
        <w:t>4.96</w:t>
      </w:r>
      <w:r>
        <w:rPr>
          <w:rFonts w:ascii="仿宋" w:hAnsi="仿宋" w:eastAsia="仿宋"/>
          <w:b/>
          <w:bCs/>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b/>
          <w:bCs/>
          <w:color w:val="000000"/>
          <w:sz w:val="32"/>
          <w:szCs w:val="32"/>
          <w:lang w:eastAsia="zh-CN"/>
        </w:rPr>
        <w:t>（</w:t>
      </w:r>
      <w:r>
        <w:rPr>
          <w:rFonts w:hint="eastAsia" w:ascii="仿宋" w:hAnsi="仿宋" w:eastAsia="仿宋"/>
          <w:b/>
          <w:bCs/>
          <w:color w:val="000000"/>
          <w:sz w:val="32"/>
          <w:szCs w:val="32"/>
          <w:lang w:val="en-US" w:eastAsia="zh-CN"/>
        </w:rPr>
        <w:t>类</w:t>
      </w:r>
      <w:r>
        <w:rPr>
          <w:rFonts w:hint="eastAsia" w:ascii="仿宋" w:hAnsi="仿宋" w:eastAsia="仿宋"/>
          <w:b/>
          <w:bCs/>
          <w:color w:val="000000"/>
          <w:sz w:val="32"/>
          <w:szCs w:val="32"/>
          <w:lang w:eastAsia="zh-CN"/>
        </w:rPr>
        <w:t>）</w:t>
      </w:r>
      <w:r>
        <w:rPr>
          <w:rFonts w:hint="eastAsia" w:ascii="仿宋" w:hAnsi="仿宋" w:eastAsia="仿宋"/>
          <w:color w:val="000000"/>
          <w:sz w:val="32"/>
          <w:szCs w:val="32"/>
        </w:rPr>
        <w:t>17.23万元，占</w:t>
      </w:r>
      <w:r>
        <w:rPr>
          <w:rFonts w:hint="eastAsia" w:ascii="仿宋" w:hAnsi="仿宋" w:eastAsia="仿宋"/>
          <w:color w:val="000000"/>
          <w:sz w:val="32"/>
          <w:szCs w:val="32"/>
          <w:lang w:val="en-US" w:eastAsia="zh-CN"/>
        </w:rPr>
        <w:t>2.01</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住房保障支出</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类</w:t>
      </w:r>
      <w:r>
        <w:rPr>
          <w:rFonts w:hint="eastAsia" w:ascii="仿宋" w:hAnsi="仿宋" w:eastAsia="仿宋"/>
          <w:color w:val="000000"/>
          <w:sz w:val="32"/>
          <w:szCs w:val="32"/>
          <w:lang w:eastAsia="zh-CN"/>
        </w:rPr>
        <w:t>）</w:t>
      </w:r>
      <w:r>
        <w:rPr>
          <w:rFonts w:hint="eastAsia" w:ascii="仿宋" w:hAnsi="仿宋" w:eastAsia="仿宋"/>
          <w:color w:val="000000"/>
          <w:sz w:val="32"/>
          <w:szCs w:val="32"/>
        </w:rPr>
        <w:t>27.76万元，占</w:t>
      </w:r>
      <w:r>
        <w:rPr>
          <w:rFonts w:hint="eastAsia" w:ascii="仿宋" w:hAnsi="仿宋" w:eastAsia="仿宋"/>
          <w:color w:val="000000"/>
          <w:sz w:val="32"/>
          <w:szCs w:val="32"/>
          <w:lang w:val="en-US" w:eastAsia="zh-CN"/>
        </w:rPr>
        <w:t>3.25</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drawing>
          <wp:anchor distT="0" distB="0" distL="114300" distR="114300" simplePos="0" relativeHeight="251664384" behindDoc="0" locked="0" layoutInCell="1" allowOverlap="1">
            <wp:simplePos x="0" y="0"/>
            <wp:positionH relativeFrom="column">
              <wp:posOffset>434340</wp:posOffset>
            </wp:positionH>
            <wp:positionV relativeFrom="paragraph">
              <wp:posOffset>107315</wp:posOffset>
            </wp:positionV>
            <wp:extent cx="5024755" cy="3723640"/>
            <wp:effectExtent l="5080" t="4445" r="18415" b="571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rPr>
          <w:rFonts w:hint="eastAsia" w:ascii="仿宋" w:hAnsi="仿宋" w:eastAsia="仿宋"/>
          <w:color w:val="000000"/>
          <w:sz w:val="32"/>
          <w:szCs w:val="32"/>
          <w:lang w:eastAsia="zh-CN"/>
        </w:rPr>
      </w:pPr>
    </w:p>
    <w:p>
      <w:pPr>
        <w:spacing w:line="600" w:lineRule="exact"/>
        <w:ind w:firstLine="1280" w:firstLineChars="4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p>
    <w:p>
      <w:pPr>
        <w:spacing w:line="600" w:lineRule="exact"/>
        <w:ind w:firstLine="642" w:firstLineChars="200"/>
        <w:outlineLvl w:val="2"/>
        <w:rPr>
          <w:rFonts w:ascii="仿宋" w:hAnsi="仿宋" w:eastAsia="仿宋"/>
          <w:b/>
          <w:color w:val="000000"/>
          <w:sz w:val="32"/>
          <w:szCs w:val="32"/>
        </w:rPr>
      </w:pPr>
      <w:bookmarkStart w:id="62" w:name="_Toc79163617"/>
      <w:bookmarkStart w:id="63" w:name="_Toc24850"/>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7213"/>
      <w:bookmarkStart w:id="67" w:name="_Toc15378460"/>
      <w:r>
        <w:rPr>
          <w:rFonts w:ascii="仿宋_GB2312" w:eastAsia="仿宋_GB2312"/>
          <w:b/>
          <w:bCs/>
          <w:sz w:val="32"/>
          <w:szCs w:val="32"/>
        </w:rPr>
        <w:t>202</w:t>
      </w:r>
      <w:r>
        <w:rPr>
          <w:rFonts w:hint="eastAsia" w:ascii="仿宋_GB2312" w:eastAsia="仿宋_GB2312"/>
          <w:b/>
          <w:bCs/>
          <w:sz w:val="32"/>
          <w:szCs w:val="32"/>
        </w:rPr>
        <w:t>1年一般公共预算支出决算数为855.23</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1.</w:t>
      </w:r>
      <w:r>
        <w:rPr>
          <w:rStyle w:val="23"/>
          <w:rFonts w:hint="eastAsia" w:ascii="仿宋" w:hAnsi="仿宋" w:eastAsia="仿宋"/>
          <w:bCs/>
          <w:color w:val="000000"/>
          <w:sz w:val="32"/>
          <w:szCs w:val="32"/>
        </w:rPr>
        <w:t>一般公共服务（类）政府办公厅（室）及相关机构事务（款）行政运行（项）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支出决算为301.94万元，完成预算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2</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一般公共服务（类）政府办公厅（室）及相关机构事务（款）一般行政管理事务（项）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支出决算为189.87万元，完成预算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3</w:t>
      </w:r>
      <w:r>
        <w:rPr>
          <w:rStyle w:val="23"/>
          <w:rFonts w:ascii="仿宋" w:hAnsi="仿宋" w:eastAsia="仿宋"/>
          <w:bCs/>
          <w:color w:val="000000"/>
          <w:sz w:val="32"/>
          <w:szCs w:val="32"/>
        </w:rPr>
        <w:t>.</w:t>
      </w:r>
      <w:r>
        <w:rPr>
          <w:rStyle w:val="23"/>
          <w:rFonts w:hint="eastAsia" w:ascii="仿宋" w:hAnsi="仿宋" w:eastAsia="仿宋"/>
          <w:bCs/>
          <w:color w:val="000000"/>
          <w:sz w:val="32"/>
          <w:szCs w:val="32"/>
        </w:rPr>
        <w:t>一般公共服务（类）政府办公厅（室）及相关机构事务（款）政务公开审批（项）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支出决算为275.98万元，完成预算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4.</w:t>
      </w:r>
      <w:r>
        <w:rPr>
          <w:rStyle w:val="23"/>
          <w:rFonts w:hint="eastAsia" w:ascii="仿宋" w:hAnsi="仿宋" w:eastAsia="仿宋"/>
          <w:bCs/>
          <w:color w:val="000000"/>
          <w:sz w:val="32"/>
          <w:szCs w:val="32"/>
        </w:rPr>
        <w:t>社会保障和就业支出（类）行政事业单位养老支出（款）机关事业单位基本养老保险缴费支出（项）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支出决算为28.61万元，完成预算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5.</w:t>
      </w:r>
      <w:r>
        <w:rPr>
          <w:rStyle w:val="23"/>
          <w:rFonts w:hint="eastAsia" w:ascii="仿宋" w:hAnsi="仿宋" w:eastAsia="仿宋"/>
          <w:bCs/>
          <w:color w:val="000000"/>
          <w:sz w:val="32"/>
          <w:szCs w:val="32"/>
        </w:rPr>
        <w:t>社会保障和就业支出（类）行政事业单位养老支出（款）机关事业单位职业年金缴费支出（项）</w:t>
      </w:r>
      <w:r>
        <w:rPr>
          <w:rStyle w:val="23"/>
          <w:rFonts w:ascii="仿宋" w:hAnsi="仿宋" w:eastAsia="仿宋"/>
          <w:bCs/>
          <w:color w:val="000000"/>
          <w:sz w:val="32"/>
          <w:szCs w:val="32"/>
        </w:rPr>
        <w:t>:</w:t>
      </w:r>
      <w:r>
        <w:rPr>
          <w:rStyle w:val="23"/>
          <w:rFonts w:ascii="仿宋" w:hAnsi="仿宋" w:eastAsia="仿宋"/>
          <w:b w:val="0"/>
          <w:bCs/>
          <w:color w:val="000000"/>
          <w:sz w:val="32"/>
          <w:szCs w:val="32"/>
        </w:rPr>
        <w:t xml:space="preserve"> </w:t>
      </w:r>
      <w:r>
        <w:rPr>
          <w:rStyle w:val="23"/>
          <w:rFonts w:hint="eastAsia" w:ascii="仿宋" w:hAnsi="仿宋" w:eastAsia="仿宋"/>
          <w:b w:val="0"/>
          <w:bCs/>
          <w:color w:val="000000"/>
          <w:sz w:val="32"/>
          <w:szCs w:val="32"/>
        </w:rPr>
        <w:t>支出决算为13.84万元，完成预算</w:t>
      </w:r>
      <w:r>
        <w:rPr>
          <w:rStyle w:val="23"/>
          <w:rFonts w:hint="eastAsia" w:ascii="仿宋" w:hAnsi="仿宋" w:eastAsia="仿宋"/>
          <w:b w:val="0"/>
          <w:bCs/>
          <w:color w:val="000000"/>
          <w:sz w:val="32"/>
          <w:szCs w:val="32"/>
          <w:lang w:val="en-US" w:eastAsia="zh-CN"/>
        </w:rPr>
        <w:t>100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ascii="仿宋" w:hAnsi="仿宋" w:eastAsia="仿宋"/>
          <w:bCs/>
          <w:color w:val="000000"/>
          <w:sz w:val="32"/>
          <w:szCs w:val="32"/>
        </w:rPr>
        <w:t>6.</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（类）行政事业单位医疗（款）行政单位医疗（项）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支出决算为13.67万元，完成预算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7</w:t>
      </w:r>
      <w:r>
        <w:rPr>
          <w:rStyle w:val="23"/>
          <w:rFonts w:ascii="仿宋" w:hAnsi="仿宋" w:eastAsia="仿宋"/>
          <w:bCs/>
          <w:color w:val="000000"/>
          <w:sz w:val="32"/>
          <w:szCs w:val="32"/>
        </w:rPr>
        <w:t>.</w:t>
      </w:r>
      <w:r>
        <w:rPr>
          <w:rFonts w:hint="eastAsia" w:ascii="仿宋" w:hAnsi="仿宋" w:eastAsia="仿宋"/>
          <w:b/>
          <w:bCs/>
          <w:color w:val="000000"/>
          <w:sz w:val="32"/>
          <w:szCs w:val="32"/>
        </w:rPr>
        <w:t>卫生健康</w:t>
      </w:r>
      <w:r>
        <w:rPr>
          <w:rStyle w:val="23"/>
          <w:rFonts w:hint="eastAsia" w:ascii="仿宋" w:hAnsi="仿宋" w:eastAsia="仿宋"/>
          <w:bCs/>
          <w:color w:val="000000"/>
          <w:sz w:val="32"/>
          <w:szCs w:val="32"/>
        </w:rPr>
        <w:t>（类）行政事业单位医疗（款）公务员医疗补助（项）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支出决算为3.56万元，完成预算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2" w:firstLineChars="200"/>
        <w:rPr>
          <w:rFonts w:ascii="仿宋" w:hAnsi="仿宋" w:eastAsia="仿宋"/>
          <w:b/>
          <w:color w:val="000000"/>
          <w:sz w:val="32"/>
          <w:szCs w:val="32"/>
        </w:rPr>
      </w:pPr>
      <w:r>
        <w:rPr>
          <w:rStyle w:val="23"/>
          <w:rFonts w:hint="eastAsia" w:ascii="仿宋" w:hAnsi="仿宋" w:eastAsia="仿宋"/>
          <w:bCs/>
          <w:color w:val="000000"/>
          <w:sz w:val="32"/>
          <w:szCs w:val="32"/>
          <w:lang w:val="en-US" w:eastAsia="zh-CN"/>
        </w:rPr>
        <w:t>8</w:t>
      </w:r>
      <w:r>
        <w:rPr>
          <w:rStyle w:val="23"/>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3"/>
          <w:rFonts w:hint="eastAsia" w:ascii="仿宋" w:hAnsi="仿宋" w:eastAsia="仿宋"/>
          <w:bCs/>
          <w:color w:val="000000"/>
          <w:sz w:val="32"/>
          <w:szCs w:val="32"/>
        </w:rPr>
        <w:t>（类）住房改革支出（款）住房公积金（项）</w:t>
      </w:r>
      <w:r>
        <w:rPr>
          <w:rStyle w:val="23"/>
          <w:rFonts w:ascii="仿宋" w:hAnsi="仿宋" w:eastAsia="仿宋"/>
          <w:bCs/>
          <w:color w:val="000000"/>
          <w:sz w:val="32"/>
          <w:szCs w:val="32"/>
        </w:rPr>
        <w:t>:</w:t>
      </w:r>
      <w:r>
        <w:rPr>
          <w:rStyle w:val="23"/>
          <w:rFonts w:hint="eastAsia" w:ascii="仿宋" w:hAnsi="仿宋" w:eastAsia="仿宋"/>
          <w:b w:val="0"/>
          <w:bCs/>
          <w:color w:val="000000"/>
          <w:sz w:val="32"/>
          <w:szCs w:val="32"/>
        </w:rPr>
        <w:t>支出决算为27.76万元，完成预算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，决算数等于预算数。</w:t>
      </w:r>
    </w:p>
    <w:p>
      <w:pPr>
        <w:spacing w:line="600" w:lineRule="exact"/>
        <w:ind w:firstLine="640" w:firstLineChars="200"/>
        <w:rPr>
          <w:rStyle w:val="23"/>
          <w:rFonts w:hint="eastAsia" w:ascii="仿宋" w:hAnsi="仿宋" w:eastAsia="仿宋"/>
          <w:b w:val="0"/>
          <w:bCs/>
          <w:color w:val="000000"/>
          <w:sz w:val="32"/>
          <w:szCs w:val="32"/>
        </w:rPr>
      </w:pPr>
    </w:p>
    <w:p>
      <w:pPr>
        <w:spacing w:line="600" w:lineRule="exact"/>
        <w:rPr>
          <w:rFonts w:ascii="仿宋" w:hAnsi="仿宋" w:eastAsia="仿宋"/>
          <w:b/>
          <w:color w:val="000000"/>
          <w:sz w:val="32"/>
          <w:szCs w:val="32"/>
        </w:rPr>
      </w:pPr>
    </w:p>
    <w:p>
      <w:pPr>
        <w:tabs>
          <w:tab w:val="right" w:pos="8306"/>
        </w:tabs>
        <w:spacing w:line="600" w:lineRule="exact"/>
        <w:ind w:firstLine="640"/>
        <w:outlineLvl w:val="1"/>
        <w:rPr>
          <w:rStyle w:val="26"/>
        </w:rPr>
      </w:pPr>
      <w:bookmarkStart w:id="68" w:name="_Toc15377214"/>
      <w:bookmarkStart w:id="69" w:name="_Toc4271"/>
      <w:bookmarkStart w:id="70" w:name="_Toc15396608"/>
      <w:bookmarkStart w:id="71"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68"/>
      <w:bookmarkEnd w:id="69"/>
      <w:bookmarkEnd w:id="70"/>
      <w:bookmarkEnd w:id="7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389.38</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347.94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41.44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72" w:name="_Toc15377215"/>
      <w:bookmarkStart w:id="73" w:name="_Toc15396609"/>
      <w:bookmarkStart w:id="74" w:name="_Toc79163619"/>
      <w:bookmarkStart w:id="75" w:name="_Toc24156"/>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15377216"/>
      <w:bookmarkStart w:id="77" w:name="_Toc79163620"/>
      <w:bookmarkStart w:id="78" w:name="_Toc21945"/>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1年“三公”经费财政拨款支出决算为8.74万元，完成预算8.74</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11436"/>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万元；公务用车购置及运行维护费支出决算8.74万元，占</w:t>
      </w:r>
      <w:r>
        <w:rPr>
          <w:rFonts w:hint="eastAsia" w:ascii="仿宋" w:hAnsi="仿宋" w:eastAsia="仿宋"/>
          <w:color w:val="000000"/>
          <w:sz w:val="32"/>
          <w:szCs w:val="32"/>
          <w:lang w:val="en-US" w:eastAsia="zh-CN"/>
        </w:rPr>
        <w:t>100.00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5408" behindDoc="1" locked="0" layoutInCell="1" allowOverlap="1">
            <wp:simplePos x="0" y="0"/>
            <wp:positionH relativeFrom="column">
              <wp:posOffset>363855</wp:posOffset>
            </wp:positionH>
            <wp:positionV relativeFrom="paragraph">
              <wp:posOffset>-644525</wp:posOffset>
            </wp:positionV>
            <wp:extent cx="4429760" cy="2889885"/>
            <wp:effectExtent l="4445" t="4445" r="23495" b="20320"/>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pStyle w:val="2"/>
        <w:rPr>
          <w:rFonts w:hint="eastAsia"/>
        </w:rPr>
      </w:pPr>
    </w:p>
    <w:p>
      <w:pPr>
        <w:spacing w:line="600" w:lineRule="exact"/>
        <w:rPr>
          <w:rFonts w:hint="eastAsia" w:ascii="仿宋" w:hAnsi="仿宋" w:eastAsia="仿宋"/>
          <w:color w:val="000000"/>
          <w:sz w:val="32"/>
          <w:szCs w:val="32"/>
        </w:rPr>
      </w:pPr>
    </w:p>
    <w:p>
      <w:pPr>
        <w:spacing w:line="600" w:lineRule="exact"/>
        <w:rPr>
          <w:rFonts w:hint="eastAsia" w:ascii="仿宋" w:hAnsi="仿宋" w:eastAsia="仿宋"/>
          <w:color w:val="000000"/>
          <w:sz w:val="32"/>
          <w:szCs w:val="32"/>
        </w:rPr>
      </w:pPr>
    </w:p>
    <w:p>
      <w:pPr>
        <w:spacing w:line="600" w:lineRule="exact"/>
        <w:ind w:firstLine="1292" w:firstLineChars="404"/>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 w:hAnsi="仿宋" w:eastAsia="仿宋"/>
          <w:color w:val="000000"/>
          <w:sz w:val="32"/>
          <w:szCs w:val="32"/>
        </w:rPr>
        <w:t>8.74</w:t>
      </w:r>
      <w:r>
        <w:rPr>
          <w:rFonts w:hint="eastAsia" w:ascii="仿宋_GB2312" w:eastAsia="仿宋_GB2312"/>
          <w:color w:val="000000"/>
          <w:sz w:val="32"/>
          <w:szCs w:val="32"/>
        </w:rPr>
        <w:t>万元</w:t>
      </w:r>
      <w:r>
        <w:rPr>
          <w:rFonts w:ascii="仿宋_GB2312" w:eastAsia="仿宋_GB2312"/>
          <w:color w:val="000000"/>
          <w:sz w:val="32"/>
          <w:szCs w:val="32"/>
        </w:rPr>
        <w:t>,</w:t>
      </w:r>
      <w:r>
        <w:rPr>
          <w:rStyle w:val="23"/>
          <w:rFonts w:hint="eastAsia" w:ascii="仿宋" w:hAnsi="仿宋" w:eastAsia="仿宋"/>
          <w:b w:val="0"/>
          <w:bCs/>
          <w:color w:val="000000"/>
          <w:sz w:val="32"/>
          <w:szCs w:val="32"/>
        </w:rPr>
        <w:t>完成预算</w:t>
      </w:r>
      <w:r>
        <w:rPr>
          <w:rStyle w:val="23"/>
          <w:rFonts w:hint="eastAsia" w:ascii="仿宋" w:hAnsi="仿宋" w:eastAsia="仿宋"/>
          <w:b w:val="0"/>
          <w:bCs/>
          <w:color w:val="000000"/>
          <w:sz w:val="32"/>
          <w:szCs w:val="32"/>
          <w:lang w:val="en-US" w:eastAsia="zh-CN"/>
        </w:rPr>
        <w:t>100.00</w:t>
      </w:r>
      <w:r>
        <w:rPr>
          <w:rStyle w:val="23"/>
          <w:rFonts w:ascii="仿宋" w:hAnsi="仿宋" w:eastAsia="仿宋"/>
          <w:b w:val="0"/>
          <w:bCs/>
          <w:color w:val="000000"/>
          <w:sz w:val="32"/>
          <w:szCs w:val="32"/>
        </w:rPr>
        <w:t>%</w:t>
      </w:r>
      <w:r>
        <w:rPr>
          <w:rStyle w:val="23"/>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3.89</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80.21</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val="en-US" w:eastAsia="zh-CN"/>
        </w:rPr>
        <w:t>2021年公务用车使用量较大，费用支出较多</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 w:hAnsi="仿宋" w:eastAsia="仿宋"/>
          <w:color w:val="000000"/>
          <w:sz w:val="32"/>
          <w:szCs w:val="32"/>
        </w:rPr>
        <w:t>8.74</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下乡以及其他工作</w:t>
      </w:r>
      <w:r>
        <w:rPr>
          <w:rFonts w:hint="eastAsia" w:ascii="仿宋_GB2312" w:eastAsia="仿宋_GB2312"/>
          <w:color w:val="000000"/>
          <w:sz w:val="32"/>
          <w:szCs w:val="32"/>
        </w:rPr>
        <w:t>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outlineLvl w:val="9"/>
        <w:rPr>
          <w:rStyle w:val="23"/>
          <w:rFonts w:hint="eastAsia" w:ascii="仿宋" w:hAnsi="仿宋" w:eastAsia="仿宋"/>
          <w:b w:val="0"/>
          <w:bCs/>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3"/>
          <w:rFonts w:hint="eastAsia" w:ascii="仿宋" w:hAnsi="仿宋" w:eastAsia="仿宋"/>
          <w:b w:val="0"/>
          <w:bCs/>
          <w:color w:val="000000"/>
          <w:sz w:val="32"/>
          <w:szCs w:val="32"/>
        </w:rPr>
        <w:t>。</w:t>
      </w:r>
      <w:bookmarkStart w:id="82" w:name="_Toc79163622"/>
      <w:bookmarkStart w:id="83" w:name="_Toc15396610"/>
      <w:bookmarkStart w:id="84" w:name="_Toc15377218"/>
    </w:p>
    <w:p>
      <w:pPr>
        <w:spacing w:line="600" w:lineRule="exact"/>
        <w:ind w:firstLine="640"/>
        <w:outlineLvl w:val="1"/>
        <w:rPr>
          <w:rFonts w:hint="eastAsia" w:ascii="黑体" w:eastAsia="黑体"/>
          <w:color w:val="000000"/>
          <w:sz w:val="32"/>
          <w:szCs w:val="32"/>
        </w:rPr>
      </w:pPr>
    </w:p>
    <w:p>
      <w:pPr>
        <w:spacing w:line="600" w:lineRule="exact"/>
        <w:ind w:firstLine="640"/>
        <w:outlineLvl w:val="1"/>
        <w:rPr>
          <w:rStyle w:val="26"/>
          <w:rFonts w:ascii="黑体" w:hAnsi="黑体" w:eastAsia="黑体"/>
        </w:rPr>
      </w:pPr>
      <w:bookmarkStart w:id="85" w:name="_Toc5667"/>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6"/>
          <w:rFonts w:ascii="黑体" w:hAnsi="黑体" w:eastAsia="黑体"/>
          <w:b w:val="0"/>
        </w:rPr>
      </w:pPr>
      <w:bookmarkStart w:id="86" w:name="_Toc15377219"/>
      <w:bookmarkStart w:id="87" w:name="_Toc15396611"/>
      <w:bookmarkStart w:id="88" w:name="_Toc79163623"/>
      <w:bookmarkStart w:id="89" w:name="_Toc24190"/>
      <w:r>
        <w:rPr>
          <w:rStyle w:val="26"/>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90" w:name="_Toc79163624"/>
      <w:bookmarkStart w:id="91" w:name="_Toc15377221"/>
      <w:bookmarkStart w:id="92" w:name="_Toc15396612"/>
      <w:bookmarkStart w:id="93" w:name="_Toc18462"/>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15377222"/>
      <w:bookmarkStart w:id="95" w:name="_Toc79163625"/>
      <w:bookmarkStart w:id="96" w:name="_Toc4184"/>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hint="default" w:ascii="仿宋_GB2312" w:eastAsia="仿宋_GB2312"/>
          <w:color w:val="000000"/>
          <w:sz w:val="32"/>
          <w:szCs w:val="32"/>
          <w:lang w:val="en-US" w:eastAsia="zh-CN"/>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壤塘县行政审批局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41.44</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rPr>
        <w:t>20年增加</w:t>
      </w:r>
      <w:r>
        <w:rPr>
          <w:rFonts w:hint="eastAsia" w:ascii="仿宋_GB2312" w:eastAsia="仿宋_GB2312"/>
          <w:color w:val="000000"/>
          <w:sz w:val="32"/>
          <w:szCs w:val="32"/>
          <w:lang w:val="en-US" w:eastAsia="zh-CN"/>
        </w:rPr>
        <w:t>29.45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245.62</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eastAsia="仿宋_GB2312"/>
          <w:color w:val="000000"/>
          <w:sz w:val="32"/>
          <w:szCs w:val="32"/>
          <w:lang w:val="en-US" w:eastAsia="zh-CN"/>
        </w:rPr>
        <w:t>为2021年人员增加，基本支出相应增加。</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97" w:name="_Toc15377223"/>
      <w:bookmarkStart w:id="98" w:name="_Toc79163626"/>
      <w:bookmarkStart w:id="99" w:name="_Toc200"/>
      <w:r>
        <w:rPr>
          <w:rFonts w:hint="eastAsia" w:ascii="仿宋" w:hAnsi="仿宋" w:eastAsia="仿宋"/>
          <w:b/>
          <w:color w:val="000000"/>
          <w:sz w:val="32"/>
          <w:szCs w:val="32"/>
        </w:rPr>
        <w:t>（二）政府采购支出情况</w:t>
      </w:r>
      <w:bookmarkEnd w:id="97"/>
      <w:bookmarkEnd w:id="98"/>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w:t>
      </w:r>
      <w:r>
        <w:rPr>
          <w:rFonts w:hint="eastAsia" w:ascii="仿宋_GB2312" w:eastAsia="仿宋_GB2312"/>
          <w:color w:val="000000"/>
          <w:sz w:val="32"/>
          <w:szCs w:val="32"/>
          <w:lang w:val="en-US" w:eastAsia="zh-CN"/>
        </w:rPr>
        <w:t>壤塘县行政审批局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176.44</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127.44</w:t>
      </w:r>
      <w:r>
        <w:rPr>
          <w:rFonts w:hint="eastAsia" w:ascii="仿宋_GB2312" w:eastAsia="仿宋_GB2312"/>
          <w:color w:val="000000"/>
          <w:sz w:val="32"/>
          <w:szCs w:val="32"/>
        </w:rPr>
        <w:t>万元、政府采购工程支出万元、政府采购服务支出</w:t>
      </w:r>
      <w:r>
        <w:rPr>
          <w:rFonts w:hint="eastAsia" w:ascii="仿宋_GB2312" w:eastAsia="仿宋_GB2312"/>
          <w:color w:val="000000"/>
          <w:sz w:val="32"/>
          <w:szCs w:val="32"/>
          <w:lang w:val="en-US" w:eastAsia="zh-CN"/>
        </w:rPr>
        <w:t>49</w:t>
      </w:r>
      <w:r>
        <w:rPr>
          <w:rFonts w:hint="eastAsia" w:ascii="仿宋_GB2312" w:eastAsia="仿宋_GB2312"/>
          <w:color w:val="000000"/>
          <w:sz w:val="32"/>
          <w:szCs w:val="32"/>
        </w:rPr>
        <w:t>万元。主要用于</w:t>
      </w:r>
      <w:r>
        <w:rPr>
          <w:rFonts w:hint="eastAsia" w:ascii="仿宋_GB2312" w:eastAsia="仿宋_GB2312"/>
          <w:color w:val="000000"/>
          <w:sz w:val="32"/>
          <w:szCs w:val="32"/>
          <w:lang w:val="en-US" w:eastAsia="zh-CN"/>
        </w:rPr>
        <w:t>政务大厅提升改造工程</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176.44</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7"/>
      <w:bookmarkStart w:id="101" w:name="_Toc2766"/>
      <w:bookmarkStart w:id="102" w:name="_Toc15377224"/>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val="en-US" w:eastAsia="zh-CN"/>
        </w:rPr>
        <w:t>壤塘县行政审批局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辆，主要是用于</w:t>
      </w:r>
      <w:r>
        <w:rPr>
          <w:rFonts w:hint="eastAsia" w:ascii="仿宋_GB2312" w:eastAsia="仿宋_GB2312"/>
          <w:color w:val="000000"/>
          <w:sz w:val="32"/>
          <w:szCs w:val="32"/>
          <w:lang w:val="en-US" w:eastAsia="zh-CN"/>
        </w:rPr>
        <w:t>单位日常下乡和其他工作，</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30377"/>
      <w:bookmarkStart w:id="104" w:name="_Toc7916362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根据预算绩效管理要求，</w:t>
      </w:r>
      <w:r>
        <w:rPr>
          <w:rFonts w:hint="eastAsia" w:ascii="仿宋_GB2312" w:hAnsi="仿宋_GB2312" w:eastAsia="仿宋_GB2312" w:cs="仿宋_GB2312"/>
          <w:sz w:val="32"/>
          <w:szCs w:val="32"/>
          <w:lang w:eastAsia="zh-CN"/>
        </w:rPr>
        <w:t>我局</w:t>
      </w:r>
      <w:r>
        <w:rPr>
          <w:rFonts w:hint="eastAsia" w:ascii="仿宋_GB2312" w:hAnsi="仿宋_GB2312" w:eastAsia="仿宋_GB2312" w:cs="仿宋_GB2312"/>
          <w:sz w:val="32"/>
          <w:szCs w:val="32"/>
        </w:rPr>
        <w:t>在年初预算编制阶段，组织对</w:t>
      </w:r>
      <w:r>
        <w:rPr>
          <w:rFonts w:hint="eastAsia" w:ascii="仿宋_GB2312" w:hAnsi="仿宋_GB2312" w:eastAsia="仿宋_GB2312" w:cs="仿宋_GB2312"/>
          <w:sz w:val="32"/>
          <w:szCs w:val="32"/>
          <w:lang w:val="en-US" w:eastAsia="zh-CN"/>
        </w:rPr>
        <w:t>2个</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政务大厅运行经费和网络信息维护费</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w:t>
      </w:r>
      <w:r>
        <w:rPr>
          <w:rFonts w:hint="eastAsia" w:ascii="仿宋_GB2312" w:hAnsi="仿宋_GB2312" w:eastAsia="仿宋_GB2312" w:cs="仿宋_GB2312"/>
          <w:sz w:val="32"/>
          <w:szCs w:val="32"/>
          <w:lang w:eastAsia="zh-CN"/>
        </w:rPr>
        <w:t>我局无专项项目，因此未开展项目绩效自评。</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1年部门整体支出开展绩效自评，从评价情况来看</w:t>
      </w:r>
      <w:r>
        <w:rPr>
          <w:rFonts w:hint="eastAsia" w:ascii="仿宋_GB2312" w:hAnsi="仿宋_GB2312" w:eastAsia="仿宋_GB2312" w:cs="仿宋_GB2312"/>
          <w:sz w:val="32"/>
          <w:szCs w:val="32"/>
          <w:lang w:val="en-US" w:eastAsia="zh-CN"/>
        </w:rPr>
        <w:t>2021年行政审批局整体运行较好</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由于2021年我局无专项项目资金，因此未开展项目绩效自评。</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2021年我局无专项项目，因而未开展项目绩效自评。</w:t>
      </w:r>
    </w:p>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val="en-US" w:eastAsia="zh-CN"/>
        </w:rPr>
        <w:t>壤塘县行政审批局</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bookmarkStart w:id="163" w:name="_GoBack"/>
      <w:bookmarkEnd w:id="163"/>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25"/>
          <w:rFonts w:ascii="黑体" w:hAnsi="黑体" w:eastAsia="黑体"/>
          <w:b w:val="0"/>
        </w:rPr>
      </w:pPr>
      <w:bookmarkStart w:id="105" w:name="_Toc385"/>
      <w:bookmarkStart w:id="106" w:name="_Toc15377225"/>
      <w:bookmarkStart w:id="107" w:name="_Toc15396613"/>
      <w:bookmarkStart w:id="108" w:name="_Toc79163629"/>
      <w:r>
        <w:rPr>
          <w:rFonts w:hint="eastAsia" w:ascii="黑体" w:hAnsi="黑体" w:eastAsia="黑体"/>
          <w:color w:val="000000"/>
          <w:sz w:val="44"/>
          <w:szCs w:val="44"/>
        </w:rPr>
        <w:t>名</w:t>
      </w:r>
      <w:r>
        <w:rPr>
          <w:rStyle w:val="25"/>
          <w:rFonts w:hint="eastAsia" w:ascii="黑体" w:hAnsi="黑体" w:eastAsia="黑体"/>
          <w:b w:val="0"/>
        </w:rPr>
        <w:t>词解释</w:t>
      </w:r>
      <w:bookmarkEnd w:id="105"/>
      <w:bookmarkEnd w:id="106"/>
      <w:bookmarkEnd w:id="107"/>
      <w:bookmarkEnd w:id="108"/>
    </w:p>
    <w:p>
      <w:pPr>
        <w:spacing w:line="600" w:lineRule="exact"/>
        <w:jc w:val="left"/>
        <w:rPr>
          <w:rFonts w:ascii="宋体"/>
          <w:b/>
          <w:color w:val="000000"/>
          <w:sz w:val="44"/>
          <w:szCs w:val="44"/>
        </w:rPr>
      </w:pPr>
    </w:p>
    <w:p>
      <w:pPr>
        <w:pStyle w:val="35"/>
        <w:spacing w:line="560" w:lineRule="exact"/>
        <w:ind w:firstLine="640" w:firstLineChars="200"/>
        <w:rPr>
          <w:rFonts w:ascii="仿宋_GB2312" w:eastAsia="仿宋_GB2312"/>
          <w:sz w:val="32"/>
          <w:szCs w:val="32"/>
        </w:rPr>
      </w:pPr>
      <w:bookmarkStart w:id="109" w:name="_Toc15396614"/>
      <w:bookmarkStart w:id="110" w:name="_Toc79163630"/>
      <w:bookmarkStart w:id="11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其他收入：指单位取得的除上述收入以外的各项收入。主要是援建资金。</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5"/>
        <w:spacing w:line="560" w:lineRule="exact"/>
        <w:ind w:firstLine="640" w:firstLineChars="200"/>
        <w:rPr>
          <w:rFonts w:ascii="仿宋_GB2312" w:eastAsia="仿宋_GB2312"/>
          <w:sz w:val="32"/>
          <w:szCs w:val="32"/>
        </w:rPr>
      </w:pPr>
      <w:r>
        <w:rPr>
          <w:rFonts w:hint="eastAsia" w:ascii="仿宋_GB2312" w:eastAsia="仿宋_GB2312"/>
          <w:sz w:val="32"/>
          <w:szCs w:val="32"/>
        </w:rPr>
        <w:t>6.年末结转和结余：指单位按有关规定结转到下年或以后年度继续使用的资金。</w:t>
      </w:r>
    </w:p>
    <w:p>
      <w:pPr>
        <w:pStyle w:val="2"/>
        <w:ind w:firstLine="640"/>
        <w:rPr>
          <w:rFonts w:ascii="仿宋_GB2312" w:eastAsia="仿宋_GB2312"/>
          <w:color w:val="000000"/>
        </w:rPr>
      </w:pPr>
      <w:r>
        <w:rPr>
          <w:rFonts w:hint="eastAsia" w:ascii="仿宋_GB2312"/>
          <w:color w:val="000000"/>
        </w:rPr>
        <w:t>7</w:t>
      </w:r>
      <w:r>
        <w:rPr>
          <w:rFonts w:ascii="仿宋_GB2312" w:eastAsia="仿宋_GB2312"/>
          <w:color w:val="000000"/>
        </w:rPr>
        <w:t>.</w:t>
      </w:r>
      <w:r>
        <w:rPr>
          <w:rFonts w:hint="eastAsia" w:ascii="仿宋_GB2312" w:eastAsia="仿宋_GB2312"/>
          <w:color w:val="000000"/>
        </w:rPr>
        <w:t>一般公共服务支出（类）政府办公厅（室）及相关机构事务（款）行政运行（项）：</w:t>
      </w:r>
      <w:r>
        <w:rPr>
          <w:rFonts w:hint="eastAsia" w:ascii="仿宋_GB2312" w:hAnsi="Times New Roman" w:eastAsia="仿宋_GB2312"/>
          <w:color w:val="000000"/>
        </w:rPr>
        <w:t>指行政单位（包括实行公务员管理的事业单位）的基本支出。</w:t>
      </w:r>
    </w:p>
    <w:p>
      <w:pPr>
        <w:pStyle w:val="2"/>
        <w:ind w:firstLine="640"/>
        <w:rPr>
          <w:rFonts w:ascii="仿宋_GB2312" w:hAnsi="Times New Roman" w:eastAsia="仿宋_GB2312"/>
          <w:color w:val="000000"/>
        </w:rPr>
      </w:pPr>
      <w:r>
        <w:rPr>
          <w:rFonts w:hint="eastAsia" w:ascii="仿宋_GB2312" w:eastAsia="仿宋_GB2312"/>
          <w:color w:val="000000"/>
        </w:rPr>
        <w:t>8</w:t>
      </w:r>
      <w:r>
        <w:rPr>
          <w:rFonts w:ascii="仿宋_GB2312" w:eastAsia="仿宋_GB2312"/>
          <w:color w:val="000000"/>
        </w:rPr>
        <w:t>.</w:t>
      </w:r>
      <w:r>
        <w:rPr>
          <w:rFonts w:hint="eastAsia" w:ascii="仿宋_GB2312" w:eastAsia="仿宋_GB2312"/>
          <w:color w:val="000000"/>
        </w:rPr>
        <w:t>一般公共服务支出（类）政府办公厅（室）及相关机构事务（款）一般行政管理事务（项）：</w:t>
      </w:r>
      <w:r>
        <w:rPr>
          <w:rFonts w:hint="eastAsia" w:ascii="仿宋_GB2312" w:hAnsi="Times New Roman" w:eastAsia="仿宋_GB2312"/>
          <w:color w:val="000000"/>
        </w:rPr>
        <w:t>指行政单位（包括实行公务员管理的事业单位）未单独设置项级科目的其他项目支出。</w:t>
      </w:r>
    </w:p>
    <w:p>
      <w:pPr>
        <w:pStyle w:val="2"/>
        <w:ind w:firstLine="640"/>
        <w:rPr>
          <w:rFonts w:eastAsia="仿宋_GB2312"/>
        </w:rPr>
      </w:pPr>
      <w:r>
        <w:rPr>
          <w:rFonts w:hint="eastAsia" w:ascii="仿宋_GB2312" w:eastAsia="仿宋_GB2312"/>
          <w:color w:val="000000"/>
        </w:rPr>
        <w:t>9.社会保障和就业（类）行政事业单位</w:t>
      </w:r>
      <w:r>
        <w:rPr>
          <w:rFonts w:hint="eastAsia" w:ascii="仿宋_GB2312"/>
          <w:color w:val="000000"/>
        </w:rPr>
        <w:t>养</w:t>
      </w:r>
      <w:r>
        <w:rPr>
          <w:rFonts w:hint="eastAsia" w:ascii="仿宋_GB2312" w:eastAsia="仿宋_GB2312"/>
          <w:color w:val="000000"/>
        </w:rPr>
        <w:t>老支出（款）机关事业单位基本养老保险缴费支出（项）：指由单位缴纳的基本养老保险费支出。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社会保障和就业（类）行政事业单位养老支出（款）机关事业单位职业年金缴费支出（项）：指机关事业单位实施养老保险制度由单位实际缴纳的职业年金。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11.医疗卫生与计划生育（类）行政事业单位医疗（款）行政单位医疗（项）：指财政部门集中安排的行政单位基本医疗保险缴费经费。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12.住房保障支出（类）住房改革支出（款）住房公积金（项）：指行政事业单位安装工资比例为职工缴纳的住房公积金。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14.项目支出：指在基本支出之外为完成特定行政任务和事业发展目标所发生的支出。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15.经营支出：指事业单位在专业业务活动及其辅助活动之外开展非独立核算经营活动发生的支出。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color w:val="00000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5"/>
          <w:rFonts w:ascii="黑体" w:hAnsi="黑体" w:eastAsia="黑体"/>
          <w:b w:val="0"/>
        </w:rPr>
      </w:pPr>
      <w:bookmarkStart w:id="112" w:name="_Toc28978"/>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2"/>
    </w:p>
    <w:p>
      <w:pPr>
        <w:spacing w:line="600" w:lineRule="exact"/>
        <w:jc w:val="left"/>
        <w:outlineLvl w:val="0"/>
        <w:rPr>
          <w:rFonts w:ascii="方正小标宋简体" w:hAnsi="方正小标宋简体" w:eastAsia="方正小标宋简体" w:cs="方正小标宋简体"/>
          <w:sz w:val="32"/>
          <w:szCs w:val="32"/>
        </w:rPr>
      </w:pPr>
      <w:bookmarkStart w:id="113" w:name="_Toc79163631"/>
      <w:bookmarkStart w:id="114" w:name="_Toc16167"/>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spacing w:line="360" w:lineRule="auto"/>
        <w:jc w:val="center"/>
        <w:rPr>
          <w:rFonts w:hint="eastAsia" w:ascii="宋体" w:hAnsi="宋体" w:eastAsia="宋体" w:cs="宋体"/>
          <w:b/>
          <w:bCs/>
          <w:kern w:val="0"/>
          <w:sz w:val="44"/>
          <w:szCs w:val="44"/>
          <w:lang w:eastAsia="zh-CN"/>
        </w:rPr>
      </w:pPr>
      <w:r>
        <w:rPr>
          <w:rFonts w:hint="eastAsia" w:ascii="宋体" w:hAnsi="宋体" w:cs="宋体"/>
          <w:b/>
          <w:bCs/>
          <w:kern w:val="0"/>
          <w:sz w:val="44"/>
          <w:szCs w:val="44"/>
        </w:rPr>
        <w:t>20</w:t>
      </w:r>
      <w:r>
        <w:rPr>
          <w:rFonts w:hint="eastAsia" w:ascii="宋体" w:hAnsi="宋体" w:cs="宋体"/>
          <w:b/>
          <w:bCs/>
          <w:kern w:val="0"/>
          <w:sz w:val="44"/>
          <w:szCs w:val="44"/>
          <w:lang w:val="en-US" w:eastAsia="zh-CN"/>
        </w:rPr>
        <w:t>21</w:t>
      </w:r>
      <w:r>
        <w:rPr>
          <w:rFonts w:hint="eastAsia" w:ascii="宋体" w:hAnsi="宋体" w:cs="宋体"/>
          <w:b/>
          <w:bCs/>
          <w:kern w:val="0"/>
          <w:sz w:val="44"/>
          <w:szCs w:val="44"/>
        </w:rPr>
        <w:t>年度</w:t>
      </w:r>
      <w:r>
        <w:rPr>
          <w:rFonts w:hint="eastAsia" w:ascii="宋体" w:hAnsi="宋体" w:cs="宋体"/>
          <w:b/>
          <w:bCs/>
          <w:kern w:val="0"/>
          <w:sz w:val="44"/>
          <w:szCs w:val="44"/>
          <w:lang w:eastAsia="zh-CN"/>
        </w:rPr>
        <w:t>壤塘县行政审批局</w:t>
      </w:r>
    </w:p>
    <w:p>
      <w:pPr>
        <w:spacing w:line="360" w:lineRule="auto"/>
        <w:jc w:val="center"/>
        <w:rPr>
          <w:rFonts w:ascii="宋体" w:hAnsi="宋体" w:cs="宋体"/>
          <w:b/>
          <w:bCs/>
          <w:kern w:val="0"/>
          <w:sz w:val="44"/>
          <w:szCs w:val="44"/>
        </w:rPr>
      </w:pPr>
      <w:r>
        <w:rPr>
          <w:rFonts w:hint="eastAsia" w:ascii="宋体" w:hAnsi="宋体" w:cs="宋体"/>
          <w:b/>
          <w:bCs/>
          <w:kern w:val="0"/>
          <w:sz w:val="44"/>
          <w:szCs w:val="44"/>
        </w:rPr>
        <w:t>部门整体支出绩效评价自评报告</w:t>
      </w:r>
    </w:p>
    <w:p>
      <w:pPr>
        <w:spacing w:line="360" w:lineRule="auto"/>
        <w:rPr>
          <w:rFonts w:ascii="宋体" w:hAnsi="宋体" w:cs="宋体"/>
          <w:kern w:val="0"/>
          <w:szCs w:val="21"/>
        </w:rPr>
      </w:pPr>
    </w:p>
    <w:p>
      <w:pPr>
        <w:numPr>
          <w:ilvl w:val="0"/>
          <w:numId w:val="5"/>
        </w:numPr>
        <w:spacing w:line="360" w:lineRule="auto"/>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部门（单位）概况</w:t>
      </w:r>
    </w:p>
    <w:p>
      <w:pPr>
        <w:spacing w:line="360" w:lineRule="auto"/>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壤塘县行政审批局</w:t>
      </w:r>
      <w:r>
        <w:rPr>
          <w:rFonts w:hint="eastAsia" w:ascii="仿宋_GB2312" w:hAnsi="Times New Roman" w:eastAsia="仿宋_GB2312" w:cs="Times New Roman"/>
          <w:color w:val="000000"/>
          <w:sz w:val="32"/>
          <w:szCs w:val="32"/>
        </w:rPr>
        <w:t>属于行政单位，主管部门是县政府，单位负责人是杨丽娜，法定地址是壤塘县</w:t>
      </w:r>
      <w:r>
        <w:rPr>
          <w:rFonts w:hint="eastAsia" w:ascii="仿宋_GB2312" w:eastAsia="仿宋_GB2312" w:cs="Times New Roman"/>
          <w:color w:val="000000"/>
          <w:sz w:val="32"/>
          <w:szCs w:val="32"/>
          <w:lang w:eastAsia="zh-CN"/>
        </w:rPr>
        <w:t>罗吾塘中街</w:t>
      </w:r>
      <w:r>
        <w:rPr>
          <w:rFonts w:hint="eastAsia" w:ascii="仿宋_GB2312" w:eastAsia="仿宋_GB2312" w:cs="Times New Roman"/>
          <w:color w:val="000000"/>
          <w:sz w:val="32"/>
          <w:szCs w:val="32"/>
          <w:lang w:val="en-US" w:eastAsia="zh-CN"/>
        </w:rPr>
        <w:t>90号</w:t>
      </w:r>
      <w:r>
        <w:rPr>
          <w:rFonts w:hint="eastAsia" w:ascii="仿宋_GB2312" w:hAnsi="Times New Roman" w:eastAsia="仿宋_GB2312" w:cs="Times New Roman"/>
          <w:color w:val="000000"/>
          <w:sz w:val="32"/>
          <w:szCs w:val="32"/>
          <w:lang w:eastAsia="zh-CN"/>
        </w:rPr>
        <w:t>。</w:t>
      </w:r>
    </w:p>
    <w:p>
      <w:pPr>
        <w:widowControl w:val="0"/>
        <w:numPr>
          <w:ilvl w:val="0"/>
          <w:numId w:val="6"/>
        </w:numPr>
        <w:spacing w:line="360" w:lineRule="auto"/>
        <w:ind w:left="1720" w:hanging="108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机构组成</w:t>
      </w:r>
    </w:p>
    <w:p>
      <w:pPr>
        <w:widowControl w:val="0"/>
        <w:ind w:firstLine="640" w:firstLineChars="200"/>
        <w:jc w:val="both"/>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壤塘县行政审批局内设机构：综合办、行政审批股。</w:t>
      </w:r>
    </w:p>
    <w:p>
      <w:pPr>
        <w:numPr>
          <w:ilvl w:val="0"/>
          <w:numId w:val="7"/>
        </w:numPr>
        <w:spacing w:line="360" w:lineRule="auto"/>
        <w:ind w:firstLine="642" w:firstLineChars="200"/>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机构职能</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壤塘县行政审批局主要职责是：  </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1）负责深化行政审批制度改革和“放管服”改革工作。贯彻实施有关法律、法规、规章，执行上级有关行政审批制度改革和“放管服”改革的方针、政策；会同有关部门推进行政审批制度改革和“放管服”改革，提出行政审批制度改革和“放管服”改革的建议，承担县本级行政权力清单和责任清单的动态调整，负责全县行政权力清单和责任清单工作，建立完善相关工作机制；制定县行政审批局各项规章制度和管理办法，并组织实施。</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（2）负责协调、指导入驻县政务大厅部门的行政审批工作。建立和完善相应工作机制，推进标准化建设；负责对划转的行政许可事项进行流程再造、环节优化、时限压缩，并对办理情况进行跟踪督办。</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3）按照“成熟一批，划转一批”的原则，负责承办经批准划入的涉及市场准入、建设工程、交通、水利、文教卫生、社会事务、涉农事务等方面的行政审批事项，逐步实行“一枚印章管审批”。负责将行政审批事项的审批结果及时通报给县直相关部门。</w:t>
      </w:r>
    </w:p>
    <w:p>
      <w:pPr>
        <w:ind w:firstLine="640" w:firstLineChars="200"/>
        <w:rPr>
          <w:rFonts w:hint="eastAsia"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lang w:eastAsia="zh-CN"/>
        </w:rPr>
        <w:t>（4）负责对涉及县政务服务工作、县公共资源交易中心、县</w:t>
      </w:r>
      <w:r>
        <w:rPr>
          <w:rFonts w:hint="eastAsia" w:ascii="仿宋_GB2312" w:hAnsi="Times New Roman" w:eastAsia="仿宋_GB2312" w:cs="Times New Roman"/>
          <w:color w:val="000000"/>
          <w:sz w:val="32"/>
          <w:szCs w:val="32"/>
        </w:rPr>
        <w:t>行政审批服务机构的投诉举报的承办、转办和督办工作。</w:t>
      </w:r>
    </w:p>
    <w:p>
      <w:pPr>
        <w:spacing w:line="360" w:lineRule="auto"/>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（5）负责对各乡镇便民服务中心相关工作的运行进行业务指导，建立和完善高效的政务服务体系。</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（6）负责全县政务服务管理工作，指导全县政务服务体系建设。</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（7）负责全县公共资源交易管理工作，推进公共资源交易体系建设。</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（8）负责职责范围内的安全生产、职业健康、生态环境保护、公共机构能源节能减排等工作。</w:t>
      </w:r>
    </w:p>
    <w:p>
      <w:pPr>
        <w:ind w:firstLine="640" w:firstLineChars="200"/>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eastAsia="zh-CN"/>
        </w:rPr>
        <w:t>（9）完成县委、县政府交办的其他任务。</w:t>
      </w:r>
    </w:p>
    <w:p>
      <w:pPr>
        <w:numPr>
          <w:ilvl w:val="0"/>
          <w:numId w:val="7"/>
        </w:numPr>
        <w:spacing w:line="360" w:lineRule="auto"/>
        <w:ind w:firstLine="642"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pPr>
        <w:widowControl w:val="0"/>
        <w:adjustRightInd w:val="0"/>
        <w:snapToGrid w:val="0"/>
        <w:spacing w:before="72" w:after="120" w:line="600" w:lineRule="exact"/>
        <w:ind w:firstLine="640" w:firstLineChars="200"/>
        <w:jc w:val="both"/>
        <w:rPr>
          <w:rFonts w:hint="eastAsia" w:ascii="Calibri" w:hAnsi="Calibri" w:eastAsia="宋体" w:cs="Times New Roman"/>
          <w:kern w:val="2"/>
          <w:sz w:val="21"/>
          <w:szCs w:val="22"/>
          <w:highlight w:val="yellow"/>
          <w:lang w:val="en-US" w:eastAsia="zh-CN" w:bidi="ar-SA"/>
        </w:rPr>
      </w:pPr>
      <w:bookmarkStart w:id="115" w:name="_Toc15378450"/>
      <w:bookmarkStart w:id="116" w:name="_Toc15377203"/>
      <w:bookmarkStart w:id="117" w:name="_Toc15306277"/>
      <w:bookmarkStart w:id="118" w:name="_Toc15377434"/>
      <w:r>
        <w:rPr>
          <w:rFonts w:hint="eastAsia" w:ascii="仿宋_GB2312" w:hAnsi="Times New Roman" w:eastAsia="仿宋_GB2312" w:cs="Times New Roman"/>
          <w:color w:val="000000"/>
          <w:kern w:val="2"/>
          <w:sz w:val="32"/>
          <w:szCs w:val="32"/>
          <w:lang w:val="en-US" w:eastAsia="zh-CN" w:bidi="ar-SA"/>
        </w:rPr>
        <w:t>截止2021年12月31日，壤塘县</w:t>
      </w:r>
      <w:bookmarkEnd w:id="115"/>
      <w:bookmarkEnd w:id="116"/>
      <w:bookmarkEnd w:id="117"/>
      <w:bookmarkEnd w:id="118"/>
      <w:r>
        <w:rPr>
          <w:rFonts w:hint="eastAsia" w:ascii="仿宋_GB2312" w:hAnsi="Times New Roman" w:eastAsia="仿宋_GB2312" w:cs="Times New Roman"/>
          <w:color w:val="000000"/>
          <w:kern w:val="2"/>
          <w:sz w:val="32"/>
          <w:szCs w:val="32"/>
          <w:lang w:val="en-US" w:eastAsia="zh-CN" w:bidi="ar-SA"/>
        </w:rPr>
        <w:t>行政审批局人员编制数为</w:t>
      </w:r>
      <w:r>
        <w:rPr>
          <w:rFonts w:hint="eastAsia" w:ascii="仿宋_GB2312" w:eastAsia="仿宋_GB2312" w:cs="Times New Roman"/>
          <w:color w:val="000000"/>
          <w:kern w:val="2"/>
          <w:sz w:val="32"/>
          <w:szCs w:val="32"/>
          <w:lang w:val="en-US" w:eastAsia="zh-CN" w:bidi="ar-SA"/>
        </w:rPr>
        <w:t>19</w:t>
      </w:r>
      <w:r>
        <w:rPr>
          <w:rFonts w:hint="eastAsia" w:ascii="仿宋_GB2312" w:hAnsi="Times New Roman" w:eastAsia="仿宋_GB2312" w:cs="Times New Roman"/>
          <w:color w:val="000000"/>
          <w:kern w:val="2"/>
          <w:sz w:val="32"/>
          <w:szCs w:val="32"/>
          <w:lang w:val="en-US" w:eastAsia="zh-CN" w:bidi="ar-SA"/>
        </w:rPr>
        <w:t>人，年末在职20人</w:t>
      </w:r>
      <w:r>
        <w:rPr>
          <w:rFonts w:hint="eastAsia" w:ascii="仿宋_GB2312" w:eastAsia="仿宋_GB2312" w:cs="Times New Roman"/>
          <w:color w:val="000000"/>
          <w:kern w:val="2"/>
          <w:sz w:val="32"/>
          <w:szCs w:val="32"/>
          <w:lang w:val="en-US" w:eastAsia="zh-CN" w:bidi="ar-SA"/>
        </w:rPr>
        <w:t>（行政工勤1人编制未在我局）</w:t>
      </w:r>
      <w:r>
        <w:rPr>
          <w:rFonts w:hint="eastAsia" w:ascii="仿宋_GB2312" w:hAnsi="Times New Roman" w:eastAsia="仿宋_GB2312" w:cs="Times New Roman"/>
          <w:color w:val="000000"/>
          <w:kern w:val="2"/>
          <w:sz w:val="32"/>
          <w:szCs w:val="32"/>
          <w:lang w:val="en-US" w:eastAsia="zh-CN" w:bidi="ar-SA"/>
        </w:rPr>
        <w:t>。</w:t>
      </w:r>
    </w:p>
    <w:p>
      <w:pPr>
        <w:spacing w:line="360" w:lineRule="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二、预算编制</w:t>
      </w:r>
      <w:r>
        <w:rPr>
          <w:rFonts w:hint="eastAsia" w:ascii="仿宋_GB2312" w:hAnsi="仿宋_GB2312" w:eastAsia="仿宋_GB2312" w:cs="仿宋_GB2312"/>
          <w:b/>
          <w:bCs/>
          <w:kern w:val="0"/>
          <w:sz w:val="32"/>
          <w:szCs w:val="32"/>
          <w:lang w:val="en-US" w:eastAsia="zh-CN"/>
        </w:rPr>
        <w:t>及</w:t>
      </w:r>
      <w:r>
        <w:rPr>
          <w:rFonts w:hint="eastAsia" w:ascii="仿宋_GB2312" w:hAnsi="仿宋_GB2312" w:eastAsia="仿宋_GB2312" w:cs="仿宋_GB2312"/>
          <w:b/>
          <w:bCs/>
          <w:kern w:val="0"/>
          <w:sz w:val="32"/>
          <w:szCs w:val="32"/>
        </w:rPr>
        <w:t>执行情况</w:t>
      </w:r>
    </w:p>
    <w:p>
      <w:pPr>
        <w:spacing w:line="360" w:lineRule="auto"/>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年财政下达</w:t>
      </w:r>
      <w:r>
        <w:rPr>
          <w:rFonts w:hint="eastAsia" w:ascii="仿宋_GB2312" w:hAnsi="仿宋_GB2312" w:eastAsia="仿宋_GB2312" w:cs="仿宋_GB2312"/>
          <w:sz w:val="32"/>
          <w:szCs w:val="32"/>
          <w:lang w:eastAsia="zh-CN"/>
        </w:rPr>
        <w:t>壤塘县行政审批局</w:t>
      </w:r>
      <w:r>
        <w:rPr>
          <w:rFonts w:hint="eastAsia" w:ascii="仿宋_GB2312" w:hAnsi="仿宋_GB2312" w:eastAsia="仿宋_GB2312" w:cs="仿宋_GB2312"/>
          <w:sz w:val="32"/>
          <w:szCs w:val="32"/>
        </w:rPr>
        <w:t>年初预算收入</w:t>
      </w:r>
      <w:r>
        <w:rPr>
          <w:rFonts w:hint="eastAsia" w:ascii="仿宋_GB2312" w:hAnsi="仿宋_GB2312" w:eastAsia="仿宋_GB2312" w:cs="仿宋_GB2312"/>
          <w:sz w:val="32"/>
          <w:szCs w:val="32"/>
          <w:lang w:val="en-US" w:eastAsia="zh-CN"/>
        </w:rPr>
        <w:t>312.61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执行期间追加预算542.62万元</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年末实际收入855.23万元。</w:t>
      </w:r>
    </w:p>
    <w:p>
      <w:pPr>
        <w:spacing w:line="360" w:lineRule="auto"/>
        <w:ind w:firstLine="640" w:firstLineChars="200"/>
        <w:rPr>
          <w:rFonts w:hint="default" w:ascii="仿宋_GB2312" w:hAnsi="仿宋_GB2312" w:eastAsia="仿宋_GB2312" w:cs="仿宋_GB2312"/>
          <w:b w:val="0"/>
          <w:bCs w:val="0"/>
          <w:sz w:val="32"/>
          <w:szCs w:val="32"/>
          <w:lang w:val="en-US"/>
        </w:rPr>
      </w:pPr>
      <w:r>
        <w:rPr>
          <w:rFonts w:hint="eastAsia" w:ascii="仿宋_GB2312" w:hAnsi="仿宋_GB2312" w:eastAsia="仿宋_GB2312" w:cs="仿宋_GB2312"/>
          <w:b w:val="0"/>
          <w:bCs w:val="0"/>
          <w:sz w:val="32"/>
          <w:szCs w:val="32"/>
        </w:rPr>
        <w:t>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壤塘县行政审批局</w:t>
      </w:r>
      <w:r>
        <w:rPr>
          <w:rFonts w:hint="eastAsia" w:ascii="仿宋_GB2312" w:hAnsi="仿宋_GB2312" w:eastAsia="仿宋_GB2312" w:cs="仿宋_GB2312"/>
          <w:b w:val="0"/>
          <w:bCs w:val="0"/>
          <w:sz w:val="32"/>
          <w:szCs w:val="32"/>
          <w:lang w:val="en-US" w:eastAsia="zh-CN"/>
        </w:rPr>
        <w:t>总计</w:t>
      </w:r>
      <w:r>
        <w:rPr>
          <w:rFonts w:hint="eastAsia" w:ascii="仿宋_GB2312" w:hAnsi="仿宋_GB2312" w:eastAsia="仿宋_GB2312" w:cs="仿宋_GB2312"/>
          <w:b w:val="0"/>
          <w:bCs w:val="0"/>
          <w:sz w:val="32"/>
          <w:szCs w:val="32"/>
        </w:rPr>
        <w:t>支出</w:t>
      </w:r>
      <w:r>
        <w:rPr>
          <w:rFonts w:hint="eastAsia" w:ascii="仿宋_GB2312" w:hAnsi="仿宋_GB2312" w:eastAsia="仿宋_GB2312" w:cs="仿宋_GB2312"/>
          <w:b w:val="0"/>
          <w:bCs w:val="0"/>
          <w:sz w:val="32"/>
          <w:szCs w:val="32"/>
          <w:lang w:val="en-US" w:eastAsia="zh-CN"/>
        </w:rPr>
        <w:t>855.23</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eastAsia="zh-CN"/>
        </w:rPr>
        <w:t>其中</w:t>
      </w:r>
      <w:r>
        <w:rPr>
          <w:rFonts w:hint="eastAsia" w:ascii="仿宋_GB2312" w:hAnsi="仿宋_GB2312" w:eastAsia="仿宋_GB2312" w:cs="仿宋_GB2312"/>
          <w:b w:val="0"/>
          <w:bCs w:val="0"/>
          <w:sz w:val="32"/>
          <w:szCs w:val="32"/>
        </w:rPr>
        <w:t>基本支出</w:t>
      </w:r>
      <w:r>
        <w:rPr>
          <w:rFonts w:hint="eastAsia" w:ascii="仿宋_GB2312" w:hAnsi="仿宋_GB2312" w:eastAsia="仿宋_GB2312" w:cs="仿宋_GB2312"/>
          <w:b w:val="0"/>
          <w:bCs w:val="0"/>
          <w:sz w:val="32"/>
          <w:szCs w:val="32"/>
          <w:lang w:val="en-US" w:eastAsia="zh-CN"/>
        </w:rPr>
        <w:t>389.38</w:t>
      </w:r>
      <w:r>
        <w:rPr>
          <w:rFonts w:hint="eastAsia" w:ascii="仿宋_GB2312" w:hAnsi="仿宋_GB2312" w:eastAsia="仿宋_GB2312" w:cs="仿宋_GB2312"/>
          <w:b w:val="0"/>
          <w:bCs w:val="0"/>
          <w:sz w:val="32"/>
          <w:szCs w:val="32"/>
        </w:rPr>
        <w:t>万元，项目支出</w:t>
      </w:r>
      <w:r>
        <w:rPr>
          <w:rFonts w:hint="eastAsia" w:ascii="仿宋_GB2312" w:hAnsi="仿宋_GB2312" w:eastAsia="仿宋_GB2312" w:cs="仿宋_GB2312"/>
          <w:b w:val="0"/>
          <w:bCs w:val="0"/>
          <w:sz w:val="32"/>
          <w:szCs w:val="32"/>
          <w:lang w:val="en-US" w:eastAsia="zh-CN"/>
        </w:rPr>
        <w:t>465.85</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年末无结转和结余资金。</w:t>
      </w:r>
    </w:p>
    <w:p>
      <w:pPr>
        <w:spacing w:line="360" w:lineRule="auto"/>
        <w:rPr>
          <w:rFonts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三、部门管理情况</w:t>
      </w:r>
    </w:p>
    <w:p>
      <w:pPr>
        <w:widowControl w:val="0"/>
        <w:spacing w:line="360" w:lineRule="auto"/>
        <w:ind w:firstLine="642" w:firstLineChars="200"/>
        <w:jc w:val="both"/>
        <w:rPr>
          <w:rFonts w:ascii="Calibri" w:hAnsi="Calibri" w:eastAsia="宋体" w:cs="Times New Roman"/>
          <w:kern w:val="2"/>
          <w:sz w:val="21"/>
          <w:szCs w:val="22"/>
          <w:lang w:val="en-US" w:eastAsia="zh-CN" w:bidi="ar-SA"/>
        </w:rPr>
      </w:pPr>
      <w:r>
        <w:rPr>
          <w:rFonts w:hint="eastAsia" w:ascii="仿宋_GB2312" w:hAnsi="仿宋_GB2312" w:eastAsia="仿宋_GB2312" w:cs="仿宋_GB2312"/>
          <w:b/>
          <w:bCs/>
          <w:kern w:val="0"/>
          <w:sz w:val="32"/>
          <w:szCs w:val="32"/>
          <w:lang w:val="en-US" w:eastAsia="zh-CN" w:bidi="ar-SA"/>
        </w:rPr>
        <w:t>（一）基础管理</w:t>
      </w:r>
    </w:p>
    <w:p>
      <w:pPr>
        <w:widowControl w:val="0"/>
        <w:spacing w:line="360" w:lineRule="auto"/>
        <w:ind w:firstLine="642" w:firstLineChars="200"/>
        <w:jc w:val="both"/>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1、制度建立健全</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壤塘县行政审批局根据财政部颁布《行政单位内部控制规范》、《关于全部推进行政单位内部控制建设的指导意见》文件要求等法律法规及规章制度规定，结合单位实际情况，在对单位主要经济活动及业务流程梳理分析的基础上，初步建立覆盖本单位经济活动的内部控制体系，形成一系列的内部管理制度。主要包括有值班管理制度、档案管理制度、印章管理制度、会计核算管理制度、厉行节约管理措施、内部财务管理制度、预算资金管理办法等内部管理制度；以上相关管理制度合法、合规、完整，均得到了有效执行。</w:t>
      </w:r>
    </w:p>
    <w:p>
      <w:pPr>
        <w:widowControl w:val="0"/>
        <w:spacing w:line="360" w:lineRule="auto"/>
        <w:ind w:left="420" w:leftChars="200" w:firstLine="0" w:firstLineChars="0"/>
        <w:jc w:val="both"/>
        <w:rPr>
          <w:rFonts w:hint="eastAsia"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2、财务管理以及资金使用合规性</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壤塘县行政审批局</w:t>
      </w:r>
      <w:r>
        <w:rPr>
          <w:rFonts w:hint="eastAsia" w:ascii="仿宋_GB2312" w:hAnsi="仿宋_GB2312" w:eastAsia="仿宋_GB2312" w:cs="仿宋_GB2312"/>
          <w:sz w:val="32"/>
          <w:szCs w:val="32"/>
        </w:rPr>
        <w:t>本年度收到</w:t>
      </w:r>
      <w:r>
        <w:rPr>
          <w:rFonts w:hint="eastAsia" w:ascii="仿宋_GB2312" w:hAnsi="仿宋_GB2312" w:eastAsia="仿宋_GB2312" w:cs="仿宋_GB2312"/>
          <w:sz w:val="32"/>
          <w:szCs w:val="32"/>
          <w:lang w:val="en-US" w:eastAsia="zh-CN"/>
        </w:rPr>
        <w:t>财政</w:t>
      </w:r>
      <w:r>
        <w:rPr>
          <w:rFonts w:hint="eastAsia" w:ascii="仿宋_GB2312" w:hAnsi="仿宋_GB2312" w:eastAsia="仿宋_GB2312" w:cs="仿宋_GB2312"/>
          <w:sz w:val="32"/>
          <w:szCs w:val="32"/>
        </w:rPr>
        <w:t>预算资金</w:t>
      </w:r>
      <w:r>
        <w:rPr>
          <w:rFonts w:hint="eastAsia" w:ascii="仿宋_GB2312" w:hAnsi="仿宋_GB2312" w:eastAsia="仿宋_GB2312" w:cs="仿宋_GB2312"/>
          <w:sz w:val="32"/>
          <w:szCs w:val="32"/>
          <w:lang w:val="en-US" w:eastAsia="zh-CN"/>
        </w:rPr>
        <w:t>855.23</w:t>
      </w:r>
      <w:r>
        <w:rPr>
          <w:rFonts w:hint="eastAsia" w:ascii="仿宋_GB2312" w:hAnsi="仿宋_GB2312" w:eastAsia="仿宋_GB2312" w:cs="仿宋_GB2312"/>
          <w:sz w:val="32"/>
          <w:szCs w:val="32"/>
        </w:rPr>
        <w:t>万元，实际使用</w:t>
      </w:r>
      <w:r>
        <w:rPr>
          <w:rFonts w:hint="eastAsia" w:ascii="仿宋_GB2312" w:hAnsi="仿宋_GB2312" w:eastAsia="仿宋_GB2312" w:cs="仿宋_GB2312"/>
          <w:sz w:val="32"/>
          <w:szCs w:val="32"/>
          <w:lang w:val="en-US" w:eastAsia="zh-CN"/>
        </w:rPr>
        <w:t>855.23</w:t>
      </w:r>
      <w:r>
        <w:rPr>
          <w:rFonts w:hint="eastAsia" w:ascii="仿宋_GB2312" w:hAnsi="仿宋_GB2312" w:eastAsia="仿宋_GB2312" w:cs="仿宋_GB2312"/>
          <w:sz w:val="32"/>
          <w:szCs w:val="32"/>
        </w:rPr>
        <w:t>万元。资金使用过程中严格按照单位财务管理制度要求执行，资金使用的合规性体现在：</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1.所有经费开支坚持财务审批制度，重大资金支出（日常公用经费在2万元及以上）由</w:t>
      </w:r>
      <w:r>
        <w:rPr>
          <w:rFonts w:hint="eastAsia" w:ascii="仿宋_GB2312" w:hAnsi="仿宋_GB2312" w:eastAsia="仿宋_GB2312" w:cs="仿宋_GB2312"/>
          <w:sz w:val="32"/>
          <w:szCs w:val="32"/>
          <w:lang w:val="en-US" w:eastAsia="zh-CN"/>
        </w:rPr>
        <w:t>单位内部开</w:t>
      </w:r>
      <w:r>
        <w:rPr>
          <w:rFonts w:hint="eastAsia" w:ascii="仿宋_GB2312" w:hAnsi="仿宋_GB2312" w:eastAsia="仿宋_GB2312" w:cs="仿宋_GB2312"/>
          <w:sz w:val="32"/>
          <w:szCs w:val="32"/>
        </w:rPr>
        <w:t>会研究决定。</w:t>
      </w:r>
    </w:p>
    <w:p>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2.在报销经费时，经办人使用统一规范的审批单，在审批单上写明用途、经办人员、</w:t>
      </w:r>
      <w:r>
        <w:rPr>
          <w:rFonts w:hint="eastAsia" w:ascii="仿宋_GB2312" w:hAnsi="仿宋_GB2312" w:eastAsia="仿宋_GB2312" w:cs="仿宋_GB2312"/>
          <w:sz w:val="32"/>
          <w:szCs w:val="32"/>
          <w:lang w:val="en-US" w:eastAsia="zh-CN"/>
        </w:rPr>
        <w:t>财务负</w:t>
      </w:r>
      <w:r>
        <w:rPr>
          <w:rFonts w:hint="eastAsia" w:ascii="仿宋_GB2312" w:hAnsi="仿宋_GB2312" w:eastAsia="仿宋_GB2312" w:cs="仿宋_GB2312"/>
          <w:sz w:val="32"/>
          <w:szCs w:val="32"/>
        </w:rPr>
        <w:t>责人、金额、报销日期、单据张数等内容。</w:t>
      </w:r>
    </w:p>
    <w:p>
      <w:pPr>
        <w:widowControl w:val="0"/>
        <w:spacing w:line="360" w:lineRule="auto"/>
        <w:ind w:firstLine="642" w:firstLineChars="200"/>
        <w:jc w:val="both"/>
        <w:rPr>
          <w:rFonts w:hint="default"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3、财务监督监控</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财务人员负责单位内控评价与监督工作，具体职责如下：负责制定单位内部控制监督评价相关制度；负责制订内部控制评价方案；负责组织对单位年度内部控制工作自评工作；负责对本单位风险管理工作的实施情况和有效性进行监督和检查；负责对各个部门各业务流程的执行情况进行监督和检查；</w:t>
      </w:r>
    </w:p>
    <w:p>
      <w:pPr>
        <w:widowControl w:val="0"/>
        <w:spacing w:line="360" w:lineRule="auto"/>
        <w:ind w:firstLine="420" w:firstLineChars="200"/>
        <w:jc w:val="both"/>
        <w:rPr>
          <w:rFonts w:hint="eastAsia" w:ascii="Calibri" w:hAnsi="Calibri" w:eastAsia="宋体" w:cs="Times New Roman"/>
          <w:kern w:val="2"/>
          <w:sz w:val="21"/>
          <w:szCs w:val="22"/>
          <w:lang w:val="en-US" w:eastAsia="zh-CN" w:bidi="ar-SA"/>
        </w:rPr>
      </w:pPr>
    </w:p>
    <w:p>
      <w:pPr>
        <w:widowControl w:val="0"/>
        <w:spacing w:line="360" w:lineRule="auto"/>
        <w:ind w:firstLine="642" w:firstLineChars="200"/>
        <w:jc w:val="both"/>
        <w:rPr>
          <w:rFonts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0"/>
          <w:sz w:val="32"/>
          <w:szCs w:val="32"/>
          <w:lang w:val="en-US" w:eastAsia="zh-CN" w:bidi="ar-SA"/>
        </w:rPr>
        <w:t>（二）行政成本</w:t>
      </w:r>
    </w:p>
    <w:p>
      <w:pPr>
        <w:widowControl w:val="0"/>
        <w:spacing w:line="360" w:lineRule="auto"/>
        <w:ind w:firstLine="640" w:firstLineChars="200"/>
        <w:jc w:val="both"/>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公”经费控制。壤塘县行政审批局2021年“三公”经费预算8.74万元，决算支出8.74万元。其中公务用车购置及运行维护费预算8.74万元，决算支出8.74万元（均为公务用车运行维护费），公务接待费0万元，决算0万元，2021年“三公”经费决算均未超过预算。</w:t>
      </w:r>
    </w:p>
    <w:p>
      <w:pPr>
        <w:widowControl w:val="0"/>
        <w:spacing w:line="360" w:lineRule="auto"/>
        <w:ind w:firstLine="642" w:firstLineChars="20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（三）政府采购</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壤塘县行政审批局</w:t>
      </w:r>
      <w:r>
        <w:rPr>
          <w:rFonts w:hint="eastAsia" w:ascii="仿宋_GB2312" w:hAnsi="仿宋_GB2312" w:eastAsia="仿宋_GB2312" w:cs="仿宋_GB2312"/>
          <w:sz w:val="32"/>
          <w:szCs w:val="32"/>
        </w:rPr>
        <w:t>政府采购</w:t>
      </w:r>
      <w:r>
        <w:rPr>
          <w:rFonts w:hint="eastAsia" w:ascii="仿宋_GB2312" w:hAnsi="仿宋_GB2312" w:eastAsia="仿宋_GB2312" w:cs="仿宋_GB2312"/>
          <w:sz w:val="32"/>
          <w:szCs w:val="32"/>
          <w:lang w:val="en-US" w:eastAsia="zh-CN"/>
        </w:rPr>
        <w:t>支出总计176.44万元，其中采购货物支出127.44万元，采购服务支出49万元，授予中小企业合同总金额176.44万元</w:t>
      </w:r>
      <w:r>
        <w:rPr>
          <w:rFonts w:hint="eastAsia" w:ascii="仿宋_GB2312" w:hAnsi="仿宋_GB2312" w:eastAsia="仿宋_GB2312" w:cs="仿宋_GB2312"/>
          <w:sz w:val="32"/>
          <w:szCs w:val="32"/>
        </w:rPr>
        <w:t>。</w:t>
      </w:r>
    </w:p>
    <w:p>
      <w:pPr>
        <w:numPr>
          <w:ilvl w:val="0"/>
          <w:numId w:val="8"/>
        </w:numPr>
        <w:snapToGrid w:val="0"/>
        <w:spacing w:line="360" w:lineRule="auto"/>
        <w:ind w:firstLine="642" w:firstLineChars="200"/>
        <w:rPr>
          <w:rFonts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 xml:space="preserve">资产管理 </w:t>
      </w:r>
      <w:r>
        <w:rPr>
          <w:rFonts w:hint="eastAsia" w:ascii="仿宋_GB2312" w:hAnsi="仿宋_GB2312" w:eastAsia="仿宋_GB2312" w:cs="仿宋_GB2312"/>
          <w:b/>
          <w:bCs/>
          <w:sz w:val="32"/>
          <w:szCs w:val="32"/>
        </w:rPr>
        <w:t xml:space="preserve"> </w:t>
      </w:r>
    </w:p>
    <w:p>
      <w:pPr>
        <w:snapToGrid w:val="0"/>
        <w:spacing w:line="360" w:lineRule="auto"/>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固定资产在用率。截止</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壤塘县行政审批局</w:t>
      </w:r>
      <w:r>
        <w:rPr>
          <w:rFonts w:hint="eastAsia" w:ascii="仿宋_GB2312" w:hAnsi="仿宋_GB2312" w:eastAsia="仿宋_GB2312" w:cs="仿宋_GB2312"/>
          <w:sz w:val="32"/>
          <w:szCs w:val="32"/>
        </w:rPr>
        <w:t>《行政单位资产管理系统》固定资产总计</w:t>
      </w:r>
      <w:r>
        <w:rPr>
          <w:rFonts w:hint="eastAsia" w:ascii="仿宋_GB2312" w:hAnsi="仿宋_GB2312" w:eastAsia="仿宋_GB2312" w:cs="仿宋_GB2312"/>
          <w:sz w:val="32"/>
          <w:szCs w:val="32"/>
          <w:lang w:val="en-US" w:eastAsia="zh-CN"/>
        </w:rPr>
        <w:t>97.45</w:t>
      </w:r>
      <w:r>
        <w:rPr>
          <w:rFonts w:hint="eastAsia" w:ascii="仿宋_GB2312" w:hAnsi="仿宋_GB2312" w:eastAsia="仿宋_GB2312" w:cs="仿宋_GB2312"/>
          <w:sz w:val="32"/>
          <w:szCs w:val="32"/>
        </w:rPr>
        <w:t>万元，在用的固定资产总计</w:t>
      </w:r>
      <w:r>
        <w:rPr>
          <w:rFonts w:hint="eastAsia" w:ascii="仿宋_GB2312" w:hAnsi="仿宋_GB2312" w:eastAsia="仿宋_GB2312" w:cs="仿宋_GB2312"/>
          <w:sz w:val="32"/>
          <w:szCs w:val="32"/>
          <w:lang w:val="en-US" w:eastAsia="zh-CN"/>
        </w:rPr>
        <w:t>97.45</w:t>
      </w:r>
      <w:r>
        <w:rPr>
          <w:rFonts w:hint="eastAsia" w:ascii="仿宋_GB2312" w:hAnsi="仿宋_GB2312" w:eastAsia="仿宋_GB2312" w:cs="仿宋_GB2312"/>
          <w:sz w:val="32"/>
          <w:szCs w:val="32"/>
        </w:rPr>
        <w:t>万元，固定资产在用率达100%。</w:t>
      </w:r>
    </w:p>
    <w:p>
      <w:pPr>
        <w:widowControl w:val="0"/>
        <w:spacing w:line="360" w:lineRule="auto"/>
        <w:ind w:left="420" w:leftChars="200"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（五）信息公开</w:t>
      </w:r>
    </w:p>
    <w:p>
      <w:pPr>
        <w:widowControl w:val="0"/>
        <w:spacing w:line="360" w:lineRule="auto"/>
        <w:ind w:firstLine="640" w:firstLineChars="200"/>
        <w:jc w:val="both"/>
        <w:rPr>
          <w:rFonts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信息公开。壤塘县行政审批局已经按财政要求及时完成预算、决算、绩效等信息公开工作，信息公开在壤塘县人民政府门户网站中。</w:t>
      </w:r>
    </w:p>
    <w:p>
      <w:pPr>
        <w:widowControl w:val="0"/>
        <w:spacing w:line="360" w:lineRule="auto"/>
        <w:ind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四、部门履职效能</w:t>
      </w:r>
    </w:p>
    <w:p>
      <w:pPr>
        <w:widowControl w:val="0"/>
        <w:spacing w:line="360" w:lineRule="auto"/>
        <w:ind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kern w:val="0"/>
          <w:sz w:val="32"/>
          <w:szCs w:val="32"/>
          <w:lang w:val="en-US" w:eastAsia="zh-CN" w:bidi="ar-SA"/>
        </w:rPr>
        <w:t xml:space="preserve">   </w:t>
      </w:r>
      <w:r>
        <w:rPr>
          <w:rFonts w:hint="eastAsia" w:ascii="仿宋_GB2312" w:hAnsi="仿宋_GB2312" w:eastAsia="仿宋_GB2312" w:cs="仿宋_GB2312"/>
          <w:b/>
          <w:bCs/>
          <w:kern w:val="0"/>
          <w:sz w:val="32"/>
          <w:szCs w:val="32"/>
          <w:lang w:val="en-US" w:eastAsia="zh-CN" w:bidi="ar-SA"/>
        </w:rPr>
        <w:t>（一）部门履职的年度总体目标</w:t>
      </w:r>
    </w:p>
    <w:p>
      <w:pPr>
        <w:spacing w:line="560" w:lineRule="exact"/>
        <w:ind w:firstLine="642" w:firstLineChars="200"/>
        <w:rPr>
          <w:rFonts w:hint="eastAsia" w:ascii="仿宋_GB2312" w:hAnsi="Calibri" w:eastAsia="仿宋_GB2312" w:cs="Times New Roman"/>
          <w:b/>
          <w:bCs/>
          <w:sz w:val="32"/>
          <w:szCs w:val="32"/>
        </w:rPr>
      </w:pPr>
      <w:r>
        <w:rPr>
          <w:rFonts w:hint="eastAsia" w:ascii="楷体_GB2312" w:hAnsi="Calibri" w:eastAsia="楷体_GB2312" w:cs="Times New Roman"/>
          <w:b/>
          <w:bCs/>
          <w:sz w:val="32"/>
          <w:szCs w:val="32"/>
        </w:rPr>
        <w:t xml:space="preserve"> </w:t>
      </w:r>
      <w:r>
        <w:rPr>
          <w:rFonts w:hint="eastAsia" w:ascii="仿宋_GB2312" w:hAnsi="Calibri" w:eastAsia="仿宋_GB2312" w:cs="Times New Roman"/>
          <w:b/>
          <w:bCs/>
          <w:sz w:val="32"/>
          <w:szCs w:val="32"/>
        </w:rPr>
        <w:t>1.坚持党建引领，提高政治站位。</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一是</w:t>
      </w:r>
      <w:r>
        <w:rPr>
          <w:rFonts w:hint="eastAsia" w:ascii="仿宋_GB2312" w:hAnsi="Calibri" w:eastAsia="仿宋_GB2312" w:cs="Times New Roman"/>
          <w:sz w:val="32"/>
          <w:szCs w:val="32"/>
        </w:rPr>
        <w:t>建立学习教育机制。以持续推动学习教育常态化、制度化为载体，健全党组书记讲党课、党组理论学习中心组学习、党支部集中学习和党员干部自主学习制度，做到学习有目标、有计划、有特色、有检查，不断提升学习的针对性和实效性。集中学习15次。</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规范组织生活，打造支部战斗堡垒，先后3次到联系乡镇开展党建结对活动，积极组织开展“奋斗百年路·启航新征程”“高举党旗跟党走·百年党史寻初心--我和党旗合影”等主题党日12次。</w:t>
      </w:r>
      <w:r>
        <w:rPr>
          <w:rFonts w:hint="eastAsia" w:ascii="仿宋_GB2312" w:hAnsi="Calibri" w:eastAsia="仿宋_GB2312" w:cs="Times New Roman"/>
          <w:b/>
          <w:bCs/>
          <w:sz w:val="32"/>
          <w:szCs w:val="32"/>
        </w:rPr>
        <w:t>三是</w:t>
      </w:r>
      <w:r>
        <w:rPr>
          <w:rFonts w:hint="eastAsia" w:ascii="仿宋_GB2312" w:hAnsi="Calibri" w:eastAsia="仿宋_GB2312" w:cs="Times New Roman"/>
          <w:sz w:val="32"/>
          <w:szCs w:val="32"/>
        </w:rPr>
        <w:t>发挥党员干部示范引领作用，开拓工作新思路，把党建工作融汇于审批局工作的各个环节，最大限度地调动干部职工工作积极性。从业务特点和工作实际出发，组织开展丰富多彩的党建活动，培树先进典型，用身边典型感化身边人，并开展系列评选活动。今年以来，共评选出“党员示范岗”12名、“服务明星”12名、“明星窗口”8个。</w:t>
      </w:r>
    </w:p>
    <w:p>
      <w:pPr>
        <w:spacing w:line="560" w:lineRule="exact"/>
        <w:ind w:firstLine="642" w:firstLineChars="200"/>
        <w:rPr>
          <w:rFonts w:hint="eastAsia" w:ascii="仿宋_GB2312" w:hAnsi="Calibri" w:eastAsia="仿宋_GB2312" w:cs="Times New Roman"/>
          <w:b/>
          <w:bCs/>
          <w:sz w:val="32"/>
          <w:szCs w:val="32"/>
        </w:rPr>
      </w:pPr>
      <w:r>
        <w:rPr>
          <w:rFonts w:hint="eastAsia" w:ascii="仿宋_GB2312" w:hAnsi="Calibri" w:eastAsia="仿宋_GB2312" w:cs="Times New Roman"/>
          <w:b/>
          <w:bCs/>
          <w:sz w:val="32"/>
          <w:szCs w:val="32"/>
        </w:rPr>
        <w:t>2.持续开展作风整治，加强党风廉政建设。</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一是</w:t>
      </w:r>
      <w:r>
        <w:rPr>
          <w:rFonts w:hint="eastAsia" w:ascii="仿宋_GB2312" w:hAnsi="Calibri" w:eastAsia="仿宋_GB2312" w:cs="Times New Roman"/>
          <w:sz w:val="32"/>
          <w:szCs w:val="32"/>
        </w:rPr>
        <w:t>强化组织建设。严格落实主体责任，制定全年党建工作计划，明确工作重点和责任分工，定期听取党建工作汇报并研究解决审批工作中重点难点问题；持续深入开展教育学习常态化制度化建设，推动班子成员作风转变和能力提升。</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深化正风肃纪，持续推进制度规范化建设。政务服务大厅开展不间断纪律巡查，结合视频监控巡检和现场突击检查，强化问题发现机制，修订完善《考勤制度》《大厅巡查制度》《政务服务月通报制度》《窗口工作人员绩效考核办法》等制度，开展选先评优活动，管奖结合，优化行风政风。</w:t>
      </w:r>
    </w:p>
    <w:p>
      <w:pPr>
        <w:spacing w:line="560" w:lineRule="exact"/>
        <w:ind w:firstLine="642" w:firstLineChars="200"/>
        <w:rPr>
          <w:rFonts w:hint="eastAsia" w:ascii="仿宋_GB2312" w:hAnsi="Calibri" w:eastAsia="仿宋_GB2312" w:cs="Times New Roman"/>
          <w:b/>
          <w:bCs/>
          <w:sz w:val="32"/>
          <w:szCs w:val="32"/>
        </w:rPr>
      </w:pPr>
      <w:r>
        <w:rPr>
          <w:rFonts w:hint="eastAsia" w:ascii="仿宋_GB2312" w:hAnsi="Calibri" w:eastAsia="仿宋_GB2312" w:cs="Times New Roman"/>
          <w:b/>
          <w:bCs/>
          <w:sz w:val="32"/>
          <w:szCs w:val="32"/>
        </w:rPr>
        <w:t>3.结合党史教育，秉持为民情怀，访民意办实事。</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一是</w:t>
      </w:r>
      <w:r>
        <w:rPr>
          <w:rFonts w:hint="eastAsia" w:ascii="仿宋_GB2312" w:hAnsi="Calibri" w:eastAsia="仿宋_GB2312" w:cs="Times New Roman"/>
          <w:sz w:val="32"/>
          <w:szCs w:val="32"/>
        </w:rPr>
        <w:t>结合党史教育，组织开展特色鲜明、形式多样的学习教育活动。组织县政务大厅全体工作人员到红色基地参观，邀请党校专业讲师进行现场讲解。以开展书法比赛、演讲比赛、知识竞赛、观看微视频党课形式普及党史知识，推动党史学习教育深入群众、深入基层、深入人心。</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以我为群众办实事为契机，谋划产业发展，助力乡村振兴。先后投入资金9100元，无偿为种植户提供莲花白种子和肥料，并协调解决化肥10吨，网围栏1000米，组织专业技术人员解决种植管理技术难题，亩产60000斤，实现产业收入，帮助农牧民群众拓宽致富增收渠道。</w:t>
      </w:r>
      <w:r>
        <w:rPr>
          <w:rFonts w:hint="eastAsia" w:ascii="仿宋_GB2312" w:hAnsi="Calibri" w:eastAsia="仿宋_GB2312" w:cs="Times New Roman"/>
          <w:b/>
          <w:bCs/>
          <w:sz w:val="32"/>
          <w:szCs w:val="32"/>
        </w:rPr>
        <w:t>三是</w:t>
      </w:r>
      <w:r>
        <w:rPr>
          <w:rFonts w:hint="eastAsia" w:ascii="仿宋_GB2312" w:hAnsi="Calibri" w:eastAsia="仿宋_GB2312" w:cs="Times New Roman"/>
          <w:sz w:val="32"/>
          <w:szCs w:val="32"/>
        </w:rPr>
        <w:t>解决帮扶村上大石沟村阿泽拉藏寨村民饮水问题，与村两委积极申报项目，将饮水问题纳入今年饮水安全实施计划，目前项目正在实施。三是协助新成立的村两委明确责任分工，加强班子建设，指导规划年度乡村振兴实施方案，推动脱贫攻坚和乡村振兴有效衔接。</w:t>
      </w:r>
    </w:p>
    <w:p>
      <w:pPr>
        <w:spacing w:line="560" w:lineRule="exact"/>
        <w:ind w:firstLine="642" w:firstLineChars="200"/>
        <w:rPr>
          <w:rFonts w:hint="eastAsia" w:ascii="楷体_GB2312" w:hAnsi="Calibri" w:eastAsia="楷体_GB2312" w:cs="Times New Roman"/>
          <w:b/>
          <w:bCs/>
          <w:sz w:val="32"/>
          <w:szCs w:val="32"/>
        </w:rPr>
      </w:pPr>
      <w:r>
        <w:rPr>
          <w:rFonts w:hint="eastAsia" w:ascii="楷体_GB2312" w:hAnsi="Calibri" w:eastAsia="楷体_GB2312" w:cs="Times New Roman"/>
          <w:b/>
          <w:bCs/>
          <w:sz w:val="32"/>
          <w:szCs w:val="32"/>
        </w:rPr>
        <w:t>（二）聚焦简政放权，不断释放改革活力。</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1.全面清理行政权力，进一步厘清权责关系。</w:t>
      </w:r>
      <w:r>
        <w:rPr>
          <w:rFonts w:hint="eastAsia" w:ascii="仿宋_GB2312" w:hAnsi="Calibri" w:eastAsia="仿宋_GB2312" w:cs="Times New Roman"/>
          <w:sz w:val="32"/>
          <w:szCs w:val="32"/>
        </w:rPr>
        <w:t>梳理形成了《壤塘县行政权力清单目录（2020年本）》《壤塘县公共服务事项清单》《壤塘县行政审批局拟相对集中行使行政权力事项清单》《壤塘县拟下放乡镇行政权力事项清单》《壤塘县乡镇属地事项责任清单目录（2020年本）》《壤塘县县、乡、村“一件事、一次办”清单》《壤塘县“就近办”事项清单目录（第一批）》等17张清单。梳理完善县、乡、村“一件事、一次办”清单56项，实现权利瘦身和权利透明。</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2.进一步优化审批方式和审批流程。一是</w:t>
      </w:r>
      <w:r>
        <w:rPr>
          <w:rFonts w:hint="eastAsia" w:ascii="仿宋_GB2312" w:hAnsi="Calibri" w:eastAsia="仿宋_GB2312" w:cs="Times New Roman"/>
          <w:sz w:val="32"/>
          <w:szCs w:val="32"/>
        </w:rPr>
        <w:t>建立“综合窗口”、“办不成事专窗”、“川渝通办”、“省内通办”、“一件事一次办”等窗口，开展无差别“前台一窗综合受理、后台分类审批、统一窗口出件”工作，率先在全州针对跨部门事项统一制定一张审请表、藏汉双语办事指南，实现事项一窗受理、一表申请、一次告知。截至目前，县政务服务大厅窗口单位共受理业务201850件，办结201850件，按时办结率100%。各乡（镇）人民政府便民服务中心共受理业务144402件，办结144402件，按时办结率为100%。</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持续推动“三集中、三到位”，入驻部门增加到27个，完成了水、电、信的一体化平台账号注册，入驻县政务大厅，基本做到事项进驻、窗口授权、人员配备“三到位”，大厅一站式不断提升。</w:t>
      </w:r>
      <w:r>
        <w:rPr>
          <w:rFonts w:hint="eastAsia" w:ascii="仿宋_GB2312" w:hAnsi="Calibri" w:eastAsia="仿宋_GB2312" w:cs="Times New Roman"/>
          <w:b/>
          <w:bCs/>
          <w:sz w:val="32"/>
          <w:szCs w:val="32"/>
        </w:rPr>
        <w:t>四是</w:t>
      </w:r>
      <w:r>
        <w:rPr>
          <w:rFonts w:hint="eastAsia" w:ascii="仿宋_GB2312" w:hAnsi="Calibri" w:eastAsia="仿宋_GB2312" w:cs="Times New Roman"/>
          <w:sz w:val="32"/>
          <w:szCs w:val="32"/>
        </w:rPr>
        <w:t>加快工程建设项目审批制度改革，在县政务大厅设置工程项目审批综合窗口，精简审批服务事项和申报资料，优化流程，事项办理时限压缩60%以上。自今年以来，全县工程审批申报总量为357件，办理总量为365件，办结数量为297件。</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3.推进“一网通办”前提下“最多跑一次”改革，提升网上政务服务能力。一是</w:t>
      </w:r>
      <w:r>
        <w:rPr>
          <w:rFonts w:hint="eastAsia" w:ascii="仿宋_GB2312" w:hAnsi="Calibri" w:eastAsia="仿宋_GB2312" w:cs="Times New Roman"/>
          <w:sz w:val="32"/>
          <w:szCs w:val="32"/>
        </w:rPr>
        <w:t>完成了县乡村三级7616项行政权力和公共服务事项在一体化平台的认领编辑发布，完成了“一件事一次办”事项的认领配置，办件覆盖率99.56%，网上受理率87.92%，按时办结率100%，最多跑一次率均达100%，全程网办率99.96%，材料减免率64.03%，办理时限压缩至91.70%，即办件比例71.73%，万人办录件数、“好差评”主动评价率从去年年初的全州倒数跃至全州前列。</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大力推行“天府通办”APP下载。</w:t>
      </w:r>
      <w:r>
        <w:rPr>
          <w:rFonts w:hint="eastAsia" w:ascii="仿宋_GB2312" w:hAnsi="Calibri" w:eastAsia="仿宋_GB2312" w:cs="Times New Roman"/>
          <w:color w:val="auto"/>
          <w:sz w:val="32"/>
          <w:szCs w:val="32"/>
        </w:rPr>
        <w:t>截</w:t>
      </w:r>
      <w:r>
        <w:rPr>
          <w:rFonts w:hint="eastAsia" w:ascii="仿宋_GB2312" w:hAnsi="Calibri" w:eastAsia="仿宋_GB2312" w:cs="Times New Roman"/>
          <w:color w:val="auto"/>
          <w:sz w:val="32"/>
          <w:szCs w:val="32"/>
          <w:lang w:eastAsia="zh-CN"/>
        </w:rPr>
        <w:t>至</w:t>
      </w:r>
      <w:r>
        <w:rPr>
          <w:rFonts w:hint="eastAsia" w:ascii="仿宋_GB2312" w:hAnsi="Calibri" w:eastAsia="仿宋_GB2312" w:cs="Times New Roman"/>
          <w:color w:val="auto"/>
          <w:sz w:val="32"/>
          <w:szCs w:val="32"/>
        </w:rPr>
        <w:t>目前，</w:t>
      </w:r>
      <w:r>
        <w:rPr>
          <w:rFonts w:hint="eastAsia" w:ascii="仿宋_GB2312" w:hAnsi="Calibri" w:eastAsia="仿宋_GB2312" w:cs="Times New Roman"/>
          <w:sz w:val="32"/>
          <w:szCs w:val="32"/>
        </w:rPr>
        <w:t>全县天府通办下载注册人数达到18811人，占户籍总人数的43%，法人注册用户415户，财政供养人员全覆盖。</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4.推进两项改革“后半篇”文章，抓好“三化”建设省级试点。一是</w:t>
      </w:r>
      <w:r>
        <w:rPr>
          <w:rFonts w:hint="eastAsia" w:ascii="仿宋_GB2312" w:hAnsi="Calibri" w:eastAsia="仿宋_GB2312" w:cs="Times New Roman"/>
          <w:sz w:val="32"/>
          <w:szCs w:val="32"/>
        </w:rPr>
        <w:t>搭建好便民服务平台，建成“1+11+53+9”的基层便民服务体系，实现便民服务横向到底、纵向到边。</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规范好便民服务事项，完成了乡镇“三张”清单梳理完善工作，分两批下放乡镇行政权力和公共服务事项84项，属地事项109项，梳理完善镇村“一件事、一次办”事项25项，帮办代办事项24项。</w:t>
      </w:r>
      <w:r>
        <w:rPr>
          <w:rFonts w:hint="eastAsia" w:ascii="仿宋_GB2312" w:hAnsi="Calibri" w:eastAsia="仿宋_GB2312" w:cs="Times New Roman"/>
          <w:b/>
          <w:bCs/>
          <w:sz w:val="32"/>
          <w:szCs w:val="32"/>
        </w:rPr>
        <w:t>三是</w:t>
      </w:r>
      <w:r>
        <w:rPr>
          <w:rFonts w:hint="eastAsia" w:ascii="仿宋_GB2312" w:hAnsi="Calibri" w:eastAsia="仿宋_GB2312" w:cs="Times New Roman"/>
          <w:sz w:val="32"/>
          <w:szCs w:val="32"/>
        </w:rPr>
        <w:t>完善好便民服务机制，全县各乡镇均配置专职事业编制副科级中心主任，统一设置7个综合窗口，统一启用审批专用章，完成53个便民服务室（点）的窗口规范化设置工作。四是建立便民服务制度，建立健全首问责任制等各项日常制度；落实代办人员231人，完善全程帮办代办、特殊困难群体上门服务、县乡村协同办理等服务机制，逐步实现便民服务小事不出村、大事不出乡。</w:t>
      </w:r>
    </w:p>
    <w:p>
      <w:pPr>
        <w:spacing w:line="560" w:lineRule="exact"/>
        <w:ind w:firstLine="642" w:firstLineChars="200"/>
        <w:rPr>
          <w:rFonts w:hint="eastAsia" w:ascii="楷体_GB2312" w:hAnsi="Calibri" w:eastAsia="楷体_GB2312" w:cs="Times New Roman"/>
          <w:b/>
          <w:bCs/>
          <w:sz w:val="32"/>
          <w:szCs w:val="32"/>
        </w:rPr>
      </w:pPr>
      <w:r>
        <w:rPr>
          <w:rFonts w:hint="eastAsia" w:ascii="楷体_GB2312" w:hAnsi="Calibri" w:eastAsia="楷体_GB2312" w:cs="Times New Roman"/>
          <w:b/>
          <w:bCs/>
          <w:sz w:val="32"/>
          <w:szCs w:val="32"/>
        </w:rPr>
        <w:t>（三）优化政务服务，实现服务水平再提升。</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1.全面提升政务服务水平。一是</w:t>
      </w:r>
      <w:r>
        <w:rPr>
          <w:rFonts w:hint="eastAsia" w:ascii="仿宋_GB2312" w:hAnsi="Calibri" w:eastAsia="仿宋_GB2312" w:cs="Times New Roman"/>
          <w:sz w:val="32"/>
          <w:szCs w:val="32"/>
        </w:rPr>
        <w:t>政务大厅设公共服务、市场准入、工程项目审批、公安、公共资源交易、自助服务等多个区域，档案室、阅读室、更衣室、母婴室、“好差评”等软硬件设施一应既全，为全县政务服务能力提升提供了强有力的基础保障。</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根据省、州“放管服”改革最新要求，设“川渝通办”、“工程项目改革”、“办不成事”等综合窗口，更加方便群众办事。</w:t>
      </w:r>
      <w:r>
        <w:rPr>
          <w:rFonts w:hint="eastAsia" w:ascii="仿宋_GB2312" w:hAnsi="Calibri" w:eastAsia="仿宋_GB2312" w:cs="Times New Roman"/>
          <w:b/>
          <w:bCs/>
          <w:sz w:val="32"/>
          <w:szCs w:val="32"/>
        </w:rPr>
        <w:t>三是</w:t>
      </w:r>
      <w:r>
        <w:rPr>
          <w:rFonts w:hint="eastAsia" w:ascii="仿宋_GB2312" w:hAnsi="Calibri" w:eastAsia="仿宋_GB2312" w:cs="Times New Roman"/>
          <w:sz w:val="32"/>
          <w:szCs w:val="32"/>
        </w:rPr>
        <w:t>开展人人都是代办员活动。提供全程帮办代办、免费邮寄、免费复印等便捷人性化服务。</w:t>
      </w:r>
      <w:r>
        <w:rPr>
          <w:rFonts w:hint="eastAsia" w:ascii="仿宋_GB2312" w:hAnsi="Calibri" w:eastAsia="仿宋_GB2312" w:cs="Times New Roman"/>
          <w:b/>
          <w:bCs/>
          <w:sz w:val="32"/>
          <w:szCs w:val="32"/>
        </w:rPr>
        <w:t>四是</w:t>
      </w:r>
      <w:r>
        <w:rPr>
          <w:rFonts w:hint="eastAsia" w:ascii="仿宋_GB2312" w:hAnsi="Calibri" w:eastAsia="仿宋_GB2312" w:cs="Times New Roman"/>
          <w:sz w:val="32"/>
          <w:szCs w:val="32"/>
        </w:rPr>
        <w:t>多途径推广政务服务“好差评”，截至目前全县实现网上评价43万人次，满意率为100%。</w:t>
      </w:r>
      <w:r>
        <w:rPr>
          <w:rFonts w:hint="eastAsia" w:ascii="仿宋_GB2312" w:hAnsi="Calibri" w:eastAsia="仿宋_GB2312" w:cs="Times New Roman"/>
          <w:b/>
          <w:bCs/>
          <w:sz w:val="32"/>
          <w:szCs w:val="32"/>
        </w:rPr>
        <w:t>五是</w:t>
      </w:r>
      <w:r>
        <w:rPr>
          <w:rFonts w:hint="eastAsia" w:ascii="仿宋_GB2312" w:hAnsi="Calibri" w:eastAsia="仿宋_GB2312" w:cs="Times New Roman"/>
          <w:sz w:val="32"/>
          <w:szCs w:val="32"/>
        </w:rPr>
        <w:t>建立政务服务数据和人员管理数据分析系统，直观办件量、直观办事效率、直观服务质效，敦促服务质效提升。</w:t>
      </w:r>
    </w:p>
    <w:p>
      <w:pPr>
        <w:spacing w:line="560" w:lineRule="exact"/>
        <w:ind w:firstLine="642" w:firstLineChars="200"/>
        <w:rPr>
          <w:rFonts w:hint="eastAsia" w:ascii="仿宋_GB2312" w:hAnsi="Calibri" w:eastAsia="仿宋_GB2312" w:cs="Times New Roman"/>
          <w:sz w:val="32"/>
          <w:szCs w:val="32"/>
        </w:rPr>
      </w:pPr>
      <w:r>
        <w:rPr>
          <w:rFonts w:hint="eastAsia" w:ascii="仿宋_GB2312" w:hAnsi="Calibri" w:eastAsia="仿宋_GB2312" w:cs="Times New Roman"/>
          <w:b/>
          <w:bCs/>
          <w:sz w:val="32"/>
          <w:szCs w:val="32"/>
        </w:rPr>
        <w:t>2.建立机制促进县乡两级政府服务水平。</w:t>
      </w:r>
      <w:r>
        <w:rPr>
          <w:rFonts w:hint="eastAsia" w:ascii="仿宋_GB2312" w:hAnsi="Calibri" w:eastAsia="仿宋_GB2312" w:cs="Times New Roman"/>
          <w:sz w:val="32"/>
          <w:szCs w:val="32"/>
        </w:rPr>
        <w:t>开展乡镇便民服务中心“一岗通”一站式服务，打破服务岗位条线壁垒，逐步实现一人在岗，全岗通办”逐步有序推进便民服务无差别受理；推行乡镇长进大厅，乡镇长办公场所前移，常驻便民中心充当“办事员”，同步入驻指尖便民服务系统，即事即办，遇事就办，常态“线上+线下”办事，服务群众零距离；建成门底沟交通综合服务点，下放交管运管审批服务事项34项，行政处罚事项7类，同步提供道路交通救助等服务。服务范围涵盖壤塘县南木达片区5个乡镇，23000余人，占全县总人口的50%左右，将交管运管服务直接送到群众身边。</w:t>
      </w:r>
    </w:p>
    <w:p>
      <w:pPr>
        <w:spacing w:line="560" w:lineRule="exact"/>
        <w:ind w:firstLine="642" w:firstLineChars="200"/>
        <w:rPr>
          <w:rFonts w:hint="eastAsia" w:ascii="楷体_GB2312" w:hAnsi="Calibri" w:eastAsia="楷体_GB2312" w:cs="Times New Roman"/>
          <w:b/>
          <w:bCs/>
          <w:sz w:val="32"/>
          <w:szCs w:val="32"/>
        </w:rPr>
      </w:pPr>
      <w:r>
        <w:rPr>
          <w:rFonts w:hint="eastAsia" w:ascii="楷体_GB2312" w:hAnsi="Calibri" w:eastAsia="楷体_GB2312" w:cs="Times New Roman"/>
          <w:b/>
          <w:bCs/>
          <w:sz w:val="32"/>
          <w:szCs w:val="32"/>
        </w:rPr>
        <w:t>（四）深化公共资源交易，推进交易提质增效。</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rPr>
        <w:t>一是</w:t>
      </w:r>
      <w:r>
        <w:rPr>
          <w:rFonts w:hint="eastAsia" w:ascii="仿宋_GB2312" w:hAnsi="Calibri" w:eastAsia="仿宋_GB2312" w:cs="Times New Roman"/>
          <w:sz w:val="32"/>
          <w:szCs w:val="32"/>
        </w:rPr>
        <w:t>梳理编制壤塘县公共资源交易平台目录，实现了目录内事项统一平台交易并同步与省平台对接。</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深化交易全流程电子化,实现数字证书省内兼容互认“一证通用”。三</w:t>
      </w:r>
      <w:r>
        <w:rPr>
          <w:rFonts w:hint="eastAsia" w:ascii="仿宋_GB2312" w:hAnsi="Calibri" w:eastAsia="仿宋_GB2312" w:cs="Times New Roman"/>
          <w:b/>
          <w:bCs/>
          <w:sz w:val="32"/>
          <w:szCs w:val="32"/>
        </w:rPr>
        <w:t>是</w:t>
      </w:r>
      <w:r>
        <w:rPr>
          <w:rFonts w:hint="eastAsia" w:ascii="仿宋_GB2312" w:hAnsi="Calibri" w:eastAsia="仿宋_GB2312" w:cs="Times New Roman"/>
          <w:sz w:val="32"/>
          <w:szCs w:val="32"/>
        </w:rPr>
        <w:t>开展州级“示范交易中心”创建活动。截至11月15日，县政府采购中心货物服务采购67宗，节约资金770.56万元，节约率16.67%；工程采购62宗，节约资金204.57万元，资金节约率1.9%。</w:t>
      </w:r>
    </w:p>
    <w:p>
      <w:pPr>
        <w:spacing w:line="560" w:lineRule="exact"/>
        <w:ind w:left="479" w:leftChars="228" w:firstLine="0"/>
        <w:rPr>
          <w:rFonts w:hint="eastAsia" w:ascii="楷体_GB2312" w:hAnsi="Calibri" w:eastAsia="楷体_GB2312" w:cs="Times New Roman"/>
          <w:b/>
          <w:bCs/>
          <w:sz w:val="32"/>
          <w:szCs w:val="32"/>
        </w:rPr>
      </w:pPr>
      <w:r>
        <w:rPr>
          <w:rFonts w:hint="eastAsia" w:ascii="楷体_GB2312" w:hAnsi="Calibri" w:eastAsia="楷体_GB2312" w:cs="Times New Roman"/>
          <w:b/>
          <w:bCs/>
          <w:sz w:val="32"/>
          <w:szCs w:val="32"/>
        </w:rPr>
        <w:t>（五）打造特色便民服务，走出了民族地区便民服务新路径。</w:t>
      </w:r>
    </w:p>
    <w:p>
      <w:pPr>
        <w:spacing w:line="560" w:lineRule="exact"/>
        <w:ind w:firstLine="640" w:firstLineChars="200"/>
        <w:rPr>
          <w:rFonts w:hint="eastAsia" w:ascii="仿宋_GB2312" w:hAnsi="Calibri" w:eastAsia="仿宋_GB2312" w:cs="Times New Roman"/>
          <w:sz w:val="32"/>
          <w:szCs w:val="32"/>
        </w:rPr>
      </w:pPr>
      <w:r>
        <w:rPr>
          <w:rFonts w:hint="eastAsia" w:ascii="仿宋_GB2312" w:hAnsi="Calibri" w:eastAsia="仿宋_GB2312" w:cs="Times New Roman"/>
          <w:sz w:val="32"/>
          <w:szCs w:val="32"/>
        </w:rPr>
        <w:t xml:space="preserve">推进镇村便民服务省级试点-藏区三级藏汉双语“指尖”便民服务系统建设，解决群众办事服务“最后一公里”，走出了民族地区便民服务新路径。以“天府通办”和壤塘家园为依托，开发了以“我要工作”“我要办事”“我要学法”“我要知晓”“乡镇信息”5个板块为主体的涉藏地区三级双语“指尖”便民服务系统，既为干部群众提供移动化便民服务，又将藏汉双语普法园地、舆论宣传阵地建到群众手机端，将民生服务、生活服务和应知应会政策等藏汉双语送到群众指尖，实现了便民服务乡镇、村社、远牧点“指尖”全覆盖。2021年全县下载量达30796人，下载用户达全县人口的60%，5月以来指尖系统共办理各类民生服务事项25510余件，主动评价率达98.9%，90%以上咨询服务事项通过网上不见面办理，满意率达100%。特别是“我要学法”点击浏览量达13109人次，“我要知晓”点击浏览量达26470人次，逐步形成“互联网+政务服务+N”的新格局。  </w:t>
      </w:r>
    </w:p>
    <w:p>
      <w:pPr>
        <w:widowControl/>
        <w:numPr>
          <w:ilvl w:val="0"/>
          <w:numId w:val="6"/>
        </w:numPr>
        <w:spacing w:line="360" w:lineRule="auto"/>
        <w:ind w:left="1720" w:hanging="1080" w:firstLineChars="0"/>
        <w:jc w:val="left"/>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重点工作任务绩效目标完成情况</w:t>
      </w:r>
    </w:p>
    <w:p>
      <w:pPr>
        <w:widowControl w:val="0"/>
        <w:spacing w:line="360" w:lineRule="auto"/>
        <w:ind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0"/>
          <w:sz w:val="32"/>
          <w:szCs w:val="32"/>
          <w:lang w:val="en-US" w:eastAsia="zh-CN" w:bidi="ar-SA"/>
        </w:rPr>
        <w:t>五、评价结论及措施</w:t>
      </w:r>
    </w:p>
    <w:p>
      <w:pPr>
        <w:widowControl w:val="0"/>
        <w:spacing w:line="360" w:lineRule="auto"/>
        <w:ind w:firstLine="0" w:firstLineChars="0"/>
        <w:jc w:val="both"/>
        <w:rPr>
          <w:rFonts w:ascii="仿宋_GB2312" w:hAnsi="仿宋_GB2312" w:eastAsia="仿宋_GB2312" w:cs="仿宋_GB2312"/>
          <w:b/>
          <w:bCs/>
          <w:kern w:val="0"/>
          <w:sz w:val="32"/>
          <w:szCs w:val="32"/>
          <w:lang w:val="en-US" w:eastAsia="zh-CN" w:bidi="ar-SA"/>
        </w:rPr>
      </w:pPr>
      <w:r>
        <w:rPr>
          <w:rFonts w:hint="eastAsia" w:ascii="仿宋_GB2312" w:hAnsi="仿宋_GB2312" w:eastAsia="仿宋_GB2312" w:cs="仿宋_GB2312"/>
          <w:b/>
          <w:bCs/>
          <w:kern w:val="2"/>
          <w:sz w:val="32"/>
          <w:szCs w:val="32"/>
          <w:lang w:val="en-US" w:eastAsia="zh-CN" w:bidi="ar-SA"/>
        </w:rPr>
        <w:t>（一）评价结论：见附表</w:t>
      </w:r>
    </w:p>
    <w:p>
      <w:pPr>
        <w:widowControl w:val="0"/>
        <w:spacing w:line="360" w:lineRule="auto"/>
        <w:ind w:firstLine="0" w:firstLineChars="0"/>
        <w:jc w:val="both"/>
        <w:rPr>
          <w:rFonts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（二）存在问题</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1.</w:t>
      </w:r>
      <w:r>
        <w:rPr>
          <w:rFonts w:hint="eastAsia" w:ascii="楷体_GB2312" w:hAnsi="Calibri" w:eastAsia="楷体_GB2312" w:cs="Times New Roman"/>
          <w:b/>
          <w:bCs/>
          <w:sz w:val="32"/>
          <w:szCs w:val="32"/>
        </w:rPr>
        <w:t>“放管服”改革推进力度参差不齐，改革成效打折扣。</w:t>
      </w:r>
      <w:r>
        <w:rPr>
          <w:rFonts w:hint="eastAsia" w:ascii="仿宋_GB2312" w:hAnsi="Calibri" w:eastAsia="仿宋_GB2312" w:cs="Times New Roman"/>
          <w:sz w:val="32"/>
          <w:szCs w:val="32"/>
        </w:rPr>
        <w:t>部分“放管服”牵头单位认识有差距，履职不到位，作用发挥不明显，改革成效打折扣。</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2.</w:t>
      </w:r>
      <w:r>
        <w:rPr>
          <w:rFonts w:hint="eastAsia" w:ascii="楷体_GB2312" w:hAnsi="Calibri" w:eastAsia="楷体_GB2312" w:cs="Times New Roman"/>
          <w:b/>
          <w:bCs/>
          <w:sz w:val="32"/>
          <w:szCs w:val="32"/>
        </w:rPr>
        <w:t>“一网通办”工作还需持续加力。</w:t>
      </w:r>
      <w:r>
        <w:rPr>
          <w:rFonts w:hint="eastAsia" w:ascii="仿宋_GB2312" w:hAnsi="Calibri" w:eastAsia="仿宋_GB2312" w:cs="Times New Roman"/>
          <w:sz w:val="32"/>
          <w:szCs w:val="32"/>
        </w:rPr>
        <w:t>部分县级部门、乡镇重视程度不高，对一体化平台的使用不理想，经办人员业务不精，“一网通办”部分指标还需加强，天府通办APP下载注册人数不高，距离下载注册用户达到或超过户籍人口的50%还有差距。</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3.</w:t>
      </w:r>
      <w:r>
        <w:rPr>
          <w:rFonts w:hint="eastAsia" w:ascii="楷体_GB2312" w:hAnsi="Calibri" w:eastAsia="楷体_GB2312" w:cs="Times New Roman"/>
          <w:b/>
          <w:bCs/>
          <w:sz w:val="32"/>
          <w:szCs w:val="32"/>
        </w:rPr>
        <w:t>三级双语“指尖”便民服务系统使用常态化机制未形成。</w:t>
      </w:r>
      <w:r>
        <w:rPr>
          <w:rFonts w:hint="eastAsia" w:ascii="仿宋_GB2312" w:hAnsi="Calibri" w:eastAsia="仿宋_GB2312" w:cs="Times New Roman"/>
          <w:sz w:val="32"/>
          <w:szCs w:val="32"/>
        </w:rPr>
        <w:t>部分乡（镇）和部门还存在上传信息不及时、审核把关不严、时效性不强、准确度不高、针对性不强、覆盖面不广、内容不严谨等问题。乡镇推广运用情况还不理想，推动积极性不高、方式单一、办法不多、执行不严，未形成常态，群众下单、干部接单提供服务的机制不畅通，办件超期较为严重。</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4.</w:t>
      </w:r>
      <w:r>
        <w:rPr>
          <w:rFonts w:hint="eastAsia" w:ascii="楷体_GB2312" w:hAnsi="Calibri" w:eastAsia="楷体_GB2312" w:cs="Times New Roman"/>
          <w:b/>
          <w:bCs/>
          <w:sz w:val="32"/>
          <w:szCs w:val="32"/>
        </w:rPr>
        <w:t>服务管理水平不能满足改革需要。</w:t>
      </w:r>
      <w:r>
        <w:rPr>
          <w:rFonts w:hint="eastAsia" w:ascii="仿宋_GB2312" w:hAnsi="Calibri" w:eastAsia="仿宋_GB2312" w:cs="Times New Roman"/>
          <w:sz w:val="32"/>
          <w:szCs w:val="32"/>
        </w:rPr>
        <w:t>“放管服”“一网通办”等各项改革具体任务专业性强、技术要求高，业务协同不足；办事指南不够精准、服务形式不够多元、网上政务服务能力滞后。</w:t>
      </w:r>
    </w:p>
    <w:p>
      <w:pPr>
        <w:spacing w:line="560" w:lineRule="exact"/>
        <w:ind w:firstLine="642" w:firstLineChars="200"/>
        <w:rPr>
          <w:rFonts w:hint="eastAsia" w:ascii="仿宋_GB2312" w:hAnsi="Calibri" w:eastAsia="仿宋_GB2312" w:cs="Times New Roman"/>
          <w:bCs/>
          <w:sz w:val="32"/>
          <w:szCs w:val="32"/>
        </w:rPr>
      </w:pPr>
      <w:r>
        <w:rPr>
          <w:rFonts w:hint="eastAsia" w:ascii="楷体_GB2312" w:hAnsi="Calibri" w:eastAsia="楷体_GB2312" w:cs="Times New Roman"/>
          <w:b/>
          <w:bCs/>
          <w:sz w:val="32"/>
          <w:szCs w:val="32"/>
          <w:lang w:val="en-US" w:eastAsia="zh-CN"/>
        </w:rPr>
        <w:t>5.</w:t>
      </w:r>
      <w:r>
        <w:rPr>
          <w:rFonts w:hint="eastAsia" w:ascii="楷体_GB2312" w:hAnsi="Calibri" w:eastAsia="楷体_GB2312" w:cs="Times New Roman"/>
          <w:b/>
          <w:bCs/>
          <w:sz w:val="32"/>
          <w:szCs w:val="32"/>
        </w:rPr>
        <w:t>公共资源交易服务水平有差距。</w:t>
      </w:r>
      <w:r>
        <w:rPr>
          <w:rFonts w:hint="eastAsia" w:ascii="仿宋_GB2312" w:hAnsi="Calibri" w:eastAsia="仿宋_GB2312" w:cs="Times New Roman"/>
          <w:bCs/>
          <w:sz w:val="32"/>
          <w:szCs w:val="32"/>
        </w:rPr>
        <w:t>公共资源交易业务能力、专业水平有待提高，业务指导能力需强化</w:t>
      </w:r>
    </w:p>
    <w:p>
      <w:pPr>
        <w:widowControl w:val="0"/>
        <w:spacing w:line="360" w:lineRule="auto"/>
        <w:ind w:firstLine="0" w:firstLineChars="0"/>
        <w:jc w:val="both"/>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（三）改进措施</w:t>
      </w:r>
    </w:p>
    <w:p>
      <w:pPr>
        <w:spacing w:line="560" w:lineRule="exact"/>
        <w:ind w:firstLine="642" w:firstLineChars="200"/>
        <w:rPr>
          <w:rFonts w:hint="eastAsia" w:ascii="仿宋_GB2312" w:hAnsi="Calibri" w:eastAsia="仿宋_GB2312" w:cs="Times New Roman"/>
          <w:sz w:val="32"/>
          <w:szCs w:val="22"/>
        </w:rPr>
      </w:pPr>
      <w:r>
        <w:rPr>
          <w:rFonts w:hint="eastAsia" w:ascii="楷体_GB2312" w:hAnsi="Calibri" w:eastAsia="楷体_GB2312" w:cs="Times New Roman"/>
          <w:b/>
          <w:bCs/>
          <w:sz w:val="32"/>
          <w:szCs w:val="32"/>
          <w:lang w:val="en-US" w:eastAsia="zh-CN"/>
        </w:rPr>
        <w:t>1.</w:t>
      </w:r>
      <w:r>
        <w:rPr>
          <w:rFonts w:hint="eastAsia" w:ascii="楷体_GB2312" w:hAnsi="Calibri" w:eastAsia="楷体_GB2312" w:cs="Times New Roman"/>
          <w:b/>
          <w:bCs/>
          <w:sz w:val="32"/>
          <w:szCs w:val="32"/>
        </w:rPr>
        <w:t>着眼于“夯基础”强化统筹协调，全面对接改革。</w:t>
      </w:r>
      <w:r>
        <w:rPr>
          <w:rFonts w:hint="eastAsia" w:ascii="仿宋_GB2312" w:hAnsi="Calibri" w:eastAsia="仿宋_GB2312" w:cs="Times New Roman"/>
          <w:b/>
          <w:bCs/>
          <w:sz w:val="32"/>
          <w:szCs w:val="32"/>
        </w:rPr>
        <w:t>一是</w:t>
      </w:r>
      <w:r>
        <w:rPr>
          <w:rFonts w:hint="eastAsia" w:ascii="楷体_GB2312" w:hAnsi="Calibri" w:eastAsia="楷体_GB2312" w:cs="Times New Roman"/>
          <w:b/>
          <w:bCs/>
          <w:sz w:val="32"/>
          <w:szCs w:val="32"/>
        </w:rPr>
        <w:t>“</w:t>
      </w:r>
      <w:r>
        <w:rPr>
          <w:rFonts w:hint="eastAsia" w:ascii="仿宋_GB2312" w:hAnsi="Calibri" w:eastAsia="仿宋_GB2312" w:cs="Times New Roman"/>
          <w:sz w:val="32"/>
          <w:szCs w:val="32"/>
        </w:rPr>
        <w:t>放管服”改革协调小组强化统筹协调，加强部门协同，各牵头部门强化思想认识不松懈，统筹协调推进“放管服”改革工作齐头并进。</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22"/>
        </w:rPr>
        <w:t>加大对行政审批制度改革各项工作落实情况的监督检查，建立健全后续监管措施，开展专项检查，及时发现、纠正存在的问题，确保改革成果真正落实到位。</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2.</w:t>
      </w:r>
      <w:r>
        <w:rPr>
          <w:rFonts w:hint="eastAsia" w:ascii="楷体_GB2312" w:hAnsi="Calibri" w:eastAsia="楷体_GB2312" w:cs="Times New Roman"/>
          <w:b/>
          <w:bCs/>
          <w:sz w:val="32"/>
          <w:szCs w:val="32"/>
        </w:rPr>
        <w:t>着眼于“提效率”，集中攻坚“一网通办”能力提升。</w:t>
      </w:r>
      <w:r>
        <w:rPr>
          <w:rFonts w:hint="eastAsia" w:ascii="仿宋_GB2312" w:hAnsi="Calibri" w:eastAsia="仿宋_GB2312" w:cs="Times New Roman"/>
          <w:sz w:val="32"/>
          <w:szCs w:val="32"/>
        </w:rPr>
        <w:t>对标省州要求部分效能指标还有待提升，需各单位、各乡镇共同努力、持续攻坚，提高电子证照同步生产率、电子印章加盖率，清除默认评价，提升工程项目审批辅线办件量，一体化办件归集，扩大天府通办注册数量，顺利完成第三方评估验收工作。</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3.</w:t>
      </w:r>
      <w:r>
        <w:rPr>
          <w:rFonts w:hint="eastAsia" w:ascii="楷体_GB2312" w:hAnsi="Calibri" w:eastAsia="楷体_GB2312" w:cs="Times New Roman"/>
          <w:b/>
          <w:bCs/>
          <w:sz w:val="32"/>
          <w:szCs w:val="32"/>
        </w:rPr>
        <w:t>着眼于“强动力”，持续加大简政放权力度。</w:t>
      </w:r>
      <w:r>
        <w:rPr>
          <w:rFonts w:hint="eastAsia" w:ascii="仿宋_GB2312" w:hAnsi="Calibri" w:eastAsia="仿宋_GB2312" w:cs="Times New Roman"/>
          <w:b/>
          <w:bCs/>
          <w:sz w:val="32"/>
          <w:szCs w:val="32"/>
        </w:rPr>
        <w:t>一是</w:t>
      </w:r>
      <w:r>
        <w:rPr>
          <w:rFonts w:hint="eastAsia" w:ascii="仿宋_GB2312" w:hAnsi="Calibri" w:eastAsia="仿宋_GB2312" w:cs="Times New Roman"/>
          <w:sz w:val="32"/>
          <w:szCs w:val="32"/>
        </w:rPr>
        <w:t>结合群众需求，乡镇管理需要，再推动一批高频事项事项下放至乡镇；梳理一批因事项授权不充分等导致群众多次跑，多头跑、办理时限延长的事项，有针对性的推动解决。</w:t>
      </w:r>
      <w:r>
        <w:rPr>
          <w:rFonts w:hint="eastAsia" w:ascii="仿宋_GB2312" w:hAnsi="Calibri" w:eastAsia="仿宋_GB2312" w:cs="Times New Roman"/>
          <w:b/>
          <w:bCs/>
          <w:sz w:val="32"/>
          <w:szCs w:val="32"/>
        </w:rPr>
        <w:t>二是</w:t>
      </w:r>
      <w:r>
        <w:rPr>
          <w:rFonts w:hint="eastAsia" w:ascii="仿宋_GB2312" w:hAnsi="Calibri" w:eastAsia="仿宋_GB2312" w:cs="Times New Roman"/>
          <w:sz w:val="32"/>
          <w:szCs w:val="32"/>
        </w:rPr>
        <w:t>提高权力事项的承接能力，加强对承接乡镇的指导和培训，熟悉和掌握方式、流程，高效履职。</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4.</w:t>
      </w:r>
      <w:r>
        <w:rPr>
          <w:rFonts w:hint="eastAsia" w:ascii="楷体_GB2312" w:hAnsi="Calibri" w:eastAsia="楷体_GB2312" w:cs="Times New Roman"/>
          <w:b/>
          <w:bCs/>
          <w:sz w:val="32"/>
          <w:szCs w:val="32"/>
        </w:rPr>
        <w:t>着眼于“服务好”，全面优化政务服务环境。</w:t>
      </w:r>
      <w:r>
        <w:rPr>
          <w:rFonts w:hint="eastAsia" w:ascii="仿宋_GB2312" w:hAnsi="Calibri" w:eastAsia="仿宋_GB2312" w:cs="Times New Roman"/>
          <w:sz w:val="32"/>
          <w:szCs w:val="32"/>
        </w:rPr>
        <w:t>推行一次告知、一表申请、容缺后补，落实绿色通道、告知承诺、快递送达等便利化措施，推进“一门式”“一窗式”“不见面式”政务服务模式，强化业务人员素质能力提升，提高办事效能。</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5.</w:t>
      </w:r>
      <w:r>
        <w:rPr>
          <w:rFonts w:hint="eastAsia" w:ascii="楷体_GB2312" w:hAnsi="Calibri" w:eastAsia="楷体_GB2312" w:cs="Times New Roman"/>
          <w:b/>
          <w:bCs/>
          <w:sz w:val="32"/>
          <w:szCs w:val="32"/>
        </w:rPr>
        <w:t>着眼于“广覆盖”，全面完善三级服务体系建设。</w:t>
      </w:r>
      <w:r>
        <w:rPr>
          <w:rFonts w:hint="eastAsia" w:ascii="仿宋_GB2312" w:hAnsi="Calibri" w:eastAsia="仿宋_GB2312" w:cs="Times New Roman"/>
          <w:sz w:val="32"/>
          <w:szCs w:val="32"/>
        </w:rPr>
        <w:t>进一步优化提升县级政务服务大厅“一站式”功能，推进镇村便民服务场所三化建设，继续向乡镇扩权赋能，实现全市镇村便民服务布局合理、事项统一、服务规范、保障到位，进一步推广“指尖”便民服务系统的使用率，优化系统设置，使系统更便民利民。</w:t>
      </w:r>
    </w:p>
    <w:p>
      <w:pPr>
        <w:spacing w:line="560" w:lineRule="exact"/>
        <w:ind w:firstLine="642" w:firstLineChars="200"/>
        <w:rPr>
          <w:rFonts w:hint="eastAsia" w:ascii="仿宋_GB2312" w:hAnsi="Calibri" w:eastAsia="仿宋_GB2312" w:cs="Times New Roman"/>
          <w:sz w:val="32"/>
          <w:szCs w:val="32"/>
        </w:rPr>
      </w:pPr>
      <w:r>
        <w:rPr>
          <w:rFonts w:hint="eastAsia" w:ascii="楷体_GB2312" w:hAnsi="Calibri" w:eastAsia="楷体_GB2312" w:cs="Times New Roman"/>
          <w:b/>
          <w:bCs/>
          <w:sz w:val="32"/>
          <w:szCs w:val="32"/>
          <w:lang w:val="en-US" w:eastAsia="zh-CN"/>
        </w:rPr>
        <w:t>6.</w:t>
      </w:r>
      <w:r>
        <w:rPr>
          <w:rFonts w:hint="eastAsia" w:ascii="楷体_GB2312" w:hAnsi="Calibri" w:eastAsia="楷体_GB2312" w:cs="Times New Roman"/>
          <w:b/>
          <w:bCs/>
          <w:sz w:val="32"/>
          <w:szCs w:val="32"/>
        </w:rPr>
        <w:t>着眼于“优秩序”，强化公共资源交易全过程监管。</w:t>
      </w:r>
      <w:r>
        <w:rPr>
          <w:rFonts w:hint="eastAsia" w:ascii="仿宋_GB2312" w:hAnsi="Calibri" w:eastAsia="仿宋_GB2312" w:cs="Times New Roman"/>
          <w:sz w:val="32"/>
          <w:szCs w:val="32"/>
        </w:rPr>
        <w:t>坚持执行公共资源交易全程电子化，切实降低招投标交易成本。规范政府采购行为，提升交易公开性和透明度，提高政府采购效率和质量。</w:t>
      </w:r>
    </w:p>
    <w:p>
      <w:pPr>
        <w:widowControl/>
        <w:jc w:val="left"/>
        <w:rPr>
          <w:rStyle w:val="25"/>
          <w:rFonts w:ascii="黑体" w:hAnsi="黑体" w:eastAsia="黑体"/>
          <w:b w:val="0"/>
        </w:rPr>
      </w:pPr>
    </w:p>
    <w:p>
      <w:pPr>
        <w:widowControl/>
        <w:jc w:val="left"/>
        <w:rPr>
          <w:rStyle w:val="25"/>
          <w:rFonts w:ascii="黑体" w:hAnsi="黑体" w:eastAsia="黑体"/>
          <w:b w:val="0"/>
        </w:rPr>
      </w:pPr>
      <w:r>
        <w:rPr>
          <w:rStyle w:val="25"/>
          <w:rFonts w:ascii="黑体" w:hAnsi="黑体" w:eastAsia="黑体"/>
          <w:b w:val="0"/>
        </w:rPr>
        <w:br w:type="page"/>
      </w:r>
    </w:p>
    <w:p>
      <w:pPr>
        <w:spacing w:line="600" w:lineRule="exact"/>
        <w:jc w:val="center"/>
        <w:outlineLvl w:val="0"/>
        <w:rPr>
          <w:rStyle w:val="25"/>
          <w:rFonts w:ascii="黑体" w:hAnsi="黑体" w:eastAsia="黑体"/>
          <w:b w:val="0"/>
        </w:rPr>
      </w:pPr>
      <w:bookmarkStart w:id="119" w:name="_Toc21789"/>
      <w:bookmarkStart w:id="120" w:name="_Toc79163635"/>
      <w:bookmarkStart w:id="121" w:name="_Toc15396618"/>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1"/>
      <w:bookmarkEnd w:id="119"/>
      <w:bookmarkEnd w:id="120"/>
      <w:bookmarkEnd w:id="121"/>
    </w:p>
    <w:p>
      <w:pPr>
        <w:pStyle w:val="5"/>
        <w:rPr>
          <w:rFonts w:ascii="仿宋" w:hAnsi="仿宋" w:eastAsia="仿宋"/>
          <w:color w:val="000000"/>
        </w:rPr>
      </w:pPr>
      <w:bookmarkStart w:id="122" w:name="_Toc79163636"/>
      <w:bookmarkStart w:id="123" w:name="_Toc15396619"/>
      <w:bookmarkStart w:id="124" w:name="_Toc20203"/>
      <w:r>
        <w:rPr>
          <w:rFonts w:hint="eastAsia" w:ascii="仿宋" w:hAnsi="仿宋" w:eastAsia="仿宋"/>
          <w:b w:val="0"/>
          <w:color w:val="000000"/>
        </w:rPr>
        <w:t>一、收</w:t>
      </w:r>
      <w:r>
        <w:rPr>
          <w:rStyle w:val="26"/>
          <w:rFonts w:hint="eastAsia" w:ascii="仿宋" w:hAnsi="仿宋" w:eastAsia="仿宋"/>
          <w:b w:val="0"/>
          <w:bCs w:val="0"/>
        </w:rPr>
        <w:t>入支出决算总表</w:t>
      </w:r>
      <w:bookmarkEnd w:id="122"/>
      <w:bookmarkEnd w:id="123"/>
      <w:bookmarkEnd w:id="124"/>
    </w:p>
    <w:p>
      <w:pPr>
        <w:pStyle w:val="5"/>
        <w:rPr>
          <w:rFonts w:ascii="仿宋" w:hAnsi="仿宋" w:eastAsia="仿宋"/>
          <w:color w:val="000000"/>
        </w:rPr>
      </w:pPr>
      <w:bookmarkStart w:id="125" w:name="_Toc79163637"/>
      <w:bookmarkStart w:id="126" w:name="_Toc15396620"/>
      <w:bookmarkStart w:id="127" w:name="_Toc15581"/>
      <w:r>
        <w:rPr>
          <w:rFonts w:hint="eastAsia" w:ascii="仿宋" w:hAnsi="仿宋" w:eastAsia="仿宋"/>
          <w:b w:val="0"/>
          <w:color w:val="000000"/>
        </w:rPr>
        <w:t>二、收</w:t>
      </w:r>
      <w:r>
        <w:rPr>
          <w:rStyle w:val="26"/>
          <w:rFonts w:hint="eastAsia" w:ascii="仿宋" w:hAnsi="仿宋" w:eastAsia="仿宋"/>
          <w:b w:val="0"/>
          <w:bCs w:val="0"/>
        </w:rPr>
        <w:t>入决算表</w:t>
      </w:r>
      <w:bookmarkEnd w:id="125"/>
      <w:bookmarkEnd w:id="126"/>
      <w:bookmarkEnd w:id="127"/>
    </w:p>
    <w:p>
      <w:pPr>
        <w:pStyle w:val="5"/>
        <w:rPr>
          <w:rFonts w:ascii="仿宋" w:hAnsi="仿宋" w:eastAsia="仿宋"/>
          <w:color w:val="000000"/>
        </w:rPr>
      </w:pPr>
      <w:bookmarkStart w:id="128" w:name="_Toc15396621"/>
      <w:bookmarkStart w:id="129" w:name="_Toc79163638"/>
      <w:bookmarkStart w:id="130" w:name="_Toc3011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出决算表</w:t>
      </w:r>
      <w:bookmarkEnd w:id="128"/>
      <w:bookmarkEnd w:id="129"/>
      <w:bookmarkEnd w:id="130"/>
    </w:p>
    <w:p>
      <w:pPr>
        <w:pStyle w:val="5"/>
        <w:rPr>
          <w:rFonts w:ascii="仿宋" w:hAnsi="仿宋" w:eastAsia="仿宋"/>
          <w:b w:val="0"/>
          <w:color w:val="000000"/>
        </w:rPr>
      </w:pPr>
      <w:bookmarkStart w:id="131" w:name="_Toc79163639"/>
      <w:bookmarkStart w:id="132" w:name="_Toc15396622"/>
      <w:bookmarkStart w:id="133" w:name="_Toc17794"/>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131"/>
      <w:bookmarkEnd w:id="132"/>
      <w:bookmarkEnd w:id="133"/>
    </w:p>
    <w:p>
      <w:pPr>
        <w:pStyle w:val="5"/>
        <w:rPr>
          <w:rStyle w:val="26"/>
          <w:rFonts w:ascii="仿宋" w:hAnsi="仿宋" w:eastAsia="仿宋"/>
          <w:b w:val="0"/>
          <w:bCs w:val="0"/>
        </w:rPr>
      </w:pPr>
      <w:bookmarkStart w:id="134" w:name="_Toc15396623"/>
      <w:bookmarkStart w:id="135" w:name="_Toc79163640"/>
      <w:bookmarkStart w:id="136" w:name="_Toc8591"/>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w:t>
      </w:r>
      <w:bookmarkEnd w:id="134"/>
      <w:bookmarkEnd w:id="135"/>
      <w:bookmarkEnd w:id="136"/>
      <w:bookmarkStart w:id="137" w:name="_Toc15396624"/>
    </w:p>
    <w:p>
      <w:pPr>
        <w:pStyle w:val="5"/>
        <w:rPr>
          <w:rFonts w:ascii="仿宋" w:hAnsi="仿宋" w:eastAsia="仿宋"/>
          <w:color w:val="000000"/>
        </w:rPr>
      </w:pPr>
      <w:bookmarkStart w:id="138" w:name="_Toc79163641"/>
      <w:bookmarkStart w:id="139" w:name="_Toc15287"/>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137"/>
      <w:bookmarkEnd w:id="138"/>
      <w:bookmarkEnd w:id="139"/>
    </w:p>
    <w:p>
      <w:pPr>
        <w:pStyle w:val="5"/>
        <w:rPr>
          <w:rFonts w:ascii="仿宋" w:hAnsi="仿宋" w:eastAsia="仿宋"/>
          <w:color w:val="000000"/>
        </w:rPr>
      </w:pPr>
      <w:bookmarkStart w:id="140" w:name="_Toc15396625"/>
      <w:bookmarkStart w:id="141" w:name="_Toc79163642"/>
      <w:bookmarkStart w:id="142" w:name="_Toc28162"/>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140"/>
      <w:bookmarkEnd w:id="141"/>
      <w:bookmarkEnd w:id="142"/>
    </w:p>
    <w:p>
      <w:pPr>
        <w:pStyle w:val="5"/>
        <w:rPr>
          <w:rFonts w:ascii="仿宋" w:hAnsi="仿宋" w:eastAsia="仿宋"/>
          <w:color w:val="000000"/>
        </w:rPr>
      </w:pPr>
      <w:bookmarkStart w:id="143" w:name="_Toc79163643"/>
      <w:bookmarkStart w:id="144" w:name="_Toc15396626"/>
      <w:bookmarkStart w:id="145" w:name="_Toc29131"/>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143"/>
      <w:bookmarkEnd w:id="144"/>
      <w:bookmarkEnd w:id="145"/>
    </w:p>
    <w:p>
      <w:pPr>
        <w:pStyle w:val="5"/>
        <w:rPr>
          <w:rFonts w:ascii="仿宋" w:hAnsi="仿宋" w:eastAsia="仿宋"/>
          <w:color w:val="000000"/>
        </w:rPr>
      </w:pPr>
      <w:bookmarkStart w:id="146" w:name="_Toc15396627"/>
      <w:bookmarkStart w:id="147" w:name="_Toc79163644"/>
      <w:bookmarkStart w:id="148" w:name="_Toc32679"/>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146"/>
      <w:bookmarkEnd w:id="147"/>
      <w:bookmarkEnd w:id="148"/>
    </w:p>
    <w:p>
      <w:pPr>
        <w:pStyle w:val="5"/>
        <w:rPr>
          <w:rFonts w:ascii="仿宋" w:hAnsi="仿宋" w:eastAsia="仿宋"/>
          <w:color w:val="000000"/>
        </w:rPr>
      </w:pPr>
      <w:bookmarkStart w:id="149" w:name="_Toc15396628"/>
      <w:bookmarkStart w:id="150" w:name="_Toc79163645"/>
      <w:bookmarkStart w:id="151" w:name="_Toc3807"/>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149"/>
      <w:bookmarkEnd w:id="150"/>
      <w:bookmarkEnd w:id="151"/>
    </w:p>
    <w:p>
      <w:pPr>
        <w:pStyle w:val="5"/>
        <w:rPr>
          <w:rFonts w:ascii="仿宋" w:hAnsi="仿宋" w:eastAsia="仿宋"/>
          <w:color w:val="000000"/>
        </w:rPr>
      </w:pPr>
      <w:bookmarkStart w:id="152" w:name="_Toc15396629"/>
      <w:bookmarkStart w:id="153" w:name="_Toc79163646"/>
      <w:bookmarkStart w:id="154" w:name="_Toc27007"/>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152"/>
      <w:bookmarkEnd w:id="153"/>
      <w:bookmarkEnd w:id="154"/>
    </w:p>
    <w:p>
      <w:pPr>
        <w:pStyle w:val="5"/>
        <w:rPr>
          <w:rFonts w:ascii="仿宋" w:hAnsi="仿宋" w:eastAsia="仿宋"/>
          <w:color w:val="000000"/>
        </w:rPr>
      </w:pPr>
      <w:bookmarkStart w:id="155" w:name="_Toc79163647"/>
      <w:bookmarkStart w:id="156" w:name="_Toc15396630"/>
      <w:bookmarkStart w:id="157" w:name="_Toc26805"/>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155"/>
      <w:bookmarkEnd w:id="156"/>
      <w:bookmarkEnd w:id="157"/>
    </w:p>
    <w:p>
      <w:pPr>
        <w:pStyle w:val="5"/>
        <w:rPr>
          <w:rStyle w:val="26"/>
          <w:rFonts w:ascii="仿宋" w:hAnsi="仿宋" w:eastAsia="仿宋"/>
          <w:b w:val="0"/>
          <w:bCs w:val="0"/>
        </w:rPr>
      </w:pPr>
      <w:bookmarkStart w:id="158" w:name="_Toc15396631"/>
      <w:bookmarkStart w:id="159" w:name="_Toc79163648"/>
      <w:bookmarkStart w:id="160" w:name="_Toc154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有资本经营预算财政拨款支出决算表</w:t>
      </w:r>
      <w:bookmarkEnd w:id="158"/>
      <w:bookmarkEnd w:id="159"/>
      <w:bookmarkEnd w:id="160"/>
    </w:p>
    <w:p>
      <w:pPr>
        <w:pStyle w:val="5"/>
        <w:rPr>
          <w:rStyle w:val="26"/>
          <w:rFonts w:ascii="仿宋" w:hAnsi="仿宋" w:eastAsia="仿宋"/>
          <w:b w:val="0"/>
          <w:bCs w:val="0"/>
        </w:rPr>
      </w:pPr>
      <w:bookmarkStart w:id="161" w:name="_Toc79163649"/>
      <w:bookmarkStart w:id="162" w:name="_Toc17581"/>
      <w:r>
        <w:rPr>
          <w:rStyle w:val="26"/>
          <w:rFonts w:hint="eastAsia" w:ascii="仿宋" w:hAnsi="仿宋" w:eastAsia="仿宋"/>
          <w:b w:val="0"/>
          <w:bCs w:val="0"/>
        </w:rPr>
        <w:t>十四、国有资本经营预算财政拨款支出决算表</w:t>
      </w:r>
      <w:bookmarkEnd w:id="161"/>
      <w:bookmarkEnd w:id="162"/>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仿宋"/>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Noto Sans Syriac Eastern">
    <w:panose1 w:val="02040503050306020203"/>
    <w:charset w:val="86"/>
    <w:family w:val="auto"/>
    <w:pitch w:val="default"/>
    <w:sig w:usb0="00000000" w:usb1="00000000" w:usb2="00000080" w:usb3="00000000" w:csb0="203E0161" w:csb1="D7FF0000"/>
  </w:font>
  <w:font w:name="DejaVu Math TeX Gyre">
    <w:panose1 w:val="02000503000000000000"/>
    <w:charset w:val="00"/>
    <w:family w:val="auto"/>
    <w:pitch w:val="default"/>
    <w:sig w:usb0="A10000EF" w:usb1="4201F9EE" w:usb2="02000000" w:usb3="00000000" w:csb0="60000193" w:csb1="0DD4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PAGE   \* MERGEFORMAT</w:instrText>
    </w:r>
    <w:r>
      <w:fldChar w:fldCharType="separate"/>
    </w:r>
    <w:r>
      <w:t>25</w:t>
    </w:r>
    <w:r>
      <w:fldChar w:fldCharType="end"/>
    </w:r>
  </w:p>
  <w:p>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83D8E"/>
    <w:multiLevelType w:val="singleLevel"/>
    <w:tmpl w:val="87F83D8E"/>
    <w:lvl w:ilvl="0" w:tentative="0">
      <w:start w:val="2"/>
      <w:numFmt w:val="chineseCounting"/>
      <w:suff w:val="nothing"/>
      <w:lvlText w:val="（%1）"/>
      <w:lvlJc w:val="left"/>
      <w:rPr>
        <w:rFonts w:hint="eastAsia"/>
      </w:rPr>
    </w:lvl>
  </w:abstractNum>
  <w:abstractNum w:abstractNumId="1">
    <w:nsid w:val="9CC24C60"/>
    <w:multiLevelType w:val="singleLevel"/>
    <w:tmpl w:val="9CC24C60"/>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5">
    <w:nsid w:val="1E815063"/>
    <w:multiLevelType w:val="singleLevel"/>
    <w:tmpl w:val="1E815063"/>
    <w:lvl w:ilvl="0" w:tentative="0">
      <w:start w:val="1"/>
      <w:numFmt w:val="chineseCounting"/>
      <w:suff w:val="space"/>
      <w:lvlText w:val="第%1部分"/>
      <w:lvlJc w:val="left"/>
      <w:rPr>
        <w:rFonts w:hint="eastAsia"/>
      </w:rPr>
    </w:lvl>
  </w:abstractNum>
  <w:abstractNum w:abstractNumId="6">
    <w:nsid w:val="27BE6324"/>
    <w:multiLevelType w:val="singleLevel"/>
    <w:tmpl w:val="27BE6324"/>
    <w:lvl w:ilvl="0" w:tentative="0">
      <w:start w:val="2"/>
      <w:numFmt w:val="chineseCounting"/>
      <w:suff w:val="nothing"/>
      <w:lvlText w:val="（%1）"/>
      <w:lvlJc w:val="left"/>
      <w:rPr>
        <w:rFonts w:hint="eastAsia"/>
      </w:rPr>
    </w:lvl>
  </w:abstractNum>
  <w:abstractNum w:abstractNumId="7">
    <w:nsid w:val="3EE10C30"/>
    <w:multiLevelType w:val="multilevel"/>
    <w:tmpl w:val="3EE10C30"/>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5"/>
  </w:num>
  <w:num w:numId="2">
    <w:abstractNumId w:val="4"/>
  </w:num>
  <w:num w:numId="3">
    <w:abstractNumId w:val="2"/>
  </w:num>
  <w:num w:numId="4">
    <w:abstractNumId w:val="3"/>
  </w:num>
  <w:num w:numId="5">
    <w:abstractNumId w:val="1"/>
  </w:num>
  <w:num w:numId="6">
    <w:abstractNumId w:val="7"/>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doNotDisplayPageBoundaries w:val="true"/>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3NjdhNTlmYzc1N2RiMDIzMDc0OGU4ZjkzYzc5Y2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3D12928"/>
    <w:rsid w:val="0633208D"/>
    <w:rsid w:val="08AC620B"/>
    <w:rsid w:val="0A2032A3"/>
    <w:rsid w:val="0D9D0734"/>
    <w:rsid w:val="10C055FF"/>
    <w:rsid w:val="118107EC"/>
    <w:rsid w:val="142C6F36"/>
    <w:rsid w:val="16BB723D"/>
    <w:rsid w:val="19616ABA"/>
    <w:rsid w:val="1C4F52EF"/>
    <w:rsid w:val="1D155CEE"/>
    <w:rsid w:val="217F0321"/>
    <w:rsid w:val="240371BF"/>
    <w:rsid w:val="29FD04D3"/>
    <w:rsid w:val="2BE47802"/>
    <w:rsid w:val="319F7F4E"/>
    <w:rsid w:val="326B7F22"/>
    <w:rsid w:val="335C65B1"/>
    <w:rsid w:val="34D0176D"/>
    <w:rsid w:val="38044D88"/>
    <w:rsid w:val="390D4C7D"/>
    <w:rsid w:val="3D5B369C"/>
    <w:rsid w:val="49064E04"/>
    <w:rsid w:val="4A7D2EA4"/>
    <w:rsid w:val="4ECE2238"/>
    <w:rsid w:val="542919A7"/>
    <w:rsid w:val="689A0C6D"/>
    <w:rsid w:val="68FD2AC5"/>
    <w:rsid w:val="6C4A05C8"/>
    <w:rsid w:val="701A1ED4"/>
    <w:rsid w:val="723E2669"/>
    <w:rsid w:val="72734D90"/>
    <w:rsid w:val="73BE1CB4"/>
    <w:rsid w:val="75791ED3"/>
    <w:rsid w:val="791B3704"/>
    <w:rsid w:val="EFBF71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2">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tabs>
        <w:tab w:val="left" w:pos="960"/>
      </w:tabs>
      <w:spacing w:after="0" w:line="540" w:lineRule="exact"/>
      <w:ind w:left="0" w:leftChars="0" w:firstLine="420" w:firstLineChars="200"/>
    </w:pPr>
    <w:rPr>
      <w:rFonts w:ascii="Calibri" w:hAnsi="Calibri"/>
      <w:sz w:val="32"/>
      <w:szCs w:val="32"/>
    </w:rPr>
  </w:style>
  <w:style w:type="paragraph" w:styleId="3">
    <w:name w:val="Body Text Indent"/>
    <w:basedOn w:val="1"/>
    <w:qFormat/>
    <w:uiPriority w:val="0"/>
    <w:pPr>
      <w:spacing w:after="120"/>
      <w:ind w:left="420" w:leftChars="200"/>
    </w:pPr>
  </w:style>
  <w:style w:type="paragraph" w:styleId="8">
    <w:name w:val="toc 7"/>
    <w:basedOn w:val="1"/>
    <w:next w:val="1"/>
    <w:unhideWhenUsed/>
    <w:qFormat/>
    <w:uiPriority w:val="39"/>
    <w:pPr>
      <w:ind w:left="1260"/>
      <w:jc w:val="left"/>
    </w:pPr>
    <w:rPr>
      <w:rFonts w:asciiTheme="minorHAnsi" w:eastAsiaTheme="minorHAnsi"/>
      <w:sz w:val="18"/>
      <w:szCs w:val="18"/>
    </w:rPr>
  </w:style>
  <w:style w:type="paragraph" w:styleId="9">
    <w:name w:val="Body Text"/>
    <w:basedOn w:val="1"/>
    <w:link w:val="34"/>
    <w:qFormat/>
    <w:uiPriority w:val="99"/>
    <w:pPr>
      <w:spacing w:beforeLines="30"/>
    </w:pPr>
    <w:rPr>
      <w:rFonts w:ascii="仿宋_GB2312" w:eastAsia="仿宋_GB2312"/>
      <w:kern w:val="0"/>
      <w:sz w:val="24"/>
      <w:szCs w:val="20"/>
      <w:lang w:val="zh-CN"/>
    </w:r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toc 8"/>
    <w:basedOn w:val="1"/>
    <w:next w:val="1"/>
    <w:unhideWhenUsed/>
    <w:qFormat/>
    <w:uiPriority w:val="39"/>
    <w:pPr>
      <w:ind w:left="1470"/>
      <w:jc w:val="left"/>
    </w:pPr>
    <w:rPr>
      <w:rFonts w:asciiTheme="minorHAnsi" w:eastAsiaTheme="minorHAnsi"/>
      <w:sz w:val="18"/>
      <w:szCs w:val="18"/>
    </w:rPr>
  </w:style>
  <w:style w:type="paragraph" w:styleId="13">
    <w:name w:val="Balloon Text"/>
    <w:basedOn w:val="1"/>
    <w:link w:val="29"/>
    <w:semiHidden/>
    <w:unhideWhenUsed/>
    <w:qFormat/>
    <w:uiPriority w:val="99"/>
    <w:rPr>
      <w:sz w:val="18"/>
      <w:szCs w:val="18"/>
    </w:rPr>
  </w:style>
  <w:style w:type="paragraph" w:styleId="14">
    <w:name w:val="footer"/>
    <w:basedOn w:val="1"/>
    <w:link w:val="33"/>
    <w:qFormat/>
    <w:uiPriority w:val="99"/>
    <w:pPr>
      <w:tabs>
        <w:tab w:val="center" w:pos="4153"/>
        <w:tab w:val="right" w:pos="8306"/>
      </w:tabs>
      <w:snapToGrid w:val="0"/>
      <w:jc w:val="left"/>
    </w:pPr>
    <w:rPr>
      <w:rFonts w:ascii="Calibri" w:hAnsi="Calibri"/>
      <w:kern w:val="0"/>
      <w:sz w:val="18"/>
      <w:szCs w:val="20"/>
      <w:lang w:val="zh-CN"/>
    </w:rPr>
  </w:style>
  <w:style w:type="paragraph" w:styleId="15">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Char"/>
    <w:basedOn w:val="22"/>
    <w:link w:val="4"/>
    <w:qFormat/>
    <w:locked/>
    <w:uiPriority w:val="9"/>
    <w:rPr>
      <w:rFonts w:ascii="Times New Roman" w:hAnsi="Times New Roman" w:cs="Times New Roman"/>
      <w:b/>
      <w:bCs/>
      <w:kern w:val="44"/>
      <w:sz w:val="44"/>
      <w:szCs w:val="44"/>
    </w:rPr>
  </w:style>
  <w:style w:type="character" w:customStyle="1" w:styleId="26">
    <w:name w:val="标题 2 Char"/>
    <w:basedOn w:val="22"/>
    <w:link w:val="5"/>
    <w:qFormat/>
    <w:locked/>
    <w:uiPriority w:val="9"/>
    <w:rPr>
      <w:rFonts w:ascii="Cambria" w:hAnsi="Cambria" w:eastAsia="宋体" w:cs="Times New Roman"/>
      <w:b/>
      <w:bCs/>
      <w:kern w:val="2"/>
      <w:sz w:val="32"/>
      <w:szCs w:val="32"/>
    </w:rPr>
  </w:style>
  <w:style w:type="character" w:customStyle="1" w:styleId="27">
    <w:name w:val="标题 3 Char"/>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Char"/>
    <w:basedOn w:val="22"/>
    <w:link w:val="13"/>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Char"/>
    <w:link w:val="15"/>
    <w:semiHidden/>
    <w:qFormat/>
    <w:locked/>
    <w:uiPriority w:val="99"/>
    <w:rPr>
      <w:sz w:val="18"/>
    </w:rPr>
  </w:style>
  <w:style w:type="character" w:customStyle="1" w:styleId="33">
    <w:name w:val="页脚 Char"/>
    <w:link w:val="14"/>
    <w:qFormat/>
    <w:locked/>
    <w:uiPriority w:val="99"/>
    <w:rPr>
      <w:sz w:val="18"/>
    </w:rPr>
  </w:style>
  <w:style w:type="character" w:customStyle="1" w:styleId="34">
    <w:name w:val="正文文本 Char"/>
    <w:link w:val="9"/>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0">
    <w:name w:val="List Paragraph"/>
    <w:basedOn w:val="1"/>
    <w:qFormat/>
    <w:uiPriority w:val="99"/>
    <w:pPr>
      <w:ind w:firstLine="420" w:firstLineChars="200"/>
    </w:pPr>
  </w:style>
  <w:style w:type="paragraph" w:customStyle="1" w:styleId="41">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2020年</c:v>
                </c:pt>
              </c:strCache>
            </c:strRef>
          </c:tx>
          <c:spPr>
            <a:solidFill>
              <a:schemeClr val="accent1"/>
            </a:solidFill>
            <a:ln>
              <a:noFill/>
            </a:ln>
            <a:effectLst/>
          </c:spPr>
          <c:invertIfNegative val="false"/>
          <c:dLbls>
            <c:delete val="true"/>
          </c:dLbls>
          <c:cat>
            <c:strRef>
              <c:f>Sheet1!$A$2:$A$3</c:f>
              <c:strCache>
                <c:ptCount val="2"/>
                <c:pt idx="0">
                  <c:v>收入</c:v>
                </c:pt>
                <c:pt idx="1">
                  <c:v>支出</c:v>
                </c:pt>
              </c:strCache>
            </c:strRef>
          </c:cat>
          <c:val>
            <c:numRef>
              <c:f>Sheet1!$B$2:$B$3</c:f>
              <c:numCache>
                <c:formatCode>General</c:formatCode>
                <c:ptCount val="2"/>
                <c:pt idx="0">
                  <c:v>612.64</c:v>
                </c:pt>
                <c:pt idx="1">
                  <c:v>612.64</c:v>
                </c:pt>
              </c:numCache>
            </c:numRef>
          </c:val>
        </c:ser>
        <c:ser>
          <c:idx val="1"/>
          <c:order val="1"/>
          <c:tx>
            <c:strRef>
              <c:f>Sheet1!$C$1</c:f>
              <c:strCache>
                <c:ptCount val="1"/>
                <c:pt idx="0">
                  <c:v>2021年</c:v>
                </c:pt>
              </c:strCache>
            </c:strRef>
          </c:tx>
          <c:spPr>
            <a:solidFill>
              <a:schemeClr val="accent2"/>
            </a:solidFill>
            <a:ln>
              <a:noFill/>
            </a:ln>
            <a:effectLst/>
          </c:spPr>
          <c:invertIfNegative val="false"/>
          <c:dLbls>
            <c:delete val="true"/>
          </c:dLbls>
          <c:cat>
            <c:strRef>
              <c:f>Sheet1!$A$2:$A$3</c:f>
              <c:strCache>
                <c:ptCount val="2"/>
                <c:pt idx="0">
                  <c:v>收入</c:v>
                </c:pt>
                <c:pt idx="1">
                  <c:v>支出</c:v>
                </c:pt>
              </c:strCache>
            </c:strRef>
          </c:cat>
          <c:val>
            <c:numRef>
              <c:f>Sheet1!$C$2:$C$3</c:f>
              <c:numCache>
                <c:formatCode>General</c:formatCode>
                <c:ptCount val="2"/>
                <c:pt idx="0">
                  <c:v>855.23</c:v>
                </c:pt>
                <c:pt idx="1">
                  <c:v>855.23</c:v>
                </c:pt>
              </c:numCache>
            </c:numRef>
          </c:val>
        </c:ser>
        <c:dLbls>
          <c:showLegendKey val="false"/>
          <c:showVal val="false"/>
          <c:showCatName val="false"/>
          <c:showSerName val="false"/>
          <c:showPercent val="false"/>
          <c:showBubbleSize val="false"/>
        </c:dLbls>
        <c:gapWidth val="219"/>
        <c:overlap val="-27"/>
        <c:axId val="375562447"/>
        <c:axId val="373160245"/>
      </c:barChart>
      <c:catAx>
        <c:axId val="375562447"/>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73160245"/>
        <c:crosses val="autoZero"/>
        <c:auto val="true"/>
        <c:lblAlgn val="ctr"/>
        <c:lblOffset val="100"/>
        <c:noMultiLvlLbl val="false"/>
      </c:catAx>
      <c:valAx>
        <c:axId val="373160245"/>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375562447"/>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manualLayout>
          <c:layoutTarget val="inner"/>
          <c:xMode val="edge"/>
          <c:yMode val="edge"/>
          <c:x val="0.306199171397882"/>
          <c:y val="0.186253304494112"/>
          <c:w val="0.418290624520485"/>
          <c:h val="0.655130978130257"/>
        </c:manualLayout>
      </c:layout>
      <c:pieChart>
        <c:varyColors val="true"/>
        <c:ser>
          <c:idx val="0"/>
          <c:order val="0"/>
          <c:tx>
            <c:strRef>
              <c:f>Sheet1!$B$1</c:f>
              <c:strCache>
                <c:ptCount val="1"/>
                <c:pt idx="0">
                  <c:v>收入决算结构图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Sheet1!$A$2:$A$3</c:f>
              <c:strCache>
                <c:ptCount val="2"/>
                <c:pt idx="0">
                  <c:v>财政拨款收入</c:v>
                </c:pt>
              </c:strCache>
            </c:strRef>
          </c:cat>
          <c:val>
            <c:numRef>
              <c:f>Sheet1!$B$2:$B$3</c:f>
              <c:numCache>
                <c:formatCode>General</c:formatCode>
                <c:ptCount val="2"/>
                <c:pt idx="0">
                  <c:v>464.2</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manualLayout>
          <c:layoutTarget val="inner"/>
          <c:xMode val="edge"/>
          <c:yMode val="edge"/>
          <c:x val="0.306199171397882"/>
          <c:y val="0.186253304494112"/>
          <c:w val="0.418290624520485"/>
          <c:h val="0.655130978130257"/>
        </c:manualLayout>
      </c:layout>
      <c:pieChart>
        <c:varyColors val="true"/>
        <c:ser>
          <c:idx val="0"/>
          <c:order val="0"/>
          <c:tx>
            <c:strRef>
              <c:f>Sheet1!$B$1</c:f>
              <c:strCache>
                <c:ptCount val="1"/>
                <c:pt idx="0">
                  <c:v>收入决算结构图</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delete val="true"/>
          </c:dLbls>
          <c:cat>
            <c:strRef>
              <c:f>Sheet1!$A$2:$A$3</c:f>
              <c:strCache>
                <c:ptCount val="2"/>
                <c:pt idx="0">
                  <c:v>财政拨款收入</c:v>
                </c:pt>
              </c:strCache>
            </c:strRef>
          </c:cat>
          <c:val>
            <c:numRef>
              <c:f>Sheet1!$B$2:$B$3</c:f>
              <c:numCache>
                <c:formatCode>General</c:formatCode>
                <c:ptCount val="2"/>
                <c:pt idx="0">
                  <c:v>464.2</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财政拨款收、支总计变动情况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收入 </c:v>
                </c:pt>
              </c:strCache>
            </c:strRef>
          </c:tx>
          <c:spPr>
            <a:solidFill>
              <a:schemeClr val="accent1"/>
            </a:solidFill>
            <a:ln>
              <a:noFill/>
            </a:ln>
            <a:effectLst/>
          </c:spPr>
          <c:invertIfNegative val="false"/>
          <c:dLbls>
            <c:delete val="true"/>
          </c:dLbls>
          <c:cat>
            <c:strRef>
              <c:f>Sheet1!$A$2:$A$3</c:f>
              <c:strCache>
                <c:ptCount val="2"/>
                <c:pt idx="0">
                  <c:v>2020年</c:v>
                </c:pt>
                <c:pt idx="1">
                  <c:v>2021年</c:v>
                </c:pt>
              </c:strCache>
            </c:strRef>
          </c:cat>
          <c:val>
            <c:numRef>
              <c:f>Sheet1!$B$2:$B$3</c:f>
              <c:numCache>
                <c:formatCode>General</c:formatCode>
                <c:ptCount val="2"/>
                <c:pt idx="0">
                  <c:v>612.64</c:v>
                </c:pt>
                <c:pt idx="1">
                  <c:v>855.23</c:v>
                </c:pt>
              </c:numCache>
            </c:numRef>
          </c:val>
        </c:ser>
        <c:ser>
          <c:idx val="1"/>
          <c:order val="1"/>
          <c:tx>
            <c:strRef>
              <c:f>Sheet1!$C$1</c:f>
              <c:strCache>
                <c:ptCount val="1"/>
                <c:pt idx="0">
                  <c:v>支出</c:v>
                </c:pt>
              </c:strCache>
            </c:strRef>
          </c:tx>
          <c:spPr>
            <a:solidFill>
              <a:schemeClr val="accent2"/>
            </a:solidFill>
            <a:ln>
              <a:noFill/>
            </a:ln>
            <a:effectLst/>
          </c:spPr>
          <c:invertIfNegative val="false"/>
          <c:dLbls>
            <c:delete val="true"/>
          </c:dLbls>
          <c:cat>
            <c:strRef>
              <c:f>Sheet1!$A$2:$A$3</c:f>
              <c:strCache>
                <c:ptCount val="2"/>
                <c:pt idx="0">
                  <c:v>2020年</c:v>
                </c:pt>
                <c:pt idx="1">
                  <c:v>2021年</c:v>
                </c:pt>
              </c:strCache>
            </c:strRef>
          </c:cat>
          <c:val>
            <c:numRef>
              <c:f>Sheet1!$C$2:$C$3</c:f>
              <c:numCache>
                <c:formatCode>General</c:formatCode>
                <c:ptCount val="2"/>
                <c:pt idx="0">
                  <c:v>612.64</c:v>
                </c:pt>
                <c:pt idx="1">
                  <c:v>855.23</c:v>
                </c:pt>
              </c:numCache>
            </c:numRef>
          </c:val>
        </c:ser>
        <c:dLbls>
          <c:showLegendKey val="false"/>
          <c:showVal val="false"/>
          <c:showCatName val="false"/>
          <c:showSerName val="false"/>
          <c:showPercent val="false"/>
          <c:showBubbleSize val="false"/>
        </c:dLbls>
        <c:gapWidth val="219"/>
        <c:overlap val="-27"/>
        <c:axId val="586345502"/>
        <c:axId val="410354112"/>
      </c:barChart>
      <c:catAx>
        <c:axId val="58634550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10354112"/>
        <c:crosses val="autoZero"/>
        <c:auto val="true"/>
        <c:lblAlgn val="ctr"/>
        <c:lblOffset val="100"/>
        <c:noMultiLvlLbl val="false"/>
      </c:catAx>
      <c:valAx>
        <c:axId val="41035411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8634550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支出</c:v>
                </c:pt>
              </c:strCache>
            </c:strRef>
          </c:tx>
          <c:spPr>
            <a:solidFill>
              <a:schemeClr val="accent1"/>
            </a:solidFill>
            <a:ln>
              <a:noFill/>
            </a:ln>
            <a:effectLst/>
          </c:spPr>
          <c:invertIfNegative val="false"/>
          <c:dLbls>
            <c:delete val="true"/>
          </c:dLbls>
          <c:cat>
            <c:strRef>
              <c:f>Sheet1!$A$2:$A$3</c:f>
              <c:strCache>
                <c:ptCount val="2"/>
                <c:pt idx="0">
                  <c:v>2020年</c:v>
                </c:pt>
                <c:pt idx="1">
                  <c:v>2021年</c:v>
                </c:pt>
              </c:strCache>
            </c:strRef>
          </c:cat>
          <c:val>
            <c:numRef>
              <c:f>Sheet1!$B$2:$B$3</c:f>
              <c:numCache>
                <c:formatCode>General</c:formatCode>
                <c:ptCount val="2"/>
                <c:pt idx="0">
                  <c:v>612.64</c:v>
                </c:pt>
                <c:pt idx="1">
                  <c:v>855.23</c:v>
                </c:pt>
              </c:numCache>
            </c:numRef>
          </c:val>
        </c:ser>
        <c:dLbls>
          <c:showLegendKey val="false"/>
          <c:showVal val="false"/>
          <c:showCatName val="false"/>
          <c:showSerName val="false"/>
          <c:showPercent val="false"/>
          <c:showBubbleSize val="false"/>
        </c:dLbls>
        <c:gapWidth val="219"/>
        <c:overlap val="-27"/>
        <c:axId val="586345502"/>
        <c:axId val="410354112"/>
      </c:barChart>
      <c:catAx>
        <c:axId val="586345502"/>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410354112"/>
        <c:crosses val="autoZero"/>
        <c:auto val="true"/>
        <c:lblAlgn val="ctr"/>
        <c:lblOffset val="100"/>
        <c:noMultiLvlLbl val="false"/>
      </c:catAx>
      <c:valAx>
        <c:axId val="410354112"/>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86345502"/>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一般公共预算财政拨款支出决算结构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delete val="true"/>
          </c:dLbls>
          <c:cat>
            <c:strRef>
              <c:f>Sheet1!$A$2:$A$5</c:f>
              <c:strCache>
                <c:ptCount val="4"/>
                <c:pt idx="0">
                  <c:v>一般公共服务</c:v>
                </c:pt>
                <c:pt idx="1">
                  <c:v>社会保障和就业</c:v>
                </c:pt>
                <c:pt idx="2">
                  <c:v>卫生健康支出</c:v>
                </c:pt>
                <c:pt idx="3">
                  <c:v>住房保障支出</c:v>
                </c:pt>
              </c:strCache>
            </c:strRef>
          </c:cat>
          <c:val>
            <c:numRef>
              <c:f>Sheet1!$B$2:$B$5</c:f>
              <c:numCache>
                <c:formatCode>General</c:formatCode>
                <c:ptCount val="4"/>
                <c:pt idx="0">
                  <c:v>767.79</c:v>
                </c:pt>
                <c:pt idx="1">
                  <c:v>42.45</c:v>
                </c:pt>
                <c:pt idx="2">
                  <c:v>17.23</c:v>
                </c:pt>
                <c:pt idx="3">
                  <c:v>27.76</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“三公”经费财政拨款支出结构</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Lbls>
            <c:delete val="true"/>
          </c:dLbls>
          <c:cat>
            <c:strRef>
              <c:f>Sheet1!$A$2:$A$4</c:f>
              <c:strCache>
                <c:ptCount val="3"/>
                <c:pt idx="0">
                  <c:v>公务用车运行维护及购置费</c:v>
                </c:pt>
                <c:pt idx="1">
                  <c:v>公务接待</c:v>
                </c:pt>
                <c:pt idx="2">
                  <c:v>因公出国出境</c:v>
                </c:pt>
              </c:strCache>
            </c:strRef>
          </c:cat>
          <c:val>
            <c:numRef>
              <c:f>Sheet1!$B$2:$B$4</c:f>
              <c:numCache>
                <c:formatCode>General</c:formatCode>
                <c:ptCount val="3"/>
                <c:pt idx="0">
                  <c:v>8.74</c:v>
                </c:pt>
                <c:pt idx="1">
                  <c:v>0</c:v>
                </c:pt>
                <c:pt idx="2">
                  <c:v>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32</Pages>
  <Words>12685</Words>
  <Characters>13500</Characters>
  <Lines>74</Lines>
  <Paragraphs>21</Paragraphs>
  <TotalTime>50</TotalTime>
  <ScaleCrop>false</ScaleCrop>
  <LinksUpToDate>false</LinksUpToDate>
  <CharactersWithSpaces>13579</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2021-08-06T17:38:00Z</dcterms:created>
  <dc:creator>曹颖</dc:creator>
  <cp:lastModifiedBy>ʚ小 画月牙 ིྀɞ</cp:lastModifiedBy>
  <cp:lastPrinted>2021-07-29T11:56:00Z</cp:lastPrinted>
  <dcterms:modified xsi:type="dcterms:W3CDTF">2022-10-20T17:22:12Z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69820E1C8C9F40D5ADCEDE32D48AB236</vt:lpwstr>
  </property>
</Properties>
</file>