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Override PartName="/word/theme/themeOverride2.xml" ContentType="application/vnd.openxmlformats-officedocument.themeOverride+xml"/>
  <Override PartName="/word/theme/themeOverride3.xml" ContentType="application/vnd.openxmlformats-officedocument.themeOverride+xml"/>
  <Override PartName="/word/theme/themeOverride4.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jc w:val="center"/>
        <w:rPr>
          <w:rFonts w:ascii="黑体" w:hAnsi="黑体" w:eastAsia="黑体"/>
          <w:sz w:val="72"/>
          <w:szCs w:val="72"/>
        </w:rPr>
      </w:pPr>
      <w:bookmarkStart w:id="1" w:name="_Toc15377425"/>
      <w:bookmarkStart w:id="2" w:name="_Toc15396597"/>
      <w:bookmarkStart w:id="3" w:name="_Toc15396475"/>
      <w:bookmarkStart w:id="4" w:name="_Toc15377193"/>
      <w:bookmarkStart w:id="5" w:name="_Toc15378441"/>
      <w:r>
        <w:rPr>
          <w:rFonts w:ascii="黑体" w:hAnsi="黑体" w:eastAsia="黑体"/>
          <w:sz w:val="72"/>
          <w:szCs w:val="72"/>
        </w:rPr>
        <w:t>2020</w:t>
      </w:r>
      <w:r>
        <w:rPr>
          <w:rFonts w:hint="eastAsia" w:ascii="黑体" w:hAnsi="黑体" w:eastAsia="黑体"/>
          <w:sz w:val="72"/>
          <w:szCs w:val="72"/>
        </w:rPr>
        <w:t>年度</w:t>
      </w:r>
      <w:bookmarkEnd w:id="1"/>
      <w:bookmarkEnd w:id="2"/>
      <w:bookmarkEnd w:id="3"/>
      <w:bookmarkEnd w:id="4"/>
      <w:bookmarkEnd w:id="5"/>
    </w:p>
    <w:p>
      <w:pPr>
        <w:jc w:val="center"/>
        <w:rPr>
          <w:rFonts w:ascii="方正小标宋简体" w:eastAsia="方正小标宋简体"/>
          <w:sz w:val="72"/>
          <w:szCs w:val="72"/>
        </w:rPr>
      </w:pPr>
      <w:bookmarkStart w:id="6" w:name="_Toc15377426"/>
      <w:bookmarkStart w:id="7" w:name="_Toc15396476"/>
      <w:bookmarkStart w:id="8" w:name="_Toc15377194"/>
      <w:bookmarkStart w:id="9" w:name="_Toc15378442"/>
      <w:bookmarkStart w:id="10" w:name="_Toc15396598"/>
      <w:r>
        <w:rPr>
          <w:rFonts w:hint="eastAsia" w:ascii="方正小标宋简体" w:eastAsia="方正小标宋简体"/>
          <w:sz w:val="72"/>
          <w:szCs w:val="72"/>
        </w:rPr>
        <w:t>四川省阿坝州</w:t>
      </w:r>
      <w:bookmarkEnd w:id="0"/>
      <w:bookmarkStart w:id="11" w:name="_Toc15306268"/>
      <w:r>
        <w:rPr>
          <w:rFonts w:hint="eastAsia" w:ascii="方正小标宋简体" w:eastAsia="方正小标宋简体"/>
          <w:sz w:val="72"/>
          <w:szCs w:val="72"/>
          <w:lang w:val="en-US" w:eastAsia="zh-CN"/>
        </w:rPr>
        <w:t>壤塘县藏医院</w:t>
      </w:r>
      <w:r>
        <w:rPr>
          <w:rFonts w:hint="eastAsia" w:ascii="方正小标宋简体" w:eastAsia="方正小标宋简体"/>
          <w:sz w:val="72"/>
          <w:szCs w:val="72"/>
        </w:rPr>
        <w:t>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保密审查情况：已审查，内容审定</w:t>
      </w:r>
    </w:p>
    <w:p>
      <w:pPr>
        <w:autoSpaceDE w:val="0"/>
        <w:autoSpaceDN w:val="0"/>
        <w:adjustRightInd w:val="0"/>
        <w:ind w:left="420" w:leftChars="200"/>
        <w:jc w:val="left"/>
        <w:rPr>
          <w:rFonts w:hint="eastAsia" w:ascii="宋体" w:hAnsi="宋体" w:cs="仿宋_GB2312"/>
          <w:sz w:val="32"/>
          <w:szCs w:val="32"/>
        </w:rPr>
      </w:pPr>
      <w:r>
        <w:rPr>
          <w:rFonts w:hint="eastAsia" w:ascii="宋体" w:hAnsi="宋体" w:cs="仿宋_GB2312"/>
          <w:sz w:val="32"/>
          <w:szCs w:val="32"/>
        </w:rPr>
        <w:t>部门主要负责人审签情况：已审签，同意对外公开</w:t>
      </w:r>
    </w:p>
    <w:p>
      <w:pPr>
        <w:autoSpaceDE w:val="0"/>
        <w:autoSpaceDN w:val="0"/>
        <w:adjustRightInd w:val="0"/>
        <w:ind w:left="420" w:leftChars="200"/>
        <w:jc w:val="center"/>
        <w:rPr>
          <w:rFonts w:ascii="黑体" w:hAnsi="黑体" w:eastAsia="黑体"/>
          <w:color w:val="000000"/>
          <w:sz w:val="48"/>
          <w:szCs w:val="48"/>
        </w:rPr>
      </w:pPr>
      <w:r>
        <w:rPr>
          <w:rFonts w:hint="eastAsia" w:ascii="黑体" w:hAnsi="黑体" w:eastAsia="黑体"/>
          <w:color w:val="000000"/>
          <w:sz w:val="48"/>
          <w:szCs w:val="48"/>
        </w:rPr>
        <w:t>目录</w:t>
      </w:r>
    </w:p>
    <w:p>
      <w:pPr>
        <w:pStyle w:val="13"/>
        <w:ind w:firstLine="2640" w:firstLineChars="1100"/>
        <w:jc w:val="both"/>
        <w:rPr>
          <w:rFonts w:hAnsiTheme="minorHAnsi"/>
          <w:b w:val="0"/>
          <w:bCs w:val="0"/>
          <w:sz w:val="24"/>
          <w:szCs w:val="24"/>
        </w:rPr>
      </w:pPr>
      <w:r>
        <w:rPr>
          <w:rFonts w:hint="eastAsia" w:hAnsiTheme="minorHAnsi"/>
          <w:b w:val="0"/>
          <w:bCs w:val="0"/>
          <w:sz w:val="24"/>
          <w:szCs w:val="24"/>
        </w:rPr>
        <w:t>公开时间：2021年</w:t>
      </w:r>
      <w:r>
        <w:rPr>
          <w:rFonts w:hint="eastAsia" w:hAnsiTheme="minorHAnsi"/>
          <w:b w:val="0"/>
          <w:bCs w:val="0"/>
          <w:sz w:val="24"/>
          <w:szCs w:val="24"/>
          <w:lang w:val="en-US" w:eastAsia="zh-CN"/>
        </w:rPr>
        <w:t>10</w:t>
      </w:r>
      <w:r>
        <w:rPr>
          <w:rFonts w:hint="eastAsia" w:hAnsiTheme="minorHAnsi"/>
          <w:b w:val="0"/>
          <w:bCs w:val="0"/>
          <w:sz w:val="24"/>
          <w:szCs w:val="24"/>
        </w:rPr>
        <w:t>月</w:t>
      </w:r>
      <w:r>
        <w:rPr>
          <w:rFonts w:hint="eastAsia" w:hAnsiTheme="minorHAnsi"/>
          <w:b w:val="0"/>
          <w:bCs w:val="0"/>
          <w:sz w:val="24"/>
          <w:szCs w:val="24"/>
          <w:lang w:val="en-US" w:eastAsia="zh-CN"/>
        </w:rPr>
        <w:t>25</w:t>
      </w:r>
      <w:r>
        <w:rPr>
          <w:rFonts w:hint="eastAsia" w:hAnsiTheme="minorHAnsi"/>
          <w:b w:val="0"/>
          <w:bCs w:val="0"/>
          <w:sz w:val="24"/>
          <w:szCs w:val="24"/>
        </w:rPr>
        <w:t>日</w:t>
      </w:r>
    </w:p>
    <w:p>
      <w:pPr>
        <w:pStyle w:val="13"/>
        <w:tabs>
          <w:tab w:val="right" w:leader="dot" w:pos="8306"/>
        </w:tabs>
      </w:pPr>
      <w:r>
        <w:rPr>
          <w:b w:val="0"/>
          <w:bCs w:val="0"/>
          <w:caps w:val="0"/>
        </w:rPr>
        <w:fldChar w:fldCharType="begin"/>
      </w:r>
      <w:r>
        <w:rPr>
          <w:b w:val="0"/>
          <w:bCs w:val="0"/>
          <w:caps w:val="0"/>
        </w:rPr>
        <w:instrText xml:space="preserve"> TOC \o \u </w:instrText>
      </w:r>
      <w:r>
        <w:rPr>
          <w:b w:val="0"/>
          <w:bCs w:val="0"/>
          <w:caps w:val="0"/>
        </w:rPr>
        <w:fldChar w:fldCharType="separate"/>
      </w:r>
      <w:r>
        <w:rPr>
          <w:rFonts w:hint="eastAsia" w:ascii="黑体" w:hAnsi="黑体" w:eastAsia="黑体"/>
        </w:rPr>
        <w:t>第一部分</w:t>
      </w:r>
      <w:r>
        <w:rPr>
          <w:rFonts w:ascii="黑体" w:hAnsi="黑体" w:eastAsia="黑体"/>
        </w:rPr>
        <w:t xml:space="preserve"> </w:t>
      </w:r>
      <w:r>
        <w:rPr>
          <w:rFonts w:hint="eastAsia" w:ascii="黑体" w:hAnsi="黑体" w:eastAsia="黑体"/>
          <w:bCs w:val="0"/>
        </w:rPr>
        <w:t>部门概况</w:t>
      </w:r>
      <w:r>
        <w:tab/>
      </w:r>
      <w:r>
        <w:fldChar w:fldCharType="begin"/>
      </w:r>
      <w:r>
        <w:instrText xml:space="preserve"> PAGEREF _Toc2183 </w:instrText>
      </w:r>
      <w:r>
        <w:fldChar w:fldCharType="separate"/>
      </w:r>
      <w:r>
        <w:t>1</w:t>
      </w:r>
      <w:r>
        <w:fldChar w:fldCharType="end"/>
      </w:r>
    </w:p>
    <w:p>
      <w:pPr>
        <w:pStyle w:val="16"/>
        <w:tabs>
          <w:tab w:val="right" w:leader="dot" w:pos="8306"/>
        </w:tabs>
      </w:pPr>
      <w:r>
        <w:rPr>
          <w:rFonts w:hint="eastAsia" w:ascii="黑体" w:hAnsi="黑体" w:eastAsia="黑体"/>
          <w:color w:val="000000"/>
        </w:rPr>
        <w:t>一、基</w:t>
      </w:r>
      <w:r>
        <w:rPr>
          <w:rFonts w:hint="eastAsia" w:ascii="黑体" w:hAnsi="黑体" w:eastAsia="黑体"/>
          <w:bCs w:val="0"/>
        </w:rPr>
        <w:t>本职能及主要工作</w:t>
      </w:r>
      <w:r>
        <w:tab/>
      </w:r>
      <w:r>
        <w:fldChar w:fldCharType="begin"/>
      </w:r>
      <w:r>
        <w:instrText xml:space="preserve"> PAGEREF _Toc29840 </w:instrText>
      </w:r>
      <w:r>
        <w:fldChar w:fldCharType="separate"/>
      </w:r>
      <w:r>
        <w:t>1</w:t>
      </w:r>
      <w:r>
        <w:fldChar w:fldCharType="end"/>
      </w:r>
    </w:p>
    <w:p>
      <w:pPr>
        <w:pStyle w:val="8"/>
        <w:tabs>
          <w:tab w:val="right" w:leader="dot" w:pos="8306"/>
        </w:tabs>
      </w:pPr>
      <w:r>
        <w:rPr>
          <w:rFonts w:hint="eastAsia" w:ascii="仿宋" w:hAnsi="仿宋" w:eastAsia="仿宋"/>
          <w:bCs/>
          <w:color w:val="000000"/>
          <w:szCs w:val="32"/>
        </w:rPr>
        <w:t>（一）主要职能。</w:t>
      </w:r>
      <w:r>
        <w:tab/>
      </w:r>
      <w:r>
        <w:fldChar w:fldCharType="begin"/>
      </w:r>
      <w:r>
        <w:instrText xml:space="preserve"> PAGEREF _Toc31274 </w:instrText>
      </w:r>
      <w:r>
        <w:fldChar w:fldCharType="separate"/>
      </w:r>
      <w:r>
        <w:t>1</w:t>
      </w:r>
      <w:r>
        <w:fldChar w:fldCharType="end"/>
      </w:r>
    </w:p>
    <w:p>
      <w:pPr>
        <w:pStyle w:val="8"/>
        <w:tabs>
          <w:tab w:val="right" w:leader="dot" w:pos="8306"/>
        </w:tabs>
      </w:pPr>
      <w:r>
        <w:rPr>
          <w:rFonts w:hint="eastAsia" w:ascii="仿宋" w:hAnsi="仿宋" w:eastAsia="仿宋"/>
          <w:bCs/>
          <w:color w:val="000000"/>
          <w:szCs w:val="32"/>
        </w:rPr>
        <w:t>（二）</w:t>
      </w:r>
      <w:r>
        <w:rPr>
          <w:rFonts w:ascii="仿宋" w:hAnsi="仿宋" w:eastAsia="仿宋"/>
          <w:bCs/>
          <w:color w:val="000000"/>
          <w:szCs w:val="32"/>
        </w:rPr>
        <w:t>2020</w:t>
      </w:r>
      <w:r>
        <w:rPr>
          <w:rFonts w:hint="eastAsia" w:ascii="仿宋" w:hAnsi="仿宋" w:eastAsia="仿宋"/>
          <w:bCs/>
          <w:color w:val="000000"/>
          <w:szCs w:val="32"/>
        </w:rPr>
        <w:t>年重点工作完成情况。</w:t>
      </w:r>
      <w:r>
        <w:tab/>
      </w:r>
      <w:r>
        <w:fldChar w:fldCharType="begin"/>
      </w:r>
      <w:r>
        <w:instrText xml:space="preserve"> PAGEREF _Toc26986 </w:instrText>
      </w:r>
      <w:r>
        <w:fldChar w:fldCharType="separate"/>
      </w:r>
      <w:r>
        <w:t>1</w:t>
      </w:r>
      <w:r>
        <w:fldChar w:fldCharType="end"/>
      </w:r>
    </w:p>
    <w:p>
      <w:pPr>
        <w:pStyle w:val="16"/>
        <w:tabs>
          <w:tab w:val="right" w:leader="dot" w:pos="8306"/>
        </w:tabs>
      </w:pPr>
      <w:r>
        <w:rPr>
          <w:rFonts w:hint="eastAsia" w:ascii="黑体" w:eastAsia="黑体"/>
          <w:color w:val="000000"/>
        </w:rPr>
        <w:t>二、</w:t>
      </w:r>
      <w:r>
        <w:rPr>
          <w:rFonts w:hint="eastAsia" w:ascii="黑体" w:hAnsi="黑体" w:eastAsia="黑体"/>
          <w:color w:val="000000"/>
        </w:rPr>
        <w:t>机</w:t>
      </w:r>
      <w:r>
        <w:rPr>
          <w:rFonts w:hint="eastAsia" w:ascii="黑体" w:hAnsi="黑体" w:eastAsia="黑体"/>
          <w:bCs w:val="0"/>
        </w:rPr>
        <w:t>构设置</w:t>
      </w:r>
      <w:r>
        <w:tab/>
      </w:r>
      <w:r>
        <w:fldChar w:fldCharType="begin"/>
      </w:r>
      <w:r>
        <w:instrText xml:space="preserve"> PAGEREF _Toc17390 </w:instrText>
      </w:r>
      <w:r>
        <w:fldChar w:fldCharType="separate"/>
      </w:r>
      <w:r>
        <w:t>3</w:t>
      </w:r>
      <w:r>
        <w:fldChar w:fldCharType="end"/>
      </w:r>
    </w:p>
    <w:p>
      <w:pPr>
        <w:pStyle w:val="13"/>
        <w:tabs>
          <w:tab w:val="right" w:leader="dot" w:pos="8306"/>
        </w:tabs>
      </w:pPr>
      <w:r>
        <w:rPr>
          <w:rFonts w:hint="eastAsia" w:ascii="黑体" w:hAnsi="黑体" w:eastAsia="黑体"/>
          <w:color w:val="000000"/>
        </w:rPr>
        <w:t>第二部分</w:t>
      </w:r>
      <w:r>
        <w:rPr>
          <w:rFonts w:ascii="黑体" w:hAnsi="黑体" w:eastAsia="黑体"/>
          <w:color w:val="000000"/>
        </w:rPr>
        <w:t xml:space="preserve"> </w:t>
      </w:r>
      <w:r>
        <w:rPr>
          <w:rFonts w:ascii="黑体" w:hAnsi="黑体" w:eastAsia="黑体"/>
          <w:bCs w:val="0"/>
        </w:rPr>
        <w:t>2020</w:t>
      </w:r>
      <w:r>
        <w:rPr>
          <w:rFonts w:hint="eastAsia" w:ascii="黑体" w:hAnsi="黑体" w:eastAsia="黑体"/>
          <w:bCs w:val="0"/>
        </w:rPr>
        <w:t>年度部门决算情况说明</w:t>
      </w:r>
      <w:r>
        <w:tab/>
      </w:r>
      <w:r>
        <w:fldChar w:fldCharType="begin"/>
      </w:r>
      <w:r>
        <w:instrText xml:space="preserve"> PAGEREF _Toc589 </w:instrText>
      </w:r>
      <w:r>
        <w:fldChar w:fldCharType="separate"/>
      </w:r>
      <w:r>
        <w:t>4</w:t>
      </w:r>
      <w:r>
        <w:fldChar w:fldCharType="end"/>
      </w:r>
    </w:p>
    <w:p>
      <w:pPr>
        <w:pStyle w:val="16"/>
        <w:tabs>
          <w:tab w:val="right" w:leader="dot" w:pos="8306"/>
        </w:tabs>
      </w:pPr>
      <w:r>
        <w:rPr>
          <w:rFonts w:hint="default" w:ascii="黑体" w:hAnsi="黑体" w:eastAsia="黑体" w:cs="Times New Roman"/>
        </w:rPr>
        <w:t xml:space="preserve">一、 </w:t>
      </w:r>
      <w:r>
        <w:rPr>
          <w:rFonts w:hint="eastAsia" w:ascii="黑体" w:hAnsi="黑体" w:eastAsia="黑体"/>
          <w:color w:val="000000"/>
          <w:szCs w:val="32"/>
        </w:rPr>
        <w:t>收</w:t>
      </w:r>
      <w:r>
        <w:rPr>
          <w:rFonts w:hint="eastAsia" w:ascii="黑体" w:hAnsi="黑体" w:eastAsia="黑体"/>
        </w:rPr>
        <w:t>入支出决算总体情况说明</w:t>
      </w:r>
      <w:r>
        <w:tab/>
      </w:r>
      <w:r>
        <w:fldChar w:fldCharType="begin"/>
      </w:r>
      <w:r>
        <w:instrText xml:space="preserve"> PAGEREF _Toc18784 </w:instrText>
      </w:r>
      <w:r>
        <w:fldChar w:fldCharType="separate"/>
      </w:r>
      <w:r>
        <w:t>4</w:t>
      </w:r>
      <w:r>
        <w:fldChar w:fldCharType="end"/>
      </w:r>
    </w:p>
    <w:p>
      <w:pPr>
        <w:pStyle w:val="16"/>
        <w:tabs>
          <w:tab w:val="right" w:leader="dot" w:pos="8306"/>
        </w:tabs>
      </w:pPr>
      <w:r>
        <w:rPr>
          <w:rFonts w:hint="default" w:ascii="黑体" w:hAnsi="黑体" w:eastAsia="黑体" w:cs="Times New Roman"/>
        </w:rPr>
        <w:t xml:space="preserve">二、 </w:t>
      </w:r>
      <w:r>
        <w:rPr>
          <w:rFonts w:hint="eastAsia" w:ascii="黑体" w:hAnsi="黑体" w:eastAsia="黑体"/>
          <w:color w:val="000000"/>
          <w:szCs w:val="32"/>
        </w:rPr>
        <w:t>收</w:t>
      </w:r>
      <w:r>
        <w:rPr>
          <w:rFonts w:hint="eastAsia" w:ascii="黑体" w:hAnsi="黑体" w:eastAsia="黑体"/>
        </w:rPr>
        <w:t>入决算情况说明</w:t>
      </w:r>
      <w:r>
        <w:tab/>
      </w:r>
      <w:r>
        <w:fldChar w:fldCharType="begin"/>
      </w:r>
      <w:r>
        <w:instrText xml:space="preserve"> PAGEREF _Toc27075 </w:instrText>
      </w:r>
      <w:r>
        <w:fldChar w:fldCharType="separate"/>
      </w:r>
      <w:r>
        <w:t>4</w:t>
      </w:r>
      <w:r>
        <w:fldChar w:fldCharType="end"/>
      </w:r>
    </w:p>
    <w:p>
      <w:pPr>
        <w:pStyle w:val="16"/>
        <w:tabs>
          <w:tab w:val="right" w:leader="dot" w:pos="8306"/>
        </w:tabs>
      </w:pPr>
      <w:r>
        <w:rPr>
          <w:rFonts w:hint="default" w:ascii="黑体" w:hAnsi="黑体" w:eastAsia="黑体" w:cs="Times New Roman"/>
        </w:rPr>
        <w:t xml:space="preserve">三、 </w:t>
      </w:r>
      <w:r>
        <w:rPr>
          <w:rFonts w:hint="eastAsia" w:ascii="黑体" w:hAnsi="黑体" w:eastAsia="黑体"/>
          <w:color w:val="000000"/>
          <w:szCs w:val="32"/>
        </w:rPr>
        <w:t>支</w:t>
      </w:r>
      <w:r>
        <w:rPr>
          <w:rFonts w:hint="eastAsia" w:ascii="黑体" w:hAnsi="黑体" w:eastAsia="黑体"/>
        </w:rPr>
        <w:t>出决算情况说明</w:t>
      </w:r>
      <w:r>
        <w:tab/>
      </w:r>
      <w:r>
        <w:fldChar w:fldCharType="begin"/>
      </w:r>
      <w:r>
        <w:instrText xml:space="preserve"> PAGEREF _Toc29494 </w:instrText>
      </w:r>
      <w:r>
        <w:fldChar w:fldCharType="separate"/>
      </w:r>
      <w:r>
        <w:t>5</w:t>
      </w:r>
      <w:r>
        <w:fldChar w:fldCharType="end"/>
      </w:r>
    </w:p>
    <w:p>
      <w:pPr>
        <w:pStyle w:val="16"/>
        <w:tabs>
          <w:tab w:val="right" w:leader="dot" w:pos="8306"/>
        </w:tabs>
      </w:pPr>
      <w:r>
        <w:rPr>
          <w:rFonts w:hint="eastAsia" w:ascii="黑体" w:hAnsi="黑体" w:eastAsia="黑体"/>
          <w:color w:val="000000"/>
          <w:szCs w:val="32"/>
        </w:rPr>
        <w:t>四、财</w:t>
      </w:r>
      <w:r>
        <w:rPr>
          <w:rFonts w:hint="eastAsia" w:ascii="黑体" w:hAnsi="黑体" w:eastAsia="黑体"/>
        </w:rPr>
        <w:t>政拨款收入支出决算总体情况说明</w:t>
      </w:r>
      <w:r>
        <w:tab/>
      </w:r>
      <w:r>
        <w:fldChar w:fldCharType="begin"/>
      </w:r>
      <w:r>
        <w:instrText xml:space="preserve"> PAGEREF _Toc29881 </w:instrText>
      </w:r>
      <w:r>
        <w:fldChar w:fldCharType="separate"/>
      </w:r>
      <w:r>
        <w:t>5</w:t>
      </w:r>
      <w:r>
        <w:fldChar w:fldCharType="end"/>
      </w:r>
    </w:p>
    <w:p>
      <w:pPr>
        <w:pStyle w:val="16"/>
        <w:tabs>
          <w:tab w:val="right" w:leader="dot" w:pos="8306"/>
        </w:tabs>
      </w:pPr>
      <w:r>
        <w:rPr>
          <w:rFonts w:hint="eastAsia" w:ascii="黑体" w:hAnsi="黑体" w:eastAsia="黑体"/>
          <w:color w:val="000000"/>
          <w:szCs w:val="32"/>
        </w:rPr>
        <w:t>五、一</w:t>
      </w:r>
      <w:r>
        <w:rPr>
          <w:rFonts w:hint="eastAsia" w:ascii="黑体" w:hAnsi="黑体" w:eastAsia="黑体"/>
        </w:rPr>
        <w:t>般公共预算财政拨款支出决算情况说明</w:t>
      </w:r>
      <w:r>
        <w:tab/>
      </w:r>
      <w:r>
        <w:fldChar w:fldCharType="begin"/>
      </w:r>
      <w:r>
        <w:instrText xml:space="preserve"> PAGEREF _Toc15754 </w:instrText>
      </w:r>
      <w:r>
        <w:fldChar w:fldCharType="separate"/>
      </w:r>
      <w:r>
        <w:t>6</w:t>
      </w:r>
      <w:r>
        <w:fldChar w:fldCharType="end"/>
      </w:r>
    </w:p>
    <w:p>
      <w:pPr>
        <w:pStyle w:val="8"/>
        <w:tabs>
          <w:tab w:val="right" w:leader="dot" w:pos="8306"/>
        </w:tabs>
      </w:pPr>
      <w:r>
        <w:rPr>
          <w:rFonts w:hint="eastAsia" w:ascii="仿宋" w:hAnsi="仿宋" w:eastAsia="仿宋"/>
          <w:color w:val="000000"/>
          <w:szCs w:val="32"/>
        </w:rPr>
        <w:t>（一）一般公共预算财政拨款支出决算总体情况</w:t>
      </w:r>
      <w:r>
        <w:tab/>
      </w:r>
      <w:r>
        <w:fldChar w:fldCharType="begin"/>
      </w:r>
      <w:r>
        <w:instrText xml:space="preserve"> PAGEREF _Toc17979 </w:instrText>
      </w:r>
      <w:r>
        <w:fldChar w:fldCharType="separate"/>
      </w:r>
      <w:r>
        <w:t>6</w:t>
      </w:r>
      <w:r>
        <w:fldChar w:fldCharType="end"/>
      </w:r>
    </w:p>
    <w:p>
      <w:pPr>
        <w:pStyle w:val="8"/>
        <w:tabs>
          <w:tab w:val="right" w:leader="dot" w:pos="8306"/>
        </w:tabs>
      </w:pPr>
      <w:r>
        <w:rPr>
          <w:rFonts w:hint="eastAsia" w:ascii="仿宋" w:hAnsi="仿宋" w:eastAsia="仿宋"/>
          <w:color w:val="000000"/>
          <w:szCs w:val="32"/>
        </w:rPr>
        <w:t>（二）一般公共预算财政拨款支出决算结构情况</w:t>
      </w:r>
      <w:r>
        <w:tab/>
      </w:r>
      <w:r>
        <w:fldChar w:fldCharType="begin"/>
      </w:r>
      <w:r>
        <w:instrText xml:space="preserve"> PAGEREF _Toc24874 </w:instrText>
      </w:r>
      <w:r>
        <w:fldChar w:fldCharType="separate"/>
      </w:r>
      <w:r>
        <w:t>6</w:t>
      </w:r>
      <w:r>
        <w:fldChar w:fldCharType="end"/>
      </w:r>
    </w:p>
    <w:p>
      <w:pPr>
        <w:pStyle w:val="8"/>
        <w:tabs>
          <w:tab w:val="right" w:leader="dot" w:pos="8306"/>
        </w:tabs>
      </w:pPr>
      <w:r>
        <w:rPr>
          <w:rFonts w:hint="eastAsia" w:ascii="仿宋" w:hAnsi="仿宋" w:eastAsia="仿宋"/>
          <w:color w:val="000000"/>
          <w:szCs w:val="32"/>
        </w:rPr>
        <w:t>（三）一般公共预算财政拨款支出决算具体情况</w:t>
      </w:r>
      <w:r>
        <w:tab/>
      </w:r>
      <w:r>
        <w:fldChar w:fldCharType="begin"/>
      </w:r>
      <w:r>
        <w:instrText xml:space="preserve"> PAGEREF _Toc5639 </w:instrText>
      </w:r>
      <w:r>
        <w:fldChar w:fldCharType="separate"/>
      </w:r>
      <w:r>
        <w:t>7</w:t>
      </w:r>
      <w:r>
        <w:fldChar w:fldCharType="end"/>
      </w:r>
    </w:p>
    <w:p>
      <w:pPr>
        <w:pStyle w:val="16"/>
        <w:tabs>
          <w:tab w:val="right" w:leader="dot" w:pos="8306"/>
        </w:tabs>
        <w:rPr>
          <w:rFonts w:hint="eastAsia" w:eastAsiaTheme="minorHAnsi"/>
          <w:lang w:eastAsia="zh-CN"/>
        </w:rPr>
      </w:pPr>
      <w:r>
        <w:rPr>
          <w:rFonts w:hint="eastAsia" w:ascii="黑体" w:eastAsia="黑体"/>
          <w:color w:val="000000"/>
          <w:szCs w:val="32"/>
        </w:rPr>
        <w:t>六、</w:t>
      </w:r>
      <w:r>
        <w:rPr>
          <w:rFonts w:hint="eastAsia" w:ascii="黑体" w:hAnsi="黑体" w:eastAsia="黑体"/>
          <w:color w:val="000000"/>
          <w:szCs w:val="32"/>
        </w:rPr>
        <w:t>一</w:t>
      </w:r>
      <w:r>
        <w:rPr>
          <w:rFonts w:hint="eastAsia" w:ascii="黑体" w:hAnsi="黑体" w:eastAsia="黑体"/>
        </w:rPr>
        <w:t>般公共预算财政拨款基本支出决算情况说明</w:t>
      </w:r>
      <w:r>
        <w:tab/>
      </w:r>
      <w:r>
        <w:rPr>
          <w:rFonts w:hint="eastAsia"/>
          <w:lang w:val="en-US" w:eastAsia="zh-CN"/>
        </w:rPr>
        <w:t>9</w:t>
      </w:r>
    </w:p>
    <w:p>
      <w:pPr>
        <w:pStyle w:val="16"/>
        <w:tabs>
          <w:tab w:val="right" w:leader="dot" w:pos="8306"/>
        </w:tabs>
        <w:rPr>
          <w:rFonts w:hint="default" w:eastAsiaTheme="minorHAnsi"/>
          <w:lang w:val="en-US" w:eastAsia="zh-CN"/>
        </w:rPr>
      </w:pPr>
      <w:r>
        <w:rPr>
          <w:rFonts w:hint="eastAsia" w:ascii="黑体" w:eastAsia="黑体"/>
          <w:color w:val="000000"/>
          <w:szCs w:val="32"/>
        </w:rPr>
        <w:t>七、</w:t>
      </w:r>
      <w:r>
        <w:rPr>
          <w:rFonts w:hint="eastAsia" w:ascii="黑体" w:hAnsi="黑体" w:eastAsia="黑体"/>
        </w:rPr>
        <w:t>“三公”经费财政拨款支出决算情况说明</w:t>
      </w:r>
      <w:r>
        <w:tab/>
      </w:r>
      <w:r>
        <w:rPr>
          <w:rFonts w:hint="eastAsia"/>
          <w:lang w:val="en-US" w:eastAsia="zh-CN"/>
        </w:rPr>
        <w:t>10</w:t>
      </w:r>
    </w:p>
    <w:p>
      <w:pPr>
        <w:pStyle w:val="8"/>
        <w:tabs>
          <w:tab w:val="right" w:leader="dot" w:pos="8306"/>
        </w:tabs>
        <w:rPr>
          <w:rFonts w:hint="eastAsia" w:eastAsiaTheme="minorHAnsi"/>
          <w:lang w:eastAsia="zh-CN"/>
        </w:rPr>
      </w:pPr>
      <w:r>
        <w:rPr>
          <w:rFonts w:hint="eastAsia" w:ascii="仿宋" w:hAnsi="仿宋" w:eastAsia="仿宋"/>
          <w:color w:val="000000"/>
          <w:szCs w:val="32"/>
        </w:rPr>
        <w:t>（一）“三公”经费财政拨款支出决算总体情况说明</w:t>
      </w:r>
      <w:r>
        <w:tab/>
      </w:r>
      <w:r>
        <w:rPr>
          <w:rFonts w:hint="eastAsia"/>
          <w:lang w:val="en-US" w:eastAsia="zh-CN"/>
        </w:rPr>
        <w:t>10</w:t>
      </w:r>
    </w:p>
    <w:p>
      <w:pPr>
        <w:pStyle w:val="8"/>
        <w:tabs>
          <w:tab w:val="right" w:leader="dot" w:pos="8306"/>
        </w:tabs>
        <w:rPr>
          <w:rFonts w:hint="default" w:eastAsiaTheme="minorHAnsi"/>
          <w:lang w:val="en-US" w:eastAsia="zh-CN"/>
        </w:rPr>
      </w:pPr>
      <w:r>
        <w:rPr>
          <w:rFonts w:hint="eastAsia" w:ascii="仿宋" w:hAnsi="仿宋" w:eastAsia="仿宋"/>
          <w:color w:val="000000"/>
          <w:szCs w:val="32"/>
        </w:rPr>
        <w:t>（二）“三公”经费财政拨款支出决算具体情况说明</w:t>
      </w:r>
      <w:r>
        <w:tab/>
      </w:r>
      <w:r>
        <w:rPr>
          <w:rFonts w:hint="eastAsia"/>
          <w:lang w:val="en-US" w:eastAsia="zh-CN"/>
        </w:rPr>
        <w:t>10</w:t>
      </w:r>
    </w:p>
    <w:p>
      <w:pPr>
        <w:pStyle w:val="16"/>
        <w:tabs>
          <w:tab w:val="right" w:leader="dot" w:pos="8306"/>
        </w:tabs>
        <w:rPr>
          <w:rFonts w:hint="default" w:eastAsiaTheme="minorHAnsi"/>
          <w:lang w:val="en-US" w:eastAsia="zh-CN"/>
        </w:rPr>
      </w:pPr>
      <w:r>
        <w:rPr>
          <w:rFonts w:hint="eastAsia" w:ascii="黑体" w:eastAsia="黑体"/>
          <w:color w:val="000000"/>
          <w:szCs w:val="32"/>
        </w:rPr>
        <w:t>八、</w:t>
      </w:r>
      <w:r>
        <w:rPr>
          <w:rFonts w:hint="eastAsia" w:ascii="黑体" w:hAnsi="黑体" w:eastAsia="黑体"/>
        </w:rPr>
        <w:t>政府性基金预算支出决算情况说明</w:t>
      </w:r>
      <w:r>
        <w:tab/>
      </w:r>
      <w:r>
        <w:rPr>
          <w:rFonts w:hint="eastAsia"/>
          <w:lang w:val="en-US" w:eastAsia="zh-CN"/>
        </w:rPr>
        <w:t>10</w:t>
      </w:r>
    </w:p>
    <w:p>
      <w:pPr>
        <w:pStyle w:val="16"/>
        <w:tabs>
          <w:tab w:val="right" w:leader="dot" w:pos="8306"/>
        </w:tabs>
        <w:rPr>
          <w:rFonts w:hint="default" w:eastAsiaTheme="minorHAnsi"/>
          <w:lang w:val="en-US" w:eastAsia="zh-CN"/>
        </w:rPr>
      </w:pPr>
      <w:r>
        <w:rPr>
          <w:rFonts w:hint="eastAsia" w:ascii="黑体" w:hAnsi="黑体" w:eastAsia="黑体" w:cs="Times New Roman"/>
        </w:rPr>
        <w:t xml:space="preserve">九、 </w:t>
      </w:r>
      <w:r>
        <w:rPr>
          <w:rFonts w:hint="eastAsia" w:ascii="黑体" w:hAnsi="黑体" w:eastAsia="黑体"/>
        </w:rPr>
        <w:t>国有资本经营预算支出决算情况说明</w:t>
      </w:r>
      <w:r>
        <w:tab/>
      </w:r>
      <w:r>
        <w:rPr>
          <w:rFonts w:hint="eastAsia"/>
          <w:lang w:val="en-US" w:eastAsia="zh-CN"/>
        </w:rPr>
        <w:t>10</w:t>
      </w:r>
    </w:p>
    <w:p>
      <w:pPr>
        <w:pStyle w:val="16"/>
        <w:tabs>
          <w:tab w:val="right" w:leader="dot" w:pos="8306"/>
        </w:tabs>
        <w:rPr>
          <w:rFonts w:hint="default" w:eastAsiaTheme="minorHAnsi"/>
          <w:lang w:val="en-US" w:eastAsia="zh-CN"/>
        </w:rPr>
      </w:pPr>
      <w:r>
        <w:rPr>
          <w:rFonts w:hint="eastAsia" w:ascii="黑体" w:hAnsi="黑体" w:eastAsia="黑体"/>
          <w:color w:val="000000"/>
          <w:szCs w:val="32"/>
        </w:rPr>
        <w:t>十</w:t>
      </w:r>
      <w:r>
        <w:rPr>
          <w:rFonts w:hint="eastAsia" w:ascii="黑体" w:hAnsi="黑体" w:eastAsia="黑体"/>
        </w:rPr>
        <w:t>、其他重要事项的情况说明</w:t>
      </w:r>
      <w:r>
        <w:tab/>
      </w:r>
      <w:r>
        <w:rPr>
          <w:rFonts w:hint="eastAsia"/>
          <w:lang w:val="en-US" w:eastAsia="zh-CN"/>
        </w:rPr>
        <w:t>10</w:t>
      </w:r>
    </w:p>
    <w:p>
      <w:pPr>
        <w:pStyle w:val="8"/>
        <w:tabs>
          <w:tab w:val="right" w:leader="dot" w:pos="8306"/>
        </w:tabs>
        <w:rPr>
          <w:rFonts w:hint="default" w:eastAsiaTheme="minorHAnsi"/>
          <w:lang w:val="en-US" w:eastAsia="zh-CN"/>
        </w:rPr>
      </w:pPr>
      <w:r>
        <w:rPr>
          <w:rFonts w:hint="eastAsia" w:ascii="仿宋" w:hAnsi="仿宋" w:eastAsia="仿宋"/>
          <w:color w:val="000000"/>
          <w:szCs w:val="32"/>
        </w:rPr>
        <w:t>（一）机关运行经费支出情况</w:t>
      </w:r>
      <w:r>
        <w:tab/>
      </w:r>
      <w:r>
        <w:rPr>
          <w:rFonts w:hint="eastAsia"/>
          <w:lang w:val="en-US" w:eastAsia="zh-CN"/>
        </w:rPr>
        <w:t>10</w:t>
      </w:r>
    </w:p>
    <w:p>
      <w:pPr>
        <w:pStyle w:val="8"/>
        <w:tabs>
          <w:tab w:val="right" w:leader="dot" w:pos="8306"/>
        </w:tabs>
        <w:rPr>
          <w:rFonts w:hint="default" w:eastAsiaTheme="minorHAnsi"/>
          <w:lang w:val="en-US" w:eastAsia="zh-CN"/>
        </w:rPr>
      </w:pPr>
      <w:r>
        <w:rPr>
          <w:rFonts w:hint="eastAsia" w:ascii="仿宋" w:hAnsi="仿宋" w:eastAsia="仿宋"/>
          <w:color w:val="000000"/>
          <w:szCs w:val="32"/>
        </w:rPr>
        <w:t>（二）政府采购支出情况</w:t>
      </w:r>
      <w:r>
        <w:tab/>
      </w:r>
      <w:r>
        <w:rPr>
          <w:rFonts w:hint="eastAsia"/>
          <w:lang w:val="en-US" w:eastAsia="zh-CN"/>
        </w:rPr>
        <w:t>11</w:t>
      </w:r>
    </w:p>
    <w:p>
      <w:pPr>
        <w:pStyle w:val="8"/>
        <w:tabs>
          <w:tab w:val="right" w:leader="dot" w:pos="8306"/>
        </w:tabs>
        <w:rPr>
          <w:rFonts w:hint="default" w:eastAsiaTheme="minorHAnsi"/>
          <w:lang w:val="en-US" w:eastAsia="zh-CN"/>
        </w:rPr>
      </w:pPr>
      <w:r>
        <w:rPr>
          <w:rFonts w:hint="eastAsia" w:ascii="仿宋" w:hAnsi="仿宋" w:eastAsia="仿宋"/>
          <w:color w:val="000000"/>
          <w:szCs w:val="32"/>
        </w:rPr>
        <w:t>（三）国有资产占有使用情况</w:t>
      </w:r>
      <w:r>
        <w:tab/>
      </w:r>
      <w:r>
        <w:rPr>
          <w:rFonts w:hint="eastAsia"/>
          <w:lang w:val="en-US" w:eastAsia="zh-CN"/>
        </w:rPr>
        <w:t>11</w:t>
      </w:r>
    </w:p>
    <w:p>
      <w:pPr>
        <w:pStyle w:val="8"/>
        <w:tabs>
          <w:tab w:val="right" w:leader="dot" w:pos="8306"/>
        </w:tabs>
        <w:rPr>
          <w:rFonts w:hint="default" w:eastAsiaTheme="minorHAnsi"/>
          <w:lang w:val="en-US" w:eastAsia="zh-CN"/>
        </w:rPr>
      </w:pPr>
      <w:r>
        <w:rPr>
          <w:rFonts w:hint="eastAsia" w:ascii="仿宋" w:hAnsi="仿宋" w:eastAsia="仿宋"/>
          <w:color w:val="000000"/>
          <w:szCs w:val="32"/>
        </w:rPr>
        <w:t>（四） 预算绩效管理情况。</w:t>
      </w:r>
      <w:r>
        <w:tab/>
      </w:r>
      <w:r>
        <w:rPr>
          <w:rFonts w:hint="eastAsia"/>
          <w:lang w:val="en-US" w:eastAsia="zh-CN"/>
        </w:rPr>
        <w:t>11</w:t>
      </w:r>
    </w:p>
    <w:p>
      <w:pPr>
        <w:pStyle w:val="13"/>
        <w:tabs>
          <w:tab w:val="right" w:leader="dot" w:pos="8306"/>
        </w:tabs>
        <w:rPr>
          <w:rFonts w:hint="default" w:eastAsiaTheme="minorHAnsi"/>
          <w:lang w:val="en-US" w:eastAsia="zh-CN"/>
        </w:rPr>
      </w:pPr>
      <w:r>
        <w:rPr>
          <w:rFonts w:hint="eastAsia" w:ascii="黑体" w:hAnsi="黑体" w:eastAsia="黑体" w:cs="Times New Roman"/>
        </w:rPr>
        <w:t xml:space="preserve">第三部分 </w:t>
      </w:r>
      <w:r>
        <w:rPr>
          <w:rFonts w:hint="eastAsia" w:ascii="黑体" w:hAnsi="黑体" w:eastAsia="黑体"/>
          <w:color w:val="000000"/>
          <w:szCs w:val="44"/>
        </w:rPr>
        <w:t>名</w:t>
      </w:r>
      <w:r>
        <w:rPr>
          <w:rFonts w:hint="eastAsia" w:ascii="黑体" w:hAnsi="黑体" w:eastAsia="黑体"/>
        </w:rPr>
        <w:t>词解释</w:t>
      </w:r>
      <w:r>
        <w:tab/>
      </w:r>
      <w:r>
        <w:rPr>
          <w:rFonts w:hint="eastAsia"/>
          <w:lang w:val="en-US" w:eastAsia="zh-CN"/>
        </w:rPr>
        <w:t>15</w:t>
      </w:r>
    </w:p>
    <w:p>
      <w:pPr>
        <w:pStyle w:val="13"/>
        <w:tabs>
          <w:tab w:val="right" w:leader="dot" w:pos="8306"/>
        </w:tabs>
        <w:rPr>
          <w:rFonts w:hint="default" w:eastAsiaTheme="minorHAnsi"/>
          <w:lang w:val="en-US" w:eastAsia="zh-CN"/>
        </w:rPr>
      </w:pPr>
      <w:r>
        <w:rPr>
          <w:rFonts w:hint="eastAsia" w:ascii="黑体" w:hAnsi="黑体" w:eastAsia="黑体"/>
          <w:color w:val="000000"/>
          <w:szCs w:val="44"/>
        </w:rPr>
        <w:t>第</w:t>
      </w:r>
      <w:r>
        <w:rPr>
          <w:rFonts w:hint="eastAsia" w:ascii="黑体" w:hAnsi="黑体" w:eastAsia="黑体"/>
        </w:rPr>
        <w:t>四部分</w:t>
      </w:r>
      <w:r>
        <w:rPr>
          <w:rFonts w:ascii="黑体" w:hAnsi="黑体" w:eastAsia="黑体"/>
        </w:rPr>
        <w:t xml:space="preserve"> </w:t>
      </w:r>
      <w:r>
        <w:rPr>
          <w:rFonts w:hint="eastAsia" w:ascii="黑体" w:hAnsi="黑体" w:eastAsia="黑体"/>
        </w:rPr>
        <w:t>附件</w:t>
      </w:r>
      <w:r>
        <w:tab/>
      </w:r>
      <w:r>
        <w:rPr>
          <w:rFonts w:hint="eastAsia"/>
          <w:lang w:val="en-US" w:eastAsia="zh-CN"/>
        </w:rPr>
        <w:t>18</w:t>
      </w:r>
    </w:p>
    <w:p>
      <w:pPr>
        <w:pStyle w:val="13"/>
        <w:tabs>
          <w:tab w:val="right" w:leader="dot" w:pos="8306"/>
        </w:tabs>
        <w:rPr>
          <w:rFonts w:hint="default" w:eastAsiaTheme="minorHAnsi"/>
          <w:lang w:val="en-US" w:eastAsia="zh-CN"/>
        </w:rPr>
      </w:pPr>
      <w:r>
        <w:rPr>
          <w:rFonts w:hint="eastAsia" w:ascii="黑体" w:hAnsi="黑体" w:eastAsia="黑体" w:cs="黑体"/>
          <w:szCs w:val="32"/>
        </w:rPr>
        <w:t>附件</w:t>
      </w:r>
      <w:r>
        <w:rPr>
          <w:rFonts w:ascii="黑体" w:hAnsi="黑体" w:eastAsia="黑体" w:cs="黑体"/>
          <w:szCs w:val="32"/>
        </w:rPr>
        <w:t>1</w:t>
      </w:r>
      <w:r>
        <w:tab/>
      </w:r>
      <w:r>
        <w:rPr>
          <w:rFonts w:hint="eastAsia"/>
          <w:lang w:val="en-US" w:eastAsia="zh-CN"/>
        </w:rPr>
        <w:t>18</w:t>
      </w:r>
    </w:p>
    <w:p>
      <w:pPr>
        <w:pStyle w:val="13"/>
        <w:tabs>
          <w:tab w:val="right" w:leader="dot" w:pos="8306"/>
        </w:tabs>
        <w:rPr>
          <w:rFonts w:hint="default" w:eastAsiaTheme="minorHAnsi"/>
          <w:lang w:val="en-US" w:eastAsia="zh-CN"/>
        </w:rPr>
      </w:pPr>
      <w:r>
        <w:rPr>
          <w:rFonts w:hint="eastAsia" w:ascii="黑体" w:hAnsi="黑体" w:eastAsia="黑体"/>
          <w:color w:val="000000"/>
          <w:szCs w:val="44"/>
        </w:rPr>
        <w:t>第</w:t>
      </w:r>
      <w:r>
        <w:rPr>
          <w:rFonts w:hint="eastAsia" w:ascii="黑体" w:hAnsi="黑体" w:eastAsia="黑体"/>
        </w:rPr>
        <w:t>五部分</w:t>
      </w:r>
      <w:r>
        <w:rPr>
          <w:rFonts w:ascii="黑体" w:hAnsi="黑体" w:eastAsia="黑体"/>
        </w:rPr>
        <w:t xml:space="preserve"> </w:t>
      </w:r>
      <w:r>
        <w:rPr>
          <w:rFonts w:hint="eastAsia" w:ascii="黑体" w:hAnsi="黑体" w:eastAsia="黑体"/>
        </w:rPr>
        <w:t>附表</w:t>
      </w:r>
      <w:r>
        <w:tab/>
      </w:r>
      <w:r>
        <w:rPr>
          <w:rFonts w:hint="eastAsia"/>
          <w:lang w:val="en-US" w:eastAsia="zh-CN"/>
        </w:rPr>
        <w:t>22</w:t>
      </w:r>
    </w:p>
    <w:p>
      <w:pPr>
        <w:pStyle w:val="16"/>
        <w:tabs>
          <w:tab w:val="right" w:leader="dot" w:pos="8306"/>
        </w:tabs>
        <w:rPr>
          <w:rFonts w:hint="default" w:eastAsiaTheme="minorHAnsi"/>
          <w:lang w:val="en-US" w:eastAsia="zh-CN"/>
        </w:rPr>
      </w:pPr>
      <w:r>
        <w:rPr>
          <w:rFonts w:hint="eastAsia" w:ascii="仿宋" w:hAnsi="仿宋" w:eastAsia="仿宋"/>
          <w:color w:val="000000"/>
        </w:rPr>
        <w:t>一、收</w:t>
      </w:r>
      <w:r>
        <w:rPr>
          <w:rFonts w:hint="eastAsia" w:ascii="仿宋" w:hAnsi="仿宋" w:eastAsia="仿宋"/>
          <w:bCs w:val="0"/>
        </w:rPr>
        <w:t>入支出决算总表</w:t>
      </w:r>
      <w:r>
        <w:tab/>
      </w:r>
      <w:r>
        <w:rPr>
          <w:rFonts w:hint="eastAsia"/>
          <w:lang w:val="en-US" w:eastAsia="zh-CN"/>
        </w:rPr>
        <w:t>22</w:t>
      </w:r>
    </w:p>
    <w:p>
      <w:pPr>
        <w:pStyle w:val="16"/>
        <w:tabs>
          <w:tab w:val="right" w:leader="dot" w:pos="8306"/>
        </w:tabs>
        <w:rPr>
          <w:rFonts w:hint="default" w:eastAsiaTheme="minorHAnsi"/>
          <w:lang w:val="en-US" w:eastAsia="zh-CN"/>
        </w:rPr>
      </w:pPr>
      <w:r>
        <w:rPr>
          <w:rFonts w:hint="eastAsia" w:ascii="仿宋" w:hAnsi="仿宋" w:eastAsia="仿宋"/>
          <w:color w:val="000000"/>
        </w:rPr>
        <w:t>二、收</w:t>
      </w:r>
      <w:r>
        <w:rPr>
          <w:rFonts w:hint="eastAsia" w:ascii="仿宋" w:hAnsi="仿宋" w:eastAsia="仿宋"/>
          <w:bCs w:val="0"/>
        </w:rPr>
        <w:t>入决算表</w:t>
      </w:r>
      <w:r>
        <w:tab/>
      </w:r>
      <w:r>
        <w:rPr>
          <w:rFonts w:hint="eastAsia"/>
          <w:lang w:val="en-US" w:eastAsia="zh-CN"/>
        </w:rPr>
        <w:t>22</w:t>
      </w:r>
      <w:bookmarkStart w:id="159" w:name="_GoBack"/>
      <w:bookmarkEnd w:id="159"/>
    </w:p>
    <w:p>
      <w:pPr>
        <w:pStyle w:val="16"/>
        <w:tabs>
          <w:tab w:val="right" w:leader="dot" w:pos="8306"/>
        </w:tabs>
        <w:rPr>
          <w:rFonts w:hint="default" w:eastAsiaTheme="minorHAnsi"/>
          <w:lang w:val="en-US" w:eastAsia="zh-CN"/>
        </w:rPr>
      </w:pPr>
      <w:r>
        <w:rPr>
          <w:rFonts w:hint="eastAsia" w:ascii="仿宋" w:hAnsi="仿宋" w:eastAsia="仿宋"/>
          <w:bCs w:val="0"/>
        </w:rPr>
        <w:t>三、</w:t>
      </w:r>
      <w:r>
        <w:rPr>
          <w:rFonts w:hint="eastAsia" w:ascii="仿宋" w:hAnsi="仿宋" w:eastAsia="仿宋"/>
          <w:color w:val="000000"/>
        </w:rPr>
        <w:t>支</w:t>
      </w:r>
      <w:r>
        <w:rPr>
          <w:rFonts w:hint="eastAsia" w:ascii="仿宋" w:hAnsi="仿宋" w:eastAsia="仿宋"/>
          <w:bCs w:val="0"/>
        </w:rPr>
        <w:t>出决算表</w:t>
      </w:r>
      <w:r>
        <w:tab/>
      </w:r>
      <w:r>
        <w:rPr>
          <w:rFonts w:hint="eastAsia"/>
          <w:lang w:val="en-US" w:eastAsia="zh-CN"/>
        </w:rPr>
        <w:t>22</w:t>
      </w:r>
    </w:p>
    <w:p>
      <w:pPr>
        <w:pStyle w:val="16"/>
        <w:tabs>
          <w:tab w:val="right" w:leader="dot" w:pos="8306"/>
        </w:tabs>
        <w:rPr>
          <w:rFonts w:hint="default" w:eastAsiaTheme="minorHAnsi"/>
          <w:lang w:val="en-US" w:eastAsia="zh-CN"/>
        </w:rPr>
      </w:pPr>
      <w:r>
        <w:rPr>
          <w:rFonts w:hint="eastAsia" w:ascii="仿宋" w:hAnsi="仿宋" w:eastAsia="仿宋"/>
          <w:bCs w:val="0"/>
        </w:rPr>
        <w:t>四、</w:t>
      </w:r>
      <w:r>
        <w:rPr>
          <w:rFonts w:hint="eastAsia" w:ascii="仿宋" w:hAnsi="仿宋" w:eastAsia="仿宋"/>
          <w:color w:val="000000"/>
        </w:rPr>
        <w:t>财</w:t>
      </w:r>
      <w:r>
        <w:rPr>
          <w:rFonts w:hint="eastAsia" w:ascii="仿宋" w:hAnsi="仿宋" w:eastAsia="仿宋"/>
          <w:bCs w:val="0"/>
        </w:rPr>
        <w:t>政拨款收入支出决算总表</w:t>
      </w:r>
      <w:r>
        <w:tab/>
      </w:r>
      <w:r>
        <w:rPr>
          <w:rFonts w:hint="eastAsia"/>
          <w:lang w:val="en-US" w:eastAsia="zh-CN"/>
        </w:rPr>
        <w:t>22</w:t>
      </w:r>
    </w:p>
    <w:p>
      <w:pPr>
        <w:pStyle w:val="16"/>
        <w:tabs>
          <w:tab w:val="right" w:leader="dot" w:pos="8306"/>
        </w:tabs>
        <w:rPr>
          <w:rFonts w:hint="default" w:eastAsiaTheme="minorHAnsi"/>
          <w:lang w:val="en-US" w:eastAsia="zh-CN"/>
        </w:rPr>
      </w:pPr>
      <w:r>
        <w:rPr>
          <w:rFonts w:hint="eastAsia" w:ascii="仿宋" w:hAnsi="仿宋" w:eastAsia="仿宋"/>
          <w:bCs w:val="0"/>
        </w:rPr>
        <w:t>五、</w:t>
      </w:r>
      <w:r>
        <w:rPr>
          <w:rFonts w:hint="eastAsia" w:ascii="仿宋" w:hAnsi="仿宋" w:eastAsia="仿宋"/>
          <w:color w:val="000000"/>
        </w:rPr>
        <w:t>财</w:t>
      </w:r>
      <w:r>
        <w:rPr>
          <w:rFonts w:hint="eastAsia" w:ascii="仿宋" w:hAnsi="仿宋" w:eastAsia="仿宋"/>
          <w:bCs w:val="0"/>
        </w:rPr>
        <w:t>政拨款支出决算明细表</w:t>
      </w:r>
      <w:r>
        <w:tab/>
      </w:r>
      <w:r>
        <w:rPr>
          <w:rFonts w:hint="eastAsia"/>
          <w:lang w:val="en-US" w:eastAsia="zh-CN"/>
        </w:rPr>
        <w:t>22</w:t>
      </w:r>
    </w:p>
    <w:p>
      <w:pPr>
        <w:pStyle w:val="16"/>
        <w:tabs>
          <w:tab w:val="right" w:leader="dot" w:pos="8306"/>
        </w:tabs>
        <w:rPr>
          <w:rFonts w:hint="default" w:eastAsiaTheme="minorHAnsi"/>
          <w:lang w:val="en-US" w:eastAsia="zh-CN"/>
        </w:rPr>
      </w:pPr>
      <w:r>
        <w:rPr>
          <w:rFonts w:hint="eastAsia" w:ascii="仿宋" w:hAnsi="仿宋" w:eastAsia="仿宋"/>
          <w:bCs w:val="0"/>
        </w:rPr>
        <w:t>六、</w:t>
      </w:r>
      <w:r>
        <w:rPr>
          <w:rFonts w:hint="eastAsia" w:ascii="仿宋" w:hAnsi="仿宋" w:eastAsia="仿宋"/>
          <w:color w:val="000000"/>
        </w:rPr>
        <w:t>一</w:t>
      </w:r>
      <w:r>
        <w:rPr>
          <w:rFonts w:hint="eastAsia" w:ascii="仿宋" w:hAnsi="仿宋" w:eastAsia="仿宋"/>
          <w:bCs w:val="0"/>
        </w:rPr>
        <w:t>般公共预算财政拨款支出决算表</w:t>
      </w:r>
      <w:r>
        <w:tab/>
      </w:r>
      <w:r>
        <w:rPr>
          <w:rFonts w:hint="eastAsia"/>
          <w:lang w:val="en-US" w:eastAsia="zh-CN"/>
        </w:rPr>
        <w:t>22</w:t>
      </w:r>
    </w:p>
    <w:p>
      <w:pPr>
        <w:pStyle w:val="16"/>
        <w:tabs>
          <w:tab w:val="right" w:leader="dot" w:pos="8306"/>
        </w:tabs>
        <w:rPr>
          <w:rFonts w:hint="default" w:eastAsiaTheme="minorHAnsi"/>
          <w:lang w:val="en-US" w:eastAsia="zh-CN"/>
        </w:rPr>
      </w:pPr>
      <w:r>
        <w:rPr>
          <w:rFonts w:hint="eastAsia" w:ascii="仿宋" w:hAnsi="仿宋" w:eastAsia="仿宋"/>
          <w:bCs w:val="0"/>
        </w:rPr>
        <w:t>七、</w:t>
      </w:r>
      <w:r>
        <w:rPr>
          <w:rFonts w:hint="eastAsia" w:ascii="仿宋" w:hAnsi="仿宋" w:eastAsia="仿宋"/>
          <w:color w:val="000000"/>
        </w:rPr>
        <w:t>一</w:t>
      </w:r>
      <w:r>
        <w:rPr>
          <w:rFonts w:hint="eastAsia" w:ascii="仿宋" w:hAnsi="仿宋" w:eastAsia="仿宋"/>
          <w:bCs w:val="0"/>
        </w:rPr>
        <w:t>般公共预算财政拨款支出决算明细表</w:t>
      </w:r>
      <w:r>
        <w:tab/>
      </w:r>
      <w:r>
        <w:rPr>
          <w:rFonts w:hint="eastAsia"/>
          <w:lang w:val="en-US" w:eastAsia="zh-CN"/>
        </w:rPr>
        <w:t>22</w:t>
      </w:r>
    </w:p>
    <w:p>
      <w:pPr>
        <w:pStyle w:val="16"/>
        <w:tabs>
          <w:tab w:val="right" w:leader="dot" w:pos="8306"/>
        </w:tabs>
        <w:rPr>
          <w:rFonts w:hint="default" w:eastAsiaTheme="minorHAnsi"/>
          <w:lang w:val="en-US" w:eastAsia="zh-CN"/>
        </w:rPr>
      </w:pPr>
      <w:r>
        <w:rPr>
          <w:rFonts w:hint="eastAsia" w:ascii="仿宋" w:hAnsi="仿宋" w:eastAsia="仿宋"/>
          <w:bCs w:val="0"/>
        </w:rPr>
        <w:t>八、</w:t>
      </w:r>
      <w:r>
        <w:rPr>
          <w:rFonts w:hint="eastAsia" w:ascii="仿宋" w:hAnsi="仿宋" w:eastAsia="仿宋"/>
          <w:color w:val="000000"/>
        </w:rPr>
        <w:t>一</w:t>
      </w:r>
      <w:r>
        <w:rPr>
          <w:rFonts w:hint="eastAsia" w:ascii="仿宋" w:hAnsi="仿宋" w:eastAsia="仿宋"/>
          <w:bCs w:val="0"/>
        </w:rPr>
        <w:t>般公共预算财政拨款基本支出决算表</w:t>
      </w:r>
      <w:r>
        <w:tab/>
      </w:r>
      <w:r>
        <w:rPr>
          <w:rFonts w:hint="eastAsia"/>
          <w:lang w:val="en-US" w:eastAsia="zh-CN"/>
        </w:rPr>
        <w:t>22</w:t>
      </w:r>
    </w:p>
    <w:p>
      <w:pPr>
        <w:pStyle w:val="16"/>
        <w:tabs>
          <w:tab w:val="right" w:leader="dot" w:pos="8306"/>
        </w:tabs>
        <w:rPr>
          <w:rFonts w:hint="default" w:eastAsiaTheme="minorHAnsi"/>
          <w:lang w:val="en-US" w:eastAsia="zh-CN"/>
        </w:rPr>
      </w:pPr>
      <w:r>
        <w:rPr>
          <w:rFonts w:hint="eastAsia" w:ascii="仿宋" w:hAnsi="仿宋" w:eastAsia="仿宋"/>
          <w:bCs w:val="0"/>
        </w:rPr>
        <w:t>九、</w:t>
      </w:r>
      <w:r>
        <w:rPr>
          <w:rFonts w:hint="eastAsia" w:ascii="仿宋" w:hAnsi="仿宋" w:eastAsia="仿宋"/>
          <w:color w:val="000000"/>
        </w:rPr>
        <w:t>一</w:t>
      </w:r>
      <w:r>
        <w:rPr>
          <w:rFonts w:hint="eastAsia" w:ascii="仿宋" w:hAnsi="仿宋" w:eastAsia="仿宋"/>
          <w:bCs w:val="0"/>
        </w:rPr>
        <w:t>般公共预算财政拨款项目支出决算表</w:t>
      </w:r>
      <w:r>
        <w:tab/>
      </w:r>
      <w:r>
        <w:rPr>
          <w:rFonts w:hint="eastAsia"/>
          <w:lang w:val="en-US" w:eastAsia="zh-CN"/>
        </w:rPr>
        <w:t>22</w:t>
      </w:r>
    </w:p>
    <w:p>
      <w:pPr>
        <w:pStyle w:val="16"/>
        <w:tabs>
          <w:tab w:val="right" w:leader="dot" w:pos="8306"/>
        </w:tabs>
        <w:rPr>
          <w:rFonts w:hint="default" w:eastAsiaTheme="minorHAnsi"/>
          <w:lang w:val="en-US" w:eastAsia="zh-CN"/>
        </w:rPr>
      </w:pPr>
      <w:r>
        <w:rPr>
          <w:rFonts w:hint="eastAsia" w:ascii="仿宋" w:hAnsi="仿宋" w:eastAsia="仿宋"/>
          <w:bCs w:val="0"/>
        </w:rPr>
        <w:t>十、</w:t>
      </w:r>
      <w:r>
        <w:rPr>
          <w:rFonts w:hint="eastAsia" w:ascii="仿宋" w:hAnsi="仿宋" w:eastAsia="仿宋"/>
          <w:color w:val="000000"/>
        </w:rPr>
        <w:t>一</w:t>
      </w:r>
      <w:r>
        <w:rPr>
          <w:rFonts w:hint="eastAsia" w:ascii="仿宋" w:hAnsi="仿宋" w:eastAsia="仿宋"/>
          <w:bCs w:val="0"/>
        </w:rPr>
        <w:t>般公共预算财政拨款“三公”经费支出决算表</w:t>
      </w:r>
      <w:r>
        <w:tab/>
      </w:r>
      <w:r>
        <w:rPr>
          <w:rFonts w:hint="eastAsia"/>
          <w:lang w:val="en-US" w:eastAsia="zh-CN"/>
        </w:rPr>
        <w:t>22</w:t>
      </w:r>
    </w:p>
    <w:p>
      <w:pPr>
        <w:pStyle w:val="16"/>
        <w:tabs>
          <w:tab w:val="right" w:leader="dot" w:pos="8306"/>
        </w:tabs>
        <w:rPr>
          <w:rFonts w:hint="default" w:eastAsiaTheme="minorHAnsi"/>
          <w:lang w:val="en-US" w:eastAsia="zh-CN"/>
        </w:rPr>
      </w:pPr>
      <w:r>
        <w:rPr>
          <w:rFonts w:hint="eastAsia" w:ascii="仿宋" w:hAnsi="仿宋" w:eastAsia="仿宋"/>
          <w:bCs w:val="0"/>
        </w:rPr>
        <w:t>十一、</w:t>
      </w:r>
      <w:r>
        <w:rPr>
          <w:rFonts w:hint="eastAsia" w:ascii="仿宋" w:hAnsi="仿宋" w:eastAsia="仿宋"/>
          <w:color w:val="000000"/>
        </w:rPr>
        <w:t>政</w:t>
      </w:r>
      <w:r>
        <w:rPr>
          <w:rFonts w:hint="eastAsia" w:ascii="仿宋" w:hAnsi="仿宋" w:eastAsia="仿宋"/>
          <w:bCs w:val="0"/>
        </w:rPr>
        <w:t>府性基金预算财政拨款收入支出决算表</w:t>
      </w:r>
      <w:r>
        <w:tab/>
      </w:r>
      <w:r>
        <w:rPr>
          <w:rFonts w:hint="eastAsia"/>
          <w:lang w:val="en-US" w:eastAsia="zh-CN"/>
        </w:rPr>
        <w:t>22</w:t>
      </w:r>
    </w:p>
    <w:p>
      <w:pPr>
        <w:pStyle w:val="16"/>
        <w:tabs>
          <w:tab w:val="right" w:leader="dot" w:pos="8306"/>
        </w:tabs>
        <w:rPr>
          <w:rFonts w:hint="default" w:eastAsiaTheme="minorHAnsi"/>
          <w:lang w:val="en-US" w:eastAsia="zh-CN"/>
        </w:rPr>
      </w:pPr>
      <w:r>
        <w:rPr>
          <w:rFonts w:hint="eastAsia" w:ascii="仿宋" w:hAnsi="仿宋" w:eastAsia="仿宋"/>
          <w:bCs w:val="0"/>
        </w:rPr>
        <w:t>十二、</w:t>
      </w:r>
      <w:r>
        <w:rPr>
          <w:rFonts w:hint="eastAsia" w:ascii="仿宋" w:hAnsi="仿宋" w:eastAsia="仿宋"/>
          <w:color w:val="000000"/>
        </w:rPr>
        <w:t>政</w:t>
      </w:r>
      <w:r>
        <w:rPr>
          <w:rFonts w:hint="eastAsia" w:ascii="仿宋" w:hAnsi="仿宋" w:eastAsia="仿宋"/>
          <w:bCs w:val="0"/>
        </w:rPr>
        <w:t>府性基金预算财政拨款“三公”经费支出决算表</w:t>
      </w:r>
      <w:r>
        <w:tab/>
      </w:r>
      <w:r>
        <w:rPr>
          <w:rFonts w:hint="eastAsia"/>
          <w:lang w:val="en-US" w:eastAsia="zh-CN"/>
        </w:rPr>
        <w:t>22</w:t>
      </w:r>
    </w:p>
    <w:p>
      <w:pPr>
        <w:pStyle w:val="16"/>
        <w:tabs>
          <w:tab w:val="right" w:leader="dot" w:pos="8306"/>
        </w:tabs>
        <w:rPr>
          <w:rFonts w:hint="default" w:eastAsiaTheme="minorHAnsi"/>
          <w:lang w:val="en-US" w:eastAsia="zh-CN"/>
        </w:rPr>
      </w:pPr>
      <w:r>
        <w:rPr>
          <w:rFonts w:hint="eastAsia" w:ascii="仿宋" w:hAnsi="仿宋" w:eastAsia="仿宋"/>
          <w:bCs w:val="0"/>
        </w:rPr>
        <w:t>十三、</w:t>
      </w:r>
      <w:r>
        <w:rPr>
          <w:rFonts w:hint="eastAsia" w:ascii="仿宋" w:hAnsi="仿宋" w:eastAsia="仿宋"/>
          <w:color w:val="000000"/>
        </w:rPr>
        <w:t>国</w:t>
      </w:r>
      <w:r>
        <w:rPr>
          <w:rFonts w:hint="eastAsia" w:ascii="仿宋" w:hAnsi="仿宋" w:eastAsia="仿宋"/>
          <w:bCs w:val="0"/>
        </w:rPr>
        <w:t>有资本经营预算财政拨款支出决算表</w:t>
      </w:r>
      <w:r>
        <w:tab/>
      </w:r>
      <w:r>
        <w:rPr>
          <w:rFonts w:hint="eastAsia"/>
          <w:lang w:val="en-US" w:eastAsia="zh-CN"/>
        </w:rPr>
        <w:t>22</w:t>
      </w:r>
    </w:p>
    <w:p>
      <w:pPr>
        <w:pStyle w:val="16"/>
        <w:tabs>
          <w:tab w:val="right" w:leader="dot" w:pos="8306"/>
        </w:tabs>
        <w:rPr>
          <w:rFonts w:hint="default" w:eastAsiaTheme="minorHAnsi"/>
          <w:lang w:val="en-US" w:eastAsia="zh-CN"/>
        </w:rPr>
      </w:pPr>
      <w:r>
        <w:rPr>
          <w:rFonts w:hint="eastAsia" w:ascii="仿宋" w:hAnsi="仿宋" w:eastAsia="仿宋"/>
          <w:bCs w:val="0"/>
        </w:rPr>
        <w:t>十四、国有资本经营预算财政拨款支出决算表</w:t>
      </w:r>
      <w:r>
        <w:tab/>
      </w:r>
      <w:r>
        <w:rPr>
          <w:rFonts w:hint="eastAsia"/>
          <w:lang w:val="en-US" w:eastAsia="zh-CN"/>
        </w:rPr>
        <w:t>22</w:t>
      </w:r>
    </w:p>
    <w:p>
      <w:r>
        <w:rPr>
          <w:rFonts w:asciiTheme="minorHAnsi" w:eastAsiaTheme="minorHAnsi"/>
          <w:bCs/>
          <w:caps/>
          <w:szCs w:val="20"/>
        </w:rPr>
        <w:fldChar w:fldCharType="end"/>
      </w:r>
    </w:p>
    <w:p>
      <w:pPr>
        <w:pStyle w:val="2"/>
        <w:jc w:val="center"/>
        <w:rPr>
          <w:rFonts w:hint="eastAsia" w:ascii="黑体" w:hAnsi="黑体" w:eastAsia="黑体"/>
          <w:b w:val="0"/>
        </w:rPr>
        <w:sectPr>
          <w:headerReference r:id="rId3" w:type="default"/>
          <w:pgSz w:w="11906" w:h="16838"/>
          <w:pgMar w:top="1440" w:right="1800" w:bottom="1440" w:left="1800" w:header="851" w:footer="992" w:gutter="0"/>
          <w:pgNumType w:start="1"/>
          <w:cols w:space="425" w:num="1"/>
          <w:titlePg/>
          <w:docGrid w:type="lines" w:linePitch="312" w:charSpace="0"/>
        </w:sectPr>
      </w:pPr>
      <w:bookmarkStart w:id="12" w:name="_Toc15396599"/>
      <w:bookmarkStart w:id="13" w:name="_Toc79163601"/>
      <w:bookmarkStart w:id="14" w:name="_Toc2183"/>
      <w:bookmarkStart w:id="15" w:name="_Toc15377196"/>
    </w:p>
    <w:p>
      <w:pPr>
        <w:pStyle w:val="2"/>
        <w:jc w:val="center"/>
        <w:rPr>
          <w:rFonts w:ascii="黑体" w:eastAsia="黑体"/>
          <w:color w:val="000000"/>
          <w:sz w:val="32"/>
          <w:szCs w:val="32"/>
        </w:rPr>
      </w:pPr>
      <w:r>
        <w:rPr>
          <w:rFonts w:hint="eastAsia" w:ascii="黑体" w:hAnsi="黑体" w:eastAsia="黑体"/>
          <w:b w:val="0"/>
        </w:rPr>
        <w:t>第一部分</w:t>
      </w:r>
      <w:r>
        <w:rPr>
          <w:rFonts w:ascii="黑体" w:hAnsi="黑体" w:eastAsia="黑体"/>
          <w:b w:val="0"/>
        </w:rPr>
        <w:t xml:space="preserve"> </w:t>
      </w:r>
      <w:r>
        <w:rPr>
          <w:rStyle w:val="22"/>
          <w:rFonts w:hint="eastAsia" w:ascii="黑体" w:hAnsi="黑体" w:eastAsia="黑体"/>
          <w:b w:val="0"/>
          <w:bCs w:val="0"/>
        </w:rPr>
        <w:t>部门概况</w:t>
      </w:r>
      <w:bookmarkEnd w:id="12"/>
      <w:bookmarkEnd w:id="13"/>
      <w:bookmarkEnd w:id="14"/>
      <w:bookmarkEnd w:id="15"/>
    </w:p>
    <w:p>
      <w:pPr>
        <w:pStyle w:val="3"/>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Style w:val="23"/>
          <w:rFonts w:ascii="仿宋" w:hAnsi="仿宋" w:eastAsia="仿宋"/>
          <w:b w:val="0"/>
          <w:bCs w:val="0"/>
        </w:rPr>
      </w:pPr>
      <w:bookmarkStart w:id="16" w:name="_Toc15377197"/>
      <w:bookmarkStart w:id="17" w:name="_Toc15396600"/>
      <w:bookmarkStart w:id="18" w:name="_Toc79163602"/>
      <w:bookmarkStart w:id="19" w:name="_Toc29840"/>
      <w:r>
        <w:rPr>
          <w:rFonts w:hint="eastAsia" w:ascii="黑体" w:hAnsi="黑体" w:eastAsia="黑体"/>
          <w:b w:val="0"/>
          <w:color w:val="000000"/>
        </w:rPr>
        <w:t>一、基</w:t>
      </w:r>
      <w:r>
        <w:rPr>
          <w:rStyle w:val="23"/>
          <w:rFonts w:hint="eastAsia" w:ascii="黑体" w:hAnsi="黑体" w:eastAsia="黑体"/>
          <w:b w:val="0"/>
          <w:bCs w:val="0"/>
        </w:rPr>
        <w:t>本职能及主要工作</w:t>
      </w:r>
      <w:bookmarkEnd w:id="16"/>
      <w:bookmarkEnd w:id="17"/>
      <w:bookmarkEnd w:id="18"/>
      <w:bookmarkEnd w:id="19"/>
    </w:p>
    <w:p>
      <w:pPr>
        <w:pStyle w:val="6"/>
        <w:keepNext w:val="0"/>
        <w:keepLines w:val="0"/>
        <w:pageBreakBefore w:val="0"/>
        <w:widowControl w:val="0"/>
        <w:kinsoku/>
        <w:wordWrap/>
        <w:overflowPunct/>
        <w:topLinePunct w:val="0"/>
        <w:autoSpaceDE/>
        <w:autoSpaceDN/>
        <w:bidi w:val="0"/>
        <w:adjustRightInd w:val="0"/>
        <w:snapToGrid w:val="0"/>
        <w:spacing w:beforeLines="0" w:line="560" w:lineRule="exact"/>
        <w:ind w:firstLine="640" w:firstLineChars="200"/>
        <w:textAlignment w:val="auto"/>
        <w:outlineLvl w:val="2"/>
        <w:rPr>
          <w:rFonts w:hint="eastAsia" w:ascii="仿宋" w:hAnsi="仿宋" w:eastAsia="仿宋"/>
          <w:bCs/>
          <w:color w:val="000000"/>
          <w:sz w:val="32"/>
          <w:szCs w:val="32"/>
        </w:rPr>
      </w:pPr>
      <w:bookmarkStart w:id="20" w:name="_Toc31274"/>
      <w:bookmarkStart w:id="21" w:name="_Toc79163603"/>
      <w:bookmarkStart w:id="22" w:name="_Toc15377198"/>
      <w:bookmarkStart w:id="23" w:name="_Toc15378445"/>
      <w:r>
        <w:rPr>
          <w:rFonts w:hint="eastAsia" w:ascii="仿宋" w:hAnsi="仿宋" w:eastAsia="仿宋"/>
          <w:bCs/>
          <w:color w:val="000000"/>
          <w:sz w:val="32"/>
          <w:szCs w:val="32"/>
        </w:rPr>
        <w:t>（一）主要职能</w:t>
      </w:r>
      <w:bookmarkEnd w:id="20"/>
      <w:bookmarkEnd w:id="21"/>
    </w:p>
    <w:bookmarkEnd w:id="22"/>
    <w:bookmarkEnd w:id="23"/>
    <w:p>
      <w:pPr>
        <w:pageBreakBefore w:val="0"/>
        <w:widowControl/>
        <w:kinsoku/>
        <w:wordWrap/>
        <w:overflowPunct/>
        <w:topLinePunct w:val="0"/>
        <w:autoSpaceDE/>
        <w:autoSpaceDN/>
        <w:bidi w:val="0"/>
        <w:spacing w:line="560" w:lineRule="exact"/>
        <w:ind w:firstLine="640" w:firstLineChars="200"/>
        <w:jc w:val="left"/>
        <w:textAlignment w:val="auto"/>
        <w:rPr>
          <w:rFonts w:ascii="仿宋_GB2312" w:hAnsi="宋体" w:eastAsia="仿宋_GB2312" w:cs="宋体"/>
          <w:kern w:val="0"/>
          <w:sz w:val="32"/>
          <w:szCs w:val="32"/>
        </w:rPr>
      </w:pPr>
      <w:bookmarkStart w:id="24" w:name="_Toc15377199"/>
      <w:bookmarkStart w:id="25" w:name="_Toc15378446"/>
      <w:bookmarkStart w:id="26" w:name="_Toc79163604"/>
      <w:r>
        <w:rPr>
          <w:rFonts w:hint="eastAsia" w:ascii="仿宋_GB2312" w:hAnsi="宋体" w:eastAsia="仿宋_GB2312" w:cs="宋体"/>
          <w:kern w:val="0"/>
          <w:sz w:val="32"/>
          <w:szCs w:val="32"/>
        </w:rPr>
        <w:t>根据2015年4月壤塘县人民政府办公室印发《壤塘县卫生和计划生育局主要职责，内设机构和人员编制规定》的通知。（壤府办发【2015】16号）设立壤塘县藏医院为县卫生和计划生育局管理的正科级事业单位。</w:t>
      </w:r>
    </w:p>
    <w:p>
      <w:pPr>
        <w:pageBreakBefore w:val="0"/>
        <w:kinsoku/>
        <w:wordWrap/>
        <w:overflowPunct/>
        <w:topLinePunct w:val="0"/>
        <w:autoSpaceDE/>
        <w:autoSpaceDN/>
        <w:bidi w:val="0"/>
        <w:snapToGrid w:val="0"/>
        <w:spacing w:line="560" w:lineRule="exact"/>
        <w:ind w:firstLine="640" w:firstLineChars="200"/>
        <w:textAlignment w:val="auto"/>
        <w:rPr>
          <w:rFonts w:ascii="仿宋_GB2312" w:hAnsi="仿宋" w:eastAsia="仿宋_GB2312"/>
          <w:sz w:val="32"/>
          <w:szCs w:val="32"/>
        </w:rPr>
      </w:pPr>
      <w:r>
        <w:rPr>
          <w:rFonts w:hint="eastAsia" w:ascii="仿宋_GB2312" w:hAnsi="仿宋" w:eastAsia="仿宋_GB2312"/>
          <w:sz w:val="32"/>
          <w:szCs w:val="32"/>
        </w:rPr>
        <w:t>2．机构情况，包括当年变动情况及原因。</w:t>
      </w:r>
    </w:p>
    <w:p>
      <w:pPr>
        <w:pageBreakBefore w:val="0"/>
        <w:widowControl/>
        <w:kinsoku/>
        <w:wordWrap/>
        <w:overflowPunct/>
        <w:topLinePunct w:val="0"/>
        <w:autoSpaceDE/>
        <w:autoSpaceDN/>
        <w:bidi w:val="0"/>
        <w:spacing w:line="560" w:lineRule="exact"/>
        <w:ind w:firstLine="640" w:firstLineChars="200"/>
        <w:jc w:val="left"/>
        <w:textAlignment w:val="auto"/>
        <w:rPr>
          <w:rFonts w:ascii="仿宋" w:hAnsi="仿宋" w:eastAsia="仿宋"/>
          <w:b/>
          <w:color w:val="000000"/>
          <w:sz w:val="32"/>
          <w:szCs w:val="32"/>
        </w:rPr>
      </w:pPr>
      <w:r>
        <w:rPr>
          <w:rFonts w:hint="eastAsia" w:ascii="仿宋_GB2312" w:hAnsi="宋体" w:eastAsia="仿宋_GB2312" w:cs="宋体"/>
          <w:kern w:val="0"/>
          <w:sz w:val="32"/>
          <w:szCs w:val="32"/>
        </w:rPr>
        <w:t>壤塘县藏医院成立于2010年10月你，机构性质：事业机构，机构级别：属卫生和计划生育局下属二级预算单位，组织机构代码证号是：66027736-3。</w:t>
      </w:r>
    </w:p>
    <w:p>
      <w:pPr>
        <w:pStyle w:val="6"/>
        <w:keepNext w:val="0"/>
        <w:keepLines w:val="0"/>
        <w:pageBreakBefore w:val="0"/>
        <w:widowControl w:val="0"/>
        <w:kinsoku/>
        <w:wordWrap/>
        <w:overflowPunct/>
        <w:topLinePunct w:val="0"/>
        <w:autoSpaceDE/>
        <w:autoSpaceDN/>
        <w:bidi w:val="0"/>
        <w:adjustRightInd w:val="0"/>
        <w:snapToGrid w:val="0"/>
        <w:spacing w:beforeLines="0" w:line="560" w:lineRule="exact"/>
        <w:ind w:firstLine="640" w:firstLineChars="200"/>
        <w:textAlignment w:val="auto"/>
        <w:outlineLvl w:val="2"/>
        <w:rPr>
          <w:rFonts w:hint="eastAsia" w:ascii="仿宋" w:hAnsi="仿宋" w:eastAsia="仿宋"/>
          <w:bCs/>
          <w:color w:val="000000"/>
          <w:sz w:val="32"/>
          <w:szCs w:val="32"/>
        </w:rPr>
      </w:pPr>
      <w:bookmarkStart w:id="27" w:name="_Toc26986"/>
      <w:r>
        <w:rPr>
          <w:rFonts w:hint="eastAsia" w:ascii="仿宋" w:hAnsi="仿宋" w:eastAsia="仿宋"/>
          <w:bCs/>
          <w:color w:val="000000"/>
          <w:sz w:val="32"/>
          <w:szCs w:val="32"/>
        </w:rPr>
        <w:t>（二）</w:t>
      </w:r>
      <w:r>
        <w:rPr>
          <w:rFonts w:ascii="仿宋" w:hAnsi="仿宋" w:eastAsia="仿宋"/>
          <w:bCs/>
          <w:color w:val="000000"/>
          <w:sz w:val="32"/>
          <w:szCs w:val="32"/>
        </w:rPr>
        <w:t>2020</w:t>
      </w:r>
      <w:r>
        <w:rPr>
          <w:rFonts w:hint="eastAsia" w:ascii="仿宋" w:hAnsi="仿宋" w:eastAsia="仿宋"/>
          <w:bCs/>
          <w:color w:val="000000"/>
          <w:sz w:val="32"/>
          <w:szCs w:val="32"/>
        </w:rPr>
        <w:t>年重点工作完成情况</w:t>
      </w:r>
      <w:bookmarkEnd w:id="24"/>
      <w:bookmarkEnd w:id="25"/>
      <w:bookmarkEnd w:id="26"/>
      <w:bookmarkEnd w:id="27"/>
    </w:p>
    <w:p>
      <w:pPr>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仿宋_GB2312" w:eastAsia="仿宋_GB2312"/>
          <w:b w:val="0"/>
          <w:bCs w:val="0"/>
          <w:sz w:val="32"/>
          <w:szCs w:val="32"/>
          <w:lang w:val="en-US" w:eastAsia="zh-CN"/>
        </w:rPr>
      </w:pPr>
      <w:r>
        <w:rPr>
          <w:rFonts w:hint="eastAsia" w:ascii="仿宋_GB2312" w:eastAsia="仿宋_GB2312"/>
          <w:b w:val="0"/>
          <w:bCs w:val="0"/>
          <w:sz w:val="32"/>
          <w:szCs w:val="32"/>
          <w:lang w:val="en-US" w:eastAsia="zh-CN"/>
        </w:rPr>
        <w:t>1、院感制度先建立，实现“零感染</w:t>
      </w:r>
    </w:p>
    <w:p>
      <w:pPr>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仿宋_GB2312" w:eastAsia="仿宋_GB2312"/>
          <w:b w:val="0"/>
          <w:bCs w:val="0"/>
          <w:sz w:val="32"/>
          <w:szCs w:val="32"/>
          <w:lang w:val="en-US" w:eastAsia="zh-CN"/>
        </w:rPr>
      </w:pPr>
      <w:r>
        <w:rPr>
          <w:rFonts w:hint="eastAsia" w:ascii="仿宋_GB2312" w:eastAsia="仿宋_GB2312"/>
          <w:b w:val="0"/>
          <w:bCs w:val="0"/>
          <w:sz w:val="32"/>
          <w:szCs w:val="32"/>
          <w:lang w:val="en-US" w:eastAsia="zh-CN"/>
        </w:rPr>
        <w:t>照四川省医疗机构新型冠状病毒感染的肺炎分区分级防控方案的要求，扎实做好我院院感防控工作，加强对新冠病例和疑似病例的早发现、早隔离、早报告、早诊断、早治疗，保障医疗质量和医疗安全，为了保证我院患者和医务人员的安全，实现“零感染”这个目标，反复强调并多次召开防控部署会议，制定了新冠疫情防控制度、应急预案、防控措施、不断完善预检分诊工作流程、诊疗防护要求等，根据国家卫健委及省卫健委发布的新型冠状病毒感染的流行病学特征和疫情发展情况不断地进行修订。</w:t>
      </w:r>
    </w:p>
    <w:p>
      <w:pPr>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仿宋_GB2312" w:eastAsia="仿宋_GB2312"/>
          <w:b w:val="0"/>
          <w:bCs w:val="0"/>
          <w:sz w:val="32"/>
          <w:szCs w:val="32"/>
          <w:lang w:val="en-US" w:eastAsia="zh-CN"/>
        </w:rPr>
      </w:pPr>
      <w:r>
        <w:rPr>
          <w:rFonts w:hint="eastAsia" w:ascii="仿宋_GB2312" w:eastAsia="仿宋_GB2312"/>
          <w:b w:val="0"/>
          <w:bCs w:val="0"/>
          <w:sz w:val="32"/>
          <w:szCs w:val="32"/>
          <w:lang w:val="en-US" w:eastAsia="zh-CN"/>
        </w:rPr>
        <w:t>2、加强学习，防控培训及考核全覆盖</w:t>
      </w:r>
    </w:p>
    <w:p>
      <w:pPr>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仿宋_GB2312" w:eastAsia="仿宋_GB2312"/>
          <w:b w:val="0"/>
          <w:bCs w:val="0"/>
          <w:sz w:val="32"/>
          <w:szCs w:val="32"/>
          <w:lang w:val="en-US" w:eastAsia="zh-CN"/>
        </w:rPr>
      </w:pPr>
      <w:r>
        <w:rPr>
          <w:rFonts w:hint="eastAsia" w:ascii="仿宋_GB2312" w:eastAsia="仿宋_GB2312"/>
          <w:b w:val="0"/>
          <w:bCs w:val="0"/>
          <w:sz w:val="32"/>
          <w:szCs w:val="32"/>
          <w:lang w:val="en-US" w:eastAsia="zh-CN"/>
        </w:rPr>
        <w:t>为了切实做好新型冠状病毒感染的肺炎疫情防控工作。对全院职工组织开展了16次新冠相关知识培训，培训人次达 140人次。确保防控培训全覆盖全知晓全过关。</w:t>
      </w:r>
    </w:p>
    <w:p>
      <w:pPr>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仿宋_GB2312" w:eastAsia="仿宋_GB2312"/>
          <w:b w:val="0"/>
          <w:bCs w:val="0"/>
          <w:sz w:val="32"/>
          <w:szCs w:val="32"/>
          <w:lang w:val="en-US" w:eastAsia="zh-CN"/>
        </w:rPr>
      </w:pPr>
      <w:r>
        <w:rPr>
          <w:rFonts w:hint="eastAsia" w:ascii="仿宋_GB2312" w:eastAsia="仿宋_GB2312"/>
          <w:b w:val="0"/>
          <w:bCs w:val="0"/>
          <w:sz w:val="32"/>
          <w:szCs w:val="32"/>
          <w:lang w:val="en-US" w:eastAsia="zh-CN"/>
        </w:rPr>
        <w:t>3、防患未然，加强防控措施勤督查、重落实</w:t>
      </w:r>
    </w:p>
    <w:p>
      <w:pPr>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仿宋_GB2312" w:eastAsia="仿宋_GB2312"/>
          <w:b w:val="0"/>
          <w:bCs w:val="0"/>
          <w:sz w:val="32"/>
          <w:szCs w:val="32"/>
          <w:lang w:val="en-US" w:eastAsia="zh-CN"/>
        </w:rPr>
      </w:pPr>
      <w:r>
        <w:rPr>
          <w:rFonts w:hint="eastAsia" w:ascii="仿宋_GB2312" w:eastAsia="仿宋_GB2312"/>
          <w:b w:val="0"/>
          <w:bCs w:val="0"/>
          <w:sz w:val="32"/>
          <w:szCs w:val="32"/>
          <w:lang w:val="en-US" w:eastAsia="zh-CN"/>
        </w:rPr>
        <w:t>为做好医院感染防控工作，确保医务人员个人防护、隔离措施执行到位，落实预检分诊处、发热门诊等重点科室环境卫生、隔离防护、医疗器械是否符合规范，重点关注诊疗工作中的感控风险，提出感控建议，如在隔离防护穿脱及手卫生方面，从而有效的降低感染风险。同时改进新冠医疗废物收集、运送流程，制定新冠应急预案，加强医疗废物管理。全力保障我院医务人员和患者身体健康和生命安全。</w:t>
      </w:r>
    </w:p>
    <w:p>
      <w:pPr>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仿宋_GB2312" w:eastAsia="仿宋_GB2312"/>
          <w:b w:val="0"/>
          <w:bCs w:val="0"/>
          <w:sz w:val="32"/>
          <w:szCs w:val="32"/>
          <w:lang w:val="en-US" w:eastAsia="zh-CN"/>
        </w:rPr>
      </w:pPr>
      <w:r>
        <w:rPr>
          <w:rFonts w:hint="eastAsia" w:ascii="仿宋_GB2312" w:eastAsia="仿宋_GB2312"/>
          <w:b w:val="0"/>
          <w:bCs w:val="0"/>
          <w:sz w:val="32"/>
          <w:szCs w:val="32"/>
          <w:lang w:val="en-US" w:eastAsia="zh-CN"/>
        </w:rPr>
        <w:t>4、重视协作，筑牢院感防线</w:t>
      </w:r>
    </w:p>
    <w:p>
      <w:pPr>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仿宋_GB2312" w:eastAsia="仿宋_GB2312"/>
          <w:b w:val="0"/>
          <w:bCs w:val="0"/>
          <w:sz w:val="32"/>
          <w:szCs w:val="32"/>
          <w:lang w:val="en-US" w:eastAsia="zh-CN"/>
        </w:rPr>
      </w:pPr>
      <w:r>
        <w:rPr>
          <w:rFonts w:hint="eastAsia" w:ascii="仿宋_GB2312" w:eastAsia="仿宋_GB2312"/>
          <w:b w:val="0"/>
          <w:bCs w:val="0"/>
          <w:sz w:val="32"/>
          <w:szCs w:val="32"/>
          <w:lang w:val="en-US" w:eastAsia="zh-CN"/>
        </w:rPr>
        <w:t>疫情期间对新冠肺炎病毒特点及时调整消杀方案，对预检分诊点、诊室、门诊大厅、楼梯间、卫生间、医疗废物暂存间、电梯间等特定场所进行严格消毒管理，并对物体表面、空气和手等消毒效果进行及时评价与反馈，为医务人员及患者努力创造一个安全、放心的诊疗环境。</w:t>
      </w:r>
    </w:p>
    <w:p>
      <w:pPr>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仿宋_GB2312" w:eastAsia="仿宋_GB2312"/>
          <w:b w:val="0"/>
          <w:bCs w:val="0"/>
          <w:sz w:val="32"/>
          <w:szCs w:val="32"/>
          <w:lang w:val="en-US" w:eastAsia="zh-CN"/>
        </w:rPr>
      </w:pPr>
      <w:r>
        <w:rPr>
          <w:rFonts w:hint="eastAsia" w:ascii="仿宋_GB2312" w:eastAsia="仿宋_GB2312"/>
          <w:b w:val="0"/>
          <w:bCs w:val="0"/>
          <w:sz w:val="32"/>
          <w:szCs w:val="32"/>
          <w:lang w:val="en-US" w:eastAsia="zh-CN"/>
        </w:rPr>
        <w:t>5、做好全县返岗人员体检及健康体检登记工作，做到心中有数严把关</w:t>
      </w:r>
    </w:p>
    <w:p>
      <w:pPr>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仿宋_GB2312" w:eastAsia="仿宋_GB2312"/>
          <w:b w:val="0"/>
          <w:bCs w:val="0"/>
          <w:sz w:val="32"/>
          <w:szCs w:val="32"/>
          <w:lang w:val="en-US" w:eastAsia="zh-CN"/>
        </w:rPr>
      </w:pPr>
      <w:r>
        <w:rPr>
          <w:rFonts w:hint="eastAsia" w:ascii="仿宋_GB2312" w:eastAsia="仿宋_GB2312"/>
          <w:b w:val="0"/>
          <w:bCs w:val="0"/>
          <w:sz w:val="32"/>
          <w:szCs w:val="32"/>
          <w:lang w:val="en-US" w:eastAsia="zh-CN"/>
        </w:rPr>
        <w:t>为了积极贯彻落实上级有关部门精神和医院疫情防控工作部署我院第一时间收集掌握了全县返岗人员体检及健康体检基本信息，尤其是在疫情期间，对出入壤塘县境内情况进行统计，统计内容包括出入时间、出入地点、出行方式、离返时间等，力争内容详实、完整。加强对重点人群信息的掌握，筛查三类重点人群（湖北返回者、重点疫区返回者、省内重点疫区返回者）并进行实时发热门诊汇总信息上报。截止11月15日返岗体检2016人次，从业人员体检680人次，学生入学体检600人次。</w:t>
      </w:r>
    </w:p>
    <w:p>
      <w:pPr>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仿宋_GB2312" w:eastAsia="仿宋_GB2312"/>
          <w:b w:val="0"/>
          <w:bCs w:val="0"/>
          <w:sz w:val="32"/>
          <w:szCs w:val="32"/>
          <w:lang w:val="en-US" w:eastAsia="zh-CN"/>
        </w:rPr>
      </w:pPr>
      <w:r>
        <w:rPr>
          <w:rFonts w:hint="eastAsia" w:ascii="仿宋_GB2312" w:eastAsia="仿宋_GB2312"/>
          <w:b w:val="0"/>
          <w:bCs w:val="0"/>
          <w:sz w:val="32"/>
          <w:szCs w:val="32"/>
          <w:lang w:val="en-US" w:eastAsia="zh-CN"/>
        </w:rPr>
        <w:t>6、发挥自身优势，为全县群众制作香囊</w:t>
      </w:r>
    </w:p>
    <w:p>
      <w:pPr>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仿宋" w:hAnsi="仿宋" w:eastAsia="仿宋"/>
          <w:sz w:val="32"/>
          <w:szCs w:val="32"/>
          <w:lang w:val="en-US" w:eastAsia="zh-CN" w:bidi="bo-CN"/>
        </w:rPr>
      </w:pPr>
      <w:r>
        <w:rPr>
          <w:rFonts w:hint="eastAsia" w:ascii="仿宋" w:hAnsi="仿宋" w:eastAsia="仿宋"/>
          <w:sz w:val="32"/>
          <w:szCs w:val="32"/>
        </w:rPr>
        <w:t>根据</w:t>
      </w:r>
      <w:r>
        <w:rPr>
          <w:rFonts w:ascii="Times New Roman" w:hAnsi="Times New Roman" w:eastAsia="仿宋_GB2312" w:cs="Times New Roman"/>
          <w:sz w:val="32"/>
        </w:rPr>
        <w:t>县委、县政府应对新型冠状病毒感染</w:t>
      </w:r>
      <w:r>
        <w:rPr>
          <w:rFonts w:hint="eastAsia" w:ascii="Times New Roman" w:hAnsi="Times New Roman" w:eastAsia="仿宋_GB2312" w:cs="Times New Roman"/>
          <w:sz w:val="32"/>
          <w:lang w:eastAsia="zh-CN"/>
        </w:rPr>
        <w:t>的</w:t>
      </w:r>
      <w:r>
        <w:rPr>
          <w:rFonts w:ascii="Times New Roman" w:hAnsi="Times New Roman" w:eastAsia="仿宋_GB2312" w:cs="Times New Roman"/>
          <w:sz w:val="32"/>
        </w:rPr>
        <w:t>肺炎疫情工作领导小组的指示</w:t>
      </w:r>
      <w:r>
        <w:rPr>
          <w:rFonts w:hint="eastAsia" w:ascii="Times New Roman" w:hAnsi="Times New Roman" w:eastAsia="仿宋_GB2312" w:cs="Times New Roman"/>
          <w:sz w:val="32"/>
        </w:rPr>
        <w:t>，</w:t>
      </w:r>
      <w:r>
        <w:rPr>
          <w:rFonts w:hint="eastAsia" w:ascii="Times New Roman" w:hAnsi="Times New Roman" w:eastAsia="仿宋_GB2312" w:cs="Times New Roman"/>
          <w:sz w:val="32"/>
          <w:lang w:eastAsia="zh-CN"/>
        </w:rPr>
        <w:t>藏医院紧急召开院</w:t>
      </w:r>
      <w:r>
        <w:rPr>
          <w:rFonts w:hint="eastAsia" w:ascii="仿宋_GB2312" w:hAnsi="仿宋_GB2312" w:eastAsia="仿宋_GB2312" w:cs="仿宋_GB2312"/>
          <w:sz w:val="32"/>
          <w:szCs w:val="32"/>
        </w:rPr>
        <w:t>新型冠状病毒感染的肺炎</w:t>
      </w:r>
      <w:r>
        <w:rPr>
          <w:rFonts w:hint="eastAsia" w:ascii="仿宋_GB2312" w:hAnsi="仿宋_GB2312" w:eastAsia="仿宋_GB2312" w:cs="仿宋_GB2312"/>
          <w:sz w:val="32"/>
          <w:szCs w:val="32"/>
          <w:lang w:eastAsia="zh-CN"/>
        </w:rPr>
        <w:t>防控领导小组</w:t>
      </w:r>
      <w:r>
        <w:rPr>
          <w:rFonts w:hint="eastAsia" w:ascii="Times New Roman" w:hAnsi="Times New Roman" w:eastAsia="仿宋_GB2312" w:cs="Times New Roman"/>
          <w:sz w:val="32"/>
          <w:lang w:eastAsia="zh-CN"/>
        </w:rPr>
        <w:t>会议，</w:t>
      </w:r>
      <w:r>
        <w:rPr>
          <w:rFonts w:hint="eastAsia" w:ascii="仿宋" w:hAnsi="仿宋" w:eastAsia="仿宋"/>
          <w:sz w:val="32"/>
          <w:szCs w:val="32"/>
        </w:rPr>
        <w:t>充分发挥中藏医药在应对新型冠状病毒感染的肺炎中的预防作用，</w:t>
      </w:r>
      <w:r>
        <w:rPr>
          <w:rFonts w:hint="eastAsia" w:ascii="仿宋" w:hAnsi="仿宋" w:eastAsia="仿宋"/>
          <w:sz w:val="32"/>
          <w:szCs w:val="32"/>
          <w:lang w:eastAsia="zh-CN"/>
        </w:rPr>
        <w:t>我院</w:t>
      </w:r>
      <w:r>
        <w:rPr>
          <w:rFonts w:hint="eastAsia" w:ascii="仿宋" w:hAnsi="仿宋" w:eastAsia="仿宋"/>
          <w:sz w:val="32"/>
          <w:szCs w:val="32"/>
        </w:rPr>
        <w:t>在四川省中医药管理局专家拟定的2019-2020年冬春季呼吸道传染病预防建议处方的基础上，结合我县实际，制定了适合本地区的预防呼吸道传染病的中药大锅汤处方</w:t>
      </w:r>
      <w:r>
        <w:rPr>
          <w:rFonts w:hint="eastAsia" w:ascii="仿宋" w:hAnsi="仿宋" w:eastAsia="仿宋"/>
          <w:sz w:val="32"/>
          <w:szCs w:val="32"/>
          <w:lang w:eastAsia="zh-CN"/>
        </w:rPr>
        <w:t>。向</w:t>
      </w:r>
      <w:r>
        <w:rPr>
          <w:rFonts w:hint="eastAsia" w:ascii="仿宋" w:hAnsi="仿宋" w:eastAsia="仿宋"/>
          <w:sz w:val="32"/>
          <w:szCs w:val="32"/>
          <w:lang w:val="en-US" w:eastAsia="zh-CN" w:bidi="bo-CN"/>
        </w:rPr>
        <w:t>12个乡镇的60个村及5个敬老院和9个寺庙，以及尼姑安置点、部队等共计中药1100公斤。</w:t>
      </w:r>
    </w:p>
    <w:p>
      <w:pPr>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仿宋" w:hAnsi="仿宋" w:eastAsia="仿宋"/>
          <w:bCs/>
          <w:color w:val="000000"/>
          <w:sz w:val="32"/>
          <w:szCs w:val="32"/>
        </w:rPr>
      </w:pPr>
      <w:r>
        <w:rPr>
          <w:rFonts w:hint="eastAsia" w:ascii="仿宋" w:hAnsi="仿宋" w:eastAsia="仿宋"/>
          <w:sz w:val="32"/>
          <w:szCs w:val="32"/>
          <w:lang w:val="en-US" w:eastAsia="zh-CN"/>
        </w:rPr>
        <w:t>我院藏医发扬担当精神，发挥藏医药专业特色和优势，组织专家精心调配并</w:t>
      </w:r>
      <w:r>
        <w:rPr>
          <w:rFonts w:hint="eastAsia" w:ascii="仿宋" w:hAnsi="仿宋" w:eastAsia="仿宋"/>
          <w:spacing w:val="-10"/>
          <w:sz w:val="32"/>
          <w:lang w:val="en-US" w:eastAsia="zh-CN"/>
        </w:rPr>
        <w:t>制作了藏药预防新型冠状病毒的</w:t>
      </w:r>
      <w:r>
        <w:rPr>
          <w:rFonts w:hint="eastAsia" w:ascii="仿宋" w:hAnsi="仿宋" w:eastAsia="仿宋"/>
          <w:sz w:val="32"/>
          <w:szCs w:val="32"/>
          <w:lang w:val="en-US" w:eastAsia="zh-CN"/>
        </w:rPr>
        <w:t>夺机查果藏药佩戴香囊，</w:t>
      </w:r>
      <w:r>
        <w:rPr>
          <w:rFonts w:hint="eastAsia" w:ascii="仿宋" w:hAnsi="仿宋" w:eastAsia="仿宋"/>
          <w:spacing w:val="-10"/>
          <w:sz w:val="32"/>
          <w:lang w:val="en-US" w:eastAsia="zh-CN"/>
        </w:rPr>
        <w:t>香囊由阿魏、薄荷脑、穆希尔没药、乌头等23味珍贵藏药材组成。共完成香囊制作53821个。</w:t>
      </w:r>
    </w:p>
    <w:p>
      <w:pPr>
        <w:pStyle w:val="3"/>
        <w:pageBreakBefore w:val="0"/>
        <w:kinsoku/>
        <w:wordWrap/>
        <w:overflowPunct/>
        <w:topLinePunct w:val="0"/>
        <w:autoSpaceDE/>
        <w:autoSpaceDN/>
        <w:bidi w:val="0"/>
        <w:spacing w:before="0" w:after="0" w:line="560" w:lineRule="exact"/>
        <w:ind w:firstLine="640" w:firstLineChars="200"/>
        <w:textAlignment w:val="auto"/>
        <w:rPr>
          <w:rStyle w:val="23"/>
          <w:b w:val="0"/>
          <w:bCs w:val="0"/>
        </w:rPr>
      </w:pPr>
      <w:bookmarkStart w:id="28" w:name="_Toc17390"/>
      <w:bookmarkStart w:id="29" w:name="_Toc79163605"/>
      <w:bookmarkStart w:id="30" w:name="_Toc15377200"/>
      <w:bookmarkStart w:id="31" w:name="_Toc15396601"/>
      <w:r>
        <w:rPr>
          <w:rFonts w:hint="eastAsia" w:ascii="黑体" w:eastAsia="黑体"/>
          <w:b w:val="0"/>
          <w:color w:val="000000"/>
        </w:rPr>
        <w:t>二、</w:t>
      </w:r>
      <w:r>
        <w:rPr>
          <w:rFonts w:hint="eastAsia" w:ascii="黑体" w:hAnsi="黑体" w:eastAsia="黑体"/>
          <w:b w:val="0"/>
          <w:color w:val="000000"/>
        </w:rPr>
        <w:t>机</w:t>
      </w:r>
      <w:r>
        <w:rPr>
          <w:rStyle w:val="23"/>
          <w:rFonts w:hint="eastAsia" w:ascii="黑体" w:hAnsi="黑体" w:eastAsia="黑体"/>
          <w:b w:val="0"/>
          <w:bCs w:val="0"/>
        </w:rPr>
        <w:t>构设置</w:t>
      </w:r>
      <w:bookmarkEnd w:id="28"/>
      <w:bookmarkEnd w:id="29"/>
      <w:bookmarkEnd w:id="30"/>
      <w:bookmarkEnd w:id="31"/>
    </w:p>
    <w:p>
      <w:pPr>
        <w:pageBreakBefore w:val="0"/>
        <w:widowControl/>
        <w:kinsoku/>
        <w:wordWrap/>
        <w:overflowPunct/>
        <w:topLinePunct w:val="0"/>
        <w:autoSpaceDE/>
        <w:autoSpaceDN/>
        <w:bidi w:val="0"/>
        <w:spacing w:line="560" w:lineRule="exact"/>
        <w:ind w:firstLine="640" w:firstLineChars="200"/>
        <w:jc w:val="left"/>
        <w:textAlignment w:val="auto"/>
        <w:rPr>
          <w:rFonts w:ascii="仿宋_GB2312" w:hAnsi="宋体" w:eastAsia="仿宋_GB2312" w:cs="宋体"/>
          <w:kern w:val="0"/>
          <w:sz w:val="32"/>
          <w:szCs w:val="32"/>
        </w:rPr>
      </w:pPr>
      <w:bookmarkStart w:id="32" w:name="_Toc15377204"/>
      <w:bookmarkStart w:id="33" w:name="_Toc79163609"/>
      <w:bookmarkStart w:id="34" w:name="_Toc15396602"/>
      <w:r>
        <w:rPr>
          <w:rFonts w:hint="eastAsia" w:ascii="仿宋_GB2312" w:hAnsi="宋体" w:eastAsia="仿宋_GB2312" w:cs="宋体"/>
          <w:kern w:val="0"/>
          <w:sz w:val="32"/>
          <w:szCs w:val="32"/>
        </w:rPr>
        <w:t>壤塘县藏医院成立于2010年10月你，机构性质：事业机构，机构级别：属卫生和计划生育局下属二级预算单位，组织机构代码证号是：66027736-3。</w:t>
      </w:r>
    </w:p>
    <w:p>
      <w:pPr>
        <w:pageBreakBefore w:val="0"/>
        <w:kinsoku/>
        <w:wordWrap/>
        <w:overflowPunct/>
        <w:topLinePunct w:val="0"/>
        <w:autoSpaceDE/>
        <w:autoSpaceDN/>
        <w:bidi w:val="0"/>
        <w:spacing w:line="560" w:lineRule="exact"/>
        <w:ind w:firstLine="640" w:firstLineChars="200"/>
        <w:textAlignment w:val="auto"/>
        <w:rPr>
          <w:rFonts w:hint="eastAsia" w:ascii="仿宋" w:hAnsi="仿宋" w:eastAsia="仿宋_GB2312"/>
          <w:color w:val="000000"/>
          <w:sz w:val="32"/>
          <w:szCs w:val="32"/>
          <w:lang w:eastAsia="zh-CN"/>
        </w:rPr>
      </w:pPr>
      <w:r>
        <w:rPr>
          <w:rFonts w:hint="eastAsia" w:ascii="仿宋_GB2312" w:hAnsi="宋体" w:eastAsia="仿宋_GB2312" w:cs="宋体"/>
          <w:kern w:val="0"/>
          <w:sz w:val="32"/>
          <w:szCs w:val="32"/>
        </w:rPr>
        <w:t>总编人事</w:t>
      </w:r>
      <w:r>
        <w:rPr>
          <w:rFonts w:ascii="仿宋_GB2312" w:hAnsi="宋体" w:eastAsia="仿宋_GB2312" w:cs="宋体"/>
          <w:kern w:val="0"/>
          <w:sz w:val="32"/>
          <w:szCs w:val="32"/>
        </w:rPr>
        <w:t>39</w:t>
      </w:r>
      <w:r>
        <w:rPr>
          <w:rFonts w:hint="eastAsia" w:ascii="仿宋_GB2312" w:hAnsi="宋体" w:eastAsia="仿宋_GB2312" w:cs="宋体"/>
          <w:kern w:val="0"/>
          <w:sz w:val="32"/>
          <w:szCs w:val="32"/>
        </w:rPr>
        <w:t>名,在职人员总数</w:t>
      </w:r>
      <w:r>
        <w:rPr>
          <w:rFonts w:ascii="仿宋_GB2312" w:hAnsi="宋体" w:eastAsia="仿宋_GB2312" w:cs="宋体"/>
          <w:kern w:val="0"/>
          <w:sz w:val="32"/>
          <w:szCs w:val="32"/>
        </w:rPr>
        <w:t>39</w:t>
      </w:r>
      <w:r>
        <w:rPr>
          <w:rFonts w:hint="eastAsia" w:ascii="仿宋_GB2312" w:hAnsi="宋体" w:eastAsia="仿宋_GB2312" w:cs="宋体"/>
          <w:kern w:val="0"/>
          <w:sz w:val="32"/>
          <w:szCs w:val="32"/>
        </w:rPr>
        <w:t>名，其中：事业专计人员</w:t>
      </w:r>
      <w:r>
        <w:rPr>
          <w:rFonts w:ascii="仿宋_GB2312" w:hAnsi="宋体" w:eastAsia="仿宋_GB2312" w:cs="宋体"/>
          <w:kern w:val="0"/>
          <w:sz w:val="32"/>
          <w:szCs w:val="32"/>
        </w:rPr>
        <w:t>37</w:t>
      </w:r>
      <w:r>
        <w:rPr>
          <w:rFonts w:hint="eastAsia" w:ascii="仿宋_GB2312" w:hAnsi="宋体" w:eastAsia="仿宋_GB2312" w:cs="宋体"/>
          <w:kern w:val="0"/>
          <w:sz w:val="32"/>
          <w:szCs w:val="32"/>
        </w:rPr>
        <w:t>名，事业工勤2名</w:t>
      </w:r>
      <w:r>
        <w:rPr>
          <w:rFonts w:hint="eastAsia" w:ascii="仿宋_GB2312" w:hAnsi="宋体" w:eastAsia="仿宋_GB2312" w:cs="宋体"/>
          <w:kern w:val="0"/>
          <w:sz w:val="32"/>
          <w:szCs w:val="32"/>
          <w:lang w:eastAsia="zh-CN"/>
        </w:rPr>
        <w:t>。</w:t>
      </w:r>
    </w:p>
    <w:p>
      <w:pPr>
        <w:spacing w:line="560" w:lineRule="exact"/>
        <w:ind w:firstLine="645"/>
        <w:rPr>
          <w:rFonts w:ascii="仿宋" w:hAnsi="仿宋" w:eastAsia="仿宋"/>
          <w:color w:val="000000"/>
          <w:kern w:val="0"/>
          <w:sz w:val="32"/>
          <w:szCs w:val="32"/>
        </w:rPr>
      </w:pPr>
      <w:r>
        <w:rPr>
          <w:rFonts w:ascii="仿宋" w:hAnsi="仿宋" w:eastAsia="仿宋"/>
          <w:color w:val="000000"/>
          <w:sz w:val="32"/>
          <w:szCs w:val="32"/>
        </w:rPr>
        <w:br w:type="page"/>
      </w:r>
    </w:p>
    <w:p>
      <w:pPr>
        <w:pStyle w:val="2"/>
        <w:ind w:right="440"/>
        <w:jc w:val="right"/>
      </w:pPr>
      <w:bookmarkStart w:id="35" w:name="_Toc589"/>
      <w:r>
        <w:rPr>
          <w:rFonts w:hint="eastAsia" w:ascii="黑体" w:hAnsi="黑体" w:eastAsia="黑体"/>
          <w:b w:val="0"/>
          <w:color w:val="000000"/>
        </w:rPr>
        <w:t>第二部分</w:t>
      </w:r>
      <w:r>
        <w:rPr>
          <w:rFonts w:ascii="黑体" w:hAnsi="黑体" w:eastAsia="黑体"/>
          <w:color w:val="000000"/>
        </w:rPr>
        <w:t xml:space="preserve"> </w:t>
      </w:r>
      <w:r>
        <w:rPr>
          <w:rStyle w:val="22"/>
          <w:rFonts w:ascii="黑体" w:hAnsi="黑体" w:eastAsia="黑体"/>
          <w:b w:val="0"/>
          <w:bCs w:val="0"/>
        </w:rPr>
        <w:t>2020</w:t>
      </w:r>
      <w:r>
        <w:rPr>
          <w:rStyle w:val="22"/>
          <w:rFonts w:hint="eastAsia" w:ascii="黑体" w:hAnsi="黑体" w:eastAsia="黑体"/>
          <w:b w:val="0"/>
          <w:bCs w:val="0"/>
        </w:rPr>
        <w:t>年度部门决算情况说明</w:t>
      </w:r>
      <w:bookmarkEnd w:id="32"/>
      <w:bookmarkEnd w:id="33"/>
      <w:bookmarkEnd w:id="34"/>
      <w:bookmarkEnd w:id="35"/>
    </w:p>
    <w:p>
      <w:pPr>
        <w:pStyle w:val="3"/>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黑体" w:hAnsi="黑体" w:eastAsia="黑体"/>
          <w:b w:val="0"/>
          <w:color w:val="000000"/>
        </w:rPr>
      </w:pPr>
      <w:bookmarkStart w:id="36" w:name="_Toc79163610"/>
      <w:bookmarkStart w:id="37" w:name="_Toc15377205"/>
      <w:bookmarkStart w:id="38" w:name="_Toc15396603"/>
      <w:bookmarkStart w:id="39" w:name="_Toc18784"/>
      <w:r>
        <w:rPr>
          <w:rFonts w:hint="eastAsia" w:ascii="黑体" w:hAnsi="黑体" w:eastAsia="黑体"/>
          <w:b w:val="0"/>
          <w:color w:val="000000"/>
          <w:lang w:val="en-US" w:eastAsia="zh-CN"/>
        </w:rPr>
        <w:t>一、</w:t>
      </w:r>
      <w:r>
        <w:rPr>
          <w:rFonts w:hint="eastAsia" w:ascii="黑体" w:hAnsi="黑体" w:eastAsia="黑体"/>
          <w:b w:val="0"/>
          <w:color w:val="000000"/>
        </w:rPr>
        <w:t>收入支出决算总体情况说明</w:t>
      </w:r>
      <w:bookmarkEnd w:id="36"/>
      <w:bookmarkEnd w:id="37"/>
      <w:bookmarkEnd w:id="38"/>
      <w:bookmarkEnd w:id="39"/>
    </w:p>
    <w:p>
      <w:pPr>
        <w:spacing w:line="600" w:lineRule="exact"/>
        <w:ind w:firstLine="640" w:firstLineChars="200"/>
        <w:rPr>
          <w:rFonts w:hint="eastAsia" w:ascii="仿宋" w:hAnsi="仿宋" w:eastAsia="仿宋"/>
          <w:color w:val="000000"/>
          <w:sz w:val="32"/>
          <w:szCs w:val="32"/>
          <w:lang w:val="en-US" w:eastAsia="zh-CN"/>
        </w:rPr>
      </w:pPr>
      <w:r>
        <w:rPr>
          <w:rFonts w:ascii="仿宋" w:hAnsi="仿宋" w:eastAsia="仿宋"/>
          <w:color w:val="000000"/>
          <w:sz w:val="32"/>
          <w:szCs w:val="32"/>
        </w:rPr>
        <w:t>2020</w:t>
      </w:r>
      <w:r>
        <w:rPr>
          <w:rFonts w:hint="eastAsia" w:ascii="仿宋" w:hAnsi="仿宋" w:eastAsia="仿宋"/>
          <w:color w:val="000000"/>
          <w:sz w:val="32"/>
          <w:szCs w:val="32"/>
        </w:rPr>
        <w:t>年度收</w:t>
      </w:r>
      <w:r>
        <w:rPr>
          <w:rFonts w:hint="eastAsia" w:ascii="仿宋" w:hAnsi="仿宋" w:eastAsia="仿宋"/>
          <w:color w:val="000000"/>
          <w:sz w:val="32"/>
          <w:szCs w:val="32"/>
          <w:lang w:val="en-US" w:eastAsia="zh-CN"/>
        </w:rPr>
        <w:t>入</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为</w:t>
      </w:r>
      <w:r>
        <w:rPr>
          <w:rFonts w:hint="eastAsia" w:ascii="仿宋" w:hAnsi="仿宋" w:eastAsia="仿宋"/>
          <w:color w:val="000000"/>
          <w:sz w:val="32"/>
          <w:szCs w:val="32"/>
        </w:rPr>
        <w:t>1580.13万元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与</w:t>
      </w:r>
      <w:r>
        <w:rPr>
          <w:rFonts w:ascii="仿宋" w:hAnsi="仿宋" w:eastAsia="仿宋"/>
          <w:color w:val="000000"/>
          <w:sz w:val="32"/>
          <w:szCs w:val="32"/>
        </w:rPr>
        <w:t>2019</w:t>
      </w:r>
      <w:r>
        <w:rPr>
          <w:rFonts w:hint="eastAsia" w:ascii="仿宋" w:hAnsi="仿宋" w:eastAsia="仿宋"/>
          <w:color w:val="000000"/>
          <w:sz w:val="32"/>
          <w:szCs w:val="32"/>
        </w:rPr>
        <w:t>年相比，</w:t>
      </w:r>
      <w:r>
        <w:rPr>
          <w:rFonts w:hint="eastAsia" w:ascii="仿宋" w:hAnsi="仿宋" w:eastAsia="仿宋"/>
          <w:color w:val="000000"/>
          <w:sz w:val="32"/>
          <w:szCs w:val="32"/>
          <w:lang w:val="en-US" w:eastAsia="zh-CN"/>
        </w:rPr>
        <w:t>收入总计增加193.67万元，同比增长13.97%；2020年支出总计为1285.83万元，支出相比2019年减少123.3万元，下降8.75%</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2020年我院当年项目收入增加，由于当年部分项目未完工，导致当年支出减少。</w:t>
      </w:r>
    </w:p>
    <w:p>
      <w:pPr>
        <w:spacing w:line="600" w:lineRule="exact"/>
        <w:ind w:firstLine="420" w:firstLineChars="200"/>
        <w:rPr>
          <w:rFonts w:hint="default" w:ascii="仿宋" w:hAnsi="仿宋" w:eastAsia="仿宋"/>
          <w:color w:val="000000"/>
          <w:sz w:val="32"/>
          <w:szCs w:val="32"/>
          <w:lang w:val="en-US" w:eastAsia="zh-CN"/>
        </w:rPr>
      </w:pPr>
      <w:r>
        <w:drawing>
          <wp:anchor distT="0" distB="0" distL="114300" distR="114300" simplePos="0" relativeHeight="251659264" behindDoc="1" locked="0" layoutInCell="1" allowOverlap="1">
            <wp:simplePos x="0" y="0"/>
            <wp:positionH relativeFrom="column">
              <wp:posOffset>496570</wp:posOffset>
            </wp:positionH>
            <wp:positionV relativeFrom="paragraph">
              <wp:posOffset>167640</wp:posOffset>
            </wp:positionV>
            <wp:extent cx="4505325" cy="2636520"/>
            <wp:effectExtent l="4445" t="4445" r="5080" b="6985"/>
            <wp:wrapTight wrapText="bothSides">
              <wp:wrapPolygon>
                <wp:start x="-21" y="-36"/>
                <wp:lineTo x="-21" y="21501"/>
                <wp:lineTo x="21533" y="21501"/>
                <wp:lineTo x="21533" y="-36"/>
                <wp:lineTo x="-21" y="-36"/>
              </wp:wrapPolygon>
            </wp:wrapTight>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spacing w:line="600" w:lineRule="exact"/>
        <w:ind w:firstLine="640" w:firstLineChars="200"/>
        <w:rPr>
          <w:rFonts w:hint="default" w:ascii="仿宋" w:hAnsi="仿宋" w:eastAsia="仿宋"/>
          <w:color w:val="000000"/>
          <w:sz w:val="32"/>
          <w:szCs w:val="32"/>
          <w:lang w:val="en-US" w:eastAsia="zh-CN"/>
        </w:rPr>
      </w:pPr>
    </w:p>
    <w:p>
      <w:pPr>
        <w:spacing w:line="600" w:lineRule="exact"/>
        <w:ind w:firstLine="640" w:firstLineChars="200"/>
        <w:rPr>
          <w:rFonts w:hint="default" w:ascii="仿宋" w:hAnsi="仿宋" w:eastAsia="仿宋"/>
          <w:color w:val="000000"/>
          <w:sz w:val="32"/>
          <w:szCs w:val="32"/>
          <w:lang w:val="en-US" w:eastAsia="zh-CN"/>
        </w:rPr>
      </w:pPr>
    </w:p>
    <w:p>
      <w:pPr>
        <w:spacing w:line="600" w:lineRule="exact"/>
        <w:ind w:firstLine="640" w:firstLineChars="200"/>
        <w:rPr>
          <w:rFonts w:hint="default" w:ascii="仿宋" w:hAnsi="仿宋" w:eastAsia="仿宋"/>
          <w:color w:val="000000"/>
          <w:sz w:val="32"/>
          <w:szCs w:val="32"/>
          <w:lang w:val="en-US" w:eastAsia="zh-CN"/>
        </w:rPr>
      </w:pPr>
    </w:p>
    <w:p>
      <w:pPr>
        <w:spacing w:line="600" w:lineRule="exact"/>
        <w:ind w:firstLine="640" w:firstLineChars="200"/>
        <w:rPr>
          <w:rFonts w:hint="default" w:ascii="仿宋" w:hAnsi="仿宋" w:eastAsia="仿宋"/>
          <w:color w:val="000000"/>
          <w:sz w:val="32"/>
          <w:szCs w:val="32"/>
          <w:lang w:val="en-US" w:eastAsia="zh-CN"/>
        </w:rPr>
      </w:pPr>
    </w:p>
    <w:p>
      <w:pPr>
        <w:spacing w:line="600" w:lineRule="exact"/>
        <w:ind w:firstLine="640" w:firstLineChars="200"/>
        <w:rPr>
          <w:rFonts w:hint="default" w:ascii="仿宋" w:hAnsi="仿宋" w:eastAsia="仿宋"/>
          <w:color w:val="000000"/>
          <w:sz w:val="32"/>
          <w:szCs w:val="32"/>
          <w:lang w:val="en-US" w:eastAsia="zh-CN"/>
        </w:rPr>
      </w:pPr>
    </w:p>
    <w:p>
      <w:pPr>
        <w:spacing w:line="600" w:lineRule="exact"/>
        <w:rPr>
          <w:rFonts w:hint="default" w:ascii="仿宋" w:hAnsi="仿宋" w:eastAsia="仿宋"/>
          <w:color w:val="000000"/>
          <w:sz w:val="32"/>
          <w:szCs w:val="32"/>
          <w:lang w:val="en-US" w:eastAsia="zh-CN"/>
        </w:rPr>
      </w:pPr>
    </w:p>
    <w:p>
      <w:pPr>
        <w:spacing w:line="600" w:lineRule="exact"/>
        <w:ind w:firstLine="640" w:firstLineChars="200"/>
        <w:rPr>
          <w:rFonts w:ascii="仿宋_GB2312" w:eastAsia="仿宋_GB2312"/>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1</w:t>
      </w:r>
      <w:r>
        <w:rPr>
          <w:rFonts w:hint="eastAsia" w:ascii="仿宋" w:hAnsi="仿宋" w:eastAsia="仿宋"/>
          <w:color w:val="000000"/>
          <w:sz w:val="32"/>
          <w:szCs w:val="32"/>
        </w:rPr>
        <w:t>：收、支决算总计变动情况图）</w:t>
      </w:r>
    </w:p>
    <w:p>
      <w:pPr>
        <w:pStyle w:val="3"/>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黑体" w:hAnsi="黑体" w:eastAsia="黑体"/>
          <w:b w:val="0"/>
          <w:color w:val="000000"/>
          <w:lang w:val="en-US" w:eastAsia="zh-CN"/>
        </w:rPr>
      </w:pPr>
      <w:bookmarkStart w:id="40" w:name="_Toc27075"/>
      <w:bookmarkStart w:id="41" w:name="_Toc15377206"/>
      <w:bookmarkStart w:id="42" w:name="_Toc15396604"/>
      <w:bookmarkStart w:id="43" w:name="_Toc79163611"/>
      <w:r>
        <w:rPr>
          <w:rFonts w:hint="eastAsia" w:ascii="黑体" w:hAnsi="黑体" w:eastAsia="黑体"/>
          <w:b w:val="0"/>
          <w:color w:val="000000"/>
          <w:lang w:val="en-US" w:eastAsia="zh-CN"/>
        </w:rPr>
        <w:t>二、收入决算情况说明</w:t>
      </w:r>
      <w:bookmarkEnd w:id="40"/>
      <w:bookmarkEnd w:id="41"/>
      <w:bookmarkEnd w:id="42"/>
      <w:bookmarkEnd w:id="43"/>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年本年收入合计1507.56万元，其中：一般公共预算财政拨款收入1026.79万元，占</w:t>
      </w:r>
      <w:r>
        <w:rPr>
          <w:rFonts w:hint="eastAsia" w:ascii="仿宋" w:hAnsi="仿宋" w:eastAsia="仿宋"/>
          <w:color w:val="000000"/>
          <w:sz w:val="32"/>
          <w:szCs w:val="32"/>
          <w:lang w:val="en-US" w:eastAsia="zh-CN"/>
        </w:rPr>
        <w:t>68.11</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w:t>
      </w:r>
      <w:r>
        <w:rPr>
          <w:rFonts w:hint="eastAsia" w:ascii="仿宋" w:hAnsi="仿宋" w:eastAsia="仿宋"/>
          <w:color w:val="000000"/>
          <w:sz w:val="32"/>
          <w:szCs w:val="32"/>
          <w:lang w:val="en-US" w:eastAsia="zh-CN"/>
        </w:rPr>
        <w:t>事业</w:t>
      </w:r>
      <w:r>
        <w:rPr>
          <w:rFonts w:hint="eastAsia" w:ascii="仿宋" w:hAnsi="仿宋" w:eastAsia="仿宋"/>
          <w:color w:val="000000"/>
          <w:sz w:val="32"/>
          <w:szCs w:val="32"/>
        </w:rPr>
        <w:t>收入</w:t>
      </w:r>
      <w:r>
        <w:rPr>
          <w:rFonts w:hint="eastAsia" w:ascii="仿宋" w:hAnsi="仿宋" w:eastAsia="仿宋"/>
          <w:color w:val="000000"/>
          <w:sz w:val="32"/>
          <w:szCs w:val="32"/>
          <w:lang w:val="en-US" w:eastAsia="zh-CN"/>
        </w:rPr>
        <w:t>480.77</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31.89</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rPr>
          <w:rFonts w:ascii="仿宋_GB2312" w:eastAsia="仿宋_GB2312"/>
          <w:color w:val="FF0000"/>
          <w:sz w:val="32"/>
          <w:szCs w:val="32"/>
        </w:rPr>
      </w:pPr>
    </w:p>
    <w:p>
      <w:pPr>
        <w:spacing w:line="600" w:lineRule="exact"/>
        <w:ind w:firstLine="420" w:firstLineChars="200"/>
        <w:rPr>
          <w:rFonts w:ascii="仿宋_GB2312" w:eastAsia="仿宋_GB2312"/>
          <w:color w:val="FF0000"/>
          <w:sz w:val="32"/>
          <w:szCs w:val="32"/>
        </w:rPr>
      </w:pPr>
      <w:r>
        <w:drawing>
          <wp:anchor distT="4445" distB="8255" distL="119380" distR="121920" simplePos="0" relativeHeight="251660288" behindDoc="1" locked="0" layoutInCell="1" allowOverlap="1">
            <wp:simplePos x="0" y="0"/>
            <wp:positionH relativeFrom="column">
              <wp:posOffset>1160780</wp:posOffset>
            </wp:positionH>
            <wp:positionV relativeFrom="paragraph">
              <wp:posOffset>-149225</wp:posOffset>
            </wp:positionV>
            <wp:extent cx="3265170" cy="1712595"/>
            <wp:effectExtent l="4445" t="4445" r="6985" b="16510"/>
            <wp:wrapTight wrapText="bothSides">
              <wp:wrapPolygon>
                <wp:start x="-29" y="-56"/>
                <wp:lineTo x="-29" y="21328"/>
                <wp:lineTo x="21520" y="21328"/>
                <wp:lineTo x="21520" y="-56"/>
                <wp:lineTo x="-29" y="-56"/>
              </wp:wrapPolygon>
            </wp:wrapTight>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rPr>
          <w:rFonts w:hint="eastAsia" w:ascii="仿宋" w:hAnsi="仿宋" w:eastAsia="仿宋"/>
          <w:color w:val="000000"/>
          <w:sz w:val="32"/>
          <w:szCs w:val="32"/>
        </w:rPr>
      </w:pPr>
    </w:p>
    <w:p>
      <w:pPr>
        <w:spacing w:line="600" w:lineRule="exact"/>
        <w:ind w:firstLine="1920" w:firstLineChars="600"/>
        <w:rPr>
          <w:rFonts w:ascii="仿宋_GB2312" w:eastAsia="仿宋_GB2312"/>
          <w:color w:val="FF0000"/>
          <w:sz w:val="32"/>
          <w:szCs w:val="32"/>
        </w:rPr>
      </w:pPr>
      <w:r>
        <w:rPr>
          <w:rFonts w:hint="eastAsia" w:ascii="仿宋" w:hAnsi="仿宋" w:eastAsia="仿宋"/>
          <w:color w:val="000000"/>
          <w:sz w:val="32"/>
          <w:szCs w:val="32"/>
        </w:rPr>
        <w:t>（图</w:t>
      </w:r>
      <w:r>
        <w:rPr>
          <w:rFonts w:ascii="仿宋" w:hAnsi="仿宋" w:eastAsia="仿宋"/>
          <w:color w:val="000000"/>
          <w:sz w:val="32"/>
          <w:szCs w:val="32"/>
        </w:rPr>
        <w:t>2</w:t>
      </w:r>
      <w:r>
        <w:rPr>
          <w:rFonts w:hint="eastAsia" w:ascii="仿宋" w:hAnsi="仿宋" w:eastAsia="仿宋"/>
          <w:color w:val="000000"/>
          <w:sz w:val="32"/>
          <w:szCs w:val="32"/>
        </w:rPr>
        <w:t>：收入决算结构图）（饼状图）</w:t>
      </w:r>
    </w:p>
    <w:p>
      <w:pPr>
        <w:pStyle w:val="33"/>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1"/>
        <w:rPr>
          <w:rStyle w:val="23"/>
          <w:rFonts w:ascii="黑体" w:hAnsi="黑体" w:eastAsia="黑体"/>
          <w:b w:val="0"/>
        </w:rPr>
      </w:pPr>
      <w:bookmarkStart w:id="44" w:name="_Toc15377207"/>
      <w:bookmarkStart w:id="45" w:name="_Toc15396605"/>
      <w:bookmarkStart w:id="46" w:name="_Toc29494"/>
      <w:bookmarkStart w:id="47" w:name="_Toc79163612"/>
      <w:r>
        <w:rPr>
          <w:rFonts w:hint="eastAsia" w:ascii="黑体" w:hAnsi="黑体" w:eastAsia="黑体"/>
          <w:color w:val="000000"/>
          <w:sz w:val="32"/>
          <w:szCs w:val="32"/>
          <w:lang w:val="en-US" w:eastAsia="zh-CN"/>
        </w:rPr>
        <w:t>三、</w:t>
      </w:r>
      <w:r>
        <w:rPr>
          <w:rFonts w:hint="eastAsia" w:ascii="黑体" w:hAnsi="黑体" w:eastAsia="黑体"/>
          <w:color w:val="000000"/>
          <w:sz w:val="32"/>
          <w:szCs w:val="32"/>
        </w:rPr>
        <w:t>支</w:t>
      </w:r>
      <w:r>
        <w:rPr>
          <w:rStyle w:val="23"/>
          <w:rFonts w:hint="eastAsia" w:ascii="黑体" w:hAnsi="黑体" w:eastAsia="黑体"/>
          <w:b w:val="0"/>
        </w:rPr>
        <w:t>出决算情况说明</w:t>
      </w:r>
      <w:bookmarkEnd w:id="44"/>
      <w:bookmarkEnd w:id="45"/>
      <w:bookmarkEnd w:id="46"/>
      <w:bookmarkEnd w:id="47"/>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olor w:val="000000"/>
          <w:sz w:val="32"/>
          <w:szCs w:val="32"/>
          <w:shd w:val="pct10" w:color="auto" w:fill="FFFFFF"/>
          <w:lang w:eastAsia="zh-CN"/>
        </w:rPr>
      </w:pPr>
      <w:r>
        <w:rPr>
          <w:rFonts w:ascii="仿宋_GB2312" w:eastAsia="仿宋_GB2312"/>
          <w:sz w:val="32"/>
          <w:szCs w:val="32"/>
        </w:rPr>
        <w:t>2020</w:t>
      </w:r>
      <w:r>
        <w:rPr>
          <w:rFonts w:hint="eastAsia" w:ascii="仿宋_GB2312" w:eastAsia="仿宋_GB2312"/>
          <w:sz w:val="32"/>
          <w:szCs w:val="32"/>
        </w:rPr>
        <w:t>年本年支出合计</w:t>
      </w:r>
      <w:r>
        <w:rPr>
          <w:rFonts w:hint="eastAsia" w:ascii="仿宋_GB2312" w:eastAsia="仿宋_GB2312"/>
          <w:sz w:val="32"/>
          <w:szCs w:val="32"/>
          <w:lang w:val="en-US" w:eastAsia="zh-CN"/>
        </w:rPr>
        <w:t>1285.84</w:t>
      </w:r>
      <w:r>
        <w:rPr>
          <w:rFonts w:hint="eastAsia" w:ascii="仿宋_GB2312" w:eastAsia="仿宋_GB2312"/>
          <w:sz w:val="32"/>
          <w:szCs w:val="32"/>
        </w:rPr>
        <w:t>万元，其中：基本支出</w:t>
      </w:r>
      <w:r>
        <w:rPr>
          <w:rFonts w:hint="eastAsia" w:ascii="仿宋_GB2312" w:eastAsia="仿宋_GB2312"/>
          <w:sz w:val="32"/>
          <w:szCs w:val="32"/>
          <w:lang w:val="en-US" w:eastAsia="zh-CN"/>
        </w:rPr>
        <w:t>1128.07</w:t>
      </w:r>
      <w:r>
        <w:rPr>
          <w:rFonts w:hint="eastAsia" w:ascii="仿宋_GB2312" w:eastAsia="仿宋_GB2312"/>
          <w:sz w:val="32"/>
          <w:szCs w:val="32"/>
        </w:rPr>
        <w:t>万元，占</w:t>
      </w:r>
      <w:r>
        <w:rPr>
          <w:rFonts w:hint="eastAsia" w:ascii="仿宋_GB2312" w:eastAsia="仿宋_GB2312"/>
          <w:sz w:val="32"/>
          <w:szCs w:val="32"/>
          <w:lang w:val="en-US" w:eastAsia="zh-CN"/>
        </w:rPr>
        <w:t>87.73</w:t>
      </w:r>
      <w:r>
        <w:rPr>
          <w:rFonts w:ascii="仿宋_GB2312" w:eastAsia="仿宋_GB2312"/>
          <w:sz w:val="32"/>
          <w:szCs w:val="32"/>
        </w:rPr>
        <w:t>%</w:t>
      </w:r>
      <w:r>
        <w:rPr>
          <w:rFonts w:hint="eastAsia" w:ascii="仿宋_GB2312" w:eastAsia="仿宋_GB2312"/>
          <w:sz w:val="32"/>
          <w:szCs w:val="32"/>
        </w:rPr>
        <w:t>；项目支出</w:t>
      </w:r>
      <w:r>
        <w:rPr>
          <w:rFonts w:hint="eastAsia" w:ascii="仿宋_GB2312" w:eastAsia="仿宋_GB2312"/>
          <w:sz w:val="32"/>
          <w:szCs w:val="32"/>
          <w:lang w:val="en-US" w:eastAsia="zh-CN"/>
        </w:rPr>
        <w:t>157.77</w:t>
      </w:r>
      <w:r>
        <w:rPr>
          <w:rFonts w:hint="eastAsia" w:ascii="仿宋_GB2312" w:eastAsia="仿宋_GB2312"/>
          <w:sz w:val="32"/>
          <w:szCs w:val="32"/>
        </w:rPr>
        <w:t>万元，占</w:t>
      </w:r>
      <w:r>
        <w:rPr>
          <w:rFonts w:hint="eastAsia" w:ascii="仿宋_GB2312" w:eastAsia="仿宋_GB2312"/>
          <w:sz w:val="32"/>
          <w:szCs w:val="32"/>
          <w:lang w:val="en-US" w:eastAsia="zh-CN"/>
        </w:rPr>
        <w:t>12.27</w:t>
      </w:r>
      <w:r>
        <w:rPr>
          <w:rFonts w:ascii="仿宋_GB2312" w:eastAsia="仿宋_GB2312"/>
          <w:sz w:val="32"/>
          <w:szCs w:val="32"/>
        </w:rPr>
        <w:t>%</w:t>
      </w:r>
      <w:r>
        <w:rPr>
          <w:rFonts w:hint="eastAsia" w:ascii="仿宋_GB2312" w:eastAsia="仿宋_GB2312"/>
          <w:sz w:val="32"/>
          <w:szCs w:val="32"/>
        </w:rPr>
        <w:t>；</w:t>
      </w:r>
    </w:p>
    <w:p>
      <w:pPr>
        <w:spacing w:line="600" w:lineRule="exact"/>
        <w:ind w:firstLine="640"/>
        <w:rPr>
          <w:rFonts w:ascii="仿宋" w:hAnsi="仿宋" w:eastAsia="仿宋"/>
          <w:color w:val="000000"/>
          <w:sz w:val="32"/>
          <w:szCs w:val="32"/>
          <w:shd w:val="pct10" w:color="auto" w:fill="FFFFFF"/>
        </w:rPr>
      </w:pPr>
      <w:r>
        <w:rPr>
          <w:rFonts w:hint="eastAsia" w:ascii="仿宋" w:hAnsi="仿宋" w:eastAsia="仿宋"/>
          <w:color w:val="000000"/>
          <w:sz w:val="32"/>
          <w:szCs w:val="32"/>
          <w:shd w:val="pct10" w:color="auto" w:fill="FFFFFF"/>
          <w:lang w:eastAsia="zh-CN"/>
        </w:rPr>
        <w:drawing>
          <wp:anchor distT="0" distB="0" distL="114300" distR="114300" simplePos="0" relativeHeight="251661312" behindDoc="1" locked="0" layoutInCell="1" allowOverlap="1">
            <wp:simplePos x="0" y="0"/>
            <wp:positionH relativeFrom="column">
              <wp:posOffset>490855</wp:posOffset>
            </wp:positionH>
            <wp:positionV relativeFrom="paragraph">
              <wp:posOffset>130175</wp:posOffset>
            </wp:positionV>
            <wp:extent cx="3729990" cy="2437765"/>
            <wp:effectExtent l="4445" t="4445" r="56515" b="72390"/>
            <wp:wrapThrough wrapText="bothSides">
              <wp:wrapPolygon>
                <wp:start x="-26" y="-39"/>
                <wp:lineTo x="-26" y="21904"/>
                <wp:lineTo x="21486" y="21904"/>
                <wp:lineTo x="21486" y="-39"/>
                <wp:lineTo x="-26" y="-39"/>
              </wp:wrapPolygon>
            </wp:wrapThrough>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00" w:lineRule="exact"/>
        <w:ind w:firstLine="640"/>
        <w:rPr>
          <w:rFonts w:ascii="仿宋" w:hAnsi="仿宋" w:eastAsia="仿宋"/>
          <w:color w:val="000000"/>
          <w:sz w:val="32"/>
          <w:szCs w:val="32"/>
          <w:shd w:val="pct10" w:color="auto" w:fill="FFFFFF"/>
        </w:rPr>
      </w:pPr>
    </w:p>
    <w:p>
      <w:pPr>
        <w:spacing w:line="600" w:lineRule="exact"/>
        <w:ind w:firstLine="640"/>
        <w:rPr>
          <w:rFonts w:ascii="仿宋" w:hAnsi="仿宋" w:eastAsia="仿宋"/>
          <w:color w:val="000000"/>
          <w:sz w:val="32"/>
          <w:szCs w:val="32"/>
          <w:shd w:val="pct10" w:color="auto" w:fill="FFFFFF"/>
        </w:rPr>
      </w:pPr>
    </w:p>
    <w:p>
      <w:pPr>
        <w:spacing w:line="600" w:lineRule="exact"/>
        <w:rPr>
          <w:rFonts w:hint="eastAsia" w:ascii="仿宋" w:hAnsi="仿宋" w:eastAsia="仿宋"/>
          <w:color w:val="000000"/>
          <w:sz w:val="32"/>
          <w:szCs w:val="32"/>
        </w:rPr>
      </w:pPr>
    </w:p>
    <w:p>
      <w:pPr>
        <w:spacing w:line="600" w:lineRule="exact"/>
        <w:rPr>
          <w:rFonts w:hint="eastAsia" w:ascii="仿宋" w:hAnsi="仿宋" w:eastAsia="仿宋"/>
          <w:color w:val="000000"/>
          <w:sz w:val="32"/>
          <w:szCs w:val="32"/>
        </w:rPr>
      </w:pPr>
    </w:p>
    <w:p>
      <w:pPr>
        <w:spacing w:line="600" w:lineRule="exact"/>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：支出决算结构图）（饼状图）</w:t>
      </w:r>
    </w:p>
    <w:p>
      <w:pPr>
        <w:spacing w:line="600" w:lineRule="exact"/>
        <w:rPr>
          <w:rFonts w:ascii="仿宋_GB2312" w:eastAsia="仿宋_GB2312"/>
          <w:color w:val="FF0000"/>
          <w:sz w:val="32"/>
          <w:szCs w:val="32"/>
        </w:rPr>
      </w:pPr>
    </w:p>
    <w:p>
      <w:pPr>
        <w:spacing w:line="600" w:lineRule="exact"/>
        <w:ind w:firstLine="640" w:firstLineChars="200"/>
        <w:outlineLvl w:val="1"/>
        <w:rPr>
          <w:rStyle w:val="23"/>
          <w:rFonts w:ascii="黑体" w:hAnsi="黑体" w:eastAsia="黑体"/>
          <w:b w:val="0"/>
        </w:rPr>
      </w:pPr>
      <w:bookmarkStart w:id="48" w:name="_Toc15396606"/>
      <w:bookmarkStart w:id="49" w:name="_Toc15377208"/>
      <w:bookmarkStart w:id="50" w:name="_Toc29881"/>
      <w:bookmarkStart w:id="51" w:name="_Toc79163613"/>
      <w:r>
        <w:rPr>
          <w:rFonts w:hint="eastAsia" w:ascii="黑体" w:hAnsi="黑体" w:eastAsia="黑体"/>
          <w:color w:val="000000"/>
          <w:sz w:val="32"/>
          <w:szCs w:val="32"/>
        </w:rPr>
        <w:t>四、财</w:t>
      </w:r>
      <w:r>
        <w:rPr>
          <w:rStyle w:val="23"/>
          <w:rFonts w:hint="eastAsia" w:ascii="黑体" w:hAnsi="黑体" w:eastAsia="黑体"/>
          <w:b w:val="0"/>
        </w:rPr>
        <w:t>政拨款收入支出决算总体情况说明</w:t>
      </w:r>
      <w:bookmarkEnd w:id="48"/>
      <w:bookmarkEnd w:id="49"/>
      <w:bookmarkEnd w:id="50"/>
      <w:bookmarkEnd w:id="51"/>
    </w:p>
    <w:p>
      <w:pPr>
        <w:spacing w:line="600" w:lineRule="exact"/>
        <w:ind w:firstLine="640"/>
        <w:rPr>
          <w:rFonts w:hint="eastAsia" w:ascii="仿宋" w:hAnsi="仿宋" w:eastAsia="仿宋_GB2312"/>
          <w:color w:val="000000"/>
          <w:sz w:val="32"/>
          <w:szCs w:val="32"/>
          <w:lang w:eastAsia="zh-CN"/>
        </w:rPr>
      </w:pPr>
      <w:r>
        <w:rPr>
          <w:rFonts w:ascii="仿宋" w:hAnsi="仿宋" w:eastAsia="仿宋"/>
          <w:color w:val="000000"/>
          <w:sz w:val="32"/>
          <w:szCs w:val="32"/>
        </w:rPr>
        <w:t>2020</w:t>
      </w:r>
      <w:r>
        <w:rPr>
          <w:rFonts w:hint="eastAsia" w:ascii="仿宋" w:hAnsi="仿宋" w:eastAsia="仿宋"/>
          <w:color w:val="000000"/>
          <w:sz w:val="32"/>
          <w:szCs w:val="32"/>
        </w:rPr>
        <w:t>年财政拨款收</w:t>
      </w:r>
      <w:r>
        <w:rPr>
          <w:rFonts w:hint="eastAsia" w:ascii="仿宋" w:hAnsi="仿宋" w:eastAsia="仿宋"/>
          <w:color w:val="000000"/>
          <w:sz w:val="32"/>
          <w:szCs w:val="32"/>
          <w:lang w:val="en-US" w:eastAsia="zh-CN"/>
        </w:rPr>
        <w:t>入</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1026.79</w:t>
      </w:r>
      <w:r>
        <w:rPr>
          <w:rFonts w:hint="eastAsia" w:ascii="仿宋" w:hAnsi="仿宋" w:eastAsia="仿宋"/>
          <w:color w:val="000000"/>
          <w:sz w:val="32"/>
          <w:szCs w:val="32"/>
        </w:rPr>
        <w:t>万元。与</w:t>
      </w:r>
      <w:r>
        <w:rPr>
          <w:rFonts w:ascii="仿宋" w:hAnsi="仿宋" w:eastAsia="仿宋"/>
          <w:color w:val="000000"/>
          <w:sz w:val="32"/>
          <w:szCs w:val="32"/>
        </w:rPr>
        <w:t>2019</w:t>
      </w:r>
      <w:r>
        <w:rPr>
          <w:rFonts w:hint="eastAsia" w:ascii="仿宋" w:hAnsi="仿宋" w:eastAsia="仿宋"/>
          <w:color w:val="000000"/>
          <w:sz w:val="32"/>
          <w:szCs w:val="32"/>
        </w:rPr>
        <w:t>年相比，财政拨款收</w:t>
      </w:r>
      <w:r>
        <w:rPr>
          <w:rFonts w:hint="eastAsia" w:ascii="仿宋" w:hAnsi="仿宋" w:eastAsia="仿宋"/>
          <w:color w:val="000000"/>
          <w:sz w:val="32"/>
          <w:szCs w:val="32"/>
          <w:lang w:val="en-US" w:eastAsia="zh-CN"/>
        </w:rPr>
        <w:t>入减少17.32万元，同比下降0.16%；2020年</w:t>
      </w:r>
      <w:r>
        <w:rPr>
          <w:rFonts w:hint="eastAsia" w:ascii="仿宋" w:hAnsi="仿宋" w:eastAsia="仿宋"/>
          <w:color w:val="000000"/>
          <w:sz w:val="32"/>
          <w:szCs w:val="32"/>
        </w:rPr>
        <w:t>财政拨款支</w:t>
      </w:r>
      <w:r>
        <w:rPr>
          <w:rFonts w:hint="eastAsia" w:ascii="仿宋" w:hAnsi="仿宋" w:eastAsia="仿宋"/>
          <w:color w:val="000000"/>
          <w:sz w:val="32"/>
          <w:szCs w:val="32"/>
          <w:lang w:val="en-US" w:eastAsia="zh-CN"/>
        </w:rPr>
        <w:t>出</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911.79万元，同上年</w:t>
      </w:r>
      <w:r>
        <w:rPr>
          <w:rFonts w:hint="eastAsia" w:ascii="仿宋" w:hAnsi="仿宋" w:eastAsia="仿宋"/>
          <w:color w:val="000000"/>
          <w:sz w:val="32"/>
          <w:szCs w:val="32"/>
        </w:rPr>
        <w:t>增加</w:t>
      </w:r>
      <w:r>
        <w:rPr>
          <w:rFonts w:hint="eastAsia" w:ascii="仿宋" w:hAnsi="仿宋" w:eastAsia="仿宋"/>
          <w:color w:val="000000"/>
          <w:sz w:val="32"/>
          <w:szCs w:val="32"/>
          <w:lang w:val="en-US" w:eastAsia="zh-CN"/>
        </w:rPr>
        <w:t>18.00</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2.01</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_GB2312" w:hAnsi="仿宋" w:eastAsia="仿宋_GB2312"/>
          <w:sz w:val="32"/>
          <w:szCs w:val="32"/>
        </w:rPr>
        <w:t>1.项目经费增加；2.人员增加：3在职职工薪资增加</w:t>
      </w:r>
      <w:r>
        <w:rPr>
          <w:rFonts w:hint="eastAsia" w:ascii="仿宋_GB2312" w:hAnsi="仿宋" w:eastAsia="仿宋_GB2312"/>
          <w:sz w:val="32"/>
          <w:szCs w:val="32"/>
          <w:lang w:eastAsia="zh-CN"/>
        </w:rPr>
        <w:t>。</w:t>
      </w:r>
    </w:p>
    <w:p>
      <w:pPr>
        <w:spacing w:line="600" w:lineRule="exact"/>
        <w:ind w:firstLine="640" w:firstLineChars="200"/>
        <w:rPr>
          <w:rFonts w:hint="eastAsia" w:ascii="仿宋" w:hAnsi="仿宋" w:eastAsia="仿宋"/>
          <w:i w:val="0"/>
          <w:iCs w:val="0"/>
          <w:color w:val="000000"/>
          <w:sz w:val="32"/>
          <w:szCs w:val="32"/>
        </w:rPr>
      </w:pPr>
      <w:r>
        <w:rPr>
          <w:rFonts w:hint="eastAsia" w:ascii="仿宋" w:hAnsi="仿宋" w:eastAsia="仿宋"/>
          <w:color w:val="000000"/>
          <w:sz w:val="32"/>
          <w:szCs w:val="32"/>
          <w:lang w:eastAsia="zh-CN"/>
        </w:rPr>
        <w:drawing>
          <wp:anchor distT="0" distB="0" distL="114300" distR="114300" simplePos="0" relativeHeight="251662336" behindDoc="1" locked="0" layoutInCell="1" allowOverlap="1">
            <wp:simplePos x="0" y="0"/>
            <wp:positionH relativeFrom="column">
              <wp:posOffset>763905</wp:posOffset>
            </wp:positionH>
            <wp:positionV relativeFrom="paragraph">
              <wp:posOffset>132715</wp:posOffset>
            </wp:positionV>
            <wp:extent cx="3254375" cy="1971040"/>
            <wp:effectExtent l="4445" t="4445" r="74930" b="62865"/>
            <wp:wrapThrough wrapText="bothSides">
              <wp:wrapPolygon>
                <wp:start x="-30" y="-49"/>
                <wp:lineTo x="-30" y="22080"/>
                <wp:lineTo x="21465" y="22080"/>
                <wp:lineTo x="21465" y="-49"/>
                <wp:lineTo x="-30" y="-49"/>
              </wp:wrapPolygon>
            </wp:wrapThrough>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line="600" w:lineRule="exact"/>
        <w:ind w:firstLine="640" w:firstLineChars="200"/>
        <w:rPr>
          <w:rFonts w:hint="eastAsia" w:ascii="仿宋" w:hAnsi="仿宋" w:eastAsia="仿宋"/>
          <w:i w:val="0"/>
          <w:iCs w:val="0"/>
          <w:color w:val="000000"/>
          <w:sz w:val="32"/>
          <w:szCs w:val="32"/>
        </w:rPr>
      </w:pPr>
    </w:p>
    <w:p>
      <w:pPr>
        <w:spacing w:line="600" w:lineRule="exact"/>
        <w:ind w:firstLine="640" w:firstLineChars="200"/>
        <w:rPr>
          <w:rFonts w:hint="eastAsia" w:ascii="仿宋" w:hAnsi="仿宋" w:eastAsia="仿宋"/>
          <w:i w:val="0"/>
          <w:iCs w:val="0"/>
          <w:color w:val="000000"/>
          <w:sz w:val="32"/>
          <w:szCs w:val="32"/>
        </w:rPr>
      </w:pPr>
    </w:p>
    <w:p>
      <w:pPr>
        <w:spacing w:line="600" w:lineRule="exact"/>
        <w:ind w:firstLine="640" w:firstLineChars="200"/>
        <w:rPr>
          <w:rFonts w:hint="eastAsia" w:ascii="仿宋" w:hAnsi="仿宋" w:eastAsia="仿宋"/>
          <w:i w:val="0"/>
          <w:iCs w:val="0"/>
          <w:color w:val="000000"/>
          <w:sz w:val="32"/>
          <w:szCs w:val="32"/>
        </w:rPr>
      </w:pPr>
    </w:p>
    <w:p>
      <w:pPr>
        <w:spacing w:line="600" w:lineRule="exact"/>
        <w:ind w:firstLine="640" w:firstLineChars="200"/>
        <w:rPr>
          <w:rFonts w:hint="eastAsia" w:ascii="仿宋" w:hAnsi="仿宋" w:eastAsia="仿宋"/>
          <w:i w:val="0"/>
          <w:iCs w:val="0"/>
          <w:color w:val="000000"/>
          <w:sz w:val="32"/>
          <w:szCs w:val="32"/>
        </w:rPr>
      </w:pPr>
    </w:p>
    <w:p>
      <w:pPr>
        <w:spacing w:line="600" w:lineRule="exact"/>
        <w:ind w:firstLine="640" w:firstLineChars="200"/>
        <w:rPr>
          <w:rFonts w:hint="eastAsia" w:ascii="仿宋" w:hAnsi="仿宋" w:eastAsia="仿宋"/>
          <w:i w:val="0"/>
          <w:iCs w:val="0"/>
          <w:color w:val="000000"/>
          <w:sz w:val="32"/>
          <w:szCs w:val="32"/>
        </w:rPr>
      </w:pPr>
    </w:p>
    <w:p>
      <w:pPr>
        <w:spacing w:line="600" w:lineRule="exact"/>
        <w:ind w:firstLine="640" w:firstLineChars="200"/>
        <w:rPr>
          <w:rFonts w:ascii="仿宋" w:hAnsi="仿宋" w:eastAsia="仿宋"/>
          <w:b/>
          <w:color w:val="00B050"/>
          <w:sz w:val="32"/>
          <w:szCs w:val="32"/>
        </w:rPr>
      </w:pPr>
      <w:r>
        <w:rPr>
          <w:rFonts w:hint="eastAsia" w:ascii="仿宋" w:hAnsi="仿宋" w:eastAsia="仿宋"/>
          <w:i w:val="0"/>
          <w:iCs w:val="0"/>
          <w:color w:val="000000"/>
          <w:sz w:val="32"/>
          <w:szCs w:val="32"/>
        </w:rPr>
        <w:t>（图</w:t>
      </w:r>
      <w:r>
        <w:rPr>
          <w:rFonts w:ascii="仿宋" w:hAnsi="仿宋" w:eastAsia="仿宋"/>
          <w:i w:val="0"/>
          <w:iCs w:val="0"/>
          <w:color w:val="000000"/>
          <w:sz w:val="32"/>
          <w:szCs w:val="32"/>
        </w:rPr>
        <w:t>4</w:t>
      </w:r>
      <w:r>
        <w:rPr>
          <w:rFonts w:hint="eastAsia" w:ascii="仿宋" w:hAnsi="仿宋" w:eastAsia="仿宋"/>
          <w:i w:val="0"/>
          <w:iCs w:val="0"/>
          <w:color w:val="000000"/>
          <w:sz w:val="32"/>
          <w:szCs w:val="32"/>
        </w:rPr>
        <w:t>：财政拨款收、支决算总计变动情况）（柱状图）</w:t>
      </w:r>
    </w:p>
    <w:p>
      <w:pPr>
        <w:spacing w:line="600" w:lineRule="exact"/>
        <w:ind w:firstLine="640" w:firstLineChars="200"/>
        <w:outlineLvl w:val="1"/>
        <w:rPr>
          <w:rStyle w:val="23"/>
          <w:rFonts w:ascii="黑体" w:hAnsi="黑体" w:eastAsia="黑体"/>
          <w:b w:val="0"/>
        </w:rPr>
      </w:pPr>
      <w:bookmarkStart w:id="52" w:name="_Toc79163614"/>
      <w:bookmarkStart w:id="53" w:name="_Toc15754"/>
      <w:bookmarkStart w:id="54" w:name="_Toc15377209"/>
      <w:bookmarkStart w:id="55"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3"/>
          <w:rFonts w:hint="eastAsia" w:ascii="黑体" w:hAnsi="黑体" w:eastAsia="黑体"/>
          <w:b w:val="0"/>
        </w:rPr>
        <w:t>般公共预算财政拨款支出决算情况说明</w:t>
      </w:r>
      <w:bookmarkEnd w:id="52"/>
      <w:bookmarkEnd w:id="53"/>
      <w:bookmarkEnd w:id="54"/>
      <w:bookmarkEnd w:id="55"/>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2"/>
        <w:rPr>
          <w:rFonts w:ascii="仿宋" w:hAnsi="仿宋" w:eastAsia="仿宋"/>
          <w:b/>
          <w:color w:val="000000"/>
          <w:sz w:val="32"/>
          <w:szCs w:val="32"/>
        </w:rPr>
      </w:pPr>
      <w:bookmarkStart w:id="56" w:name="_Toc15377210"/>
      <w:bookmarkStart w:id="57" w:name="_Toc17979"/>
      <w:bookmarkStart w:id="58" w:name="_Toc79163615"/>
      <w:r>
        <w:rPr>
          <w:rFonts w:hint="eastAsia" w:ascii="仿宋" w:hAnsi="仿宋" w:eastAsia="仿宋"/>
          <w:b/>
          <w:color w:val="000000"/>
          <w:sz w:val="32"/>
          <w:szCs w:val="32"/>
        </w:rPr>
        <w:t>（一）一般公共预算财政拨款支出决算总体情况</w:t>
      </w:r>
      <w:bookmarkEnd w:id="56"/>
      <w:bookmarkEnd w:id="57"/>
      <w:bookmarkEnd w:id="58"/>
    </w:p>
    <w:p>
      <w:pPr>
        <w:spacing w:line="600" w:lineRule="exact"/>
        <w:ind w:firstLine="640" w:firstLineChars="200"/>
        <w:rPr>
          <w:rFonts w:hint="default" w:ascii="仿宋" w:hAnsi="仿宋" w:eastAsia="仿宋"/>
          <w:color w:val="000000"/>
          <w:sz w:val="32"/>
          <w:szCs w:val="32"/>
          <w:lang w:val="en-US" w:eastAsia="zh-CN"/>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年一般公共预算财政拨款支出911.81万元，占本年支出合计的</w:t>
      </w:r>
      <w:r>
        <w:rPr>
          <w:rFonts w:hint="eastAsia" w:ascii="仿宋" w:hAnsi="仿宋" w:eastAsia="仿宋"/>
          <w:color w:val="000000"/>
          <w:sz w:val="32"/>
          <w:szCs w:val="32"/>
          <w:lang w:val="en-US" w:eastAsia="zh-CN"/>
        </w:rPr>
        <w:t>70.91</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2019</w:t>
      </w:r>
      <w:r>
        <w:rPr>
          <w:rFonts w:hint="eastAsia" w:ascii="仿宋" w:hAnsi="仿宋" w:eastAsia="仿宋"/>
          <w:color w:val="000000"/>
          <w:sz w:val="32"/>
          <w:szCs w:val="32"/>
        </w:rPr>
        <w:t>年相比，一般公共预算财政拨款增加</w:t>
      </w:r>
      <w:r>
        <w:rPr>
          <w:rFonts w:hint="eastAsia" w:ascii="仿宋" w:hAnsi="仿宋" w:eastAsia="仿宋"/>
          <w:color w:val="000000"/>
          <w:sz w:val="32"/>
          <w:szCs w:val="32"/>
          <w:lang w:val="en-US" w:eastAsia="zh-CN"/>
        </w:rPr>
        <w:t>18.02</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2.01</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当年人员变动导致财政拨款数额变化。</w:t>
      </w:r>
    </w:p>
    <w:p>
      <w:pPr>
        <w:spacing w:line="600" w:lineRule="exact"/>
        <w:ind w:firstLine="420" w:firstLineChars="200"/>
        <w:rPr>
          <w:rFonts w:ascii="仿宋" w:hAnsi="仿宋" w:eastAsia="仿宋"/>
          <w:color w:val="000000"/>
          <w:sz w:val="32"/>
          <w:szCs w:val="32"/>
        </w:rPr>
      </w:pPr>
      <w:r>
        <w:drawing>
          <wp:anchor distT="0" distB="0" distL="0" distR="0" simplePos="0" relativeHeight="251663360" behindDoc="0" locked="0" layoutInCell="1" allowOverlap="1">
            <wp:simplePos x="0" y="0"/>
            <wp:positionH relativeFrom="column">
              <wp:posOffset>292735</wp:posOffset>
            </wp:positionH>
            <wp:positionV relativeFrom="paragraph">
              <wp:posOffset>93345</wp:posOffset>
            </wp:positionV>
            <wp:extent cx="4537710" cy="2252345"/>
            <wp:effectExtent l="4445" t="4445" r="10795" b="10160"/>
            <wp:wrapNone/>
            <wp:docPr id="35" name="图表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rPr>
          <w:rFonts w:hint="eastAsia" w:ascii="仿宋" w:hAnsi="仿宋" w:eastAsia="仿宋"/>
          <w:color w:val="000000"/>
          <w:sz w:val="32"/>
          <w:szCs w:val="32"/>
        </w:rPr>
      </w:pPr>
    </w:p>
    <w:p>
      <w:pPr>
        <w:spacing w:line="600" w:lineRule="exact"/>
        <w:rPr>
          <w:rFonts w:hint="eastAsia" w:ascii="仿宋" w:hAnsi="仿宋" w:eastAsia="仿宋"/>
          <w:color w:val="000000"/>
          <w:sz w:val="32"/>
          <w:szCs w:val="32"/>
        </w:rPr>
      </w:pPr>
    </w:p>
    <w:p>
      <w:pPr>
        <w:spacing w:line="600" w:lineRule="exact"/>
        <w:rPr>
          <w:rFonts w:hint="eastAsia"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5</w:t>
      </w:r>
      <w:r>
        <w:rPr>
          <w:rFonts w:hint="eastAsia" w:ascii="仿宋" w:hAnsi="仿宋" w:eastAsia="仿宋"/>
          <w:color w:val="000000"/>
          <w:sz w:val="32"/>
          <w:szCs w:val="32"/>
          <w:lang w:eastAsia="zh-CN"/>
        </w:rPr>
        <w:t>）</w:t>
      </w:r>
      <w:r>
        <w:rPr>
          <w:rFonts w:hint="eastAsia" w:ascii="仿宋" w:hAnsi="仿宋" w:eastAsia="仿宋"/>
          <w:color w:val="000000"/>
          <w:sz w:val="32"/>
          <w:szCs w:val="32"/>
        </w:rPr>
        <w:t>：一般公共预算财政拨款支出决算变动情况）（柱状图）</w:t>
      </w:r>
    </w:p>
    <w:p>
      <w:pPr>
        <w:spacing w:line="600" w:lineRule="exact"/>
        <w:ind w:firstLine="643" w:firstLineChars="200"/>
        <w:outlineLvl w:val="2"/>
        <w:rPr>
          <w:rFonts w:ascii="仿宋" w:hAnsi="仿宋" w:eastAsia="仿宋"/>
          <w:b/>
          <w:color w:val="000000"/>
          <w:sz w:val="32"/>
          <w:szCs w:val="32"/>
        </w:rPr>
      </w:pPr>
      <w:bookmarkStart w:id="59" w:name="_Toc24874"/>
      <w:bookmarkStart w:id="60" w:name="_Toc79163616"/>
      <w:bookmarkStart w:id="61" w:name="_Toc15377211"/>
      <w:r>
        <w:rPr>
          <w:rFonts w:hint="eastAsia" w:ascii="仿宋" w:hAnsi="仿宋" w:eastAsia="仿宋"/>
          <w:b/>
          <w:color w:val="000000"/>
          <w:sz w:val="32"/>
          <w:szCs w:val="32"/>
        </w:rPr>
        <w:t>（二）一般公共预算财政拨款支出决算结构情况</w:t>
      </w:r>
      <w:bookmarkEnd w:id="59"/>
      <w:bookmarkEnd w:id="60"/>
      <w:bookmarkEnd w:id="61"/>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年一般公共预算财政拨款支出911.81万元，主要</w:t>
      </w:r>
      <w:r>
        <w:rPr>
          <w:rFonts w:hint="eastAsia" w:ascii="仿宋" w:hAnsi="仿宋" w:eastAsia="仿宋"/>
          <w:b/>
          <w:color w:val="000000"/>
          <w:sz w:val="32"/>
          <w:szCs w:val="32"/>
        </w:rPr>
        <w:t>用于以下方面:社会保障和就业（类）支出102.81万元，占</w:t>
      </w:r>
      <w:r>
        <w:rPr>
          <w:rFonts w:hint="eastAsia" w:ascii="仿宋" w:hAnsi="仿宋" w:eastAsia="仿宋"/>
          <w:color w:val="000000"/>
          <w:sz w:val="32"/>
          <w:szCs w:val="32"/>
          <w:lang w:val="en-US" w:eastAsia="zh-CN"/>
        </w:rPr>
        <w:t>11.27</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bCs/>
          <w:color w:val="000000"/>
          <w:sz w:val="32"/>
          <w:szCs w:val="32"/>
        </w:rPr>
        <w:t>卫生健康支出</w:t>
      </w:r>
      <w:r>
        <w:rPr>
          <w:rFonts w:hint="eastAsia" w:ascii="仿宋" w:hAnsi="仿宋" w:eastAsia="仿宋"/>
          <w:color w:val="000000"/>
          <w:sz w:val="32"/>
          <w:szCs w:val="32"/>
        </w:rPr>
        <w:t>741.56万元，占</w:t>
      </w:r>
      <w:r>
        <w:rPr>
          <w:rFonts w:hint="eastAsia" w:ascii="仿宋" w:hAnsi="仿宋" w:eastAsia="仿宋"/>
          <w:color w:val="000000"/>
          <w:sz w:val="32"/>
          <w:szCs w:val="32"/>
          <w:lang w:val="en-US" w:eastAsia="zh-CN"/>
        </w:rPr>
        <w:t>81.32</w:t>
      </w:r>
      <w:r>
        <w:rPr>
          <w:rFonts w:ascii="仿宋" w:hAnsi="仿宋" w:eastAsia="仿宋"/>
          <w:color w:val="000000"/>
          <w:sz w:val="32"/>
          <w:szCs w:val="32"/>
        </w:rPr>
        <w:t>%</w:t>
      </w:r>
      <w:r>
        <w:rPr>
          <w:rFonts w:hint="eastAsia" w:ascii="仿宋" w:hAnsi="仿宋" w:eastAsia="仿宋"/>
          <w:color w:val="000000"/>
          <w:sz w:val="32"/>
          <w:szCs w:val="32"/>
        </w:rPr>
        <w:t>；住房保障支出67.44万元，占</w:t>
      </w:r>
      <w:r>
        <w:rPr>
          <w:rFonts w:hint="eastAsia" w:ascii="仿宋" w:hAnsi="仿宋" w:eastAsia="仿宋"/>
          <w:color w:val="000000"/>
          <w:sz w:val="32"/>
          <w:szCs w:val="32"/>
          <w:lang w:val="en-US" w:eastAsia="zh-CN"/>
        </w:rPr>
        <w:t>7.40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rPr>
          <w:rFonts w:hint="eastAsia" w:ascii="仿宋" w:hAnsi="仿宋" w:eastAsia="仿宋"/>
          <w:color w:val="000000"/>
          <w:sz w:val="32"/>
          <w:szCs w:val="32"/>
        </w:rPr>
      </w:pPr>
      <w:r>
        <w:rPr>
          <w:rFonts w:hint="eastAsia" w:ascii="仿宋" w:hAnsi="仿宋" w:eastAsia="仿宋"/>
          <w:color w:val="000000"/>
          <w:sz w:val="32"/>
          <w:szCs w:val="32"/>
          <w:shd w:val="pct10" w:color="auto" w:fill="FFFFFF"/>
          <w:lang w:eastAsia="zh-CN"/>
        </w:rPr>
        <w:drawing>
          <wp:anchor distT="0" distB="0" distL="114300" distR="114300" simplePos="0" relativeHeight="251664384" behindDoc="1" locked="0" layoutInCell="1" allowOverlap="1">
            <wp:simplePos x="0" y="0"/>
            <wp:positionH relativeFrom="column">
              <wp:posOffset>463550</wp:posOffset>
            </wp:positionH>
            <wp:positionV relativeFrom="paragraph">
              <wp:posOffset>12700</wp:posOffset>
            </wp:positionV>
            <wp:extent cx="3773170" cy="2430780"/>
            <wp:effectExtent l="4445" t="4445" r="13335" b="79375"/>
            <wp:wrapThrough wrapText="bothSides">
              <wp:wrapPolygon>
                <wp:start x="-25" y="-39"/>
                <wp:lineTo x="-25" y="21967"/>
                <wp:lineTo x="21567" y="21967"/>
                <wp:lineTo x="21567" y="-39"/>
                <wp:lineTo x="-25" y="-39"/>
              </wp:wrapPolygon>
            </wp:wrapThrough>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p>
    <w:p>
      <w:pPr>
        <w:spacing w:line="600" w:lineRule="exact"/>
        <w:rPr>
          <w:rFonts w:hint="eastAsia" w:ascii="仿宋" w:hAnsi="仿宋" w:eastAsia="仿宋"/>
          <w:color w:val="000000"/>
          <w:sz w:val="32"/>
          <w:szCs w:val="32"/>
        </w:rPr>
      </w:pPr>
    </w:p>
    <w:p>
      <w:pPr>
        <w:spacing w:line="600" w:lineRule="exact"/>
        <w:rPr>
          <w:rFonts w:hint="eastAsia" w:ascii="仿宋" w:hAnsi="仿宋" w:eastAsia="仿宋"/>
          <w:color w:val="000000"/>
          <w:sz w:val="32"/>
          <w:szCs w:val="32"/>
        </w:rPr>
      </w:pPr>
    </w:p>
    <w:p>
      <w:pPr>
        <w:spacing w:line="600" w:lineRule="exact"/>
        <w:rPr>
          <w:rFonts w:hint="eastAsia" w:ascii="仿宋" w:hAnsi="仿宋" w:eastAsia="仿宋"/>
          <w:color w:val="000000"/>
          <w:sz w:val="32"/>
          <w:szCs w:val="32"/>
        </w:rPr>
      </w:pPr>
    </w:p>
    <w:p>
      <w:pPr>
        <w:spacing w:line="600" w:lineRule="exact"/>
        <w:rPr>
          <w:rFonts w:hint="eastAsia" w:ascii="仿宋" w:hAnsi="仿宋" w:eastAsia="仿宋"/>
          <w:color w:val="000000"/>
          <w:sz w:val="32"/>
          <w:szCs w:val="32"/>
        </w:rPr>
      </w:pPr>
    </w:p>
    <w:p>
      <w:pPr>
        <w:spacing w:line="600" w:lineRule="exact"/>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6</w:t>
      </w:r>
      <w:r>
        <w:rPr>
          <w:rFonts w:hint="eastAsia" w:ascii="仿宋" w:hAnsi="仿宋" w:eastAsia="仿宋"/>
          <w:color w:val="000000"/>
          <w:sz w:val="32"/>
          <w:szCs w:val="32"/>
        </w:rPr>
        <w:t>：一般公共预算财政拨款支出决算结构）（饼状图）</w:t>
      </w:r>
    </w:p>
    <w:p>
      <w:pPr>
        <w:spacing w:line="600" w:lineRule="exact"/>
        <w:ind w:firstLine="643" w:firstLineChars="200"/>
        <w:outlineLvl w:val="2"/>
        <w:rPr>
          <w:rFonts w:ascii="仿宋" w:hAnsi="仿宋" w:eastAsia="仿宋"/>
          <w:b/>
          <w:color w:val="000000"/>
          <w:sz w:val="32"/>
          <w:szCs w:val="32"/>
        </w:rPr>
      </w:pPr>
      <w:bookmarkStart w:id="62" w:name="_Toc15377212"/>
      <w:bookmarkStart w:id="63" w:name="_Toc79163617"/>
      <w:bookmarkStart w:id="64" w:name="_Toc5639"/>
      <w:r>
        <w:rPr>
          <w:rFonts w:hint="eastAsia" w:ascii="仿宋" w:hAnsi="仿宋" w:eastAsia="仿宋"/>
          <w:b/>
          <w:color w:val="000000"/>
          <w:sz w:val="32"/>
          <w:szCs w:val="32"/>
        </w:rPr>
        <w:t>（三）一般公共预算财政拨款支出决算具体情况</w:t>
      </w:r>
      <w:bookmarkEnd w:id="62"/>
      <w:bookmarkEnd w:id="63"/>
      <w:bookmarkEnd w:id="64"/>
    </w:p>
    <w:p>
      <w:pPr>
        <w:spacing w:line="600" w:lineRule="exact"/>
        <w:ind w:firstLine="643" w:firstLineChars="200"/>
        <w:rPr>
          <w:rFonts w:ascii="仿宋_GB2312" w:eastAsia="仿宋_GB2312"/>
          <w:b/>
          <w:bCs/>
          <w:sz w:val="32"/>
          <w:szCs w:val="32"/>
        </w:rPr>
      </w:pPr>
      <w:bookmarkStart w:id="65" w:name="_Toc15377213"/>
      <w:bookmarkStart w:id="66" w:name="_Toc15378460"/>
      <w:bookmarkStart w:id="67" w:name="_Toc15377444"/>
      <w:r>
        <w:rPr>
          <w:rFonts w:ascii="仿宋_GB2312" w:eastAsia="仿宋_GB2312"/>
          <w:b/>
          <w:bCs/>
          <w:sz w:val="32"/>
          <w:szCs w:val="32"/>
        </w:rPr>
        <w:t>2020</w:t>
      </w:r>
      <w:r>
        <w:rPr>
          <w:rFonts w:hint="eastAsia" w:ascii="仿宋_GB2312" w:eastAsia="仿宋_GB2312"/>
          <w:b/>
          <w:bCs/>
          <w:sz w:val="32"/>
          <w:szCs w:val="32"/>
        </w:rPr>
        <w:t>年一般公共预算支出决算数为</w:t>
      </w:r>
      <w:r>
        <w:rPr>
          <w:rFonts w:hint="eastAsia" w:ascii="仿宋" w:hAnsi="仿宋" w:eastAsia="仿宋"/>
          <w:color w:val="000000"/>
          <w:sz w:val="32"/>
          <w:szCs w:val="32"/>
        </w:rPr>
        <w:t>911.81</w:t>
      </w:r>
      <w:r>
        <w:rPr>
          <w:rFonts w:hint="eastAsia" w:ascii="仿宋" w:hAnsi="仿宋" w:eastAsia="仿宋"/>
          <w:color w:val="000000"/>
          <w:sz w:val="32"/>
          <w:szCs w:val="32"/>
          <w:lang w:val="en-US" w:eastAsia="zh-CN"/>
        </w:rPr>
        <w:t>万元</w:t>
      </w:r>
      <w:r>
        <w:rPr>
          <w:rFonts w:hint="eastAsia" w:ascii="仿宋_GB2312" w:eastAsia="仿宋_GB2312"/>
          <w:b/>
          <w:bCs/>
          <w:sz w:val="32"/>
          <w:szCs w:val="32"/>
        </w:rPr>
        <w:t>，完成预算</w:t>
      </w:r>
      <w:r>
        <w:rPr>
          <w:rFonts w:hint="eastAsia" w:ascii="仿宋_GB2312" w:eastAsia="仿宋_GB2312"/>
          <w:b/>
          <w:bCs/>
          <w:sz w:val="32"/>
          <w:szCs w:val="32"/>
          <w:lang w:val="en-US" w:eastAsia="zh-CN"/>
        </w:rPr>
        <w:t>88.80</w:t>
      </w:r>
      <w:r>
        <w:rPr>
          <w:rFonts w:ascii="仿宋_GB2312" w:eastAsia="仿宋_GB2312"/>
          <w:b/>
          <w:bCs/>
          <w:sz w:val="32"/>
          <w:szCs w:val="32"/>
        </w:rPr>
        <w:t>%</w:t>
      </w:r>
      <w:r>
        <w:rPr>
          <w:rFonts w:hint="eastAsia" w:ascii="仿宋_GB2312" w:eastAsia="仿宋_GB2312"/>
          <w:b/>
          <w:bCs/>
          <w:sz w:val="32"/>
          <w:szCs w:val="32"/>
        </w:rPr>
        <w:t>。其中：</w:t>
      </w:r>
      <w:bookmarkEnd w:id="65"/>
      <w:bookmarkEnd w:id="66"/>
      <w:bookmarkEnd w:id="67"/>
    </w:p>
    <w:p>
      <w:pPr>
        <w:numPr>
          <w:ilvl w:val="0"/>
          <w:numId w:val="0"/>
        </w:numPr>
        <w:spacing w:line="600" w:lineRule="exact"/>
        <w:ind w:firstLine="643" w:firstLineChars="200"/>
        <w:rPr>
          <w:rStyle w:val="20"/>
          <w:rFonts w:hint="eastAsia" w:ascii="仿宋" w:hAnsi="仿宋" w:eastAsia="仿宋"/>
          <w:b w:val="0"/>
          <w:bCs/>
          <w:color w:val="000000"/>
          <w:sz w:val="32"/>
          <w:szCs w:val="32"/>
        </w:rPr>
      </w:pPr>
      <w:r>
        <w:rPr>
          <w:rStyle w:val="20"/>
          <w:rFonts w:hint="eastAsia" w:ascii="仿宋" w:hAnsi="仿宋" w:eastAsia="仿宋"/>
          <w:bCs/>
          <w:color w:val="000000"/>
          <w:sz w:val="32"/>
          <w:szCs w:val="32"/>
          <w:lang w:val="en-US" w:eastAsia="zh-CN"/>
        </w:rPr>
        <w:t>1.</w:t>
      </w:r>
      <w:r>
        <w:rPr>
          <w:rStyle w:val="20"/>
          <w:rFonts w:hint="eastAsia" w:ascii="仿宋" w:hAnsi="仿宋" w:eastAsia="仿宋"/>
          <w:bCs/>
          <w:color w:val="000000"/>
          <w:sz w:val="32"/>
          <w:szCs w:val="32"/>
        </w:rPr>
        <w:t>社会保障和就业（类）</w:t>
      </w:r>
      <w:r>
        <w:rPr>
          <w:rStyle w:val="20"/>
          <w:rFonts w:hint="eastAsia" w:ascii="仿宋" w:hAnsi="仿宋" w:eastAsia="仿宋"/>
          <w:bCs/>
          <w:color w:val="000000"/>
          <w:sz w:val="32"/>
          <w:szCs w:val="32"/>
          <w:lang w:val="en-US" w:eastAsia="zh-CN"/>
        </w:rPr>
        <w:t>行政事业单位养老支出</w:t>
      </w:r>
      <w:r>
        <w:rPr>
          <w:rStyle w:val="20"/>
          <w:rFonts w:hint="eastAsia" w:ascii="仿宋" w:hAnsi="仿宋" w:eastAsia="仿宋"/>
          <w:bCs/>
          <w:color w:val="000000"/>
          <w:sz w:val="32"/>
          <w:szCs w:val="32"/>
        </w:rPr>
        <w:t>（款）</w:t>
      </w:r>
      <w:r>
        <w:rPr>
          <w:rStyle w:val="20"/>
          <w:rFonts w:hint="eastAsia" w:ascii="仿宋" w:hAnsi="仿宋" w:eastAsia="仿宋"/>
          <w:bCs/>
          <w:color w:val="000000"/>
          <w:sz w:val="32"/>
          <w:szCs w:val="32"/>
          <w:lang w:val="en-US" w:eastAsia="zh-CN"/>
        </w:rPr>
        <w:t>机关事业单位基本养老保险缴费支出</w:t>
      </w:r>
      <w:r>
        <w:rPr>
          <w:rStyle w:val="20"/>
          <w:rFonts w:hint="eastAsia" w:ascii="仿宋" w:hAnsi="仿宋" w:eastAsia="仿宋"/>
          <w:bCs/>
          <w:color w:val="000000"/>
          <w:sz w:val="32"/>
          <w:szCs w:val="32"/>
        </w:rPr>
        <w:t>（项）</w:t>
      </w:r>
      <w:r>
        <w:rPr>
          <w:rStyle w:val="20"/>
          <w:rFonts w:ascii="仿宋" w:hAnsi="仿宋" w:eastAsia="仿宋"/>
          <w:bCs/>
          <w:color w:val="000000"/>
          <w:sz w:val="32"/>
          <w:szCs w:val="32"/>
        </w:rPr>
        <w:t>:</w:t>
      </w:r>
      <w:r>
        <w:rPr>
          <w:rStyle w:val="20"/>
          <w:rFonts w:ascii="仿宋" w:hAnsi="仿宋" w:eastAsia="仿宋"/>
          <w:b w:val="0"/>
          <w:bCs/>
          <w:color w:val="000000"/>
          <w:sz w:val="32"/>
          <w:szCs w:val="32"/>
        </w:rPr>
        <w:t xml:space="preserve"> </w:t>
      </w:r>
      <w:r>
        <w:rPr>
          <w:rStyle w:val="20"/>
          <w:rFonts w:hint="eastAsia" w:ascii="仿宋" w:hAnsi="仿宋" w:eastAsia="仿宋"/>
          <w:b w:val="0"/>
          <w:bCs/>
          <w:color w:val="000000"/>
          <w:sz w:val="32"/>
          <w:szCs w:val="32"/>
        </w:rPr>
        <w:t>支出决算为</w:t>
      </w:r>
      <w:r>
        <w:rPr>
          <w:rStyle w:val="20"/>
          <w:rFonts w:hint="eastAsia" w:ascii="仿宋" w:hAnsi="仿宋" w:eastAsia="仿宋"/>
          <w:b w:val="0"/>
          <w:bCs/>
          <w:color w:val="000000"/>
          <w:sz w:val="32"/>
          <w:szCs w:val="32"/>
          <w:lang w:val="en-US" w:eastAsia="zh-CN"/>
        </w:rPr>
        <w:t>69.28</w:t>
      </w:r>
      <w:r>
        <w:rPr>
          <w:rStyle w:val="20"/>
          <w:rFonts w:hint="eastAsia" w:ascii="仿宋" w:hAnsi="仿宋" w:eastAsia="仿宋"/>
          <w:b w:val="0"/>
          <w:bCs/>
          <w:color w:val="000000"/>
          <w:sz w:val="32"/>
          <w:szCs w:val="32"/>
        </w:rPr>
        <w:t>万元，完成预算</w:t>
      </w:r>
      <w:r>
        <w:rPr>
          <w:rStyle w:val="20"/>
          <w:rFonts w:hint="eastAsia" w:ascii="仿宋" w:hAnsi="仿宋" w:eastAsia="仿宋"/>
          <w:b w:val="0"/>
          <w:bCs/>
          <w:color w:val="000000"/>
          <w:sz w:val="32"/>
          <w:szCs w:val="32"/>
          <w:lang w:val="en-US" w:eastAsia="zh-CN"/>
        </w:rPr>
        <w:t>100</w:t>
      </w:r>
      <w:r>
        <w:rPr>
          <w:rStyle w:val="20"/>
          <w:rFonts w:ascii="仿宋" w:hAnsi="仿宋" w:eastAsia="仿宋"/>
          <w:b w:val="0"/>
          <w:bCs/>
          <w:color w:val="000000"/>
          <w:sz w:val="32"/>
          <w:szCs w:val="32"/>
        </w:rPr>
        <w:t>%</w:t>
      </w:r>
      <w:r>
        <w:rPr>
          <w:rStyle w:val="20"/>
          <w:rFonts w:hint="eastAsia" w:ascii="仿宋" w:hAnsi="仿宋" w:eastAsia="仿宋"/>
          <w:b w:val="0"/>
          <w:bCs/>
          <w:color w:val="000000"/>
          <w:sz w:val="32"/>
          <w:szCs w:val="32"/>
        </w:rPr>
        <w:t>，决算数等于预算数的主要原因是</w:t>
      </w:r>
      <w:r>
        <w:rPr>
          <w:rStyle w:val="20"/>
          <w:rFonts w:hint="eastAsia" w:ascii="仿宋" w:hAnsi="仿宋" w:eastAsia="仿宋"/>
          <w:b w:val="0"/>
          <w:bCs/>
          <w:color w:val="000000"/>
          <w:sz w:val="32"/>
          <w:szCs w:val="32"/>
          <w:lang w:val="en-US" w:eastAsia="zh-CN"/>
        </w:rPr>
        <w:t>严格按照当年预算编制数额执行</w:t>
      </w:r>
      <w:r>
        <w:rPr>
          <w:rStyle w:val="20"/>
          <w:rFonts w:hint="eastAsia" w:ascii="仿宋" w:hAnsi="仿宋" w:eastAsia="仿宋"/>
          <w:b w:val="0"/>
          <w:bCs/>
          <w:color w:val="000000"/>
          <w:sz w:val="32"/>
          <w:szCs w:val="32"/>
        </w:rPr>
        <w:t>。</w:t>
      </w:r>
    </w:p>
    <w:p>
      <w:pPr>
        <w:spacing w:line="600" w:lineRule="exact"/>
        <w:ind w:firstLine="643" w:firstLineChars="200"/>
        <w:rPr>
          <w:rStyle w:val="20"/>
          <w:rFonts w:hint="eastAsia" w:ascii="仿宋" w:hAnsi="仿宋" w:eastAsia="仿宋"/>
          <w:b w:val="0"/>
          <w:bCs/>
          <w:color w:val="000000"/>
          <w:sz w:val="32"/>
          <w:szCs w:val="32"/>
        </w:rPr>
      </w:pPr>
      <w:r>
        <w:rPr>
          <w:rStyle w:val="20"/>
          <w:rFonts w:hint="eastAsia" w:ascii="仿宋" w:hAnsi="仿宋" w:eastAsia="仿宋"/>
          <w:bCs/>
          <w:color w:val="000000"/>
          <w:sz w:val="32"/>
          <w:szCs w:val="32"/>
          <w:lang w:val="en-US" w:eastAsia="zh-CN"/>
        </w:rPr>
        <w:t>2</w:t>
      </w:r>
      <w:r>
        <w:rPr>
          <w:rStyle w:val="20"/>
          <w:rFonts w:ascii="仿宋" w:hAnsi="仿宋" w:eastAsia="仿宋"/>
          <w:bCs/>
          <w:color w:val="000000"/>
          <w:sz w:val="32"/>
          <w:szCs w:val="32"/>
        </w:rPr>
        <w:t>.</w:t>
      </w:r>
      <w:r>
        <w:rPr>
          <w:rStyle w:val="20"/>
          <w:rFonts w:hint="eastAsia" w:ascii="仿宋" w:hAnsi="仿宋" w:eastAsia="仿宋"/>
          <w:bCs/>
          <w:color w:val="000000"/>
          <w:sz w:val="32"/>
          <w:szCs w:val="32"/>
        </w:rPr>
        <w:t>社会保障和就业（类）</w:t>
      </w:r>
      <w:r>
        <w:rPr>
          <w:rStyle w:val="20"/>
          <w:rFonts w:hint="eastAsia" w:ascii="仿宋" w:hAnsi="仿宋" w:eastAsia="仿宋"/>
          <w:bCs/>
          <w:color w:val="000000"/>
          <w:sz w:val="32"/>
          <w:szCs w:val="32"/>
          <w:lang w:val="en-US" w:eastAsia="zh-CN"/>
        </w:rPr>
        <w:t>行政事业单位养老支出</w:t>
      </w:r>
      <w:r>
        <w:rPr>
          <w:rStyle w:val="20"/>
          <w:rFonts w:hint="eastAsia" w:ascii="仿宋" w:hAnsi="仿宋" w:eastAsia="仿宋"/>
          <w:bCs/>
          <w:color w:val="000000"/>
          <w:sz w:val="32"/>
          <w:szCs w:val="32"/>
        </w:rPr>
        <w:t>（款）</w:t>
      </w:r>
      <w:r>
        <w:rPr>
          <w:rStyle w:val="20"/>
          <w:rFonts w:hint="eastAsia" w:ascii="仿宋" w:hAnsi="仿宋" w:eastAsia="仿宋"/>
          <w:bCs/>
          <w:color w:val="000000"/>
          <w:sz w:val="32"/>
          <w:szCs w:val="32"/>
          <w:lang w:val="en-US" w:eastAsia="zh-CN"/>
        </w:rPr>
        <w:t>机关事业单位职业年金缴费支出</w:t>
      </w:r>
      <w:r>
        <w:rPr>
          <w:rStyle w:val="20"/>
          <w:rFonts w:hint="eastAsia" w:ascii="仿宋" w:hAnsi="仿宋" w:eastAsia="仿宋"/>
          <w:bCs/>
          <w:color w:val="000000"/>
          <w:sz w:val="32"/>
          <w:szCs w:val="32"/>
        </w:rPr>
        <w:t>（项）</w:t>
      </w:r>
      <w:r>
        <w:rPr>
          <w:rStyle w:val="20"/>
          <w:rFonts w:ascii="仿宋" w:hAnsi="仿宋" w:eastAsia="仿宋"/>
          <w:bCs/>
          <w:color w:val="000000"/>
          <w:sz w:val="32"/>
          <w:szCs w:val="32"/>
        </w:rPr>
        <w:t>:</w:t>
      </w:r>
      <w:r>
        <w:rPr>
          <w:rStyle w:val="20"/>
          <w:rFonts w:ascii="仿宋" w:hAnsi="仿宋" w:eastAsia="仿宋"/>
          <w:b w:val="0"/>
          <w:bCs/>
          <w:color w:val="000000"/>
          <w:sz w:val="32"/>
          <w:szCs w:val="32"/>
        </w:rPr>
        <w:t xml:space="preserve"> </w:t>
      </w:r>
      <w:r>
        <w:rPr>
          <w:rStyle w:val="20"/>
          <w:rFonts w:hint="eastAsia" w:ascii="仿宋" w:hAnsi="仿宋" w:eastAsia="仿宋"/>
          <w:b w:val="0"/>
          <w:bCs/>
          <w:color w:val="000000"/>
          <w:sz w:val="32"/>
          <w:szCs w:val="32"/>
        </w:rPr>
        <w:t>支出决算为</w:t>
      </w:r>
      <w:r>
        <w:rPr>
          <w:rStyle w:val="20"/>
          <w:rFonts w:hint="eastAsia" w:ascii="仿宋" w:hAnsi="仿宋" w:eastAsia="仿宋"/>
          <w:b w:val="0"/>
          <w:bCs/>
          <w:color w:val="000000"/>
          <w:sz w:val="32"/>
          <w:szCs w:val="32"/>
          <w:lang w:val="en-US" w:eastAsia="zh-CN"/>
        </w:rPr>
        <w:t>33.53</w:t>
      </w:r>
      <w:r>
        <w:rPr>
          <w:rStyle w:val="20"/>
          <w:rFonts w:hint="eastAsia" w:ascii="仿宋" w:hAnsi="仿宋" w:eastAsia="仿宋"/>
          <w:b w:val="0"/>
          <w:bCs/>
          <w:color w:val="000000"/>
          <w:sz w:val="32"/>
          <w:szCs w:val="32"/>
        </w:rPr>
        <w:t>万元，完成预算</w:t>
      </w:r>
      <w:r>
        <w:rPr>
          <w:rStyle w:val="20"/>
          <w:rFonts w:hint="eastAsia" w:ascii="仿宋" w:hAnsi="仿宋" w:eastAsia="仿宋"/>
          <w:b w:val="0"/>
          <w:bCs/>
          <w:color w:val="000000"/>
          <w:sz w:val="32"/>
          <w:szCs w:val="32"/>
          <w:lang w:val="en-US" w:eastAsia="zh-CN"/>
        </w:rPr>
        <w:t>100</w:t>
      </w:r>
      <w:r>
        <w:rPr>
          <w:rStyle w:val="20"/>
          <w:rFonts w:ascii="仿宋" w:hAnsi="仿宋" w:eastAsia="仿宋"/>
          <w:b w:val="0"/>
          <w:bCs/>
          <w:color w:val="000000"/>
          <w:sz w:val="32"/>
          <w:szCs w:val="32"/>
        </w:rPr>
        <w:t>%</w:t>
      </w:r>
      <w:r>
        <w:rPr>
          <w:rStyle w:val="20"/>
          <w:rFonts w:hint="eastAsia" w:ascii="仿宋" w:hAnsi="仿宋" w:eastAsia="仿宋"/>
          <w:b w:val="0"/>
          <w:bCs/>
          <w:color w:val="000000"/>
          <w:sz w:val="32"/>
          <w:szCs w:val="32"/>
        </w:rPr>
        <w:t>，决算数等于预算数的主要原因是</w:t>
      </w:r>
      <w:r>
        <w:rPr>
          <w:rStyle w:val="20"/>
          <w:rFonts w:hint="eastAsia" w:ascii="仿宋" w:hAnsi="仿宋" w:eastAsia="仿宋"/>
          <w:b w:val="0"/>
          <w:bCs/>
          <w:color w:val="000000"/>
          <w:sz w:val="32"/>
          <w:szCs w:val="32"/>
          <w:lang w:val="en-US" w:eastAsia="zh-CN"/>
        </w:rPr>
        <w:t>严格按照当年预算编制数额执行</w:t>
      </w:r>
      <w:r>
        <w:rPr>
          <w:rStyle w:val="20"/>
          <w:rFonts w:hint="eastAsia" w:ascii="仿宋" w:hAnsi="仿宋" w:eastAsia="仿宋"/>
          <w:b w:val="0"/>
          <w:bCs/>
          <w:color w:val="000000"/>
          <w:sz w:val="32"/>
          <w:szCs w:val="32"/>
        </w:rPr>
        <w:t>。</w:t>
      </w:r>
    </w:p>
    <w:p>
      <w:pPr>
        <w:spacing w:line="600" w:lineRule="exact"/>
        <w:ind w:firstLine="643" w:firstLineChars="200"/>
        <w:rPr>
          <w:rFonts w:ascii="仿宋" w:hAnsi="仿宋" w:eastAsia="仿宋"/>
          <w:b/>
          <w:color w:val="000000"/>
          <w:sz w:val="32"/>
          <w:szCs w:val="32"/>
        </w:rPr>
      </w:pPr>
      <w:r>
        <w:rPr>
          <w:rStyle w:val="20"/>
          <w:rFonts w:hint="eastAsia" w:ascii="仿宋" w:hAnsi="仿宋" w:eastAsia="仿宋"/>
          <w:bCs/>
          <w:color w:val="000000"/>
          <w:sz w:val="32"/>
          <w:szCs w:val="32"/>
          <w:lang w:val="en-US" w:eastAsia="zh-CN"/>
        </w:rPr>
        <w:t>3.</w:t>
      </w:r>
      <w:r>
        <w:rPr>
          <w:rFonts w:hint="eastAsia" w:ascii="仿宋" w:hAnsi="仿宋" w:eastAsia="仿宋"/>
          <w:b/>
          <w:bCs/>
          <w:color w:val="000000"/>
          <w:sz w:val="32"/>
          <w:szCs w:val="32"/>
        </w:rPr>
        <w:t>卫生健康</w:t>
      </w:r>
      <w:r>
        <w:rPr>
          <w:rStyle w:val="20"/>
          <w:rFonts w:hint="eastAsia" w:ascii="仿宋" w:hAnsi="仿宋" w:eastAsia="仿宋"/>
          <w:bCs/>
          <w:color w:val="000000"/>
          <w:sz w:val="32"/>
          <w:szCs w:val="32"/>
        </w:rPr>
        <w:t>（类）</w:t>
      </w:r>
      <w:r>
        <w:rPr>
          <w:rStyle w:val="20"/>
          <w:rFonts w:hint="eastAsia" w:ascii="仿宋" w:hAnsi="仿宋" w:eastAsia="仿宋"/>
          <w:bCs/>
          <w:color w:val="000000"/>
          <w:sz w:val="32"/>
          <w:szCs w:val="32"/>
          <w:lang w:val="en-US" w:eastAsia="zh-CN"/>
        </w:rPr>
        <w:t>公立医院</w:t>
      </w:r>
      <w:r>
        <w:rPr>
          <w:rStyle w:val="20"/>
          <w:rFonts w:hint="eastAsia" w:ascii="仿宋" w:hAnsi="仿宋" w:eastAsia="仿宋"/>
          <w:bCs/>
          <w:color w:val="000000"/>
          <w:sz w:val="32"/>
          <w:szCs w:val="32"/>
        </w:rPr>
        <w:t>（款）</w:t>
      </w:r>
      <w:r>
        <w:rPr>
          <w:rStyle w:val="20"/>
          <w:rFonts w:hint="eastAsia" w:ascii="仿宋" w:hAnsi="仿宋" w:eastAsia="仿宋"/>
          <w:bCs/>
          <w:color w:val="000000"/>
          <w:sz w:val="32"/>
          <w:szCs w:val="32"/>
          <w:lang w:val="en-US" w:eastAsia="zh-CN"/>
        </w:rPr>
        <w:t>中医（民族）医院</w:t>
      </w:r>
      <w:r>
        <w:rPr>
          <w:rStyle w:val="20"/>
          <w:rFonts w:hint="eastAsia" w:ascii="仿宋" w:hAnsi="仿宋" w:eastAsia="仿宋"/>
          <w:bCs/>
          <w:color w:val="000000"/>
          <w:sz w:val="32"/>
          <w:szCs w:val="32"/>
        </w:rPr>
        <w:t>（项）</w:t>
      </w:r>
      <w:r>
        <w:rPr>
          <w:rStyle w:val="20"/>
          <w:rFonts w:ascii="仿宋" w:hAnsi="仿宋" w:eastAsia="仿宋"/>
          <w:bCs/>
          <w:color w:val="000000"/>
          <w:sz w:val="32"/>
          <w:szCs w:val="32"/>
        </w:rPr>
        <w:t>:</w:t>
      </w:r>
      <w:r>
        <w:rPr>
          <w:rStyle w:val="20"/>
          <w:rFonts w:hint="eastAsia" w:ascii="仿宋" w:hAnsi="仿宋" w:eastAsia="仿宋"/>
          <w:b w:val="0"/>
          <w:bCs/>
          <w:color w:val="000000"/>
          <w:sz w:val="32"/>
          <w:szCs w:val="32"/>
        </w:rPr>
        <w:t>支出决算为</w:t>
      </w:r>
      <w:r>
        <w:rPr>
          <w:rStyle w:val="20"/>
          <w:rFonts w:hint="eastAsia" w:ascii="仿宋" w:hAnsi="仿宋" w:eastAsia="仿宋"/>
          <w:b w:val="0"/>
          <w:bCs/>
          <w:color w:val="000000"/>
          <w:sz w:val="32"/>
          <w:szCs w:val="32"/>
          <w:lang w:val="en-US" w:eastAsia="zh-CN"/>
        </w:rPr>
        <w:t>548.55</w:t>
      </w:r>
      <w:r>
        <w:rPr>
          <w:rStyle w:val="20"/>
          <w:rFonts w:hint="eastAsia" w:ascii="仿宋" w:hAnsi="仿宋" w:eastAsia="仿宋"/>
          <w:b w:val="0"/>
          <w:bCs/>
          <w:color w:val="000000"/>
          <w:sz w:val="32"/>
          <w:szCs w:val="32"/>
        </w:rPr>
        <w:t>万元，完成预算</w:t>
      </w:r>
      <w:r>
        <w:rPr>
          <w:rStyle w:val="20"/>
          <w:rFonts w:hint="eastAsia" w:ascii="仿宋" w:hAnsi="仿宋" w:eastAsia="仿宋"/>
          <w:b w:val="0"/>
          <w:bCs/>
          <w:color w:val="000000"/>
          <w:sz w:val="32"/>
          <w:szCs w:val="32"/>
          <w:lang w:val="en-US" w:eastAsia="zh-CN"/>
        </w:rPr>
        <w:t>100</w:t>
      </w:r>
      <w:r>
        <w:rPr>
          <w:rStyle w:val="20"/>
          <w:rFonts w:ascii="仿宋" w:hAnsi="仿宋" w:eastAsia="仿宋"/>
          <w:b w:val="0"/>
          <w:bCs/>
          <w:color w:val="000000"/>
          <w:sz w:val="32"/>
          <w:szCs w:val="32"/>
        </w:rPr>
        <w:t>%</w:t>
      </w:r>
      <w:r>
        <w:rPr>
          <w:rStyle w:val="20"/>
          <w:rFonts w:hint="eastAsia" w:ascii="仿宋" w:hAnsi="仿宋" w:eastAsia="仿宋"/>
          <w:b w:val="0"/>
          <w:bCs/>
          <w:color w:val="000000"/>
          <w:sz w:val="32"/>
          <w:szCs w:val="32"/>
        </w:rPr>
        <w:t>，决算数等于预算数的主要原因是</w:t>
      </w:r>
      <w:r>
        <w:rPr>
          <w:rStyle w:val="20"/>
          <w:rFonts w:hint="eastAsia" w:ascii="仿宋" w:hAnsi="仿宋" w:eastAsia="仿宋"/>
          <w:b w:val="0"/>
          <w:bCs/>
          <w:color w:val="000000"/>
          <w:sz w:val="32"/>
          <w:szCs w:val="32"/>
          <w:lang w:val="en-US" w:eastAsia="zh-CN"/>
        </w:rPr>
        <w:t>严格按照当年预算编制数额执行。</w:t>
      </w:r>
    </w:p>
    <w:p>
      <w:pPr>
        <w:spacing w:line="600" w:lineRule="exact"/>
        <w:ind w:firstLine="643" w:firstLineChars="200"/>
        <w:rPr>
          <w:rStyle w:val="20"/>
          <w:rFonts w:hint="eastAsia" w:ascii="仿宋" w:hAnsi="仿宋" w:eastAsia="仿宋"/>
          <w:b w:val="0"/>
          <w:bCs/>
          <w:color w:val="000000"/>
          <w:sz w:val="32"/>
          <w:szCs w:val="32"/>
          <w:lang w:val="en-US" w:eastAsia="zh-CN"/>
        </w:rPr>
      </w:pPr>
      <w:r>
        <w:rPr>
          <w:rStyle w:val="20"/>
          <w:rFonts w:hint="eastAsia" w:ascii="仿宋" w:hAnsi="仿宋" w:eastAsia="仿宋"/>
          <w:bCs/>
          <w:color w:val="000000"/>
          <w:sz w:val="32"/>
          <w:szCs w:val="32"/>
          <w:lang w:val="en-US" w:eastAsia="zh-CN"/>
        </w:rPr>
        <w:t>4.</w:t>
      </w:r>
      <w:r>
        <w:rPr>
          <w:rFonts w:hint="eastAsia" w:ascii="仿宋" w:hAnsi="仿宋" w:eastAsia="仿宋"/>
          <w:b/>
          <w:bCs/>
          <w:color w:val="000000"/>
          <w:sz w:val="32"/>
          <w:szCs w:val="32"/>
        </w:rPr>
        <w:t>卫生健康</w:t>
      </w:r>
      <w:r>
        <w:rPr>
          <w:rStyle w:val="20"/>
          <w:rFonts w:hint="eastAsia" w:ascii="仿宋" w:hAnsi="仿宋" w:eastAsia="仿宋"/>
          <w:bCs/>
          <w:color w:val="000000"/>
          <w:sz w:val="32"/>
          <w:szCs w:val="32"/>
        </w:rPr>
        <w:t>（类）</w:t>
      </w:r>
      <w:r>
        <w:rPr>
          <w:rStyle w:val="20"/>
          <w:rFonts w:hint="eastAsia" w:ascii="仿宋" w:hAnsi="仿宋" w:eastAsia="仿宋"/>
          <w:bCs/>
          <w:color w:val="000000"/>
          <w:sz w:val="32"/>
          <w:szCs w:val="32"/>
          <w:lang w:val="en-US" w:eastAsia="zh-CN"/>
        </w:rPr>
        <w:t>公立医院</w:t>
      </w:r>
      <w:r>
        <w:rPr>
          <w:rStyle w:val="20"/>
          <w:rFonts w:hint="eastAsia" w:ascii="仿宋" w:hAnsi="仿宋" w:eastAsia="仿宋"/>
          <w:bCs/>
          <w:color w:val="000000"/>
          <w:sz w:val="32"/>
          <w:szCs w:val="32"/>
        </w:rPr>
        <w:t>（款）</w:t>
      </w:r>
      <w:r>
        <w:rPr>
          <w:rStyle w:val="20"/>
          <w:rFonts w:hint="eastAsia" w:ascii="仿宋" w:hAnsi="仿宋" w:eastAsia="仿宋"/>
          <w:bCs/>
          <w:color w:val="000000"/>
          <w:sz w:val="32"/>
          <w:szCs w:val="32"/>
          <w:lang w:val="en-US" w:eastAsia="zh-CN"/>
        </w:rPr>
        <w:t>其他公立医院支出</w:t>
      </w:r>
      <w:r>
        <w:rPr>
          <w:rStyle w:val="20"/>
          <w:rFonts w:hint="eastAsia" w:ascii="仿宋" w:hAnsi="仿宋" w:eastAsia="仿宋"/>
          <w:bCs/>
          <w:color w:val="000000"/>
          <w:sz w:val="32"/>
          <w:szCs w:val="32"/>
        </w:rPr>
        <w:t>（项）</w:t>
      </w:r>
      <w:r>
        <w:rPr>
          <w:rStyle w:val="20"/>
          <w:rFonts w:ascii="仿宋" w:hAnsi="仿宋" w:eastAsia="仿宋"/>
          <w:bCs/>
          <w:color w:val="000000"/>
          <w:sz w:val="32"/>
          <w:szCs w:val="32"/>
        </w:rPr>
        <w:t>:</w:t>
      </w:r>
      <w:r>
        <w:rPr>
          <w:rStyle w:val="20"/>
          <w:rFonts w:hint="eastAsia" w:ascii="仿宋" w:hAnsi="仿宋" w:eastAsia="仿宋"/>
          <w:b w:val="0"/>
          <w:bCs/>
          <w:color w:val="000000"/>
          <w:sz w:val="32"/>
          <w:szCs w:val="32"/>
        </w:rPr>
        <w:t>支出决算为</w:t>
      </w:r>
      <w:r>
        <w:rPr>
          <w:rStyle w:val="20"/>
          <w:rFonts w:hint="eastAsia" w:ascii="仿宋" w:hAnsi="仿宋" w:eastAsia="仿宋"/>
          <w:b w:val="0"/>
          <w:bCs/>
          <w:color w:val="000000"/>
          <w:sz w:val="32"/>
          <w:szCs w:val="32"/>
          <w:lang w:val="en-US" w:eastAsia="zh-CN"/>
        </w:rPr>
        <w:t>17.94</w:t>
      </w:r>
      <w:r>
        <w:rPr>
          <w:rStyle w:val="20"/>
          <w:rFonts w:hint="eastAsia" w:ascii="仿宋" w:hAnsi="仿宋" w:eastAsia="仿宋"/>
          <w:b w:val="0"/>
          <w:bCs/>
          <w:color w:val="000000"/>
          <w:sz w:val="32"/>
          <w:szCs w:val="32"/>
        </w:rPr>
        <w:t>万元，完成预算</w:t>
      </w:r>
      <w:r>
        <w:rPr>
          <w:rStyle w:val="20"/>
          <w:rFonts w:hint="eastAsia" w:ascii="仿宋" w:hAnsi="仿宋" w:eastAsia="仿宋"/>
          <w:b w:val="0"/>
          <w:bCs/>
          <w:color w:val="000000"/>
          <w:sz w:val="32"/>
          <w:szCs w:val="32"/>
          <w:lang w:val="en-US" w:eastAsia="zh-CN"/>
        </w:rPr>
        <w:t>100</w:t>
      </w:r>
      <w:r>
        <w:rPr>
          <w:rStyle w:val="20"/>
          <w:rFonts w:ascii="仿宋" w:hAnsi="仿宋" w:eastAsia="仿宋"/>
          <w:b w:val="0"/>
          <w:bCs/>
          <w:color w:val="000000"/>
          <w:sz w:val="32"/>
          <w:szCs w:val="32"/>
        </w:rPr>
        <w:t>%</w:t>
      </w:r>
      <w:r>
        <w:rPr>
          <w:rStyle w:val="20"/>
          <w:rFonts w:hint="eastAsia" w:ascii="仿宋" w:hAnsi="仿宋" w:eastAsia="仿宋"/>
          <w:b w:val="0"/>
          <w:bCs/>
          <w:color w:val="000000"/>
          <w:sz w:val="32"/>
          <w:szCs w:val="32"/>
        </w:rPr>
        <w:t>，决算数等于预算数的主要原因是</w:t>
      </w:r>
      <w:r>
        <w:rPr>
          <w:rStyle w:val="20"/>
          <w:rFonts w:hint="eastAsia" w:ascii="仿宋" w:hAnsi="仿宋" w:eastAsia="仿宋"/>
          <w:b w:val="0"/>
          <w:bCs/>
          <w:color w:val="000000"/>
          <w:sz w:val="32"/>
          <w:szCs w:val="32"/>
          <w:lang w:val="en-US" w:eastAsia="zh-CN"/>
        </w:rPr>
        <w:t>严格按照当年预算编制数额执行。</w:t>
      </w:r>
    </w:p>
    <w:p>
      <w:pPr>
        <w:spacing w:line="600" w:lineRule="exact"/>
        <w:ind w:firstLine="643" w:firstLineChars="200"/>
        <w:rPr>
          <w:rFonts w:ascii="仿宋" w:hAnsi="仿宋" w:eastAsia="仿宋"/>
          <w:b/>
          <w:color w:val="000000"/>
          <w:sz w:val="32"/>
          <w:szCs w:val="32"/>
        </w:rPr>
      </w:pPr>
      <w:r>
        <w:rPr>
          <w:rStyle w:val="20"/>
          <w:rFonts w:hint="eastAsia" w:ascii="仿宋" w:hAnsi="仿宋" w:eastAsia="仿宋"/>
          <w:bCs/>
          <w:color w:val="000000"/>
          <w:sz w:val="32"/>
          <w:szCs w:val="32"/>
          <w:lang w:val="en-US" w:eastAsia="zh-CN"/>
        </w:rPr>
        <w:t>5.</w:t>
      </w:r>
      <w:r>
        <w:rPr>
          <w:rFonts w:hint="eastAsia" w:ascii="仿宋" w:hAnsi="仿宋" w:eastAsia="仿宋"/>
          <w:b/>
          <w:bCs/>
          <w:color w:val="000000"/>
          <w:sz w:val="32"/>
          <w:szCs w:val="32"/>
        </w:rPr>
        <w:t>卫生健康</w:t>
      </w:r>
      <w:r>
        <w:rPr>
          <w:rStyle w:val="20"/>
          <w:rFonts w:hint="eastAsia" w:ascii="仿宋" w:hAnsi="仿宋" w:eastAsia="仿宋"/>
          <w:bCs/>
          <w:color w:val="000000"/>
          <w:sz w:val="32"/>
          <w:szCs w:val="32"/>
        </w:rPr>
        <w:t>（类）</w:t>
      </w:r>
      <w:r>
        <w:rPr>
          <w:rStyle w:val="20"/>
          <w:rFonts w:hint="eastAsia" w:ascii="仿宋" w:hAnsi="仿宋" w:eastAsia="仿宋"/>
          <w:bCs/>
          <w:color w:val="000000"/>
          <w:sz w:val="32"/>
          <w:szCs w:val="32"/>
          <w:lang w:val="en-US" w:eastAsia="zh-CN"/>
        </w:rPr>
        <w:t>公共卫生</w:t>
      </w:r>
      <w:r>
        <w:rPr>
          <w:rStyle w:val="20"/>
          <w:rFonts w:hint="eastAsia" w:ascii="仿宋" w:hAnsi="仿宋" w:eastAsia="仿宋"/>
          <w:bCs/>
          <w:color w:val="000000"/>
          <w:sz w:val="32"/>
          <w:szCs w:val="32"/>
        </w:rPr>
        <w:t>（款）</w:t>
      </w:r>
      <w:r>
        <w:rPr>
          <w:rStyle w:val="20"/>
          <w:rFonts w:hint="eastAsia" w:ascii="仿宋" w:hAnsi="仿宋" w:eastAsia="仿宋"/>
          <w:bCs/>
          <w:color w:val="000000"/>
          <w:sz w:val="32"/>
          <w:szCs w:val="32"/>
          <w:lang w:val="en-US" w:eastAsia="zh-CN"/>
        </w:rPr>
        <w:t>基本公共卫生服务</w:t>
      </w:r>
      <w:r>
        <w:rPr>
          <w:rStyle w:val="20"/>
          <w:rFonts w:hint="eastAsia" w:ascii="仿宋" w:hAnsi="仿宋" w:eastAsia="仿宋"/>
          <w:bCs/>
          <w:color w:val="000000"/>
          <w:sz w:val="32"/>
          <w:szCs w:val="32"/>
        </w:rPr>
        <w:t>（项）</w:t>
      </w:r>
      <w:r>
        <w:rPr>
          <w:rStyle w:val="20"/>
          <w:rFonts w:ascii="仿宋" w:hAnsi="仿宋" w:eastAsia="仿宋"/>
          <w:bCs/>
          <w:color w:val="000000"/>
          <w:sz w:val="32"/>
          <w:szCs w:val="32"/>
        </w:rPr>
        <w:t>:</w:t>
      </w:r>
      <w:r>
        <w:rPr>
          <w:rStyle w:val="20"/>
          <w:rFonts w:hint="eastAsia" w:ascii="仿宋" w:hAnsi="仿宋" w:eastAsia="仿宋"/>
          <w:b w:val="0"/>
          <w:bCs/>
          <w:color w:val="000000"/>
          <w:sz w:val="32"/>
          <w:szCs w:val="32"/>
        </w:rPr>
        <w:t>支出决算为</w:t>
      </w:r>
      <w:r>
        <w:rPr>
          <w:rStyle w:val="20"/>
          <w:rFonts w:hint="eastAsia" w:ascii="仿宋" w:hAnsi="仿宋" w:eastAsia="仿宋"/>
          <w:b w:val="0"/>
          <w:bCs/>
          <w:color w:val="000000"/>
          <w:sz w:val="32"/>
          <w:szCs w:val="32"/>
          <w:lang w:val="en-US" w:eastAsia="zh-CN"/>
        </w:rPr>
        <w:t>28.8</w:t>
      </w:r>
      <w:r>
        <w:rPr>
          <w:rStyle w:val="20"/>
          <w:rFonts w:hint="eastAsia" w:ascii="仿宋" w:hAnsi="仿宋" w:eastAsia="仿宋"/>
          <w:b w:val="0"/>
          <w:bCs/>
          <w:color w:val="000000"/>
          <w:sz w:val="32"/>
          <w:szCs w:val="32"/>
        </w:rPr>
        <w:t>万元，完成预算</w:t>
      </w:r>
      <w:r>
        <w:rPr>
          <w:rStyle w:val="20"/>
          <w:rFonts w:hint="eastAsia" w:ascii="仿宋" w:hAnsi="仿宋" w:eastAsia="仿宋"/>
          <w:b w:val="0"/>
          <w:bCs/>
          <w:color w:val="000000"/>
          <w:sz w:val="32"/>
          <w:szCs w:val="32"/>
          <w:lang w:val="en-US" w:eastAsia="zh-CN"/>
        </w:rPr>
        <w:t>55.49</w:t>
      </w:r>
      <w:r>
        <w:rPr>
          <w:rStyle w:val="20"/>
          <w:rFonts w:ascii="仿宋" w:hAnsi="仿宋" w:eastAsia="仿宋"/>
          <w:b w:val="0"/>
          <w:bCs/>
          <w:color w:val="000000"/>
          <w:sz w:val="32"/>
          <w:szCs w:val="32"/>
        </w:rPr>
        <w:t>%</w:t>
      </w:r>
      <w:r>
        <w:rPr>
          <w:rStyle w:val="20"/>
          <w:rFonts w:hint="eastAsia" w:ascii="仿宋" w:hAnsi="仿宋" w:eastAsia="仿宋"/>
          <w:b w:val="0"/>
          <w:bCs/>
          <w:color w:val="000000"/>
          <w:sz w:val="32"/>
          <w:szCs w:val="32"/>
        </w:rPr>
        <w:t>，决算数</w:t>
      </w:r>
      <w:r>
        <w:rPr>
          <w:rStyle w:val="20"/>
          <w:rFonts w:hint="eastAsia" w:ascii="仿宋" w:hAnsi="仿宋" w:eastAsia="仿宋"/>
          <w:b w:val="0"/>
          <w:bCs/>
          <w:color w:val="000000"/>
          <w:sz w:val="32"/>
          <w:szCs w:val="32"/>
          <w:lang w:val="en-US" w:eastAsia="zh-CN"/>
        </w:rPr>
        <w:t>小于</w:t>
      </w:r>
      <w:r>
        <w:rPr>
          <w:rStyle w:val="20"/>
          <w:rFonts w:hint="eastAsia" w:ascii="仿宋" w:hAnsi="仿宋" w:eastAsia="仿宋"/>
          <w:b w:val="0"/>
          <w:bCs/>
          <w:color w:val="000000"/>
          <w:sz w:val="32"/>
          <w:szCs w:val="32"/>
        </w:rPr>
        <w:t>预算数的主要原因是</w:t>
      </w:r>
      <w:r>
        <w:rPr>
          <w:rStyle w:val="20"/>
          <w:rFonts w:hint="eastAsia" w:ascii="仿宋" w:hAnsi="仿宋" w:eastAsia="仿宋"/>
          <w:b w:val="0"/>
          <w:bCs/>
          <w:color w:val="000000"/>
          <w:sz w:val="32"/>
          <w:szCs w:val="32"/>
          <w:lang w:val="en-US" w:eastAsia="zh-CN"/>
        </w:rPr>
        <w:t>严格按照当年项目执行未完工。</w:t>
      </w:r>
    </w:p>
    <w:p>
      <w:pPr>
        <w:spacing w:line="600" w:lineRule="exact"/>
        <w:ind w:firstLine="643" w:firstLineChars="200"/>
        <w:rPr>
          <w:rFonts w:ascii="仿宋" w:hAnsi="仿宋" w:eastAsia="仿宋"/>
          <w:b/>
          <w:color w:val="000000"/>
          <w:sz w:val="32"/>
          <w:szCs w:val="32"/>
        </w:rPr>
      </w:pPr>
      <w:r>
        <w:rPr>
          <w:rStyle w:val="20"/>
          <w:rFonts w:hint="eastAsia" w:ascii="仿宋" w:hAnsi="仿宋" w:eastAsia="仿宋"/>
          <w:bCs/>
          <w:color w:val="000000"/>
          <w:sz w:val="32"/>
          <w:szCs w:val="32"/>
          <w:lang w:val="en-US" w:eastAsia="zh-CN"/>
        </w:rPr>
        <w:t>6.</w:t>
      </w:r>
      <w:r>
        <w:rPr>
          <w:rFonts w:hint="eastAsia" w:ascii="仿宋" w:hAnsi="仿宋" w:eastAsia="仿宋"/>
          <w:b/>
          <w:bCs/>
          <w:color w:val="000000"/>
          <w:sz w:val="32"/>
          <w:szCs w:val="32"/>
        </w:rPr>
        <w:t>卫生健康</w:t>
      </w:r>
      <w:r>
        <w:rPr>
          <w:rStyle w:val="20"/>
          <w:rFonts w:hint="eastAsia" w:ascii="仿宋" w:hAnsi="仿宋" w:eastAsia="仿宋"/>
          <w:bCs/>
          <w:color w:val="000000"/>
          <w:sz w:val="32"/>
          <w:szCs w:val="32"/>
        </w:rPr>
        <w:t>（类）</w:t>
      </w:r>
      <w:r>
        <w:rPr>
          <w:rStyle w:val="20"/>
          <w:rFonts w:hint="eastAsia" w:ascii="仿宋" w:hAnsi="仿宋" w:eastAsia="仿宋"/>
          <w:bCs/>
          <w:color w:val="000000"/>
          <w:sz w:val="32"/>
          <w:szCs w:val="32"/>
          <w:lang w:val="en-US" w:eastAsia="zh-CN"/>
        </w:rPr>
        <w:t>公共卫生</w:t>
      </w:r>
      <w:r>
        <w:rPr>
          <w:rStyle w:val="20"/>
          <w:rFonts w:hint="eastAsia" w:ascii="仿宋" w:hAnsi="仿宋" w:eastAsia="仿宋"/>
          <w:bCs/>
          <w:color w:val="000000"/>
          <w:sz w:val="32"/>
          <w:szCs w:val="32"/>
        </w:rPr>
        <w:t>（款）</w:t>
      </w:r>
      <w:r>
        <w:rPr>
          <w:rStyle w:val="20"/>
          <w:rFonts w:hint="eastAsia" w:ascii="仿宋" w:hAnsi="仿宋" w:eastAsia="仿宋"/>
          <w:bCs/>
          <w:color w:val="000000"/>
          <w:sz w:val="32"/>
          <w:szCs w:val="32"/>
          <w:lang w:val="en-US" w:eastAsia="zh-CN"/>
        </w:rPr>
        <w:t>重大公共卫生服务</w:t>
      </w:r>
      <w:r>
        <w:rPr>
          <w:rStyle w:val="20"/>
          <w:rFonts w:hint="eastAsia" w:ascii="仿宋" w:hAnsi="仿宋" w:eastAsia="仿宋"/>
          <w:bCs/>
          <w:color w:val="000000"/>
          <w:sz w:val="32"/>
          <w:szCs w:val="32"/>
        </w:rPr>
        <w:t>（项）</w:t>
      </w:r>
      <w:r>
        <w:rPr>
          <w:rStyle w:val="20"/>
          <w:rFonts w:ascii="仿宋" w:hAnsi="仿宋" w:eastAsia="仿宋"/>
          <w:bCs/>
          <w:color w:val="000000"/>
          <w:sz w:val="32"/>
          <w:szCs w:val="32"/>
        </w:rPr>
        <w:t>:</w:t>
      </w:r>
      <w:r>
        <w:rPr>
          <w:rStyle w:val="20"/>
          <w:rFonts w:hint="eastAsia" w:ascii="仿宋" w:hAnsi="仿宋" w:eastAsia="仿宋"/>
          <w:b w:val="0"/>
          <w:bCs/>
          <w:color w:val="000000"/>
          <w:sz w:val="32"/>
          <w:szCs w:val="32"/>
        </w:rPr>
        <w:t>支出决算为</w:t>
      </w:r>
      <w:r>
        <w:rPr>
          <w:rStyle w:val="20"/>
          <w:rFonts w:hint="eastAsia" w:ascii="仿宋" w:hAnsi="仿宋" w:eastAsia="仿宋"/>
          <w:b w:val="0"/>
          <w:bCs/>
          <w:color w:val="000000"/>
          <w:sz w:val="32"/>
          <w:szCs w:val="32"/>
          <w:lang w:val="en-US" w:eastAsia="zh-CN"/>
        </w:rPr>
        <w:t>42.51</w:t>
      </w:r>
      <w:r>
        <w:rPr>
          <w:rStyle w:val="20"/>
          <w:rFonts w:hint="eastAsia" w:ascii="仿宋" w:hAnsi="仿宋" w:eastAsia="仿宋"/>
          <w:b w:val="0"/>
          <w:bCs/>
          <w:color w:val="000000"/>
          <w:sz w:val="32"/>
          <w:szCs w:val="32"/>
        </w:rPr>
        <w:t>万元，完成预算</w:t>
      </w:r>
      <w:r>
        <w:rPr>
          <w:rStyle w:val="20"/>
          <w:rFonts w:hint="eastAsia" w:ascii="仿宋" w:hAnsi="仿宋" w:eastAsia="仿宋"/>
          <w:b w:val="0"/>
          <w:bCs/>
          <w:color w:val="000000"/>
          <w:sz w:val="32"/>
          <w:szCs w:val="32"/>
          <w:lang w:val="en-US" w:eastAsia="zh-CN"/>
        </w:rPr>
        <w:t>36.10%</w:t>
      </w:r>
      <w:r>
        <w:rPr>
          <w:rStyle w:val="20"/>
          <w:rFonts w:hint="eastAsia" w:ascii="仿宋" w:hAnsi="仿宋" w:eastAsia="仿宋"/>
          <w:b w:val="0"/>
          <w:bCs/>
          <w:color w:val="000000"/>
          <w:sz w:val="32"/>
          <w:szCs w:val="32"/>
        </w:rPr>
        <w:t>，决算数</w:t>
      </w:r>
      <w:r>
        <w:rPr>
          <w:rStyle w:val="20"/>
          <w:rFonts w:hint="eastAsia" w:ascii="仿宋" w:hAnsi="仿宋" w:eastAsia="仿宋"/>
          <w:b w:val="0"/>
          <w:bCs/>
          <w:color w:val="000000"/>
          <w:sz w:val="32"/>
          <w:szCs w:val="32"/>
          <w:lang w:val="en-US" w:eastAsia="zh-CN"/>
        </w:rPr>
        <w:t>小于</w:t>
      </w:r>
      <w:r>
        <w:rPr>
          <w:rStyle w:val="20"/>
          <w:rFonts w:hint="eastAsia" w:ascii="仿宋" w:hAnsi="仿宋" w:eastAsia="仿宋"/>
          <w:b w:val="0"/>
          <w:bCs/>
          <w:color w:val="000000"/>
          <w:sz w:val="32"/>
          <w:szCs w:val="32"/>
        </w:rPr>
        <w:t>预算数的主要原因是</w:t>
      </w:r>
      <w:r>
        <w:rPr>
          <w:rStyle w:val="20"/>
          <w:rFonts w:hint="eastAsia" w:ascii="仿宋" w:hAnsi="仿宋" w:eastAsia="仿宋"/>
          <w:b w:val="0"/>
          <w:bCs/>
          <w:color w:val="000000"/>
          <w:sz w:val="32"/>
          <w:szCs w:val="32"/>
          <w:lang w:val="en-US" w:eastAsia="zh-CN"/>
        </w:rPr>
        <w:t>严格按照当年项目执行未完工。</w:t>
      </w:r>
    </w:p>
    <w:p>
      <w:pPr>
        <w:spacing w:line="600" w:lineRule="exact"/>
        <w:ind w:firstLine="643" w:firstLineChars="200"/>
        <w:rPr>
          <w:rFonts w:ascii="仿宋" w:hAnsi="仿宋" w:eastAsia="仿宋"/>
          <w:b/>
          <w:color w:val="000000"/>
          <w:sz w:val="32"/>
          <w:szCs w:val="32"/>
        </w:rPr>
      </w:pPr>
      <w:r>
        <w:rPr>
          <w:rStyle w:val="20"/>
          <w:rFonts w:hint="eastAsia" w:ascii="仿宋" w:hAnsi="仿宋" w:eastAsia="仿宋"/>
          <w:bCs/>
          <w:color w:val="000000"/>
          <w:sz w:val="32"/>
          <w:szCs w:val="32"/>
          <w:lang w:val="en-US" w:eastAsia="zh-CN"/>
        </w:rPr>
        <w:t>7.</w:t>
      </w:r>
      <w:r>
        <w:rPr>
          <w:rFonts w:hint="eastAsia" w:ascii="仿宋" w:hAnsi="仿宋" w:eastAsia="仿宋"/>
          <w:b/>
          <w:bCs/>
          <w:color w:val="000000"/>
          <w:sz w:val="32"/>
          <w:szCs w:val="32"/>
        </w:rPr>
        <w:t>卫生健康</w:t>
      </w:r>
      <w:r>
        <w:rPr>
          <w:rStyle w:val="20"/>
          <w:rFonts w:hint="eastAsia" w:ascii="仿宋" w:hAnsi="仿宋" w:eastAsia="仿宋"/>
          <w:bCs/>
          <w:color w:val="000000"/>
          <w:sz w:val="32"/>
          <w:szCs w:val="32"/>
        </w:rPr>
        <w:t>（类）</w:t>
      </w:r>
      <w:r>
        <w:rPr>
          <w:rStyle w:val="20"/>
          <w:rFonts w:hint="eastAsia" w:ascii="仿宋" w:hAnsi="仿宋" w:eastAsia="仿宋"/>
          <w:bCs/>
          <w:color w:val="000000"/>
          <w:sz w:val="32"/>
          <w:szCs w:val="32"/>
          <w:lang w:val="en-US" w:eastAsia="zh-CN"/>
        </w:rPr>
        <w:t>中医药</w:t>
      </w:r>
      <w:r>
        <w:rPr>
          <w:rStyle w:val="20"/>
          <w:rFonts w:hint="eastAsia" w:ascii="仿宋" w:hAnsi="仿宋" w:eastAsia="仿宋"/>
          <w:bCs/>
          <w:color w:val="000000"/>
          <w:sz w:val="32"/>
          <w:szCs w:val="32"/>
        </w:rPr>
        <w:t>（款）</w:t>
      </w:r>
      <w:r>
        <w:rPr>
          <w:rStyle w:val="20"/>
          <w:rFonts w:hint="eastAsia" w:ascii="仿宋" w:hAnsi="仿宋" w:eastAsia="仿宋"/>
          <w:bCs/>
          <w:color w:val="000000"/>
          <w:sz w:val="32"/>
          <w:szCs w:val="32"/>
          <w:lang w:val="en-US" w:eastAsia="zh-CN"/>
        </w:rPr>
        <w:t>中医（民族医）药专项</w:t>
      </w:r>
      <w:r>
        <w:rPr>
          <w:rStyle w:val="20"/>
          <w:rFonts w:hint="eastAsia" w:ascii="仿宋" w:hAnsi="仿宋" w:eastAsia="仿宋"/>
          <w:bCs/>
          <w:color w:val="000000"/>
          <w:sz w:val="32"/>
          <w:szCs w:val="32"/>
        </w:rPr>
        <w:t>（项）</w:t>
      </w:r>
      <w:r>
        <w:rPr>
          <w:rStyle w:val="20"/>
          <w:rFonts w:ascii="仿宋" w:hAnsi="仿宋" w:eastAsia="仿宋"/>
          <w:bCs/>
          <w:color w:val="000000"/>
          <w:sz w:val="32"/>
          <w:szCs w:val="32"/>
        </w:rPr>
        <w:t>:</w:t>
      </w:r>
      <w:r>
        <w:rPr>
          <w:rStyle w:val="20"/>
          <w:rFonts w:hint="eastAsia" w:ascii="仿宋" w:hAnsi="仿宋" w:eastAsia="仿宋"/>
          <w:b w:val="0"/>
          <w:bCs/>
          <w:color w:val="000000"/>
          <w:sz w:val="32"/>
          <w:szCs w:val="32"/>
        </w:rPr>
        <w:t>支出决算为</w:t>
      </w:r>
      <w:r>
        <w:rPr>
          <w:rStyle w:val="20"/>
          <w:rFonts w:hint="eastAsia" w:ascii="仿宋" w:hAnsi="仿宋" w:eastAsia="仿宋"/>
          <w:b w:val="0"/>
          <w:bCs/>
          <w:color w:val="000000"/>
          <w:sz w:val="32"/>
          <w:szCs w:val="32"/>
          <w:lang w:val="en-US" w:eastAsia="zh-CN"/>
        </w:rPr>
        <w:t>60.54</w:t>
      </w:r>
      <w:r>
        <w:rPr>
          <w:rStyle w:val="20"/>
          <w:rFonts w:hint="eastAsia" w:ascii="仿宋" w:hAnsi="仿宋" w:eastAsia="仿宋"/>
          <w:b w:val="0"/>
          <w:bCs/>
          <w:color w:val="000000"/>
          <w:sz w:val="32"/>
          <w:szCs w:val="32"/>
        </w:rPr>
        <w:t>万元，完成预算</w:t>
      </w:r>
      <w:r>
        <w:rPr>
          <w:rStyle w:val="20"/>
          <w:rFonts w:hint="eastAsia" w:ascii="仿宋" w:hAnsi="仿宋" w:eastAsia="仿宋"/>
          <w:b w:val="0"/>
          <w:bCs/>
          <w:color w:val="000000"/>
          <w:sz w:val="32"/>
          <w:szCs w:val="32"/>
          <w:lang w:val="en-US" w:eastAsia="zh-CN"/>
        </w:rPr>
        <w:t>60.09%</w:t>
      </w:r>
      <w:r>
        <w:rPr>
          <w:rStyle w:val="20"/>
          <w:rFonts w:hint="eastAsia" w:ascii="仿宋" w:hAnsi="仿宋" w:eastAsia="仿宋"/>
          <w:b w:val="0"/>
          <w:bCs/>
          <w:color w:val="000000"/>
          <w:sz w:val="32"/>
          <w:szCs w:val="32"/>
        </w:rPr>
        <w:t>，决算数</w:t>
      </w:r>
      <w:r>
        <w:rPr>
          <w:rStyle w:val="20"/>
          <w:rFonts w:hint="eastAsia" w:ascii="仿宋" w:hAnsi="仿宋" w:eastAsia="仿宋"/>
          <w:b w:val="0"/>
          <w:bCs/>
          <w:color w:val="000000"/>
          <w:sz w:val="32"/>
          <w:szCs w:val="32"/>
          <w:lang w:val="en-US" w:eastAsia="zh-CN"/>
        </w:rPr>
        <w:t>小于</w:t>
      </w:r>
      <w:r>
        <w:rPr>
          <w:rStyle w:val="20"/>
          <w:rFonts w:hint="eastAsia" w:ascii="仿宋" w:hAnsi="仿宋" w:eastAsia="仿宋"/>
          <w:b w:val="0"/>
          <w:bCs/>
          <w:color w:val="000000"/>
          <w:sz w:val="32"/>
          <w:szCs w:val="32"/>
        </w:rPr>
        <w:t>预算数的主要原因是</w:t>
      </w:r>
      <w:r>
        <w:rPr>
          <w:rStyle w:val="20"/>
          <w:rFonts w:hint="eastAsia" w:ascii="仿宋" w:hAnsi="仿宋" w:eastAsia="仿宋"/>
          <w:b w:val="0"/>
          <w:bCs/>
          <w:color w:val="000000"/>
          <w:sz w:val="32"/>
          <w:szCs w:val="32"/>
          <w:lang w:val="en-US" w:eastAsia="zh-CN"/>
        </w:rPr>
        <w:t>严格按照当年项目执行未完工。</w:t>
      </w:r>
    </w:p>
    <w:p>
      <w:pPr>
        <w:spacing w:line="600" w:lineRule="exact"/>
        <w:ind w:firstLine="643" w:firstLineChars="200"/>
        <w:rPr>
          <w:rFonts w:ascii="仿宋" w:hAnsi="仿宋" w:eastAsia="仿宋"/>
          <w:b/>
          <w:color w:val="000000"/>
          <w:sz w:val="32"/>
          <w:szCs w:val="32"/>
        </w:rPr>
      </w:pPr>
      <w:r>
        <w:rPr>
          <w:rStyle w:val="20"/>
          <w:rFonts w:hint="eastAsia" w:ascii="仿宋" w:hAnsi="仿宋" w:eastAsia="仿宋"/>
          <w:bCs/>
          <w:color w:val="000000"/>
          <w:sz w:val="32"/>
          <w:szCs w:val="32"/>
          <w:lang w:val="en-US" w:eastAsia="zh-CN"/>
        </w:rPr>
        <w:t>8.</w:t>
      </w:r>
      <w:r>
        <w:rPr>
          <w:rFonts w:hint="eastAsia" w:ascii="仿宋" w:hAnsi="仿宋" w:eastAsia="仿宋"/>
          <w:b/>
          <w:bCs/>
          <w:color w:val="000000"/>
          <w:sz w:val="32"/>
          <w:szCs w:val="32"/>
        </w:rPr>
        <w:t>卫生健康</w:t>
      </w:r>
      <w:r>
        <w:rPr>
          <w:rStyle w:val="20"/>
          <w:rFonts w:hint="eastAsia" w:ascii="仿宋" w:hAnsi="仿宋" w:eastAsia="仿宋"/>
          <w:bCs/>
          <w:color w:val="000000"/>
          <w:sz w:val="32"/>
          <w:szCs w:val="32"/>
        </w:rPr>
        <w:t>（类）</w:t>
      </w:r>
      <w:r>
        <w:rPr>
          <w:rStyle w:val="20"/>
          <w:rFonts w:hint="eastAsia" w:ascii="仿宋" w:hAnsi="仿宋" w:eastAsia="仿宋"/>
          <w:bCs/>
          <w:color w:val="000000"/>
          <w:sz w:val="32"/>
          <w:szCs w:val="32"/>
          <w:lang w:val="en-US" w:eastAsia="zh-CN"/>
        </w:rPr>
        <w:t>行政事业单位医疗</w:t>
      </w:r>
      <w:r>
        <w:rPr>
          <w:rStyle w:val="20"/>
          <w:rFonts w:hint="eastAsia" w:ascii="仿宋" w:hAnsi="仿宋" w:eastAsia="仿宋"/>
          <w:bCs/>
          <w:color w:val="000000"/>
          <w:sz w:val="32"/>
          <w:szCs w:val="32"/>
        </w:rPr>
        <w:t>（款）</w:t>
      </w:r>
      <w:r>
        <w:rPr>
          <w:rStyle w:val="20"/>
          <w:rFonts w:hint="eastAsia" w:ascii="仿宋" w:hAnsi="仿宋" w:eastAsia="仿宋"/>
          <w:bCs/>
          <w:color w:val="000000"/>
          <w:sz w:val="32"/>
          <w:szCs w:val="32"/>
          <w:lang w:val="en-US" w:eastAsia="zh-CN"/>
        </w:rPr>
        <w:t>事业单位医疗</w:t>
      </w:r>
      <w:r>
        <w:rPr>
          <w:rStyle w:val="20"/>
          <w:rFonts w:hint="eastAsia" w:ascii="仿宋" w:hAnsi="仿宋" w:eastAsia="仿宋"/>
          <w:bCs/>
          <w:color w:val="000000"/>
          <w:sz w:val="32"/>
          <w:szCs w:val="32"/>
        </w:rPr>
        <w:t>（项）</w:t>
      </w:r>
      <w:r>
        <w:rPr>
          <w:rStyle w:val="20"/>
          <w:rFonts w:ascii="仿宋" w:hAnsi="仿宋" w:eastAsia="仿宋"/>
          <w:bCs/>
          <w:color w:val="000000"/>
          <w:sz w:val="32"/>
          <w:szCs w:val="32"/>
        </w:rPr>
        <w:t>:</w:t>
      </w:r>
      <w:r>
        <w:rPr>
          <w:rStyle w:val="20"/>
          <w:rFonts w:hint="eastAsia" w:ascii="仿宋" w:hAnsi="仿宋" w:eastAsia="仿宋"/>
          <w:b w:val="0"/>
          <w:bCs/>
          <w:color w:val="000000"/>
          <w:sz w:val="32"/>
          <w:szCs w:val="32"/>
        </w:rPr>
        <w:t>支出决算为</w:t>
      </w:r>
      <w:r>
        <w:rPr>
          <w:rStyle w:val="20"/>
          <w:rFonts w:hint="eastAsia" w:ascii="仿宋" w:hAnsi="仿宋" w:eastAsia="仿宋"/>
          <w:b w:val="0"/>
          <w:bCs/>
          <w:color w:val="000000"/>
          <w:sz w:val="32"/>
          <w:szCs w:val="32"/>
          <w:lang w:val="en-US" w:eastAsia="zh-CN"/>
        </w:rPr>
        <w:t>35.24</w:t>
      </w:r>
      <w:r>
        <w:rPr>
          <w:rStyle w:val="20"/>
          <w:rFonts w:hint="eastAsia" w:ascii="仿宋" w:hAnsi="仿宋" w:eastAsia="仿宋"/>
          <w:b w:val="0"/>
          <w:bCs/>
          <w:color w:val="000000"/>
          <w:sz w:val="32"/>
          <w:szCs w:val="32"/>
        </w:rPr>
        <w:t>万元，完成预算</w:t>
      </w:r>
      <w:r>
        <w:rPr>
          <w:rStyle w:val="20"/>
          <w:rFonts w:hint="eastAsia" w:ascii="仿宋" w:hAnsi="仿宋" w:eastAsia="仿宋"/>
          <w:b w:val="0"/>
          <w:bCs/>
          <w:color w:val="000000"/>
          <w:sz w:val="32"/>
          <w:szCs w:val="32"/>
          <w:lang w:val="en-US" w:eastAsia="zh-CN"/>
        </w:rPr>
        <w:t>100%</w:t>
      </w:r>
      <w:r>
        <w:rPr>
          <w:rStyle w:val="20"/>
          <w:rFonts w:hint="eastAsia" w:ascii="仿宋" w:hAnsi="仿宋" w:eastAsia="仿宋"/>
          <w:b w:val="0"/>
          <w:bCs/>
          <w:color w:val="000000"/>
          <w:sz w:val="32"/>
          <w:szCs w:val="32"/>
        </w:rPr>
        <w:t>，决算数等于预算数的主要原因是</w:t>
      </w:r>
      <w:r>
        <w:rPr>
          <w:rStyle w:val="20"/>
          <w:rFonts w:hint="eastAsia" w:ascii="仿宋" w:hAnsi="仿宋" w:eastAsia="仿宋"/>
          <w:b w:val="0"/>
          <w:bCs/>
          <w:color w:val="000000"/>
          <w:sz w:val="32"/>
          <w:szCs w:val="32"/>
          <w:lang w:val="en-US" w:eastAsia="zh-CN"/>
        </w:rPr>
        <w:t>严格按照当年预算编制数额执行。</w:t>
      </w:r>
    </w:p>
    <w:p>
      <w:pPr>
        <w:spacing w:line="600" w:lineRule="exact"/>
        <w:ind w:firstLine="643" w:firstLineChars="200"/>
        <w:rPr>
          <w:rFonts w:ascii="仿宋" w:hAnsi="仿宋" w:eastAsia="仿宋"/>
          <w:b/>
          <w:color w:val="000000"/>
          <w:sz w:val="32"/>
          <w:szCs w:val="32"/>
        </w:rPr>
      </w:pPr>
      <w:r>
        <w:rPr>
          <w:rStyle w:val="20"/>
          <w:rFonts w:hint="eastAsia" w:ascii="仿宋" w:hAnsi="仿宋" w:eastAsia="仿宋"/>
          <w:bCs/>
          <w:color w:val="000000"/>
          <w:sz w:val="32"/>
          <w:szCs w:val="32"/>
          <w:lang w:val="en-US" w:eastAsia="zh-CN"/>
        </w:rPr>
        <w:t>9.</w:t>
      </w:r>
      <w:r>
        <w:rPr>
          <w:rFonts w:hint="eastAsia" w:ascii="仿宋" w:hAnsi="仿宋" w:eastAsia="仿宋"/>
          <w:b/>
          <w:bCs/>
          <w:color w:val="000000"/>
          <w:sz w:val="32"/>
          <w:szCs w:val="32"/>
        </w:rPr>
        <w:t>卫生健康</w:t>
      </w:r>
      <w:r>
        <w:rPr>
          <w:rStyle w:val="20"/>
          <w:rFonts w:hint="eastAsia" w:ascii="仿宋" w:hAnsi="仿宋" w:eastAsia="仿宋"/>
          <w:bCs/>
          <w:color w:val="000000"/>
          <w:sz w:val="32"/>
          <w:szCs w:val="32"/>
        </w:rPr>
        <w:t>（类）</w:t>
      </w:r>
      <w:r>
        <w:rPr>
          <w:rStyle w:val="20"/>
          <w:rFonts w:hint="eastAsia" w:ascii="仿宋" w:hAnsi="仿宋" w:eastAsia="仿宋"/>
          <w:bCs/>
          <w:color w:val="000000"/>
          <w:sz w:val="32"/>
          <w:szCs w:val="32"/>
          <w:lang w:val="en-US" w:eastAsia="zh-CN"/>
        </w:rPr>
        <w:t>其他卫生健康支出</w:t>
      </w:r>
      <w:r>
        <w:rPr>
          <w:rStyle w:val="20"/>
          <w:rFonts w:hint="eastAsia" w:ascii="仿宋" w:hAnsi="仿宋" w:eastAsia="仿宋"/>
          <w:bCs/>
          <w:color w:val="000000"/>
          <w:sz w:val="32"/>
          <w:szCs w:val="32"/>
        </w:rPr>
        <w:t>（款）</w:t>
      </w:r>
      <w:r>
        <w:rPr>
          <w:rStyle w:val="20"/>
          <w:rFonts w:hint="eastAsia" w:ascii="仿宋" w:hAnsi="仿宋" w:eastAsia="仿宋"/>
          <w:bCs/>
          <w:color w:val="000000"/>
          <w:sz w:val="32"/>
          <w:szCs w:val="32"/>
          <w:lang w:val="en-US" w:eastAsia="zh-CN"/>
        </w:rPr>
        <w:t>其他卫生健康支出</w:t>
      </w:r>
      <w:r>
        <w:rPr>
          <w:rStyle w:val="20"/>
          <w:rFonts w:hint="eastAsia" w:ascii="仿宋" w:hAnsi="仿宋" w:eastAsia="仿宋"/>
          <w:bCs/>
          <w:color w:val="000000"/>
          <w:sz w:val="32"/>
          <w:szCs w:val="32"/>
        </w:rPr>
        <w:t>（项）</w:t>
      </w:r>
      <w:r>
        <w:rPr>
          <w:rStyle w:val="20"/>
          <w:rFonts w:ascii="仿宋" w:hAnsi="仿宋" w:eastAsia="仿宋"/>
          <w:bCs/>
          <w:color w:val="000000"/>
          <w:sz w:val="32"/>
          <w:szCs w:val="32"/>
        </w:rPr>
        <w:t>:</w:t>
      </w:r>
      <w:r>
        <w:rPr>
          <w:rStyle w:val="20"/>
          <w:rFonts w:hint="eastAsia" w:ascii="仿宋" w:hAnsi="仿宋" w:eastAsia="仿宋"/>
          <w:b w:val="0"/>
          <w:bCs/>
          <w:color w:val="000000"/>
          <w:sz w:val="32"/>
          <w:szCs w:val="32"/>
        </w:rPr>
        <w:t>支出决算为</w:t>
      </w:r>
      <w:r>
        <w:rPr>
          <w:rStyle w:val="20"/>
          <w:rFonts w:hint="eastAsia" w:ascii="仿宋" w:hAnsi="仿宋" w:eastAsia="仿宋"/>
          <w:b w:val="0"/>
          <w:bCs/>
          <w:color w:val="000000"/>
          <w:sz w:val="32"/>
          <w:szCs w:val="32"/>
          <w:lang w:val="en-US" w:eastAsia="zh-CN"/>
        </w:rPr>
        <w:t>8.98</w:t>
      </w:r>
      <w:r>
        <w:rPr>
          <w:rStyle w:val="20"/>
          <w:rFonts w:hint="eastAsia" w:ascii="仿宋" w:hAnsi="仿宋" w:eastAsia="仿宋"/>
          <w:b w:val="0"/>
          <w:bCs/>
          <w:color w:val="000000"/>
          <w:sz w:val="32"/>
          <w:szCs w:val="32"/>
        </w:rPr>
        <w:t>万元，完成预算</w:t>
      </w:r>
      <w:r>
        <w:rPr>
          <w:rStyle w:val="20"/>
          <w:rFonts w:hint="eastAsia" w:ascii="仿宋" w:hAnsi="仿宋" w:eastAsia="仿宋"/>
          <w:b w:val="0"/>
          <w:bCs/>
          <w:color w:val="000000"/>
          <w:sz w:val="32"/>
          <w:szCs w:val="32"/>
          <w:lang w:val="en-US" w:eastAsia="zh-CN"/>
        </w:rPr>
        <w:t>15.03%</w:t>
      </w:r>
      <w:r>
        <w:rPr>
          <w:rStyle w:val="20"/>
          <w:rFonts w:hint="eastAsia" w:ascii="仿宋" w:hAnsi="仿宋" w:eastAsia="仿宋"/>
          <w:b w:val="0"/>
          <w:bCs/>
          <w:color w:val="000000"/>
          <w:sz w:val="32"/>
          <w:szCs w:val="32"/>
        </w:rPr>
        <w:t>，决算数</w:t>
      </w:r>
      <w:r>
        <w:rPr>
          <w:rStyle w:val="20"/>
          <w:rFonts w:hint="eastAsia" w:ascii="仿宋" w:hAnsi="仿宋" w:eastAsia="仿宋"/>
          <w:b w:val="0"/>
          <w:bCs/>
          <w:color w:val="000000"/>
          <w:sz w:val="32"/>
          <w:szCs w:val="32"/>
          <w:lang w:val="en-US" w:eastAsia="zh-CN"/>
        </w:rPr>
        <w:t>小于</w:t>
      </w:r>
      <w:r>
        <w:rPr>
          <w:rStyle w:val="20"/>
          <w:rFonts w:hint="eastAsia" w:ascii="仿宋" w:hAnsi="仿宋" w:eastAsia="仿宋"/>
          <w:b w:val="0"/>
          <w:bCs/>
          <w:color w:val="000000"/>
          <w:sz w:val="32"/>
          <w:szCs w:val="32"/>
        </w:rPr>
        <w:t>预算数的主要原因是</w:t>
      </w:r>
      <w:r>
        <w:rPr>
          <w:rStyle w:val="20"/>
          <w:rFonts w:hint="eastAsia" w:ascii="仿宋" w:hAnsi="仿宋" w:eastAsia="仿宋"/>
          <w:b w:val="0"/>
          <w:bCs/>
          <w:color w:val="000000"/>
          <w:sz w:val="32"/>
          <w:szCs w:val="32"/>
          <w:lang w:val="en-US" w:eastAsia="zh-CN"/>
        </w:rPr>
        <w:t>严格按照当年项目执行未完工。</w:t>
      </w:r>
    </w:p>
    <w:p>
      <w:pPr>
        <w:spacing w:line="600" w:lineRule="exact"/>
        <w:ind w:firstLine="643" w:firstLineChars="200"/>
        <w:rPr>
          <w:rFonts w:ascii="仿宋" w:hAnsi="仿宋" w:eastAsia="仿宋"/>
          <w:b/>
          <w:color w:val="000000"/>
          <w:sz w:val="32"/>
          <w:szCs w:val="32"/>
        </w:rPr>
      </w:pPr>
      <w:r>
        <w:rPr>
          <w:rStyle w:val="20"/>
          <w:rFonts w:hint="eastAsia" w:ascii="仿宋" w:hAnsi="仿宋" w:eastAsia="仿宋"/>
          <w:bCs/>
          <w:color w:val="000000"/>
          <w:sz w:val="32"/>
          <w:szCs w:val="32"/>
          <w:lang w:val="en-US" w:eastAsia="zh-CN"/>
        </w:rPr>
        <w:t>10.住房保障支出</w:t>
      </w:r>
      <w:r>
        <w:rPr>
          <w:rStyle w:val="20"/>
          <w:rFonts w:hint="eastAsia" w:ascii="仿宋" w:hAnsi="仿宋" w:eastAsia="仿宋"/>
          <w:bCs/>
          <w:color w:val="000000"/>
          <w:sz w:val="32"/>
          <w:szCs w:val="32"/>
        </w:rPr>
        <w:t>（类）</w:t>
      </w:r>
      <w:r>
        <w:rPr>
          <w:rStyle w:val="20"/>
          <w:rFonts w:hint="eastAsia" w:ascii="仿宋" w:hAnsi="仿宋" w:eastAsia="仿宋"/>
          <w:bCs/>
          <w:color w:val="000000"/>
          <w:sz w:val="32"/>
          <w:szCs w:val="32"/>
          <w:lang w:val="en-US" w:eastAsia="zh-CN"/>
        </w:rPr>
        <w:t>住房改革支出</w:t>
      </w:r>
      <w:r>
        <w:rPr>
          <w:rStyle w:val="20"/>
          <w:rFonts w:hint="eastAsia" w:ascii="仿宋" w:hAnsi="仿宋" w:eastAsia="仿宋"/>
          <w:bCs/>
          <w:color w:val="000000"/>
          <w:sz w:val="32"/>
          <w:szCs w:val="32"/>
        </w:rPr>
        <w:t>（款）</w:t>
      </w:r>
      <w:r>
        <w:rPr>
          <w:rStyle w:val="20"/>
          <w:rFonts w:hint="eastAsia" w:ascii="仿宋" w:hAnsi="仿宋" w:eastAsia="仿宋"/>
          <w:bCs/>
          <w:color w:val="000000"/>
          <w:sz w:val="32"/>
          <w:szCs w:val="32"/>
          <w:lang w:val="en-US" w:eastAsia="zh-CN"/>
        </w:rPr>
        <w:t>住房公积金</w:t>
      </w:r>
      <w:r>
        <w:rPr>
          <w:rStyle w:val="20"/>
          <w:rFonts w:hint="eastAsia" w:ascii="仿宋" w:hAnsi="仿宋" w:eastAsia="仿宋"/>
          <w:bCs/>
          <w:color w:val="000000"/>
          <w:sz w:val="32"/>
          <w:szCs w:val="32"/>
        </w:rPr>
        <w:t>（项）</w:t>
      </w:r>
      <w:r>
        <w:rPr>
          <w:rStyle w:val="20"/>
          <w:rFonts w:ascii="仿宋" w:hAnsi="仿宋" w:eastAsia="仿宋"/>
          <w:bCs/>
          <w:color w:val="000000"/>
          <w:sz w:val="32"/>
          <w:szCs w:val="32"/>
        </w:rPr>
        <w:t>:</w:t>
      </w:r>
      <w:r>
        <w:rPr>
          <w:rStyle w:val="20"/>
          <w:rFonts w:hint="eastAsia" w:ascii="仿宋" w:hAnsi="仿宋" w:eastAsia="仿宋"/>
          <w:b w:val="0"/>
          <w:bCs/>
          <w:color w:val="000000"/>
          <w:sz w:val="32"/>
          <w:szCs w:val="32"/>
        </w:rPr>
        <w:t>支出决算为</w:t>
      </w:r>
      <w:r>
        <w:rPr>
          <w:rStyle w:val="20"/>
          <w:rFonts w:hint="eastAsia" w:ascii="仿宋" w:hAnsi="仿宋" w:eastAsia="仿宋"/>
          <w:b w:val="0"/>
          <w:bCs/>
          <w:color w:val="000000"/>
          <w:sz w:val="32"/>
          <w:szCs w:val="32"/>
          <w:lang w:val="en-US" w:eastAsia="zh-CN"/>
        </w:rPr>
        <w:t>67.44</w:t>
      </w:r>
      <w:r>
        <w:rPr>
          <w:rStyle w:val="20"/>
          <w:rFonts w:hint="eastAsia" w:ascii="仿宋" w:hAnsi="仿宋" w:eastAsia="仿宋"/>
          <w:b w:val="0"/>
          <w:bCs/>
          <w:color w:val="000000"/>
          <w:sz w:val="32"/>
          <w:szCs w:val="32"/>
        </w:rPr>
        <w:t>万元，完成预算</w:t>
      </w:r>
      <w:r>
        <w:rPr>
          <w:rStyle w:val="20"/>
          <w:rFonts w:hint="eastAsia" w:ascii="仿宋" w:hAnsi="仿宋" w:eastAsia="仿宋"/>
          <w:b w:val="0"/>
          <w:bCs/>
          <w:color w:val="000000"/>
          <w:sz w:val="32"/>
          <w:szCs w:val="32"/>
          <w:lang w:val="en-US" w:eastAsia="zh-CN"/>
        </w:rPr>
        <w:t>100%</w:t>
      </w:r>
      <w:r>
        <w:rPr>
          <w:rStyle w:val="20"/>
          <w:rFonts w:hint="eastAsia" w:ascii="仿宋" w:hAnsi="仿宋" w:eastAsia="仿宋"/>
          <w:b w:val="0"/>
          <w:bCs/>
          <w:color w:val="000000"/>
          <w:sz w:val="32"/>
          <w:szCs w:val="32"/>
        </w:rPr>
        <w:t>，决算数等于预算数的主要原因是</w:t>
      </w:r>
      <w:r>
        <w:rPr>
          <w:rStyle w:val="20"/>
          <w:rFonts w:hint="eastAsia" w:ascii="仿宋" w:hAnsi="仿宋" w:eastAsia="仿宋"/>
          <w:b w:val="0"/>
          <w:bCs/>
          <w:color w:val="000000"/>
          <w:sz w:val="32"/>
          <w:szCs w:val="32"/>
          <w:lang w:val="en-US" w:eastAsia="zh-CN"/>
        </w:rPr>
        <w:t>严格按照当年预算编制数额执行。</w:t>
      </w:r>
    </w:p>
    <w:p>
      <w:pPr>
        <w:spacing w:line="600" w:lineRule="exact"/>
        <w:ind w:firstLine="640" w:firstLineChars="200"/>
        <w:rPr>
          <w:rFonts w:hint="eastAsia" w:ascii="黑体" w:eastAsia="黑体"/>
          <w:color w:val="000000"/>
          <w:sz w:val="32"/>
          <w:szCs w:val="32"/>
        </w:rPr>
      </w:pPr>
      <w:r>
        <w:rPr>
          <w:rFonts w:hint="eastAsia" w:ascii="仿宋" w:hAnsi="仿宋" w:eastAsia="仿宋"/>
          <w:color w:val="000000"/>
          <w:sz w:val="32"/>
          <w:szCs w:val="32"/>
          <w:shd w:val="pct10" w:color="auto" w:fill="FFFFFF"/>
          <w:lang w:eastAsia="zh-CN"/>
        </w:rPr>
        <w:drawing>
          <wp:anchor distT="0" distB="0" distL="114300" distR="114300" simplePos="0" relativeHeight="251665408" behindDoc="1" locked="0" layoutInCell="1" allowOverlap="1">
            <wp:simplePos x="0" y="0"/>
            <wp:positionH relativeFrom="column">
              <wp:posOffset>-27305</wp:posOffset>
            </wp:positionH>
            <wp:positionV relativeFrom="paragraph">
              <wp:posOffset>186055</wp:posOffset>
            </wp:positionV>
            <wp:extent cx="5612130" cy="2726690"/>
            <wp:effectExtent l="4445" t="4445" r="60325" b="69215"/>
            <wp:wrapThrough wrapText="bothSides">
              <wp:wrapPolygon>
                <wp:start x="-17" y="-35"/>
                <wp:lineTo x="-17" y="21545"/>
                <wp:lineTo x="21539" y="21545"/>
                <wp:lineTo x="21539" y="-35"/>
                <wp:lineTo x="-17" y="-35"/>
              </wp:wrapPolygon>
            </wp:wrapThrough>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bookmarkStart w:id="68" w:name="_Toc79163618"/>
      <w:bookmarkStart w:id="69" w:name="_Toc15396608"/>
      <w:bookmarkStart w:id="70" w:name="_Toc14430"/>
      <w:bookmarkStart w:id="71" w:name="_Toc15377214"/>
    </w:p>
    <w:p>
      <w:pPr>
        <w:tabs>
          <w:tab w:val="right" w:pos="8306"/>
        </w:tabs>
        <w:spacing w:line="600" w:lineRule="exact"/>
        <w:ind w:firstLine="640"/>
        <w:outlineLvl w:val="1"/>
        <w:rPr>
          <w:rStyle w:val="23"/>
        </w:rPr>
      </w:pPr>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3"/>
          <w:rFonts w:hint="eastAsia" w:ascii="黑体" w:hAnsi="黑体" w:eastAsia="黑体"/>
          <w:b w:val="0"/>
        </w:rPr>
        <w:t>般公共预算财政拨款基本支出决算情况说明</w:t>
      </w:r>
      <w:bookmarkEnd w:id="68"/>
      <w:bookmarkEnd w:id="69"/>
      <w:bookmarkEnd w:id="70"/>
      <w:bookmarkEnd w:id="71"/>
      <w:r>
        <w:rPr>
          <w:rStyle w:val="23"/>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年一般公共预算财政拨款基本支出</w:t>
      </w:r>
      <w:r>
        <w:rPr>
          <w:rFonts w:hint="eastAsia" w:ascii="仿宋" w:hAnsi="仿宋" w:eastAsia="仿宋"/>
          <w:color w:val="000000"/>
          <w:sz w:val="32"/>
          <w:szCs w:val="32"/>
          <w:lang w:val="en-US" w:eastAsia="zh-CN"/>
        </w:rPr>
        <w:t>754.03</w:t>
      </w:r>
      <w:r>
        <w:rPr>
          <w:rFonts w:hint="eastAsia" w:ascii="仿宋" w:hAnsi="仿宋" w:eastAsia="仿宋"/>
          <w:color w:val="000000"/>
          <w:sz w:val="32"/>
          <w:szCs w:val="32"/>
        </w:rPr>
        <w:t>万元，其中：</w:t>
      </w:r>
    </w:p>
    <w:p>
      <w:pPr>
        <w:spacing w:line="600" w:lineRule="exact"/>
        <w:ind w:firstLine="645"/>
        <w:rPr>
          <w:rFonts w:ascii="仿宋" w:hAnsi="仿宋" w:eastAsia="仿宋"/>
          <w:b/>
          <w:color w:val="FF0000"/>
          <w:sz w:val="32"/>
          <w:szCs w:val="32"/>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754.03</w:t>
      </w:r>
      <w:r>
        <w:rPr>
          <w:rFonts w:hint="eastAsia" w:ascii="仿宋" w:hAnsi="仿宋" w:eastAsia="仿宋"/>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日常公用经费</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23"/>
          <w:rFonts w:ascii="黑体" w:hAnsi="黑体" w:eastAsia="黑体"/>
          <w:b w:val="0"/>
        </w:rPr>
      </w:pPr>
      <w:bookmarkStart w:id="72" w:name="_Toc22724"/>
      <w:bookmarkStart w:id="73" w:name="_Toc79163619"/>
      <w:bookmarkStart w:id="74" w:name="_Toc15377215"/>
      <w:bookmarkStart w:id="75" w:name="_Toc15396609"/>
      <w:r>
        <w:rPr>
          <w:rFonts w:hint="eastAsia" w:ascii="黑体" w:eastAsia="黑体"/>
          <w:color w:val="000000"/>
          <w:sz w:val="32"/>
          <w:szCs w:val="32"/>
        </w:rPr>
        <w:t>七、</w:t>
      </w:r>
      <w:r>
        <w:rPr>
          <w:rStyle w:val="23"/>
          <w:rFonts w:hint="eastAsia" w:ascii="黑体" w:hAnsi="黑体" w:eastAsia="黑体"/>
        </w:rPr>
        <w:t>“</w:t>
      </w:r>
      <w:r>
        <w:rPr>
          <w:rStyle w:val="23"/>
          <w:rFonts w:hint="eastAsia" w:ascii="黑体" w:hAnsi="黑体" w:eastAsia="黑体"/>
          <w:b w:val="0"/>
        </w:rPr>
        <w:t>三公”经费财政拨款支出决算情况说明</w:t>
      </w:r>
      <w:bookmarkEnd w:id="72"/>
      <w:bookmarkEnd w:id="73"/>
      <w:bookmarkEnd w:id="74"/>
      <w:bookmarkEnd w:id="75"/>
    </w:p>
    <w:p>
      <w:pPr>
        <w:spacing w:line="600" w:lineRule="exact"/>
        <w:ind w:firstLine="640"/>
        <w:outlineLvl w:val="2"/>
        <w:rPr>
          <w:rFonts w:ascii="仿宋" w:hAnsi="仿宋" w:eastAsia="仿宋"/>
          <w:b/>
          <w:color w:val="000000"/>
          <w:sz w:val="32"/>
          <w:szCs w:val="32"/>
        </w:rPr>
      </w:pPr>
      <w:bookmarkStart w:id="76" w:name="_Toc79163620"/>
      <w:bookmarkStart w:id="77" w:name="_Toc15377216"/>
      <w:bookmarkStart w:id="78" w:name="_Toc17091"/>
      <w:r>
        <w:rPr>
          <w:rFonts w:hint="eastAsia" w:ascii="仿宋" w:hAnsi="仿宋" w:eastAsia="仿宋"/>
          <w:b/>
          <w:color w:val="000000"/>
          <w:sz w:val="32"/>
          <w:szCs w:val="32"/>
        </w:rPr>
        <w:t>（一）“三公”经费财政拨款支出决算总体情况说明</w:t>
      </w:r>
      <w:bookmarkEnd w:id="76"/>
      <w:bookmarkEnd w:id="77"/>
      <w:bookmarkEnd w:id="78"/>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年“三公”经费财政拨款支出决算为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，决算数与预算数持平的主要原因是</w:t>
      </w:r>
      <w:r>
        <w:rPr>
          <w:rFonts w:hint="eastAsia" w:ascii="仿宋" w:hAnsi="仿宋" w:eastAsia="仿宋"/>
          <w:color w:val="000000"/>
          <w:sz w:val="32"/>
          <w:szCs w:val="32"/>
          <w:lang w:val="en-US" w:eastAsia="zh-CN"/>
        </w:rPr>
        <w:t>我院为财政补助型事业单位，无“三公”经费预算</w:t>
      </w:r>
      <w:r>
        <w:rPr>
          <w:rFonts w:hint="eastAsia" w:ascii="仿宋" w:hAnsi="仿宋" w:eastAsia="仿宋"/>
          <w:color w:val="000000"/>
          <w:sz w:val="32"/>
          <w:szCs w:val="32"/>
        </w:rPr>
        <w:t>。</w:t>
      </w:r>
    </w:p>
    <w:p>
      <w:pPr>
        <w:spacing w:line="600" w:lineRule="exact"/>
        <w:ind w:firstLine="640"/>
        <w:outlineLvl w:val="2"/>
        <w:rPr>
          <w:rFonts w:ascii="仿宋" w:hAnsi="仿宋" w:eastAsia="仿宋"/>
          <w:b/>
          <w:color w:val="000000"/>
          <w:sz w:val="32"/>
          <w:szCs w:val="32"/>
        </w:rPr>
      </w:pPr>
      <w:bookmarkStart w:id="79" w:name="_Toc79163621"/>
      <w:bookmarkStart w:id="80" w:name="_Toc15377217"/>
      <w:bookmarkStart w:id="81" w:name="_Toc16095"/>
      <w:r>
        <w:rPr>
          <w:rFonts w:hint="eastAsia" w:ascii="仿宋" w:hAnsi="仿宋" w:eastAsia="仿宋"/>
          <w:b/>
          <w:color w:val="000000"/>
          <w:sz w:val="32"/>
          <w:szCs w:val="32"/>
        </w:rPr>
        <w:t>（二）“三公”经费财政拨款支出决算具体情况说明</w:t>
      </w:r>
      <w:bookmarkEnd w:id="79"/>
      <w:bookmarkEnd w:id="80"/>
      <w:bookmarkEnd w:id="81"/>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。具体情况如下：</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Style w:val="20"/>
          <w:rFonts w:hint="eastAsia" w:ascii="仿宋" w:hAnsi="仿宋" w:eastAsia="仿宋"/>
          <w:b w:val="0"/>
          <w:bCs/>
          <w:color w:val="000000"/>
          <w:sz w:val="32"/>
          <w:szCs w:val="32"/>
        </w:rPr>
      </w:pPr>
      <w:r>
        <w:rPr>
          <w:rFonts w:hint="eastAsia" w:ascii="仿宋_GB2312" w:eastAsia="仿宋_GB2312"/>
          <w:b/>
          <w:color w:val="000000"/>
          <w:sz w:val="32"/>
          <w:szCs w:val="32"/>
          <w:lang w:val="en-US" w:eastAsia="zh-CN"/>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20"/>
          <w:rFonts w:hint="eastAsia" w:ascii="仿宋" w:hAnsi="仿宋" w:eastAsia="仿宋"/>
          <w:b w:val="0"/>
          <w:bCs/>
          <w:color w:val="000000"/>
          <w:sz w:val="32"/>
          <w:szCs w:val="32"/>
        </w:rPr>
        <w:t>完成预算</w:t>
      </w:r>
      <w:r>
        <w:rPr>
          <w:rStyle w:val="20"/>
          <w:rFonts w:hint="eastAsia" w:ascii="仿宋" w:hAnsi="仿宋" w:eastAsia="仿宋"/>
          <w:b w:val="0"/>
          <w:bCs/>
          <w:color w:val="000000"/>
          <w:sz w:val="32"/>
          <w:szCs w:val="32"/>
          <w:lang w:val="en-US" w:eastAsia="zh-CN"/>
        </w:rPr>
        <w:t>100</w:t>
      </w:r>
      <w:r>
        <w:rPr>
          <w:rStyle w:val="20"/>
          <w:rFonts w:ascii="仿宋" w:hAnsi="仿宋" w:eastAsia="仿宋"/>
          <w:b w:val="0"/>
          <w:bCs/>
          <w:color w:val="000000"/>
          <w:sz w:val="32"/>
          <w:szCs w:val="32"/>
        </w:rPr>
        <w:t>%</w:t>
      </w:r>
      <w:r>
        <w:rPr>
          <w:rStyle w:val="20"/>
          <w:rFonts w:hint="eastAsia" w:ascii="仿宋" w:hAnsi="仿宋" w:eastAsia="仿宋"/>
          <w:b w:val="0"/>
          <w:bCs/>
          <w:color w:val="000000"/>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eastAsia="仿宋_GB2312"/>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ascii="仿宋_GB2312" w:eastAsia="仿宋_GB2312"/>
          <w:color w:val="000000"/>
          <w:sz w:val="32"/>
          <w:szCs w:val="32"/>
        </w:rPr>
        <w:t>,</w:t>
      </w:r>
      <w:r>
        <w:rPr>
          <w:rStyle w:val="20"/>
          <w:rFonts w:hint="eastAsia" w:ascii="仿宋" w:hAnsi="仿宋" w:eastAsia="仿宋"/>
          <w:b w:val="0"/>
          <w:bCs/>
          <w:color w:val="000000"/>
          <w:sz w:val="32"/>
          <w:szCs w:val="32"/>
        </w:rPr>
        <w:t>完成预算</w:t>
      </w:r>
      <w:r>
        <w:rPr>
          <w:rStyle w:val="20"/>
          <w:rFonts w:hint="eastAsia" w:ascii="仿宋" w:hAnsi="仿宋" w:eastAsia="仿宋"/>
          <w:b w:val="0"/>
          <w:bCs/>
          <w:color w:val="000000"/>
          <w:sz w:val="32"/>
          <w:szCs w:val="32"/>
          <w:lang w:val="en-US" w:eastAsia="zh-CN"/>
        </w:rPr>
        <w:t>100</w:t>
      </w:r>
      <w:r>
        <w:rPr>
          <w:rStyle w:val="20"/>
          <w:rFonts w:ascii="仿宋" w:hAnsi="仿宋" w:eastAsia="仿宋"/>
          <w:b w:val="0"/>
          <w:bCs/>
          <w:color w:val="000000"/>
          <w:sz w:val="32"/>
          <w:szCs w:val="32"/>
        </w:rPr>
        <w:t>%</w:t>
      </w:r>
      <w:r>
        <w:rPr>
          <w:rStyle w:val="20"/>
          <w:rFonts w:hint="eastAsia" w:ascii="仿宋" w:hAnsi="仿宋" w:eastAsia="仿宋"/>
          <w:b w:val="0"/>
          <w:bCs/>
          <w:color w:val="000000"/>
          <w:sz w:val="32"/>
          <w:szCs w:val="32"/>
        </w:rPr>
        <w:t>。</w:t>
      </w:r>
      <w:r>
        <w:rPr>
          <w:rStyle w:val="20"/>
          <w:rFonts w:hint="eastAsia" w:ascii="仿宋" w:hAnsi="仿宋" w:eastAsia="仿宋"/>
          <w:b w:val="0"/>
          <w:bCs/>
          <w:color w:val="000000"/>
          <w:sz w:val="32"/>
          <w:szCs w:val="32"/>
          <w:lang w:val="en-US" w:eastAsia="zh-CN"/>
        </w:rPr>
        <w:t>其中</w:t>
      </w: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Style w:val="20"/>
          <w:rFonts w:hint="eastAsia" w:ascii="仿宋" w:hAnsi="仿宋" w:eastAsia="仿宋"/>
          <w:b w:val="0"/>
          <w:bCs/>
          <w:color w:val="000000"/>
          <w:sz w:val="32"/>
          <w:szCs w:val="32"/>
        </w:rPr>
      </w:pPr>
      <w:r>
        <w:rPr>
          <w:rFonts w:hint="eastAsia" w:ascii="仿宋_GB2312" w:eastAsia="仿宋_GB2312"/>
          <w:b/>
          <w:color w:val="000000"/>
          <w:sz w:val="32"/>
          <w:szCs w:val="32"/>
          <w:lang w:val="en-US" w:eastAsia="zh-CN"/>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20"/>
          <w:rFonts w:hint="eastAsia" w:ascii="仿宋" w:hAnsi="仿宋" w:eastAsia="仿宋"/>
          <w:b w:val="0"/>
          <w:bCs/>
          <w:color w:val="000000"/>
          <w:sz w:val="32"/>
          <w:szCs w:val="32"/>
        </w:rPr>
        <w:t>完成预算</w:t>
      </w:r>
      <w:r>
        <w:rPr>
          <w:rStyle w:val="20"/>
          <w:rFonts w:hint="eastAsia" w:ascii="仿宋" w:hAnsi="仿宋" w:eastAsia="仿宋"/>
          <w:b w:val="0"/>
          <w:bCs/>
          <w:color w:val="000000"/>
          <w:sz w:val="32"/>
          <w:szCs w:val="32"/>
          <w:lang w:val="en-US" w:eastAsia="zh-CN"/>
        </w:rPr>
        <w:t>100</w:t>
      </w:r>
      <w:r>
        <w:rPr>
          <w:rStyle w:val="20"/>
          <w:rFonts w:ascii="仿宋" w:hAnsi="仿宋" w:eastAsia="仿宋"/>
          <w:b w:val="0"/>
          <w:bCs/>
          <w:color w:val="000000"/>
          <w:sz w:val="32"/>
          <w:szCs w:val="32"/>
        </w:rPr>
        <w:t>%</w:t>
      </w:r>
      <w:r>
        <w:rPr>
          <w:rStyle w:val="20"/>
          <w:rFonts w:hint="eastAsia" w:ascii="仿宋" w:hAnsi="仿宋" w:eastAsia="仿宋"/>
          <w:b w:val="0"/>
          <w:bCs/>
          <w:color w:val="000000"/>
          <w:sz w:val="32"/>
          <w:szCs w:val="32"/>
        </w:rPr>
        <w:t>。</w:t>
      </w:r>
    </w:p>
    <w:p>
      <w:pPr>
        <w:spacing w:line="600" w:lineRule="exact"/>
        <w:ind w:firstLine="640"/>
        <w:outlineLvl w:val="1"/>
        <w:rPr>
          <w:rStyle w:val="23"/>
          <w:rFonts w:ascii="黑体" w:hAnsi="黑体" w:eastAsia="黑体"/>
        </w:rPr>
      </w:pPr>
      <w:bookmarkStart w:id="82" w:name="_Toc79163622"/>
      <w:bookmarkStart w:id="83" w:name="_Toc15377218"/>
      <w:bookmarkStart w:id="84" w:name="_Toc2360"/>
      <w:bookmarkStart w:id="85" w:name="_Toc15396610"/>
      <w:r>
        <w:rPr>
          <w:rFonts w:hint="eastAsia" w:ascii="黑体" w:eastAsia="黑体"/>
          <w:color w:val="000000"/>
          <w:sz w:val="32"/>
          <w:szCs w:val="32"/>
        </w:rPr>
        <w:t>八、</w:t>
      </w:r>
      <w:r>
        <w:rPr>
          <w:rStyle w:val="23"/>
          <w:rFonts w:hint="eastAsia" w:ascii="黑体" w:hAnsi="黑体" w:eastAsia="黑体"/>
          <w:b w:val="0"/>
        </w:rPr>
        <w:t>政府性基金预算支出决算情况说明</w:t>
      </w:r>
      <w:bookmarkEnd w:id="82"/>
      <w:bookmarkEnd w:id="83"/>
      <w:bookmarkEnd w:id="84"/>
      <w:bookmarkEnd w:id="85"/>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1"/>
        </w:numPr>
        <w:spacing w:line="600" w:lineRule="exact"/>
        <w:ind w:firstLine="640"/>
        <w:outlineLvl w:val="1"/>
        <w:rPr>
          <w:rStyle w:val="23"/>
          <w:rFonts w:ascii="黑体" w:hAnsi="黑体" w:eastAsia="黑体"/>
          <w:b w:val="0"/>
        </w:rPr>
      </w:pPr>
      <w:bookmarkStart w:id="86" w:name="_Toc15377219"/>
      <w:bookmarkStart w:id="87" w:name="_Toc15396611"/>
      <w:bookmarkStart w:id="88" w:name="_Toc79163623"/>
      <w:bookmarkStart w:id="89" w:name="_Toc26455"/>
      <w:r>
        <w:rPr>
          <w:rStyle w:val="23"/>
          <w:rFonts w:hint="eastAsia" w:ascii="黑体" w:hAnsi="黑体" w:eastAsia="黑体"/>
          <w:b w:val="0"/>
        </w:rPr>
        <w:t>国有资本经营预算支出决算情况说明</w:t>
      </w:r>
      <w:bookmarkEnd w:id="86"/>
      <w:bookmarkEnd w:id="87"/>
      <w:bookmarkEnd w:id="88"/>
      <w:bookmarkEnd w:id="89"/>
    </w:p>
    <w:p>
      <w:pPr>
        <w:spacing w:line="600" w:lineRule="exact"/>
        <w:ind w:firstLine="640"/>
        <w:rPr>
          <w:rFonts w:ascii="方正小标宋简体" w:hAnsi="方正小标宋简体" w:eastAsia="方正小标宋简体" w:cs="方正小标宋简体"/>
          <w:sz w:val="44"/>
          <w:szCs w:val="44"/>
        </w:rPr>
      </w:pPr>
      <w:r>
        <w:rPr>
          <w:rFonts w:ascii="仿宋_GB2312" w:eastAsia="仿宋_GB2312"/>
          <w:color w:val="000000"/>
          <w:sz w:val="32"/>
          <w:szCs w:val="32"/>
        </w:rPr>
        <w:t>2020</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800" w:firstLineChars="250"/>
        <w:outlineLvl w:val="1"/>
        <w:rPr>
          <w:rStyle w:val="23"/>
          <w:rFonts w:ascii="黑体" w:hAnsi="黑体" w:eastAsia="黑体"/>
        </w:rPr>
      </w:pPr>
      <w:bookmarkStart w:id="90" w:name="_Toc27115"/>
      <w:bookmarkStart w:id="91" w:name="_Toc15377221"/>
      <w:bookmarkStart w:id="92" w:name="_Toc15396612"/>
      <w:bookmarkStart w:id="93" w:name="_Toc79163624"/>
      <w:r>
        <w:rPr>
          <w:rFonts w:hint="eastAsia" w:ascii="黑体" w:hAnsi="黑体" w:eastAsia="黑体"/>
          <w:color w:val="000000"/>
          <w:sz w:val="32"/>
          <w:szCs w:val="32"/>
        </w:rPr>
        <w:t>十</w:t>
      </w:r>
      <w:r>
        <w:rPr>
          <w:rStyle w:val="23"/>
          <w:rFonts w:hint="eastAsia" w:ascii="黑体" w:hAnsi="黑体" w:eastAsia="黑体"/>
        </w:rPr>
        <w:t>、</w:t>
      </w:r>
      <w:r>
        <w:rPr>
          <w:rStyle w:val="23"/>
          <w:rFonts w:hint="eastAsia" w:ascii="黑体" w:hAnsi="黑体" w:eastAsia="黑体"/>
          <w:b w:val="0"/>
        </w:rPr>
        <w:t>其他重要事项的情况说明</w:t>
      </w:r>
      <w:bookmarkEnd w:id="90"/>
      <w:bookmarkEnd w:id="91"/>
      <w:bookmarkEnd w:id="92"/>
      <w:bookmarkEnd w:id="93"/>
    </w:p>
    <w:p>
      <w:pPr>
        <w:spacing w:line="600" w:lineRule="exact"/>
        <w:ind w:firstLine="643" w:firstLineChars="200"/>
        <w:outlineLvl w:val="2"/>
        <w:rPr>
          <w:rFonts w:ascii="仿宋" w:hAnsi="仿宋" w:eastAsia="仿宋"/>
          <w:color w:val="000000"/>
          <w:sz w:val="32"/>
          <w:szCs w:val="32"/>
        </w:rPr>
      </w:pPr>
      <w:bookmarkStart w:id="94" w:name="_Toc15377222"/>
      <w:bookmarkStart w:id="95" w:name="_Toc19979"/>
      <w:bookmarkStart w:id="96" w:name="_Toc79163625"/>
      <w:r>
        <w:rPr>
          <w:rFonts w:hint="eastAsia" w:ascii="仿宋" w:hAnsi="仿宋" w:eastAsia="仿宋"/>
          <w:b/>
          <w:color w:val="000000"/>
          <w:sz w:val="32"/>
          <w:szCs w:val="32"/>
        </w:rPr>
        <w:t>（一）机关运行经费支出情况</w:t>
      </w:r>
      <w:bookmarkEnd w:id="94"/>
      <w:bookmarkEnd w:id="95"/>
      <w:bookmarkEnd w:id="96"/>
    </w:p>
    <w:p>
      <w:pPr>
        <w:spacing w:line="600" w:lineRule="exact"/>
        <w:ind w:firstLine="640" w:firstLineChars="200"/>
        <w:rPr>
          <w:rFonts w:hint="default" w:ascii="仿宋_GB2312" w:eastAsia="仿宋_GB2312"/>
          <w:color w:val="000000"/>
          <w:sz w:val="32"/>
          <w:szCs w:val="32"/>
          <w:lang w:val="en-US" w:eastAsia="zh-CN"/>
        </w:rPr>
      </w:pPr>
      <w:r>
        <w:rPr>
          <w:rFonts w:ascii="仿宋_GB2312" w:eastAsia="仿宋_GB2312"/>
          <w:color w:val="000000"/>
          <w:sz w:val="32"/>
          <w:szCs w:val="32"/>
        </w:rPr>
        <w:t>2020</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壤塘县藏医院</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万元，与</w:t>
      </w:r>
      <w:r>
        <w:rPr>
          <w:rFonts w:ascii="仿宋_GB2312" w:eastAsia="仿宋_GB2312"/>
          <w:color w:val="000000"/>
          <w:sz w:val="32"/>
          <w:szCs w:val="32"/>
        </w:rPr>
        <w:t>2019</w:t>
      </w:r>
      <w:r>
        <w:rPr>
          <w:rFonts w:hint="eastAsia" w:ascii="仿宋_GB2312" w:eastAsia="仿宋_GB2312"/>
          <w:color w:val="000000"/>
          <w:sz w:val="32"/>
          <w:szCs w:val="32"/>
        </w:rPr>
        <w:t>年决算数持平。主要原因是</w:t>
      </w:r>
      <w:r>
        <w:rPr>
          <w:rFonts w:hint="eastAsia" w:ascii="仿宋_GB2312" w:eastAsia="仿宋_GB2312"/>
          <w:color w:val="000000"/>
          <w:sz w:val="32"/>
          <w:szCs w:val="32"/>
          <w:lang w:val="en-US" w:eastAsia="zh-CN"/>
        </w:rPr>
        <w:t>我院无</w:t>
      </w:r>
      <w:r>
        <w:rPr>
          <w:rFonts w:hint="eastAsia" w:ascii="仿宋" w:hAnsi="仿宋" w:eastAsia="仿宋"/>
          <w:b/>
          <w:color w:val="000000"/>
          <w:sz w:val="32"/>
          <w:szCs w:val="32"/>
        </w:rPr>
        <w:t>机关运行经费支出</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97" w:name="_Toc15377223"/>
      <w:bookmarkStart w:id="98" w:name="_Toc22020"/>
      <w:bookmarkStart w:id="99" w:name="_Toc79163626"/>
      <w:r>
        <w:rPr>
          <w:rFonts w:hint="eastAsia" w:ascii="仿宋" w:hAnsi="仿宋" w:eastAsia="仿宋"/>
          <w:b/>
          <w:color w:val="000000"/>
          <w:sz w:val="32"/>
          <w:szCs w:val="32"/>
        </w:rPr>
        <w:t>（二）政府采购支出情况</w:t>
      </w:r>
      <w:bookmarkEnd w:id="97"/>
      <w:bookmarkEnd w:id="98"/>
      <w:bookmarkEnd w:id="99"/>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壤塘县藏医院</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29.41</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29.41</w:t>
      </w:r>
      <w:r>
        <w:rPr>
          <w:rFonts w:hint="eastAsia" w:ascii="仿宋_GB2312" w:eastAsia="仿宋_GB2312"/>
          <w:color w:val="000000"/>
          <w:sz w:val="32"/>
          <w:szCs w:val="32"/>
        </w:rPr>
        <w:t>万元。主要用于</w:t>
      </w:r>
      <w:r>
        <w:rPr>
          <w:rFonts w:hint="eastAsia" w:ascii="仿宋_GB2312" w:eastAsia="仿宋_GB2312"/>
          <w:color w:val="000000"/>
          <w:sz w:val="32"/>
          <w:szCs w:val="32"/>
          <w:lang w:val="en-US" w:eastAsia="zh-CN"/>
        </w:rPr>
        <w:t>单位原来相关设备采购</w:t>
      </w:r>
      <w:r>
        <w:rPr>
          <w:rFonts w:hint="eastAsia" w:ascii="仿宋_GB2312" w:eastAsia="仿宋_GB2312"/>
          <w:color w:val="000000"/>
          <w:sz w:val="32"/>
          <w:szCs w:val="32"/>
        </w:rPr>
        <w:t>（具体工作）。授予中小企业合同金额</w:t>
      </w:r>
      <w:r>
        <w:rPr>
          <w:rFonts w:hint="eastAsia" w:ascii="仿宋_GB2312" w:eastAsia="仿宋_GB2312"/>
          <w:color w:val="000000"/>
          <w:sz w:val="32"/>
          <w:szCs w:val="32"/>
          <w:lang w:val="en-US" w:eastAsia="zh-CN"/>
        </w:rPr>
        <w:t>29.41</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100</w:t>
      </w:r>
      <w:r>
        <w:rPr>
          <w:rFonts w:ascii="仿宋_GB2312" w:eastAsia="仿宋_GB2312"/>
          <w:color w:val="000000"/>
          <w:sz w:val="32"/>
          <w:szCs w:val="32"/>
        </w:rPr>
        <w:t>%</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29.41</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100</w:t>
      </w:r>
      <w:r>
        <w:rPr>
          <w:rFonts w:ascii="仿宋_GB2312" w:eastAsia="仿宋_GB2312"/>
          <w:color w:val="000000"/>
          <w:sz w:val="32"/>
          <w:szCs w:val="32"/>
        </w:rPr>
        <w:t>%</w:t>
      </w:r>
      <w:r>
        <w:rPr>
          <w:rFonts w:hint="eastAsia" w:ascii="仿宋_GB2312" w:eastAsia="仿宋_GB2312"/>
          <w:color w:val="000000"/>
          <w:sz w:val="32"/>
          <w:szCs w:val="32"/>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00" w:name="_Toc15377224"/>
      <w:bookmarkStart w:id="101" w:name="_Toc31040"/>
      <w:bookmarkStart w:id="102" w:name="_Toc79163627"/>
      <w:r>
        <w:rPr>
          <w:rFonts w:hint="eastAsia" w:ascii="仿宋" w:hAnsi="仿宋" w:eastAsia="仿宋"/>
          <w:b/>
          <w:color w:val="000000"/>
          <w:sz w:val="32"/>
          <w:szCs w:val="32"/>
        </w:rPr>
        <w:t>（三）国有资产占有使用情况</w:t>
      </w:r>
      <w:bookmarkEnd w:id="100"/>
      <w:bookmarkEnd w:id="101"/>
      <w:bookmarkEnd w:id="102"/>
    </w:p>
    <w:p>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val="en-US" w:eastAsia="zh-CN"/>
        </w:rPr>
        <w:t>壤塘县藏医院</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辆，其中：应急保障用车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sz w:val="32"/>
          <w:szCs w:val="32"/>
        </w:rPr>
        <w:t>单价</w:t>
      </w:r>
      <w:r>
        <w:rPr>
          <w:rFonts w:ascii="仿宋_GB2312" w:eastAsia="仿宋_GB2312"/>
          <w:color w:val="000000"/>
          <w:sz w:val="32"/>
          <w:szCs w:val="32"/>
        </w:rPr>
        <w:t>50</w:t>
      </w:r>
      <w:r>
        <w:rPr>
          <w:rFonts w:hint="eastAsia" w:ascii="仿宋_GB2312" w:eastAsia="仿宋_GB2312"/>
          <w:color w:val="000000"/>
          <w:sz w:val="32"/>
          <w:szCs w:val="32"/>
        </w:rPr>
        <w:t>万元以上通用设备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台（套）。</w:t>
      </w:r>
    </w:p>
    <w:p>
      <w:pPr>
        <w:numPr>
          <w:ilvl w:val="0"/>
          <w:numId w:val="2"/>
        </w:numPr>
        <w:autoSpaceDE w:val="0"/>
        <w:autoSpaceDN w:val="0"/>
        <w:adjustRightInd w:val="0"/>
        <w:spacing w:line="600" w:lineRule="exact"/>
        <w:ind w:firstLine="643" w:firstLineChars="200"/>
        <w:jc w:val="left"/>
        <w:outlineLvl w:val="2"/>
        <w:rPr>
          <w:rFonts w:hint="eastAsia" w:ascii="仿宋" w:hAnsi="仿宋" w:eastAsia="仿宋"/>
          <w:b/>
          <w:color w:val="000000"/>
          <w:sz w:val="32"/>
          <w:szCs w:val="32"/>
        </w:rPr>
      </w:pPr>
      <w:bookmarkStart w:id="103" w:name="_Toc79163628"/>
      <w:bookmarkStart w:id="104" w:name="_Toc5510"/>
      <w:r>
        <w:rPr>
          <w:rFonts w:hint="eastAsia" w:ascii="仿宋" w:hAnsi="仿宋" w:eastAsia="仿宋"/>
          <w:b/>
          <w:color w:val="000000"/>
          <w:sz w:val="32"/>
          <w:szCs w:val="32"/>
        </w:rPr>
        <w:t>预算绩效管理情况。</w:t>
      </w:r>
      <w:bookmarkEnd w:id="103"/>
      <w:bookmarkEnd w:id="104"/>
    </w:p>
    <w:p>
      <w:pPr>
        <w:numPr>
          <w:ilvl w:val="0"/>
          <w:numId w:val="3"/>
        </w:numPr>
        <w:spacing w:line="580" w:lineRule="exact"/>
        <w:ind w:firstLine="640" w:firstLineChars="200"/>
        <w:rPr>
          <w:rFonts w:hint="eastAsia" w:ascii="仿宋" w:hAnsi="仿宋" w:eastAsia="仿宋"/>
          <w:b/>
          <w:color w:val="000000"/>
          <w:sz w:val="32"/>
          <w:szCs w:val="32"/>
        </w:rPr>
      </w:pPr>
      <w:r>
        <w:rPr>
          <w:rFonts w:hint="eastAsia" w:ascii="仿宋_GB2312" w:hAnsi="仿宋_GB2312" w:eastAsia="仿宋_GB2312" w:cs="仿宋_GB2312"/>
          <w:sz w:val="32"/>
          <w:szCs w:val="32"/>
        </w:rPr>
        <w:t>本部门在20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年度部门决算中反映“2</w:t>
      </w:r>
      <w:r>
        <w:rPr>
          <w:rFonts w:ascii="仿宋_GB2312" w:hAnsi="仿宋_GB2312" w:eastAsia="仿宋_GB2312" w:cs="仿宋_GB2312"/>
          <w:sz w:val="32"/>
          <w:szCs w:val="32"/>
        </w:rPr>
        <w:t>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基本公卫</w:t>
      </w:r>
      <w:r>
        <w:rPr>
          <w:rFonts w:hint="eastAsia" w:ascii="仿宋_GB2312" w:hAnsi="仿宋_GB2312" w:eastAsia="仿宋_GB2312" w:cs="仿宋_GB2312"/>
          <w:sz w:val="32"/>
          <w:szCs w:val="32"/>
        </w:rPr>
        <w:t>中央资金（</w:t>
      </w:r>
      <w:r>
        <w:rPr>
          <w:rFonts w:hint="eastAsia" w:ascii="仿宋_GB2312" w:hAnsi="仿宋_GB2312" w:eastAsia="仿宋_GB2312" w:cs="仿宋_GB2312"/>
          <w:sz w:val="32"/>
          <w:szCs w:val="32"/>
          <w:lang w:val="en-US" w:eastAsia="zh-CN"/>
        </w:rPr>
        <w:t>白内障患者复明手术</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公立医院取消药品加成</w:t>
      </w:r>
      <w:r>
        <w:rPr>
          <w:rFonts w:hint="eastAsia" w:ascii="仿宋_GB2312" w:hAnsi="仿宋_GB2312" w:eastAsia="仿宋_GB2312" w:cs="仿宋_GB2312"/>
          <w:sz w:val="32"/>
          <w:szCs w:val="32"/>
        </w:rPr>
        <w:t>”等</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个项目绩效目标实际完成情况。</w:t>
      </w:r>
    </w:p>
    <w:p>
      <w:pPr>
        <w:tabs>
          <w:tab w:val="left" w:pos="312"/>
        </w:tabs>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2</w:t>
      </w:r>
      <w:r>
        <w:rPr>
          <w:rFonts w:ascii="仿宋_GB2312" w:hAnsi="仿宋_GB2312" w:eastAsia="仿宋_GB2312" w:cs="仿宋_GB2312"/>
          <w:sz w:val="32"/>
          <w:szCs w:val="32"/>
        </w:rPr>
        <w:t>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基本公卫</w:t>
      </w:r>
      <w:r>
        <w:rPr>
          <w:rFonts w:hint="eastAsia" w:ascii="仿宋_GB2312" w:hAnsi="仿宋_GB2312" w:eastAsia="仿宋_GB2312" w:cs="仿宋_GB2312"/>
          <w:sz w:val="32"/>
          <w:szCs w:val="32"/>
        </w:rPr>
        <w:t>中央资金（</w:t>
      </w:r>
      <w:r>
        <w:rPr>
          <w:rFonts w:hint="eastAsia" w:ascii="仿宋_GB2312" w:hAnsi="仿宋_GB2312" w:eastAsia="仿宋_GB2312" w:cs="仿宋_GB2312"/>
          <w:sz w:val="32"/>
          <w:szCs w:val="32"/>
          <w:lang w:val="en-US" w:eastAsia="zh-CN"/>
        </w:rPr>
        <w:t>白内障患者复明手术</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3.98</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3.98</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w:t>
      </w:r>
      <w:r>
        <w:rPr>
          <w:rFonts w:hint="eastAsia" w:ascii="仿宋_GB2312" w:hAnsi="仿宋_GB2312" w:eastAsia="仿宋_GB2312" w:cs="仿宋_GB2312"/>
          <w:sz w:val="32"/>
          <w:szCs w:val="32"/>
          <w:lang w:val="en-US" w:eastAsia="zh-CN"/>
        </w:rPr>
        <w:t>帮助地方白内障患者恢复视力，提升群众幸福感</w:t>
      </w:r>
      <w:r>
        <w:rPr>
          <w:rFonts w:hint="eastAsia" w:ascii="仿宋_GB2312" w:hAnsi="仿宋_GB2312" w:eastAsia="仿宋_GB2312" w:cs="仿宋_GB2312"/>
          <w:sz w:val="32"/>
          <w:szCs w:val="32"/>
        </w:rPr>
        <w:t>。</w:t>
      </w:r>
    </w:p>
    <w:p>
      <w:pPr>
        <w:widowControl/>
        <w:spacing w:line="52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公立医院取消药品加成</w:t>
      </w:r>
      <w:r>
        <w:rPr>
          <w:rFonts w:hint="eastAsia" w:ascii="仿宋_GB2312" w:hAnsi="仿宋_GB2312" w:eastAsia="仿宋_GB2312" w:cs="仿宋_GB2312"/>
          <w:sz w:val="32"/>
          <w:szCs w:val="32"/>
        </w:rPr>
        <w:t>”等</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个项目绩效目标实际完成情况。项目全年预算数</w:t>
      </w:r>
      <w:r>
        <w:rPr>
          <w:rFonts w:hint="eastAsia" w:ascii="仿宋_GB2312" w:hAnsi="仿宋_GB2312" w:eastAsia="仿宋_GB2312" w:cs="仿宋_GB2312"/>
          <w:sz w:val="32"/>
          <w:szCs w:val="32"/>
          <w:lang w:val="en-US" w:eastAsia="zh-CN"/>
        </w:rPr>
        <w:t>1.12</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1.12</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加强了本单位的中医药文化建设，进一步提升了中医药文化内涵，彰显中医药文化特色，普及中医药价值理念，构建中医药行为规范，塑造中医药行业特有的人文环境，增强中医药文化影响力和感召力。我单位严格按照制定的项目实施，无主要问题发现。下一步改进措施：继续加大中医药文化内涵建设，普及中医药价值理念。</w:t>
      </w: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tbl>
      <w:tblPr>
        <w:tblStyle w:val="18"/>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widowControl/>
              <w:textAlignment w:val="center"/>
              <w:rPr>
                <w:rFonts w:ascii="黑体" w:hAnsi="黑体" w:eastAsia="黑体" w:cs="宋体"/>
                <w:bCs/>
                <w:color w:val="000000"/>
                <w:kern w:val="0"/>
                <w:sz w:val="36"/>
                <w:szCs w:val="36"/>
              </w:rPr>
            </w:pPr>
          </w:p>
          <w:p>
            <w:pPr>
              <w:pStyle w:val="37"/>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rPr>
              <w:t>项目支出绩效目标完成情况表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w:t>
            </w:r>
            <w:r>
              <w:rPr>
                <w:rFonts w:hint="eastAsia" w:ascii="宋体" w:hAnsi="宋体" w:cs="宋体"/>
                <w:color w:val="000000"/>
                <w:kern w:val="0"/>
                <w:sz w:val="36"/>
                <w:szCs w:val="36"/>
                <w:lang w:val="en-US" w:eastAsia="zh-CN"/>
              </w:rPr>
              <w:t>20</w:t>
            </w:r>
            <w:r>
              <w:rPr>
                <w:rFonts w:hint="eastAsia" w:ascii="宋体" w:hAnsi="宋体" w:cs="宋体"/>
                <w:color w:val="000000"/>
                <w:kern w:val="0"/>
                <w:sz w:val="36"/>
                <w:szCs w:val="36"/>
              </w:rPr>
              <w:t>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30"/>
                <w:szCs w:val="30"/>
              </w:rPr>
            </w:pPr>
            <w:r>
              <w:rPr>
                <w:rFonts w:hint="eastAsia" w:ascii="仿宋_GB2312" w:hAnsi="仿宋_GB2312" w:eastAsia="仿宋_GB2312" w:cs="仿宋_GB2312"/>
                <w:sz w:val="32"/>
                <w:szCs w:val="32"/>
              </w:rPr>
              <w:t>2</w:t>
            </w:r>
            <w:r>
              <w:rPr>
                <w:rFonts w:ascii="仿宋_GB2312" w:hAnsi="仿宋_GB2312" w:eastAsia="仿宋_GB2312" w:cs="仿宋_GB2312"/>
                <w:sz w:val="32"/>
                <w:szCs w:val="32"/>
              </w:rPr>
              <w:t>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基本公卫</w:t>
            </w:r>
            <w:r>
              <w:rPr>
                <w:rFonts w:hint="eastAsia" w:ascii="仿宋_GB2312" w:hAnsi="仿宋_GB2312" w:eastAsia="仿宋_GB2312" w:cs="仿宋_GB2312"/>
                <w:sz w:val="32"/>
                <w:szCs w:val="32"/>
              </w:rPr>
              <w:t>中央资金（</w:t>
            </w:r>
            <w:r>
              <w:rPr>
                <w:rFonts w:hint="eastAsia" w:ascii="仿宋_GB2312" w:hAnsi="仿宋_GB2312" w:eastAsia="仿宋_GB2312" w:cs="仿宋_GB2312"/>
                <w:sz w:val="32"/>
                <w:szCs w:val="32"/>
                <w:lang w:val="en-US" w:eastAsia="zh-CN"/>
              </w:rPr>
              <w:t>白内障患者复明手术</w:t>
            </w:r>
            <w:r>
              <w:rPr>
                <w:rFonts w:hint="eastAsia" w:ascii="仿宋_GB2312" w:hAnsi="仿宋_GB2312" w:eastAsia="仿宋_GB2312" w:cs="仿宋_GB2312"/>
                <w:sz w:val="32"/>
                <w:szCs w:val="32"/>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壤塘县藏医院</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3</w:t>
            </w:r>
            <w:r>
              <w:rPr>
                <w:rFonts w:ascii="宋体" w:hAnsi="宋体" w:cs="宋体"/>
                <w:color w:val="000000"/>
                <w:sz w:val="24"/>
              </w:rPr>
              <w:t>.98</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3</w:t>
            </w:r>
            <w:r>
              <w:rPr>
                <w:rFonts w:ascii="宋体" w:hAnsi="宋体" w:cs="宋体"/>
                <w:color w:val="000000"/>
                <w:sz w:val="24"/>
              </w:rPr>
              <w:t>.98</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3</w:t>
            </w:r>
            <w:r>
              <w:rPr>
                <w:rFonts w:ascii="宋体" w:hAnsi="宋体" w:cs="宋体"/>
                <w:color w:val="000000"/>
                <w:sz w:val="24"/>
              </w:rPr>
              <w:t>.98</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3</w:t>
            </w:r>
            <w:r>
              <w:rPr>
                <w:rFonts w:ascii="宋体" w:hAnsi="宋体" w:cs="宋体"/>
                <w:color w:val="000000"/>
                <w:sz w:val="24"/>
              </w:rPr>
              <w:t>.98</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20" w:lineRule="exact"/>
              <w:jc w:val="left"/>
              <w:textAlignment w:val="center"/>
              <w:rPr>
                <w:rFonts w:hint="eastAsia" w:ascii="宋体" w:hAnsi="宋体" w:eastAsia="宋体" w:cs="仿宋_GB2312"/>
                <w:color w:val="000000"/>
                <w:sz w:val="24"/>
                <w:lang w:eastAsia="zh-CN"/>
              </w:rPr>
            </w:pPr>
            <w:r>
              <w:rPr>
                <w:rFonts w:hint="eastAsia" w:ascii="宋体" w:hAnsi="宋体" w:cs="仿宋_GB2312"/>
                <w:color w:val="000000"/>
                <w:kern w:val="0"/>
                <w:sz w:val="24"/>
                <w:lang w:bidi="ar"/>
              </w:rPr>
              <w:t>1深化了医疗、医保、医药的联动改革；</w:t>
            </w:r>
          </w:p>
          <w:p>
            <w:pPr>
              <w:widowControl/>
              <w:spacing w:line="520" w:lineRule="exact"/>
              <w:jc w:val="left"/>
              <w:textAlignment w:val="center"/>
              <w:rPr>
                <w:rFonts w:ascii="宋体" w:hAnsi="宋体" w:cs="仿宋_GB2312"/>
                <w:color w:val="000000"/>
                <w:sz w:val="24"/>
              </w:rPr>
            </w:pPr>
            <w:r>
              <w:rPr>
                <w:rFonts w:hint="eastAsia" w:ascii="宋体" w:hAnsi="宋体" w:cs="仿宋_GB2312"/>
                <w:color w:val="000000"/>
                <w:kern w:val="0"/>
                <w:sz w:val="24"/>
                <w:lang w:bidi="ar"/>
              </w:rPr>
              <w:t>2协调推进了医疗价格，药品流通，医保支付方式等的变化；</w:t>
            </w:r>
          </w:p>
          <w:p>
            <w:pPr>
              <w:widowControl/>
              <w:jc w:val="center"/>
              <w:textAlignment w:val="center"/>
              <w:rPr>
                <w:rFonts w:ascii="仿宋" w:hAnsi="仿宋" w:eastAsia="仿宋" w:cs="宋体"/>
                <w:color w:val="000000"/>
                <w:sz w:val="24"/>
              </w:rPr>
            </w:pPr>
            <w:r>
              <w:rPr>
                <w:rFonts w:hint="eastAsia" w:ascii="宋体" w:hAnsi="宋体" w:cs="仿宋_GB2312"/>
                <w:color w:val="000000"/>
                <w:kern w:val="0"/>
                <w:sz w:val="24"/>
                <w:lang w:bidi="ar"/>
              </w:rPr>
              <w:t>3为患者节约了就医成本，减轻了群众就医贵的问题</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20" w:lineRule="exact"/>
              <w:jc w:val="left"/>
              <w:textAlignment w:val="center"/>
              <w:rPr>
                <w:rFonts w:hint="eastAsia" w:ascii="宋体" w:hAnsi="宋体" w:eastAsia="宋体" w:cs="仿宋_GB2312"/>
                <w:color w:val="000000"/>
                <w:sz w:val="24"/>
                <w:lang w:eastAsia="zh-CN"/>
              </w:rPr>
            </w:pPr>
            <w:r>
              <w:rPr>
                <w:rFonts w:hint="eastAsia" w:ascii="宋体" w:hAnsi="宋体" w:cs="仿宋_GB2312"/>
                <w:color w:val="000000"/>
                <w:kern w:val="0"/>
                <w:sz w:val="24"/>
                <w:lang w:bidi="ar"/>
              </w:rPr>
              <w:t>1深化了医疗、医保、医药的联动改革；</w:t>
            </w:r>
          </w:p>
          <w:p>
            <w:pPr>
              <w:widowControl/>
              <w:spacing w:line="520" w:lineRule="exact"/>
              <w:jc w:val="left"/>
              <w:textAlignment w:val="center"/>
              <w:rPr>
                <w:rFonts w:ascii="宋体" w:hAnsi="宋体" w:cs="仿宋_GB2312"/>
                <w:color w:val="000000"/>
                <w:sz w:val="24"/>
              </w:rPr>
            </w:pPr>
            <w:r>
              <w:rPr>
                <w:rFonts w:hint="eastAsia" w:ascii="宋体" w:hAnsi="宋体" w:cs="仿宋_GB2312"/>
                <w:color w:val="000000"/>
                <w:kern w:val="0"/>
                <w:sz w:val="24"/>
                <w:lang w:bidi="ar"/>
              </w:rPr>
              <w:t>2协调推进了医疗价格，药品流通，医保支付方式等的变化；</w:t>
            </w:r>
          </w:p>
          <w:p>
            <w:pPr>
              <w:widowControl/>
              <w:jc w:val="center"/>
              <w:textAlignment w:val="center"/>
              <w:rPr>
                <w:rFonts w:ascii="仿宋" w:hAnsi="仿宋" w:eastAsia="仿宋" w:cs="宋体"/>
                <w:color w:val="000000"/>
                <w:sz w:val="24"/>
              </w:rPr>
            </w:pPr>
            <w:r>
              <w:rPr>
                <w:rFonts w:hint="eastAsia" w:ascii="宋体" w:hAnsi="宋体" w:cs="仿宋_GB2312"/>
                <w:color w:val="000000"/>
                <w:kern w:val="0"/>
                <w:sz w:val="24"/>
                <w:lang w:bidi="ar"/>
              </w:rPr>
              <w:t>3为患者节约了就医成本，减轻了群众就医贵的问题</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执行政策的公立医院</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项目实施后提升服务水平与能力</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20</w:t>
            </w:r>
            <w:r>
              <w:rPr>
                <w:rFonts w:hint="eastAsia" w:ascii="宋体" w:hAnsi="宋体" w:cs="宋体"/>
                <w:color w:val="000000"/>
                <w:kern w:val="0"/>
                <w:sz w:val="24"/>
                <w:lang w:val="en-US" w:eastAsia="zh-CN" w:bidi="ar"/>
              </w:rPr>
              <w:t>20</w:t>
            </w:r>
            <w:r>
              <w:rPr>
                <w:rFonts w:hint="eastAsia" w:ascii="宋体" w:hAnsi="宋体" w:cs="宋体"/>
                <w:color w:val="000000"/>
                <w:kern w:val="0"/>
                <w:sz w:val="24"/>
                <w:lang w:bidi="ar"/>
              </w:rPr>
              <w:t>年度完成率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按照下达预算执行指标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kern w:val="0"/>
                <w:sz w:val="24"/>
                <w:lang w:bidi="ar"/>
              </w:rPr>
              <w:t>100</w:t>
            </w:r>
            <w:r>
              <w:rPr>
                <w:rFonts w:hint="eastAsia"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kern w:val="0"/>
                <w:sz w:val="24"/>
                <w:lang w:bidi="ar"/>
              </w:rPr>
              <w:t>100</w:t>
            </w:r>
            <w:r>
              <w:rPr>
                <w:rFonts w:hint="eastAsia" w:ascii="宋体" w:hAnsi="宋体" w:cs="宋体"/>
                <w:color w:val="000000"/>
                <w:kern w:val="0"/>
                <w:sz w:val="24"/>
                <w:lang w:bidi="ar"/>
              </w:rPr>
              <w:t>%</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项目效益</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仿宋"/>
                <w:color w:val="000000"/>
                <w:kern w:val="0"/>
                <w:sz w:val="24"/>
                <w:lang w:bidi="ar"/>
              </w:rPr>
              <w:t>提升就医全州对县级公立医院的满意度，减轻了群众就医贵的问题</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kern w:val="0"/>
                <w:sz w:val="24"/>
                <w:lang w:bidi="ar"/>
              </w:rPr>
              <w:t>100</w:t>
            </w:r>
            <w:r>
              <w:rPr>
                <w:rFonts w:hint="eastAsia"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kern w:val="0"/>
                <w:sz w:val="24"/>
                <w:lang w:bidi="ar"/>
              </w:rPr>
              <w:t>100</w:t>
            </w:r>
            <w:r>
              <w:rPr>
                <w:rFonts w:hint="eastAsia" w:ascii="宋体" w:hAnsi="宋体" w:cs="宋体"/>
                <w:color w:val="000000"/>
                <w:kern w:val="0"/>
                <w:sz w:val="24"/>
                <w:lang w:bidi="ar"/>
              </w:rPr>
              <w:t>%</w:t>
            </w:r>
          </w:p>
        </w:tc>
      </w:tr>
    </w:tbl>
    <w:p>
      <w:pPr>
        <w:rPr>
          <w:rFonts w:ascii="Calibri" w:hAnsi="Calibri"/>
        </w:rPr>
      </w:pPr>
    </w:p>
    <w:p>
      <w:pPr>
        <w:rPr>
          <w:rFonts w:ascii="Calibri" w:hAnsi="Calibri"/>
        </w:rPr>
      </w:pPr>
    </w:p>
    <w:p>
      <w:pPr>
        <w:rPr>
          <w:rFonts w:ascii="Calibri" w:hAnsi="Calibri"/>
        </w:rPr>
      </w:pPr>
    </w:p>
    <w:p>
      <w:pPr>
        <w:rPr>
          <w:rFonts w:ascii="Calibri" w:hAnsi="Calibri"/>
        </w:rPr>
      </w:pPr>
    </w:p>
    <w:p>
      <w:pPr>
        <w:rPr>
          <w:rFonts w:ascii="Calibri" w:hAnsi="Calibri"/>
        </w:rPr>
      </w:pPr>
    </w:p>
    <w:p>
      <w:pPr>
        <w:rPr>
          <w:rFonts w:ascii="Calibri" w:hAnsi="Calibri"/>
        </w:rPr>
      </w:pPr>
    </w:p>
    <w:tbl>
      <w:tblPr>
        <w:tblStyle w:val="18"/>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37"/>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rPr>
              <w:t>项目支出绩效目标完成情况表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w:t>
            </w:r>
            <w:r>
              <w:rPr>
                <w:rFonts w:hint="eastAsia" w:ascii="宋体" w:hAnsi="宋体" w:cs="宋体"/>
                <w:color w:val="000000"/>
                <w:kern w:val="0"/>
                <w:sz w:val="36"/>
                <w:szCs w:val="36"/>
                <w:lang w:val="en-US" w:eastAsia="zh-CN"/>
              </w:rPr>
              <w:t>20</w:t>
            </w:r>
            <w:r>
              <w:rPr>
                <w:rFonts w:hint="eastAsia" w:ascii="宋体" w:hAnsi="宋体" w:cs="宋体"/>
                <w:color w:val="000000"/>
                <w:kern w:val="0"/>
                <w:sz w:val="36"/>
                <w:szCs w:val="36"/>
              </w:rPr>
              <w:t>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30"/>
                <w:szCs w:val="30"/>
              </w:rPr>
            </w:pP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公立医院取消药品加成</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壤塘县藏医院</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1.12</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1.12</w:t>
            </w:r>
          </w:p>
        </w:tc>
      </w:tr>
      <w:tr>
        <w:tblPrEx>
          <w:tblCellMar>
            <w:top w:w="0" w:type="dxa"/>
            <w:left w:w="0" w:type="dxa"/>
            <w:bottom w:w="0" w:type="dxa"/>
            <w:right w:w="0" w:type="dxa"/>
          </w:tblCellMar>
        </w:tblPrEx>
        <w:trPr>
          <w:trHeight w:val="17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1.12</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1.12</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hAnsi="宋体" w:cs="仿宋_GB2312"/>
                <w:color w:val="000000"/>
                <w:kern w:val="0"/>
                <w:sz w:val="24"/>
                <w:lang w:bidi="ar"/>
              </w:rPr>
            </w:pPr>
            <w:r>
              <w:rPr>
                <w:rFonts w:hint="eastAsia" w:ascii="宋体" w:hAnsi="宋体" w:cs="仿宋_GB2312"/>
                <w:color w:val="000000"/>
                <w:kern w:val="0"/>
                <w:sz w:val="24"/>
                <w:lang w:bidi="ar"/>
              </w:rPr>
              <w:t>1加强了本单位医疗服务能力</w:t>
            </w:r>
          </w:p>
          <w:p>
            <w:pPr>
              <w:widowControl/>
              <w:jc w:val="left"/>
              <w:textAlignment w:val="center"/>
              <w:rPr>
                <w:rFonts w:ascii="宋体" w:hAnsi="宋体" w:cs="仿宋_GB2312"/>
                <w:color w:val="000000"/>
                <w:kern w:val="0"/>
                <w:sz w:val="24"/>
                <w:lang w:bidi="ar"/>
              </w:rPr>
            </w:pPr>
            <w:r>
              <w:rPr>
                <w:rFonts w:hint="eastAsia" w:ascii="宋体" w:hAnsi="宋体" w:cs="仿宋_GB2312"/>
                <w:color w:val="000000"/>
                <w:kern w:val="0"/>
                <w:sz w:val="24"/>
                <w:lang w:bidi="ar"/>
              </w:rPr>
              <w:t>2</w:t>
            </w:r>
            <w:r>
              <w:rPr>
                <w:rFonts w:ascii="宋体" w:hAnsi="宋体" w:cs="仿宋_GB2312"/>
                <w:color w:val="000000"/>
                <w:kern w:val="0"/>
                <w:sz w:val="24"/>
                <w:lang w:bidi="ar"/>
              </w:rPr>
              <w:t>.</w:t>
            </w:r>
            <w:r>
              <w:rPr>
                <w:rFonts w:hint="eastAsia" w:ascii="宋体" w:hAnsi="宋体" w:cs="仿宋_GB2312"/>
                <w:color w:val="000000"/>
                <w:kern w:val="0"/>
                <w:sz w:val="24"/>
                <w:lang w:bidi="ar"/>
              </w:rPr>
              <w:t>提升了医疗环境</w:t>
            </w:r>
          </w:p>
          <w:p>
            <w:pPr>
              <w:widowControl/>
              <w:jc w:val="left"/>
              <w:textAlignment w:val="center"/>
              <w:rPr>
                <w:rFonts w:ascii="宋体" w:hAnsi="宋体" w:cs="仿宋_GB2312"/>
                <w:color w:val="000000"/>
                <w:kern w:val="0"/>
                <w:sz w:val="24"/>
                <w:lang w:bidi="ar"/>
              </w:rPr>
            </w:pPr>
            <w:r>
              <w:rPr>
                <w:rFonts w:hint="eastAsia" w:ascii="宋体" w:hAnsi="宋体" w:cs="仿宋_GB2312"/>
                <w:color w:val="000000"/>
                <w:kern w:val="0"/>
                <w:sz w:val="24"/>
                <w:lang w:bidi="ar"/>
              </w:rPr>
              <w:t>3</w:t>
            </w:r>
            <w:r>
              <w:rPr>
                <w:rFonts w:ascii="宋体" w:hAnsi="宋体" w:cs="仿宋_GB2312"/>
                <w:color w:val="000000"/>
                <w:kern w:val="0"/>
                <w:sz w:val="24"/>
                <w:lang w:bidi="ar"/>
              </w:rPr>
              <w:t>.</w:t>
            </w:r>
            <w:r>
              <w:rPr>
                <w:rFonts w:hint="eastAsia" w:ascii="宋体" w:hAnsi="宋体" w:cs="仿宋_GB2312"/>
                <w:color w:val="000000"/>
                <w:kern w:val="0"/>
                <w:sz w:val="24"/>
                <w:lang w:bidi="ar"/>
              </w:rPr>
              <w:t>保障患者进一步的医疗条件</w:t>
            </w:r>
          </w:p>
          <w:p>
            <w:pPr>
              <w:widowControl/>
              <w:jc w:val="left"/>
              <w:textAlignment w:val="center"/>
              <w:rPr>
                <w:rFonts w:ascii="宋体" w:hAnsi="宋体" w:cs="仿宋_GB2312"/>
                <w:color w:val="000000"/>
                <w:kern w:val="0"/>
                <w:sz w:val="24"/>
                <w:lang w:bidi="ar"/>
              </w:rPr>
            </w:pPr>
            <w:r>
              <w:rPr>
                <w:rFonts w:hint="eastAsia" w:ascii="宋体" w:hAnsi="宋体" w:cs="仿宋_GB2312"/>
                <w:color w:val="000000"/>
                <w:kern w:val="0"/>
                <w:sz w:val="24"/>
                <w:lang w:bidi="ar"/>
              </w:rPr>
              <w:t>4</w:t>
            </w:r>
            <w:r>
              <w:rPr>
                <w:rFonts w:ascii="宋体" w:hAnsi="宋体" w:cs="仿宋_GB2312"/>
                <w:color w:val="000000"/>
                <w:kern w:val="0"/>
                <w:sz w:val="24"/>
                <w:lang w:bidi="ar"/>
              </w:rPr>
              <w:t>.</w:t>
            </w:r>
            <w:r>
              <w:rPr>
                <w:rFonts w:hint="eastAsia" w:ascii="宋体" w:hAnsi="宋体" w:cs="仿宋_GB2312"/>
                <w:color w:val="000000"/>
                <w:kern w:val="0"/>
                <w:sz w:val="24"/>
                <w:lang w:bidi="ar"/>
              </w:rPr>
              <w:t>促进民族医疗事业的发展。</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hAnsi="宋体" w:cs="仿宋_GB2312"/>
                <w:color w:val="000000"/>
                <w:kern w:val="0"/>
                <w:sz w:val="24"/>
                <w:lang w:bidi="ar"/>
              </w:rPr>
            </w:pPr>
            <w:r>
              <w:rPr>
                <w:rFonts w:hint="eastAsia" w:ascii="宋体" w:hAnsi="宋体" w:cs="仿宋_GB2312"/>
                <w:color w:val="000000"/>
                <w:kern w:val="0"/>
                <w:sz w:val="24"/>
                <w:lang w:bidi="ar"/>
              </w:rPr>
              <w:t>1加强了本单位医疗服务能力</w:t>
            </w:r>
          </w:p>
          <w:p>
            <w:pPr>
              <w:widowControl/>
              <w:jc w:val="left"/>
              <w:textAlignment w:val="center"/>
              <w:rPr>
                <w:rFonts w:ascii="宋体" w:hAnsi="宋体" w:cs="仿宋_GB2312"/>
                <w:color w:val="000000"/>
                <w:kern w:val="0"/>
                <w:sz w:val="24"/>
                <w:lang w:bidi="ar"/>
              </w:rPr>
            </w:pPr>
            <w:r>
              <w:rPr>
                <w:rFonts w:hint="eastAsia" w:ascii="宋体" w:hAnsi="宋体" w:cs="仿宋_GB2312"/>
                <w:color w:val="000000"/>
                <w:kern w:val="0"/>
                <w:sz w:val="24"/>
                <w:lang w:bidi="ar"/>
              </w:rPr>
              <w:t>2</w:t>
            </w:r>
            <w:r>
              <w:rPr>
                <w:rFonts w:ascii="宋体" w:hAnsi="宋体" w:cs="仿宋_GB2312"/>
                <w:color w:val="000000"/>
                <w:kern w:val="0"/>
                <w:sz w:val="24"/>
                <w:lang w:bidi="ar"/>
              </w:rPr>
              <w:t>.</w:t>
            </w:r>
            <w:r>
              <w:rPr>
                <w:rFonts w:hint="eastAsia" w:ascii="宋体" w:hAnsi="宋体" w:cs="仿宋_GB2312"/>
                <w:color w:val="000000"/>
                <w:kern w:val="0"/>
                <w:sz w:val="24"/>
                <w:lang w:bidi="ar"/>
              </w:rPr>
              <w:t>提升了医疗环境</w:t>
            </w:r>
          </w:p>
          <w:p>
            <w:pPr>
              <w:widowControl/>
              <w:jc w:val="left"/>
              <w:textAlignment w:val="center"/>
              <w:rPr>
                <w:rFonts w:ascii="宋体" w:hAnsi="宋体" w:cs="仿宋_GB2312"/>
                <w:color w:val="000000"/>
                <w:kern w:val="0"/>
                <w:sz w:val="24"/>
                <w:lang w:bidi="ar"/>
              </w:rPr>
            </w:pPr>
            <w:r>
              <w:rPr>
                <w:rFonts w:hint="eastAsia" w:ascii="宋体" w:hAnsi="宋体" w:cs="仿宋_GB2312"/>
                <w:color w:val="000000"/>
                <w:kern w:val="0"/>
                <w:sz w:val="24"/>
                <w:lang w:bidi="ar"/>
              </w:rPr>
              <w:t>3</w:t>
            </w:r>
            <w:r>
              <w:rPr>
                <w:rFonts w:ascii="宋体" w:hAnsi="宋体" w:cs="仿宋_GB2312"/>
                <w:color w:val="000000"/>
                <w:kern w:val="0"/>
                <w:sz w:val="24"/>
                <w:lang w:bidi="ar"/>
              </w:rPr>
              <w:t>.</w:t>
            </w:r>
            <w:r>
              <w:rPr>
                <w:rFonts w:hint="eastAsia" w:ascii="宋体" w:hAnsi="宋体" w:cs="仿宋_GB2312"/>
                <w:color w:val="000000"/>
                <w:kern w:val="0"/>
                <w:sz w:val="24"/>
                <w:lang w:bidi="ar"/>
              </w:rPr>
              <w:t>保障患者进一步的医疗条件</w:t>
            </w:r>
          </w:p>
          <w:p>
            <w:pPr>
              <w:widowControl/>
              <w:jc w:val="left"/>
              <w:textAlignment w:val="center"/>
              <w:rPr>
                <w:rFonts w:ascii="仿宋" w:hAnsi="仿宋" w:eastAsia="仿宋" w:cs="宋体"/>
                <w:color w:val="000000"/>
                <w:sz w:val="24"/>
              </w:rPr>
            </w:pPr>
            <w:r>
              <w:rPr>
                <w:rFonts w:hint="eastAsia" w:ascii="宋体" w:hAnsi="宋体" w:cs="仿宋_GB2312"/>
                <w:color w:val="000000"/>
                <w:kern w:val="0"/>
                <w:sz w:val="24"/>
                <w:lang w:bidi="ar"/>
              </w:rPr>
              <w:t>4</w:t>
            </w:r>
            <w:r>
              <w:rPr>
                <w:rFonts w:ascii="宋体" w:hAnsi="宋体" w:cs="仿宋_GB2312"/>
                <w:color w:val="000000"/>
                <w:kern w:val="0"/>
                <w:sz w:val="24"/>
                <w:lang w:bidi="ar"/>
              </w:rPr>
              <w:t>.</w:t>
            </w:r>
            <w:r>
              <w:rPr>
                <w:rFonts w:hint="eastAsia" w:ascii="宋体" w:hAnsi="宋体" w:cs="仿宋_GB2312"/>
                <w:color w:val="000000"/>
                <w:kern w:val="0"/>
                <w:sz w:val="24"/>
                <w:lang w:bidi="ar"/>
              </w:rPr>
              <w:t>促进民族医疗事业的发展。</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购买藏药浴设备一套，</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项目实施后提升服务水平与能力</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20</w:t>
            </w:r>
            <w:r>
              <w:rPr>
                <w:rFonts w:hint="eastAsia" w:ascii="宋体" w:hAnsi="宋体" w:cs="宋体"/>
                <w:color w:val="000000"/>
                <w:kern w:val="0"/>
                <w:sz w:val="24"/>
                <w:lang w:val="en-US" w:eastAsia="zh-CN" w:bidi="ar"/>
              </w:rPr>
              <w:t>20</w:t>
            </w:r>
            <w:r>
              <w:rPr>
                <w:rFonts w:hint="eastAsia" w:ascii="宋体" w:hAnsi="宋体" w:cs="宋体"/>
                <w:color w:val="000000"/>
                <w:kern w:val="0"/>
                <w:sz w:val="24"/>
                <w:lang w:bidi="ar"/>
              </w:rPr>
              <w:t>年度完成率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项目效益</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hAnsi="宋体" w:cs="仿宋_GB2312"/>
                <w:color w:val="000000"/>
                <w:kern w:val="0"/>
                <w:sz w:val="24"/>
                <w:lang w:bidi="ar"/>
              </w:rPr>
            </w:pPr>
            <w:r>
              <w:rPr>
                <w:rFonts w:hint="eastAsia" w:ascii="宋体" w:hAnsi="宋体" w:cs="仿宋_GB2312"/>
                <w:color w:val="000000"/>
                <w:kern w:val="0"/>
                <w:sz w:val="24"/>
                <w:lang w:bidi="ar"/>
              </w:rPr>
              <w:t>加强了本单位医疗服务能力，提升了医疗环境，保障患者进一步的医疗条件，促进民族医疗事业的发展。</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kern w:val="0"/>
                <w:sz w:val="24"/>
                <w:lang w:bidi="ar"/>
              </w:rPr>
              <w:t>100</w:t>
            </w:r>
            <w:r>
              <w:rPr>
                <w:rFonts w:hint="eastAsia"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kern w:val="0"/>
                <w:sz w:val="24"/>
                <w:lang w:bidi="ar"/>
              </w:rPr>
              <w:t>100</w:t>
            </w:r>
            <w:r>
              <w:rPr>
                <w:rFonts w:hint="eastAsia" w:ascii="宋体" w:hAnsi="宋体" w:cs="宋体"/>
                <w:color w:val="000000"/>
                <w:kern w:val="0"/>
                <w:sz w:val="24"/>
                <w:lang w:bidi="ar"/>
              </w:rPr>
              <w:t>%</w:t>
            </w:r>
          </w:p>
        </w:tc>
      </w:tr>
    </w:tbl>
    <w:p>
      <w:pPr>
        <w:spacing w:line="580" w:lineRule="exact"/>
        <w:ind w:left="630"/>
        <w:rPr>
          <w:rFonts w:ascii="仿宋_GB2312" w:hAnsi="仿宋_GB2312" w:eastAsia="仿宋_GB2312" w:cs="仿宋_GB2312"/>
          <w:sz w:val="32"/>
          <w:szCs w:val="32"/>
        </w:rPr>
      </w:pP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4"/>
        </w:numPr>
        <w:spacing w:line="600" w:lineRule="exact"/>
        <w:ind w:firstLine="660" w:firstLineChars="150"/>
        <w:jc w:val="center"/>
        <w:outlineLvl w:val="0"/>
        <w:rPr>
          <w:rStyle w:val="22"/>
          <w:rFonts w:ascii="黑体" w:hAnsi="黑体" w:eastAsia="黑体"/>
          <w:b w:val="0"/>
        </w:rPr>
      </w:pPr>
      <w:bookmarkStart w:id="105" w:name="_Toc15396613"/>
      <w:bookmarkStart w:id="106" w:name="_Toc15377225"/>
      <w:bookmarkStart w:id="107" w:name="_Toc18547"/>
      <w:bookmarkStart w:id="108" w:name="_Toc79163629"/>
      <w:r>
        <w:rPr>
          <w:rFonts w:hint="eastAsia" w:ascii="黑体" w:hAnsi="黑体" w:eastAsia="黑体"/>
          <w:color w:val="000000"/>
          <w:sz w:val="44"/>
          <w:szCs w:val="44"/>
        </w:rPr>
        <w:t>名</w:t>
      </w:r>
      <w:r>
        <w:rPr>
          <w:rStyle w:val="22"/>
          <w:rFonts w:hint="eastAsia" w:ascii="黑体" w:hAnsi="黑体" w:eastAsia="黑体"/>
          <w:b w:val="0"/>
        </w:rPr>
        <w:t>词解释</w:t>
      </w:r>
      <w:bookmarkEnd w:id="105"/>
      <w:bookmarkEnd w:id="106"/>
      <w:bookmarkEnd w:id="107"/>
      <w:bookmarkEnd w:id="108"/>
    </w:p>
    <w:p>
      <w:pPr>
        <w:spacing w:line="600" w:lineRule="exact"/>
        <w:jc w:val="left"/>
        <w:rPr>
          <w:rFonts w:ascii="宋体"/>
          <w:b/>
          <w:color w:val="000000"/>
          <w:sz w:val="44"/>
          <w:szCs w:val="44"/>
        </w:rPr>
      </w:pPr>
    </w:p>
    <w:p>
      <w:pPr>
        <w:pStyle w:val="32"/>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32"/>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32"/>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32"/>
        <w:spacing w:line="560" w:lineRule="exact"/>
        <w:ind w:firstLine="640" w:firstLineChars="200"/>
        <w:rPr>
          <w:rFonts w:ascii="仿宋_GB2312" w:hAnsi="仿宋_GB2312" w:eastAsia="仿宋_GB2312" w:cs="仿宋_GB2312"/>
          <w:sz w:val="32"/>
          <w:szCs w:val="32"/>
        </w:rPr>
      </w:pPr>
      <w:r>
        <w:rPr>
          <w:rFonts w:ascii="仿宋_GB2312" w:eastAsia="仿宋_GB2312"/>
          <w:sz w:val="32"/>
          <w:szCs w:val="32"/>
        </w:rPr>
        <w:t>4.</w:t>
      </w:r>
      <w:r>
        <w:rPr>
          <w:rFonts w:hint="eastAsia" w:ascii="仿宋_GB2312" w:eastAsia="仿宋_GB2312"/>
          <w:sz w:val="32"/>
          <w:szCs w:val="32"/>
        </w:rPr>
        <w:t>其他收入：</w:t>
      </w:r>
      <w:r>
        <w:rPr>
          <w:rFonts w:hint="eastAsia" w:ascii="仿宋_GB2312" w:hAnsi="仿宋_GB2312" w:eastAsia="仿宋_GB2312" w:cs="仿宋_GB2312"/>
          <w:sz w:val="32"/>
          <w:szCs w:val="32"/>
        </w:rPr>
        <w:t>指除上述“财政拨款收入”、“事业收入”、“经营收入”等以外的收入。</w:t>
      </w:r>
    </w:p>
    <w:p>
      <w:pPr>
        <w:pStyle w:val="32"/>
        <w:spacing w:line="560" w:lineRule="exact"/>
        <w:ind w:firstLine="640" w:firstLineChars="200"/>
        <w:rPr>
          <w:rFonts w:hint="eastAsia" w:ascii="仿宋_GB2312" w:eastAsia="仿宋_GB2312"/>
          <w:sz w:val="32"/>
          <w:szCs w:val="32"/>
          <w:lang w:eastAsia="zh-CN"/>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32"/>
        <w:spacing w:line="560" w:lineRule="exact"/>
        <w:ind w:firstLine="640" w:firstLineChars="200"/>
        <w:rPr>
          <w:rFonts w:hint="eastAsia" w:ascii="仿宋_GB2312" w:eastAsia="仿宋_GB2312"/>
          <w:sz w:val="32"/>
          <w:szCs w:val="32"/>
          <w:lang w:eastAsia="zh-CN"/>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p>
    <w:p>
      <w:pPr>
        <w:pStyle w:val="32"/>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32"/>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spacing w:line="560" w:lineRule="exact"/>
        <w:ind w:firstLine="640" w:firstLineChars="200"/>
        <w:rPr>
          <w:rFonts w:ascii="仿宋_GB2312" w:eastAsia="仿宋_GB2312"/>
          <w:color w:val="000000"/>
          <w:sz w:val="32"/>
          <w:szCs w:val="32"/>
        </w:rPr>
      </w:pPr>
      <w:r>
        <w:rPr>
          <w:rFonts w:hint="eastAsia" w:ascii="仿宋_GB2312" w:hAnsi="Calibri" w:eastAsia="仿宋_GB2312" w:cs="仿宋"/>
          <w:color w:val="000000"/>
          <w:kern w:val="0"/>
          <w:sz w:val="32"/>
          <w:szCs w:val="32"/>
        </w:rPr>
        <w:t>9</w:t>
      </w:r>
      <w:r>
        <w:rPr>
          <w:rFonts w:ascii="仿宋_GB2312" w:hAnsi="Calibri" w:eastAsia="仿宋_GB2312" w:cs="仿宋"/>
          <w:color w:val="000000"/>
          <w:kern w:val="0"/>
          <w:sz w:val="32"/>
          <w:szCs w:val="32"/>
        </w:rPr>
        <w:t>.</w:t>
      </w:r>
      <w:r>
        <w:rPr>
          <w:rFonts w:hint="eastAsia" w:ascii="仿宋_GB2312" w:hAnsi="Calibri" w:eastAsia="仿宋_GB2312" w:cs="仿宋"/>
          <w:color w:val="000000"/>
          <w:kern w:val="0"/>
          <w:sz w:val="32"/>
          <w:szCs w:val="32"/>
        </w:rPr>
        <w:t>机关事业单位基本养老保险缴费支出（2080505）：反映机关事业单位实</w:t>
      </w:r>
      <w:r>
        <w:rPr>
          <w:rFonts w:hint="eastAsia" w:ascii="仿宋_GB2312" w:eastAsia="仿宋_GB2312"/>
          <w:color w:val="000000"/>
          <w:sz w:val="32"/>
          <w:szCs w:val="32"/>
        </w:rPr>
        <w:t>施养老保险制度由单位缴纳的基本养老保险费支出。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10.机关事业单位职业年金缴费支出（2080506）：反映机关事业单位实施养老保险制度由单位实际缴纳的职业年金支出。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12</w:t>
      </w:r>
      <w:r>
        <w:rPr>
          <w:rFonts w:ascii="仿宋_GB2312" w:eastAsia="仿宋_GB2312"/>
          <w:color w:val="000000"/>
          <w:sz w:val="32"/>
          <w:szCs w:val="32"/>
        </w:rPr>
        <w:t>.</w:t>
      </w:r>
      <w:r>
        <w:rPr>
          <w:rFonts w:hint="eastAsia" w:ascii="仿宋_GB2312" w:eastAsia="仿宋_GB2312"/>
          <w:color w:val="000000"/>
          <w:sz w:val="32"/>
          <w:szCs w:val="32"/>
        </w:rPr>
        <w:t>卫生健康支出（210）：反应卫生健康方面的支出。</w:t>
      </w:r>
    </w:p>
    <w:p>
      <w:pPr>
        <w:spacing w:line="560" w:lineRule="exact"/>
        <w:ind w:firstLine="640" w:firstLineChars="20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rPr>
        <w:t>3</w:t>
      </w:r>
      <w:r>
        <w:rPr>
          <w:rFonts w:ascii="仿宋_GB2312" w:eastAsia="仿宋_GB2312"/>
          <w:color w:val="000000"/>
          <w:sz w:val="32"/>
          <w:szCs w:val="32"/>
        </w:rPr>
        <w:t>.</w:t>
      </w:r>
      <w:r>
        <w:rPr>
          <w:rFonts w:hint="eastAsia" w:ascii="仿宋_GB2312" w:eastAsia="仿宋_GB2312"/>
          <w:color w:val="000000"/>
          <w:sz w:val="32"/>
          <w:szCs w:val="32"/>
        </w:rPr>
        <w:t>疾病预防控制机构（2100401）：</w:t>
      </w:r>
      <w:r>
        <w:rPr>
          <w:rFonts w:hint="eastAsia" w:ascii="仿宋_GB2312" w:hAnsi="仿宋_GB2312" w:eastAsia="仿宋_GB2312" w:cs="仿宋_GB2312"/>
          <w:color w:val="000000" w:themeColor="text1"/>
          <w:sz w:val="32"/>
          <w:szCs w:val="32"/>
          <w14:textFill>
            <w14:solidFill>
              <w14:schemeClr w14:val="tx1"/>
            </w14:solidFill>
          </w14:textFill>
        </w:rPr>
        <w:t>反应卫生健康部门所属疾病预防控制机构的支出。</w:t>
      </w:r>
    </w:p>
    <w:p>
      <w:pPr>
        <w:ind w:firstLine="640" w:firstLineChars="200"/>
        <w:rPr>
          <w:rFonts w:ascii="仿宋_GB2312" w:eastAsia="仿宋_GB2312"/>
          <w:color w:val="000000"/>
          <w:sz w:val="32"/>
          <w:szCs w:val="32"/>
        </w:rPr>
      </w:pPr>
      <w:r>
        <w:rPr>
          <w:rFonts w:ascii="仿宋_GB2312" w:eastAsia="仿宋_GB2312"/>
          <w:color w:val="000000"/>
          <w:sz w:val="32"/>
          <w:szCs w:val="32"/>
        </w:rPr>
        <w:t>14.</w:t>
      </w:r>
      <w:r>
        <w:rPr>
          <w:rFonts w:hint="eastAsia" w:ascii="仿宋_GB2312" w:eastAsia="仿宋_GB2312"/>
          <w:color w:val="000000"/>
          <w:sz w:val="32"/>
          <w:szCs w:val="32"/>
        </w:rPr>
        <w:t>重大公共卫生专项（2100409）：反应重大疾病预防控制等重大公共卫生服务项目支出。</w:t>
      </w:r>
    </w:p>
    <w:p>
      <w:pPr>
        <w:ind w:firstLine="640" w:firstLineChars="200"/>
        <w:rPr>
          <w:rFonts w:ascii="仿宋_GB2312" w:eastAsia="仿宋_GB2312"/>
          <w:color w:val="000000"/>
          <w:sz w:val="32"/>
          <w:szCs w:val="32"/>
        </w:rPr>
      </w:pPr>
      <w:r>
        <w:rPr>
          <w:rFonts w:ascii="仿宋_GB2312" w:eastAsia="仿宋_GB2312"/>
          <w:color w:val="000000"/>
          <w:sz w:val="32"/>
          <w:szCs w:val="32"/>
        </w:rPr>
        <w:t>15.</w:t>
      </w:r>
      <w:r>
        <w:rPr>
          <w:rFonts w:hint="eastAsia" w:ascii="仿宋_GB2312" w:eastAsia="仿宋_GB2312"/>
          <w:color w:val="000000"/>
          <w:sz w:val="32"/>
          <w:szCs w:val="32"/>
        </w:rPr>
        <w:t>基本公共卫生服务（2100408）：反应基本公共卫生服务支出。</w:t>
      </w:r>
    </w:p>
    <w:p>
      <w:pPr>
        <w:ind w:firstLine="640" w:firstLineChars="200"/>
        <w:rPr>
          <w:rFonts w:ascii="仿宋_GB2312" w:eastAsia="仿宋_GB2312"/>
          <w:color w:val="000000"/>
          <w:sz w:val="32"/>
          <w:szCs w:val="32"/>
        </w:rPr>
      </w:pPr>
      <w:r>
        <w:rPr>
          <w:rFonts w:ascii="仿宋_GB2312" w:eastAsia="仿宋_GB2312"/>
          <w:color w:val="000000"/>
          <w:sz w:val="32"/>
          <w:szCs w:val="32"/>
        </w:rPr>
        <w:t>16.</w:t>
      </w:r>
      <w:r>
        <w:rPr>
          <w:rFonts w:hint="eastAsia" w:ascii="仿宋_GB2312" w:eastAsia="仿宋_GB2312"/>
          <w:color w:val="000000"/>
          <w:sz w:val="32"/>
          <w:szCs w:val="32"/>
        </w:rPr>
        <w:t>其他公共卫生支出（2100499）：反应除其他专业公共卫生、基本公共卫生、重大公共卫生、突发公共卫生项目以外的其他用于公共卫生方面的支出。</w:t>
      </w:r>
    </w:p>
    <w:p>
      <w:pPr>
        <w:ind w:firstLine="640" w:firstLineChars="200"/>
        <w:rPr>
          <w:rFonts w:ascii="仿宋_GB2312" w:eastAsia="仿宋_GB2312"/>
          <w:color w:val="000000"/>
          <w:sz w:val="32"/>
          <w:szCs w:val="32"/>
        </w:rPr>
      </w:pPr>
      <w:r>
        <w:rPr>
          <w:rFonts w:ascii="仿宋_GB2312" w:eastAsia="仿宋_GB2312"/>
          <w:color w:val="000000"/>
          <w:sz w:val="32"/>
          <w:szCs w:val="32"/>
        </w:rPr>
        <w:t>17.</w:t>
      </w:r>
      <w:r>
        <w:rPr>
          <w:rFonts w:hint="eastAsia" w:ascii="仿宋_GB2312" w:eastAsia="仿宋_GB2312"/>
          <w:color w:val="000000"/>
          <w:sz w:val="32"/>
          <w:szCs w:val="32"/>
        </w:rPr>
        <w:t>事业单位医疗（2101102）：反应财政部门安排的事业单位基本医疗保险缴费经费，未参加医疗保险的事业单位的公费医疗经费，按国家规定享受离退休人员待遇的医疗经费。</w:t>
      </w:r>
    </w:p>
    <w:p>
      <w:pPr>
        <w:spacing w:line="560" w:lineRule="exact"/>
        <w:ind w:firstLine="640" w:firstLineChars="200"/>
        <w:rPr>
          <w:rFonts w:ascii="仿宋_GB2312" w:eastAsia="仿宋_GB2312"/>
          <w:color w:val="000000"/>
          <w:sz w:val="32"/>
          <w:szCs w:val="32"/>
        </w:rPr>
      </w:pPr>
      <w:r>
        <w:rPr>
          <w:rFonts w:ascii="仿宋_GB2312" w:eastAsia="仿宋_GB2312"/>
          <w:color w:val="000000"/>
          <w:sz w:val="32"/>
          <w:szCs w:val="32"/>
        </w:rPr>
        <w:t>18.</w:t>
      </w:r>
      <w:r>
        <w:rPr>
          <w:rFonts w:hint="eastAsia" w:ascii="仿宋_GB2312" w:eastAsia="仿宋_GB2312"/>
          <w:color w:val="000000"/>
          <w:sz w:val="32"/>
          <w:szCs w:val="32"/>
        </w:rPr>
        <w:t>其他卫生健康支出（2109901）：</w:t>
      </w:r>
      <w:r>
        <w:rPr>
          <w:rFonts w:hint="eastAsia" w:ascii="仿宋_GB2312" w:hAnsi="仿宋_GB2312" w:eastAsia="仿宋_GB2312" w:cs="仿宋_GB2312"/>
          <w:color w:val="000000" w:themeColor="text1"/>
          <w:sz w:val="32"/>
          <w:szCs w:val="32"/>
          <w14:textFill>
            <w14:solidFill>
              <w14:schemeClr w14:val="tx1"/>
            </w14:solidFill>
          </w14:textFill>
        </w:rPr>
        <w:t>反应除事业单位医疗、基本医疗保险基金、医疗救助、优抚对象医疗等以外其他用于医疗卫生与计划生育方面的支出。</w:t>
      </w:r>
    </w:p>
    <w:p>
      <w:pPr>
        <w:ind w:firstLine="640" w:firstLineChars="200"/>
        <w:rPr>
          <w:rFonts w:ascii="仿宋_GB2312" w:eastAsia="仿宋_GB2312"/>
          <w:color w:val="000000"/>
          <w:sz w:val="32"/>
          <w:szCs w:val="32"/>
        </w:rPr>
      </w:pPr>
      <w:r>
        <w:rPr>
          <w:rFonts w:ascii="仿宋_GB2312" w:eastAsia="仿宋_GB2312"/>
          <w:color w:val="000000"/>
          <w:sz w:val="32"/>
          <w:szCs w:val="32"/>
        </w:rPr>
        <w:t>19.</w:t>
      </w:r>
      <w:r>
        <w:rPr>
          <w:rFonts w:hint="eastAsia" w:ascii="仿宋_GB2312" w:eastAsia="仿宋_GB2312"/>
          <w:color w:val="000000"/>
          <w:sz w:val="32"/>
          <w:szCs w:val="32"/>
        </w:rPr>
        <w:t>住房公积金（2210201）：反应行政事业单位按人力资源和社会保障部、财政部规定的基本工资和津贴补贴以及规定比例为职工缴纳的住房公积金。</w:t>
      </w:r>
    </w:p>
    <w:p>
      <w:pPr>
        <w:ind w:firstLine="640" w:firstLineChars="20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购房补贴（2210203）：反应按房改政策规定，行政事业单位向符合条件职工（喊离退休人员）、军队（含武警）向转役复原离退休人员发放的用于购买住房的补贴。</w:t>
      </w:r>
    </w:p>
    <w:p>
      <w:pPr>
        <w:ind w:firstLine="640" w:firstLineChars="200"/>
        <w:rPr>
          <w:rFonts w:ascii="仿宋_GB2312" w:eastAsia="仿宋_GB2312"/>
          <w:color w:val="000000"/>
          <w:sz w:val="32"/>
          <w:szCs w:val="32"/>
        </w:rPr>
      </w:pPr>
      <w:r>
        <w:rPr>
          <w:rFonts w:ascii="仿宋_GB2312" w:eastAsia="仿宋_GB2312"/>
          <w:color w:val="000000"/>
          <w:sz w:val="32"/>
          <w:szCs w:val="32"/>
        </w:rPr>
        <w:t>21.</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ascii="仿宋_GB2312" w:eastAsia="仿宋_GB2312"/>
          <w:color w:val="000000"/>
          <w:sz w:val="32"/>
          <w:szCs w:val="32"/>
        </w:rPr>
        <w:t>22.</w:t>
      </w:r>
      <w:r>
        <w:rPr>
          <w:rFonts w:hint="eastAsia" w:ascii="仿宋_GB2312" w:eastAsia="仿宋_GB2312"/>
          <w:color w:val="000000"/>
          <w:sz w:val="32"/>
          <w:szCs w:val="32"/>
        </w:rPr>
        <w:t>项目支出：指在基本支出之外为完成特定行政任务和事业发展目标所发生的支出。</w:t>
      </w:r>
    </w:p>
    <w:p>
      <w:pPr>
        <w:pStyle w:val="32"/>
        <w:spacing w:line="560" w:lineRule="exact"/>
        <w:ind w:firstLine="640" w:firstLineChars="200"/>
        <w:rPr>
          <w:rFonts w:ascii="仿宋_GB2312" w:eastAsia="仿宋_GB2312"/>
          <w:sz w:val="32"/>
          <w:szCs w:val="32"/>
        </w:rPr>
      </w:pPr>
      <w:r>
        <w:rPr>
          <w:rFonts w:ascii="仿宋_GB2312" w:eastAsia="仿宋_GB2312"/>
          <w:sz w:val="32"/>
          <w:szCs w:val="32"/>
        </w:rPr>
        <w:t>23.</w:t>
      </w:r>
      <w:r>
        <w:rPr>
          <w:rFonts w:hint="eastAsia" w:ascii="仿宋_GB2312" w:hAnsi="Times New Roman" w:eastAsia="仿宋_GB2312" w:cs="Times New Roman"/>
          <w:kern w:val="2"/>
          <w:sz w:val="32"/>
          <w:szCs w:val="32"/>
        </w:rPr>
        <w:t>“三公”经费：指部门用财政拨款安排的因公出国（境）费、公务用车购置及</w:t>
      </w:r>
      <w:r>
        <w:rPr>
          <w:rFonts w:hint="eastAsia" w:ascii="仿宋_GB2312" w:eastAsia="仿宋_GB2312"/>
          <w:sz w:val="32"/>
          <w:szCs w:val="32"/>
        </w:rPr>
        <w:t>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2"/>
        <w:spacing w:line="560" w:lineRule="exact"/>
        <w:ind w:firstLine="640" w:firstLineChars="200"/>
        <w:rPr>
          <w:rFonts w:hAnsi="仿宋"/>
          <w:b/>
          <w:sz w:val="32"/>
          <w:szCs w:val="32"/>
        </w:rPr>
      </w:pPr>
      <w:r>
        <w:rPr>
          <w:rFonts w:ascii="仿宋_GB2312" w:eastAsia="仿宋_GB2312"/>
          <w:sz w:val="32"/>
          <w:szCs w:val="32"/>
        </w:rPr>
        <w:t>24.</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22"/>
          <w:rFonts w:ascii="黑体" w:hAnsi="黑体" w:eastAsia="黑体"/>
          <w:b w:val="0"/>
        </w:rPr>
      </w:pPr>
      <w:bookmarkStart w:id="109" w:name="_Toc15377226"/>
      <w:r>
        <w:rPr>
          <w:rFonts w:ascii="宋体"/>
          <w:b/>
          <w:color w:val="000000"/>
          <w:sz w:val="44"/>
          <w:szCs w:val="44"/>
        </w:rPr>
        <w:br w:type="page"/>
      </w:r>
      <w:bookmarkStart w:id="110" w:name="_Toc2910"/>
      <w:bookmarkStart w:id="111" w:name="_Toc79163630"/>
      <w:bookmarkStart w:id="112" w:name="_Toc15396614"/>
      <w:r>
        <w:rPr>
          <w:rFonts w:hint="eastAsia" w:ascii="黑体" w:hAnsi="黑体" w:eastAsia="黑体"/>
          <w:color w:val="000000"/>
          <w:sz w:val="44"/>
          <w:szCs w:val="44"/>
        </w:rPr>
        <w:t>第</w:t>
      </w:r>
      <w:r>
        <w:rPr>
          <w:rStyle w:val="22"/>
          <w:rFonts w:hint="eastAsia" w:ascii="黑体" w:hAnsi="黑体" w:eastAsia="黑体"/>
          <w:b w:val="0"/>
        </w:rPr>
        <w:t>四部分</w:t>
      </w:r>
      <w:r>
        <w:rPr>
          <w:rStyle w:val="22"/>
          <w:rFonts w:ascii="黑体" w:hAnsi="黑体" w:eastAsia="黑体"/>
          <w:b w:val="0"/>
        </w:rPr>
        <w:t xml:space="preserve"> </w:t>
      </w:r>
      <w:r>
        <w:rPr>
          <w:rStyle w:val="22"/>
          <w:rFonts w:hint="eastAsia" w:ascii="黑体" w:hAnsi="黑体" w:eastAsia="黑体"/>
          <w:b w:val="0"/>
        </w:rPr>
        <w:t>附件</w:t>
      </w:r>
      <w:bookmarkEnd w:id="110"/>
      <w:bookmarkEnd w:id="111"/>
      <w:bookmarkEnd w:id="112"/>
    </w:p>
    <w:p>
      <w:pPr>
        <w:spacing w:line="600" w:lineRule="exact"/>
        <w:jc w:val="left"/>
        <w:outlineLvl w:val="0"/>
        <w:rPr>
          <w:rFonts w:ascii="方正小标宋简体" w:hAnsi="方正小标宋简体" w:eastAsia="方正小标宋简体" w:cs="方正小标宋简体"/>
          <w:sz w:val="32"/>
          <w:szCs w:val="32"/>
        </w:rPr>
      </w:pPr>
      <w:bookmarkStart w:id="113" w:name="_Toc5820"/>
      <w:bookmarkStart w:id="114" w:name="_Toc79163631"/>
      <w:r>
        <w:rPr>
          <w:rFonts w:hint="eastAsia" w:ascii="黑体" w:hAnsi="黑体" w:eastAsia="黑体" w:cs="黑体"/>
          <w:sz w:val="32"/>
          <w:szCs w:val="32"/>
        </w:rPr>
        <w:t>附件</w:t>
      </w:r>
      <w:r>
        <w:rPr>
          <w:rFonts w:ascii="黑体" w:hAnsi="黑体" w:eastAsia="黑体" w:cs="黑体"/>
          <w:sz w:val="32"/>
          <w:szCs w:val="32"/>
        </w:rPr>
        <w:t>1</w:t>
      </w:r>
      <w:bookmarkEnd w:id="113"/>
      <w:bookmarkEnd w:id="114"/>
    </w:p>
    <w:p>
      <w:pPr>
        <w:spacing w:line="580" w:lineRule="exact"/>
        <w:jc w:val="center"/>
        <w:rPr>
          <w:rFonts w:ascii="方正小标宋简体" w:hAnsi="方正小标宋简体" w:eastAsia="方正小标宋简体" w:cs="方正小标宋简体"/>
          <w:sz w:val="44"/>
          <w:szCs w:val="44"/>
        </w:rPr>
      </w:pPr>
    </w:p>
    <w:p>
      <w:pPr>
        <w:spacing w:line="600" w:lineRule="exact"/>
        <w:jc w:val="center"/>
        <w:rPr>
          <w:rFonts w:ascii="黑体" w:hAnsi="宋体" w:eastAsia="黑体" w:cs="宋体"/>
          <w:color w:val="000000"/>
          <w:kern w:val="0"/>
          <w:sz w:val="24"/>
          <w:szCs w:val="32"/>
          <w:shd w:val="clear" w:color="auto" w:fill="FFFFFF"/>
        </w:rPr>
      </w:pPr>
      <w:bookmarkStart w:id="115" w:name="_Toc15396618"/>
      <w:bookmarkStart w:id="116" w:name="_Toc79163635"/>
      <w:r>
        <w:rPr>
          <w:rFonts w:hint="eastAsia" w:ascii="方正小标宋简体" w:hAnsi="宋体" w:eastAsia="方正小标宋简体"/>
          <w:color w:val="000000"/>
          <w:kern w:val="0"/>
          <w:sz w:val="40"/>
          <w:szCs w:val="44"/>
        </w:rPr>
        <w:t>壤塘县藏医院</w:t>
      </w:r>
      <w:r>
        <w:rPr>
          <w:rFonts w:ascii="方正小标宋简体" w:hAnsi="宋体" w:eastAsia="方正小标宋简体"/>
          <w:color w:val="000000"/>
          <w:kern w:val="0"/>
          <w:sz w:val="40"/>
          <w:szCs w:val="44"/>
        </w:rPr>
        <w:t>20</w:t>
      </w:r>
      <w:r>
        <w:rPr>
          <w:rFonts w:hint="eastAsia" w:ascii="方正小标宋简体" w:hAnsi="宋体" w:eastAsia="方正小标宋简体"/>
          <w:color w:val="000000"/>
          <w:kern w:val="0"/>
          <w:sz w:val="40"/>
          <w:szCs w:val="44"/>
          <w:lang w:val="en-US" w:eastAsia="zh-CN"/>
        </w:rPr>
        <w:t>20</w:t>
      </w:r>
      <w:r>
        <w:rPr>
          <w:rFonts w:ascii="方正小标宋简体" w:hAnsi="宋体" w:eastAsia="方正小标宋简体"/>
          <w:color w:val="000000"/>
          <w:kern w:val="0"/>
          <w:sz w:val="40"/>
          <w:szCs w:val="44"/>
        </w:rPr>
        <w:t>年部门</w:t>
      </w:r>
      <w:r>
        <w:rPr>
          <w:rFonts w:hint="eastAsia" w:ascii="方正小标宋简体" w:hAnsi="宋体" w:eastAsia="方正小标宋简体"/>
          <w:color w:val="000000"/>
          <w:kern w:val="0"/>
          <w:sz w:val="40"/>
          <w:szCs w:val="44"/>
          <w:lang w:val="zh-CN"/>
        </w:rPr>
        <w:t>整体支出绩效评价报告</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（一）机构组成。</w:t>
      </w:r>
    </w:p>
    <w:p>
      <w:pPr>
        <w:spacing w:line="560" w:lineRule="exact"/>
        <w:ind w:firstLine="640" w:firstLineChars="200"/>
        <w:rPr>
          <w:rFonts w:ascii="仿宋_GB2312" w:hAnsi="仿宋" w:eastAsia="仿宋_GB2312"/>
          <w:sz w:val="32"/>
          <w:szCs w:val="32"/>
        </w:rPr>
      </w:pPr>
      <w:r>
        <w:rPr>
          <w:rFonts w:hint="eastAsia" w:ascii="仿宋_GB2312" w:hAnsi="仿宋" w:eastAsia="仿宋_GB2312" w:cs="仿宋"/>
          <w:color w:val="000000"/>
          <w:kern w:val="0"/>
          <w:sz w:val="32"/>
          <w:szCs w:val="32"/>
        </w:rPr>
        <w:t>壤塘县藏医院为壤塘县卫生健康局下属二级预算单位，</w:t>
      </w:r>
      <w:r>
        <w:rPr>
          <w:rFonts w:hint="eastAsia" w:ascii="仿宋_GB2312" w:hAnsi="仿宋" w:eastAsia="仿宋_GB2312" w:cs="仿宋"/>
          <w:sz w:val="32"/>
          <w:szCs w:val="32"/>
        </w:rPr>
        <w:t>属二级预算单位，所需经费全部由财政拨款解决。</w:t>
      </w:r>
    </w:p>
    <w:p>
      <w:pPr>
        <w:spacing w:line="560" w:lineRule="exact"/>
        <w:ind w:firstLine="640" w:firstLineChars="200"/>
        <w:rPr>
          <w:rFonts w:ascii="仿宋_GB2312" w:hAnsi="宋体" w:eastAsia="仿宋_GB2312" w:cs="宋体"/>
          <w:color w:val="000000"/>
          <w:kern w:val="0"/>
          <w:sz w:val="32"/>
          <w:szCs w:val="32"/>
          <w:shd w:val="clear" w:color="auto" w:fill="FFFFFF"/>
          <w:lang w:val="zh-CN"/>
        </w:rPr>
      </w:pPr>
      <w:r>
        <w:rPr>
          <w:rFonts w:hint="eastAsia" w:ascii="仿宋_GB2312" w:hAnsi="仿宋" w:eastAsia="仿宋_GB2312" w:cs="仿宋"/>
          <w:color w:val="000000"/>
          <w:kern w:val="0"/>
          <w:sz w:val="32"/>
          <w:szCs w:val="32"/>
        </w:rPr>
        <w:t>根据上述职责，</w:t>
      </w:r>
      <w:r>
        <w:rPr>
          <w:rFonts w:ascii="仿宋_GB2312" w:hAnsi="仿宋" w:eastAsia="仿宋_GB2312" w:cs="仿宋"/>
          <w:color w:val="000000"/>
          <w:kern w:val="0"/>
          <w:sz w:val="32"/>
          <w:szCs w:val="32"/>
        </w:rPr>
        <w:t>20</w:t>
      </w:r>
      <w:r>
        <w:rPr>
          <w:rFonts w:hint="eastAsia" w:ascii="仿宋_GB2312" w:hAnsi="仿宋" w:eastAsia="仿宋_GB2312" w:cs="仿宋"/>
          <w:color w:val="000000"/>
          <w:kern w:val="0"/>
          <w:sz w:val="32"/>
          <w:szCs w:val="32"/>
          <w:lang w:val="en-US" w:eastAsia="zh-CN"/>
        </w:rPr>
        <w:t>20</w:t>
      </w:r>
      <w:r>
        <w:rPr>
          <w:rFonts w:hint="eastAsia" w:ascii="仿宋_GB2312" w:hAnsi="仿宋" w:eastAsia="仿宋_GB2312" w:cs="仿宋"/>
          <w:color w:val="000000"/>
          <w:kern w:val="0"/>
          <w:sz w:val="32"/>
          <w:szCs w:val="32"/>
        </w:rPr>
        <w:t>年壤塘县</w:t>
      </w:r>
      <w:r>
        <w:rPr>
          <w:rFonts w:hint="eastAsia" w:ascii="仿宋_GB2312" w:hAnsi="仿宋" w:eastAsia="仿宋_GB2312" w:cs="仿宋"/>
          <w:color w:val="000000"/>
          <w:kern w:val="0"/>
          <w:sz w:val="32"/>
          <w:szCs w:val="32"/>
          <w:lang w:val="en-US" w:eastAsia="zh-CN"/>
        </w:rPr>
        <w:t>藏医院</w:t>
      </w:r>
      <w:r>
        <w:rPr>
          <w:rFonts w:hint="eastAsia" w:ascii="仿宋_GB2312" w:hAnsi="仿宋" w:eastAsia="仿宋_GB2312" w:cs="仿宋"/>
          <w:color w:val="000000"/>
          <w:kern w:val="0"/>
          <w:sz w:val="32"/>
          <w:szCs w:val="32"/>
        </w:rPr>
        <w:t>设13个内设机构，包括：办公室、财务后勤科、信息科、护理部、院感科、医务科、门诊部、住院部、外治科、检验科、放射科、B超室、药房；总编制数39名,其中:事业编制39名。</w:t>
      </w:r>
    </w:p>
    <w:p>
      <w:pPr>
        <w:spacing w:line="560" w:lineRule="exact"/>
        <w:ind w:firstLine="640" w:firstLineChars="200"/>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w:t>
      </w:r>
      <w:r>
        <w:rPr>
          <w:rFonts w:ascii="仿宋" w:hAnsi="仿宋" w:eastAsia="仿宋" w:cs="仿宋_GB2312"/>
          <w:sz w:val="32"/>
          <w:szCs w:val="32"/>
        </w:rPr>
        <w:t>机构职能。</w:t>
      </w:r>
    </w:p>
    <w:p>
      <w:pPr>
        <w:widowControl/>
        <w:spacing w:line="520" w:lineRule="exact"/>
        <w:ind w:firstLine="640" w:firstLineChars="200"/>
        <w:jc w:val="left"/>
        <w:rPr>
          <w:rFonts w:ascii="仿宋" w:hAnsi="仿宋" w:eastAsia="仿宋" w:cs="仿宋_GB2312"/>
          <w:sz w:val="32"/>
          <w:szCs w:val="32"/>
        </w:rPr>
      </w:pPr>
      <w:r>
        <w:rPr>
          <w:rFonts w:hint="eastAsia" w:ascii="仿宋" w:hAnsi="仿宋" w:eastAsia="仿宋" w:cs="仿宋_GB2312"/>
          <w:sz w:val="32"/>
          <w:szCs w:val="32"/>
        </w:rPr>
        <w:t>1、为人民群众提供中藏西医医疗、预防、保健、计划生育、康复等医疗卫生服务。</w:t>
      </w:r>
    </w:p>
    <w:p>
      <w:pPr>
        <w:widowControl/>
        <w:spacing w:line="520" w:lineRule="exact"/>
        <w:ind w:firstLine="640" w:firstLineChars="200"/>
        <w:jc w:val="left"/>
        <w:rPr>
          <w:rFonts w:ascii="仿宋" w:hAnsi="仿宋" w:eastAsia="仿宋" w:cs="仿宋_GB2312"/>
          <w:sz w:val="32"/>
          <w:szCs w:val="32"/>
        </w:rPr>
      </w:pPr>
      <w:r>
        <w:rPr>
          <w:rFonts w:hint="eastAsia" w:ascii="仿宋" w:hAnsi="仿宋" w:eastAsia="仿宋" w:cs="仿宋_GB2312"/>
          <w:sz w:val="32"/>
          <w:szCs w:val="32"/>
        </w:rPr>
        <w:t>2、贯彻落实医药卫生体制改革、中藏西医并重方针和国家中医药法律法规，执行中医药政策；拟定实施中医药、民族医药和中西医结合发展战略、规划；指导全县各医疗机构发展中医药和中西医结合业务建设。</w:t>
      </w:r>
    </w:p>
    <w:p>
      <w:pPr>
        <w:widowControl/>
        <w:spacing w:line="520" w:lineRule="exact"/>
        <w:ind w:firstLine="640" w:firstLineChars="200"/>
        <w:jc w:val="left"/>
        <w:rPr>
          <w:rFonts w:ascii="仿宋" w:hAnsi="仿宋" w:eastAsia="仿宋" w:cs="仿宋_GB2312"/>
          <w:sz w:val="32"/>
          <w:szCs w:val="32"/>
        </w:rPr>
      </w:pPr>
      <w:r>
        <w:rPr>
          <w:rFonts w:hint="eastAsia" w:ascii="仿宋" w:hAnsi="仿宋" w:eastAsia="仿宋" w:cs="仿宋_GB2312"/>
          <w:sz w:val="32"/>
          <w:szCs w:val="32"/>
        </w:rPr>
        <w:t>3、确保全县人民中西医疗健康需求，建立与地方经济发展相适应的中西医结合医疗环境。加强中医医院标准化管理。</w:t>
      </w:r>
    </w:p>
    <w:p>
      <w:pPr>
        <w:widowControl/>
        <w:spacing w:line="520" w:lineRule="exact"/>
        <w:ind w:firstLine="640" w:firstLineChars="200"/>
        <w:jc w:val="left"/>
        <w:rPr>
          <w:rFonts w:ascii="仿宋" w:hAnsi="仿宋" w:eastAsia="仿宋" w:cs="仿宋_GB2312"/>
          <w:sz w:val="32"/>
          <w:szCs w:val="32"/>
        </w:rPr>
      </w:pPr>
      <w:r>
        <w:rPr>
          <w:rFonts w:hint="eastAsia" w:ascii="仿宋" w:hAnsi="仿宋" w:eastAsia="仿宋" w:cs="仿宋_GB2312"/>
          <w:sz w:val="32"/>
          <w:szCs w:val="32"/>
        </w:rPr>
        <w:t>4、贯彻落实国家基本药物制度和药品集中采购工作，</w:t>
      </w:r>
    </w:p>
    <w:p>
      <w:pPr>
        <w:widowControl/>
        <w:spacing w:line="520" w:lineRule="exact"/>
        <w:jc w:val="left"/>
        <w:rPr>
          <w:rFonts w:ascii="仿宋" w:hAnsi="仿宋" w:eastAsia="仿宋" w:cs="仿宋_GB2312"/>
          <w:sz w:val="32"/>
          <w:szCs w:val="32"/>
        </w:rPr>
      </w:pPr>
      <w:r>
        <w:rPr>
          <w:rFonts w:hint="eastAsia" w:ascii="仿宋" w:hAnsi="仿宋" w:eastAsia="仿宋" w:cs="仿宋_GB2312"/>
          <w:sz w:val="32"/>
          <w:szCs w:val="32"/>
        </w:rPr>
        <w:t>执行医用耗材集中采购工作；负责医院内部的药品和医疗器</w:t>
      </w:r>
    </w:p>
    <w:p>
      <w:pPr>
        <w:widowControl/>
        <w:spacing w:line="520" w:lineRule="exact"/>
        <w:jc w:val="left"/>
        <w:rPr>
          <w:rFonts w:ascii="仿宋" w:hAnsi="仿宋" w:eastAsia="仿宋" w:cs="仿宋_GB2312"/>
          <w:sz w:val="32"/>
          <w:szCs w:val="32"/>
        </w:rPr>
      </w:pPr>
      <w:r>
        <w:rPr>
          <w:rFonts w:hint="eastAsia" w:ascii="仿宋" w:hAnsi="仿宋" w:eastAsia="仿宋" w:cs="仿宋_GB2312"/>
          <w:sz w:val="32"/>
          <w:szCs w:val="32"/>
        </w:rPr>
        <w:t>械管理工作。</w:t>
      </w:r>
    </w:p>
    <w:p>
      <w:pPr>
        <w:widowControl/>
        <w:spacing w:line="520" w:lineRule="exact"/>
        <w:ind w:firstLine="320" w:firstLineChars="100"/>
        <w:jc w:val="left"/>
        <w:rPr>
          <w:rFonts w:ascii="仿宋" w:hAnsi="仿宋" w:eastAsia="仿宋" w:cs="仿宋_GB2312"/>
          <w:sz w:val="32"/>
          <w:szCs w:val="32"/>
        </w:rPr>
      </w:pPr>
      <w:r>
        <w:rPr>
          <w:rFonts w:hint="eastAsia" w:ascii="仿宋" w:hAnsi="仿宋" w:eastAsia="仿宋" w:cs="仿宋_GB2312"/>
          <w:sz w:val="32"/>
          <w:szCs w:val="32"/>
        </w:rPr>
        <w:t> 5、承担意外灾害事故、疫情等突发公共卫生事件的医疗急救及社区预防、保健和康复医疗服务工作，开展各种</w:t>
      </w:r>
    </w:p>
    <w:p>
      <w:pPr>
        <w:widowControl/>
        <w:spacing w:line="520" w:lineRule="exact"/>
        <w:jc w:val="left"/>
        <w:rPr>
          <w:rFonts w:ascii="仿宋" w:hAnsi="仿宋" w:eastAsia="仿宋" w:cs="仿宋_GB2312"/>
          <w:sz w:val="32"/>
          <w:szCs w:val="32"/>
        </w:rPr>
      </w:pPr>
      <w:r>
        <w:rPr>
          <w:rFonts w:hint="eastAsia" w:ascii="仿宋" w:hAnsi="仿宋" w:eastAsia="仿宋" w:cs="仿宋_GB2312"/>
          <w:sz w:val="32"/>
          <w:szCs w:val="32"/>
        </w:rPr>
        <w:t>医疗保健卫生知识宣传普及。</w:t>
      </w:r>
    </w:p>
    <w:p>
      <w:pPr>
        <w:widowControl/>
        <w:spacing w:line="520" w:lineRule="exact"/>
        <w:ind w:firstLine="320" w:firstLineChars="100"/>
        <w:jc w:val="left"/>
        <w:rPr>
          <w:rFonts w:ascii="仿宋" w:hAnsi="仿宋" w:eastAsia="仿宋" w:cs="仿宋_GB2312"/>
          <w:sz w:val="32"/>
          <w:szCs w:val="32"/>
        </w:rPr>
      </w:pPr>
      <w:r>
        <w:rPr>
          <w:rFonts w:hint="eastAsia" w:ascii="仿宋" w:hAnsi="仿宋" w:eastAsia="仿宋" w:cs="仿宋_GB2312"/>
          <w:sz w:val="32"/>
          <w:szCs w:val="32"/>
        </w:rPr>
        <w:t>6、充分发挥中医药在国家基本公共卫生服务中的优</w:t>
      </w:r>
    </w:p>
    <w:p>
      <w:pPr>
        <w:widowControl/>
        <w:spacing w:line="520" w:lineRule="exact"/>
        <w:jc w:val="left"/>
        <w:rPr>
          <w:rFonts w:ascii="仿宋" w:hAnsi="仿宋" w:eastAsia="仿宋" w:cs="仿宋_GB2312"/>
          <w:sz w:val="32"/>
          <w:szCs w:val="32"/>
        </w:rPr>
      </w:pPr>
      <w:r>
        <w:rPr>
          <w:rFonts w:hint="eastAsia" w:ascii="仿宋" w:hAnsi="仿宋" w:eastAsia="仿宋" w:cs="仿宋_GB2312"/>
          <w:sz w:val="32"/>
          <w:szCs w:val="32"/>
        </w:rPr>
        <w:t>势和作用，负责全县基本公共卫生服务中医药健康管理项目</w:t>
      </w:r>
    </w:p>
    <w:p>
      <w:pPr>
        <w:widowControl/>
        <w:spacing w:line="520" w:lineRule="exact"/>
        <w:jc w:val="left"/>
        <w:rPr>
          <w:rFonts w:ascii="仿宋" w:hAnsi="仿宋" w:eastAsia="仿宋" w:cs="仿宋_GB2312"/>
          <w:sz w:val="32"/>
          <w:szCs w:val="32"/>
        </w:rPr>
      </w:pPr>
      <w:r>
        <w:rPr>
          <w:rFonts w:hint="eastAsia" w:ascii="仿宋" w:hAnsi="仿宋" w:eastAsia="仿宋" w:cs="仿宋_GB2312"/>
          <w:sz w:val="32"/>
          <w:szCs w:val="32"/>
        </w:rPr>
        <w:t>的实施和日常管理。</w:t>
      </w:r>
    </w:p>
    <w:p>
      <w:pPr>
        <w:widowControl/>
        <w:spacing w:line="520" w:lineRule="exact"/>
        <w:ind w:firstLine="320" w:firstLineChars="100"/>
        <w:jc w:val="left"/>
        <w:rPr>
          <w:rFonts w:ascii="仿宋" w:hAnsi="仿宋" w:eastAsia="仿宋" w:cs="仿宋_GB2312"/>
          <w:sz w:val="32"/>
          <w:szCs w:val="32"/>
        </w:rPr>
      </w:pPr>
      <w:r>
        <w:rPr>
          <w:rFonts w:hint="eastAsia" w:ascii="仿宋" w:hAnsi="仿宋" w:eastAsia="仿宋" w:cs="仿宋_GB2312"/>
          <w:sz w:val="32"/>
          <w:szCs w:val="32"/>
        </w:rPr>
        <w:t>7、组织实施中藏西医药科学研究，推进医学科技成果转化和推广应用；承担中医药人才培养，中医药继续医学教育工作。</w:t>
      </w:r>
    </w:p>
    <w:p>
      <w:pPr>
        <w:widowControl/>
        <w:spacing w:line="520" w:lineRule="exact"/>
        <w:ind w:firstLine="320" w:firstLineChars="100"/>
        <w:jc w:val="left"/>
        <w:rPr>
          <w:rFonts w:ascii="仿宋" w:hAnsi="仿宋" w:eastAsia="仿宋" w:cs="仿宋_GB2312"/>
          <w:sz w:val="32"/>
          <w:szCs w:val="32"/>
        </w:rPr>
      </w:pPr>
      <w:r>
        <w:rPr>
          <w:rFonts w:hint="eastAsia" w:ascii="仿宋" w:hAnsi="仿宋" w:eastAsia="仿宋" w:cs="仿宋_GB2312"/>
          <w:sz w:val="32"/>
          <w:szCs w:val="32"/>
        </w:rPr>
        <w:t>8、做好城镇职工基本医疗保险、城镇居民基本医疗保险和新型农村合作医疗保险等定点医疗机构的各项工作。</w:t>
      </w:r>
    </w:p>
    <w:p>
      <w:pPr>
        <w:widowControl/>
        <w:spacing w:line="520" w:lineRule="exact"/>
        <w:ind w:firstLine="320" w:firstLineChars="100"/>
        <w:jc w:val="left"/>
        <w:rPr>
          <w:rFonts w:ascii="仿宋" w:hAnsi="仿宋" w:eastAsia="仿宋" w:cs="仿宋_GB2312"/>
          <w:sz w:val="32"/>
          <w:szCs w:val="32"/>
        </w:rPr>
      </w:pPr>
      <w:r>
        <w:rPr>
          <w:rFonts w:hint="eastAsia" w:ascii="仿宋" w:hAnsi="仿宋" w:eastAsia="仿宋" w:cs="仿宋_GB2312"/>
          <w:sz w:val="32"/>
          <w:szCs w:val="32"/>
        </w:rPr>
        <w:t>9、参与卫生扶贫、重要会议与重大活动的医疗卫生保障工作。</w:t>
      </w:r>
    </w:p>
    <w:p>
      <w:pPr>
        <w:widowControl/>
        <w:spacing w:line="520" w:lineRule="exact"/>
        <w:ind w:firstLine="320" w:firstLineChars="100"/>
        <w:jc w:val="left"/>
        <w:rPr>
          <w:rFonts w:ascii="仿宋" w:hAnsi="仿宋" w:eastAsia="仿宋" w:cs="仿宋_GB2312"/>
          <w:sz w:val="32"/>
          <w:szCs w:val="32"/>
        </w:rPr>
      </w:pPr>
      <w:r>
        <w:rPr>
          <w:rFonts w:hint="eastAsia" w:ascii="仿宋" w:hAnsi="仿宋" w:eastAsia="仿宋" w:cs="仿宋_GB2312"/>
          <w:sz w:val="32"/>
          <w:szCs w:val="32"/>
        </w:rPr>
        <w:t>10、承担县委政府及县卫生局交办的其他卫生工作。</w:t>
      </w:r>
    </w:p>
    <w:p>
      <w:pPr>
        <w:pStyle w:val="37"/>
        <w:numPr>
          <w:ilvl w:val="0"/>
          <w:numId w:val="5"/>
        </w:numPr>
        <w:spacing w:line="580" w:lineRule="exact"/>
        <w:ind w:firstLineChars="0"/>
        <w:rPr>
          <w:rFonts w:ascii="仿宋" w:hAnsi="仿宋" w:eastAsia="仿宋" w:cs="仿宋_GB2312"/>
          <w:sz w:val="32"/>
          <w:szCs w:val="32"/>
        </w:rPr>
      </w:pPr>
      <w:r>
        <w:rPr>
          <w:rFonts w:ascii="仿宋" w:hAnsi="仿宋" w:eastAsia="仿宋" w:cs="仿宋_GB2312"/>
          <w:sz w:val="32"/>
          <w:szCs w:val="32"/>
        </w:rPr>
        <w:t>人员概况。</w:t>
      </w:r>
    </w:p>
    <w:p>
      <w:pPr>
        <w:widowControl/>
        <w:adjustRightInd w:val="0"/>
        <w:snapToGrid w:val="0"/>
        <w:spacing w:line="580" w:lineRule="exact"/>
        <w:contextualSpacing/>
        <w:jc w:val="left"/>
        <w:rPr>
          <w:rFonts w:ascii="仿宋_GB2312" w:hAnsi="宋体" w:eastAsia="仿宋_GB2312" w:cs="宋体"/>
          <w:color w:val="000000"/>
          <w:kern w:val="0"/>
          <w:sz w:val="32"/>
          <w:szCs w:val="32"/>
          <w:shd w:val="clear" w:color="auto" w:fill="FFFFFF"/>
          <w:lang w:val="zh-CN"/>
        </w:rPr>
      </w:pPr>
      <w:r>
        <w:rPr>
          <w:rFonts w:hint="eastAsia" w:ascii="仿宋" w:hAnsi="仿宋" w:eastAsia="仿宋" w:cs="仿宋_GB2312"/>
          <w:sz w:val="32"/>
          <w:szCs w:val="32"/>
        </w:rPr>
        <w:t>总编人事42名,在职人员总数</w:t>
      </w:r>
      <w:r>
        <w:rPr>
          <w:rFonts w:hint="eastAsia" w:ascii="仿宋" w:hAnsi="仿宋" w:eastAsia="仿宋" w:cs="仿宋_GB2312"/>
          <w:sz w:val="32"/>
          <w:szCs w:val="32"/>
          <w:lang w:val="en-US" w:eastAsia="zh-CN"/>
        </w:rPr>
        <w:t>39</w:t>
      </w:r>
      <w:r>
        <w:rPr>
          <w:rFonts w:hint="eastAsia" w:ascii="仿宋" w:hAnsi="仿宋" w:eastAsia="仿宋" w:cs="仿宋_GB2312"/>
          <w:sz w:val="32"/>
          <w:szCs w:val="32"/>
        </w:rPr>
        <w:t>名，其中：事业专计人员</w:t>
      </w:r>
      <w:r>
        <w:rPr>
          <w:rFonts w:hint="eastAsia" w:ascii="仿宋" w:hAnsi="仿宋" w:eastAsia="仿宋" w:cs="仿宋_GB2312"/>
          <w:sz w:val="32"/>
          <w:szCs w:val="32"/>
          <w:lang w:val="en-US" w:eastAsia="zh-CN"/>
        </w:rPr>
        <w:t>37</w:t>
      </w:r>
      <w:r>
        <w:rPr>
          <w:rFonts w:hint="eastAsia" w:ascii="仿宋" w:hAnsi="仿宋" w:eastAsia="仿宋" w:cs="仿宋_GB2312"/>
          <w:sz w:val="32"/>
          <w:szCs w:val="32"/>
        </w:rPr>
        <w:t>名，事业工勤2名；</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（一）部门财政资金收入情况。</w:t>
      </w:r>
    </w:p>
    <w:p>
      <w:pPr>
        <w:spacing w:line="560" w:lineRule="exact"/>
        <w:ind w:firstLine="640" w:firstLineChars="200"/>
        <w:rPr>
          <w:rFonts w:ascii="仿宋_GB2312" w:hAnsi="宋体" w:eastAsia="仿宋_GB2312" w:cs="宋体"/>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20</w:t>
      </w:r>
      <w:r>
        <w:rPr>
          <w:rFonts w:hint="eastAsia" w:ascii="仿宋_GB2312" w:hAnsi="仿宋_GB2312" w:eastAsia="仿宋_GB2312" w:cs="仿宋_GB2312"/>
          <w:color w:val="000000"/>
          <w:kern w:val="0"/>
          <w:sz w:val="32"/>
          <w:szCs w:val="32"/>
          <w:shd w:val="clear" w:color="auto" w:fill="FFFFFF"/>
          <w:lang w:val="en-US" w:eastAsia="zh-CN"/>
        </w:rPr>
        <w:t>20</w:t>
      </w:r>
      <w:r>
        <w:rPr>
          <w:rFonts w:hint="eastAsia" w:ascii="仿宋_GB2312" w:hAnsi="仿宋_GB2312" w:eastAsia="仿宋_GB2312" w:cs="仿宋_GB2312"/>
          <w:color w:val="000000"/>
          <w:kern w:val="0"/>
          <w:sz w:val="32"/>
          <w:szCs w:val="32"/>
          <w:shd w:val="clear" w:color="auto" w:fill="FFFFFF"/>
          <w:lang w:val="zh-CN"/>
        </w:rPr>
        <w:t>年年初结转和结余资金</w:t>
      </w:r>
      <w:r>
        <w:rPr>
          <w:rFonts w:hint="eastAsia" w:ascii="仿宋_GB2312" w:hAnsi="仿宋_GB2312" w:eastAsia="仿宋_GB2312" w:cs="仿宋_GB2312"/>
          <w:color w:val="000000"/>
          <w:kern w:val="0"/>
          <w:sz w:val="32"/>
          <w:szCs w:val="32"/>
          <w:shd w:val="clear" w:color="auto" w:fill="FFFFFF"/>
          <w:lang w:val="en-US" w:eastAsia="zh-CN"/>
        </w:rPr>
        <w:t>72.57</w:t>
      </w:r>
      <w:r>
        <w:rPr>
          <w:rFonts w:hint="eastAsia" w:ascii="仿宋_GB2312" w:hAnsi="仿宋_GB2312" w:eastAsia="仿宋_GB2312" w:cs="仿宋_GB2312"/>
          <w:color w:val="000000"/>
          <w:kern w:val="0"/>
          <w:sz w:val="32"/>
          <w:szCs w:val="32"/>
          <w:shd w:val="clear" w:color="auto" w:fill="FFFFFF"/>
          <w:lang w:val="zh-CN"/>
        </w:rPr>
        <w:t>万元。本年度公共预算财政拨款收入</w:t>
      </w:r>
      <w:r>
        <w:rPr>
          <w:rFonts w:hint="eastAsia" w:ascii="仿宋_GB2312" w:hAnsi="仿宋_GB2312" w:eastAsia="仿宋_GB2312" w:cs="仿宋_GB2312"/>
          <w:color w:val="000000"/>
          <w:kern w:val="0"/>
          <w:sz w:val="32"/>
          <w:szCs w:val="32"/>
          <w:shd w:val="clear" w:color="auto" w:fill="FFFFFF"/>
        </w:rPr>
        <w:t>10</w:t>
      </w:r>
      <w:r>
        <w:rPr>
          <w:rFonts w:hint="eastAsia" w:ascii="仿宋_GB2312" w:hAnsi="仿宋_GB2312" w:eastAsia="仿宋_GB2312" w:cs="仿宋_GB2312"/>
          <w:color w:val="000000"/>
          <w:kern w:val="0"/>
          <w:sz w:val="32"/>
          <w:szCs w:val="32"/>
          <w:shd w:val="clear" w:color="auto" w:fill="FFFFFF"/>
          <w:lang w:val="en-US" w:eastAsia="zh-CN"/>
        </w:rPr>
        <w:t>26.79</w:t>
      </w:r>
      <w:r>
        <w:rPr>
          <w:rFonts w:hint="eastAsia" w:ascii="仿宋_GB2312" w:hAnsi="仿宋_GB2312" w:eastAsia="仿宋_GB2312" w:cs="仿宋_GB2312"/>
          <w:color w:val="000000"/>
          <w:kern w:val="0"/>
          <w:sz w:val="32"/>
          <w:szCs w:val="32"/>
          <w:shd w:val="clear" w:color="auto" w:fill="FFFFFF"/>
          <w:lang w:val="zh-CN"/>
        </w:rPr>
        <w:t>万元，其中：卫生健康支出</w:t>
      </w:r>
      <w:r>
        <w:rPr>
          <w:rFonts w:hint="eastAsia" w:ascii="仿宋_GB2312" w:hAnsi="仿宋_GB2312" w:eastAsia="仿宋_GB2312" w:cs="仿宋_GB2312"/>
          <w:color w:val="000000"/>
          <w:kern w:val="0"/>
          <w:sz w:val="32"/>
          <w:szCs w:val="32"/>
          <w:shd w:val="clear" w:color="auto" w:fill="FFFFFF"/>
        </w:rPr>
        <w:t>741.5</w:t>
      </w:r>
      <w:r>
        <w:rPr>
          <w:rFonts w:hint="eastAsia" w:ascii="仿宋_GB2312" w:hAnsi="仿宋_GB2312" w:eastAsia="仿宋_GB2312" w:cs="仿宋_GB2312"/>
          <w:color w:val="000000"/>
          <w:kern w:val="0"/>
          <w:sz w:val="32"/>
          <w:szCs w:val="32"/>
          <w:shd w:val="clear" w:color="auto" w:fill="FFFFFF"/>
          <w:lang w:val="en-US" w:eastAsia="zh-CN"/>
        </w:rPr>
        <w:t>5</w:t>
      </w:r>
      <w:r>
        <w:rPr>
          <w:rFonts w:hint="eastAsia" w:ascii="仿宋_GB2312" w:hAnsi="仿宋_GB2312" w:eastAsia="仿宋_GB2312" w:cs="仿宋_GB2312"/>
          <w:color w:val="000000"/>
          <w:kern w:val="0"/>
          <w:sz w:val="32"/>
          <w:szCs w:val="32"/>
          <w:shd w:val="clear" w:color="auto" w:fill="FFFFFF"/>
          <w:lang w:val="zh-CN"/>
        </w:rPr>
        <w:t>万元，社会保障和就业支出</w:t>
      </w:r>
      <w:r>
        <w:rPr>
          <w:rFonts w:hint="eastAsia" w:ascii="仿宋_GB2312" w:hAnsi="仿宋_GB2312" w:eastAsia="仿宋_GB2312" w:cs="仿宋_GB2312"/>
          <w:color w:val="000000"/>
          <w:kern w:val="0"/>
          <w:sz w:val="32"/>
          <w:szCs w:val="32"/>
          <w:shd w:val="clear" w:color="auto" w:fill="FFFFFF"/>
          <w:lang w:val="en-US" w:eastAsia="zh-CN"/>
        </w:rPr>
        <w:t>102.81</w:t>
      </w:r>
      <w:r>
        <w:rPr>
          <w:rFonts w:hint="eastAsia" w:ascii="仿宋_GB2312" w:hAnsi="仿宋_GB2312" w:eastAsia="仿宋_GB2312" w:cs="仿宋_GB2312"/>
          <w:color w:val="000000"/>
          <w:kern w:val="0"/>
          <w:sz w:val="32"/>
          <w:szCs w:val="32"/>
          <w:shd w:val="clear" w:color="auto" w:fill="FFFFFF"/>
          <w:lang w:val="zh-CN"/>
        </w:rPr>
        <w:t>万元，住房保障支出</w:t>
      </w:r>
      <w:r>
        <w:rPr>
          <w:rFonts w:hint="eastAsia" w:ascii="仿宋_GB2312" w:hAnsi="仿宋_GB2312" w:eastAsia="仿宋_GB2312" w:cs="仿宋_GB2312"/>
          <w:color w:val="000000"/>
          <w:kern w:val="0"/>
          <w:sz w:val="32"/>
          <w:szCs w:val="32"/>
          <w:shd w:val="clear" w:color="auto" w:fill="FFFFFF"/>
          <w:lang w:val="en-US" w:eastAsia="zh-CN"/>
        </w:rPr>
        <w:t>67.44</w:t>
      </w:r>
      <w:r>
        <w:rPr>
          <w:rFonts w:hint="eastAsia" w:ascii="仿宋_GB2312" w:hAnsi="仿宋_GB2312" w:eastAsia="仿宋_GB2312" w:cs="仿宋_GB2312"/>
          <w:color w:val="000000"/>
          <w:kern w:val="0"/>
          <w:sz w:val="32"/>
          <w:szCs w:val="32"/>
          <w:shd w:val="clear" w:color="auto" w:fill="FFFFFF"/>
          <w:lang w:val="zh-CN"/>
        </w:rPr>
        <w:t>万元。</w:t>
      </w:r>
    </w:p>
    <w:p>
      <w:pPr>
        <w:widowControl/>
        <w:adjustRightInd w:val="0"/>
        <w:snapToGrid w:val="0"/>
        <w:spacing w:line="580" w:lineRule="exact"/>
        <w:ind w:left="420" w:left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（二）部门财政资金支出情况。</w:t>
      </w:r>
    </w:p>
    <w:p>
      <w:pPr>
        <w:spacing w:line="560" w:lineRule="exact"/>
        <w:ind w:firstLine="640" w:firstLineChars="200"/>
        <w:rPr>
          <w:rFonts w:ascii="仿宋_GB2312" w:hAnsi="宋体" w:eastAsia="仿宋_GB2312" w:cs="宋体"/>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rPr>
        <w:t>20</w:t>
      </w:r>
      <w:r>
        <w:rPr>
          <w:rFonts w:hint="eastAsia" w:ascii="仿宋_GB2312" w:hAnsi="仿宋_GB2312" w:eastAsia="仿宋_GB2312" w:cs="仿宋_GB2312"/>
          <w:color w:val="000000"/>
          <w:kern w:val="0"/>
          <w:sz w:val="32"/>
          <w:szCs w:val="32"/>
          <w:shd w:val="clear" w:color="auto" w:fill="FFFFFF"/>
          <w:lang w:val="en-US" w:eastAsia="zh-CN"/>
        </w:rPr>
        <w:t>20</w:t>
      </w:r>
      <w:r>
        <w:rPr>
          <w:rFonts w:hint="eastAsia" w:ascii="仿宋_GB2312" w:hAnsi="仿宋_GB2312" w:eastAsia="仿宋_GB2312" w:cs="仿宋_GB2312"/>
          <w:color w:val="000000"/>
          <w:kern w:val="0"/>
          <w:sz w:val="32"/>
          <w:szCs w:val="32"/>
          <w:shd w:val="clear" w:color="auto" w:fill="FFFFFF"/>
        </w:rPr>
        <w:t>年本年公共预算财政拨款支出893.79万元，其中：</w:t>
      </w:r>
      <w:r>
        <w:rPr>
          <w:rFonts w:hint="eastAsia" w:ascii="仿宋_GB2312" w:hAnsi="仿宋_GB2312" w:eastAsia="仿宋_GB2312" w:cs="仿宋_GB2312"/>
          <w:color w:val="000000"/>
          <w:kern w:val="0"/>
          <w:sz w:val="32"/>
          <w:szCs w:val="32"/>
          <w:shd w:val="clear" w:color="auto" w:fill="FFFFFF"/>
          <w:lang w:val="zh-CN"/>
        </w:rPr>
        <w:t>卫生健康支出</w:t>
      </w:r>
      <w:r>
        <w:rPr>
          <w:rFonts w:hint="eastAsia" w:ascii="仿宋_GB2312" w:hAnsi="仿宋_GB2312" w:eastAsia="仿宋_GB2312" w:cs="仿宋_GB2312"/>
          <w:color w:val="000000"/>
          <w:kern w:val="0"/>
          <w:sz w:val="32"/>
          <w:szCs w:val="32"/>
          <w:shd w:val="clear" w:color="auto" w:fill="FFFFFF"/>
        </w:rPr>
        <w:t>741.5</w:t>
      </w:r>
      <w:r>
        <w:rPr>
          <w:rFonts w:hint="eastAsia" w:ascii="仿宋_GB2312" w:hAnsi="仿宋_GB2312" w:eastAsia="仿宋_GB2312" w:cs="仿宋_GB2312"/>
          <w:color w:val="000000"/>
          <w:kern w:val="0"/>
          <w:sz w:val="32"/>
          <w:szCs w:val="32"/>
          <w:shd w:val="clear" w:color="auto" w:fill="FFFFFF"/>
          <w:lang w:val="en-US" w:eastAsia="zh-CN"/>
        </w:rPr>
        <w:t>5</w:t>
      </w:r>
      <w:r>
        <w:rPr>
          <w:rFonts w:hint="eastAsia" w:ascii="仿宋_GB2312" w:hAnsi="仿宋_GB2312" w:eastAsia="仿宋_GB2312" w:cs="仿宋_GB2312"/>
          <w:color w:val="000000"/>
          <w:kern w:val="0"/>
          <w:sz w:val="32"/>
          <w:szCs w:val="32"/>
          <w:shd w:val="clear" w:color="auto" w:fill="FFFFFF"/>
          <w:lang w:val="zh-CN"/>
        </w:rPr>
        <w:t>万元，社会保障和就业支出</w:t>
      </w:r>
      <w:r>
        <w:rPr>
          <w:rFonts w:hint="eastAsia" w:ascii="仿宋_GB2312" w:hAnsi="仿宋_GB2312" w:eastAsia="仿宋_GB2312" w:cs="仿宋_GB2312"/>
          <w:color w:val="000000"/>
          <w:kern w:val="0"/>
          <w:sz w:val="32"/>
          <w:szCs w:val="32"/>
          <w:shd w:val="clear" w:color="auto" w:fill="FFFFFF"/>
          <w:lang w:val="en-US" w:eastAsia="zh-CN"/>
        </w:rPr>
        <w:t>102.81</w:t>
      </w:r>
      <w:r>
        <w:rPr>
          <w:rFonts w:hint="eastAsia" w:ascii="仿宋_GB2312" w:hAnsi="仿宋_GB2312" w:eastAsia="仿宋_GB2312" w:cs="仿宋_GB2312"/>
          <w:color w:val="000000"/>
          <w:kern w:val="0"/>
          <w:sz w:val="32"/>
          <w:szCs w:val="32"/>
          <w:shd w:val="clear" w:color="auto" w:fill="FFFFFF"/>
          <w:lang w:val="zh-CN"/>
        </w:rPr>
        <w:t>万元，住房保障支出</w:t>
      </w:r>
      <w:r>
        <w:rPr>
          <w:rFonts w:hint="eastAsia" w:ascii="仿宋_GB2312" w:hAnsi="仿宋_GB2312" w:eastAsia="仿宋_GB2312" w:cs="仿宋_GB2312"/>
          <w:color w:val="000000"/>
          <w:kern w:val="0"/>
          <w:sz w:val="32"/>
          <w:szCs w:val="32"/>
          <w:shd w:val="clear" w:color="auto" w:fill="FFFFFF"/>
          <w:lang w:val="en-US" w:eastAsia="zh-CN"/>
        </w:rPr>
        <w:t>67.44</w:t>
      </w:r>
      <w:r>
        <w:rPr>
          <w:rFonts w:hint="eastAsia" w:ascii="仿宋_GB2312" w:hAnsi="仿宋_GB2312" w:eastAsia="仿宋_GB2312" w:cs="仿宋_GB2312"/>
          <w:color w:val="000000"/>
          <w:kern w:val="0"/>
          <w:sz w:val="32"/>
          <w:szCs w:val="32"/>
          <w:shd w:val="clear" w:color="auto" w:fill="FFFFFF"/>
          <w:lang w:val="zh-CN"/>
        </w:rPr>
        <w:t>万元。</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（一）部门预算管理。</w:t>
      </w:r>
    </w:p>
    <w:p>
      <w:pPr>
        <w:spacing w:line="560" w:lineRule="exact"/>
        <w:ind w:firstLine="640" w:firstLineChars="200"/>
        <w:rPr>
          <w:rFonts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rPr>
        <w:t>我医院</w:t>
      </w:r>
      <w:r>
        <w:rPr>
          <w:rFonts w:hint="eastAsia" w:ascii="仿宋_GB2312" w:hAnsi="仿宋_GB2312" w:eastAsia="仿宋_GB2312" w:cs="仿宋_GB2312"/>
          <w:color w:val="000000"/>
          <w:kern w:val="0"/>
          <w:sz w:val="32"/>
          <w:szCs w:val="32"/>
          <w:shd w:val="clear" w:color="auto" w:fill="FFFFFF"/>
          <w:lang w:val="zh-CN"/>
        </w:rPr>
        <w:t>严格按照县财政部门预算编制通知和有关文件要求，秉承强化规划约束、坚持限额控制、实时滚动管理、强化绩效管理的基本编制原则在县财政部门规定的时间内于部门预算管理系统中以上年度10月份单位人员情况完成单位基本信息表及基础资料表。同时，根据“定员定额”标准并结合本单位实际项目安排批准情况填制收支总表及支出项目录入表。单位预算编制工作完成后按“二上二下”的编制程序提交县财政支出管理股室进行审核后下达批复。</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包括部门绩效目标制定、目标实现、预算编制准确、支出控制、预算动态调整、执行进度、预算完成情况和违规记录等情况。</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（二）结果应用情况。</w:t>
      </w:r>
    </w:p>
    <w:p>
      <w:pPr>
        <w:widowControl/>
        <w:adjustRightInd w:val="0"/>
        <w:snapToGrid w:val="0"/>
        <w:spacing w:line="560" w:lineRule="exact"/>
        <w:ind w:firstLine="640" w:firstLineChars="200"/>
        <w:rPr>
          <w:rFonts w:ascii="仿宋" w:hAnsi="仿宋" w:eastAsia="仿宋" w:cs="宋体"/>
          <w:color w:val="000000"/>
          <w:kern w:val="0"/>
          <w:sz w:val="32"/>
          <w:szCs w:val="32"/>
          <w:shd w:val="clear" w:color="auto" w:fill="FFFFFF"/>
          <w:lang w:val="zh-CN"/>
        </w:rPr>
      </w:pPr>
      <w:r>
        <w:rPr>
          <w:rFonts w:hint="eastAsia" w:ascii="仿宋_GB2312" w:hAnsi="仿宋_GB2312" w:eastAsia="仿宋_GB2312" w:cs="仿宋_GB2312"/>
          <w:sz w:val="32"/>
          <w:szCs w:val="32"/>
        </w:rPr>
        <w:t>我医院对部门预算绩效管理工作开展情况认真进行了自查自评。绩效评价自查开展覆盖单位重点基本支出及重点支出，将评价结果作为预算安排的重要依据，参照项目年度预算执行情况“三年滚动规划”执行情况统筹项目支出需求，保障重点支出，调整支出结构，优化财政资金配置，不断强化绩效理念，推动我单位整体绩效管理水平不断提升。</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（一）评价结论。</w:t>
      </w:r>
    </w:p>
    <w:p>
      <w:pPr>
        <w:spacing w:line="560" w:lineRule="exact"/>
        <w:ind w:firstLine="640" w:firstLineChars="200"/>
        <w:rPr>
          <w:rFonts w:ascii="仿宋_GB2312" w:hAnsi="宋体" w:eastAsia="仿宋_GB2312" w:cs="宋体"/>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rPr>
        <w:t>20</w:t>
      </w:r>
      <w:r>
        <w:rPr>
          <w:rFonts w:hint="eastAsia" w:ascii="仿宋_GB2312" w:hAnsi="仿宋_GB2312" w:eastAsia="仿宋_GB2312" w:cs="仿宋_GB2312"/>
          <w:color w:val="000000"/>
          <w:kern w:val="0"/>
          <w:sz w:val="32"/>
          <w:szCs w:val="32"/>
          <w:shd w:val="clear" w:color="auto" w:fill="FFFFFF"/>
          <w:lang w:val="en-US" w:eastAsia="zh-CN"/>
        </w:rPr>
        <w:t>20</w:t>
      </w:r>
      <w:r>
        <w:rPr>
          <w:rFonts w:hint="eastAsia" w:ascii="仿宋_GB2312" w:hAnsi="仿宋_GB2312" w:eastAsia="仿宋_GB2312" w:cs="仿宋_GB2312"/>
          <w:color w:val="000000"/>
          <w:kern w:val="0"/>
          <w:sz w:val="32"/>
          <w:szCs w:val="32"/>
          <w:shd w:val="clear" w:color="auto" w:fill="FFFFFF"/>
        </w:rPr>
        <w:t>年我单位部门整体支出绩效评价自查自评结果良好，全年基本支出保证了部门的正常运行和日常工作的正常开展，项目支出保障了重点工作的开展，达到预期绩效目标。</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（二）存在问题。</w:t>
      </w:r>
    </w:p>
    <w:p>
      <w:pPr>
        <w:spacing w:line="560" w:lineRule="exact"/>
        <w:ind w:firstLine="640" w:firstLineChars="200"/>
        <w:rPr>
          <w:rFonts w:ascii="仿宋" w:hAnsi="仿宋" w:eastAsia="仿宋" w:cs="仿宋_GB2312"/>
          <w:bCs/>
          <w:sz w:val="32"/>
          <w:szCs w:val="32"/>
        </w:rPr>
      </w:pPr>
      <w:r>
        <w:rPr>
          <w:rFonts w:hint="eastAsia" w:ascii="仿宋" w:hAnsi="仿宋" w:eastAsia="仿宋" w:cs="仿宋_GB2312"/>
          <w:sz w:val="32"/>
          <w:szCs w:val="32"/>
        </w:rPr>
        <w:t>在编制部门预算时，我医院严格根据本单位职能职责和年度工作计划进行了编制，</w:t>
      </w:r>
      <w:r>
        <w:rPr>
          <w:rFonts w:hint="eastAsia" w:ascii="仿宋" w:hAnsi="仿宋" w:eastAsia="仿宋" w:cs="仿宋_GB2312"/>
          <w:bCs/>
          <w:sz w:val="32"/>
          <w:szCs w:val="32"/>
        </w:rPr>
        <w:t>因部门整体支出的预算资金安排和使用上仍有不可预见性，还需加强预算管理，科学编制预算。</w:t>
      </w:r>
    </w:p>
    <w:p>
      <w:pPr>
        <w:widowControl/>
        <w:adjustRightInd w:val="0"/>
        <w:snapToGrid w:val="0"/>
        <w:spacing w:line="560" w:lineRule="exact"/>
        <w:ind w:firstLine="640" w:firstLineChars="200"/>
        <w:jc w:val="left"/>
        <w:rPr>
          <w:rFonts w:ascii="仿宋_GB2312" w:hAnsi="宋体" w:eastAsia="仿宋_GB2312" w:cs="宋体"/>
          <w:color w:val="000000"/>
          <w:kern w:val="0"/>
          <w:sz w:val="32"/>
          <w:szCs w:val="32"/>
          <w:shd w:val="clear" w:color="auto" w:fill="FFFFFF"/>
          <w:lang w:val="zh-CN"/>
        </w:rPr>
      </w:pPr>
      <w:r>
        <w:rPr>
          <w:rFonts w:hint="eastAsia" w:ascii="仿宋" w:hAnsi="仿宋" w:eastAsia="仿宋" w:cs="仿宋"/>
          <w:sz w:val="32"/>
          <w:szCs w:val="32"/>
        </w:rPr>
        <w:t>进一步完善预算编制制度及相关工作机制、加强沟通进一步提高工作手段。</w:t>
      </w:r>
    </w:p>
    <w:p>
      <w:pPr>
        <w:widowControl/>
        <w:numPr>
          <w:ilvl w:val="0"/>
          <w:numId w:val="6"/>
        </w:numPr>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改进建议。</w:t>
      </w:r>
    </w:p>
    <w:p>
      <w:pPr>
        <w:widowControl/>
        <w:adjustRightInd w:val="0"/>
        <w:snapToGrid w:val="0"/>
        <w:spacing w:line="560" w:lineRule="exact"/>
        <w:ind w:firstLine="640" w:firstLineChars="200"/>
        <w:rPr>
          <w:rFonts w:ascii="仿宋" w:hAnsi="仿宋" w:eastAsia="仿宋" w:cs="仿宋"/>
          <w:sz w:val="32"/>
          <w:szCs w:val="32"/>
          <w:lang w:val="zh-CN"/>
        </w:rPr>
      </w:pPr>
      <w:r>
        <w:rPr>
          <w:rFonts w:hint="eastAsia" w:ascii="仿宋" w:hAnsi="仿宋" w:eastAsia="仿宋" w:cs="仿宋"/>
          <w:sz w:val="32"/>
          <w:szCs w:val="32"/>
          <w:lang w:val="zh-CN"/>
        </w:rPr>
        <w:t>一是加强培训，积极探索，不断提高预算编制水平。要加强对预算编制人员业务知识培训，不仅要掌握理论知识，更应熟悉实际操作。</w:t>
      </w:r>
    </w:p>
    <w:p>
      <w:pPr>
        <w:widowControl/>
        <w:adjustRightInd w:val="0"/>
        <w:snapToGrid w:val="0"/>
        <w:spacing w:line="560" w:lineRule="exact"/>
        <w:ind w:firstLine="640" w:firstLineChars="200"/>
        <w:rPr>
          <w:rFonts w:ascii="仿宋" w:hAnsi="仿宋" w:eastAsia="仿宋" w:cs="仿宋"/>
          <w:sz w:val="32"/>
          <w:szCs w:val="32"/>
          <w:lang w:val="zh-CN"/>
        </w:rPr>
      </w:pPr>
      <w:r>
        <w:rPr>
          <w:rFonts w:hint="eastAsia" w:ascii="仿宋" w:hAnsi="仿宋" w:eastAsia="仿宋" w:cs="仿宋"/>
          <w:sz w:val="32"/>
          <w:szCs w:val="32"/>
          <w:lang w:val="zh-CN"/>
        </w:rPr>
        <w:t>二是要加强与其他科室间的沟通交流，积极研究解决出现的新情况、新问题，保证预算编制的准确性。</w:t>
      </w:r>
    </w:p>
    <w:p>
      <w:pPr>
        <w:widowControl/>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 w:hAnsi="仿宋" w:eastAsia="仿宋" w:cs="仿宋"/>
          <w:sz w:val="32"/>
          <w:szCs w:val="32"/>
        </w:rPr>
        <w:t>三是进一步健全和完善财务管理制度及内部控制制度，积极探索在新形势下部门预算、国库集中支付等财政支出改革的特点，不断更新管理思路，在规范财务收支和控制经费增长上，创新管理手段，用新思路、新方法，改进完善财务管理方法。</w:t>
      </w:r>
    </w:p>
    <w:p>
      <w:pPr>
        <w:spacing w:line="580" w:lineRule="exact"/>
        <w:ind w:firstLine="640"/>
        <w:rPr>
          <w:rFonts w:ascii="仿宋_GB2312" w:hAnsi="仿宋_GB2312" w:eastAsia="仿宋_GB2312" w:cs="仿宋_GB2312"/>
          <w:sz w:val="32"/>
          <w:szCs w:val="32"/>
        </w:rPr>
      </w:pPr>
    </w:p>
    <w:p>
      <w:pPr>
        <w:spacing w:line="580" w:lineRule="exact"/>
        <w:ind w:firstLine="640"/>
        <w:rPr>
          <w:rFonts w:ascii="仿宋_GB2312" w:hAnsi="仿宋_GB2312" w:eastAsia="仿宋_GB2312" w:cs="仿宋_GB2312"/>
          <w:sz w:val="32"/>
          <w:szCs w:val="32"/>
        </w:rPr>
      </w:pPr>
    </w:p>
    <w:p>
      <w:pPr>
        <w:spacing w:line="600" w:lineRule="exact"/>
        <w:jc w:val="center"/>
        <w:outlineLvl w:val="0"/>
        <w:rPr>
          <w:rStyle w:val="22"/>
          <w:rFonts w:ascii="黑体" w:hAnsi="黑体" w:eastAsia="黑体"/>
          <w:b w:val="0"/>
        </w:rPr>
      </w:pPr>
      <w:bookmarkStart w:id="117" w:name="_Toc691"/>
      <w:r>
        <w:rPr>
          <w:rFonts w:hint="eastAsia" w:ascii="黑体" w:hAnsi="黑体" w:eastAsia="黑体"/>
          <w:color w:val="000000"/>
          <w:sz w:val="44"/>
          <w:szCs w:val="44"/>
        </w:rPr>
        <w:t>第</w:t>
      </w:r>
      <w:r>
        <w:rPr>
          <w:rStyle w:val="22"/>
          <w:rFonts w:hint="eastAsia" w:ascii="黑体" w:hAnsi="黑体" w:eastAsia="黑体"/>
          <w:b w:val="0"/>
        </w:rPr>
        <w:t>五部分</w:t>
      </w:r>
      <w:r>
        <w:rPr>
          <w:rStyle w:val="22"/>
          <w:rFonts w:ascii="黑体" w:hAnsi="黑体" w:eastAsia="黑体"/>
          <w:b w:val="0"/>
        </w:rPr>
        <w:t xml:space="preserve"> </w:t>
      </w:r>
      <w:r>
        <w:rPr>
          <w:rStyle w:val="22"/>
          <w:rFonts w:hint="eastAsia" w:ascii="黑体" w:hAnsi="黑体" w:eastAsia="黑体"/>
          <w:b w:val="0"/>
        </w:rPr>
        <w:t>附表</w:t>
      </w:r>
      <w:bookmarkEnd w:id="109"/>
      <w:bookmarkEnd w:id="115"/>
      <w:bookmarkEnd w:id="116"/>
      <w:bookmarkEnd w:id="117"/>
    </w:p>
    <w:p>
      <w:pPr>
        <w:pStyle w:val="3"/>
        <w:rPr>
          <w:rFonts w:ascii="仿宋" w:hAnsi="仿宋" w:eastAsia="仿宋"/>
          <w:color w:val="000000"/>
        </w:rPr>
      </w:pPr>
      <w:bookmarkStart w:id="118" w:name="_Toc13643"/>
      <w:bookmarkStart w:id="119" w:name="_Toc79163636"/>
      <w:bookmarkStart w:id="120" w:name="_Toc15396619"/>
      <w:r>
        <w:rPr>
          <w:rFonts w:hint="eastAsia" w:ascii="仿宋" w:hAnsi="仿宋" w:eastAsia="仿宋"/>
          <w:b w:val="0"/>
          <w:color w:val="000000"/>
        </w:rPr>
        <w:t>一、收</w:t>
      </w:r>
      <w:r>
        <w:rPr>
          <w:rStyle w:val="23"/>
          <w:rFonts w:hint="eastAsia" w:ascii="仿宋" w:hAnsi="仿宋" w:eastAsia="仿宋"/>
          <w:b w:val="0"/>
          <w:bCs w:val="0"/>
        </w:rPr>
        <w:t>入支出决算总表</w:t>
      </w:r>
      <w:bookmarkEnd w:id="118"/>
      <w:bookmarkEnd w:id="119"/>
      <w:bookmarkEnd w:id="120"/>
    </w:p>
    <w:p>
      <w:pPr>
        <w:pStyle w:val="3"/>
        <w:rPr>
          <w:rFonts w:ascii="仿宋" w:hAnsi="仿宋" w:eastAsia="仿宋"/>
          <w:color w:val="000000"/>
        </w:rPr>
      </w:pPr>
      <w:bookmarkStart w:id="121" w:name="_Toc6136"/>
      <w:bookmarkStart w:id="122" w:name="_Toc79163637"/>
      <w:bookmarkStart w:id="123" w:name="_Toc15396620"/>
      <w:r>
        <w:rPr>
          <w:rFonts w:hint="eastAsia" w:ascii="仿宋" w:hAnsi="仿宋" w:eastAsia="仿宋"/>
          <w:b w:val="0"/>
          <w:color w:val="000000"/>
        </w:rPr>
        <w:t>二、收</w:t>
      </w:r>
      <w:r>
        <w:rPr>
          <w:rStyle w:val="23"/>
          <w:rFonts w:hint="eastAsia" w:ascii="仿宋" w:hAnsi="仿宋" w:eastAsia="仿宋"/>
          <w:b w:val="0"/>
          <w:bCs w:val="0"/>
        </w:rPr>
        <w:t>入决算表</w:t>
      </w:r>
      <w:bookmarkEnd w:id="121"/>
      <w:bookmarkEnd w:id="122"/>
      <w:bookmarkEnd w:id="123"/>
    </w:p>
    <w:p>
      <w:pPr>
        <w:pStyle w:val="3"/>
        <w:rPr>
          <w:rFonts w:ascii="仿宋" w:hAnsi="仿宋" w:eastAsia="仿宋"/>
          <w:color w:val="000000"/>
        </w:rPr>
      </w:pPr>
      <w:bookmarkStart w:id="124" w:name="_Toc9925"/>
      <w:bookmarkStart w:id="125" w:name="_Toc15396621"/>
      <w:bookmarkStart w:id="126" w:name="_Toc79163638"/>
      <w:r>
        <w:rPr>
          <w:rStyle w:val="23"/>
          <w:rFonts w:hint="eastAsia" w:ascii="仿宋" w:hAnsi="仿宋" w:eastAsia="仿宋"/>
          <w:b w:val="0"/>
          <w:bCs w:val="0"/>
        </w:rPr>
        <w:t>三、</w:t>
      </w:r>
      <w:r>
        <w:rPr>
          <w:rFonts w:hint="eastAsia" w:ascii="仿宋" w:hAnsi="仿宋" w:eastAsia="仿宋"/>
          <w:b w:val="0"/>
          <w:color w:val="000000"/>
        </w:rPr>
        <w:t>支</w:t>
      </w:r>
      <w:r>
        <w:rPr>
          <w:rStyle w:val="23"/>
          <w:rFonts w:hint="eastAsia" w:ascii="仿宋" w:hAnsi="仿宋" w:eastAsia="仿宋"/>
          <w:b w:val="0"/>
          <w:bCs w:val="0"/>
        </w:rPr>
        <w:t>出决算表</w:t>
      </w:r>
      <w:bookmarkEnd w:id="124"/>
      <w:bookmarkEnd w:id="125"/>
      <w:bookmarkEnd w:id="126"/>
    </w:p>
    <w:p>
      <w:pPr>
        <w:pStyle w:val="3"/>
        <w:rPr>
          <w:rFonts w:ascii="仿宋" w:hAnsi="仿宋" w:eastAsia="仿宋"/>
          <w:b w:val="0"/>
          <w:color w:val="000000"/>
        </w:rPr>
      </w:pPr>
      <w:bookmarkStart w:id="127" w:name="_Toc9039"/>
      <w:bookmarkStart w:id="128" w:name="_Toc15396622"/>
      <w:bookmarkStart w:id="129" w:name="_Toc79163639"/>
      <w:r>
        <w:rPr>
          <w:rStyle w:val="23"/>
          <w:rFonts w:hint="eastAsia" w:ascii="仿宋" w:hAnsi="仿宋" w:eastAsia="仿宋"/>
          <w:b w:val="0"/>
          <w:bCs w:val="0"/>
        </w:rPr>
        <w:t>四、</w:t>
      </w:r>
      <w:r>
        <w:rPr>
          <w:rFonts w:hint="eastAsia" w:ascii="仿宋" w:hAnsi="仿宋" w:eastAsia="仿宋"/>
          <w:b w:val="0"/>
          <w:color w:val="000000"/>
        </w:rPr>
        <w:t>财</w:t>
      </w:r>
      <w:r>
        <w:rPr>
          <w:rStyle w:val="23"/>
          <w:rFonts w:hint="eastAsia" w:ascii="仿宋" w:hAnsi="仿宋" w:eastAsia="仿宋"/>
          <w:b w:val="0"/>
          <w:bCs w:val="0"/>
        </w:rPr>
        <w:t>政拨款收入支出决算总表</w:t>
      </w:r>
      <w:bookmarkEnd w:id="127"/>
      <w:bookmarkEnd w:id="128"/>
      <w:bookmarkEnd w:id="129"/>
    </w:p>
    <w:p>
      <w:pPr>
        <w:pStyle w:val="3"/>
        <w:rPr>
          <w:rStyle w:val="23"/>
          <w:rFonts w:ascii="仿宋" w:hAnsi="仿宋" w:eastAsia="仿宋"/>
          <w:b w:val="0"/>
          <w:bCs w:val="0"/>
        </w:rPr>
      </w:pPr>
      <w:bookmarkStart w:id="130" w:name="_Toc15396623"/>
      <w:bookmarkStart w:id="131" w:name="_Toc2699"/>
      <w:bookmarkStart w:id="132" w:name="_Toc79163640"/>
      <w:r>
        <w:rPr>
          <w:rStyle w:val="23"/>
          <w:rFonts w:hint="eastAsia" w:ascii="仿宋" w:hAnsi="仿宋" w:eastAsia="仿宋"/>
          <w:b w:val="0"/>
          <w:bCs w:val="0"/>
        </w:rPr>
        <w:t>五、</w:t>
      </w:r>
      <w:r>
        <w:rPr>
          <w:rFonts w:hint="eastAsia" w:ascii="仿宋" w:hAnsi="仿宋" w:eastAsia="仿宋"/>
          <w:b w:val="0"/>
          <w:color w:val="000000"/>
        </w:rPr>
        <w:t>财</w:t>
      </w:r>
      <w:r>
        <w:rPr>
          <w:rStyle w:val="23"/>
          <w:rFonts w:hint="eastAsia" w:ascii="仿宋" w:hAnsi="仿宋" w:eastAsia="仿宋"/>
          <w:b w:val="0"/>
          <w:bCs w:val="0"/>
        </w:rPr>
        <w:t>政拨款支出决算明细表</w:t>
      </w:r>
      <w:bookmarkEnd w:id="130"/>
      <w:bookmarkEnd w:id="131"/>
      <w:bookmarkEnd w:id="132"/>
      <w:bookmarkStart w:id="133" w:name="_Toc15396624"/>
    </w:p>
    <w:p>
      <w:pPr>
        <w:pStyle w:val="3"/>
        <w:rPr>
          <w:rFonts w:ascii="仿宋" w:hAnsi="仿宋" w:eastAsia="仿宋"/>
          <w:color w:val="000000"/>
        </w:rPr>
      </w:pPr>
      <w:bookmarkStart w:id="134" w:name="_Toc30524"/>
      <w:bookmarkStart w:id="135" w:name="_Toc79163641"/>
      <w:r>
        <w:rPr>
          <w:rStyle w:val="23"/>
          <w:rFonts w:hint="eastAsia" w:ascii="仿宋" w:hAnsi="仿宋" w:eastAsia="仿宋"/>
          <w:b w:val="0"/>
          <w:bCs w:val="0"/>
        </w:rPr>
        <w:t>六、</w:t>
      </w:r>
      <w:r>
        <w:rPr>
          <w:rFonts w:hint="eastAsia" w:ascii="仿宋" w:hAnsi="仿宋" w:eastAsia="仿宋"/>
          <w:b w:val="0"/>
          <w:color w:val="000000"/>
        </w:rPr>
        <w:t>一</w:t>
      </w:r>
      <w:r>
        <w:rPr>
          <w:rStyle w:val="23"/>
          <w:rFonts w:hint="eastAsia" w:ascii="仿宋" w:hAnsi="仿宋" w:eastAsia="仿宋"/>
          <w:b w:val="0"/>
          <w:bCs w:val="0"/>
        </w:rPr>
        <w:t>般公共预算财政拨款支出决算表</w:t>
      </w:r>
      <w:bookmarkEnd w:id="133"/>
      <w:bookmarkEnd w:id="134"/>
      <w:bookmarkEnd w:id="135"/>
    </w:p>
    <w:p>
      <w:pPr>
        <w:pStyle w:val="3"/>
        <w:rPr>
          <w:rFonts w:ascii="仿宋" w:hAnsi="仿宋" w:eastAsia="仿宋"/>
          <w:color w:val="000000"/>
        </w:rPr>
      </w:pPr>
      <w:bookmarkStart w:id="136" w:name="_Toc24365"/>
      <w:bookmarkStart w:id="137" w:name="_Toc79163642"/>
      <w:bookmarkStart w:id="138" w:name="_Toc15396625"/>
      <w:r>
        <w:rPr>
          <w:rStyle w:val="23"/>
          <w:rFonts w:hint="eastAsia" w:ascii="仿宋" w:hAnsi="仿宋" w:eastAsia="仿宋"/>
          <w:b w:val="0"/>
          <w:bCs w:val="0"/>
        </w:rPr>
        <w:t>七、</w:t>
      </w:r>
      <w:r>
        <w:rPr>
          <w:rFonts w:hint="eastAsia" w:ascii="仿宋" w:hAnsi="仿宋" w:eastAsia="仿宋"/>
          <w:b w:val="0"/>
          <w:color w:val="000000"/>
        </w:rPr>
        <w:t>一</w:t>
      </w:r>
      <w:r>
        <w:rPr>
          <w:rStyle w:val="23"/>
          <w:rFonts w:hint="eastAsia" w:ascii="仿宋" w:hAnsi="仿宋" w:eastAsia="仿宋"/>
          <w:b w:val="0"/>
          <w:bCs w:val="0"/>
        </w:rPr>
        <w:t>般公共预算财政拨款支出决算明细表</w:t>
      </w:r>
      <w:bookmarkEnd w:id="136"/>
      <w:bookmarkEnd w:id="137"/>
      <w:bookmarkEnd w:id="138"/>
    </w:p>
    <w:p>
      <w:pPr>
        <w:pStyle w:val="3"/>
        <w:rPr>
          <w:rFonts w:ascii="仿宋" w:hAnsi="仿宋" w:eastAsia="仿宋"/>
          <w:color w:val="000000"/>
        </w:rPr>
      </w:pPr>
      <w:bookmarkStart w:id="139" w:name="_Toc7612"/>
      <w:bookmarkStart w:id="140" w:name="_Toc15396626"/>
      <w:bookmarkStart w:id="141" w:name="_Toc79163643"/>
      <w:r>
        <w:rPr>
          <w:rStyle w:val="23"/>
          <w:rFonts w:hint="eastAsia" w:ascii="仿宋" w:hAnsi="仿宋" w:eastAsia="仿宋"/>
          <w:b w:val="0"/>
          <w:bCs w:val="0"/>
        </w:rPr>
        <w:t>八、</w:t>
      </w:r>
      <w:r>
        <w:rPr>
          <w:rFonts w:hint="eastAsia" w:ascii="仿宋" w:hAnsi="仿宋" w:eastAsia="仿宋"/>
          <w:b w:val="0"/>
          <w:color w:val="000000"/>
        </w:rPr>
        <w:t>一</w:t>
      </w:r>
      <w:r>
        <w:rPr>
          <w:rStyle w:val="23"/>
          <w:rFonts w:hint="eastAsia" w:ascii="仿宋" w:hAnsi="仿宋" w:eastAsia="仿宋"/>
          <w:b w:val="0"/>
          <w:bCs w:val="0"/>
        </w:rPr>
        <w:t>般公共预算财政拨款基本支出决算表</w:t>
      </w:r>
      <w:bookmarkEnd w:id="139"/>
      <w:bookmarkEnd w:id="140"/>
      <w:bookmarkEnd w:id="141"/>
    </w:p>
    <w:p>
      <w:pPr>
        <w:pStyle w:val="3"/>
        <w:rPr>
          <w:rFonts w:ascii="仿宋" w:hAnsi="仿宋" w:eastAsia="仿宋"/>
          <w:color w:val="000000"/>
        </w:rPr>
      </w:pPr>
      <w:bookmarkStart w:id="142" w:name="_Toc15775"/>
      <w:bookmarkStart w:id="143" w:name="_Toc15396627"/>
      <w:bookmarkStart w:id="144" w:name="_Toc79163644"/>
      <w:r>
        <w:rPr>
          <w:rStyle w:val="23"/>
          <w:rFonts w:hint="eastAsia" w:ascii="仿宋" w:hAnsi="仿宋" w:eastAsia="仿宋"/>
          <w:b w:val="0"/>
          <w:bCs w:val="0"/>
        </w:rPr>
        <w:t>九、</w:t>
      </w:r>
      <w:r>
        <w:rPr>
          <w:rFonts w:hint="eastAsia" w:ascii="仿宋" w:hAnsi="仿宋" w:eastAsia="仿宋"/>
          <w:b w:val="0"/>
          <w:color w:val="000000"/>
        </w:rPr>
        <w:t>一</w:t>
      </w:r>
      <w:r>
        <w:rPr>
          <w:rStyle w:val="23"/>
          <w:rFonts w:hint="eastAsia" w:ascii="仿宋" w:hAnsi="仿宋" w:eastAsia="仿宋"/>
          <w:b w:val="0"/>
          <w:bCs w:val="0"/>
        </w:rPr>
        <w:t>般公共预算财政拨款项目支出决算表</w:t>
      </w:r>
      <w:bookmarkEnd w:id="142"/>
      <w:bookmarkEnd w:id="143"/>
      <w:bookmarkEnd w:id="144"/>
    </w:p>
    <w:p>
      <w:pPr>
        <w:pStyle w:val="3"/>
        <w:rPr>
          <w:rFonts w:ascii="仿宋" w:hAnsi="仿宋" w:eastAsia="仿宋"/>
          <w:color w:val="000000"/>
        </w:rPr>
      </w:pPr>
      <w:bookmarkStart w:id="145" w:name="_Toc20275"/>
      <w:bookmarkStart w:id="146" w:name="_Toc15396628"/>
      <w:bookmarkStart w:id="147" w:name="_Toc79163645"/>
      <w:r>
        <w:rPr>
          <w:rStyle w:val="23"/>
          <w:rFonts w:hint="eastAsia" w:ascii="仿宋" w:hAnsi="仿宋" w:eastAsia="仿宋"/>
          <w:b w:val="0"/>
          <w:bCs w:val="0"/>
        </w:rPr>
        <w:t>十、</w:t>
      </w:r>
      <w:r>
        <w:rPr>
          <w:rFonts w:hint="eastAsia" w:ascii="仿宋" w:hAnsi="仿宋" w:eastAsia="仿宋"/>
          <w:b w:val="0"/>
          <w:color w:val="000000"/>
        </w:rPr>
        <w:t>一</w:t>
      </w:r>
      <w:r>
        <w:rPr>
          <w:rStyle w:val="23"/>
          <w:rFonts w:hint="eastAsia" w:ascii="仿宋" w:hAnsi="仿宋" w:eastAsia="仿宋"/>
          <w:b w:val="0"/>
          <w:bCs w:val="0"/>
        </w:rPr>
        <w:t>般公共预算财政拨款“三公”经费支出决算表</w:t>
      </w:r>
      <w:bookmarkEnd w:id="145"/>
      <w:bookmarkEnd w:id="146"/>
      <w:bookmarkEnd w:id="147"/>
    </w:p>
    <w:p>
      <w:pPr>
        <w:pStyle w:val="3"/>
        <w:rPr>
          <w:rFonts w:ascii="仿宋" w:hAnsi="仿宋" w:eastAsia="仿宋"/>
          <w:color w:val="000000"/>
        </w:rPr>
      </w:pPr>
      <w:bookmarkStart w:id="148" w:name="_Toc79163646"/>
      <w:bookmarkStart w:id="149" w:name="_Toc15396629"/>
      <w:bookmarkStart w:id="150" w:name="_Toc31466"/>
      <w:r>
        <w:rPr>
          <w:rStyle w:val="23"/>
          <w:rFonts w:hint="eastAsia" w:ascii="仿宋" w:hAnsi="仿宋" w:eastAsia="仿宋"/>
          <w:b w:val="0"/>
          <w:bCs w:val="0"/>
        </w:rPr>
        <w:t>十一、</w:t>
      </w:r>
      <w:r>
        <w:rPr>
          <w:rFonts w:hint="eastAsia" w:ascii="仿宋" w:hAnsi="仿宋" w:eastAsia="仿宋"/>
          <w:b w:val="0"/>
          <w:color w:val="000000"/>
        </w:rPr>
        <w:t>政</w:t>
      </w:r>
      <w:r>
        <w:rPr>
          <w:rStyle w:val="23"/>
          <w:rFonts w:hint="eastAsia" w:ascii="仿宋" w:hAnsi="仿宋" w:eastAsia="仿宋"/>
          <w:b w:val="0"/>
          <w:bCs w:val="0"/>
        </w:rPr>
        <w:t>府性基金预算财政拨款收入支出决算表</w:t>
      </w:r>
      <w:bookmarkEnd w:id="148"/>
      <w:bookmarkEnd w:id="149"/>
      <w:bookmarkEnd w:id="150"/>
    </w:p>
    <w:p>
      <w:pPr>
        <w:pStyle w:val="3"/>
        <w:rPr>
          <w:rFonts w:ascii="仿宋" w:hAnsi="仿宋" w:eastAsia="仿宋"/>
          <w:color w:val="000000"/>
        </w:rPr>
      </w:pPr>
      <w:bookmarkStart w:id="151" w:name="_Toc15396630"/>
      <w:bookmarkStart w:id="152" w:name="_Toc79163647"/>
      <w:bookmarkStart w:id="153" w:name="_Toc31200"/>
      <w:r>
        <w:rPr>
          <w:rStyle w:val="23"/>
          <w:rFonts w:hint="eastAsia" w:ascii="仿宋" w:hAnsi="仿宋" w:eastAsia="仿宋"/>
          <w:b w:val="0"/>
          <w:bCs w:val="0"/>
        </w:rPr>
        <w:t>十二、</w:t>
      </w:r>
      <w:r>
        <w:rPr>
          <w:rFonts w:hint="eastAsia" w:ascii="仿宋" w:hAnsi="仿宋" w:eastAsia="仿宋"/>
          <w:b w:val="0"/>
          <w:color w:val="000000"/>
        </w:rPr>
        <w:t>政</w:t>
      </w:r>
      <w:r>
        <w:rPr>
          <w:rStyle w:val="23"/>
          <w:rFonts w:hint="eastAsia" w:ascii="仿宋" w:hAnsi="仿宋" w:eastAsia="仿宋"/>
          <w:b w:val="0"/>
          <w:bCs w:val="0"/>
        </w:rPr>
        <w:t>府性基金预算财政拨款“三公”经费支出决算表</w:t>
      </w:r>
      <w:bookmarkEnd w:id="151"/>
      <w:bookmarkEnd w:id="152"/>
      <w:bookmarkEnd w:id="153"/>
    </w:p>
    <w:p>
      <w:pPr>
        <w:pStyle w:val="3"/>
        <w:rPr>
          <w:rStyle w:val="23"/>
          <w:rFonts w:ascii="仿宋" w:hAnsi="仿宋" w:eastAsia="仿宋"/>
          <w:b w:val="0"/>
          <w:bCs w:val="0"/>
        </w:rPr>
      </w:pPr>
      <w:bookmarkStart w:id="154" w:name="_Toc15396631"/>
      <w:bookmarkStart w:id="155" w:name="_Toc19552"/>
      <w:bookmarkStart w:id="156" w:name="_Toc79163648"/>
      <w:r>
        <w:rPr>
          <w:rStyle w:val="23"/>
          <w:rFonts w:hint="eastAsia" w:ascii="仿宋" w:hAnsi="仿宋" w:eastAsia="仿宋"/>
          <w:b w:val="0"/>
          <w:bCs w:val="0"/>
        </w:rPr>
        <w:t>十三、</w:t>
      </w:r>
      <w:r>
        <w:rPr>
          <w:rFonts w:hint="eastAsia" w:ascii="仿宋" w:hAnsi="仿宋" w:eastAsia="仿宋"/>
          <w:b w:val="0"/>
          <w:color w:val="000000"/>
        </w:rPr>
        <w:t>国</w:t>
      </w:r>
      <w:r>
        <w:rPr>
          <w:rStyle w:val="23"/>
          <w:rFonts w:hint="eastAsia" w:ascii="仿宋" w:hAnsi="仿宋" w:eastAsia="仿宋"/>
          <w:b w:val="0"/>
          <w:bCs w:val="0"/>
        </w:rPr>
        <w:t>有资本经营预算财政拨款支出决算表</w:t>
      </w:r>
      <w:bookmarkEnd w:id="154"/>
      <w:bookmarkEnd w:id="155"/>
      <w:bookmarkEnd w:id="156"/>
    </w:p>
    <w:p>
      <w:pPr>
        <w:pStyle w:val="3"/>
        <w:rPr>
          <w:rStyle w:val="23"/>
          <w:rFonts w:ascii="仿宋" w:hAnsi="仿宋" w:eastAsia="仿宋"/>
          <w:b w:val="0"/>
          <w:bCs w:val="0"/>
        </w:rPr>
      </w:pPr>
      <w:bookmarkStart w:id="157" w:name="_Toc79163649"/>
      <w:bookmarkStart w:id="158" w:name="_Toc9638"/>
      <w:r>
        <w:rPr>
          <w:rStyle w:val="23"/>
          <w:rFonts w:hint="eastAsia" w:ascii="仿宋" w:hAnsi="仿宋" w:eastAsia="仿宋"/>
          <w:b w:val="0"/>
          <w:bCs w:val="0"/>
        </w:rPr>
        <w:t>十四、国有资本经营预算财政拨款支出决算表</w:t>
      </w:r>
      <w:bookmarkEnd w:id="157"/>
      <w:bookmarkEnd w:id="158"/>
    </w:p>
    <w:sectPr>
      <w:footerReference r:id="rId5" w:type="first"/>
      <w:footerReference r:id="rId4"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方正小标宋简体">
    <w:altName w:val="Arial Unicode MS"/>
    <w:panose1 w:val="03000509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ACF3C50" w:usb2="00000016" w:usb3="00000000" w:csb0="0004001F" w:csb1="00000000"/>
  </w:font>
  <w:font w:name="微软雅黑 Light">
    <w:panose1 w:val="020B0502040204020203"/>
    <w:charset w:val="86"/>
    <w:family w:val="auto"/>
    <w:pitch w:val="default"/>
    <w:sig w:usb0="80000287" w:usb1="2ACF0010" w:usb2="00000016" w:usb3="00000000" w:csb0="0004001F" w:csb1="00000000"/>
  </w:font>
  <w:font w:name="Arial">
    <w:panose1 w:val="020B0604020202020204"/>
    <w:charset w:val="00"/>
    <w:family w:val=""/>
    <w:pitch w:val="default"/>
    <w:sig w:usb0="E0002EFF" w:usb1="C000785B" w:usb2="00000009" w:usb3="00000000" w:csb0="400001FF" w:csb1="FFFF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PAGE   \* MERGEFORMAT</w:instrText>
    </w:r>
    <w:r>
      <w:fldChar w:fldCharType="separate"/>
    </w:r>
    <w:r>
      <w:rPr>
        <w:lang w:val="zh-CN"/>
      </w:rPr>
      <w:t>3</w:t>
    </w:r>
    <w:r>
      <w:fldChar w:fldCharType="end"/>
    </w:r>
  </w:p>
  <w:p>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7770C8C"/>
    <w:multiLevelType w:val="singleLevel"/>
    <w:tmpl w:val="C7770C8C"/>
    <w:lvl w:ilvl="0" w:tentative="0">
      <w:start w:val="4"/>
      <w:numFmt w:val="chineseCounting"/>
      <w:suff w:val="nothing"/>
      <w:lvlText w:val="（%1）"/>
      <w:lvlJc w:val="left"/>
      <w:rPr>
        <w:rFonts w:hint="eastAsia"/>
      </w:rPr>
    </w:lvl>
  </w:abstractNum>
  <w:abstractNum w:abstractNumId="1">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2">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3">
    <w:nsid w:val="EC0BEF30"/>
    <w:multiLevelType w:val="singleLevel"/>
    <w:tmpl w:val="EC0BEF30"/>
    <w:lvl w:ilvl="0" w:tentative="0">
      <w:start w:val="1"/>
      <w:numFmt w:val="chineseCounting"/>
      <w:suff w:val="nothing"/>
      <w:lvlText w:val="（%1）"/>
      <w:lvlJc w:val="left"/>
      <w:rPr>
        <w:rFonts w:hint="eastAsia" w:ascii="楷体_GB2312" w:hAnsi="楷体_GB2312" w:eastAsia="楷体_GB2312" w:cs="楷体_GB2312"/>
        <w:b/>
        <w:bCs/>
        <w:sz w:val="32"/>
        <w:szCs w:val="32"/>
      </w:rPr>
    </w:lvl>
  </w:abstractNum>
  <w:abstractNum w:abstractNumId="4">
    <w:nsid w:val="69C8E294"/>
    <w:multiLevelType w:val="singleLevel"/>
    <w:tmpl w:val="69C8E294"/>
    <w:lvl w:ilvl="0" w:tentative="0">
      <w:start w:val="2"/>
      <w:numFmt w:val="chineseCounting"/>
      <w:suff w:val="nothing"/>
      <w:lvlText w:val="（%1）"/>
      <w:lvlJc w:val="left"/>
      <w:rPr>
        <w:rFonts w:hint="eastAsia"/>
      </w:rPr>
    </w:lvl>
  </w:abstractNum>
  <w:abstractNum w:abstractNumId="5">
    <w:nsid w:val="74B100DC"/>
    <w:multiLevelType w:val="multilevel"/>
    <w:tmpl w:val="74B100DC"/>
    <w:lvl w:ilvl="0" w:tentative="0">
      <w:start w:val="3"/>
      <w:numFmt w:val="japaneseCounting"/>
      <w:lvlText w:val="（%1）"/>
      <w:lvlJc w:val="left"/>
      <w:pPr>
        <w:ind w:left="1720" w:hanging="108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1"/>
  </w:num>
  <w:num w:numId="2">
    <w:abstractNumId w:val="0"/>
  </w:num>
  <w:num w:numId="3">
    <w:abstractNumId w:val="3"/>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A3ZDk3NTMwYjMzNDY5ZDhhOGJlNWNlMDY4YmQ2MjA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56262"/>
    <w:rsid w:val="00260C38"/>
    <w:rsid w:val="002616C0"/>
    <w:rsid w:val="00265372"/>
    <w:rsid w:val="002662AA"/>
    <w:rsid w:val="0027224D"/>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E6FE4"/>
    <w:rsid w:val="00406254"/>
    <w:rsid w:val="004223DE"/>
    <w:rsid w:val="00434489"/>
    <w:rsid w:val="00437085"/>
    <w:rsid w:val="00443880"/>
    <w:rsid w:val="00445607"/>
    <w:rsid w:val="004464F4"/>
    <w:rsid w:val="00471401"/>
    <w:rsid w:val="00473F31"/>
    <w:rsid w:val="0048263A"/>
    <w:rsid w:val="00487E5D"/>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4B0"/>
    <w:rsid w:val="00DC7CBA"/>
    <w:rsid w:val="00DD73B7"/>
    <w:rsid w:val="00DF28BC"/>
    <w:rsid w:val="00DF34B9"/>
    <w:rsid w:val="00E01053"/>
    <w:rsid w:val="00E07ACF"/>
    <w:rsid w:val="00E32CAD"/>
    <w:rsid w:val="00E331A1"/>
    <w:rsid w:val="00E33202"/>
    <w:rsid w:val="00E336A9"/>
    <w:rsid w:val="00E472B1"/>
    <w:rsid w:val="00E50624"/>
    <w:rsid w:val="00E568DF"/>
    <w:rsid w:val="00E64269"/>
    <w:rsid w:val="00E70975"/>
    <w:rsid w:val="00E82267"/>
    <w:rsid w:val="00E853CE"/>
    <w:rsid w:val="00E867B6"/>
    <w:rsid w:val="00EA010F"/>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65B6B5C"/>
    <w:rsid w:val="08D81915"/>
    <w:rsid w:val="093920B1"/>
    <w:rsid w:val="0A2032A3"/>
    <w:rsid w:val="0F0079B9"/>
    <w:rsid w:val="10C055FF"/>
    <w:rsid w:val="118107EC"/>
    <w:rsid w:val="16BB723D"/>
    <w:rsid w:val="1D155CEE"/>
    <w:rsid w:val="240371BF"/>
    <w:rsid w:val="279C3AA0"/>
    <w:rsid w:val="29FD04D3"/>
    <w:rsid w:val="319F7F4E"/>
    <w:rsid w:val="32170FC4"/>
    <w:rsid w:val="326B7F22"/>
    <w:rsid w:val="35DD3740"/>
    <w:rsid w:val="390B4A1D"/>
    <w:rsid w:val="3A056FBD"/>
    <w:rsid w:val="40EB6D09"/>
    <w:rsid w:val="4ECE2238"/>
    <w:rsid w:val="535819EF"/>
    <w:rsid w:val="66A430C8"/>
    <w:rsid w:val="694D5C00"/>
    <w:rsid w:val="6AA22FB7"/>
    <w:rsid w:val="6C4A05C8"/>
    <w:rsid w:val="72734D90"/>
    <w:rsid w:val="7E5C12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2"/>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3"/>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link w:val="24"/>
    <w:qFormat/>
    <w:uiPriority w:val="9"/>
    <w:pPr>
      <w:keepNext/>
      <w:keepLines/>
      <w:spacing w:before="260" w:after="260" w:line="416" w:lineRule="auto"/>
      <w:outlineLvl w:val="2"/>
    </w:pPr>
    <w:rPr>
      <w:b/>
      <w:bCs/>
      <w:sz w:val="32"/>
      <w:szCs w:val="32"/>
    </w:rPr>
  </w:style>
  <w:style w:type="character" w:default="1" w:styleId="19">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unhideWhenUsed/>
    <w:qFormat/>
    <w:uiPriority w:val="39"/>
    <w:pPr>
      <w:ind w:left="1260"/>
      <w:jc w:val="left"/>
    </w:pPr>
    <w:rPr>
      <w:rFonts w:asciiTheme="minorHAnsi" w:eastAsiaTheme="minorHAnsi"/>
      <w:sz w:val="18"/>
      <w:szCs w:val="18"/>
    </w:rPr>
  </w:style>
  <w:style w:type="paragraph" w:styleId="6">
    <w:name w:val="Body Text"/>
    <w:basedOn w:val="1"/>
    <w:link w:val="31"/>
    <w:qFormat/>
    <w:uiPriority w:val="99"/>
    <w:pPr>
      <w:spacing w:beforeLines="30"/>
    </w:pPr>
    <w:rPr>
      <w:rFonts w:ascii="仿宋_GB2312" w:eastAsia="仿宋_GB2312"/>
      <w:kern w:val="0"/>
      <w:sz w:val="24"/>
      <w:szCs w:val="20"/>
      <w:lang w:val="zh-CN" w:eastAsia="zh-CN"/>
    </w:rPr>
  </w:style>
  <w:style w:type="paragraph" w:styleId="7">
    <w:name w:val="toc 5"/>
    <w:basedOn w:val="1"/>
    <w:next w:val="1"/>
    <w:unhideWhenUsed/>
    <w:qFormat/>
    <w:uiPriority w:val="39"/>
    <w:pPr>
      <w:ind w:left="840"/>
      <w:jc w:val="left"/>
    </w:pPr>
    <w:rPr>
      <w:rFonts w:asciiTheme="minorHAnsi" w:eastAsiaTheme="minorHAnsi"/>
      <w:sz w:val="18"/>
      <w:szCs w:val="18"/>
    </w:rPr>
  </w:style>
  <w:style w:type="paragraph" w:styleId="8">
    <w:name w:val="toc 3"/>
    <w:basedOn w:val="1"/>
    <w:next w:val="1"/>
    <w:unhideWhenUsed/>
    <w:qFormat/>
    <w:uiPriority w:val="39"/>
    <w:pPr>
      <w:ind w:left="420"/>
      <w:jc w:val="left"/>
    </w:pPr>
    <w:rPr>
      <w:rFonts w:asciiTheme="minorHAnsi" w:eastAsiaTheme="minorHAnsi"/>
      <w:i/>
      <w:iCs/>
      <w:sz w:val="20"/>
      <w:szCs w:val="20"/>
    </w:rPr>
  </w:style>
  <w:style w:type="paragraph" w:styleId="9">
    <w:name w:val="toc 8"/>
    <w:basedOn w:val="1"/>
    <w:next w:val="1"/>
    <w:unhideWhenUsed/>
    <w:qFormat/>
    <w:uiPriority w:val="39"/>
    <w:pPr>
      <w:ind w:left="1470"/>
      <w:jc w:val="left"/>
    </w:pPr>
    <w:rPr>
      <w:rFonts w:asciiTheme="minorHAnsi" w:eastAsiaTheme="minorHAnsi"/>
      <w:sz w:val="18"/>
      <w:szCs w:val="18"/>
    </w:rPr>
  </w:style>
  <w:style w:type="paragraph" w:styleId="10">
    <w:name w:val="Balloon Text"/>
    <w:basedOn w:val="1"/>
    <w:link w:val="26"/>
    <w:semiHidden/>
    <w:unhideWhenUsed/>
    <w:qFormat/>
    <w:uiPriority w:val="99"/>
    <w:rPr>
      <w:sz w:val="18"/>
      <w:szCs w:val="18"/>
    </w:rPr>
  </w:style>
  <w:style w:type="paragraph" w:styleId="11">
    <w:name w:val="footer"/>
    <w:basedOn w:val="1"/>
    <w:link w:val="30"/>
    <w:qFormat/>
    <w:uiPriority w:val="99"/>
    <w:pPr>
      <w:tabs>
        <w:tab w:val="center" w:pos="4153"/>
        <w:tab w:val="right" w:pos="8306"/>
      </w:tabs>
      <w:snapToGrid w:val="0"/>
      <w:jc w:val="left"/>
    </w:pPr>
    <w:rPr>
      <w:rFonts w:ascii="Calibri" w:hAnsi="Calibri"/>
      <w:kern w:val="0"/>
      <w:sz w:val="18"/>
      <w:szCs w:val="20"/>
      <w:lang w:val="zh-CN" w:eastAsia="zh-CN"/>
    </w:rPr>
  </w:style>
  <w:style w:type="paragraph" w:styleId="12">
    <w:name w:val="header"/>
    <w:basedOn w:val="1"/>
    <w:link w:val="29"/>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eastAsia="zh-CN"/>
    </w:rPr>
  </w:style>
  <w:style w:type="paragraph" w:styleId="13">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4">
    <w:name w:val="toc 4"/>
    <w:basedOn w:val="1"/>
    <w:next w:val="1"/>
    <w:unhideWhenUsed/>
    <w:qFormat/>
    <w:uiPriority w:val="39"/>
    <w:pPr>
      <w:ind w:left="630"/>
      <w:jc w:val="left"/>
    </w:pPr>
    <w:rPr>
      <w:rFonts w:asciiTheme="minorHAnsi" w:eastAsiaTheme="minorHAnsi"/>
      <w:sz w:val="18"/>
      <w:szCs w:val="18"/>
    </w:rPr>
  </w:style>
  <w:style w:type="paragraph" w:styleId="15">
    <w:name w:val="toc 6"/>
    <w:basedOn w:val="1"/>
    <w:next w:val="1"/>
    <w:unhideWhenUsed/>
    <w:qFormat/>
    <w:uiPriority w:val="39"/>
    <w:pPr>
      <w:ind w:left="1050"/>
      <w:jc w:val="left"/>
    </w:pPr>
    <w:rPr>
      <w:rFonts w:asciiTheme="minorHAnsi" w:eastAsiaTheme="minorHAnsi"/>
      <w:sz w:val="18"/>
      <w:szCs w:val="18"/>
    </w:rPr>
  </w:style>
  <w:style w:type="paragraph" w:styleId="16">
    <w:name w:val="toc 2"/>
    <w:basedOn w:val="1"/>
    <w:next w:val="1"/>
    <w:unhideWhenUsed/>
    <w:qFormat/>
    <w:uiPriority w:val="39"/>
    <w:pPr>
      <w:ind w:left="210"/>
      <w:jc w:val="left"/>
    </w:pPr>
    <w:rPr>
      <w:rFonts w:asciiTheme="minorHAnsi" w:eastAsiaTheme="minorHAnsi"/>
      <w:smallCaps/>
      <w:sz w:val="20"/>
      <w:szCs w:val="20"/>
    </w:rPr>
  </w:style>
  <w:style w:type="paragraph" w:styleId="17">
    <w:name w:val="toc 9"/>
    <w:basedOn w:val="1"/>
    <w:next w:val="1"/>
    <w:unhideWhenUsed/>
    <w:qFormat/>
    <w:uiPriority w:val="39"/>
    <w:pPr>
      <w:ind w:left="1680"/>
      <w:jc w:val="left"/>
    </w:pPr>
    <w:rPr>
      <w:rFonts w:asciiTheme="minorHAnsi" w:eastAsiaTheme="minorHAnsi"/>
      <w:sz w:val="18"/>
      <w:szCs w:val="18"/>
    </w:rPr>
  </w:style>
  <w:style w:type="character" w:styleId="20">
    <w:name w:val="Strong"/>
    <w:basedOn w:val="19"/>
    <w:qFormat/>
    <w:uiPriority w:val="99"/>
    <w:rPr>
      <w:rFonts w:cs="Times New Roman"/>
      <w:b/>
    </w:rPr>
  </w:style>
  <w:style w:type="character" w:styleId="21">
    <w:name w:val="Hyperlink"/>
    <w:basedOn w:val="19"/>
    <w:unhideWhenUsed/>
    <w:qFormat/>
    <w:uiPriority w:val="99"/>
    <w:rPr>
      <w:rFonts w:cs="Times New Roman"/>
      <w:color w:val="0000FF"/>
      <w:u w:val="single"/>
    </w:rPr>
  </w:style>
  <w:style w:type="character" w:customStyle="1" w:styleId="22">
    <w:name w:val="标题 1 字符"/>
    <w:basedOn w:val="19"/>
    <w:link w:val="2"/>
    <w:qFormat/>
    <w:locked/>
    <w:uiPriority w:val="9"/>
    <w:rPr>
      <w:rFonts w:ascii="Times New Roman" w:hAnsi="Times New Roman" w:cs="Times New Roman"/>
      <w:b/>
      <w:bCs/>
      <w:kern w:val="44"/>
      <w:sz w:val="44"/>
      <w:szCs w:val="44"/>
    </w:rPr>
  </w:style>
  <w:style w:type="character" w:customStyle="1" w:styleId="23">
    <w:name w:val="标题 2 字符"/>
    <w:basedOn w:val="19"/>
    <w:link w:val="3"/>
    <w:qFormat/>
    <w:locked/>
    <w:uiPriority w:val="9"/>
    <w:rPr>
      <w:rFonts w:ascii="Cambria" w:hAnsi="Cambria" w:eastAsia="宋体" w:cs="Times New Roman"/>
      <w:b/>
      <w:bCs/>
      <w:kern w:val="2"/>
      <w:sz w:val="32"/>
      <w:szCs w:val="32"/>
    </w:rPr>
  </w:style>
  <w:style w:type="character" w:customStyle="1" w:styleId="24">
    <w:name w:val="标题 3 字符"/>
    <w:basedOn w:val="19"/>
    <w:link w:val="4"/>
    <w:qFormat/>
    <w:locked/>
    <w:uiPriority w:val="9"/>
    <w:rPr>
      <w:rFonts w:ascii="Times New Roman" w:hAnsi="Times New Roman" w:cs="Times New Roman"/>
      <w:b/>
      <w:bCs/>
      <w:kern w:val="2"/>
      <w:sz w:val="32"/>
      <w:szCs w:val="32"/>
    </w:rPr>
  </w:style>
  <w:style w:type="character" w:customStyle="1" w:styleId="25">
    <w:name w:val="Body Text Char"/>
    <w:basedOn w:val="19"/>
    <w:semiHidden/>
    <w:qFormat/>
    <w:uiPriority w:val="99"/>
    <w:rPr>
      <w:rFonts w:ascii="Times New Roman" w:hAnsi="Times New Roman" w:cs="Times New Roman"/>
      <w:sz w:val="24"/>
      <w:szCs w:val="24"/>
    </w:rPr>
  </w:style>
  <w:style w:type="character" w:customStyle="1" w:styleId="26">
    <w:name w:val="批注框文本 字符"/>
    <w:basedOn w:val="19"/>
    <w:link w:val="10"/>
    <w:semiHidden/>
    <w:qFormat/>
    <w:locked/>
    <w:uiPriority w:val="99"/>
    <w:rPr>
      <w:rFonts w:ascii="Times New Roman" w:hAnsi="Times New Roman" w:cs="Times New Roman"/>
      <w:kern w:val="2"/>
      <w:sz w:val="18"/>
      <w:szCs w:val="18"/>
    </w:rPr>
  </w:style>
  <w:style w:type="character" w:customStyle="1" w:styleId="27">
    <w:name w:val="Footer Char"/>
    <w:basedOn w:val="19"/>
    <w:semiHidden/>
    <w:qFormat/>
    <w:uiPriority w:val="99"/>
    <w:rPr>
      <w:rFonts w:ascii="Times New Roman" w:hAnsi="Times New Roman" w:cs="Times New Roman"/>
      <w:sz w:val="18"/>
      <w:szCs w:val="18"/>
    </w:rPr>
  </w:style>
  <w:style w:type="character" w:customStyle="1" w:styleId="28">
    <w:name w:val="Header Char"/>
    <w:basedOn w:val="19"/>
    <w:semiHidden/>
    <w:qFormat/>
    <w:uiPriority w:val="99"/>
    <w:rPr>
      <w:rFonts w:ascii="Times New Roman" w:hAnsi="Times New Roman" w:cs="Times New Roman"/>
      <w:sz w:val="18"/>
      <w:szCs w:val="18"/>
    </w:rPr>
  </w:style>
  <w:style w:type="character" w:customStyle="1" w:styleId="29">
    <w:name w:val="页眉 字符"/>
    <w:link w:val="12"/>
    <w:semiHidden/>
    <w:qFormat/>
    <w:locked/>
    <w:uiPriority w:val="99"/>
    <w:rPr>
      <w:sz w:val="18"/>
    </w:rPr>
  </w:style>
  <w:style w:type="character" w:customStyle="1" w:styleId="30">
    <w:name w:val="页脚 字符"/>
    <w:link w:val="11"/>
    <w:qFormat/>
    <w:locked/>
    <w:uiPriority w:val="99"/>
    <w:rPr>
      <w:sz w:val="18"/>
    </w:rPr>
  </w:style>
  <w:style w:type="character" w:customStyle="1" w:styleId="31">
    <w:name w:val="正文文本 字符"/>
    <w:link w:val="6"/>
    <w:qFormat/>
    <w:locked/>
    <w:uiPriority w:val="99"/>
    <w:rPr>
      <w:rFonts w:ascii="仿宋_GB2312" w:hAnsi="Times New Roman" w:eastAsia="仿宋_GB2312"/>
      <w:sz w:val="24"/>
    </w:rPr>
  </w:style>
  <w:style w:type="paragraph" w:customStyle="1" w:styleId="3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3">
    <w:name w:val="列表段落1"/>
    <w:basedOn w:val="1"/>
    <w:qFormat/>
    <w:uiPriority w:val="34"/>
    <w:pPr>
      <w:ind w:firstLine="420" w:firstLineChars="200"/>
    </w:pPr>
  </w:style>
  <w:style w:type="paragraph" w:customStyle="1" w:styleId="34">
    <w:name w:val="TOC 标题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5">
    <w:name w:val="TOC Heading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6">
    <w:name w:val="TOC Heading"/>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paragraph" w:styleId="3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numbering" Target="numbering.xml"/><Relationship Id="rId13" Type="http://schemas.openxmlformats.org/officeDocument/2006/relationships/chart" Target="charts/chart7.xml"/><Relationship Id="rId12" Type="http://schemas.openxmlformats.org/officeDocument/2006/relationships/chart" Target="charts/chart6.xml"/><Relationship Id="rId11" Type="http://schemas.openxmlformats.org/officeDocument/2006/relationships/chart" Target="charts/chart5.xml"/><Relationship Id="rId10" Type="http://schemas.openxmlformats.org/officeDocument/2006/relationships/chart" Target="charts/chart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31119;&#26143;\AppData\Local\Temp\wps.a13024\Workbook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Lenovo\Desktop\&#26032;&#24314;%20XLS%20&#24037;&#20316;&#34920;.xls" TargetMode="External"/></Relationships>
</file>

<file path=word/charts/_rels/chart3.xml.rels><?xml version="1.0" encoding="UTF-8" standalone="yes"?>
<Relationships xmlns="http://schemas.openxmlformats.org/package/2006/relationships"><Relationship Id="rId4" Type="http://schemas.microsoft.com/office/2011/relationships/chartColorStyle" Target="colors2.xml"/><Relationship Id="rId3" Type="http://schemas.microsoft.com/office/2011/relationships/chartStyle" Target="style2.xml"/><Relationship Id="rId2" Type="http://schemas.openxmlformats.org/officeDocument/2006/relationships/themeOverride" Target="../theme/themeOverride2.xml"/><Relationship Id="rId1" Type="http://schemas.openxmlformats.org/officeDocument/2006/relationships/package" Target="../embeddings/Workbook2.xlsx"/></Relationships>
</file>

<file path=word/charts/_rels/chart4.xml.rels><?xml version="1.0" encoding="UTF-8" standalone="yes"?>
<Relationships xmlns="http://schemas.openxmlformats.org/package/2006/relationships"><Relationship Id="rId4" Type="http://schemas.microsoft.com/office/2011/relationships/chartColorStyle" Target="colors4.xml"/><Relationship Id="rId3" Type="http://schemas.microsoft.com/office/2011/relationships/chartStyle" Target="style4.xml"/><Relationship Id="rId2" Type="http://schemas.openxmlformats.org/officeDocument/2006/relationships/themeOverride" Target="../theme/themeOverride4.xml"/><Relationship Id="rId1" Type="http://schemas.openxmlformats.org/officeDocument/2006/relationships/package" Target="../embeddings/Workbook5.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6.xml.rels><?xml version="1.0" encoding="UTF-8" standalone="yes"?>
<Relationships xmlns="http://schemas.openxmlformats.org/package/2006/relationships"><Relationship Id="rId4" Type="http://schemas.microsoft.com/office/2011/relationships/chartColorStyle" Target="colors1.xml"/><Relationship Id="rId3" Type="http://schemas.microsoft.com/office/2011/relationships/chartStyle" Target="style1.xml"/><Relationship Id="rId2" Type="http://schemas.openxmlformats.org/officeDocument/2006/relationships/themeOverride" Target="../theme/themeOverride1.xml"/><Relationship Id="rId1" Type="http://schemas.openxmlformats.org/officeDocument/2006/relationships/package" Target="../embeddings/Workbook1.xlsx"/></Relationships>
</file>

<file path=word/charts/_rels/chart7.xml.rels><?xml version="1.0" encoding="UTF-8" standalone="yes"?>
<Relationships xmlns="http://schemas.openxmlformats.org/package/2006/relationships"><Relationship Id="rId5" Type="http://schemas.microsoft.com/office/2011/relationships/chartColorStyle" Target="colors3.xml"/><Relationship Id="rId4" Type="http://schemas.microsoft.com/office/2011/relationships/chartStyle" Target="style3.xml"/><Relationship Id="rId3" Type="http://schemas.openxmlformats.org/officeDocument/2006/relationships/image" Target="../media/image1.png"/><Relationship Id="rId2" Type="http://schemas.openxmlformats.org/officeDocument/2006/relationships/themeOverride" Target="../theme/themeOverride3.xml"/><Relationship Id="rId1" Type="http://schemas.openxmlformats.org/officeDocument/2006/relationships/package" Target="../embeddings/Workbook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en-US"/>
              <a:t>收支决算总计变动图</a:t>
            </a:r>
            <a:endParaRPr lang="zh-CN" altLang="en-US"/>
          </a:p>
        </c:rich>
      </c:tx>
      <c:layout>
        <c:manualLayout>
          <c:xMode val="edge"/>
          <c:yMode val="edge"/>
          <c:x val="0.321833333333333"/>
          <c:y val="0.0231481481481481"/>
        </c:manualLayout>
      </c:layout>
      <c:overlay val="0"/>
    </c:title>
    <c:autoTitleDeleted val="0"/>
    <c:plotArea>
      <c:layout>
        <c:manualLayout>
          <c:layoutTarget val="inner"/>
          <c:xMode val="edge"/>
          <c:yMode val="edge"/>
          <c:x val="0.2343822663153"/>
          <c:y val="0.23534338358459"/>
          <c:w val="0.731514493876918"/>
          <c:h val="0.438860971524288"/>
        </c:manualLayout>
      </c:layout>
      <c:barChart>
        <c:barDir val="col"/>
        <c:grouping val="clustered"/>
        <c:varyColors val="0"/>
        <c:ser>
          <c:idx val="0"/>
          <c:order val="0"/>
          <c:tx>
            <c:strRef>
              <c:f>[Workbook1.xlsx]Sheet1!$A$2</c:f>
              <c:strCache>
                <c:ptCount val="1"/>
                <c:pt idx="0">
                  <c:v>2020年</c:v>
                </c:pt>
              </c:strCache>
            </c:strRef>
          </c:tx>
          <c:invertIfNegative val="0"/>
          <c:dLbls>
            <c:delete val="1"/>
          </c:dLbls>
          <c:cat>
            <c:strRef>
              <c:f>[Workbook1.xlsx]Sheet1!$B$1:$D$1</c:f>
              <c:strCache>
                <c:ptCount val="3"/>
                <c:pt idx="0" c:formatCode="0.00_);[Red]\(0.00\)">
                  <c:v>收入</c:v>
                </c:pt>
                <c:pt idx="1" c:formatCode="0.00_);[Red]\(0.00\)">
                  <c:v>支出</c:v>
                </c:pt>
                <c:pt idx="2" c:formatCode="0.00_);[Red]\(0.00\)">
                  <c:v>增长</c:v>
                </c:pt>
              </c:strCache>
            </c:strRef>
          </c:cat>
          <c:val>
            <c:numRef>
              <c:f>[Workbook1.xlsx]Sheet1!$B$2:$D$2</c:f>
              <c:numCache>
                <c:formatCode>0.00_);[Red]\(0.00\)</c:formatCode>
                <c:ptCount val="3"/>
                <c:pt idx="0">
                  <c:v>1580.13</c:v>
                </c:pt>
                <c:pt idx="1">
                  <c:v>1285.83</c:v>
                </c:pt>
                <c:pt idx="2">
                  <c:v>193.67</c:v>
                </c:pt>
              </c:numCache>
            </c:numRef>
          </c:val>
        </c:ser>
        <c:ser>
          <c:idx val="1"/>
          <c:order val="1"/>
          <c:tx>
            <c:strRef>
              <c:f>[Workbook1.xlsx]Sheet1!$A$3</c:f>
              <c:strCache>
                <c:ptCount val="1"/>
                <c:pt idx="0">
                  <c:v>2019年</c:v>
                </c:pt>
              </c:strCache>
            </c:strRef>
          </c:tx>
          <c:invertIfNegative val="0"/>
          <c:dLbls>
            <c:delete val="1"/>
          </c:dLbls>
          <c:cat>
            <c:strRef>
              <c:f>[Workbook1.xlsx]Sheet1!$B$1:$D$1</c:f>
              <c:strCache>
                <c:ptCount val="3"/>
                <c:pt idx="0" c:formatCode="0.00_);[Red]\(0.00\)">
                  <c:v>收入</c:v>
                </c:pt>
                <c:pt idx="1" c:formatCode="0.00_);[Red]\(0.00\)">
                  <c:v>支出</c:v>
                </c:pt>
                <c:pt idx="2" c:formatCode="0.00_);[Red]\(0.00\)">
                  <c:v>增长</c:v>
                </c:pt>
              </c:strCache>
            </c:strRef>
          </c:cat>
          <c:val>
            <c:numRef>
              <c:f>[Workbook1.xlsx]Sheet1!$B$3:$D$3</c:f>
              <c:numCache>
                <c:formatCode>0.00_);[Red]\(0.00\)</c:formatCode>
                <c:ptCount val="3"/>
                <c:pt idx="0">
                  <c:v>1386.46</c:v>
                </c:pt>
                <c:pt idx="1">
                  <c:v>1409.13</c:v>
                </c:pt>
                <c:pt idx="2">
                  <c:v>-123.3</c:v>
                </c:pt>
              </c:numCache>
            </c:numRef>
          </c:val>
        </c:ser>
        <c:dLbls>
          <c:showLegendKey val="0"/>
          <c:showVal val="0"/>
          <c:showCatName val="0"/>
          <c:showSerName val="0"/>
          <c:showPercent val="0"/>
          <c:showBubbleSize val="0"/>
        </c:dLbls>
        <c:gapWidth val="150"/>
        <c:axId val="141358592"/>
        <c:axId val="39658624"/>
      </c:barChart>
      <c:catAx>
        <c:axId val="141358592"/>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39658624"/>
        <c:crosses val="autoZero"/>
        <c:auto val="1"/>
        <c:lblAlgn val="ctr"/>
        <c:lblOffset val="100"/>
        <c:noMultiLvlLbl val="0"/>
      </c:catAx>
      <c:valAx>
        <c:axId val="39658624"/>
        <c:scaling>
          <c:orientation val="minMax"/>
        </c:scaling>
        <c:delete val="0"/>
        <c:axPos val="l"/>
        <c:majorGridlines/>
        <c:title>
          <c:layout/>
          <c:overlay val="0"/>
          <c:txPr>
            <a:bodyPr rot="-5400000" spcFirstLastPara="0" vertOverflow="ellipsis" vert="horz" wrap="square" anchor="ctr" anchorCtr="1"/>
            <a:lstStyle/>
            <a:p>
              <a:pPr>
                <a:defRPr lang="zh-CN" sz="1000" b="1" i="0" u="none" strike="noStrike" kern="1200" baseline="0">
                  <a:solidFill>
                    <a:schemeClr val="tx1"/>
                  </a:solidFill>
                  <a:latin typeface="+mn-lt"/>
                  <a:ea typeface="+mn-ea"/>
                  <a:cs typeface="+mn-cs"/>
                </a:defRPr>
              </a:pPr>
            </a:p>
          </c:txPr>
        </c:title>
        <c:numFmt formatCode="0.00_);[Red]\(0.00\)"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41358592"/>
        <c:crosses val="autoZero"/>
        <c:crossBetween val="between"/>
      </c:valAx>
      <c:dTable>
        <c:showHorzBorder val="1"/>
        <c:showVertBorder val="1"/>
        <c:showOutline val="1"/>
        <c:showKeys val="1"/>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dTable>
    </c:plotArea>
    <c:plotVisOnly val="1"/>
    <c:dispBlanksAs val="gap"/>
    <c:showDLblsOverMax val="0"/>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rgbClr val="595959">
                    <a:lumMod val="65000"/>
                    <a:lumOff val="35000"/>
                  </a:srgbClr>
                </a:solidFill>
                <a:latin typeface="+mn-lt"/>
                <a:ea typeface="+mn-ea"/>
                <a:cs typeface="+mn-cs"/>
              </a:defRPr>
            </a:pPr>
            <a:r>
              <a:rPr lang="en-US" altLang="zh-CN"/>
              <a:t>2020</a:t>
            </a:r>
            <a:r>
              <a:rPr lang="zh-CN" altLang="en-US"/>
              <a:t>年总收入</a:t>
            </a:r>
            <a:endParaRPr lang="zh-CN" altLang="en-US"/>
          </a:p>
        </c:rich>
      </c:tx>
      <c:layout/>
      <c:overlay val="0"/>
      <c:spPr>
        <a:noFill/>
        <a:ln>
          <a:noFill/>
        </a:ln>
        <a:effectLst/>
      </c:spPr>
    </c:title>
    <c:autoTitleDeleted val="0"/>
    <c:plotArea>
      <c:layout/>
      <c:pieChart>
        <c:varyColors val="1"/>
        <c:ser>
          <c:idx val="0"/>
          <c:order val="0"/>
          <c:explosion val="0"/>
          <c:dPt>
            <c:idx val="0"/>
            <c:bubble3D val="0"/>
            <c:spPr>
              <a:solidFill>
                <a:srgbClr val="4F81BD"/>
              </a:solidFill>
              <a:ln w="19050">
                <a:solidFill>
                  <a:srgbClr val="FFFFFF"/>
                </a:solidFill>
              </a:ln>
              <a:effectLst/>
            </c:spPr>
          </c:dPt>
          <c:dPt>
            <c:idx val="1"/>
            <c:bubble3D val="0"/>
            <c:spPr>
              <a:solidFill>
                <a:srgbClr val="C0504D"/>
              </a:solidFill>
              <a:ln w="19050">
                <a:solidFill>
                  <a:srgbClr val="FFFFFF"/>
                </a:solidFill>
              </a:ln>
              <a:effectLst/>
            </c:spPr>
          </c:dPt>
          <c:dLbls>
            <c:delete val="1"/>
          </c:dLbls>
          <c:cat>
            <c:strRef>
              <c:f>'[新建 XLS 工作表.xls]Sheet1'!$B$10:$C$10</c:f>
              <c:strCache>
                <c:ptCount val="2"/>
                <c:pt idx="0">
                  <c:v>财政补助收入</c:v>
                </c:pt>
                <c:pt idx="1">
                  <c:v>事业收入</c:v>
                </c:pt>
              </c:strCache>
            </c:strRef>
          </c:cat>
          <c:val>
            <c:numRef>
              <c:f>'[新建 XLS 工作表.xls]Sheet1'!$B$11:$C$11</c:f>
              <c:numCache>
                <c:formatCode>#,##0.00</c:formatCode>
                <c:ptCount val="2"/>
                <c:pt idx="0">
                  <c:v>10441067.74</c:v>
                </c:pt>
                <c:pt idx="1">
                  <c:v>3423500.25</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gap"/>
    <c:showDLblsOverMax val="0"/>
  </c:chart>
  <c:spPr>
    <a:solidFill>
      <a:srgbClr val="FFFFFF"/>
    </a:solidFill>
    <a:ln w="9525" cap="flat" cmpd="sng" algn="ctr">
      <a:solidFill>
        <a:srgbClr val="D9D9D9">
          <a:lumMod val="15000"/>
          <a:lumOff val="85000"/>
        </a:srgbClr>
      </a:solidFill>
      <a:prstDash val="solid"/>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defTabSz="914400">
              <a:defRPr lang="zh-CN" sz="1400" b="0" i="0" u="none" strike="noStrike" kern="1200" spc="0" baseline="0">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t>支出情况表</a:t>
            </a:r>
          </a:p>
        </c:rich>
      </c:tx>
      <c:layout/>
      <c:overlay val="0"/>
      <c:spPr>
        <a:noFill/>
        <a:ln>
          <a:noFill/>
        </a:ln>
        <a:effectLst/>
      </c:spPr>
    </c:title>
    <c:autoTitleDeleted val="0"/>
    <c:plotArea>
      <c:layout/>
      <c:pieChart>
        <c:varyColors val="1"/>
        <c:ser>
          <c:idx val="0"/>
          <c:order val="0"/>
          <c:tx>
            <c:strRef>
              <c:f>Sheet1!$B$1</c:f>
              <c:strCache>
                <c:ptCount val="1"/>
                <c:pt idx="0">
                  <c:v>金额</c:v>
                </c:pt>
              </c:strCache>
            </c:strRef>
          </c:tx>
          <c:spPr>
            <a:solidFill>
              <a:srgbClr val="5588A3"/>
            </a:solidFill>
            <a:ln w="12700" cap="rnd">
              <a:solidFill>
                <a:srgbClr val="C9D1D3"/>
              </a:solidFill>
              <a:round/>
            </a:ln>
            <a:effectLst/>
          </c:spPr>
          <c:explosion val="0"/>
          <c:dPt>
            <c:idx val="0"/>
            <c:bubble3D val="0"/>
            <c:spPr>
              <a:solidFill>
                <a:srgbClr val="00334E"/>
              </a:solidFill>
              <a:ln w="12700" cap="rnd">
                <a:solidFill>
                  <a:srgbClr val="C9D1D3"/>
                </a:solidFill>
                <a:round/>
              </a:ln>
              <a:effectLst/>
            </c:spPr>
          </c:dPt>
          <c:dPt>
            <c:idx val="1"/>
            <c:bubble3D val="0"/>
            <c:spPr>
              <a:solidFill>
                <a:srgbClr val="145374"/>
              </a:solidFill>
              <a:ln w="12700" cap="rnd">
                <a:solidFill>
                  <a:srgbClr val="C9D1D3"/>
                </a:solidFill>
                <a:round/>
              </a:ln>
              <a:effectLst/>
            </c:spPr>
          </c:dPt>
          <c:dLbls>
            <c:numFmt formatCode="General" sourceLinked="1"/>
            <c:spPr>
              <a:solidFill>
                <a:srgbClr val="44546A">
                  <a:lumMod val="60000"/>
                  <a:lumOff val="40000"/>
                </a:srgbClr>
              </a:solidFill>
              <a:ln>
                <a:noFill/>
              </a:ln>
              <a:effectLst/>
            </c:spPr>
            <c:txPr>
              <a:bodyPr rot="0" spcFirstLastPara="0" vertOverflow="ellipsis" vert="horz" wrap="square" lIns="38100" tIns="19050" rIns="38100" bIns="19050" anchor="ctr" anchorCtr="1" forceAA="0"/>
              <a:lstStyle/>
              <a:p>
                <a:pPr>
                  <a:defRPr lang="zh-CN" sz="900" b="0" i="0" u="none" strike="noStrike" kern="1200" baseline="0">
                    <a:solidFill>
                      <a:schemeClr val="bg1"/>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outEnd"/>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1128.07</c:v>
                </c:pt>
                <c:pt idx="1">
                  <c:v>157.77</c:v>
                </c:pt>
              </c:numCache>
            </c:numRef>
          </c:val>
        </c:ser>
        <c:ser>
          <c:idx val="1"/>
          <c:order val="1"/>
          <c:tx>
            <c:strRef>
              <c:f>Sheet1!#REF!</c:f>
              <c:strCache>
                <c:ptCount val="1"/>
                <c:pt idx="0">
                  <c:v/>
                </c:pt>
              </c:strCache>
            </c:strRef>
          </c:tx>
          <c:spPr>
            <a:solidFill>
              <a:srgbClr val="145374"/>
            </a:solidFill>
            <a:ln w="12700" cap="rnd">
              <a:solidFill>
                <a:srgbClr val="C9D1D3"/>
              </a:solidFill>
              <a:round/>
            </a:ln>
            <a:effectLst/>
          </c:spPr>
          <c:explosion val="0"/>
          <c:dPt>
            <c:idx val="0"/>
            <c:bubble3D val="0"/>
            <c:spPr>
              <a:solidFill>
                <a:srgbClr val="145374"/>
              </a:solidFill>
              <a:ln w="12700" cap="rnd">
                <a:solidFill>
                  <a:srgbClr val="C9D1D3"/>
                </a:solidFill>
                <a:round/>
              </a:ln>
              <a:effectLst/>
            </c:spPr>
          </c:dPt>
          <c:dLbls>
            <c:numFmt formatCode="General" sourceLinked="1"/>
            <c:spPr>
              <a:noFill/>
              <a:ln>
                <a:noFill/>
              </a:ln>
              <a:effectLst/>
            </c:spPr>
            <c:txPr>
              <a:bodyPr rot="0" spcFirstLastPara="0" vertOverflow="ellipsis" vert="horz" wrap="square" lIns="38100" tIns="19050" rIns="38100" bIns="19050" anchor="ctr" anchorCtr="1" forceAA="0"/>
              <a:lstStyle/>
              <a:p>
                <a:pPr>
                  <a:defRPr lang="zh-CN" sz="9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out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Sheet1!#REF!</c:f>
              <c:numCache>
                <c:formatCode>General</c:formatCode>
                <c:ptCount val="1"/>
                <c:pt idx="0">
                  <c:v>1</c:v>
                </c:pt>
              </c:numCache>
            </c:numRef>
          </c:val>
        </c:ser>
        <c:ser>
          <c:idx val="2"/>
          <c:order val="2"/>
          <c:tx>
            <c:strRef>
              <c:f>Sheet1!#REF!</c:f>
              <c:strCache>
                <c:ptCount val="1"/>
                <c:pt idx="0">
                  <c:v/>
                </c:pt>
              </c:strCache>
            </c:strRef>
          </c:tx>
          <c:spPr>
            <a:solidFill>
              <a:srgbClr val="00334E"/>
            </a:solidFill>
            <a:ln w="12700" cap="rnd">
              <a:solidFill>
                <a:srgbClr val="C9D1D3"/>
              </a:solidFill>
              <a:round/>
            </a:ln>
            <a:effectLst/>
          </c:spPr>
          <c:explosion val="0"/>
          <c:dPt>
            <c:idx val="0"/>
            <c:bubble3D val="0"/>
            <c:spPr>
              <a:solidFill>
                <a:srgbClr val="00334E"/>
              </a:solidFill>
              <a:ln w="12700" cap="rnd">
                <a:solidFill>
                  <a:srgbClr val="C9D1D3"/>
                </a:solidFill>
                <a:round/>
              </a:ln>
              <a:effectLst/>
            </c:spPr>
          </c:dPt>
          <c:dLbls>
            <c:numFmt formatCode="General" sourceLinked="1"/>
            <c:spPr>
              <a:noFill/>
              <a:ln>
                <a:noFill/>
              </a:ln>
              <a:effectLst/>
            </c:spPr>
            <c:txPr>
              <a:bodyPr rot="0" spcFirstLastPara="0" vertOverflow="ellipsis" vert="horz" wrap="square" lIns="38100" tIns="19050" rIns="38100" bIns="19050" anchor="ctr" anchorCtr="1" forceAA="0"/>
              <a:lstStyle/>
              <a:p>
                <a:pPr>
                  <a:defRPr lang="zh-CN" sz="9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out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Sheet1!#REF!</c:f>
              <c:numCache>
                <c:formatCode>General</c:formatCode>
                <c:ptCount val="1"/>
                <c:pt idx="0">
                  <c:v>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legend>
    <c:plotVisOnly val="1"/>
    <c:dispBlanksAs val="gap"/>
    <c:showDLblsOverMax val="0"/>
  </c:chart>
  <c:spPr>
    <a:solidFill>
      <a:srgbClr val="F8F8F8"/>
    </a:solidFill>
    <a:ln w="9525" cap="flat" cmpd="sng" algn="ctr">
      <a:solidFill>
        <a:schemeClr val="tx1">
          <a:lumMod val="15000"/>
          <a:lumOff val="85000"/>
        </a:schemeClr>
      </a:solidFill>
      <a:round/>
    </a:ln>
    <a:effectLst>
      <a:outerShdw blurRad="63500" dist="37357" dir="2700000" sx="0" sy="0" rotWithShape="0">
        <a:scrgbClr r="0" g="0" b="0"/>
      </a:outerShdw>
    </a:effectLst>
  </c:spPr>
  <c:txPr>
    <a:bodyPr/>
    <a:lstStyle/>
    <a:p>
      <a:pPr>
        <a:defRPr lang="zh-CN">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defTabSz="914400">
              <a:defRPr lang="zh-CN" sz="1400" b="0" i="0" u="none" strike="noStrike" kern="1200" spc="0" baseline="0">
                <a:solidFill>
                  <a:schemeClr val="tx1">
                    <a:lumMod val="65000"/>
                    <a:lumOff val="35000"/>
                  </a:schemeClr>
                </a:solidFill>
                <a:latin typeface="微软雅黑 Light" panose="020B0502040204020203" charset="-122"/>
                <a:ea typeface="微软雅黑 Light" panose="020B0502040204020203" charset="-122"/>
                <a:cs typeface="微软雅黑 Light" panose="020B0502040204020203" charset="-122"/>
                <a:sym typeface="微软雅黑 Light" panose="020B0502040204020203" charset="-122"/>
              </a:defRPr>
            </a:pPr>
            <a:r>
              <a:t>财政拨款支出总体情况表</a:t>
            </a:r>
          </a:p>
        </c:rich>
      </c:tx>
      <c:layout/>
      <c:overlay val="0"/>
      <c:spPr>
        <a:noFill/>
        <a:ln>
          <a:noFill/>
        </a:ln>
        <a:effectLst/>
      </c:spPr>
    </c:title>
    <c:autoTitleDeleted val="0"/>
    <c:plotArea>
      <c:layout>
        <c:manualLayout>
          <c:layoutTarget val="inner"/>
          <c:xMode val="edge"/>
          <c:yMode val="edge"/>
          <c:x val="0.0808204860203815"/>
          <c:y val="0.229327453142227"/>
          <c:w val="0.88468774496995"/>
          <c:h val="0.646747519294377"/>
        </c:manualLayout>
      </c:layout>
      <c:barChart>
        <c:barDir val="col"/>
        <c:grouping val="clustered"/>
        <c:varyColors val="0"/>
        <c:ser>
          <c:idx val="0"/>
          <c:order val="0"/>
          <c:tx>
            <c:strRef>
              <c:f>Sheet1!$B$1</c:f>
              <c:strCache>
                <c:ptCount val="1"/>
                <c:pt idx="0">
                  <c:v>财政拨款收入</c:v>
                </c:pt>
              </c:strCache>
            </c:strRef>
          </c:tx>
          <c:spPr>
            <a:pattFill prst="dkVert">
              <a:fgClr>
                <a:srgbClr val="ADB153"/>
              </a:fgClr>
              <a:bgClr>
                <a:srgbClr val="C7C86B"/>
              </a:bgClr>
            </a:pattFill>
            <a:ln>
              <a:noFill/>
            </a:ln>
            <a:effectLst/>
          </c:spPr>
          <c:invertIfNegative val="0"/>
          <c:dLbls>
            <c:delete val="1"/>
          </c:dLbls>
          <c:cat>
            <c:strRef>
              <c:f>Sheet1!$A$2:$A$4</c:f>
              <c:strCache>
                <c:ptCount val="3"/>
                <c:pt idx="0">
                  <c:v>2019年</c:v>
                </c:pt>
                <c:pt idx="1">
                  <c:v>2020年</c:v>
                </c:pt>
                <c:pt idx="2">
                  <c:v>变化 值</c:v>
                </c:pt>
              </c:strCache>
            </c:strRef>
          </c:cat>
          <c:val>
            <c:numRef>
              <c:f>Sheet1!$B$2:$B$4</c:f>
              <c:numCache>
                <c:formatCode>General</c:formatCode>
                <c:ptCount val="3"/>
                <c:pt idx="0">
                  <c:v>1044.11</c:v>
                </c:pt>
                <c:pt idx="1">
                  <c:v>1026.79</c:v>
                </c:pt>
                <c:pt idx="2">
                  <c:v>17.3199999999999</c:v>
                </c:pt>
              </c:numCache>
            </c:numRef>
          </c:val>
        </c:ser>
        <c:ser>
          <c:idx val="1"/>
          <c:order val="1"/>
          <c:tx>
            <c:strRef>
              <c:f>Sheet1!$C$1</c:f>
              <c:strCache>
                <c:ptCount val="1"/>
                <c:pt idx="0">
                  <c:v>财政拨款支出</c:v>
                </c:pt>
              </c:strCache>
            </c:strRef>
          </c:tx>
          <c:spPr>
            <a:pattFill prst="dkVert">
              <a:fgClr>
                <a:srgbClr val="45B7C1"/>
              </a:fgClr>
              <a:bgClr>
                <a:srgbClr val="6ED3DC"/>
              </a:bgClr>
            </a:pattFill>
            <a:ln>
              <a:noFill/>
            </a:ln>
            <a:effectLst/>
          </c:spPr>
          <c:invertIfNegative val="0"/>
          <c:dLbls>
            <c:delete val="1"/>
          </c:dLbls>
          <c:cat>
            <c:strRef>
              <c:f>Sheet1!$A$2:$A$4</c:f>
              <c:strCache>
                <c:ptCount val="3"/>
                <c:pt idx="0">
                  <c:v>2019年</c:v>
                </c:pt>
                <c:pt idx="1">
                  <c:v>2020年</c:v>
                </c:pt>
                <c:pt idx="2">
                  <c:v>变化 值</c:v>
                </c:pt>
              </c:strCache>
            </c:strRef>
          </c:cat>
          <c:val>
            <c:numRef>
              <c:f>Sheet1!$C$2:$C$4</c:f>
              <c:numCache>
                <c:formatCode>General</c:formatCode>
                <c:ptCount val="3"/>
                <c:pt idx="0">
                  <c:v>893.79</c:v>
                </c:pt>
                <c:pt idx="1">
                  <c:v>911.79</c:v>
                </c:pt>
                <c:pt idx="2">
                  <c:v>-18</c:v>
                </c:pt>
              </c:numCache>
            </c:numRef>
          </c:val>
        </c:ser>
        <c:dLbls>
          <c:showLegendKey val="0"/>
          <c:showVal val="0"/>
          <c:showCatName val="0"/>
          <c:showSerName val="0"/>
          <c:showPercent val="0"/>
          <c:showBubbleSize val="0"/>
        </c:dLbls>
        <c:gapWidth val="324"/>
        <c:overlap val="-37"/>
        <c:axId val="207455463"/>
        <c:axId val="272539522"/>
      </c:barChart>
      <c:catAx>
        <c:axId val="207455463"/>
        <c:scaling>
          <c:orientation val="minMax"/>
        </c:scaling>
        <c:delete val="0"/>
        <c:axPos val="b"/>
        <c:numFmt formatCode="General" sourceLinked="0"/>
        <c:majorTickMark val="none"/>
        <c:minorTickMark val="none"/>
        <c:tickLblPos val="nextTo"/>
        <c:spPr>
          <a:noFill/>
          <a:ln w="9525" cap="flat" cmpd="sng" algn="ctr">
            <a:noFill/>
            <a:round/>
          </a:ln>
          <a:effectLst/>
        </c:spPr>
        <c:txPr>
          <a:bodyPr rot="-60000000" spcFirstLastPara="0" vertOverflow="ellipsis" vert="horz" wrap="square" anchor="ctr" anchorCtr="1" forceAA="0"/>
          <a:lstStyle/>
          <a:p>
            <a:pPr>
              <a:defRPr lang="zh-CN" sz="1000" b="0" i="0" u="none" strike="noStrike" kern="1200" baseline="0">
                <a:solidFill>
                  <a:schemeClr val="tx1">
                    <a:lumMod val="65000"/>
                    <a:lumOff val="35000"/>
                  </a:schemeClr>
                </a:solidFill>
                <a:latin typeface="微软雅黑 Light" panose="020B0502040204020203" charset="-122"/>
                <a:ea typeface="微软雅黑 Light" panose="020B0502040204020203" charset="-122"/>
                <a:cs typeface="微软雅黑 Light" panose="020B0502040204020203" charset="-122"/>
                <a:sym typeface="微软雅黑 Light" panose="020B0502040204020203" charset="-122"/>
              </a:defRPr>
            </a:pPr>
          </a:p>
        </c:txPr>
        <c:crossAx val="272539522"/>
        <c:crosses val="autoZero"/>
        <c:auto val="1"/>
        <c:lblAlgn val="ctr"/>
        <c:lblOffset val="100"/>
        <c:noMultiLvlLbl val="0"/>
      </c:catAx>
      <c:valAx>
        <c:axId val="272539522"/>
        <c:scaling>
          <c:orientation val="minMax"/>
        </c:scaling>
        <c:delete val="0"/>
        <c:axPos val="l"/>
        <c:numFmt formatCode="General" sourceLinked="1"/>
        <c:majorTickMark val="none"/>
        <c:minorTickMark val="none"/>
        <c:tickLblPos val="nextTo"/>
        <c:spPr>
          <a:noFill/>
          <a:ln>
            <a:noFill/>
          </a:ln>
          <a:effectLst/>
        </c:spPr>
        <c:txPr>
          <a:bodyPr rot="-60000000" spcFirstLastPara="0" vertOverflow="ellipsis" vert="horz" wrap="square" anchor="ctr" anchorCtr="1" forceAA="0"/>
          <a:lstStyle/>
          <a:p>
            <a:pPr>
              <a:defRPr lang="zh-CN" sz="900" b="0" i="0" u="none" strike="noStrike" kern="1200" baseline="0">
                <a:solidFill>
                  <a:schemeClr val="tx1">
                    <a:lumMod val="65000"/>
                    <a:lumOff val="35000"/>
                  </a:schemeClr>
                </a:solidFill>
                <a:latin typeface="微软雅黑 Light" panose="020B0502040204020203" charset="-122"/>
                <a:ea typeface="微软雅黑 Light" panose="020B0502040204020203" charset="-122"/>
                <a:cs typeface="微软雅黑 Light" panose="020B0502040204020203" charset="-122"/>
                <a:sym typeface="微软雅黑 Light" panose="020B0502040204020203" charset="-122"/>
              </a:defRPr>
            </a:pPr>
          </a:p>
        </c:txPr>
        <c:crossAx val="207455463"/>
        <c:crosses val="autoZero"/>
        <c:crossBetween val="between"/>
      </c:valAx>
      <c:spPr>
        <a:noFill/>
        <a:ln>
          <a:noFill/>
        </a:ln>
        <a:effectLst/>
      </c:spPr>
    </c:plotArea>
    <c:legend>
      <c:legendPos val="t"/>
      <c:legendEntry>
        <c:idx val="0"/>
        <c:txPr>
          <a:bodyPr rot="0" spcFirstLastPara="0" vertOverflow="ellipsis" vert="horz" wrap="square" anchor="ctr" anchorCtr="1" forceAA="0"/>
          <a:lstStyle/>
          <a:p>
            <a:pPr>
              <a:defRPr lang="zh-CN" sz="900" b="0" i="0" u="none" strike="noStrike" kern="1200" baseline="0">
                <a:solidFill>
                  <a:schemeClr val="tx1">
                    <a:lumMod val="65000"/>
                    <a:lumOff val="35000"/>
                  </a:schemeClr>
                </a:solidFill>
                <a:latin typeface="微软雅黑 Light" panose="020B0502040204020203" charset="-122"/>
                <a:ea typeface="微软雅黑 Light" panose="020B0502040204020203" charset="-122"/>
                <a:cs typeface="微软雅黑 Light" panose="020B0502040204020203" charset="-122"/>
                <a:sym typeface="微软雅黑 Light" panose="020B0502040204020203" charset="-122"/>
              </a:defRPr>
            </a:pPr>
          </a:p>
        </c:txPr>
      </c:legendEntry>
      <c:legendEntry>
        <c:idx val="1"/>
        <c:txPr>
          <a:bodyPr rot="0" spcFirstLastPara="0" vertOverflow="ellipsis" vert="horz" wrap="square" anchor="ctr" anchorCtr="1" forceAA="0"/>
          <a:lstStyle/>
          <a:p>
            <a:pPr>
              <a:defRPr lang="zh-CN" sz="900" b="0" i="0" u="none" strike="noStrike" kern="1200" baseline="0">
                <a:solidFill>
                  <a:schemeClr val="tx1">
                    <a:lumMod val="65000"/>
                    <a:lumOff val="35000"/>
                  </a:schemeClr>
                </a:solidFill>
                <a:latin typeface="微软雅黑 Light" panose="020B0502040204020203" charset="-122"/>
                <a:ea typeface="微软雅黑 Light" panose="020B0502040204020203" charset="-122"/>
                <a:cs typeface="微软雅黑 Light" panose="020B0502040204020203" charset="-122"/>
                <a:sym typeface="微软雅黑 Light" panose="020B0502040204020203" charset="-122"/>
              </a:defRPr>
            </a:pPr>
          </a:p>
        </c:txPr>
      </c:legendEntry>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65000"/>
                  <a:lumOff val="35000"/>
                </a:schemeClr>
              </a:solidFill>
              <a:latin typeface="微软雅黑 Light" panose="020B0502040204020203" charset="-122"/>
              <a:ea typeface="微软雅黑 Light" panose="020B0502040204020203" charset="-122"/>
              <a:cs typeface="微软雅黑 Light" panose="020B0502040204020203" charset="-122"/>
              <a:sym typeface="微软雅黑 Light" panose="020B0502040204020203" charset="-122"/>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a:outerShdw blurRad="63500" dist="37357" dir="2700000" sx="0" sy="0" rotWithShape="0">
        <a:scrgbClr r="0" g="0" b="0"/>
      </a:outerShdw>
    </a:effectLst>
  </c:spPr>
  <c:txPr>
    <a:bodyPr/>
    <a:lstStyle/>
    <a:p>
      <a:pPr>
        <a:defRPr lang="zh-CN">
          <a:latin typeface="微软雅黑 Light" panose="020B0502040204020203" charset="-122"/>
          <a:ea typeface="微软雅黑 Light" panose="020B0502040204020203" charset="-122"/>
          <a:cs typeface="微软雅黑 Light" panose="020B0502040204020203" charset="-122"/>
          <a:sym typeface="微软雅黑 Light" panose="020B0502040204020203" charset="-122"/>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zh-CN" sz="1400" b="1" i="0" u="none" strike="noStrike" baseline="0">
                <a:effectLst/>
              </a:rPr>
              <a:t>一般公共预算财政拨款支出决算变动情况</a:t>
            </a:r>
            <a:endParaRPr lang="zh-CN" altLang="en-US" sz="1400"/>
          </a:p>
        </c:rich>
      </c:tx>
      <c:layout/>
      <c:overlay val="0"/>
    </c:title>
    <c:autoTitleDeleted val="0"/>
    <c:plotArea>
      <c:layout/>
      <c:barChart>
        <c:barDir val="col"/>
        <c:grouping val="clustered"/>
        <c:varyColors val="0"/>
        <c:ser>
          <c:idx val="0"/>
          <c:order val="0"/>
          <c:tx>
            <c:strRef>
              <c:f>Sheet1!$A$2</c:f>
              <c:strCache>
                <c:ptCount val="1"/>
                <c:pt idx="0">
                  <c:v>变动情况</c:v>
                </c:pt>
              </c:strCache>
            </c:strRef>
          </c:tx>
          <c:invertIfNegative val="0"/>
          <c:dLbls>
            <c:delete val="1"/>
          </c:dLbls>
          <c:cat>
            <c:strRef>
              <c:f>Sheet1!$B$1:$D$1</c:f>
              <c:strCache>
                <c:ptCount val="3"/>
                <c:pt idx="0">
                  <c:v>2019</c:v>
                </c:pt>
                <c:pt idx="1">
                  <c:v>2020</c:v>
                </c:pt>
                <c:pt idx="2" c:formatCode="0.00_);[Red]\(0.00\)">
                  <c:v>增加</c:v>
                </c:pt>
              </c:strCache>
            </c:strRef>
          </c:cat>
          <c:val>
            <c:numRef>
              <c:f>Sheet1!$B$2:$D$2</c:f>
              <c:numCache>
                <c:formatCode>General</c:formatCode>
                <c:ptCount val="3"/>
                <c:pt idx="0">
                  <c:v>893.79</c:v>
                </c:pt>
                <c:pt idx="1" c:formatCode="0.00_);[Red]\(0.00\)">
                  <c:v>911.81</c:v>
                </c:pt>
                <c:pt idx="2">
                  <c:v>18.02</c:v>
                </c:pt>
              </c:numCache>
            </c:numRef>
          </c:val>
        </c:ser>
        <c:dLbls>
          <c:showLegendKey val="0"/>
          <c:showVal val="0"/>
          <c:showCatName val="0"/>
          <c:showSerName val="0"/>
          <c:showPercent val="0"/>
          <c:showBubbleSize val="0"/>
        </c:dLbls>
        <c:gapWidth val="150"/>
        <c:axId val="276901888"/>
        <c:axId val="352505216"/>
      </c:barChart>
      <c:catAx>
        <c:axId val="276901888"/>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352505216"/>
        <c:crosses val="autoZero"/>
        <c:auto val="1"/>
        <c:lblAlgn val="ctr"/>
        <c:lblOffset val="100"/>
        <c:noMultiLvlLbl val="0"/>
      </c:catAx>
      <c:valAx>
        <c:axId val="352505216"/>
        <c:scaling>
          <c:orientation val="minMax"/>
        </c:scaling>
        <c:delete val="0"/>
        <c:axPos val="l"/>
        <c:majorGridlines/>
        <c:title>
          <c:layout/>
          <c:overlay val="0"/>
          <c:txPr>
            <a:bodyPr rot="-5400000" spcFirstLastPara="0" vertOverflow="ellipsis" vert="horz" wrap="square" anchor="ctr" anchorCtr="1"/>
            <a:lstStyle/>
            <a:p>
              <a:pPr>
                <a:defRPr lang="zh-CN" sz="1000" b="1" i="0" u="none" strike="noStrike" kern="1200" baseline="0">
                  <a:solidFill>
                    <a:schemeClr val="tx1"/>
                  </a:solidFill>
                  <a:latin typeface="+mn-lt"/>
                  <a:ea typeface="+mn-ea"/>
                  <a:cs typeface="+mn-cs"/>
                </a:defRPr>
              </a:pPr>
            </a:p>
          </c:txPr>
        </c:title>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76901888"/>
        <c:crosses val="autoZero"/>
        <c:crossBetween val="between"/>
      </c:valAx>
      <c:dTable>
        <c:showHorzBorder val="1"/>
        <c:showVertBorder val="1"/>
        <c:showOutline val="1"/>
        <c:showKeys val="1"/>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dTable>
    </c:plotArea>
    <c:plotVisOnly val="1"/>
    <c:dispBlanksAs val="gap"/>
    <c:showDLblsOverMax val="0"/>
  </c:chart>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defTabSz="914400">
              <a:defRPr lang="zh-CN" sz="1400" b="0" i="0" u="none" strike="noStrike" kern="1200" spc="0" baseline="0">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t>支出情况表</a:t>
            </a:r>
          </a:p>
        </c:rich>
      </c:tx>
      <c:layout/>
      <c:overlay val="0"/>
      <c:spPr>
        <a:noFill/>
        <a:ln>
          <a:noFill/>
        </a:ln>
        <a:effectLst/>
      </c:spPr>
    </c:title>
    <c:autoTitleDeleted val="0"/>
    <c:plotArea>
      <c:layout/>
      <c:pieChart>
        <c:varyColors val="1"/>
        <c:ser>
          <c:idx val="0"/>
          <c:order val="0"/>
          <c:tx>
            <c:strRef>
              <c:f>Sheet1!$B$1</c:f>
              <c:strCache>
                <c:ptCount val="1"/>
                <c:pt idx="0">
                  <c:v>金额</c:v>
                </c:pt>
              </c:strCache>
            </c:strRef>
          </c:tx>
          <c:spPr>
            <a:solidFill>
              <a:srgbClr val="5588A3"/>
            </a:solidFill>
            <a:ln w="12700" cap="rnd">
              <a:solidFill>
                <a:srgbClr val="C9D1D3"/>
              </a:solidFill>
              <a:round/>
            </a:ln>
            <a:effectLst/>
          </c:spPr>
          <c:explosion val="0"/>
          <c:dPt>
            <c:idx val="0"/>
            <c:bubble3D val="0"/>
            <c:spPr>
              <a:solidFill>
                <a:srgbClr val="00334E"/>
              </a:solidFill>
              <a:ln w="12700" cap="rnd">
                <a:solidFill>
                  <a:srgbClr val="C9D1D3"/>
                </a:solidFill>
                <a:round/>
              </a:ln>
              <a:effectLst/>
            </c:spPr>
          </c:dPt>
          <c:dPt>
            <c:idx val="1"/>
            <c:bubble3D val="0"/>
            <c:spPr>
              <a:solidFill>
                <a:srgbClr val="145374"/>
              </a:solidFill>
              <a:ln w="12700" cap="rnd">
                <a:solidFill>
                  <a:srgbClr val="C9D1D3"/>
                </a:solidFill>
                <a:round/>
              </a:ln>
              <a:effectLst/>
            </c:spPr>
          </c:dPt>
          <c:dPt>
            <c:idx val="2"/>
            <c:bubble3D val="0"/>
            <c:spPr>
              <a:solidFill>
                <a:srgbClr val="5588A3"/>
              </a:solidFill>
              <a:ln w="12700" cap="rnd">
                <a:solidFill>
                  <a:srgbClr val="C9D1D3"/>
                </a:solidFill>
                <a:round/>
              </a:ln>
              <a:effectLst/>
            </c:spPr>
          </c:dPt>
          <c:dLbls>
            <c:numFmt formatCode="General" sourceLinked="1"/>
            <c:spPr>
              <a:solidFill>
                <a:srgbClr val="44546A">
                  <a:lumMod val="60000"/>
                  <a:lumOff val="40000"/>
                </a:srgbClr>
              </a:solidFill>
              <a:ln>
                <a:noFill/>
              </a:ln>
              <a:effectLst/>
            </c:spPr>
            <c:txPr>
              <a:bodyPr rot="0" spcFirstLastPara="0" vertOverflow="ellipsis" vert="horz" wrap="square" lIns="38100" tIns="19050" rIns="38100" bIns="19050" anchor="ctr" anchorCtr="1" forceAA="0"/>
              <a:lstStyle/>
              <a:p>
                <a:pPr>
                  <a:defRPr lang="zh-CN" sz="900" b="0" i="0" u="none" strike="noStrike" kern="1200" baseline="0">
                    <a:solidFill>
                      <a:schemeClr val="bg1"/>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outEnd"/>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社会保障和就业</c:v>
                </c:pt>
                <c:pt idx="1">
                  <c:v>住房保障支出</c:v>
                </c:pt>
                <c:pt idx="2">
                  <c:v>卫生健康支出</c:v>
                </c:pt>
              </c:strCache>
            </c:strRef>
          </c:cat>
          <c:val>
            <c:numRef>
              <c:f>Sheet1!$B$2:$B$4</c:f>
              <c:numCache>
                <c:formatCode>General</c:formatCode>
                <c:ptCount val="3"/>
                <c:pt idx="0">
                  <c:v>102.81</c:v>
                </c:pt>
                <c:pt idx="1">
                  <c:v>67.44</c:v>
                </c:pt>
                <c:pt idx="2">
                  <c:v>741.56</c:v>
                </c:pt>
              </c:numCache>
            </c:numRef>
          </c:val>
        </c:ser>
        <c:ser>
          <c:idx val="1"/>
          <c:order val="1"/>
          <c:tx>
            <c:strRef>
              <c:f>Sheet1!#REF!</c:f>
              <c:strCache>
                <c:ptCount val="1"/>
                <c:pt idx="0">
                  <c:v/>
                </c:pt>
              </c:strCache>
            </c:strRef>
          </c:tx>
          <c:spPr>
            <a:solidFill>
              <a:srgbClr val="145374"/>
            </a:solidFill>
            <a:ln w="12700" cap="rnd">
              <a:solidFill>
                <a:srgbClr val="C9D1D3"/>
              </a:solidFill>
              <a:round/>
            </a:ln>
            <a:effectLst/>
          </c:spPr>
          <c:explosion val="0"/>
          <c:dPt>
            <c:idx val="0"/>
            <c:bubble3D val="0"/>
            <c:spPr>
              <a:solidFill>
                <a:srgbClr val="145374"/>
              </a:solidFill>
              <a:ln w="12700" cap="rnd">
                <a:solidFill>
                  <a:srgbClr val="C9D1D3"/>
                </a:solidFill>
                <a:round/>
              </a:ln>
              <a:effectLst/>
            </c:spPr>
          </c:dPt>
          <c:dLbls>
            <c:numFmt formatCode="General" sourceLinked="1"/>
            <c:spPr>
              <a:noFill/>
              <a:ln>
                <a:noFill/>
              </a:ln>
              <a:effectLst/>
            </c:spPr>
            <c:txPr>
              <a:bodyPr rot="0" spcFirstLastPara="0" vertOverflow="ellipsis" vert="horz" wrap="square" lIns="38100" tIns="19050" rIns="38100" bIns="19050" anchor="ctr" anchorCtr="1" forceAA="0"/>
              <a:lstStyle/>
              <a:p>
                <a:pPr>
                  <a:defRPr lang="zh-CN" sz="9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out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社会保障和就业</c:v>
                </c:pt>
                <c:pt idx="1">
                  <c:v>住房保障支出</c:v>
                </c:pt>
                <c:pt idx="2">
                  <c:v>卫生健康支出</c:v>
                </c:pt>
              </c:strCache>
            </c:strRef>
          </c:cat>
          <c:val>
            <c:numRef>
              <c:f>Sheet1!#REF!</c:f>
              <c:numCache>
                <c:formatCode>General</c:formatCode>
                <c:ptCount val="1"/>
                <c:pt idx="0">
                  <c:v>1</c:v>
                </c:pt>
              </c:numCache>
            </c:numRef>
          </c:val>
        </c:ser>
        <c:ser>
          <c:idx val="2"/>
          <c:order val="2"/>
          <c:tx>
            <c:strRef>
              <c:f>Sheet1!#REF!</c:f>
              <c:strCache>
                <c:ptCount val="1"/>
                <c:pt idx="0">
                  <c:v/>
                </c:pt>
              </c:strCache>
            </c:strRef>
          </c:tx>
          <c:spPr>
            <a:solidFill>
              <a:srgbClr val="00334E"/>
            </a:solidFill>
            <a:ln w="12700" cap="rnd">
              <a:solidFill>
                <a:srgbClr val="C9D1D3"/>
              </a:solidFill>
              <a:round/>
            </a:ln>
            <a:effectLst/>
          </c:spPr>
          <c:explosion val="0"/>
          <c:dPt>
            <c:idx val="0"/>
            <c:bubble3D val="0"/>
            <c:spPr>
              <a:solidFill>
                <a:srgbClr val="00334E"/>
              </a:solidFill>
              <a:ln w="12700" cap="rnd">
                <a:solidFill>
                  <a:srgbClr val="C9D1D3"/>
                </a:solidFill>
                <a:round/>
              </a:ln>
              <a:effectLst/>
            </c:spPr>
          </c:dPt>
          <c:dLbls>
            <c:numFmt formatCode="General" sourceLinked="1"/>
            <c:spPr>
              <a:noFill/>
              <a:ln>
                <a:noFill/>
              </a:ln>
              <a:effectLst/>
            </c:spPr>
            <c:txPr>
              <a:bodyPr rot="0" spcFirstLastPara="0" vertOverflow="ellipsis" vert="horz" wrap="square" lIns="38100" tIns="19050" rIns="38100" bIns="19050" anchor="ctr" anchorCtr="1" forceAA="0"/>
              <a:lstStyle/>
              <a:p>
                <a:pPr>
                  <a:defRPr lang="zh-CN" sz="9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out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社会保障和就业</c:v>
                </c:pt>
                <c:pt idx="1">
                  <c:v>住房保障支出</c:v>
                </c:pt>
                <c:pt idx="2">
                  <c:v>卫生健康支出</c:v>
                </c:pt>
              </c:strCache>
            </c:strRef>
          </c:cat>
          <c:val>
            <c:numRef>
              <c:f>Sheet1!#REF!</c:f>
              <c:numCache>
                <c:formatCode>General</c:formatCode>
                <c:ptCount val="1"/>
                <c:pt idx="0">
                  <c:v>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legend>
    <c:plotVisOnly val="1"/>
    <c:dispBlanksAs val="gap"/>
    <c:showDLblsOverMax val="0"/>
  </c:chart>
  <c:spPr>
    <a:solidFill>
      <a:srgbClr val="F8F8F8"/>
    </a:solidFill>
    <a:ln w="9525" cap="flat" cmpd="sng" algn="ctr">
      <a:solidFill>
        <a:schemeClr val="tx1">
          <a:lumMod val="15000"/>
          <a:lumOff val="85000"/>
        </a:schemeClr>
      </a:solidFill>
      <a:round/>
    </a:ln>
    <a:effectLst>
      <a:outerShdw blurRad="63500" dist="37357" dir="2700000" sx="0" sy="0" rotWithShape="0">
        <a:scrgbClr r="0" g="0" b="0"/>
      </a:outerShdw>
    </a:effectLst>
  </c:spPr>
  <c:txPr>
    <a:bodyPr/>
    <a:lstStyle/>
    <a:p>
      <a:pPr>
        <a:defRPr lang="zh-CN">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defTabSz="914400">
              <a:defRPr lang="zh-CN" sz="1400" b="0" i="0" u="none" strike="noStrike" kern="1200" spc="0" baseline="0">
                <a:solidFill>
                  <a:schemeClr val="tx1">
                    <a:lumMod val="65000"/>
                    <a:lumOff val="35000"/>
                  </a:schemeClr>
                </a:solidFill>
                <a:latin typeface="微软雅黑" panose="020B0503020204020204" charset="-122"/>
                <a:ea typeface="微软雅黑" panose="020B0503020204020204" charset="-122"/>
                <a:cs typeface="+mn-cs"/>
              </a:defRPr>
            </a:pPr>
            <a:r>
              <a:t>支出情况表</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金额</c:v>
                </c:pt>
              </c:strCache>
            </c:strRef>
          </c:tx>
          <c:spPr>
            <a:blipFill rotWithShape="1">
              <a:blip xmlns:r="http://schemas.openxmlformats.org/officeDocument/2006/relationships" r:embed="rId3"/>
              <a:stretch>
                <a:fillRect/>
              </a:stretch>
            </a:blipFill>
            <a:ln>
              <a:noFill/>
            </a:ln>
            <a:effectLst/>
          </c:spPr>
          <c:invertIfNegative val="0"/>
          <c:dLbls>
            <c:dLbl>
              <c:idx val="3"/>
              <c:layout/>
              <c:numFmt formatCode="General" sourceLinked="1"/>
              <c:spPr>
                <a:noFill/>
                <a:ln>
                  <a:noFill/>
                </a:ln>
                <a:effectLst/>
              </c:spPr>
              <c:txPr>
                <a:bodyPr rot="0" spcFirstLastPara="0" vertOverflow="ellipsis" vert="horz" wrap="square" lIns="38100" tIns="19050" rIns="38100" bIns="19050" anchor="ctr" anchorCtr="1" forceAA="0">
                  <a:spAutoFit/>
                </a:bodyPr>
                <a:lstStyle/>
                <a:p>
                  <a:pPr>
                    <a:defRPr lang="zh-CN" sz="900" b="0" i="0" u="none" strike="noStrike" kern="1200" baseline="0">
                      <a:solidFill>
                        <a:schemeClr val="bg1"/>
                      </a:solidFill>
                      <a:latin typeface="Arial" panose="020B0604020202020204" pitchFamily="7" charset="0"/>
                      <a:ea typeface="+mn-ea"/>
                      <a:cs typeface="Arial" panose="020B0604020202020204" pitchFamily="7" charset="0"/>
                    </a:defRPr>
                  </a:pPr>
                </a:p>
              </c:txPr>
              <c:dLblPos val="inEnd"/>
              <c:showLegendKey val="0"/>
              <c:showVal val="1"/>
              <c:showCatName val="0"/>
              <c:showSerName val="0"/>
              <c:showPercent val="0"/>
              <c:showBubbleSize val="0"/>
              <c:extLst>
                <c:ext xmlns:c15="http://schemas.microsoft.com/office/drawing/2012/chart" uri="{CE6537A1-D6FC-4f65-9D91-7224C49458BB}"/>
              </c:extLst>
            </c:dLbl>
            <c:dLbl>
              <c:idx val="4"/>
              <c:layout/>
              <c:numFmt formatCode="General" sourceLinked="1"/>
              <c:spPr>
                <a:noFill/>
                <a:ln>
                  <a:noFill/>
                </a:ln>
                <a:effectLst/>
              </c:spPr>
              <c:txPr>
                <a:bodyPr rot="0" spcFirstLastPara="0" vertOverflow="ellipsis" vert="horz" wrap="square" lIns="38100" tIns="19050" rIns="38100" bIns="19050" anchor="ctr" anchorCtr="1" forceAA="0">
                  <a:spAutoFit/>
                </a:bodyPr>
                <a:lstStyle/>
                <a:p>
                  <a:pPr>
                    <a:defRPr lang="zh-CN" sz="900" b="0" i="0" u="none" strike="noStrike" kern="1200" baseline="0">
                      <a:solidFill>
                        <a:schemeClr val="bg1"/>
                      </a:solidFill>
                      <a:latin typeface="Arial" panose="020B0604020202020204" pitchFamily="7" charset="0"/>
                      <a:ea typeface="+mn-ea"/>
                      <a:cs typeface="Arial" panose="020B0604020202020204" pitchFamily="7" charset="0"/>
                    </a:defRPr>
                  </a:pPr>
                </a:p>
              </c:txPr>
              <c:dLblPos val="inEnd"/>
              <c:showLegendKey val="0"/>
              <c:showVal val="1"/>
              <c:showCatName val="0"/>
              <c:showSerName val="0"/>
              <c:showPercent val="0"/>
              <c:showBubbleSize val="0"/>
              <c:extLst>
                <c:ext xmlns:c15="http://schemas.microsoft.com/office/drawing/2012/chart" uri="{CE6537A1-D6FC-4f65-9D91-7224C49458BB}"/>
              </c:extLst>
            </c:dLbl>
            <c:dLbl>
              <c:idx val="5"/>
              <c:layout/>
              <c:numFmt formatCode="General" sourceLinked="1"/>
              <c:spPr>
                <a:noFill/>
                <a:ln>
                  <a:noFill/>
                </a:ln>
                <a:effectLst/>
              </c:spPr>
              <c:txPr>
                <a:bodyPr rot="0" spcFirstLastPara="0" vertOverflow="ellipsis" vert="horz" wrap="square" lIns="38100" tIns="19050" rIns="38100" bIns="19050" anchor="ctr" anchorCtr="1" forceAA="0">
                  <a:spAutoFit/>
                </a:bodyPr>
                <a:lstStyle/>
                <a:p>
                  <a:pPr>
                    <a:defRPr lang="zh-CN" sz="900" b="0" i="0" u="none" strike="noStrike" kern="1200" baseline="0">
                      <a:solidFill>
                        <a:schemeClr val="bg1"/>
                      </a:solidFill>
                      <a:latin typeface="Arial" panose="020B0604020202020204" pitchFamily="7" charset="0"/>
                      <a:ea typeface="+mn-ea"/>
                      <a:cs typeface="Arial" panose="020B0604020202020204" pitchFamily="7" charset="0"/>
                    </a:defRPr>
                  </a:pPr>
                </a:p>
              </c:txPr>
              <c:dLblPos val="inEnd"/>
              <c:showLegendKey val="0"/>
              <c:showVal val="1"/>
              <c:showCatName val="0"/>
              <c:showSerName val="0"/>
              <c:showPercent val="0"/>
              <c:showBubbleSize val="0"/>
              <c:extLst>
                <c:ext xmlns:c15="http://schemas.microsoft.com/office/drawing/2012/chart" uri="{CE6537A1-D6FC-4f65-9D91-7224C49458BB}"/>
              </c:extLst>
            </c:dLbl>
            <c:dLbl>
              <c:idx val="6"/>
              <c:layout/>
              <c:numFmt formatCode="General" sourceLinked="1"/>
              <c:spPr>
                <a:noFill/>
                <a:ln>
                  <a:noFill/>
                </a:ln>
                <a:effectLst/>
              </c:spPr>
              <c:txPr>
                <a:bodyPr rot="0" spcFirstLastPara="0" vertOverflow="ellipsis" vert="horz" wrap="square" lIns="38100" tIns="19050" rIns="38100" bIns="19050" anchor="ctr" anchorCtr="1" forceAA="0">
                  <a:spAutoFit/>
                </a:bodyPr>
                <a:lstStyle/>
                <a:p>
                  <a:pPr>
                    <a:defRPr lang="zh-CN" sz="900" b="0" i="0" u="none" strike="noStrike" kern="1200" baseline="0">
                      <a:solidFill>
                        <a:schemeClr val="bg1"/>
                      </a:solidFill>
                      <a:latin typeface="Arial" panose="020B0604020202020204" pitchFamily="7" charset="0"/>
                      <a:ea typeface="+mn-ea"/>
                      <a:cs typeface="Arial" panose="020B0604020202020204" pitchFamily="7" charset="0"/>
                    </a:defRPr>
                  </a:pPr>
                </a:p>
              </c:txPr>
              <c:dLblPos val="inEnd"/>
              <c:showLegendKey val="0"/>
              <c:showVal val="1"/>
              <c:showCatName val="0"/>
              <c:showSerName val="0"/>
              <c:showPercent val="0"/>
              <c:showBubbleSize val="0"/>
              <c:extLst>
                <c:ext xmlns:c15="http://schemas.microsoft.com/office/drawing/2012/chart" uri="{CE6537A1-D6FC-4f65-9D91-7224C49458BB}"/>
              </c:extLst>
            </c:dLbl>
            <c:dLbl>
              <c:idx val="7"/>
              <c:layout/>
              <c:numFmt formatCode="General" sourceLinked="1"/>
              <c:spPr>
                <a:noFill/>
                <a:ln>
                  <a:noFill/>
                </a:ln>
                <a:effectLst/>
              </c:spPr>
              <c:txPr>
                <a:bodyPr rot="0" spcFirstLastPara="0" vertOverflow="ellipsis" vert="horz" wrap="square" lIns="38100" tIns="19050" rIns="38100" bIns="19050" anchor="ctr" anchorCtr="1" forceAA="0">
                  <a:spAutoFit/>
                </a:bodyPr>
                <a:lstStyle/>
                <a:p>
                  <a:pPr>
                    <a:defRPr lang="zh-CN" sz="900" b="0" i="0" u="none" strike="noStrike" kern="1200" baseline="0">
                      <a:solidFill>
                        <a:schemeClr val="bg1"/>
                      </a:solidFill>
                      <a:latin typeface="Arial" panose="020B0604020202020204" pitchFamily="7" charset="0"/>
                      <a:ea typeface="+mn-ea"/>
                      <a:cs typeface="Arial" panose="020B0604020202020204" pitchFamily="7" charset="0"/>
                    </a:defRPr>
                  </a:pPr>
                </a:p>
              </c:txPr>
              <c:dLblPos val="inEnd"/>
              <c:showLegendKey val="0"/>
              <c:showVal val="1"/>
              <c:showCatName val="0"/>
              <c:showSerName val="0"/>
              <c:showPercent val="0"/>
              <c:showBubbleSize val="0"/>
              <c:extLst>
                <c:ext xmlns:c15="http://schemas.microsoft.com/office/drawing/2012/chart" uri="{CE6537A1-D6FC-4f65-9D91-7224C49458BB}"/>
              </c:extLst>
            </c:dLbl>
            <c:numFmt formatCode="General" sourceLinked="1"/>
            <c:spPr>
              <a:noFill/>
              <a:ln>
                <a:noFill/>
              </a:ln>
              <a:effectLst/>
            </c:spPr>
            <c:txPr>
              <a:bodyPr rot="0" spcFirstLastPara="0" vertOverflow="ellipsis" vert="horz" wrap="square" lIns="38100" tIns="19050" rIns="38100" bIns="19050" anchor="ctr" anchorCtr="1" forceAA="0">
                <a:spAutoFit/>
              </a:bodyPr>
              <a:lstStyle/>
              <a:p>
                <a:pPr>
                  <a:defRPr lang="zh-CN" sz="900" b="0" i="0" u="none" strike="noStrike" kern="1200" baseline="0">
                    <a:solidFill>
                      <a:schemeClr val="bg1"/>
                    </a:solidFill>
                    <a:latin typeface="Arial" panose="020B0604020202020204" pitchFamily="7" charset="0"/>
                    <a:ea typeface="+mn-ea"/>
                    <a:cs typeface="Arial" panose="020B0604020202020204" pitchFamily="7" charset="0"/>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机关事业单位基本养老保险缴费支出</c:v>
                </c:pt>
                <c:pt idx="1">
                  <c:v>机关事业单位职业年金缴费支出</c:v>
                </c:pt>
                <c:pt idx="2">
                  <c:v>中医（民族）医院</c:v>
                </c:pt>
                <c:pt idx="3">
                  <c:v>其他公立医院支出</c:v>
                </c:pt>
                <c:pt idx="4">
                  <c:v>基本公共卫生服务</c:v>
                </c:pt>
                <c:pt idx="5">
                  <c:v>重大公共卫生服务</c:v>
                </c:pt>
                <c:pt idx="6">
                  <c:v>中医（民族医）药专项</c:v>
                </c:pt>
                <c:pt idx="7">
                  <c:v>事业单位医疗</c:v>
                </c:pt>
              </c:strCache>
            </c:strRef>
          </c:cat>
          <c:val>
            <c:numRef>
              <c:f>Sheet1!$B$2:$B$9</c:f>
              <c:numCache>
                <c:formatCode>General</c:formatCode>
                <c:ptCount val="8"/>
                <c:pt idx="0">
                  <c:v>69.28</c:v>
                </c:pt>
                <c:pt idx="1">
                  <c:v>33.53</c:v>
                </c:pt>
                <c:pt idx="2">
                  <c:v>548.55</c:v>
                </c:pt>
                <c:pt idx="3">
                  <c:v>17.94</c:v>
                </c:pt>
                <c:pt idx="4">
                  <c:v>28.8</c:v>
                </c:pt>
                <c:pt idx="5">
                  <c:v>42.51</c:v>
                </c:pt>
                <c:pt idx="6">
                  <c:v>60.54</c:v>
                </c:pt>
                <c:pt idx="7">
                  <c:v>35.24</c:v>
                </c:pt>
              </c:numCache>
            </c:numRef>
          </c:val>
        </c:ser>
        <c:ser>
          <c:idx val="1"/>
          <c:order val="1"/>
          <c:tx>
            <c:strRef>
              <c:f>Sheet1!#REF!</c:f>
              <c:strCache>
                <c:ptCount val="1"/>
                <c:pt idx="0">
                  <c:v/>
                </c:pt>
              </c:strCache>
            </c:strRef>
          </c:tx>
          <c:spPr>
            <a:blipFill rotWithShape="1">
              <a:blip xmlns:r="http://schemas.openxmlformats.org/officeDocument/2006/relationships" r:embed="rId3"/>
              <a:stretch>
                <a:fillRect/>
              </a:stretch>
            </a:blip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forceAA="0"/>
              <a:lstStyle/>
              <a:p>
                <a:pPr>
                  <a:defRPr lang="zh-CN" sz="900" b="0" i="0" u="none" strike="noStrike" kern="1200" baseline="0">
                    <a:solidFill>
                      <a:schemeClr val="bg1"/>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机关事业单位基本养老保险缴费支出</c:v>
                </c:pt>
                <c:pt idx="1">
                  <c:v>机关事业单位职业年金缴费支出</c:v>
                </c:pt>
                <c:pt idx="2">
                  <c:v>中医（民族）医院</c:v>
                </c:pt>
                <c:pt idx="3">
                  <c:v>其他公立医院支出</c:v>
                </c:pt>
                <c:pt idx="4">
                  <c:v>基本公共卫生服务</c:v>
                </c:pt>
                <c:pt idx="5">
                  <c:v>重大公共卫生服务</c:v>
                </c:pt>
                <c:pt idx="6">
                  <c:v>中医（民族医）药专项</c:v>
                </c:pt>
                <c:pt idx="7">
                  <c:v>事业单位医疗</c:v>
                </c:pt>
              </c:strCache>
            </c:strRef>
          </c:cat>
          <c:val>
            <c:numRef>
              <c:f>Sheet1!#REF!</c:f>
              <c:numCache>
                <c:formatCode>General</c:formatCode>
                <c:ptCount val="1"/>
                <c:pt idx="0">
                  <c:v>1</c:v>
                </c:pt>
              </c:numCache>
            </c:numRef>
          </c:val>
        </c:ser>
        <c:ser>
          <c:idx val="2"/>
          <c:order val="2"/>
          <c:tx>
            <c:strRef>
              <c:f>Sheet1!#REF!</c:f>
              <c:strCache>
                <c:ptCount val="1"/>
                <c:pt idx="0">
                  <c:v/>
                </c:pt>
              </c:strCache>
            </c:strRef>
          </c:tx>
          <c:spPr>
            <a:blipFill rotWithShape="1">
              <a:blip xmlns:r="http://schemas.openxmlformats.org/officeDocument/2006/relationships" r:embed="rId3"/>
              <a:stretch>
                <a:fillRect/>
              </a:stretch>
            </a:blip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forceAA="0"/>
              <a:lstStyle/>
              <a:p>
                <a:pPr>
                  <a:defRPr lang="zh-CN" sz="900" b="0" i="0" u="none" strike="noStrike" kern="1200" baseline="0">
                    <a:solidFill>
                      <a:schemeClr val="bg1"/>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机关事业单位基本养老保险缴费支出</c:v>
                </c:pt>
                <c:pt idx="1">
                  <c:v>机关事业单位职业年金缴费支出</c:v>
                </c:pt>
                <c:pt idx="2">
                  <c:v>中医（民族）医院</c:v>
                </c:pt>
                <c:pt idx="3">
                  <c:v>其他公立医院支出</c:v>
                </c:pt>
                <c:pt idx="4">
                  <c:v>基本公共卫生服务</c:v>
                </c:pt>
                <c:pt idx="5">
                  <c:v>重大公共卫生服务</c:v>
                </c:pt>
                <c:pt idx="6">
                  <c:v>中医（民族医）药专项</c:v>
                </c:pt>
                <c:pt idx="7">
                  <c:v>事业单位医疗</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10"/>
        <c:axId val="85009468"/>
        <c:axId val="296914145"/>
      </c:barChart>
      <c:catAx>
        <c:axId val="85009468"/>
        <c:scaling>
          <c:orientation val="minMax"/>
        </c:scaling>
        <c:delete val="0"/>
        <c:axPos val="b"/>
        <c:numFmt formatCode="General" sourceLinked="1"/>
        <c:majorTickMark val="none"/>
        <c:minorTickMark val="none"/>
        <c:tickLblPos val="nextTo"/>
        <c:spPr>
          <a:noFill/>
          <a:ln w="9525" cap="flat" cmpd="sng" algn="ctr">
            <a:solidFill>
              <a:schemeClr val="bg1">
                <a:lumMod val="95000"/>
              </a:schemeClr>
            </a:solidFill>
            <a:round/>
          </a:ln>
          <a:effectLst/>
        </c:spPr>
        <c:txPr>
          <a:bodyPr rot="-60000000" spcFirstLastPara="0" vertOverflow="ellipsis" vert="horz" wrap="square" anchor="ctr" anchorCtr="1" forceAA="0"/>
          <a:lstStyle/>
          <a:p>
            <a:pPr>
              <a:defRPr lang="zh-CN" sz="900" b="0" i="0" u="none" strike="noStrike" kern="1200" baseline="0">
                <a:solidFill>
                  <a:schemeClr val="tx1">
                    <a:lumMod val="65000"/>
                    <a:lumOff val="35000"/>
                  </a:schemeClr>
                </a:solidFill>
                <a:latin typeface="微软雅黑" panose="020B0503020204020204" charset="-122"/>
                <a:ea typeface="微软雅黑" panose="020B0503020204020204" charset="-122"/>
                <a:cs typeface="+mn-cs"/>
              </a:defRPr>
            </a:pPr>
          </a:p>
        </c:txPr>
        <c:crossAx val="296914145"/>
        <c:crosses val="autoZero"/>
        <c:auto val="1"/>
        <c:lblAlgn val="ctr"/>
        <c:lblOffset val="100"/>
        <c:noMultiLvlLbl val="0"/>
      </c:catAx>
      <c:valAx>
        <c:axId val="296914145"/>
        <c:scaling>
          <c:orientation val="minMax"/>
        </c:scaling>
        <c:delete val="0"/>
        <c:axPos val="l"/>
        <c:majorGridlines>
          <c:spPr>
            <a:ln w="9525" cap="flat" cmpd="sng" algn="ctr">
              <a:solidFill>
                <a:schemeClr val="bg1">
                  <a:lumMod val="9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forceAA="0"/>
          <a:lstStyle/>
          <a:p>
            <a:pPr>
              <a:defRPr lang="zh-CN" sz="900" b="0" i="0" u="none" strike="noStrike" kern="1200" baseline="0">
                <a:solidFill>
                  <a:schemeClr val="tx1">
                    <a:lumMod val="65000"/>
                    <a:lumOff val="35000"/>
                  </a:schemeClr>
                </a:solidFill>
                <a:latin typeface="Arial" panose="020B0604020202020204" pitchFamily="7" charset="0"/>
                <a:ea typeface="+mn-ea"/>
                <a:cs typeface="Arial" panose="020B0604020202020204" pitchFamily="7" charset="0"/>
              </a:defRPr>
            </a:pPr>
          </a:p>
        </c:txPr>
        <c:crossAx val="85009468"/>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65000"/>
                  <a:lumOff val="35000"/>
                </a:schemeClr>
              </a:solidFill>
              <a:latin typeface="微软雅黑" panose="020B0503020204020204" charset="-122"/>
              <a:ea typeface="微软雅黑" panose="020B0503020204020204" charset="-122"/>
              <a:cs typeface="+mn-cs"/>
            </a:defRPr>
          </a:pPr>
        </a:p>
      </c:txPr>
    </c:legend>
    <c:plotVisOnly val="1"/>
    <c:dispBlanksAs val="gap"/>
    <c:showDLblsOverMax val="0"/>
  </c:chart>
  <c:spPr>
    <a:solidFill>
      <a:schemeClr val="bg1"/>
    </a:solidFill>
    <a:ln w="9525" cap="flat" cmpd="sng" algn="ctr">
      <a:solidFill>
        <a:schemeClr val="bg1">
          <a:lumMod val="9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9CAE55-CD1B-4B4A-B759-66D9AAD6058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25</Pages>
  <Words>9323</Words>
  <Characters>10116</Characters>
  <Lines>74</Lines>
  <Paragraphs>21</Paragraphs>
  <TotalTime>20</TotalTime>
  <ScaleCrop>false</ScaleCrop>
  <LinksUpToDate>false</LinksUpToDate>
  <CharactersWithSpaces>16199</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2021-08-06T09:38:00Z</dcterms:created>
  <dc:creator>曹颖</dc:creator>
  <cp:lastModifiedBy>藏医院</cp:lastModifiedBy>
  <cp:lastPrinted>2022-07-20T08:26:49Z</cp:lastPrinted>
  <dcterms:modified xsi:type="dcterms:W3CDTF">2022-07-20T08:28:41Z</dcterms:modified>
  <dc:title>阿坝州部门决算说明</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99B01025C8874C7DAFF614D116F4E1EE</vt:lpwstr>
  </property>
</Properties>
</file>