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eastAsia"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78441"/>
      <w:bookmarkStart w:id="2" w:name="_Toc15396475"/>
      <w:bookmarkStart w:id="3" w:name="_Toc15377193"/>
      <w:bookmarkStart w:id="4" w:name="_Toc15377425"/>
      <w:bookmarkStart w:id="5" w:name="_Toc15396597"/>
      <w:r>
        <w:rPr>
          <w:rFonts w:ascii="黑体" w:hAnsi="黑体" w:eastAsia="黑体"/>
          <w:sz w:val="72"/>
          <w:szCs w:val="72"/>
        </w:rPr>
        <w:t>202</w:t>
      </w:r>
      <w:r>
        <w:rPr>
          <w:rFonts w:hint="eastAsia" w:ascii="黑体" w:hAnsi="黑体" w:eastAsia="黑体"/>
          <w:sz w:val="72"/>
          <w:szCs w:val="72"/>
        </w:rPr>
        <w:t>1年度</w:t>
      </w:r>
      <w:bookmarkEnd w:id="1"/>
      <w:bookmarkEnd w:id="2"/>
      <w:bookmarkEnd w:id="3"/>
      <w:bookmarkEnd w:id="4"/>
      <w:bookmarkEnd w:id="5"/>
    </w:p>
    <w:p>
      <w:pPr>
        <w:jc w:val="center"/>
        <w:rPr>
          <w:rFonts w:ascii="方正小标宋简体" w:eastAsia="方正小标宋简体"/>
          <w:sz w:val="72"/>
          <w:szCs w:val="72"/>
        </w:rPr>
      </w:pPr>
      <w:bookmarkStart w:id="6" w:name="_Toc15377426"/>
      <w:bookmarkStart w:id="7" w:name="_Toc15378442"/>
      <w:bookmarkStart w:id="8" w:name="_Toc15396476"/>
      <w:bookmarkStart w:id="9" w:name="_Toc15377194"/>
      <w:bookmarkStart w:id="10" w:name="_Toc15396598"/>
      <w:r>
        <w:rPr>
          <w:rFonts w:hint="eastAsia" w:ascii="方正小标宋简体" w:eastAsia="方正小标宋简体"/>
          <w:sz w:val="72"/>
          <w:szCs w:val="72"/>
        </w:rPr>
        <w:t>阿坝州壤塘县</w:t>
      </w:r>
      <w:bookmarkEnd w:id="0"/>
      <w:bookmarkStart w:id="11" w:name="_Toc15306268"/>
      <w:r>
        <w:rPr>
          <w:rFonts w:hint="eastAsia" w:ascii="方正小标宋简体" w:eastAsia="方正小标宋简体"/>
          <w:sz w:val="72"/>
          <w:szCs w:val="72"/>
        </w:rPr>
        <w:t>妇幼保健和计生服务中心部门决算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widowControl/>
        <w:jc w:val="center"/>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3"/>
        <w:jc w:val="center"/>
        <w:rPr>
          <w:rFonts w:hAnsiTheme="minorHAnsi"/>
          <w:b w:val="0"/>
          <w:bCs w:val="0"/>
          <w:sz w:val="24"/>
          <w:szCs w:val="24"/>
        </w:rPr>
      </w:pPr>
      <w:r>
        <w:rPr>
          <w:rFonts w:hint="eastAsia" w:hAnsiTheme="minorHAnsi"/>
          <w:b w:val="0"/>
          <w:bCs w:val="0"/>
          <w:sz w:val="24"/>
          <w:szCs w:val="24"/>
        </w:rPr>
        <w:t>公开时间：2022年 10月21 日</w:t>
      </w:r>
    </w:p>
    <w:p>
      <w:pPr>
        <w:pStyle w:val="13"/>
        <w:tabs>
          <w:tab w:val="right" w:leader="dot" w:pos="8296"/>
        </w:tabs>
        <w:rPr>
          <w:rFonts w:hAnsiTheme="minorHAnsi" w:eastAsiaTheme="minorEastAsia" w:cstheme="minorBidi"/>
          <w:b w:val="0"/>
          <w:bCs w:val="0"/>
          <w:caps w:val="0"/>
          <w:sz w:val="21"/>
          <w:szCs w:val="22"/>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ascii="黑体" w:hAnsi="黑体" w:eastAsia="黑体"/>
          <w:b w:val="0"/>
          <w:bCs w:val="0"/>
        </w:rPr>
        <w:t>部门概况</w:t>
      </w:r>
      <w:r>
        <w:tab/>
      </w:r>
      <w:r>
        <w:fldChar w:fldCharType="begin"/>
      </w:r>
      <w:r>
        <w:instrText xml:space="preserve"> PAGEREF _Toc79163851 \h </w:instrText>
      </w:r>
      <w:r>
        <w:fldChar w:fldCharType="separate"/>
      </w:r>
      <w:r>
        <w:t>6</w:t>
      </w:r>
      <w:r>
        <w:fldChar w:fldCharType="end"/>
      </w:r>
    </w:p>
    <w:p>
      <w:pPr>
        <w:pStyle w:val="16"/>
        <w:tabs>
          <w:tab w:val="right" w:leader="dot" w:pos="8296"/>
        </w:tabs>
        <w:rPr>
          <w:rFonts w:hAnsiTheme="minorHAnsi" w:eastAsiaTheme="minorEastAsia" w:cstheme="minorBidi"/>
          <w:smallCaps w:val="0"/>
          <w:sz w:val="21"/>
          <w:szCs w:val="22"/>
        </w:rPr>
      </w:pPr>
      <w:r>
        <w:rPr>
          <w:rFonts w:ascii="黑体" w:hAnsi="黑体" w:eastAsia="黑体"/>
          <w:color w:val="000000"/>
        </w:rPr>
        <w:t>一、基</w:t>
      </w:r>
      <w:r>
        <w:rPr>
          <w:rFonts w:ascii="黑体" w:hAnsi="黑体" w:eastAsia="黑体"/>
        </w:rPr>
        <w:t>本职能及主要工作</w:t>
      </w:r>
      <w:r>
        <w:tab/>
      </w:r>
      <w:r>
        <w:fldChar w:fldCharType="begin"/>
      </w:r>
      <w:r>
        <w:instrText xml:space="preserve"> PAGEREF _Toc79163852 \h </w:instrText>
      </w:r>
      <w:r>
        <w:fldChar w:fldCharType="separate"/>
      </w:r>
      <w:r>
        <w:t>6</w:t>
      </w:r>
      <w:r>
        <w:fldChar w:fldCharType="end"/>
      </w:r>
    </w:p>
    <w:p>
      <w:pPr>
        <w:pStyle w:val="8"/>
        <w:tabs>
          <w:tab w:val="right" w:leader="dot" w:pos="8296"/>
        </w:tabs>
        <w:rPr>
          <w:rFonts w:hAnsiTheme="minorHAnsi" w:eastAsiaTheme="minorEastAsia" w:cstheme="minorBidi"/>
          <w:i w:val="0"/>
          <w:iCs w:val="0"/>
          <w:sz w:val="21"/>
          <w:szCs w:val="22"/>
        </w:rPr>
      </w:pPr>
      <w:r>
        <w:rPr>
          <w:rFonts w:ascii="仿宋" w:hAnsi="仿宋" w:eastAsia="仿宋"/>
          <w:bCs/>
          <w:color w:val="000000"/>
        </w:rPr>
        <w:t>（一）主要职能。</w:t>
      </w:r>
      <w:r>
        <w:tab/>
      </w:r>
      <w:r>
        <w:fldChar w:fldCharType="begin"/>
      </w:r>
      <w:r>
        <w:instrText xml:space="preserve"> PAGEREF _Toc79163853 \h </w:instrText>
      </w:r>
      <w:r>
        <w:fldChar w:fldCharType="separate"/>
      </w:r>
      <w:r>
        <w:t>6</w:t>
      </w:r>
      <w:r>
        <w:fldChar w:fldCharType="end"/>
      </w:r>
    </w:p>
    <w:p>
      <w:pPr>
        <w:pStyle w:val="8"/>
        <w:tabs>
          <w:tab w:val="right" w:leader="dot" w:pos="8296"/>
        </w:tabs>
        <w:rPr>
          <w:rFonts w:hAnsiTheme="minorHAnsi" w:eastAsiaTheme="minorEastAsia" w:cstheme="minorBidi"/>
          <w:i w:val="0"/>
          <w:iCs w:val="0"/>
          <w:sz w:val="21"/>
          <w:szCs w:val="22"/>
        </w:rPr>
      </w:pPr>
      <w:r>
        <w:rPr>
          <w:rFonts w:ascii="仿宋" w:hAnsi="仿宋" w:eastAsia="仿宋"/>
          <w:bCs/>
          <w:color w:val="000000"/>
        </w:rPr>
        <w:t>（二）202</w:t>
      </w:r>
      <w:r>
        <w:rPr>
          <w:rFonts w:hint="eastAsia" w:ascii="仿宋" w:hAnsi="仿宋" w:eastAsia="仿宋"/>
          <w:bCs/>
          <w:color w:val="000000"/>
        </w:rPr>
        <w:t>1</w:t>
      </w:r>
      <w:r>
        <w:rPr>
          <w:rFonts w:ascii="仿宋" w:hAnsi="仿宋" w:eastAsia="仿宋"/>
          <w:bCs/>
          <w:color w:val="000000"/>
        </w:rPr>
        <w:t>年重点工作完成情况。</w:t>
      </w:r>
      <w:r>
        <w:tab/>
      </w:r>
      <w:r>
        <w:fldChar w:fldCharType="begin"/>
      </w:r>
      <w:r>
        <w:instrText xml:space="preserve"> PAGEREF _Toc79163854 \h </w:instrText>
      </w:r>
      <w:r>
        <w:fldChar w:fldCharType="separate"/>
      </w:r>
      <w:r>
        <w:t>6</w:t>
      </w:r>
      <w:r>
        <w:fldChar w:fldCharType="end"/>
      </w:r>
    </w:p>
    <w:p>
      <w:pPr>
        <w:pStyle w:val="16"/>
        <w:tabs>
          <w:tab w:val="right" w:leader="dot" w:pos="8296"/>
        </w:tabs>
        <w:rPr>
          <w:rFonts w:hAnsiTheme="minorHAnsi" w:eastAsiaTheme="minorEastAsia" w:cstheme="minorBidi"/>
          <w:smallCaps w:val="0"/>
          <w:sz w:val="21"/>
          <w:szCs w:val="22"/>
        </w:rPr>
      </w:pPr>
      <w:r>
        <w:rPr>
          <w:rFonts w:ascii="黑体" w:eastAsia="黑体"/>
          <w:color w:val="000000"/>
        </w:rPr>
        <w:t>二、</w:t>
      </w:r>
      <w:r>
        <w:rPr>
          <w:rFonts w:ascii="黑体" w:hAnsi="黑体" w:eastAsia="黑体"/>
          <w:color w:val="000000"/>
        </w:rPr>
        <w:t>机</w:t>
      </w:r>
      <w:r>
        <w:rPr>
          <w:rFonts w:ascii="黑体" w:hAnsi="黑体" w:eastAsia="黑体"/>
        </w:rPr>
        <w:t>构设置</w:t>
      </w:r>
      <w:r>
        <w:tab/>
      </w:r>
      <w:r>
        <w:fldChar w:fldCharType="begin"/>
      </w:r>
      <w:r>
        <w:instrText xml:space="preserve"> PAGEREF _Toc79163855 \h </w:instrText>
      </w:r>
      <w:r>
        <w:fldChar w:fldCharType="separate"/>
      </w:r>
      <w:r>
        <w:t>11</w:t>
      </w:r>
      <w:r>
        <w:fldChar w:fldCharType="end"/>
      </w:r>
    </w:p>
    <w:p>
      <w:pPr>
        <w:pStyle w:val="8"/>
        <w:tabs>
          <w:tab w:val="left" w:pos="840"/>
          <w:tab w:val="right" w:leader="dot" w:pos="8296"/>
        </w:tabs>
        <w:rPr>
          <w:rFonts w:hAnsiTheme="minorHAnsi" w:cstheme="minorBidi"/>
          <w:i w:val="0"/>
          <w:iCs w:val="0"/>
          <w:sz w:val="21"/>
          <w:szCs w:val="22"/>
        </w:rPr>
      </w:pPr>
      <w:r>
        <w:rPr>
          <w:rFonts w:ascii="仿宋" w:hAnsi="仿宋" w:eastAsia="仿宋"/>
          <w:color w:val="000000"/>
        </w:rPr>
        <w:t>1.</w:t>
      </w:r>
      <w:r>
        <w:rPr>
          <w:rFonts w:hAnsiTheme="minorHAnsi" w:eastAsiaTheme="minorEastAsia" w:cstheme="minorBidi"/>
          <w:i w:val="0"/>
          <w:iCs w:val="0"/>
          <w:sz w:val="21"/>
          <w:szCs w:val="22"/>
        </w:rPr>
        <w:tab/>
      </w:r>
      <w:r>
        <w:rPr>
          <w:rFonts w:hint="eastAsia" w:hAnsiTheme="minorHAnsi" w:eastAsiaTheme="minorEastAsia" w:cstheme="minorBidi"/>
          <w:i w:val="0"/>
          <w:iCs w:val="0"/>
          <w:sz w:val="21"/>
          <w:szCs w:val="22"/>
        </w:rPr>
        <w:t>本部分机构</w:t>
      </w:r>
      <w:r>
        <w:tab/>
      </w:r>
      <w:r>
        <w:rPr>
          <w:rFonts w:hint="eastAsia"/>
        </w:rPr>
        <w:t>11</w:t>
      </w:r>
    </w:p>
    <w:p>
      <w:pPr>
        <w:pStyle w:val="8"/>
        <w:tabs>
          <w:tab w:val="left" w:pos="840"/>
          <w:tab w:val="right" w:leader="dot" w:pos="8296"/>
        </w:tabs>
        <w:rPr>
          <w:rFonts w:hAnsiTheme="minorHAnsi" w:eastAsiaTheme="minorEastAsia" w:cstheme="minorBidi"/>
          <w:i w:val="0"/>
          <w:iCs w:val="0"/>
          <w:sz w:val="21"/>
          <w:szCs w:val="22"/>
        </w:rPr>
      </w:pPr>
      <w:r>
        <w:rPr>
          <w:rFonts w:ascii="仿宋" w:hAnsi="仿宋" w:eastAsia="仿宋"/>
          <w:color w:val="000000"/>
        </w:rPr>
        <w:t>2.</w:t>
      </w:r>
      <w:r>
        <w:rPr>
          <w:rFonts w:hAnsiTheme="minorHAnsi" w:eastAsiaTheme="minorEastAsia" w:cstheme="minorBidi"/>
          <w:i w:val="0"/>
          <w:iCs w:val="0"/>
          <w:sz w:val="21"/>
          <w:szCs w:val="22"/>
        </w:rPr>
        <w:tab/>
      </w:r>
      <w:r>
        <w:rPr>
          <w:rFonts w:hint="eastAsia" w:ascii="仿宋" w:hAnsi="仿宋" w:eastAsia="仿宋"/>
          <w:color w:val="000000"/>
        </w:rPr>
        <w:t>人员情况</w:t>
      </w:r>
      <w:r>
        <w:tab/>
      </w:r>
      <w:r>
        <w:rPr>
          <w:rFonts w:hint="eastAsia"/>
        </w:rPr>
        <w:t>11</w:t>
      </w:r>
    </w:p>
    <w:p>
      <w:pPr>
        <w:pStyle w:val="13"/>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b w:val="0"/>
          <w:color w:val="000000"/>
        </w:rPr>
        <w:t>第二部分</w:t>
      </w:r>
      <w:r>
        <w:rPr>
          <w:rFonts w:ascii="黑体" w:hAnsi="黑体" w:eastAsia="黑体"/>
          <w:color w:val="000000"/>
        </w:rPr>
        <w:t xml:space="preserve"> </w:t>
      </w:r>
      <w:r>
        <w:rPr>
          <w:rFonts w:ascii="黑体" w:hAnsi="黑体" w:eastAsia="黑体"/>
          <w:b w:val="0"/>
          <w:bCs w:val="0"/>
        </w:rPr>
        <w:t>202</w:t>
      </w:r>
      <w:r>
        <w:rPr>
          <w:rFonts w:hint="eastAsia" w:ascii="黑体" w:hAnsi="黑体" w:eastAsia="黑体"/>
          <w:b w:val="0"/>
          <w:bCs w:val="0"/>
        </w:rPr>
        <w:t>1</w:t>
      </w:r>
      <w:r>
        <w:rPr>
          <w:rFonts w:ascii="黑体" w:hAnsi="黑体" w:eastAsia="黑体"/>
          <w:b w:val="0"/>
          <w:bCs w:val="0"/>
        </w:rPr>
        <w:t>年度部门决算情况说明</w:t>
      </w:r>
      <w:r>
        <w:tab/>
      </w:r>
      <w:r>
        <w:rPr>
          <w:rFonts w:hint="eastAsia"/>
          <w:lang w:val="en-US" w:eastAsia="zh-CN"/>
        </w:rPr>
        <w:t>11</w:t>
      </w:r>
    </w:p>
    <w:p>
      <w:pPr>
        <w:pStyle w:val="16"/>
        <w:tabs>
          <w:tab w:val="left" w:pos="840"/>
          <w:tab w:val="right" w:leader="dot" w:pos="8296"/>
        </w:tabs>
        <w:rPr>
          <w:rFonts w:hint="default" w:hAnsiTheme="minorHAnsi" w:eastAsiaTheme="minorHAnsi" w:cstheme="minorBidi"/>
          <w:smallCaps w:val="0"/>
          <w:sz w:val="21"/>
          <w:szCs w:val="22"/>
          <w:lang w:val="en-US" w:eastAsia="zh-CN"/>
        </w:rPr>
      </w:pPr>
      <w:r>
        <w:rPr>
          <w:rFonts w:ascii="黑体" w:hAnsi="黑体" w:eastAsia="黑体"/>
          <w:bCs/>
        </w:rPr>
        <w:t>一、</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入支出决算总体情况说明</w:t>
      </w:r>
      <w:r>
        <w:tab/>
      </w:r>
      <w:r>
        <w:rPr>
          <w:rFonts w:hint="eastAsia"/>
          <w:lang w:val="en-US" w:eastAsia="zh-CN"/>
        </w:rPr>
        <w:t>11</w:t>
      </w:r>
    </w:p>
    <w:p>
      <w:pPr>
        <w:pStyle w:val="16"/>
        <w:tabs>
          <w:tab w:val="left" w:pos="840"/>
          <w:tab w:val="right" w:leader="dot" w:pos="8296"/>
        </w:tabs>
        <w:rPr>
          <w:rFonts w:hint="default" w:hAnsiTheme="minorHAnsi" w:eastAsiaTheme="minorHAnsi" w:cstheme="minorBidi"/>
          <w:smallCaps w:val="0"/>
          <w:sz w:val="21"/>
          <w:szCs w:val="22"/>
          <w:lang w:val="en-US" w:eastAsia="zh-CN"/>
        </w:rPr>
      </w:pPr>
      <w:r>
        <w:rPr>
          <w:rFonts w:ascii="黑体" w:hAnsi="黑体" w:eastAsia="黑体"/>
          <w:bCs/>
        </w:rPr>
        <w:t>二、</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入决算情况说明</w:t>
      </w:r>
      <w:r>
        <w:tab/>
      </w:r>
      <w:r>
        <w:rPr>
          <w:rFonts w:hint="eastAsia"/>
          <w:lang w:val="en-US" w:eastAsia="zh-CN"/>
        </w:rPr>
        <w:t>11</w:t>
      </w:r>
    </w:p>
    <w:p>
      <w:pPr>
        <w:pStyle w:val="16"/>
        <w:tabs>
          <w:tab w:val="left" w:pos="840"/>
          <w:tab w:val="right" w:leader="dot" w:pos="8296"/>
        </w:tabs>
        <w:rPr>
          <w:rFonts w:hint="default" w:hAnsiTheme="minorHAnsi" w:eastAsiaTheme="minorHAnsi" w:cstheme="minorBidi"/>
          <w:smallCaps w:val="0"/>
          <w:sz w:val="21"/>
          <w:szCs w:val="22"/>
          <w:lang w:val="en-US" w:eastAsia="zh-CN"/>
        </w:rPr>
      </w:pPr>
      <w:r>
        <w:rPr>
          <w:rFonts w:ascii="黑体" w:hAnsi="黑体" w:eastAsia="黑体"/>
          <w:bCs/>
        </w:rPr>
        <w:t>三、</w:t>
      </w:r>
      <w:r>
        <w:rPr>
          <w:rFonts w:hAnsiTheme="minorHAnsi" w:eastAsiaTheme="minorEastAsia" w:cstheme="minorBidi"/>
          <w:smallCaps w:val="0"/>
          <w:sz w:val="21"/>
          <w:szCs w:val="22"/>
        </w:rPr>
        <w:tab/>
      </w:r>
      <w:r>
        <w:rPr>
          <w:rFonts w:ascii="黑体" w:hAnsi="黑体" w:eastAsia="黑体"/>
          <w:color w:val="000000"/>
        </w:rPr>
        <w:t>支</w:t>
      </w:r>
      <w:r>
        <w:rPr>
          <w:rFonts w:ascii="黑体" w:hAnsi="黑体" w:eastAsia="黑体"/>
          <w:bCs/>
        </w:rPr>
        <w:t>出决算情况说明</w:t>
      </w:r>
      <w:r>
        <w:tab/>
      </w:r>
      <w:r>
        <w:rPr>
          <w:rFonts w:hint="eastAsia"/>
          <w:lang w:val="en-US" w:eastAsia="zh-CN"/>
        </w:rPr>
        <w:t>12</w:t>
      </w:r>
    </w:p>
    <w:p>
      <w:pPr>
        <w:pStyle w:val="16"/>
        <w:tabs>
          <w:tab w:val="right" w:leader="dot" w:pos="8296"/>
        </w:tabs>
        <w:rPr>
          <w:rFonts w:hint="default" w:hAnsiTheme="minorHAnsi" w:eastAsiaTheme="minorHAnsi" w:cstheme="minorBidi"/>
          <w:smallCaps w:val="0"/>
          <w:sz w:val="21"/>
          <w:szCs w:val="22"/>
          <w:lang w:val="en-US" w:eastAsia="zh-CN"/>
        </w:rPr>
      </w:pPr>
      <w:r>
        <w:rPr>
          <w:rFonts w:ascii="黑体" w:hAnsi="黑体" w:eastAsia="黑体"/>
          <w:color w:val="000000"/>
        </w:rPr>
        <w:t>四、财</w:t>
      </w:r>
      <w:r>
        <w:rPr>
          <w:rFonts w:ascii="黑体" w:hAnsi="黑体" w:eastAsia="黑体"/>
          <w:bCs/>
        </w:rPr>
        <w:t>政拨款收入支出决算总体情况说明</w:t>
      </w:r>
      <w:r>
        <w:tab/>
      </w:r>
      <w:r>
        <w:rPr>
          <w:rFonts w:hint="eastAsia"/>
          <w:lang w:val="en-US" w:eastAsia="zh-CN"/>
        </w:rPr>
        <w:t>13</w:t>
      </w:r>
    </w:p>
    <w:p>
      <w:pPr>
        <w:pStyle w:val="16"/>
        <w:tabs>
          <w:tab w:val="right" w:leader="dot" w:pos="8296"/>
        </w:tabs>
        <w:rPr>
          <w:rFonts w:hint="default" w:hAnsiTheme="minorHAnsi" w:eastAsiaTheme="minorHAnsi" w:cstheme="minorBidi"/>
          <w:smallCaps w:val="0"/>
          <w:sz w:val="21"/>
          <w:szCs w:val="22"/>
          <w:lang w:val="en-US" w:eastAsia="zh-CN"/>
        </w:rPr>
      </w:pPr>
      <w:r>
        <w:rPr>
          <w:rFonts w:ascii="黑体" w:hAnsi="黑体" w:eastAsia="黑体"/>
          <w:color w:val="000000"/>
        </w:rPr>
        <w:t>五、</w:t>
      </w:r>
      <w:r>
        <w:rPr>
          <w:rFonts w:ascii="黑体" w:hAnsi="黑体" w:eastAsia="黑体"/>
          <w:b/>
          <w:color w:val="000000"/>
        </w:rPr>
        <w:t>一</w:t>
      </w:r>
      <w:r>
        <w:rPr>
          <w:rFonts w:ascii="黑体" w:hAnsi="黑体" w:eastAsia="黑体"/>
          <w:bCs/>
        </w:rPr>
        <w:t>般公共预算财政拨款支出决算情况说明</w:t>
      </w:r>
      <w:r>
        <w:tab/>
      </w:r>
      <w:r>
        <w:rPr>
          <w:rFonts w:hint="eastAsia"/>
          <w:lang w:val="en-US" w:eastAsia="zh-CN"/>
        </w:rPr>
        <w:t>13</w:t>
      </w:r>
    </w:p>
    <w:p>
      <w:pPr>
        <w:pStyle w:val="8"/>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（一）一般公共预算财政拨款支出决算总体情况</w:t>
      </w:r>
      <w:r>
        <w:tab/>
      </w:r>
      <w:r>
        <w:rPr>
          <w:rFonts w:hint="eastAsia"/>
          <w:lang w:val="en-US" w:eastAsia="zh-CN"/>
        </w:rPr>
        <w:t>13</w:t>
      </w:r>
    </w:p>
    <w:p>
      <w:pPr>
        <w:pStyle w:val="8"/>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（二）一般公共预算财政拨款支出决算结构情况</w:t>
      </w:r>
      <w:r>
        <w:tab/>
      </w:r>
      <w:r>
        <w:rPr>
          <w:rFonts w:hint="eastAsia"/>
          <w:lang w:val="en-US" w:eastAsia="zh-CN"/>
        </w:rPr>
        <w:t>14</w:t>
      </w:r>
    </w:p>
    <w:p>
      <w:pPr>
        <w:pStyle w:val="8"/>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（三）一般公共预算财政拨款支出决算具体情况</w:t>
      </w:r>
      <w:r>
        <w:tab/>
      </w:r>
      <w:r>
        <w:rPr>
          <w:rFonts w:hint="eastAsia"/>
          <w:lang w:val="en-US" w:eastAsia="zh-CN"/>
        </w:rPr>
        <w:t>15</w:t>
      </w:r>
    </w:p>
    <w:p>
      <w:pPr>
        <w:pStyle w:val="16"/>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六</w:t>
      </w:r>
      <w:r>
        <w:rPr>
          <w:rFonts w:ascii="黑体" w:eastAsia="黑体"/>
          <w:b/>
          <w:color w:val="000000"/>
        </w:rPr>
        <w:t>、</w:t>
      </w:r>
      <w:r>
        <w:rPr>
          <w:rFonts w:ascii="黑体" w:hAnsi="黑体" w:eastAsia="黑体"/>
          <w:b/>
          <w:color w:val="000000"/>
        </w:rPr>
        <w:t>一</w:t>
      </w:r>
      <w:r>
        <w:rPr>
          <w:rFonts w:ascii="黑体" w:hAnsi="黑体" w:eastAsia="黑体"/>
          <w:bCs/>
        </w:rPr>
        <w:t>般公共预算财政拨款基本支出决算情况说明</w:t>
      </w:r>
      <w:r>
        <w:tab/>
      </w:r>
      <w:r>
        <w:rPr>
          <w:rFonts w:hint="eastAsia"/>
          <w:lang w:val="en-US" w:eastAsia="zh-CN"/>
        </w:rPr>
        <w:t>17</w:t>
      </w:r>
    </w:p>
    <w:p>
      <w:pPr>
        <w:pStyle w:val="16"/>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七、</w:t>
      </w:r>
      <w:r>
        <w:rPr>
          <w:rFonts w:ascii="黑体" w:hAnsi="黑体" w:eastAsia="黑体"/>
          <w:b/>
          <w:bCs/>
        </w:rPr>
        <w:t>“</w:t>
      </w:r>
      <w:r>
        <w:rPr>
          <w:rFonts w:ascii="黑体" w:hAnsi="黑体" w:eastAsia="黑体"/>
          <w:bCs/>
        </w:rPr>
        <w:t>三公”经费财政拨款支出决算情况说明</w:t>
      </w:r>
      <w:r>
        <w:tab/>
      </w:r>
      <w:r>
        <w:rPr>
          <w:rFonts w:hint="eastAsia"/>
          <w:lang w:val="en-US" w:eastAsia="zh-CN"/>
        </w:rPr>
        <w:t>19</w:t>
      </w:r>
    </w:p>
    <w:p>
      <w:pPr>
        <w:pStyle w:val="8"/>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（一）“三公”经费财政拨款支出决算总体情况说明</w:t>
      </w:r>
      <w:r>
        <w:tab/>
      </w:r>
      <w:r>
        <w:rPr>
          <w:rFonts w:hint="eastAsia"/>
          <w:lang w:val="en-US" w:eastAsia="zh-CN"/>
        </w:rPr>
        <w:t>19</w:t>
      </w:r>
    </w:p>
    <w:p>
      <w:pPr>
        <w:pStyle w:val="8"/>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（二）“三公”经费财政拨款支出决算具体情况说明</w:t>
      </w:r>
      <w:r>
        <w:tab/>
      </w:r>
      <w:r>
        <w:rPr>
          <w:rFonts w:hint="eastAsia"/>
          <w:lang w:val="en-US" w:eastAsia="zh-CN"/>
        </w:rPr>
        <w:t>49</w:t>
      </w:r>
    </w:p>
    <w:p>
      <w:pPr>
        <w:pStyle w:val="16"/>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八、</w:t>
      </w:r>
      <w:r>
        <w:rPr>
          <w:rFonts w:ascii="黑体" w:hAnsi="黑体" w:eastAsia="黑体"/>
          <w:bCs/>
        </w:rPr>
        <w:t>政府性基金预算支出决算情况说明</w:t>
      </w:r>
      <w:r>
        <w:tab/>
      </w:r>
      <w:r>
        <w:rPr>
          <w:rFonts w:hint="eastAsia"/>
          <w:lang w:val="en-US" w:eastAsia="zh-CN"/>
        </w:rPr>
        <w:t>20</w:t>
      </w:r>
    </w:p>
    <w:p>
      <w:pPr>
        <w:pStyle w:val="16"/>
        <w:tabs>
          <w:tab w:val="right" w:leader="dot" w:pos="8296"/>
        </w:tabs>
        <w:rPr>
          <w:rFonts w:hint="default" w:hAnsiTheme="minorHAnsi" w:eastAsiaTheme="minorHAnsi" w:cstheme="minorBidi"/>
          <w:smallCaps w:val="0"/>
          <w:sz w:val="21"/>
          <w:szCs w:val="22"/>
          <w:lang w:val="en-US" w:eastAsia="zh-CN"/>
        </w:rPr>
      </w:pPr>
      <w:r>
        <w:rPr>
          <w:rFonts w:ascii="黑体" w:hAnsi="黑体" w:eastAsia="黑体"/>
          <w:bCs/>
        </w:rPr>
        <w:t>九、 国有资本经营预算支出决算情况说明</w:t>
      </w:r>
      <w:r>
        <w:tab/>
      </w:r>
      <w:r>
        <w:rPr>
          <w:rFonts w:hint="eastAsia"/>
          <w:lang w:val="en-US" w:eastAsia="zh-CN"/>
        </w:rPr>
        <w:t>21</w:t>
      </w:r>
    </w:p>
    <w:p>
      <w:pPr>
        <w:pStyle w:val="16"/>
        <w:tabs>
          <w:tab w:val="right" w:leader="dot" w:pos="8296"/>
        </w:tabs>
        <w:rPr>
          <w:rFonts w:hint="default" w:hAnsiTheme="minorHAnsi" w:eastAsiaTheme="minorHAnsi" w:cstheme="minorBidi"/>
          <w:smallCaps w:val="0"/>
          <w:sz w:val="21"/>
          <w:szCs w:val="22"/>
          <w:lang w:val="en-US" w:eastAsia="zh-CN"/>
        </w:rPr>
      </w:pPr>
      <w:r>
        <w:rPr>
          <w:rFonts w:ascii="黑体" w:hAnsi="黑体" w:eastAsia="黑体"/>
          <w:color w:val="000000"/>
        </w:rPr>
        <w:t>十</w:t>
      </w:r>
      <w:r>
        <w:rPr>
          <w:rFonts w:ascii="黑体" w:hAnsi="黑体" w:eastAsia="黑体"/>
          <w:b/>
          <w:bCs/>
        </w:rPr>
        <w:t>、</w:t>
      </w:r>
      <w:r>
        <w:rPr>
          <w:rFonts w:ascii="黑体" w:hAnsi="黑体" w:eastAsia="黑体"/>
          <w:bCs/>
        </w:rPr>
        <w:t>其他重要事项的情况说明</w:t>
      </w:r>
      <w:r>
        <w:tab/>
      </w:r>
      <w:r>
        <w:rPr>
          <w:rFonts w:hint="eastAsia"/>
          <w:lang w:val="en-US" w:eastAsia="zh-CN"/>
        </w:rPr>
        <w:t>21</w:t>
      </w:r>
    </w:p>
    <w:p>
      <w:pPr>
        <w:pStyle w:val="8"/>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（一）机关运行经费支出情况</w:t>
      </w:r>
      <w:r>
        <w:tab/>
      </w:r>
      <w:r>
        <w:rPr>
          <w:rFonts w:hint="eastAsia"/>
          <w:lang w:val="en-US" w:eastAsia="zh-CN"/>
        </w:rPr>
        <w:t>21</w:t>
      </w:r>
    </w:p>
    <w:p>
      <w:pPr>
        <w:pStyle w:val="8"/>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（二）政府采购支出情况</w:t>
      </w:r>
      <w:r>
        <w:tab/>
      </w:r>
      <w:r>
        <w:rPr>
          <w:rFonts w:hint="eastAsia"/>
          <w:lang w:val="en-US" w:eastAsia="zh-CN"/>
        </w:rPr>
        <w:t>21</w:t>
      </w:r>
    </w:p>
    <w:p>
      <w:pPr>
        <w:pStyle w:val="8"/>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（三）国有资产占有使用情况</w:t>
      </w:r>
      <w:r>
        <w:tab/>
      </w:r>
      <w:r>
        <w:rPr>
          <w:rFonts w:hint="eastAsia"/>
          <w:lang w:val="en-US" w:eastAsia="zh-CN"/>
        </w:rPr>
        <w:t>21</w:t>
      </w:r>
    </w:p>
    <w:p>
      <w:pPr>
        <w:pStyle w:val="8"/>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（四）预算绩效管理情况。</w:t>
      </w:r>
      <w:r>
        <w:tab/>
      </w:r>
      <w:r>
        <w:rPr>
          <w:rFonts w:hint="eastAsia"/>
          <w:lang w:val="en-US" w:eastAsia="zh-CN"/>
        </w:rPr>
        <w:t>21</w:t>
      </w:r>
    </w:p>
    <w:p>
      <w:pPr>
        <w:pStyle w:val="13"/>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kern w:val="44"/>
        </w:rPr>
        <w:t>第三部分</w:t>
      </w:r>
      <w:r>
        <w:rPr>
          <w:rFonts w:ascii="黑体" w:hAnsi="黑体" w:eastAsia="黑体"/>
          <w:color w:val="000000"/>
        </w:rPr>
        <w:t xml:space="preserve"> 名</w:t>
      </w:r>
      <w:r>
        <w:rPr>
          <w:rFonts w:ascii="黑体" w:hAnsi="黑体" w:eastAsia="黑体"/>
          <w:kern w:val="44"/>
        </w:rPr>
        <w:t>词解释</w:t>
      </w:r>
      <w:r>
        <w:tab/>
      </w:r>
      <w:r>
        <w:rPr>
          <w:rFonts w:hint="eastAsia"/>
          <w:lang w:val="en-US" w:eastAsia="zh-CN"/>
        </w:rPr>
        <w:t>26</w:t>
      </w:r>
    </w:p>
    <w:p>
      <w:pPr>
        <w:pStyle w:val="13"/>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olor w:val="000000"/>
        </w:rPr>
        <w:t>第</w:t>
      </w:r>
      <w:r>
        <w:rPr>
          <w:rFonts w:ascii="黑体" w:hAnsi="黑体" w:eastAsia="黑体"/>
          <w:kern w:val="44"/>
        </w:rPr>
        <w:t>四部分 附件</w:t>
      </w:r>
      <w:r>
        <w:tab/>
      </w:r>
      <w:r>
        <w:rPr>
          <w:rFonts w:hint="eastAsia"/>
          <w:lang w:val="en-US" w:eastAsia="zh-CN"/>
        </w:rPr>
        <w:t>29</w:t>
      </w:r>
    </w:p>
    <w:p>
      <w:pPr>
        <w:pStyle w:val="13"/>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s="黑体"/>
        </w:rPr>
        <w:t>附件1</w:t>
      </w:r>
      <w:r>
        <w:tab/>
      </w:r>
      <w:r>
        <w:rPr>
          <w:rFonts w:hint="eastAsia"/>
          <w:lang w:val="en-US" w:eastAsia="zh-CN"/>
        </w:rPr>
        <w:t>29</w:t>
      </w:r>
    </w:p>
    <w:p>
      <w:pPr>
        <w:pStyle w:val="13"/>
        <w:tabs>
          <w:tab w:val="right" w:leader="dot" w:pos="8296"/>
        </w:tabs>
        <w:rPr>
          <w:rFonts w:hint="default" w:hAnsiTheme="minorHAnsi" w:eastAsiaTheme="minorHAnsi" w:cstheme="minorBidi"/>
          <w:b w:val="0"/>
          <w:bCs w:val="0"/>
          <w:caps w:val="0"/>
          <w:sz w:val="21"/>
          <w:szCs w:val="22"/>
          <w:lang w:val="en-US" w:eastAsia="zh-CN"/>
        </w:rPr>
      </w:pPr>
      <w:r>
        <w:rPr>
          <w:rFonts w:hint="eastAsia" w:ascii="方正小标宋简体" w:hAnsi="黑体" w:eastAsia="方正小标宋简体" w:cs="黑体"/>
        </w:rPr>
        <w:t>壤塘县妇幼保健和计生服务中心</w:t>
      </w:r>
      <w:r>
        <w:rPr>
          <w:rFonts w:ascii="方正小标宋简体" w:hAnsi="黑体" w:eastAsia="方正小标宋简体" w:cs="黑体"/>
        </w:rPr>
        <w:t>202</w:t>
      </w:r>
      <w:r>
        <w:rPr>
          <w:rFonts w:hint="eastAsia" w:ascii="方正小标宋简体" w:hAnsi="黑体" w:eastAsia="方正小标宋简体" w:cs="黑体"/>
        </w:rPr>
        <w:t>1</w:t>
      </w:r>
      <w:r>
        <w:rPr>
          <w:rFonts w:ascii="方正小标宋简体" w:hAnsi="黑体" w:eastAsia="方正小标宋简体" w:cs="黑体"/>
        </w:rPr>
        <w:t>年部门整体支出绩效评价报告</w:t>
      </w:r>
      <w:r>
        <w:tab/>
      </w:r>
      <w:r>
        <w:rPr>
          <w:rFonts w:hint="eastAsia"/>
          <w:lang w:val="en-US" w:eastAsia="zh-CN"/>
        </w:rPr>
        <w:t>29</w:t>
      </w:r>
    </w:p>
    <w:p>
      <w:pPr>
        <w:pStyle w:val="13"/>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s="黑体"/>
        </w:rPr>
        <w:t>附件2</w:t>
      </w:r>
      <w:r>
        <w:tab/>
      </w:r>
      <w:r>
        <w:rPr>
          <w:rFonts w:hint="eastAsia"/>
          <w:lang w:val="en-US" w:eastAsia="zh-CN"/>
        </w:rPr>
        <w:t>32</w:t>
      </w:r>
    </w:p>
    <w:p>
      <w:pPr>
        <w:pStyle w:val="13"/>
        <w:tabs>
          <w:tab w:val="right" w:leader="dot" w:pos="8296"/>
        </w:tabs>
        <w:rPr>
          <w:rFonts w:hint="default" w:eastAsiaTheme="minorHAnsi"/>
          <w:lang w:val="en-US" w:eastAsia="zh-CN"/>
        </w:rPr>
      </w:pPr>
      <w:r>
        <w:rPr>
          <w:rFonts w:ascii="方正小标宋简体" w:hAnsi="黑体" w:eastAsia="方正小标宋简体" w:cs="黑体"/>
        </w:rPr>
        <w:t>202</w:t>
      </w:r>
      <w:r>
        <w:rPr>
          <w:rFonts w:hint="eastAsia" w:ascii="方正小标宋简体" w:hAnsi="黑体" w:eastAsia="方正小标宋简体" w:cs="黑体"/>
        </w:rPr>
        <w:t>1</w:t>
      </w:r>
      <w:r>
        <w:rPr>
          <w:rFonts w:ascii="方正小标宋简体" w:hAnsi="黑体" w:eastAsia="方正小标宋简体" w:cs="黑体"/>
        </w:rPr>
        <w:t>年</w:t>
      </w:r>
      <w:r>
        <w:rPr>
          <w:rFonts w:hint="eastAsia" w:ascii="方正小标宋简体" w:hAnsi="黑体" w:eastAsia="方正小标宋简体" w:cs="黑体"/>
        </w:rPr>
        <w:t>基本公卫服务中央补助农村妇女两癌检测</w:t>
      </w:r>
      <w:r>
        <w:rPr>
          <w:rFonts w:ascii="方正小标宋简体" w:hAnsi="黑体" w:eastAsia="方正小标宋简体" w:cs="黑体"/>
        </w:rPr>
        <w:t>绩效评价报告</w:t>
      </w:r>
      <w:r>
        <w:tab/>
      </w:r>
      <w:r>
        <w:rPr>
          <w:rFonts w:hint="eastAsia"/>
          <w:lang w:val="en-US" w:eastAsia="zh-CN"/>
        </w:rPr>
        <w:t>32</w:t>
      </w:r>
    </w:p>
    <w:p>
      <w:pPr>
        <w:ind w:left="201" w:hanging="200" w:hangingChars="100"/>
        <w:rPr>
          <w:rFonts w:hint="default" w:ascii="方正小标宋简体" w:hAnsi="黑体" w:eastAsia="方正小标宋简体" w:cs="黑体"/>
          <w:b/>
          <w:bCs/>
          <w:caps/>
          <w:sz w:val="20"/>
          <w:szCs w:val="20"/>
          <w:lang w:val="en-US" w:eastAsia="zh-CN"/>
        </w:rPr>
      </w:pPr>
      <w:r>
        <w:rPr>
          <w:rFonts w:hint="eastAsia" w:ascii="方正小标宋简体" w:hAnsi="黑体" w:eastAsia="方正小标宋简体" w:cs="黑体"/>
          <w:b/>
          <w:bCs/>
          <w:caps/>
          <w:sz w:val="20"/>
          <w:szCs w:val="20"/>
        </w:rPr>
        <w:t xml:space="preserve">2021年县级计生事业费项目绩效评价报告............................................................................ </w:t>
      </w:r>
      <w:r>
        <w:rPr>
          <w:rFonts w:hint="eastAsia" w:ascii="方正小标宋简体" w:hAnsi="黑体" w:eastAsia="方正小标宋简体" w:cs="黑体"/>
          <w:b/>
          <w:bCs/>
          <w:caps/>
          <w:sz w:val="20"/>
          <w:szCs w:val="20"/>
          <w:lang w:val="en-US" w:eastAsia="zh-CN"/>
        </w:rPr>
        <w:t>35</w:t>
      </w:r>
    </w:p>
    <w:p>
      <w:pPr>
        <w:pStyle w:val="13"/>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olor w:val="000000"/>
        </w:rPr>
        <w:t>第</w:t>
      </w:r>
      <w:r>
        <w:rPr>
          <w:rFonts w:ascii="黑体" w:hAnsi="黑体" w:eastAsia="黑体"/>
          <w:kern w:val="44"/>
        </w:rPr>
        <w:t>五部分 附表</w:t>
      </w:r>
      <w:r>
        <w:tab/>
      </w:r>
      <w:r>
        <w:rPr>
          <w:rFonts w:hint="eastAsia"/>
          <w:lang w:val="en-US" w:eastAsia="zh-CN"/>
        </w:rPr>
        <w:t>39</w:t>
      </w:r>
      <w:bookmarkStart w:id="165" w:name="_GoBack"/>
      <w:bookmarkEnd w:id="165"/>
    </w:p>
    <w:p>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color w:val="000000"/>
        </w:rPr>
        <w:t>一、收</w:t>
      </w:r>
      <w:r>
        <w:rPr>
          <w:rFonts w:ascii="仿宋" w:hAnsi="仿宋" w:eastAsia="仿宋"/>
        </w:rPr>
        <w:t>入支出决算总表</w:t>
      </w:r>
      <w:r>
        <w:tab/>
      </w:r>
      <w:r>
        <w:rPr>
          <w:rFonts w:hint="eastAsia"/>
          <w:lang w:val="en-US" w:eastAsia="zh-CN"/>
        </w:rPr>
        <w:t>39</w:t>
      </w:r>
    </w:p>
    <w:p>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color w:val="000000"/>
        </w:rPr>
        <w:t>二、收</w:t>
      </w:r>
      <w:r>
        <w:rPr>
          <w:rFonts w:ascii="仿宋" w:hAnsi="仿宋" w:eastAsia="仿宋"/>
        </w:rPr>
        <w:t>入决算表</w:t>
      </w:r>
      <w:r>
        <w:tab/>
      </w:r>
      <w:r>
        <w:rPr>
          <w:rFonts w:hint="eastAsia"/>
          <w:lang w:val="en-US" w:eastAsia="zh-CN"/>
        </w:rPr>
        <w:t>39</w:t>
      </w:r>
    </w:p>
    <w:p>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三、</w:t>
      </w:r>
      <w:r>
        <w:rPr>
          <w:rFonts w:ascii="仿宋" w:hAnsi="仿宋" w:eastAsia="仿宋"/>
          <w:color w:val="000000"/>
        </w:rPr>
        <w:t>支</w:t>
      </w:r>
      <w:r>
        <w:rPr>
          <w:rFonts w:ascii="仿宋" w:hAnsi="仿宋" w:eastAsia="仿宋"/>
        </w:rPr>
        <w:t>出决算表</w:t>
      </w:r>
      <w:r>
        <w:tab/>
      </w:r>
      <w:r>
        <w:rPr>
          <w:rFonts w:hint="eastAsia"/>
          <w:lang w:val="en-US" w:eastAsia="zh-CN"/>
        </w:rPr>
        <w:t>39</w:t>
      </w:r>
    </w:p>
    <w:p>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四、</w:t>
      </w:r>
      <w:r>
        <w:rPr>
          <w:rFonts w:ascii="仿宋" w:hAnsi="仿宋" w:eastAsia="仿宋"/>
          <w:color w:val="000000"/>
        </w:rPr>
        <w:t>财</w:t>
      </w:r>
      <w:r>
        <w:rPr>
          <w:rFonts w:ascii="仿宋" w:hAnsi="仿宋" w:eastAsia="仿宋"/>
        </w:rPr>
        <w:t>政拨款收入支出决算总表</w:t>
      </w:r>
      <w:r>
        <w:tab/>
      </w:r>
      <w:r>
        <w:rPr>
          <w:rFonts w:hint="eastAsia"/>
          <w:lang w:val="en-US" w:eastAsia="zh-CN"/>
        </w:rPr>
        <w:t>39</w:t>
      </w:r>
    </w:p>
    <w:p>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五、</w:t>
      </w:r>
      <w:r>
        <w:rPr>
          <w:rFonts w:ascii="仿宋" w:hAnsi="仿宋" w:eastAsia="仿宋"/>
          <w:color w:val="000000"/>
        </w:rPr>
        <w:t>财</w:t>
      </w:r>
      <w:r>
        <w:rPr>
          <w:rFonts w:ascii="仿宋" w:hAnsi="仿宋" w:eastAsia="仿宋"/>
        </w:rPr>
        <w:t>政拨款支出决算明细表</w:t>
      </w:r>
      <w:r>
        <w:tab/>
      </w:r>
      <w:r>
        <w:rPr>
          <w:rFonts w:hint="eastAsia"/>
          <w:lang w:val="en-US" w:eastAsia="zh-CN"/>
        </w:rPr>
        <w:t>39</w:t>
      </w:r>
    </w:p>
    <w:p>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六、</w:t>
      </w:r>
      <w:r>
        <w:rPr>
          <w:rFonts w:ascii="仿宋" w:hAnsi="仿宋" w:eastAsia="仿宋"/>
          <w:color w:val="000000"/>
        </w:rPr>
        <w:t>一</w:t>
      </w:r>
      <w:r>
        <w:rPr>
          <w:rFonts w:ascii="仿宋" w:hAnsi="仿宋" w:eastAsia="仿宋"/>
        </w:rPr>
        <w:t>般公共预算财政拨款支出决算表</w:t>
      </w:r>
      <w:r>
        <w:tab/>
      </w:r>
      <w:r>
        <w:rPr>
          <w:rFonts w:hint="eastAsia"/>
          <w:lang w:val="en-US" w:eastAsia="zh-CN"/>
        </w:rPr>
        <w:t>39</w:t>
      </w:r>
    </w:p>
    <w:p>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七、</w:t>
      </w:r>
      <w:r>
        <w:rPr>
          <w:rFonts w:ascii="仿宋" w:hAnsi="仿宋" w:eastAsia="仿宋"/>
          <w:color w:val="000000"/>
        </w:rPr>
        <w:t>一</w:t>
      </w:r>
      <w:r>
        <w:rPr>
          <w:rFonts w:ascii="仿宋" w:hAnsi="仿宋" w:eastAsia="仿宋"/>
        </w:rPr>
        <w:t>般公共预算财政拨款支出决算明细表</w:t>
      </w:r>
      <w:r>
        <w:tab/>
      </w:r>
      <w:r>
        <w:rPr>
          <w:rFonts w:hint="eastAsia"/>
          <w:lang w:val="en-US" w:eastAsia="zh-CN"/>
        </w:rPr>
        <w:t>39</w:t>
      </w:r>
    </w:p>
    <w:p>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般公共预算财政拨款基本支出决算表</w:t>
      </w:r>
      <w:r>
        <w:tab/>
      </w:r>
      <w:r>
        <w:rPr>
          <w:rFonts w:hint="eastAsia"/>
          <w:lang w:val="en-US" w:eastAsia="zh-CN"/>
        </w:rPr>
        <w:t>39</w:t>
      </w:r>
    </w:p>
    <w:p>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九、</w:t>
      </w:r>
      <w:r>
        <w:rPr>
          <w:rFonts w:ascii="仿宋" w:hAnsi="仿宋" w:eastAsia="仿宋"/>
          <w:color w:val="000000"/>
        </w:rPr>
        <w:t>一</w:t>
      </w:r>
      <w:r>
        <w:rPr>
          <w:rFonts w:ascii="仿宋" w:hAnsi="仿宋" w:eastAsia="仿宋"/>
        </w:rPr>
        <w:t>般公共预算财政拨款项目支出决算表</w:t>
      </w:r>
      <w:r>
        <w:tab/>
      </w:r>
      <w:r>
        <w:rPr>
          <w:rFonts w:hint="eastAsia"/>
          <w:lang w:val="en-US" w:eastAsia="zh-CN"/>
        </w:rPr>
        <w:t>39</w:t>
      </w:r>
    </w:p>
    <w:p>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w:t>
      </w:r>
      <w:r>
        <w:rPr>
          <w:rFonts w:ascii="仿宋" w:hAnsi="仿宋" w:eastAsia="仿宋"/>
          <w:color w:val="000000"/>
        </w:rPr>
        <w:t>一</w:t>
      </w:r>
      <w:r>
        <w:rPr>
          <w:rFonts w:ascii="仿宋" w:hAnsi="仿宋" w:eastAsia="仿宋"/>
        </w:rPr>
        <w:t>般公共预算财政拨款“三公”经费支出决算表</w:t>
      </w:r>
      <w:r>
        <w:tab/>
      </w:r>
      <w:r>
        <w:rPr>
          <w:rFonts w:hint="eastAsia"/>
          <w:lang w:val="en-US" w:eastAsia="zh-CN"/>
        </w:rPr>
        <w:t>39</w:t>
      </w:r>
    </w:p>
    <w:p>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十一、</w:t>
      </w:r>
      <w:r>
        <w:rPr>
          <w:rFonts w:ascii="仿宋" w:hAnsi="仿宋" w:eastAsia="仿宋"/>
          <w:color w:val="000000"/>
        </w:rPr>
        <w:t>政</w:t>
      </w:r>
      <w:r>
        <w:rPr>
          <w:rFonts w:ascii="仿宋" w:hAnsi="仿宋" w:eastAsia="仿宋"/>
        </w:rPr>
        <w:t>府性基金预算财政拨款收入支出决算表</w:t>
      </w:r>
      <w:r>
        <w:tab/>
      </w:r>
      <w:r>
        <w:rPr>
          <w:rFonts w:hint="eastAsia"/>
          <w:lang w:val="en-US" w:eastAsia="zh-CN"/>
        </w:rPr>
        <w:t>39</w:t>
      </w:r>
    </w:p>
    <w:p>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十二、</w:t>
      </w:r>
      <w:r>
        <w:rPr>
          <w:rFonts w:ascii="仿宋" w:hAnsi="仿宋" w:eastAsia="仿宋"/>
          <w:color w:val="000000"/>
        </w:rPr>
        <w:t>政</w:t>
      </w:r>
      <w:r>
        <w:rPr>
          <w:rFonts w:ascii="仿宋" w:hAnsi="仿宋" w:eastAsia="仿宋"/>
        </w:rPr>
        <w:t>府性基金预算财政拨款“三公”经费支出决算表</w:t>
      </w:r>
      <w:r>
        <w:tab/>
      </w:r>
      <w:r>
        <w:rPr>
          <w:rFonts w:hint="eastAsia"/>
          <w:lang w:val="en-US" w:eastAsia="zh-CN"/>
        </w:rPr>
        <w:t>39</w:t>
      </w:r>
    </w:p>
    <w:p>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十三、</w:t>
      </w:r>
      <w:r>
        <w:rPr>
          <w:rFonts w:ascii="仿宋" w:hAnsi="仿宋" w:eastAsia="仿宋"/>
          <w:color w:val="000000"/>
        </w:rPr>
        <w:t>国</w:t>
      </w:r>
      <w:r>
        <w:rPr>
          <w:rFonts w:ascii="仿宋" w:hAnsi="仿宋" w:eastAsia="仿宋"/>
        </w:rPr>
        <w:t>有资本经营预算财政拨款</w:t>
      </w:r>
      <w:r>
        <w:rPr>
          <w:rFonts w:hint="eastAsia" w:ascii="仿宋" w:hAnsi="仿宋" w:eastAsia="仿宋"/>
        </w:rPr>
        <w:t>收入</w:t>
      </w:r>
      <w:r>
        <w:rPr>
          <w:rFonts w:ascii="仿宋" w:hAnsi="仿宋" w:eastAsia="仿宋"/>
        </w:rPr>
        <w:t>支出决算表</w:t>
      </w:r>
      <w:r>
        <w:tab/>
      </w:r>
      <w:r>
        <w:rPr>
          <w:rFonts w:hint="eastAsia"/>
          <w:lang w:val="en-US" w:eastAsia="zh-CN"/>
        </w:rPr>
        <w:t>39</w:t>
      </w:r>
    </w:p>
    <w:p>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十四、国有资本经营预算财政拨款支出决算表</w:t>
      </w:r>
      <w:r>
        <w:tab/>
      </w:r>
      <w:r>
        <w:rPr>
          <w:rFonts w:hint="eastAsia"/>
          <w:lang w:val="en-US" w:eastAsia="zh-CN"/>
        </w:rPr>
        <w:t>39</w:t>
      </w:r>
    </w:p>
    <w:p>
      <w:r>
        <w:rPr>
          <w:rFonts w:asciiTheme="minorHAnsi" w:eastAsiaTheme="minorHAnsi"/>
          <w:b/>
          <w:bCs/>
          <w:caps/>
          <w:sz w:val="20"/>
          <w:szCs w:val="20"/>
        </w:rPr>
        <w:fldChar w:fldCharType="end"/>
      </w:r>
    </w:p>
    <w:p>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pPr>
        <w:pStyle w:val="2"/>
        <w:jc w:val="center"/>
        <w:rPr>
          <w:rStyle w:val="23"/>
          <w:rFonts w:ascii="黑体" w:hAnsi="黑体" w:eastAsia="黑体"/>
          <w:b/>
          <w:bCs w:val="0"/>
        </w:rPr>
      </w:pPr>
      <w:bookmarkStart w:id="14" w:name="_Toc79163851"/>
      <w:bookmarkStart w:id="15" w:name="_Toc79163601"/>
      <w:r>
        <w:rPr>
          <w:rFonts w:hint="eastAsia" w:ascii="黑体" w:hAnsi="黑体" w:eastAsia="黑体"/>
          <w:b w:val="0"/>
        </w:rPr>
        <w:t>第一部分</w:t>
      </w:r>
      <w:r>
        <w:rPr>
          <w:rFonts w:ascii="黑体" w:hAnsi="黑体" w:eastAsia="黑体"/>
          <w:b w:val="0"/>
        </w:rPr>
        <w:t xml:space="preserve"> </w:t>
      </w:r>
      <w:r>
        <w:rPr>
          <w:rStyle w:val="23"/>
          <w:rFonts w:hint="eastAsia" w:ascii="黑体" w:hAnsi="黑体" w:eastAsia="黑体"/>
          <w:b w:val="0"/>
          <w:bCs w:val="0"/>
        </w:rPr>
        <w:t>部门概况</w:t>
      </w:r>
      <w:bookmarkEnd w:id="12"/>
      <w:bookmarkEnd w:id="13"/>
      <w:bookmarkEnd w:id="14"/>
      <w:bookmarkEnd w:id="15"/>
    </w:p>
    <w:p>
      <w:pPr>
        <w:widowControl/>
        <w:jc w:val="left"/>
        <w:rPr>
          <w:rFonts w:ascii="黑体" w:eastAsia="黑体"/>
          <w:color w:val="000000"/>
          <w:sz w:val="32"/>
          <w:szCs w:val="32"/>
        </w:rPr>
      </w:pPr>
    </w:p>
    <w:p>
      <w:pPr>
        <w:pStyle w:val="3"/>
        <w:rPr>
          <w:rStyle w:val="24"/>
          <w:rFonts w:ascii="仿宋" w:hAnsi="仿宋" w:eastAsia="仿宋"/>
          <w:b w:val="0"/>
          <w:bCs w:val="0"/>
        </w:rPr>
      </w:pPr>
      <w:bookmarkStart w:id="16" w:name="_Toc79163852"/>
      <w:bookmarkStart w:id="17" w:name="_Toc15396600"/>
      <w:bookmarkStart w:id="18" w:name="_Toc15377197"/>
      <w:bookmarkStart w:id="19" w:name="_Toc79163602"/>
      <w:r>
        <w:rPr>
          <w:rFonts w:hint="eastAsia" w:ascii="黑体" w:hAnsi="黑体" w:eastAsia="黑体"/>
          <w:b w:val="0"/>
          <w:color w:val="000000"/>
        </w:rPr>
        <w:t>一、基</w:t>
      </w:r>
      <w:r>
        <w:rPr>
          <w:rStyle w:val="24"/>
          <w:rFonts w:hint="eastAsia" w:ascii="黑体" w:hAnsi="黑体" w:eastAsia="黑体"/>
          <w:b w:val="0"/>
          <w:bCs w:val="0"/>
        </w:rPr>
        <w:t>本职能及主要工作</w:t>
      </w:r>
      <w:bookmarkEnd w:id="16"/>
      <w:bookmarkEnd w:id="17"/>
      <w:bookmarkEnd w:id="18"/>
      <w:bookmarkEnd w:id="19"/>
    </w:p>
    <w:p>
      <w:pPr>
        <w:pStyle w:val="6"/>
        <w:adjustRightInd w:val="0"/>
        <w:snapToGrid w:val="0"/>
        <w:spacing w:before="93" w:line="600" w:lineRule="exact"/>
        <w:ind w:firstLine="672" w:firstLineChars="210"/>
        <w:outlineLvl w:val="2"/>
        <w:rPr>
          <w:rFonts w:ascii="仿宋" w:hAnsi="仿宋" w:eastAsia="仿宋"/>
          <w:bCs/>
          <w:color w:val="000000"/>
          <w:sz w:val="32"/>
          <w:szCs w:val="32"/>
        </w:rPr>
      </w:pPr>
      <w:bookmarkStart w:id="20" w:name="_Toc79163853"/>
      <w:bookmarkStart w:id="21" w:name="_Toc79163603"/>
      <w:bookmarkStart w:id="22" w:name="_Toc15377198"/>
      <w:bookmarkStart w:id="23" w:name="_Toc15378445"/>
      <w:r>
        <w:rPr>
          <w:rFonts w:hint="eastAsia" w:ascii="仿宋" w:hAnsi="仿宋" w:eastAsia="仿宋"/>
          <w:bCs/>
          <w:color w:val="000000"/>
          <w:sz w:val="32"/>
          <w:szCs w:val="32"/>
        </w:rPr>
        <w:t>（一）主要职能。</w:t>
      </w:r>
      <w:bookmarkEnd w:id="20"/>
      <w:bookmarkEnd w:id="21"/>
    </w:p>
    <w:bookmarkEnd w:id="22"/>
    <w:bookmarkEnd w:id="23"/>
    <w:p>
      <w:pPr>
        <w:ind w:firstLine="640" w:firstLineChars="200"/>
        <w:rPr>
          <w:rFonts w:ascii="仿宋" w:hAnsi="仿宋" w:eastAsia="仿宋" w:cs="仿宋"/>
          <w:sz w:val="32"/>
          <w:szCs w:val="32"/>
        </w:rPr>
      </w:pPr>
      <w:bookmarkStart w:id="24" w:name="_Toc79163604"/>
      <w:bookmarkStart w:id="25" w:name="_Toc15378446"/>
      <w:bookmarkStart w:id="26" w:name="_Toc79163854"/>
      <w:bookmarkStart w:id="27" w:name="_Toc15377199"/>
      <w:r>
        <w:rPr>
          <w:rFonts w:hint="eastAsia" w:ascii="仿宋" w:hAnsi="仿宋" w:eastAsia="仿宋" w:cs="仿宋"/>
          <w:sz w:val="32"/>
          <w:szCs w:val="32"/>
        </w:rPr>
        <w:t>1、在上级业务主管部门和中心领导下，按照妇幼保健工作规范，负责做好孕产妇保健管理、儿童保健管理和计生指导服务等工作，并不断提高妇幼保健工作质量；</w:t>
      </w:r>
    </w:p>
    <w:p>
      <w:pPr>
        <w:ind w:firstLine="640" w:firstLineChars="200"/>
        <w:rPr>
          <w:rFonts w:ascii="仿宋" w:hAnsi="仿宋" w:eastAsia="仿宋" w:cs="仿宋"/>
          <w:sz w:val="32"/>
          <w:szCs w:val="32"/>
        </w:rPr>
      </w:pPr>
      <w:r>
        <w:rPr>
          <w:rFonts w:hint="eastAsia" w:ascii="仿宋" w:hAnsi="仿宋" w:eastAsia="仿宋" w:cs="仿宋"/>
          <w:sz w:val="32"/>
          <w:szCs w:val="32"/>
        </w:rPr>
        <w:t>2、加强与社区、妇联、计生、疾病控制等部门联系，动态掌握辖区孕产妇、0-6岁儿童基本情况；</w:t>
      </w:r>
    </w:p>
    <w:p>
      <w:pPr>
        <w:ind w:firstLine="640" w:firstLineChars="200"/>
        <w:rPr>
          <w:rFonts w:ascii="仿宋" w:hAnsi="仿宋" w:eastAsia="仿宋" w:cs="仿宋"/>
          <w:sz w:val="32"/>
          <w:szCs w:val="32"/>
        </w:rPr>
      </w:pPr>
      <w:r>
        <w:rPr>
          <w:rFonts w:hint="eastAsia" w:ascii="仿宋" w:hAnsi="仿宋" w:eastAsia="仿宋" w:cs="仿宋"/>
          <w:sz w:val="32"/>
          <w:szCs w:val="32"/>
        </w:rPr>
        <w:t>3、大力宣传孕产妇保健、儿童保健及计生指导服务的益处，提高知晓率，提高孕产妇保健、儿童保健建册率；</w:t>
      </w:r>
    </w:p>
    <w:p>
      <w:pPr>
        <w:ind w:firstLine="640" w:firstLineChars="200"/>
        <w:rPr>
          <w:rFonts w:ascii="仿宋" w:hAnsi="仿宋" w:eastAsia="仿宋" w:cs="仿宋"/>
          <w:sz w:val="32"/>
          <w:szCs w:val="32"/>
        </w:rPr>
      </w:pPr>
      <w:r>
        <w:rPr>
          <w:rFonts w:hint="eastAsia" w:ascii="仿宋" w:hAnsi="仿宋" w:eastAsia="仿宋" w:cs="仿宋"/>
          <w:sz w:val="32"/>
          <w:szCs w:val="32"/>
        </w:rPr>
        <w:t>4、认真做好妇幼保健服务，按时完成保健服务管理。做好孕产妇儿童保健手册建册、信息统计、资料整理归档等管理工作，加强高危孕妇和体弱儿管理，及时规范上报有关数据；</w:t>
      </w:r>
    </w:p>
    <w:p>
      <w:pPr>
        <w:ind w:firstLine="640" w:firstLineChars="200"/>
        <w:rPr>
          <w:rFonts w:ascii="仿宋" w:hAnsi="仿宋" w:eastAsia="仿宋" w:cs="仿宋"/>
          <w:sz w:val="32"/>
          <w:szCs w:val="32"/>
        </w:rPr>
      </w:pPr>
      <w:r>
        <w:rPr>
          <w:rFonts w:hint="eastAsia" w:ascii="仿宋" w:hAnsi="仿宋" w:eastAsia="仿宋" w:cs="仿宋"/>
          <w:sz w:val="32"/>
          <w:szCs w:val="32"/>
        </w:rPr>
        <w:t>5、按时参加专业技术培训与例会，及时布置、督促、检查乡村两级妇幼保健工作。加强乡村两级妇幼保健人员业务培训和信息交流，指导和解决问题；</w:t>
      </w:r>
    </w:p>
    <w:p>
      <w:pPr>
        <w:ind w:firstLine="640" w:firstLineChars="200"/>
        <w:rPr>
          <w:rFonts w:ascii="仿宋" w:hAnsi="仿宋" w:eastAsia="仿宋" w:cs="仿宋"/>
          <w:sz w:val="32"/>
          <w:szCs w:val="32"/>
        </w:rPr>
      </w:pPr>
      <w:r>
        <w:rPr>
          <w:rFonts w:hint="eastAsia" w:ascii="仿宋" w:hAnsi="仿宋" w:eastAsia="仿宋" w:cs="仿宋"/>
          <w:sz w:val="32"/>
          <w:szCs w:val="32"/>
        </w:rPr>
        <w:t>6、做好上级交办的临时性任务。</w:t>
      </w:r>
    </w:p>
    <w:p>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202</w:t>
      </w:r>
      <w:r>
        <w:rPr>
          <w:rFonts w:hint="eastAsia" w:ascii="仿宋" w:hAnsi="仿宋" w:eastAsia="仿宋"/>
          <w:bCs/>
          <w:color w:val="000000"/>
          <w:sz w:val="32"/>
          <w:szCs w:val="32"/>
        </w:rPr>
        <w:t>1年重点工作完成情况。</w:t>
      </w:r>
      <w:bookmarkEnd w:id="24"/>
      <w:bookmarkEnd w:id="25"/>
      <w:bookmarkEnd w:id="26"/>
      <w:bookmarkEnd w:id="27"/>
    </w:p>
    <w:p>
      <w:pPr>
        <w:spacing w:line="572" w:lineRule="exact"/>
        <w:ind w:firstLine="640" w:firstLineChars="200"/>
        <w:rPr>
          <w:rFonts w:ascii="黑体" w:hAnsi="黑体" w:eastAsia="黑体" w:cs="黑体"/>
          <w:sz w:val="32"/>
          <w:szCs w:val="32"/>
        </w:rPr>
      </w:pPr>
      <w:r>
        <w:rPr>
          <w:rFonts w:hint="eastAsia" w:ascii="黑体" w:hAnsi="黑体" w:eastAsia="黑体" w:cs="黑体"/>
          <w:sz w:val="32"/>
          <w:szCs w:val="32"/>
        </w:rPr>
        <w:t>一、众志成城,疫情防控成效显著</w:t>
      </w:r>
    </w:p>
    <w:p>
      <w:pPr>
        <w:widowControl/>
        <w:adjustRightInd w:val="0"/>
        <w:snapToGrid w:val="0"/>
        <w:spacing w:line="572" w:lineRule="exact"/>
        <w:ind w:firstLine="643" w:firstLineChars="200"/>
        <w:jc w:val="left"/>
        <w:rPr>
          <w:rFonts w:ascii="仿宋_GB2312" w:hAnsi="Tahoma" w:eastAsia="仿宋_GB2312" w:cs="Tahoma"/>
          <w:color w:val="333333"/>
          <w:sz w:val="32"/>
          <w:shd w:val="clear" w:color="auto" w:fill="FFFFFF"/>
        </w:rPr>
      </w:pPr>
      <w:r>
        <w:rPr>
          <w:rFonts w:hint="eastAsia" w:ascii="楷体" w:hAnsi="楷体" w:eastAsia="楷体" w:cs="楷体"/>
          <w:b/>
          <w:bCs/>
          <w:color w:val="333333"/>
          <w:sz w:val="32"/>
          <w:shd w:val="clear" w:color="auto" w:fill="FFFFFF"/>
        </w:rPr>
        <w:t>（一）规范预检分诊，把好疫情防控“入口关”。</w:t>
      </w:r>
      <w:r>
        <w:rPr>
          <w:rFonts w:hint="eastAsia" w:ascii="仿宋_GB2312" w:hAnsi="Tahoma" w:eastAsia="仿宋_GB2312" w:cs="Tahoma"/>
          <w:color w:val="333333"/>
          <w:sz w:val="32"/>
          <w:shd w:val="clear" w:color="auto" w:fill="FFFFFF"/>
        </w:rPr>
        <w:t>进一步规范预检分诊处管理，结合“天府健康通”，严格</w:t>
      </w:r>
      <w:r>
        <w:rPr>
          <w:rFonts w:hint="eastAsia" w:ascii="仿宋_GB2312" w:hAnsi="方正小标宋简体" w:eastAsia="仿宋_GB2312" w:cs="方正小标宋简体"/>
          <w:sz w:val="32"/>
          <w:szCs w:val="32"/>
        </w:rPr>
        <w:t>落实出入人员的扫码、亮码、验码，</w:t>
      </w:r>
      <w:r>
        <w:rPr>
          <w:rFonts w:hint="eastAsia" w:ascii="仿宋_GB2312" w:hAnsi="Tahoma" w:eastAsia="仿宋_GB2312" w:cs="Tahoma"/>
          <w:color w:val="333333"/>
          <w:sz w:val="32"/>
          <w:shd w:val="clear" w:color="auto" w:fill="FFFFFF"/>
        </w:rPr>
        <w:t>严格落实“三区两通道”，加强发热病人筛查，切实做到“四早”。</w:t>
      </w:r>
    </w:p>
    <w:p>
      <w:pPr>
        <w:widowControl/>
        <w:adjustRightInd w:val="0"/>
        <w:snapToGrid w:val="0"/>
        <w:spacing w:line="572" w:lineRule="exact"/>
        <w:ind w:firstLine="643" w:firstLineChars="200"/>
        <w:jc w:val="left"/>
        <w:rPr>
          <w:rFonts w:ascii="仿宋_GB2312" w:hAnsi="Tahoma" w:eastAsia="仿宋_GB2312" w:cs="Tahoma"/>
          <w:color w:val="333333"/>
          <w:sz w:val="32"/>
          <w:shd w:val="clear" w:color="auto" w:fill="FFFFFF"/>
        </w:rPr>
      </w:pPr>
      <w:r>
        <w:rPr>
          <w:rFonts w:hint="eastAsia" w:ascii="楷体" w:hAnsi="楷体" w:eastAsia="楷体" w:cs="楷体"/>
          <w:b/>
          <w:bCs/>
          <w:color w:val="333333"/>
          <w:sz w:val="32"/>
          <w:shd w:val="clear" w:color="auto" w:fill="FFFFFF"/>
        </w:rPr>
        <w:t>（二）加强院感工作、防止交叉感染。</w:t>
      </w:r>
      <w:r>
        <w:rPr>
          <w:rFonts w:hint="eastAsia" w:ascii="仿宋_GB2312" w:hAnsi="Tahoma" w:eastAsia="仿宋_GB2312" w:cs="Tahoma"/>
          <w:color w:val="333333"/>
          <w:sz w:val="32"/>
          <w:shd w:val="clear" w:color="auto" w:fill="FFFFFF"/>
        </w:rPr>
        <w:t>院感科负责对</w:t>
      </w:r>
      <w:r>
        <w:rPr>
          <w:rFonts w:hint="eastAsia" w:ascii="仿宋_GB2312" w:eastAsia="仿宋_GB2312" w:cs="Tahoma"/>
          <w:color w:val="333333"/>
          <w:sz w:val="32"/>
          <w:shd w:val="clear" w:color="auto" w:fill="FFFFFF"/>
        </w:rPr>
        <w:t>全院职工进行院感培训并组织人员每天对</w:t>
      </w:r>
      <w:r>
        <w:rPr>
          <w:rFonts w:hint="eastAsia" w:ascii="仿宋_GB2312" w:hAnsi="Tahoma" w:eastAsia="仿宋_GB2312" w:cs="Tahoma"/>
          <w:color w:val="333333"/>
          <w:sz w:val="32"/>
          <w:shd w:val="clear" w:color="auto" w:fill="FFFFFF"/>
        </w:rPr>
        <w:t>院内进行喷洒消毒；制定</w:t>
      </w:r>
      <w:r>
        <w:rPr>
          <w:rFonts w:hint="eastAsia" w:ascii="仿宋_GB2312" w:hAnsi="Adobe 仿宋 Std R" w:eastAsia="仿宋_GB2312"/>
          <w:bCs/>
          <w:sz w:val="32"/>
          <w:szCs w:val="32"/>
        </w:rPr>
        <w:t>院感防控方案，优化就医流程，加强诊疗秩序管理，从源头上杜绝交叉感染，尽最大可能保障妇女儿童疫情防控时期的就医需求。</w:t>
      </w:r>
    </w:p>
    <w:p>
      <w:pPr>
        <w:spacing w:line="572"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（三）接种新冠疫苗，构建免疫屏障</w:t>
      </w:r>
      <w:r>
        <w:rPr>
          <w:rFonts w:hint="eastAsia" w:ascii="楷体" w:hAnsi="楷体" w:eastAsia="楷体" w:cs="楷体"/>
          <w:sz w:val="32"/>
          <w:szCs w:val="32"/>
        </w:rPr>
        <w:t>。</w:t>
      </w:r>
      <w:r>
        <w:rPr>
          <w:rFonts w:hint="eastAsia" w:ascii="仿宋_GB2312" w:hAnsi="仿宋_GB2312" w:eastAsia="仿宋_GB2312" w:cs="仿宋_GB2312"/>
          <w:sz w:val="32"/>
          <w:szCs w:val="32"/>
        </w:rPr>
        <w:t>为我县居民及流动人口接种新冠疫苗共17834针次。</w:t>
      </w:r>
    </w:p>
    <w:p>
      <w:pPr>
        <w:spacing w:line="572" w:lineRule="exact"/>
        <w:ind w:firstLine="640" w:firstLineChars="200"/>
        <w:rPr>
          <w:rFonts w:ascii="黑体" w:hAnsi="黑体" w:eastAsia="黑体" w:cs="黑体"/>
          <w:sz w:val="32"/>
          <w:szCs w:val="32"/>
        </w:rPr>
      </w:pPr>
      <w:r>
        <w:rPr>
          <w:rFonts w:hint="eastAsia" w:ascii="黑体" w:hAnsi="黑体" w:eastAsia="黑体" w:cs="黑体"/>
          <w:sz w:val="32"/>
          <w:szCs w:val="32"/>
        </w:rPr>
        <w:t>二、重点工作完成情况</w:t>
      </w:r>
    </w:p>
    <w:p>
      <w:pPr>
        <w:spacing w:line="572" w:lineRule="exact"/>
        <w:ind w:firstLine="643" w:firstLineChars="200"/>
        <w:rPr>
          <w:rFonts w:ascii="仿宋_GB2312" w:hAnsi="黑体" w:eastAsia="仿宋_GB2312"/>
          <w:sz w:val="32"/>
          <w:szCs w:val="32"/>
        </w:rPr>
      </w:pPr>
      <w:r>
        <w:rPr>
          <w:rFonts w:hint="eastAsia" w:ascii="楷体" w:hAnsi="楷体" w:eastAsia="楷体" w:cs="楷体"/>
          <w:b/>
          <w:sz w:val="32"/>
          <w:szCs w:val="32"/>
        </w:rPr>
        <w:t>（一）</w:t>
      </w:r>
      <w:r>
        <w:rPr>
          <w:rFonts w:hint="eastAsia" w:ascii="仿宋_GB2312" w:hAnsi="黑体" w:eastAsia="仿宋_GB2312"/>
          <w:sz w:val="32"/>
          <w:szCs w:val="32"/>
        </w:rPr>
        <w:t>自愿免费婚前医学检查项目</w:t>
      </w:r>
      <w:r>
        <w:rPr>
          <w:rFonts w:hint="eastAsia" w:ascii="楷体" w:hAnsi="楷体" w:eastAsia="楷体" w:cs="楷体"/>
          <w:b/>
          <w:sz w:val="32"/>
          <w:szCs w:val="32"/>
        </w:rPr>
        <w:t>：</w:t>
      </w:r>
      <w:r>
        <w:rPr>
          <w:rFonts w:hint="eastAsia" w:ascii="仿宋_GB2312" w:hAnsi="黑体" w:eastAsia="仿宋_GB2312"/>
          <w:sz w:val="32"/>
          <w:szCs w:val="32"/>
        </w:rPr>
        <w:t>2021年共检查239.5对，婚检率达82.87%。</w:t>
      </w:r>
    </w:p>
    <w:p>
      <w:pPr>
        <w:spacing w:line="572" w:lineRule="exact"/>
        <w:ind w:firstLine="640" w:firstLineChars="200"/>
        <w:rPr>
          <w:rFonts w:ascii="仿宋_GB2312" w:hAnsi="黑体" w:eastAsia="仿宋_GB2312"/>
          <w:sz w:val="32"/>
          <w:szCs w:val="32"/>
        </w:rPr>
      </w:pPr>
      <w:r>
        <w:rPr>
          <w:rFonts w:hint="eastAsia" w:ascii="仿宋_GB2312" w:hAnsi="黑体" w:eastAsia="仿宋_GB2312"/>
          <w:sz w:val="32"/>
          <w:szCs w:val="32"/>
        </w:rPr>
        <w:t>（二）免费孕前优生优育健康检查项目：2021年目标任务数120对，共检查112对,检查率达93.33%。</w:t>
      </w:r>
    </w:p>
    <w:p>
      <w:pPr>
        <w:pStyle w:val="39"/>
        <w:spacing w:line="572" w:lineRule="exact"/>
        <w:ind w:firstLine="643" w:firstLineChars="200"/>
        <w:rPr>
          <w:rFonts w:ascii="仿宋_GB2312" w:hAnsi="黑体" w:eastAsia="仿宋_GB2312"/>
          <w:b/>
          <w:sz w:val="32"/>
          <w:szCs w:val="32"/>
        </w:rPr>
      </w:pPr>
      <w:r>
        <w:rPr>
          <w:rFonts w:hint="eastAsia" w:ascii="楷体" w:hAnsi="楷体" w:eastAsia="楷体" w:cs="楷体"/>
          <w:b/>
          <w:sz w:val="32"/>
          <w:szCs w:val="32"/>
        </w:rPr>
        <w:t>（三）妇女儿童发展纲要 ：</w:t>
      </w:r>
      <w:r>
        <w:rPr>
          <w:rFonts w:hint="eastAsia" w:ascii="仿宋_GB2312" w:hAnsi="黑体" w:eastAsia="仿宋_GB2312"/>
          <w:b/>
          <w:sz w:val="32"/>
          <w:szCs w:val="32"/>
        </w:rPr>
        <w:t xml:space="preserve">                         </w:t>
      </w:r>
    </w:p>
    <w:p>
      <w:pPr>
        <w:pStyle w:val="39"/>
        <w:spacing w:line="572" w:lineRule="exact"/>
        <w:ind w:firstLine="964" w:firstLineChars="300"/>
        <w:rPr>
          <w:rFonts w:ascii="仿宋_GB2312" w:hAnsi="黑体" w:eastAsia="仿宋"/>
          <w:sz w:val="32"/>
          <w:szCs w:val="32"/>
        </w:rPr>
      </w:pPr>
      <w:r>
        <w:rPr>
          <w:rFonts w:hint="eastAsia" w:ascii="仿宋_GB2312" w:hAnsi="黑体" w:eastAsia="仿宋_GB2312"/>
          <w:b/>
          <w:bCs/>
          <w:sz w:val="32"/>
          <w:szCs w:val="32"/>
        </w:rPr>
        <w:t>新生儿死亡率：</w:t>
      </w:r>
      <w:r>
        <w:rPr>
          <w:rFonts w:hint="eastAsia" w:ascii="仿宋_GB2312" w:hAnsi="黑体" w:eastAsia="仿宋_GB2312"/>
          <w:sz w:val="32"/>
          <w:szCs w:val="32"/>
        </w:rPr>
        <w:t>新生儿死亡6人，死亡率为</w:t>
      </w:r>
      <w:r>
        <w:rPr>
          <w:rFonts w:hint="eastAsia" w:ascii="仿宋" w:hAnsi="仿宋" w:eastAsia="仿宋" w:cs="仿宋"/>
          <w:sz w:val="32"/>
          <w:szCs w:val="32"/>
        </w:rPr>
        <w:t>9.69‰</w:t>
      </w:r>
      <w:r>
        <w:rPr>
          <w:rFonts w:hint="eastAsia" w:ascii="仿宋_GB2312" w:hAnsi="黑体" w:eastAsia="仿宋_GB2312"/>
          <w:sz w:val="32"/>
          <w:szCs w:val="32"/>
        </w:rPr>
        <w:t>；</w:t>
      </w:r>
    </w:p>
    <w:p>
      <w:pPr>
        <w:pStyle w:val="39"/>
        <w:spacing w:line="572" w:lineRule="exact"/>
        <w:ind w:left="319" w:leftChars="152" w:firstLine="643" w:firstLineChars="200"/>
        <w:rPr>
          <w:rFonts w:ascii="仿宋_GB2312" w:hAnsi="黑体" w:eastAsia="仿宋"/>
          <w:sz w:val="32"/>
          <w:szCs w:val="32"/>
        </w:rPr>
      </w:pPr>
      <w:r>
        <w:rPr>
          <w:rFonts w:hint="eastAsia" w:ascii="仿宋_GB2312" w:hAnsi="黑体" w:eastAsia="仿宋_GB2312"/>
          <w:b/>
          <w:bCs/>
          <w:sz w:val="32"/>
          <w:szCs w:val="32"/>
        </w:rPr>
        <w:t>婴儿死亡率：</w:t>
      </w:r>
      <w:r>
        <w:rPr>
          <w:rFonts w:hint="eastAsia" w:ascii="仿宋" w:hAnsi="仿宋" w:eastAsia="仿宋" w:cs="仿宋"/>
          <w:sz w:val="32"/>
          <w:szCs w:val="32"/>
        </w:rPr>
        <w:t>婴儿死亡6人，死亡率达9.69‰，较上年有所下降；</w:t>
      </w:r>
    </w:p>
    <w:p>
      <w:pPr>
        <w:pStyle w:val="39"/>
        <w:spacing w:line="572" w:lineRule="exact"/>
        <w:ind w:firstLine="964" w:firstLineChars="300"/>
        <w:rPr>
          <w:rFonts w:ascii="仿宋_GB2312" w:hAnsi="黑体" w:eastAsia="仿宋"/>
          <w:sz w:val="32"/>
          <w:szCs w:val="32"/>
        </w:rPr>
      </w:pPr>
      <w:r>
        <w:rPr>
          <w:rFonts w:hint="eastAsia" w:ascii="仿宋_GB2312" w:hAnsi="黑体" w:eastAsia="仿宋_GB2312"/>
          <w:b/>
          <w:bCs/>
          <w:sz w:val="32"/>
          <w:szCs w:val="32"/>
        </w:rPr>
        <w:t>5岁以下儿童死亡率：</w:t>
      </w:r>
      <w:r>
        <w:rPr>
          <w:rFonts w:hint="eastAsia" w:ascii="仿宋" w:hAnsi="仿宋" w:eastAsia="仿宋" w:cs="仿宋"/>
          <w:sz w:val="32"/>
          <w:szCs w:val="32"/>
        </w:rPr>
        <w:t>5岁以下儿童死亡10人，死亡率达16.15‰，较上年有所下降；</w:t>
      </w:r>
    </w:p>
    <w:p>
      <w:pPr>
        <w:pStyle w:val="39"/>
        <w:spacing w:line="572" w:lineRule="exact"/>
        <w:ind w:firstLine="643" w:firstLineChars="200"/>
        <w:rPr>
          <w:rFonts w:ascii="仿宋_GB2312" w:hAnsi="黑体" w:eastAsia="仿宋_GB2312"/>
          <w:sz w:val="32"/>
          <w:szCs w:val="32"/>
        </w:rPr>
      </w:pPr>
      <w:r>
        <w:rPr>
          <w:rFonts w:ascii="仿宋_GB2312" w:hAnsi="黑体" w:eastAsia="仿宋_GB2312"/>
          <w:b/>
          <w:bCs/>
          <w:sz w:val="32"/>
          <w:szCs w:val="32"/>
        </w:rPr>
        <w:t>0-</w:t>
      </w:r>
      <w:r>
        <w:rPr>
          <w:rFonts w:hint="eastAsia" w:ascii="仿宋_GB2312" w:hAnsi="黑体" w:eastAsia="仿宋_GB2312"/>
          <w:b/>
          <w:bCs/>
          <w:sz w:val="32"/>
          <w:szCs w:val="32"/>
        </w:rPr>
        <w:t>3岁儿童系统管理率：</w:t>
      </w:r>
      <w:r>
        <w:rPr>
          <w:rFonts w:hint="eastAsia" w:ascii="仿宋_GB2312" w:hAnsi="黑体" w:eastAsia="仿宋_GB2312"/>
          <w:sz w:val="32"/>
          <w:szCs w:val="32"/>
        </w:rPr>
        <w:t>全县0</w:t>
      </w:r>
      <w:r>
        <w:rPr>
          <w:rFonts w:ascii="仿宋_GB2312" w:hAnsi="黑体" w:eastAsia="仿宋_GB2312"/>
          <w:sz w:val="32"/>
          <w:szCs w:val="32"/>
        </w:rPr>
        <w:t>-</w:t>
      </w:r>
      <w:r>
        <w:rPr>
          <w:rFonts w:hint="eastAsia" w:ascii="仿宋_GB2312" w:hAnsi="黑体" w:eastAsia="仿宋_GB2312"/>
          <w:sz w:val="32"/>
          <w:szCs w:val="32"/>
        </w:rPr>
        <w:t>3岁儿童2532人、系统管理人数2</w:t>
      </w:r>
      <w:r>
        <w:rPr>
          <w:rFonts w:ascii="仿宋_GB2312" w:hAnsi="黑体" w:eastAsia="仿宋_GB2312"/>
          <w:sz w:val="32"/>
          <w:szCs w:val="32"/>
        </w:rPr>
        <w:t>16</w:t>
      </w:r>
      <w:r>
        <w:rPr>
          <w:rFonts w:hint="eastAsia" w:ascii="仿宋_GB2312" w:hAnsi="黑体" w:eastAsia="仿宋_GB2312"/>
          <w:sz w:val="32"/>
          <w:szCs w:val="32"/>
        </w:rPr>
        <w:t>9人，管理率达</w:t>
      </w:r>
      <w:r>
        <w:rPr>
          <w:rFonts w:ascii="仿宋_GB2312" w:hAnsi="黑体" w:eastAsia="仿宋_GB2312"/>
          <w:sz w:val="32"/>
          <w:szCs w:val="32"/>
        </w:rPr>
        <w:t>85</w:t>
      </w:r>
      <w:r>
        <w:rPr>
          <w:rFonts w:hint="eastAsia" w:ascii="仿宋_GB2312" w:hAnsi="黑体" w:eastAsia="仿宋_GB2312"/>
          <w:sz w:val="32"/>
          <w:szCs w:val="32"/>
        </w:rPr>
        <w:t>%；</w:t>
      </w:r>
    </w:p>
    <w:p>
      <w:pPr>
        <w:pStyle w:val="39"/>
        <w:spacing w:line="572" w:lineRule="exact"/>
        <w:ind w:firstLine="643" w:firstLineChars="200"/>
        <w:rPr>
          <w:rFonts w:ascii="仿宋_GB2312" w:hAnsi="黑体" w:eastAsia="仿宋"/>
          <w:sz w:val="32"/>
          <w:szCs w:val="32"/>
        </w:rPr>
      </w:pPr>
      <w:r>
        <w:rPr>
          <w:rFonts w:hint="eastAsia" w:ascii="仿宋_GB2312" w:hAnsi="黑体" w:eastAsia="仿宋_GB2312"/>
          <w:b/>
          <w:bCs/>
          <w:sz w:val="32"/>
          <w:szCs w:val="32"/>
        </w:rPr>
        <w:t>孕产妇系统管理率：</w:t>
      </w:r>
      <w:r>
        <w:rPr>
          <w:rFonts w:hint="eastAsia" w:ascii="仿宋_GB2312" w:hAnsi="黑体" w:eastAsia="仿宋_GB2312"/>
          <w:sz w:val="32"/>
          <w:szCs w:val="32"/>
        </w:rPr>
        <w:t>全县</w:t>
      </w:r>
      <w:r>
        <w:rPr>
          <w:rFonts w:hint="eastAsia" w:ascii="仿宋" w:hAnsi="仿宋" w:eastAsia="仿宋" w:cs="仿宋"/>
          <w:sz w:val="32"/>
          <w:szCs w:val="32"/>
        </w:rPr>
        <w:t>总</w:t>
      </w:r>
      <w:r>
        <w:rPr>
          <w:rFonts w:hint="eastAsia" w:ascii="仿宋_GB2312" w:hAnsi="黑体" w:eastAsia="仿宋_GB2312"/>
          <w:b/>
          <w:bCs/>
          <w:sz w:val="32"/>
          <w:szCs w:val="32"/>
        </w:rPr>
        <w:t>孕</w:t>
      </w:r>
      <w:r>
        <w:rPr>
          <w:rFonts w:hint="eastAsia" w:ascii="仿宋" w:hAnsi="仿宋" w:eastAsia="仿宋" w:cs="仿宋"/>
          <w:sz w:val="32"/>
          <w:szCs w:val="32"/>
        </w:rPr>
        <w:t>产妇数620人，系统管理381人，管理率为61%。</w:t>
      </w:r>
    </w:p>
    <w:p>
      <w:pPr>
        <w:pStyle w:val="39"/>
        <w:spacing w:line="572" w:lineRule="exact"/>
        <w:ind w:firstLine="643" w:firstLineChars="200"/>
        <w:rPr>
          <w:rFonts w:ascii="楷体" w:hAnsi="楷体" w:eastAsia="楷体" w:cs="楷体"/>
          <w:b/>
          <w:sz w:val="32"/>
          <w:szCs w:val="32"/>
        </w:rPr>
      </w:pPr>
      <w:r>
        <w:rPr>
          <w:rFonts w:hint="eastAsia" w:ascii="楷体" w:hAnsi="楷体" w:eastAsia="楷体" w:cs="楷体"/>
          <w:b/>
          <w:sz w:val="32"/>
          <w:szCs w:val="32"/>
        </w:rPr>
        <w:t>（四）儿童营养改善项目</w:t>
      </w:r>
    </w:p>
    <w:p>
      <w:pPr>
        <w:spacing w:line="572" w:lineRule="exact"/>
        <w:ind w:firstLine="640" w:firstLineChars="200"/>
        <w:rPr>
          <w:rFonts w:ascii="仿宋" w:hAnsi="仿宋" w:eastAsia="仿宋" w:cs="仿宋"/>
          <w:sz w:val="32"/>
          <w:szCs w:val="32"/>
        </w:rPr>
      </w:pPr>
      <w:r>
        <w:rPr>
          <w:rFonts w:hint="eastAsia" w:ascii="仿宋" w:hAnsi="仿宋" w:eastAsia="仿宋"/>
          <w:sz w:val="32"/>
          <w:szCs w:val="32"/>
        </w:rPr>
        <w:t>我中心按照《四川省贫困地区儿童营养包改善试点项目管理实施方案》，对各乡（镇）卫生院开展营养包发放培训，全县、乡、村相关人员培训覆盖率达95%以上。2021年，共发放营养包</w:t>
      </w:r>
      <w:r>
        <w:rPr>
          <w:rFonts w:hint="eastAsia" w:ascii="仿宋" w:hAnsi="仿宋" w:eastAsia="仿宋" w:cs="仿宋"/>
          <w:sz w:val="32"/>
          <w:szCs w:val="32"/>
        </w:rPr>
        <w:t>7438人次，发放率81.46%，发放母子手册253本。</w:t>
      </w:r>
    </w:p>
    <w:p>
      <w:pPr>
        <w:adjustRightInd w:val="0"/>
        <w:spacing w:line="572" w:lineRule="exact"/>
        <w:ind w:firstLine="643" w:firstLineChars="200"/>
        <w:jc w:val="left"/>
        <w:rPr>
          <w:rFonts w:ascii="楷体" w:hAnsi="楷体" w:eastAsia="楷体" w:cs="楷体"/>
          <w:b/>
          <w:color w:val="000000"/>
          <w:sz w:val="32"/>
          <w:szCs w:val="32"/>
        </w:rPr>
      </w:pPr>
      <w:r>
        <w:rPr>
          <w:rFonts w:hint="eastAsia" w:ascii="楷体" w:hAnsi="楷体" w:eastAsia="楷体" w:cs="楷体"/>
          <w:b/>
          <w:color w:val="000000"/>
          <w:sz w:val="32"/>
          <w:szCs w:val="32"/>
        </w:rPr>
        <w:t>（五）预防艾滋病、梅毒和乙肝母婴传播项目</w:t>
      </w:r>
    </w:p>
    <w:p>
      <w:pPr>
        <w:pStyle w:val="39"/>
        <w:spacing w:line="572" w:lineRule="exact"/>
        <w:ind w:firstLine="640" w:firstLineChars="200"/>
        <w:rPr>
          <w:rFonts w:ascii="仿宋_GB2312" w:hAnsi="黑体" w:eastAsia="仿宋_GB2312"/>
          <w:color w:val="000000"/>
          <w:sz w:val="32"/>
          <w:szCs w:val="32"/>
        </w:rPr>
      </w:pPr>
      <w:r>
        <w:rPr>
          <w:rFonts w:hint="eastAsia" w:ascii="仿宋_GB2312" w:hAnsi="黑体" w:eastAsia="仿宋_GB2312"/>
          <w:color w:val="000000"/>
          <w:sz w:val="32"/>
          <w:szCs w:val="32"/>
        </w:rPr>
        <w:t>为了切实做好母婴阻断工作，我中心对前来检查的人员坚持“逢婚必检”,做到“发现一例”“管理一例”，对发现阳性的病人进行指导、追踪。</w:t>
      </w:r>
    </w:p>
    <w:p>
      <w:pPr>
        <w:pStyle w:val="39"/>
        <w:spacing w:line="572" w:lineRule="exact"/>
        <w:ind w:firstLine="643" w:firstLineChars="200"/>
        <w:rPr>
          <w:rFonts w:ascii="楷体" w:hAnsi="楷体" w:eastAsia="楷体" w:cs="楷体"/>
          <w:b/>
          <w:color w:val="000000"/>
          <w:sz w:val="32"/>
          <w:szCs w:val="32"/>
        </w:rPr>
      </w:pPr>
      <w:r>
        <w:rPr>
          <w:rFonts w:hint="eastAsia" w:ascii="楷体" w:hAnsi="楷体" w:eastAsia="楷体" w:cs="楷体"/>
          <w:b/>
          <w:color w:val="000000"/>
          <w:sz w:val="32"/>
          <w:szCs w:val="32"/>
        </w:rPr>
        <w:t>（六）妇幼保健工作</w:t>
      </w:r>
    </w:p>
    <w:p>
      <w:pPr>
        <w:spacing w:line="572" w:lineRule="exact"/>
        <w:ind w:firstLine="643" w:firstLineChars="200"/>
        <w:rPr>
          <w:rFonts w:ascii="仿宋_GB2312" w:eastAsia="仿宋_GB2312"/>
          <w:sz w:val="32"/>
          <w:szCs w:val="32"/>
        </w:rPr>
      </w:pPr>
      <w:r>
        <w:rPr>
          <w:rFonts w:hint="eastAsia" w:ascii="仿宋_GB2312" w:eastAsia="仿宋_GB2312"/>
          <w:b/>
          <w:bCs/>
          <w:sz w:val="32"/>
          <w:szCs w:val="32"/>
        </w:rPr>
        <w:t>儿童保健：</w:t>
      </w:r>
      <w:r>
        <w:rPr>
          <w:rFonts w:hint="eastAsia" w:ascii="仿宋_GB2312" w:hAnsi="Calibri" w:eastAsia="仿宋_GB2312"/>
          <w:sz w:val="32"/>
          <w:szCs w:val="32"/>
        </w:rPr>
        <w:t>辖区内应管理0-6岁儿童共290人，实际管理213人，管理率</w:t>
      </w:r>
      <w:r>
        <w:rPr>
          <w:rFonts w:hint="eastAsia" w:ascii="仿宋_GB2312" w:eastAsia="仿宋_GB2312"/>
          <w:sz w:val="32"/>
          <w:szCs w:val="32"/>
        </w:rPr>
        <w:t>达</w:t>
      </w:r>
      <w:r>
        <w:rPr>
          <w:rFonts w:hint="eastAsia" w:ascii="仿宋_GB2312" w:hAnsi="Calibri" w:eastAsia="仿宋_GB2312"/>
          <w:sz w:val="32"/>
          <w:szCs w:val="32"/>
        </w:rPr>
        <w:t>73%</w:t>
      </w:r>
      <w:r>
        <w:rPr>
          <w:rFonts w:hint="eastAsia" w:ascii="仿宋_GB2312" w:eastAsia="仿宋_GB2312"/>
          <w:sz w:val="32"/>
          <w:szCs w:val="32"/>
        </w:rPr>
        <w:t>；</w:t>
      </w:r>
      <w:r>
        <w:rPr>
          <w:rFonts w:hint="eastAsia" w:ascii="仿宋_GB2312" w:hAnsi="Calibri" w:eastAsia="仿宋_GB2312"/>
          <w:sz w:val="32"/>
          <w:szCs w:val="32"/>
        </w:rPr>
        <w:t>0-3岁儿童中医药健康管理服务率</w:t>
      </w:r>
      <w:r>
        <w:rPr>
          <w:rFonts w:hint="eastAsia" w:ascii="仿宋_GB2312" w:eastAsia="仿宋_GB2312"/>
          <w:sz w:val="32"/>
          <w:szCs w:val="32"/>
        </w:rPr>
        <w:t>达</w:t>
      </w:r>
      <w:r>
        <w:rPr>
          <w:rFonts w:hint="eastAsia" w:ascii="仿宋_GB2312" w:hAnsi="Calibri" w:eastAsia="仿宋_GB2312"/>
          <w:sz w:val="32"/>
          <w:szCs w:val="32"/>
        </w:rPr>
        <w:t>100%；为及时掌握辖区内新生儿情况，及时对新生儿情况进行摸底</w:t>
      </w:r>
      <w:r>
        <w:rPr>
          <w:rFonts w:hint="eastAsia" w:ascii="仿宋_GB2312" w:eastAsia="仿宋_GB2312"/>
          <w:sz w:val="32"/>
          <w:szCs w:val="32"/>
        </w:rPr>
        <w:t>，</w:t>
      </w:r>
      <w:r>
        <w:rPr>
          <w:rFonts w:hint="eastAsia" w:ascii="仿宋_GB2312" w:hAnsi="Calibri" w:eastAsia="仿宋_GB2312"/>
          <w:sz w:val="32"/>
          <w:szCs w:val="32"/>
        </w:rPr>
        <w:t>确保新生儿访视率达到100%；</w:t>
      </w:r>
      <w:r>
        <w:rPr>
          <w:rFonts w:hint="eastAsia" w:ascii="仿宋_GB2312" w:eastAsia="仿宋_GB2312"/>
          <w:sz w:val="32"/>
          <w:szCs w:val="32"/>
        </w:rPr>
        <w:t>为进一步提高儿童保健的完整性，我中心已开展儿童听力、视力保健工作，每周组织儿保科医务人员到县医院产科及儿科对新生儿进行听力初筛，共筛查333人。完成幼儿园儿童体检</w:t>
      </w:r>
      <w:r>
        <w:rPr>
          <w:rFonts w:hint="eastAsia" w:ascii="仿宋_GB2312" w:hAnsi="Calibri" w:eastAsia="仿宋_GB2312"/>
          <w:sz w:val="32"/>
          <w:szCs w:val="32"/>
        </w:rPr>
        <w:t>257人。</w:t>
      </w:r>
    </w:p>
    <w:p>
      <w:pPr>
        <w:spacing w:line="572" w:lineRule="exact"/>
        <w:ind w:firstLine="643" w:firstLineChars="200"/>
        <w:rPr>
          <w:rFonts w:ascii="仿宋_GB2312" w:hAnsi="黑体" w:eastAsia="仿宋_GB2312"/>
          <w:color w:val="000000"/>
          <w:sz w:val="32"/>
          <w:szCs w:val="32"/>
        </w:rPr>
      </w:pPr>
      <w:r>
        <w:rPr>
          <w:rFonts w:hint="eastAsia" w:ascii="仿宋_GB2312" w:hAnsi="黑体" w:eastAsia="仿宋_GB2312"/>
          <w:b/>
          <w:bCs/>
          <w:sz w:val="32"/>
          <w:szCs w:val="32"/>
        </w:rPr>
        <w:t>孕产保健：</w:t>
      </w:r>
      <w:r>
        <w:rPr>
          <w:rFonts w:hint="eastAsia" w:ascii="仿宋_GB2312" w:hAnsi="黑体" w:eastAsia="仿宋_GB2312"/>
          <w:color w:val="000000"/>
          <w:sz w:val="32"/>
          <w:szCs w:val="32"/>
        </w:rPr>
        <w:t>对农村户籍孕产妇建立产科门诊病历263份，发放母子保健手册87份，免费为各乡（镇）孕产妇进行产前检查1015人次，共筛查出高危孕产妇110人，协同各乡镇卫生院对高危孕妇进行了分色管理、监测和追踪，高危管理率达100%。每季度到各乡（镇）卫生院进行监督指导；</w:t>
      </w:r>
      <w:r>
        <w:rPr>
          <w:rFonts w:hint="eastAsia" w:ascii="仿宋" w:hAnsi="仿宋" w:eastAsia="仿宋" w:cs="仿宋"/>
          <w:bCs/>
          <w:sz w:val="32"/>
          <w:szCs w:val="32"/>
        </w:rPr>
        <w:t>积极做好母乳喂养知识的宣传工作，对前来检查的孕产妇宣教产褥期保健知识及母乳喂养等知识，共宣教450人次，宣教率达100％；发放孕产妇有关宣传册共</w:t>
      </w:r>
      <w:r>
        <w:rPr>
          <w:rFonts w:hint="eastAsia" w:ascii="仿宋_GB2312" w:hAnsi="黑体" w:eastAsia="仿宋_GB2312"/>
          <w:color w:val="000000"/>
          <w:sz w:val="32"/>
          <w:szCs w:val="32"/>
        </w:rPr>
        <w:t>3300余份，广泛宣传免费孕前优生健康检查项目政策，倡导参与</w:t>
      </w:r>
      <w:r>
        <w:rPr>
          <w:rFonts w:hint="eastAsia" w:ascii="仿宋_GB2312" w:hAnsi="黑体" w:eastAsia="仿宋_GB2312"/>
          <w:sz w:val="32"/>
          <w:szCs w:val="32"/>
        </w:rPr>
        <w:t>自愿免费婚前医学检查</w:t>
      </w:r>
      <w:r>
        <w:rPr>
          <w:rFonts w:hint="eastAsia" w:ascii="仿宋_GB2312" w:hAnsi="黑体" w:eastAsia="仿宋_GB2312"/>
          <w:color w:val="000000"/>
          <w:sz w:val="32"/>
          <w:szCs w:val="32"/>
        </w:rPr>
        <w:t>及</w:t>
      </w:r>
      <w:r>
        <w:rPr>
          <w:rFonts w:hint="eastAsia" w:ascii="仿宋_GB2312" w:hAnsi="黑体" w:eastAsia="仿宋_GB2312"/>
          <w:sz w:val="32"/>
          <w:szCs w:val="32"/>
        </w:rPr>
        <w:t>免费孕前优生优育健康检查</w:t>
      </w:r>
      <w:r>
        <w:rPr>
          <w:rFonts w:hint="eastAsia" w:ascii="仿宋_GB2312" w:hAnsi="黑体" w:eastAsia="仿宋_GB2312"/>
          <w:color w:val="000000"/>
          <w:sz w:val="32"/>
          <w:szCs w:val="32"/>
        </w:rPr>
        <w:t>，引导补充叶酸及微量元素，</w:t>
      </w:r>
      <w:r>
        <w:rPr>
          <w:rFonts w:hint="eastAsia" w:ascii="仿宋" w:hAnsi="仿宋" w:eastAsia="仿宋"/>
          <w:bCs/>
          <w:sz w:val="32"/>
          <w:szCs w:val="32"/>
        </w:rPr>
        <w:t>发放孕前优生健康检查、婚前医学检查宣传资料2500余份，发放婴儿衣服、围裙、宣传雨伞等1000余份。接受健康教育人次数为1000人次。</w:t>
      </w:r>
    </w:p>
    <w:p>
      <w:pPr>
        <w:spacing w:line="572" w:lineRule="exact"/>
        <w:ind w:firstLine="643" w:firstLineChars="200"/>
        <w:rPr>
          <w:rFonts w:ascii="楷体" w:hAnsi="楷体" w:eastAsia="楷体" w:cs="楷体"/>
          <w:b/>
          <w:color w:val="000000"/>
          <w:sz w:val="32"/>
          <w:szCs w:val="32"/>
        </w:rPr>
      </w:pPr>
      <w:r>
        <w:rPr>
          <w:rFonts w:hint="eastAsia" w:ascii="楷体" w:hAnsi="楷体" w:eastAsia="楷体" w:cs="楷体"/>
          <w:b/>
          <w:color w:val="000000"/>
          <w:sz w:val="32"/>
          <w:szCs w:val="32"/>
        </w:rPr>
        <w:t>（七）计划生育工作</w:t>
      </w:r>
    </w:p>
    <w:p>
      <w:pPr>
        <w:spacing w:line="572" w:lineRule="exact"/>
        <w:ind w:firstLine="640" w:firstLineChars="200"/>
        <w:rPr>
          <w:rFonts w:ascii="仿宋" w:hAnsi="仿宋" w:eastAsia="仿宋" w:cs="仿宋"/>
          <w:sz w:val="32"/>
          <w:szCs w:val="32"/>
        </w:rPr>
      </w:pPr>
      <w:r>
        <w:rPr>
          <w:rFonts w:hint="eastAsia" w:ascii="仿宋_GB2312" w:hAnsi="黑体" w:eastAsia="仿宋_GB2312"/>
          <w:color w:val="000000"/>
          <w:sz w:val="32"/>
          <w:szCs w:val="32"/>
        </w:rPr>
        <w:t>2021年共完成各项节育手术共计476例（其中安置皮埋267例、取皮埋术67例、安环术72例、取环术49例、药物流产术20例、人工流产术1例）；开展计生“三查”工作（查孕、查环、查病）共计2114人；</w:t>
      </w:r>
      <w:r>
        <w:rPr>
          <w:rFonts w:hint="eastAsia" w:ascii="仿宋" w:hAnsi="仿宋" w:eastAsia="仿宋" w:cs="仿宋"/>
          <w:sz w:val="32"/>
          <w:szCs w:val="32"/>
        </w:rPr>
        <w:t>各乡镇卫生院领取左炔诺孕酮片200盒，发放避孕套74200只。县城内发放机共计发放避孕套、避孕凝胶、避孕栓1312盒。</w:t>
      </w:r>
    </w:p>
    <w:p>
      <w:pPr>
        <w:pStyle w:val="39"/>
        <w:spacing w:line="572"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（八）农村妇女病普查</w:t>
      </w:r>
    </w:p>
    <w:p>
      <w:pPr>
        <w:spacing w:line="572" w:lineRule="exact"/>
        <w:ind w:firstLine="640" w:firstLineChars="200"/>
        <w:rPr>
          <w:rFonts w:ascii="仿宋" w:hAnsi="仿宋" w:eastAsia="仿宋" w:cs="仿宋"/>
          <w:sz w:val="32"/>
          <w:szCs w:val="32"/>
        </w:rPr>
      </w:pPr>
      <w:r>
        <w:rPr>
          <w:rFonts w:hint="eastAsia" w:ascii="仿宋" w:hAnsi="仿宋" w:eastAsia="仿宋" w:cs="仿宋"/>
          <w:sz w:val="32"/>
          <w:szCs w:val="32"/>
        </w:rPr>
        <w:t>2021年壤塘县妇女病普查任务数为1600人，已完成普查1354人，完成率84%。全年共发放妇幼保健宣传资料1400余份，发放各类宣传生活用品（香皂、牙刷、毛巾等）2000余份。</w:t>
      </w:r>
    </w:p>
    <w:p>
      <w:pPr>
        <w:widowControl/>
        <w:spacing w:line="572" w:lineRule="exact"/>
        <w:ind w:firstLine="643" w:firstLineChars="200"/>
        <w:jc w:val="left"/>
        <w:rPr>
          <w:rFonts w:ascii="楷体" w:hAnsi="楷体" w:eastAsia="楷体" w:cs="楷体"/>
          <w:sz w:val="32"/>
          <w:szCs w:val="32"/>
        </w:rPr>
      </w:pPr>
      <w:r>
        <w:rPr>
          <w:rFonts w:hint="eastAsia" w:ascii="楷体" w:hAnsi="楷体" w:eastAsia="楷体" w:cs="楷体"/>
          <w:b/>
          <w:sz w:val="32"/>
          <w:szCs w:val="32"/>
        </w:rPr>
        <w:t>（九）“宫颈癌、乳腺癌”筛查</w:t>
      </w:r>
    </w:p>
    <w:p>
      <w:pPr>
        <w:spacing w:line="572"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2021年宫颈癌筛查任务数为500人，完成筛查503人，完成率为100.6%；乳腺癌筛查任务数为500人，已完成532人，完成率为106.4%。</w:t>
      </w:r>
    </w:p>
    <w:p>
      <w:pPr>
        <w:pStyle w:val="39"/>
        <w:spacing w:line="572" w:lineRule="exact"/>
        <w:ind w:firstLine="643" w:firstLineChars="200"/>
        <w:rPr>
          <w:rFonts w:ascii="楷体" w:hAnsi="楷体" w:eastAsia="楷体" w:cs="楷体"/>
          <w:b/>
          <w:sz w:val="32"/>
          <w:szCs w:val="32"/>
        </w:rPr>
      </w:pPr>
      <w:r>
        <w:rPr>
          <w:rFonts w:hint="eastAsia" w:ascii="楷体" w:hAnsi="楷体" w:eastAsia="楷体" w:cs="楷体"/>
          <w:b/>
          <w:sz w:val="32"/>
          <w:szCs w:val="32"/>
        </w:rPr>
        <w:t>（十）社区公共卫生管理</w:t>
      </w:r>
    </w:p>
    <w:p>
      <w:pPr>
        <w:pStyle w:val="6"/>
        <w:adjustRightInd w:val="0"/>
        <w:snapToGrid w:val="0"/>
        <w:spacing w:before="93" w:line="600" w:lineRule="exact"/>
        <w:ind w:firstLine="672" w:firstLineChars="210"/>
        <w:outlineLvl w:val="2"/>
        <w:rPr>
          <w:rFonts w:ascii="仿宋" w:hAnsi="仿宋" w:eastAsia="仿宋"/>
          <w:bCs/>
          <w:color w:val="000000"/>
          <w:sz w:val="32"/>
          <w:szCs w:val="32"/>
          <w:highlight w:val="cyan"/>
        </w:rPr>
      </w:pPr>
      <w:r>
        <w:rPr>
          <w:rFonts w:hint="eastAsia" w:hAnsi="黑体"/>
          <w:sz w:val="32"/>
          <w:szCs w:val="32"/>
        </w:rPr>
        <w:t>加强</w:t>
      </w:r>
      <w:r>
        <w:rPr>
          <w:rFonts w:hint="eastAsia" w:ascii="仿宋" w:hAnsi="仿宋" w:eastAsia="仿宋" w:cs="仿宋"/>
          <w:sz w:val="32"/>
          <w:szCs w:val="32"/>
        </w:rPr>
        <w:t>家庭医生签约</w:t>
      </w:r>
      <w:r>
        <w:rPr>
          <w:rFonts w:hint="eastAsia" w:ascii="仿宋" w:hAnsi="仿宋" w:eastAsia="仿宋" w:cs="仿宋"/>
          <w:sz w:val="32"/>
          <w:szCs w:val="32"/>
          <w:lang w:val="en-US"/>
        </w:rPr>
        <w:t>服务</w:t>
      </w:r>
      <w:r>
        <w:rPr>
          <w:rFonts w:hint="eastAsia" w:ascii="仿宋" w:hAnsi="仿宋" w:eastAsia="仿宋" w:cs="仿宋"/>
          <w:sz w:val="32"/>
          <w:szCs w:val="32"/>
        </w:rPr>
        <w:t>，强化预防接种、慢病管理</w:t>
      </w:r>
      <w:r>
        <w:rPr>
          <w:rFonts w:hint="eastAsia" w:ascii="仿宋" w:hAnsi="仿宋" w:eastAsia="仿宋" w:cs="仿宋"/>
          <w:sz w:val="32"/>
          <w:szCs w:val="32"/>
          <w:lang w:val="en-US"/>
        </w:rPr>
        <w:t>健康教育及重型精神病管理</w:t>
      </w:r>
      <w:r>
        <w:rPr>
          <w:rFonts w:hint="eastAsia" w:ascii="仿宋" w:hAnsi="仿宋" w:eastAsia="仿宋" w:cs="仿宋"/>
          <w:sz w:val="32"/>
          <w:szCs w:val="32"/>
        </w:rPr>
        <w:t>等工作。</w:t>
      </w:r>
      <w:r>
        <w:rPr>
          <w:rFonts w:hint="eastAsia" w:hAnsi="黑体"/>
          <w:sz w:val="32"/>
          <w:szCs w:val="32"/>
          <w:lang w:val="en-US"/>
        </w:rPr>
        <w:t>2021年，</w:t>
      </w:r>
      <w:r>
        <w:rPr>
          <w:rFonts w:hint="eastAsia" w:hAnsi="黑体"/>
          <w:sz w:val="32"/>
          <w:szCs w:val="32"/>
        </w:rPr>
        <w:t>家庭医生签约857余人，开展卫生协管工作7次，高血压管理59人、随访121人</w:t>
      </w:r>
      <w:r>
        <w:rPr>
          <w:rFonts w:hint="eastAsia" w:hAnsi="黑体"/>
          <w:sz w:val="32"/>
          <w:szCs w:val="32"/>
          <w:lang w:val="en-US"/>
        </w:rPr>
        <w:t>次</w:t>
      </w:r>
      <w:r>
        <w:rPr>
          <w:rFonts w:hint="eastAsia" w:hAnsi="黑体"/>
          <w:sz w:val="32"/>
          <w:szCs w:val="32"/>
        </w:rPr>
        <w:t>，糖尿病管理17人、随访45</w:t>
      </w:r>
      <w:r>
        <w:rPr>
          <w:rFonts w:hint="eastAsia" w:hAnsi="黑体"/>
          <w:sz w:val="32"/>
          <w:szCs w:val="32"/>
          <w:lang w:val="en-US"/>
        </w:rPr>
        <w:t>人</w:t>
      </w:r>
      <w:r>
        <w:rPr>
          <w:rFonts w:hint="eastAsia" w:hAnsi="黑体"/>
          <w:sz w:val="32"/>
          <w:szCs w:val="32"/>
        </w:rPr>
        <w:t>次。重型精神病人信息维护1次，随访3人次，管理1人；</w:t>
      </w:r>
      <w:r>
        <w:rPr>
          <w:rFonts w:hint="eastAsia" w:hAnsi="黑体"/>
          <w:sz w:val="32"/>
          <w:szCs w:val="32"/>
          <w:lang w:val="en-US"/>
        </w:rPr>
        <w:t>积极开展健康教育，</w:t>
      </w:r>
      <w:r>
        <w:rPr>
          <w:rFonts w:hint="eastAsia" w:hAnsi="黑体"/>
          <w:sz w:val="32"/>
          <w:szCs w:val="32"/>
        </w:rPr>
        <w:t>播放音像资料61小时，更新宣传栏6次，举办知识讲座5次，举办健康教育公众咨询6次，发放宣传资料6520余份；接种儿童常规疫苗651针次、</w:t>
      </w:r>
      <w:r>
        <w:rPr>
          <w:rFonts w:hint="eastAsia" w:hAnsi="黑体"/>
          <w:sz w:val="32"/>
          <w:szCs w:val="32"/>
          <w:lang w:val="en-US"/>
        </w:rPr>
        <w:t>HPV二价疫苗</w:t>
      </w:r>
      <w:r>
        <w:rPr>
          <w:rFonts w:hint="eastAsia" w:hAnsi="黑体"/>
          <w:sz w:val="32"/>
          <w:szCs w:val="32"/>
        </w:rPr>
        <w:t>199针次，狂犬疫苗118针次。</w:t>
      </w:r>
    </w:p>
    <w:p>
      <w:pPr>
        <w:pStyle w:val="6"/>
        <w:adjustRightInd w:val="0"/>
        <w:snapToGrid w:val="0"/>
        <w:spacing w:before="93" w:line="600" w:lineRule="exact"/>
        <w:ind w:firstLine="672" w:firstLineChars="210"/>
        <w:outlineLvl w:val="2"/>
        <w:rPr>
          <w:rFonts w:ascii="仿宋" w:hAnsi="仿宋" w:eastAsia="仿宋"/>
          <w:bCs/>
          <w:color w:val="000000"/>
          <w:sz w:val="32"/>
          <w:szCs w:val="32"/>
          <w:highlight w:val="cyan"/>
        </w:rPr>
      </w:pPr>
    </w:p>
    <w:p>
      <w:pPr>
        <w:pStyle w:val="3"/>
        <w:rPr>
          <w:rStyle w:val="24"/>
          <w:b w:val="0"/>
          <w:bCs w:val="0"/>
        </w:rPr>
      </w:pPr>
      <w:bookmarkStart w:id="28" w:name="_Toc79163605"/>
      <w:bookmarkStart w:id="29" w:name="_Toc79163855"/>
      <w:bookmarkStart w:id="30" w:name="_Toc15396601"/>
      <w:bookmarkStart w:id="31" w:name="_Toc15377200"/>
      <w:r>
        <w:rPr>
          <w:rFonts w:hint="eastAsia" w:ascii="黑体" w:eastAsia="黑体"/>
          <w:b w:val="0"/>
          <w:color w:val="000000"/>
        </w:rPr>
        <w:t>二、</w:t>
      </w:r>
      <w:r>
        <w:rPr>
          <w:rFonts w:hint="eastAsia" w:ascii="黑体" w:hAnsi="黑体" w:eastAsia="黑体"/>
          <w:b w:val="0"/>
          <w:color w:val="000000"/>
        </w:rPr>
        <w:t>机</w:t>
      </w:r>
      <w:r>
        <w:rPr>
          <w:rStyle w:val="24"/>
          <w:rFonts w:hint="eastAsia" w:ascii="黑体" w:hAnsi="黑体" w:eastAsia="黑体"/>
          <w:b w:val="0"/>
          <w:bCs w:val="0"/>
        </w:rPr>
        <w:t>构设置</w:t>
      </w:r>
      <w:bookmarkEnd w:id="28"/>
      <w:bookmarkEnd w:id="29"/>
      <w:bookmarkEnd w:id="30"/>
      <w:bookmarkEnd w:id="31"/>
    </w:p>
    <w:p>
      <w:pPr>
        <w:spacing w:line="560" w:lineRule="exact"/>
        <w:ind w:firstLine="640" w:firstLineChars="200"/>
        <w:rPr>
          <w:rFonts w:ascii="仿宋" w:hAnsi="仿宋" w:eastAsia="仿宋"/>
          <w:bCs/>
          <w:color w:val="000000"/>
          <w:kern w:val="0"/>
          <w:sz w:val="32"/>
          <w:szCs w:val="32"/>
          <w:lang w:val="zh-CN"/>
        </w:rPr>
      </w:pPr>
      <w:r>
        <w:rPr>
          <w:rFonts w:hint="eastAsia" w:ascii="仿宋" w:hAnsi="仿宋" w:eastAsia="仿宋"/>
          <w:bCs/>
          <w:color w:val="000000"/>
          <w:kern w:val="0"/>
          <w:sz w:val="32"/>
          <w:szCs w:val="32"/>
          <w:lang w:val="zh-CN"/>
        </w:rPr>
        <w:t>本部门机构：壤塘县妇幼保健和计生服务中心属壤塘县卫生健康局下属二级预算单位，所需经费全部由财政拨款解决。其中内设机构办公室、妇女保健科、基层保健科、孕产保健科、医务科、财务科、儿童保健部等。</w:t>
      </w:r>
    </w:p>
    <w:p>
      <w:pPr>
        <w:widowControl/>
        <w:spacing w:line="600" w:lineRule="exact"/>
        <w:ind w:firstLine="640" w:firstLineChars="200"/>
        <w:jc w:val="left"/>
        <w:rPr>
          <w:rFonts w:ascii="仿宋" w:hAnsi="仿宋" w:eastAsia="仿宋"/>
          <w:bCs/>
          <w:color w:val="000000"/>
          <w:kern w:val="0"/>
          <w:sz w:val="32"/>
          <w:szCs w:val="32"/>
          <w:lang w:val="zh-CN"/>
        </w:rPr>
      </w:pPr>
      <w:r>
        <w:rPr>
          <w:rFonts w:hint="eastAsia" w:ascii="仿宋" w:hAnsi="仿宋" w:eastAsia="仿宋"/>
          <w:bCs/>
          <w:color w:val="000000"/>
          <w:kern w:val="0"/>
          <w:sz w:val="32"/>
          <w:szCs w:val="32"/>
          <w:lang w:val="zh-CN"/>
        </w:rPr>
        <w:t>人员情况：总编制</w:t>
      </w:r>
      <w:r>
        <w:rPr>
          <w:rFonts w:hint="eastAsia" w:ascii="仿宋" w:hAnsi="仿宋" w:eastAsia="仿宋"/>
          <w:bCs/>
          <w:color w:val="000000"/>
          <w:kern w:val="0"/>
          <w:sz w:val="32"/>
          <w:szCs w:val="32"/>
        </w:rPr>
        <w:t>49</w:t>
      </w:r>
      <w:r>
        <w:rPr>
          <w:rFonts w:hint="eastAsia" w:ascii="仿宋" w:hAnsi="仿宋" w:eastAsia="仿宋"/>
          <w:bCs/>
          <w:color w:val="000000"/>
          <w:kern w:val="0"/>
          <w:sz w:val="32"/>
          <w:szCs w:val="32"/>
          <w:lang w:val="zh-CN"/>
        </w:rPr>
        <w:t>名（包含壤塘县岗木达镇社区卫生服务中心）,事业编制</w:t>
      </w:r>
      <w:r>
        <w:rPr>
          <w:rFonts w:hint="eastAsia" w:ascii="仿宋" w:hAnsi="仿宋" w:eastAsia="仿宋"/>
          <w:bCs/>
          <w:color w:val="000000"/>
          <w:kern w:val="0"/>
          <w:sz w:val="32"/>
          <w:szCs w:val="32"/>
        </w:rPr>
        <w:t>49</w:t>
      </w:r>
      <w:r>
        <w:rPr>
          <w:rFonts w:hint="eastAsia" w:ascii="仿宋" w:hAnsi="仿宋" w:eastAsia="仿宋"/>
          <w:bCs/>
          <w:color w:val="000000"/>
          <w:kern w:val="0"/>
          <w:sz w:val="32"/>
          <w:szCs w:val="32"/>
          <w:lang w:val="zh-CN"/>
        </w:rPr>
        <w:t>名。截止2020年12月底，在职人员总数</w:t>
      </w:r>
      <w:r>
        <w:rPr>
          <w:rFonts w:hint="eastAsia" w:ascii="仿宋" w:hAnsi="仿宋" w:eastAsia="仿宋"/>
          <w:bCs/>
          <w:color w:val="000000"/>
          <w:kern w:val="0"/>
          <w:sz w:val="32"/>
          <w:szCs w:val="32"/>
        </w:rPr>
        <w:t>45</w:t>
      </w:r>
      <w:r>
        <w:rPr>
          <w:rFonts w:hint="eastAsia" w:ascii="仿宋" w:hAnsi="仿宋" w:eastAsia="仿宋"/>
          <w:bCs/>
          <w:color w:val="000000"/>
          <w:kern w:val="0"/>
          <w:sz w:val="32"/>
          <w:szCs w:val="32"/>
          <w:lang w:val="zh-CN"/>
        </w:rPr>
        <w:t>名，其中：事业人员</w:t>
      </w:r>
      <w:r>
        <w:rPr>
          <w:rFonts w:hint="eastAsia" w:ascii="仿宋" w:hAnsi="仿宋" w:eastAsia="仿宋"/>
          <w:bCs/>
          <w:color w:val="000000"/>
          <w:kern w:val="0"/>
          <w:sz w:val="32"/>
          <w:szCs w:val="32"/>
        </w:rPr>
        <w:t>45</w:t>
      </w:r>
      <w:r>
        <w:rPr>
          <w:rFonts w:hint="eastAsia" w:ascii="仿宋" w:hAnsi="仿宋" w:eastAsia="仿宋"/>
          <w:bCs/>
          <w:color w:val="000000"/>
          <w:kern w:val="0"/>
          <w:sz w:val="32"/>
          <w:szCs w:val="32"/>
          <w:lang w:val="zh-CN"/>
        </w:rPr>
        <w:t>名，退休人员</w:t>
      </w:r>
      <w:r>
        <w:rPr>
          <w:rFonts w:hint="eastAsia" w:ascii="仿宋" w:hAnsi="仿宋" w:eastAsia="仿宋"/>
          <w:bCs/>
          <w:color w:val="000000"/>
          <w:kern w:val="0"/>
          <w:sz w:val="32"/>
          <w:szCs w:val="32"/>
        </w:rPr>
        <w:t>6人，</w:t>
      </w:r>
      <w:r>
        <w:rPr>
          <w:rFonts w:hint="eastAsia" w:ascii="仿宋" w:hAnsi="仿宋" w:eastAsia="仿宋"/>
          <w:bCs/>
          <w:color w:val="000000"/>
          <w:kern w:val="0"/>
          <w:sz w:val="32"/>
          <w:szCs w:val="32"/>
          <w:lang w:val="zh-CN"/>
        </w:rPr>
        <w:t>遗属人员3人。</w:t>
      </w: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2"/>
        <w:ind w:right="440"/>
        <w:rPr>
          <w:rStyle w:val="23"/>
          <w:rFonts w:ascii="黑体" w:hAnsi="黑体" w:eastAsia="黑体"/>
          <w:b w:val="0"/>
          <w:bCs w:val="0"/>
        </w:rPr>
      </w:pPr>
      <w:bookmarkStart w:id="32" w:name="_Toc15396602"/>
      <w:bookmarkStart w:id="33" w:name="_Toc15377204"/>
      <w:bookmarkStart w:id="34" w:name="_Toc79163609"/>
      <w:bookmarkStart w:id="35" w:name="_Toc79163859"/>
      <w:r>
        <w:rPr>
          <w:rFonts w:hint="eastAsia" w:ascii="黑体" w:hAnsi="黑体" w:eastAsia="黑体"/>
          <w:b w:val="0"/>
          <w:color w:val="000000"/>
        </w:rPr>
        <w:t>第二部分</w:t>
      </w:r>
      <w:r>
        <w:rPr>
          <w:rFonts w:ascii="黑体" w:hAnsi="黑体" w:eastAsia="黑体"/>
          <w:color w:val="000000"/>
        </w:rPr>
        <w:t xml:space="preserve"> </w:t>
      </w:r>
      <w:r>
        <w:rPr>
          <w:rStyle w:val="23"/>
          <w:rFonts w:ascii="黑体" w:hAnsi="黑体" w:eastAsia="黑体"/>
          <w:b w:val="0"/>
          <w:bCs w:val="0"/>
        </w:rPr>
        <w:t>202</w:t>
      </w:r>
      <w:r>
        <w:rPr>
          <w:rStyle w:val="23"/>
          <w:rFonts w:hint="eastAsia" w:ascii="黑体" w:hAnsi="黑体" w:eastAsia="黑体"/>
          <w:b w:val="0"/>
          <w:bCs w:val="0"/>
        </w:rPr>
        <w:t>1年度部门决算情况说明</w:t>
      </w:r>
      <w:bookmarkEnd w:id="32"/>
      <w:bookmarkEnd w:id="33"/>
      <w:bookmarkEnd w:id="34"/>
      <w:bookmarkEnd w:id="35"/>
    </w:p>
    <w:p/>
    <w:p>
      <w:pPr>
        <w:pStyle w:val="34"/>
        <w:numPr>
          <w:ilvl w:val="0"/>
          <w:numId w:val="1"/>
        </w:numPr>
        <w:spacing w:line="600" w:lineRule="exact"/>
        <w:ind w:firstLineChars="0"/>
        <w:outlineLvl w:val="1"/>
        <w:rPr>
          <w:rStyle w:val="24"/>
          <w:rFonts w:ascii="黑体" w:hAnsi="黑体" w:eastAsia="黑体"/>
          <w:b w:val="0"/>
        </w:rPr>
      </w:pPr>
      <w:bookmarkStart w:id="36" w:name="_Toc79163610"/>
      <w:bookmarkStart w:id="37" w:name="_Toc15377205"/>
      <w:bookmarkStart w:id="38" w:name="_Toc15396603"/>
      <w:bookmarkStart w:id="39" w:name="_Toc79163860"/>
      <w:r>
        <w:rPr>
          <w:rFonts w:hint="eastAsia" w:ascii="黑体" w:hAnsi="黑体" w:eastAsia="黑体"/>
          <w:color w:val="000000"/>
          <w:sz w:val="32"/>
          <w:szCs w:val="32"/>
        </w:rPr>
        <w:t>收</w:t>
      </w:r>
      <w:r>
        <w:rPr>
          <w:rStyle w:val="24"/>
          <w:rFonts w:hint="eastAsia" w:ascii="黑体" w:hAnsi="黑体" w:eastAsia="黑体"/>
          <w:b w:val="0"/>
        </w:rPr>
        <w:t>入支出决算总体情况说明</w:t>
      </w:r>
      <w:bookmarkEnd w:id="36"/>
      <w:bookmarkEnd w:id="37"/>
      <w:bookmarkEnd w:id="38"/>
      <w:bookmarkEnd w:id="39"/>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1年度收、支总计1088.20万元。与</w:t>
      </w:r>
      <w:r>
        <w:rPr>
          <w:rFonts w:ascii="仿宋" w:hAnsi="仿宋" w:eastAsia="仿宋"/>
          <w:color w:val="000000"/>
          <w:sz w:val="32"/>
          <w:szCs w:val="32"/>
        </w:rPr>
        <w:t>20</w:t>
      </w:r>
      <w:r>
        <w:rPr>
          <w:rFonts w:hint="eastAsia" w:ascii="仿宋" w:hAnsi="仿宋" w:eastAsia="仿宋"/>
          <w:color w:val="000000"/>
          <w:sz w:val="32"/>
          <w:szCs w:val="32"/>
        </w:rPr>
        <w:t>20年相比，收、支总计各增加216.55万元，增长24.84</w:t>
      </w:r>
      <w:r>
        <w:rPr>
          <w:rFonts w:ascii="仿宋" w:hAnsi="仿宋" w:eastAsia="仿宋"/>
          <w:color w:val="000000"/>
          <w:sz w:val="32"/>
          <w:szCs w:val="32"/>
        </w:rPr>
        <w:t>%</w:t>
      </w:r>
      <w:r>
        <w:rPr>
          <w:rFonts w:hint="eastAsia" w:ascii="仿宋" w:hAnsi="仿宋" w:eastAsia="仿宋"/>
          <w:color w:val="000000"/>
          <w:sz w:val="32"/>
          <w:szCs w:val="32"/>
        </w:rPr>
        <w:t>。主要变动原因是单位人员的增加和往年项目资金的支付。</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p>
    <w:p>
      <w:pPr>
        <w:spacing w:line="600" w:lineRule="exact"/>
        <w:ind w:firstLine="420" w:firstLineChars="200"/>
        <w:rPr>
          <w:rFonts w:ascii="仿宋" w:hAnsi="仿宋" w:eastAsia="仿宋"/>
          <w:color w:val="000000"/>
          <w:sz w:val="32"/>
          <w:szCs w:val="32"/>
        </w:rPr>
      </w:pPr>
      <w:r>
        <w:drawing>
          <wp:anchor distT="0" distB="0" distL="114300" distR="114300" simplePos="0" relativeHeight="251659264" behindDoc="0" locked="0" layoutInCell="1" allowOverlap="1">
            <wp:simplePos x="0" y="0"/>
            <wp:positionH relativeFrom="column">
              <wp:posOffset>97790</wp:posOffset>
            </wp:positionH>
            <wp:positionV relativeFrom="paragraph">
              <wp:posOffset>290195</wp:posOffset>
            </wp:positionV>
            <wp:extent cx="4572000" cy="2743200"/>
            <wp:effectExtent l="4445" t="4445" r="14605" b="14605"/>
            <wp:wrapSquare wrapText="bothSides"/>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jc w:val="left"/>
        <w:rPr>
          <w:rFonts w:ascii="仿宋_GB2312" w:eastAsia="仿宋_GB2312"/>
          <w:color w:val="000000"/>
          <w:sz w:val="32"/>
          <w:szCs w:val="32"/>
        </w:rPr>
      </w:pPr>
    </w:p>
    <w:p>
      <w:pPr>
        <w:pStyle w:val="34"/>
        <w:numPr>
          <w:ilvl w:val="0"/>
          <w:numId w:val="1"/>
        </w:numPr>
        <w:spacing w:line="600" w:lineRule="exact"/>
        <w:ind w:firstLineChars="0"/>
        <w:outlineLvl w:val="1"/>
        <w:rPr>
          <w:rStyle w:val="24"/>
          <w:rFonts w:ascii="黑体" w:hAnsi="黑体" w:eastAsia="黑体"/>
          <w:b w:val="0"/>
        </w:rPr>
      </w:pPr>
      <w:bookmarkStart w:id="40" w:name="_Toc79163861"/>
      <w:bookmarkStart w:id="41" w:name="_Toc15396604"/>
      <w:bookmarkStart w:id="42" w:name="_Toc15377206"/>
      <w:bookmarkStart w:id="43" w:name="_Toc79163611"/>
      <w:r>
        <w:rPr>
          <w:rFonts w:hint="eastAsia" w:ascii="黑体" w:hAnsi="黑体" w:eastAsia="黑体"/>
          <w:color w:val="000000"/>
          <w:sz w:val="32"/>
          <w:szCs w:val="32"/>
        </w:rPr>
        <w:t>收</w:t>
      </w:r>
      <w:r>
        <w:rPr>
          <w:rStyle w:val="24"/>
          <w:rFonts w:hint="eastAsia" w:ascii="黑体" w:hAnsi="黑体" w:eastAsia="黑体"/>
          <w:b w:val="0"/>
        </w:rPr>
        <w:t>入决算情况说明</w:t>
      </w:r>
      <w:bookmarkEnd w:id="40"/>
      <w:bookmarkEnd w:id="41"/>
      <w:bookmarkEnd w:id="42"/>
      <w:bookmarkEnd w:id="43"/>
    </w:p>
    <w:p>
      <w:pPr>
        <w:spacing w:line="600" w:lineRule="exact"/>
        <w:ind w:firstLine="640" w:firstLineChars="200"/>
        <w:rPr>
          <w:rFonts w:ascii="仿宋_GB2312" w:eastAsia="仿宋_GB2312"/>
          <w:color w:val="FF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1年本年收入合计950.85万元，其中：一般公共预算财政拨款收入950.85万元，占100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；上级补助收入0万元，占0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；其他收入0万元，占0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pPr>
        <w:spacing w:line="600" w:lineRule="exact"/>
        <w:ind w:firstLine="420" w:firstLineChars="200"/>
        <w:rPr>
          <w:rFonts w:ascii="仿宋_GB2312" w:eastAsia="仿宋_GB2312"/>
          <w:color w:val="FF0000"/>
          <w:sz w:val="32"/>
          <w:szCs w:val="32"/>
        </w:rPr>
      </w:pPr>
      <w:r>
        <w:drawing>
          <wp:anchor distT="0" distB="0" distL="114300" distR="114300" simplePos="0" relativeHeight="251660288" behindDoc="0" locked="0" layoutInCell="1" allowOverlap="1">
            <wp:simplePos x="0" y="0"/>
            <wp:positionH relativeFrom="column">
              <wp:posOffset>-159385</wp:posOffset>
            </wp:positionH>
            <wp:positionV relativeFrom="paragraph">
              <wp:posOffset>160655</wp:posOffset>
            </wp:positionV>
            <wp:extent cx="5270500" cy="2707640"/>
            <wp:effectExtent l="4445" t="4445" r="20955" b="12065"/>
            <wp:wrapSquare wrapText="bothSides"/>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pStyle w:val="34"/>
        <w:numPr>
          <w:ilvl w:val="0"/>
          <w:numId w:val="1"/>
        </w:numPr>
        <w:spacing w:line="600" w:lineRule="exact"/>
        <w:ind w:firstLineChars="0"/>
        <w:outlineLvl w:val="1"/>
        <w:rPr>
          <w:rStyle w:val="24"/>
          <w:rFonts w:ascii="黑体" w:hAnsi="黑体" w:eastAsia="黑体"/>
          <w:b w:val="0"/>
        </w:rPr>
      </w:pPr>
      <w:bookmarkStart w:id="44" w:name="_Toc79163612"/>
      <w:bookmarkStart w:id="45" w:name="_Toc79163862"/>
      <w:bookmarkStart w:id="46" w:name="_Toc15377207"/>
      <w:bookmarkStart w:id="47" w:name="_Toc15396605"/>
      <w:r>
        <w:rPr>
          <w:rFonts w:hint="eastAsia" w:ascii="黑体" w:hAnsi="黑体" w:eastAsia="黑体"/>
          <w:color w:val="000000"/>
          <w:sz w:val="32"/>
          <w:szCs w:val="32"/>
        </w:rPr>
        <w:t>支</w:t>
      </w:r>
      <w:r>
        <w:rPr>
          <w:rStyle w:val="24"/>
          <w:rFonts w:hint="eastAsia" w:ascii="黑体" w:hAnsi="黑体" w:eastAsia="黑体"/>
          <w:b w:val="0"/>
        </w:rPr>
        <w:t>出决算情况说明</w:t>
      </w:r>
      <w:bookmarkEnd w:id="44"/>
      <w:bookmarkEnd w:id="45"/>
      <w:bookmarkEnd w:id="46"/>
      <w:bookmarkEnd w:id="47"/>
    </w:p>
    <w:p>
      <w:pPr>
        <w:spacing w:line="600" w:lineRule="exact"/>
        <w:ind w:firstLine="640" w:firstLineChars="200"/>
        <w:rPr>
          <w:rFonts w:ascii="仿宋_GB2312" w:eastAsia="仿宋_GB2312"/>
          <w:sz w:val="32"/>
          <w:szCs w:val="32"/>
        </w:rPr>
      </w:pPr>
      <w:r>
        <w:rPr>
          <w:rFonts w:ascii="仿宋_GB2312" w:eastAsia="仿宋_GB2312"/>
          <w:sz w:val="32"/>
          <w:szCs w:val="32"/>
        </w:rPr>
        <w:t>202</w:t>
      </w:r>
      <w:r>
        <w:rPr>
          <w:rFonts w:hint="eastAsia" w:ascii="仿宋_GB2312" w:eastAsia="仿宋_GB2312"/>
          <w:sz w:val="32"/>
          <w:szCs w:val="32"/>
        </w:rPr>
        <w:t>1年本年支出合计1088.20万元，其中：基本支出826.30万元，占75.93</w:t>
      </w:r>
      <w:r>
        <w:rPr>
          <w:rFonts w:ascii="仿宋_GB2312" w:eastAsia="仿宋_GB2312"/>
          <w:sz w:val="32"/>
          <w:szCs w:val="32"/>
        </w:rPr>
        <w:t>%</w:t>
      </w:r>
      <w:r>
        <w:rPr>
          <w:rFonts w:hint="eastAsia" w:ascii="仿宋_GB2312" w:eastAsia="仿宋_GB2312"/>
          <w:sz w:val="32"/>
          <w:szCs w:val="32"/>
        </w:rPr>
        <w:t>；项目支出261.90万元，占24.07</w:t>
      </w:r>
      <w:r>
        <w:rPr>
          <w:rFonts w:ascii="仿宋_GB2312" w:eastAsia="仿宋_GB2312"/>
          <w:sz w:val="32"/>
          <w:szCs w:val="32"/>
        </w:rPr>
        <w:t>%</w:t>
      </w:r>
      <w:r>
        <w:rPr>
          <w:rFonts w:hint="eastAsia" w:ascii="仿宋_GB2312" w:eastAsia="仿宋_GB2312"/>
          <w:sz w:val="32"/>
          <w:szCs w:val="32"/>
        </w:rPr>
        <w:t>；上缴上级支出0万元，占0</w:t>
      </w:r>
      <w:r>
        <w:rPr>
          <w:rFonts w:ascii="仿宋_GB2312" w:eastAsia="仿宋_GB2312"/>
          <w:sz w:val="32"/>
          <w:szCs w:val="32"/>
        </w:rPr>
        <w:t>%</w:t>
      </w:r>
      <w:r>
        <w:rPr>
          <w:rFonts w:hint="eastAsia" w:ascii="仿宋_GB2312" w:eastAsia="仿宋_GB2312"/>
          <w:sz w:val="32"/>
          <w:szCs w:val="32"/>
        </w:rPr>
        <w:t>；经营支出0万元，占0</w:t>
      </w:r>
      <w:r>
        <w:rPr>
          <w:rFonts w:ascii="仿宋_GB2312" w:eastAsia="仿宋_GB2312"/>
          <w:sz w:val="32"/>
          <w:szCs w:val="32"/>
        </w:rPr>
        <w:t>%</w:t>
      </w:r>
      <w:r>
        <w:rPr>
          <w:rFonts w:hint="eastAsia" w:ascii="仿宋_GB2312" w:eastAsia="仿宋_GB2312"/>
          <w:sz w:val="32"/>
          <w:szCs w:val="32"/>
        </w:rPr>
        <w:t>；对附属单位补助支出0万元，占0</w:t>
      </w:r>
      <w:r>
        <w:rPr>
          <w:rFonts w:ascii="仿宋_GB2312" w:eastAsia="仿宋_GB2312"/>
          <w:sz w:val="32"/>
          <w:szCs w:val="32"/>
        </w:rPr>
        <w:t>%</w:t>
      </w:r>
      <w:r>
        <w:rPr>
          <w:rFonts w:hint="eastAsia" w:ascii="仿宋_GB2312" w:eastAsia="仿宋_GB2312"/>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420" w:firstLineChars="200"/>
        <w:rPr>
          <w:rFonts w:ascii="仿宋_GB2312" w:eastAsia="仿宋_GB2312"/>
          <w:color w:val="FF0000"/>
          <w:sz w:val="32"/>
          <w:szCs w:val="32"/>
        </w:rPr>
      </w:pPr>
      <w:r>
        <w:drawing>
          <wp:anchor distT="0" distB="0" distL="114300" distR="114300" simplePos="0" relativeHeight="251661312" behindDoc="0" locked="0" layoutInCell="1" allowOverlap="1">
            <wp:simplePos x="0" y="0"/>
            <wp:positionH relativeFrom="column">
              <wp:posOffset>219710</wp:posOffset>
            </wp:positionH>
            <wp:positionV relativeFrom="paragraph">
              <wp:posOffset>-582295</wp:posOffset>
            </wp:positionV>
            <wp:extent cx="4572000" cy="2743200"/>
            <wp:effectExtent l="4445" t="4445" r="14605" b="14605"/>
            <wp:wrapSquare wrapText="bothSides"/>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rPr>
          <w:rFonts w:ascii="仿宋_GB2312" w:eastAsia="仿宋_GB2312"/>
          <w:color w:val="FF0000"/>
          <w:sz w:val="32"/>
          <w:szCs w:val="32"/>
        </w:rPr>
      </w:pPr>
    </w:p>
    <w:p>
      <w:pPr>
        <w:spacing w:line="600" w:lineRule="exact"/>
        <w:ind w:firstLine="640" w:firstLineChars="200"/>
        <w:outlineLvl w:val="1"/>
        <w:rPr>
          <w:rStyle w:val="24"/>
          <w:rFonts w:ascii="黑体" w:hAnsi="黑体" w:eastAsia="黑体"/>
          <w:b w:val="0"/>
        </w:rPr>
      </w:pPr>
      <w:bookmarkStart w:id="48" w:name="_Toc15396606"/>
      <w:bookmarkStart w:id="49" w:name="_Toc15377208"/>
      <w:bookmarkStart w:id="50" w:name="_Toc79163863"/>
      <w:bookmarkStart w:id="51" w:name="_Toc79163613"/>
      <w:r>
        <w:rPr>
          <w:rFonts w:hint="eastAsia" w:ascii="黑体" w:hAnsi="黑体" w:eastAsia="黑体"/>
          <w:color w:val="000000"/>
          <w:sz w:val="32"/>
          <w:szCs w:val="32"/>
        </w:rPr>
        <w:t>四、财</w:t>
      </w:r>
      <w:r>
        <w:rPr>
          <w:rStyle w:val="24"/>
          <w:rFonts w:hint="eastAsia" w:ascii="黑体" w:hAnsi="黑体" w:eastAsia="黑体"/>
          <w:b w:val="0"/>
        </w:rPr>
        <w:t>政拨款收入支出决算总体情况说明</w:t>
      </w:r>
      <w:bookmarkEnd w:id="48"/>
      <w:bookmarkEnd w:id="49"/>
      <w:bookmarkEnd w:id="50"/>
      <w:bookmarkEnd w:id="51"/>
    </w:p>
    <w:p>
      <w:pPr>
        <w:spacing w:line="600" w:lineRule="exact"/>
        <w:ind w:firstLine="640" w:firstLineChars="200"/>
        <w:rPr>
          <w:rFonts w:ascii="仿宋" w:hAnsi="仿宋" w:eastAsia="仿宋"/>
          <w:b/>
          <w:color w:val="FF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1年财政拨款收、支总计1088.2万元。与</w:t>
      </w:r>
      <w:r>
        <w:rPr>
          <w:rFonts w:ascii="仿宋" w:hAnsi="仿宋" w:eastAsia="仿宋"/>
          <w:color w:val="000000"/>
          <w:sz w:val="32"/>
          <w:szCs w:val="32"/>
        </w:rPr>
        <w:t>20</w:t>
      </w:r>
      <w:r>
        <w:rPr>
          <w:rFonts w:hint="eastAsia" w:ascii="仿宋" w:hAnsi="仿宋" w:eastAsia="仿宋"/>
          <w:color w:val="000000"/>
          <w:sz w:val="32"/>
          <w:szCs w:val="32"/>
        </w:rPr>
        <w:t>20年相比，财政拨款收、支总计各增加216.55万元，增长24.84</w:t>
      </w:r>
      <w:r>
        <w:rPr>
          <w:rFonts w:ascii="仿宋" w:hAnsi="仿宋" w:eastAsia="仿宋"/>
          <w:color w:val="000000"/>
          <w:sz w:val="32"/>
          <w:szCs w:val="32"/>
        </w:rPr>
        <w:t>%</w:t>
      </w:r>
      <w:r>
        <w:rPr>
          <w:rFonts w:hint="eastAsia" w:ascii="仿宋" w:hAnsi="仿宋" w:eastAsia="仿宋"/>
          <w:color w:val="000000"/>
          <w:sz w:val="32"/>
          <w:szCs w:val="32"/>
        </w:rPr>
        <w:t>。主要变动原因是单位人员的增加和往年项目资金的支付。</w:t>
      </w:r>
    </w:p>
    <w:p>
      <w:pPr>
        <w:spacing w:line="600" w:lineRule="exact"/>
        <w:rPr>
          <w:rFonts w:ascii="仿宋" w:hAnsi="仿宋" w:eastAsia="仿宋"/>
          <w:b/>
          <w:color w:val="00B05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pPr>
        <w:spacing w:line="600" w:lineRule="exact"/>
        <w:ind w:firstLine="640"/>
        <w:rPr>
          <w:rFonts w:ascii="仿宋" w:hAnsi="仿宋" w:eastAsia="仿宋"/>
          <w:b/>
          <w:color w:val="00B050"/>
          <w:sz w:val="32"/>
          <w:szCs w:val="32"/>
        </w:rPr>
      </w:pPr>
      <w:r>
        <w:drawing>
          <wp:anchor distT="0" distB="0" distL="114300" distR="114300" simplePos="0" relativeHeight="251662336" behindDoc="0" locked="0" layoutInCell="1" allowOverlap="1">
            <wp:simplePos x="0" y="0"/>
            <wp:positionH relativeFrom="column">
              <wp:posOffset>175260</wp:posOffset>
            </wp:positionH>
            <wp:positionV relativeFrom="paragraph">
              <wp:posOffset>285750</wp:posOffset>
            </wp:positionV>
            <wp:extent cx="4641215" cy="2743200"/>
            <wp:effectExtent l="4445" t="4445" r="21590" b="14605"/>
            <wp:wrapSquare wrapText="bothSides"/>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rPr>
          <w:rFonts w:ascii="仿宋" w:hAnsi="仿宋" w:eastAsia="仿宋"/>
          <w:b/>
          <w:color w:val="00B050"/>
          <w:sz w:val="32"/>
          <w:szCs w:val="32"/>
        </w:rPr>
      </w:pPr>
    </w:p>
    <w:p>
      <w:pPr>
        <w:spacing w:line="600" w:lineRule="exact"/>
        <w:ind w:firstLine="640" w:firstLineChars="200"/>
        <w:outlineLvl w:val="1"/>
        <w:rPr>
          <w:rStyle w:val="24"/>
          <w:rFonts w:ascii="黑体" w:hAnsi="黑体" w:eastAsia="黑体"/>
          <w:b w:val="0"/>
        </w:rPr>
      </w:pPr>
      <w:bookmarkStart w:id="52" w:name="_Toc79163614"/>
      <w:bookmarkStart w:id="53" w:name="_Toc79163864"/>
      <w:bookmarkStart w:id="54" w:name="_Toc15377209"/>
      <w:bookmarkStart w:id="55"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4"/>
          <w:rFonts w:hint="eastAsia" w:ascii="黑体" w:hAnsi="黑体" w:eastAsia="黑体"/>
          <w:b w:val="0"/>
        </w:rPr>
        <w:t>般公共预算财政拨款支出决算情况说明</w:t>
      </w:r>
      <w:bookmarkEnd w:id="52"/>
      <w:bookmarkEnd w:id="53"/>
      <w:bookmarkEnd w:id="54"/>
      <w:bookmarkEnd w:id="55"/>
    </w:p>
    <w:p>
      <w:pPr>
        <w:spacing w:line="600" w:lineRule="exact"/>
        <w:ind w:firstLine="643" w:firstLineChars="200"/>
        <w:outlineLvl w:val="2"/>
        <w:rPr>
          <w:rFonts w:ascii="仿宋" w:hAnsi="仿宋" w:eastAsia="仿宋"/>
          <w:b/>
          <w:color w:val="000000"/>
          <w:sz w:val="32"/>
          <w:szCs w:val="32"/>
        </w:rPr>
      </w:pPr>
      <w:bookmarkStart w:id="56" w:name="_Toc15377210"/>
      <w:bookmarkStart w:id="57" w:name="_Toc79163865"/>
      <w:bookmarkStart w:id="58" w:name="_Toc79163615"/>
      <w:r>
        <w:rPr>
          <w:rFonts w:hint="eastAsia" w:ascii="仿宋" w:hAnsi="仿宋" w:eastAsia="仿宋"/>
          <w:b/>
          <w:color w:val="000000"/>
          <w:sz w:val="32"/>
          <w:szCs w:val="32"/>
        </w:rPr>
        <w:t>（一）一般公共预算财政拨款支出决算总体情况</w:t>
      </w:r>
      <w:bookmarkEnd w:id="56"/>
      <w:bookmarkEnd w:id="57"/>
      <w:bookmarkEnd w:id="58"/>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1年一般公共预算财政拨款支出1088.2万元，占本年支出合计的100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w:t>
      </w:r>
      <w:r>
        <w:rPr>
          <w:rFonts w:hint="eastAsia" w:ascii="仿宋" w:hAnsi="仿宋" w:eastAsia="仿宋"/>
          <w:color w:val="000000"/>
          <w:sz w:val="32"/>
          <w:szCs w:val="32"/>
        </w:rPr>
        <w:t>20年相比，一般公共预算财政拨款增加216.55万元，增长24.84</w:t>
      </w:r>
      <w:r>
        <w:rPr>
          <w:rFonts w:ascii="仿宋" w:hAnsi="仿宋" w:eastAsia="仿宋"/>
          <w:color w:val="000000"/>
          <w:sz w:val="32"/>
          <w:szCs w:val="32"/>
        </w:rPr>
        <w:t>%</w:t>
      </w:r>
      <w:r>
        <w:rPr>
          <w:rFonts w:hint="eastAsia" w:ascii="仿宋" w:hAnsi="仿宋" w:eastAsia="仿宋"/>
          <w:color w:val="000000"/>
          <w:sz w:val="32"/>
          <w:szCs w:val="32"/>
        </w:rPr>
        <w:t>。主要变动原因是单位人员的增加和往年项目资金的支付。</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pPr>
        <w:spacing w:line="600" w:lineRule="exact"/>
        <w:ind w:firstLine="420" w:firstLineChars="200"/>
        <w:rPr>
          <w:rFonts w:ascii="仿宋" w:hAnsi="仿宋" w:eastAsia="仿宋"/>
          <w:color w:val="000000"/>
          <w:sz w:val="32"/>
          <w:szCs w:val="32"/>
        </w:rPr>
      </w:pPr>
      <w:r>
        <w:drawing>
          <wp:anchor distT="0" distB="0" distL="114300" distR="114300" simplePos="0" relativeHeight="251663360" behindDoc="0" locked="0" layoutInCell="1" allowOverlap="1">
            <wp:simplePos x="0" y="0"/>
            <wp:positionH relativeFrom="column">
              <wp:posOffset>281305</wp:posOffset>
            </wp:positionH>
            <wp:positionV relativeFrom="paragraph">
              <wp:posOffset>216535</wp:posOffset>
            </wp:positionV>
            <wp:extent cx="4572000" cy="2743200"/>
            <wp:effectExtent l="4445" t="4445" r="14605" b="14605"/>
            <wp:wrapSquare wrapText="bothSides"/>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59" w:name="_Toc79163616"/>
      <w:bookmarkStart w:id="60" w:name="_Toc79163866"/>
      <w:bookmarkStart w:id="61" w:name="_Toc15377211"/>
      <w:r>
        <w:rPr>
          <w:rFonts w:hint="eastAsia" w:ascii="仿宋" w:hAnsi="仿宋" w:eastAsia="仿宋"/>
          <w:b/>
          <w:color w:val="000000"/>
          <w:sz w:val="32"/>
          <w:szCs w:val="32"/>
        </w:rPr>
        <w:t>（二）一般公共预算财政拨款支出决算结构情况</w:t>
      </w:r>
      <w:bookmarkEnd w:id="59"/>
      <w:bookmarkEnd w:id="60"/>
      <w:bookmarkEnd w:id="6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1年一般公共预算财政拨款支出1088.2万元，主要用于以下方面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一般公共服务（201）</w:t>
      </w:r>
      <w:r>
        <w:rPr>
          <w:rFonts w:hint="eastAsia" w:ascii="仿宋" w:hAnsi="仿宋" w:eastAsia="仿宋"/>
          <w:color w:val="000000"/>
          <w:sz w:val="32"/>
          <w:szCs w:val="32"/>
        </w:rPr>
        <w:t>支出0万元，占0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教育支出（205）</w:t>
      </w:r>
      <w:r>
        <w:rPr>
          <w:rFonts w:hint="eastAsia" w:ascii="仿宋" w:hAnsi="仿宋" w:eastAsia="仿宋"/>
          <w:color w:val="000000"/>
          <w:sz w:val="32"/>
          <w:szCs w:val="32"/>
        </w:rPr>
        <w:t>0万元，占0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科学技术（206）</w:t>
      </w:r>
      <w:r>
        <w:rPr>
          <w:rFonts w:hint="eastAsia" w:ascii="仿宋" w:hAnsi="仿宋" w:eastAsia="仿宋"/>
          <w:color w:val="000000"/>
          <w:sz w:val="32"/>
          <w:szCs w:val="32"/>
        </w:rPr>
        <w:t>支出0万元，占0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文化旅游体育与传媒（207）</w:t>
      </w:r>
      <w:r>
        <w:rPr>
          <w:rFonts w:hint="eastAsia" w:ascii="仿宋" w:hAnsi="仿宋" w:eastAsia="仿宋"/>
          <w:color w:val="000000"/>
          <w:sz w:val="32"/>
          <w:szCs w:val="32"/>
        </w:rPr>
        <w:t>支出0万元</w:t>
      </w:r>
      <w:r>
        <w:rPr>
          <w:rFonts w:hint="eastAsia" w:ascii="仿宋" w:hAnsi="仿宋" w:eastAsia="仿宋"/>
          <w:b/>
          <w:bCs/>
          <w:color w:val="000000"/>
          <w:sz w:val="32"/>
          <w:szCs w:val="32"/>
        </w:rPr>
        <w:t>，占0</w:t>
      </w:r>
      <w:r>
        <w:rPr>
          <w:rFonts w:ascii="仿宋" w:hAnsi="仿宋" w:eastAsia="仿宋"/>
          <w:b/>
          <w:bCs/>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社会保障和就业（208）</w:t>
      </w:r>
      <w:r>
        <w:rPr>
          <w:rFonts w:hint="eastAsia" w:ascii="仿宋" w:hAnsi="仿宋" w:eastAsia="仿宋"/>
          <w:color w:val="000000"/>
          <w:sz w:val="32"/>
          <w:szCs w:val="32"/>
        </w:rPr>
        <w:t>支出88.62万元，占8.14%；</w:t>
      </w:r>
      <w:r>
        <w:rPr>
          <w:rFonts w:hint="eastAsia" w:ascii="仿宋" w:hAnsi="仿宋" w:eastAsia="仿宋"/>
          <w:b/>
          <w:bCs/>
          <w:color w:val="000000"/>
          <w:sz w:val="32"/>
          <w:szCs w:val="32"/>
        </w:rPr>
        <w:t>卫生健康（210）</w:t>
      </w:r>
      <w:r>
        <w:rPr>
          <w:rFonts w:hint="eastAsia" w:ascii="仿宋" w:hAnsi="仿宋" w:eastAsia="仿宋"/>
          <w:color w:val="000000"/>
          <w:sz w:val="32"/>
          <w:szCs w:val="32"/>
        </w:rPr>
        <w:t>支出897.44万元，占82.47</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节能环保（211）</w:t>
      </w:r>
      <w:r>
        <w:rPr>
          <w:rFonts w:hint="eastAsia" w:ascii="仿宋" w:hAnsi="仿宋" w:eastAsia="仿宋"/>
          <w:color w:val="000000"/>
          <w:sz w:val="32"/>
          <w:szCs w:val="32"/>
        </w:rPr>
        <w:t>支出44.10万元，占4.05</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农林水（213）</w:t>
      </w:r>
      <w:r>
        <w:rPr>
          <w:rFonts w:hint="eastAsia" w:ascii="仿宋" w:hAnsi="仿宋" w:eastAsia="仿宋"/>
          <w:color w:val="000000"/>
          <w:sz w:val="32"/>
          <w:szCs w:val="32"/>
        </w:rPr>
        <w:t>支出0.5万元，占0.05</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住房保障（221）</w:t>
      </w:r>
      <w:r>
        <w:rPr>
          <w:rFonts w:hint="eastAsia" w:ascii="仿宋" w:hAnsi="仿宋" w:eastAsia="仿宋"/>
          <w:color w:val="000000"/>
          <w:sz w:val="32"/>
          <w:szCs w:val="32"/>
        </w:rPr>
        <w:t>支出57.55万元，占5.29</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420" w:firstLineChars="200"/>
        <w:rPr>
          <w:rFonts w:ascii="仿宋" w:hAnsi="仿宋" w:eastAsia="仿宋"/>
          <w:color w:val="000000"/>
          <w:sz w:val="32"/>
          <w:szCs w:val="32"/>
        </w:rPr>
      </w:pPr>
      <w:r>
        <w:drawing>
          <wp:anchor distT="0" distB="0" distL="114300" distR="114300" simplePos="0" relativeHeight="251664384" behindDoc="0" locked="0" layoutInCell="1" allowOverlap="1">
            <wp:simplePos x="0" y="0"/>
            <wp:positionH relativeFrom="column">
              <wp:posOffset>230505</wp:posOffset>
            </wp:positionH>
            <wp:positionV relativeFrom="paragraph">
              <wp:posOffset>-674370</wp:posOffset>
            </wp:positionV>
            <wp:extent cx="4572000" cy="2590165"/>
            <wp:effectExtent l="4445" t="4445" r="14605" b="15240"/>
            <wp:wrapSquare wrapText="bothSides"/>
            <wp:docPr id="7"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62" w:name="_Toc79163867"/>
      <w:bookmarkStart w:id="63" w:name="_Toc79163617"/>
      <w:bookmarkStart w:id="64" w:name="_Toc15377212"/>
      <w:r>
        <w:rPr>
          <w:rFonts w:hint="eastAsia" w:ascii="仿宋" w:hAnsi="仿宋" w:eastAsia="仿宋"/>
          <w:b/>
          <w:color w:val="000000"/>
          <w:sz w:val="32"/>
          <w:szCs w:val="32"/>
        </w:rPr>
        <w:t>（三）一般公共预算财政拨款支出决算具体情况</w:t>
      </w:r>
      <w:bookmarkEnd w:id="62"/>
      <w:bookmarkEnd w:id="63"/>
      <w:bookmarkEnd w:id="64"/>
    </w:p>
    <w:p>
      <w:pPr>
        <w:spacing w:line="600" w:lineRule="exact"/>
        <w:ind w:firstLine="643" w:firstLineChars="200"/>
        <w:rPr>
          <w:rFonts w:ascii="仿宋_GB2312" w:eastAsia="仿宋_GB2312"/>
          <w:b/>
          <w:bCs/>
          <w:sz w:val="32"/>
          <w:szCs w:val="32"/>
        </w:rPr>
      </w:pPr>
      <w:bookmarkStart w:id="65" w:name="_Toc15378460"/>
      <w:bookmarkStart w:id="66" w:name="_Toc15377444"/>
      <w:bookmarkStart w:id="67" w:name="_Toc15377213"/>
      <w:r>
        <w:rPr>
          <w:rFonts w:ascii="仿宋_GB2312" w:eastAsia="仿宋_GB2312"/>
          <w:b/>
          <w:bCs/>
          <w:sz w:val="32"/>
          <w:szCs w:val="32"/>
        </w:rPr>
        <w:t>202</w:t>
      </w:r>
      <w:r>
        <w:rPr>
          <w:rFonts w:hint="eastAsia" w:ascii="仿宋_GB2312" w:eastAsia="仿宋_GB2312"/>
          <w:b/>
          <w:bCs/>
          <w:sz w:val="32"/>
          <w:szCs w:val="32"/>
        </w:rPr>
        <w:t>1年一般公共预算支出决算数为1088.2万元，完成预算100</w:t>
      </w:r>
      <w:r>
        <w:rPr>
          <w:rFonts w:ascii="仿宋_GB2312" w:eastAsia="仿宋_GB2312"/>
          <w:b/>
          <w:bCs/>
          <w:sz w:val="32"/>
          <w:szCs w:val="32"/>
        </w:rPr>
        <w:t>%</w:t>
      </w:r>
      <w:r>
        <w:rPr>
          <w:rFonts w:hint="eastAsia" w:ascii="仿宋_GB2312" w:eastAsia="仿宋_GB2312"/>
          <w:b/>
          <w:bCs/>
          <w:sz w:val="32"/>
          <w:szCs w:val="32"/>
        </w:rPr>
        <w:t>。其中：</w:t>
      </w:r>
      <w:bookmarkEnd w:id="65"/>
      <w:bookmarkEnd w:id="66"/>
      <w:bookmarkEnd w:id="67"/>
    </w:p>
    <w:p>
      <w:pPr>
        <w:spacing w:line="600" w:lineRule="exact"/>
        <w:ind w:firstLine="643" w:firstLineChars="200"/>
        <w:rPr>
          <w:rStyle w:val="21"/>
          <w:rFonts w:ascii="仿宋" w:hAnsi="仿宋" w:eastAsia="仿宋"/>
          <w:b w:val="0"/>
          <w:bCs/>
          <w:color w:val="000000"/>
          <w:sz w:val="32"/>
          <w:szCs w:val="32"/>
        </w:rPr>
      </w:pPr>
      <w:r>
        <w:rPr>
          <w:rStyle w:val="21"/>
          <w:rFonts w:hint="eastAsia" w:ascii="仿宋" w:hAnsi="仿宋" w:eastAsia="仿宋"/>
          <w:bCs/>
          <w:color w:val="000000"/>
          <w:sz w:val="32"/>
          <w:szCs w:val="32"/>
        </w:rPr>
        <w:t>1</w:t>
      </w:r>
      <w:r>
        <w:rPr>
          <w:rStyle w:val="21"/>
          <w:rFonts w:ascii="仿宋" w:hAnsi="仿宋" w:eastAsia="仿宋"/>
          <w:bCs/>
          <w:color w:val="000000"/>
          <w:sz w:val="32"/>
          <w:szCs w:val="32"/>
        </w:rPr>
        <w:t>.</w:t>
      </w:r>
      <w:r>
        <w:rPr>
          <w:rStyle w:val="21"/>
          <w:rFonts w:hint="eastAsia" w:ascii="仿宋" w:hAnsi="仿宋" w:eastAsia="仿宋"/>
          <w:bCs/>
          <w:color w:val="000000"/>
          <w:sz w:val="32"/>
          <w:szCs w:val="32"/>
        </w:rPr>
        <w:t>社会保障和就业（208）行政事业单位养老支出（05）机关事业单位基本养老保险缴费支出（05）</w:t>
      </w:r>
      <w:r>
        <w:rPr>
          <w:rStyle w:val="21"/>
          <w:rFonts w:ascii="仿宋" w:hAnsi="仿宋" w:eastAsia="仿宋"/>
          <w:bCs/>
          <w:color w:val="000000"/>
          <w:sz w:val="32"/>
          <w:szCs w:val="32"/>
        </w:rPr>
        <w:t>:</w:t>
      </w:r>
      <w:r>
        <w:rPr>
          <w:rStyle w:val="21"/>
          <w:rFonts w:ascii="仿宋" w:hAnsi="仿宋" w:eastAsia="仿宋"/>
          <w:b w:val="0"/>
          <w:bCs/>
          <w:color w:val="000000"/>
          <w:sz w:val="32"/>
          <w:szCs w:val="32"/>
        </w:rPr>
        <w:t xml:space="preserve"> </w:t>
      </w:r>
      <w:r>
        <w:rPr>
          <w:rStyle w:val="21"/>
          <w:rFonts w:hint="eastAsia" w:ascii="仿宋" w:hAnsi="仿宋" w:eastAsia="仿宋"/>
          <w:b w:val="0"/>
          <w:bCs/>
          <w:color w:val="000000"/>
          <w:sz w:val="32"/>
          <w:szCs w:val="32"/>
        </w:rPr>
        <w:t>支出决算为59.08万元，完成预算100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Fonts w:hint="eastAsia" w:ascii="仿宋_GB2312" w:eastAsia="仿宋_GB2312"/>
          <w:sz w:val="32"/>
          <w:szCs w:val="32"/>
        </w:rPr>
        <w:t>决算数与预算数持平</w:t>
      </w:r>
      <w:r>
        <w:rPr>
          <w:rStyle w:val="21"/>
          <w:rFonts w:hint="eastAsia" w:ascii="仿宋" w:hAnsi="仿宋" w:eastAsia="仿宋"/>
          <w:b w:val="0"/>
          <w:bCs/>
          <w:color w:val="000000"/>
          <w:sz w:val="32"/>
          <w:szCs w:val="32"/>
        </w:rPr>
        <w:t>。</w:t>
      </w:r>
    </w:p>
    <w:p>
      <w:pPr>
        <w:spacing w:line="600" w:lineRule="exact"/>
        <w:ind w:firstLine="643" w:firstLineChars="200"/>
        <w:rPr>
          <w:rStyle w:val="21"/>
          <w:rFonts w:ascii="仿宋" w:hAnsi="仿宋" w:eastAsia="仿宋"/>
          <w:b w:val="0"/>
          <w:bCs/>
          <w:color w:val="000000"/>
          <w:sz w:val="32"/>
          <w:szCs w:val="32"/>
        </w:rPr>
      </w:pPr>
      <w:r>
        <w:rPr>
          <w:rStyle w:val="21"/>
          <w:rFonts w:hint="eastAsia" w:ascii="仿宋" w:hAnsi="仿宋" w:eastAsia="仿宋"/>
          <w:bCs/>
          <w:color w:val="000000"/>
          <w:sz w:val="32"/>
          <w:szCs w:val="32"/>
        </w:rPr>
        <w:t>2</w:t>
      </w:r>
      <w:r>
        <w:rPr>
          <w:rStyle w:val="21"/>
          <w:rFonts w:ascii="仿宋" w:hAnsi="仿宋" w:eastAsia="仿宋"/>
          <w:bCs/>
          <w:color w:val="000000"/>
          <w:sz w:val="32"/>
          <w:szCs w:val="32"/>
        </w:rPr>
        <w:t>.</w:t>
      </w:r>
      <w:r>
        <w:rPr>
          <w:rStyle w:val="21"/>
          <w:rFonts w:hint="eastAsia" w:ascii="仿宋" w:hAnsi="仿宋" w:eastAsia="仿宋"/>
          <w:bCs/>
          <w:color w:val="000000"/>
          <w:sz w:val="32"/>
          <w:szCs w:val="32"/>
        </w:rPr>
        <w:t>社会保障和就业（208）行政事业单位养老支出（05）机关事业单位职业年金缴费支出（06）</w:t>
      </w:r>
      <w:r>
        <w:rPr>
          <w:rStyle w:val="21"/>
          <w:rFonts w:ascii="仿宋" w:hAnsi="仿宋" w:eastAsia="仿宋"/>
          <w:bCs/>
          <w:color w:val="000000"/>
          <w:sz w:val="32"/>
          <w:szCs w:val="32"/>
        </w:rPr>
        <w:t>:</w:t>
      </w:r>
      <w:r>
        <w:rPr>
          <w:rStyle w:val="21"/>
          <w:rFonts w:ascii="仿宋" w:hAnsi="仿宋" w:eastAsia="仿宋"/>
          <w:b w:val="0"/>
          <w:bCs/>
          <w:color w:val="000000"/>
          <w:sz w:val="32"/>
          <w:szCs w:val="32"/>
        </w:rPr>
        <w:t xml:space="preserve"> </w:t>
      </w:r>
      <w:r>
        <w:rPr>
          <w:rStyle w:val="21"/>
          <w:rFonts w:hint="eastAsia" w:ascii="仿宋" w:hAnsi="仿宋" w:eastAsia="仿宋"/>
          <w:b w:val="0"/>
          <w:bCs/>
          <w:color w:val="000000"/>
          <w:sz w:val="32"/>
          <w:szCs w:val="32"/>
        </w:rPr>
        <w:t>支出决算为29.54万元，完成预算100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Fonts w:hint="eastAsia" w:ascii="仿宋_GB2312" w:eastAsia="仿宋_GB2312"/>
          <w:sz w:val="32"/>
          <w:szCs w:val="32"/>
        </w:rPr>
        <w:t>决算数与预算数持平</w:t>
      </w:r>
      <w:r>
        <w:rPr>
          <w:rStyle w:val="21"/>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21"/>
          <w:rFonts w:hint="eastAsia" w:ascii="仿宋" w:hAnsi="仿宋" w:eastAsia="仿宋"/>
          <w:bCs/>
          <w:color w:val="000000"/>
          <w:sz w:val="32"/>
          <w:szCs w:val="32"/>
        </w:rPr>
        <w:t>3</w:t>
      </w:r>
      <w:r>
        <w:rPr>
          <w:rStyle w:val="21"/>
          <w:rFonts w:ascii="仿宋" w:hAnsi="仿宋" w:eastAsia="仿宋"/>
          <w:bCs/>
          <w:color w:val="000000"/>
          <w:sz w:val="32"/>
          <w:szCs w:val="32"/>
        </w:rPr>
        <w:t>.</w:t>
      </w:r>
      <w:r>
        <w:rPr>
          <w:rFonts w:hint="eastAsia" w:ascii="仿宋" w:hAnsi="仿宋" w:eastAsia="仿宋"/>
          <w:b/>
          <w:bCs/>
          <w:color w:val="000000"/>
          <w:sz w:val="32"/>
          <w:szCs w:val="32"/>
        </w:rPr>
        <w:t>卫生健康</w:t>
      </w:r>
      <w:r>
        <w:rPr>
          <w:rStyle w:val="21"/>
          <w:rFonts w:hint="eastAsia" w:ascii="仿宋" w:hAnsi="仿宋" w:eastAsia="仿宋"/>
          <w:bCs/>
          <w:color w:val="000000"/>
          <w:sz w:val="32"/>
          <w:szCs w:val="32"/>
        </w:rPr>
        <w:t>（210）公立医院（02）其他公立医院支出（99）</w:t>
      </w:r>
      <w:r>
        <w:rPr>
          <w:rStyle w:val="21"/>
          <w:rFonts w:ascii="仿宋" w:hAnsi="仿宋" w:eastAsia="仿宋"/>
          <w:bCs/>
          <w:color w:val="000000"/>
          <w:sz w:val="32"/>
          <w:szCs w:val="32"/>
        </w:rPr>
        <w:t>:</w:t>
      </w:r>
      <w:r>
        <w:rPr>
          <w:rStyle w:val="21"/>
          <w:rFonts w:hint="eastAsia" w:ascii="仿宋" w:hAnsi="仿宋" w:eastAsia="仿宋"/>
          <w:b w:val="0"/>
          <w:bCs/>
          <w:color w:val="000000"/>
          <w:sz w:val="32"/>
          <w:szCs w:val="32"/>
        </w:rPr>
        <w:t>支出决算为3.58万元，完成预算100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Fonts w:hint="eastAsia" w:ascii="仿宋_GB2312" w:eastAsia="仿宋_GB2312"/>
          <w:sz w:val="32"/>
          <w:szCs w:val="32"/>
        </w:rPr>
        <w:t>决算数与预算数持平</w:t>
      </w:r>
      <w:r>
        <w:rPr>
          <w:rStyle w:val="21"/>
          <w:rFonts w:hint="eastAsia" w:ascii="仿宋" w:hAnsi="仿宋" w:eastAsia="仿宋"/>
          <w:b w:val="0"/>
          <w:bCs/>
          <w:color w:val="000000"/>
          <w:sz w:val="32"/>
          <w:szCs w:val="32"/>
        </w:rPr>
        <w:t>。</w:t>
      </w:r>
    </w:p>
    <w:p>
      <w:pPr>
        <w:spacing w:line="600" w:lineRule="exact"/>
        <w:ind w:firstLine="643" w:firstLineChars="200"/>
        <w:rPr>
          <w:rStyle w:val="21"/>
          <w:rFonts w:ascii="仿宋" w:hAnsi="仿宋" w:eastAsia="仿宋"/>
          <w:b w:val="0"/>
          <w:bCs/>
          <w:color w:val="000000"/>
          <w:sz w:val="32"/>
          <w:szCs w:val="32"/>
        </w:rPr>
      </w:pPr>
      <w:r>
        <w:rPr>
          <w:rStyle w:val="21"/>
          <w:rFonts w:hint="eastAsia" w:ascii="仿宋" w:hAnsi="仿宋" w:eastAsia="仿宋"/>
          <w:bCs/>
          <w:color w:val="000000"/>
          <w:sz w:val="32"/>
          <w:szCs w:val="32"/>
        </w:rPr>
        <w:t>4</w:t>
      </w:r>
      <w:r>
        <w:rPr>
          <w:rStyle w:val="21"/>
          <w:rFonts w:ascii="仿宋" w:hAnsi="仿宋" w:eastAsia="仿宋"/>
          <w:bCs/>
          <w:color w:val="000000"/>
          <w:sz w:val="32"/>
          <w:szCs w:val="32"/>
        </w:rPr>
        <w:t>.</w:t>
      </w:r>
      <w:r>
        <w:rPr>
          <w:rFonts w:hint="eastAsia" w:ascii="仿宋" w:hAnsi="仿宋" w:eastAsia="仿宋"/>
          <w:b/>
          <w:bCs/>
          <w:color w:val="000000"/>
          <w:sz w:val="32"/>
          <w:szCs w:val="32"/>
        </w:rPr>
        <w:t>卫生健康</w:t>
      </w:r>
      <w:r>
        <w:rPr>
          <w:rStyle w:val="21"/>
          <w:rFonts w:hint="eastAsia" w:ascii="仿宋" w:hAnsi="仿宋" w:eastAsia="仿宋"/>
          <w:bCs/>
          <w:color w:val="000000"/>
          <w:sz w:val="32"/>
          <w:szCs w:val="32"/>
        </w:rPr>
        <w:t>（210）基层医疗卫生机构（03）其他基层医疗卫生机构支出（99）</w:t>
      </w:r>
      <w:r>
        <w:rPr>
          <w:rStyle w:val="21"/>
          <w:rFonts w:ascii="仿宋" w:hAnsi="仿宋" w:eastAsia="仿宋"/>
          <w:bCs/>
          <w:color w:val="000000"/>
          <w:sz w:val="32"/>
          <w:szCs w:val="32"/>
        </w:rPr>
        <w:t>:</w:t>
      </w:r>
      <w:r>
        <w:rPr>
          <w:rStyle w:val="21"/>
          <w:rFonts w:hint="eastAsia" w:ascii="仿宋" w:hAnsi="仿宋" w:eastAsia="仿宋"/>
          <w:b w:val="0"/>
          <w:bCs/>
          <w:color w:val="000000"/>
          <w:sz w:val="32"/>
          <w:szCs w:val="32"/>
        </w:rPr>
        <w:t>支出决算为2.02万元，完成预算100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Fonts w:hint="eastAsia" w:ascii="仿宋_GB2312" w:eastAsia="仿宋_GB2312"/>
          <w:sz w:val="32"/>
          <w:szCs w:val="32"/>
        </w:rPr>
        <w:t>决算数与预算数持平</w:t>
      </w:r>
      <w:r>
        <w:rPr>
          <w:rStyle w:val="21"/>
          <w:rFonts w:hint="eastAsia" w:ascii="仿宋" w:hAnsi="仿宋" w:eastAsia="仿宋"/>
          <w:b w:val="0"/>
          <w:bCs/>
          <w:color w:val="000000"/>
          <w:sz w:val="32"/>
          <w:szCs w:val="32"/>
        </w:rPr>
        <w:t>。</w:t>
      </w:r>
    </w:p>
    <w:p>
      <w:pPr>
        <w:spacing w:line="600" w:lineRule="exact"/>
        <w:ind w:firstLine="643" w:firstLineChars="200"/>
        <w:rPr>
          <w:rStyle w:val="21"/>
          <w:rFonts w:ascii="仿宋" w:hAnsi="仿宋" w:eastAsia="仿宋"/>
          <w:b w:val="0"/>
          <w:bCs/>
          <w:color w:val="000000"/>
          <w:sz w:val="32"/>
          <w:szCs w:val="32"/>
        </w:rPr>
      </w:pPr>
      <w:r>
        <w:rPr>
          <w:rStyle w:val="21"/>
          <w:rFonts w:hint="eastAsia" w:ascii="仿宋" w:hAnsi="仿宋" w:eastAsia="仿宋"/>
          <w:bCs/>
          <w:color w:val="000000"/>
          <w:sz w:val="32"/>
          <w:szCs w:val="32"/>
        </w:rPr>
        <w:t>5</w:t>
      </w:r>
      <w:r>
        <w:rPr>
          <w:rStyle w:val="21"/>
          <w:rFonts w:ascii="仿宋" w:hAnsi="仿宋" w:eastAsia="仿宋"/>
          <w:bCs/>
          <w:color w:val="000000"/>
          <w:sz w:val="32"/>
          <w:szCs w:val="32"/>
        </w:rPr>
        <w:t>.</w:t>
      </w:r>
      <w:r>
        <w:rPr>
          <w:rFonts w:hint="eastAsia" w:ascii="仿宋" w:hAnsi="仿宋" w:eastAsia="仿宋"/>
          <w:b/>
          <w:bCs/>
          <w:color w:val="000000"/>
          <w:sz w:val="32"/>
          <w:szCs w:val="32"/>
        </w:rPr>
        <w:t>卫生健康</w:t>
      </w:r>
      <w:r>
        <w:rPr>
          <w:rStyle w:val="21"/>
          <w:rFonts w:hint="eastAsia" w:ascii="仿宋" w:hAnsi="仿宋" w:eastAsia="仿宋"/>
          <w:bCs/>
          <w:color w:val="000000"/>
          <w:sz w:val="32"/>
          <w:szCs w:val="32"/>
        </w:rPr>
        <w:t>（210）公共卫生（04）妇幼保健机构（03）</w:t>
      </w:r>
      <w:r>
        <w:rPr>
          <w:rStyle w:val="21"/>
          <w:rFonts w:ascii="仿宋" w:hAnsi="仿宋" w:eastAsia="仿宋"/>
          <w:bCs/>
          <w:color w:val="000000"/>
          <w:sz w:val="32"/>
          <w:szCs w:val="32"/>
        </w:rPr>
        <w:t>:</w:t>
      </w:r>
      <w:r>
        <w:rPr>
          <w:rStyle w:val="21"/>
          <w:rFonts w:hint="eastAsia" w:ascii="仿宋" w:hAnsi="仿宋" w:eastAsia="仿宋"/>
          <w:b w:val="0"/>
          <w:bCs/>
          <w:color w:val="000000"/>
          <w:sz w:val="32"/>
          <w:szCs w:val="32"/>
        </w:rPr>
        <w:t>支出决算为643.3万元，完成预算100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Fonts w:hint="eastAsia" w:ascii="仿宋_GB2312" w:eastAsia="仿宋_GB2312"/>
          <w:sz w:val="32"/>
          <w:szCs w:val="32"/>
        </w:rPr>
        <w:t>决算数与预算数持平</w:t>
      </w:r>
      <w:r>
        <w:rPr>
          <w:rStyle w:val="21"/>
          <w:rFonts w:hint="eastAsia" w:ascii="仿宋" w:hAnsi="仿宋" w:eastAsia="仿宋"/>
          <w:b w:val="0"/>
          <w:bCs/>
          <w:color w:val="000000"/>
          <w:sz w:val="32"/>
          <w:szCs w:val="32"/>
        </w:rPr>
        <w:t>。</w:t>
      </w:r>
    </w:p>
    <w:p>
      <w:pPr>
        <w:spacing w:line="600" w:lineRule="exact"/>
        <w:ind w:firstLine="643" w:firstLineChars="200"/>
        <w:rPr>
          <w:rStyle w:val="21"/>
          <w:rFonts w:ascii="仿宋" w:hAnsi="仿宋" w:eastAsia="仿宋"/>
          <w:b w:val="0"/>
          <w:bCs/>
          <w:color w:val="000000"/>
          <w:sz w:val="32"/>
          <w:szCs w:val="32"/>
        </w:rPr>
      </w:pPr>
      <w:r>
        <w:rPr>
          <w:rStyle w:val="21"/>
          <w:rFonts w:hint="eastAsia" w:ascii="仿宋" w:hAnsi="仿宋" w:eastAsia="仿宋"/>
          <w:bCs/>
          <w:color w:val="000000"/>
          <w:sz w:val="32"/>
          <w:szCs w:val="32"/>
        </w:rPr>
        <w:t>6</w:t>
      </w:r>
      <w:r>
        <w:rPr>
          <w:rStyle w:val="21"/>
          <w:rFonts w:ascii="仿宋" w:hAnsi="仿宋" w:eastAsia="仿宋"/>
          <w:bCs/>
          <w:color w:val="000000"/>
          <w:sz w:val="32"/>
          <w:szCs w:val="32"/>
        </w:rPr>
        <w:t>.</w:t>
      </w:r>
      <w:r>
        <w:rPr>
          <w:rFonts w:hint="eastAsia" w:ascii="仿宋" w:hAnsi="仿宋" w:eastAsia="仿宋"/>
          <w:b/>
          <w:bCs/>
          <w:color w:val="000000"/>
          <w:sz w:val="32"/>
          <w:szCs w:val="32"/>
        </w:rPr>
        <w:t>卫生健康</w:t>
      </w:r>
      <w:r>
        <w:rPr>
          <w:rStyle w:val="21"/>
          <w:rFonts w:hint="eastAsia" w:ascii="仿宋" w:hAnsi="仿宋" w:eastAsia="仿宋"/>
          <w:bCs/>
          <w:color w:val="000000"/>
          <w:sz w:val="32"/>
          <w:szCs w:val="32"/>
        </w:rPr>
        <w:t>（210）公共卫生（04）基本公共卫生服务（08）</w:t>
      </w:r>
      <w:r>
        <w:rPr>
          <w:rStyle w:val="21"/>
          <w:rFonts w:ascii="仿宋" w:hAnsi="仿宋" w:eastAsia="仿宋"/>
          <w:bCs/>
          <w:color w:val="000000"/>
          <w:sz w:val="32"/>
          <w:szCs w:val="32"/>
        </w:rPr>
        <w:t>:</w:t>
      </w:r>
      <w:r>
        <w:rPr>
          <w:rStyle w:val="21"/>
          <w:rFonts w:hint="eastAsia" w:ascii="仿宋" w:hAnsi="仿宋" w:eastAsia="仿宋"/>
          <w:b w:val="0"/>
          <w:bCs/>
          <w:color w:val="000000"/>
          <w:sz w:val="32"/>
          <w:szCs w:val="32"/>
        </w:rPr>
        <w:t>支出决算为48.42万元，完成预算100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Fonts w:hint="eastAsia" w:ascii="仿宋_GB2312" w:eastAsia="仿宋_GB2312"/>
          <w:sz w:val="32"/>
          <w:szCs w:val="32"/>
        </w:rPr>
        <w:t>决算数与预算数持平</w:t>
      </w:r>
      <w:r>
        <w:rPr>
          <w:rStyle w:val="21"/>
          <w:rFonts w:hint="eastAsia" w:ascii="仿宋" w:hAnsi="仿宋" w:eastAsia="仿宋"/>
          <w:b w:val="0"/>
          <w:bCs/>
          <w:color w:val="000000"/>
          <w:sz w:val="32"/>
          <w:szCs w:val="32"/>
        </w:rPr>
        <w:t>。</w:t>
      </w:r>
    </w:p>
    <w:p>
      <w:pPr>
        <w:spacing w:line="600" w:lineRule="exact"/>
        <w:ind w:firstLine="643" w:firstLineChars="200"/>
        <w:rPr>
          <w:rStyle w:val="21"/>
          <w:rFonts w:ascii="仿宋" w:hAnsi="仿宋" w:eastAsia="仿宋"/>
          <w:b w:val="0"/>
          <w:bCs/>
          <w:color w:val="000000"/>
          <w:sz w:val="32"/>
          <w:szCs w:val="32"/>
        </w:rPr>
      </w:pPr>
      <w:r>
        <w:rPr>
          <w:rStyle w:val="21"/>
          <w:rFonts w:hint="eastAsia" w:ascii="仿宋" w:hAnsi="仿宋" w:eastAsia="仿宋"/>
          <w:bCs/>
          <w:color w:val="000000"/>
          <w:sz w:val="32"/>
          <w:szCs w:val="32"/>
        </w:rPr>
        <w:t>7</w:t>
      </w:r>
      <w:r>
        <w:rPr>
          <w:rStyle w:val="21"/>
          <w:rFonts w:ascii="仿宋" w:hAnsi="仿宋" w:eastAsia="仿宋"/>
          <w:bCs/>
          <w:color w:val="000000"/>
          <w:sz w:val="32"/>
          <w:szCs w:val="32"/>
        </w:rPr>
        <w:t>.</w:t>
      </w:r>
      <w:r>
        <w:rPr>
          <w:rFonts w:hint="eastAsia" w:ascii="仿宋" w:hAnsi="仿宋" w:eastAsia="仿宋"/>
          <w:b/>
          <w:bCs/>
          <w:color w:val="000000"/>
          <w:sz w:val="32"/>
          <w:szCs w:val="32"/>
        </w:rPr>
        <w:t>卫生健康</w:t>
      </w:r>
      <w:r>
        <w:rPr>
          <w:rStyle w:val="21"/>
          <w:rFonts w:hint="eastAsia" w:ascii="仿宋" w:hAnsi="仿宋" w:eastAsia="仿宋"/>
          <w:bCs/>
          <w:color w:val="000000"/>
          <w:sz w:val="32"/>
          <w:szCs w:val="32"/>
        </w:rPr>
        <w:t>（210）公共卫生（04）重大公共卫生服务（09）</w:t>
      </w:r>
      <w:r>
        <w:rPr>
          <w:rStyle w:val="21"/>
          <w:rFonts w:ascii="仿宋" w:hAnsi="仿宋" w:eastAsia="仿宋"/>
          <w:bCs/>
          <w:color w:val="000000"/>
          <w:sz w:val="32"/>
          <w:szCs w:val="32"/>
        </w:rPr>
        <w:t>:</w:t>
      </w:r>
      <w:r>
        <w:rPr>
          <w:rStyle w:val="21"/>
          <w:rFonts w:hint="eastAsia" w:ascii="仿宋" w:hAnsi="仿宋" w:eastAsia="仿宋"/>
          <w:b w:val="0"/>
          <w:bCs/>
          <w:color w:val="000000"/>
          <w:sz w:val="32"/>
          <w:szCs w:val="32"/>
        </w:rPr>
        <w:t>支出决算为30.82万元，完成预算100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Fonts w:hint="eastAsia" w:ascii="仿宋_GB2312" w:eastAsia="仿宋_GB2312"/>
          <w:sz w:val="32"/>
          <w:szCs w:val="32"/>
        </w:rPr>
        <w:t>决算数与预算数持平</w:t>
      </w:r>
      <w:r>
        <w:rPr>
          <w:rStyle w:val="21"/>
          <w:rFonts w:hint="eastAsia" w:ascii="仿宋" w:hAnsi="仿宋" w:eastAsia="仿宋"/>
          <w:b w:val="0"/>
          <w:bCs/>
          <w:color w:val="000000"/>
          <w:sz w:val="32"/>
          <w:szCs w:val="32"/>
        </w:rPr>
        <w:t>。</w:t>
      </w:r>
    </w:p>
    <w:p>
      <w:pPr>
        <w:spacing w:line="600" w:lineRule="exact"/>
        <w:ind w:firstLine="643" w:firstLineChars="200"/>
        <w:rPr>
          <w:rStyle w:val="21"/>
          <w:rFonts w:ascii="仿宋" w:hAnsi="仿宋" w:eastAsia="仿宋"/>
          <w:b w:val="0"/>
          <w:bCs/>
          <w:color w:val="000000"/>
          <w:sz w:val="32"/>
          <w:szCs w:val="32"/>
        </w:rPr>
      </w:pPr>
      <w:r>
        <w:rPr>
          <w:rStyle w:val="21"/>
          <w:rFonts w:hint="eastAsia" w:ascii="仿宋" w:hAnsi="仿宋" w:eastAsia="仿宋"/>
          <w:bCs/>
          <w:color w:val="000000"/>
          <w:sz w:val="32"/>
          <w:szCs w:val="32"/>
        </w:rPr>
        <w:t>8</w:t>
      </w:r>
      <w:r>
        <w:rPr>
          <w:rStyle w:val="21"/>
          <w:rFonts w:ascii="仿宋" w:hAnsi="仿宋" w:eastAsia="仿宋"/>
          <w:bCs/>
          <w:color w:val="000000"/>
          <w:sz w:val="32"/>
          <w:szCs w:val="32"/>
        </w:rPr>
        <w:t>.</w:t>
      </w:r>
      <w:r>
        <w:rPr>
          <w:rFonts w:hint="eastAsia" w:ascii="仿宋" w:hAnsi="仿宋" w:eastAsia="仿宋"/>
          <w:b/>
          <w:bCs/>
          <w:color w:val="000000"/>
          <w:sz w:val="32"/>
          <w:szCs w:val="32"/>
        </w:rPr>
        <w:t>卫生健康</w:t>
      </w:r>
      <w:r>
        <w:rPr>
          <w:rStyle w:val="21"/>
          <w:rFonts w:hint="eastAsia" w:ascii="仿宋" w:hAnsi="仿宋" w:eastAsia="仿宋"/>
          <w:bCs/>
          <w:color w:val="000000"/>
          <w:sz w:val="32"/>
          <w:szCs w:val="32"/>
        </w:rPr>
        <w:t>（210）计划生育事务（07）计划生育服务（17）</w:t>
      </w:r>
      <w:r>
        <w:rPr>
          <w:rStyle w:val="21"/>
          <w:rFonts w:ascii="仿宋" w:hAnsi="仿宋" w:eastAsia="仿宋"/>
          <w:bCs/>
          <w:color w:val="000000"/>
          <w:sz w:val="32"/>
          <w:szCs w:val="32"/>
        </w:rPr>
        <w:t>:</w:t>
      </w:r>
      <w:r>
        <w:rPr>
          <w:rStyle w:val="21"/>
          <w:rFonts w:hint="eastAsia" w:ascii="仿宋" w:hAnsi="仿宋" w:eastAsia="仿宋"/>
          <w:b w:val="0"/>
          <w:bCs/>
          <w:color w:val="000000"/>
          <w:sz w:val="32"/>
          <w:szCs w:val="32"/>
        </w:rPr>
        <w:t>支出决算为44.70万元，完成预算100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Fonts w:hint="eastAsia" w:ascii="仿宋_GB2312" w:eastAsia="仿宋_GB2312"/>
          <w:sz w:val="32"/>
          <w:szCs w:val="32"/>
        </w:rPr>
        <w:t>决算数与预算数持平</w:t>
      </w:r>
      <w:r>
        <w:rPr>
          <w:rStyle w:val="21"/>
          <w:rFonts w:hint="eastAsia" w:ascii="仿宋" w:hAnsi="仿宋" w:eastAsia="仿宋"/>
          <w:b w:val="0"/>
          <w:bCs/>
          <w:color w:val="000000"/>
          <w:sz w:val="32"/>
          <w:szCs w:val="32"/>
        </w:rPr>
        <w:t>。</w:t>
      </w:r>
    </w:p>
    <w:p>
      <w:pPr>
        <w:spacing w:line="600" w:lineRule="exact"/>
        <w:ind w:firstLine="643" w:firstLineChars="200"/>
        <w:rPr>
          <w:rStyle w:val="21"/>
          <w:rFonts w:ascii="仿宋" w:hAnsi="仿宋" w:eastAsia="仿宋"/>
          <w:b w:val="0"/>
          <w:bCs/>
          <w:color w:val="000000"/>
          <w:sz w:val="32"/>
          <w:szCs w:val="32"/>
        </w:rPr>
      </w:pPr>
      <w:r>
        <w:rPr>
          <w:rStyle w:val="21"/>
          <w:rFonts w:hint="eastAsia" w:ascii="仿宋" w:hAnsi="仿宋" w:eastAsia="仿宋"/>
          <w:bCs/>
          <w:color w:val="000000"/>
          <w:sz w:val="32"/>
          <w:szCs w:val="32"/>
        </w:rPr>
        <w:t>9</w:t>
      </w:r>
      <w:r>
        <w:rPr>
          <w:rStyle w:val="21"/>
          <w:rFonts w:ascii="仿宋" w:hAnsi="仿宋" w:eastAsia="仿宋"/>
          <w:bCs/>
          <w:color w:val="000000"/>
          <w:sz w:val="32"/>
          <w:szCs w:val="32"/>
        </w:rPr>
        <w:t>.</w:t>
      </w:r>
      <w:r>
        <w:rPr>
          <w:rFonts w:hint="eastAsia" w:ascii="仿宋" w:hAnsi="仿宋" w:eastAsia="仿宋"/>
          <w:b/>
          <w:bCs/>
          <w:color w:val="000000"/>
          <w:sz w:val="32"/>
          <w:szCs w:val="32"/>
        </w:rPr>
        <w:t>卫生健康</w:t>
      </w:r>
      <w:r>
        <w:rPr>
          <w:rStyle w:val="21"/>
          <w:rFonts w:hint="eastAsia" w:ascii="仿宋" w:hAnsi="仿宋" w:eastAsia="仿宋"/>
          <w:bCs/>
          <w:color w:val="000000"/>
          <w:sz w:val="32"/>
          <w:szCs w:val="32"/>
        </w:rPr>
        <w:t>（210）计划生育事务（07）其他计划生育事务支出（99）</w:t>
      </w:r>
      <w:r>
        <w:rPr>
          <w:rStyle w:val="21"/>
          <w:rFonts w:ascii="仿宋" w:hAnsi="仿宋" w:eastAsia="仿宋"/>
          <w:bCs/>
          <w:color w:val="000000"/>
          <w:sz w:val="32"/>
          <w:szCs w:val="32"/>
        </w:rPr>
        <w:t>:</w:t>
      </w:r>
      <w:r>
        <w:rPr>
          <w:rStyle w:val="21"/>
          <w:rFonts w:hint="eastAsia" w:ascii="仿宋" w:hAnsi="仿宋" w:eastAsia="仿宋"/>
          <w:b w:val="0"/>
          <w:bCs/>
          <w:color w:val="000000"/>
          <w:sz w:val="32"/>
          <w:szCs w:val="32"/>
        </w:rPr>
        <w:t>支出决算为5.92万元，完成预算100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Fonts w:hint="eastAsia" w:ascii="仿宋_GB2312" w:eastAsia="仿宋_GB2312"/>
          <w:sz w:val="32"/>
          <w:szCs w:val="32"/>
        </w:rPr>
        <w:t>决算数与预算数持平</w:t>
      </w:r>
      <w:r>
        <w:rPr>
          <w:rStyle w:val="21"/>
          <w:rFonts w:hint="eastAsia" w:ascii="仿宋" w:hAnsi="仿宋" w:eastAsia="仿宋"/>
          <w:b w:val="0"/>
          <w:bCs/>
          <w:color w:val="000000"/>
          <w:sz w:val="32"/>
          <w:szCs w:val="32"/>
        </w:rPr>
        <w:t>。</w:t>
      </w:r>
    </w:p>
    <w:p>
      <w:pPr>
        <w:spacing w:line="600" w:lineRule="exact"/>
        <w:ind w:firstLine="643" w:firstLineChars="200"/>
        <w:rPr>
          <w:rStyle w:val="21"/>
          <w:rFonts w:ascii="仿宋" w:hAnsi="仿宋" w:eastAsia="仿宋"/>
          <w:b w:val="0"/>
          <w:bCs/>
          <w:color w:val="000000"/>
          <w:sz w:val="32"/>
          <w:szCs w:val="32"/>
        </w:rPr>
      </w:pPr>
      <w:r>
        <w:rPr>
          <w:rStyle w:val="21"/>
          <w:rFonts w:hint="eastAsia" w:ascii="仿宋" w:hAnsi="仿宋" w:eastAsia="仿宋"/>
          <w:bCs/>
          <w:color w:val="000000"/>
          <w:sz w:val="32"/>
          <w:szCs w:val="32"/>
        </w:rPr>
        <w:t>10</w:t>
      </w:r>
      <w:r>
        <w:rPr>
          <w:rStyle w:val="21"/>
          <w:rFonts w:ascii="仿宋" w:hAnsi="仿宋" w:eastAsia="仿宋"/>
          <w:bCs/>
          <w:color w:val="000000"/>
          <w:sz w:val="32"/>
          <w:szCs w:val="32"/>
        </w:rPr>
        <w:t>.</w:t>
      </w:r>
      <w:r>
        <w:rPr>
          <w:rFonts w:hint="eastAsia" w:ascii="仿宋" w:hAnsi="仿宋" w:eastAsia="仿宋"/>
          <w:b/>
          <w:bCs/>
          <w:color w:val="000000"/>
          <w:sz w:val="32"/>
          <w:szCs w:val="32"/>
        </w:rPr>
        <w:t>卫生健康</w:t>
      </w:r>
      <w:r>
        <w:rPr>
          <w:rStyle w:val="21"/>
          <w:rFonts w:hint="eastAsia" w:ascii="仿宋" w:hAnsi="仿宋" w:eastAsia="仿宋"/>
          <w:bCs/>
          <w:color w:val="000000"/>
          <w:sz w:val="32"/>
          <w:szCs w:val="32"/>
        </w:rPr>
        <w:t>（210）行政事业单位医疗（11）事业单位医疗（02）</w:t>
      </w:r>
      <w:r>
        <w:rPr>
          <w:rStyle w:val="21"/>
          <w:rFonts w:ascii="仿宋" w:hAnsi="仿宋" w:eastAsia="仿宋"/>
          <w:bCs/>
          <w:color w:val="000000"/>
          <w:sz w:val="32"/>
          <w:szCs w:val="32"/>
        </w:rPr>
        <w:t>:</w:t>
      </w:r>
      <w:r>
        <w:rPr>
          <w:rStyle w:val="21"/>
          <w:rFonts w:hint="eastAsia" w:ascii="仿宋" w:hAnsi="仿宋" w:eastAsia="仿宋"/>
          <w:b w:val="0"/>
          <w:bCs/>
          <w:color w:val="000000"/>
          <w:sz w:val="32"/>
          <w:szCs w:val="32"/>
        </w:rPr>
        <w:t>支出决算为28.42万元，完成预算100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Fonts w:hint="eastAsia" w:ascii="仿宋_GB2312" w:eastAsia="仿宋_GB2312"/>
          <w:sz w:val="32"/>
          <w:szCs w:val="32"/>
        </w:rPr>
        <w:t>决算数与预算数持平</w:t>
      </w:r>
      <w:r>
        <w:rPr>
          <w:rStyle w:val="21"/>
          <w:rFonts w:hint="eastAsia" w:ascii="仿宋" w:hAnsi="仿宋" w:eastAsia="仿宋"/>
          <w:b w:val="0"/>
          <w:bCs/>
          <w:color w:val="000000"/>
          <w:sz w:val="32"/>
          <w:szCs w:val="32"/>
        </w:rPr>
        <w:t>。</w:t>
      </w:r>
    </w:p>
    <w:p>
      <w:pPr>
        <w:spacing w:line="600" w:lineRule="exact"/>
        <w:ind w:firstLine="643" w:firstLineChars="200"/>
        <w:rPr>
          <w:rStyle w:val="21"/>
          <w:rFonts w:ascii="仿宋" w:hAnsi="仿宋" w:eastAsia="仿宋"/>
          <w:b w:val="0"/>
          <w:bCs/>
          <w:color w:val="000000"/>
          <w:sz w:val="32"/>
          <w:szCs w:val="32"/>
        </w:rPr>
      </w:pPr>
      <w:r>
        <w:rPr>
          <w:rStyle w:val="21"/>
          <w:rFonts w:hint="eastAsia" w:ascii="仿宋" w:hAnsi="仿宋" w:eastAsia="仿宋"/>
          <w:bCs/>
          <w:color w:val="000000"/>
          <w:sz w:val="32"/>
          <w:szCs w:val="32"/>
        </w:rPr>
        <w:t>11</w:t>
      </w:r>
      <w:r>
        <w:rPr>
          <w:rStyle w:val="21"/>
          <w:rFonts w:ascii="仿宋" w:hAnsi="仿宋" w:eastAsia="仿宋"/>
          <w:bCs/>
          <w:color w:val="000000"/>
          <w:sz w:val="32"/>
          <w:szCs w:val="32"/>
        </w:rPr>
        <w:t>.</w:t>
      </w:r>
      <w:r>
        <w:rPr>
          <w:rFonts w:hint="eastAsia" w:ascii="仿宋" w:hAnsi="仿宋" w:eastAsia="仿宋"/>
          <w:b/>
          <w:bCs/>
          <w:color w:val="000000"/>
          <w:sz w:val="32"/>
          <w:szCs w:val="32"/>
        </w:rPr>
        <w:t>卫生健康</w:t>
      </w:r>
      <w:r>
        <w:rPr>
          <w:rStyle w:val="21"/>
          <w:rFonts w:hint="eastAsia" w:ascii="仿宋" w:hAnsi="仿宋" w:eastAsia="仿宋"/>
          <w:bCs/>
          <w:color w:val="000000"/>
          <w:sz w:val="32"/>
          <w:szCs w:val="32"/>
        </w:rPr>
        <w:t>（210）行政事业单位医疗（11）其他行政事业单位医疗支出（99）</w:t>
      </w:r>
      <w:r>
        <w:rPr>
          <w:rStyle w:val="21"/>
          <w:rFonts w:ascii="仿宋" w:hAnsi="仿宋" w:eastAsia="仿宋"/>
          <w:bCs/>
          <w:color w:val="000000"/>
          <w:sz w:val="32"/>
          <w:szCs w:val="32"/>
        </w:rPr>
        <w:t>:</w:t>
      </w:r>
      <w:r>
        <w:rPr>
          <w:rStyle w:val="21"/>
          <w:rFonts w:hint="eastAsia" w:ascii="仿宋" w:hAnsi="仿宋" w:eastAsia="仿宋"/>
          <w:b w:val="0"/>
          <w:bCs/>
          <w:color w:val="000000"/>
          <w:sz w:val="32"/>
          <w:szCs w:val="32"/>
        </w:rPr>
        <w:t>支出决算为8.42万元，完成预算100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Fonts w:hint="eastAsia" w:ascii="仿宋_GB2312" w:eastAsia="仿宋_GB2312"/>
          <w:sz w:val="32"/>
          <w:szCs w:val="32"/>
        </w:rPr>
        <w:t>决算数与预算数持平</w:t>
      </w:r>
      <w:r>
        <w:rPr>
          <w:rStyle w:val="21"/>
          <w:rFonts w:hint="eastAsia" w:ascii="仿宋" w:hAnsi="仿宋" w:eastAsia="仿宋"/>
          <w:b w:val="0"/>
          <w:bCs/>
          <w:color w:val="000000"/>
          <w:sz w:val="32"/>
          <w:szCs w:val="32"/>
        </w:rPr>
        <w:t>。</w:t>
      </w:r>
    </w:p>
    <w:p>
      <w:pPr>
        <w:spacing w:line="600" w:lineRule="exact"/>
        <w:ind w:firstLine="643" w:firstLineChars="200"/>
        <w:rPr>
          <w:rStyle w:val="21"/>
          <w:rFonts w:ascii="仿宋" w:hAnsi="仿宋" w:eastAsia="仿宋"/>
          <w:b w:val="0"/>
          <w:bCs/>
          <w:color w:val="000000"/>
          <w:sz w:val="32"/>
          <w:szCs w:val="32"/>
        </w:rPr>
      </w:pPr>
      <w:r>
        <w:rPr>
          <w:rStyle w:val="21"/>
          <w:rFonts w:hint="eastAsia" w:ascii="仿宋" w:hAnsi="仿宋" w:eastAsia="仿宋"/>
          <w:bCs/>
          <w:color w:val="000000"/>
          <w:sz w:val="32"/>
          <w:szCs w:val="32"/>
        </w:rPr>
        <w:t>12</w:t>
      </w:r>
      <w:r>
        <w:rPr>
          <w:rStyle w:val="21"/>
          <w:rFonts w:ascii="仿宋" w:hAnsi="仿宋" w:eastAsia="仿宋"/>
          <w:bCs/>
          <w:color w:val="000000"/>
          <w:sz w:val="32"/>
          <w:szCs w:val="32"/>
        </w:rPr>
        <w:t>.</w:t>
      </w:r>
      <w:r>
        <w:rPr>
          <w:rFonts w:hint="eastAsia" w:ascii="仿宋" w:hAnsi="仿宋" w:eastAsia="仿宋"/>
          <w:b/>
          <w:bCs/>
          <w:color w:val="000000"/>
          <w:sz w:val="32"/>
          <w:szCs w:val="32"/>
        </w:rPr>
        <w:t>卫生健康</w:t>
      </w:r>
      <w:r>
        <w:rPr>
          <w:rStyle w:val="21"/>
          <w:rFonts w:hint="eastAsia" w:ascii="仿宋" w:hAnsi="仿宋" w:eastAsia="仿宋"/>
          <w:bCs/>
          <w:color w:val="000000"/>
          <w:sz w:val="32"/>
          <w:szCs w:val="32"/>
        </w:rPr>
        <w:t>（210）其他卫生健康支出（99）其他卫生健康支出（99）</w:t>
      </w:r>
      <w:r>
        <w:rPr>
          <w:rStyle w:val="21"/>
          <w:rFonts w:ascii="仿宋" w:hAnsi="仿宋" w:eastAsia="仿宋"/>
          <w:bCs/>
          <w:color w:val="000000"/>
          <w:sz w:val="32"/>
          <w:szCs w:val="32"/>
        </w:rPr>
        <w:t>:</w:t>
      </w:r>
      <w:r>
        <w:rPr>
          <w:rStyle w:val="21"/>
          <w:rFonts w:hint="eastAsia" w:ascii="仿宋" w:hAnsi="仿宋" w:eastAsia="仿宋"/>
          <w:b w:val="0"/>
          <w:bCs/>
          <w:color w:val="000000"/>
          <w:sz w:val="32"/>
          <w:szCs w:val="32"/>
        </w:rPr>
        <w:t>支出决算为81.84万元，完成预算100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Fonts w:hint="eastAsia" w:ascii="仿宋_GB2312" w:eastAsia="仿宋_GB2312"/>
          <w:sz w:val="32"/>
          <w:szCs w:val="32"/>
        </w:rPr>
        <w:t>决算数与预算数持平</w:t>
      </w:r>
      <w:r>
        <w:rPr>
          <w:rStyle w:val="21"/>
          <w:rFonts w:hint="eastAsia" w:ascii="仿宋" w:hAnsi="仿宋" w:eastAsia="仿宋"/>
          <w:b w:val="0"/>
          <w:bCs/>
          <w:color w:val="000000"/>
          <w:sz w:val="32"/>
          <w:szCs w:val="32"/>
        </w:rPr>
        <w:t>。</w:t>
      </w:r>
    </w:p>
    <w:p>
      <w:pPr>
        <w:spacing w:line="600" w:lineRule="exact"/>
        <w:ind w:firstLine="643" w:firstLineChars="200"/>
        <w:rPr>
          <w:rStyle w:val="21"/>
          <w:rFonts w:ascii="仿宋" w:hAnsi="仿宋" w:eastAsia="仿宋"/>
          <w:b w:val="0"/>
          <w:bCs/>
          <w:color w:val="000000"/>
          <w:sz w:val="32"/>
          <w:szCs w:val="32"/>
        </w:rPr>
      </w:pPr>
      <w:r>
        <w:rPr>
          <w:rStyle w:val="21"/>
          <w:rFonts w:hint="eastAsia" w:ascii="仿宋" w:hAnsi="仿宋" w:eastAsia="仿宋"/>
          <w:bCs/>
          <w:color w:val="000000"/>
          <w:sz w:val="32"/>
          <w:szCs w:val="32"/>
        </w:rPr>
        <w:t>13</w:t>
      </w:r>
      <w:r>
        <w:rPr>
          <w:rStyle w:val="21"/>
          <w:rFonts w:ascii="仿宋" w:hAnsi="仿宋" w:eastAsia="仿宋"/>
          <w:bCs/>
          <w:color w:val="000000"/>
          <w:sz w:val="32"/>
          <w:szCs w:val="32"/>
        </w:rPr>
        <w:t>.</w:t>
      </w:r>
      <w:r>
        <w:rPr>
          <w:rFonts w:hint="eastAsia" w:ascii="仿宋" w:hAnsi="仿宋" w:eastAsia="仿宋"/>
          <w:b/>
          <w:bCs/>
          <w:color w:val="000000"/>
          <w:sz w:val="32"/>
          <w:szCs w:val="32"/>
        </w:rPr>
        <w:t>节能环保</w:t>
      </w:r>
      <w:r>
        <w:rPr>
          <w:rStyle w:val="21"/>
          <w:rFonts w:hint="eastAsia" w:ascii="仿宋" w:hAnsi="仿宋" w:eastAsia="仿宋"/>
          <w:bCs/>
          <w:color w:val="000000"/>
          <w:sz w:val="32"/>
          <w:szCs w:val="32"/>
        </w:rPr>
        <w:t>（211）自然生态保护（04）生态保护（01）</w:t>
      </w:r>
      <w:r>
        <w:rPr>
          <w:rStyle w:val="21"/>
          <w:rFonts w:ascii="仿宋" w:hAnsi="仿宋" w:eastAsia="仿宋"/>
          <w:bCs/>
          <w:color w:val="000000"/>
          <w:sz w:val="32"/>
          <w:szCs w:val="32"/>
        </w:rPr>
        <w:t>:</w:t>
      </w:r>
      <w:r>
        <w:rPr>
          <w:rStyle w:val="21"/>
          <w:rFonts w:hint="eastAsia" w:ascii="仿宋" w:hAnsi="仿宋" w:eastAsia="仿宋"/>
          <w:b w:val="0"/>
          <w:bCs/>
          <w:color w:val="000000"/>
          <w:sz w:val="32"/>
          <w:szCs w:val="32"/>
        </w:rPr>
        <w:t>支出决算为44.10万元，完成预算100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Fonts w:hint="eastAsia" w:ascii="仿宋_GB2312" w:eastAsia="仿宋_GB2312"/>
          <w:sz w:val="32"/>
          <w:szCs w:val="32"/>
        </w:rPr>
        <w:t>决算数与预算数持平</w:t>
      </w:r>
      <w:r>
        <w:rPr>
          <w:rStyle w:val="21"/>
          <w:rFonts w:hint="eastAsia" w:ascii="仿宋" w:hAnsi="仿宋" w:eastAsia="仿宋"/>
          <w:b w:val="0"/>
          <w:bCs/>
          <w:color w:val="000000"/>
          <w:sz w:val="32"/>
          <w:szCs w:val="32"/>
        </w:rPr>
        <w:t>。</w:t>
      </w:r>
    </w:p>
    <w:p>
      <w:pPr>
        <w:spacing w:line="600" w:lineRule="exact"/>
        <w:ind w:firstLine="643" w:firstLineChars="200"/>
        <w:rPr>
          <w:rStyle w:val="21"/>
          <w:rFonts w:ascii="仿宋" w:hAnsi="仿宋" w:eastAsia="仿宋"/>
          <w:b w:val="0"/>
          <w:bCs/>
          <w:color w:val="000000"/>
          <w:sz w:val="32"/>
          <w:szCs w:val="32"/>
        </w:rPr>
      </w:pPr>
      <w:r>
        <w:rPr>
          <w:rStyle w:val="21"/>
          <w:rFonts w:hint="eastAsia" w:ascii="仿宋" w:hAnsi="仿宋" w:eastAsia="仿宋"/>
          <w:bCs/>
          <w:color w:val="000000"/>
          <w:sz w:val="32"/>
          <w:szCs w:val="32"/>
        </w:rPr>
        <w:t>14</w:t>
      </w:r>
      <w:r>
        <w:rPr>
          <w:rStyle w:val="21"/>
          <w:rFonts w:ascii="仿宋" w:hAnsi="仿宋" w:eastAsia="仿宋"/>
          <w:bCs/>
          <w:color w:val="000000"/>
          <w:sz w:val="32"/>
          <w:szCs w:val="32"/>
        </w:rPr>
        <w:t>.</w:t>
      </w:r>
      <w:r>
        <w:rPr>
          <w:rFonts w:hint="eastAsia" w:ascii="仿宋" w:hAnsi="仿宋" w:eastAsia="仿宋"/>
          <w:b/>
          <w:bCs/>
          <w:color w:val="000000"/>
          <w:sz w:val="32"/>
          <w:szCs w:val="32"/>
        </w:rPr>
        <w:t>农林水</w:t>
      </w:r>
      <w:r>
        <w:rPr>
          <w:rStyle w:val="21"/>
          <w:rFonts w:hint="eastAsia" w:ascii="仿宋" w:hAnsi="仿宋" w:eastAsia="仿宋"/>
          <w:bCs/>
          <w:color w:val="000000"/>
          <w:sz w:val="32"/>
          <w:szCs w:val="32"/>
        </w:rPr>
        <w:t>（213）扶贫（05）其他扶贫支出（99）</w:t>
      </w:r>
      <w:r>
        <w:rPr>
          <w:rStyle w:val="21"/>
          <w:rFonts w:ascii="仿宋" w:hAnsi="仿宋" w:eastAsia="仿宋"/>
          <w:bCs/>
          <w:color w:val="000000"/>
          <w:sz w:val="32"/>
          <w:szCs w:val="32"/>
        </w:rPr>
        <w:t>:</w:t>
      </w:r>
      <w:r>
        <w:rPr>
          <w:rStyle w:val="21"/>
          <w:rFonts w:hint="eastAsia" w:ascii="仿宋" w:hAnsi="仿宋" w:eastAsia="仿宋"/>
          <w:b w:val="0"/>
          <w:bCs/>
          <w:color w:val="000000"/>
          <w:sz w:val="32"/>
          <w:szCs w:val="32"/>
        </w:rPr>
        <w:t>支出决算为0.5万元，完成预算100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Fonts w:hint="eastAsia" w:ascii="仿宋_GB2312" w:eastAsia="仿宋_GB2312"/>
          <w:sz w:val="32"/>
          <w:szCs w:val="32"/>
        </w:rPr>
        <w:t>决算数与预算数持平</w:t>
      </w:r>
      <w:r>
        <w:rPr>
          <w:rStyle w:val="21"/>
          <w:rFonts w:hint="eastAsia" w:ascii="仿宋" w:hAnsi="仿宋" w:eastAsia="仿宋"/>
          <w:b w:val="0"/>
          <w:bCs/>
          <w:color w:val="000000"/>
          <w:sz w:val="32"/>
          <w:szCs w:val="32"/>
        </w:rPr>
        <w:t>。</w:t>
      </w:r>
    </w:p>
    <w:p>
      <w:pPr>
        <w:spacing w:line="600" w:lineRule="exact"/>
        <w:ind w:firstLine="643" w:firstLineChars="200"/>
        <w:rPr>
          <w:rStyle w:val="21"/>
          <w:rFonts w:ascii="仿宋" w:hAnsi="仿宋" w:eastAsia="仿宋"/>
          <w:b w:val="0"/>
          <w:bCs/>
          <w:color w:val="000000"/>
          <w:sz w:val="32"/>
          <w:szCs w:val="32"/>
        </w:rPr>
      </w:pPr>
      <w:r>
        <w:rPr>
          <w:rStyle w:val="21"/>
          <w:rFonts w:hint="eastAsia" w:ascii="仿宋" w:hAnsi="仿宋" w:eastAsia="仿宋"/>
          <w:bCs/>
          <w:color w:val="000000"/>
          <w:sz w:val="32"/>
          <w:szCs w:val="32"/>
        </w:rPr>
        <w:t>15</w:t>
      </w:r>
      <w:r>
        <w:rPr>
          <w:rStyle w:val="21"/>
          <w:rFonts w:ascii="仿宋" w:hAnsi="仿宋" w:eastAsia="仿宋"/>
          <w:bCs/>
          <w:color w:val="000000"/>
          <w:sz w:val="32"/>
          <w:szCs w:val="32"/>
        </w:rPr>
        <w:t>.</w:t>
      </w:r>
      <w:r>
        <w:rPr>
          <w:rFonts w:hint="eastAsia" w:ascii="仿宋" w:hAnsi="仿宋" w:eastAsia="仿宋"/>
          <w:b/>
          <w:bCs/>
          <w:color w:val="000000"/>
          <w:sz w:val="32"/>
          <w:szCs w:val="32"/>
        </w:rPr>
        <w:t>住房保障</w:t>
      </w:r>
      <w:r>
        <w:rPr>
          <w:rStyle w:val="21"/>
          <w:rFonts w:hint="eastAsia" w:ascii="仿宋" w:hAnsi="仿宋" w:eastAsia="仿宋"/>
          <w:bCs/>
          <w:color w:val="000000"/>
          <w:sz w:val="32"/>
          <w:szCs w:val="32"/>
        </w:rPr>
        <w:t>（221）住房改革支出（02）住房公积金（01）</w:t>
      </w:r>
      <w:r>
        <w:rPr>
          <w:rStyle w:val="21"/>
          <w:rFonts w:ascii="仿宋" w:hAnsi="仿宋" w:eastAsia="仿宋"/>
          <w:bCs/>
          <w:color w:val="000000"/>
          <w:sz w:val="32"/>
          <w:szCs w:val="32"/>
        </w:rPr>
        <w:t>:</w:t>
      </w:r>
      <w:r>
        <w:rPr>
          <w:rStyle w:val="21"/>
          <w:rFonts w:hint="eastAsia" w:ascii="仿宋" w:hAnsi="仿宋" w:eastAsia="仿宋"/>
          <w:b w:val="0"/>
          <w:bCs/>
          <w:color w:val="000000"/>
          <w:sz w:val="32"/>
          <w:szCs w:val="32"/>
        </w:rPr>
        <w:t>支出决算为57.55万元，完成预算100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Fonts w:hint="eastAsia" w:ascii="仿宋_GB2312" w:eastAsia="仿宋_GB2312"/>
          <w:sz w:val="32"/>
          <w:szCs w:val="32"/>
        </w:rPr>
        <w:t>决算数与预算数持平</w:t>
      </w:r>
      <w:r>
        <w:rPr>
          <w:rStyle w:val="21"/>
          <w:rFonts w:hint="eastAsia" w:ascii="仿宋" w:hAnsi="仿宋" w:eastAsia="仿宋"/>
          <w:b w:val="0"/>
          <w:bCs/>
          <w:color w:val="000000"/>
          <w:sz w:val="32"/>
          <w:szCs w:val="32"/>
        </w:rPr>
        <w:t>。</w:t>
      </w:r>
    </w:p>
    <w:p>
      <w:pPr>
        <w:spacing w:line="600" w:lineRule="exact"/>
        <w:rPr>
          <w:rFonts w:ascii="仿宋" w:hAnsi="仿宋" w:eastAsia="仿宋"/>
          <w:b/>
          <w:color w:val="000000"/>
          <w:sz w:val="32"/>
          <w:szCs w:val="32"/>
        </w:rPr>
      </w:pPr>
    </w:p>
    <w:p>
      <w:pPr>
        <w:tabs>
          <w:tab w:val="right" w:pos="8306"/>
        </w:tabs>
        <w:spacing w:line="600" w:lineRule="exact"/>
        <w:ind w:firstLine="640"/>
        <w:outlineLvl w:val="1"/>
        <w:rPr>
          <w:rStyle w:val="24"/>
        </w:rPr>
      </w:pPr>
      <w:bookmarkStart w:id="68" w:name="_Toc15396608"/>
      <w:bookmarkStart w:id="69" w:name="_Toc79163868"/>
      <w:bookmarkStart w:id="70" w:name="_Toc15377214"/>
      <w:bookmarkStart w:id="71" w:name="_Toc7916361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4"/>
          <w:rFonts w:hint="eastAsia" w:ascii="黑体" w:hAnsi="黑体" w:eastAsia="黑体"/>
          <w:b w:val="0"/>
        </w:rPr>
        <w:t>般公共预算财政拨款基本支出决算情况说明</w:t>
      </w:r>
      <w:bookmarkEnd w:id="68"/>
      <w:bookmarkEnd w:id="69"/>
      <w:bookmarkEnd w:id="70"/>
      <w:bookmarkEnd w:id="71"/>
      <w:r>
        <w:rPr>
          <w:rStyle w:val="24"/>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1年一般公共预算财政拨款基本支出826.3万元，其中：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人员经费783.88万元，主要包括：基本工资、津贴补贴、绩效工资、机关事业单位基本养老保险缴费、职业年金缴费、其他社会保障缴费、生活补助、医疗费补助、住房公积金等。其明细如下：</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1"/>
        <w:gridCol w:w="1226"/>
        <w:gridCol w:w="3951"/>
        <w:gridCol w:w="21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7" w:type="dxa"/>
            <w:gridSpan w:val="2"/>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经济分类科目编码</w:t>
            </w:r>
          </w:p>
        </w:tc>
        <w:tc>
          <w:tcPr>
            <w:tcW w:w="3951"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科目名称</w:t>
            </w:r>
          </w:p>
        </w:tc>
        <w:tc>
          <w:tcPr>
            <w:tcW w:w="2113"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支出数（万元）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类</w:t>
            </w:r>
          </w:p>
        </w:tc>
        <w:tc>
          <w:tcPr>
            <w:tcW w:w="1226"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款</w:t>
            </w:r>
          </w:p>
        </w:tc>
        <w:tc>
          <w:tcPr>
            <w:tcW w:w="3951" w:type="dxa"/>
          </w:tcPr>
          <w:p>
            <w:pPr>
              <w:spacing w:line="600" w:lineRule="exact"/>
              <w:jc w:val="center"/>
              <w:rPr>
                <w:rFonts w:ascii="仿宋" w:hAnsi="仿宋" w:eastAsia="仿宋"/>
                <w:color w:val="000000"/>
                <w:sz w:val="32"/>
                <w:szCs w:val="32"/>
              </w:rPr>
            </w:pPr>
          </w:p>
        </w:tc>
        <w:tc>
          <w:tcPr>
            <w:tcW w:w="2113" w:type="dxa"/>
          </w:tcPr>
          <w:p>
            <w:pPr>
              <w:spacing w:line="600" w:lineRule="exact"/>
              <w:jc w:val="center"/>
              <w:rPr>
                <w:rFonts w:ascii="仿宋" w:hAnsi="仿宋" w:eastAsia="仿宋"/>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301</w:t>
            </w:r>
          </w:p>
        </w:tc>
        <w:tc>
          <w:tcPr>
            <w:tcW w:w="1226"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01</w:t>
            </w:r>
          </w:p>
        </w:tc>
        <w:tc>
          <w:tcPr>
            <w:tcW w:w="3951"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基本工资</w:t>
            </w:r>
          </w:p>
        </w:tc>
        <w:tc>
          <w:tcPr>
            <w:tcW w:w="2113"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132.38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301</w:t>
            </w:r>
          </w:p>
        </w:tc>
        <w:tc>
          <w:tcPr>
            <w:tcW w:w="1226"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02</w:t>
            </w:r>
          </w:p>
        </w:tc>
        <w:tc>
          <w:tcPr>
            <w:tcW w:w="3951"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津贴补贴</w:t>
            </w:r>
          </w:p>
        </w:tc>
        <w:tc>
          <w:tcPr>
            <w:tcW w:w="2113"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107.07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301</w:t>
            </w:r>
          </w:p>
        </w:tc>
        <w:tc>
          <w:tcPr>
            <w:tcW w:w="1226"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07</w:t>
            </w:r>
          </w:p>
        </w:tc>
        <w:tc>
          <w:tcPr>
            <w:tcW w:w="3951"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绩效工资</w:t>
            </w:r>
          </w:p>
        </w:tc>
        <w:tc>
          <w:tcPr>
            <w:tcW w:w="2113"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311.84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721"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301</w:t>
            </w:r>
          </w:p>
        </w:tc>
        <w:tc>
          <w:tcPr>
            <w:tcW w:w="1226"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08</w:t>
            </w:r>
          </w:p>
        </w:tc>
        <w:tc>
          <w:tcPr>
            <w:tcW w:w="3951"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机关事业单位基本养老保险费</w:t>
            </w:r>
          </w:p>
        </w:tc>
        <w:tc>
          <w:tcPr>
            <w:tcW w:w="2113"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59.08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301</w:t>
            </w:r>
          </w:p>
        </w:tc>
        <w:tc>
          <w:tcPr>
            <w:tcW w:w="1226"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09</w:t>
            </w:r>
          </w:p>
        </w:tc>
        <w:tc>
          <w:tcPr>
            <w:tcW w:w="3951"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职业年金缴费</w:t>
            </w:r>
          </w:p>
        </w:tc>
        <w:tc>
          <w:tcPr>
            <w:tcW w:w="2113"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29.54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21"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301</w:t>
            </w:r>
          </w:p>
        </w:tc>
        <w:tc>
          <w:tcPr>
            <w:tcW w:w="1226"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10</w:t>
            </w:r>
          </w:p>
        </w:tc>
        <w:tc>
          <w:tcPr>
            <w:tcW w:w="3951"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职工基本医疗保险缴费</w:t>
            </w:r>
          </w:p>
        </w:tc>
        <w:tc>
          <w:tcPr>
            <w:tcW w:w="2113"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28.42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301</w:t>
            </w:r>
          </w:p>
        </w:tc>
        <w:tc>
          <w:tcPr>
            <w:tcW w:w="1226"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11</w:t>
            </w:r>
          </w:p>
        </w:tc>
        <w:tc>
          <w:tcPr>
            <w:tcW w:w="3951"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公务员医疗补助缴费</w:t>
            </w:r>
          </w:p>
        </w:tc>
        <w:tc>
          <w:tcPr>
            <w:tcW w:w="2113"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8.42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301</w:t>
            </w:r>
          </w:p>
        </w:tc>
        <w:tc>
          <w:tcPr>
            <w:tcW w:w="1226"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12</w:t>
            </w:r>
          </w:p>
        </w:tc>
        <w:tc>
          <w:tcPr>
            <w:tcW w:w="3951"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其他社会保障缴费</w:t>
            </w:r>
          </w:p>
        </w:tc>
        <w:tc>
          <w:tcPr>
            <w:tcW w:w="2113"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8.46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301</w:t>
            </w:r>
          </w:p>
        </w:tc>
        <w:tc>
          <w:tcPr>
            <w:tcW w:w="1226"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13</w:t>
            </w:r>
          </w:p>
        </w:tc>
        <w:tc>
          <w:tcPr>
            <w:tcW w:w="3951"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住房公积金</w:t>
            </w:r>
          </w:p>
        </w:tc>
        <w:tc>
          <w:tcPr>
            <w:tcW w:w="2113"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57.55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303</w:t>
            </w:r>
          </w:p>
        </w:tc>
        <w:tc>
          <w:tcPr>
            <w:tcW w:w="1226"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05</w:t>
            </w:r>
          </w:p>
        </w:tc>
        <w:tc>
          <w:tcPr>
            <w:tcW w:w="3951"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生活补助</w:t>
            </w:r>
          </w:p>
        </w:tc>
        <w:tc>
          <w:tcPr>
            <w:tcW w:w="2113"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38.70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303</w:t>
            </w:r>
          </w:p>
        </w:tc>
        <w:tc>
          <w:tcPr>
            <w:tcW w:w="1226"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07</w:t>
            </w:r>
          </w:p>
        </w:tc>
        <w:tc>
          <w:tcPr>
            <w:tcW w:w="3951"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医疗费补助</w:t>
            </w:r>
          </w:p>
        </w:tc>
        <w:tc>
          <w:tcPr>
            <w:tcW w:w="2113"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32.39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303</w:t>
            </w:r>
          </w:p>
        </w:tc>
        <w:tc>
          <w:tcPr>
            <w:tcW w:w="1226"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09</w:t>
            </w:r>
          </w:p>
        </w:tc>
        <w:tc>
          <w:tcPr>
            <w:tcW w:w="3951"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奖励金</w:t>
            </w:r>
          </w:p>
        </w:tc>
        <w:tc>
          <w:tcPr>
            <w:tcW w:w="2113"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7" w:type="dxa"/>
            <w:gridSpan w:val="2"/>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合计</w:t>
            </w:r>
          </w:p>
        </w:tc>
        <w:tc>
          <w:tcPr>
            <w:tcW w:w="3951" w:type="dxa"/>
          </w:tcPr>
          <w:p>
            <w:pPr>
              <w:spacing w:line="600" w:lineRule="exact"/>
              <w:jc w:val="center"/>
              <w:rPr>
                <w:rFonts w:ascii="仿宋" w:hAnsi="仿宋" w:eastAsia="仿宋"/>
                <w:color w:val="000000"/>
                <w:sz w:val="32"/>
                <w:szCs w:val="32"/>
              </w:rPr>
            </w:pPr>
          </w:p>
        </w:tc>
        <w:tc>
          <w:tcPr>
            <w:tcW w:w="2113"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783.88</w:t>
            </w:r>
          </w:p>
        </w:tc>
      </w:tr>
    </w:tbl>
    <w:p>
      <w:pPr>
        <w:spacing w:line="600" w:lineRule="exact"/>
        <w:rPr>
          <w:rFonts w:ascii="仿宋" w:hAnsi="仿宋" w:eastAsia="仿宋"/>
          <w:color w:val="000000"/>
          <w:sz w:val="32"/>
          <w:szCs w:val="32"/>
        </w:rPr>
      </w:pP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日常公用经费42.42万元，主要包括：办公费、手续费、水费、电费、邮电费、取暖费、差旅费、维修（护）费、培训费、劳务费、公务用车运行维护费等。</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1726"/>
        <w:gridCol w:w="3419"/>
        <w:gridCol w:w="18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trPr>
        <w:tc>
          <w:tcPr>
            <w:tcW w:w="2850" w:type="dxa"/>
            <w:gridSpan w:val="2"/>
          </w:tcPr>
          <w:p>
            <w:pPr>
              <w:spacing w:line="600" w:lineRule="exact"/>
              <w:jc w:val="center"/>
              <w:rPr>
                <w:rFonts w:ascii="仿宋" w:hAnsi="仿宋" w:eastAsia="仿宋"/>
                <w:color w:val="000000"/>
                <w:sz w:val="32"/>
                <w:szCs w:val="32"/>
              </w:rPr>
            </w:pPr>
          </w:p>
          <w:p>
            <w:pPr>
              <w:tabs>
                <w:tab w:val="left" w:pos="2597"/>
              </w:tabs>
              <w:jc w:val="center"/>
            </w:pPr>
            <w:r>
              <w:rPr>
                <w:rFonts w:hint="eastAsia" w:ascii="仿宋" w:hAnsi="仿宋" w:eastAsia="仿宋"/>
                <w:color w:val="000000"/>
                <w:sz w:val="32"/>
                <w:szCs w:val="32"/>
              </w:rPr>
              <w:t>经济分类科目编码</w:t>
            </w:r>
          </w:p>
        </w:tc>
        <w:tc>
          <w:tcPr>
            <w:tcW w:w="3419" w:type="dxa"/>
          </w:tcPr>
          <w:p>
            <w:pPr>
              <w:spacing w:line="600" w:lineRule="exact"/>
              <w:jc w:val="center"/>
              <w:rPr>
                <w:rFonts w:ascii="仿宋" w:hAnsi="仿宋" w:eastAsia="仿宋"/>
                <w:color w:val="000000"/>
                <w:sz w:val="32"/>
                <w:szCs w:val="32"/>
              </w:rPr>
            </w:pPr>
          </w:p>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科目名称</w:t>
            </w:r>
          </w:p>
        </w:tc>
        <w:tc>
          <w:tcPr>
            <w:tcW w:w="1871"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支出数</w:t>
            </w:r>
          </w:p>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4"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302</w:t>
            </w:r>
          </w:p>
        </w:tc>
        <w:tc>
          <w:tcPr>
            <w:tcW w:w="1726"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01</w:t>
            </w:r>
          </w:p>
        </w:tc>
        <w:tc>
          <w:tcPr>
            <w:tcW w:w="3419"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办公费</w:t>
            </w:r>
          </w:p>
        </w:tc>
        <w:tc>
          <w:tcPr>
            <w:tcW w:w="1871"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12.45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4"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302</w:t>
            </w:r>
          </w:p>
        </w:tc>
        <w:tc>
          <w:tcPr>
            <w:tcW w:w="1726"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04</w:t>
            </w:r>
          </w:p>
        </w:tc>
        <w:tc>
          <w:tcPr>
            <w:tcW w:w="3419"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手续费</w:t>
            </w:r>
          </w:p>
        </w:tc>
        <w:tc>
          <w:tcPr>
            <w:tcW w:w="1871"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4"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302</w:t>
            </w:r>
          </w:p>
        </w:tc>
        <w:tc>
          <w:tcPr>
            <w:tcW w:w="1726"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05</w:t>
            </w:r>
          </w:p>
        </w:tc>
        <w:tc>
          <w:tcPr>
            <w:tcW w:w="3419"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水费</w:t>
            </w:r>
          </w:p>
        </w:tc>
        <w:tc>
          <w:tcPr>
            <w:tcW w:w="1871"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4"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302</w:t>
            </w:r>
          </w:p>
        </w:tc>
        <w:tc>
          <w:tcPr>
            <w:tcW w:w="1726"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06</w:t>
            </w:r>
          </w:p>
        </w:tc>
        <w:tc>
          <w:tcPr>
            <w:tcW w:w="3419"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电费</w:t>
            </w:r>
          </w:p>
        </w:tc>
        <w:tc>
          <w:tcPr>
            <w:tcW w:w="1871"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4"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302</w:t>
            </w:r>
          </w:p>
        </w:tc>
        <w:tc>
          <w:tcPr>
            <w:tcW w:w="1726"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07</w:t>
            </w:r>
          </w:p>
        </w:tc>
        <w:tc>
          <w:tcPr>
            <w:tcW w:w="3419"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邮电费</w:t>
            </w:r>
          </w:p>
        </w:tc>
        <w:tc>
          <w:tcPr>
            <w:tcW w:w="1871"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4"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302</w:t>
            </w:r>
          </w:p>
        </w:tc>
        <w:tc>
          <w:tcPr>
            <w:tcW w:w="1726"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11</w:t>
            </w:r>
          </w:p>
        </w:tc>
        <w:tc>
          <w:tcPr>
            <w:tcW w:w="3419"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差旅费</w:t>
            </w:r>
          </w:p>
        </w:tc>
        <w:tc>
          <w:tcPr>
            <w:tcW w:w="1871"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6.52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4"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302</w:t>
            </w:r>
          </w:p>
        </w:tc>
        <w:tc>
          <w:tcPr>
            <w:tcW w:w="1726"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13</w:t>
            </w:r>
          </w:p>
        </w:tc>
        <w:tc>
          <w:tcPr>
            <w:tcW w:w="3419"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维修（护）费</w:t>
            </w:r>
          </w:p>
        </w:tc>
        <w:tc>
          <w:tcPr>
            <w:tcW w:w="1871"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4"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302</w:t>
            </w:r>
          </w:p>
        </w:tc>
        <w:tc>
          <w:tcPr>
            <w:tcW w:w="1726"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16</w:t>
            </w:r>
          </w:p>
        </w:tc>
        <w:tc>
          <w:tcPr>
            <w:tcW w:w="3419"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培训费</w:t>
            </w:r>
          </w:p>
        </w:tc>
        <w:tc>
          <w:tcPr>
            <w:tcW w:w="1871"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0.74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4"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302</w:t>
            </w:r>
          </w:p>
        </w:tc>
        <w:tc>
          <w:tcPr>
            <w:tcW w:w="1726"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18</w:t>
            </w:r>
          </w:p>
        </w:tc>
        <w:tc>
          <w:tcPr>
            <w:tcW w:w="3419"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专用材料费</w:t>
            </w:r>
          </w:p>
        </w:tc>
        <w:tc>
          <w:tcPr>
            <w:tcW w:w="1871"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4"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302</w:t>
            </w:r>
          </w:p>
        </w:tc>
        <w:tc>
          <w:tcPr>
            <w:tcW w:w="1726"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26</w:t>
            </w:r>
          </w:p>
        </w:tc>
        <w:tc>
          <w:tcPr>
            <w:tcW w:w="3419"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劳务费</w:t>
            </w:r>
          </w:p>
        </w:tc>
        <w:tc>
          <w:tcPr>
            <w:tcW w:w="1871"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2.18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4" w:type="dxa"/>
          </w:tcPr>
          <w:p>
            <w:pPr>
              <w:spacing w:line="600" w:lineRule="exact"/>
              <w:jc w:val="center"/>
              <w:rPr>
                <w:rFonts w:ascii="仿宋" w:hAnsi="仿宋" w:eastAsia="仿宋"/>
                <w:color w:val="000000"/>
                <w:sz w:val="32"/>
                <w:szCs w:val="32"/>
              </w:rPr>
            </w:pPr>
          </w:p>
        </w:tc>
        <w:tc>
          <w:tcPr>
            <w:tcW w:w="1726"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31</w:t>
            </w:r>
          </w:p>
        </w:tc>
        <w:tc>
          <w:tcPr>
            <w:tcW w:w="3419"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公务用车运行维护费</w:t>
            </w:r>
          </w:p>
        </w:tc>
        <w:tc>
          <w:tcPr>
            <w:tcW w:w="1871"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8.42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50" w:type="dxa"/>
            <w:gridSpan w:val="2"/>
          </w:tcPr>
          <w:p>
            <w:pPr>
              <w:tabs>
                <w:tab w:val="left" w:pos="1790"/>
              </w:tabs>
              <w:spacing w:line="600" w:lineRule="exact"/>
              <w:ind w:firstLine="640" w:firstLineChars="200"/>
              <w:jc w:val="center"/>
              <w:rPr>
                <w:rFonts w:ascii="仿宋" w:hAnsi="仿宋" w:eastAsia="仿宋"/>
                <w:color w:val="000000"/>
                <w:sz w:val="32"/>
                <w:szCs w:val="32"/>
              </w:rPr>
            </w:pPr>
            <w:r>
              <w:rPr>
                <w:rFonts w:hint="eastAsia" w:ascii="仿宋" w:hAnsi="仿宋" w:eastAsia="仿宋"/>
                <w:color w:val="000000"/>
                <w:sz w:val="32"/>
                <w:szCs w:val="32"/>
              </w:rPr>
              <w:t>合   计</w:t>
            </w:r>
          </w:p>
        </w:tc>
        <w:tc>
          <w:tcPr>
            <w:tcW w:w="3419" w:type="dxa"/>
          </w:tcPr>
          <w:p>
            <w:pPr>
              <w:spacing w:line="600" w:lineRule="exact"/>
              <w:jc w:val="center"/>
              <w:rPr>
                <w:rFonts w:ascii="仿宋" w:hAnsi="仿宋" w:eastAsia="仿宋"/>
                <w:color w:val="000000"/>
                <w:sz w:val="32"/>
                <w:szCs w:val="32"/>
              </w:rPr>
            </w:pPr>
          </w:p>
        </w:tc>
        <w:tc>
          <w:tcPr>
            <w:tcW w:w="1871" w:type="dxa"/>
          </w:tcPr>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42.42</w:t>
            </w:r>
          </w:p>
        </w:tc>
      </w:tr>
    </w:tbl>
    <w:p>
      <w:pPr>
        <w:spacing w:line="600" w:lineRule="exact"/>
        <w:rPr>
          <w:rFonts w:ascii="仿宋" w:hAnsi="仿宋" w:eastAsia="仿宋"/>
          <w:b/>
          <w:color w:val="FF0000"/>
          <w:sz w:val="32"/>
          <w:szCs w:val="32"/>
        </w:rPr>
      </w:pPr>
    </w:p>
    <w:p>
      <w:pPr>
        <w:spacing w:line="600" w:lineRule="exact"/>
        <w:ind w:firstLine="640"/>
        <w:outlineLvl w:val="1"/>
        <w:rPr>
          <w:rStyle w:val="24"/>
          <w:rFonts w:ascii="黑体" w:hAnsi="黑体" w:eastAsia="黑体"/>
          <w:b w:val="0"/>
        </w:rPr>
      </w:pPr>
      <w:bookmarkStart w:id="72" w:name="_Toc15377215"/>
      <w:bookmarkStart w:id="73" w:name="_Toc79163619"/>
      <w:bookmarkStart w:id="74" w:name="_Toc15396609"/>
      <w:bookmarkStart w:id="75" w:name="_Toc79163869"/>
      <w:r>
        <w:rPr>
          <w:rFonts w:hint="eastAsia" w:ascii="黑体" w:eastAsia="黑体"/>
          <w:color w:val="000000"/>
          <w:sz w:val="32"/>
          <w:szCs w:val="32"/>
        </w:rPr>
        <w:t>七、</w:t>
      </w:r>
      <w:r>
        <w:rPr>
          <w:rStyle w:val="24"/>
          <w:rFonts w:hint="eastAsia" w:ascii="黑体" w:hAnsi="黑体" w:eastAsia="黑体"/>
        </w:rPr>
        <w:t>“</w:t>
      </w:r>
      <w:r>
        <w:rPr>
          <w:rStyle w:val="24"/>
          <w:rFonts w:hint="eastAsia" w:ascii="黑体" w:hAnsi="黑体" w:eastAsia="黑体"/>
          <w:b w:val="0"/>
        </w:rPr>
        <w:t>三公”经费财政拨款支出决算情况说明</w:t>
      </w:r>
      <w:bookmarkEnd w:id="72"/>
      <w:bookmarkEnd w:id="73"/>
      <w:bookmarkEnd w:id="74"/>
      <w:bookmarkEnd w:id="75"/>
    </w:p>
    <w:p>
      <w:pPr>
        <w:spacing w:line="600" w:lineRule="exact"/>
        <w:ind w:firstLine="640"/>
        <w:outlineLvl w:val="2"/>
        <w:rPr>
          <w:rFonts w:ascii="仿宋" w:hAnsi="仿宋" w:eastAsia="仿宋"/>
          <w:b/>
          <w:color w:val="000000"/>
          <w:sz w:val="32"/>
          <w:szCs w:val="32"/>
        </w:rPr>
      </w:pPr>
      <w:bookmarkStart w:id="76" w:name="_Toc79163620"/>
      <w:bookmarkStart w:id="77" w:name="_Toc79163870"/>
      <w:bookmarkStart w:id="78" w:name="_Toc15377216"/>
      <w:r>
        <w:rPr>
          <w:rFonts w:hint="eastAsia" w:ascii="仿宋" w:hAnsi="仿宋" w:eastAsia="仿宋"/>
          <w:b/>
          <w:color w:val="000000"/>
          <w:sz w:val="32"/>
          <w:szCs w:val="32"/>
        </w:rPr>
        <w:t>（一）“三公”经费财政拨款支出决算总体情况说明</w:t>
      </w:r>
      <w:bookmarkEnd w:id="76"/>
      <w:bookmarkEnd w:id="77"/>
      <w:bookmarkEnd w:id="78"/>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1年“三公”经费财政拨款支出决算为8.99万元，完成预算100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_GB2312" w:eastAsia="仿宋_GB2312"/>
          <w:sz w:val="32"/>
          <w:szCs w:val="32"/>
        </w:rPr>
        <w:t>决算数与预算数持平</w:t>
      </w:r>
      <w:r>
        <w:rPr>
          <w:rStyle w:val="21"/>
          <w:rFonts w:hint="eastAsia" w:ascii="仿宋" w:hAnsi="仿宋" w:eastAsia="仿宋"/>
          <w:b w:val="0"/>
          <w:bCs/>
          <w:color w:val="000000"/>
          <w:sz w:val="32"/>
          <w:szCs w:val="32"/>
        </w:rPr>
        <w:t>。</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79" w:name="_Toc79163871"/>
      <w:bookmarkStart w:id="80" w:name="_Toc15377217"/>
      <w:bookmarkStart w:id="81" w:name="_Toc79163621"/>
      <w:r>
        <w:rPr>
          <w:rFonts w:hint="eastAsia" w:ascii="仿宋" w:hAnsi="仿宋" w:eastAsia="仿宋"/>
          <w:b/>
          <w:color w:val="000000"/>
          <w:sz w:val="32"/>
          <w:szCs w:val="32"/>
        </w:rPr>
        <w:t>（二）“三公”经费财政拨款支出决算具体情况说明</w:t>
      </w:r>
      <w:bookmarkEnd w:id="79"/>
      <w:bookmarkEnd w:id="80"/>
      <w:bookmarkEnd w:id="8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；公务用车购置及运行维护费支出决算8.99万元，占100</w:t>
      </w:r>
      <w:r>
        <w:rPr>
          <w:rFonts w:ascii="仿宋" w:hAnsi="仿宋" w:eastAsia="仿宋"/>
          <w:color w:val="000000"/>
          <w:sz w:val="32"/>
          <w:szCs w:val="32"/>
        </w:rPr>
        <w:t>%</w:t>
      </w:r>
      <w:r>
        <w:rPr>
          <w:rFonts w:hint="eastAsia" w:ascii="仿宋" w:hAnsi="仿宋" w:eastAsia="仿宋"/>
          <w:color w:val="000000"/>
          <w:sz w:val="32"/>
          <w:szCs w:val="32"/>
        </w:rPr>
        <w:t>；公务接待费支出决算0万元，占0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：“三公”经费财政拨款支出结构）（饼状图）</w:t>
      </w:r>
    </w:p>
    <w:p>
      <w:pPr>
        <w:spacing w:line="600" w:lineRule="exact"/>
        <w:ind w:firstLine="640"/>
        <w:rPr>
          <w:rFonts w:ascii="仿宋" w:hAnsi="仿宋" w:eastAsia="仿宋"/>
          <w:color w:val="000000"/>
          <w:sz w:val="32"/>
          <w:szCs w:val="32"/>
        </w:rPr>
      </w:pPr>
      <w:r>
        <w:drawing>
          <wp:anchor distT="0" distB="0" distL="114300" distR="114300" simplePos="0" relativeHeight="251665408" behindDoc="0" locked="0" layoutInCell="1" allowOverlap="1">
            <wp:simplePos x="0" y="0"/>
            <wp:positionH relativeFrom="column">
              <wp:posOffset>82550</wp:posOffset>
            </wp:positionH>
            <wp:positionV relativeFrom="paragraph">
              <wp:posOffset>222885</wp:posOffset>
            </wp:positionV>
            <wp:extent cx="4572000" cy="2363470"/>
            <wp:effectExtent l="4445" t="4445" r="14605" b="13335"/>
            <wp:wrapSquare wrapText="bothSides"/>
            <wp:docPr id="8"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21"/>
          <w:rFonts w:hint="eastAsia" w:ascii="仿宋" w:hAnsi="仿宋" w:eastAsia="仿宋"/>
          <w:b w:val="0"/>
          <w:bCs/>
          <w:color w:val="000000"/>
          <w:sz w:val="32"/>
          <w:szCs w:val="32"/>
        </w:rPr>
        <w:t>完成预算0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全年安排因公出国（境）团组0次，出国（境）0人。因公出国（境）支出决算比</w:t>
      </w:r>
      <w:r>
        <w:rPr>
          <w:rFonts w:ascii="仿宋_GB2312" w:eastAsia="仿宋_GB2312"/>
          <w:color w:val="000000"/>
          <w:sz w:val="32"/>
          <w:szCs w:val="32"/>
        </w:rPr>
        <w:t>20</w:t>
      </w:r>
      <w:r>
        <w:rPr>
          <w:rFonts w:hint="eastAsia" w:ascii="仿宋_GB2312" w:eastAsia="仿宋_GB2312"/>
          <w:color w:val="000000"/>
          <w:sz w:val="32"/>
          <w:szCs w:val="32"/>
        </w:rPr>
        <w:t>20年持平。</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8.99万元</w:t>
      </w:r>
      <w:r>
        <w:rPr>
          <w:rFonts w:ascii="仿宋_GB2312" w:eastAsia="仿宋_GB2312"/>
          <w:color w:val="000000"/>
          <w:sz w:val="32"/>
          <w:szCs w:val="32"/>
        </w:rPr>
        <w:t>,</w:t>
      </w:r>
      <w:r>
        <w:rPr>
          <w:rStyle w:val="21"/>
          <w:rFonts w:hint="eastAsia" w:ascii="仿宋" w:hAnsi="仿宋" w:eastAsia="仿宋"/>
          <w:b w:val="0"/>
          <w:bCs/>
          <w:color w:val="000000"/>
          <w:sz w:val="32"/>
          <w:szCs w:val="32"/>
        </w:rPr>
        <w:t>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rPr>
        <w:t>20年增加0.04万元，增长0.44</w:t>
      </w:r>
      <w:r>
        <w:rPr>
          <w:rFonts w:ascii="仿宋_GB2312" w:eastAsia="仿宋_GB2312"/>
          <w:color w:val="000000"/>
          <w:sz w:val="32"/>
          <w:szCs w:val="32"/>
        </w:rPr>
        <w:t>%</w:t>
      </w:r>
      <w:r>
        <w:rPr>
          <w:rFonts w:hint="eastAsia" w:ascii="仿宋_GB2312" w:eastAsia="仿宋_GB2312"/>
          <w:color w:val="000000"/>
          <w:sz w:val="32"/>
          <w:szCs w:val="32"/>
        </w:rPr>
        <w:t>。主要原因是车辆修理增加。</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0万元。全年按规定更新购置公务用车0辆，其中：轿车0辆、金额0万元，越野车0辆、金额0万元，载客汽车0辆、金额0万元0。截至</w:t>
      </w:r>
      <w:r>
        <w:rPr>
          <w:rFonts w:ascii="仿宋_GB2312" w:eastAsia="仿宋_GB2312"/>
          <w:color w:val="000000"/>
          <w:sz w:val="32"/>
          <w:szCs w:val="32"/>
        </w:rPr>
        <w:t>202</w:t>
      </w:r>
      <w:r>
        <w:rPr>
          <w:rFonts w:hint="eastAsia" w:ascii="仿宋_GB2312" w:eastAsia="仿宋_GB2312"/>
          <w:color w:val="000000"/>
          <w:sz w:val="32"/>
          <w:szCs w:val="32"/>
        </w:rPr>
        <w:t>1年</w:t>
      </w:r>
      <w:r>
        <w:rPr>
          <w:rFonts w:ascii="仿宋_GB2312" w:eastAsia="仿宋_GB2312"/>
          <w:color w:val="000000"/>
          <w:sz w:val="32"/>
          <w:szCs w:val="32"/>
        </w:rPr>
        <w:t>12</w:t>
      </w:r>
      <w:r>
        <w:rPr>
          <w:rFonts w:hint="eastAsia" w:ascii="仿宋_GB2312" w:eastAsia="仿宋_GB2312"/>
          <w:color w:val="000000"/>
          <w:sz w:val="32"/>
          <w:szCs w:val="32"/>
        </w:rPr>
        <w:t>月底，单位共有公务用车1辆，其中：轿车0辆、越野车1辆、载客汽车0辆。</w:t>
      </w:r>
    </w:p>
    <w:p>
      <w:pPr>
        <w:spacing w:line="600" w:lineRule="exact"/>
        <w:ind w:firstLine="640"/>
        <w:rPr>
          <w:rFonts w:ascii="仿宋_GB2312" w:eastAsia="仿宋_GB2312"/>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8.99万元。</w:t>
      </w:r>
      <w:r>
        <w:rPr>
          <w:rFonts w:hint="eastAsia" w:ascii="仿宋_GB2312" w:eastAsia="仿宋_GB2312"/>
          <w:sz w:val="32"/>
          <w:szCs w:val="32"/>
        </w:rPr>
        <w:t>主要用于下乡开展项目督导（避孕药具、艾滋病、梅毒和乙肝等）、项目培训、新冠疫情防控及车辆购买保险等所需公务用车燃油费、维修费、过路过桥费、保险费等支出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0万元，</w:t>
      </w:r>
      <w:r>
        <w:rPr>
          <w:rStyle w:val="21"/>
          <w:rFonts w:hint="eastAsia" w:ascii="仿宋" w:hAnsi="仿宋" w:eastAsia="仿宋"/>
          <w:b w:val="0"/>
          <w:bCs/>
          <w:color w:val="000000"/>
          <w:sz w:val="32"/>
          <w:szCs w:val="32"/>
        </w:rPr>
        <w:t>完成预算0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公务接待费支出决算与</w:t>
      </w:r>
      <w:r>
        <w:rPr>
          <w:rFonts w:ascii="仿宋_GB2312" w:eastAsia="仿宋_GB2312"/>
          <w:color w:val="000000"/>
          <w:sz w:val="32"/>
          <w:szCs w:val="32"/>
        </w:rPr>
        <w:t>20</w:t>
      </w:r>
      <w:r>
        <w:rPr>
          <w:rFonts w:hint="eastAsia" w:ascii="仿宋_GB2312" w:eastAsia="仿宋_GB2312"/>
          <w:color w:val="000000"/>
          <w:sz w:val="32"/>
          <w:szCs w:val="32"/>
        </w:rPr>
        <w:t>20年持平。其中：</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rPr>
        <w:t>0</w:t>
      </w:r>
      <w:r>
        <w:rPr>
          <w:rFonts w:hint="eastAsia" w:ascii="仿宋_GB2312" w:eastAsia="仿宋_GB2312"/>
          <w:color w:val="000000"/>
          <w:sz w:val="32"/>
          <w:szCs w:val="32"/>
        </w:rPr>
        <w:t>万元，国内公务接待0批次，0人次（不包括陪同人员），共计支出0万元。</w:t>
      </w:r>
    </w:p>
    <w:p>
      <w:pPr>
        <w:spacing w:line="600" w:lineRule="exact"/>
        <w:ind w:firstLine="643" w:firstLineChars="200"/>
        <w:rPr>
          <w:rFonts w:ascii="仿宋_GB2312" w:eastAsia="仿宋_GB2312"/>
          <w:color w:val="000000"/>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rPr>
        <w:t>0</w:t>
      </w:r>
      <w:r>
        <w:rPr>
          <w:rFonts w:hint="eastAsia" w:ascii="仿宋_GB2312" w:eastAsia="仿宋_GB2312"/>
          <w:color w:val="000000"/>
          <w:sz w:val="32"/>
          <w:szCs w:val="32"/>
        </w:rPr>
        <w:t>万元，外事接待0批次，0人，共计支出0万元。</w:t>
      </w:r>
    </w:p>
    <w:p>
      <w:pPr>
        <w:spacing w:line="600" w:lineRule="exact"/>
        <w:ind w:firstLine="640" w:firstLineChars="200"/>
        <w:rPr>
          <w:rFonts w:ascii="仿宋_GB2312" w:eastAsia="仿宋_GB2312"/>
          <w:color w:val="000000"/>
          <w:sz w:val="32"/>
          <w:szCs w:val="32"/>
        </w:rPr>
      </w:pPr>
    </w:p>
    <w:p>
      <w:pPr>
        <w:spacing w:line="600" w:lineRule="exact"/>
        <w:ind w:firstLine="640"/>
        <w:outlineLvl w:val="1"/>
        <w:rPr>
          <w:rStyle w:val="24"/>
          <w:rFonts w:ascii="黑体" w:hAnsi="黑体" w:eastAsia="黑体"/>
        </w:rPr>
      </w:pPr>
      <w:bookmarkStart w:id="82" w:name="_Toc15377218"/>
      <w:bookmarkStart w:id="83" w:name="_Toc79163872"/>
      <w:bookmarkStart w:id="84" w:name="_Toc15396610"/>
      <w:bookmarkStart w:id="85" w:name="_Toc79163622"/>
      <w:r>
        <w:rPr>
          <w:rFonts w:hint="eastAsia" w:ascii="黑体" w:eastAsia="黑体"/>
          <w:color w:val="000000"/>
          <w:sz w:val="32"/>
          <w:szCs w:val="32"/>
        </w:rPr>
        <w:t>八、</w:t>
      </w:r>
      <w:r>
        <w:rPr>
          <w:rStyle w:val="24"/>
          <w:rFonts w:hint="eastAsia" w:ascii="黑体" w:hAnsi="黑体" w:eastAsia="黑体"/>
          <w:b w:val="0"/>
        </w:rPr>
        <w:t>政府性基金预算支出决算情况说明</w:t>
      </w:r>
      <w:bookmarkEnd w:id="82"/>
      <w:bookmarkEnd w:id="83"/>
      <w:bookmarkEnd w:id="84"/>
      <w:bookmarkEnd w:id="8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1年政府性基金预算拨款支出0万元。</w:t>
      </w:r>
    </w:p>
    <w:p>
      <w:pPr>
        <w:spacing w:line="600" w:lineRule="exact"/>
        <w:ind w:firstLine="640"/>
        <w:rPr>
          <w:rFonts w:ascii="仿宋_GB2312" w:eastAsia="仿宋_GB2312"/>
          <w:color w:val="000000"/>
          <w:sz w:val="32"/>
          <w:szCs w:val="32"/>
        </w:rPr>
      </w:pPr>
    </w:p>
    <w:p>
      <w:pPr>
        <w:numPr>
          <w:ilvl w:val="0"/>
          <w:numId w:val="2"/>
        </w:numPr>
        <w:spacing w:line="600" w:lineRule="exact"/>
        <w:ind w:firstLine="640"/>
        <w:outlineLvl w:val="1"/>
        <w:rPr>
          <w:rStyle w:val="24"/>
          <w:rFonts w:ascii="黑体" w:hAnsi="黑体" w:eastAsia="黑体"/>
          <w:b w:val="0"/>
        </w:rPr>
      </w:pPr>
      <w:bookmarkStart w:id="86" w:name="_Toc79163873"/>
      <w:bookmarkStart w:id="87" w:name="_Toc15377219"/>
      <w:bookmarkStart w:id="88" w:name="_Toc15396611"/>
      <w:bookmarkStart w:id="89" w:name="_Toc79163623"/>
      <w:r>
        <w:rPr>
          <w:rStyle w:val="24"/>
          <w:rFonts w:hint="eastAsia" w:ascii="黑体" w:hAnsi="黑体" w:eastAsia="黑体"/>
          <w:b w:val="0"/>
        </w:rPr>
        <w:t>国有资本经营预算支出决算情况说明</w:t>
      </w:r>
      <w:bookmarkEnd w:id="86"/>
      <w:bookmarkEnd w:id="87"/>
      <w:bookmarkEnd w:id="88"/>
      <w:bookmarkEnd w:id="8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1年国有资本经营预算拨款支出0万元。</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24"/>
          <w:rFonts w:ascii="黑体" w:hAnsi="黑体" w:eastAsia="黑体"/>
        </w:rPr>
      </w:pPr>
      <w:bookmarkStart w:id="90" w:name="_Toc15396612"/>
      <w:bookmarkStart w:id="91" w:name="_Toc15377221"/>
      <w:bookmarkStart w:id="92" w:name="_Toc79163874"/>
      <w:bookmarkStart w:id="93" w:name="_Toc79163624"/>
      <w:r>
        <w:rPr>
          <w:rFonts w:hint="eastAsia" w:ascii="黑体" w:hAnsi="黑体" w:eastAsia="黑体"/>
          <w:color w:val="000000"/>
          <w:sz w:val="32"/>
          <w:szCs w:val="32"/>
        </w:rPr>
        <w:t>十</w:t>
      </w:r>
      <w:r>
        <w:rPr>
          <w:rStyle w:val="24"/>
          <w:rFonts w:hint="eastAsia" w:ascii="黑体" w:hAnsi="黑体" w:eastAsia="黑体"/>
        </w:rPr>
        <w:t>、</w:t>
      </w:r>
      <w:r>
        <w:rPr>
          <w:rStyle w:val="24"/>
          <w:rFonts w:hint="eastAsia" w:ascii="黑体" w:hAnsi="黑体" w:eastAsia="黑体"/>
          <w:b w:val="0"/>
        </w:rPr>
        <w:t>其他重要事项的情况说明</w:t>
      </w:r>
      <w:bookmarkEnd w:id="90"/>
      <w:bookmarkEnd w:id="91"/>
      <w:bookmarkEnd w:id="92"/>
      <w:bookmarkEnd w:id="93"/>
    </w:p>
    <w:p>
      <w:pPr>
        <w:spacing w:line="600" w:lineRule="exact"/>
        <w:ind w:firstLine="643" w:firstLineChars="200"/>
        <w:outlineLvl w:val="2"/>
        <w:rPr>
          <w:rFonts w:ascii="仿宋" w:hAnsi="仿宋" w:eastAsia="仿宋"/>
          <w:color w:val="000000"/>
          <w:sz w:val="32"/>
          <w:szCs w:val="32"/>
        </w:rPr>
      </w:pPr>
      <w:bookmarkStart w:id="94" w:name="_Toc15377222"/>
      <w:bookmarkStart w:id="95" w:name="_Toc79163625"/>
      <w:bookmarkStart w:id="96" w:name="_Toc79163875"/>
      <w:r>
        <w:rPr>
          <w:rFonts w:hint="eastAsia" w:ascii="仿宋" w:hAnsi="仿宋" w:eastAsia="仿宋"/>
          <w:b/>
          <w:color w:val="000000"/>
          <w:sz w:val="32"/>
          <w:szCs w:val="32"/>
        </w:rPr>
        <w:t>（一）机关运行经费支出情况</w:t>
      </w:r>
      <w:bookmarkEnd w:id="94"/>
      <w:bookmarkEnd w:id="95"/>
      <w:bookmarkEnd w:id="96"/>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1年壤塘县妇幼保健和计生服务中心无机关运行经费。</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7" w:name="_Toc79163876"/>
      <w:bookmarkStart w:id="98" w:name="_Toc15377223"/>
      <w:bookmarkStart w:id="99" w:name="_Toc79163626"/>
      <w:r>
        <w:rPr>
          <w:rFonts w:hint="eastAsia" w:ascii="仿宋" w:hAnsi="仿宋" w:eastAsia="仿宋"/>
          <w:b/>
          <w:color w:val="000000"/>
          <w:sz w:val="32"/>
          <w:szCs w:val="32"/>
        </w:rPr>
        <w:t>（二）政府采购支出情况</w:t>
      </w:r>
      <w:bookmarkEnd w:id="97"/>
      <w:bookmarkEnd w:id="98"/>
      <w:bookmarkEnd w:id="99"/>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1年，壤塘县妇幼保健和计生服务中心政府采购支出总额110.94万元，其中：政府采购货物支出0万元、政府采购工程支出0万元、政府采购服务支出0万元。主要用于医疗设备和污水处理设备的购买。授予中小企业合同金额110.94万元，占政府采购支出总额的100</w:t>
      </w:r>
      <w:r>
        <w:rPr>
          <w:rFonts w:ascii="仿宋_GB2312" w:eastAsia="仿宋_GB2312"/>
          <w:color w:val="000000"/>
          <w:sz w:val="32"/>
          <w:szCs w:val="32"/>
        </w:rPr>
        <w:t>%</w:t>
      </w:r>
      <w:r>
        <w:rPr>
          <w:rFonts w:hint="eastAsia" w:ascii="仿宋_GB2312" w:eastAsia="仿宋_GB2312"/>
          <w:color w:val="000000"/>
          <w:sz w:val="32"/>
          <w:szCs w:val="32"/>
        </w:rPr>
        <w:t>，其中：授予小微企业合同金额0万元，占政府采购支出总额的0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0" w:name="_Toc15377224"/>
      <w:bookmarkStart w:id="101" w:name="_Toc79163627"/>
      <w:bookmarkStart w:id="102" w:name="_Toc79163877"/>
      <w:r>
        <w:rPr>
          <w:rFonts w:hint="eastAsia" w:ascii="仿宋" w:hAnsi="仿宋" w:eastAsia="仿宋"/>
          <w:b/>
          <w:color w:val="000000"/>
          <w:sz w:val="32"/>
          <w:szCs w:val="32"/>
        </w:rPr>
        <w:t>（三）国有资产占有使用情况</w:t>
      </w:r>
      <w:bookmarkEnd w:id="100"/>
      <w:bookmarkEnd w:id="101"/>
      <w:bookmarkEnd w:id="102"/>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w:t>
      </w:r>
      <w:r>
        <w:rPr>
          <w:rFonts w:hint="eastAsia" w:ascii="仿宋_GB2312" w:eastAsia="仿宋_GB2312"/>
          <w:color w:val="000000"/>
          <w:sz w:val="32"/>
          <w:szCs w:val="32"/>
        </w:rPr>
        <w:t>1年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日，壤塘县妇幼保健和计生服务中心共有车辆2辆，其中：主要领导干部用车0辆、机要通信用车0辆、特种专业技术用车1辆、其他用车1辆，其他用车主要是</w:t>
      </w:r>
      <w:r>
        <w:rPr>
          <w:rFonts w:hint="eastAsia" w:ascii="仿宋_GB2312" w:eastAsia="仿宋_GB2312"/>
          <w:sz w:val="32"/>
          <w:szCs w:val="32"/>
        </w:rPr>
        <w:t>用于单位出差、下乡等工作的开展。</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万元以上通用设备0台（套），单价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万元以上专用设备0台（套）。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3" w:name="_Toc79163878"/>
      <w:bookmarkStart w:id="104" w:name="_Toc79163628"/>
      <w:r>
        <w:rPr>
          <w:rFonts w:hint="eastAsia" w:ascii="仿宋" w:hAnsi="仿宋" w:eastAsia="仿宋"/>
          <w:b/>
          <w:color w:val="000000"/>
          <w:sz w:val="32"/>
          <w:szCs w:val="32"/>
        </w:rPr>
        <w:t>（四）预算绩效管理情况。</w:t>
      </w:r>
      <w:bookmarkEnd w:id="103"/>
      <w:bookmarkEnd w:id="104"/>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根据预算绩效管理要求，本单位在年初预算编制阶段，组织对2项目（2021年基本公共卫生服务中央补助(其他基本公共卫生农村妇女两癌监测)、</w:t>
      </w:r>
      <w:r>
        <w:rPr>
          <w:rFonts w:ascii="仿宋_GB2312" w:hAnsi="仿宋_GB2312" w:eastAsia="仿宋_GB2312" w:cs="仿宋_GB2312"/>
          <w:sz w:val="32"/>
          <w:szCs w:val="32"/>
        </w:rPr>
        <w:t>2021年县级计生事业费</w:t>
      </w:r>
      <w:r>
        <w:rPr>
          <w:rFonts w:hint="eastAsia" w:ascii="仿宋_GB2312" w:hAnsi="仿宋_GB2312" w:eastAsia="仿宋_GB2312" w:cs="仿宋_GB2312"/>
          <w:sz w:val="32"/>
          <w:szCs w:val="32"/>
        </w:rPr>
        <w:t>开展了预算事前绩效评估，对2个项目编制了绩效目标，预算执行过程中，选取2个项目开展绩效监控，年终执行完毕后，对2个项目开展了绩效目标完成情况自评。</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本单位按要求对</w:t>
      </w:r>
      <w:r>
        <w:rPr>
          <w:rFonts w:ascii="仿宋_GB2312" w:hAnsi="仿宋_GB2312" w:eastAsia="仿宋_GB2312" w:cs="仿宋_GB2312"/>
          <w:sz w:val="32"/>
          <w:szCs w:val="32"/>
        </w:rPr>
        <w:t>202</w:t>
      </w:r>
      <w:r>
        <w:rPr>
          <w:rFonts w:hint="eastAsia" w:ascii="仿宋_GB2312" w:hAnsi="仿宋_GB2312" w:eastAsia="仿宋_GB2312" w:cs="仿宋_GB2312"/>
          <w:sz w:val="32"/>
          <w:szCs w:val="32"/>
        </w:rPr>
        <w:t>1年部门整体支出开展绩效自评，从评价情况来看</w:t>
      </w:r>
      <w:r>
        <w:rPr>
          <w:rFonts w:ascii="仿宋_GB2312" w:hAnsi="仿宋_GB2312" w:eastAsia="仿宋_GB2312" w:cs="仿宋_GB2312"/>
          <w:sz w:val="32"/>
          <w:szCs w:val="32"/>
        </w:rPr>
        <w:t>我</w:t>
      </w:r>
      <w:r>
        <w:rPr>
          <w:rFonts w:hint="eastAsia" w:ascii="仿宋" w:hAnsi="仿宋" w:eastAsia="仿宋" w:cs="仿宋_GB2312"/>
          <w:sz w:val="32"/>
          <w:szCs w:val="32"/>
        </w:rPr>
        <w:t>单位整体支出绩效评价自查自评结果</w:t>
      </w:r>
      <w:r>
        <w:rPr>
          <w:rFonts w:ascii="仿宋" w:hAnsi="仿宋" w:eastAsia="仿宋" w:cs="仿宋_GB2312"/>
          <w:sz w:val="32"/>
          <w:szCs w:val="32"/>
        </w:rPr>
        <w:t>较好</w:t>
      </w:r>
      <w:r>
        <w:rPr>
          <w:rFonts w:hint="eastAsia" w:ascii="仿宋" w:hAnsi="仿宋" w:eastAsia="仿宋" w:cs="仿宋_GB2312"/>
          <w:sz w:val="32"/>
          <w:szCs w:val="32"/>
        </w:rPr>
        <w:t>，全年基本支出保证了</w:t>
      </w:r>
      <w:r>
        <w:rPr>
          <w:rFonts w:ascii="仿宋" w:hAnsi="仿宋" w:eastAsia="仿宋" w:cs="仿宋_GB2312"/>
          <w:sz w:val="32"/>
          <w:szCs w:val="32"/>
        </w:rPr>
        <w:t>单位</w:t>
      </w:r>
      <w:r>
        <w:rPr>
          <w:rFonts w:hint="eastAsia" w:ascii="仿宋" w:hAnsi="仿宋" w:eastAsia="仿宋" w:cs="仿宋_GB2312"/>
          <w:sz w:val="32"/>
          <w:szCs w:val="32"/>
        </w:rPr>
        <w:t>的正常运行和日常工作的正常开展，项目支出保障了重点工作的开展</w:t>
      </w:r>
      <w:r>
        <w:rPr>
          <w:rFonts w:ascii="仿宋" w:hAnsi="仿宋" w:eastAsia="仿宋" w:cs="仿宋_GB2312"/>
          <w:sz w:val="32"/>
          <w:szCs w:val="32"/>
        </w:rPr>
        <w:t>。</w:t>
      </w:r>
      <w:r>
        <w:rPr>
          <w:rFonts w:hint="eastAsia" w:ascii="仿宋_GB2312" w:hAnsi="仿宋_GB2312" w:eastAsia="仿宋_GB2312" w:cs="仿宋_GB2312"/>
          <w:sz w:val="32"/>
          <w:szCs w:val="32"/>
        </w:rPr>
        <w:t>本部门还自行组织了2个项目支出绩效评价，其开展情况如下：</w:t>
      </w:r>
    </w:p>
    <w:p>
      <w:pPr>
        <w:spacing w:line="580" w:lineRule="exact"/>
        <w:ind w:firstLine="640" w:firstLineChars="200"/>
        <w:rPr>
          <w:rFonts w:ascii="楷体_GB2312" w:hAnsi="楷体_GB2312" w:eastAsia="楷体_GB2312" w:cs="楷体_GB2312"/>
          <w:sz w:val="32"/>
          <w:szCs w:val="32"/>
        </w:rPr>
      </w:pPr>
      <w:r>
        <w:rPr>
          <w:rFonts w:ascii="楷体_GB2312" w:hAnsi="楷体_GB2312" w:eastAsia="楷体_GB2312" w:cs="楷体_GB2312"/>
          <w:sz w:val="32"/>
          <w:szCs w:val="32"/>
        </w:rPr>
        <w:t>1.</w:t>
      </w:r>
      <w:r>
        <w:rPr>
          <w:rFonts w:hint="eastAsia" w:ascii="楷体_GB2312" w:hAnsi="楷体_GB2312" w:eastAsia="楷体_GB2312" w:cs="楷体_GB2312"/>
          <w:sz w:val="32"/>
          <w:szCs w:val="32"/>
        </w:rPr>
        <w:t>项目绩效目标完成情况。</w:t>
      </w:r>
    </w:p>
    <w:p>
      <w:pPr>
        <w:spacing w:line="58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本部门在</w:t>
      </w:r>
      <w:r>
        <w:rPr>
          <w:rFonts w:ascii="仿宋_GB2312" w:hAnsi="仿宋_GB2312" w:eastAsia="仿宋_GB2312" w:cs="仿宋_GB2312"/>
          <w:sz w:val="32"/>
          <w:szCs w:val="32"/>
        </w:rPr>
        <w:t>202</w:t>
      </w:r>
      <w:r>
        <w:rPr>
          <w:rFonts w:hint="eastAsia" w:ascii="仿宋_GB2312" w:hAnsi="仿宋_GB2312" w:eastAsia="仿宋_GB2312" w:cs="仿宋_GB2312"/>
          <w:sz w:val="32"/>
          <w:szCs w:val="32"/>
        </w:rPr>
        <w:t>1年度部门决算中反映“2021年基本公共卫生服务中央补助农村妇女两癌监测</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2021年县级计生事业费”</w:t>
      </w:r>
      <w:r>
        <w:rPr>
          <w:rFonts w:hint="eastAsia" w:ascii="仿宋_GB2312" w:hAnsi="仿宋_GB2312" w:eastAsia="仿宋_GB2312" w:cs="仿宋_GB2312"/>
          <w:sz w:val="32"/>
          <w:szCs w:val="32"/>
        </w:rPr>
        <w:t>等2个项目绩效目标实际完成情况。</w:t>
      </w:r>
    </w:p>
    <w:p>
      <w:pPr>
        <w:ind w:firstLine="640" w:firstLineChars="200"/>
        <w:rPr>
          <w:rFonts w:ascii="仿宋" w:hAnsi="仿宋" w:eastAsia="仿宋" w:cs="仿宋"/>
          <w:color w:val="000000"/>
          <w:kern w:val="0"/>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）2021年基本公共卫生服务中央补助农村妇女两癌监测项目绩效目标完成情况综述。项目全年预算数6.4万元，执行数为6.36万元，完成预算的99.37</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w:t>
      </w:r>
      <w:r>
        <w:rPr>
          <w:rFonts w:hint="eastAsia" w:ascii="仿宋" w:hAnsi="仿宋" w:eastAsia="仿宋" w:cs="仿宋"/>
          <w:color w:val="000000"/>
          <w:kern w:val="0"/>
          <w:sz w:val="32"/>
          <w:szCs w:val="32"/>
        </w:rPr>
        <w:t>提高宫颈癌和乳腺癌的早发现、早诊断、早治疗率，从而达到关爱妇女健康、减轻农牧民经济负担的效果</w:t>
      </w:r>
      <w:r>
        <w:rPr>
          <w:rFonts w:hint="eastAsia" w:ascii="仿宋_GB2312" w:hAnsi="仿宋_GB2312" w:eastAsia="仿宋_GB2312" w:cs="仿宋_GB2312"/>
          <w:sz w:val="32"/>
          <w:szCs w:val="32"/>
        </w:rPr>
        <w:t>。发现的主要问题：一是</w:t>
      </w:r>
      <w:r>
        <w:rPr>
          <w:rFonts w:hint="eastAsia" w:ascii="仿宋" w:hAnsi="仿宋" w:eastAsia="仿宋" w:cs="仿宋"/>
          <w:color w:val="000000"/>
          <w:kern w:val="0"/>
          <w:sz w:val="32"/>
          <w:szCs w:val="32"/>
        </w:rPr>
        <w:t>我县地广人稀，农牧民自我保健意识低，因此宫颈癌和乳腺癌筛查参与度不高；二是存在个别妇女重复筛查情况。</w:t>
      </w:r>
      <w:r>
        <w:rPr>
          <w:rFonts w:hint="eastAsia" w:ascii="仿宋_GB2312" w:hAnsi="仿宋_GB2312" w:eastAsia="仿宋_GB2312" w:cs="仿宋_GB2312"/>
          <w:sz w:val="32"/>
          <w:szCs w:val="32"/>
        </w:rPr>
        <w:t>下一步改进措施：</w:t>
      </w:r>
      <w:r>
        <w:rPr>
          <w:rFonts w:hint="eastAsia" w:ascii="仿宋" w:hAnsi="仿宋" w:eastAsia="仿宋" w:cs="仿宋"/>
          <w:color w:val="000000"/>
          <w:kern w:val="0"/>
          <w:sz w:val="32"/>
          <w:szCs w:val="32"/>
        </w:rPr>
        <w:t>一是要强化宣传力度，提高群众知晓率和参与率；二是完善筛查信息系统检查，力争配备筛查系统，用以备查及查重。</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2021年县级计生事业费</w:t>
      </w:r>
      <w:r>
        <w:rPr>
          <w:rFonts w:hint="eastAsia" w:ascii="仿宋_GB2312" w:hAnsi="仿宋_GB2312" w:eastAsia="仿宋_GB2312" w:cs="仿宋_GB2312"/>
          <w:sz w:val="32"/>
          <w:szCs w:val="32"/>
        </w:rPr>
        <w:t>项目绩效目标完成情况综述。项目全年预算数8.31万元，执行数为8.3万元，完成预算的99.87</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w:t>
      </w:r>
      <w:r>
        <w:rPr>
          <w:rFonts w:hint="eastAsia" w:ascii="仿宋" w:hAnsi="仿宋" w:eastAsia="仿宋" w:cs="仿宋"/>
          <w:color w:val="000000"/>
          <w:kern w:val="0"/>
          <w:sz w:val="32"/>
          <w:szCs w:val="32"/>
        </w:rPr>
        <w:t>降低了非计划外生育，保护了女性健康和生育能力。</w:t>
      </w:r>
      <w:r>
        <w:rPr>
          <w:rFonts w:hint="eastAsia" w:ascii="仿宋_GB2312" w:hAnsi="仿宋_GB2312" w:eastAsia="仿宋_GB2312" w:cs="仿宋_GB2312"/>
          <w:sz w:val="32"/>
          <w:szCs w:val="32"/>
        </w:rPr>
        <w:t>发现的主要问题：项目的</w:t>
      </w:r>
      <w:r>
        <w:rPr>
          <w:rFonts w:hint="eastAsia" w:ascii="仿宋" w:hAnsi="仿宋" w:eastAsia="仿宋" w:cs="仿宋"/>
          <w:bCs/>
          <w:sz w:val="32"/>
          <w:szCs w:val="32"/>
        </w:rPr>
        <w:t>宣传力度不够</w:t>
      </w:r>
      <w:r>
        <w:rPr>
          <w:rFonts w:hint="eastAsia" w:ascii="仿宋_GB2312" w:hAnsi="仿宋_GB2312" w:eastAsia="仿宋_GB2312" w:cs="仿宋_GB2312"/>
          <w:sz w:val="32"/>
          <w:szCs w:val="32"/>
        </w:rPr>
        <w:t>。下一步改进措施：利用各种渠道</w:t>
      </w:r>
      <w:r>
        <w:rPr>
          <w:rFonts w:hint="eastAsia" w:ascii="仿宋" w:hAnsi="仿宋" w:eastAsia="仿宋" w:cs="仿宋"/>
          <w:bCs/>
          <w:sz w:val="32"/>
          <w:szCs w:val="32"/>
        </w:rPr>
        <w:t>加大宣传力度。</w:t>
      </w:r>
    </w:p>
    <w:tbl>
      <w:tblPr>
        <w:tblStyle w:val="18"/>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779"/>
        <w:gridCol w:w="978"/>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b/>
                <w:bCs/>
                <w:color w:val="000000"/>
                <w:kern w:val="0"/>
                <w:sz w:val="36"/>
                <w:szCs w:val="36"/>
              </w:rPr>
            </w:pPr>
            <w:r>
              <w:rPr>
                <w:rFonts w:hint="eastAsia" w:ascii="宋体" w:hAns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hAnsi="宋体" w:cs="宋体"/>
                <w:color w:val="000000"/>
                <w:kern w:val="0"/>
                <w:sz w:val="36"/>
                <w:szCs w:val="36"/>
              </w:rPr>
              <w:t>(202</w:t>
            </w:r>
            <w:r>
              <w:rPr>
                <w:rFonts w:hint="eastAsia" w:ascii="宋体" w:hAnsi="宋体" w:cs="宋体"/>
                <w:color w:val="000000"/>
                <w:kern w:val="0"/>
                <w:sz w:val="36"/>
                <w:szCs w:val="36"/>
              </w:rPr>
              <w:t>1年度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hAnsi="仿宋_GB2312" w:eastAsia="仿宋_GB2312" w:cs="仿宋_GB2312"/>
                <w:sz w:val="32"/>
                <w:szCs w:val="32"/>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hAnsi="仿宋_GB2312" w:eastAsia="仿宋_GB2312" w:cs="仿宋_GB2312"/>
                <w:sz w:val="28"/>
                <w:szCs w:val="28"/>
              </w:rPr>
              <w:t>2021年基本公共卫生服务中央补助农村妇女两癌监测项目</w:t>
            </w:r>
          </w:p>
        </w:tc>
      </w:tr>
      <w:tr>
        <w:tblPrEx>
          <w:tblCellMar>
            <w:top w:w="0" w:type="dxa"/>
            <w:left w:w="0" w:type="dxa"/>
            <w:bottom w:w="0" w:type="dxa"/>
            <w:right w:w="0" w:type="dxa"/>
          </w:tblCellMar>
        </w:tblPrEx>
        <w:trPr>
          <w:trHeight w:val="575"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壤塘县妇幼保健和计生服务中心</w:t>
            </w:r>
          </w:p>
        </w:tc>
      </w:tr>
      <w:tr>
        <w:tblPrEx>
          <w:tblCellMar>
            <w:top w:w="0" w:type="dxa"/>
            <w:left w:w="0" w:type="dxa"/>
            <w:bottom w:w="0" w:type="dxa"/>
            <w:right w:w="0" w:type="dxa"/>
          </w:tblCellMar>
        </w:tblPrEx>
        <w:trPr>
          <w:trHeight w:val="276" w:hRule="atLeast"/>
          <w:jc w:val="center"/>
        </w:trPr>
        <w:tc>
          <w:tcPr>
            <w:tcW w:w="77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00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6.4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6.36</w:t>
            </w:r>
          </w:p>
        </w:tc>
      </w:tr>
      <w:tr>
        <w:tblPrEx>
          <w:tblCellMar>
            <w:top w:w="0" w:type="dxa"/>
            <w:left w:w="0" w:type="dxa"/>
            <w:bottom w:w="0" w:type="dxa"/>
            <w:right w:w="0" w:type="dxa"/>
          </w:tblCellMar>
        </w:tblPrEx>
        <w:trPr>
          <w:trHeight w:val="558" w:hRule="atLeast"/>
          <w:jc w:val="center"/>
        </w:trPr>
        <w:tc>
          <w:tcPr>
            <w:tcW w:w="77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00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6.4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6.36</w:t>
            </w:r>
          </w:p>
        </w:tc>
      </w:tr>
      <w:tr>
        <w:tblPrEx>
          <w:tblCellMar>
            <w:top w:w="0" w:type="dxa"/>
            <w:left w:w="0" w:type="dxa"/>
            <w:bottom w:w="0" w:type="dxa"/>
            <w:right w:w="0" w:type="dxa"/>
          </w:tblCellMar>
        </w:tblPrEx>
        <w:trPr>
          <w:trHeight w:val="499" w:hRule="atLeast"/>
          <w:jc w:val="center"/>
        </w:trPr>
        <w:tc>
          <w:tcPr>
            <w:tcW w:w="77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00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auto"/>
                <w:kern w:val="0"/>
                <w:sz w:val="24"/>
                <w:lang w:eastAsia="zh-CN"/>
              </w:rPr>
              <w:t>其他</w:t>
            </w:r>
            <w:r>
              <w:rPr>
                <w:rFonts w:hint="eastAsia" w:ascii="宋体" w:hAnsi="宋体" w:cs="宋体"/>
                <w:color w:val="000000"/>
                <w:kern w:val="0"/>
                <w:sz w:val="24"/>
              </w:rPr>
              <w:t>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auto"/>
                <w:kern w:val="0"/>
                <w:sz w:val="24"/>
                <w:lang w:eastAsia="zh-CN"/>
              </w:rPr>
              <w:t>其他</w:t>
            </w:r>
            <w:r>
              <w:rPr>
                <w:rFonts w:hint="eastAsia" w:ascii="宋体" w:hAnsi="宋体" w:cs="宋体"/>
                <w:color w:val="auto"/>
                <w:kern w:val="0"/>
                <w:sz w:val="24"/>
              </w:rPr>
              <w:t>资</w:t>
            </w:r>
            <w:r>
              <w:rPr>
                <w:rFonts w:hint="eastAsia" w:ascii="宋体" w:hAnsi="宋体" w:cs="宋体"/>
                <w:color w:val="000000"/>
                <w:kern w:val="0"/>
                <w:sz w:val="24"/>
              </w:rPr>
              <w:t>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0</w:t>
            </w:r>
          </w:p>
        </w:tc>
      </w:tr>
      <w:tr>
        <w:tblPrEx>
          <w:tblCellMar>
            <w:top w:w="0" w:type="dxa"/>
            <w:left w:w="0" w:type="dxa"/>
            <w:bottom w:w="0" w:type="dxa"/>
            <w:right w:w="0" w:type="dxa"/>
          </w:tblCellMar>
        </w:tblPrEx>
        <w:trPr>
          <w:trHeight w:val="276" w:hRule="atLeast"/>
          <w:jc w:val="center"/>
        </w:trPr>
        <w:tc>
          <w:tcPr>
            <w:tcW w:w="77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39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77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39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2021年乳腺癌筛查人数：500人；</w:t>
            </w:r>
          </w:p>
          <w:p>
            <w:pPr>
              <w:widowControl/>
              <w:jc w:val="center"/>
              <w:textAlignment w:val="center"/>
              <w:rPr>
                <w:rFonts w:ascii="宋体" w:cs="宋体"/>
                <w:color w:val="000000"/>
                <w:sz w:val="24"/>
              </w:rPr>
            </w:pPr>
            <w:r>
              <w:rPr>
                <w:rFonts w:hint="eastAsia" w:ascii="宋体" w:cs="宋体"/>
                <w:color w:val="000000"/>
                <w:sz w:val="24"/>
              </w:rPr>
              <w:t>2021年宫颈癌筛查人数：500人。</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到年底超额完成年初预定目标数，其中：乳腺癌筛查532人，宫颈癌筛查完成503人。</w:t>
            </w:r>
          </w:p>
        </w:tc>
      </w:tr>
      <w:tr>
        <w:tblPrEx>
          <w:tblCellMar>
            <w:top w:w="0" w:type="dxa"/>
            <w:left w:w="0" w:type="dxa"/>
            <w:bottom w:w="0" w:type="dxa"/>
            <w:right w:w="0" w:type="dxa"/>
          </w:tblCellMar>
        </w:tblPrEx>
        <w:trPr>
          <w:trHeight w:val="1042" w:hRule="atLeast"/>
          <w:jc w:val="center"/>
        </w:trPr>
        <w:tc>
          <w:tcPr>
            <w:tcW w:w="779"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9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953" w:hRule="atLeast"/>
          <w:jc w:val="center"/>
        </w:trPr>
        <w:tc>
          <w:tcPr>
            <w:tcW w:w="779"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9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2021年乳腺癌筛查人数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500人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532人</w:t>
            </w:r>
          </w:p>
        </w:tc>
      </w:tr>
      <w:tr>
        <w:tblPrEx>
          <w:tblCellMar>
            <w:top w:w="0" w:type="dxa"/>
            <w:left w:w="0" w:type="dxa"/>
            <w:bottom w:w="0" w:type="dxa"/>
            <w:right w:w="0" w:type="dxa"/>
          </w:tblCellMar>
        </w:tblPrEx>
        <w:trPr>
          <w:trHeight w:val="1297" w:hRule="atLeast"/>
          <w:jc w:val="center"/>
        </w:trPr>
        <w:tc>
          <w:tcPr>
            <w:tcW w:w="779"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9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2021年宫颈癌筛查人数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500人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503人</w:t>
            </w:r>
          </w:p>
        </w:tc>
      </w:tr>
      <w:tr>
        <w:tblPrEx>
          <w:tblCellMar>
            <w:top w:w="0" w:type="dxa"/>
            <w:left w:w="0" w:type="dxa"/>
            <w:bottom w:w="0" w:type="dxa"/>
            <w:right w:w="0" w:type="dxa"/>
          </w:tblCellMar>
        </w:tblPrEx>
        <w:trPr>
          <w:trHeight w:val="1042" w:hRule="atLeast"/>
          <w:jc w:val="center"/>
        </w:trPr>
        <w:tc>
          <w:tcPr>
            <w:tcW w:w="779"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9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签署“乳腺癌、宫颈癌”知情同意书签署率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r>
      <w:tr>
        <w:tblPrEx>
          <w:tblCellMar>
            <w:top w:w="0" w:type="dxa"/>
            <w:left w:w="0" w:type="dxa"/>
            <w:bottom w:w="0" w:type="dxa"/>
            <w:right w:w="0" w:type="dxa"/>
          </w:tblCellMar>
        </w:tblPrEx>
        <w:trPr>
          <w:trHeight w:val="1042" w:hRule="atLeast"/>
          <w:jc w:val="center"/>
        </w:trPr>
        <w:tc>
          <w:tcPr>
            <w:tcW w:w="779"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9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“乳腺癌、宫颈癌”筛查技术规范合格率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r>
      <w:tr>
        <w:tblPrEx>
          <w:tblCellMar>
            <w:top w:w="0" w:type="dxa"/>
            <w:left w:w="0" w:type="dxa"/>
            <w:bottom w:w="0" w:type="dxa"/>
            <w:right w:w="0" w:type="dxa"/>
          </w:tblCellMar>
        </w:tblPrEx>
        <w:trPr>
          <w:trHeight w:val="1042" w:hRule="atLeast"/>
          <w:jc w:val="center"/>
        </w:trPr>
        <w:tc>
          <w:tcPr>
            <w:tcW w:w="779"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9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“乳腺癌、宫颈癌”筛查开展时限</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2021年全年开展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2021年全年开展</w:t>
            </w:r>
          </w:p>
        </w:tc>
      </w:tr>
      <w:tr>
        <w:tblPrEx>
          <w:tblCellMar>
            <w:top w:w="0" w:type="dxa"/>
            <w:left w:w="0" w:type="dxa"/>
            <w:bottom w:w="0" w:type="dxa"/>
            <w:right w:w="0" w:type="dxa"/>
          </w:tblCellMar>
        </w:tblPrEx>
        <w:trPr>
          <w:trHeight w:val="1042" w:hRule="atLeast"/>
          <w:jc w:val="center"/>
        </w:trPr>
        <w:tc>
          <w:tcPr>
            <w:tcW w:w="779"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9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经济效益</w:t>
            </w:r>
          </w:p>
          <w:p>
            <w:pPr>
              <w:widowControl/>
              <w:jc w:val="center"/>
              <w:textAlignment w:val="center"/>
              <w:rPr>
                <w:rFonts w:ascii="宋体" w:cs="宋体"/>
                <w:color w:val="000000"/>
                <w:sz w:val="24"/>
              </w:rPr>
            </w:pPr>
            <w:r>
              <w:rPr>
                <w:rFonts w:hint="eastAsia" w:asci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免费对农村妇女进行“乳腺癌、宫颈癌”疾病的早发现、早诊断、早治疗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减轻农牧民的经济负担</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减轻农牧民的经济负担</w:t>
            </w:r>
          </w:p>
        </w:tc>
      </w:tr>
      <w:tr>
        <w:tblPrEx>
          <w:tblCellMar>
            <w:top w:w="0" w:type="dxa"/>
            <w:left w:w="0" w:type="dxa"/>
            <w:bottom w:w="0" w:type="dxa"/>
            <w:right w:w="0" w:type="dxa"/>
          </w:tblCellMar>
        </w:tblPrEx>
        <w:trPr>
          <w:trHeight w:val="1042" w:hRule="atLeast"/>
          <w:jc w:val="center"/>
        </w:trPr>
        <w:tc>
          <w:tcPr>
            <w:tcW w:w="779"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9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社会效益</w:t>
            </w:r>
          </w:p>
          <w:p>
            <w:pPr>
              <w:widowControl/>
              <w:jc w:val="center"/>
              <w:textAlignment w:val="center"/>
              <w:rPr>
                <w:rFonts w:ascii="宋体" w:cs="宋体"/>
                <w:color w:val="000000"/>
                <w:sz w:val="24"/>
              </w:rPr>
            </w:pPr>
            <w:r>
              <w:rPr>
                <w:rFonts w:hint="eastAsia" w:asci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免费对农村妇女进行宫颈癌和乳腺癌筛查</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做到早发现、早诊断、早治疗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做到早发现、早诊断、早治疗</w:t>
            </w:r>
          </w:p>
        </w:tc>
      </w:tr>
      <w:tr>
        <w:tblPrEx>
          <w:tblCellMar>
            <w:top w:w="0" w:type="dxa"/>
            <w:left w:w="0" w:type="dxa"/>
            <w:bottom w:w="0" w:type="dxa"/>
            <w:right w:w="0" w:type="dxa"/>
          </w:tblCellMar>
        </w:tblPrEx>
        <w:trPr>
          <w:trHeight w:val="1297" w:hRule="atLeast"/>
          <w:jc w:val="center"/>
        </w:trPr>
        <w:tc>
          <w:tcPr>
            <w:tcW w:w="779"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9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服务对象</w:t>
            </w:r>
          </w:p>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农牧民对“乳腺癌、宫颈癌”筛查满意度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r>
    </w:tbl>
    <w:p>
      <w:pPr>
        <w:spacing w:line="580" w:lineRule="exact"/>
        <w:rPr>
          <w:rFonts w:ascii="仿宋_GB2312" w:hAnsi="仿宋_GB2312" w:eastAsia="仿宋_GB2312" w:cs="仿宋_GB2312"/>
          <w:sz w:val="32"/>
          <w:szCs w:val="32"/>
        </w:rPr>
      </w:pPr>
    </w:p>
    <w:tbl>
      <w:tblPr>
        <w:tblStyle w:val="18"/>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b/>
                <w:bCs/>
                <w:color w:val="000000"/>
                <w:kern w:val="0"/>
                <w:sz w:val="36"/>
                <w:szCs w:val="36"/>
              </w:rPr>
            </w:pPr>
            <w:r>
              <w:rPr>
                <w:rFonts w:hint="eastAsia" w:ascii="宋体" w:hAns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hAnsi="宋体" w:cs="宋体"/>
                <w:color w:val="000000"/>
                <w:kern w:val="0"/>
                <w:sz w:val="36"/>
                <w:szCs w:val="36"/>
              </w:rPr>
              <w:t>(202</w:t>
            </w:r>
            <w:r>
              <w:rPr>
                <w:rFonts w:hint="eastAsia" w:ascii="宋体" w:hAnsi="宋体" w:cs="宋体"/>
                <w:color w:val="000000"/>
                <w:kern w:val="0"/>
                <w:sz w:val="36"/>
                <w:szCs w:val="36"/>
              </w:rPr>
              <w:t>1年度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仿宋_GB2312" w:hAnsi="仿宋_GB2312" w:eastAsia="仿宋_GB2312" w:cs="仿宋_GB2312"/>
                <w:sz w:val="32"/>
                <w:szCs w:val="32"/>
              </w:rPr>
              <w:t>2021年县级计生事业费</w:t>
            </w:r>
            <w:r>
              <w:rPr>
                <w:rFonts w:hint="eastAsia" w:ascii="仿宋_GB2312" w:hAnsi="仿宋_GB2312" w:eastAsia="仿宋_GB2312" w:cs="仿宋_GB2312"/>
                <w:sz w:val="32"/>
                <w:szCs w:val="32"/>
              </w:rPr>
              <w:t>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壤塘县妇幼保健和计生服务</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8.31</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8.3</w:t>
            </w:r>
          </w:p>
        </w:tc>
      </w:tr>
      <w:tr>
        <w:tblPrEx>
          <w:tblCellMar>
            <w:top w:w="0" w:type="dxa"/>
            <w:left w:w="0" w:type="dxa"/>
            <w:bottom w:w="0" w:type="dxa"/>
            <w:right w:w="0" w:type="dxa"/>
          </w:tblCellMar>
        </w:tblPrEx>
        <w:trPr>
          <w:trHeight w:val="1107"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8.31</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8.3</w:t>
            </w:r>
          </w:p>
        </w:tc>
      </w:tr>
      <w:tr>
        <w:tblPrEx>
          <w:tblCellMar>
            <w:top w:w="0" w:type="dxa"/>
            <w:left w:w="0" w:type="dxa"/>
            <w:bottom w:w="0" w:type="dxa"/>
            <w:right w:w="0" w:type="dxa"/>
          </w:tblCellMar>
        </w:tblPrEx>
        <w:trPr>
          <w:trHeight w:val="768"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highlight w:val="none"/>
                <w:lang w:eastAsia="zh-CN"/>
              </w:rPr>
              <w:t>其他</w:t>
            </w:r>
            <w:r>
              <w:rPr>
                <w:rFonts w:hint="eastAsia" w:ascii="宋体" w:hAnsi="宋体" w:cs="宋体"/>
                <w:color w:val="000000"/>
                <w:kern w:val="0"/>
                <w:sz w:val="24"/>
              </w:rPr>
              <w:t>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w:t>
            </w:r>
            <w:r>
              <w:rPr>
                <w:rFonts w:hint="eastAsia" w:ascii="宋体" w:hAnsi="宋体" w:cs="宋体"/>
                <w:color w:val="000000"/>
                <w:kern w:val="0"/>
                <w:sz w:val="24"/>
                <w:lang w:eastAsia="zh-CN"/>
              </w:rPr>
              <w:t>他</w:t>
            </w:r>
            <w:r>
              <w:rPr>
                <w:rFonts w:hint="eastAsia" w:ascii="宋体" w:hAnsi="宋体" w:cs="宋体"/>
                <w:color w:val="000000"/>
                <w:kern w:val="0"/>
                <w:sz w:val="24"/>
              </w:rPr>
              <w:t>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1.维护各乡镇避孕药具发放机；2.对全县各乡镇开展避孕药具督导工作；3.购买避孕药具发放机；4.开展避孕药具管理培训工作；6.制作并发放避孕药具宣传资料等。</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各乡镇发放机维护工作；对全县各乡镇开展避孕药具督导工作；购买避孕药具发放机1台；开展避孕药具管理培训等工作已完成。</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对全县各乡镇开展避孕药具督导工作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4次</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4次</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24"/>
              </w:rPr>
            </w:pPr>
            <w:r>
              <w:rPr>
                <w:rFonts w:hint="eastAsia" w:ascii="宋体" w:cs="宋体"/>
                <w:color w:val="000000"/>
                <w:sz w:val="24"/>
              </w:rPr>
              <w:t>2021年购买避孕药具发放机台数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1台</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开展避孕药具管理培训工作，加强各乡镇避孕药具药具管理人员对避孕药具工作规范化管理率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发放宣传资料、宣传品，提高群众对避孕药具的知晓率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85%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90%</w:t>
            </w:r>
          </w:p>
        </w:tc>
      </w:tr>
      <w:tr>
        <w:tblPrEx>
          <w:tblCellMar>
            <w:top w:w="0" w:type="dxa"/>
            <w:left w:w="0" w:type="dxa"/>
            <w:bottom w:w="0" w:type="dxa"/>
            <w:right w:w="0" w:type="dxa"/>
          </w:tblCellMar>
        </w:tblPrEx>
        <w:trPr>
          <w:trHeight w:val="77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避孕药具发放率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240" w:firstLineChars="100"/>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开展避孕药具发放机故障抢修、避孕药具的发放等工作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2021年全年开展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2021年全年开展</w:t>
            </w:r>
          </w:p>
        </w:tc>
      </w:tr>
      <w:tr>
        <w:tblPrEx>
          <w:tblCellMar>
            <w:top w:w="0" w:type="dxa"/>
            <w:left w:w="0" w:type="dxa"/>
            <w:bottom w:w="0" w:type="dxa"/>
            <w:right w:w="0" w:type="dxa"/>
          </w:tblCellMar>
        </w:tblPrEx>
        <w:trPr>
          <w:trHeight w:val="92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经济效益</w:t>
            </w:r>
          </w:p>
          <w:p>
            <w:pPr>
              <w:widowControl/>
              <w:jc w:val="center"/>
              <w:textAlignment w:val="center"/>
              <w:rPr>
                <w:rFonts w:ascii="宋体" w:cs="宋体"/>
                <w:color w:val="000000"/>
                <w:sz w:val="24"/>
              </w:rPr>
            </w:pPr>
            <w:r>
              <w:rPr>
                <w:rFonts w:hint="eastAsia" w:asci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免费对群众发放避孕药具</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对群众减轻经济负担</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对群众减轻经济负担</w:t>
            </w:r>
          </w:p>
        </w:tc>
      </w:tr>
      <w:tr>
        <w:tblPrEx>
          <w:tblCellMar>
            <w:top w:w="0" w:type="dxa"/>
            <w:left w:w="0" w:type="dxa"/>
            <w:bottom w:w="0" w:type="dxa"/>
            <w:right w:w="0" w:type="dxa"/>
          </w:tblCellMar>
        </w:tblPrEx>
        <w:trPr>
          <w:trHeight w:val="1128"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社会效益</w:t>
            </w:r>
          </w:p>
          <w:p>
            <w:pPr>
              <w:widowControl/>
              <w:jc w:val="center"/>
              <w:textAlignment w:val="center"/>
              <w:rPr>
                <w:rFonts w:ascii="宋体" w:cs="宋体"/>
                <w:color w:val="000000"/>
                <w:sz w:val="24"/>
              </w:rPr>
            </w:pPr>
            <w:r>
              <w:rPr>
                <w:rFonts w:hint="eastAsia" w:asci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免费发放避孕药具，保护女性健康和生育能力</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降低非计划外生育</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降低非计划外生育</w:t>
            </w:r>
          </w:p>
        </w:tc>
      </w:tr>
      <w:tr>
        <w:tblPrEx>
          <w:tblCellMar>
            <w:top w:w="0" w:type="dxa"/>
            <w:left w:w="0" w:type="dxa"/>
            <w:bottom w:w="0" w:type="dxa"/>
            <w:right w:w="0" w:type="dxa"/>
          </w:tblCellMar>
        </w:tblPrEx>
        <w:trPr>
          <w:trHeight w:val="914"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服务对象</w:t>
            </w:r>
          </w:p>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r>
    </w:tbl>
    <w:p>
      <w:pPr>
        <w:spacing w:line="580" w:lineRule="exact"/>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w:t>
      </w:r>
      <w:r>
        <w:rPr>
          <w:rFonts w:hint="eastAsia" w:ascii="仿宋_GB2312" w:hAnsi="仿宋_GB2312" w:eastAsia="仿宋_GB2312" w:cs="仿宋_GB2312"/>
          <w:sz w:val="32"/>
          <w:szCs w:val="32"/>
        </w:rPr>
        <w:t>1年部门整体支出绩效评价情况开展自评，《壤塘县妇幼保健和计生服务</w:t>
      </w:r>
      <w:r>
        <w:rPr>
          <w:rFonts w:ascii="仿宋_GB2312" w:hAnsi="仿宋_GB2312" w:eastAsia="仿宋_GB2312" w:cs="仿宋_GB2312"/>
          <w:sz w:val="32"/>
          <w:szCs w:val="32"/>
        </w:rPr>
        <w:t>202</w:t>
      </w:r>
      <w:r>
        <w:rPr>
          <w:rFonts w:hint="eastAsia" w:ascii="仿宋_GB2312" w:hAnsi="仿宋_GB2312" w:eastAsia="仿宋_GB2312" w:cs="仿宋_GB2312"/>
          <w:sz w:val="32"/>
          <w:szCs w:val="32"/>
        </w:rPr>
        <w:t>1年部门整体支出绩效评价报告》见附件（附件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本部门自行组织对2021年基本公共卫生服务中央补助农村妇女两癌监测项目、</w:t>
      </w:r>
      <w:r>
        <w:rPr>
          <w:rFonts w:ascii="仿宋_GB2312" w:hAnsi="仿宋_GB2312" w:eastAsia="仿宋_GB2312" w:cs="仿宋_GB2312"/>
          <w:sz w:val="32"/>
          <w:szCs w:val="32"/>
        </w:rPr>
        <w:t>2021年县级计生事业费</w:t>
      </w:r>
      <w:r>
        <w:rPr>
          <w:rFonts w:hint="eastAsia" w:ascii="仿宋_GB2312" w:hAnsi="仿宋_GB2312" w:eastAsia="仿宋_GB2312" w:cs="仿宋_GB2312"/>
          <w:sz w:val="32"/>
          <w:szCs w:val="32"/>
        </w:rPr>
        <w:t>项目开展了绩效评价，其绩效评价报告见附件（附件</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p>
    <w:p>
      <w:pPr>
        <w:spacing w:line="580" w:lineRule="exact"/>
        <w:ind w:firstLine="640" w:firstLineChars="200"/>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numPr>
          <w:ilvl w:val="0"/>
          <w:numId w:val="3"/>
        </w:numPr>
        <w:spacing w:line="600" w:lineRule="exact"/>
        <w:ind w:firstLine="660" w:firstLineChars="150"/>
        <w:jc w:val="center"/>
        <w:outlineLvl w:val="0"/>
        <w:rPr>
          <w:rStyle w:val="23"/>
          <w:rFonts w:ascii="黑体" w:hAnsi="黑体" w:eastAsia="黑体"/>
          <w:b w:val="0"/>
        </w:rPr>
      </w:pPr>
      <w:bookmarkStart w:id="105" w:name="_Toc15377225"/>
      <w:bookmarkStart w:id="106" w:name="_Toc79163629"/>
      <w:bookmarkStart w:id="107" w:name="_Toc79163879"/>
      <w:bookmarkStart w:id="108" w:name="_Toc15396613"/>
      <w:r>
        <w:rPr>
          <w:rFonts w:hint="eastAsia" w:ascii="黑体" w:hAnsi="黑体" w:eastAsia="黑体"/>
          <w:color w:val="000000"/>
          <w:sz w:val="44"/>
          <w:szCs w:val="44"/>
        </w:rPr>
        <w:t>名</w:t>
      </w:r>
      <w:r>
        <w:rPr>
          <w:rStyle w:val="23"/>
          <w:rFonts w:hint="eastAsia" w:ascii="黑体" w:hAnsi="黑体" w:eastAsia="黑体"/>
          <w:b w:val="0"/>
        </w:rPr>
        <w:t>词解释</w:t>
      </w:r>
      <w:bookmarkEnd w:id="105"/>
      <w:bookmarkEnd w:id="106"/>
      <w:bookmarkEnd w:id="107"/>
      <w:bookmarkEnd w:id="108"/>
    </w:p>
    <w:p>
      <w:pPr>
        <w:spacing w:line="600" w:lineRule="exact"/>
        <w:jc w:val="left"/>
        <w:rPr>
          <w:rFonts w:ascii="宋体"/>
          <w:b/>
          <w:color w:val="000000"/>
          <w:sz w:val="44"/>
          <w:szCs w:val="44"/>
        </w:rPr>
      </w:pPr>
    </w:p>
    <w:p>
      <w:pPr>
        <w:pStyle w:val="33"/>
        <w:spacing w:line="560" w:lineRule="exact"/>
        <w:ind w:firstLine="640" w:firstLineChars="200"/>
        <w:rPr>
          <w:rFonts w:ascii="仿宋_GB2312" w:eastAsia="仿宋_GB2312"/>
          <w:sz w:val="32"/>
          <w:szCs w:val="32"/>
        </w:rPr>
      </w:pPr>
      <w:r>
        <w:rPr>
          <w:rFonts w:hint="eastAsia" w:ascii="仿宋_GB2312" w:eastAsia="仿宋_GB2312"/>
          <w:sz w:val="32"/>
          <w:szCs w:val="32"/>
        </w:rPr>
        <w:t>1.财政拨款收入：指单位从同级财政部门取得的财政预算资金。</w:t>
      </w:r>
    </w:p>
    <w:p>
      <w:pPr>
        <w:pStyle w:val="33"/>
        <w:spacing w:line="560" w:lineRule="exact"/>
        <w:ind w:firstLine="640" w:firstLineChars="200"/>
        <w:rPr>
          <w:rFonts w:ascii="仿宋_GB2312" w:eastAsia="仿宋_GB2312"/>
          <w:sz w:val="32"/>
          <w:szCs w:val="32"/>
        </w:rPr>
      </w:pPr>
      <w:r>
        <w:rPr>
          <w:rFonts w:hint="eastAsia" w:ascii="仿宋_GB2312" w:eastAsia="仿宋_GB2312"/>
          <w:sz w:val="32"/>
          <w:szCs w:val="32"/>
        </w:rPr>
        <w:t>2.事业收入：</w:t>
      </w:r>
      <w:r>
        <w:rPr>
          <w:rFonts w:hint="eastAsia" w:ascii="仿宋_GB2312" w:hAnsi="Times New Roman" w:eastAsia="仿宋_GB2312" w:cs="Times New Roman"/>
          <w:color w:val="auto"/>
          <w:kern w:val="2"/>
          <w:sz w:val="32"/>
          <w:szCs w:val="32"/>
        </w:rPr>
        <w:t>指事业单位开展专业业务活动及辅助活动取得的收入。如县医院，保健院（二级预算单位事业收入情况）等。</w:t>
      </w:r>
    </w:p>
    <w:p>
      <w:pPr>
        <w:pStyle w:val="33"/>
        <w:spacing w:line="560" w:lineRule="exact"/>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3"/>
        <w:spacing w:line="560" w:lineRule="exact"/>
        <w:ind w:firstLine="640" w:firstLineChars="200"/>
        <w:rPr>
          <w:rFonts w:ascii="仿宋_GB2312" w:eastAsia="仿宋_GB2312"/>
          <w:sz w:val="32"/>
          <w:szCs w:val="32"/>
        </w:rPr>
      </w:pPr>
      <w:r>
        <w:rPr>
          <w:rFonts w:hint="eastAsia" w:ascii="仿宋_GB2312" w:eastAsia="仿宋_GB2312"/>
          <w:sz w:val="32"/>
          <w:szCs w:val="32"/>
        </w:rPr>
        <w:t>4、年末结转和结余：指单位按有关规定结转到下年或以后年度继续使用的资金。</w:t>
      </w:r>
    </w:p>
    <w:p>
      <w:pPr>
        <w:spacing w:line="560" w:lineRule="exact"/>
        <w:ind w:firstLine="640" w:firstLineChars="200"/>
        <w:rPr>
          <w:rFonts w:ascii="仿宋_GB2312" w:eastAsia="仿宋_GB2312"/>
          <w:sz w:val="32"/>
          <w:szCs w:val="32"/>
        </w:rPr>
      </w:pPr>
      <w:r>
        <w:rPr>
          <w:rFonts w:hint="eastAsia" w:ascii="仿宋_GB2312" w:hAnsi="Calibri" w:eastAsia="仿宋_GB2312" w:cs="仿宋"/>
          <w:color w:val="000000"/>
          <w:kern w:val="0"/>
          <w:sz w:val="32"/>
          <w:szCs w:val="32"/>
        </w:rPr>
        <w:t>5</w:t>
      </w:r>
      <w:r>
        <w:rPr>
          <w:rFonts w:hint="eastAsia" w:ascii="仿宋_GB2312" w:eastAsia="仿宋_GB2312"/>
          <w:b/>
          <w:bCs/>
          <w:sz w:val="32"/>
          <w:szCs w:val="32"/>
        </w:rPr>
        <w:t>.</w:t>
      </w:r>
      <w:r>
        <w:rPr>
          <w:rFonts w:hint="eastAsia" w:ascii="仿宋_GB2312" w:hAnsi="Calibri" w:eastAsia="仿宋_GB2312" w:cs="仿宋"/>
          <w:color w:val="000000"/>
          <w:kern w:val="0"/>
          <w:sz w:val="32"/>
          <w:szCs w:val="32"/>
        </w:rPr>
        <w:t>社会保障和就业</w:t>
      </w:r>
      <w:r>
        <w:rPr>
          <w:rFonts w:hint="eastAsia" w:ascii="仿宋_GB2312" w:eastAsia="仿宋_GB2312"/>
          <w:sz w:val="32"/>
          <w:szCs w:val="32"/>
        </w:rPr>
        <w:t>（208）行政事业单位离退休（05）机关事业单位基本养老保险缴费支出（05）：指机关事业单位实施养老保险制度由单位缴纳的基本养老保险费支出。</w:t>
      </w:r>
    </w:p>
    <w:p>
      <w:pPr>
        <w:spacing w:line="560" w:lineRule="exact"/>
        <w:ind w:firstLine="640" w:firstLineChars="200"/>
        <w:rPr>
          <w:rFonts w:ascii="仿宋_GB2312" w:eastAsia="仿宋_GB2312"/>
          <w:sz w:val="32"/>
          <w:szCs w:val="32"/>
        </w:rPr>
      </w:pPr>
      <w:r>
        <w:rPr>
          <w:rFonts w:hint="eastAsia" w:ascii="仿宋_GB2312" w:hAnsi="Calibri" w:eastAsia="仿宋_GB2312" w:cs="仿宋"/>
          <w:color w:val="000000"/>
          <w:kern w:val="0"/>
          <w:sz w:val="32"/>
          <w:szCs w:val="32"/>
        </w:rPr>
        <w:t>6</w:t>
      </w:r>
      <w:r>
        <w:rPr>
          <w:rFonts w:hint="eastAsia" w:ascii="仿宋_GB2312" w:eastAsia="仿宋_GB2312"/>
          <w:b/>
          <w:bCs/>
          <w:sz w:val="32"/>
          <w:szCs w:val="32"/>
        </w:rPr>
        <w:t>.</w:t>
      </w:r>
      <w:r>
        <w:rPr>
          <w:rFonts w:hint="eastAsia" w:ascii="仿宋_GB2312" w:hAnsi="Calibri" w:eastAsia="仿宋_GB2312" w:cs="仿宋"/>
          <w:color w:val="000000"/>
          <w:kern w:val="0"/>
          <w:sz w:val="32"/>
          <w:szCs w:val="32"/>
        </w:rPr>
        <w:t>社会保障和就业</w:t>
      </w:r>
      <w:r>
        <w:rPr>
          <w:rFonts w:hint="eastAsia" w:ascii="仿宋_GB2312" w:eastAsia="仿宋_GB2312"/>
          <w:sz w:val="32"/>
          <w:szCs w:val="32"/>
        </w:rPr>
        <w:t>（208）行政事业单位离退休（05）机关事业单位职业年金缴费支出（06）：指机关事业单位实施养老保险制度由单位实际缴纳的职业年金支出。</w:t>
      </w:r>
    </w:p>
    <w:p>
      <w:pPr>
        <w:spacing w:line="56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7.医疗卫生与计划生育支出（210）基层医疗卫生机构（03）其他基层医疗卫生机构（99）：指其他用于基层医疗卫生机构的支出。</w:t>
      </w:r>
    </w:p>
    <w:p>
      <w:pPr>
        <w:spacing w:line="56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8.医疗卫生与计划生育支出（（210）公共卫生（04）妇幼保健机构（03）：指卫生和计划生育部门所属妇幼保健机构的支出。</w:t>
      </w:r>
    </w:p>
    <w:p>
      <w:pPr>
        <w:spacing w:line="56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9.医疗卫生与计划生育支出（210）公共卫生（04）基本公共卫生（08）：指基本公共卫生服务支出。</w:t>
      </w:r>
    </w:p>
    <w:p>
      <w:pPr>
        <w:spacing w:line="56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10.医疗卫生与计划生育（210）公共卫生（04）重大公共卫生专项（09）：指重大疾病预防控制等重大公共卫生服务项目支出。</w:t>
      </w:r>
    </w:p>
    <w:p>
      <w:pPr>
        <w:spacing w:line="56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11.医疗卫生与计划生育（210）公共卫生（04）其他公共卫生支出（99）：指其他用于公共卫生方面的支出。</w:t>
      </w:r>
    </w:p>
    <w:p>
      <w:pPr>
        <w:spacing w:line="56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12.医疗卫生与计划生育（210）计划生育事务（07）计划生育服务（17）：指计划生育服务支出。</w:t>
      </w:r>
    </w:p>
    <w:p>
      <w:pPr>
        <w:spacing w:line="56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13.医疗卫生与计划生育（210）计划生育事务（07）其他计划生育事务支出（99）：指其他用于计划生育管理事务方面的支出。</w:t>
      </w:r>
    </w:p>
    <w:p>
      <w:pPr>
        <w:spacing w:line="56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14.医疗卫生与计划生育（210）行政事业单位医疗（11）事业单位医疗（02）：指反映财政部门集中安排的事业单位基本医疗保险缴费经费，未参加医疗保险的事业单位的公费医疗经费，按国家规定享受离休人员待遇的医疗经费。</w:t>
      </w:r>
    </w:p>
    <w:p>
      <w:pPr>
        <w:spacing w:line="56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15.医疗卫生与计划生育（210）其他医疗卫生与计划生育支出（99）其他医疗卫生与计划生育支出（01）：指其他用于医疗卫生与计划生育方方面面的支出。</w:t>
      </w:r>
    </w:p>
    <w:p>
      <w:pPr>
        <w:spacing w:line="56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16.节能环保（211）自然生态保护（04）生态保护（01）：指用于生态功能区、生态示范区、生态省（市、县）管理及能力建设、日常管护、宣教、试点示范等支出，生态修复支出、资源开发生态监管支出，生态护林员的劳务报酬等支出。</w:t>
      </w:r>
    </w:p>
    <w:p>
      <w:pPr>
        <w:spacing w:line="56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17.农林水（213）扶贫（05）其他扶贫支出（99）：指其他用于扶贫方面的支出。</w:t>
      </w:r>
    </w:p>
    <w:p>
      <w:pPr>
        <w:spacing w:line="56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18.住房保障（221）住房改革支出（02）住房公积金（01）：指反映行政事业单位按人力资源和社会保障部、财政部规定的基本工资和津补贴以及规定比例额为职工缴纳的住房公积金。</w:t>
      </w:r>
    </w:p>
    <w:p>
      <w:pPr>
        <w:spacing w:line="56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19.基本支出：指为保障机构正常运转、完成日常工作任务而发生的人员支出和公用支出。</w:t>
      </w:r>
    </w:p>
    <w:p>
      <w:pPr>
        <w:spacing w:line="56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20.项目支出：指在基本支出之外为完成特定行政任务和事业发展目标所发生的支出。</w:t>
      </w:r>
    </w:p>
    <w:p>
      <w:pPr>
        <w:spacing w:line="56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21.“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outlineLvl w:val="0"/>
        <w:rPr>
          <w:rFonts w:ascii="黑体" w:hAnsi="黑体" w:eastAsia="黑体"/>
          <w:color w:val="000000"/>
          <w:sz w:val="44"/>
          <w:szCs w:val="44"/>
        </w:rPr>
      </w:pPr>
      <w:bookmarkStart w:id="109" w:name="_Toc15396614"/>
      <w:bookmarkStart w:id="110" w:name="_Toc79163630"/>
      <w:bookmarkStart w:id="111" w:name="_Toc79163880"/>
      <w:bookmarkStart w:id="112" w:name="_Toc15377226"/>
    </w:p>
    <w:p>
      <w:pPr>
        <w:spacing w:line="600" w:lineRule="exact"/>
        <w:jc w:val="center"/>
        <w:outlineLvl w:val="0"/>
        <w:rPr>
          <w:rStyle w:val="23"/>
          <w:rFonts w:ascii="黑体" w:hAnsi="黑体" w:eastAsia="黑体"/>
          <w:b w:val="0"/>
        </w:rPr>
      </w:pPr>
      <w:r>
        <w:rPr>
          <w:rFonts w:hint="eastAsia" w:ascii="黑体" w:hAnsi="黑体" w:eastAsia="黑体"/>
          <w:color w:val="000000"/>
          <w:sz w:val="44"/>
          <w:szCs w:val="44"/>
        </w:rPr>
        <w:t>第</w:t>
      </w:r>
      <w:r>
        <w:rPr>
          <w:rStyle w:val="23"/>
          <w:rFonts w:hint="eastAsia" w:ascii="黑体" w:hAnsi="黑体" w:eastAsia="黑体"/>
          <w:b w:val="0"/>
        </w:rPr>
        <w:t>四部分</w:t>
      </w:r>
      <w:r>
        <w:rPr>
          <w:rStyle w:val="23"/>
          <w:rFonts w:ascii="黑体" w:hAnsi="黑体" w:eastAsia="黑体"/>
          <w:b w:val="0"/>
        </w:rPr>
        <w:t xml:space="preserve"> </w:t>
      </w:r>
      <w:r>
        <w:rPr>
          <w:rStyle w:val="23"/>
          <w:rFonts w:hint="eastAsia" w:ascii="黑体" w:hAnsi="黑体" w:eastAsia="黑体"/>
          <w:b w:val="0"/>
        </w:rPr>
        <w:t>附件</w:t>
      </w:r>
      <w:bookmarkEnd w:id="109"/>
      <w:bookmarkEnd w:id="110"/>
      <w:bookmarkEnd w:id="111"/>
    </w:p>
    <w:p>
      <w:pPr>
        <w:spacing w:line="600" w:lineRule="exact"/>
        <w:jc w:val="left"/>
        <w:outlineLvl w:val="0"/>
        <w:rPr>
          <w:rFonts w:ascii="方正小标宋简体" w:hAnsi="方正小标宋简体" w:eastAsia="方正小标宋简体" w:cs="方正小标宋简体"/>
          <w:sz w:val="32"/>
          <w:szCs w:val="32"/>
        </w:rPr>
      </w:pPr>
      <w:bookmarkStart w:id="113" w:name="_Toc79163881"/>
      <w:bookmarkStart w:id="114" w:name="_Toc79163631"/>
      <w:r>
        <w:rPr>
          <w:rFonts w:hint="eastAsia" w:ascii="黑体" w:hAnsi="黑体" w:eastAsia="黑体" w:cs="黑体"/>
          <w:sz w:val="32"/>
          <w:szCs w:val="32"/>
        </w:rPr>
        <w:t>附件</w:t>
      </w:r>
      <w:r>
        <w:rPr>
          <w:rFonts w:ascii="黑体" w:hAnsi="黑体" w:eastAsia="黑体" w:cs="黑体"/>
          <w:sz w:val="32"/>
          <w:szCs w:val="32"/>
        </w:rPr>
        <w:t>1</w:t>
      </w:r>
      <w:bookmarkEnd w:id="113"/>
      <w:bookmarkEnd w:id="114"/>
    </w:p>
    <w:p>
      <w:pPr>
        <w:spacing w:line="580" w:lineRule="exact"/>
        <w:jc w:val="center"/>
        <w:rPr>
          <w:rFonts w:ascii="方正小标宋简体" w:hAnsi="方正小标宋简体" w:eastAsia="方正小标宋简体" w:cs="方正小标宋简体"/>
          <w:sz w:val="44"/>
          <w:szCs w:val="44"/>
        </w:rPr>
      </w:pPr>
    </w:p>
    <w:p>
      <w:pPr>
        <w:spacing w:line="600" w:lineRule="exact"/>
        <w:jc w:val="center"/>
        <w:outlineLvl w:val="0"/>
        <w:rPr>
          <w:rFonts w:ascii="方正小标宋简体" w:hAnsi="黑体" w:eastAsia="方正小标宋简体" w:cs="黑体"/>
          <w:sz w:val="44"/>
          <w:szCs w:val="44"/>
        </w:rPr>
      </w:pPr>
      <w:bookmarkStart w:id="115" w:name="_Toc79163632"/>
      <w:bookmarkStart w:id="116" w:name="_Toc79163882"/>
      <w:r>
        <w:rPr>
          <w:rFonts w:hint="eastAsia" w:ascii="方正小标宋简体" w:hAnsi="黑体" w:eastAsia="方正小标宋简体" w:cs="黑体"/>
          <w:sz w:val="44"/>
          <w:szCs w:val="44"/>
        </w:rPr>
        <w:t>壤塘县妇幼保健和计生服务中心</w:t>
      </w:r>
    </w:p>
    <w:p>
      <w:pPr>
        <w:spacing w:line="600" w:lineRule="exact"/>
        <w:jc w:val="center"/>
        <w:outlineLvl w:val="0"/>
        <w:rPr>
          <w:rFonts w:ascii="方正小标宋简体" w:hAnsi="黑体" w:eastAsia="方正小标宋简体" w:cs="黑体"/>
          <w:sz w:val="44"/>
          <w:szCs w:val="44"/>
        </w:rPr>
      </w:pPr>
      <w:r>
        <w:rPr>
          <w:rFonts w:ascii="方正小标宋简体" w:hAnsi="黑体" w:eastAsia="方正小标宋简体" w:cs="黑体"/>
          <w:sz w:val="44"/>
          <w:szCs w:val="44"/>
        </w:rPr>
        <w:t>202</w:t>
      </w:r>
      <w:r>
        <w:rPr>
          <w:rFonts w:hint="eastAsia" w:ascii="方正小标宋简体" w:hAnsi="黑体" w:eastAsia="方正小标宋简体" w:cs="黑体"/>
          <w:sz w:val="44"/>
          <w:szCs w:val="44"/>
        </w:rPr>
        <w:t>1年部门整体支出绩效评价报告</w:t>
      </w:r>
      <w:bookmarkEnd w:id="115"/>
      <w:bookmarkEnd w:id="116"/>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pPr>
        <w:spacing w:line="560" w:lineRule="exact"/>
        <w:ind w:firstLine="640" w:firstLineChars="200"/>
        <w:rPr>
          <w:rFonts w:ascii="仿宋_GB2312" w:hAnsi="宋体" w:eastAsia="仿宋_GB2312" w:cs="宋体"/>
          <w:color w:val="000000"/>
          <w:kern w:val="0"/>
          <w:sz w:val="32"/>
          <w:szCs w:val="32"/>
          <w:shd w:val="clear" w:color="auto" w:fill="FFFFFF"/>
          <w:lang w:val="zh-CN"/>
        </w:rPr>
      </w:pPr>
      <w:r>
        <w:rPr>
          <w:rFonts w:hint="eastAsia" w:ascii="仿宋" w:hAnsi="仿宋" w:eastAsia="仿宋"/>
          <w:bCs/>
          <w:color w:val="000000"/>
          <w:kern w:val="0"/>
          <w:sz w:val="32"/>
          <w:szCs w:val="32"/>
          <w:lang w:val="zh-CN"/>
        </w:rPr>
        <w:t>本部门机构：壤塘县妇幼保健和计生服务中心属壤塘县卫生健康局下属二级预算单位，所需经费全部由财政拨款解决。其中内设机构办公室、妇女保健科、基层保健科、孕产保健科、医务科、财务科、儿童保健部等。</w:t>
      </w:r>
    </w:p>
    <w:p>
      <w:pPr>
        <w:widowControl/>
        <w:numPr>
          <w:ilvl w:val="0"/>
          <w:numId w:val="4"/>
        </w:numPr>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机构职能。</w:t>
      </w:r>
    </w:p>
    <w:p>
      <w:pPr>
        <w:ind w:firstLine="640" w:firstLineChars="200"/>
        <w:rPr>
          <w:rFonts w:ascii="仿宋" w:hAnsi="仿宋" w:eastAsia="仿宋" w:cs="仿宋"/>
          <w:sz w:val="32"/>
          <w:szCs w:val="32"/>
        </w:rPr>
      </w:pPr>
      <w:r>
        <w:rPr>
          <w:rFonts w:hint="eastAsia" w:ascii="仿宋" w:hAnsi="仿宋" w:eastAsia="仿宋" w:cs="仿宋"/>
          <w:sz w:val="32"/>
          <w:szCs w:val="32"/>
        </w:rPr>
        <w:t>1、在上级业务主管部门和中心领导下，按照妇幼保健工作规范，负责做好孕产妇保健管理、儿童保健管理和计生指导服务等工作，并不断提高妇幼保健工作质量；</w:t>
      </w:r>
    </w:p>
    <w:p>
      <w:pPr>
        <w:ind w:firstLine="640" w:firstLineChars="200"/>
        <w:rPr>
          <w:rFonts w:ascii="仿宋" w:hAnsi="仿宋" w:eastAsia="仿宋" w:cs="仿宋"/>
          <w:sz w:val="32"/>
          <w:szCs w:val="32"/>
        </w:rPr>
      </w:pPr>
      <w:r>
        <w:rPr>
          <w:rFonts w:hint="eastAsia" w:ascii="仿宋" w:hAnsi="仿宋" w:eastAsia="仿宋" w:cs="仿宋"/>
          <w:sz w:val="32"/>
          <w:szCs w:val="32"/>
        </w:rPr>
        <w:t>2、加强与社区、妇联、计生、疾病控制等部门联系，动态掌握辖区孕产妇、0-6岁儿童基本情况；</w:t>
      </w:r>
    </w:p>
    <w:p>
      <w:pPr>
        <w:ind w:firstLine="640" w:firstLineChars="200"/>
        <w:rPr>
          <w:rFonts w:ascii="仿宋" w:hAnsi="仿宋" w:eastAsia="仿宋" w:cs="仿宋"/>
          <w:sz w:val="32"/>
          <w:szCs w:val="32"/>
        </w:rPr>
      </w:pPr>
      <w:r>
        <w:rPr>
          <w:rFonts w:hint="eastAsia" w:ascii="仿宋" w:hAnsi="仿宋" w:eastAsia="仿宋" w:cs="仿宋"/>
          <w:sz w:val="32"/>
          <w:szCs w:val="32"/>
        </w:rPr>
        <w:t>3、大力宣传孕产妇保健、儿童保健及计生指导服务的益处，提高知晓率，提高孕产妇保健、儿童保健建册率；</w:t>
      </w:r>
    </w:p>
    <w:p>
      <w:pPr>
        <w:ind w:firstLine="640" w:firstLineChars="200"/>
        <w:rPr>
          <w:rFonts w:ascii="仿宋" w:hAnsi="仿宋" w:eastAsia="仿宋" w:cs="仿宋"/>
          <w:sz w:val="32"/>
          <w:szCs w:val="32"/>
        </w:rPr>
      </w:pPr>
      <w:r>
        <w:rPr>
          <w:rFonts w:hint="eastAsia" w:ascii="仿宋" w:hAnsi="仿宋" w:eastAsia="仿宋" w:cs="仿宋"/>
          <w:sz w:val="32"/>
          <w:szCs w:val="32"/>
        </w:rPr>
        <w:t>4、认真做好妇幼保健服务，按时完成保健服务管理。做好孕产妇儿童保健手册建册、信息统计、资料整理归档等管理工作，加强高危孕妇和体弱儿管理，及时规范上报有关数据；</w:t>
      </w:r>
    </w:p>
    <w:p>
      <w:pPr>
        <w:ind w:firstLine="640" w:firstLineChars="200"/>
        <w:rPr>
          <w:rFonts w:ascii="仿宋" w:hAnsi="仿宋" w:eastAsia="仿宋" w:cs="仿宋"/>
          <w:sz w:val="32"/>
          <w:szCs w:val="32"/>
        </w:rPr>
      </w:pPr>
      <w:r>
        <w:rPr>
          <w:rFonts w:hint="eastAsia" w:ascii="仿宋" w:hAnsi="仿宋" w:eastAsia="仿宋" w:cs="仿宋"/>
          <w:sz w:val="32"/>
          <w:szCs w:val="32"/>
        </w:rPr>
        <w:t>5、按时参加专业技术培训与例会，及时布置、督促、检查乡村两级妇幼保健工作。加强乡村两级妇幼保健人员业务培训和信息交流，指导和解决问题；</w:t>
      </w:r>
    </w:p>
    <w:p>
      <w:pPr>
        <w:ind w:firstLine="640" w:firstLineChars="200"/>
        <w:rPr>
          <w:rFonts w:ascii="仿宋_GB2312" w:hAnsi="宋体" w:eastAsia="仿宋_GB2312" w:cs="宋体"/>
          <w:color w:val="000000"/>
          <w:kern w:val="0"/>
          <w:sz w:val="32"/>
          <w:szCs w:val="32"/>
          <w:highlight w:val="cyan"/>
          <w:shd w:val="clear" w:color="auto" w:fill="FFFFFF"/>
          <w:lang w:val="zh-CN"/>
        </w:rPr>
      </w:pPr>
      <w:r>
        <w:rPr>
          <w:rFonts w:hint="eastAsia" w:ascii="仿宋" w:hAnsi="仿宋" w:eastAsia="仿宋" w:cs="仿宋"/>
          <w:sz w:val="32"/>
          <w:szCs w:val="32"/>
        </w:rPr>
        <w:t>6、做好上级交办的临时性任务。</w:t>
      </w:r>
    </w:p>
    <w:p>
      <w:pPr>
        <w:widowControl/>
        <w:numPr>
          <w:ilvl w:val="0"/>
          <w:numId w:val="4"/>
        </w:numPr>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人员概况。</w:t>
      </w:r>
    </w:p>
    <w:p>
      <w:pPr>
        <w:widowControl/>
        <w:spacing w:line="600" w:lineRule="exact"/>
        <w:ind w:firstLine="640" w:firstLineChars="200"/>
        <w:jc w:val="left"/>
        <w:rPr>
          <w:rFonts w:ascii="仿宋_GB2312" w:hAnsi="宋体" w:eastAsia="仿宋_GB2312" w:cs="宋体"/>
          <w:color w:val="000000"/>
          <w:kern w:val="0"/>
          <w:sz w:val="32"/>
          <w:szCs w:val="32"/>
          <w:shd w:val="clear" w:color="auto" w:fill="FFFFFF"/>
          <w:lang w:val="zh-CN"/>
        </w:rPr>
      </w:pPr>
      <w:r>
        <w:rPr>
          <w:rFonts w:hint="eastAsia" w:ascii="仿宋" w:hAnsi="仿宋" w:eastAsia="仿宋"/>
          <w:bCs/>
          <w:color w:val="000000"/>
          <w:kern w:val="0"/>
          <w:sz w:val="32"/>
          <w:szCs w:val="32"/>
          <w:lang w:val="zh-CN"/>
        </w:rPr>
        <w:t>人员情况：总编制</w:t>
      </w:r>
      <w:r>
        <w:rPr>
          <w:rFonts w:hint="eastAsia" w:ascii="仿宋" w:hAnsi="仿宋" w:eastAsia="仿宋"/>
          <w:bCs/>
          <w:color w:val="000000"/>
          <w:kern w:val="0"/>
          <w:sz w:val="32"/>
          <w:szCs w:val="32"/>
        </w:rPr>
        <w:t>49</w:t>
      </w:r>
      <w:r>
        <w:rPr>
          <w:rFonts w:hint="eastAsia" w:ascii="仿宋" w:hAnsi="仿宋" w:eastAsia="仿宋"/>
          <w:bCs/>
          <w:color w:val="000000"/>
          <w:kern w:val="0"/>
          <w:sz w:val="32"/>
          <w:szCs w:val="32"/>
          <w:lang w:val="zh-CN"/>
        </w:rPr>
        <w:t>名（包含壤塘县岗木达镇社区卫生服务中心）,事业编制</w:t>
      </w:r>
      <w:r>
        <w:rPr>
          <w:rFonts w:hint="eastAsia" w:ascii="仿宋" w:hAnsi="仿宋" w:eastAsia="仿宋"/>
          <w:bCs/>
          <w:color w:val="000000"/>
          <w:kern w:val="0"/>
          <w:sz w:val="32"/>
          <w:szCs w:val="32"/>
        </w:rPr>
        <w:t>49</w:t>
      </w:r>
      <w:r>
        <w:rPr>
          <w:rFonts w:hint="eastAsia" w:ascii="仿宋" w:hAnsi="仿宋" w:eastAsia="仿宋"/>
          <w:bCs/>
          <w:color w:val="000000"/>
          <w:kern w:val="0"/>
          <w:sz w:val="32"/>
          <w:szCs w:val="32"/>
          <w:lang w:val="zh-CN"/>
        </w:rPr>
        <w:t>名。截止2020年12月底，在职人员总数</w:t>
      </w:r>
      <w:r>
        <w:rPr>
          <w:rFonts w:hint="eastAsia" w:ascii="仿宋" w:hAnsi="仿宋" w:eastAsia="仿宋"/>
          <w:bCs/>
          <w:color w:val="000000"/>
          <w:kern w:val="0"/>
          <w:sz w:val="32"/>
          <w:szCs w:val="32"/>
        </w:rPr>
        <w:t>45</w:t>
      </w:r>
      <w:r>
        <w:rPr>
          <w:rFonts w:hint="eastAsia" w:ascii="仿宋" w:hAnsi="仿宋" w:eastAsia="仿宋"/>
          <w:bCs/>
          <w:color w:val="000000"/>
          <w:kern w:val="0"/>
          <w:sz w:val="32"/>
          <w:szCs w:val="32"/>
          <w:lang w:val="zh-CN"/>
        </w:rPr>
        <w:t>名，其中：事业人员</w:t>
      </w:r>
      <w:r>
        <w:rPr>
          <w:rFonts w:hint="eastAsia" w:ascii="仿宋" w:hAnsi="仿宋" w:eastAsia="仿宋"/>
          <w:bCs/>
          <w:color w:val="000000"/>
          <w:kern w:val="0"/>
          <w:sz w:val="32"/>
          <w:szCs w:val="32"/>
        </w:rPr>
        <w:t>45</w:t>
      </w:r>
      <w:r>
        <w:rPr>
          <w:rFonts w:hint="eastAsia" w:ascii="仿宋" w:hAnsi="仿宋" w:eastAsia="仿宋"/>
          <w:bCs/>
          <w:color w:val="000000"/>
          <w:kern w:val="0"/>
          <w:sz w:val="32"/>
          <w:szCs w:val="32"/>
          <w:lang w:val="zh-CN"/>
        </w:rPr>
        <w:t>名，退休人员</w:t>
      </w:r>
      <w:r>
        <w:rPr>
          <w:rFonts w:hint="eastAsia" w:ascii="仿宋" w:hAnsi="仿宋" w:eastAsia="仿宋"/>
          <w:bCs/>
          <w:color w:val="000000"/>
          <w:kern w:val="0"/>
          <w:sz w:val="32"/>
          <w:szCs w:val="32"/>
        </w:rPr>
        <w:t>6人，</w:t>
      </w:r>
      <w:r>
        <w:rPr>
          <w:rFonts w:hint="eastAsia" w:ascii="仿宋" w:hAnsi="仿宋" w:eastAsia="仿宋"/>
          <w:bCs/>
          <w:color w:val="000000"/>
          <w:kern w:val="0"/>
          <w:sz w:val="32"/>
          <w:szCs w:val="32"/>
          <w:lang w:val="zh-CN"/>
        </w:rPr>
        <w:t>遗属人员3人。</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pPr>
        <w:spacing w:line="600" w:lineRule="exact"/>
        <w:ind w:firstLine="640" w:firstLineChars="200"/>
        <w:rPr>
          <w:rFonts w:ascii="仿宋_GB2312" w:hAnsi="宋体" w:eastAsia="仿宋_GB2312" w:cs="宋体"/>
          <w:color w:val="000000"/>
          <w:kern w:val="0"/>
          <w:sz w:val="32"/>
          <w:szCs w:val="32"/>
          <w:shd w:val="clear" w:color="auto" w:fill="FFFFFF"/>
          <w:lang w:val="zh-CN"/>
        </w:rPr>
      </w:pPr>
      <w:r>
        <w:rPr>
          <w:rFonts w:ascii="仿宋" w:hAnsi="仿宋" w:eastAsia="仿宋"/>
          <w:color w:val="000000"/>
          <w:sz w:val="32"/>
          <w:szCs w:val="32"/>
        </w:rPr>
        <w:t>202</w:t>
      </w:r>
      <w:r>
        <w:rPr>
          <w:rFonts w:hint="eastAsia" w:ascii="仿宋" w:hAnsi="仿宋" w:eastAsia="仿宋"/>
          <w:color w:val="000000"/>
          <w:sz w:val="32"/>
          <w:szCs w:val="32"/>
        </w:rPr>
        <w:t>1年本年收入合计950.85万元，其中：一般公共预算财政拨款收入950.85万元；政府性基金预算财政拨款收入0万元；上级补助收入0万元；事业收入0万元；经营收入0万元；附属单位上缴收入0万元；其他收入0万元。</w:t>
      </w:r>
    </w:p>
    <w:p>
      <w:pPr>
        <w:widowControl/>
        <w:numPr>
          <w:ilvl w:val="0"/>
          <w:numId w:val="5"/>
        </w:numPr>
        <w:adjustRightInd w:val="0"/>
        <w:snapToGrid w:val="0"/>
        <w:spacing w:line="580" w:lineRule="exact"/>
        <w:ind w:firstLine="64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部门财政资金支出情况。</w:t>
      </w:r>
    </w:p>
    <w:p>
      <w:pPr>
        <w:spacing w:line="600" w:lineRule="exact"/>
        <w:ind w:firstLine="640" w:firstLineChars="200"/>
        <w:rPr>
          <w:rFonts w:ascii="仿宋_GB2312" w:hAnsi="宋体" w:eastAsia="仿宋_GB2312" w:cs="宋体"/>
          <w:color w:val="000000"/>
          <w:kern w:val="0"/>
          <w:sz w:val="32"/>
          <w:szCs w:val="32"/>
          <w:shd w:val="clear" w:color="auto" w:fill="FFFFFF"/>
          <w:lang w:val="zh-CN"/>
        </w:rPr>
      </w:pPr>
      <w:r>
        <w:rPr>
          <w:rFonts w:ascii="仿宋_GB2312" w:eastAsia="仿宋_GB2312"/>
          <w:sz w:val="32"/>
          <w:szCs w:val="32"/>
        </w:rPr>
        <w:t>202</w:t>
      </w:r>
      <w:r>
        <w:rPr>
          <w:rFonts w:hint="eastAsia" w:ascii="仿宋_GB2312" w:eastAsia="仿宋_GB2312"/>
          <w:sz w:val="32"/>
          <w:szCs w:val="32"/>
        </w:rPr>
        <w:t>1年本年支出合计1088.20万元，其中：基本支出826.30万元；项目支出261.90万元；上缴上级支出0万元，；经营支出0万元；对附属单位补助支出0万元。</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pPr>
        <w:widowControl/>
        <w:adjustRightInd w:val="0"/>
        <w:snapToGrid w:val="0"/>
        <w:spacing w:line="580" w:lineRule="exact"/>
        <w:ind w:firstLine="640" w:firstLineChars="200"/>
        <w:contextualSpacing/>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我单位严格按照相关的规定和要求根据人员工资的实际经费编制预算，按照县财政局规定时间完成基础数据预算的填报、报送，做到编制准确、指标细化，并将编制的部门报表按照县财政的要求报送财政进行审核。</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pPr>
        <w:widowControl/>
        <w:spacing w:line="6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我单位对部门预算绩效管理工作开展情况认真进行了自查自评。绩效评价自查开展覆盖单位重点支出，将评价结果作为预算安排的依据，根据项目预算执行情况、保障重点支出，调整支出结构，优化财政资金配置，不断强化绩效理念，推动我单位部门整体绩效管理水平不断提升。</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sz w:val="32"/>
          <w:szCs w:val="32"/>
        </w:rPr>
        <w:t>2021年我部门整体支出绩效评价自查自评结果较好，基本支出保证了部门的日常工作的开展，项目支出保障了重点工作的开展，达到预期绩效目标。</w:t>
      </w:r>
    </w:p>
    <w:p>
      <w:pPr>
        <w:widowControl/>
        <w:adjustRightInd w:val="0"/>
        <w:snapToGrid w:val="0"/>
        <w:spacing w:line="580" w:lineRule="exact"/>
        <w:ind w:left="84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（二）存在问题。</w:t>
      </w:r>
    </w:p>
    <w:p>
      <w:pPr>
        <w:widowControl/>
        <w:spacing w:line="600" w:lineRule="exact"/>
        <w:ind w:firstLine="640" w:firstLineChars="200"/>
        <w:jc w:val="left"/>
        <w:rPr>
          <w:rFonts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sz w:val="32"/>
          <w:szCs w:val="32"/>
        </w:rPr>
        <w:t>辖区面积广，人口少，群众文化程度不高，对免费婚前医学健康检查、</w:t>
      </w:r>
      <w:r>
        <w:rPr>
          <w:rFonts w:hint="eastAsia" w:ascii="仿宋_GB2312" w:hAnsi="黑体" w:eastAsia="仿宋_GB2312"/>
          <w:color w:val="000000"/>
          <w:sz w:val="32"/>
          <w:szCs w:val="32"/>
        </w:rPr>
        <w:t>免费孕前优生健康检查</w:t>
      </w:r>
      <w:r>
        <w:rPr>
          <w:rFonts w:hint="eastAsia" w:ascii="仿宋_GB2312" w:hAnsi="仿宋_GB2312" w:eastAsia="仿宋_GB2312" w:cs="仿宋_GB2312"/>
          <w:sz w:val="32"/>
          <w:szCs w:val="32"/>
        </w:rPr>
        <w:t>、妇女病筛查等保健服务认识不充分；因语言不通，导致开展工作时，沟通不及时，无效沟通多，导致工作开展缓慢。</w:t>
      </w:r>
    </w:p>
    <w:p>
      <w:pPr>
        <w:widowControl/>
        <w:numPr>
          <w:ilvl w:val="0"/>
          <w:numId w:val="5"/>
        </w:numPr>
        <w:adjustRightInd w:val="0"/>
        <w:snapToGrid w:val="0"/>
        <w:spacing w:line="580" w:lineRule="exact"/>
        <w:ind w:firstLine="64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改进建议。</w:t>
      </w:r>
    </w:p>
    <w:p>
      <w:pPr>
        <w:widowControl/>
        <w:adjustRightInd w:val="0"/>
        <w:snapToGrid w:val="0"/>
        <w:spacing w:line="580" w:lineRule="exact"/>
        <w:ind w:left="420" w:left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sz w:val="32"/>
          <w:szCs w:val="32"/>
        </w:rPr>
        <w:t>一是加强宣传力度；二是开展工作时，提前与当地的村干部联系或派单位双语职工随同翻译。</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600" w:lineRule="exact"/>
        <w:jc w:val="left"/>
        <w:outlineLvl w:val="0"/>
        <w:rPr>
          <w:rFonts w:ascii="黑体" w:hAnsi="黑体" w:eastAsia="黑体" w:cs="黑体"/>
          <w:sz w:val="32"/>
          <w:szCs w:val="32"/>
        </w:rPr>
      </w:pPr>
      <w:bookmarkStart w:id="117" w:name="_Toc79163883"/>
      <w:bookmarkStart w:id="118" w:name="_Toc79163633"/>
      <w:r>
        <w:rPr>
          <w:rFonts w:hint="eastAsia" w:ascii="黑体" w:hAnsi="黑体" w:eastAsia="黑体" w:cs="黑体"/>
          <w:sz w:val="32"/>
          <w:szCs w:val="32"/>
        </w:rPr>
        <w:t>附件</w:t>
      </w:r>
      <w:r>
        <w:rPr>
          <w:rFonts w:ascii="黑体" w:hAnsi="黑体" w:eastAsia="黑体" w:cs="黑体"/>
          <w:sz w:val="32"/>
          <w:szCs w:val="32"/>
        </w:rPr>
        <w:t>2</w:t>
      </w:r>
      <w:bookmarkEnd w:id="117"/>
      <w:bookmarkEnd w:id="118"/>
      <w:r>
        <w:rPr>
          <w:rFonts w:hint="eastAsia" w:ascii="黑体" w:hAnsi="黑体" w:eastAsia="黑体" w:cs="黑体"/>
          <w:sz w:val="32"/>
          <w:szCs w:val="32"/>
        </w:rPr>
        <w:t>-1</w:t>
      </w:r>
    </w:p>
    <w:p>
      <w:pPr>
        <w:spacing w:line="580" w:lineRule="exact"/>
        <w:ind w:firstLine="640" w:firstLineChars="200"/>
        <w:rPr>
          <w:rFonts w:ascii="仿宋_GB2312" w:hAnsi="仿宋_GB2312" w:eastAsia="仿宋_GB2312" w:cs="仿宋_GB2312"/>
          <w:sz w:val="32"/>
          <w:szCs w:val="32"/>
        </w:rPr>
      </w:pPr>
    </w:p>
    <w:p>
      <w:pPr>
        <w:spacing w:line="600" w:lineRule="exact"/>
        <w:jc w:val="center"/>
        <w:outlineLvl w:val="0"/>
        <w:rPr>
          <w:rFonts w:ascii="方正小标宋简体" w:hAnsi="黑体" w:eastAsia="方正小标宋简体" w:cs="黑体"/>
          <w:sz w:val="44"/>
          <w:szCs w:val="44"/>
        </w:rPr>
      </w:pPr>
      <w:bookmarkStart w:id="119" w:name="_Toc79163884"/>
      <w:bookmarkStart w:id="120" w:name="_Toc79163634"/>
      <w:r>
        <w:rPr>
          <w:rFonts w:hint="eastAsia" w:ascii="仿宋" w:hAnsi="仿宋" w:eastAsia="仿宋" w:cs="仿宋"/>
          <w:b/>
          <w:bCs/>
          <w:color w:val="000000"/>
          <w:kern w:val="0"/>
          <w:sz w:val="44"/>
          <w:szCs w:val="44"/>
        </w:rPr>
        <w:t>2021年基本公共卫生服务中央补助农村妇女两癌监测)</w:t>
      </w:r>
      <w:r>
        <w:rPr>
          <w:rFonts w:hint="eastAsia" w:ascii="方正小标宋简体" w:hAnsi="黑体" w:eastAsia="方正小标宋简体" w:cs="黑体"/>
          <w:sz w:val="44"/>
          <w:szCs w:val="44"/>
        </w:rPr>
        <w:t>绩效评价报告</w:t>
      </w:r>
      <w:bookmarkEnd w:id="119"/>
      <w:bookmarkEnd w:id="120"/>
    </w:p>
    <w:p>
      <w:pPr>
        <w:spacing w:line="600" w:lineRule="exact"/>
        <w:rPr>
          <w:rFonts w:ascii="宋体"/>
          <w:sz w:val="32"/>
          <w:szCs w:val="32"/>
          <w:lang w:val="zh-CN"/>
        </w:rPr>
      </w:pPr>
    </w:p>
    <w:p>
      <w:pPr>
        <w:rPr>
          <w:rFonts w:ascii="仿宋" w:hAnsi="仿宋" w:eastAsia="仿宋" w:cs="仿宋"/>
          <w:b/>
          <w:bCs/>
          <w:color w:val="000000"/>
          <w:kern w:val="0"/>
          <w:sz w:val="32"/>
          <w:szCs w:val="32"/>
        </w:rPr>
      </w:pPr>
      <w:r>
        <w:rPr>
          <w:rFonts w:hint="eastAsia" w:ascii="仿宋" w:hAnsi="仿宋" w:eastAsia="仿宋" w:cs="仿宋"/>
          <w:b/>
          <w:bCs/>
          <w:color w:val="000000"/>
          <w:kern w:val="0"/>
          <w:sz w:val="32"/>
          <w:szCs w:val="32"/>
        </w:rPr>
        <w:t>一、项目概况</w:t>
      </w:r>
    </w:p>
    <w:p>
      <w:pPr>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此项目用于农村妇女宫颈癌及乳腺癌筛查。通过筛查，提高两癌的早发现、早诊断、早治疗率，达到了关爱妇女健康、减轻农牧民经济负担、提高生活品质的项目预期目的。</w:t>
      </w:r>
    </w:p>
    <w:p>
      <w:pPr>
        <w:rPr>
          <w:rFonts w:ascii="仿宋" w:hAnsi="仿宋" w:eastAsia="仿宋" w:cs="仿宋"/>
          <w:b/>
          <w:bCs/>
          <w:color w:val="000000"/>
          <w:kern w:val="0"/>
          <w:sz w:val="32"/>
          <w:szCs w:val="32"/>
        </w:rPr>
      </w:pPr>
      <w:r>
        <w:rPr>
          <w:rFonts w:hint="eastAsia" w:ascii="仿宋" w:hAnsi="仿宋" w:eastAsia="仿宋" w:cs="仿宋"/>
          <w:b/>
          <w:bCs/>
          <w:color w:val="000000"/>
          <w:kern w:val="0"/>
          <w:sz w:val="32"/>
          <w:szCs w:val="32"/>
        </w:rPr>
        <w:t>（一）项目资金申报及批复情况。</w:t>
      </w:r>
    </w:p>
    <w:p>
      <w:pPr>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此项目资金于2021年03月下拨至本单位，由阿州财社【2021】3号文件下达，资金来源为省级补助资金6.4万元。此项目资金用于我县</w:t>
      </w:r>
      <w:r>
        <w:rPr>
          <w:rFonts w:hint="eastAsia" w:ascii="仿宋" w:hAnsi="仿宋" w:eastAsia="仿宋" w:cs="仿宋"/>
          <w:color w:val="000000"/>
          <w:kern w:val="0"/>
          <w:sz w:val="32"/>
          <w:szCs w:val="32"/>
          <w:lang w:val="zh-CN"/>
        </w:rPr>
        <w:t>农村妇女</w:t>
      </w:r>
      <w:r>
        <w:rPr>
          <w:rFonts w:hint="eastAsia" w:ascii="仿宋" w:hAnsi="仿宋" w:eastAsia="仿宋" w:cs="仿宋"/>
          <w:color w:val="000000"/>
          <w:kern w:val="0"/>
          <w:sz w:val="32"/>
          <w:szCs w:val="32"/>
        </w:rPr>
        <w:t>宫颈癌、乳腺癌筛查。</w:t>
      </w:r>
    </w:p>
    <w:p>
      <w:pPr>
        <w:rPr>
          <w:rFonts w:ascii="仿宋" w:hAnsi="仿宋" w:eastAsia="仿宋" w:cs="仿宋"/>
          <w:color w:val="000000"/>
          <w:kern w:val="0"/>
          <w:sz w:val="32"/>
          <w:szCs w:val="32"/>
        </w:rPr>
      </w:pPr>
      <w:r>
        <w:rPr>
          <w:rFonts w:hint="eastAsia" w:ascii="仿宋" w:hAnsi="仿宋" w:eastAsia="仿宋" w:cs="仿宋"/>
          <w:color w:val="000000"/>
          <w:kern w:val="0"/>
          <w:sz w:val="32"/>
          <w:szCs w:val="32"/>
        </w:rPr>
        <w:t>（二）项目绩效目标。</w:t>
      </w:r>
    </w:p>
    <w:p>
      <w:pPr>
        <w:rPr>
          <w:rFonts w:ascii="仿宋" w:hAnsi="仿宋" w:eastAsia="仿宋"/>
          <w:color w:val="000000"/>
          <w:kern w:val="0"/>
          <w:sz w:val="32"/>
          <w:szCs w:val="32"/>
        </w:rPr>
      </w:pPr>
      <w:r>
        <w:rPr>
          <w:rStyle w:val="38"/>
          <w:rFonts w:hint="eastAsia" w:ascii="仿宋" w:hAnsi="仿宋" w:eastAsia="仿宋"/>
          <w:color w:val="000000"/>
          <w:kern w:val="0"/>
          <w:sz w:val="32"/>
          <w:szCs w:val="32"/>
        </w:rPr>
        <w:t xml:space="preserve">   此项目绩效指标涉及产出指标、效益指标、满意度指标三大类，一是产出指标中涉及数量指标、质量指标、时效指标主要说明该项目开展的工作内容，如：乳腺癌筛查人次、宫颈癌筛查人次、“乳腺癌、宫颈癌”知情同意书签署率等工作；二是效益指标中涉及社会效益指标、经济效益指标主要说明该项目工作开展后产生的成果，如：免费对农村妇女进行宫颈癌和乳腺癌筛查，关爱妇女健康</w:t>
      </w:r>
      <w:r>
        <w:rPr>
          <w:rFonts w:hint="eastAsia" w:ascii="仿宋_GB2312" w:hAnsi="仿宋_GB2312" w:eastAsia="仿宋_GB2312" w:cs="仿宋_GB2312"/>
          <w:color w:val="000000"/>
          <w:sz w:val="32"/>
          <w:szCs w:val="32"/>
        </w:rPr>
        <w:t>；三是满意度指标主要说明该项目实施后服务对象满意度。</w:t>
      </w:r>
    </w:p>
    <w:p>
      <w:pPr>
        <w:rPr>
          <w:rFonts w:ascii="仿宋" w:hAnsi="仿宋" w:eastAsia="仿宋" w:cs="仿宋"/>
          <w:b/>
          <w:bCs/>
          <w:color w:val="000000"/>
          <w:kern w:val="0"/>
          <w:sz w:val="32"/>
          <w:szCs w:val="32"/>
        </w:rPr>
      </w:pPr>
      <w:r>
        <w:rPr>
          <w:rFonts w:hint="eastAsia" w:ascii="仿宋" w:hAnsi="仿宋" w:eastAsia="仿宋" w:cs="仿宋"/>
          <w:b/>
          <w:bCs/>
          <w:color w:val="000000"/>
          <w:kern w:val="0"/>
          <w:sz w:val="32"/>
          <w:szCs w:val="32"/>
        </w:rPr>
        <w:t>（三）项目资金申报相符性。</w:t>
      </w:r>
    </w:p>
    <w:p>
      <w:pPr>
        <w:ind w:firstLine="640" w:firstLineChars="200"/>
        <w:rPr>
          <w:rFonts w:ascii="仿宋" w:hAnsi="仿宋" w:eastAsia="仿宋" w:cs="仿宋"/>
          <w:color w:val="000000"/>
          <w:kern w:val="0"/>
          <w:sz w:val="32"/>
          <w:szCs w:val="32"/>
        </w:rPr>
      </w:pPr>
      <w:r>
        <w:rPr>
          <w:rStyle w:val="38"/>
          <w:rFonts w:hint="eastAsia" w:ascii="仿宋" w:hAnsi="仿宋" w:eastAsia="仿宋"/>
          <w:color w:val="000000"/>
          <w:kern w:val="0"/>
          <w:sz w:val="32"/>
          <w:szCs w:val="32"/>
        </w:rPr>
        <w:t>乳腺癌、宫颈癌筛查</w:t>
      </w:r>
      <w:r>
        <w:rPr>
          <w:rFonts w:hint="eastAsia" w:ascii="仿宋" w:hAnsi="仿宋" w:eastAsia="仿宋" w:cs="仿宋"/>
          <w:color w:val="000000"/>
          <w:kern w:val="0"/>
          <w:sz w:val="32"/>
          <w:szCs w:val="32"/>
        </w:rPr>
        <w:t>项目</w:t>
      </w:r>
      <w:r>
        <w:rPr>
          <w:rFonts w:hint="eastAsia" w:ascii="仿宋" w:hAnsi="仿宋" w:eastAsia="仿宋" w:cs="仿宋"/>
          <w:color w:val="000000"/>
          <w:kern w:val="0"/>
          <w:sz w:val="32"/>
          <w:szCs w:val="32"/>
          <w:lang w:val="zh-CN"/>
        </w:rPr>
        <w:t>根据四川省卫健委发布的［关于印发2020年度基本公共服务实施方案的通知，</w:t>
      </w:r>
      <w:r>
        <w:rPr>
          <w:rFonts w:hint="eastAsia" w:ascii="仿宋" w:hAnsi="仿宋" w:eastAsia="仿宋" w:cs="仿宋"/>
          <w:color w:val="000000"/>
          <w:kern w:val="0"/>
          <w:sz w:val="32"/>
          <w:szCs w:val="32"/>
        </w:rPr>
        <w:t>符合资金管理办法及相关规定。申报内容与具体实施内容相符、申报目标合理可行。</w:t>
      </w:r>
    </w:p>
    <w:p>
      <w:pPr>
        <w:rPr>
          <w:rFonts w:ascii="仿宋" w:hAnsi="仿宋" w:eastAsia="仿宋" w:cs="仿宋"/>
          <w:b/>
          <w:bCs/>
          <w:color w:val="000000"/>
          <w:kern w:val="0"/>
          <w:sz w:val="32"/>
          <w:szCs w:val="32"/>
        </w:rPr>
      </w:pPr>
      <w:r>
        <w:rPr>
          <w:rFonts w:hint="eastAsia" w:ascii="仿宋" w:hAnsi="仿宋" w:eastAsia="仿宋" w:cs="仿宋"/>
          <w:b/>
          <w:bCs/>
          <w:color w:val="000000"/>
          <w:kern w:val="0"/>
          <w:sz w:val="32"/>
          <w:szCs w:val="32"/>
        </w:rPr>
        <w:t>二、项目实施及管理情况</w:t>
      </w:r>
    </w:p>
    <w:p>
      <w:pPr>
        <w:rPr>
          <w:rFonts w:ascii="仿宋" w:hAnsi="仿宋" w:eastAsia="仿宋" w:cs="仿宋"/>
          <w:color w:val="000000"/>
          <w:kern w:val="0"/>
          <w:sz w:val="32"/>
          <w:szCs w:val="32"/>
        </w:rPr>
      </w:pPr>
      <w:r>
        <w:rPr>
          <w:rFonts w:hint="eastAsia" w:ascii="仿宋" w:hAnsi="仿宋" w:eastAsia="仿宋" w:cs="仿宋"/>
          <w:color w:val="000000"/>
          <w:kern w:val="0"/>
          <w:sz w:val="32"/>
          <w:szCs w:val="32"/>
        </w:rPr>
        <w:t>（一）资金计划、到位及使用情况。</w:t>
      </w:r>
    </w:p>
    <w:p>
      <w:pPr>
        <w:adjustRightInd w:val="0"/>
        <w:snapToGrid w:val="0"/>
        <w:spacing w:line="560" w:lineRule="exact"/>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1、资金计划及到位：2021年基本公共卫生服务中央补助(其他基本公共卫生农村妇女两癌监测)6.4万元。</w:t>
      </w:r>
    </w:p>
    <w:p>
      <w:pPr>
        <w:adjustRightInd w:val="0"/>
        <w:snapToGrid w:val="0"/>
        <w:spacing w:line="560" w:lineRule="exact"/>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2、资金使用：截止到2021年12月31日，此项目已经拨付了6.36万元。主要用于</w:t>
      </w:r>
      <w:r>
        <w:rPr>
          <w:rFonts w:hint="eastAsia" w:ascii="仿宋" w:hAnsi="仿宋" w:eastAsia="仿宋" w:cs="仿宋"/>
          <w:color w:val="000000"/>
          <w:kern w:val="0"/>
          <w:sz w:val="32"/>
          <w:szCs w:val="32"/>
          <w:lang w:val="zh-CN"/>
        </w:rPr>
        <w:t>宫颈癌和乳腺癌筛查，任务数各为</w:t>
      </w:r>
      <w:r>
        <w:rPr>
          <w:rFonts w:hint="eastAsia" w:ascii="仿宋" w:hAnsi="仿宋" w:eastAsia="仿宋" w:cs="仿宋"/>
          <w:color w:val="000000"/>
          <w:kern w:val="0"/>
          <w:sz w:val="32"/>
          <w:szCs w:val="32"/>
        </w:rPr>
        <w:t>500人，其标准</w:t>
      </w:r>
      <w:r>
        <w:rPr>
          <w:rFonts w:hint="eastAsia" w:ascii="仿宋" w:hAnsi="仿宋" w:eastAsia="仿宋" w:cs="仿宋"/>
          <w:color w:val="000000"/>
          <w:kern w:val="0"/>
          <w:sz w:val="32"/>
          <w:szCs w:val="32"/>
          <w:lang w:val="zh-CN"/>
        </w:rPr>
        <w:t>为：宫颈癌筛查49元/人、乳腺癌筛查79元/人。</w:t>
      </w:r>
      <w:r>
        <w:rPr>
          <w:rFonts w:hint="eastAsia" w:ascii="仿宋" w:hAnsi="仿宋" w:eastAsia="仿宋" w:cs="仿宋"/>
          <w:color w:val="000000"/>
          <w:kern w:val="0"/>
          <w:sz w:val="32"/>
          <w:szCs w:val="32"/>
        </w:rPr>
        <w:t>支付依据合规合法，资金支付与预算相符。</w:t>
      </w:r>
    </w:p>
    <w:p>
      <w:pPr>
        <w:rPr>
          <w:rFonts w:ascii="仿宋" w:hAnsi="仿宋" w:eastAsia="仿宋" w:cs="仿宋"/>
          <w:color w:val="000000"/>
          <w:kern w:val="0"/>
          <w:sz w:val="32"/>
          <w:szCs w:val="32"/>
        </w:rPr>
      </w:pPr>
      <w:r>
        <w:rPr>
          <w:rFonts w:hint="eastAsia" w:ascii="仿宋" w:hAnsi="仿宋" w:eastAsia="仿宋" w:cs="仿宋"/>
          <w:color w:val="000000"/>
          <w:kern w:val="0"/>
          <w:sz w:val="32"/>
          <w:szCs w:val="32"/>
        </w:rPr>
        <w:t>（二）项目财务管理情况。</w:t>
      </w:r>
    </w:p>
    <w:p>
      <w:pPr>
        <w:adjustRightInd w:val="0"/>
        <w:snapToGrid w:val="0"/>
        <w:spacing w:line="560" w:lineRule="exact"/>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2021年基本公共卫生服务中央补助(其他基本公共卫生农村妇女两癌监测)严格按照项目资金管理办法对资金进行计划申请、划拨、使用，及时、规范对收支进行账务处理和会计核算。</w:t>
      </w:r>
    </w:p>
    <w:p>
      <w:pPr>
        <w:rPr>
          <w:rFonts w:ascii="仿宋" w:hAnsi="仿宋" w:eastAsia="仿宋" w:cs="仿宋"/>
          <w:color w:val="000000"/>
          <w:kern w:val="0"/>
          <w:sz w:val="32"/>
          <w:szCs w:val="32"/>
        </w:rPr>
      </w:pPr>
      <w:r>
        <w:rPr>
          <w:rFonts w:hint="eastAsia" w:ascii="仿宋" w:hAnsi="仿宋" w:eastAsia="仿宋" w:cs="仿宋"/>
          <w:color w:val="000000"/>
          <w:kern w:val="0"/>
          <w:sz w:val="32"/>
          <w:szCs w:val="32"/>
        </w:rPr>
        <w:t>（三）项目组织实施情况。</w:t>
      </w:r>
    </w:p>
    <w:p>
      <w:pPr>
        <w:ind w:firstLine="640" w:firstLineChars="200"/>
        <w:rPr>
          <w:rStyle w:val="38"/>
          <w:rFonts w:ascii="仿宋" w:hAnsi="仿宋" w:eastAsia="仿宋"/>
          <w:color w:val="000000"/>
          <w:kern w:val="0"/>
          <w:sz w:val="32"/>
          <w:szCs w:val="32"/>
        </w:rPr>
      </w:pPr>
      <w:r>
        <w:rPr>
          <w:rStyle w:val="38"/>
          <w:rFonts w:hint="eastAsia" w:ascii="仿宋" w:hAnsi="仿宋" w:eastAsia="仿宋"/>
          <w:color w:val="000000"/>
          <w:kern w:val="0"/>
          <w:sz w:val="32"/>
          <w:szCs w:val="32"/>
        </w:rPr>
        <w:t>此项目由我单位组织实施，制定项目实施方案。资金在使用过程中严格按照我单位制定的项目实施方案和县财政对资金支付管理要求进行资金拨付，做到专款专用。</w:t>
      </w:r>
    </w:p>
    <w:p>
      <w:pPr>
        <w:rPr>
          <w:rFonts w:ascii="仿宋" w:hAnsi="仿宋" w:eastAsia="仿宋" w:cs="仿宋"/>
          <w:b/>
          <w:bCs/>
          <w:color w:val="000000"/>
          <w:kern w:val="0"/>
          <w:sz w:val="32"/>
          <w:szCs w:val="32"/>
        </w:rPr>
      </w:pPr>
      <w:r>
        <w:rPr>
          <w:rFonts w:hint="eastAsia" w:ascii="仿宋" w:hAnsi="仿宋" w:eastAsia="仿宋" w:cs="仿宋"/>
          <w:b/>
          <w:bCs/>
          <w:color w:val="000000"/>
          <w:kern w:val="0"/>
          <w:sz w:val="32"/>
          <w:szCs w:val="32"/>
        </w:rPr>
        <w:t>三、目标完成情况</w:t>
      </w:r>
    </w:p>
    <w:p>
      <w:pPr>
        <w:rPr>
          <w:rFonts w:ascii="仿宋" w:hAnsi="仿宋" w:eastAsia="仿宋" w:cs="仿宋"/>
          <w:color w:val="000000"/>
          <w:kern w:val="0"/>
          <w:sz w:val="32"/>
          <w:szCs w:val="32"/>
        </w:rPr>
      </w:pPr>
      <w:r>
        <w:rPr>
          <w:rFonts w:hint="eastAsia" w:ascii="仿宋" w:hAnsi="仿宋" w:eastAsia="仿宋" w:cs="仿宋"/>
          <w:color w:val="000000"/>
          <w:kern w:val="0"/>
          <w:sz w:val="32"/>
          <w:szCs w:val="32"/>
        </w:rPr>
        <w:t>（一）目标任务量完成情况。</w:t>
      </w:r>
    </w:p>
    <w:p>
      <w:pPr>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lang w:val="zh-CN"/>
        </w:rPr>
        <w:t>全年共计完成宫颈癌筛查503人、乳腺癌筛查532人，完成率超100%。</w:t>
      </w:r>
    </w:p>
    <w:p>
      <w:pPr>
        <w:numPr>
          <w:ilvl w:val="0"/>
          <w:numId w:val="6"/>
        </w:numPr>
        <w:rPr>
          <w:rFonts w:ascii="仿宋" w:hAnsi="仿宋" w:eastAsia="仿宋" w:cs="仿宋"/>
          <w:color w:val="000000"/>
          <w:kern w:val="0"/>
          <w:sz w:val="32"/>
          <w:szCs w:val="32"/>
        </w:rPr>
      </w:pPr>
      <w:r>
        <w:rPr>
          <w:rFonts w:hint="eastAsia" w:ascii="仿宋" w:hAnsi="仿宋" w:eastAsia="仿宋" w:cs="仿宋"/>
          <w:color w:val="000000"/>
          <w:kern w:val="0"/>
          <w:sz w:val="32"/>
          <w:szCs w:val="32"/>
        </w:rPr>
        <w:t>目标质量完成情况。</w:t>
      </w:r>
    </w:p>
    <w:p>
      <w:pPr>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按时完成任务数，完成率超100%，筛查符合相关技术规范，存档资料编号，按序存放，专人专管，做好保密工作。</w:t>
      </w:r>
    </w:p>
    <w:p>
      <w:pPr>
        <w:rPr>
          <w:rFonts w:ascii="仿宋" w:hAnsi="仿宋" w:eastAsia="仿宋" w:cs="仿宋"/>
          <w:color w:val="000000"/>
          <w:kern w:val="0"/>
          <w:sz w:val="32"/>
          <w:szCs w:val="32"/>
        </w:rPr>
      </w:pPr>
      <w:r>
        <w:rPr>
          <w:rFonts w:hint="eastAsia" w:ascii="仿宋" w:hAnsi="仿宋" w:eastAsia="仿宋" w:cs="仿宋"/>
          <w:color w:val="000000"/>
          <w:kern w:val="0"/>
          <w:sz w:val="32"/>
          <w:szCs w:val="32"/>
        </w:rPr>
        <w:t>（三）目标进度完成情况。</w:t>
      </w:r>
    </w:p>
    <w:p>
      <w:pPr>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项目实施采取下乡义诊巡诊及我单位门诊相结合的模式进行筛查，按时完成任务。</w:t>
      </w:r>
    </w:p>
    <w:p>
      <w:pPr>
        <w:rPr>
          <w:rFonts w:ascii="仿宋" w:hAnsi="仿宋" w:eastAsia="仿宋" w:cs="仿宋"/>
          <w:b/>
          <w:bCs/>
          <w:color w:val="000000"/>
          <w:kern w:val="0"/>
          <w:sz w:val="32"/>
          <w:szCs w:val="32"/>
        </w:rPr>
      </w:pPr>
      <w:r>
        <w:rPr>
          <w:rFonts w:hint="eastAsia" w:ascii="仿宋" w:hAnsi="仿宋" w:eastAsia="仿宋" w:cs="仿宋"/>
          <w:b/>
          <w:bCs/>
          <w:color w:val="000000"/>
          <w:kern w:val="0"/>
          <w:sz w:val="32"/>
          <w:szCs w:val="32"/>
        </w:rPr>
        <w:t>四、项目效益情况</w:t>
      </w:r>
    </w:p>
    <w:p>
      <w:pPr>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通过“</w:t>
      </w:r>
      <w:r>
        <w:rPr>
          <w:rStyle w:val="38"/>
          <w:rFonts w:hint="eastAsia" w:ascii="仿宋" w:hAnsi="仿宋" w:eastAsia="仿宋"/>
          <w:color w:val="000000"/>
          <w:kern w:val="0"/>
          <w:sz w:val="32"/>
          <w:szCs w:val="32"/>
        </w:rPr>
        <w:t>乳腺癌、宫颈癌</w:t>
      </w:r>
      <w:r>
        <w:rPr>
          <w:rFonts w:hint="eastAsia" w:ascii="仿宋" w:hAnsi="仿宋" w:eastAsia="仿宋" w:cs="仿宋"/>
          <w:color w:val="000000"/>
          <w:kern w:val="0"/>
          <w:sz w:val="32"/>
          <w:szCs w:val="32"/>
        </w:rPr>
        <w:t>”筛查，提高</w:t>
      </w:r>
      <w:r>
        <w:rPr>
          <w:rStyle w:val="38"/>
          <w:rFonts w:hint="eastAsia" w:ascii="仿宋" w:hAnsi="仿宋" w:eastAsia="仿宋"/>
          <w:color w:val="000000"/>
          <w:kern w:val="0"/>
          <w:sz w:val="32"/>
          <w:szCs w:val="32"/>
        </w:rPr>
        <w:t>乳腺癌、宫颈癌</w:t>
      </w:r>
      <w:r>
        <w:rPr>
          <w:rFonts w:hint="eastAsia" w:ascii="仿宋" w:hAnsi="仿宋" w:eastAsia="仿宋" w:cs="仿宋"/>
          <w:color w:val="000000"/>
          <w:kern w:val="0"/>
          <w:sz w:val="32"/>
          <w:szCs w:val="32"/>
        </w:rPr>
        <w:t>的早发现、早诊断、早治疗率，达到了关爱妇女健康、减轻农牧民经济负担、提高生活品质的项目预期目的。</w:t>
      </w:r>
    </w:p>
    <w:p>
      <w:pPr>
        <w:rPr>
          <w:rFonts w:ascii="仿宋" w:hAnsi="仿宋" w:eastAsia="仿宋" w:cs="仿宋"/>
          <w:b/>
          <w:bCs/>
          <w:color w:val="000000"/>
          <w:kern w:val="0"/>
          <w:sz w:val="32"/>
          <w:szCs w:val="32"/>
        </w:rPr>
      </w:pPr>
      <w:r>
        <w:rPr>
          <w:rFonts w:hint="eastAsia" w:ascii="仿宋" w:hAnsi="仿宋" w:eastAsia="仿宋" w:cs="仿宋"/>
          <w:b/>
          <w:bCs/>
          <w:color w:val="000000"/>
          <w:kern w:val="0"/>
          <w:sz w:val="32"/>
          <w:szCs w:val="32"/>
        </w:rPr>
        <w:t>五、问题及建议</w:t>
      </w:r>
    </w:p>
    <w:p>
      <w:pPr>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一）存在的问题：我县地广人稀，农牧民自我保健意识低，很多适龄的妇女拒绝做妇科检查，因此宫颈癌筛查参与度不高；存在个别妇女重复筛查情况；由于工作强度不一，条件有限，手写填写信息较多，筛查资料字迹潦草，增加了后期汇总和核实信息的难度。</w:t>
      </w:r>
    </w:p>
    <w:p>
      <w:pPr>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（二）相关建议：一是要强化宣传力度，提高群众知晓率和参与率；二是完善筛查信息系统检查，力争配备一台笔记本电脑加身份证识别器或一个筛查系统，用于检查同一人重复筛查。</w:t>
      </w:r>
    </w:p>
    <w:p>
      <w:pPr>
        <w:spacing w:line="600" w:lineRule="exact"/>
        <w:jc w:val="center"/>
        <w:outlineLvl w:val="0"/>
        <w:rPr>
          <w:rFonts w:ascii="仿宋" w:hAnsi="仿宋" w:eastAsia="仿宋" w:cs="仿宋"/>
          <w:b/>
          <w:bCs/>
          <w:color w:val="000000"/>
          <w:kern w:val="0"/>
          <w:sz w:val="44"/>
          <w:szCs w:val="44"/>
        </w:rPr>
      </w:pPr>
    </w:p>
    <w:p>
      <w:pPr>
        <w:spacing w:line="600" w:lineRule="exact"/>
        <w:jc w:val="left"/>
        <w:outlineLvl w:val="0"/>
        <w:rPr>
          <w:rFonts w:ascii="黑体" w:hAnsi="黑体" w:eastAsia="黑体" w:cs="黑体"/>
          <w:sz w:val="32"/>
          <w:szCs w:val="32"/>
        </w:rPr>
      </w:pPr>
      <w:r>
        <w:rPr>
          <w:rFonts w:hint="eastAsia" w:ascii="黑体" w:hAnsi="黑体" w:eastAsia="黑体" w:cs="黑体"/>
          <w:sz w:val="32"/>
          <w:szCs w:val="32"/>
        </w:rPr>
        <w:t>附件</w:t>
      </w:r>
      <w:r>
        <w:rPr>
          <w:rFonts w:ascii="黑体" w:hAnsi="黑体" w:eastAsia="黑体" w:cs="黑体"/>
          <w:sz w:val="32"/>
          <w:szCs w:val="32"/>
        </w:rPr>
        <w:t>2</w:t>
      </w:r>
      <w:r>
        <w:rPr>
          <w:rFonts w:hint="eastAsia" w:ascii="黑体" w:hAnsi="黑体" w:eastAsia="黑体" w:cs="黑体"/>
          <w:sz w:val="32"/>
          <w:szCs w:val="32"/>
        </w:rPr>
        <w:t>-2</w:t>
      </w:r>
    </w:p>
    <w:p>
      <w:pPr>
        <w:spacing w:line="600" w:lineRule="exact"/>
        <w:outlineLvl w:val="0"/>
        <w:rPr>
          <w:rFonts w:ascii="仿宋" w:hAnsi="仿宋" w:eastAsia="仿宋" w:cs="仿宋"/>
          <w:b/>
          <w:bCs/>
          <w:color w:val="000000"/>
          <w:kern w:val="0"/>
          <w:sz w:val="44"/>
          <w:szCs w:val="44"/>
        </w:rPr>
      </w:pPr>
    </w:p>
    <w:p>
      <w:pPr>
        <w:spacing w:line="600" w:lineRule="exact"/>
        <w:jc w:val="center"/>
        <w:outlineLvl w:val="0"/>
        <w:rPr>
          <w:rFonts w:ascii="仿宋" w:hAnsi="仿宋" w:eastAsia="仿宋" w:cs="仿宋"/>
          <w:b/>
          <w:bCs/>
          <w:color w:val="000000"/>
          <w:kern w:val="0"/>
          <w:sz w:val="44"/>
          <w:szCs w:val="44"/>
        </w:rPr>
      </w:pPr>
      <w:r>
        <w:rPr>
          <w:rFonts w:hint="eastAsia" w:ascii="方正小标宋简体" w:hAnsi="黑体" w:eastAsia="方正小标宋简体" w:cs="黑体"/>
          <w:sz w:val="44"/>
          <w:szCs w:val="44"/>
        </w:rPr>
        <w:t>2021年</w:t>
      </w:r>
      <w:r>
        <w:rPr>
          <w:rFonts w:hint="eastAsia" w:ascii="仿宋" w:hAnsi="仿宋" w:eastAsia="仿宋" w:cs="仿宋"/>
          <w:b/>
          <w:bCs/>
          <w:color w:val="000000"/>
          <w:kern w:val="0"/>
          <w:sz w:val="44"/>
          <w:szCs w:val="44"/>
        </w:rPr>
        <w:t>县级计生事业费项目</w:t>
      </w:r>
    </w:p>
    <w:p>
      <w:pPr>
        <w:spacing w:line="600" w:lineRule="exact"/>
        <w:ind w:firstLine="3080" w:firstLineChars="700"/>
        <w:outlineLvl w:val="0"/>
        <w:rPr>
          <w:rFonts w:ascii="方正小标宋简体" w:hAnsi="黑体" w:eastAsia="方正小标宋简体" w:cs="黑体"/>
          <w:sz w:val="44"/>
          <w:szCs w:val="44"/>
        </w:rPr>
      </w:pPr>
      <w:r>
        <w:rPr>
          <w:rFonts w:hint="eastAsia" w:ascii="方正小标宋简体" w:hAnsi="黑体" w:eastAsia="方正小标宋简体" w:cs="黑体"/>
          <w:sz w:val="44"/>
          <w:szCs w:val="44"/>
        </w:rPr>
        <w:t>绩效评价报告</w:t>
      </w:r>
    </w:p>
    <w:p>
      <w:pPr>
        <w:spacing w:line="600" w:lineRule="exact"/>
        <w:jc w:val="center"/>
        <w:outlineLvl w:val="0"/>
        <w:rPr>
          <w:rFonts w:ascii="方正小标宋简体" w:hAnsi="黑体" w:eastAsia="方正小标宋简体" w:cs="黑体"/>
          <w:sz w:val="44"/>
          <w:szCs w:val="44"/>
        </w:rPr>
      </w:pPr>
    </w:p>
    <w:p>
      <w:pPr>
        <w:numPr>
          <w:ilvl w:val="0"/>
          <w:numId w:val="7"/>
        </w:numPr>
        <w:rPr>
          <w:rFonts w:ascii="仿宋" w:hAnsi="仿宋" w:eastAsia="仿宋" w:cs="仿宋"/>
          <w:b/>
          <w:bCs/>
          <w:color w:val="000000"/>
          <w:kern w:val="0"/>
          <w:sz w:val="32"/>
          <w:szCs w:val="32"/>
        </w:rPr>
      </w:pPr>
      <w:r>
        <w:rPr>
          <w:rFonts w:hint="eastAsia" w:ascii="仿宋" w:hAnsi="仿宋" w:eastAsia="仿宋" w:cs="仿宋"/>
          <w:b/>
          <w:bCs/>
          <w:color w:val="000000"/>
          <w:kern w:val="0"/>
          <w:sz w:val="32"/>
          <w:szCs w:val="32"/>
        </w:rPr>
        <w:t>项目概况</w:t>
      </w:r>
    </w:p>
    <w:p>
      <w:pPr>
        <w:rPr>
          <w:rFonts w:ascii="仿宋" w:hAnsi="仿宋" w:eastAsia="仿宋" w:cs="仿宋"/>
          <w:sz w:val="32"/>
          <w:szCs w:val="32"/>
        </w:rPr>
      </w:pPr>
      <w:r>
        <w:rPr>
          <w:rFonts w:hint="eastAsia" w:ascii="仿宋" w:hAnsi="仿宋" w:eastAsia="仿宋" w:cs="仿宋"/>
          <w:sz w:val="32"/>
          <w:szCs w:val="32"/>
        </w:rPr>
        <w:t xml:space="preserve">   此项目用于本年度开展全县避孕药具工作，通过开展避孕药具管理培训工作，加强各乡镇计生专干、卫生院药具管理人员对避孕药具的规范化管理，在各乡镇建立人工发放药具网点，使群众领取避孕药具更便捷。通过免费发放避孕药具，降低非计划外生育和传染病的发生率，保障女性生殖健康和生育能力。</w:t>
      </w:r>
    </w:p>
    <w:p>
      <w:pPr>
        <w:numPr>
          <w:ilvl w:val="0"/>
          <w:numId w:val="8"/>
        </w:numPr>
        <w:rPr>
          <w:rFonts w:ascii="仿宋" w:hAnsi="仿宋" w:eastAsia="仿宋" w:cs="仿宋"/>
          <w:b/>
          <w:bCs/>
          <w:color w:val="000000"/>
          <w:kern w:val="0"/>
          <w:sz w:val="32"/>
          <w:szCs w:val="32"/>
        </w:rPr>
      </w:pPr>
      <w:r>
        <w:rPr>
          <w:rFonts w:hint="eastAsia" w:ascii="仿宋" w:hAnsi="仿宋" w:eastAsia="仿宋" w:cs="仿宋"/>
          <w:b/>
          <w:bCs/>
          <w:color w:val="000000"/>
          <w:kern w:val="0"/>
          <w:sz w:val="32"/>
          <w:szCs w:val="32"/>
        </w:rPr>
        <w:t>项目资金申报及批复情况。</w:t>
      </w:r>
    </w:p>
    <w:p>
      <w:pPr>
        <w:ind w:firstLine="640" w:firstLineChars="200"/>
        <w:outlineLvl w:val="0"/>
        <w:rPr>
          <w:rFonts w:ascii="仿宋" w:hAnsi="仿宋" w:eastAsia="仿宋" w:cs="仿宋"/>
          <w:sz w:val="32"/>
          <w:szCs w:val="32"/>
        </w:rPr>
      </w:pPr>
      <w:r>
        <w:rPr>
          <w:rFonts w:hint="eastAsia" w:ascii="仿宋" w:hAnsi="仿宋" w:eastAsia="仿宋" w:cs="仿宋"/>
          <w:sz w:val="32"/>
          <w:szCs w:val="32"/>
        </w:rPr>
        <w:t>此项目资金于2021年06月下拨至本单位，由壤财预【2021】3175-1号文件下达，资金来源为县级补助资金8.31万元。此项目用于开展全县避孕药具工作经费，主要用于：1.各乡镇避孕药具发放机维护，预计使用资金2500元；2.下乡开展避孕药具督导工作，每季度一次，预计2000元；3.购买避孕药具发放机一台，预计使用资金6500元；4.开展避孕药具管理培训工作,一年1次，预计使用资金14000元；5.参加上级避孕药具培训，预计使用资金5000元；6.制作并发放避孕药具宣传资料等，预计使用资金40000元；7.支付避孕药具发放机信息管理费、电费，避孕药具搬运，预计使用资金13000元。</w:t>
      </w:r>
    </w:p>
    <w:p>
      <w:pPr>
        <w:numPr>
          <w:ilvl w:val="0"/>
          <w:numId w:val="8"/>
        </w:numPr>
        <w:outlineLvl w:val="0"/>
        <w:rPr>
          <w:rFonts w:ascii="仿宋" w:hAnsi="仿宋" w:eastAsia="仿宋" w:cs="仿宋"/>
          <w:sz w:val="32"/>
          <w:szCs w:val="32"/>
        </w:rPr>
      </w:pPr>
      <w:r>
        <w:rPr>
          <w:rFonts w:hint="eastAsia" w:ascii="仿宋" w:hAnsi="仿宋" w:eastAsia="仿宋" w:cs="仿宋"/>
          <w:b/>
          <w:bCs/>
          <w:sz w:val="32"/>
          <w:szCs w:val="32"/>
        </w:rPr>
        <w:t>项目绩效目标</w:t>
      </w:r>
      <w:r>
        <w:rPr>
          <w:rFonts w:hint="eastAsia" w:ascii="仿宋" w:hAnsi="仿宋" w:eastAsia="仿宋" w:cs="仿宋"/>
          <w:sz w:val="32"/>
          <w:szCs w:val="32"/>
        </w:rPr>
        <w:t>。</w:t>
      </w:r>
    </w:p>
    <w:p>
      <w:pPr>
        <w:ind w:firstLine="640" w:firstLineChars="200"/>
        <w:rPr>
          <w:rFonts w:ascii="仿宋" w:hAnsi="仿宋" w:eastAsia="仿宋" w:cs="仿宋"/>
          <w:sz w:val="32"/>
          <w:szCs w:val="32"/>
        </w:rPr>
      </w:pPr>
      <w:r>
        <w:rPr>
          <w:rFonts w:hint="eastAsia" w:ascii="仿宋" w:hAnsi="仿宋" w:eastAsia="仿宋" w:cs="仿宋"/>
          <w:sz w:val="32"/>
          <w:szCs w:val="32"/>
        </w:rPr>
        <w:t>此项目绩效指标涉及产出指标、效益指标、满意度指标三大类，一是产出指标中涉及数量指标、质量指标、时效指标、成本指标主要说明该项目开展的工作内容，比如：下乡开展避孕药具督导工作，开展避孕药具管理培训工作，通过培训，加强各乡镇计生专干、卫生院药具管理人员对避孕药具的规范化管理。制作宣传资料、宣传品，通过加大宣传力度，提高群众对避孕药具的知晓率。开展避孕药具发放机故障抢修等工作；二是效益指标中涉及社会效益指标、经济效益指标主要说明该项目工作开展后产生的成果，比如：免费发放避孕药具，保护女性健康和生育能力，降低非计划外生育等；三是满意度指标主要说明该项目实施后服务对象满意度。</w:t>
      </w:r>
    </w:p>
    <w:p>
      <w:pPr>
        <w:outlineLvl w:val="0"/>
        <w:rPr>
          <w:rFonts w:ascii="仿宋" w:hAnsi="仿宋" w:eastAsia="仿宋" w:cs="仿宋"/>
          <w:b/>
          <w:bCs/>
          <w:sz w:val="32"/>
          <w:szCs w:val="32"/>
        </w:rPr>
      </w:pPr>
      <w:r>
        <w:rPr>
          <w:rFonts w:hint="eastAsia" w:ascii="仿宋" w:hAnsi="仿宋" w:eastAsia="仿宋" w:cs="仿宋"/>
          <w:b/>
          <w:bCs/>
          <w:sz w:val="32"/>
          <w:szCs w:val="32"/>
        </w:rPr>
        <w:t>（三）项目资金申报相符性。</w:t>
      </w:r>
    </w:p>
    <w:p>
      <w:pPr>
        <w:outlineLvl w:val="0"/>
        <w:rPr>
          <w:rFonts w:ascii="仿宋" w:hAnsi="仿宋" w:eastAsia="仿宋" w:cs="仿宋"/>
          <w:sz w:val="32"/>
          <w:szCs w:val="32"/>
        </w:rPr>
      </w:pPr>
      <w:r>
        <w:rPr>
          <w:rFonts w:hint="eastAsia" w:ascii="仿宋" w:hAnsi="仿宋" w:eastAsia="仿宋" w:cs="仿宋"/>
          <w:sz w:val="32"/>
          <w:szCs w:val="32"/>
        </w:rPr>
        <w:t>项目申报内容与具体实施内容相符、申报目标合理可行。</w:t>
      </w:r>
    </w:p>
    <w:p>
      <w:pPr>
        <w:rPr>
          <w:rFonts w:ascii="仿宋" w:hAnsi="仿宋" w:eastAsia="仿宋" w:cs="仿宋"/>
          <w:b/>
          <w:bCs/>
          <w:color w:val="000000"/>
          <w:kern w:val="0"/>
          <w:sz w:val="32"/>
          <w:szCs w:val="32"/>
        </w:rPr>
      </w:pPr>
      <w:r>
        <w:rPr>
          <w:rFonts w:hint="eastAsia" w:ascii="仿宋" w:hAnsi="仿宋" w:eastAsia="仿宋" w:cs="仿宋"/>
          <w:b/>
          <w:bCs/>
          <w:color w:val="000000"/>
          <w:kern w:val="0"/>
          <w:sz w:val="32"/>
          <w:szCs w:val="32"/>
        </w:rPr>
        <w:t>二、项目实施及管理情况</w:t>
      </w:r>
    </w:p>
    <w:p>
      <w:pPr>
        <w:rPr>
          <w:rFonts w:ascii="仿宋" w:hAnsi="仿宋" w:eastAsia="仿宋" w:cs="仿宋"/>
          <w:b/>
          <w:bCs/>
          <w:color w:val="000000"/>
          <w:kern w:val="0"/>
          <w:sz w:val="32"/>
          <w:szCs w:val="32"/>
        </w:rPr>
      </w:pPr>
      <w:r>
        <w:rPr>
          <w:rFonts w:hint="eastAsia" w:ascii="仿宋" w:hAnsi="仿宋" w:eastAsia="仿宋" w:cs="仿宋"/>
          <w:b/>
          <w:bCs/>
          <w:color w:val="000000"/>
          <w:kern w:val="0"/>
          <w:sz w:val="32"/>
          <w:szCs w:val="32"/>
        </w:rPr>
        <w:t>（一）资金计划、到位及使用情况。</w:t>
      </w:r>
    </w:p>
    <w:p>
      <w:pPr>
        <w:adjustRightInd w:val="0"/>
        <w:snapToGrid w:val="0"/>
        <w:spacing w:line="560" w:lineRule="exact"/>
        <w:ind w:firstLine="320" w:firstLineChars="100"/>
        <w:rPr>
          <w:rFonts w:ascii="仿宋" w:hAnsi="仿宋" w:eastAsia="仿宋" w:cs="仿宋"/>
          <w:color w:val="000000"/>
          <w:kern w:val="0"/>
          <w:sz w:val="32"/>
          <w:szCs w:val="32"/>
        </w:rPr>
      </w:pPr>
      <w:r>
        <w:rPr>
          <w:rFonts w:hint="eastAsia" w:ascii="仿宋" w:hAnsi="仿宋" w:eastAsia="仿宋" w:cs="仿宋"/>
          <w:color w:val="000000"/>
          <w:kern w:val="0"/>
          <w:sz w:val="32"/>
          <w:szCs w:val="32"/>
        </w:rPr>
        <w:t>1、</w:t>
      </w:r>
      <w:r>
        <w:rPr>
          <w:rFonts w:hint="eastAsia" w:ascii="仿宋" w:hAnsi="仿宋" w:eastAsia="仿宋" w:cs="仿宋"/>
          <w:b/>
          <w:bCs/>
          <w:color w:val="000000"/>
          <w:kern w:val="0"/>
          <w:sz w:val="32"/>
          <w:szCs w:val="32"/>
        </w:rPr>
        <w:t>资金计划及到位</w:t>
      </w:r>
      <w:r>
        <w:rPr>
          <w:rFonts w:hint="eastAsia" w:ascii="仿宋" w:hAnsi="仿宋" w:eastAsia="仿宋" w:cs="仿宋"/>
          <w:color w:val="000000"/>
          <w:kern w:val="0"/>
          <w:sz w:val="32"/>
          <w:szCs w:val="32"/>
        </w:rPr>
        <w:t>：2021年计生事业费（避孕药具工作经费）8.31万元。</w:t>
      </w:r>
    </w:p>
    <w:p>
      <w:pPr>
        <w:adjustRightInd w:val="0"/>
        <w:snapToGrid w:val="0"/>
        <w:spacing w:line="560" w:lineRule="exact"/>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2、</w:t>
      </w:r>
      <w:r>
        <w:rPr>
          <w:rFonts w:hint="eastAsia" w:ascii="仿宋" w:hAnsi="仿宋" w:eastAsia="仿宋" w:cs="仿宋"/>
          <w:b/>
          <w:bCs/>
          <w:color w:val="000000"/>
          <w:kern w:val="0"/>
          <w:sz w:val="32"/>
          <w:szCs w:val="32"/>
        </w:rPr>
        <w:t>资金使用</w:t>
      </w:r>
      <w:r>
        <w:rPr>
          <w:rFonts w:hint="eastAsia" w:ascii="仿宋" w:hAnsi="仿宋" w:eastAsia="仿宋" w:cs="仿宋"/>
          <w:color w:val="000000"/>
          <w:kern w:val="0"/>
          <w:sz w:val="32"/>
          <w:szCs w:val="32"/>
        </w:rPr>
        <w:t>：截止到2021年12月31日，此项目已经拨付了8.3万元。主要用于：1.维护各乡镇避孕药具发放机；2.下乡开展避孕药具督导工作；3.购买避孕药具发放机一台；4.开展避孕药具管理培训工作；5.参加上级避孕药具培训；6.制作并发放避孕药具宣传资料等；7.支付避孕药具发放机信息管理费、电费，避孕药具搬运。支付依据合规合法，资金支付与预算相符。</w:t>
      </w:r>
    </w:p>
    <w:p>
      <w:pPr>
        <w:rPr>
          <w:rFonts w:ascii="仿宋" w:hAnsi="仿宋" w:eastAsia="仿宋" w:cs="仿宋"/>
          <w:b/>
          <w:bCs/>
          <w:color w:val="000000"/>
          <w:kern w:val="0"/>
          <w:sz w:val="32"/>
          <w:szCs w:val="32"/>
        </w:rPr>
      </w:pPr>
      <w:r>
        <w:rPr>
          <w:rFonts w:hint="eastAsia" w:ascii="仿宋" w:hAnsi="仿宋" w:eastAsia="仿宋" w:cs="仿宋"/>
          <w:b/>
          <w:bCs/>
          <w:color w:val="000000"/>
          <w:kern w:val="0"/>
          <w:sz w:val="32"/>
          <w:szCs w:val="32"/>
        </w:rPr>
        <w:t>（二）项目财务管理情况。</w:t>
      </w:r>
    </w:p>
    <w:p>
      <w:pPr>
        <w:adjustRightInd w:val="0"/>
        <w:snapToGrid w:val="0"/>
        <w:spacing w:line="560" w:lineRule="exact"/>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2021年计生事业费（避孕药具工作经费）项目经费采取直接支付形式，严格按照项目资金管理办法对资金进行计划申请、划拨、使用，及时、规范对收支进行账务处理和会计核算。</w:t>
      </w:r>
    </w:p>
    <w:p>
      <w:pPr>
        <w:ind w:firstLine="643" w:firstLineChars="200"/>
        <w:rPr>
          <w:rFonts w:ascii="仿宋" w:hAnsi="仿宋" w:eastAsia="仿宋" w:cs="仿宋"/>
          <w:b/>
          <w:bCs/>
          <w:color w:val="000000"/>
          <w:kern w:val="0"/>
          <w:sz w:val="32"/>
          <w:szCs w:val="32"/>
        </w:rPr>
      </w:pPr>
      <w:r>
        <w:rPr>
          <w:rFonts w:hint="eastAsia" w:ascii="仿宋" w:hAnsi="仿宋" w:eastAsia="仿宋" w:cs="仿宋"/>
          <w:b/>
          <w:bCs/>
          <w:color w:val="000000"/>
          <w:kern w:val="0"/>
          <w:sz w:val="32"/>
          <w:szCs w:val="32"/>
        </w:rPr>
        <w:t>（三）项目组织实施情况。</w:t>
      </w:r>
    </w:p>
    <w:p>
      <w:pPr>
        <w:ind w:firstLine="640" w:firstLineChars="200"/>
        <w:rPr>
          <w:rStyle w:val="38"/>
          <w:rFonts w:ascii="仿宋" w:hAnsi="仿宋" w:eastAsia="仿宋"/>
          <w:color w:val="000000"/>
          <w:kern w:val="0"/>
          <w:sz w:val="32"/>
          <w:szCs w:val="32"/>
        </w:rPr>
      </w:pPr>
      <w:r>
        <w:rPr>
          <w:rStyle w:val="38"/>
          <w:rFonts w:hint="eastAsia" w:ascii="仿宋" w:hAnsi="仿宋" w:eastAsia="仿宋"/>
          <w:color w:val="000000"/>
          <w:kern w:val="0"/>
          <w:sz w:val="32"/>
          <w:szCs w:val="32"/>
        </w:rPr>
        <w:t>此项目由我单位组织实施，制定项目实施方案。资金在使用过程中严格按照我单位制定的项目实施方案和县财政对资金支付管理要求进行资金拨付，做到专款专用。</w:t>
      </w:r>
    </w:p>
    <w:p>
      <w:pPr>
        <w:ind w:firstLine="321" w:firstLineChars="100"/>
        <w:rPr>
          <w:rFonts w:ascii="仿宋" w:hAnsi="仿宋" w:eastAsia="仿宋" w:cs="仿宋"/>
          <w:b/>
          <w:bCs/>
          <w:color w:val="000000"/>
          <w:kern w:val="0"/>
          <w:sz w:val="32"/>
          <w:szCs w:val="32"/>
        </w:rPr>
      </w:pPr>
      <w:r>
        <w:rPr>
          <w:rFonts w:hint="eastAsia" w:ascii="仿宋" w:hAnsi="仿宋" w:eastAsia="仿宋" w:cs="仿宋"/>
          <w:b/>
          <w:bCs/>
          <w:color w:val="000000"/>
          <w:kern w:val="0"/>
          <w:sz w:val="32"/>
          <w:szCs w:val="32"/>
        </w:rPr>
        <w:t>三、目标完成情况</w:t>
      </w:r>
    </w:p>
    <w:p>
      <w:pPr>
        <w:rPr>
          <w:rFonts w:ascii="仿宋" w:hAnsi="仿宋" w:eastAsia="仿宋" w:cs="仿宋"/>
          <w:b/>
          <w:bCs/>
          <w:color w:val="000000"/>
          <w:kern w:val="0"/>
          <w:sz w:val="32"/>
          <w:szCs w:val="32"/>
        </w:rPr>
      </w:pPr>
      <w:r>
        <w:rPr>
          <w:rFonts w:hint="eastAsia" w:ascii="仿宋" w:hAnsi="仿宋" w:eastAsia="仿宋" w:cs="仿宋"/>
          <w:b/>
          <w:bCs/>
          <w:color w:val="000000"/>
          <w:kern w:val="0"/>
          <w:sz w:val="32"/>
          <w:szCs w:val="32"/>
        </w:rPr>
        <w:t>（一）目标任务量完成情况。</w:t>
      </w:r>
    </w:p>
    <w:p>
      <w:pPr>
        <w:ind w:firstLine="640" w:firstLineChars="200"/>
        <w:outlineLvl w:val="0"/>
        <w:rPr>
          <w:rFonts w:ascii="仿宋" w:hAnsi="仿宋" w:eastAsia="仿宋" w:cs="仿宋"/>
          <w:color w:val="000000"/>
          <w:kern w:val="0"/>
          <w:sz w:val="32"/>
          <w:szCs w:val="32"/>
        </w:rPr>
      </w:pPr>
      <w:r>
        <w:rPr>
          <w:rFonts w:hint="eastAsia" w:ascii="仿宋" w:hAnsi="仿宋" w:eastAsia="仿宋" w:cs="仿宋"/>
          <w:sz w:val="32"/>
          <w:szCs w:val="32"/>
        </w:rPr>
        <w:t>2021年，避孕药具经费用于：1.下乡开展避孕药具督导工作，每季度一次，共计督导4次，该部分完成率为100%；   2.购买避孕药具发放机1台，该部分完成率为100%。</w:t>
      </w:r>
    </w:p>
    <w:p>
      <w:pPr>
        <w:rPr>
          <w:rFonts w:ascii="仿宋" w:hAnsi="仿宋" w:eastAsia="仿宋" w:cs="仿宋"/>
          <w:b/>
          <w:bCs/>
          <w:color w:val="000000"/>
          <w:kern w:val="0"/>
          <w:sz w:val="32"/>
          <w:szCs w:val="32"/>
        </w:rPr>
      </w:pPr>
      <w:r>
        <w:rPr>
          <w:rFonts w:hint="eastAsia" w:ascii="仿宋" w:hAnsi="仿宋" w:eastAsia="仿宋" w:cs="仿宋"/>
          <w:b/>
          <w:bCs/>
          <w:color w:val="000000"/>
          <w:kern w:val="0"/>
          <w:sz w:val="32"/>
          <w:szCs w:val="32"/>
        </w:rPr>
        <w:t>（二）目标质量完成情况。</w:t>
      </w:r>
    </w:p>
    <w:p>
      <w:pPr>
        <w:ind w:firstLine="640" w:firstLineChars="200"/>
        <w:rPr>
          <w:rFonts w:ascii="仿宋" w:hAnsi="仿宋" w:eastAsia="仿宋" w:cs="仿宋"/>
          <w:color w:val="000000"/>
          <w:kern w:val="0"/>
          <w:sz w:val="32"/>
          <w:szCs w:val="32"/>
        </w:rPr>
      </w:pPr>
      <w:r>
        <w:rPr>
          <w:rFonts w:hint="eastAsia" w:ascii="仿宋" w:hAnsi="仿宋" w:eastAsia="仿宋" w:cs="仿宋"/>
          <w:sz w:val="32"/>
          <w:szCs w:val="32"/>
        </w:rPr>
        <w:t>1.开展避孕药具管理培训工作,一年1次，2021年我县避孕药具管理培训工作开展一次，该部分完成率为100%；2.参加上级避孕药具培训，共计参加上级培训工作2次，外出学习1次，该部分完成率为100%；3.发放避孕药具宣传资料、登记本等，宣传资料共计发放5000余份，登记本发放85本，发放宣传品价值20000余元，通过宣传，群众知晓率达90%，该部分完成率为90%；4.2021年免费避孕药具发放率达100%。</w:t>
      </w:r>
    </w:p>
    <w:p>
      <w:pPr>
        <w:ind w:firstLine="321" w:firstLineChars="100"/>
        <w:rPr>
          <w:rFonts w:ascii="仿宋" w:hAnsi="仿宋" w:eastAsia="仿宋" w:cs="仿宋"/>
          <w:b/>
          <w:bCs/>
          <w:color w:val="000000"/>
          <w:kern w:val="0"/>
          <w:sz w:val="32"/>
          <w:szCs w:val="32"/>
        </w:rPr>
      </w:pPr>
      <w:r>
        <w:rPr>
          <w:rFonts w:hint="eastAsia" w:ascii="仿宋" w:hAnsi="仿宋" w:eastAsia="仿宋" w:cs="仿宋"/>
          <w:b/>
          <w:bCs/>
          <w:color w:val="000000"/>
          <w:kern w:val="0"/>
          <w:sz w:val="32"/>
          <w:szCs w:val="32"/>
        </w:rPr>
        <w:t>（三）目标进度完成情况。</w:t>
      </w:r>
    </w:p>
    <w:p>
      <w:pPr>
        <w:ind w:firstLine="320" w:firstLineChars="100"/>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对照项目预定进度计划，该项目实际进度已完成</w:t>
      </w:r>
    </w:p>
    <w:p>
      <w:pPr>
        <w:ind w:firstLine="321" w:firstLineChars="100"/>
        <w:rPr>
          <w:rFonts w:ascii="仿宋" w:hAnsi="仿宋" w:eastAsia="仿宋" w:cs="仿宋"/>
          <w:b/>
          <w:bCs/>
          <w:color w:val="000000"/>
          <w:kern w:val="0"/>
          <w:sz w:val="32"/>
          <w:szCs w:val="32"/>
        </w:rPr>
      </w:pPr>
      <w:r>
        <w:rPr>
          <w:rFonts w:hint="eastAsia" w:ascii="仿宋" w:hAnsi="仿宋" w:eastAsia="仿宋" w:cs="仿宋"/>
          <w:b/>
          <w:bCs/>
          <w:color w:val="000000"/>
          <w:kern w:val="0"/>
          <w:sz w:val="32"/>
          <w:szCs w:val="32"/>
        </w:rPr>
        <w:t>四、项目效益情况</w:t>
      </w:r>
    </w:p>
    <w:p>
      <w:pPr>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通过加大对免费避孕药具的宣传，在各乡镇、村建立人工发放网点等方式，使群众领取避孕药具更便捷，提高了群众的选择权和使用权，降低了非计划外生育，保护了女性健康和生育能力，群众满意度达100%。</w:t>
      </w:r>
    </w:p>
    <w:p>
      <w:pPr>
        <w:ind w:firstLine="321" w:firstLineChars="100"/>
        <w:rPr>
          <w:rFonts w:ascii="仿宋" w:hAnsi="仿宋" w:eastAsia="仿宋" w:cs="仿宋"/>
          <w:b/>
          <w:bCs/>
          <w:color w:val="000000"/>
          <w:kern w:val="0"/>
          <w:sz w:val="32"/>
          <w:szCs w:val="32"/>
        </w:rPr>
      </w:pPr>
      <w:r>
        <w:rPr>
          <w:rFonts w:hint="eastAsia" w:ascii="仿宋" w:hAnsi="仿宋" w:eastAsia="仿宋" w:cs="仿宋"/>
          <w:b/>
          <w:bCs/>
          <w:color w:val="000000"/>
          <w:kern w:val="0"/>
          <w:sz w:val="32"/>
          <w:szCs w:val="32"/>
        </w:rPr>
        <w:t>五、问题及建议</w:t>
      </w:r>
    </w:p>
    <w:p>
      <w:pPr>
        <w:ind w:firstLine="320" w:firstLineChars="100"/>
        <w:rPr>
          <w:rFonts w:ascii="仿宋" w:hAnsi="仿宋" w:eastAsia="仿宋" w:cs="仿宋"/>
          <w:color w:val="000000"/>
          <w:kern w:val="0"/>
          <w:sz w:val="32"/>
          <w:szCs w:val="32"/>
        </w:rPr>
      </w:pPr>
      <w:r>
        <w:rPr>
          <w:rFonts w:hint="eastAsia" w:ascii="仿宋" w:hAnsi="仿宋" w:eastAsia="仿宋" w:cs="仿宋"/>
          <w:color w:val="000000"/>
          <w:kern w:val="0"/>
          <w:sz w:val="32"/>
          <w:szCs w:val="32"/>
        </w:rPr>
        <w:t>（一）存在的问题。</w:t>
      </w:r>
    </w:p>
    <w:p>
      <w:pPr>
        <w:ind w:firstLine="640" w:firstLineChars="200"/>
        <w:rPr>
          <w:rFonts w:ascii="仿宋" w:hAnsi="仿宋" w:eastAsia="仿宋" w:cs="仿宋"/>
          <w:bCs/>
          <w:sz w:val="32"/>
          <w:szCs w:val="32"/>
        </w:rPr>
      </w:pPr>
      <w:r>
        <w:rPr>
          <w:rFonts w:hint="eastAsia" w:ascii="仿宋" w:hAnsi="仿宋" w:eastAsia="仿宋" w:cs="仿宋"/>
          <w:bCs/>
          <w:sz w:val="32"/>
          <w:szCs w:val="32"/>
        </w:rPr>
        <w:t>宣传力度不够。</w:t>
      </w:r>
    </w:p>
    <w:p>
      <w:pPr>
        <w:ind w:firstLine="640" w:firstLineChars="200"/>
        <w:rPr>
          <w:rFonts w:ascii="仿宋" w:hAnsi="仿宋" w:eastAsia="仿宋" w:cs="仿宋"/>
          <w:color w:val="000000"/>
          <w:kern w:val="0"/>
          <w:sz w:val="32"/>
          <w:szCs w:val="32"/>
        </w:rPr>
      </w:pPr>
      <w:r>
        <w:rPr>
          <w:rFonts w:hint="eastAsia" w:ascii="仿宋" w:hAnsi="仿宋" w:eastAsia="仿宋" w:cs="仿宋"/>
          <w:bCs/>
          <w:sz w:val="32"/>
          <w:szCs w:val="32"/>
        </w:rPr>
        <w:t>2.下一步改进措施：加大宣传力度。</w:t>
      </w:r>
    </w:p>
    <w:p>
      <w:pPr>
        <w:widowControl/>
        <w:jc w:val="left"/>
        <w:rPr>
          <w:rStyle w:val="23"/>
          <w:rFonts w:ascii="黑体" w:hAnsi="黑体" w:eastAsia="黑体"/>
          <w:b w:val="0"/>
        </w:rPr>
      </w:pPr>
    </w:p>
    <w:p>
      <w:pPr>
        <w:spacing w:line="600" w:lineRule="exact"/>
        <w:jc w:val="center"/>
        <w:outlineLvl w:val="0"/>
        <w:rPr>
          <w:rStyle w:val="23"/>
          <w:rFonts w:ascii="黑体" w:hAnsi="黑体" w:eastAsia="黑体"/>
          <w:b w:val="0"/>
        </w:rPr>
      </w:pPr>
      <w:bookmarkStart w:id="121" w:name="_Toc79163635"/>
      <w:bookmarkStart w:id="122" w:name="_Toc79163885"/>
      <w:bookmarkStart w:id="123" w:name="_Toc15396618"/>
      <w:r>
        <w:rPr>
          <w:rFonts w:hint="eastAsia" w:ascii="黑体" w:hAnsi="黑体" w:eastAsia="黑体"/>
          <w:color w:val="000000"/>
          <w:sz w:val="44"/>
          <w:szCs w:val="44"/>
        </w:rPr>
        <w:t>第</w:t>
      </w:r>
      <w:r>
        <w:rPr>
          <w:rStyle w:val="23"/>
          <w:rFonts w:hint="eastAsia" w:ascii="黑体" w:hAnsi="黑体" w:eastAsia="黑体"/>
          <w:b w:val="0"/>
        </w:rPr>
        <w:t>五部分</w:t>
      </w:r>
      <w:r>
        <w:rPr>
          <w:rStyle w:val="23"/>
          <w:rFonts w:ascii="黑体" w:hAnsi="黑体" w:eastAsia="黑体"/>
          <w:b w:val="0"/>
        </w:rPr>
        <w:t xml:space="preserve"> </w:t>
      </w:r>
      <w:r>
        <w:rPr>
          <w:rStyle w:val="23"/>
          <w:rFonts w:hint="eastAsia" w:ascii="黑体" w:hAnsi="黑体" w:eastAsia="黑体"/>
          <w:b w:val="0"/>
        </w:rPr>
        <w:t>附表</w:t>
      </w:r>
      <w:bookmarkEnd w:id="112"/>
      <w:bookmarkEnd w:id="121"/>
      <w:bookmarkEnd w:id="122"/>
      <w:bookmarkEnd w:id="123"/>
    </w:p>
    <w:p>
      <w:pPr>
        <w:pStyle w:val="3"/>
        <w:rPr>
          <w:rFonts w:ascii="仿宋" w:hAnsi="仿宋" w:eastAsia="仿宋"/>
          <w:color w:val="000000"/>
        </w:rPr>
      </w:pPr>
      <w:bookmarkStart w:id="124" w:name="_Toc79163636"/>
      <w:bookmarkStart w:id="125" w:name="_Toc79163886"/>
      <w:bookmarkStart w:id="126" w:name="_Toc15396619"/>
      <w:r>
        <w:rPr>
          <w:rFonts w:hint="eastAsia" w:ascii="仿宋" w:hAnsi="仿宋" w:eastAsia="仿宋"/>
          <w:b w:val="0"/>
          <w:color w:val="000000"/>
        </w:rPr>
        <w:t>一、收</w:t>
      </w:r>
      <w:r>
        <w:rPr>
          <w:rStyle w:val="24"/>
          <w:rFonts w:hint="eastAsia" w:ascii="仿宋" w:hAnsi="仿宋" w:eastAsia="仿宋"/>
          <w:b w:val="0"/>
          <w:bCs w:val="0"/>
        </w:rPr>
        <w:t>入支出决算总表</w:t>
      </w:r>
      <w:bookmarkEnd w:id="124"/>
      <w:bookmarkEnd w:id="125"/>
      <w:bookmarkEnd w:id="126"/>
    </w:p>
    <w:p>
      <w:pPr>
        <w:pStyle w:val="3"/>
        <w:rPr>
          <w:rFonts w:ascii="仿宋" w:hAnsi="仿宋" w:eastAsia="仿宋"/>
          <w:color w:val="000000"/>
        </w:rPr>
      </w:pPr>
      <w:bookmarkStart w:id="127" w:name="_Toc15396620"/>
      <w:bookmarkStart w:id="128" w:name="_Toc79163637"/>
      <w:bookmarkStart w:id="129" w:name="_Toc79163887"/>
      <w:r>
        <w:rPr>
          <w:rFonts w:hint="eastAsia" w:ascii="仿宋" w:hAnsi="仿宋" w:eastAsia="仿宋"/>
          <w:b w:val="0"/>
          <w:color w:val="000000"/>
        </w:rPr>
        <w:t>二、收</w:t>
      </w:r>
      <w:r>
        <w:rPr>
          <w:rStyle w:val="24"/>
          <w:rFonts w:hint="eastAsia" w:ascii="仿宋" w:hAnsi="仿宋" w:eastAsia="仿宋"/>
          <w:b w:val="0"/>
          <w:bCs w:val="0"/>
        </w:rPr>
        <w:t>入决算表</w:t>
      </w:r>
      <w:bookmarkEnd w:id="127"/>
      <w:bookmarkEnd w:id="128"/>
      <w:bookmarkEnd w:id="129"/>
    </w:p>
    <w:p>
      <w:pPr>
        <w:pStyle w:val="3"/>
        <w:rPr>
          <w:rFonts w:ascii="仿宋" w:hAnsi="仿宋" w:eastAsia="仿宋"/>
          <w:color w:val="000000"/>
        </w:rPr>
      </w:pPr>
      <w:bookmarkStart w:id="130" w:name="_Toc79163888"/>
      <w:bookmarkStart w:id="131" w:name="_Toc15396621"/>
      <w:bookmarkStart w:id="132" w:name="_Toc79163638"/>
      <w:r>
        <w:rPr>
          <w:rStyle w:val="24"/>
          <w:rFonts w:hint="eastAsia" w:ascii="仿宋" w:hAnsi="仿宋" w:eastAsia="仿宋"/>
          <w:b w:val="0"/>
          <w:bCs w:val="0"/>
        </w:rPr>
        <w:t>三、</w:t>
      </w:r>
      <w:r>
        <w:rPr>
          <w:rFonts w:hint="eastAsia" w:ascii="仿宋" w:hAnsi="仿宋" w:eastAsia="仿宋"/>
          <w:b w:val="0"/>
          <w:color w:val="000000"/>
        </w:rPr>
        <w:t>支</w:t>
      </w:r>
      <w:r>
        <w:rPr>
          <w:rStyle w:val="24"/>
          <w:rFonts w:hint="eastAsia" w:ascii="仿宋" w:hAnsi="仿宋" w:eastAsia="仿宋"/>
          <w:b w:val="0"/>
          <w:bCs w:val="0"/>
        </w:rPr>
        <w:t>出决算表</w:t>
      </w:r>
      <w:bookmarkEnd w:id="130"/>
      <w:bookmarkEnd w:id="131"/>
      <w:bookmarkEnd w:id="132"/>
    </w:p>
    <w:p>
      <w:pPr>
        <w:pStyle w:val="3"/>
        <w:rPr>
          <w:rFonts w:ascii="仿宋" w:hAnsi="仿宋" w:eastAsia="仿宋"/>
          <w:b w:val="0"/>
          <w:color w:val="000000"/>
        </w:rPr>
      </w:pPr>
      <w:bookmarkStart w:id="133" w:name="_Toc15396622"/>
      <w:bookmarkStart w:id="134" w:name="_Toc79163889"/>
      <w:bookmarkStart w:id="135" w:name="_Toc79163639"/>
      <w:r>
        <w:rPr>
          <w:rStyle w:val="24"/>
          <w:rFonts w:hint="eastAsia" w:ascii="仿宋" w:hAnsi="仿宋" w:eastAsia="仿宋"/>
          <w:b w:val="0"/>
          <w:bCs w:val="0"/>
        </w:rPr>
        <w:t>四、</w:t>
      </w:r>
      <w:r>
        <w:rPr>
          <w:rFonts w:hint="eastAsia" w:ascii="仿宋" w:hAnsi="仿宋" w:eastAsia="仿宋"/>
          <w:b w:val="0"/>
          <w:color w:val="000000"/>
        </w:rPr>
        <w:t>财</w:t>
      </w:r>
      <w:r>
        <w:rPr>
          <w:rStyle w:val="24"/>
          <w:rFonts w:hint="eastAsia" w:ascii="仿宋" w:hAnsi="仿宋" w:eastAsia="仿宋"/>
          <w:b w:val="0"/>
          <w:bCs w:val="0"/>
        </w:rPr>
        <w:t>政拨款收入支出决算总表</w:t>
      </w:r>
      <w:bookmarkEnd w:id="133"/>
      <w:bookmarkEnd w:id="134"/>
      <w:bookmarkEnd w:id="135"/>
    </w:p>
    <w:p>
      <w:pPr>
        <w:pStyle w:val="3"/>
        <w:rPr>
          <w:rStyle w:val="24"/>
          <w:rFonts w:ascii="仿宋" w:hAnsi="仿宋" w:eastAsia="仿宋"/>
          <w:b w:val="0"/>
          <w:bCs w:val="0"/>
        </w:rPr>
      </w:pPr>
      <w:bookmarkStart w:id="136" w:name="_Toc79163890"/>
      <w:bookmarkStart w:id="137" w:name="_Toc15396623"/>
      <w:bookmarkStart w:id="138" w:name="_Toc79163640"/>
      <w:r>
        <w:rPr>
          <w:rStyle w:val="24"/>
          <w:rFonts w:hint="eastAsia" w:ascii="仿宋" w:hAnsi="仿宋" w:eastAsia="仿宋"/>
          <w:b w:val="0"/>
          <w:bCs w:val="0"/>
        </w:rPr>
        <w:t>五、</w:t>
      </w:r>
      <w:r>
        <w:rPr>
          <w:rFonts w:hint="eastAsia" w:ascii="仿宋" w:hAnsi="仿宋" w:eastAsia="仿宋"/>
          <w:b w:val="0"/>
          <w:color w:val="000000"/>
        </w:rPr>
        <w:t>财</w:t>
      </w:r>
      <w:r>
        <w:rPr>
          <w:rStyle w:val="24"/>
          <w:rFonts w:hint="eastAsia" w:ascii="仿宋" w:hAnsi="仿宋" w:eastAsia="仿宋"/>
          <w:b w:val="0"/>
          <w:bCs w:val="0"/>
        </w:rPr>
        <w:t>政拨款支出决算明细表</w:t>
      </w:r>
      <w:bookmarkEnd w:id="136"/>
      <w:bookmarkEnd w:id="137"/>
      <w:bookmarkEnd w:id="138"/>
      <w:bookmarkStart w:id="139" w:name="_Toc15396624"/>
    </w:p>
    <w:p>
      <w:pPr>
        <w:pStyle w:val="3"/>
        <w:rPr>
          <w:rFonts w:ascii="仿宋" w:hAnsi="仿宋" w:eastAsia="仿宋"/>
          <w:color w:val="000000"/>
        </w:rPr>
      </w:pPr>
      <w:bookmarkStart w:id="140" w:name="_Toc79163641"/>
      <w:bookmarkStart w:id="141" w:name="_Toc79163891"/>
      <w:r>
        <w:rPr>
          <w:rStyle w:val="24"/>
          <w:rFonts w:hint="eastAsia" w:ascii="仿宋" w:hAnsi="仿宋" w:eastAsia="仿宋"/>
          <w:b w:val="0"/>
          <w:bCs w:val="0"/>
        </w:rPr>
        <w:t>六、</w:t>
      </w:r>
      <w:r>
        <w:rPr>
          <w:rFonts w:hint="eastAsia" w:ascii="仿宋" w:hAnsi="仿宋" w:eastAsia="仿宋"/>
          <w:b w:val="0"/>
          <w:color w:val="000000"/>
        </w:rPr>
        <w:t>一</w:t>
      </w:r>
      <w:r>
        <w:rPr>
          <w:rStyle w:val="24"/>
          <w:rFonts w:hint="eastAsia" w:ascii="仿宋" w:hAnsi="仿宋" w:eastAsia="仿宋"/>
          <w:b w:val="0"/>
          <w:bCs w:val="0"/>
        </w:rPr>
        <w:t>般公共预算财政拨款支出决算表</w:t>
      </w:r>
      <w:bookmarkEnd w:id="139"/>
      <w:bookmarkEnd w:id="140"/>
      <w:bookmarkEnd w:id="141"/>
    </w:p>
    <w:p>
      <w:pPr>
        <w:pStyle w:val="3"/>
        <w:rPr>
          <w:rFonts w:ascii="仿宋" w:hAnsi="仿宋" w:eastAsia="仿宋"/>
          <w:color w:val="000000"/>
        </w:rPr>
      </w:pPr>
      <w:bookmarkStart w:id="142" w:name="_Toc79163892"/>
      <w:bookmarkStart w:id="143" w:name="_Toc15396625"/>
      <w:bookmarkStart w:id="144" w:name="_Toc79163642"/>
      <w:r>
        <w:rPr>
          <w:rStyle w:val="24"/>
          <w:rFonts w:hint="eastAsia" w:ascii="仿宋" w:hAnsi="仿宋" w:eastAsia="仿宋"/>
          <w:b w:val="0"/>
          <w:bCs w:val="0"/>
        </w:rPr>
        <w:t>七、</w:t>
      </w:r>
      <w:r>
        <w:rPr>
          <w:rFonts w:hint="eastAsia" w:ascii="仿宋" w:hAnsi="仿宋" w:eastAsia="仿宋"/>
          <w:b w:val="0"/>
          <w:color w:val="000000"/>
        </w:rPr>
        <w:t>一</w:t>
      </w:r>
      <w:r>
        <w:rPr>
          <w:rStyle w:val="24"/>
          <w:rFonts w:hint="eastAsia" w:ascii="仿宋" w:hAnsi="仿宋" w:eastAsia="仿宋"/>
          <w:b w:val="0"/>
          <w:bCs w:val="0"/>
        </w:rPr>
        <w:t>般公共预算财政拨款支出决算明细表</w:t>
      </w:r>
      <w:bookmarkEnd w:id="142"/>
      <w:bookmarkEnd w:id="143"/>
      <w:bookmarkEnd w:id="144"/>
    </w:p>
    <w:p>
      <w:pPr>
        <w:pStyle w:val="3"/>
        <w:rPr>
          <w:rFonts w:ascii="仿宋" w:hAnsi="仿宋" w:eastAsia="仿宋"/>
          <w:color w:val="000000"/>
        </w:rPr>
      </w:pPr>
      <w:bookmarkStart w:id="145" w:name="_Toc79163643"/>
      <w:bookmarkStart w:id="146" w:name="_Toc15396626"/>
      <w:bookmarkStart w:id="147" w:name="_Toc79163893"/>
      <w:r>
        <w:rPr>
          <w:rStyle w:val="24"/>
          <w:rFonts w:hint="eastAsia" w:ascii="仿宋" w:hAnsi="仿宋" w:eastAsia="仿宋"/>
          <w:b w:val="0"/>
          <w:bCs w:val="0"/>
        </w:rPr>
        <w:t>八、</w:t>
      </w:r>
      <w:r>
        <w:rPr>
          <w:rFonts w:hint="eastAsia" w:ascii="仿宋" w:hAnsi="仿宋" w:eastAsia="仿宋"/>
          <w:b w:val="0"/>
          <w:color w:val="000000"/>
        </w:rPr>
        <w:t>一</w:t>
      </w:r>
      <w:r>
        <w:rPr>
          <w:rStyle w:val="24"/>
          <w:rFonts w:hint="eastAsia" w:ascii="仿宋" w:hAnsi="仿宋" w:eastAsia="仿宋"/>
          <w:b w:val="0"/>
          <w:bCs w:val="0"/>
        </w:rPr>
        <w:t>般公共预算财政拨款基本支出决算表</w:t>
      </w:r>
      <w:bookmarkEnd w:id="145"/>
      <w:bookmarkEnd w:id="146"/>
      <w:bookmarkEnd w:id="147"/>
    </w:p>
    <w:p>
      <w:pPr>
        <w:pStyle w:val="3"/>
        <w:rPr>
          <w:rFonts w:ascii="仿宋" w:hAnsi="仿宋" w:eastAsia="仿宋"/>
          <w:color w:val="000000"/>
        </w:rPr>
      </w:pPr>
      <w:bookmarkStart w:id="148" w:name="_Toc79163644"/>
      <w:bookmarkStart w:id="149" w:name="_Toc15396627"/>
      <w:bookmarkStart w:id="150" w:name="_Toc79163894"/>
      <w:r>
        <w:rPr>
          <w:rStyle w:val="24"/>
          <w:rFonts w:hint="eastAsia" w:ascii="仿宋" w:hAnsi="仿宋" w:eastAsia="仿宋"/>
          <w:b w:val="0"/>
          <w:bCs w:val="0"/>
        </w:rPr>
        <w:t>九、</w:t>
      </w:r>
      <w:r>
        <w:rPr>
          <w:rFonts w:hint="eastAsia" w:ascii="仿宋" w:hAnsi="仿宋" w:eastAsia="仿宋"/>
          <w:b w:val="0"/>
          <w:color w:val="000000"/>
        </w:rPr>
        <w:t>一</w:t>
      </w:r>
      <w:r>
        <w:rPr>
          <w:rStyle w:val="24"/>
          <w:rFonts w:hint="eastAsia" w:ascii="仿宋" w:hAnsi="仿宋" w:eastAsia="仿宋"/>
          <w:b w:val="0"/>
          <w:bCs w:val="0"/>
        </w:rPr>
        <w:t>般公共预算财政拨款项目支出决算表</w:t>
      </w:r>
      <w:bookmarkEnd w:id="148"/>
      <w:bookmarkEnd w:id="149"/>
      <w:bookmarkEnd w:id="150"/>
    </w:p>
    <w:p>
      <w:pPr>
        <w:pStyle w:val="3"/>
        <w:rPr>
          <w:rFonts w:ascii="仿宋" w:hAnsi="仿宋" w:eastAsia="仿宋"/>
          <w:color w:val="000000"/>
        </w:rPr>
      </w:pPr>
      <w:bookmarkStart w:id="151" w:name="_Toc79163895"/>
      <w:bookmarkStart w:id="152" w:name="_Toc79163645"/>
      <w:bookmarkStart w:id="153" w:name="_Toc15396628"/>
      <w:r>
        <w:rPr>
          <w:rStyle w:val="24"/>
          <w:rFonts w:hint="eastAsia" w:ascii="仿宋" w:hAnsi="仿宋" w:eastAsia="仿宋"/>
          <w:b w:val="0"/>
          <w:bCs w:val="0"/>
        </w:rPr>
        <w:t>十、</w:t>
      </w:r>
      <w:r>
        <w:rPr>
          <w:rFonts w:hint="eastAsia" w:ascii="仿宋" w:hAnsi="仿宋" w:eastAsia="仿宋"/>
          <w:b w:val="0"/>
          <w:color w:val="000000"/>
        </w:rPr>
        <w:t>一</w:t>
      </w:r>
      <w:r>
        <w:rPr>
          <w:rStyle w:val="24"/>
          <w:rFonts w:hint="eastAsia" w:ascii="仿宋" w:hAnsi="仿宋" w:eastAsia="仿宋"/>
          <w:b w:val="0"/>
          <w:bCs w:val="0"/>
        </w:rPr>
        <w:t>般公共预算财政拨款“三公”经费支出决算表</w:t>
      </w:r>
      <w:bookmarkEnd w:id="151"/>
      <w:bookmarkEnd w:id="152"/>
      <w:bookmarkEnd w:id="153"/>
    </w:p>
    <w:p>
      <w:pPr>
        <w:pStyle w:val="3"/>
        <w:rPr>
          <w:rFonts w:ascii="仿宋" w:hAnsi="仿宋" w:eastAsia="仿宋"/>
          <w:color w:val="000000"/>
        </w:rPr>
      </w:pPr>
      <w:bookmarkStart w:id="154" w:name="_Toc79163646"/>
      <w:bookmarkStart w:id="155" w:name="_Toc15396629"/>
      <w:bookmarkStart w:id="156" w:name="_Toc79163896"/>
      <w:r>
        <w:rPr>
          <w:rStyle w:val="24"/>
          <w:rFonts w:hint="eastAsia" w:ascii="仿宋" w:hAnsi="仿宋" w:eastAsia="仿宋"/>
          <w:b w:val="0"/>
          <w:bCs w:val="0"/>
        </w:rPr>
        <w:t>十一、</w:t>
      </w:r>
      <w:r>
        <w:rPr>
          <w:rFonts w:hint="eastAsia" w:ascii="仿宋" w:hAnsi="仿宋" w:eastAsia="仿宋"/>
          <w:b w:val="0"/>
          <w:color w:val="000000"/>
        </w:rPr>
        <w:t>政</w:t>
      </w:r>
      <w:r>
        <w:rPr>
          <w:rStyle w:val="24"/>
          <w:rFonts w:hint="eastAsia" w:ascii="仿宋" w:hAnsi="仿宋" w:eastAsia="仿宋"/>
          <w:b w:val="0"/>
          <w:bCs w:val="0"/>
        </w:rPr>
        <w:t>府性基金预算财政拨款收入支出决算表</w:t>
      </w:r>
      <w:bookmarkEnd w:id="154"/>
      <w:bookmarkEnd w:id="155"/>
      <w:bookmarkEnd w:id="156"/>
    </w:p>
    <w:p>
      <w:pPr>
        <w:pStyle w:val="3"/>
        <w:rPr>
          <w:rFonts w:ascii="仿宋" w:hAnsi="仿宋" w:eastAsia="仿宋"/>
          <w:color w:val="000000"/>
        </w:rPr>
      </w:pPr>
      <w:bookmarkStart w:id="157" w:name="_Toc79163897"/>
      <w:bookmarkStart w:id="158" w:name="_Toc15396630"/>
      <w:bookmarkStart w:id="159" w:name="_Toc79163647"/>
      <w:r>
        <w:rPr>
          <w:rStyle w:val="24"/>
          <w:rFonts w:hint="eastAsia" w:ascii="仿宋" w:hAnsi="仿宋" w:eastAsia="仿宋"/>
          <w:b w:val="0"/>
          <w:bCs w:val="0"/>
        </w:rPr>
        <w:t>十二、</w:t>
      </w:r>
      <w:r>
        <w:rPr>
          <w:rFonts w:hint="eastAsia" w:ascii="仿宋" w:hAnsi="仿宋" w:eastAsia="仿宋"/>
          <w:b w:val="0"/>
          <w:color w:val="000000"/>
        </w:rPr>
        <w:t>政</w:t>
      </w:r>
      <w:r>
        <w:rPr>
          <w:rStyle w:val="24"/>
          <w:rFonts w:hint="eastAsia" w:ascii="仿宋" w:hAnsi="仿宋" w:eastAsia="仿宋"/>
          <w:b w:val="0"/>
          <w:bCs w:val="0"/>
        </w:rPr>
        <w:t>府性基金预算财政拨款“三公”经费支出决算表</w:t>
      </w:r>
      <w:bookmarkEnd w:id="157"/>
      <w:bookmarkEnd w:id="158"/>
      <w:bookmarkEnd w:id="159"/>
    </w:p>
    <w:p>
      <w:pPr>
        <w:pStyle w:val="3"/>
        <w:rPr>
          <w:rStyle w:val="24"/>
          <w:rFonts w:ascii="仿宋" w:hAnsi="仿宋" w:eastAsia="仿宋"/>
          <w:b w:val="0"/>
          <w:bCs w:val="0"/>
        </w:rPr>
      </w:pPr>
      <w:bookmarkStart w:id="160" w:name="_Toc15396631"/>
      <w:bookmarkStart w:id="161" w:name="_Toc79163648"/>
      <w:bookmarkStart w:id="162" w:name="_Toc79163898"/>
      <w:r>
        <w:rPr>
          <w:rStyle w:val="24"/>
          <w:rFonts w:hint="eastAsia" w:ascii="仿宋" w:hAnsi="仿宋" w:eastAsia="仿宋"/>
          <w:b w:val="0"/>
          <w:bCs w:val="0"/>
        </w:rPr>
        <w:t>十三、</w:t>
      </w:r>
      <w:r>
        <w:rPr>
          <w:rFonts w:hint="eastAsia" w:ascii="仿宋" w:hAnsi="仿宋" w:eastAsia="仿宋"/>
          <w:b w:val="0"/>
          <w:color w:val="000000"/>
        </w:rPr>
        <w:t>国</w:t>
      </w:r>
      <w:r>
        <w:rPr>
          <w:rStyle w:val="24"/>
          <w:rFonts w:hint="eastAsia" w:ascii="仿宋" w:hAnsi="仿宋" w:eastAsia="仿宋"/>
          <w:b w:val="0"/>
          <w:bCs w:val="0"/>
        </w:rPr>
        <w:t>有资本经营预算财政拨款支出决算表</w:t>
      </w:r>
      <w:bookmarkEnd w:id="160"/>
      <w:bookmarkEnd w:id="161"/>
      <w:bookmarkEnd w:id="162"/>
    </w:p>
    <w:p>
      <w:pPr>
        <w:pStyle w:val="3"/>
        <w:rPr>
          <w:rStyle w:val="24"/>
          <w:rFonts w:ascii="仿宋" w:hAnsi="仿宋" w:eastAsia="仿宋"/>
          <w:b w:val="0"/>
          <w:bCs w:val="0"/>
        </w:rPr>
      </w:pPr>
      <w:bookmarkStart w:id="163" w:name="_Toc79163899"/>
      <w:bookmarkStart w:id="164" w:name="_Toc79163649"/>
      <w:r>
        <w:rPr>
          <w:rStyle w:val="24"/>
          <w:rFonts w:hint="eastAsia" w:ascii="仿宋" w:hAnsi="仿宋" w:eastAsia="仿宋"/>
          <w:b w:val="0"/>
          <w:bCs w:val="0"/>
        </w:rPr>
        <w:t>十四、国有资本经营预算财政拨款支出决算表</w:t>
      </w:r>
      <w:bookmarkEnd w:id="163"/>
      <w:bookmarkEnd w:id="164"/>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w:altName w:val="宋体"/>
    <w:panose1 w:val="00000000000000000000"/>
    <w:charset w:val="86"/>
    <w:family w:val="auto"/>
    <w:pitch w:val="default"/>
    <w:sig w:usb0="00000000" w:usb1="00000000"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Light">
    <w:altName w:val="宋体"/>
    <w:panose1 w:val="00000000000000000000"/>
    <w:charset w:val="86"/>
    <w:family w:val="auto"/>
    <w:pitch w:val="default"/>
    <w:sig w:usb0="00000000" w:usb1="00000000" w:usb2="00000016" w:usb3="00000000" w:csb0="0004000F" w:csb1="00000000"/>
  </w:font>
  <w:font w:name="方正小标宋简体">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modern"/>
    <w:pitch w:val="default"/>
    <w:sig w:usb0="800002BF" w:usb1="38CF7CFA" w:usb2="00000016" w:usb3="00000000" w:csb0="00040001" w:csb1="00000000"/>
  </w:font>
  <w:font w:name="Adobe 仿宋 Std R">
    <w:altName w:val="仿宋"/>
    <w:panose1 w:val="00000000000000000000"/>
    <w:charset w:val="86"/>
    <w:family w:val="roman"/>
    <w:pitch w:val="default"/>
    <w:sig w:usb0="00000000" w:usb1="00000000" w:usb2="00000016" w:usb3="00000000" w:csb0="00060007" w:csb1="00000000"/>
  </w:font>
  <w:font w:name="楷体_GB2312">
    <w:altName w:val="楷体"/>
    <w:panose1 w:val="02010609030101010101"/>
    <w:charset w:val="86"/>
    <w:family w:val="modern"/>
    <w:pitch w:val="default"/>
    <w:sig w:usb0="00000000" w:usb1="00000000" w:usb2="00000010" w:usb3="00000000" w:csb0="00040000" w:csb1="00000000"/>
  </w:font>
  <w:font w:name="等线">
    <w:altName w:val="Arial Unicode MS"/>
    <w:panose1 w:val="00000000000000000000"/>
    <w:charset w:val="00"/>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t>10</w:t>
    </w:r>
    <w:r>
      <w:fldChar w:fldCharType="end"/>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B9B8BD"/>
    <w:multiLevelType w:val="singleLevel"/>
    <w:tmpl w:val="ABB9B8BD"/>
    <w:lvl w:ilvl="0" w:tentative="0">
      <w:start w:val="2"/>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2">
    <w:nsid w:val="D3A40BC2"/>
    <w:multiLevelType w:val="singleLevel"/>
    <w:tmpl w:val="D3A40BC2"/>
    <w:lvl w:ilvl="0" w:tentative="0">
      <w:start w:val="2"/>
      <w:numFmt w:val="chineseCounting"/>
      <w:suff w:val="nothing"/>
      <w:lvlText w:val="（%1）"/>
      <w:lvlJc w:val="left"/>
      <w:pPr>
        <w:ind w:left="200"/>
      </w:pPr>
      <w:rPr>
        <w:rFonts w:hint="eastAsia"/>
      </w:rPr>
    </w:lvl>
  </w:abstractNum>
  <w:abstractNum w:abstractNumId="3">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5">
    <w:nsid w:val="1D6C66E2"/>
    <w:multiLevelType w:val="multilevel"/>
    <w:tmpl w:val="1D6C66E2"/>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6">
    <w:nsid w:val="4E4B571E"/>
    <w:multiLevelType w:val="multilevel"/>
    <w:tmpl w:val="4E4B571E"/>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6AB3675D"/>
    <w:multiLevelType w:val="singleLevel"/>
    <w:tmpl w:val="6AB3675D"/>
    <w:lvl w:ilvl="0" w:tentative="0">
      <w:start w:val="2"/>
      <w:numFmt w:val="chineseCounting"/>
      <w:suff w:val="nothing"/>
      <w:lvlText w:val="（%1）"/>
      <w:lvlJc w:val="left"/>
      <w:rPr>
        <w:rFonts w:hint="eastAsia"/>
      </w:rPr>
    </w:lvl>
  </w:abstractNum>
  <w:num w:numId="1">
    <w:abstractNumId w:val="4"/>
  </w:num>
  <w:num w:numId="2">
    <w:abstractNumId w:val="1"/>
  </w:num>
  <w:num w:numId="3">
    <w:abstractNumId w:val="3"/>
  </w:num>
  <w:num w:numId="4">
    <w:abstractNumId w:val="0"/>
  </w:num>
  <w:num w:numId="5">
    <w:abstractNumId w:val="2"/>
  </w:num>
  <w:num w:numId="6">
    <w:abstractNumId w:val="7"/>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WJkM2I1YzNmMGIwZGMyNmI0YmFmM2Q2OTg5ZGIyNDE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26640"/>
    <w:rsid w:val="00235629"/>
    <w:rsid w:val="00256262"/>
    <w:rsid w:val="00260C38"/>
    <w:rsid w:val="002616C0"/>
    <w:rsid w:val="00264FA2"/>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94E7F"/>
    <w:rsid w:val="003A484F"/>
    <w:rsid w:val="003A4883"/>
    <w:rsid w:val="003B0BE0"/>
    <w:rsid w:val="003B0C1B"/>
    <w:rsid w:val="003B688C"/>
    <w:rsid w:val="003C0291"/>
    <w:rsid w:val="003C39AE"/>
    <w:rsid w:val="003C7B60"/>
    <w:rsid w:val="003D0C0F"/>
    <w:rsid w:val="003D1FB2"/>
    <w:rsid w:val="003D53FE"/>
    <w:rsid w:val="003D66DA"/>
    <w:rsid w:val="003E1310"/>
    <w:rsid w:val="003E6F55"/>
    <w:rsid w:val="003E6FE4"/>
    <w:rsid w:val="00406254"/>
    <w:rsid w:val="004223DE"/>
    <w:rsid w:val="00434489"/>
    <w:rsid w:val="00437085"/>
    <w:rsid w:val="00443880"/>
    <w:rsid w:val="00445607"/>
    <w:rsid w:val="004464F4"/>
    <w:rsid w:val="00471401"/>
    <w:rsid w:val="00473F31"/>
    <w:rsid w:val="00476DF9"/>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5271A"/>
    <w:rsid w:val="0066343B"/>
    <w:rsid w:val="00664777"/>
    <w:rsid w:val="006748A4"/>
    <w:rsid w:val="0067722F"/>
    <w:rsid w:val="00681A31"/>
    <w:rsid w:val="00683E73"/>
    <w:rsid w:val="006A3141"/>
    <w:rsid w:val="006A5E34"/>
    <w:rsid w:val="006B2422"/>
    <w:rsid w:val="006B2B9A"/>
    <w:rsid w:val="006C1937"/>
    <w:rsid w:val="006E2684"/>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D4A41"/>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632E0"/>
    <w:rsid w:val="00871F71"/>
    <w:rsid w:val="00872FD8"/>
    <w:rsid w:val="00885AF4"/>
    <w:rsid w:val="00892977"/>
    <w:rsid w:val="008939CD"/>
    <w:rsid w:val="008B768C"/>
    <w:rsid w:val="008C3945"/>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A7A"/>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AE4E5E"/>
    <w:rsid w:val="00B011E4"/>
    <w:rsid w:val="00B03C9D"/>
    <w:rsid w:val="00B060AE"/>
    <w:rsid w:val="00B10517"/>
    <w:rsid w:val="00B14E76"/>
    <w:rsid w:val="00B161B8"/>
    <w:rsid w:val="00B2048C"/>
    <w:rsid w:val="00B20FF3"/>
    <w:rsid w:val="00B310B9"/>
    <w:rsid w:val="00B35F3F"/>
    <w:rsid w:val="00B36CBB"/>
    <w:rsid w:val="00B425E0"/>
    <w:rsid w:val="00B440AA"/>
    <w:rsid w:val="00B44B70"/>
    <w:rsid w:val="00B53C56"/>
    <w:rsid w:val="00B54DB4"/>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1C39"/>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952C9"/>
    <w:rsid w:val="00FA23E8"/>
    <w:rsid w:val="00FD3CC1"/>
    <w:rsid w:val="00FF1E02"/>
    <w:rsid w:val="00FF30B4"/>
    <w:rsid w:val="01E90844"/>
    <w:rsid w:val="026B1259"/>
    <w:rsid w:val="0361265C"/>
    <w:rsid w:val="04651CD8"/>
    <w:rsid w:val="04983E5B"/>
    <w:rsid w:val="050C5F42"/>
    <w:rsid w:val="05863C2B"/>
    <w:rsid w:val="0599432F"/>
    <w:rsid w:val="060F3B25"/>
    <w:rsid w:val="06717925"/>
    <w:rsid w:val="06770837"/>
    <w:rsid w:val="06CA4E0B"/>
    <w:rsid w:val="0708790C"/>
    <w:rsid w:val="074B78AB"/>
    <w:rsid w:val="07CE7162"/>
    <w:rsid w:val="08326375"/>
    <w:rsid w:val="08964B56"/>
    <w:rsid w:val="08E04B71"/>
    <w:rsid w:val="090D12BC"/>
    <w:rsid w:val="099F7A3A"/>
    <w:rsid w:val="09D65B51"/>
    <w:rsid w:val="09F73418"/>
    <w:rsid w:val="09FC6C3A"/>
    <w:rsid w:val="0A2032A3"/>
    <w:rsid w:val="0AFA13CC"/>
    <w:rsid w:val="0B3F6F04"/>
    <w:rsid w:val="0C112E71"/>
    <w:rsid w:val="0CFC0296"/>
    <w:rsid w:val="0D701E19"/>
    <w:rsid w:val="0D9553DC"/>
    <w:rsid w:val="0D9C2C0E"/>
    <w:rsid w:val="0DBC0BBA"/>
    <w:rsid w:val="0DDC125D"/>
    <w:rsid w:val="0E0B38F0"/>
    <w:rsid w:val="0E3E3F46"/>
    <w:rsid w:val="0E602C17"/>
    <w:rsid w:val="0E772D33"/>
    <w:rsid w:val="0ED40186"/>
    <w:rsid w:val="0F16254C"/>
    <w:rsid w:val="0F7200CA"/>
    <w:rsid w:val="0FA45DAA"/>
    <w:rsid w:val="0FA917D5"/>
    <w:rsid w:val="0FE64614"/>
    <w:rsid w:val="10B65D95"/>
    <w:rsid w:val="10C055FF"/>
    <w:rsid w:val="118107EC"/>
    <w:rsid w:val="13A24CF6"/>
    <w:rsid w:val="145A4C87"/>
    <w:rsid w:val="146401FE"/>
    <w:rsid w:val="15175270"/>
    <w:rsid w:val="154D2A40"/>
    <w:rsid w:val="164200CB"/>
    <w:rsid w:val="16BB723D"/>
    <w:rsid w:val="17667410"/>
    <w:rsid w:val="176C3651"/>
    <w:rsid w:val="17A728DB"/>
    <w:rsid w:val="17A74689"/>
    <w:rsid w:val="17F96B52"/>
    <w:rsid w:val="181D0B38"/>
    <w:rsid w:val="18365A0D"/>
    <w:rsid w:val="189746FE"/>
    <w:rsid w:val="18FE381F"/>
    <w:rsid w:val="193F05E2"/>
    <w:rsid w:val="197E141A"/>
    <w:rsid w:val="19EE2A43"/>
    <w:rsid w:val="19EE47F1"/>
    <w:rsid w:val="1A2F43C2"/>
    <w:rsid w:val="1A8567D8"/>
    <w:rsid w:val="1AB70E8D"/>
    <w:rsid w:val="1B2612D7"/>
    <w:rsid w:val="1B7B0307"/>
    <w:rsid w:val="1BC7354C"/>
    <w:rsid w:val="1C2F4C4D"/>
    <w:rsid w:val="1C827473"/>
    <w:rsid w:val="1D155CEE"/>
    <w:rsid w:val="1DC13FCB"/>
    <w:rsid w:val="1E3E2A6F"/>
    <w:rsid w:val="1F1167E6"/>
    <w:rsid w:val="1F136AA8"/>
    <w:rsid w:val="1F1C6143"/>
    <w:rsid w:val="1F737547"/>
    <w:rsid w:val="1F7F23EA"/>
    <w:rsid w:val="1FB02549"/>
    <w:rsid w:val="1FB81B34"/>
    <w:rsid w:val="1FD620C2"/>
    <w:rsid w:val="202D3B9A"/>
    <w:rsid w:val="20796DDF"/>
    <w:rsid w:val="20B3409F"/>
    <w:rsid w:val="21131C09"/>
    <w:rsid w:val="21CB366A"/>
    <w:rsid w:val="2268710B"/>
    <w:rsid w:val="22C72083"/>
    <w:rsid w:val="232F1CF9"/>
    <w:rsid w:val="240371BF"/>
    <w:rsid w:val="24A74CFC"/>
    <w:rsid w:val="25A20B86"/>
    <w:rsid w:val="261C26E6"/>
    <w:rsid w:val="272E26D1"/>
    <w:rsid w:val="279664C8"/>
    <w:rsid w:val="28186EDD"/>
    <w:rsid w:val="287C74F6"/>
    <w:rsid w:val="28996270"/>
    <w:rsid w:val="28D21782"/>
    <w:rsid w:val="2989478A"/>
    <w:rsid w:val="29D24B51"/>
    <w:rsid w:val="29E51041"/>
    <w:rsid w:val="29FD04D3"/>
    <w:rsid w:val="2A06146B"/>
    <w:rsid w:val="2A8145D3"/>
    <w:rsid w:val="2A8B7E3A"/>
    <w:rsid w:val="2BC7478A"/>
    <w:rsid w:val="2CD930DF"/>
    <w:rsid w:val="2CE03BB2"/>
    <w:rsid w:val="2D102879"/>
    <w:rsid w:val="2D4B565F"/>
    <w:rsid w:val="2D8314FD"/>
    <w:rsid w:val="2DE71976"/>
    <w:rsid w:val="2F520F27"/>
    <w:rsid w:val="2FAF246C"/>
    <w:rsid w:val="2FF43D8C"/>
    <w:rsid w:val="30A95717"/>
    <w:rsid w:val="30CD1CD4"/>
    <w:rsid w:val="30F229C1"/>
    <w:rsid w:val="30FD1D85"/>
    <w:rsid w:val="311346E6"/>
    <w:rsid w:val="31215055"/>
    <w:rsid w:val="31904FFC"/>
    <w:rsid w:val="319F7F4E"/>
    <w:rsid w:val="31CB6D6E"/>
    <w:rsid w:val="31EA5447"/>
    <w:rsid w:val="326B7F22"/>
    <w:rsid w:val="329456C3"/>
    <w:rsid w:val="32FE389F"/>
    <w:rsid w:val="333701B5"/>
    <w:rsid w:val="34410D7E"/>
    <w:rsid w:val="34796F56"/>
    <w:rsid w:val="34F5482E"/>
    <w:rsid w:val="350B22A4"/>
    <w:rsid w:val="35305866"/>
    <w:rsid w:val="353A4937"/>
    <w:rsid w:val="35EB5C31"/>
    <w:rsid w:val="3680281D"/>
    <w:rsid w:val="36F079A3"/>
    <w:rsid w:val="372E00FC"/>
    <w:rsid w:val="37A91900"/>
    <w:rsid w:val="38353194"/>
    <w:rsid w:val="38E946AA"/>
    <w:rsid w:val="393022D9"/>
    <w:rsid w:val="3962620A"/>
    <w:rsid w:val="397C551E"/>
    <w:rsid w:val="39D4535A"/>
    <w:rsid w:val="3A4325A2"/>
    <w:rsid w:val="3A9643BE"/>
    <w:rsid w:val="3A9768C1"/>
    <w:rsid w:val="3AC54CA3"/>
    <w:rsid w:val="3B253993"/>
    <w:rsid w:val="3B974891"/>
    <w:rsid w:val="3C8B7826"/>
    <w:rsid w:val="3D5E4F0F"/>
    <w:rsid w:val="3D6764E5"/>
    <w:rsid w:val="3DA07301"/>
    <w:rsid w:val="3DC92CFC"/>
    <w:rsid w:val="3E1D0952"/>
    <w:rsid w:val="3E416D36"/>
    <w:rsid w:val="4001677D"/>
    <w:rsid w:val="40224945"/>
    <w:rsid w:val="403C77B5"/>
    <w:rsid w:val="40B530C4"/>
    <w:rsid w:val="41CC6917"/>
    <w:rsid w:val="42075BA1"/>
    <w:rsid w:val="428B0580"/>
    <w:rsid w:val="43264202"/>
    <w:rsid w:val="43A31B2F"/>
    <w:rsid w:val="44427364"/>
    <w:rsid w:val="44D37FBC"/>
    <w:rsid w:val="46222FA9"/>
    <w:rsid w:val="46647A66"/>
    <w:rsid w:val="4708388A"/>
    <w:rsid w:val="47D74267"/>
    <w:rsid w:val="48E409EA"/>
    <w:rsid w:val="493279A7"/>
    <w:rsid w:val="4993054F"/>
    <w:rsid w:val="4A282B58"/>
    <w:rsid w:val="4A406C14"/>
    <w:rsid w:val="4ADA6548"/>
    <w:rsid w:val="4B137364"/>
    <w:rsid w:val="4BF97181"/>
    <w:rsid w:val="4C404189"/>
    <w:rsid w:val="4C583BC9"/>
    <w:rsid w:val="4C9E0CAE"/>
    <w:rsid w:val="4CB608EF"/>
    <w:rsid w:val="4D155616"/>
    <w:rsid w:val="4D1B4BF6"/>
    <w:rsid w:val="4D292E6F"/>
    <w:rsid w:val="4D3A32CE"/>
    <w:rsid w:val="4DD23507"/>
    <w:rsid w:val="4DE35714"/>
    <w:rsid w:val="4E4D7031"/>
    <w:rsid w:val="4ECE2238"/>
    <w:rsid w:val="4EE01C53"/>
    <w:rsid w:val="4F1D07B2"/>
    <w:rsid w:val="4F253B0A"/>
    <w:rsid w:val="4F764366"/>
    <w:rsid w:val="4FA15887"/>
    <w:rsid w:val="5160396F"/>
    <w:rsid w:val="516C6065"/>
    <w:rsid w:val="519F7BA4"/>
    <w:rsid w:val="523F1D42"/>
    <w:rsid w:val="52595FA5"/>
    <w:rsid w:val="52602932"/>
    <w:rsid w:val="52D65847"/>
    <w:rsid w:val="530F6FAB"/>
    <w:rsid w:val="53B76202"/>
    <w:rsid w:val="53F123EA"/>
    <w:rsid w:val="561E61C5"/>
    <w:rsid w:val="56794E67"/>
    <w:rsid w:val="574014E1"/>
    <w:rsid w:val="58AD704A"/>
    <w:rsid w:val="58EC7A08"/>
    <w:rsid w:val="597B0EF6"/>
    <w:rsid w:val="5A83008A"/>
    <w:rsid w:val="5B264E92"/>
    <w:rsid w:val="5B4A5896"/>
    <w:rsid w:val="5BAE7095"/>
    <w:rsid w:val="5C0351D3"/>
    <w:rsid w:val="5C9B6336"/>
    <w:rsid w:val="5D70542E"/>
    <w:rsid w:val="5D915C93"/>
    <w:rsid w:val="5D9205BD"/>
    <w:rsid w:val="5E8B0369"/>
    <w:rsid w:val="5EBA426F"/>
    <w:rsid w:val="5F6D4EB5"/>
    <w:rsid w:val="5F7206A6"/>
    <w:rsid w:val="5FED5F7E"/>
    <w:rsid w:val="60065292"/>
    <w:rsid w:val="602D6CC3"/>
    <w:rsid w:val="61377DF9"/>
    <w:rsid w:val="617A1074"/>
    <w:rsid w:val="61BA4586"/>
    <w:rsid w:val="61BC3E5A"/>
    <w:rsid w:val="62570027"/>
    <w:rsid w:val="632A3DDC"/>
    <w:rsid w:val="635F53E5"/>
    <w:rsid w:val="63FE69AC"/>
    <w:rsid w:val="644D7933"/>
    <w:rsid w:val="64C32639"/>
    <w:rsid w:val="64E455F8"/>
    <w:rsid w:val="650A312E"/>
    <w:rsid w:val="65622F6B"/>
    <w:rsid w:val="65F20792"/>
    <w:rsid w:val="660B715E"/>
    <w:rsid w:val="668F7D8F"/>
    <w:rsid w:val="66E75E1D"/>
    <w:rsid w:val="66E856F1"/>
    <w:rsid w:val="670E33AA"/>
    <w:rsid w:val="6712451C"/>
    <w:rsid w:val="6801450C"/>
    <w:rsid w:val="68030A35"/>
    <w:rsid w:val="68A37845"/>
    <w:rsid w:val="692D5C1B"/>
    <w:rsid w:val="6962178B"/>
    <w:rsid w:val="69790883"/>
    <w:rsid w:val="69E421A0"/>
    <w:rsid w:val="6A372C18"/>
    <w:rsid w:val="6AE35470"/>
    <w:rsid w:val="6B1A2C01"/>
    <w:rsid w:val="6B96396E"/>
    <w:rsid w:val="6BC850F4"/>
    <w:rsid w:val="6C4A05C8"/>
    <w:rsid w:val="6C830396"/>
    <w:rsid w:val="6CDA5ADC"/>
    <w:rsid w:val="6CF50B68"/>
    <w:rsid w:val="6DE9247B"/>
    <w:rsid w:val="6EF015E7"/>
    <w:rsid w:val="6FEE6238"/>
    <w:rsid w:val="72734D90"/>
    <w:rsid w:val="72767D3C"/>
    <w:rsid w:val="733A72D5"/>
    <w:rsid w:val="744D215A"/>
    <w:rsid w:val="747D0337"/>
    <w:rsid w:val="74836A59"/>
    <w:rsid w:val="74932734"/>
    <w:rsid w:val="74A470FC"/>
    <w:rsid w:val="74C57072"/>
    <w:rsid w:val="75387CA0"/>
    <w:rsid w:val="75C4732A"/>
    <w:rsid w:val="75CD4430"/>
    <w:rsid w:val="764861AD"/>
    <w:rsid w:val="76B824C2"/>
    <w:rsid w:val="777032C5"/>
    <w:rsid w:val="77E65C7D"/>
    <w:rsid w:val="781011CC"/>
    <w:rsid w:val="78E8332F"/>
    <w:rsid w:val="78FD1EA5"/>
    <w:rsid w:val="79627585"/>
    <w:rsid w:val="79FE105C"/>
    <w:rsid w:val="7A4822D7"/>
    <w:rsid w:val="7A7632E8"/>
    <w:rsid w:val="7AE364A4"/>
    <w:rsid w:val="7BBC2F7D"/>
    <w:rsid w:val="7C6453C2"/>
    <w:rsid w:val="7C8F0691"/>
    <w:rsid w:val="7D2D3A06"/>
    <w:rsid w:val="7D4C20DE"/>
    <w:rsid w:val="7DB55ED6"/>
    <w:rsid w:val="7F0751A8"/>
    <w:rsid w:val="7F322B9B"/>
    <w:rsid w:val="7F3706C3"/>
    <w:rsid w:val="7F7B314F"/>
    <w:rsid w:val="7FF234A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4"/>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25"/>
    <w:qFormat/>
    <w:uiPriority w:val="9"/>
    <w:pPr>
      <w:keepNext/>
      <w:keepLines/>
      <w:spacing w:before="260" w:after="260" w:line="416" w:lineRule="auto"/>
      <w:outlineLvl w:val="2"/>
    </w:pPr>
    <w:rPr>
      <w:b/>
      <w:bCs/>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1260"/>
      <w:jc w:val="left"/>
    </w:pPr>
    <w:rPr>
      <w:rFonts w:asciiTheme="minorHAnsi" w:eastAsiaTheme="minorHAnsi"/>
      <w:sz w:val="18"/>
      <w:szCs w:val="18"/>
    </w:rPr>
  </w:style>
  <w:style w:type="paragraph" w:styleId="6">
    <w:name w:val="Body Text"/>
    <w:basedOn w:val="1"/>
    <w:link w:val="32"/>
    <w:qFormat/>
    <w:uiPriority w:val="99"/>
    <w:pPr>
      <w:spacing w:beforeLines="30"/>
    </w:pPr>
    <w:rPr>
      <w:rFonts w:ascii="仿宋_GB2312" w:eastAsia="仿宋_GB2312"/>
      <w:kern w:val="0"/>
      <w:sz w:val="24"/>
      <w:szCs w:val="20"/>
      <w:lang w:val="zh-CN"/>
    </w:rPr>
  </w:style>
  <w:style w:type="paragraph" w:styleId="7">
    <w:name w:val="toc 5"/>
    <w:basedOn w:val="1"/>
    <w:next w:val="1"/>
    <w:unhideWhenUsed/>
    <w:qFormat/>
    <w:uiPriority w:val="39"/>
    <w:pPr>
      <w:ind w:left="840"/>
      <w:jc w:val="left"/>
    </w:pPr>
    <w:rPr>
      <w:rFonts w:asciiTheme="minorHAnsi" w:eastAsiaTheme="minorHAnsi"/>
      <w:sz w:val="18"/>
      <w:szCs w:val="18"/>
    </w:rPr>
  </w:style>
  <w:style w:type="paragraph" w:styleId="8">
    <w:name w:val="toc 3"/>
    <w:basedOn w:val="1"/>
    <w:next w:val="1"/>
    <w:unhideWhenUsed/>
    <w:qFormat/>
    <w:uiPriority w:val="39"/>
    <w:pPr>
      <w:ind w:left="420"/>
      <w:jc w:val="left"/>
    </w:pPr>
    <w:rPr>
      <w:rFonts w:asciiTheme="minorHAnsi" w:eastAsiaTheme="minorHAnsi"/>
      <w:i/>
      <w:iCs/>
      <w:sz w:val="20"/>
      <w:szCs w:val="20"/>
    </w:rPr>
  </w:style>
  <w:style w:type="paragraph" w:styleId="9">
    <w:name w:val="toc 8"/>
    <w:basedOn w:val="1"/>
    <w:next w:val="1"/>
    <w:unhideWhenUsed/>
    <w:qFormat/>
    <w:uiPriority w:val="39"/>
    <w:pPr>
      <w:ind w:left="1470"/>
      <w:jc w:val="left"/>
    </w:pPr>
    <w:rPr>
      <w:rFonts w:asciiTheme="minorHAnsi" w:eastAsiaTheme="minorHAnsi"/>
      <w:sz w:val="18"/>
      <w:szCs w:val="18"/>
    </w:rPr>
  </w:style>
  <w:style w:type="paragraph" w:styleId="10">
    <w:name w:val="Balloon Text"/>
    <w:basedOn w:val="1"/>
    <w:link w:val="27"/>
    <w:semiHidden/>
    <w:unhideWhenUsed/>
    <w:qFormat/>
    <w:uiPriority w:val="99"/>
    <w:rPr>
      <w:sz w:val="18"/>
      <w:szCs w:val="18"/>
    </w:rPr>
  </w:style>
  <w:style w:type="paragraph" w:styleId="11">
    <w:name w:val="footer"/>
    <w:basedOn w:val="1"/>
    <w:link w:val="31"/>
    <w:qFormat/>
    <w:uiPriority w:val="99"/>
    <w:pPr>
      <w:tabs>
        <w:tab w:val="center" w:pos="4153"/>
        <w:tab w:val="right" w:pos="8306"/>
      </w:tabs>
      <w:snapToGrid w:val="0"/>
      <w:jc w:val="left"/>
    </w:pPr>
    <w:rPr>
      <w:rFonts w:ascii="Calibri" w:hAnsi="Calibri"/>
      <w:kern w:val="0"/>
      <w:sz w:val="18"/>
      <w:szCs w:val="20"/>
      <w:lang w:val="zh-CN"/>
    </w:rPr>
  </w:style>
  <w:style w:type="paragraph" w:styleId="12">
    <w:name w:val="header"/>
    <w:basedOn w:val="1"/>
    <w:link w:val="30"/>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3">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4">
    <w:name w:val="toc 4"/>
    <w:basedOn w:val="1"/>
    <w:next w:val="1"/>
    <w:unhideWhenUsed/>
    <w:qFormat/>
    <w:uiPriority w:val="39"/>
    <w:pPr>
      <w:ind w:left="630"/>
      <w:jc w:val="left"/>
    </w:pPr>
    <w:rPr>
      <w:rFonts w:asciiTheme="minorHAnsi" w:eastAsiaTheme="minorHAnsi"/>
      <w:sz w:val="18"/>
      <w:szCs w:val="18"/>
    </w:rPr>
  </w:style>
  <w:style w:type="paragraph" w:styleId="15">
    <w:name w:val="toc 6"/>
    <w:basedOn w:val="1"/>
    <w:next w:val="1"/>
    <w:unhideWhenUsed/>
    <w:qFormat/>
    <w:uiPriority w:val="39"/>
    <w:pPr>
      <w:ind w:left="1050"/>
      <w:jc w:val="left"/>
    </w:pPr>
    <w:rPr>
      <w:rFonts w:asciiTheme="minorHAnsi" w:eastAsiaTheme="minorHAnsi"/>
      <w:sz w:val="18"/>
      <w:szCs w:val="18"/>
    </w:rPr>
  </w:style>
  <w:style w:type="paragraph" w:styleId="16">
    <w:name w:val="toc 2"/>
    <w:basedOn w:val="1"/>
    <w:next w:val="1"/>
    <w:unhideWhenUsed/>
    <w:qFormat/>
    <w:uiPriority w:val="39"/>
    <w:pPr>
      <w:ind w:left="210"/>
      <w:jc w:val="left"/>
    </w:pPr>
    <w:rPr>
      <w:rFonts w:asciiTheme="minorHAnsi" w:eastAsiaTheme="minorHAnsi"/>
      <w:smallCaps/>
      <w:sz w:val="20"/>
      <w:szCs w:val="20"/>
    </w:rPr>
  </w:style>
  <w:style w:type="paragraph" w:styleId="17">
    <w:name w:val="toc 9"/>
    <w:basedOn w:val="1"/>
    <w:next w:val="1"/>
    <w:unhideWhenUsed/>
    <w:qFormat/>
    <w:uiPriority w:val="39"/>
    <w:pPr>
      <w:ind w:left="1680"/>
      <w:jc w:val="left"/>
    </w:pPr>
    <w:rPr>
      <w:rFonts w:asciiTheme="minorHAnsi" w:eastAsiaTheme="minorHAnsi"/>
      <w:sz w:val="18"/>
      <w:szCs w:val="18"/>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99"/>
    <w:rPr>
      <w:rFonts w:cs="Times New Roman"/>
      <w:b/>
    </w:rPr>
  </w:style>
  <w:style w:type="character" w:styleId="22">
    <w:name w:val="Hyperlink"/>
    <w:basedOn w:val="20"/>
    <w:unhideWhenUsed/>
    <w:qFormat/>
    <w:uiPriority w:val="99"/>
    <w:rPr>
      <w:rFonts w:cs="Times New Roman"/>
      <w:color w:val="0000FF"/>
      <w:u w:val="single"/>
    </w:rPr>
  </w:style>
  <w:style w:type="character" w:customStyle="1" w:styleId="23">
    <w:name w:val="标题 1 Char"/>
    <w:basedOn w:val="20"/>
    <w:link w:val="2"/>
    <w:qFormat/>
    <w:locked/>
    <w:uiPriority w:val="9"/>
    <w:rPr>
      <w:rFonts w:ascii="Times New Roman" w:hAnsi="Times New Roman" w:cs="Times New Roman"/>
      <w:b/>
      <w:bCs/>
      <w:kern w:val="44"/>
      <w:sz w:val="44"/>
      <w:szCs w:val="44"/>
    </w:rPr>
  </w:style>
  <w:style w:type="character" w:customStyle="1" w:styleId="24">
    <w:name w:val="标题 2 Char"/>
    <w:basedOn w:val="20"/>
    <w:link w:val="3"/>
    <w:qFormat/>
    <w:locked/>
    <w:uiPriority w:val="9"/>
    <w:rPr>
      <w:rFonts w:ascii="Cambria" w:hAnsi="Cambria" w:eastAsia="宋体" w:cs="Times New Roman"/>
      <w:b/>
      <w:bCs/>
      <w:kern w:val="2"/>
      <w:sz w:val="32"/>
      <w:szCs w:val="32"/>
    </w:rPr>
  </w:style>
  <w:style w:type="character" w:customStyle="1" w:styleId="25">
    <w:name w:val="标题 3 Char"/>
    <w:basedOn w:val="20"/>
    <w:link w:val="4"/>
    <w:qFormat/>
    <w:locked/>
    <w:uiPriority w:val="9"/>
    <w:rPr>
      <w:rFonts w:ascii="Times New Roman" w:hAnsi="Times New Roman" w:cs="Times New Roman"/>
      <w:b/>
      <w:bCs/>
      <w:kern w:val="2"/>
      <w:sz w:val="32"/>
      <w:szCs w:val="32"/>
    </w:rPr>
  </w:style>
  <w:style w:type="character" w:customStyle="1" w:styleId="26">
    <w:name w:val="Body Text Char"/>
    <w:basedOn w:val="20"/>
    <w:semiHidden/>
    <w:qFormat/>
    <w:uiPriority w:val="99"/>
    <w:rPr>
      <w:rFonts w:ascii="Times New Roman" w:hAnsi="Times New Roman" w:cs="Times New Roman"/>
      <w:sz w:val="24"/>
      <w:szCs w:val="24"/>
    </w:rPr>
  </w:style>
  <w:style w:type="character" w:customStyle="1" w:styleId="27">
    <w:name w:val="批注框文本 Char"/>
    <w:basedOn w:val="20"/>
    <w:link w:val="10"/>
    <w:semiHidden/>
    <w:qFormat/>
    <w:locked/>
    <w:uiPriority w:val="99"/>
    <w:rPr>
      <w:rFonts w:ascii="Times New Roman" w:hAnsi="Times New Roman" w:cs="Times New Roman"/>
      <w:kern w:val="2"/>
      <w:sz w:val="18"/>
      <w:szCs w:val="18"/>
    </w:rPr>
  </w:style>
  <w:style w:type="character" w:customStyle="1" w:styleId="28">
    <w:name w:val="Footer Char"/>
    <w:basedOn w:val="20"/>
    <w:semiHidden/>
    <w:qFormat/>
    <w:uiPriority w:val="99"/>
    <w:rPr>
      <w:rFonts w:ascii="Times New Roman" w:hAnsi="Times New Roman" w:cs="Times New Roman"/>
      <w:sz w:val="18"/>
      <w:szCs w:val="18"/>
    </w:rPr>
  </w:style>
  <w:style w:type="character" w:customStyle="1" w:styleId="29">
    <w:name w:val="Header Char"/>
    <w:basedOn w:val="20"/>
    <w:semiHidden/>
    <w:qFormat/>
    <w:uiPriority w:val="99"/>
    <w:rPr>
      <w:rFonts w:ascii="Times New Roman" w:hAnsi="Times New Roman" w:cs="Times New Roman"/>
      <w:sz w:val="18"/>
      <w:szCs w:val="18"/>
    </w:rPr>
  </w:style>
  <w:style w:type="character" w:customStyle="1" w:styleId="30">
    <w:name w:val="页眉 Char"/>
    <w:link w:val="12"/>
    <w:semiHidden/>
    <w:qFormat/>
    <w:locked/>
    <w:uiPriority w:val="99"/>
    <w:rPr>
      <w:sz w:val="18"/>
    </w:rPr>
  </w:style>
  <w:style w:type="character" w:customStyle="1" w:styleId="31">
    <w:name w:val="页脚 Char"/>
    <w:link w:val="11"/>
    <w:qFormat/>
    <w:locked/>
    <w:uiPriority w:val="99"/>
    <w:rPr>
      <w:sz w:val="18"/>
    </w:rPr>
  </w:style>
  <w:style w:type="character" w:customStyle="1" w:styleId="32">
    <w:name w:val="正文文本 Char"/>
    <w:link w:val="6"/>
    <w:qFormat/>
    <w:locked/>
    <w:uiPriority w:val="99"/>
    <w:rPr>
      <w:rFonts w:ascii="仿宋_GB2312" w:hAnsi="Times New Roman" w:eastAsia="仿宋_GB2312"/>
      <w:sz w:val="24"/>
    </w:rPr>
  </w:style>
  <w:style w:type="paragraph" w:customStyle="1" w:styleId="3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4">
    <w:name w:val="列表段落1"/>
    <w:basedOn w:val="1"/>
    <w:qFormat/>
    <w:uiPriority w:val="34"/>
    <w:pPr>
      <w:ind w:firstLine="420" w:firstLineChars="200"/>
    </w:pPr>
  </w:style>
  <w:style w:type="paragraph" w:customStyle="1" w:styleId="35">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6">
    <w:name w:val="TOC Heading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7">
    <w:name w:val="TOC 标题2"/>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496" w:themeColor="accent1" w:themeShade="BF"/>
      <w:kern w:val="0"/>
      <w:sz w:val="32"/>
      <w:szCs w:val="32"/>
    </w:rPr>
  </w:style>
  <w:style w:type="character" w:customStyle="1" w:styleId="38">
    <w:name w:val="NormalCharacter"/>
    <w:semiHidden/>
    <w:qFormat/>
    <w:uiPriority w:val="0"/>
  </w:style>
  <w:style w:type="paragraph" w:styleId="39">
    <w:name w:val="No Spacing"/>
    <w:qFormat/>
    <w:uiPriority w:val="1"/>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bjy\Desktop\2021&#24180;&#20915;&#31639;&#20844;&#24320;\&#22270;&#34920;.xls"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bjy\Desktop\2021&#24180;&#20915;&#31639;&#20844;&#24320;\&#22270;&#34920;.xls"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bjy\Desktop\2021&#24180;&#20915;&#31639;&#20844;&#24320;\&#22270;&#34920;.xls"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bjy\Desktop\2021&#24180;&#20915;&#31639;&#20844;&#24320;\&#22270;&#34920;.xls"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bjy\Desktop\2021&#24180;&#20915;&#31639;&#20844;&#24320;\&#22270;&#34920;.xls"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bjy\Desktop\2021&#24180;&#20915;&#31639;&#20844;&#24320;\&#22270;&#34920;.xls"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C:\Users\bjy\Desktop\2021&#24180;&#20915;&#31639;&#20844;&#24320;\&#22270;&#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收、支决算总计变动情况图（万元）</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[图表.xls]Sheet1!$A$1:$A$4</c:f>
              <c:strCache>
                <c:ptCount val="4"/>
                <c:pt idx="0">
                  <c:v>2020年收入</c:v>
                </c:pt>
                <c:pt idx="1">
                  <c:v>2020年支出</c:v>
                </c:pt>
                <c:pt idx="2">
                  <c:v>2021年收入</c:v>
                </c:pt>
                <c:pt idx="3">
                  <c:v>2021年支出</c:v>
                </c:pt>
              </c:strCache>
            </c:strRef>
          </c:cat>
          <c:val>
            <c:numRef>
              <c:f>[图表.xls]Sheet1!$B$1:$B$4</c:f>
              <c:numCache>
                <c:formatCode>General</c:formatCode>
                <c:ptCount val="4"/>
                <c:pt idx="0">
                  <c:v>871.65</c:v>
                </c:pt>
                <c:pt idx="1">
                  <c:v>871.65</c:v>
                </c:pt>
                <c:pt idx="2">
                  <c:v>1088.2</c:v>
                </c:pt>
                <c:pt idx="3">
                  <c:v>1088.2</c:v>
                </c:pt>
              </c:numCache>
            </c:numRef>
          </c:val>
        </c:ser>
        <c:dLbls>
          <c:showLegendKey val="0"/>
          <c:showVal val="1"/>
          <c:showCatName val="0"/>
          <c:showSerName val="0"/>
          <c:showPercent val="0"/>
          <c:showBubbleSize val="0"/>
        </c:dLbls>
        <c:gapWidth val="219"/>
        <c:overlap val="-27"/>
        <c:axId val="95204480"/>
        <c:axId val="95206016"/>
      </c:barChart>
      <c:catAx>
        <c:axId val="9520448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206016"/>
        <c:crosses val="autoZero"/>
        <c:auto val="1"/>
        <c:lblAlgn val="ctr"/>
        <c:lblOffset val="100"/>
        <c:noMultiLvlLbl val="0"/>
      </c:catAx>
      <c:valAx>
        <c:axId val="95206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204480"/>
        <c:crosses val="autoZero"/>
        <c:crossBetween val="between"/>
      </c:valAx>
      <c:spPr>
        <a:noFill/>
        <a:ln>
          <a:noFill/>
        </a:ln>
        <a:effectLst/>
      </c:spPr>
    </c:plotArea>
    <c:plotVisOnly val="1"/>
    <c:dispBlanksAs val="gap"/>
    <c:showDLblsOverMax val="0"/>
  </c:chart>
  <c:spPr>
    <a:solidFill>
      <a:schemeClr val="accent1">
        <a:lumMod val="40000"/>
        <a:lumOff val="60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收入决算结构图（万元）</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[图表.xls]Sheet1!$A$24:$A$30</c:f>
              <c:strCache>
                <c:ptCount val="7"/>
                <c:pt idx="0">
                  <c:v>一般公共预算财政拨款收入</c:v>
                </c:pt>
                <c:pt idx="1">
                  <c:v>政府性基金预算财政拨款收入</c:v>
                </c:pt>
                <c:pt idx="2">
                  <c:v>上级补助收入</c:v>
                </c:pt>
                <c:pt idx="3">
                  <c:v>事业收入</c:v>
                </c:pt>
                <c:pt idx="4">
                  <c:v>经营收入</c:v>
                </c:pt>
                <c:pt idx="5">
                  <c:v>附属单位上缴收入</c:v>
                </c:pt>
                <c:pt idx="6">
                  <c:v>其他收入</c:v>
                </c:pt>
              </c:strCache>
            </c:strRef>
          </c:cat>
          <c:val>
            <c:numRef>
              <c:f>[图表.xls]Sheet1!$B$24:$B$30</c:f>
              <c:numCache>
                <c:formatCode>General</c:formatCode>
                <c:ptCount val="7"/>
                <c:pt idx="0">
                  <c:v>950.85</c:v>
                </c:pt>
                <c:pt idx="1">
                  <c:v>0</c:v>
                </c:pt>
                <c:pt idx="2">
                  <c:v>0</c:v>
                </c:pt>
                <c:pt idx="3">
                  <c:v>0</c:v>
                </c:pt>
                <c:pt idx="4">
                  <c:v>0</c:v>
                </c:pt>
                <c:pt idx="5">
                  <c:v>0</c:v>
                </c:pt>
                <c:pt idx="6">
                  <c:v>0</c:v>
                </c:pt>
              </c:numCache>
            </c:numRef>
          </c:val>
        </c:ser>
        <c:ser>
          <c:idx val="1"/>
          <c:order val="1"/>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[图表.xls]Sheet1!$A$24:$A$30</c:f>
              <c:strCache>
                <c:ptCount val="7"/>
                <c:pt idx="0">
                  <c:v>一般公共预算财政拨款收入</c:v>
                </c:pt>
                <c:pt idx="1">
                  <c:v>政府性基金预算财政拨款收入</c:v>
                </c:pt>
                <c:pt idx="2">
                  <c:v>上级补助收入</c:v>
                </c:pt>
                <c:pt idx="3">
                  <c:v>事业收入</c:v>
                </c:pt>
                <c:pt idx="4">
                  <c:v>经营收入</c:v>
                </c:pt>
                <c:pt idx="5">
                  <c:v>附属单位上缴收入</c:v>
                </c:pt>
                <c:pt idx="6">
                  <c:v>其他收入</c:v>
                </c:pt>
              </c:strCache>
            </c:strRef>
          </c:cat>
          <c:val>
            <c:numRef>
              <c:f>[图表.xls]Sheet1!$C$24:$C$30</c:f>
              <c:numCache>
                <c:formatCode>0%</c:formatCode>
                <c:ptCount val="7"/>
                <c:pt idx="0">
                  <c:v>1</c:v>
                </c:pt>
                <c:pt idx="1">
                  <c:v>0</c:v>
                </c:pt>
                <c:pt idx="2">
                  <c:v>0</c:v>
                </c:pt>
                <c:pt idx="3">
                  <c:v>0</c:v>
                </c:pt>
                <c:pt idx="4">
                  <c:v>0</c:v>
                </c:pt>
                <c:pt idx="5">
                  <c:v>0</c:v>
                </c:pt>
                <c:pt idx="6">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lumMod val="95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支出决算结构图（万元）</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[图表.xls]Sheet1!$A$50:$A$54</c:f>
              <c:strCache>
                <c:ptCount val="5"/>
                <c:pt idx="0">
                  <c:v>基本支出</c:v>
                </c:pt>
                <c:pt idx="1">
                  <c:v>项目支出</c:v>
                </c:pt>
                <c:pt idx="2">
                  <c:v>上缴上级支出</c:v>
                </c:pt>
                <c:pt idx="3">
                  <c:v>经营支出</c:v>
                </c:pt>
                <c:pt idx="4">
                  <c:v>对附属单位补助支出</c:v>
                </c:pt>
              </c:strCache>
            </c:strRef>
          </c:cat>
          <c:val>
            <c:numRef>
              <c:f>[图表.xls]Sheet1!$B$50:$B$54</c:f>
              <c:numCache>
                <c:formatCode>General</c:formatCode>
                <c:ptCount val="5"/>
                <c:pt idx="0">
                  <c:v>826.3</c:v>
                </c:pt>
                <c:pt idx="1">
                  <c:v>261.9</c:v>
                </c:pt>
                <c:pt idx="2">
                  <c:v>0</c:v>
                </c:pt>
                <c:pt idx="3">
                  <c:v>0</c:v>
                </c:pt>
                <c:pt idx="4">
                  <c:v>0</c:v>
                </c:pt>
              </c:numCache>
            </c:numRef>
          </c:val>
        </c:ser>
        <c:dLbls>
          <c:showLegendKey val="0"/>
          <c:showVal val="1"/>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lumMod val="95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财政拨款收、支决算总计变动情况（万元）</a:t>
            </a:r>
          </a:p>
        </c:rich>
      </c:tx>
      <c:layout>
        <c:manualLayout>
          <c:xMode val="edge"/>
          <c:yMode val="edge"/>
          <c:x val="0.139348748118758"/>
          <c:y val="0.0314814814814815"/>
        </c:manualLayout>
      </c:layout>
      <c:overlay val="0"/>
      <c:spPr>
        <a:noFill/>
        <a:ln>
          <a:noFill/>
        </a:ln>
        <a:effectLst/>
      </c:spPr>
    </c:title>
    <c:autoTitleDeleted val="0"/>
    <c:plotArea>
      <c:layout>
        <c:manualLayout>
          <c:layoutTarget val="inner"/>
          <c:xMode val="edge"/>
          <c:yMode val="edge"/>
          <c:x val="0.0650704610753865"/>
          <c:y val="0.171527777777778"/>
          <c:w val="0.878834313859625"/>
          <c:h val="0.701944444444444"/>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[图表.xls]Sheet1!$A$1:$A$4</c:f>
              <c:strCache>
                <c:ptCount val="4"/>
                <c:pt idx="0">
                  <c:v>2020年收入</c:v>
                </c:pt>
                <c:pt idx="1">
                  <c:v>2020年支出</c:v>
                </c:pt>
                <c:pt idx="2">
                  <c:v>2021年收入</c:v>
                </c:pt>
                <c:pt idx="3">
                  <c:v>2021年支出</c:v>
                </c:pt>
              </c:strCache>
            </c:strRef>
          </c:cat>
          <c:val>
            <c:numRef>
              <c:f>[图表.xls]Sheet1!$B$1:$B$4</c:f>
              <c:numCache>
                <c:formatCode>General</c:formatCode>
                <c:ptCount val="4"/>
                <c:pt idx="0">
                  <c:v>871.65</c:v>
                </c:pt>
                <c:pt idx="1">
                  <c:v>871.65</c:v>
                </c:pt>
                <c:pt idx="2">
                  <c:v>1088.2</c:v>
                </c:pt>
                <c:pt idx="3">
                  <c:v>1088.2</c:v>
                </c:pt>
              </c:numCache>
            </c:numRef>
          </c:val>
        </c:ser>
        <c:dLbls>
          <c:showLegendKey val="0"/>
          <c:showVal val="1"/>
          <c:showCatName val="0"/>
          <c:showSerName val="0"/>
          <c:showPercent val="0"/>
          <c:showBubbleSize val="0"/>
        </c:dLbls>
        <c:gapWidth val="219"/>
        <c:overlap val="-27"/>
        <c:axId val="96412032"/>
        <c:axId val="96413568"/>
      </c:barChart>
      <c:catAx>
        <c:axId val="9641203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6413568"/>
        <c:crosses val="autoZero"/>
        <c:auto val="1"/>
        <c:lblAlgn val="ctr"/>
        <c:lblOffset val="100"/>
        <c:noMultiLvlLbl val="0"/>
      </c:catAx>
      <c:valAx>
        <c:axId val="964135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6412032"/>
        <c:crosses val="autoZero"/>
        <c:crossBetween val="between"/>
      </c:valAx>
      <c:spPr>
        <a:solidFill>
          <a:schemeClr val="accent1">
            <a:lumMod val="40000"/>
            <a:lumOff val="60000"/>
          </a:schemeClr>
        </a:solidFill>
        <a:ln>
          <a:noFill/>
        </a:ln>
        <a:effectLst/>
      </c:spPr>
    </c:plotArea>
    <c:plotVisOnly val="1"/>
    <c:dispBlanksAs val="gap"/>
    <c:showDLblsOverMax val="0"/>
  </c:chart>
  <c:spPr>
    <a:solidFill>
      <a:schemeClr val="accent1">
        <a:lumMod val="40000"/>
        <a:lumOff val="60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一般公共预算财政拨款支出决算变动情况（万元）</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[图表.xls]Sheet1!$A$73:$A$74</c:f>
              <c:strCache>
                <c:ptCount val="2"/>
                <c:pt idx="0">
                  <c:v>2020年一般公共预算财政拨款支出</c:v>
                </c:pt>
                <c:pt idx="1">
                  <c:v>2021年一般公共预算财政拨款支出</c:v>
                </c:pt>
              </c:strCache>
            </c:strRef>
          </c:cat>
          <c:val>
            <c:numRef>
              <c:f>[图表.xls]Sheet1!$B$73:$B$74</c:f>
              <c:numCache>
                <c:formatCode>General</c:formatCode>
                <c:ptCount val="2"/>
                <c:pt idx="0">
                  <c:v>871.65</c:v>
                </c:pt>
                <c:pt idx="1">
                  <c:v>1088.2</c:v>
                </c:pt>
              </c:numCache>
            </c:numRef>
          </c:val>
        </c:ser>
        <c:dLbls>
          <c:showLegendKey val="0"/>
          <c:showVal val="1"/>
          <c:showCatName val="0"/>
          <c:showSerName val="0"/>
          <c:showPercent val="0"/>
          <c:showBubbleSize val="0"/>
        </c:dLbls>
        <c:gapWidth val="219"/>
        <c:overlap val="-27"/>
        <c:axId val="96450048"/>
        <c:axId val="96451584"/>
      </c:barChart>
      <c:catAx>
        <c:axId val="9645004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6451584"/>
        <c:crosses val="autoZero"/>
        <c:auto val="1"/>
        <c:lblAlgn val="ctr"/>
        <c:lblOffset val="100"/>
        <c:noMultiLvlLbl val="0"/>
      </c:catAx>
      <c:valAx>
        <c:axId val="96451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6450048"/>
        <c:crosses val="autoZero"/>
        <c:crossBetween val="between"/>
      </c:valAx>
      <c:spPr>
        <a:solidFill>
          <a:schemeClr val="accent1">
            <a:lumMod val="40000"/>
            <a:lumOff val="60000"/>
          </a:schemeClr>
        </a:solidFill>
        <a:ln>
          <a:noFill/>
        </a:ln>
        <a:effectLst/>
      </c:spPr>
    </c:plotArea>
    <c:plotVisOnly val="1"/>
    <c:dispBlanksAs val="gap"/>
    <c:showDLblsOverMax val="0"/>
  </c:chart>
  <c:spPr>
    <a:solidFill>
      <a:schemeClr val="accent1">
        <a:lumMod val="40000"/>
        <a:lumOff val="60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一般公共预算财政拨款支出决算结构（万元）</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[图表.xls]Sheet1!$A$94:$A$102</c:f>
              <c:strCache>
                <c:ptCount val="9"/>
                <c:pt idx="0">
                  <c:v>一般公共服务支出</c:v>
                </c:pt>
                <c:pt idx="1">
                  <c:v>教育支出支出</c:v>
                </c:pt>
                <c:pt idx="2">
                  <c:v>科学技术支出</c:v>
                </c:pt>
                <c:pt idx="3">
                  <c:v>文化旅游体育与传媒支出</c:v>
                </c:pt>
                <c:pt idx="4">
                  <c:v>社会保障和就业支出</c:v>
                </c:pt>
                <c:pt idx="5">
                  <c:v>卫生健康支出</c:v>
                </c:pt>
                <c:pt idx="6">
                  <c:v>节能环保支出</c:v>
                </c:pt>
                <c:pt idx="7">
                  <c:v>农林水支出</c:v>
                </c:pt>
                <c:pt idx="8">
                  <c:v>住房保障支出</c:v>
                </c:pt>
              </c:strCache>
            </c:strRef>
          </c:cat>
          <c:val>
            <c:numRef>
              <c:f>[图表.xls]Sheet1!$B$94:$B$102</c:f>
              <c:numCache>
                <c:formatCode>General</c:formatCode>
                <c:ptCount val="9"/>
                <c:pt idx="0">
                  <c:v>0</c:v>
                </c:pt>
                <c:pt idx="1">
                  <c:v>0</c:v>
                </c:pt>
                <c:pt idx="2">
                  <c:v>0</c:v>
                </c:pt>
                <c:pt idx="3">
                  <c:v>0</c:v>
                </c:pt>
                <c:pt idx="4">
                  <c:v>88.62</c:v>
                </c:pt>
                <c:pt idx="5">
                  <c:v>897.44</c:v>
                </c:pt>
                <c:pt idx="6">
                  <c:v>44.1</c:v>
                </c:pt>
                <c:pt idx="7">
                  <c:v>0.5</c:v>
                </c:pt>
                <c:pt idx="8">
                  <c:v>57.55</c:v>
                </c:pt>
              </c:numCache>
            </c:numRef>
          </c:val>
        </c:ser>
        <c:ser>
          <c:idx val="1"/>
          <c:order val="1"/>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[图表.xls]Sheet1!$A$94:$A$102</c:f>
              <c:strCache>
                <c:ptCount val="9"/>
                <c:pt idx="0">
                  <c:v>一般公共服务支出</c:v>
                </c:pt>
                <c:pt idx="1">
                  <c:v>教育支出支出</c:v>
                </c:pt>
                <c:pt idx="2">
                  <c:v>科学技术支出</c:v>
                </c:pt>
                <c:pt idx="3">
                  <c:v>文化旅游体育与传媒支出</c:v>
                </c:pt>
                <c:pt idx="4">
                  <c:v>社会保障和就业支出</c:v>
                </c:pt>
                <c:pt idx="5">
                  <c:v>卫生健康支出</c:v>
                </c:pt>
                <c:pt idx="6">
                  <c:v>节能环保支出</c:v>
                </c:pt>
                <c:pt idx="7">
                  <c:v>农林水支出</c:v>
                </c:pt>
                <c:pt idx="8">
                  <c:v>住房保障支出</c:v>
                </c:pt>
              </c:strCache>
            </c:strRef>
          </c:cat>
          <c:val>
            <c:numRef>
              <c:f>[图表.xls]Sheet1!$C$94:$C$102</c:f>
              <c:numCache>
                <c:formatCode>0%</c:formatCode>
                <c:ptCount val="9"/>
                <c:pt idx="0">
                  <c:v>0</c:v>
                </c:pt>
                <c:pt idx="1">
                  <c:v>0</c:v>
                </c:pt>
                <c:pt idx="2">
                  <c:v>0</c:v>
                </c:pt>
                <c:pt idx="3">
                  <c:v>0</c:v>
                </c:pt>
                <c:pt idx="4" c:formatCode="0.00%">
                  <c:v>0.0814</c:v>
                </c:pt>
                <c:pt idx="5" c:formatCode="0.00%">
                  <c:v>0.8247</c:v>
                </c:pt>
                <c:pt idx="6" c:formatCode="0.00%">
                  <c:v>0.0405</c:v>
                </c:pt>
                <c:pt idx="7" c:formatCode="0.00%">
                  <c:v>0.0005</c:v>
                </c:pt>
                <c:pt idx="8" c:formatCode="0.00%">
                  <c:v>0.0529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lumMod val="95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三公”经费财政拨款支出结构（万元）</a:t>
            </a:r>
          </a:p>
        </c:rich>
      </c:tx>
      <c:layout>
        <c:manualLayout>
          <c:xMode val="edge"/>
          <c:yMode val="edge"/>
          <c:x val="0.151914637063789"/>
          <c:y val="0.03125"/>
        </c:manualLayout>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[图表.xls]Sheet1!$A$122:$A$124</c:f>
              <c:strCache>
                <c:ptCount val="3"/>
                <c:pt idx="0">
                  <c:v>因公出国（境）费支出</c:v>
                </c:pt>
                <c:pt idx="1">
                  <c:v>公务用车购置及运行维护费支出</c:v>
                </c:pt>
                <c:pt idx="2">
                  <c:v>公务接待费支出</c:v>
                </c:pt>
              </c:strCache>
            </c:strRef>
          </c:cat>
          <c:val>
            <c:numRef>
              <c:f>[图表.xls]Sheet1!$B$122:$B$124</c:f>
              <c:numCache>
                <c:formatCode>General</c:formatCode>
                <c:ptCount val="3"/>
                <c:pt idx="0">
                  <c:v>0</c:v>
                </c:pt>
                <c:pt idx="1">
                  <c:v>8.99</c:v>
                </c:pt>
                <c:pt idx="2">
                  <c:v>0</c:v>
                </c:pt>
              </c:numCache>
            </c:numRef>
          </c:val>
        </c:ser>
        <c:ser>
          <c:idx val="1"/>
          <c:order val="1"/>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[图表.xls]Sheet1!$A$122:$A$124</c:f>
              <c:strCache>
                <c:ptCount val="3"/>
                <c:pt idx="0">
                  <c:v>因公出国（境）费支出</c:v>
                </c:pt>
                <c:pt idx="1">
                  <c:v>公务用车购置及运行维护费支出</c:v>
                </c:pt>
                <c:pt idx="2">
                  <c:v>公务接待费支出</c:v>
                </c:pt>
              </c:strCache>
            </c:strRef>
          </c:cat>
          <c:val>
            <c:numRef>
              <c:f>[图表.xls]Sheet1!$C$122:$C$124</c:f>
              <c:numCache>
                <c:formatCode>0%</c:formatCode>
                <c:ptCount val="3"/>
                <c:pt idx="0">
                  <c:v>0</c:v>
                </c:pt>
                <c:pt idx="1">
                  <c:v>1</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lumMod val="95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39</Pages>
  <Words>13945</Words>
  <Characters>15423</Characters>
  <Lines>30</Lines>
  <Paragraphs>35</Paragraphs>
  <TotalTime>45</TotalTime>
  <ScaleCrop>false</ScaleCrop>
  <LinksUpToDate>false</LinksUpToDate>
  <CharactersWithSpaces>21150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2021-08-06T17:38:00Z</dcterms:created>
  <dc:creator>曹颖</dc:creator>
  <cp:lastModifiedBy>bjy</cp:lastModifiedBy>
  <cp:lastPrinted>2022-10-20T18:23:00Z</cp:lastPrinted>
  <dcterms:modified xsi:type="dcterms:W3CDTF">2022-10-21T08:24:14Z</dcterms:modified>
  <dc:title>阿坝州部门决算说明</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3870BE30FCA641E59280B69BD0018586</vt:lpwstr>
  </property>
</Properties>
</file>