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方正小标宋简体" w:hAnsi="宋体" w:eastAsia="方正小标宋简体"/>
          <w:color w:val="000000"/>
          <w:sz w:val="72"/>
          <w:szCs w:val="72"/>
          <w:lang w:val="en-US" w:eastAsia="zh-CN"/>
        </w:rPr>
      </w:pPr>
      <w:bookmarkStart w:id="0" w:name="_Toc15306267"/>
      <w:r>
        <w:rPr>
          <w:rFonts w:hint="eastAsia" w:ascii="方正小标宋简体" w:hAnsi="宋体" w:eastAsia="方正小标宋简体"/>
          <w:color w:val="000000"/>
          <w:sz w:val="72"/>
          <w:szCs w:val="72"/>
          <w:lang w:val="en-US" w:eastAsia="zh-CN"/>
        </w:rPr>
        <w:t xml:space="preserve">  </w:t>
      </w: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193"/>
      <w:bookmarkStart w:id="2" w:name="_Toc15396597"/>
      <w:bookmarkStart w:id="3" w:name="_Toc15378441"/>
      <w:bookmarkStart w:id="4" w:name="_Toc15377425"/>
      <w:bookmarkStart w:id="5" w:name="_Toc1539647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78442"/>
      <w:bookmarkStart w:id="8" w:name="_Toc15396598"/>
      <w:bookmarkStart w:id="9" w:name="_Toc15377426"/>
      <w:bookmarkStart w:id="10" w:name="_Toc1539647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val="en-US" w:eastAsia="zh-CN"/>
        </w:rPr>
        <w:t>壤塘县红十字会</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6"/>
        <w:jc w:val="center"/>
        <w:rPr>
          <w:rFonts w:hAnsiTheme="minorHAnsi"/>
          <w:b w:val="0"/>
          <w:bCs w:val="0"/>
          <w:sz w:val="24"/>
          <w:szCs w:val="24"/>
        </w:rPr>
      </w:pPr>
      <w:r>
        <w:rPr>
          <w:rFonts w:hint="eastAsia" w:hAnsiTheme="minorHAnsi"/>
          <w:b w:val="0"/>
          <w:bCs w:val="0"/>
          <w:sz w:val="24"/>
          <w:szCs w:val="24"/>
        </w:rPr>
        <w:t xml:space="preserve">公开时间：2021年 </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25</w:t>
      </w:r>
      <w:r>
        <w:rPr>
          <w:rFonts w:hint="eastAsia" w:hAnsiTheme="minorHAnsi"/>
          <w:b w:val="0"/>
          <w:bCs w:val="0"/>
          <w:sz w:val="24"/>
          <w:szCs w:val="24"/>
        </w:rPr>
        <w:t xml:space="preserve"> 日</w:t>
      </w:r>
    </w:p>
    <w:p>
      <w:pPr>
        <w:pStyle w:val="16"/>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_Toc25421 \h </w:instrText>
      </w:r>
      <w:r>
        <w:fldChar w:fldCharType="separate"/>
      </w:r>
      <w:r>
        <w:t>4</w:t>
      </w:r>
      <w:r>
        <w:fldChar w:fldCharType="end"/>
      </w:r>
    </w:p>
    <w:p>
      <w:pPr>
        <w:pStyle w:val="19"/>
        <w:tabs>
          <w:tab w:val="right" w:leader="dot" w:pos="8306"/>
        </w:tabs>
      </w:pPr>
      <w:r>
        <w:rPr>
          <w:rFonts w:hint="eastAsia" w:ascii="黑体" w:hAnsi="黑体" w:eastAsia="黑体"/>
          <w:color w:val="000000"/>
        </w:rPr>
        <w:t>一、基</w:t>
      </w:r>
      <w:r>
        <w:rPr>
          <w:rFonts w:hint="eastAsia" w:ascii="黑体" w:hAnsi="黑体" w:eastAsia="黑体"/>
          <w:bCs w:val="0"/>
        </w:rPr>
        <w:t>本职能及主要工作</w:t>
      </w:r>
      <w:r>
        <w:tab/>
      </w:r>
      <w:r>
        <w:fldChar w:fldCharType="begin"/>
      </w:r>
      <w:r>
        <w:instrText xml:space="preserve"> PAGEREF _Toc32139 \h </w:instrText>
      </w:r>
      <w:r>
        <w:fldChar w:fldCharType="separate"/>
      </w:r>
      <w:r>
        <w:t>4</w:t>
      </w:r>
      <w:r>
        <w:fldChar w:fldCharType="end"/>
      </w:r>
    </w:p>
    <w:p>
      <w:pPr>
        <w:pStyle w:val="11"/>
        <w:tabs>
          <w:tab w:val="right" w:leader="dot" w:pos="8306"/>
        </w:tabs>
      </w:pPr>
      <w:r>
        <w:rPr>
          <w:rFonts w:hint="eastAsia" w:ascii="仿宋" w:hAnsi="仿宋" w:eastAsia="仿宋"/>
          <w:bCs/>
          <w:color w:val="000000"/>
          <w:szCs w:val="32"/>
        </w:rPr>
        <w:t>（一）主要职能</w:t>
      </w:r>
      <w:r>
        <w:tab/>
      </w:r>
      <w:r>
        <w:fldChar w:fldCharType="begin"/>
      </w:r>
      <w:r>
        <w:instrText xml:space="preserve"> PAGEREF _Toc29983 \h </w:instrText>
      </w:r>
      <w:r>
        <w:fldChar w:fldCharType="separate"/>
      </w:r>
      <w:r>
        <w:t>4</w:t>
      </w:r>
      <w:r>
        <w:fldChar w:fldCharType="end"/>
      </w:r>
    </w:p>
    <w:p>
      <w:pPr>
        <w:pStyle w:val="11"/>
        <w:tabs>
          <w:tab w:val="right" w:leader="dot" w:pos="8306"/>
        </w:tabs>
      </w:pPr>
      <w:r>
        <w:rPr>
          <w:rFonts w:hint="eastAsia" w:ascii="仿宋" w:hAnsi="仿宋" w:eastAsia="仿宋"/>
          <w:bCs/>
          <w:color w:val="000000"/>
          <w:szCs w:val="32"/>
        </w:rPr>
        <w:t>（二）</w:t>
      </w:r>
      <w:r>
        <w:rPr>
          <w:rFonts w:ascii="仿宋" w:hAnsi="仿宋" w:eastAsia="仿宋"/>
          <w:bCs/>
          <w:color w:val="000000"/>
          <w:szCs w:val="32"/>
        </w:rPr>
        <w:t>2020</w:t>
      </w:r>
      <w:r>
        <w:rPr>
          <w:rFonts w:hint="eastAsia" w:ascii="仿宋" w:hAnsi="仿宋" w:eastAsia="仿宋"/>
          <w:bCs/>
          <w:color w:val="000000"/>
          <w:szCs w:val="32"/>
        </w:rPr>
        <w:t>年重点工作完成情况</w:t>
      </w:r>
      <w:r>
        <w:tab/>
      </w:r>
      <w:r>
        <w:fldChar w:fldCharType="begin"/>
      </w:r>
      <w:r>
        <w:instrText xml:space="preserve"> PAGEREF _Toc20843 \h </w:instrText>
      </w:r>
      <w:r>
        <w:fldChar w:fldCharType="separate"/>
      </w:r>
      <w:r>
        <w:t>4</w:t>
      </w:r>
      <w:r>
        <w:fldChar w:fldCharType="end"/>
      </w:r>
    </w:p>
    <w:p>
      <w:pPr>
        <w:pStyle w:val="19"/>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_Toc29083 \h </w:instrText>
      </w:r>
      <w:r>
        <w:fldChar w:fldCharType="separate"/>
      </w:r>
      <w:r>
        <w:t>9</w:t>
      </w:r>
      <w:r>
        <w:fldChar w:fldCharType="end"/>
      </w:r>
    </w:p>
    <w:p>
      <w:pPr>
        <w:pStyle w:val="16"/>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ascii="黑体" w:hAnsi="黑体" w:eastAsia="黑体"/>
          <w:bCs w:val="0"/>
        </w:rPr>
        <w:t>2020</w:t>
      </w:r>
      <w:r>
        <w:rPr>
          <w:rFonts w:hint="eastAsia" w:ascii="黑体" w:hAnsi="黑体" w:eastAsia="黑体"/>
          <w:bCs w:val="0"/>
        </w:rPr>
        <w:t>年度部门决算情况说明</w:t>
      </w:r>
      <w:r>
        <w:tab/>
      </w:r>
      <w:r>
        <w:fldChar w:fldCharType="begin"/>
      </w:r>
      <w:r>
        <w:instrText xml:space="preserve"> PAGEREF _Toc14147 \h </w:instrText>
      </w:r>
      <w:r>
        <w:fldChar w:fldCharType="separate"/>
      </w:r>
      <w:r>
        <w:t>10</w:t>
      </w:r>
      <w:r>
        <w:fldChar w:fldCharType="end"/>
      </w:r>
    </w:p>
    <w:p>
      <w:pPr>
        <w:pStyle w:val="19"/>
        <w:tabs>
          <w:tab w:val="right" w:leader="dot" w:pos="8306"/>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_Toc25426 \h </w:instrText>
      </w:r>
      <w:r>
        <w:fldChar w:fldCharType="separate"/>
      </w:r>
      <w:r>
        <w:t>10</w:t>
      </w:r>
      <w:r>
        <w:fldChar w:fldCharType="end"/>
      </w:r>
    </w:p>
    <w:p>
      <w:pPr>
        <w:pStyle w:val="19"/>
        <w:tabs>
          <w:tab w:val="right" w:leader="dot" w:pos="8306"/>
        </w:tabs>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_Toc22783 \h </w:instrText>
      </w:r>
      <w:r>
        <w:fldChar w:fldCharType="separate"/>
      </w:r>
      <w:r>
        <w:t>11</w:t>
      </w:r>
      <w:r>
        <w:fldChar w:fldCharType="end"/>
      </w:r>
    </w:p>
    <w:p>
      <w:pPr>
        <w:pStyle w:val="19"/>
        <w:tabs>
          <w:tab w:val="right" w:leader="dot" w:pos="8306"/>
        </w:tabs>
      </w:pPr>
      <w:r>
        <w:rPr>
          <w:rFonts w:hint="default" w:ascii="黑体" w:hAnsi="黑体" w:eastAsia="黑体" w:cs="Times New Roman"/>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_Toc30618 \h </w:instrText>
      </w:r>
      <w:r>
        <w:fldChar w:fldCharType="separate"/>
      </w:r>
      <w:r>
        <w:t>11</w:t>
      </w:r>
      <w:r>
        <w:fldChar w:fldCharType="end"/>
      </w:r>
    </w:p>
    <w:p>
      <w:pPr>
        <w:pStyle w:val="19"/>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_Toc5455 \h </w:instrText>
      </w:r>
      <w:r>
        <w:fldChar w:fldCharType="separate"/>
      </w:r>
      <w:r>
        <w:t>12</w:t>
      </w:r>
      <w:r>
        <w:fldChar w:fldCharType="end"/>
      </w:r>
    </w:p>
    <w:p>
      <w:pPr>
        <w:pStyle w:val="19"/>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_Toc9806 \h </w:instrText>
      </w:r>
      <w:r>
        <w:fldChar w:fldCharType="separate"/>
      </w:r>
      <w:r>
        <w:t>13</w:t>
      </w:r>
      <w:r>
        <w:fldChar w:fldCharType="end"/>
      </w:r>
    </w:p>
    <w:p>
      <w:pPr>
        <w:pStyle w:val="11"/>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_Toc28903 \h </w:instrText>
      </w:r>
      <w:r>
        <w:fldChar w:fldCharType="separate"/>
      </w:r>
      <w:r>
        <w:t>13</w:t>
      </w:r>
      <w:r>
        <w:fldChar w:fldCharType="end"/>
      </w:r>
    </w:p>
    <w:p>
      <w:pPr>
        <w:pStyle w:val="11"/>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_Toc9357 \h </w:instrText>
      </w:r>
      <w:r>
        <w:fldChar w:fldCharType="separate"/>
      </w:r>
      <w:r>
        <w:t>13</w:t>
      </w:r>
      <w:r>
        <w:fldChar w:fldCharType="end"/>
      </w:r>
    </w:p>
    <w:p>
      <w:pPr>
        <w:pStyle w:val="11"/>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_Toc27321 \h </w:instrText>
      </w:r>
      <w:r>
        <w:fldChar w:fldCharType="separate"/>
      </w:r>
      <w:r>
        <w:t>14</w:t>
      </w:r>
      <w:r>
        <w:fldChar w:fldCharType="end"/>
      </w:r>
    </w:p>
    <w:p>
      <w:pPr>
        <w:pStyle w:val="19"/>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_Toc25222 \h </w:instrText>
      </w:r>
      <w:r>
        <w:fldChar w:fldCharType="separate"/>
      </w:r>
      <w:r>
        <w:t>15</w:t>
      </w:r>
      <w:r>
        <w:fldChar w:fldCharType="end"/>
      </w:r>
    </w:p>
    <w:p>
      <w:pPr>
        <w:pStyle w:val="19"/>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_Toc4893 \h </w:instrText>
      </w:r>
      <w:r>
        <w:fldChar w:fldCharType="separate"/>
      </w:r>
      <w:r>
        <w:t>15</w:t>
      </w:r>
      <w:r>
        <w:fldChar w:fldCharType="end"/>
      </w:r>
    </w:p>
    <w:p>
      <w:pPr>
        <w:pStyle w:val="11"/>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_Toc5266 \h </w:instrText>
      </w:r>
      <w:r>
        <w:fldChar w:fldCharType="separate"/>
      </w:r>
      <w:r>
        <w:t>15</w:t>
      </w:r>
      <w:r>
        <w:fldChar w:fldCharType="end"/>
      </w:r>
    </w:p>
    <w:p>
      <w:pPr>
        <w:pStyle w:val="11"/>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_Toc1271 \h </w:instrText>
      </w:r>
      <w:r>
        <w:fldChar w:fldCharType="separate"/>
      </w:r>
      <w:r>
        <w:t>15</w:t>
      </w:r>
      <w:r>
        <w:fldChar w:fldCharType="end"/>
      </w:r>
    </w:p>
    <w:p>
      <w:pPr>
        <w:pStyle w:val="19"/>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_Toc2602 \h </w:instrText>
      </w:r>
      <w:r>
        <w:fldChar w:fldCharType="separate"/>
      </w:r>
      <w:r>
        <w:t>17</w:t>
      </w:r>
      <w:r>
        <w:fldChar w:fldCharType="end"/>
      </w:r>
    </w:p>
    <w:p>
      <w:pPr>
        <w:pStyle w:val="19"/>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_Toc6497 \h </w:instrText>
      </w:r>
      <w:r>
        <w:fldChar w:fldCharType="separate"/>
      </w:r>
      <w:r>
        <w:t>17</w:t>
      </w:r>
      <w:r>
        <w:fldChar w:fldCharType="end"/>
      </w:r>
    </w:p>
    <w:p>
      <w:pPr>
        <w:pStyle w:val="19"/>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_Toc27000 \h </w:instrText>
      </w:r>
      <w:r>
        <w:fldChar w:fldCharType="separate"/>
      </w:r>
      <w:r>
        <w:t>17</w:t>
      </w:r>
      <w:r>
        <w:fldChar w:fldCharType="end"/>
      </w:r>
    </w:p>
    <w:p>
      <w:pPr>
        <w:pStyle w:val="11"/>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_Toc12652 \h </w:instrText>
      </w:r>
      <w:r>
        <w:fldChar w:fldCharType="separate"/>
      </w:r>
      <w:r>
        <w:t>17</w:t>
      </w:r>
      <w:r>
        <w:fldChar w:fldCharType="end"/>
      </w:r>
    </w:p>
    <w:p>
      <w:pPr>
        <w:pStyle w:val="11"/>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_Toc23706 \h </w:instrText>
      </w:r>
      <w:r>
        <w:fldChar w:fldCharType="separate"/>
      </w:r>
      <w:r>
        <w:t>17</w:t>
      </w:r>
      <w:r>
        <w:fldChar w:fldCharType="end"/>
      </w:r>
    </w:p>
    <w:p>
      <w:pPr>
        <w:pStyle w:val="11"/>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_Toc3807 \h </w:instrText>
      </w:r>
      <w:r>
        <w:fldChar w:fldCharType="separate"/>
      </w:r>
      <w:r>
        <w:t>17</w:t>
      </w:r>
      <w:r>
        <w:fldChar w:fldCharType="end"/>
      </w:r>
    </w:p>
    <w:p>
      <w:pPr>
        <w:pStyle w:val="11"/>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_Toc26064 \h </w:instrText>
      </w:r>
      <w:r>
        <w:fldChar w:fldCharType="separate"/>
      </w:r>
      <w:r>
        <w:t>18</w:t>
      </w:r>
      <w:r>
        <w:fldChar w:fldCharType="end"/>
      </w:r>
    </w:p>
    <w:p>
      <w:pPr>
        <w:pStyle w:val="16"/>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_Toc15409 \h </w:instrText>
      </w:r>
      <w:r>
        <w:fldChar w:fldCharType="separate"/>
      </w:r>
      <w:r>
        <w:t>19</w:t>
      </w:r>
      <w:r>
        <w:fldChar w:fldCharType="end"/>
      </w:r>
    </w:p>
    <w:p>
      <w:pPr>
        <w:pStyle w:val="16"/>
        <w:tabs>
          <w:tab w:val="right" w:leader="dot" w:pos="8306"/>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_Toc31265 \h </w:instrText>
      </w:r>
      <w:r>
        <w:fldChar w:fldCharType="separate"/>
      </w:r>
      <w:r>
        <w:t>22</w:t>
      </w:r>
      <w:r>
        <w:fldChar w:fldCharType="end"/>
      </w:r>
    </w:p>
    <w:p>
      <w:pPr>
        <w:pStyle w:val="16"/>
        <w:tabs>
          <w:tab w:val="right" w:leader="dot" w:pos="8306"/>
        </w:tabs>
      </w:pP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_Toc17676 \h </w:instrText>
      </w:r>
      <w:r>
        <w:fldChar w:fldCharType="separate"/>
      </w:r>
      <w:r>
        <w:t>22</w:t>
      </w:r>
      <w:r>
        <w:fldChar w:fldCharType="end"/>
      </w:r>
    </w:p>
    <w:p>
      <w:pPr>
        <w:pStyle w:val="16"/>
        <w:tabs>
          <w:tab w:val="right" w:leader="dot" w:pos="8306"/>
        </w:tabs>
        <w:rPr>
          <w:rFonts w:hint="default" w:eastAsiaTheme="minorHAnsi"/>
          <w:lang w:val="en-US" w:eastAsia="zh-CN"/>
        </w:rPr>
      </w:pPr>
      <w:r>
        <w:rPr>
          <w:rFonts w:hint="eastAsia" w:ascii="方正小标宋简体" w:hAnsi="黑体" w:eastAsia="方正小标宋简体" w:cs="黑体"/>
          <w:szCs w:val="44"/>
          <w:lang w:val="en-US" w:eastAsia="zh-CN"/>
        </w:rPr>
        <w:t>壤塘县红十字会</w:t>
      </w:r>
      <w:r>
        <w:rPr>
          <w:rFonts w:ascii="方正小标宋简体" w:hAnsi="黑体" w:eastAsia="方正小标宋简体" w:cs="黑体"/>
          <w:szCs w:val="44"/>
        </w:rPr>
        <w:t>2020</w:t>
      </w:r>
      <w:r>
        <w:rPr>
          <w:rFonts w:hint="eastAsia" w:ascii="方正小标宋简体" w:hAnsi="黑体" w:eastAsia="方正小标宋简体" w:cs="黑体"/>
          <w:szCs w:val="44"/>
        </w:rPr>
        <w:t>年部门整体支出绩效评价报告</w:t>
      </w:r>
      <w:r>
        <w:tab/>
      </w:r>
      <w:r>
        <w:rPr>
          <w:rFonts w:hint="eastAsia"/>
          <w:lang w:val="en-US" w:eastAsia="zh-CN"/>
        </w:rPr>
        <w:t>22</w:t>
      </w:r>
    </w:p>
    <w:p>
      <w:pPr>
        <w:pStyle w:val="16"/>
        <w:tabs>
          <w:tab w:val="right" w:leader="dot" w:pos="830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_Toc12241 \h </w:instrText>
      </w:r>
      <w:r>
        <w:fldChar w:fldCharType="separate"/>
      </w:r>
      <w:r>
        <w:t>32</w:t>
      </w:r>
      <w:r>
        <w:fldChar w:fldCharType="end"/>
      </w:r>
    </w:p>
    <w:p>
      <w:pPr>
        <w:pStyle w:val="19"/>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_Toc5427 \h </w:instrText>
      </w:r>
      <w:r>
        <w:fldChar w:fldCharType="separate"/>
      </w:r>
      <w:r>
        <w:t>32</w:t>
      </w:r>
      <w:r>
        <w:fldChar w:fldCharType="end"/>
      </w:r>
    </w:p>
    <w:p>
      <w:pPr>
        <w:pStyle w:val="19"/>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_Toc16353 \h </w:instrText>
      </w:r>
      <w:r>
        <w:fldChar w:fldCharType="separate"/>
      </w:r>
      <w:r>
        <w:t>32</w:t>
      </w:r>
      <w:r>
        <w:fldChar w:fldCharType="end"/>
      </w:r>
    </w:p>
    <w:p>
      <w:pPr>
        <w:pStyle w:val="19"/>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_Toc24584 \h </w:instrText>
      </w:r>
      <w:r>
        <w:fldChar w:fldCharType="separate"/>
      </w:r>
      <w:r>
        <w:t>32</w:t>
      </w:r>
      <w:r>
        <w:fldChar w:fldCharType="end"/>
      </w:r>
    </w:p>
    <w:p>
      <w:pPr>
        <w:pStyle w:val="19"/>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_Toc19691 \h </w:instrText>
      </w:r>
      <w:r>
        <w:fldChar w:fldCharType="separate"/>
      </w:r>
      <w:r>
        <w:t>32</w:t>
      </w:r>
      <w:r>
        <w:fldChar w:fldCharType="end"/>
      </w:r>
    </w:p>
    <w:p>
      <w:pPr>
        <w:pStyle w:val="19"/>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_Toc21611 \h </w:instrText>
      </w:r>
      <w:r>
        <w:fldChar w:fldCharType="separate"/>
      </w:r>
      <w:r>
        <w:t>32</w:t>
      </w:r>
      <w:r>
        <w:fldChar w:fldCharType="end"/>
      </w:r>
    </w:p>
    <w:p>
      <w:pPr>
        <w:pStyle w:val="19"/>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_Toc28897 \h </w:instrText>
      </w:r>
      <w:r>
        <w:fldChar w:fldCharType="separate"/>
      </w:r>
      <w:r>
        <w:t>32</w:t>
      </w:r>
      <w:r>
        <w:fldChar w:fldCharType="end"/>
      </w:r>
    </w:p>
    <w:p>
      <w:pPr>
        <w:pStyle w:val="19"/>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_Toc27213 \h </w:instrText>
      </w:r>
      <w:r>
        <w:fldChar w:fldCharType="separate"/>
      </w:r>
      <w:r>
        <w:t>32</w:t>
      </w:r>
      <w:r>
        <w:fldChar w:fldCharType="end"/>
      </w:r>
    </w:p>
    <w:p>
      <w:pPr>
        <w:pStyle w:val="19"/>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_Toc6802 \h </w:instrText>
      </w:r>
      <w:r>
        <w:fldChar w:fldCharType="separate"/>
      </w:r>
      <w:r>
        <w:t>32</w:t>
      </w:r>
      <w:r>
        <w:fldChar w:fldCharType="end"/>
      </w:r>
    </w:p>
    <w:p>
      <w:pPr>
        <w:pStyle w:val="19"/>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_Toc22876 \h </w:instrText>
      </w:r>
      <w:r>
        <w:fldChar w:fldCharType="separate"/>
      </w:r>
      <w:r>
        <w:t>32</w:t>
      </w:r>
      <w:r>
        <w:fldChar w:fldCharType="end"/>
      </w:r>
    </w:p>
    <w:p>
      <w:pPr>
        <w:pStyle w:val="19"/>
        <w:tabs>
          <w:tab w:val="right" w:leader="dot" w:pos="8306"/>
        </w:tabs>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fldChar w:fldCharType="begin"/>
      </w:r>
      <w:r>
        <w:instrText xml:space="preserve"> PAGEREF _Toc32417 \h </w:instrText>
      </w:r>
      <w:r>
        <w:fldChar w:fldCharType="separate"/>
      </w:r>
      <w:r>
        <w:t>32</w:t>
      </w:r>
      <w:r>
        <w:fldChar w:fldCharType="end"/>
      </w:r>
    </w:p>
    <w:p>
      <w:pPr>
        <w:pStyle w:val="19"/>
        <w:tabs>
          <w:tab w:val="right" w:leader="dot" w:pos="8306"/>
        </w:tabs>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_Toc14487 \h </w:instrText>
      </w:r>
      <w:r>
        <w:fldChar w:fldCharType="separate"/>
      </w:r>
      <w:r>
        <w:t>32</w:t>
      </w:r>
      <w:r>
        <w:fldChar w:fldCharType="end"/>
      </w:r>
    </w:p>
    <w:p>
      <w:pPr>
        <w:pStyle w:val="19"/>
        <w:tabs>
          <w:tab w:val="right" w:leader="dot" w:pos="8306"/>
        </w:tabs>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fldChar w:fldCharType="begin"/>
      </w:r>
      <w:r>
        <w:instrText xml:space="preserve"> PAGEREF _Toc24920 \h </w:instrText>
      </w:r>
      <w:r>
        <w:fldChar w:fldCharType="separate"/>
      </w:r>
      <w:r>
        <w:t>32</w:t>
      </w:r>
      <w:r>
        <w:fldChar w:fldCharType="end"/>
      </w:r>
    </w:p>
    <w:p>
      <w:pPr>
        <w:pStyle w:val="19"/>
        <w:tabs>
          <w:tab w:val="right" w:leader="dot" w:pos="8306"/>
        </w:tabs>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fldChar w:fldCharType="begin"/>
      </w:r>
      <w:r>
        <w:instrText xml:space="preserve"> PAGEREF _Toc10073 \h </w:instrText>
      </w:r>
      <w:r>
        <w:fldChar w:fldCharType="separate"/>
      </w:r>
      <w:r>
        <w:t>32</w:t>
      </w:r>
      <w:r>
        <w:fldChar w:fldCharType="end"/>
      </w:r>
    </w:p>
    <w:p>
      <w:pPr>
        <w:pStyle w:val="19"/>
        <w:tabs>
          <w:tab w:val="right" w:leader="dot" w:pos="8306"/>
        </w:tabs>
      </w:pPr>
      <w:r>
        <w:rPr>
          <w:rFonts w:hint="eastAsia" w:ascii="仿宋" w:hAnsi="仿宋" w:eastAsia="仿宋"/>
          <w:bCs w:val="0"/>
        </w:rPr>
        <w:t>十四、国有资本经营预算财政拨款支出决算表</w:t>
      </w:r>
      <w:r>
        <w:tab/>
      </w:r>
      <w:r>
        <w:fldChar w:fldCharType="begin"/>
      </w:r>
      <w:r>
        <w:instrText xml:space="preserve"> PAGEREF _Toc2036 \h </w:instrText>
      </w:r>
      <w:r>
        <w:fldChar w:fldCharType="separate"/>
      </w:r>
      <w:r>
        <w:t>32</w:t>
      </w:r>
      <w:r>
        <w:fldChar w:fldCharType="end"/>
      </w:r>
    </w:p>
    <w:p>
      <w:r>
        <w:rPr>
          <w:rFonts w:asciiTheme="minorHAnsi" w:eastAsiaTheme="minorHAnsi"/>
          <w:bCs/>
          <w:caps/>
          <w:szCs w:val="20"/>
        </w:rPr>
        <w:fldChar w:fldCharType="end"/>
      </w:r>
    </w:p>
    <w:p>
      <w:pPr>
        <w:pStyle w:val="3"/>
        <w:jc w:val="center"/>
        <w:rPr>
          <w:rFonts w:hint="eastAsia" w:ascii="黑体" w:hAnsi="黑体" w:eastAsia="黑体"/>
          <w:b w:val="0"/>
        </w:rPr>
        <w:sectPr>
          <w:headerReference r:id="rId3" w:type="default"/>
          <w:pgSz w:w="11906" w:h="16838"/>
          <w:pgMar w:top="1440" w:right="1800" w:bottom="1440" w:left="1800" w:header="851" w:footer="992" w:gutter="0"/>
          <w:pgNumType w:start="1"/>
          <w:cols w:space="425" w:num="1"/>
          <w:titlePg/>
          <w:docGrid w:type="lines" w:linePitch="312" w:charSpace="0"/>
        </w:sectPr>
      </w:pPr>
      <w:bookmarkStart w:id="12" w:name="_Toc79163601"/>
      <w:bookmarkStart w:id="13" w:name="_Toc15377196"/>
      <w:bookmarkStart w:id="14" w:name="_Toc15396599"/>
      <w:bookmarkStart w:id="15" w:name="_Toc25421"/>
    </w:p>
    <w:p>
      <w:pPr>
        <w:pStyle w:val="3"/>
        <w:jc w:val="center"/>
        <w:rPr>
          <w:rStyle w:val="26"/>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2"/>
      <w:bookmarkEnd w:id="13"/>
      <w:bookmarkEnd w:id="14"/>
      <w:bookmarkEnd w:id="15"/>
    </w:p>
    <w:p>
      <w:pPr>
        <w:pStyle w:val="4"/>
        <w:pageBreakBefore w:val="0"/>
        <w:widowControl w:val="0"/>
        <w:kinsoku/>
        <w:wordWrap/>
        <w:overflowPunct/>
        <w:topLinePunct w:val="0"/>
        <w:autoSpaceDE/>
        <w:autoSpaceDN/>
        <w:bidi w:val="0"/>
        <w:spacing w:before="0" w:after="0" w:line="560" w:lineRule="exact"/>
        <w:textAlignment w:val="auto"/>
        <w:rPr>
          <w:rStyle w:val="27"/>
          <w:rFonts w:ascii="仿宋" w:hAnsi="仿宋" w:eastAsia="仿宋"/>
          <w:b w:val="0"/>
          <w:bCs w:val="0"/>
        </w:rPr>
      </w:pPr>
      <w:bookmarkStart w:id="16" w:name="_Toc15377197"/>
      <w:bookmarkStart w:id="17" w:name="_Toc15396600"/>
      <w:bookmarkStart w:id="18" w:name="_Toc79163602"/>
      <w:bookmarkStart w:id="19" w:name="_Toc32139"/>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6"/>
      <w:bookmarkEnd w:id="17"/>
      <w:bookmarkEnd w:id="18"/>
      <w:bookmarkEnd w:id="19"/>
    </w:p>
    <w:p>
      <w:pPr>
        <w:pStyle w:val="8"/>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ascii="仿宋" w:hAnsi="仿宋" w:eastAsia="仿宋"/>
          <w:bCs/>
          <w:color w:val="000000"/>
          <w:sz w:val="32"/>
          <w:szCs w:val="32"/>
        </w:rPr>
      </w:pPr>
      <w:bookmarkStart w:id="20" w:name="_Toc29983"/>
      <w:bookmarkStart w:id="21" w:name="_Toc7916360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cs="Times New Roman"/>
          <w:bCs/>
          <w:color w:val="000000"/>
          <w:kern w:val="0"/>
          <w:sz w:val="32"/>
          <w:szCs w:val="32"/>
          <w:lang w:val="zh-CN" w:eastAsia="zh-CN" w:bidi="ar-SA"/>
        </w:rPr>
      </w:pPr>
      <w:bookmarkStart w:id="24" w:name="_Toc15377199"/>
      <w:bookmarkStart w:id="25" w:name="_Toc15378446"/>
      <w:bookmarkStart w:id="26" w:name="_Toc79163604"/>
      <w:bookmarkStart w:id="27" w:name="_Toc20843"/>
      <w:r>
        <w:rPr>
          <w:rFonts w:hint="eastAsia" w:ascii="仿宋" w:hAnsi="仿宋" w:eastAsia="仿宋" w:cs="Times New Roman"/>
          <w:bCs/>
          <w:color w:val="000000"/>
          <w:kern w:val="0"/>
          <w:sz w:val="32"/>
          <w:szCs w:val="32"/>
          <w:lang w:val="zh-CN" w:eastAsia="zh-CN" w:bidi="ar-SA"/>
        </w:rPr>
        <w:t>红十字会的职能：</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zh-CN" w:eastAsia="zh-CN" w:bidi="ar-SA"/>
        </w:rPr>
        <w:t>1.传播国际红十字运动知识和国际人道法；宣传、执行《中华人民共和国红十字会法》、《中华人民共和国红十字标志使用办法》等法律、</w:t>
      </w:r>
      <w:bookmarkStart w:id="158" w:name="_GoBack"/>
      <w:bookmarkEnd w:id="158"/>
      <w:r>
        <w:rPr>
          <w:rFonts w:hint="eastAsia" w:ascii="仿宋" w:hAnsi="仿宋" w:eastAsia="仿宋" w:cs="Times New Roman"/>
          <w:bCs/>
          <w:color w:val="000000"/>
          <w:kern w:val="0"/>
          <w:sz w:val="32"/>
          <w:szCs w:val="32"/>
          <w:lang w:val="zh-CN" w:eastAsia="zh-CN" w:bidi="ar-SA"/>
        </w:rPr>
        <w:t>法规。2.开展备灾救灾工作，在自然灾害和突发事件中，开展对受害者的救助和帮助。3.开展人道领域内的社区服务、社会公益服务活动即卫生救护、防病常识的宣传和普及。4.开展艾滋病预防及吸毒危害的宣传教育工作，提高公民自我防护意识和能力。5.组织会员、志愿工作者开展社会服务活动。参与本地区的医疗服务救助工作和扶贫助学工作。6.开展红十字会品牌项目活动，积极推动“三救、三献”工作。7.依照国际红十字会和红新月的基本原则，完成上级红会及县委县人民政府委托的其他事项。</w:t>
      </w:r>
    </w:p>
    <w:p>
      <w:pPr>
        <w:pStyle w:val="8"/>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（二）</w:t>
      </w:r>
      <w:r>
        <w:rPr>
          <w:rFonts w:ascii="仿宋" w:hAnsi="仿宋" w:eastAsia="仿宋"/>
          <w:bCs/>
          <w:color w:val="auto"/>
          <w:sz w:val="32"/>
          <w:szCs w:val="32"/>
        </w:rPr>
        <w:t>2020</w:t>
      </w:r>
      <w:r>
        <w:rPr>
          <w:rFonts w:hint="eastAsia" w:ascii="仿宋" w:hAnsi="仿宋" w:eastAsia="仿宋"/>
          <w:bCs/>
          <w:color w:val="auto"/>
          <w:sz w:val="32"/>
          <w:szCs w:val="32"/>
        </w:rPr>
        <w:t>年重点工作完成情况。</w:t>
      </w:r>
      <w:bookmarkEnd w:id="24"/>
      <w:bookmarkEnd w:id="25"/>
      <w:bookmarkEnd w:id="26"/>
      <w:bookmarkEnd w:id="27"/>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一月份：</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1.壤塘县红十字会认真贯彻落实壤塘县疫情防控电视电话会议精神。2.春节节前开展博爱送万家慰问活动。</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二月份：</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县红十字会积极行动，牢记人道主义工作原则，奋战防控疫情一线。县委、政府统一安排部署下，壤塘县红十字会工作人员一行深入黑桥、蒲西、岗木达、上杜柯、宗科、茸木达等重要防疫检查站的一线工作人员开展慰问活动，送去棉被、保暖大衣等防寒物资。</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三月份：</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组织各乡镇基层红十字会志愿者开展疫情防控宣传。同时，做好全县疫情捐赠物资公示公开，及时汇缴和分配好捐赠资金和物资。结合“三月群众工作月”深入帮扶联系村——南木达镇南塘村，认真做好基础一线疫情防控宣传及特殊困难群众的相关慰问工作。</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四月份：</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州红十字会党组书记，常务副会长更培、副会长雷英一行深入尕多乡、中壤塘乡开展“两联一进”、脱贫攻坚、“博爱家园”项目等检查指导工作。</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五月份：</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为纪念“五.八世界红十字日”，大力弘扬“人道、博爱、奉献”精神，推进我县爱心公益事业的社会化发展，在机关单位、学校和社区居民中传播慈善文化，让职工、学生和居民关注困难群众，积极加入爱心行列，帮助更多需要帮助的人，践行“我爱壤塘我的家”社会责任，由壤塘县红十字会发起全县为石里乡白血病患儿-门措捐款的倡议，全县干部职工都积极加入到爱心行列中来，县红十字会也将秉承“人道、博爱、奉献”的红十字精神,全力做好募捐工作，将募集到的所有善款第一时间用于白血病患儿医疗救治。</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六月份：</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壤塘县红十字会开展全县各乡镇基层民兵“2020年救护员培训”第一期工作。此次应急救护培训，使基层民兵应急救援队伍掌握最基本的应急救护知识与技能，在意外伤害发生时能够及时有效地自救互救，最大限度的减少生命及财产损失，为构建和谐平安壤塘县做出积极贡献。</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七月份：</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 xml:space="preserve">1.壤塘县尕多乡刑木达村开展红十字博爱家园项目启动仪式暨应急救护培训活动。2.我会工作人员深入帮村联系点—南木达镇南塘村辖区内，开展了汛期地质灾害隐患大排查工作，充分摸排辖区地质灾害隐患点的最新情况，确保人民群众的生命财产安全。  </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3.我会开展“红十字会·红丝带防艾”宣传活动，通过多种形式的宣传活动，让更多的人了解到艾滋病对健康的危害，掌握预防知识，消除对艾滋病患者的歧视，为艾滋病防治工作创造良好的社会环境。</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八月份：</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1.积极与民间慈善组织对接我县贫困大学生相关助学公益活动，与民间公益慈善服务组织—浙江狮子会海量服务队一行，到壤塘开展贫困大学生支助活动，深入各乡镇走访慰问我县贫困学生家庭，圆壤塘贫困学子的大学梦。2.壤塘县红十字会副会长泽郎基等工作人员，深入上杜柯乡、岗木达镇昂柯村、中壤塘镇、上壤塘乡、宗科乡、走访慰问农村民房火灾户，送去生活应急物资，带去党委和政府的关心。</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九月份：</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1.我会携手绵阳四0四医院开展先天性心脏病儿童复筛工作，县委常委，县总工会主席仲晓蓉，县政协副主席彭杰，亲临现场看望和慰问先心病患儿及家属。同时，我会组织我县先天性心脏病患儿和家长赶赴绵阳四0四医院开展手术救治工作。2.我会积极与各省市爱心公益团队对接，与河南省新郑市红十字会联合举办爱心衣物捐赠公益活动，让需要帮助的困难群众和汛期受灾的群众感受到社会大家庭的温暖，开展好新时期基层一线的群众工作。3.面向我县中小学师生开展各类应急救援救护知识推广与普及性培训，加强红十字青少年救援救护队伍建设，为保障在校学生的生命安全和健康助力。</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十月份：</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针对全县各乡镇救护员开展应急救护操作培训和应急救护知识的宣传普及，使基层农牧民群众掌握最基本的应急救护知识与技能，在意外伤害发生时能够及时有效地自救互救，最大限度的减少生命及财产损失，为构建和谐平安壤塘县做出积极贡献。</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十一月份：</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1.壤塘县红十字会属于南木达镇南塘村帮村部门，于11月份，由群团支部书记、副会长泽郎基等工作人员赶赴南木达镇参加脱贫攻坚成效考核迎检工作安排部署会。2.为认真开展我县特殊困难群众暖冬送温暖活动，县红十字会积极与温州市双屿鞋企对接捐赠暖冬鞋，具体捐赠和发放相关事宜。</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十二月份：</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1.在尕多乡刑木达村活动室开展壤塘县红十字会防灾避险及博爱家园项目验收工作。同时，在刑木达村活动室打造完善博爱家园项目服务站工作室的布局，深入刑木达村角尔莫沟现场查看进行了博爱家园项目牧道建设施工情况，检查验收牧道建设工作等相关事宜。2.州红十字会党组书记、常务副会长更培、副会长雷英、秘书长吴菲及相关工作人员，深入尕多乡刑木达村开展“两联一进”、“博爱家园项目”检查验收指导工作。</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3.壤塘县红十字会积极发挥职能职责，2020年，县红十字会“助困帮学、金秋助学”项目，资助贫困学生1161名，资助金额2150100元（贰佰壹拾伍万零壹佰元整），其中，金秋助学由县教育局收集资料，县红十字会发放助学款。实施《博爱县级医疗救助》、《县级大病医疗救助》等项目救助人员累计375名，资助资金1145954元（壹佰壹拾肆万伍仟玖佰伍拾肆元整）。</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4. 为庆祝新春佳节,促进职工文化生活,营造健康向上、文明、活跃的氛围,进一步统一思想认识,凝聚发展力量,展示群团部门职工的良好精神风貌,振奋精神,为广大职工营造良好偷快的文化生活环境，以“荣誉来自拼搏，幸福源于奋斗”为主题的“迎新趣味运动会”，加深各部门干部职工间的了解、友谊与发展，提高职工凝结力，加强干部职工间的合作，培养团队协作精神，提高全员参与和组织活动的能力，以趣味项目运动比赛为载体，丰富职工的业余文化生活，增强全体职工德智体美全面发展意识和极向上的进取精神，增进各部门之间的协作，增进各部门之间的交流，打造良好的沟通和合作平台。</w:t>
      </w:r>
    </w:p>
    <w:p>
      <w:pPr>
        <w:pStyle w:val="4"/>
        <w:pageBreakBefore w:val="0"/>
        <w:widowControl w:val="0"/>
        <w:kinsoku/>
        <w:wordWrap/>
        <w:overflowPunct/>
        <w:topLinePunct w:val="0"/>
        <w:autoSpaceDE/>
        <w:autoSpaceDN/>
        <w:bidi w:val="0"/>
        <w:spacing w:before="0" w:after="0" w:line="560" w:lineRule="exact"/>
        <w:textAlignment w:val="auto"/>
        <w:rPr>
          <w:rStyle w:val="27"/>
          <w:b w:val="0"/>
          <w:bCs w:val="0"/>
        </w:rPr>
      </w:pPr>
      <w:bookmarkStart w:id="28" w:name="_Toc29083"/>
      <w:bookmarkStart w:id="29" w:name="_Toc79163605"/>
      <w:bookmarkStart w:id="30" w:name="_Toc15377200"/>
      <w:bookmarkStart w:id="31"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8"/>
      <w:bookmarkEnd w:id="29"/>
      <w:bookmarkEnd w:id="30"/>
      <w:bookmarkEnd w:id="31"/>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壤塘县红十字会无下属二级单位，基本性质为参照公务员法管理事业单位。</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rPr>
          <w:rFonts w:hint="eastAsia" w:ascii="仿宋" w:hAnsi="仿宋" w:eastAsia="仿宋"/>
          <w:sz w:val="32"/>
          <w:szCs w:val="32"/>
          <w:lang w:val="en-US" w:eastAsia="zh-CN"/>
        </w:rPr>
      </w:pPr>
    </w:p>
    <w:p>
      <w:pPr>
        <w:keepNext w:val="0"/>
        <w:keepLines w:val="0"/>
        <w:pageBreakBefore w:val="0"/>
        <w:widowControl/>
        <w:kinsoku/>
        <w:wordWrap/>
        <w:overflowPunct/>
        <w:topLinePunct w:val="0"/>
        <w:autoSpaceDE/>
        <w:autoSpaceDN/>
        <w:bidi w:val="0"/>
        <w:spacing w:line="560" w:lineRule="exact"/>
        <w:jc w:val="center"/>
        <w:textAlignment w:val="auto"/>
        <w:rPr>
          <w:rStyle w:val="26"/>
          <w:rFonts w:ascii="黑体" w:hAnsi="黑体" w:eastAsia="黑体"/>
          <w:b w:val="0"/>
          <w:bCs w:val="0"/>
        </w:rPr>
      </w:pPr>
      <w:bookmarkStart w:id="32" w:name="_Toc79163609"/>
      <w:bookmarkStart w:id="33" w:name="_Toc15396602"/>
      <w:bookmarkStart w:id="34" w:name="_Toc15377204"/>
      <w:bookmarkStart w:id="35" w:name="_Toc14147"/>
      <w:r>
        <w:rPr>
          <w:rStyle w:val="26"/>
          <w:rFonts w:hint="eastAsia" w:ascii="黑体" w:hAnsi="黑体" w:eastAsia="黑体"/>
          <w:b w:val="0"/>
          <w:bCs w:val="0"/>
        </w:rPr>
        <w:t>第二部分</w:t>
      </w:r>
      <w:r>
        <w:rPr>
          <w:rStyle w:val="26"/>
          <w:rFonts w:ascii="黑体" w:hAnsi="黑体" w:eastAsia="黑体"/>
          <w:b w:val="0"/>
          <w:bCs w:val="0"/>
        </w:rPr>
        <w:t xml:space="preserve"> 2020</w:t>
      </w:r>
      <w:r>
        <w:rPr>
          <w:rStyle w:val="26"/>
          <w:rFonts w:hint="eastAsia" w:ascii="黑体" w:hAnsi="黑体" w:eastAsia="黑体"/>
          <w:b w:val="0"/>
          <w:bCs w:val="0"/>
        </w:rPr>
        <w:t>年度部门决算情况说明</w:t>
      </w:r>
      <w:bookmarkEnd w:id="32"/>
      <w:bookmarkEnd w:id="33"/>
      <w:bookmarkEnd w:id="34"/>
      <w:bookmarkEnd w:id="35"/>
    </w:p>
    <w:p/>
    <w:p>
      <w:pPr>
        <w:pStyle w:val="37"/>
        <w:numPr>
          <w:ilvl w:val="0"/>
          <w:numId w:val="1"/>
        </w:numPr>
        <w:spacing w:line="600" w:lineRule="exact"/>
        <w:ind w:firstLineChars="0"/>
        <w:outlineLvl w:val="1"/>
        <w:rPr>
          <w:rStyle w:val="27"/>
          <w:rFonts w:ascii="黑体" w:hAnsi="黑体" w:eastAsia="黑体"/>
          <w:b w:val="0"/>
        </w:rPr>
      </w:pPr>
      <w:bookmarkStart w:id="36" w:name="_Toc15396603"/>
      <w:bookmarkStart w:id="37" w:name="_Toc79163610"/>
      <w:bookmarkStart w:id="38" w:name="_Toc15377205"/>
      <w:bookmarkStart w:id="39" w:name="_Toc25426"/>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6"/>
      <w:bookmarkEnd w:id="37"/>
      <w:bookmarkEnd w:id="38"/>
      <w:bookmarkEnd w:id="3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66.52</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减少12.37</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下降15.68</w:t>
      </w:r>
      <w:r>
        <w:rPr>
          <w:rFonts w:ascii="仿宋" w:hAnsi="仿宋" w:eastAsia="仿宋"/>
          <w:color w:val="000000"/>
          <w:sz w:val="32"/>
          <w:szCs w:val="32"/>
        </w:rPr>
        <w:t>%</w:t>
      </w:r>
      <w:r>
        <w:rPr>
          <w:rFonts w:hint="eastAsia" w:ascii="仿宋" w:hAnsi="仿宋" w:eastAsia="仿宋"/>
          <w:color w:val="000000"/>
          <w:sz w:val="32"/>
          <w:szCs w:val="32"/>
        </w:rPr>
        <w:t>。主要变动原因是本单位员工减少，一定程度上收到疫情影响</w:t>
      </w:r>
      <w:r>
        <w:rPr>
          <w:rFonts w:hint="eastAsia" w:ascii="仿宋" w:hAnsi="仿宋" w:eastAsia="仿宋"/>
          <w:color w:val="000000"/>
          <w:sz w:val="32"/>
          <w:szCs w:val="32"/>
          <w:lang w:eastAsia="zh-CN"/>
        </w:rPr>
        <w:t>。</w:t>
      </w:r>
    </w:p>
    <w:p>
      <w:pPr>
        <w:pStyle w:val="2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66.52</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w:t>
      </w:r>
      <w:r>
        <w:rPr>
          <w:rFonts w:hint="eastAsia" w:ascii="仿宋" w:hAnsi="仿宋" w:eastAsia="仿宋"/>
          <w:color w:val="000000"/>
          <w:sz w:val="32"/>
          <w:szCs w:val="32"/>
        </w:rPr>
        <w:t>12.55万元，</w:t>
      </w:r>
      <w:r>
        <w:rPr>
          <w:rFonts w:hint="eastAsia" w:ascii="仿宋" w:hAnsi="仿宋" w:eastAsia="仿宋"/>
          <w:color w:val="000000"/>
          <w:sz w:val="32"/>
          <w:szCs w:val="32"/>
          <w:lang w:val="en-US" w:eastAsia="zh-CN"/>
        </w:rPr>
        <w:t>下降15.87</w:t>
      </w:r>
      <w:r>
        <w:rPr>
          <w:rFonts w:ascii="仿宋" w:hAnsi="仿宋" w:eastAsia="仿宋"/>
          <w:color w:val="000000"/>
          <w:sz w:val="32"/>
          <w:szCs w:val="32"/>
        </w:rPr>
        <w:t>%</w:t>
      </w:r>
      <w:r>
        <w:rPr>
          <w:rFonts w:hint="eastAsia" w:ascii="仿宋" w:hAnsi="仿宋" w:eastAsia="仿宋"/>
          <w:color w:val="000000"/>
          <w:sz w:val="32"/>
          <w:szCs w:val="32"/>
        </w:rPr>
        <w:t>。主要变动原因是人员工资变动</w:t>
      </w:r>
      <w:r>
        <w:rPr>
          <w:rFonts w:hint="eastAsia" w:ascii="仿宋" w:hAnsi="仿宋" w:eastAsia="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sz w:val="32"/>
          <w:szCs w:val="32"/>
          <w:lang w:eastAsia="zh-CN"/>
        </w:rPr>
      </w:pPr>
      <w:r>
        <w:rPr>
          <w:rFonts w:hint="eastAsia" w:ascii="仿宋_GB2312" w:hAnsi="仿宋" w:eastAsia="仿宋_GB2312"/>
          <w:color w:val="000000" w:themeColor="text1"/>
          <w:sz w:val="32"/>
          <w:szCs w:val="32"/>
          <w14:textFill>
            <w14:solidFill>
              <w14:schemeClr w14:val="tx1"/>
            </w14:solidFill>
          </w14:textFill>
        </w:rPr>
        <w:t>（图1：收、支决算总计变动情况图）（柱状图）</w:t>
      </w:r>
    </w:p>
    <w:p>
      <w:pPr>
        <w:pStyle w:val="21"/>
        <w:rPr>
          <w:rFonts w:hint="eastAsia" w:ascii="仿宋" w:hAnsi="仿宋" w:eastAsia="仿宋"/>
          <w:color w:val="000000"/>
          <w:sz w:val="32"/>
          <w:szCs w:val="32"/>
          <w:lang w:eastAsia="zh-CN"/>
        </w:rPr>
      </w:pPr>
      <w:r>
        <w:drawing>
          <wp:anchor distT="0" distB="0" distL="114300" distR="114300" simplePos="0" relativeHeight="251660288" behindDoc="1" locked="0" layoutInCell="1" allowOverlap="1">
            <wp:simplePos x="0" y="0"/>
            <wp:positionH relativeFrom="column">
              <wp:posOffset>278765</wp:posOffset>
            </wp:positionH>
            <wp:positionV relativeFrom="paragraph">
              <wp:posOffset>79375</wp:posOffset>
            </wp:positionV>
            <wp:extent cx="4678680" cy="1894840"/>
            <wp:effectExtent l="4445" t="4445" r="22225" b="5715"/>
            <wp:wrapNone/>
            <wp:docPr id="121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1"/>
        <w:rPr>
          <w:rFonts w:hint="eastAsia" w:ascii="仿宋" w:hAnsi="仿宋" w:eastAsia="仿宋"/>
          <w:color w:val="000000"/>
          <w:sz w:val="32"/>
          <w:szCs w:val="32"/>
          <w:lang w:eastAsia="zh-CN"/>
        </w:rPr>
      </w:pPr>
    </w:p>
    <w:p>
      <w:pPr>
        <w:pStyle w:val="21"/>
        <w:rPr>
          <w:rFonts w:hint="eastAsia" w:ascii="仿宋" w:hAnsi="仿宋" w:eastAsia="仿宋"/>
          <w:color w:val="000000"/>
          <w:sz w:val="32"/>
          <w:szCs w:val="32"/>
          <w:lang w:eastAsia="zh-CN"/>
        </w:rPr>
      </w:pPr>
    </w:p>
    <w:p>
      <w:pPr>
        <w:pStyle w:val="21"/>
        <w:rPr>
          <w:rFonts w:hint="eastAsia" w:ascii="仿宋" w:hAnsi="仿宋" w:eastAsia="仿宋"/>
          <w:color w:val="000000"/>
          <w:sz w:val="32"/>
          <w:szCs w:val="32"/>
          <w:lang w:eastAsia="zh-CN"/>
        </w:rPr>
      </w:pPr>
    </w:p>
    <w:p>
      <w:pPr>
        <w:pStyle w:val="21"/>
        <w:rPr>
          <w:rFonts w:hint="eastAsia" w:ascii="仿宋" w:hAnsi="仿宋" w:eastAsia="仿宋"/>
          <w:color w:val="000000"/>
          <w:sz w:val="32"/>
          <w:szCs w:val="32"/>
          <w:lang w:eastAsia="zh-CN"/>
        </w:rPr>
      </w:pPr>
    </w:p>
    <w:p>
      <w:pPr>
        <w:pStyle w:val="21"/>
        <w:rPr>
          <w:rFonts w:hint="eastAsia" w:ascii="仿宋" w:hAnsi="仿宋" w:eastAsia="仿宋"/>
          <w:color w:val="000000"/>
          <w:sz w:val="32"/>
          <w:szCs w:val="32"/>
          <w:lang w:val="en-US" w:eastAsia="zh-CN"/>
        </w:rPr>
      </w:pPr>
    </w:p>
    <w:p>
      <w:pPr>
        <w:spacing w:line="600" w:lineRule="exact"/>
        <w:ind w:firstLine="420" w:firstLineChars="200"/>
        <w:jc w:val="left"/>
        <w:rPr>
          <w:rFonts w:hint="eastAsia" w:ascii="仿宋_GB2312" w:eastAsia="仿宋_GB2312"/>
          <w:color w:val="000000"/>
          <w:sz w:val="32"/>
          <w:szCs w:val="32"/>
          <w:lang w:val="en-US" w:eastAsia="zh-CN"/>
        </w:rPr>
      </w:pPr>
      <w:r>
        <w:drawing>
          <wp:anchor distT="0" distB="0" distL="114300" distR="114300" simplePos="0" relativeHeight="251661312" behindDoc="1" locked="0" layoutInCell="1" allowOverlap="1">
            <wp:simplePos x="0" y="0"/>
            <wp:positionH relativeFrom="column">
              <wp:posOffset>229235</wp:posOffset>
            </wp:positionH>
            <wp:positionV relativeFrom="paragraph">
              <wp:posOffset>33655</wp:posOffset>
            </wp:positionV>
            <wp:extent cx="4753610" cy="2136775"/>
            <wp:effectExtent l="4445" t="5080" r="23495" b="10795"/>
            <wp:wrapNone/>
            <wp:docPr id="122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eastAsia="仿宋_GB2312"/>
          <w:color w:val="000000"/>
          <w:sz w:val="32"/>
          <w:szCs w:val="32"/>
          <w:lang w:val="en-US" w:eastAsia="zh-CN"/>
        </w:rPr>
        <w:t xml:space="preserve"> </w:t>
      </w:r>
    </w:p>
    <w:p>
      <w:pPr>
        <w:pStyle w:val="21"/>
        <w:rPr>
          <w:rFonts w:hint="eastAsia" w:ascii="仿宋_GB2312" w:eastAsia="仿宋_GB2312"/>
          <w:color w:val="000000"/>
          <w:sz w:val="32"/>
          <w:szCs w:val="32"/>
          <w:lang w:val="en-US" w:eastAsia="zh-CN"/>
        </w:rPr>
      </w:pPr>
    </w:p>
    <w:p>
      <w:pPr>
        <w:pStyle w:val="21"/>
        <w:rPr>
          <w:rFonts w:hint="eastAsia" w:ascii="仿宋_GB2312" w:eastAsia="仿宋_GB2312"/>
          <w:color w:val="000000"/>
          <w:sz w:val="32"/>
          <w:szCs w:val="32"/>
          <w:lang w:val="en-US" w:eastAsia="zh-CN"/>
        </w:rPr>
      </w:pPr>
    </w:p>
    <w:p>
      <w:pPr>
        <w:pStyle w:val="21"/>
        <w:ind w:left="0" w:leftChars="0" w:firstLine="0" w:firstLineChars="0"/>
        <w:rPr>
          <w:rFonts w:hint="eastAsia" w:ascii="仿宋_GB2312" w:eastAsia="仿宋_GB2312"/>
          <w:color w:val="000000"/>
          <w:sz w:val="32"/>
          <w:szCs w:val="32"/>
          <w:lang w:val="en-US" w:eastAsia="zh-CN"/>
        </w:rPr>
      </w:pPr>
    </w:p>
    <w:p>
      <w:pPr>
        <w:pStyle w:val="37"/>
        <w:numPr>
          <w:ilvl w:val="0"/>
          <w:numId w:val="1"/>
        </w:numPr>
        <w:spacing w:line="600" w:lineRule="exact"/>
        <w:ind w:firstLineChars="0"/>
        <w:outlineLvl w:val="1"/>
        <w:rPr>
          <w:rStyle w:val="27"/>
          <w:rFonts w:ascii="黑体" w:hAnsi="黑体" w:eastAsia="黑体"/>
          <w:b w:val="0"/>
        </w:rPr>
      </w:pPr>
      <w:bookmarkStart w:id="40" w:name="_Toc15377206"/>
      <w:bookmarkStart w:id="41" w:name="_Toc79163611"/>
      <w:bookmarkStart w:id="42" w:name="_Toc22783"/>
      <w:bookmarkStart w:id="43"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40"/>
      <w:bookmarkEnd w:id="41"/>
      <w:bookmarkEnd w:id="42"/>
      <w:bookmarkEnd w:id="4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66.52</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66.52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占0%</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占0%</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占0%</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占0%</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占0%</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占0%</w:t>
      </w:r>
      <w:r>
        <w:rPr>
          <w:rFonts w:hint="eastAsia" w:ascii="仿宋" w:hAnsi="仿宋" w:eastAsia="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仿宋_GB2312" w:eastAsia="仿宋_GB2312"/>
          <w:color w:val="FF0000"/>
          <w:sz w:val="32"/>
          <w:szCs w:val="32"/>
        </w:rPr>
      </w:pPr>
      <w:r>
        <w:drawing>
          <wp:anchor distT="0" distB="0" distL="114300" distR="114300" simplePos="0" relativeHeight="251659264" behindDoc="1" locked="0" layoutInCell="1" allowOverlap="1">
            <wp:simplePos x="0" y="0"/>
            <wp:positionH relativeFrom="column">
              <wp:posOffset>178435</wp:posOffset>
            </wp:positionH>
            <wp:positionV relativeFrom="paragraph">
              <wp:posOffset>220980</wp:posOffset>
            </wp:positionV>
            <wp:extent cx="5144770" cy="2125980"/>
            <wp:effectExtent l="4445" t="4445" r="6985" b="15875"/>
            <wp:wrapNone/>
            <wp:docPr id="114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pStyle w:val="21"/>
        <w:ind w:left="0" w:leftChars="0" w:firstLine="0" w:firstLineChars="0"/>
        <w:rPr>
          <w:rFonts w:ascii="仿宋_GB2312" w:eastAsia="仿宋_GB2312"/>
          <w:color w:val="FF0000"/>
          <w:sz w:val="32"/>
          <w:szCs w:val="32"/>
        </w:rPr>
      </w:pPr>
    </w:p>
    <w:p>
      <w:pPr>
        <w:pStyle w:val="37"/>
        <w:numPr>
          <w:ilvl w:val="0"/>
          <w:numId w:val="1"/>
        </w:numPr>
        <w:spacing w:line="600" w:lineRule="exact"/>
        <w:ind w:firstLineChars="0"/>
        <w:outlineLvl w:val="1"/>
        <w:rPr>
          <w:rStyle w:val="27"/>
          <w:rFonts w:ascii="黑体" w:hAnsi="黑体" w:eastAsia="黑体"/>
          <w:b w:val="0"/>
        </w:rPr>
      </w:pPr>
      <w:bookmarkStart w:id="44" w:name="_Toc30618"/>
      <w:bookmarkStart w:id="45" w:name="_Toc79163612"/>
      <w:bookmarkStart w:id="46" w:name="_Toc15396605"/>
      <w:bookmarkStart w:id="47"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 w:hAnsi="仿宋" w:eastAsia="仿宋"/>
          <w:color w:val="000000"/>
          <w:sz w:val="32"/>
          <w:szCs w:val="32"/>
          <w:lang w:val="en-US" w:eastAsia="zh-CN"/>
        </w:rPr>
        <w:t>66.52</w:t>
      </w:r>
      <w:r>
        <w:rPr>
          <w:rFonts w:hint="eastAsia" w:ascii="仿宋_GB2312" w:eastAsia="仿宋_GB2312"/>
          <w:sz w:val="32"/>
          <w:szCs w:val="32"/>
        </w:rPr>
        <w:t>万元，其中：基本支出66.52万元，占</w:t>
      </w:r>
      <w:r>
        <w:rPr>
          <w:rFonts w:hint="eastAsia" w:ascii="仿宋_GB2312" w:hAnsi="仿宋"/>
          <w:color w:val="auto"/>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占0%</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占0%</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占0%</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占0%</w:t>
      </w:r>
      <w:r>
        <w:rPr>
          <w:rFonts w:hint="eastAsia" w:ascii="仿宋_GB2312" w:eastAsia="仿宋_GB2312"/>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2336" behindDoc="1" locked="0" layoutInCell="1" allowOverlap="1">
            <wp:simplePos x="0" y="0"/>
            <wp:positionH relativeFrom="column">
              <wp:posOffset>513080</wp:posOffset>
            </wp:positionH>
            <wp:positionV relativeFrom="paragraph">
              <wp:posOffset>93980</wp:posOffset>
            </wp:positionV>
            <wp:extent cx="4140200" cy="1991995"/>
            <wp:effectExtent l="4445" t="5080" r="8255" b="9525"/>
            <wp:wrapNone/>
            <wp:docPr id="122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spacing w:line="600" w:lineRule="exact"/>
        <w:outlineLvl w:val="1"/>
        <w:rPr>
          <w:rFonts w:hint="eastAsia" w:ascii="黑体" w:hAnsi="黑体" w:eastAsia="黑体"/>
          <w:color w:val="000000"/>
          <w:sz w:val="32"/>
          <w:szCs w:val="32"/>
        </w:rPr>
      </w:pPr>
      <w:bookmarkStart w:id="48" w:name="_Toc15377208"/>
      <w:bookmarkStart w:id="49" w:name="_Toc5455"/>
      <w:bookmarkStart w:id="50" w:name="_Toc79163613"/>
      <w:bookmarkStart w:id="51" w:name="_Toc15396606"/>
    </w:p>
    <w:p>
      <w:pPr>
        <w:spacing w:line="600" w:lineRule="exact"/>
        <w:ind w:firstLine="640" w:firstLineChars="200"/>
        <w:outlineLvl w:val="1"/>
        <w:rPr>
          <w:rStyle w:val="27"/>
          <w:rFonts w:ascii="黑体" w:hAnsi="黑体" w:eastAsia="黑体"/>
          <w:b w:val="0"/>
        </w:rPr>
      </w:pPr>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66.52</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减少12.37</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下降15.68</w:t>
      </w:r>
      <w:r>
        <w:rPr>
          <w:rFonts w:ascii="仿宋" w:hAnsi="仿宋" w:eastAsia="仿宋"/>
          <w:color w:val="000000"/>
          <w:sz w:val="32"/>
          <w:szCs w:val="32"/>
        </w:rPr>
        <w:t>%</w:t>
      </w:r>
      <w:r>
        <w:rPr>
          <w:rFonts w:hint="eastAsia" w:ascii="仿宋" w:hAnsi="仿宋" w:eastAsia="仿宋"/>
          <w:color w:val="000000"/>
          <w:sz w:val="32"/>
          <w:szCs w:val="32"/>
        </w:rPr>
        <w:t>。主要变动原因是本单位员工减少，一定程度上收到疫情影响</w:t>
      </w:r>
      <w:r>
        <w:rPr>
          <w:rFonts w:hint="eastAsia" w:ascii="仿宋" w:hAnsi="仿宋" w:eastAsia="仿宋"/>
          <w:color w:val="000000"/>
          <w:sz w:val="32"/>
          <w:szCs w:val="32"/>
          <w:lang w:eastAsia="zh-CN"/>
        </w:rPr>
        <w:t>。</w:t>
      </w:r>
    </w:p>
    <w:p>
      <w:pPr>
        <w:pStyle w:val="2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
          <w:lang w:eastAsia="zh-CN"/>
        </w:rPr>
      </w:pPr>
      <w:r>
        <w:rPr>
          <w:rFonts w:ascii="仿宋" w:hAnsi="仿宋" w:eastAsia="仿宋"/>
          <w:color w:val="000000"/>
          <w:sz w:val="32"/>
          <w:szCs w:val="32"/>
        </w:rPr>
        <w:t>2020</w:t>
      </w:r>
      <w:r>
        <w:rPr>
          <w:rFonts w:hint="eastAsia" w:ascii="仿宋" w:hAnsi="仿宋" w:eastAsia="仿宋"/>
          <w:color w:val="000000"/>
          <w:sz w:val="32"/>
          <w:szCs w:val="32"/>
        </w:rPr>
        <w:t>年财政拨款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66.52</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w:t>
      </w:r>
      <w:r>
        <w:rPr>
          <w:rFonts w:hint="eastAsia" w:ascii="仿宋" w:hAnsi="仿宋" w:eastAsia="仿宋"/>
          <w:color w:val="000000"/>
          <w:sz w:val="32"/>
          <w:szCs w:val="32"/>
        </w:rPr>
        <w:t>12.55万元，</w:t>
      </w:r>
      <w:r>
        <w:rPr>
          <w:rFonts w:hint="eastAsia" w:ascii="仿宋" w:hAnsi="仿宋" w:eastAsia="仿宋"/>
          <w:color w:val="000000"/>
          <w:sz w:val="32"/>
          <w:szCs w:val="32"/>
          <w:lang w:val="en-US" w:eastAsia="zh-CN"/>
        </w:rPr>
        <w:t>下降15.87</w:t>
      </w:r>
      <w:r>
        <w:rPr>
          <w:rFonts w:ascii="仿宋" w:hAnsi="仿宋" w:eastAsia="仿宋"/>
          <w:color w:val="000000"/>
          <w:sz w:val="32"/>
          <w:szCs w:val="32"/>
        </w:rPr>
        <w:t>%</w:t>
      </w:r>
      <w:r>
        <w:rPr>
          <w:rFonts w:hint="eastAsia" w:ascii="仿宋" w:hAnsi="仿宋" w:eastAsia="仿宋"/>
          <w:color w:val="000000"/>
          <w:sz w:val="32"/>
          <w:szCs w:val="32"/>
        </w:rPr>
        <w:t>。主要变动原因是人员工资变动</w:t>
      </w:r>
      <w:r>
        <w:rPr>
          <w:rFonts w:hint="eastAsia" w:ascii="仿宋" w:hAnsi="仿宋" w:eastAsia="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r>
        <w:drawing>
          <wp:anchor distT="0" distB="0" distL="114300" distR="114300" simplePos="0" relativeHeight="251663360" behindDoc="1" locked="0" layoutInCell="1" allowOverlap="1">
            <wp:simplePos x="0" y="0"/>
            <wp:positionH relativeFrom="column">
              <wp:posOffset>67945</wp:posOffset>
            </wp:positionH>
            <wp:positionV relativeFrom="paragraph">
              <wp:posOffset>85090</wp:posOffset>
            </wp:positionV>
            <wp:extent cx="5255895" cy="2720975"/>
            <wp:effectExtent l="4445" t="4445" r="10160" b="5080"/>
            <wp:wrapNone/>
            <wp:docPr id="122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1"/>
        <w:rPr>
          <w:rFonts w:ascii="仿宋" w:hAnsi="仿宋" w:eastAsia="仿宋"/>
          <w:b/>
          <w:color w:val="00B050"/>
          <w:sz w:val="32"/>
          <w:szCs w:val="32"/>
        </w:rPr>
      </w:pPr>
    </w:p>
    <w:p>
      <w:pPr>
        <w:pStyle w:val="21"/>
        <w:rPr>
          <w:rFonts w:ascii="仿宋" w:hAnsi="仿宋" w:eastAsia="仿宋"/>
          <w:b/>
          <w:color w:val="00B050"/>
          <w:sz w:val="32"/>
          <w:szCs w:val="32"/>
        </w:rPr>
      </w:pPr>
    </w:p>
    <w:p>
      <w:pPr>
        <w:pStyle w:val="21"/>
        <w:rPr>
          <w:rFonts w:ascii="仿宋" w:hAnsi="仿宋" w:eastAsia="仿宋"/>
          <w:b/>
          <w:color w:val="00B050"/>
          <w:sz w:val="32"/>
          <w:szCs w:val="32"/>
        </w:rPr>
      </w:pPr>
    </w:p>
    <w:p>
      <w:pPr>
        <w:pStyle w:val="21"/>
        <w:rPr>
          <w:rFonts w:ascii="仿宋" w:hAnsi="仿宋" w:eastAsia="仿宋"/>
          <w:b/>
          <w:color w:val="00B050"/>
          <w:sz w:val="32"/>
          <w:szCs w:val="32"/>
        </w:rPr>
      </w:pPr>
    </w:p>
    <w:p>
      <w:pPr>
        <w:pStyle w:val="21"/>
        <w:rPr>
          <w:rFonts w:ascii="仿宋" w:hAnsi="仿宋" w:eastAsia="仿宋"/>
          <w:b/>
          <w:color w:val="00B050"/>
          <w:sz w:val="32"/>
          <w:szCs w:val="32"/>
        </w:rPr>
      </w:pPr>
    </w:p>
    <w:p>
      <w:pPr>
        <w:pStyle w:val="21"/>
        <w:rPr>
          <w:rFonts w:ascii="仿宋" w:hAnsi="仿宋" w:eastAsia="仿宋"/>
          <w:b/>
          <w:color w:val="00B050"/>
          <w:sz w:val="32"/>
          <w:szCs w:val="32"/>
        </w:rPr>
      </w:pPr>
    </w:p>
    <w:p>
      <w:pPr>
        <w:pStyle w:val="21"/>
        <w:ind w:left="0" w:leftChars="0" w:firstLine="0" w:firstLineChars="0"/>
        <w:rPr>
          <w:rFonts w:hint="eastAsia" w:ascii="黑体" w:hAnsi="黑体" w:eastAsia="黑体"/>
          <w:color w:val="000000"/>
          <w:sz w:val="32"/>
          <w:szCs w:val="32"/>
        </w:rPr>
      </w:pPr>
      <w:bookmarkStart w:id="52" w:name="_Toc15396607"/>
      <w:bookmarkStart w:id="53" w:name="_Toc15377209"/>
      <w:bookmarkStart w:id="54" w:name="_Toc9806"/>
      <w:bookmarkStart w:id="55" w:name="_Toc79163614"/>
    </w:p>
    <w:p>
      <w:pPr>
        <w:spacing w:line="600" w:lineRule="exact"/>
        <w:outlineLvl w:val="1"/>
        <w:rPr>
          <w:rFonts w:hint="eastAsia" w:ascii="黑体" w:hAnsi="黑体" w:eastAsia="黑体"/>
          <w:color w:val="000000"/>
          <w:sz w:val="32"/>
          <w:szCs w:val="32"/>
        </w:rPr>
      </w:pPr>
    </w:p>
    <w:p>
      <w:pPr>
        <w:spacing w:line="600" w:lineRule="exact"/>
        <w:ind w:firstLine="420" w:firstLineChars="200"/>
        <w:outlineLvl w:val="1"/>
        <w:rPr>
          <w:rFonts w:hint="eastAsia" w:ascii="黑体" w:hAnsi="黑体" w:eastAsia="黑体"/>
          <w:color w:val="000000"/>
          <w:sz w:val="32"/>
          <w:szCs w:val="32"/>
        </w:rPr>
      </w:pPr>
      <w:r>
        <w:drawing>
          <wp:anchor distT="0" distB="0" distL="114300" distR="114300" simplePos="0" relativeHeight="251664384" behindDoc="1" locked="0" layoutInCell="1" allowOverlap="1">
            <wp:simplePos x="0" y="0"/>
            <wp:positionH relativeFrom="column">
              <wp:posOffset>121285</wp:posOffset>
            </wp:positionH>
            <wp:positionV relativeFrom="paragraph">
              <wp:posOffset>165735</wp:posOffset>
            </wp:positionV>
            <wp:extent cx="5269865" cy="2223770"/>
            <wp:effectExtent l="4445" t="4445" r="8890" b="6985"/>
            <wp:wrapNone/>
            <wp:docPr id="122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outlineLvl w:val="1"/>
        <w:rPr>
          <w:rFonts w:hint="eastAsia" w:ascii="黑体" w:hAnsi="黑体" w:eastAsia="黑体"/>
          <w:color w:val="000000"/>
          <w:sz w:val="32"/>
          <w:szCs w:val="32"/>
        </w:rPr>
      </w:pPr>
    </w:p>
    <w:p>
      <w:pPr>
        <w:pStyle w:val="21"/>
        <w:rPr>
          <w:rFonts w:hint="eastAsia" w:ascii="黑体" w:hAnsi="黑体" w:eastAsia="黑体"/>
          <w:color w:val="000000"/>
          <w:sz w:val="32"/>
          <w:szCs w:val="32"/>
        </w:rPr>
      </w:pPr>
    </w:p>
    <w:p>
      <w:pPr>
        <w:pStyle w:val="21"/>
        <w:rPr>
          <w:rFonts w:hint="eastAsia" w:ascii="黑体" w:hAnsi="黑体" w:eastAsia="黑体"/>
          <w:color w:val="000000"/>
          <w:sz w:val="32"/>
          <w:szCs w:val="32"/>
        </w:rPr>
      </w:pPr>
    </w:p>
    <w:p>
      <w:pPr>
        <w:pStyle w:val="21"/>
        <w:ind w:left="0" w:leftChars="0" w:firstLine="0" w:firstLineChars="0"/>
        <w:rPr>
          <w:rFonts w:hint="eastAsia" w:ascii="黑体" w:hAnsi="黑体" w:eastAsia="黑体"/>
          <w:color w:val="000000"/>
          <w:sz w:val="32"/>
          <w:szCs w:val="32"/>
        </w:rPr>
      </w:pPr>
    </w:p>
    <w:p>
      <w:pPr>
        <w:pStyle w:val="21"/>
        <w:ind w:left="0" w:leftChars="0" w:firstLine="0" w:firstLineChars="0"/>
        <w:rPr>
          <w:rFonts w:hint="eastAsia" w:ascii="黑体" w:hAnsi="黑体" w:eastAsia="黑体"/>
          <w:color w:val="000000"/>
          <w:sz w:val="32"/>
          <w:szCs w:val="32"/>
        </w:rPr>
      </w:pPr>
    </w:p>
    <w:p>
      <w:pPr>
        <w:pStyle w:val="21"/>
        <w:ind w:left="0" w:leftChars="0" w:firstLine="0" w:firstLineChars="0"/>
        <w:rPr>
          <w:rFonts w:hint="eastAsia" w:ascii="黑体" w:hAnsi="黑体" w:eastAsia="黑体"/>
          <w:color w:val="000000"/>
          <w:sz w:val="32"/>
          <w:szCs w:val="32"/>
        </w:rPr>
      </w:pPr>
    </w:p>
    <w:p>
      <w:pPr>
        <w:spacing w:line="600" w:lineRule="exact"/>
        <w:ind w:firstLine="640" w:firstLineChars="200"/>
        <w:outlineLvl w:val="1"/>
        <w:rPr>
          <w:rStyle w:val="27"/>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28903"/>
      <w:bookmarkStart w:id="57" w:name="_Toc7916361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pStyle w:val="21"/>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66.52</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支出减少</w:t>
      </w:r>
      <w:r>
        <w:rPr>
          <w:rFonts w:hint="eastAsia" w:ascii="仿宋" w:hAnsi="仿宋" w:eastAsia="仿宋"/>
          <w:color w:val="000000"/>
          <w:sz w:val="32"/>
          <w:szCs w:val="32"/>
        </w:rPr>
        <w:t>12.55万元，</w:t>
      </w:r>
      <w:r>
        <w:rPr>
          <w:rFonts w:hint="eastAsia" w:ascii="仿宋" w:hAnsi="仿宋" w:eastAsia="仿宋"/>
          <w:color w:val="000000"/>
          <w:sz w:val="32"/>
          <w:szCs w:val="32"/>
          <w:lang w:val="en-US" w:eastAsia="zh-CN"/>
        </w:rPr>
        <w:t>下降15.87</w:t>
      </w:r>
      <w:r>
        <w:rPr>
          <w:rFonts w:ascii="仿宋" w:hAnsi="仿宋" w:eastAsia="仿宋"/>
          <w:color w:val="000000"/>
          <w:sz w:val="32"/>
          <w:szCs w:val="32"/>
        </w:rPr>
        <w:t>%</w:t>
      </w:r>
      <w:r>
        <w:rPr>
          <w:rFonts w:hint="eastAsia" w:ascii="仿宋" w:hAnsi="仿宋" w:eastAsia="仿宋"/>
          <w:color w:val="000000"/>
          <w:sz w:val="32"/>
          <w:szCs w:val="32"/>
        </w:rPr>
        <w:t>。主要变动原因是人员工资变动</w:t>
      </w:r>
      <w:r>
        <w:rPr>
          <w:rFonts w:hint="eastAsia" w:ascii="仿宋" w:hAnsi="仿宋" w:eastAsia="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Style w:val="21"/>
        <w:rPr>
          <w:rFonts w:ascii="仿宋" w:hAnsi="仿宋" w:eastAsia="仿宋"/>
          <w:color w:val="000000"/>
          <w:sz w:val="32"/>
          <w:szCs w:val="32"/>
        </w:rPr>
      </w:pPr>
      <w:r>
        <w:drawing>
          <wp:anchor distT="0" distB="0" distL="114300" distR="114300" simplePos="0" relativeHeight="251665408" behindDoc="1" locked="0" layoutInCell="1" allowOverlap="1">
            <wp:simplePos x="0" y="0"/>
            <wp:positionH relativeFrom="column">
              <wp:posOffset>243840</wp:posOffset>
            </wp:positionH>
            <wp:positionV relativeFrom="paragraph">
              <wp:posOffset>62230</wp:posOffset>
            </wp:positionV>
            <wp:extent cx="4892675" cy="2232660"/>
            <wp:effectExtent l="4445" t="4445" r="5080" b="10795"/>
            <wp:wrapNone/>
            <wp:docPr id="122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ind w:left="0" w:leftChars="0" w:firstLine="0" w:firstLineChars="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59" w:name="_Toc15377211"/>
      <w:bookmarkStart w:id="60" w:name="_Toc9357"/>
      <w:bookmarkStart w:id="61" w:name="_Toc79163616"/>
      <w:r>
        <w:rPr>
          <w:rFonts w:hint="eastAsia" w:ascii="仿宋" w:hAnsi="仿宋" w:eastAsia="仿宋"/>
          <w:b/>
          <w:color w:val="000000"/>
          <w:sz w:val="32"/>
          <w:szCs w:val="32"/>
        </w:rPr>
        <w:t>（二）一般公共预算财政拨款支出决算结构情况</w:t>
      </w:r>
      <w:bookmarkEnd w:id="59"/>
      <w:bookmarkEnd w:id="60"/>
      <w:bookmarkEnd w:id="61"/>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Times New Roman"/>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w:t>
      </w:r>
      <w:r>
        <w:rPr>
          <w:rFonts w:hint="eastAsia" w:ascii="仿宋" w:hAnsi="仿宋" w:eastAsia="仿宋" w:cs="Times New Roman"/>
          <w:color w:val="000000"/>
          <w:sz w:val="32"/>
          <w:szCs w:val="32"/>
        </w:rPr>
        <w:t>出</w:t>
      </w:r>
      <w:r>
        <w:rPr>
          <w:rFonts w:hint="eastAsia" w:ascii="仿宋" w:hAnsi="仿宋" w:eastAsia="仿宋"/>
          <w:color w:val="000000"/>
          <w:sz w:val="32"/>
          <w:szCs w:val="32"/>
          <w:lang w:val="en-US" w:eastAsia="zh-CN"/>
        </w:rPr>
        <w:t>66.52</w:t>
      </w:r>
      <w:r>
        <w:rPr>
          <w:rFonts w:hint="eastAsia" w:ascii="仿宋" w:hAnsi="仿宋" w:eastAsia="仿宋" w:cs="Times New Roman"/>
          <w:color w:val="000000"/>
          <w:sz w:val="32"/>
          <w:szCs w:val="32"/>
        </w:rPr>
        <w:t>万元，主要用于以下方面:</w:t>
      </w:r>
      <w:r>
        <w:rPr>
          <w:rFonts w:hint="eastAsia" w:ascii="仿宋" w:hAnsi="仿宋" w:eastAsia="仿宋"/>
          <w:b/>
          <w:color w:val="000000"/>
          <w:sz w:val="32"/>
          <w:szCs w:val="32"/>
          <w:lang w:val="en-US" w:eastAsia="zh-CN"/>
        </w:rPr>
        <w:t>社会保障和就业支出（类）</w:t>
      </w:r>
      <w:r>
        <w:rPr>
          <w:rFonts w:hint="eastAsia" w:ascii="仿宋" w:hAnsi="仿宋" w:eastAsia="仿宋" w:cs="Times New Roman"/>
          <w:color w:val="000000"/>
          <w:sz w:val="32"/>
          <w:szCs w:val="32"/>
          <w:lang w:val="en-US" w:eastAsia="zh-CN"/>
        </w:rPr>
        <w:t>支出59.97万元，占比90.51%；</w:t>
      </w:r>
      <w:r>
        <w:rPr>
          <w:rFonts w:hint="eastAsia" w:ascii="仿宋" w:hAnsi="仿宋" w:eastAsia="仿宋"/>
          <w:b/>
          <w:color w:val="000000"/>
          <w:sz w:val="32"/>
          <w:szCs w:val="32"/>
          <w:lang w:val="en-US" w:eastAsia="zh-CN"/>
        </w:rPr>
        <w:t>医疗卫生（类）</w:t>
      </w:r>
      <w:r>
        <w:rPr>
          <w:rFonts w:hint="eastAsia" w:ascii="仿宋" w:hAnsi="仿宋" w:eastAsia="仿宋" w:cs="Times New Roman"/>
          <w:color w:val="000000"/>
          <w:sz w:val="32"/>
          <w:szCs w:val="32"/>
          <w:lang w:val="en-US" w:eastAsia="zh-CN"/>
        </w:rPr>
        <w:t>支出2.45万元，占比3.68%；</w:t>
      </w:r>
      <w:r>
        <w:rPr>
          <w:rFonts w:hint="eastAsia" w:ascii="仿宋" w:hAnsi="仿宋" w:eastAsia="仿宋"/>
          <w:b/>
          <w:color w:val="000000"/>
          <w:sz w:val="32"/>
          <w:szCs w:val="32"/>
          <w:lang w:val="en-US" w:eastAsia="zh-CN"/>
        </w:rPr>
        <w:t>住房保障（类）</w:t>
      </w:r>
      <w:r>
        <w:rPr>
          <w:rFonts w:hint="eastAsia" w:ascii="仿宋" w:hAnsi="仿宋" w:eastAsia="仿宋" w:cs="Times New Roman"/>
          <w:color w:val="000000"/>
          <w:sz w:val="32"/>
          <w:szCs w:val="32"/>
          <w:lang w:val="en-US" w:eastAsia="zh-CN"/>
        </w:rPr>
        <w:t>支出4.10万元，占比6.16%。</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6432" behindDoc="1" locked="0" layoutInCell="1" allowOverlap="1">
            <wp:simplePos x="0" y="0"/>
            <wp:positionH relativeFrom="column">
              <wp:posOffset>347345</wp:posOffset>
            </wp:positionH>
            <wp:positionV relativeFrom="paragraph">
              <wp:posOffset>42545</wp:posOffset>
            </wp:positionV>
            <wp:extent cx="4568825" cy="1989455"/>
            <wp:effectExtent l="5080" t="4445" r="10795" b="12700"/>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Style w:val="21"/>
        <w:rPr>
          <w:rFonts w:ascii="仿宋" w:hAnsi="仿宋" w:eastAsia="仿宋"/>
          <w:color w:val="000000"/>
          <w:sz w:val="32"/>
          <w:szCs w:val="32"/>
        </w:rPr>
      </w:pPr>
    </w:p>
    <w:p>
      <w:pPr>
        <w:spacing w:line="600" w:lineRule="exact"/>
        <w:outlineLvl w:val="2"/>
        <w:rPr>
          <w:rFonts w:hint="eastAsia" w:ascii="仿宋" w:hAnsi="仿宋" w:eastAsia="仿宋"/>
          <w:b/>
          <w:color w:val="000000"/>
          <w:sz w:val="32"/>
          <w:szCs w:val="32"/>
        </w:rPr>
      </w:pPr>
      <w:bookmarkStart w:id="62" w:name="_Toc79163617"/>
      <w:bookmarkStart w:id="63" w:name="_Toc15377212"/>
      <w:bookmarkStart w:id="64" w:name="_Toc27321"/>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8460"/>
      <w:bookmarkStart w:id="66" w:name="_Toc15377213"/>
      <w:bookmarkStart w:id="67" w:name="_Toc15377444"/>
      <w:r>
        <w:rPr>
          <w:rFonts w:hint="eastAsia" w:ascii="仿宋" w:hAnsi="仿宋" w:eastAsia="仿宋" w:cs="Times New Roman"/>
          <w:b/>
          <w:color w:val="000000"/>
          <w:sz w:val="32"/>
          <w:szCs w:val="32"/>
          <w:lang w:val="en-US" w:eastAsia="zh-CN"/>
        </w:rPr>
        <w:t>2020年一般公共预算支出决算数</w:t>
      </w:r>
      <w:r>
        <w:rPr>
          <w:rFonts w:hint="eastAsia" w:ascii="仿宋" w:hAnsi="仿宋" w:eastAsia="仿宋" w:cs="Times New Roman"/>
          <w:b/>
          <w:bCs w:val="0"/>
          <w:color w:val="000000"/>
          <w:sz w:val="32"/>
          <w:szCs w:val="32"/>
          <w:lang w:val="en-US" w:eastAsia="zh-CN"/>
        </w:rPr>
        <w:t>为</w:t>
      </w:r>
      <w:r>
        <w:rPr>
          <w:rFonts w:hint="eastAsia" w:ascii="仿宋" w:hAnsi="仿宋" w:eastAsia="仿宋"/>
          <w:b/>
          <w:bCs w:val="0"/>
          <w:color w:val="000000"/>
          <w:sz w:val="32"/>
          <w:szCs w:val="32"/>
          <w:lang w:val="en-US" w:eastAsia="zh-CN"/>
        </w:rPr>
        <w:t>66.52</w:t>
      </w:r>
      <w:r>
        <w:rPr>
          <w:rFonts w:hint="eastAsia" w:ascii="仿宋" w:hAnsi="仿宋" w:eastAsia="仿宋" w:cs="Times New Roman"/>
          <w:b/>
          <w:bCs w:val="0"/>
          <w:color w:val="000000"/>
          <w:sz w:val="32"/>
          <w:szCs w:val="32"/>
          <w:lang w:val="en-US" w:eastAsia="zh-CN"/>
        </w:rPr>
        <w:t>万</w:t>
      </w:r>
      <w:r>
        <w:rPr>
          <w:rFonts w:hint="eastAsia" w:ascii="仿宋" w:hAnsi="仿宋" w:eastAsia="仿宋" w:cs="Times New Roman"/>
          <w:b/>
          <w:color w:val="000000"/>
          <w:sz w:val="32"/>
          <w:szCs w:val="32"/>
          <w:lang w:val="en-US" w:eastAsia="zh-CN"/>
        </w:rPr>
        <w:t>元，完成预算100%。其中：</w:t>
      </w:r>
      <w:bookmarkEnd w:id="65"/>
      <w:bookmarkEnd w:id="66"/>
      <w:bookmarkEnd w:id="67"/>
    </w:p>
    <w:p>
      <w:pPr>
        <w:spacing w:line="600" w:lineRule="exact"/>
        <w:ind w:firstLine="642" w:firstLineChars="200"/>
        <w:rPr>
          <w:rFonts w:ascii="仿宋" w:hAnsi="仿宋" w:eastAsia="仿宋"/>
          <w:b/>
          <w:color w:val="000000"/>
          <w:sz w:val="32"/>
          <w:szCs w:val="32"/>
        </w:rPr>
      </w:pPr>
      <w:r>
        <w:rPr>
          <w:rStyle w:val="24"/>
          <w:rFonts w:ascii="仿宋" w:hAnsi="仿宋" w:eastAsia="仿宋"/>
          <w:bCs/>
          <w:color w:val="000000"/>
          <w:sz w:val="32"/>
          <w:szCs w:val="32"/>
        </w:rPr>
        <w:t>1.</w:t>
      </w:r>
      <w:r>
        <w:rPr>
          <w:rStyle w:val="24"/>
          <w:rFonts w:hint="eastAsia" w:ascii="仿宋" w:hAnsi="仿宋" w:eastAsia="仿宋" w:cs="Times New Roman"/>
          <w:bCs/>
          <w:color w:val="000000"/>
          <w:kern w:val="2"/>
          <w:sz w:val="32"/>
          <w:szCs w:val="32"/>
          <w:lang w:val="en-US" w:eastAsia="zh-CN" w:bidi="ar-SA"/>
        </w:rPr>
        <w:t>社会保障和就业（类）行政事业单位养老支出（款)机关事业单位基本养老保险缴费支出（项）:</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3.97</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lang w:eastAsia="zh-CN"/>
        </w:rPr>
        <w:t>，</w:t>
      </w:r>
      <w:r>
        <w:rPr>
          <w:rStyle w:val="24"/>
          <w:rFonts w:hint="eastAsia" w:ascii="仿宋_GB2312" w:hAnsi="仿宋" w:eastAsia="仿宋_GB2312"/>
          <w:b w:val="0"/>
          <w:bCs/>
          <w:color w:val="000000"/>
          <w:sz w:val="32"/>
          <w:szCs w:val="32"/>
        </w:rPr>
        <w:t>决算数等于预算数</w:t>
      </w:r>
      <w:r>
        <w:rPr>
          <w:rStyle w:val="24"/>
          <w:rFonts w:hint="eastAsia" w:ascii="仿宋_GB2312" w:hAnsi="仿宋" w:eastAsia="仿宋_GB2312"/>
          <w:b w:val="0"/>
          <w:bCs/>
          <w:color w:val="000000"/>
          <w:sz w:val="32"/>
          <w:szCs w:val="32"/>
          <w:lang w:eastAsia="zh-CN"/>
        </w:rPr>
        <w:t>。</w:t>
      </w:r>
      <w:r>
        <w:rPr>
          <w:rStyle w:val="24"/>
          <w:rFonts w:hint="eastAsia" w:ascii="仿宋" w:hAnsi="仿宋" w:eastAsia="仿宋" w:cs="Times New Roman"/>
          <w:bCs/>
          <w:color w:val="000000"/>
          <w:kern w:val="2"/>
          <w:sz w:val="32"/>
          <w:szCs w:val="32"/>
          <w:lang w:val="en-US" w:eastAsia="zh-CN" w:bidi="ar-SA"/>
        </w:rPr>
        <w:t>机关事业单位职业年金缴费支出（项）：</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1.95</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cs="Times New Roman"/>
          <w:b w:val="0"/>
          <w:bCs/>
          <w:color w:val="000000"/>
          <w:sz w:val="32"/>
          <w:szCs w:val="32"/>
          <w:lang w:val="en-US" w:eastAsia="zh-CN"/>
        </w:rPr>
        <w:t>，决算数等于预算数。</w:t>
      </w:r>
    </w:p>
    <w:p>
      <w:pPr>
        <w:spacing w:line="600" w:lineRule="exact"/>
        <w:ind w:firstLine="642" w:firstLineChars="200"/>
        <w:rPr>
          <w:rFonts w:ascii="仿宋" w:hAnsi="仿宋" w:eastAsia="仿宋"/>
          <w:b/>
          <w:color w:val="000000"/>
          <w:sz w:val="32"/>
          <w:szCs w:val="32"/>
        </w:rPr>
      </w:pPr>
      <w:r>
        <w:rPr>
          <w:rStyle w:val="24"/>
          <w:rFonts w:ascii="仿宋" w:hAnsi="仿宋" w:eastAsia="仿宋"/>
          <w:bCs/>
          <w:color w:val="000000"/>
          <w:sz w:val="32"/>
          <w:szCs w:val="32"/>
        </w:rPr>
        <w:t>2.</w:t>
      </w:r>
      <w:r>
        <w:rPr>
          <w:rStyle w:val="24"/>
          <w:rFonts w:hint="eastAsia" w:ascii="仿宋" w:hAnsi="仿宋" w:eastAsia="仿宋" w:cs="Times New Roman"/>
          <w:bCs/>
          <w:color w:val="000000"/>
          <w:kern w:val="2"/>
          <w:sz w:val="32"/>
          <w:szCs w:val="32"/>
          <w:lang w:val="en-US" w:eastAsia="zh-CN" w:bidi="ar-SA"/>
        </w:rPr>
        <w:t>社会保障和就业（类）红十字事业（款)行政运行（项）:</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54.04</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cs="Times New Roman"/>
          <w:b w:val="0"/>
          <w:bCs/>
          <w:color w:val="000000"/>
          <w:sz w:val="32"/>
          <w:szCs w:val="32"/>
          <w:lang w:eastAsia="zh-CN"/>
        </w:rPr>
        <w:t>，</w:t>
      </w:r>
      <w:r>
        <w:rPr>
          <w:rStyle w:val="24"/>
          <w:rFonts w:hint="eastAsia" w:ascii="仿宋" w:hAnsi="仿宋" w:eastAsia="仿宋" w:cs="Times New Roman"/>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4"/>
          <w:rFonts w:ascii="仿宋" w:hAnsi="仿宋" w:eastAsia="仿宋"/>
          <w:bCs/>
          <w:color w:val="000000"/>
          <w:sz w:val="32"/>
          <w:szCs w:val="32"/>
        </w:rPr>
        <w:t>3.</w:t>
      </w:r>
      <w:r>
        <w:rPr>
          <w:rStyle w:val="24"/>
          <w:rFonts w:hint="eastAsia" w:ascii="仿宋" w:hAnsi="仿宋" w:eastAsia="仿宋" w:cs="Times New Roman"/>
          <w:bCs/>
          <w:color w:val="000000"/>
          <w:kern w:val="2"/>
          <w:sz w:val="32"/>
          <w:szCs w:val="32"/>
          <w:lang w:val="en-US" w:eastAsia="zh-CN" w:bidi="ar-SA"/>
        </w:rPr>
        <w:t>卫生健康支出（类）行政事业单位医疗（款）行政单位医疗（项）:</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2.45</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lang w:eastAsia="zh-CN"/>
        </w:rPr>
        <w:t>，</w:t>
      </w:r>
      <w:r>
        <w:rPr>
          <w:rStyle w:val="24"/>
          <w:rFonts w:hint="eastAsia" w:ascii="仿宋_GB2312" w:hAnsi="仿宋" w:eastAsia="仿宋_GB2312"/>
          <w:b w:val="0"/>
          <w:bCs/>
          <w:color w:val="000000"/>
          <w:sz w:val="32"/>
          <w:szCs w:val="32"/>
        </w:rPr>
        <w:t>决算数等于预算数</w:t>
      </w:r>
      <w:r>
        <w:rPr>
          <w:rStyle w:val="24"/>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4</w:t>
      </w:r>
      <w:r>
        <w:rPr>
          <w:rStyle w:val="24"/>
          <w:rFonts w:ascii="仿宋" w:hAnsi="仿宋" w:eastAsia="仿宋"/>
          <w:bCs/>
          <w:color w:val="000000"/>
          <w:sz w:val="32"/>
          <w:szCs w:val="32"/>
        </w:rPr>
        <w:t>.</w:t>
      </w:r>
      <w:r>
        <w:rPr>
          <w:rStyle w:val="24"/>
          <w:rFonts w:hint="eastAsia" w:ascii="仿宋" w:hAnsi="仿宋" w:eastAsia="仿宋" w:cs="Times New Roman"/>
          <w:bCs/>
          <w:color w:val="000000"/>
          <w:kern w:val="2"/>
          <w:sz w:val="32"/>
          <w:szCs w:val="32"/>
          <w:lang w:val="en-US" w:eastAsia="zh-CN" w:bidi="ar-SA"/>
        </w:rPr>
        <w:t>住房保障支出（类）住房改革支出（款）住房公积金（项）:</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4.10</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cs="Times New Roman"/>
          <w:b w:val="0"/>
          <w:bCs/>
          <w:color w:val="000000"/>
          <w:sz w:val="32"/>
          <w:szCs w:val="32"/>
          <w:lang w:eastAsia="zh-CN"/>
        </w:rPr>
        <w:t>，</w:t>
      </w:r>
      <w:r>
        <w:rPr>
          <w:rStyle w:val="24"/>
          <w:rFonts w:hint="eastAsia" w:ascii="仿宋" w:hAnsi="仿宋" w:eastAsia="仿宋" w:cs="Times New Roman"/>
          <w:b w:val="0"/>
          <w:bCs/>
          <w:color w:val="000000"/>
          <w:sz w:val="32"/>
          <w:szCs w:val="32"/>
        </w:rPr>
        <w:t>决算数等于预算数。</w:t>
      </w:r>
    </w:p>
    <w:p>
      <w:pPr>
        <w:tabs>
          <w:tab w:val="right" w:pos="8306"/>
        </w:tabs>
        <w:spacing w:line="600" w:lineRule="exact"/>
        <w:ind w:firstLine="640"/>
        <w:outlineLvl w:val="1"/>
        <w:rPr>
          <w:rStyle w:val="27"/>
        </w:rPr>
      </w:pPr>
      <w:bookmarkStart w:id="68" w:name="_Toc15377214"/>
      <w:bookmarkStart w:id="69" w:name="_Toc25222"/>
      <w:bookmarkStart w:id="70" w:name="_Toc79163618"/>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68"/>
      <w:bookmarkEnd w:id="69"/>
      <w:bookmarkEnd w:id="70"/>
      <w:bookmarkEnd w:id="71"/>
      <w:r>
        <w:rPr>
          <w:rStyle w:val="27"/>
          <w:rFonts w:ascii="黑体" w:hAnsi="黑体" w:eastAsia="黑体"/>
          <w:b w:val="0"/>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66.52</w:t>
      </w:r>
      <w:r>
        <w:rPr>
          <w:rFonts w:hint="eastAsia" w:ascii="仿宋" w:hAnsi="仿宋" w:eastAsia="仿宋"/>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s="Times New Roman"/>
          <w:color w:val="000000"/>
          <w:sz w:val="32"/>
          <w:szCs w:val="32"/>
          <w:lang w:val="en-US" w:eastAsia="zh-CN"/>
        </w:rPr>
        <w:t>49.84</w:t>
      </w:r>
      <w:r>
        <w:rPr>
          <w:rFonts w:hint="eastAsia" w:ascii="仿宋" w:hAnsi="仿宋" w:eastAsia="仿宋" w:cs="Times New Roman"/>
          <w:color w:val="000000"/>
          <w:sz w:val="32"/>
          <w:szCs w:val="32"/>
        </w:rPr>
        <w:t>万元，主要包括：基本工资、津贴补贴、奖金、机关事业单位基本养老保险缴费、职业年金缴费、</w:t>
      </w:r>
      <w:r>
        <w:rPr>
          <w:rFonts w:hint="eastAsia" w:ascii="仿宋" w:hAnsi="仿宋" w:eastAsia="仿宋" w:cs="Times New Roman"/>
          <w:color w:val="000000"/>
          <w:sz w:val="32"/>
          <w:szCs w:val="32"/>
          <w:lang w:val="en-US" w:eastAsia="zh-CN"/>
        </w:rPr>
        <w:t>职工基本医疗保险缴费、</w:t>
      </w:r>
      <w:r>
        <w:rPr>
          <w:rFonts w:hint="eastAsia" w:ascii="仿宋" w:hAnsi="仿宋" w:eastAsia="仿宋" w:cs="Times New Roman"/>
          <w:color w:val="000000"/>
          <w:sz w:val="32"/>
          <w:szCs w:val="32"/>
        </w:rPr>
        <w:t>其他社会保障缴费、住房公积金。</w:t>
      </w:r>
      <w:r>
        <w:rPr>
          <w:rFonts w:hint="eastAsia" w:ascii="仿宋" w:hAnsi="仿宋" w:eastAsia="仿宋" w:cs="Times New Roman"/>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16.68</w:t>
      </w:r>
      <w:r>
        <w:rPr>
          <w:rFonts w:hint="eastAsia" w:ascii="仿宋" w:hAnsi="仿宋" w:eastAsia="仿宋"/>
          <w:color w:val="000000"/>
          <w:sz w:val="32"/>
          <w:szCs w:val="32"/>
        </w:rPr>
        <w:t>万元，主要包</w:t>
      </w:r>
      <w:r>
        <w:rPr>
          <w:rFonts w:hint="eastAsia" w:ascii="仿宋" w:hAnsi="仿宋" w:eastAsia="仿宋" w:cs="Times New Roman"/>
          <w:color w:val="000000"/>
          <w:sz w:val="32"/>
          <w:szCs w:val="32"/>
        </w:rPr>
        <w:t>括：</w:t>
      </w:r>
      <w:r>
        <w:rPr>
          <w:rFonts w:hint="eastAsia" w:ascii="仿宋" w:hAnsi="仿宋" w:eastAsia="仿宋" w:cs="Times New Roman"/>
          <w:color w:val="000000"/>
          <w:sz w:val="32"/>
          <w:szCs w:val="32"/>
          <w:lang w:val="en-US" w:eastAsia="zh-CN"/>
        </w:rPr>
        <w:t>办公费、电费、邮电费、取暖费、差旅费、公务用车运行维护费</w:t>
      </w:r>
      <w:r>
        <w:rPr>
          <w:rFonts w:hint="eastAsia" w:ascii="仿宋" w:hAnsi="仿宋" w:eastAsia="仿宋" w:cs="Times New Roman"/>
          <w:color w:val="000000"/>
          <w:sz w:val="32"/>
          <w:szCs w:val="32"/>
        </w:rPr>
        <w:t>。</w:t>
      </w:r>
    </w:p>
    <w:p>
      <w:pPr>
        <w:keepNext w:val="0"/>
        <w:keepLines w:val="0"/>
        <w:pageBreakBefore w:val="0"/>
        <w:kinsoku/>
        <w:wordWrap/>
        <w:overflowPunct/>
        <w:topLinePunct w:val="0"/>
        <w:bidi w:val="0"/>
        <w:snapToGrid/>
        <w:spacing w:line="560" w:lineRule="exact"/>
        <w:ind w:firstLine="640"/>
        <w:textAlignment w:val="auto"/>
        <w:outlineLvl w:val="1"/>
        <w:rPr>
          <w:rStyle w:val="27"/>
          <w:rFonts w:ascii="黑体" w:hAnsi="黑体" w:eastAsia="黑体"/>
          <w:b w:val="0"/>
        </w:rPr>
      </w:pPr>
      <w:bookmarkStart w:id="72" w:name="_Toc4893"/>
      <w:bookmarkStart w:id="73" w:name="_Toc15396609"/>
      <w:bookmarkStart w:id="74" w:name="_Toc15377215"/>
      <w:bookmarkStart w:id="75" w:name="_Toc7916361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72"/>
      <w:bookmarkEnd w:id="73"/>
      <w:bookmarkEnd w:id="74"/>
      <w:bookmarkEnd w:id="75"/>
    </w:p>
    <w:p>
      <w:pPr>
        <w:keepNext w:val="0"/>
        <w:keepLines w:val="0"/>
        <w:pageBreakBefore w:val="0"/>
        <w:kinsoku/>
        <w:wordWrap/>
        <w:overflowPunct/>
        <w:topLinePunct w:val="0"/>
        <w:bidi w:val="0"/>
        <w:snapToGrid/>
        <w:spacing w:line="560" w:lineRule="exact"/>
        <w:ind w:firstLine="640"/>
        <w:textAlignment w:val="auto"/>
        <w:outlineLvl w:val="2"/>
        <w:rPr>
          <w:rFonts w:ascii="仿宋" w:hAnsi="仿宋" w:eastAsia="仿宋"/>
          <w:b/>
          <w:color w:val="000000"/>
          <w:sz w:val="32"/>
          <w:szCs w:val="32"/>
        </w:rPr>
      </w:pPr>
      <w:bookmarkStart w:id="76" w:name="_Toc5266"/>
      <w:bookmarkStart w:id="77" w:name="_Toc79163620"/>
      <w:bookmarkStart w:id="78" w:name="_Toc15377216"/>
      <w:r>
        <w:rPr>
          <w:rFonts w:hint="eastAsia" w:ascii="仿宋" w:hAnsi="仿宋" w:eastAsia="仿宋"/>
          <w:b/>
          <w:color w:val="000000"/>
          <w:sz w:val="32"/>
          <w:szCs w:val="32"/>
        </w:rPr>
        <w:t>（一）“三公”经费财政拨款支出决算总体情况说明</w:t>
      </w:r>
      <w:bookmarkEnd w:id="76"/>
      <w:bookmarkEnd w:id="77"/>
      <w:bookmarkEnd w:id="7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3.90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keepNext w:val="0"/>
        <w:keepLines w:val="0"/>
        <w:pageBreakBefore w:val="0"/>
        <w:kinsoku/>
        <w:wordWrap/>
        <w:overflowPunct/>
        <w:topLinePunct w:val="0"/>
        <w:bidi w:val="0"/>
        <w:snapToGrid/>
        <w:spacing w:line="560" w:lineRule="exact"/>
        <w:ind w:firstLine="640"/>
        <w:textAlignment w:val="auto"/>
        <w:outlineLvl w:val="2"/>
        <w:rPr>
          <w:rFonts w:ascii="仿宋" w:hAnsi="仿宋" w:eastAsia="仿宋"/>
          <w:b/>
          <w:color w:val="000000"/>
          <w:sz w:val="32"/>
          <w:szCs w:val="32"/>
        </w:rPr>
      </w:pPr>
      <w:bookmarkStart w:id="79" w:name="_Toc79163621"/>
      <w:bookmarkStart w:id="80" w:name="_Toc1271"/>
      <w:bookmarkStart w:id="81" w:name="_Toc15377217"/>
      <w:r>
        <w:rPr>
          <w:rFonts w:hint="eastAsia" w:ascii="仿宋" w:hAnsi="仿宋" w:eastAsia="仿宋"/>
          <w:b/>
          <w:color w:val="000000"/>
          <w:sz w:val="32"/>
          <w:szCs w:val="32"/>
        </w:rPr>
        <w:t>（二）“三公”经费财政拨款支出决算具体情况说明</w:t>
      </w:r>
      <w:bookmarkEnd w:id="79"/>
      <w:bookmarkEnd w:id="80"/>
      <w:bookmarkEnd w:id="8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3.90</w:t>
      </w:r>
      <w:r>
        <w:rPr>
          <w:rFonts w:hint="eastAsia" w:ascii="仿宋" w:hAnsi="仿宋" w:eastAsia="仿宋"/>
          <w:color w:val="000000"/>
          <w:sz w:val="32"/>
          <w:szCs w:val="32"/>
        </w:rPr>
        <w:t>万元；公务接待费支出决算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（图8：“三公”经费财政拨款支出结构）（饼状图）</w:t>
      </w:r>
    </w:p>
    <w:p>
      <w:pPr>
        <w:pStyle w:val="21"/>
        <w:keepNext w:val="0"/>
        <w:keepLines w:val="0"/>
        <w:pageBreakBefore w:val="0"/>
        <w:kinsoku/>
        <w:wordWrap/>
        <w:overflowPunct/>
        <w:topLinePunct w:val="0"/>
        <w:bidi w:val="0"/>
        <w:snapToGrid/>
        <w:spacing w:line="560" w:lineRule="exact"/>
        <w:textAlignment w:val="auto"/>
      </w:pPr>
      <w:r>
        <w:drawing>
          <wp:anchor distT="0" distB="0" distL="114300" distR="114300" simplePos="0" relativeHeight="251667456" behindDoc="1" locked="0" layoutInCell="1" allowOverlap="1">
            <wp:simplePos x="0" y="0"/>
            <wp:positionH relativeFrom="column">
              <wp:posOffset>379095</wp:posOffset>
            </wp:positionH>
            <wp:positionV relativeFrom="paragraph">
              <wp:posOffset>10160</wp:posOffset>
            </wp:positionV>
            <wp:extent cx="4622165" cy="2080260"/>
            <wp:effectExtent l="4445" t="4445" r="8890" b="10795"/>
            <wp:wrapNone/>
            <wp:docPr id="1227"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pStyle w:val="21"/>
        <w:keepNext w:val="0"/>
        <w:keepLines w:val="0"/>
        <w:pageBreakBefore w:val="0"/>
        <w:kinsoku/>
        <w:wordWrap/>
        <w:overflowPunct/>
        <w:topLinePunct w:val="0"/>
        <w:bidi w:val="0"/>
        <w:snapToGrid/>
        <w:spacing w:line="560" w:lineRule="exact"/>
        <w:textAlignment w:val="auto"/>
      </w:pPr>
    </w:p>
    <w:p>
      <w:pPr>
        <w:pStyle w:val="21"/>
        <w:keepNext w:val="0"/>
        <w:keepLines w:val="0"/>
        <w:pageBreakBefore w:val="0"/>
        <w:kinsoku/>
        <w:wordWrap/>
        <w:overflowPunct/>
        <w:topLinePunct w:val="0"/>
        <w:bidi w:val="0"/>
        <w:snapToGrid/>
        <w:spacing w:line="560" w:lineRule="exact"/>
        <w:textAlignment w:val="auto"/>
      </w:pPr>
    </w:p>
    <w:p>
      <w:pPr>
        <w:pStyle w:val="21"/>
        <w:keepNext w:val="0"/>
        <w:keepLines w:val="0"/>
        <w:pageBreakBefore w:val="0"/>
        <w:kinsoku/>
        <w:wordWrap/>
        <w:overflowPunct/>
        <w:topLinePunct w:val="0"/>
        <w:bidi w:val="0"/>
        <w:snapToGrid/>
        <w:spacing w:line="560" w:lineRule="exact"/>
        <w:textAlignment w:val="auto"/>
      </w:pPr>
    </w:p>
    <w:p>
      <w:pPr>
        <w:pStyle w:val="21"/>
        <w:keepNext w:val="0"/>
        <w:keepLines w:val="0"/>
        <w:pageBreakBefore w:val="0"/>
        <w:kinsoku/>
        <w:wordWrap/>
        <w:overflowPunct/>
        <w:topLinePunct w:val="0"/>
        <w:bidi w:val="0"/>
        <w:snapToGrid/>
        <w:spacing w:line="560" w:lineRule="exact"/>
        <w:textAlignment w:val="auto"/>
      </w:pPr>
    </w:p>
    <w:p>
      <w:pPr>
        <w:pStyle w:val="21"/>
        <w:keepNext w:val="0"/>
        <w:keepLines w:val="0"/>
        <w:pageBreakBefore w:val="0"/>
        <w:kinsoku/>
        <w:wordWrap/>
        <w:overflowPunct/>
        <w:topLinePunct w:val="0"/>
        <w:bidi w:val="0"/>
        <w:snapToGrid/>
        <w:spacing w:line="560" w:lineRule="exact"/>
        <w:ind w:left="0" w:leftChars="0" w:firstLine="0" w:firstLineChars="0"/>
        <w:textAlignment w:val="auto"/>
      </w:pPr>
    </w:p>
    <w:p>
      <w:pPr>
        <w:keepNext w:val="0"/>
        <w:keepLines w:val="0"/>
        <w:pageBreakBefore w:val="0"/>
        <w:kinsoku/>
        <w:wordWrap/>
        <w:overflowPunct/>
        <w:topLinePunct w:val="0"/>
        <w:bidi w:val="0"/>
        <w:snapToGrid/>
        <w:spacing w:line="560" w:lineRule="exact"/>
        <w:ind w:firstLine="640"/>
        <w:textAlignment w:val="auto"/>
        <w:rPr>
          <w:rFonts w:hint="eastAsia"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keepNext w:val="0"/>
        <w:keepLines w:val="0"/>
        <w:pageBreakBefore w:val="0"/>
        <w:kinsoku/>
        <w:wordWrap/>
        <w:overflowPunct/>
        <w:topLinePunct w:val="0"/>
        <w:bidi w:val="0"/>
        <w:snapToGrid/>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lang w:val="en-US" w:eastAsia="zh-CN"/>
        </w:rPr>
        <w:t>3.90</w:t>
      </w:r>
      <w:r>
        <w:rPr>
          <w:rFonts w:hint="eastAsia" w:ascii="仿宋_GB2312" w:eastAsia="仿宋_GB2312"/>
          <w:color w:val="000000"/>
          <w:sz w:val="32"/>
          <w:szCs w:val="32"/>
        </w:rPr>
        <w:t>万元</w:t>
      </w:r>
      <w:r>
        <w:rPr>
          <w:rFonts w:ascii="仿宋_GB2312" w:eastAsia="仿宋_GB2312"/>
          <w:color w:val="000000"/>
          <w:sz w:val="32"/>
          <w:szCs w:val="32"/>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年增加0.53万元，增长15.56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本年度公务用车购置及运行维护费支出增加</w:t>
      </w:r>
      <w:r>
        <w:rPr>
          <w:rFonts w:hint="eastAsia" w:ascii="仿宋_GB2312" w:eastAsia="仿宋_GB2312"/>
          <w:color w:val="000000"/>
          <w:sz w:val="32"/>
          <w:szCs w:val="32"/>
        </w:rPr>
        <w:t>。</w:t>
      </w:r>
    </w:p>
    <w:p>
      <w:pPr>
        <w:keepNext w:val="0"/>
        <w:keepLines w:val="0"/>
        <w:pageBreakBefore w:val="0"/>
        <w:kinsoku/>
        <w:wordWrap/>
        <w:overflowPunct/>
        <w:topLinePunct w:val="0"/>
        <w:bidi w:val="0"/>
        <w:snapToGrid/>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keepNext w:val="0"/>
        <w:keepLines w:val="0"/>
        <w:pageBreakBefore w:val="0"/>
        <w:kinsoku/>
        <w:wordWrap/>
        <w:overflowPunct/>
        <w:topLinePunct w:val="0"/>
        <w:bidi w:val="0"/>
        <w:snapToGrid/>
        <w:spacing w:line="560" w:lineRule="exact"/>
        <w:ind w:firstLine="640"/>
        <w:textAlignment w:val="auto"/>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color w:val="000000"/>
          <w:sz w:val="32"/>
          <w:szCs w:val="32"/>
          <w:lang w:val="en-US" w:eastAsia="zh-CN"/>
        </w:rPr>
        <w:t>3.90</w:t>
      </w:r>
      <w:r>
        <w:rPr>
          <w:rFonts w:hint="eastAsia" w:ascii="仿宋_GB2312" w:eastAsia="仿宋_GB2312"/>
          <w:color w:val="000000"/>
          <w:sz w:val="32"/>
          <w:szCs w:val="32"/>
        </w:rPr>
        <w:t>万元。</w:t>
      </w:r>
    </w:p>
    <w:p>
      <w:pPr>
        <w:keepNext w:val="0"/>
        <w:keepLines w:val="0"/>
        <w:pageBreakBefore w:val="0"/>
        <w:numPr>
          <w:ilvl w:val="0"/>
          <w:numId w:val="2"/>
        </w:numPr>
        <w:kinsoku/>
        <w:wordWrap/>
        <w:overflowPunct/>
        <w:topLinePunct w:val="0"/>
        <w:bidi w:val="0"/>
        <w:snapToGrid/>
        <w:spacing w:line="560" w:lineRule="exact"/>
        <w:ind w:firstLine="642" w:firstLineChars="200"/>
        <w:textAlignment w:val="auto"/>
        <w:rPr>
          <w:rStyle w:val="24"/>
          <w:rFonts w:hint="eastAsia" w:ascii="仿宋" w:hAnsi="仿宋" w:eastAsia="仿宋"/>
          <w:b w:val="0"/>
          <w:bCs/>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bidi w:val="0"/>
        <w:snapToGrid/>
        <w:spacing w:line="560" w:lineRule="exact"/>
        <w:ind w:firstLine="640"/>
        <w:textAlignment w:val="auto"/>
        <w:outlineLvl w:val="1"/>
        <w:rPr>
          <w:rStyle w:val="27"/>
          <w:rFonts w:ascii="黑体" w:hAnsi="黑体" w:eastAsia="黑体"/>
        </w:rPr>
      </w:pPr>
      <w:bookmarkStart w:id="82" w:name="_Toc79163622"/>
      <w:bookmarkStart w:id="83" w:name="_Toc15377218"/>
      <w:bookmarkStart w:id="84" w:name="_Toc2602"/>
      <w:bookmarkStart w:id="85" w:name="_Toc15396610"/>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82"/>
      <w:bookmarkEnd w:id="83"/>
      <w:bookmarkEnd w:id="84"/>
      <w:bookmarkEnd w:id="85"/>
    </w:p>
    <w:p>
      <w:pPr>
        <w:keepNext w:val="0"/>
        <w:keepLines w:val="0"/>
        <w:pageBreakBefore w:val="0"/>
        <w:kinsoku/>
        <w:wordWrap/>
        <w:overflowPunct/>
        <w:topLinePunct w:val="0"/>
        <w:bidi w:val="0"/>
        <w:snapToGrid/>
        <w:spacing w:line="560" w:lineRule="exact"/>
        <w:ind w:firstLine="640"/>
        <w:textAlignment w:val="auto"/>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kinsoku/>
        <w:wordWrap/>
        <w:overflowPunct/>
        <w:topLinePunct w:val="0"/>
        <w:bidi w:val="0"/>
        <w:snapToGrid/>
        <w:spacing w:line="560" w:lineRule="exact"/>
        <w:textAlignment w:val="auto"/>
        <w:rPr>
          <w:rFonts w:ascii="仿宋_GB2312" w:eastAsia="仿宋_GB2312"/>
          <w:color w:val="000000"/>
          <w:sz w:val="32"/>
          <w:szCs w:val="32"/>
        </w:rPr>
      </w:pPr>
    </w:p>
    <w:p>
      <w:pPr>
        <w:keepNext w:val="0"/>
        <w:keepLines w:val="0"/>
        <w:pageBreakBefore w:val="0"/>
        <w:numPr>
          <w:ilvl w:val="0"/>
          <w:numId w:val="3"/>
        </w:numPr>
        <w:kinsoku/>
        <w:wordWrap/>
        <w:overflowPunct/>
        <w:topLinePunct w:val="0"/>
        <w:bidi w:val="0"/>
        <w:snapToGrid/>
        <w:spacing w:line="560" w:lineRule="exact"/>
        <w:ind w:firstLine="640"/>
        <w:textAlignment w:val="auto"/>
        <w:outlineLvl w:val="1"/>
        <w:rPr>
          <w:rStyle w:val="27"/>
          <w:rFonts w:ascii="黑体" w:hAnsi="黑体" w:eastAsia="黑体"/>
          <w:b w:val="0"/>
        </w:rPr>
      </w:pPr>
      <w:bookmarkStart w:id="86" w:name="_Toc79163623"/>
      <w:bookmarkStart w:id="87" w:name="_Toc6497"/>
      <w:bookmarkStart w:id="88" w:name="_Toc15377219"/>
      <w:bookmarkStart w:id="89" w:name="_Toc15396611"/>
      <w:r>
        <w:rPr>
          <w:rStyle w:val="27"/>
          <w:rFonts w:hint="eastAsia" w:ascii="黑体" w:hAnsi="黑体" w:eastAsia="黑体"/>
          <w:b w:val="0"/>
        </w:rPr>
        <w:t>国有资本经营预算支出决算情况说明</w:t>
      </w:r>
      <w:bookmarkEnd w:id="86"/>
      <w:bookmarkEnd w:id="87"/>
      <w:bookmarkEnd w:id="88"/>
      <w:bookmarkEnd w:id="89"/>
    </w:p>
    <w:p>
      <w:pPr>
        <w:keepNext w:val="0"/>
        <w:keepLines w:val="0"/>
        <w:pageBreakBefore w:val="0"/>
        <w:kinsoku/>
        <w:wordWrap/>
        <w:overflowPunct/>
        <w:topLinePunct w:val="0"/>
        <w:bidi w:val="0"/>
        <w:snapToGrid/>
        <w:spacing w:line="560" w:lineRule="exact"/>
        <w:ind w:firstLine="640"/>
        <w:textAlignment w:val="auto"/>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kinsoku/>
        <w:wordWrap/>
        <w:overflowPunct/>
        <w:topLinePunct w:val="0"/>
        <w:bidi w:val="0"/>
        <w:snapToGrid/>
        <w:spacing w:line="560" w:lineRule="exact"/>
        <w:jc w:val="center"/>
        <w:textAlignment w:val="auto"/>
        <w:rPr>
          <w:rFonts w:ascii="方正小标宋简体" w:hAnsi="方正小标宋简体" w:eastAsia="方正小标宋简体" w:cs="方正小标宋简体"/>
          <w:sz w:val="44"/>
          <w:szCs w:val="44"/>
        </w:rPr>
      </w:pPr>
    </w:p>
    <w:p>
      <w:pPr>
        <w:keepNext w:val="0"/>
        <w:keepLines w:val="0"/>
        <w:pageBreakBefore w:val="0"/>
        <w:kinsoku/>
        <w:wordWrap/>
        <w:overflowPunct/>
        <w:topLinePunct w:val="0"/>
        <w:bidi w:val="0"/>
        <w:snapToGrid/>
        <w:spacing w:line="560" w:lineRule="exact"/>
        <w:ind w:firstLine="800" w:firstLineChars="250"/>
        <w:textAlignment w:val="auto"/>
        <w:outlineLvl w:val="1"/>
        <w:rPr>
          <w:rStyle w:val="27"/>
          <w:rFonts w:ascii="黑体" w:hAnsi="黑体" w:eastAsia="黑体"/>
        </w:rPr>
      </w:pPr>
      <w:bookmarkStart w:id="90" w:name="_Toc27000"/>
      <w:bookmarkStart w:id="91" w:name="_Toc15377221"/>
      <w:bookmarkStart w:id="92" w:name="_Toc15396612"/>
      <w:bookmarkStart w:id="93" w:name="_Toc79163624"/>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90"/>
      <w:bookmarkEnd w:id="91"/>
      <w:bookmarkEnd w:id="92"/>
      <w:bookmarkEnd w:id="93"/>
    </w:p>
    <w:p>
      <w:pPr>
        <w:keepNext w:val="0"/>
        <w:keepLines w:val="0"/>
        <w:pageBreakBefore w:val="0"/>
        <w:kinsoku/>
        <w:wordWrap/>
        <w:overflowPunct/>
        <w:topLinePunct w:val="0"/>
        <w:bidi w:val="0"/>
        <w:snapToGrid/>
        <w:spacing w:line="560" w:lineRule="exact"/>
        <w:ind w:firstLine="642" w:firstLineChars="200"/>
        <w:textAlignment w:val="auto"/>
        <w:outlineLvl w:val="2"/>
        <w:rPr>
          <w:rFonts w:ascii="仿宋" w:hAnsi="仿宋" w:eastAsia="仿宋"/>
          <w:color w:val="000000"/>
          <w:sz w:val="32"/>
          <w:szCs w:val="32"/>
        </w:rPr>
      </w:pPr>
      <w:bookmarkStart w:id="94" w:name="_Toc15377222"/>
      <w:bookmarkStart w:id="95" w:name="_Toc79163625"/>
      <w:bookmarkStart w:id="96" w:name="_Toc12652"/>
      <w:r>
        <w:rPr>
          <w:rFonts w:hint="eastAsia" w:ascii="仿宋" w:hAnsi="仿宋" w:eastAsia="仿宋"/>
          <w:b/>
          <w:color w:val="000000"/>
          <w:sz w:val="32"/>
          <w:szCs w:val="32"/>
        </w:rPr>
        <w:t>（一）机关运行经费支出情况</w:t>
      </w:r>
      <w:bookmarkEnd w:id="94"/>
      <w:bookmarkEnd w:id="95"/>
      <w:bookmarkEnd w:id="96"/>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 w:hAnsi="仿宋" w:eastAsia="仿宋"/>
          <w:sz w:val="32"/>
          <w:szCs w:val="32"/>
          <w:lang w:val="en-US" w:eastAsia="zh-CN"/>
        </w:rPr>
        <w:t>壤塘县红十字会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16.68</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增加7.68</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增长85.42</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主要原因是办公设备更新</w:t>
      </w:r>
      <w:r>
        <w:rPr>
          <w:rFonts w:hint="eastAsia" w:ascii="仿宋_GB2312" w:eastAsia="仿宋_GB2312"/>
          <w:color w:val="000000"/>
          <w:sz w:val="32"/>
          <w:szCs w:val="32"/>
          <w:lang w:eastAsia="zh-CN"/>
        </w:rPr>
        <w:t>。</w:t>
      </w:r>
    </w:p>
    <w:p>
      <w:pPr>
        <w:keepNext w:val="0"/>
        <w:keepLines w:val="0"/>
        <w:pageBreakBefore w:val="0"/>
        <w:kinsoku/>
        <w:wordWrap/>
        <w:overflowPunct/>
        <w:topLinePunct w:val="0"/>
        <w:autoSpaceDE w:val="0"/>
        <w:autoSpaceDN w:val="0"/>
        <w:bidi w:val="0"/>
        <w:adjustRightInd w:val="0"/>
        <w:snapToGrid/>
        <w:spacing w:line="560" w:lineRule="exact"/>
        <w:ind w:firstLine="642" w:firstLineChars="200"/>
        <w:jc w:val="left"/>
        <w:textAlignment w:val="auto"/>
        <w:outlineLvl w:val="2"/>
        <w:rPr>
          <w:rFonts w:ascii="仿宋" w:hAnsi="仿宋" w:eastAsia="仿宋"/>
          <w:b/>
          <w:color w:val="000000"/>
          <w:sz w:val="32"/>
          <w:szCs w:val="32"/>
        </w:rPr>
      </w:pPr>
      <w:bookmarkStart w:id="97" w:name="_Toc15377223"/>
      <w:bookmarkStart w:id="98" w:name="_Toc79163626"/>
      <w:bookmarkStart w:id="99" w:name="_Toc23706"/>
      <w:r>
        <w:rPr>
          <w:rFonts w:hint="eastAsia" w:ascii="仿宋" w:hAnsi="仿宋" w:eastAsia="仿宋"/>
          <w:b/>
          <w:color w:val="000000"/>
          <w:sz w:val="32"/>
          <w:szCs w:val="32"/>
        </w:rPr>
        <w:t>（二）政府采购支出情况</w:t>
      </w:r>
      <w:bookmarkEnd w:id="97"/>
      <w:bookmarkEnd w:id="98"/>
      <w:bookmarkEnd w:id="99"/>
    </w:p>
    <w:p>
      <w:pPr>
        <w:keepNext w:val="0"/>
        <w:keepLines w:val="0"/>
        <w:pageBreakBefore w:val="0"/>
        <w:kinsoku/>
        <w:wordWrap/>
        <w:overflowPunct/>
        <w:topLinePunct w:val="0"/>
        <w:bidi w:val="0"/>
        <w:snapToGrid/>
        <w:spacing w:line="56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壤塘县</w:t>
      </w:r>
      <w:r>
        <w:rPr>
          <w:rFonts w:hint="eastAsia" w:ascii="仿宋" w:hAnsi="仿宋" w:eastAsia="仿宋"/>
          <w:sz w:val="32"/>
          <w:szCs w:val="32"/>
          <w:lang w:val="en-US" w:eastAsia="zh-CN"/>
        </w:rPr>
        <w:t>红十字会</w:t>
      </w:r>
      <w:r>
        <w:rPr>
          <w:rFonts w:hint="eastAsia" w:ascii="仿宋_GB2312" w:hAnsi="Times New Roman" w:eastAsia="仿宋_GB2312" w:cs="Times New Roman"/>
          <w:color w:val="000000"/>
          <w:sz w:val="32"/>
          <w:szCs w:val="32"/>
        </w:rPr>
        <w:t>政府采购支出总额</w:t>
      </w:r>
      <w:r>
        <w:rPr>
          <w:rFonts w:hint="eastAsia" w:ascii="仿宋_GB2312"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w:t>
      </w:r>
      <w:r>
        <w:rPr>
          <w:rFonts w:hint="eastAsia" w:ascii="仿宋_GB2312" w:eastAsia="仿宋_GB2312"/>
          <w:color w:val="000000"/>
          <w:sz w:val="32"/>
          <w:szCs w:val="32"/>
        </w:rPr>
        <w:t>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kinsoku/>
        <w:wordWrap/>
        <w:overflowPunct/>
        <w:topLinePunct w:val="0"/>
        <w:autoSpaceDE w:val="0"/>
        <w:autoSpaceDN w:val="0"/>
        <w:bidi w:val="0"/>
        <w:adjustRightInd w:val="0"/>
        <w:snapToGrid/>
        <w:spacing w:line="560" w:lineRule="exact"/>
        <w:ind w:firstLine="642" w:firstLineChars="200"/>
        <w:jc w:val="left"/>
        <w:textAlignment w:val="auto"/>
        <w:outlineLvl w:val="2"/>
        <w:rPr>
          <w:rFonts w:ascii="仿宋" w:hAnsi="仿宋" w:eastAsia="仿宋"/>
          <w:b/>
          <w:color w:val="000000"/>
          <w:sz w:val="32"/>
          <w:szCs w:val="32"/>
        </w:rPr>
      </w:pPr>
      <w:bookmarkStart w:id="100" w:name="_Toc15377224"/>
      <w:bookmarkStart w:id="101" w:name="_Toc3807"/>
      <w:bookmarkStart w:id="102" w:name="_Toc79163627"/>
      <w:r>
        <w:rPr>
          <w:rFonts w:hint="eastAsia" w:ascii="仿宋" w:hAnsi="仿宋" w:eastAsia="仿宋"/>
          <w:b/>
          <w:color w:val="000000"/>
          <w:sz w:val="32"/>
          <w:szCs w:val="32"/>
        </w:rPr>
        <w:t>（三）国有资产占有使用情况</w:t>
      </w:r>
      <w:bookmarkEnd w:id="100"/>
      <w:bookmarkEnd w:id="101"/>
      <w:bookmarkEnd w:id="102"/>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hAnsi="Times New Roman" w:eastAsia="仿宋_GB2312" w:cs="Times New Roman"/>
          <w:color w:val="000000"/>
          <w:sz w:val="32"/>
          <w:szCs w:val="32"/>
          <w:lang w:val="en-US" w:eastAsia="zh-CN"/>
        </w:rPr>
        <w:t>壤塘县</w:t>
      </w:r>
      <w:r>
        <w:rPr>
          <w:rFonts w:hint="eastAsia" w:ascii="仿宋" w:hAnsi="仿宋" w:eastAsia="仿宋"/>
          <w:sz w:val="32"/>
          <w:szCs w:val="32"/>
          <w:lang w:val="en-US" w:eastAsia="zh-CN"/>
        </w:rPr>
        <w:t>红十字会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keepNext w:val="0"/>
        <w:keepLines w:val="0"/>
        <w:pageBreakBefore w:val="0"/>
        <w:kinsoku/>
        <w:wordWrap/>
        <w:overflowPunct/>
        <w:topLinePunct w:val="0"/>
        <w:autoSpaceDE w:val="0"/>
        <w:autoSpaceDN w:val="0"/>
        <w:bidi w:val="0"/>
        <w:adjustRightInd w:val="0"/>
        <w:snapToGrid/>
        <w:spacing w:line="560" w:lineRule="exact"/>
        <w:ind w:firstLine="642" w:firstLineChars="200"/>
        <w:jc w:val="left"/>
        <w:textAlignment w:val="auto"/>
        <w:outlineLvl w:val="2"/>
        <w:rPr>
          <w:rFonts w:ascii="仿宋" w:hAnsi="仿宋" w:eastAsia="仿宋"/>
          <w:b/>
          <w:color w:val="000000"/>
          <w:sz w:val="32"/>
          <w:szCs w:val="32"/>
        </w:rPr>
      </w:pPr>
      <w:bookmarkStart w:id="103" w:name="_Toc26064"/>
      <w:bookmarkStart w:id="104" w:name="_Toc79163628"/>
      <w:r>
        <w:rPr>
          <w:rFonts w:hint="eastAsia" w:ascii="仿宋" w:hAnsi="仿宋" w:eastAsia="仿宋"/>
          <w:b/>
          <w:color w:val="000000"/>
          <w:sz w:val="32"/>
          <w:szCs w:val="32"/>
        </w:rPr>
        <w:t>（四）预算绩效管理情况。</w:t>
      </w:r>
      <w:bookmarkEnd w:id="103"/>
      <w:bookmarkEnd w:id="104"/>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根据预算绩效管理要求，本单位2020年初预算编制阶段，无专项项目资金，本年无项目支出绩效自评。</w:t>
      </w:r>
    </w:p>
    <w:p>
      <w:pPr>
        <w:keepNext w:val="0"/>
        <w:keepLines w:val="0"/>
        <w:pageBreakBefore w:val="0"/>
        <w:kinsoku/>
        <w:wordWrap/>
        <w:overflowPunct/>
        <w:topLinePunct w:val="0"/>
        <w:bidi w:val="0"/>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本部门按要求对2020年部门整体支出开展绩效自评，从评价情况来看，我单位2020年目标任务基本完成，预算执行情况较好。</w:t>
      </w:r>
    </w:p>
    <w:p>
      <w:pPr>
        <w:keepNext w:val="0"/>
        <w:keepLines w:val="0"/>
        <w:pageBreakBefore w:val="0"/>
        <w:numPr>
          <w:ilvl w:val="0"/>
          <w:numId w:val="4"/>
        </w:numPr>
        <w:kinsoku/>
        <w:wordWrap/>
        <w:overflowPunct/>
        <w:topLinePunct w:val="0"/>
        <w:bidi w:val="0"/>
        <w:snapToGrid/>
        <w:spacing w:line="560" w:lineRule="exact"/>
        <w:ind w:left="63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项目绩效目标完成情况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本年度无项目绩效</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bidi w:val="0"/>
        <w:snapToGrid/>
        <w:spacing w:line="560" w:lineRule="exact"/>
        <w:ind w:left="630"/>
        <w:textAlignment w:val="auto"/>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keepNext w:val="0"/>
        <w:keepLines w:val="0"/>
        <w:pageBreakBefore w:val="0"/>
        <w:kinsoku/>
        <w:wordWrap/>
        <w:overflowPunct/>
        <w:topLinePunct w:val="0"/>
        <w:bidi w:val="0"/>
        <w:snapToGrid/>
        <w:spacing w:line="560" w:lineRule="exact"/>
        <w:ind w:firstLine="640" w:firstLineChars="200"/>
        <w:textAlignment w:val="auto"/>
        <w:rPr>
          <w:rFonts w:ascii="仿宋_GB2312" w:eastAsia="仿宋_GB2312"/>
          <w:b/>
          <w:color w:val="000000"/>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Times New Roman" w:eastAsia="仿宋_GB2312" w:cs="Times New Roman"/>
          <w:color w:val="000000"/>
          <w:sz w:val="32"/>
          <w:szCs w:val="32"/>
          <w:lang w:val="en-US" w:eastAsia="zh-CN"/>
        </w:rPr>
        <w:t>壤塘县</w:t>
      </w:r>
      <w:r>
        <w:rPr>
          <w:rFonts w:hint="eastAsia" w:ascii="仿宋_GB2312" w:eastAsia="仿宋_GB2312" w:cs="Times New Roman"/>
          <w:color w:val="000000"/>
          <w:sz w:val="32"/>
          <w:szCs w:val="32"/>
          <w:lang w:val="en-US" w:eastAsia="zh-CN"/>
        </w:rPr>
        <w:t>红十字会</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bidi w:val="0"/>
        <w:snapToGrid/>
        <w:spacing w:line="560" w:lineRule="exact"/>
        <w:jc w:val="left"/>
        <w:textAlignment w:val="auto"/>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6"/>
          <w:rFonts w:ascii="黑体" w:hAnsi="黑体" w:eastAsia="黑体"/>
          <w:b w:val="0"/>
        </w:rPr>
      </w:pPr>
      <w:bookmarkStart w:id="105" w:name="_Toc15409"/>
      <w:bookmarkStart w:id="106" w:name="_Toc15396613"/>
      <w:bookmarkStart w:id="107" w:name="_Toc15377225"/>
      <w:bookmarkStart w:id="108" w:name="_Toc79163629"/>
      <w:r>
        <w:rPr>
          <w:rFonts w:hint="eastAsia" w:ascii="黑体" w:hAnsi="黑体" w:eastAsia="黑体"/>
          <w:color w:val="000000"/>
          <w:sz w:val="44"/>
          <w:szCs w:val="44"/>
        </w:rPr>
        <w:t>名</w:t>
      </w:r>
      <w:r>
        <w:rPr>
          <w:rStyle w:val="26"/>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6"/>
        <w:spacing w:line="560" w:lineRule="exact"/>
        <w:ind w:firstLine="640" w:firstLineChars="200"/>
        <w:rPr>
          <w:rFonts w:ascii="仿宋_GB2312" w:eastAsia="仿宋_GB2312"/>
          <w:sz w:val="32"/>
          <w:szCs w:val="32"/>
        </w:rPr>
      </w:pPr>
      <w:bookmarkStart w:id="109"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援建资金</w:t>
      </w:r>
      <w:r>
        <w:rPr>
          <w:rFonts w:hint="eastAsia" w:ascii="仿宋_GB2312" w:eastAsia="仿宋_GB2312"/>
          <w:sz w:val="32"/>
          <w:szCs w:val="32"/>
        </w:rPr>
        <w:t>。</w:t>
      </w:r>
    </w:p>
    <w:p>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36"/>
        <w:spacing w:line="560" w:lineRule="exac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w:t>
      </w: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lang w:val="en-US" w:eastAsia="zh-CN"/>
        </w:rPr>
        <w:t>养老支出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由单位缴纳的基本养老保险费支出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障和就业（类）</w:t>
      </w:r>
      <w:r>
        <w:rPr>
          <w:rFonts w:hint="eastAsia" w:ascii="仿宋_GB2312" w:hAnsi="Times New Roman" w:eastAsia="仿宋_GB2312" w:cs="Times New Roman"/>
          <w:color w:val="000000"/>
          <w:sz w:val="32"/>
          <w:szCs w:val="32"/>
          <w:lang w:val="en-US" w:eastAsia="zh-CN"/>
        </w:rPr>
        <w:t>行政事业单位养老支出</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机关事业单位职业年金缴费支出</w:t>
      </w:r>
      <w:r>
        <w:rPr>
          <w:rFonts w:hint="eastAsia" w:ascii="仿宋_GB2312" w:hAnsi="Times New Roman" w:eastAsia="仿宋_GB2312" w:cs="Times New Roman"/>
          <w:color w:val="000000"/>
          <w:sz w:val="32"/>
          <w:szCs w:val="32"/>
          <w:lang w:eastAsia="zh-CN"/>
        </w:rPr>
        <w:t>（项）：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pPr>
        <w:ind w:firstLine="640" w:firstLineChars="200"/>
        <w:rPr>
          <w:rFonts w:hint="eastAsia"/>
          <w:lang w:eastAsia="zh-CN"/>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障和就业（类）</w:t>
      </w:r>
      <w:r>
        <w:rPr>
          <w:rFonts w:hint="eastAsia" w:ascii="仿宋_GB2312" w:hAnsi="Times New Roman" w:eastAsia="仿宋_GB2312" w:cs="Times New Roman"/>
          <w:color w:val="000000"/>
          <w:sz w:val="32"/>
          <w:szCs w:val="32"/>
          <w:lang w:val="en-US" w:eastAsia="zh-CN"/>
        </w:rPr>
        <w:t>红十字事业</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行政运行</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行政单位（包括实行公务员管理的事业单位）的基本支出</w:t>
      </w:r>
      <w:r>
        <w:rPr>
          <w:rFonts w:hint="eastAsia" w:ascii="仿宋_GB2312" w:hAnsi="Times New Roman" w:eastAsia="仿宋_GB2312" w:cs="Times New Roman"/>
          <w:color w:val="000000"/>
          <w:sz w:val="32"/>
          <w:szCs w:val="32"/>
          <w:lang w:eastAsia="zh-CN"/>
        </w:rPr>
        <w:t>。</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10</w:t>
      </w:r>
      <w:r>
        <w:rPr>
          <w:rFonts w:hint="eastAsia" w:ascii="仿宋_GB2312" w:hAnsi="Times New Roman" w:eastAsia="仿宋_GB2312" w:cs="Times New Roman"/>
          <w:color w:val="000000"/>
          <w:sz w:val="32"/>
          <w:szCs w:val="32"/>
          <w:lang w:eastAsia="zh-CN"/>
        </w:rPr>
        <w:t>.卫生健康支出（类）行政事业单位医疗（款）行政单位医疗（项）：指财政部门集中安排的行政单位基本医疗保险缴费经费。</w:t>
      </w:r>
    </w:p>
    <w:p>
      <w:pPr>
        <w:ind w:firstLine="640" w:firstLineChars="200"/>
        <w:rPr>
          <w:rFonts w:hint="default"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1</w:t>
      </w:r>
      <w:r>
        <w:rPr>
          <w:rFonts w:hint="eastAsia" w:ascii="仿宋_GB2312" w:hAnsi="Times New Roman" w:eastAsia="仿宋_GB2312" w:cs="Times New Roman"/>
          <w:color w:val="000000"/>
          <w:sz w:val="32"/>
          <w:szCs w:val="32"/>
          <w:lang w:eastAsia="zh-CN"/>
        </w:rPr>
        <w:t>.住房</w:t>
      </w:r>
      <w:r>
        <w:rPr>
          <w:rFonts w:hint="eastAsia" w:ascii="仿宋_GB2312" w:hAnsi="Times New Roman" w:eastAsia="仿宋_GB2312" w:cs="Times New Roman"/>
          <w:color w:val="000000"/>
          <w:sz w:val="32"/>
          <w:szCs w:val="32"/>
          <w:lang w:val="en-US" w:eastAsia="zh-CN"/>
        </w:rPr>
        <w:t>保障支出（类）住房改革支出（款）住房公积金（项）：指行政事业单位</w:t>
      </w:r>
      <w:r>
        <w:rPr>
          <w:rFonts w:hint="eastAsia" w:ascii="仿宋_GB2312" w:hAnsi="Times New Roman" w:eastAsia="仿宋_GB2312" w:cs="Times New Roman"/>
          <w:color w:val="000000"/>
          <w:sz w:val="32"/>
          <w:szCs w:val="32"/>
          <w:lang w:eastAsia="zh-CN"/>
        </w:rPr>
        <w:t>安装工资比例为职工缴纳的住房公积金。</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2</w:t>
      </w:r>
      <w:r>
        <w:rPr>
          <w:rFonts w:hint="eastAsia" w:ascii="仿宋_GB2312" w:hAnsi="Times New Roman" w:eastAsia="仿宋_GB2312" w:cs="Times New Roman"/>
          <w:color w:val="000000"/>
          <w:sz w:val="32"/>
          <w:szCs w:val="32"/>
          <w:lang w:eastAsia="zh-CN"/>
        </w:rPr>
        <w:t>.基本支出：指为保障机构正常运转、完成日常工作任务而发生的人员支出和公用支出。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eastAsia="zh-CN"/>
        </w:rPr>
        <w:t>.项目支出：指在基本支出之外为完成特定行政任务和事业发展目标所发生的支出。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14</w:t>
      </w:r>
      <w:r>
        <w:rPr>
          <w:rFonts w:hint="eastAsia" w:ascii="仿宋_GB2312" w:hAnsi="Times New Roman" w:eastAsia="仿宋_GB2312" w:cs="Times New Roman"/>
          <w:color w:val="000000"/>
          <w:sz w:val="32"/>
          <w:szCs w:val="32"/>
          <w:lang w:eastAsia="zh-CN"/>
        </w:rPr>
        <w:t>.经营支出：指事业单位在专业业务活动及其辅助活动之外开展非独立核算经营活动发生的支出。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15</w:t>
      </w:r>
      <w:r>
        <w:rPr>
          <w:rFonts w:hint="eastAsia" w:ascii="仿宋_GB2312" w:hAnsi="Times New Roman"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cs="Times New Roman"/>
          <w:color w:val="000000"/>
          <w:sz w:val="32"/>
          <w:szCs w:val="32"/>
          <w:lang w:val="en-US" w:eastAsia="zh-CN"/>
        </w:rPr>
        <w:t>16</w:t>
      </w:r>
      <w:r>
        <w:rPr>
          <w:rFonts w:hint="eastAsia" w:ascii="仿宋_GB2312" w:hAnsi="Times New Roman" w:eastAsia="仿宋_GB2312" w:cs="Times New Roman"/>
          <w:color w:val="000000"/>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6"/>
          <w:rFonts w:ascii="黑体" w:hAnsi="黑体" w:eastAsia="黑体"/>
          <w:b w:val="0"/>
        </w:rPr>
      </w:pPr>
      <w:r>
        <w:rPr>
          <w:rFonts w:ascii="宋体"/>
          <w:b/>
          <w:color w:val="000000"/>
          <w:sz w:val="44"/>
          <w:szCs w:val="44"/>
        </w:rPr>
        <w:br w:type="page"/>
      </w:r>
      <w:bookmarkStart w:id="110" w:name="_Toc31265"/>
      <w:bookmarkStart w:id="111" w:name="_Toc15396614"/>
      <w:bookmarkStart w:id="112" w:name="_Toc79163630"/>
      <w:r>
        <w:rPr>
          <w:rFonts w:hint="eastAsia" w:ascii="黑体" w:hAnsi="黑体" w:eastAsia="黑体"/>
          <w:color w:val="000000"/>
          <w:sz w:val="44"/>
          <w:szCs w:val="44"/>
        </w:rPr>
        <w:t>第</w:t>
      </w:r>
      <w:r>
        <w:rPr>
          <w:rStyle w:val="26"/>
          <w:rFonts w:hint="eastAsia" w:ascii="黑体" w:hAnsi="黑体" w:eastAsia="黑体"/>
          <w:b w:val="0"/>
        </w:rPr>
        <w:t>四部分</w:t>
      </w:r>
      <w:r>
        <w:rPr>
          <w:rStyle w:val="26"/>
          <w:rFonts w:ascii="黑体" w:hAnsi="黑体" w:eastAsia="黑体"/>
          <w:b w:val="0"/>
        </w:rPr>
        <w:t xml:space="preserve"> </w:t>
      </w:r>
      <w:r>
        <w:rPr>
          <w:rStyle w:val="26"/>
          <w:rFonts w:hint="eastAsia" w:ascii="黑体" w:hAnsi="黑体" w:eastAsia="黑体"/>
          <w:b w:val="0"/>
        </w:rPr>
        <w:t>附件</w:t>
      </w:r>
      <w:bookmarkEnd w:id="110"/>
      <w:bookmarkEnd w:id="111"/>
      <w:bookmarkEnd w:id="112"/>
    </w:p>
    <w:p>
      <w:pPr>
        <w:pStyle w:val="2"/>
      </w:pPr>
    </w:p>
    <w:p>
      <w:pPr>
        <w:spacing w:line="360" w:lineRule="auto"/>
        <w:jc w:val="center"/>
        <w:outlineLvl w:val="0"/>
        <w:rPr>
          <w:rFonts w:asciiTheme="minorEastAsia" w:hAnsiTheme="minorEastAsia" w:cstheme="minorEastAsia"/>
          <w:b/>
          <w:bCs/>
          <w:kern w:val="0"/>
          <w:sz w:val="44"/>
          <w:szCs w:val="44"/>
        </w:rPr>
      </w:pPr>
      <w:r>
        <w:rPr>
          <w:rFonts w:hint="eastAsia" w:asciiTheme="minorEastAsia" w:hAnsiTheme="minorEastAsia" w:cstheme="minorEastAsia"/>
          <w:b/>
          <w:bCs/>
          <w:kern w:val="0"/>
          <w:sz w:val="44"/>
          <w:szCs w:val="44"/>
        </w:rPr>
        <w:t>20</w:t>
      </w:r>
      <w:r>
        <w:rPr>
          <w:rFonts w:hint="eastAsia" w:asciiTheme="minorEastAsia" w:hAnsiTheme="minorEastAsia" w:cstheme="minorEastAsia"/>
          <w:b/>
          <w:bCs/>
          <w:kern w:val="0"/>
          <w:sz w:val="44"/>
          <w:szCs w:val="44"/>
          <w:lang w:val="en-US" w:eastAsia="zh-CN"/>
        </w:rPr>
        <w:t>20</w:t>
      </w:r>
      <w:r>
        <w:rPr>
          <w:rFonts w:hint="eastAsia" w:asciiTheme="minorEastAsia" w:hAnsiTheme="minorEastAsia" w:cstheme="minorEastAsia"/>
          <w:b/>
          <w:bCs/>
          <w:kern w:val="0"/>
          <w:sz w:val="44"/>
          <w:szCs w:val="44"/>
        </w:rPr>
        <w:t>年度</w:t>
      </w:r>
      <w:bookmarkStart w:id="113" w:name="_Hlk60146400"/>
      <w:r>
        <w:rPr>
          <w:rFonts w:hint="eastAsia" w:asciiTheme="minorEastAsia" w:hAnsiTheme="minorEastAsia" w:cstheme="minorEastAsia"/>
          <w:b/>
          <w:bCs/>
          <w:kern w:val="0"/>
          <w:sz w:val="44"/>
          <w:szCs w:val="44"/>
        </w:rPr>
        <w:t>壤塘县</w:t>
      </w:r>
      <w:bookmarkEnd w:id="113"/>
      <w:r>
        <w:rPr>
          <w:rFonts w:hint="eastAsia" w:asciiTheme="minorEastAsia" w:hAnsiTheme="minorEastAsia" w:cstheme="minorEastAsia"/>
          <w:b/>
          <w:bCs/>
          <w:kern w:val="0"/>
          <w:sz w:val="44"/>
          <w:szCs w:val="44"/>
          <w:lang w:val="en-US" w:eastAsia="zh-CN"/>
        </w:rPr>
        <w:t>红十字会</w:t>
      </w:r>
      <w:r>
        <w:rPr>
          <w:rFonts w:hint="eastAsia" w:asciiTheme="minorEastAsia" w:hAnsiTheme="minorEastAsia" w:cstheme="minorEastAsia"/>
          <w:b/>
          <w:bCs/>
          <w:kern w:val="0"/>
          <w:sz w:val="44"/>
          <w:szCs w:val="44"/>
        </w:rPr>
        <w:t>部门整体支出绩效评价自评报告</w:t>
      </w:r>
    </w:p>
    <w:p>
      <w:pPr>
        <w:spacing w:line="360" w:lineRule="auto"/>
        <w:rPr>
          <w:rFonts w:asciiTheme="minorEastAsia" w:hAnsiTheme="minorEastAsia" w:cstheme="minorEastAsia"/>
          <w:kern w:val="0"/>
          <w:szCs w:val="21"/>
        </w:rPr>
      </w:pPr>
    </w:p>
    <w:p>
      <w:pPr>
        <w:snapToGrid/>
        <w:spacing w:before="0" w:beforeAutospacing="0" w:after="0" w:afterAutospacing="0" w:line="360" w:lineRule="auto"/>
        <w:ind w:firstLine="642" w:firstLineChars="200"/>
        <w:jc w:val="both"/>
        <w:textAlignment w:val="baseline"/>
        <w:rPr>
          <w:rFonts w:hint="eastAsia" w:ascii="仿宋_GB2312" w:hAnsi="仿宋_GB2312" w:eastAsia="仿宋_GB2312" w:cs="仿宋_GB2312"/>
          <w:b/>
          <w:bCs/>
          <w:i w:val="0"/>
          <w:caps w:val="0"/>
          <w:spacing w:val="0"/>
          <w:w w:val="100"/>
          <w:sz w:val="32"/>
          <w:szCs w:val="32"/>
        </w:rPr>
      </w:pPr>
      <w:r>
        <w:rPr>
          <w:rFonts w:hint="eastAsia" w:ascii="仿宋_GB2312" w:hAnsi="仿宋_GB2312" w:eastAsia="仿宋_GB2312" w:cs="仿宋_GB2312"/>
          <w:b/>
          <w:bCs/>
          <w:i w:val="0"/>
          <w:caps w:val="0"/>
          <w:spacing w:val="0"/>
          <w:w w:val="100"/>
          <w:kern w:val="0"/>
          <w:sz w:val="32"/>
          <w:szCs w:val="32"/>
          <w:lang w:eastAsia="zh-CN"/>
        </w:rPr>
        <w:t>一、</w:t>
      </w:r>
      <w:r>
        <w:rPr>
          <w:rFonts w:hint="eastAsia" w:ascii="仿宋_GB2312" w:hAnsi="仿宋_GB2312" w:eastAsia="仿宋_GB2312" w:cs="仿宋_GB2312"/>
          <w:b/>
          <w:bCs/>
          <w:i w:val="0"/>
          <w:caps w:val="0"/>
          <w:spacing w:val="0"/>
          <w:w w:val="100"/>
          <w:kern w:val="0"/>
          <w:sz w:val="32"/>
          <w:szCs w:val="32"/>
        </w:rPr>
        <w:t>部门（单位）概况</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default" w:ascii="仿宋_GB2312" w:hAnsi="仿宋_GB2312" w:eastAsia="仿宋_GB2312" w:cs="仿宋_GB2312"/>
          <w:b w:val="0"/>
          <w:bCs w:val="0"/>
          <w:i w:val="0"/>
          <w:caps w:val="0"/>
          <w:spacing w:val="0"/>
          <w:w w:val="100"/>
          <w:kern w:val="0"/>
          <w:sz w:val="32"/>
          <w:szCs w:val="32"/>
          <w:lang w:val="en-US" w:eastAsia="zh-CN"/>
        </w:rPr>
      </w:pPr>
      <w:r>
        <w:rPr>
          <w:rFonts w:hint="eastAsia" w:ascii="仿宋_GB2312" w:hAnsi="仿宋_GB2312" w:eastAsia="仿宋_GB2312" w:cs="仿宋_GB2312"/>
          <w:b w:val="0"/>
          <w:bCs w:val="0"/>
          <w:i w:val="0"/>
          <w:caps w:val="0"/>
          <w:spacing w:val="0"/>
          <w:w w:val="100"/>
          <w:kern w:val="0"/>
          <w:sz w:val="32"/>
          <w:szCs w:val="32"/>
          <w:lang w:val="en-US" w:eastAsia="zh-CN"/>
        </w:rPr>
        <w:t>壤塘县红十字会（简称县红十字会）是</w:t>
      </w:r>
      <w:r>
        <w:rPr>
          <w:rFonts w:hint="default" w:ascii="Times New Roman" w:hAnsi="Times New Roman" w:eastAsia="仿宋_GB2312" w:cs="Times New Roman"/>
          <w:b w:val="0"/>
          <w:i w:val="0"/>
          <w:caps w:val="0"/>
          <w:spacing w:val="0"/>
          <w:w w:val="100"/>
          <w:sz w:val="32"/>
          <w:szCs w:val="32"/>
          <w:lang w:val="en-US" w:eastAsia="zh-CN"/>
        </w:rPr>
        <w:t>县人民政府</w:t>
      </w:r>
      <w:r>
        <w:rPr>
          <w:rFonts w:hint="eastAsia" w:ascii="Times New Roman" w:hAnsi="Times New Roman" w:eastAsia="仿宋_GB2312" w:cs="Times New Roman"/>
          <w:b w:val="0"/>
          <w:i w:val="0"/>
          <w:caps w:val="0"/>
          <w:spacing w:val="0"/>
          <w:w w:val="100"/>
          <w:sz w:val="32"/>
          <w:szCs w:val="32"/>
          <w:lang w:val="en-US" w:eastAsia="zh-CN"/>
        </w:rPr>
        <w:t>工作部门，为正科级参公单位，由县政府领导直接联系的依法独立从事人道主义救助团体。</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baseline"/>
        <w:rPr>
          <w:rFonts w:hint="eastAsia" w:ascii="仿宋_GB2312" w:hAnsi="仿宋_GB2312" w:eastAsia="仿宋_GB2312" w:cs="仿宋_GB2312"/>
          <w:b/>
          <w:bCs/>
          <w:i w:val="0"/>
          <w:caps w:val="0"/>
          <w:spacing w:val="0"/>
          <w:w w:val="100"/>
          <w:kern w:val="0"/>
          <w:sz w:val="32"/>
          <w:szCs w:val="32"/>
        </w:rPr>
      </w:pPr>
      <w:r>
        <w:rPr>
          <w:rFonts w:hint="eastAsia" w:ascii="仿宋_GB2312" w:hAnsi="仿宋_GB2312" w:eastAsia="仿宋_GB2312" w:cs="仿宋_GB2312"/>
          <w:b/>
          <w:bCs/>
          <w:i w:val="0"/>
          <w:caps w:val="0"/>
          <w:spacing w:val="0"/>
          <w:w w:val="100"/>
          <w:kern w:val="0"/>
          <w:sz w:val="32"/>
          <w:szCs w:val="32"/>
        </w:rPr>
        <w:t>（一）机构组成</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lang w:eastAsia="zh-CN"/>
        </w:rPr>
        <w:t>壤塘县红十字会</w:t>
      </w:r>
      <w:r>
        <w:rPr>
          <w:rFonts w:hint="eastAsia" w:ascii="仿宋_GB2312" w:hAnsi="仿宋_GB2312" w:eastAsia="仿宋_GB2312" w:cs="仿宋_GB2312"/>
          <w:b w:val="0"/>
          <w:i w:val="0"/>
          <w:caps w:val="0"/>
          <w:spacing w:val="0"/>
          <w:w w:val="100"/>
          <w:sz w:val="32"/>
          <w:szCs w:val="32"/>
        </w:rPr>
        <w:t>局机关有1个综合办公室，财政全额拨款参公单位。</w:t>
      </w:r>
    </w:p>
    <w:p>
      <w:pPr>
        <w:keepNext w:val="0"/>
        <w:keepLines w:val="0"/>
        <w:pageBreakBefore w:val="0"/>
        <w:widowControl w:val="0"/>
        <w:numPr>
          <w:ilvl w:val="0"/>
          <w:numId w:val="6"/>
        </w:numPr>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baseline"/>
        <w:rPr>
          <w:rFonts w:hint="eastAsia" w:ascii="仿宋_GB2312" w:hAnsi="仿宋_GB2312" w:eastAsia="仿宋_GB2312" w:cs="仿宋_GB2312"/>
          <w:b/>
          <w:bCs/>
          <w:i w:val="0"/>
          <w:caps w:val="0"/>
          <w:spacing w:val="0"/>
          <w:w w:val="100"/>
          <w:sz w:val="32"/>
          <w:szCs w:val="32"/>
        </w:rPr>
      </w:pPr>
      <w:r>
        <w:rPr>
          <w:rFonts w:hint="eastAsia" w:ascii="仿宋_GB2312" w:hAnsi="仿宋_GB2312" w:eastAsia="仿宋_GB2312" w:cs="仿宋_GB2312"/>
          <w:b/>
          <w:bCs/>
          <w:i w:val="0"/>
          <w:caps w:val="0"/>
          <w:spacing w:val="0"/>
          <w:w w:val="100"/>
          <w:kern w:val="0"/>
          <w:sz w:val="32"/>
          <w:szCs w:val="32"/>
        </w:rPr>
        <w:t>机构职能</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i w:val="0"/>
          <w:caps w:val="0"/>
          <w:spacing w:val="0"/>
          <w:w w:val="100"/>
          <w:kern w:val="2"/>
          <w:sz w:val="32"/>
          <w:szCs w:val="32"/>
          <w:lang w:val="en-US" w:eastAsia="zh-CN" w:bidi="ar-SA"/>
        </w:rPr>
      </w:pPr>
      <w:r>
        <w:rPr>
          <w:rFonts w:hint="eastAsia" w:ascii="仿宋_GB2312" w:hAnsi="仿宋_GB2312" w:eastAsia="仿宋_GB2312" w:cs="仿宋_GB2312"/>
          <w:b w:val="0"/>
          <w:i w:val="0"/>
          <w:caps w:val="0"/>
          <w:spacing w:val="0"/>
          <w:w w:val="100"/>
          <w:sz w:val="32"/>
          <w:szCs w:val="32"/>
          <w:lang w:eastAsia="zh-CN"/>
        </w:rPr>
        <w:t>我会</w:t>
      </w:r>
      <w:r>
        <w:rPr>
          <w:rFonts w:hint="eastAsia" w:ascii="仿宋_GB2312" w:hAnsi="仿宋_GB2312" w:eastAsia="仿宋_GB2312" w:cs="仿宋_GB2312"/>
          <w:b w:val="0"/>
          <w:i w:val="0"/>
          <w:caps w:val="0"/>
          <w:spacing w:val="0"/>
          <w:w w:val="100"/>
          <w:sz w:val="32"/>
          <w:szCs w:val="32"/>
        </w:rPr>
        <w:t>在县委、县政府的领导</w:t>
      </w:r>
      <w:r>
        <w:rPr>
          <w:rFonts w:hint="eastAsia" w:ascii="仿宋_GB2312" w:hAnsi="仿宋_GB2312" w:eastAsia="仿宋_GB2312" w:cs="仿宋_GB2312"/>
          <w:b w:val="0"/>
          <w:i w:val="0"/>
          <w:caps w:val="0"/>
          <w:spacing w:val="0"/>
          <w:w w:val="100"/>
          <w:sz w:val="32"/>
          <w:szCs w:val="32"/>
          <w:lang w:eastAsia="zh-CN"/>
        </w:rPr>
        <w:t>和州</w:t>
      </w:r>
      <w:r>
        <w:rPr>
          <w:rFonts w:hint="eastAsia" w:ascii="仿宋_GB2312" w:hAnsi="仿宋_GB2312" w:eastAsia="仿宋_GB2312" w:cs="仿宋_GB2312"/>
          <w:b w:val="0"/>
          <w:i w:val="0"/>
          <w:caps w:val="0"/>
          <w:spacing w:val="0"/>
          <w:w w:val="100"/>
          <w:sz w:val="32"/>
          <w:szCs w:val="32"/>
        </w:rPr>
        <w:t>红十字会的</w:t>
      </w:r>
      <w:r>
        <w:rPr>
          <w:rFonts w:hint="eastAsia" w:ascii="仿宋_GB2312" w:hAnsi="仿宋_GB2312" w:eastAsia="仿宋_GB2312" w:cs="仿宋_GB2312"/>
          <w:b w:val="0"/>
          <w:i w:val="0"/>
          <w:caps w:val="0"/>
          <w:spacing w:val="0"/>
          <w:w w:val="100"/>
          <w:sz w:val="32"/>
          <w:szCs w:val="32"/>
          <w:lang w:eastAsia="zh-CN"/>
        </w:rPr>
        <w:t>具体指导</w:t>
      </w:r>
      <w:r>
        <w:rPr>
          <w:rFonts w:hint="eastAsia" w:ascii="仿宋_GB2312" w:hAnsi="仿宋_GB2312" w:eastAsia="仿宋_GB2312" w:cs="仿宋_GB2312"/>
          <w:b w:val="0"/>
          <w:i w:val="0"/>
          <w:caps w:val="0"/>
          <w:spacing w:val="0"/>
          <w:w w:val="100"/>
          <w:sz w:val="32"/>
          <w:szCs w:val="32"/>
        </w:rPr>
        <w:t>下，坚持以邓小平理论、</w:t>
      </w:r>
      <w:r>
        <w:rPr>
          <w:rFonts w:hint="eastAsia" w:ascii="仿宋_GB2312" w:hAnsi="仿宋_GB2312" w:eastAsia="仿宋_GB2312" w:cs="仿宋_GB2312"/>
          <w:b w:val="0"/>
          <w:i w:val="0"/>
          <w:caps w:val="0"/>
          <w:spacing w:val="0"/>
          <w:w w:val="100"/>
          <w:sz w:val="32"/>
          <w:szCs w:val="32"/>
          <w:lang w:eastAsia="zh-CN"/>
        </w:rPr>
        <w:t>“</w:t>
      </w:r>
      <w:r>
        <w:rPr>
          <w:rFonts w:hint="eastAsia" w:ascii="仿宋_GB2312" w:hAnsi="仿宋_GB2312" w:eastAsia="仿宋_GB2312" w:cs="仿宋_GB2312"/>
          <w:b w:val="0"/>
          <w:i w:val="0"/>
          <w:caps w:val="0"/>
          <w:spacing w:val="0"/>
          <w:w w:val="100"/>
          <w:sz w:val="32"/>
          <w:szCs w:val="32"/>
          <w:highlight w:val="cyan"/>
        </w:rPr>
        <w:t>三个代表</w:t>
      </w:r>
      <w:r>
        <w:rPr>
          <w:rFonts w:hint="eastAsia" w:ascii="仿宋_GB2312" w:hAnsi="仿宋_GB2312" w:eastAsia="仿宋_GB2312" w:cs="仿宋_GB2312"/>
          <w:b w:val="0"/>
          <w:i w:val="0"/>
          <w:caps w:val="0"/>
          <w:spacing w:val="0"/>
          <w:w w:val="100"/>
          <w:sz w:val="32"/>
          <w:szCs w:val="32"/>
          <w:highlight w:val="cyan"/>
          <w:lang w:eastAsia="zh-CN"/>
        </w:rPr>
        <w:t>”</w:t>
      </w:r>
      <w:r>
        <w:rPr>
          <w:rFonts w:hint="eastAsia" w:ascii="仿宋_GB2312" w:hAnsi="仿宋_GB2312" w:eastAsia="仿宋_GB2312" w:cs="仿宋_GB2312"/>
          <w:b w:val="0"/>
          <w:i w:val="0"/>
          <w:caps w:val="0"/>
          <w:spacing w:val="0"/>
          <w:w w:val="100"/>
          <w:sz w:val="32"/>
          <w:szCs w:val="32"/>
        </w:rPr>
        <w:t>重要思想以及科学发展观为指导，</w:t>
      </w:r>
      <w:r>
        <w:rPr>
          <w:rFonts w:hint="eastAsia" w:ascii="仿宋_GB2312" w:hAnsi="仿宋_GB2312" w:eastAsia="仿宋_GB2312" w:cs="仿宋_GB2312"/>
          <w:b w:val="0"/>
          <w:i w:val="0"/>
          <w:caps w:val="0"/>
          <w:spacing w:val="0"/>
          <w:w w:val="100"/>
          <w:sz w:val="32"/>
          <w:szCs w:val="32"/>
          <w:lang w:val="en-US" w:eastAsia="zh-CN"/>
        </w:rPr>
        <w:t>扎实开展“三大”活动，</w:t>
      </w:r>
      <w:r>
        <w:rPr>
          <w:rFonts w:hint="eastAsia" w:ascii="仿宋_GB2312" w:hAnsi="仿宋_GB2312" w:eastAsia="仿宋_GB2312" w:cs="仿宋_GB2312"/>
          <w:b w:val="0"/>
          <w:i w:val="0"/>
          <w:caps w:val="0"/>
          <w:spacing w:val="0"/>
          <w:w w:val="100"/>
          <w:sz w:val="32"/>
          <w:szCs w:val="32"/>
        </w:rPr>
        <w:t>紧紧围绕县委、县政府“一城两县三地”建设、“四更壤塘”、“五个壤塘”目标</w:t>
      </w:r>
      <w:r>
        <w:rPr>
          <w:rFonts w:hint="eastAsia" w:ascii="仿宋_GB2312" w:hAnsi="仿宋_GB2312" w:eastAsia="仿宋_GB2312" w:cs="仿宋_GB2312"/>
          <w:b w:val="0"/>
          <w:i w:val="0"/>
          <w:caps w:val="0"/>
          <w:spacing w:val="0"/>
          <w:w w:val="100"/>
          <w:sz w:val="32"/>
          <w:szCs w:val="32"/>
          <w:lang w:eastAsia="zh-CN"/>
        </w:rPr>
        <w:t>，</w:t>
      </w:r>
      <w:r>
        <w:rPr>
          <w:rFonts w:hint="eastAsia" w:ascii="仿宋_GB2312" w:hAnsi="仿宋_GB2312" w:eastAsia="仿宋_GB2312" w:cs="仿宋_GB2312"/>
          <w:b w:val="0"/>
          <w:i w:val="0"/>
          <w:caps w:val="0"/>
          <w:spacing w:val="0"/>
          <w:w w:val="100"/>
          <w:sz w:val="32"/>
          <w:szCs w:val="32"/>
        </w:rPr>
        <w:t>秉承“人道、博爱、奉献”的红十字精神，精心谋划，狠抓落实</w:t>
      </w:r>
      <w:r>
        <w:rPr>
          <w:rFonts w:hint="eastAsia" w:ascii="仿宋_GB2312" w:hAnsi="仿宋_GB2312" w:eastAsia="仿宋_GB2312" w:cs="仿宋_GB2312"/>
          <w:b w:val="0"/>
          <w:i w:val="0"/>
          <w:caps w:val="0"/>
          <w:spacing w:val="0"/>
          <w:w w:val="100"/>
          <w:sz w:val="32"/>
          <w:szCs w:val="32"/>
          <w:lang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baseline"/>
        <w:rPr>
          <w:rFonts w:hint="eastAsia" w:ascii="仿宋_GB2312" w:hAnsi="仿宋_GB2312" w:eastAsia="仿宋_GB2312" w:cs="仿宋_GB2312"/>
          <w:b/>
          <w:bCs/>
          <w:i w:val="0"/>
          <w:caps w:val="0"/>
          <w:spacing w:val="0"/>
          <w:w w:val="100"/>
          <w:kern w:val="0"/>
          <w:sz w:val="32"/>
          <w:szCs w:val="32"/>
        </w:rPr>
      </w:pPr>
      <w:r>
        <w:rPr>
          <w:rFonts w:hint="eastAsia" w:ascii="仿宋_GB2312" w:hAnsi="仿宋_GB2312" w:eastAsia="仿宋_GB2312" w:cs="仿宋_GB2312"/>
          <w:b/>
          <w:bCs/>
          <w:i w:val="0"/>
          <w:caps w:val="0"/>
          <w:spacing w:val="0"/>
          <w:w w:val="100"/>
          <w:kern w:val="0"/>
          <w:sz w:val="32"/>
          <w:szCs w:val="32"/>
        </w:rPr>
        <w:t>人员概况</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default" w:ascii="仿宋_GB2312" w:hAnsi="仿宋_GB2312" w:eastAsia="仿宋_GB2312" w:cs="仿宋_GB2312"/>
          <w:b w:val="0"/>
          <w:i w:val="0"/>
          <w:caps w:val="0"/>
          <w:spacing w:val="0"/>
          <w:w w:val="100"/>
          <w:kern w:val="2"/>
          <w:sz w:val="32"/>
          <w:szCs w:val="32"/>
          <w:lang w:val="en-US" w:eastAsia="zh-CN" w:bidi="ar-SA"/>
        </w:rPr>
      </w:pPr>
      <w:r>
        <w:rPr>
          <w:rFonts w:hint="default" w:ascii="仿宋_GB2312" w:hAnsi="仿宋_GB2312" w:eastAsia="仿宋_GB2312" w:cs="仿宋_GB2312"/>
          <w:b w:val="0"/>
          <w:i w:val="0"/>
          <w:caps w:val="0"/>
          <w:spacing w:val="0"/>
          <w:w w:val="100"/>
          <w:kern w:val="2"/>
          <w:sz w:val="32"/>
          <w:szCs w:val="32"/>
          <w:lang w:val="en-US" w:eastAsia="zh-CN" w:bidi="ar-SA"/>
        </w:rPr>
        <w:t>核定了公务员编制4名</w:t>
      </w:r>
      <w:r>
        <w:rPr>
          <w:rFonts w:hint="eastAsia" w:ascii="仿宋_GB2312" w:hAnsi="仿宋_GB2312" w:eastAsia="仿宋_GB2312" w:cs="仿宋_GB2312"/>
          <w:b w:val="0"/>
          <w:i w:val="0"/>
          <w:caps w:val="0"/>
          <w:spacing w:val="0"/>
          <w:w w:val="100"/>
          <w:kern w:val="2"/>
          <w:sz w:val="32"/>
          <w:szCs w:val="32"/>
          <w:lang w:val="en-US" w:eastAsia="zh-CN" w:bidi="ar-SA"/>
        </w:rPr>
        <w:t>，其中：正科级领导1名</w:t>
      </w:r>
      <w:r>
        <w:rPr>
          <w:rFonts w:hint="default" w:ascii="仿宋_GB2312" w:hAnsi="仿宋_GB2312" w:eastAsia="仿宋_GB2312" w:cs="仿宋_GB2312"/>
          <w:b w:val="0"/>
          <w:i w:val="0"/>
          <w:caps w:val="0"/>
          <w:spacing w:val="0"/>
          <w:w w:val="100"/>
          <w:kern w:val="2"/>
          <w:sz w:val="32"/>
          <w:szCs w:val="32"/>
          <w:lang w:val="en-US" w:eastAsia="zh-CN" w:bidi="ar-SA"/>
        </w:rPr>
        <w:t>，工作人员3名。</w:t>
      </w:r>
      <w:r>
        <w:rPr>
          <w:rFonts w:hint="eastAsia" w:ascii="仿宋_GB2312" w:hAnsi="仿宋_GB2312" w:eastAsia="仿宋_GB2312" w:cs="仿宋_GB2312"/>
          <w:b w:val="0"/>
          <w:i w:val="0"/>
          <w:caps w:val="0"/>
          <w:spacing w:val="0"/>
          <w:w w:val="100"/>
          <w:kern w:val="2"/>
          <w:sz w:val="32"/>
          <w:szCs w:val="32"/>
          <w:lang w:val="en-US" w:eastAsia="zh-CN" w:bidi="ar-SA"/>
        </w:rPr>
        <w:t>截止2020年年末单位实有人数4人。</w:t>
      </w:r>
    </w:p>
    <w:p>
      <w:pPr>
        <w:spacing w:line="360" w:lineRule="auto"/>
        <w:outlineLvl w:val="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textAlignment w:val="auto"/>
        <w:outlineLvl w:val="1"/>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（一）财政资金收入情况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b w:val="0"/>
          <w:i w:val="0"/>
          <w:caps w:val="0"/>
          <w:spacing w:val="0"/>
          <w:w w:val="100"/>
          <w:kern w:val="2"/>
          <w:sz w:val="32"/>
          <w:szCs w:val="32"/>
          <w:lang w:val="en-US" w:eastAsia="zh-CN" w:bidi="ar-SA"/>
        </w:rPr>
      </w:pPr>
      <w:r>
        <w:rPr>
          <w:rFonts w:hint="eastAsia" w:ascii="仿宋_GB2312" w:hAnsi="仿宋_GB2312" w:eastAsia="仿宋_GB2312" w:cs="仿宋_GB2312"/>
          <w:b w:val="0"/>
          <w:i w:val="0"/>
          <w:caps w:val="0"/>
          <w:spacing w:val="0"/>
          <w:w w:val="100"/>
          <w:kern w:val="2"/>
          <w:sz w:val="32"/>
          <w:szCs w:val="32"/>
          <w:lang w:val="en-US" w:eastAsia="zh-CN" w:bidi="ar-SA"/>
        </w:rPr>
        <w:t>2020年财政下达壤塘县红十字会年初预算收入65.95万元，全年预算收入为66.52万元，全年预算</w:t>
      </w:r>
      <w:r>
        <w:rPr>
          <w:rFonts w:hint="eastAsia" w:ascii="仿宋_GB2312" w:hAnsi="仿宋_GB2312" w:eastAsia="仿宋_GB2312" w:cs="仿宋_GB2312"/>
          <w:b w:val="0"/>
          <w:i w:val="0"/>
          <w:caps w:val="0"/>
          <w:spacing w:val="0"/>
          <w:w w:val="100"/>
          <w:kern w:val="2"/>
          <w:sz w:val="32"/>
          <w:szCs w:val="32"/>
          <w:highlight w:val="cyan"/>
          <w:lang w:val="en-US" w:eastAsia="zh-CN" w:bidi="ar-SA"/>
        </w:rPr>
        <w:t>调增</w:t>
      </w:r>
      <w:r>
        <w:rPr>
          <w:rFonts w:hint="eastAsia" w:ascii="仿宋_GB2312" w:hAnsi="仿宋_GB2312" w:eastAsia="仿宋_GB2312" w:cs="仿宋_GB2312"/>
          <w:b w:val="0"/>
          <w:i w:val="0"/>
          <w:caps w:val="0"/>
          <w:spacing w:val="0"/>
          <w:w w:val="100"/>
          <w:kern w:val="2"/>
          <w:sz w:val="32"/>
          <w:szCs w:val="32"/>
          <w:lang w:val="en-US" w:eastAsia="zh-CN" w:bidi="ar-SA"/>
        </w:rPr>
        <w:t>0.57万元。</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textAlignment w:val="auto"/>
        <w:outlineLvl w:val="1"/>
        <w:rPr>
          <w:rFonts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（二）财政资金支出情况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b w:val="0"/>
          <w:i w:val="0"/>
          <w:caps w:val="0"/>
          <w:spacing w:val="0"/>
          <w:w w:val="100"/>
          <w:kern w:val="2"/>
          <w:sz w:val="32"/>
          <w:szCs w:val="32"/>
          <w:lang w:val="en-US" w:eastAsia="zh-CN" w:bidi="ar-SA"/>
        </w:rPr>
      </w:pPr>
      <w:r>
        <w:rPr>
          <w:rFonts w:hint="eastAsia" w:ascii="仿宋_GB2312" w:hAnsi="仿宋_GB2312" w:eastAsia="仿宋_GB2312" w:cs="仿宋_GB2312"/>
          <w:b w:val="0"/>
          <w:i w:val="0"/>
          <w:caps w:val="0"/>
          <w:spacing w:val="0"/>
          <w:w w:val="100"/>
          <w:kern w:val="2"/>
          <w:sz w:val="32"/>
          <w:szCs w:val="32"/>
          <w:lang w:val="en-US" w:eastAsia="zh-CN" w:bidi="ar-SA"/>
        </w:rPr>
        <w:t>2020年壤塘县红十字会年初预算支出65.95万元，年末预算总支出为66.52万元，其中基本支出为66.52万元。</w:t>
      </w:r>
    </w:p>
    <w:p>
      <w:pPr>
        <w:pStyle w:val="2"/>
        <w:rPr>
          <w:rFonts w:hint="eastAsia"/>
          <w:lang w:val="zh-CN" w:eastAsia="zh-CN"/>
        </w:rPr>
      </w:pPr>
    </w:p>
    <w:p>
      <w:pPr>
        <w:spacing w:line="360" w:lineRule="auto"/>
        <w:outlineLvl w:val="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pPr>
        <w:spacing w:line="360" w:lineRule="auto"/>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（一）目标制定</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单位2020部门整体绩效目标及年度任务：</w:t>
      </w:r>
    </w:p>
    <w:p>
      <w:pPr>
        <w:pStyle w:val="2"/>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加强红十字组织建设，充分发挥党和政府人道领域的桥梁和纽带作用，积极围绕脱贫攻坚开展“救灾、救助、救护”工作。</w:t>
      </w:r>
    </w:p>
    <w:p>
      <w:pPr>
        <w:pStyle w:val="2"/>
        <w:spacing w:line="360" w:lineRule="auto"/>
        <w:rPr>
          <w:rFonts w:hint="eastAsia" w:ascii="仿宋_GB2312" w:hAnsi="仿宋_GB2312" w:eastAsia="仿宋_GB2312" w:cs="仿宋_GB2312"/>
          <w:kern w:val="0"/>
          <w:sz w:val="32"/>
          <w:szCs w:val="32"/>
        </w:rPr>
      </w:pPr>
      <w:r>
        <w:rPr>
          <w:rFonts w:hint="eastAsia" w:ascii="仿宋_GB2312" w:eastAsia="仿宋_GB2312"/>
          <w:sz w:val="32"/>
          <w:lang w:eastAsia="zh-CN"/>
        </w:rPr>
        <w:t>（</w:t>
      </w:r>
      <w:r>
        <w:rPr>
          <w:rFonts w:hint="eastAsia" w:ascii="仿宋_GB2312" w:eastAsia="仿宋_GB2312"/>
          <w:sz w:val="32"/>
          <w:lang w:val="en-US" w:eastAsia="zh-CN"/>
        </w:rPr>
        <w:t>二</w:t>
      </w:r>
      <w:r>
        <w:rPr>
          <w:rFonts w:hint="eastAsia" w:ascii="仿宋_GB2312" w:eastAsia="仿宋_GB2312"/>
          <w:sz w:val="32"/>
          <w:lang w:eastAsia="zh-CN"/>
        </w:rPr>
        <w:t>）</w:t>
      </w:r>
      <w:r>
        <w:rPr>
          <w:rFonts w:hint="eastAsia" w:ascii="仿宋_GB2312" w:hAnsi="仿宋_GB2312" w:eastAsia="仿宋_GB2312" w:cs="仿宋_GB2312"/>
          <w:kern w:val="0"/>
          <w:sz w:val="32"/>
          <w:szCs w:val="32"/>
          <w:lang w:val="en-US" w:eastAsia="zh-CN"/>
        </w:rPr>
        <w:t>单位</w:t>
      </w:r>
      <w:r>
        <w:rPr>
          <w:rFonts w:hint="eastAsia" w:ascii="仿宋_GB2312" w:hAnsi="仿宋_GB2312" w:eastAsia="仿宋_GB2312" w:cs="仿宋_GB2312"/>
          <w:kern w:val="0"/>
          <w:sz w:val="32"/>
          <w:szCs w:val="32"/>
        </w:rPr>
        <w:t xml:space="preserve">主要任务: </w:t>
      </w:r>
    </w:p>
    <w:p>
      <w:pPr>
        <w:pStyle w:val="2"/>
        <w:keepNext w:val="0"/>
        <w:keepLines w:val="0"/>
        <w:pageBreakBefore w:val="0"/>
        <w:widowControl w:val="0"/>
        <w:numPr>
          <w:ilvl w:val="0"/>
          <w:numId w:val="7"/>
        </w:numPr>
        <w:kinsoku/>
        <w:wordWrap/>
        <w:overflowPunct/>
        <w:topLinePunct w:val="0"/>
        <w:autoSpaceDE/>
        <w:autoSpaceDN/>
        <w:bidi w:val="0"/>
        <w:spacing w:line="560" w:lineRule="exact"/>
        <w:ind w:firstLine="640"/>
        <w:textAlignment w:val="auto"/>
        <w:rPr>
          <w:rFonts w:hint="eastAsia" w:ascii="仿宋_GB2312" w:eastAsia="仿宋_GB2312" w:cs="Times New Roman"/>
          <w:sz w:val="32"/>
          <w:lang w:val="en-US" w:eastAsia="zh-CN"/>
        </w:rPr>
      </w:pPr>
      <w:r>
        <w:rPr>
          <w:rFonts w:hint="eastAsia" w:ascii="仿宋_GB2312" w:hAnsi="仿宋_GB2312" w:eastAsia="仿宋_GB2312" w:cs="仿宋_GB2312"/>
          <w:b w:val="0"/>
          <w:bCs w:val="0"/>
          <w:sz w:val="32"/>
          <w:szCs w:val="32"/>
          <w:lang w:val="en-US" w:eastAsia="zh-CN"/>
        </w:rPr>
        <w:t>组织各乡镇基层红十字会志愿者开展疫情防控宣传。</w:t>
      </w:r>
    </w:p>
    <w:p>
      <w:pPr>
        <w:pStyle w:val="2"/>
        <w:keepNext w:val="0"/>
        <w:keepLines w:val="0"/>
        <w:pageBreakBefore w:val="0"/>
        <w:widowControl w:val="0"/>
        <w:numPr>
          <w:ilvl w:val="0"/>
          <w:numId w:val="7"/>
        </w:numPr>
        <w:kinsoku/>
        <w:wordWrap/>
        <w:overflowPunct/>
        <w:topLinePunct w:val="0"/>
        <w:autoSpaceDE/>
        <w:autoSpaceDN/>
        <w:bidi w:val="0"/>
        <w:spacing w:line="560" w:lineRule="exact"/>
        <w:ind w:firstLine="640"/>
        <w:textAlignment w:val="auto"/>
        <w:rPr>
          <w:rFonts w:hint="eastAsia" w:ascii="仿宋_GB2312" w:eastAsia="仿宋_GB2312" w:cs="Times New Roman"/>
          <w:sz w:val="32"/>
          <w:lang w:val="en-US" w:eastAsia="zh-CN"/>
        </w:rPr>
      </w:pPr>
      <w:r>
        <w:rPr>
          <w:rStyle w:val="41"/>
          <w:rFonts w:hint="eastAsia" w:ascii="仿宋_GB2312" w:hAnsi="仿宋_GB2312" w:eastAsia="仿宋_GB2312" w:cs="仿宋_GB2312"/>
          <w:b w:val="0"/>
          <w:bCs w:val="0"/>
          <w:i w:val="0"/>
          <w:caps w:val="0"/>
          <w:color w:val="auto"/>
          <w:kern w:val="0"/>
          <w:sz w:val="32"/>
          <w:szCs w:val="32"/>
          <w:lang w:val="en-US" w:eastAsia="zh-CN"/>
        </w:rPr>
        <w:t>“两联一进”、脱贫攻坚、“博爱家园”项目。</w:t>
      </w:r>
    </w:p>
    <w:p>
      <w:pPr>
        <w:pStyle w:val="2"/>
        <w:keepNext w:val="0"/>
        <w:keepLines w:val="0"/>
        <w:pageBreakBefore w:val="0"/>
        <w:widowControl w:val="0"/>
        <w:numPr>
          <w:ilvl w:val="0"/>
          <w:numId w:val="7"/>
        </w:numPr>
        <w:kinsoku/>
        <w:wordWrap/>
        <w:overflowPunct/>
        <w:topLinePunct w:val="0"/>
        <w:autoSpaceDE/>
        <w:autoSpaceDN/>
        <w:bidi w:val="0"/>
        <w:spacing w:line="560" w:lineRule="exact"/>
        <w:ind w:firstLine="640"/>
        <w:textAlignment w:val="auto"/>
        <w:rPr>
          <w:rFonts w:hint="eastAsia" w:ascii="仿宋_GB2312" w:eastAsia="仿宋_GB2312" w:cs="Times New Roman"/>
          <w:sz w:val="32"/>
          <w:lang w:val="en-US" w:eastAsia="zh-CN"/>
        </w:rPr>
      </w:pPr>
      <w:r>
        <w:rPr>
          <w:rFonts w:hint="eastAsia" w:ascii="仿宋_GB2312" w:hAnsi="仿宋_GB2312" w:eastAsia="仿宋_GB2312" w:cs="仿宋_GB2312"/>
          <w:sz w:val="32"/>
          <w:szCs w:val="32"/>
          <w:lang w:val="en-US" w:eastAsia="zh-CN"/>
        </w:rPr>
        <w:t>在机关单位、学校和社区居民中传播慈善文化，推进我县爱心公益事业的社会化发展。</w:t>
      </w:r>
    </w:p>
    <w:p>
      <w:pPr>
        <w:pStyle w:val="2"/>
        <w:keepNext w:val="0"/>
        <w:keepLines w:val="0"/>
        <w:pageBreakBefore w:val="0"/>
        <w:widowControl w:val="0"/>
        <w:numPr>
          <w:ilvl w:val="0"/>
          <w:numId w:val="7"/>
        </w:numPr>
        <w:kinsoku/>
        <w:wordWrap/>
        <w:overflowPunct/>
        <w:topLinePunct w:val="0"/>
        <w:autoSpaceDE/>
        <w:autoSpaceDN/>
        <w:bidi w:val="0"/>
        <w:spacing w:line="560" w:lineRule="exact"/>
        <w:ind w:firstLine="640"/>
        <w:textAlignment w:val="auto"/>
        <w:rPr>
          <w:rFonts w:hint="eastAsia" w:ascii="仿宋_GB2312" w:eastAsia="仿宋_GB2312" w:cs="Times New Roman"/>
          <w:sz w:val="32"/>
          <w:lang w:val="en-US" w:eastAsia="zh-CN"/>
        </w:rPr>
      </w:pPr>
      <w:r>
        <w:rPr>
          <w:rFonts w:hint="eastAsia" w:ascii="仿宋_GB2312" w:hAnsi="仿宋_GB2312" w:eastAsia="仿宋_GB2312" w:cs="仿宋_GB2312"/>
          <w:b w:val="0"/>
          <w:bCs w:val="0"/>
          <w:sz w:val="32"/>
          <w:szCs w:val="32"/>
          <w:lang w:val="en-US" w:eastAsia="zh-CN"/>
        </w:rPr>
        <w:t>开展全县各乡镇基层民兵“2020年救护员培训”。</w:t>
      </w:r>
    </w:p>
    <w:p>
      <w:pPr>
        <w:pStyle w:val="2"/>
        <w:keepNext w:val="0"/>
        <w:keepLines w:val="0"/>
        <w:pageBreakBefore w:val="0"/>
        <w:widowControl w:val="0"/>
        <w:kinsoku/>
        <w:wordWrap/>
        <w:overflowPunct/>
        <w:topLinePunct w:val="0"/>
        <w:autoSpaceDE/>
        <w:autoSpaceDN/>
        <w:bidi w:val="0"/>
        <w:spacing w:line="560" w:lineRule="exact"/>
        <w:ind w:firstLine="640"/>
        <w:textAlignment w:val="auto"/>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三</w:t>
      </w:r>
      <w:r>
        <w:rPr>
          <w:rFonts w:hint="eastAsia" w:ascii="仿宋_GB2312" w:hAnsi="仿宋_GB2312" w:eastAsia="仿宋_GB2312" w:cs="仿宋_GB2312"/>
          <w:color w:val="000000"/>
          <w:sz w:val="32"/>
          <w:szCs w:val="32"/>
        </w:rPr>
        <w:t>）目标完成情况</w:t>
      </w: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县红十字会积极行动，牢记人道主义工作原则，奋战防控疫情一线。县委、政府统一安排部署下，壤塘县红十字会工作人员一行深入黑桥、蒲西、岗木达、上杜柯、宗科、茸木达等重要防疫检查站的一线工作人员开展慰问活动，送去</w:t>
      </w:r>
      <w:r>
        <w:rPr>
          <w:rFonts w:hint="eastAsia" w:ascii="仿宋_GB2312" w:hAnsi="仿宋_GB2312" w:eastAsia="仿宋_GB2312" w:cs="仿宋_GB2312"/>
          <w:sz w:val="32"/>
          <w:szCs w:val="32"/>
          <w:lang w:eastAsia="zh-CN"/>
        </w:rPr>
        <w:t>棉被、保暖大衣等防寒物资。</w:t>
      </w: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织各乡镇基层红十字会志愿者开展疫情防控宣传。同时，做好全县疫情捐赠物资公示公开，及时汇缴和分配好捐赠资金和物资。结合“三月群众工作月”深入帮扶联系村——南木达镇南塘村，认真做好基础一线疫情防控宣传及特殊困难群众的相关慰问工作。</w:t>
      </w: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lang w:eastAsia="zh-CN"/>
        </w:rPr>
      </w:pPr>
      <w:r>
        <w:rPr>
          <w:rFonts w:hint="eastAsia" w:ascii="仿宋_GB2312" w:hAnsi="仿宋_GB2312" w:eastAsia="仿宋_GB2312" w:cs="仿宋_GB2312"/>
          <w:sz w:val="32"/>
          <w:szCs w:val="32"/>
          <w:lang w:val="en-US" w:eastAsia="zh-CN"/>
        </w:rPr>
        <w:t>为纪念“五.八世界红十字日”，大力弘扬“人道、博爱、奉献”精神，推进我县爱心公益事业的社会化发展，在机关单位、学校和社区居民中传播慈善文化，让职工、学生和居民关注困难群众，积极加入爱心行列，帮助更多需要帮助的人，践行“我爱壤塘我的家”社会责任，由壤塘县红十字会发起全县为石里乡白血病患儿-门措捐款的倡议，全县干部职工都积极加入到爱心行列中来，县红十字会也将秉承“人道、博爱、奉献”的红十字精神,全力做好募捐工作，将募集到的所有善款第一时间用于白血病患儿医疗救治。</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both"/>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四</w:t>
      </w:r>
      <w:r>
        <w:rPr>
          <w:rFonts w:hint="eastAsia" w:ascii="仿宋_GB2312" w:hAnsi="仿宋_GB2312" w:eastAsia="仿宋_GB2312" w:cs="仿宋_GB2312"/>
          <w:b/>
          <w:bCs/>
          <w:kern w:val="0"/>
          <w:sz w:val="32"/>
          <w:szCs w:val="32"/>
        </w:rPr>
        <w:t>）预算编制准确率</w:t>
      </w:r>
    </w:p>
    <w:p>
      <w:pPr>
        <w:pStyle w:val="2"/>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单位2020年年初预算收入支出均为</w:t>
      </w:r>
      <w:r>
        <w:rPr>
          <w:rFonts w:hint="eastAsia" w:ascii="仿宋_GB2312" w:hAnsi="仿宋_GB2312" w:eastAsia="仿宋_GB2312" w:cs="仿宋_GB2312"/>
          <w:color w:val="000000"/>
          <w:sz w:val="32"/>
          <w:szCs w:val="32"/>
          <w:lang w:val="en-US" w:eastAsia="zh-CN"/>
        </w:rPr>
        <w:t>65.95</w:t>
      </w:r>
      <w:r>
        <w:rPr>
          <w:rFonts w:hint="eastAsia" w:ascii="仿宋_GB2312" w:hAnsi="仿宋_GB2312" w:eastAsia="仿宋_GB2312" w:cs="仿宋_GB2312"/>
          <w:color w:val="000000"/>
          <w:sz w:val="32"/>
          <w:szCs w:val="32"/>
        </w:rPr>
        <w:t>万元，年末实际预算收入为</w:t>
      </w:r>
      <w:r>
        <w:rPr>
          <w:rFonts w:hint="eastAsia" w:ascii="仿宋_GB2312" w:hAnsi="仿宋_GB2312" w:eastAsia="仿宋_GB2312" w:cs="仿宋_GB2312"/>
          <w:color w:val="000000"/>
          <w:sz w:val="32"/>
          <w:szCs w:val="32"/>
          <w:lang w:val="en-US" w:eastAsia="zh-CN"/>
        </w:rPr>
        <w:t>66.52万元，年末支出总</w:t>
      </w:r>
      <w:r>
        <w:rPr>
          <w:rFonts w:hint="eastAsia" w:ascii="仿宋_GB2312" w:hAnsi="仿宋_GB2312" w:eastAsia="仿宋_GB2312" w:cs="仿宋_GB2312"/>
          <w:color w:val="000000"/>
          <w:sz w:val="32"/>
          <w:szCs w:val="32"/>
        </w:rPr>
        <w:t>额为</w:t>
      </w:r>
      <w:r>
        <w:rPr>
          <w:rFonts w:hint="eastAsia" w:ascii="仿宋_GB2312" w:hAnsi="仿宋_GB2312" w:eastAsia="仿宋_GB2312" w:cs="仿宋_GB2312"/>
          <w:color w:val="000000"/>
          <w:sz w:val="32"/>
          <w:szCs w:val="32"/>
          <w:lang w:val="en-US" w:eastAsia="zh-CN"/>
        </w:rPr>
        <w:t>66.52</w:t>
      </w:r>
      <w:r>
        <w:rPr>
          <w:rFonts w:hint="eastAsia" w:ascii="仿宋_GB2312" w:hAnsi="仿宋_GB2312" w:eastAsia="仿宋_GB2312" w:cs="仿宋_GB2312"/>
          <w:color w:val="000000"/>
          <w:sz w:val="32"/>
          <w:szCs w:val="32"/>
        </w:rPr>
        <w:t>万元，预算编制准确率</w:t>
      </w:r>
      <w:r>
        <w:rPr>
          <w:rFonts w:hint="eastAsia" w:ascii="仿宋_GB2312" w:hAnsi="仿宋_GB2312" w:eastAsia="仿宋_GB2312" w:cs="仿宋_GB2312"/>
          <w:color w:val="000000"/>
          <w:sz w:val="32"/>
          <w:szCs w:val="32"/>
          <w:lang w:val="en-US" w:eastAsia="zh-CN"/>
        </w:rPr>
        <w:t>较高</w:t>
      </w:r>
      <w:r>
        <w:rPr>
          <w:rFonts w:hint="eastAsia" w:ascii="仿宋_GB2312" w:hAnsi="仿宋_GB2312" w:eastAsia="仿宋_GB2312" w:cs="仿宋_GB2312"/>
          <w:color w:val="000000"/>
          <w:sz w:val="32"/>
          <w:szCs w:val="32"/>
        </w:rPr>
        <w:t>。</w:t>
      </w:r>
    </w:p>
    <w:p>
      <w:pPr>
        <w:spacing w:line="360" w:lineRule="auto"/>
        <w:outlineLvl w:val="0"/>
        <w:rPr>
          <w:rFonts w:hint="default"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四、</w:t>
      </w:r>
      <w:r>
        <w:rPr>
          <w:rFonts w:hint="eastAsia" w:ascii="仿宋_GB2312" w:hAnsi="仿宋_GB2312" w:eastAsia="仿宋_GB2312" w:cs="仿宋_GB2312"/>
          <w:b/>
          <w:bCs/>
          <w:kern w:val="0"/>
          <w:sz w:val="32"/>
          <w:szCs w:val="32"/>
        </w:rPr>
        <w:t>支出控制</w:t>
      </w:r>
    </w:p>
    <w:p>
      <w:pPr>
        <w:spacing w:line="360" w:lineRule="auto"/>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、财务管理以及资金使用合规性</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w:t>
      </w:r>
      <w:r>
        <w:rPr>
          <w:rFonts w:hint="eastAsia" w:ascii="仿宋_GB2312" w:hAnsi="仿宋_GB2312" w:eastAsia="仿宋_GB2312" w:cs="仿宋_GB2312"/>
          <w:sz w:val="32"/>
          <w:szCs w:val="32"/>
          <w:lang w:eastAsia="zh-CN"/>
        </w:rPr>
        <w:t>红十字会</w:t>
      </w:r>
      <w:r>
        <w:rPr>
          <w:rFonts w:hint="eastAsia" w:ascii="仿宋_GB2312" w:hAnsi="仿宋_GB2312" w:eastAsia="仿宋_GB2312" w:cs="仿宋_GB2312"/>
          <w:sz w:val="32"/>
          <w:szCs w:val="32"/>
        </w:rPr>
        <w:t>本年度收到预算资金</w:t>
      </w:r>
      <w:r>
        <w:rPr>
          <w:rFonts w:hint="eastAsia" w:ascii="仿宋_GB2312" w:hAnsi="仿宋_GB2312" w:eastAsia="仿宋_GB2312" w:cs="仿宋_GB2312"/>
          <w:color w:val="000000"/>
          <w:sz w:val="32"/>
          <w:szCs w:val="32"/>
          <w:lang w:val="en-US" w:eastAsia="zh-CN"/>
        </w:rPr>
        <w:t>66.52</w:t>
      </w:r>
      <w:r>
        <w:rPr>
          <w:rFonts w:hint="eastAsia" w:ascii="仿宋_GB2312" w:hAnsi="仿宋_GB2312" w:eastAsia="仿宋_GB2312" w:cs="仿宋_GB2312"/>
          <w:sz w:val="32"/>
          <w:szCs w:val="32"/>
        </w:rPr>
        <w:t>万元，实际使用</w:t>
      </w:r>
      <w:r>
        <w:rPr>
          <w:rFonts w:hint="eastAsia" w:ascii="仿宋_GB2312" w:hAnsi="仿宋_GB2312" w:eastAsia="仿宋_GB2312" w:cs="仿宋_GB2312"/>
          <w:color w:val="000000"/>
          <w:sz w:val="32"/>
          <w:szCs w:val="32"/>
          <w:lang w:val="en-US" w:eastAsia="zh-CN"/>
        </w:rPr>
        <w:t>66.52</w:t>
      </w:r>
      <w:r>
        <w:rPr>
          <w:rFonts w:hint="eastAsia" w:ascii="仿宋_GB2312" w:hAnsi="仿宋_GB2312" w:eastAsia="仿宋_GB2312" w:cs="仿宋_GB2312"/>
          <w:sz w:val="32"/>
          <w:szCs w:val="32"/>
        </w:rPr>
        <w:t>万元。资金使用过程中严格按照单位财务管理制度要求执行，资金使用的合规性体现在：</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1.所有经费开支坚持财务审批制度，重大资金支出（日常公用经费在</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万元及以上）由</w:t>
      </w:r>
      <w:r>
        <w:rPr>
          <w:rFonts w:hint="eastAsia" w:ascii="仿宋_GB2312" w:hAnsi="仿宋_GB2312" w:eastAsia="仿宋_GB2312" w:cs="仿宋_GB2312"/>
          <w:sz w:val="32"/>
          <w:szCs w:val="32"/>
          <w:lang w:val="en-US" w:eastAsia="zh-CN"/>
        </w:rPr>
        <w:t>协会内会议</w:t>
      </w:r>
      <w:r>
        <w:rPr>
          <w:rFonts w:hint="eastAsia" w:ascii="仿宋_GB2312" w:hAnsi="仿宋_GB2312" w:eastAsia="仿宋_GB2312" w:cs="仿宋_GB2312"/>
          <w:sz w:val="32"/>
          <w:szCs w:val="32"/>
        </w:rPr>
        <w:t>决定。</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2.在报销经费时，经办人使用统一规范的审批单，在审批单上写明用途、经办人员、证明人员、金额、报销日期、单据张数等内容。</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3.费用报销审批程序  </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经办人填写《支出审批单》→由办公室负责人确认签字→</w:t>
      </w:r>
      <w:r>
        <w:rPr>
          <w:rFonts w:hint="eastAsia" w:ascii="仿宋_GB2312" w:hAnsi="仿宋_GB2312" w:eastAsia="仿宋_GB2312" w:cs="仿宋_GB2312"/>
          <w:sz w:val="32"/>
          <w:szCs w:val="32"/>
          <w:lang w:val="en-US" w:eastAsia="zh-CN"/>
        </w:rPr>
        <w:t>主席</w:t>
      </w:r>
      <w:r>
        <w:rPr>
          <w:rFonts w:hint="eastAsia" w:ascii="仿宋_GB2312" w:hAnsi="仿宋_GB2312" w:eastAsia="仿宋_GB2312" w:cs="仿宋_GB2312"/>
          <w:sz w:val="32"/>
          <w:szCs w:val="32"/>
        </w:rPr>
        <w:t>批准后，到办公室出纳处办理支付手续。</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各个审批环节的具体职责：</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经办人</w:t>
      </w:r>
      <w:r>
        <w:rPr>
          <w:rFonts w:hint="eastAsia" w:ascii="仿宋_GB2312" w:hAnsi="仿宋_GB2312" w:eastAsia="仿宋_GB2312" w:cs="仿宋_GB2312"/>
          <w:sz w:val="32"/>
          <w:szCs w:val="32"/>
        </w:rPr>
        <w:t>对其发生的支出用途及金额的真实性、准确性负责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经济业务发生后，原则上在15天之内报账完毕。不得将几个经济事项的票据合并填报。</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纳、会计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出纳、会计有权拒绝受理。</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领导审查财务收支的真实性、合法性、必要性，并在报销凭证上明确签署报销意见。</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所有费用报销实行</w:t>
      </w:r>
      <w:r>
        <w:rPr>
          <w:rFonts w:hint="eastAsia" w:ascii="仿宋_GB2312" w:hAnsi="仿宋_GB2312" w:eastAsia="仿宋_GB2312" w:cs="仿宋_GB2312"/>
          <w:sz w:val="32"/>
          <w:szCs w:val="32"/>
          <w:lang w:val="en-US" w:eastAsia="zh-CN"/>
        </w:rPr>
        <w:t>主席</w:t>
      </w:r>
      <w:r>
        <w:rPr>
          <w:rFonts w:hint="eastAsia" w:ascii="仿宋_GB2312" w:hAnsi="仿宋_GB2312" w:eastAsia="仿宋_GB2312" w:cs="仿宋_GB2312"/>
          <w:sz w:val="32"/>
          <w:szCs w:val="32"/>
        </w:rPr>
        <w:t>“一支笔”签批制度。</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pPr>
        <w:spacing w:line="360" w:lineRule="auto"/>
        <w:ind w:firstLine="642" w:firstLineChars="200"/>
        <w:outlineLvl w:val="2"/>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、财务监控有效性</w:t>
      </w:r>
    </w:p>
    <w:p>
      <w:pPr>
        <w:pStyle w:val="2"/>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办公室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负责对各个部门各业务流程的执行情况进行监督和检查；。</w:t>
      </w:r>
    </w:p>
    <w:p>
      <w:pPr>
        <w:pStyle w:val="2"/>
        <w:spacing w:line="360" w:lineRule="auto"/>
        <w:ind w:firstLine="64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壤塘县</w:t>
      </w:r>
      <w:r>
        <w:rPr>
          <w:rFonts w:hint="eastAsia" w:ascii="仿宋_GB2312" w:hAnsi="仿宋_GB2312" w:eastAsia="仿宋_GB2312" w:cs="仿宋_GB2312"/>
          <w:sz w:val="32"/>
          <w:szCs w:val="32"/>
          <w:lang w:eastAsia="zh-CN"/>
        </w:rPr>
        <w:t>红十字会</w:t>
      </w:r>
      <w:r>
        <w:rPr>
          <w:rFonts w:hint="eastAsia" w:ascii="仿宋_GB2312" w:hAnsi="仿宋_GB2312" w:eastAsia="仿宋_GB2312" w:cs="仿宋_GB2312"/>
          <w:sz w:val="32"/>
          <w:szCs w:val="32"/>
        </w:rPr>
        <w:t>制定的管理制度，包括不限于财务管理制度、采购管理制度，监控、监督措施执行有效，20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年度壤塘县</w:t>
      </w:r>
      <w:r>
        <w:rPr>
          <w:rFonts w:hint="eastAsia" w:ascii="仿宋_GB2312" w:hAnsi="仿宋_GB2312" w:eastAsia="仿宋_GB2312" w:cs="仿宋_GB2312"/>
          <w:sz w:val="32"/>
          <w:szCs w:val="32"/>
          <w:lang w:eastAsia="zh-CN"/>
        </w:rPr>
        <w:t>红十字会</w:t>
      </w:r>
      <w:r>
        <w:rPr>
          <w:rFonts w:hint="eastAsia" w:ascii="仿宋_GB2312" w:hAnsi="仿宋_GB2312" w:eastAsia="仿宋_GB2312" w:cs="仿宋_GB2312"/>
          <w:sz w:val="32"/>
          <w:szCs w:val="32"/>
        </w:rPr>
        <w:t>财务人员按要求执行了监控职能。</w:t>
      </w:r>
    </w:p>
    <w:p>
      <w:pPr>
        <w:pStyle w:val="2"/>
        <w:numPr>
          <w:ilvl w:val="0"/>
          <w:numId w:val="8"/>
        </w:numPr>
        <w:spacing w:line="360" w:lineRule="auto"/>
        <w:ind w:firstLine="643"/>
        <w:outlineLvl w:val="1"/>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重点项目执行完成进度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_GB2312" w:hAnsi="仿宋_GB2312" w:eastAsia="仿宋_GB2312" w:cs="仿宋_GB2312"/>
          <w:b w:val="0"/>
          <w:bCs w:val="0"/>
          <w:sz w:val="32"/>
          <w:szCs w:val="32"/>
          <w:lang w:val="en-US" w:eastAsia="zh-CN"/>
        </w:rPr>
        <w:t>积极在壤塘县</w:t>
      </w:r>
      <w:r>
        <w:rPr>
          <w:rFonts w:hint="eastAsia" w:ascii="仿宋_GB2312" w:hAnsi="仿宋_GB2312" w:eastAsia="仿宋_GB2312" w:cs="仿宋_GB2312"/>
          <w:b w:val="0"/>
          <w:i w:val="0"/>
          <w:caps w:val="0"/>
          <w:color w:val="000000"/>
          <w:spacing w:val="0"/>
          <w:sz w:val="32"/>
          <w:szCs w:val="32"/>
          <w:shd w:val="clear" w:fill="FFFFFF"/>
          <w:lang w:eastAsia="zh-CN"/>
        </w:rPr>
        <w:t>尕多乡刑木达村开展红十字博爱家园项目启动仪式暨应急救护培训活动。</w:t>
      </w:r>
      <w:r>
        <w:rPr>
          <w:rFonts w:hint="eastAsia" w:ascii="仿宋" w:hAnsi="仿宋" w:eastAsia="仿宋" w:cs="仿宋"/>
          <w:sz w:val="32"/>
          <w:szCs w:val="32"/>
          <w:lang w:eastAsia="zh-CN"/>
        </w:rPr>
        <w:t>我会工作人员</w:t>
      </w:r>
      <w:r>
        <w:rPr>
          <w:rFonts w:hint="eastAsia" w:ascii="仿宋" w:hAnsi="仿宋" w:eastAsia="仿宋" w:cs="仿宋"/>
          <w:sz w:val="32"/>
          <w:szCs w:val="32"/>
        </w:rPr>
        <w:t>深入帮村联系点—南木达镇南塘村辖区内，开展了汛期地质灾害隐患大排查工作，充分摸排辖区地质灾害隐患点的最新情况，确保人民群众的生命财产安全。</w:t>
      </w:r>
      <w:r>
        <w:rPr>
          <w:rFonts w:hint="eastAsia" w:ascii="仿宋" w:hAnsi="仿宋" w:eastAsia="仿宋" w:cs="仿宋"/>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 w:hAnsi="仿宋" w:eastAsia="仿宋" w:cs="仿宋"/>
          <w:b w:val="0"/>
          <w:bCs w:val="0"/>
          <w:sz w:val="32"/>
          <w:szCs w:val="32"/>
          <w:lang w:val="en-US" w:eastAsia="zh-CN"/>
        </w:rPr>
        <w:t>我会</w:t>
      </w:r>
      <w:r>
        <w:rPr>
          <w:rFonts w:hint="eastAsia" w:ascii="仿宋" w:hAnsi="仿宋" w:eastAsia="仿宋" w:cs="仿宋"/>
          <w:sz w:val="32"/>
          <w:szCs w:val="32"/>
          <w:lang w:val="en-US" w:eastAsia="zh-CN"/>
        </w:rPr>
        <w:t>开展“红十字会·红丝带防艾”宣传活动，通过多种形式的宣传活动，让更多的人了解到艾滋病对健康的危害，掌握预防知识，消除对艾滋病患者的歧视，为艾滋病防治工作创造良好的社会环境。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积极与民间慈善组织对接我县贫困大学生相关助学公益活动，与民间公益慈善服务组织—浙江狮子会海量服务队一行，到壤塘开展贫困大学生支助活动，深入各乡镇走访慰问我县贫困学生家庭，圆壤塘贫困学子的大学梦。壤塘县红十字会副会长泽郎基等工作人员，深入上杜柯乡、岗木达镇昂柯村、中壤塘镇、上壤塘乡、宗科乡、走访慰问农村民房火灾户，送去生活应急物资，带去党委和政府的关心。</w:t>
      </w:r>
    </w:p>
    <w:p>
      <w:pPr>
        <w:pStyle w:val="2"/>
        <w:spacing w:line="360" w:lineRule="auto"/>
        <w:ind w:firstLine="643"/>
        <w:outlineLvl w:val="1"/>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七</w:t>
      </w:r>
      <w:r>
        <w:rPr>
          <w:rFonts w:hint="eastAsia" w:ascii="仿宋_GB2312" w:hAnsi="仿宋_GB2312" w:eastAsia="仿宋_GB2312" w:cs="仿宋_GB2312"/>
          <w:b/>
          <w:bCs/>
          <w:kern w:val="0"/>
          <w:sz w:val="32"/>
          <w:szCs w:val="32"/>
        </w:rPr>
        <w:t xml:space="preserve">）预算完成情况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w:t>
      </w:r>
      <w:r>
        <w:rPr>
          <w:rFonts w:hint="eastAsia" w:hAnsi="仿宋_GB2312" w:eastAsia="仿宋_GB2312" w:asciiTheme="minorHAnsi" w:cstheme="minorBidi"/>
          <w:kern w:val="2"/>
          <w:sz w:val="32"/>
          <w:szCs w:val="32"/>
          <w:lang w:val="en-US" w:eastAsia="zh-CN" w:bidi="ar-SA"/>
        </w:rPr>
        <w:t>财政</w:t>
      </w:r>
      <w:r>
        <w:rPr>
          <w:rFonts w:hint="eastAsia" w:ascii="仿宋_GB2312" w:hAnsi="仿宋_GB2312" w:eastAsia="仿宋_GB2312" w:cs="仿宋_GB2312"/>
          <w:sz w:val="32"/>
          <w:szCs w:val="32"/>
        </w:rPr>
        <w:t>预算收入年末总额为</w:t>
      </w:r>
      <w:r>
        <w:rPr>
          <w:rFonts w:hint="eastAsia" w:ascii="仿宋_GB2312" w:hAnsi="仿宋_GB2312" w:eastAsia="仿宋_GB2312" w:cs="仿宋_GB2312"/>
          <w:sz w:val="32"/>
          <w:szCs w:val="32"/>
          <w:lang w:val="en-US" w:eastAsia="zh-CN"/>
        </w:rPr>
        <w:t>66.52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年末实际预算支出总额为</w:t>
      </w:r>
      <w:r>
        <w:rPr>
          <w:rFonts w:hint="eastAsia" w:ascii="仿宋_GB2312" w:hAnsi="仿宋_GB2312" w:eastAsia="仿宋_GB2312" w:cs="仿宋_GB2312"/>
          <w:sz w:val="32"/>
          <w:szCs w:val="32"/>
          <w:lang w:val="en-US" w:eastAsia="zh-CN"/>
        </w:rPr>
        <w:t>66.52</w:t>
      </w:r>
      <w:r>
        <w:rPr>
          <w:rFonts w:hint="eastAsia" w:ascii="仿宋_GB2312" w:hAnsi="仿宋_GB2312" w:eastAsia="仿宋_GB2312" w:cs="仿宋_GB2312"/>
          <w:sz w:val="32"/>
          <w:szCs w:val="32"/>
        </w:rPr>
        <w:t>万元，预算完成率为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%，总体完成率较高。</w:t>
      </w:r>
    </w:p>
    <w:p>
      <w:pPr>
        <w:pStyle w:val="2"/>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1"/>
        <w:rPr>
          <w:rFonts w:hint="default"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八</w:t>
      </w:r>
      <w:r>
        <w:rPr>
          <w:rFonts w:hint="eastAsia" w:ascii="仿宋_GB2312" w:hAnsi="仿宋_GB2312" w:eastAsia="仿宋_GB2312" w:cs="仿宋_GB2312"/>
          <w:b/>
          <w:bCs/>
          <w:kern w:val="0"/>
          <w:sz w:val="32"/>
          <w:szCs w:val="32"/>
        </w:rPr>
        <w:t>）信息公开</w:t>
      </w:r>
      <w:r>
        <w:rPr>
          <w:rFonts w:hint="eastAsia" w:ascii="仿宋_GB2312" w:hAnsi="仿宋_GB2312" w:eastAsia="仿宋_GB2312" w:cs="仿宋_GB2312"/>
          <w:b/>
          <w:bCs/>
          <w:kern w:val="0"/>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信息公开。壤塘县</w:t>
      </w:r>
      <w:r>
        <w:rPr>
          <w:rFonts w:hint="eastAsia" w:ascii="仿宋_GB2312" w:hAnsi="仿宋_GB2312" w:eastAsia="仿宋_GB2312" w:cs="仿宋_GB2312"/>
          <w:sz w:val="32"/>
          <w:szCs w:val="32"/>
          <w:lang w:val="en-US" w:eastAsia="zh-CN"/>
        </w:rPr>
        <w:t>红十字会</w:t>
      </w:r>
      <w:r>
        <w:rPr>
          <w:rFonts w:hint="eastAsia" w:ascii="仿宋_GB2312" w:hAnsi="仿宋_GB2312" w:eastAsia="仿宋_GB2312" w:cs="仿宋_GB2312"/>
          <w:sz w:val="32"/>
          <w:szCs w:val="32"/>
        </w:rPr>
        <w:t>已经按财政要求及时完成预算、决算、绩效等信息公开工作，信息公开在壤塘县人民政府门户网站中。</w:t>
      </w:r>
    </w:p>
    <w:p>
      <w:pPr>
        <w:pStyle w:val="2"/>
        <w:spacing w:line="360" w:lineRule="auto"/>
        <w:ind w:firstLine="0" w:firstLineChars="0"/>
        <w:outlineLvl w:val="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五、评价结论及措施</w:t>
      </w:r>
    </w:p>
    <w:p>
      <w:pPr>
        <w:pStyle w:val="2"/>
        <w:spacing w:line="360" w:lineRule="auto"/>
        <w:ind w:firstLine="0" w:firstLineChars="0"/>
        <w:outlineLvl w:val="1"/>
        <w:rPr>
          <w:rFonts w:ascii="仿宋_GB2312" w:hAnsi="仿宋_GB2312" w:eastAsia="仿宋_GB2312" w:cs="仿宋_GB2312"/>
          <w:b/>
          <w:bCs/>
          <w:kern w:val="0"/>
          <w:sz w:val="32"/>
          <w:szCs w:val="32"/>
        </w:rPr>
      </w:pPr>
      <w:r>
        <w:rPr>
          <w:rFonts w:hint="eastAsia" w:ascii="仿宋_GB2312" w:hAnsi="仿宋_GB2312" w:eastAsia="仿宋_GB2312" w:cs="仿宋_GB2312"/>
          <w:b/>
          <w:bCs/>
          <w:sz w:val="32"/>
          <w:szCs w:val="32"/>
        </w:rPr>
        <w:t>（一）评价结论：见附表</w:t>
      </w:r>
    </w:p>
    <w:p>
      <w:pPr>
        <w:pStyle w:val="2"/>
        <w:spacing w:line="360" w:lineRule="auto"/>
        <w:ind w:firstLine="0" w:firstLineChars="0"/>
        <w:outlineLvl w:val="1"/>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（二）存在问题</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一是预算编制有待更严格执行，预算编制与实际支出项目有的存在差异。</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二是制度执行力度有待加强。</w:t>
      </w:r>
    </w:p>
    <w:p>
      <w:pPr>
        <w:pStyle w:val="2"/>
        <w:spacing w:line="360" w:lineRule="auto"/>
        <w:ind w:firstLine="0" w:firstLineChars="0"/>
        <w:outlineLvl w:val="1"/>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（三）改进措施</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一是按照预算规定的项目和用途严格财务审核，经费支出严格按预算规定项目的财务支出内容进行财务核算，在预算金额内严格控制费用的支出。</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二是预算财务分析常态化，定期做好预算支出财务分析，做好部门整体支出预算评价工作，完善各项</w:t>
      </w:r>
      <w:r>
        <w:rPr>
          <w:rFonts w:hint="eastAsia" w:ascii="仿宋_GB2312" w:hAnsi="仿宋_GB2312" w:eastAsia="仿宋_GB2312" w:cs="仿宋_GB2312"/>
          <w:sz w:val="32"/>
          <w:szCs w:val="32"/>
          <w:lang w:eastAsia="zh-CN"/>
        </w:rPr>
        <w:t>制度</w:t>
      </w:r>
      <w:r>
        <w:rPr>
          <w:rFonts w:hint="eastAsia" w:ascii="仿宋_GB2312" w:hAnsi="仿宋_GB2312" w:eastAsia="仿宋_GB2312" w:cs="仿宋_GB2312"/>
          <w:sz w:val="32"/>
          <w:szCs w:val="32"/>
        </w:rPr>
        <w:t>，提升执行力</w:t>
      </w:r>
      <w:r>
        <w:rPr>
          <w:rFonts w:hint="eastAsia" w:ascii="仿宋_GB2312" w:hAnsi="宋体" w:eastAsia="仿宋_GB2312" w:cs="宋体"/>
          <w:color w:val="000000"/>
          <w:kern w:val="0"/>
          <w:sz w:val="32"/>
          <w:szCs w:val="32"/>
          <w:shd w:val="clear" w:color="auto" w:fill="FFFFFF"/>
          <w:lang w:val="zh-CN"/>
        </w:rPr>
        <w:t>。</w:t>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spacing w:line="600" w:lineRule="exact"/>
        <w:jc w:val="center"/>
        <w:outlineLvl w:val="0"/>
        <w:rPr>
          <w:rStyle w:val="26"/>
          <w:rFonts w:hint="eastAsia" w:ascii="黑体" w:hAnsi="黑体" w:eastAsia="黑体"/>
          <w:b w:val="0"/>
        </w:rPr>
      </w:pPr>
      <w:bookmarkStart w:id="114" w:name="_Toc15396618"/>
      <w:bookmarkStart w:id="115" w:name="_Toc79163635"/>
      <w:bookmarkStart w:id="116" w:name="_Toc12241"/>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109"/>
      <w:bookmarkEnd w:id="114"/>
      <w:bookmarkEnd w:id="115"/>
      <w:bookmarkEnd w:id="116"/>
    </w:p>
    <w:p>
      <w:pPr>
        <w:pStyle w:val="4"/>
        <w:rPr>
          <w:rFonts w:ascii="仿宋" w:hAnsi="仿宋" w:eastAsia="仿宋"/>
          <w:color w:val="000000"/>
        </w:rPr>
      </w:pPr>
      <w:bookmarkStart w:id="117" w:name="_Toc5427"/>
      <w:bookmarkStart w:id="118" w:name="_Toc79163636"/>
      <w:bookmarkStart w:id="119"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117"/>
      <w:bookmarkEnd w:id="118"/>
      <w:bookmarkEnd w:id="119"/>
    </w:p>
    <w:p>
      <w:pPr>
        <w:pStyle w:val="4"/>
        <w:rPr>
          <w:rFonts w:ascii="仿宋" w:hAnsi="仿宋" w:eastAsia="仿宋"/>
          <w:color w:val="000000"/>
        </w:rPr>
      </w:pPr>
      <w:bookmarkStart w:id="120" w:name="_Toc15396620"/>
      <w:bookmarkStart w:id="121" w:name="_Toc79163637"/>
      <w:bookmarkStart w:id="122" w:name="_Toc16353"/>
      <w:r>
        <w:rPr>
          <w:rFonts w:hint="eastAsia" w:ascii="仿宋" w:hAnsi="仿宋" w:eastAsia="仿宋"/>
          <w:b w:val="0"/>
          <w:color w:val="000000"/>
        </w:rPr>
        <w:t>二、收</w:t>
      </w:r>
      <w:r>
        <w:rPr>
          <w:rStyle w:val="27"/>
          <w:rFonts w:hint="eastAsia" w:ascii="仿宋" w:hAnsi="仿宋" w:eastAsia="仿宋"/>
          <w:b w:val="0"/>
          <w:bCs w:val="0"/>
        </w:rPr>
        <w:t>入决算表</w:t>
      </w:r>
      <w:bookmarkEnd w:id="120"/>
      <w:bookmarkEnd w:id="121"/>
      <w:bookmarkEnd w:id="122"/>
    </w:p>
    <w:p>
      <w:pPr>
        <w:pStyle w:val="4"/>
        <w:rPr>
          <w:rFonts w:ascii="仿宋" w:hAnsi="仿宋" w:eastAsia="仿宋"/>
          <w:color w:val="000000"/>
        </w:rPr>
      </w:pPr>
      <w:bookmarkStart w:id="123" w:name="_Toc24584"/>
      <w:bookmarkStart w:id="124" w:name="_Toc15396621"/>
      <w:bookmarkStart w:id="125" w:name="_Toc79163638"/>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23"/>
      <w:bookmarkEnd w:id="124"/>
      <w:bookmarkEnd w:id="125"/>
    </w:p>
    <w:p>
      <w:pPr>
        <w:pStyle w:val="4"/>
        <w:rPr>
          <w:rFonts w:ascii="仿宋" w:hAnsi="仿宋" w:eastAsia="仿宋"/>
          <w:b w:val="0"/>
          <w:color w:val="000000"/>
        </w:rPr>
      </w:pPr>
      <w:bookmarkStart w:id="126" w:name="_Toc79163639"/>
      <w:bookmarkStart w:id="127" w:name="_Toc15396622"/>
      <w:bookmarkStart w:id="128" w:name="_Toc19691"/>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26"/>
      <w:bookmarkEnd w:id="127"/>
      <w:bookmarkEnd w:id="128"/>
    </w:p>
    <w:p>
      <w:pPr>
        <w:pStyle w:val="4"/>
        <w:rPr>
          <w:rStyle w:val="27"/>
          <w:rFonts w:ascii="仿宋" w:hAnsi="仿宋" w:eastAsia="仿宋"/>
          <w:b w:val="0"/>
          <w:bCs w:val="0"/>
        </w:rPr>
      </w:pPr>
      <w:bookmarkStart w:id="129" w:name="_Toc15396623"/>
      <w:bookmarkStart w:id="130" w:name="_Toc79163640"/>
      <w:bookmarkStart w:id="131" w:name="_Toc21611"/>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29"/>
      <w:bookmarkEnd w:id="130"/>
      <w:bookmarkEnd w:id="131"/>
      <w:bookmarkStart w:id="132" w:name="_Toc15396624"/>
    </w:p>
    <w:p>
      <w:pPr>
        <w:pStyle w:val="4"/>
        <w:rPr>
          <w:rFonts w:ascii="仿宋" w:hAnsi="仿宋" w:eastAsia="仿宋"/>
          <w:color w:val="000000"/>
        </w:rPr>
      </w:pPr>
      <w:bookmarkStart w:id="133" w:name="_Toc79163641"/>
      <w:bookmarkStart w:id="134" w:name="_Toc28897"/>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32"/>
      <w:bookmarkEnd w:id="133"/>
      <w:bookmarkEnd w:id="134"/>
    </w:p>
    <w:p>
      <w:pPr>
        <w:pStyle w:val="4"/>
        <w:rPr>
          <w:rFonts w:ascii="仿宋" w:hAnsi="仿宋" w:eastAsia="仿宋"/>
          <w:color w:val="000000"/>
        </w:rPr>
      </w:pPr>
      <w:bookmarkStart w:id="135" w:name="_Toc15396625"/>
      <w:bookmarkStart w:id="136" w:name="_Toc27213"/>
      <w:bookmarkStart w:id="137" w:name="_Toc79163642"/>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35"/>
      <w:bookmarkEnd w:id="136"/>
      <w:bookmarkEnd w:id="137"/>
    </w:p>
    <w:p>
      <w:pPr>
        <w:pStyle w:val="4"/>
        <w:rPr>
          <w:rFonts w:ascii="仿宋" w:hAnsi="仿宋" w:eastAsia="仿宋"/>
          <w:color w:val="000000"/>
        </w:rPr>
      </w:pPr>
      <w:bookmarkStart w:id="138" w:name="_Toc15396626"/>
      <w:bookmarkStart w:id="139" w:name="_Toc6802"/>
      <w:bookmarkStart w:id="140" w:name="_Toc79163643"/>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38"/>
      <w:bookmarkEnd w:id="139"/>
      <w:bookmarkEnd w:id="140"/>
    </w:p>
    <w:p>
      <w:pPr>
        <w:pStyle w:val="4"/>
        <w:rPr>
          <w:rFonts w:ascii="仿宋" w:hAnsi="仿宋" w:eastAsia="仿宋"/>
          <w:color w:val="000000"/>
        </w:rPr>
      </w:pPr>
      <w:bookmarkStart w:id="141" w:name="_Toc15396627"/>
      <w:bookmarkStart w:id="142" w:name="_Toc79163644"/>
      <w:bookmarkStart w:id="143" w:name="_Toc22876"/>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41"/>
      <w:bookmarkEnd w:id="142"/>
      <w:bookmarkEnd w:id="143"/>
    </w:p>
    <w:p>
      <w:pPr>
        <w:pStyle w:val="4"/>
        <w:rPr>
          <w:rFonts w:ascii="仿宋" w:hAnsi="仿宋" w:eastAsia="仿宋"/>
          <w:color w:val="000000"/>
        </w:rPr>
      </w:pPr>
      <w:bookmarkStart w:id="144" w:name="_Toc15396628"/>
      <w:bookmarkStart w:id="145" w:name="_Toc32417"/>
      <w:bookmarkStart w:id="146" w:name="_Toc79163645"/>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44"/>
      <w:bookmarkEnd w:id="145"/>
      <w:bookmarkEnd w:id="146"/>
    </w:p>
    <w:p>
      <w:pPr>
        <w:pStyle w:val="4"/>
        <w:rPr>
          <w:rFonts w:ascii="仿宋" w:hAnsi="仿宋" w:eastAsia="仿宋"/>
          <w:color w:val="000000"/>
        </w:rPr>
      </w:pPr>
      <w:bookmarkStart w:id="147" w:name="_Toc14487"/>
      <w:bookmarkStart w:id="148" w:name="_Toc79163646"/>
      <w:bookmarkStart w:id="149"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47"/>
      <w:bookmarkEnd w:id="148"/>
      <w:bookmarkEnd w:id="149"/>
    </w:p>
    <w:p>
      <w:pPr>
        <w:pStyle w:val="4"/>
        <w:rPr>
          <w:rFonts w:ascii="仿宋" w:hAnsi="仿宋" w:eastAsia="仿宋"/>
          <w:color w:val="000000"/>
        </w:rPr>
      </w:pPr>
      <w:bookmarkStart w:id="150" w:name="_Toc24920"/>
      <w:bookmarkStart w:id="151" w:name="_Toc79163647"/>
      <w:bookmarkStart w:id="152"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50"/>
      <w:bookmarkEnd w:id="151"/>
      <w:bookmarkEnd w:id="152"/>
    </w:p>
    <w:p>
      <w:pPr>
        <w:pStyle w:val="4"/>
        <w:rPr>
          <w:rStyle w:val="27"/>
          <w:rFonts w:ascii="仿宋" w:hAnsi="仿宋" w:eastAsia="仿宋"/>
          <w:b w:val="0"/>
          <w:bCs w:val="0"/>
        </w:rPr>
      </w:pPr>
      <w:bookmarkStart w:id="153" w:name="_Toc79163648"/>
      <w:bookmarkStart w:id="154" w:name="_Toc10073"/>
      <w:bookmarkStart w:id="155"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有资本经营预算财政拨款支出决算表</w:t>
      </w:r>
      <w:bookmarkEnd w:id="153"/>
      <w:bookmarkEnd w:id="154"/>
      <w:bookmarkEnd w:id="155"/>
    </w:p>
    <w:p>
      <w:pPr>
        <w:pStyle w:val="4"/>
        <w:rPr>
          <w:rStyle w:val="27"/>
          <w:rFonts w:ascii="仿宋" w:hAnsi="仿宋" w:eastAsia="仿宋"/>
          <w:b w:val="0"/>
          <w:bCs w:val="0"/>
        </w:rPr>
      </w:pPr>
      <w:bookmarkStart w:id="156" w:name="_Toc2036"/>
      <w:bookmarkStart w:id="157" w:name="_Toc79163649"/>
      <w:r>
        <w:rPr>
          <w:rStyle w:val="27"/>
          <w:rFonts w:hint="eastAsia" w:ascii="仿宋" w:hAnsi="仿宋" w:eastAsia="仿宋"/>
          <w:b w:val="0"/>
          <w:bCs w:val="0"/>
        </w:rPr>
        <w:t>十四、国有资本经营预算财政拨款支出决算表</w:t>
      </w:r>
      <w:bookmarkEnd w:id="156"/>
      <w:bookmarkEnd w:id="157"/>
    </w:p>
    <w:p>
      <w:pPr>
        <w:pStyle w:val="2"/>
      </w:pPr>
    </w:p>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3</w:t>
    </w:r>
    <w: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B72F57"/>
    <w:multiLevelType w:val="singleLevel"/>
    <w:tmpl w:val="91B72F57"/>
    <w:lvl w:ilvl="0" w:tentative="0">
      <w:start w:val="3"/>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DC9D3E74"/>
    <w:multiLevelType w:val="singleLevel"/>
    <w:tmpl w:val="DC9D3E74"/>
    <w:lvl w:ilvl="0" w:tentative="0">
      <w:start w:val="1"/>
      <w:numFmt w:val="decimal"/>
      <w:suff w:val="nothing"/>
      <w:lvlText w:val="（%1）"/>
      <w:lvlJc w:val="left"/>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27BE6324"/>
    <w:multiLevelType w:val="singleLevel"/>
    <w:tmpl w:val="27BE6324"/>
    <w:lvl w:ilvl="0" w:tentative="0">
      <w:start w:val="2"/>
      <w:numFmt w:val="chineseCounting"/>
      <w:suff w:val="nothing"/>
      <w:lvlText w:val="（%1）"/>
      <w:lvlJc w:val="left"/>
      <w:rPr>
        <w:rFonts w:hint="eastAsia"/>
      </w:rPr>
    </w:lvl>
  </w:abstractNum>
  <w:abstractNum w:abstractNumId="6">
    <w:nsid w:val="43BD4291"/>
    <w:multiLevelType w:val="singleLevel"/>
    <w:tmpl w:val="43BD4291"/>
    <w:lvl w:ilvl="0" w:tentative="0">
      <w:start w:val="6"/>
      <w:numFmt w:val="chineseCounting"/>
      <w:suff w:val="nothing"/>
      <w:lvlText w:val="（%1）"/>
      <w:lvlJc w:val="left"/>
      <w:rPr>
        <w:rFonts w:hint="eastAsia"/>
      </w:rPr>
    </w:lvl>
  </w:abstractNum>
  <w:abstractNum w:abstractNumId="7">
    <w:nsid w:val="7797B1CE"/>
    <w:multiLevelType w:val="singleLevel"/>
    <w:tmpl w:val="7797B1CE"/>
    <w:lvl w:ilvl="0" w:tentative="0">
      <w:start w:val="1"/>
      <w:numFmt w:val="decimal"/>
      <w:lvlText w:val="%1."/>
      <w:lvlJc w:val="left"/>
      <w:pPr>
        <w:tabs>
          <w:tab w:val="left" w:pos="312"/>
        </w:tabs>
      </w:pPr>
    </w:lvl>
  </w:abstractNum>
  <w:num w:numId="1">
    <w:abstractNumId w:val="4"/>
  </w:num>
  <w:num w:numId="2">
    <w:abstractNumId w:val="0"/>
  </w:num>
  <w:num w:numId="3">
    <w:abstractNumId w:val="1"/>
  </w:num>
  <w:num w:numId="4">
    <w:abstractNumId w:val="7"/>
  </w:num>
  <w:num w:numId="5">
    <w:abstractNumId w:val="3"/>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k2MTllYTQ0OTM5ZjVhMjNhYjJiMzE1M2Q3MGIxZG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6A55A19"/>
    <w:rsid w:val="0A2032A3"/>
    <w:rsid w:val="10C055FF"/>
    <w:rsid w:val="11447A06"/>
    <w:rsid w:val="118107EC"/>
    <w:rsid w:val="16BB723D"/>
    <w:rsid w:val="1D155CEE"/>
    <w:rsid w:val="21B613F5"/>
    <w:rsid w:val="240371BF"/>
    <w:rsid w:val="29FD04D3"/>
    <w:rsid w:val="319F7F4E"/>
    <w:rsid w:val="3E590D5E"/>
    <w:rsid w:val="42172E3A"/>
    <w:rsid w:val="443964D5"/>
    <w:rsid w:val="470973CC"/>
    <w:rsid w:val="4AE61673"/>
    <w:rsid w:val="4B240743"/>
    <w:rsid w:val="4ECE2238"/>
    <w:rsid w:val="50E634D5"/>
    <w:rsid w:val="55AF7AC7"/>
    <w:rsid w:val="63730BD5"/>
    <w:rsid w:val="63E91ACF"/>
    <w:rsid w:val="65113009"/>
    <w:rsid w:val="67EF4208"/>
    <w:rsid w:val="6BB12868"/>
    <w:rsid w:val="6C4A05C8"/>
    <w:rsid w:val="70DE130A"/>
    <w:rsid w:val="72734D90"/>
    <w:rsid w:val="72DE10B3"/>
    <w:rsid w:val="7525745C"/>
    <w:rsid w:val="75EF3D14"/>
    <w:rsid w:val="7DAF7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8"/>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rPr>
      <w:rFonts w:ascii="Calibri" w:hAnsi="Calibri" w:eastAsia="宋体" w:cs="Times New Roman"/>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5"/>
    <w:qFormat/>
    <w:uiPriority w:val="99"/>
    <w:pPr>
      <w:spacing w:beforeLines="30"/>
    </w:pPr>
    <w:rPr>
      <w:rFonts w:ascii="仿宋_GB2312" w:eastAsia="仿宋_GB2312"/>
      <w:kern w:val="0"/>
      <w:sz w:val="24"/>
      <w:szCs w:val="20"/>
      <w:lang w:val="zh-CN" w:eastAsia="zh-CN"/>
    </w:rPr>
  </w:style>
  <w:style w:type="paragraph" w:styleId="9">
    <w:name w:val="Body Text Indent"/>
    <w:basedOn w:val="1"/>
    <w:qFormat/>
    <w:uiPriority w:val="0"/>
    <w:pPr>
      <w:spacing w:after="120"/>
      <w:ind w:left="420" w:leftChars="200"/>
    </w:p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0"/>
    <w:semiHidden/>
    <w:unhideWhenUsed/>
    <w:qFormat/>
    <w:uiPriority w:val="99"/>
    <w:rPr>
      <w:sz w:val="18"/>
      <w:szCs w:val="18"/>
    </w:rPr>
  </w:style>
  <w:style w:type="paragraph" w:styleId="14">
    <w:name w:val="footer"/>
    <w:basedOn w:val="1"/>
    <w:link w:val="34"/>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5">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paragraph" w:styleId="21">
    <w:name w:val="Body Text First Indent 2"/>
    <w:basedOn w:val="9"/>
    <w:qFormat/>
    <w:uiPriority w:val="0"/>
    <w:pPr>
      <w:tabs>
        <w:tab w:val="left" w:pos="960"/>
      </w:tabs>
      <w:spacing w:after="0" w:line="540" w:lineRule="exact"/>
      <w:ind w:left="0" w:leftChars="0" w:firstLine="420" w:firstLineChars="200"/>
    </w:pPr>
    <w:rPr>
      <w:rFonts w:ascii="Calibri" w:hAnsi="Calibri" w:eastAsia="宋体" w:cs="Times New Roman"/>
      <w:sz w:val="32"/>
      <w:szCs w:val="32"/>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character" w:customStyle="1" w:styleId="26">
    <w:name w:val="标题 1 字符"/>
    <w:basedOn w:val="23"/>
    <w:link w:val="3"/>
    <w:qFormat/>
    <w:locked/>
    <w:uiPriority w:val="9"/>
    <w:rPr>
      <w:rFonts w:ascii="Times New Roman" w:hAnsi="Times New Roman" w:cs="Times New Roman"/>
      <w:b/>
      <w:bCs/>
      <w:kern w:val="44"/>
      <w:sz w:val="44"/>
      <w:szCs w:val="44"/>
    </w:rPr>
  </w:style>
  <w:style w:type="character" w:customStyle="1" w:styleId="27">
    <w:name w:val="标题 2 字符"/>
    <w:basedOn w:val="23"/>
    <w:link w:val="4"/>
    <w:qFormat/>
    <w:locked/>
    <w:uiPriority w:val="9"/>
    <w:rPr>
      <w:rFonts w:ascii="Cambria" w:hAnsi="Cambria" w:eastAsia="宋体" w:cs="Times New Roman"/>
      <w:b/>
      <w:bCs/>
      <w:kern w:val="2"/>
      <w:sz w:val="32"/>
      <w:szCs w:val="32"/>
    </w:rPr>
  </w:style>
  <w:style w:type="character" w:customStyle="1" w:styleId="28">
    <w:name w:val="标题 3 字符"/>
    <w:basedOn w:val="23"/>
    <w:link w:val="5"/>
    <w:qFormat/>
    <w:locked/>
    <w:uiPriority w:val="9"/>
    <w:rPr>
      <w:rFonts w:ascii="Times New Roman" w:hAnsi="Times New Roman" w:cs="Times New Roman"/>
      <w:b/>
      <w:bCs/>
      <w:kern w:val="2"/>
      <w:sz w:val="32"/>
      <w:szCs w:val="32"/>
    </w:rPr>
  </w:style>
  <w:style w:type="character" w:customStyle="1" w:styleId="29">
    <w:name w:val="Body Text Char"/>
    <w:basedOn w:val="23"/>
    <w:semiHidden/>
    <w:qFormat/>
    <w:uiPriority w:val="99"/>
    <w:rPr>
      <w:rFonts w:ascii="Times New Roman" w:hAnsi="Times New Roman" w:cs="Times New Roman"/>
      <w:sz w:val="24"/>
      <w:szCs w:val="24"/>
    </w:rPr>
  </w:style>
  <w:style w:type="character" w:customStyle="1" w:styleId="30">
    <w:name w:val="批注框文本 字符"/>
    <w:basedOn w:val="23"/>
    <w:link w:val="13"/>
    <w:semiHidden/>
    <w:qFormat/>
    <w:locked/>
    <w:uiPriority w:val="99"/>
    <w:rPr>
      <w:rFonts w:ascii="Times New Roman" w:hAnsi="Times New Roman" w:cs="Times New Roman"/>
      <w:kern w:val="2"/>
      <w:sz w:val="18"/>
      <w:szCs w:val="18"/>
    </w:rPr>
  </w:style>
  <w:style w:type="character" w:customStyle="1" w:styleId="31">
    <w:name w:val="Footer Char"/>
    <w:basedOn w:val="23"/>
    <w:semiHidden/>
    <w:qFormat/>
    <w:uiPriority w:val="99"/>
    <w:rPr>
      <w:rFonts w:ascii="Times New Roman" w:hAnsi="Times New Roman" w:cs="Times New Roman"/>
      <w:sz w:val="18"/>
      <w:szCs w:val="18"/>
    </w:rPr>
  </w:style>
  <w:style w:type="character" w:customStyle="1" w:styleId="32">
    <w:name w:val="Header Char"/>
    <w:basedOn w:val="23"/>
    <w:semiHidden/>
    <w:qFormat/>
    <w:uiPriority w:val="99"/>
    <w:rPr>
      <w:rFonts w:ascii="Times New Roman" w:hAnsi="Times New Roman" w:cs="Times New Roman"/>
      <w:sz w:val="18"/>
      <w:szCs w:val="18"/>
    </w:rPr>
  </w:style>
  <w:style w:type="character" w:customStyle="1" w:styleId="33">
    <w:name w:val="页眉 字符"/>
    <w:link w:val="15"/>
    <w:semiHidden/>
    <w:qFormat/>
    <w:locked/>
    <w:uiPriority w:val="99"/>
    <w:rPr>
      <w:sz w:val="18"/>
    </w:rPr>
  </w:style>
  <w:style w:type="character" w:customStyle="1" w:styleId="34">
    <w:name w:val="页脚 字符"/>
    <w:link w:val="14"/>
    <w:qFormat/>
    <w:locked/>
    <w:uiPriority w:val="99"/>
    <w:rPr>
      <w:sz w:val="18"/>
    </w:rPr>
  </w:style>
  <w:style w:type="character" w:customStyle="1" w:styleId="35">
    <w:name w:val="正文文本 字符"/>
    <w:link w:val="8"/>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1">
    <w:name w:val="NormalCharacter"/>
    <w:link w:val="1"/>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hart" Target="charts/chart9.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15307\Desktop\2020&#24180;&#20915;&#31639;&#20844;&#24320;&#20998;&#26512;&#22270;&#3492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[2020年决算公开分析图表.xls]Sheet1!$A$2:$B$2</c:f>
              <c:strCache>
                <c:ptCount val="2"/>
                <c:pt idx="0">
                  <c:v>2019年</c:v>
                </c:pt>
                <c:pt idx="1">
                  <c:v>2020年</c:v>
                </c:pt>
              </c:strCache>
            </c:strRef>
          </c:cat>
          <c:val>
            <c:numRef>
              <c:f>[2020年决算公开分析图表.xls]Sheet1!$A$3:$B$3</c:f>
              <c:numCache>
                <c:formatCode>#,##0.00</c:formatCode>
                <c:ptCount val="2"/>
                <c:pt idx="0">
                  <c:v>78.89</c:v>
                </c:pt>
                <c:pt idx="1" c:formatCode="General">
                  <c:v>66.52</c:v>
                </c:pt>
              </c:numCache>
            </c:numRef>
          </c:val>
        </c:ser>
        <c:dLbls>
          <c:showLegendKey val="0"/>
          <c:showVal val="0"/>
          <c:showCatName val="0"/>
          <c:showSerName val="0"/>
          <c:showPercent val="0"/>
          <c:showBubbleSize val="0"/>
        </c:dLbls>
        <c:gapWidth val="219"/>
        <c:overlap val="-27"/>
        <c:axId val="806560410"/>
        <c:axId val="772003088"/>
      </c:barChart>
      <c:catAx>
        <c:axId val="80656041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2003088"/>
        <c:crosses val="autoZero"/>
        <c:auto val="1"/>
        <c:lblAlgn val="ctr"/>
        <c:lblOffset val="100"/>
        <c:noMultiLvlLbl val="0"/>
      </c:catAx>
      <c:valAx>
        <c:axId val="77200308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656041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[2020年决算公开分析图表.xls]Sheet1!$A$23:$B$23</c:f>
              <c:strCache>
                <c:ptCount val="2"/>
                <c:pt idx="0">
                  <c:v>2019年</c:v>
                </c:pt>
                <c:pt idx="1">
                  <c:v>2020年</c:v>
                </c:pt>
              </c:strCache>
            </c:strRef>
          </c:cat>
          <c:val>
            <c:numRef>
              <c:f>[2020年决算公开分析图表.xls]Sheet1!$A$24:$B$24</c:f>
              <c:numCache>
                <c:formatCode>General</c:formatCode>
                <c:ptCount val="2"/>
                <c:pt idx="0">
                  <c:v>79.07</c:v>
                </c:pt>
                <c:pt idx="1">
                  <c:v>66.52</c:v>
                </c:pt>
              </c:numCache>
            </c:numRef>
          </c:val>
        </c:ser>
        <c:dLbls>
          <c:showLegendKey val="0"/>
          <c:showVal val="0"/>
          <c:showCatName val="0"/>
          <c:showSerName val="0"/>
          <c:showPercent val="0"/>
          <c:showBubbleSize val="0"/>
        </c:dLbls>
        <c:gapWidth val="219"/>
        <c:overlap val="-27"/>
        <c:axId val="740396028"/>
        <c:axId val="837863803"/>
      </c:barChart>
      <c:catAx>
        <c:axId val="74039602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7863803"/>
        <c:crosses val="autoZero"/>
        <c:auto val="1"/>
        <c:lblAlgn val="ctr"/>
        <c:lblOffset val="100"/>
        <c:noMultiLvlLbl val="0"/>
      </c:catAx>
      <c:valAx>
        <c:axId val="83786380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03960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Pt>
            <c:idx val="5"/>
            <c:bubble3D val="0"/>
            <c:explosion val="0"/>
            <c:spPr>
              <a:solidFill>
                <a:schemeClr val="accent6"/>
              </a:solidFill>
              <a:ln w="19050">
                <a:solidFill>
                  <a:schemeClr val="lt1"/>
                </a:solidFill>
              </a:ln>
              <a:effectLst/>
            </c:spPr>
          </c:dPt>
          <c:dPt>
            <c:idx val="6"/>
            <c:bubble3D val="0"/>
            <c:explosion val="0"/>
            <c:spPr>
              <a:solidFill>
                <a:schemeClr val="accent1">
                  <a:lumMod val="60000"/>
                </a:schemeClr>
              </a:solidFill>
              <a:ln w="19050">
                <a:solidFill>
                  <a:schemeClr val="lt1"/>
                </a:solidFill>
              </a:ln>
              <a:effectLst/>
            </c:spPr>
          </c:dPt>
          <c:dPt>
            <c:idx val="7"/>
            <c:bubble3D val="0"/>
            <c:explosion val="0"/>
            <c:spPr>
              <a:solidFill>
                <a:schemeClr val="accent2">
                  <a:lumMod val="60000"/>
                </a:schemeClr>
              </a:solidFill>
              <a:ln w="19050">
                <a:solidFill>
                  <a:schemeClr val="lt1"/>
                </a:solidFill>
              </a:ln>
              <a:effectLst/>
            </c:spPr>
          </c:dPt>
          <c:dLbls>
            <c:delete val="1"/>
          </c:dLbls>
          <c:cat>
            <c:strRef>
              <c:f>[2020年决算公开分析图表.xls]Sheet1!$C$44:$C$51</c:f>
              <c:strCache>
                <c:ptCount val="8"/>
                <c:pt idx="0">
                  <c:v>一、一般公共预算财政拨款收入</c:v>
                </c:pt>
                <c:pt idx="1">
                  <c:v>二、政府性基金预算财政拨款收入</c:v>
                </c:pt>
                <c:pt idx="2">
                  <c:v>三、国有资本经营预算财政拨款收入</c:v>
                </c:pt>
                <c:pt idx="3">
                  <c:v>四、上级补助收入</c:v>
                </c:pt>
                <c:pt idx="4">
                  <c:v>五、事业收入</c:v>
                </c:pt>
                <c:pt idx="5">
                  <c:v>六、经营收入</c:v>
                </c:pt>
                <c:pt idx="6">
                  <c:v>七、附属单位上缴收入</c:v>
                </c:pt>
                <c:pt idx="7">
                  <c:v>八、其他收入</c:v>
                </c:pt>
              </c:strCache>
            </c:strRef>
          </c:cat>
          <c:val>
            <c:numRef>
              <c:f>[2020年决算公开分析图表.xls]Sheet1!$D$44:$D$51</c:f>
              <c:numCache>
                <c:formatCode>General</c:formatCode>
                <c:ptCount val="8"/>
                <c:pt idx="0">
                  <c:v>845.163172</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65"/>
          <c:y val="0.76775"/>
          <c:w val="0.8695"/>
          <c:h val="0.204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[2020年决算公开分析图表.xls]Sheet1!$C$73:$C$77</c:f>
              <c:strCache>
                <c:ptCount val="5"/>
                <c:pt idx="0">
                  <c:v>基本支出</c:v>
                </c:pt>
                <c:pt idx="1">
                  <c:v>项目支出</c:v>
                </c:pt>
                <c:pt idx="2">
                  <c:v>上缴上级支出</c:v>
                </c:pt>
                <c:pt idx="3">
                  <c:v>经营支出</c:v>
                </c:pt>
                <c:pt idx="4">
                  <c:v>对附属单位补助支出</c:v>
                </c:pt>
              </c:strCache>
            </c:strRef>
          </c:cat>
          <c:val>
            <c:numRef>
              <c:f>[2020年决算公开分析图表.xls]Sheet1!$D$73:$D$77</c:f>
              <c:numCache>
                <c:formatCode>General</c:formatCode>
                <c:ptCount val="5"/>
                <c:pt idx="0">
                  <c:v>108.65</c:v>
                </c:pt>
                <c:pt idx="2">
                  <c:v>0</c:v>
                </c:pt>
                <c:pt idx="3">
                  <c:v>0</c:v>
                </c:pt>
                <c:pt idx="4">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403374233128834"/>
          <c:y val="0.89624341035342"/>
          <c:w val="0.932361963190184"/>
          <c:h val="0.092976855546687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[2020年决算公开分析图表.xls]Sheet1!$A$98:$B$98</c:f>
              <c:strCache>
                <c:ptCount val="2"/>
                <c:pt idx="0">
                  <c:v>2019年</c:v>
                </c:pt>
                <c:pt idx="1">
                  <c:v>2020年</c:v>
                </c:pt>
              </c:strCache>
            </c:strRef>
          </c:cat>
          <c:val>
            <c:numRef>
              <c:f>[2020年决算公开分析图表.xls]Sheet1!$A$99:$B$99</c:f>
              <c:numCache>
                <c:formatCode>#,##0.00</c:formatCode>
                <c:ptCount val="2"/>
                <c:pt idx="0">
                  <c:v>78.89</c:v>
                </c:pt>
                <c:pt idx="1" c:formatCode="General">
                  <c:v>66.52</c:v>
                </c:pt>
              </c:numCache>
            </c:numRef>
          </c:val>
        </c:ser>
        <c:dLbls>
          <c:showLegendKey val="0"/>
          <c:showVal val="0"/>
          <c:showCatName val="0"/>
          <c:showSerName val="0"/>
          <c:showPercent val="0"/>
          <c:showBubbleSize val="0"/>
        </c:dLbls>
        <c:gapWidth val="219"/>
        <c:overlap val="-27"/>
        <c:axId val="800577864"/>
        <c:axId val="252115499"/>
      </c:barChart>
      <c:catAx>
        <c:axId val="80057786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2115499"/>
        <c:crosses val="autoZero"/>
        <c:auto val="1"/>
        <c:lblAlgn val="ctr"/>
        <c:lblOffset val="100"/>
        <c:noMultiLvlLbl val="0"/>
      </c:catAx>
      <c:valAx>
        <c:axId val="25211549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0577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[2020年决算公开分析图表.xls]Sheet1!$A$118:$B$118</c:f>
              <c:strCache>
                <c:ptCount val="2"/>
                <c:pt idx="0">
                  <c:v>2019年</c:v>
                </c:pt>
                <c:pt idx="1">
                  <c:v>2020年</c:v>
                </c:pt>
              </c:strCache>
            </c:strRef>
          </c:cat>
          <c:val>
            <c:numRef>
              <c:f>[2020年决算公开分析图表.xls]Sheet1!$A$119:$B$119</c:f>
              <c:numCache>
                <c:formatCode>General</c:formatCode>
                <c:ptCount val="2"/>
                <c:pt idx="0">
                  <c:v>79.07</c:v>
                </c:pt>
                <c:pt idx="1">
                  <c:v>66.52</c:v>
                </c:pt>
              </c:numCache>
            </c:numRef>
          </c:val>
        </c:ser>
        <c:dLbls>
          <c:showLegendKey val="0"/>
          <c:showVal val="0"/>
          <c:showCatName val="0"/>
          <c:showSerName val="0"/>
          <c:showPercent val="0"/>
          <c:showBubbleSize val="0"/>
        </c:dLbls>
        <c:gapWidth val="219"/>
        <c:overlap val="-27"/>
        <c:axId val="57058211"/>
        <c:axId val="592061464"/>
      </c:barChart>
      <c:catAx>
        <c:axId val="5705821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2061464"/>
        <c:crosses val="autoZero"/>
        <c:auto val="1"/>
        <c:lblAlgn val="ctr"/>
        <c:lblOffset val="100"/>
        <c:noMultiLvlLbl val="0"/>
      </c:catAx>
      <c:valAx>
        <c:axId val="5920614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0582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[2020年决算公开分析图表.xls]Sheet1!$A$131:$B$131</c:f>
              <c:strCache>
                <c:ptCount val="2"/>
                <c:pt idx="0">
                  <c:v>2019年</c:v>
                </c:pt>
                <c:pt idx="1">
                  <c:v>2020年</c:v>
                </c:pt>
              </c:strCache>
            </c:strRef>
          </c:cat>
          <c:val>
            <c:numRef>
              <c:f>[2020年决算公开分析图表.xls]Sheet1!$A$132:$B$132</c:f>
              <c:numCache>
                <c:formatCode>General</c:formatCode>
                <c:ptCount val="2"/>
                <c:pt idx="0">
                  <c:v>79.07</c:v>
                </c:pt>
                <c:pt idx="1">
                  <c:v>79.51</c:v>
                </c:pt>
              </c:numCache>
            </c:numRef>
          </c:val>
        </c:ser>
        <c:dLbls>
          <c:showLegendKey val="0"/>
          <c:showVal val="0"/>
          <c:showCatName val="0"/>
          <c:showSerName val="0"/>
          <c:showPercent val="0"/>
          <c:showBubbleSize val="0"/>
        </c:dLbls>
        <c:gapWidth val="219"/>
        <c:overlap val="-27"/>
        <c:axId val="897569720"/>
        <c:axId val="795704675"/>
      </c:barChart>
      <c:catAx>
        <c:axId val="89756972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5704675"/>
        <c:crosses val="autoZero"/>
        <c:auto val="1"/>
        <c:lblAlgn val="ctr"/>
        <c:lblOffset val="100"/>
        <c:noMultiLvlLbl val="0"/>
      </c:catAx>
      <c:valAx>
        <c:axId val="79570467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7569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manualLayout>
          <c:xMode val="edge"/>
          <c:yMode val="edge"/>
          <c:x val="0.203680123302528"/>
          <c:y val="0.0601851851851852"/>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[2020年决算公开分析图表.xls]Sheet1!$C$147:$C$149</c:f>
              <c:strCache>
                <c:ptCount val="3"/>
                <c:pt idx="0">
                  <c:v>社会保障和就业支出</c:v>
                </c:pt>
                <c:pt idx="1">
                  <c:v>卫生健康支出</c:v>
                </c:pt>
                <c:pt idx="2">
                  <c:v>住房保障支出</c:v>
                </c:pt>
              </c:strCache>
            </c:strRef>
          </c:cat>
          <c:val>
            <c:numRef>
              <c:f>[2020年决算公开分析图表.xls]Sheet1!$D$147:$D$149</c:f>
              <c:numCache>
                <c:formatCode>#,##0.00</c:formatCode>
                <c:ptCount val="3"/>
                <c:pt idx="0">
                  <c:v>59.97</c:v>
                </c:pt>
                <c:pt idx="1">
                  <c:v>2.45</c:v>
                </c:pt>
                <c:pt idx="2">
                  <c:v>4.1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[2020年决算公开分析图表.xls]Sheet1!$B$168:$B$170</c:f>
              <c:strCache>
                <c:ptCount val="3"/>
                <c:pt idx="0">
                  <c:v>因公出国（境）费</c:v>
                </c:pt>
                <c:pt idx="1">
                  <c:v>公务接待费</c:v>
                </c:pt>
                <c:pt idx="2">
                  <c:v>公务用车购置及运行维护费</c:v>
                </c:pt>
              </c:strCache>
            </c:strRef>
          </c:cat>
          <c:val>
            <c:numRef>
              <c:f>[2020年决算公开分析图表.xls]Sheet1!$C$168:$C$170</c:f>
              <c:numCache>
                <c:formatCode>General</c:formatCode>
                <c:ptCount val="3"/>
                <c:pt idx="0">
                  <c:v>0</c:v>
                </c:pt>
                <c:pt idx="1">
                  <c:v>0</c:v>
                </c:pt>
                <c:pt idx="2">
                  <c:v>10.989192</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329715620277511"/>
          <c:y val="0.894993894993895"/>
          <c:w val="0.928698997114988"/>
          <c:h val="0.077533577533577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9623</Words>
  <Characters>10167</Characters>
  <Lines>74</Lines>
  <Paragraphs>21</Paragraphs>
  <TotalTime>18</TotalTime>
  <ScaleCrop>false</ScaleCrop>
  <LinksUpToDate>false</LinksUpToDate>
  <CharactersWithSpaces>10245</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user</cp:lastModifiedBy>
  <cp:lastPrinted>2021-07-29T19:56:00Z</cp:lastPrinted>
  <dcterms:modified xsi:type="dcterms:W3CDTF">2026-08-17T17:29:06Z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40629374B4DF4975BFF2377BB707D42B</vt:lpwstr>
  </property>
</Properties>
</file>