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hint="eastAsia" w:ascii="黑体" w:hAnsi="黑体" w:eastAsia="黑体" w:cs="黑体"/>
          <w:sz w:val="72"/>
          <w:szCs w:val="72"/>
        </w:rPr>
      </w:pPr>
      <w:r>
        <w:rPr>
          <w:rFonts w:hint="eastAsia" w:ascii="黑体" w:hAnsi="黑体" w:eastAsia="黑体" w:cs="黑体"/>
          <w:sz w:val="72"/>
          <w:szCs w:val="72"/>
        </w:rPr>
        <w:t>壤塘县红十字会</w:t>
      </w:r>
    </w:p>
    <w:p>
      <w:pPr>
        <w:jc w:val="center"/>
        <w:rPr>
          <w:rFonts w:ascii="黑体" w:hAnsi="黑体" w:eastAsia="黑体" w:cs="Times New Roman"/>
          <w:sz w:val="72"/>
          <w:szCs w:val="72"/>
        </w:rPr>
      </w:pP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一、</w:t>
      </w:r>
      <w:r>
        <w:rPr>
          <w:rFonts w:hint="eastAsia" w:ascii="黑体" w:hAnsi="黑体" w:eastAsia="黑体" w:cs="黑体"/>
          <w:kern w:val="2"/>
          <w:sz w:val="32"/>
          <w:szCs w:val="32"/>
        </w:rPr>
        <w:t>基本职能及主要工作</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（一）壤塘县红十字会职能简介</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1.传播国际红十字运动知识和国际人道法；宣传、执行《中华人民共和国红十字会</w:t>
      </w:r>
      <w:r>
        <w:rPr>
          <w:rFonts w:hint="eastAsia" w:ascii="仿宋_GB2312" w:hAnsi="黑体" w:eastAsia="仿宋_GB2312" w:cs="仿宋_GB2312"/>
          <w:sz w:val="32"/>
          <w:szCs w:val="32"/>
          <w:lang w:eastAsia="zh-CN"/>
        </w:rPr>
        <w:t>法</w:t>
      </w:r>
      <w:r>
        <w:rPr>
          <w:rFonts w:hint="eastAsia" w:ascii="仿宋_GB2312" w:hAnsi="黑体" w:eastAsia="仿宋_GB2312" w:cs="仿宋_GB2312"/>
          <w:sz w:val="32"/>
          <w:szCs w:val="32"/>
        </w:rPr>
        <w:t>》、《中华人民共和国红十字标志使用方法》等法律、法规。</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2.开展备灾救灾工作，在自然灾害和突发事件中，开展对受害者的救助和帮助。</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3.开展人道领域内的社区服务、社会公益服务活动及卫生救护、防病常识的宣传和普及。</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4.开展艾滋病预防及吸毒危害的宣传教育工作，提高公民自我防护意识和能力。</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5.组织会员、志愿工作者开展社会服务活动。参与本地区的医疗服务救助工作和扶贫助学工作。</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6.开展红十字会品牌项目活动，积极推动“三救、三献”工作。</w:t>
      </w:r>
    </w:p>
    <w:p>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7.依照国际红十字会的基本原则，完成上级红会及县委</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县人民政府委托的其他事项。</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color w:val="FF0000"/>
          <w:kern w:val="2"/>
          <w:sz w:val="32"/>
          <w:szCs w:val="32"/>
        </w:rPr>
      </w:pPr>
      <w:r>
        <w:rPr>
          <w:rFonts w:hint="eastAsia" w:ascii="楷体_GB2312" w:hAnsi="黑体" w:eastAsia="楷体_GB2312" w:cs="楷体_GB2312"/>
          <w:b/>
          <w:bCs/>
          <w:color w:val="FF0000"/>
          <w:kern w:val="2"/>
          <w:sz w:val="32"/>
          <w:szCs w:val="32"/>
        </w:rPr>
        <w:t>（二）壤塘县红十字会202</w:t>
      </w:r>
      <w:r>
        <w:rPr>
          <w:rFonts w:hint="eastAsia" w:ascii="楷体_GB2312" w:hAnsi="黑体" w:eastAsia="楷体_GB2312" w:cs="楷体_GB2312"/>
          <w:b/>
          <w:bCs/>
          <w:color w:val="FF0000"/>
          <w:kern w:val="2"/>
          <w:sz w:val="32"/>
          <w:szCs w:val="32"/>
          <w:lang w:val="en-US" w:eastAsia="zh-CN"/>
        </w:rPr>
        <w:t>2</w:t>
      </w:r>
      <w:r>
        <w:rPr>
          <w:rFonts w:hint="eastAsia" w:ascii="楷体_GB2312" w:hAnsi="黑体" w:eastAsia="楷体_GB2312" w:cs="楷体_GB2312"/>
          <w:b/>
          <w:bCs/>
          <w:color w:val="FF0000"/>
          <w:kern w:val="2"/>
          <w:sz w:val="32"/>
          <w:szCs w:val="32"/>
        </w:rPr>
        <w:t>年重点工作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32"/>
          <w:szCs w:val="32"/>
          <w:lang w:val="en-US" w:eastAsia="zh-CN"/>
        </w:rPr>
        <w:t>一月份</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开展“红十字会博爱送万家”暨“送温暖”活动。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2.慰问我县失独老人、孤儿、五保户，给他们送去春节的问候。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三月份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1.做好2022</w:t>
      </w:r>
      <w:bookmarkStart w:id="0" w:name="_GoBack"/>
      <w:bookmarkEnd w:id="0"/>
      <w:r>
        <w:rPr>
          <w:rFonts w:hint="eastAsia" w:ascii="仿宋_GB2312" w:hAnsi="仿宋_GB2312" w:eastAsia="仿宋_GB2312" w:cs="仿宋_GB2312"/>
          <w:sz w:val="32"/>
          <w:szCs w:val="32"/>
          <w:lang w:val="en-US" w:eastAsia="zh-CN"/>
        </w:rPr>
        <w:t>年志愿者招募工作。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按照要求规范</w:t>
      </w:r>
      <w:r>
        <w:rPr>
          <w:rFonts w:hint="eastAsia" w:ascii="仿宋_GB2312" w:hAnsi="仿宋_GB2312" w:eastAsia="仿宋_GB2312" w:cs="仿宋_GB2312"/>
          <w:sz w:val="32"/>
          <w:szCs w:val="32"/>
          <w:lang w:eastAsia="zh-CN"/>
        </w:rPr>
        <w:t>捐赠</w:t>
      </w:r>
      <w:r>
        <w:rPr>
          <w:rFonts w:hint="eastAsia" w:ascii="仿宋_GB2312" w:hAnsi="仿宋_GB2312" w:eastAsia="仿宋_GB2312" w:cs="仿宋_GB2312"/>
          <w:sz w:val="32"/>
          <w:szCs w:val="32"/>
        </w:rPr>
        <w:t>款物管理，做好</w:t>
      </w:r>
      <w:r>
        <w:rPr>
          <w:rFonts w:hint="eastAsia" w:ascii="仿宋_GB2312" w:hAnsi="仿宋_GB2312" w:eastAsia="仿宋_GB2312" w:cs="仿宋_GB2312"/>
          <w:sz w:val="32"/>
          <w:szCs w:val="32"/>
          <w:lang w:eastAsia="zh-CN"/>
        </w:rPr>
        <w:t>疫情捐赠物资</w:t>
      </w:r>
      <w:r>
        <w:rPr>
          <w:rFonts w:hint="eastAsia" w:ascii="仿宋_GB2312" w:hAnsi="仿宋_GB2312" w:eastAsia="仿宋_GB2312" w:cs="仿宋_GB2312"/>
          <w:sz w:val="32"/>
          <w:szCs w:val="32"/>
        </w:rPr>
        <w:t>公示公开，遵照捐赠意愿，及时汇缴和分配好捐赠资金和物资。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3.到联系村、联系户开展“三月群众月”相关慰问工作。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四月份</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开展红十字会志愿者培训班。</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开展红十字会小学生自救互救、防灾避险知识大讲堂。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五月份</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开展“5.8”红十字纪念日活动。</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开展5月12日“防灾减灾”知识宣传活动。</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开展“防震减灾”应急演练。</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开展壤塘县红十字会“2020年救护员培训”第一期工作。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六月份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1.开展壤塘县红十字会“应急救护知识”进学校活动。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2.开展壤塘县红十字会“2020年救护员培训”第二期工作。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3.开展失独老人慰问活动。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七月份</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社区开展“七.一”老党员慰问活动。</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开展壤塘县红十字会“应急救护知识”进学校活动。</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开展壤塘县红十字会“应急救护知识”进寺庙活动。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八月份</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开展各乡镇防灾避险宣讲。</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开展中小学防灾避险逃生演练活动。</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开展全县青少年应急救护知识竞赛活动。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九月份</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全县应急救护知识“五进”常态化开展。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十月份</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开展“扶贫日”爱心捐赠活动。</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全县应急救护知识“五进”常态化开展。</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慰问敬老院老人。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黑体" w:eastAsia="楷体_GB2312" w:cs="楷体_GB2312"/>
          <w:b/>
          <w:bCs/>
          <w:color w:val="FF0000"/>
          <w:kern w:val="2"/>
          <w:sz w:val="32"/>
          <w:szCs w:val="32"/>
        </w:rPr>
      </w:pPr>
      <w:r>
        <w:rPr>
          <w:rFonts w:hint="eastAsia" w:ascii="仿宋_GB2312" w:hAnsi="仿宋_GB2312" w:eastAsia="仿宋_GB2312" w:cs="仿宋_GB2312"/>
          <w:sz w:val="32"/>
          <w:szCs w:val="32"/>
          <w:lang w:val="en-US" w:eastAsia="zh-CN"/>
        </w:rPr>
        <w:t>十二月份常态化开展以上工作</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二、</w:t>
      </w:r>
      <w:r>
        <w:rPr>
          <w:rFonts w:hint="eastAsia" w:ascii="黑体" w:hAnsi="黑体" w:eastAsia="黑体" w:cs="黑体"/>
          <w:kern w:val="2"/>
          <w:sz w:val="32"/>
          <w:szCs w:val="32"/>
        </w:rPr>
        <w:t>部门预算单位构成</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cs="Times New Roman"/>
          <w:kern w:val="2"/>
          <w:sz w:val="32"/>
          <w:szCs w:val="32"/>
        </w:rPr>
      </w:pPr>
      <w:r>
        <w:rPr>
          <w:rFonts w:hint="eastAsia" w:hAnsi="黑体"/>
          <w:kern w:val="2"/>
          <w:sz w:val="32"/>
          <w:szCs w:val="32"/>
        </w:rPr>
        <w:t>壤塘县红十字会属一级预算单位。</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三、</w:t>
      </w:r>
      <w:r>
        <w:rPr>
          <w:rFonts w:hint="eastAsia" w:ascii="黑体" w:hAnsi="黑体" w:eastAsia="黑体" w:cs="黑体"/>
          <w:kern w:val="2"/>
          <w:sz w:val="32"/>
          <w:szCs w:val="32"/>
        </w:rPr>
        <w:t>收支预算情况说明</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按照综合预算的原则，壤塘县红十字会所有收入和支出均纳入部门预算管理。收入包括：一般公共预算拨款收入</w:t>
      </w:r>
      <w:r>
        <w:rPr>
          <w:rFonts w:hint="eastAsia" w:hAnsi="黑体" w:cs="Times New Roman"/>
          <w:kern w:val="2"/>
          <w:sz w:val="32"/>
          <w:szCs w:val="32"/>
        </w:rPr>
        <w:t>61.32</w:t>
      </w:r>
      <w:r>
        <w:rPr>
          <w:rFonts w:hint="eastAsia" w:hAnsi="黑体"/>
          <w:kern w:val="2"/>
          <w:sz w:val="32"/>
          <w:szCs w:val="32"/>
        </w:rPr>
        <w:t>万</w:t>
      </w:r>
      <w:r>
        <w:rPr>
          <w:rFonts w:hint="eastAsia" w:hAnsi="黑体"/>
          <w:kern w:val="2"/>
          <w:sz w:val="32"/>
          <w:szCs w:val="32"/>
          <w:lang w:val="en-US" w:eastAsia="zh-CN"/>
        </w:rPr>
        <w:t>元</w:t>
      </w:r>
      <w:r>
        <w:rPr>
          <w:rFonts w:hint="eastAsia" w:hAnsi="黑体"/>
          <w:kern w:val="2"/>
          <w:sz w:val="32"/>
          <w:szCs w:val="32"/>
        </w:rPr>
        <w:t>；支出包括：社会保障和就业支出</w:t>
      </w:r>
      <w:r>
        <w:rPr>
          <w:rFonts w:hint="eastAsia" w:hAnsi="黑体" w:cs="Times New Roman"/>
          <w:kern w:val="2"/>
          <w:sz w:val="32"/>
          <w:szCs w:val="32"/>
        </w:rPr>
        <w:t>52.65</w:t>
      </w:r>
      <w:r>
        <w:rPr>
          <w:rFonts w:hint="eastAsia" w:hAnsi="黑体"/>
          <w:kern w:val="2"/>
          <w:sz w:val="32"/>
          <w:szCs w:val="32"/>
        </w:rPr>
        <w:t>万元，卫生健康支出</w:t>
      </w:r>
      <w:r>
        <w:rPr>
          <w:rFonts w:hint="eastAsia" w:hAnsi="黑体" w:cs="Times New Roman"/>
          <w:kern w:val="2"/>
          <w:sz w:val="32"/>
          <w:szCs w:val="32"/>
        </w:rPr>
        <w:t>3.20</w:t>
      </w:r>
      <w:r>
        <w:rPr>
          <w:rFonts w:hint="eastAsia" w:hAnsi="黑体"/>
          <w:kern w:val="2"/>
          <w:sz w:val="32"/>
          <w:szCs w:val="32"/>
        </w:rPr>
        <w:t>万元，住房保障支出</w:t>
      </w:r>
      <w:r>
        <w:rPr>
          <w:rFonts w:hint="eastAsia" w:hAnsi="黑体" w:cs="Times New Roman"/>
          <w:kern w:val="2"/>
          <w:sz w:val="32"/>
          <w:szCs w:val="32"/>
        </w:rPr>
        <w:t>5.47</w:t>
      </w:r>
      <w:r>
        <w:rPr>
          <w:rFonts w:hint="eastAsia" w:hAnsi="黑体"/>
          <w:kern w:val="2"/>
          <w:sz w:val="32"/>
          <w:szCs w:val="32"/>
        </w:rPr>
        <w:t>万元。壤塘县红十字会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rPr>
        <w:t>61.32</w:t>
      </w:r>
      <w:r>
        <w:rPr>
          <w:rFonts w:hint="eastAsia" w:hAnsi="黑体"/>
          <w:kern w:val="2"/>
          <w:sz w:val="32"/>
          <w:szCs w:val="32"/>
        </w:rPr>
        <w:t>万元</w:t>
      </w:r>
      <w:r>
        <w:rPr>
          <w:rFonts w:hAnsi="黑体"/>
          <w:kern w:val="2"/>
          <w:sz w:val="32"/>
          <w:szCs w:val="32"/>
        </w:rPr>
        <w:t>,</w:t>
      </w:r>
      <w:r>
        <w:rPr>
          <w:rFonts w:hint="eastAsia" w:hAnsi="黑体"/>
          <w:kern w:val="2"/>
          <w:sz w:val="32"/>
          <w:szCs w:val="32"/>
        </w:rPr>
        <w:t>　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增加13.32</w:t>
      </w:r>
      <w:r>
        <w:rPr>
          <w:rFonts w:hint="eastAsia" w:hAnsi="黑体"/>
          <w:kern w:val="2"/>
          <w:sz w:val="32"/>
          <w:szCs w:val="32"/>
        </w:rPr>
        <w:t>万元，主要原因</w:t>
      </w:r>
      <w:r>
        <w:rPr>
          <w:rFonts w:hAnsi="黑体"/>
          <w:kern w:val="2"/>
          <w:sz w:val="32"/>
          <w:szCs w:val="32"/>
        </w:rPr>
        <w:t>:202</w:t>
      </w:r>
      <w:r>
        <w:rPr>
          <w:rFonts w:hint="eastAsia" w:hAnsi="黑体"/>
          <w:kern w:val="2"/>
          <w:sz w:val="32"/>
          <w:szCs w:val="32"/>
          <w:lang w:val="en-US" w:eastAsia="zh-CN"/>
        </w:rPr>
        <w:t>2</w:t>
      </w:r>
      <w:r>
        <w:rPr>
          <w:rFonts w:hint="eastAsia" w:hAnsi="黑体"/>
          <w:kern w:val="2"/>
          <w:sz w:val="32"/>
          <w:szCs w:val="32"/>
        </w:rPr>
        <w:t>人员经费预算</w:t>
      </w:r>
      <w:r>
        <w:rPr>
          <w:rFonts w:hint="eastAsia" w:hAnsi="黑体"/>
          <w:kern w:val="2"/>
          <w:sz w:val="32"/>
          <w:szCs w:val="32"/>
          <w:lang w:val="en-US" w:eastAsia="zh-CN"/>
        </w:rPr>
        <w:t>增加</w:t>
      </w:r>
      <w:r>
        <w:rPr>
          <w:rFonts w:hint="eastAsia" w:hAnsi="黑体"/>
          <w:kern w:val="2"/>
          <w:sz w:val="32"/>
          <w:szCs w:val="32"/>
        </w:rPr>
        <w:t>。</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收入预算情况</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rPr>
        <w:t>61.32</w:t>
      </w:r>
      <w:r>
        <w:rPr>
          <w:rFonts w:hint="eastAsia" w:hAnsi="黑体"/>
          <w:kern w:val="2"/>
          <w:sz w:val="32"/>
          <w:szCs w:val="32"/>
        </w:rPr>
        <w:t>万元；一般公共预算拨款收入</w:t>
      </w:r>
      <w:r>
        <w:rPr>
          <w:rFonts w:hint="eastAsia" w:hAnsi="黑体" w:cs="Times New Roman"/>
          <w:kern w:val="2"/>
          <w:sz w:val="32"/>
          <w:szCs w:val="32"/>
        </w:rPr>
        <w:t>61.32</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1"/>
        <w:rPr>
          <w:rFonts w:hAnsi="黑体" w:cs="Times New Roman"/>
          <w:kern w:val="2"/>
          <w:sz w:val="32"/>
          <w:szCs w:val="32"/>
        </w:rPr>
      </w:pPr>
      <w:r>
        <w:rPr>
          <w:rFonts w:hint="eastAsia" w:ascii="楷体_GB2312" w:hAnsi="黑体" w:eastAsia="楷体_GB2312" w:cs="楷体_GB2312"/>
          <w:b/>
          <w:bCs/>
          <w:kern w:val="2"/>
          <w:sz w:val="32"/>
          <w:szCs w:val="32"/>
        </w:rPr>
        <w:t>（二）支出预算情况</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rPr>
        <w:t>61.32</w:t>
      </w:r>
      <w:r>
        <w:rPr>
          <w:rFonts w:hint="eastAsia" w:hAnsi="黑体"/>
          <w:kern w:val="2"/>
          <w:sz w:val="32"/>
          <w:szCs w:val="32"/>
        </w:rPr>
        <w:t>万元，其中：基本支出</w:t>
      </w:r>
      <w:r>
        <w:rPr>
          <w:rFonts w:hint="eastAsia" w:hAnsi="黑体" w:cs="Times New Roman"/>
          <w:kern w:val="2"/>
          <w:sz w:val="32"/>
          <w:szCs w:val="32"/>
        </w:rPr>
        <w:t>61.32</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四、</w:t>
      </w:r>
      <w:r>
        <w:rPr>
          <w:rFonts w:hint="eastAsia" w:ascii="黑体" w:hAnsi="黑体" w:eastAsia="黑体" w:cs="黑体"/>
          <w:kern w:val="2"/>
          <w:sz w:val="32"/>
          <w:szCs w:val="32"/>
        </w:rPr>
        <w:t>财政拨款收支预算情况说明</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rPr>
        <w:t>61.32</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财政拨款收支总预算</w:t>
      </w:r>
      <w:r>
        <w:rPr>
          <w:rFonts w:hint="eastAsia" w:hAnsi="黑体"/>
          <w:kern w:val="2"/>
          <w:sz w:val="32"/>
          <w:szCs w:val="32"/>
          <w:lang w:val="en-US" w:eastAsia="zh-CN"/>
        </w:rPr>
        <w:t>增加13.32万元</w:t>
      </w:r>
      <w:r>
        <w:rPr>
          <w:rFonts w:hint="eastAsia" w:hAnsi="黑体"/>
          <w:kern w:val="2"/>
          <w:sz w:val="32"/>
          <w:szCs w:val="32"/>
        </w:rPr>
        <w:t>，主要原因</w:t>
      </w:r>
      <w:r>
        <w:rPr>
          <w:rFonts w:hAnsi="黑体"/>
          <w:kern w:val="2"/>
          <w:sz w:val="32"/>
          <w:szCs w:val="32"/>
        </w:rPr>
        <w:t>: 202</w:t>
      </w:r>
      <w:r>
        <w:rPr>
          <w:rFonts w:hint="eastAsia" w:hAnsi="黑体"/>
          <w:kern w:val="2"/>
          <w:sz w:val="32"/>
          <w:szCs w:val="32"/>
          <w:lang w:val="en-US" w:eastAsia="zh-CN"/>
        </w:rPr>
        <w:t>2</w:t>
      </w:r>
      <w:r>
        <w:rPr>
          <w:rFonts w:hint="eastAsia" w:hAnsi="黑体"/>
          <w:kern w:val="2"/>
          <w:sz w:val="32"/>
          <w:szCs w:val="32"/>
        </w:rPr>
        <w:t>人员经费预算</w:t>
      </w:r>
      <w:r>
        <w:rPr>
          <w:rFonts w:hint="eastAsia" w:hAnsi="黑体"/>
          <w:kern w:val="2"/>
          <w:sz w:val="32"/>
          <w:szCs w:val="32"/>
          <w:lang w:val="en-US" w:eastAsia="zh-CN"/>
        </w:rPr>
        <w:t>增加</w:t>
      </w:r>
      <w:r>
        <w:rPr>
          <w:rFonts w:hint="eastAsia" w:hAnsi="黑体"/>
          <w:kern w:val="2"/>
          <w:sz w:val="32"/>
          <w:szCs w:val="32"/>
        </w:rPr>
        <w:t>。</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rPr>
        <w:t>61.32</w:t>
      </w:r>
      <w:r>
        <w:rPr>
          <w:rFonts w:hint="eastAsia" w:hAnsi="黑体"/>
          <w:kern w:val="2"/>
          <w:sz w:val="32"/>
          <w:szCs w:val="32"/>
        </w:rPr>
        <w:t>万元。</w:t>
      </w:r>
      <w:r>
        <w:rPr>
          <w:rFonts w:hAnsi="黑体" w:cs="Times New Roman"/>
          <w:kern w:val="2"/>
          <w:sz w:val="32"/>
          <w:szCs w:val="32"/>
        </w:rPr>
        <w:t xml:space="preserve"> </w:t>
      </w:r>
      <w:r>
        <w:rPr>
          <w:rFonts w:hAnsi="黑体" w:cs="Times New Roman"/>
          <w:kern w:val="2"/>
          <w:sz w:val="32"/>
          <w:szCs w:val="32"/>
        </w:rPr>
        <w:br w:type="textWrapping"/>
      </w:r>
      <w:r>
        <w:rPr>
          <w:rFonts w:hint="eastAsia" w:hAnsi="黑体"/>
          <w:kern w:val="2"/>
          <w:sz w:val="32"/>
          <w:szCs w:val="32"/>
        </w:rPr>
        <w:t>　　支出包括：社会保障和就业支出52.65万元，卫生健康支出3.20万元，住房保障支出5.47万元。</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0"/>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1"/>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一般公共预算当年拨款61.32万元，比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增加13.32</w:t>
      </w:r>
      <w:r>
        <w:rPr>
          <w:rFonts w:hint="eastAsia" w:hAnsi="黑体"/>
          <w:kern w:val="2"/>
          <w:sz w:val="32"/>
          <w:szCs w:val="32"/>
        </w:rPr>
        <w:t>万元，主要是基本支出</w:t>
      </w:r>
      <w:r>
        <w:rPr>
          <w:rFonts w:hint="eastAsia" w:hAnsi="黑体"/>
          <w:kern w:val="2"/>
          <w:sz w:val="32"/>
          <w:szCs w:val="32"/>
          <w:lang w:val="en-US" w:eastAsia="zh-CN"/>
        </w:rPr>
        <w:t>增加13.32</w:t>
      </w:r>
      <w:r>
        <w:rPr>
          <w:rFonts w:hint="eastAsia" w:hAnsi="黑体"/>
          <w:kern w:val="2"/>
          <w:sz w:val="32"/>
          <w:szCs w:val="32"/>
        </w:rPr>
        <w:t>万元，主要原因</w:t>
      </w:r>
      <w:r>
        <w:rPr>
          <w:rFonts w:hAnsi="黑体"/>
          <w:kern w:val="2"/>
          <w:sz w:val="32"/>
          <w:szCs w:val="32"/>
        </w:rPr>
        <w:t>: 202</w:t>
      </w:r>
      <w:r>
        <w:rPr>
          <w:rFonts w:hint="eastAsia" w:hAnsi="黑体"/>
          <w:kern w:val="2"/>
          <w:sz w:val="32"/>
          <w:szCs w:val="32"/>
          <w:lang w:val="en-US" w:eastAsia="zh-CN"/>
        </w:rPr>
        <w:t>2</w:t>
      </w:r>
      <w:r>
        <w:rPr>
          <w:rFonts w:hint="eastAsia" w:hAnsi="黑体"/>
          <w:kern w:val="2"/>
          <w:sz w:val="32"/>
          <w:szCs w:val="32"/>
        </w:rPr>
        <w:t>人员经费预算</w:t>
      </w:r>
      <w:r>
        <w:rPr>
          <w:rFonts w:hint="eastAsia" w:hAnsi="黑体"/>
          <w:kern w:val="2"/>
          <w:sz w:val="32"/>
          <w:szCs w:val="32"/>
          <w:lang w:val="en-US" w:eastAsia="zh-CN"/>
        </w:rPr>
        <w:t>增加</w:t>
      </w:r>
      <w:r>
        <w:rPr>
          <w:rFonts w:hint="eastAsia" w:hAnsi="黑体"/>
          <w:kern w:val="2"/>
          <w:sz w:val="32"/>
          <w:szCs w:val="32"/>
        </w:rPr>
        <w:t>。</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一般公共预算当年拨款结构情况</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社会保障和就业支出52.65万元，</w:t>
      </w:r>
      <w:r>
        <w:rPr>
          <w:rFonts w:hint="eastAsia" w:hAnsi="黑体"/>
          <w:kern w:val="2"/>
          <w:sz w:val="32"/>
          <w:szCs w:val="32"/>
          <w:lang w:val="en-US" w:eastAsia="zh-CN"/>
        </w:rPr>
        <w:t>占85.86%；</w:t>
      </w:r>
      <w:r>
        <w:rPr>
          <w:rFonts w:hint="eastAsia" w:hAnsi="黑体"/>
          <w:kern w:val="2"/>
          <w:sz w:val="32"/>
          <w:szCs w:val="32"/>
        </w:rPr>
        <w:t>卫生健康支出3.20万元，</w:t>
      </w:r>
      <w:r>
        <w:rPr>
          <w:rFonts w:hint="eastAsia" w:hAnsi="黑体"/>
          <w:kern w:val="2"/>
          <w:sz w:val="32"/>
          <w:szCs w:val="32"/>
          <w:lang w:val="en-US" w:eastAsia="zh-CN"/>
        </w:rPr>
        <w:t>占5.22%；</w:t>
      </w:r>
      <w:r>
        <w:rPr>
          <w:rFonts w:hint="eastAsia" w:hAnsi="黑体"/>
          <w:kern w:val="2"/>
          <w:sz w:val="32"/>
          <w:szCs w:val="32"/>
        </w:rPr>
        <w:t>住房保障支出5.47万元</w:t>
      </w:r>
      <w:r>
        <w:rPr>
          <w:rFonts w:hint="eastAsia" w:hAnsi="黑体"/>
          <w:kern w:val="2"/>
          <w:sz w:val="32"/>
          <w:szCs w:val="32"/>
          <w:lang w:eastAsia="zh-CN"/>
        </w:rPr>
        <w:t>，</w:t>
      </w:r>
      <w:r>
        <w:rPr>
          <w:rFonts w:hint="eastAsia" w:hAnsi="黑体"/>
          <w:kern w:val="2"/>
          <w:sz w:val="32"/>
          <w:szCs w:val="32"/>
          <w:lang w:val="en-US" w:eastAsia="zh-CN"/>
        </w:rPr>
        <w:t>占8.92%</w:t>
      </w:r>
      <w:r>
        <w:rPr>
          <w:rFonts w:hint="eastAsia" w:hAnsi="黑体"/>
          <w:kern w:val="2"/>
          <w:sz w:val="32"/>
          <w:szCs w:val="32"/>
        </w:rPr>
        <w:t>。</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三</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一般公共预算当年拨款具体使用情况</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int="eastAsia" w:hAnsi="黑体"/>
          <w:kern w:val="2"/>
          <w:sz w:val="32"/>
          <w:szCs w:val="32"/>
        </w:rPr>
        <w:t>1</w:t>
      </w:r>
      <w:r>
        <w:rPr>
          <w:rFonts w:hAnsi="黑体"/>
          <w:kern w:val="2"/>
          <w:sz w:val="32"/>
          <w:szCs w:val="32"/>
        </w:rPr>
        <w:t>.208</w:t>
      </w:r>
      <w:r>
        <w:rPr>
          <w:rFonts w:hint="eastAsia" w:hAnsi="黑体"/>
          <w:kern w:val="2"/>
          <w:sz w:val="32"/>
          <w:szCs w:val="32"/>
        </w:rPr>
        <w:t>（类）</w:t>
      </w:r>
      <w:r>
        <w:rPr>
          <w:rFonts w:hAnsi="黑体"/>
          <w:kern w:val="2"/>
          <w:sz w:val="32"/>
          <w:szCs w:val="32"/>
        </w:rPr>
        <w:t>16</w:t>
      </w:r>
      <w:r>
        <w:rPr>
          <w:rFonts w:hint="eastAsia" w:hAnsi="黑体"/>
          <w:kern w:val="2"/>
          <w:sz w:val="32"/>
          <w:szCs w:val="32"/>
        </w:rPr>
        <w:t>（款）</w:t>
      </w:r>
      <w:r>
        <w:rPr>
          <w:rFonts w:hAnsi="黑体"/>
          <w:kern w:val="2"/>
          <w:sz w:val="32"/>
          <w:szCs w:val="32"/>
        </w:rPr>
        <w:t>01</w:t>
      </w:r>
      <w:r>
        <w:rPr>
          <w:rFonts w:hint="eastAsia" w:hAnsi="黑体"/>
          <w:kern w:val="2"/>
          <w:sz w:val="32"/>
          <w:szCs w:val="32"/>
        </w:rPr>
        <w:t>（项）：行政运行</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预算数为44.20万元，主要用于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年单位职工工资福利支出（基本工资、津补贴、绩效工资等）、日常公用经费支出（办公费、邮电费、劳务费等）、工会经费和公务用车运行维护费。</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2.</w:t>
      </w:r>
      <w:r>
        <w:rPr>
          <w:rFonts w:hint="eastAsia" w:hAnsi="黑体"/>
          <w:kern w:val="2"/>
          <w:sz w:val="32"/>
          <w:szCs w:val="32"/>
        </w:rPr>
        <w:t>208（类）05（款）05（项）机关事业单位基本养老保险缴费支出</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预算数为5.63万元，主要用于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年单位养老保险支出。</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3.</w:t>
      </w:r>
      <w:r>
        <w:rPr>
          <w:rFonts w:hint="eastAsia" w:hAnsi="黑体"/>
          <w:kern w:val="2"/>
          <w:sz w:val="32"/>
          <w:szCs w:val="32"/>
        </w:rPr>
        <w:t>208（类）05（款）06（项）机关事业单位职业年金缴费支出</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预算数为5.63万元，主要用于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年单位职业年金支出。</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Ansi="黑体"/>
          <w:kern w:val="2"/>
          <w:sz w:val="32"/>
          <w:szCs w:val="32"/>
        </w:rPr>
        <w:t>4.</w:t>
      </w:r>
      <w:r>
        <w:rPr>
          <w:rFonts w:hint="eastAsia" w:hAnsi="黑体"/>
          <w:kern w:val="2"/>
          <w:sz w:val="32"/>
          <w:szCs w:val="32"/>
        </w:rPr>
        <w:t>210（类）11（款）01（项）行政单位医疗</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预算数为2.47万元，主要用于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年单位行政医疗支出。</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Ansi="黑体"/>
          <w:kern w:val="2"/>
          <w:sz w:val="32"/>
          <w:szCs w:val="32"/>
        </w:rPr>
        <w:t xml:space="preserve"> 5.</w:t>
      </w:r>
      <w:r>
        <w:rPr>
          <w:rFonts w:hint="eastAsia" w:hAnsi="黑体"/>
          <w:kern w:val="2"/>
          <w:sz w:val="32"/>
          <w:szCs w:val="32"/>
        </w:rPr>
        <w:t>210（类）11（款）03（项）公务员医疗补助</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预算数为0.73万元，主要用于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年单位公务员医疗补助支出。</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Ansi="黑体"/>
          <w:kern w:val="2"/>
          <w:sz w:val="32"/>
          <w:szCs w:val="32"/>
        </w:rPr>
        <w:t>6.</w:t>
      </w:r>
      <w:r>
        <w:rPr>
          <w:rFonts w:hint="eastAsia" w:hAnsi="黑体"/>
          <w:kern w:val="2"/>
          <w:sz w:val="32"/>
          <w:szCs w:val="32"/>
        </w:rPr>
        <w:t>221（类）02（款）01（项）住房公积金</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预算数为5.47万元，主要用于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年单位住房公积金支出。</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0"/>
        <w:rPr>
          <w:rFonts w:ascii="??" w:hAnsi="??" w:eastAsia="宋体" w:cs="Times New Roman"/>
          <w:b/>
          <w:bCs/>
          <w:sz w:val="16"/>
          <w:szCs w:val="16"/>
        </w:rPr>
      </w:pP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61.32万元，其中：人员经费53.01万元，主要包括：基本工资、津贴补贴、奖金、其他社会保障缴费、绩效工资、机关事业单位基本养老保险缴费、职业年金缴费、其他工资福利支出、离休费、奖励金、住房公积金、其他对个人和家庭的补助支出。公用经费8.30万元，主要包括：办公费、印刷费、手续费、水费、电费、邮电费、差旅费、维修（护）费、租赁费、会议费、培训费、劳务费、工会经费、福利费、其他交通工具运行维护费、其他商品和服务支出。</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Ansi="黑体"/>
          <w:kern w:val="2"/>
          <w:sz w:val="32"/>
          <w:szCs w:val="32"/>
        </w:rPr>
        <w:t>4</w:t>
      </w:r>
      <w:r>
        <w:rPr>
          <w:rFonts w:hint="eastAsia" w:hAnsi="黑体"/>
          <w:kern w:val="2"/>
          <w:sz w:val="32"/>
          <w:szCs w:val="32"/>
          <w:lang w:val="en-US" w:eastAsia="zh-CN"/>
        </w:rPr>
        <w:t>.06</w:t>
      </w:r>
      <w:r>
        <w:rPr>
          <w:rFonts w:hint="eastAsia" w:hAnsi="黑体"/>
          <w:kern w:val="2"/>
          <w:sz w:val="32"/>
          <w:szCs w:val="32"/>
        </w:rPr>
        <w:t>万元，其中：公务用车运行维护费</w:t>
      </w:r>
      <w:r>
        <w:rPr>
          <w:rFonts w:hAnsi="黑体"/>
          <w:kern w:val="2"/>
          <w:sz w:val="32"/>
          <w:szCs w:val="32"/>
        </w:rPr>
        <w:t>4</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公务接待费0.06万元</w:t>
      </w:r>
      <w:r>
        <w:rPr>
          <w:rFonts w:hint="eastAsia" w:hAnsi="黑体"/>
          <w:kern w:val="2"/>
          <w:sz w:val="32"/>
          <w:szCs w:val="32"/>
        </w:rPr>
        <w:t>。</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八、</w:t>
      </w:r>
      <w:r>
        <w:rPr>
          <w:rFonts w:hint="eastAsia" w:ascii="黑体" w:hAnsi="黑体" w:eastAsia="黑体" w:cs="黑体"/>
          <w:kern w:val="2"/>
          <w:sz w:val="32"/>
          <w:szCs w:val="32"/>
        </w:rPr>
        <w:t>政府性基金预算支出情况说明</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无政府性基金预算拨款。</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lang w:val="en-US" w:eastAsia="zh-CN"/>
        </w:rPr>
        <w:t>九、</w:t>
      </w:r>
      <w:r>
        <w:rPr>
          <w:rFonts w:hint="eastAsia" w:ascii="黑体" w:hAnsi="黑体" w:eastAsia="黑体" w:cs="黑体"/>
          <w:kern w:val="2"/>
          <w:sz w:val="32"/>
          <w:szCs w:val="32"/>
        </w:rPr>
        <w:t>其他重要事项的情况说明</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lang w:val="en-US" w:eastAsia="zh-CN"/>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机关运行经</w:t>
      </w:r>
      <w:r>
        <w:rPr>
          <w:rFonts w:hint="eastAsia" w:ascii="楷体_GB2312" w:hAnsi="黑体" w:eastAsia="楷体_GB2312" w:cs="楷体_GB2312"/>
          <w:b/>
          <w:bCs/>
          <w:kern w:val="2"/>
          <w:sz w:val="32"/>
          <w:szCs w:val="32"/>
          <w:lang w:val="en-US" w:eastAsia="zh-CN"/>
        </w:rPr>
        <w:t>费</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壤塘县红十字会</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机关运行经费财政拨款预算为</w:t>
      </w:r>
      <w:r>
        <w:rPr>
          <w:rFonts w:hAnsi="黑体"/>
          <w:kern w:val="2"/>
          <w:sz w:val="32"/>
          <w:szCs w:val="32"/>
        </w:rPr>
        <w:t>8</w:t>
      </w:r>
      <w:r>
        <w:rPr>
          <w:rFonts w:hint="eastAsia" w:hAnsi="黑体"/>
          <w:kern w:val="2"/>
          <w:sz w:val="32"/>
          <w:szCs w:val="32"/>
          <w:lang w:val="en-US" w:eastAsia="zh-CN"/>
        </w:rPr>
        <w:t>.3</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预算增加</w:t>
      </w:r>
      <w:r>
        <w:rPr>
          <w:rFonts w:hAnsi="黑体"/>
          <w:kern w:val="2"/>
          <w:sz w:val="32"/>
          <w:szCs w:val="32"/>
        </w:rPr>
        <w:t>0</w:t>
      </w:r>
      <w:r>
        <w:rPr>
          <w:rFonts w:hint="eastAsia" w:hAnsi="黑体"/>
          <w:kern w:val="2"/>
          <w:sz w:val="32"/>
          <w:szCs w:val="32"/>
          <w:lang w:val="en-US" w:eastAsia="zh-CN"/>
        </w:rPr>
        <w:t>.3</w:t>
      </w:r>
      <w:r>
        <w:rPr>
          <w:rFonts w:hint="eastAsia" w:hAnsi="黑体"/>
          <w:kern w:val="2"/>
          <w:sz w:val="32"/>
          <w:szCs w:val="32"/>
        </w:rPr>
        <w:t>万元，增长</w:t>
      </w:r>
      <w:r>
        <w:rPr>
          <w:rFonts w:hint="eastAsia" w:hAnsi="黑体"/>
          <w:kern w:val="2"/>
          <w:sz w:val="32"/>
          <w:szCs w:val="32"/>
          <w:lang w:val="en-US" w:eastAsia="zh-CN"/>
        </w:rPr>
        <w:t>3.75</w:t>
      </w:r>
      <w:r>
        <w:rPr>
          <w:rFonts w:hAnsi="黑体"/>
          <w:kern w:val="2"/>
          <w:sz w:val="32"/>
          <w:szCs w:val="32"/>
        </w:rPr>
        <w:t>%</w:t>
      </w:r>
      <w:r>
        <w:rPr>
          <w:rFonts w:hint="eastAsia" w:hAnsi="黑体"/>
          <w:kern w:val="2"/>
          <w:sz w:val="32"/>
          <w:szCs w:val="32"/>
        </w:rPr>
        <w:t>。</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hAnsi="黑体" w:cs="Times New Roman"/>
          <w:kern w:val="2"/>
          <w:sz w:val="32"/>
          <w:szCs w:val="32"/>
        </w:rPr>
      </w:pPr>
      <w:r>
        <w:rPr>
          <w:rFonts w:hint="eastAsia" w:ascii="楷体_GB2312" w:hAnsi="黑体" w:eastAsia="楷体_GB2312" w:cs="楷体_GB2312"/>
          <w:b/>
          <w:bCs/>
          <w:kern w:val="2"/>
          <w:sz w:val="32"/>
          <w:szCs w:val="32"/>
        </w:rPr>
        <w:t>（二）政府采购情况</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壤塘县红十字会未安排政府采购预算。</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1"/>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（三）国有资产占有使用情况</w:t>
      </w:r>
    </w:p>
    <w:p>
      <w:pPr>
        <w:pStyle w:val="14"/>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无</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p>
    <w:p>
      <w:pPr>
        <w:pStyle w:val="14"/>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楷体_GB2312" w:hAnsi="黑体" w:eastAsia="楷体_GB2312" w:cs="楷体_GB2312"/>
          <w:b/>
          <w:bCs/>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壤塘县红十字会通用项目和专用项目均按要求实行绩效目标管理。</w:t>
      </w:r>
    </w:p>
    <w:p>
      <w:pPr>
        <w:pStyle w:val="14"/>
        <w:keepNext w:val="0"/>
        <w:keepLines w:val="0"/>
        <w:pageBreakBefore w:val="0"/>
        <w:kinsoku/>
        <w:wordWrap/>
        <w:overflowPunct/>
        <w:topLinePunct w:val="0"/>
        <w:autoSpaceDE/>
        <w:autoSpaceDN/>
        <w:bidi w:val="0"/>
        <w:adjustRightInd/>
        <w:snapToGrid/>
        <w:spacing w:before="0" w:line="560" w:lineRule="exact"/>
        <w:textAlignment w:val="auto"/>
        <w:outlineLvl w:val="0"/>
        <w:rPr>
          <w:rFonts w:hint="eastAsia" w:ascii="??" w:hAnsi="??" w:eastAsia="宋体" w:cs="Times New Roman"/>
          <w:sz w:val="16"/>
          <w:szCs w:val="16"/>
        </w:rPr>
      </w:pPr>
      <w:r>
        <w:rPr>
          <w:rFonts w:hint="eastAsia" w:ascii="黑体" w:hAnsi="黑体" w:eastAsia="黑体" w:cs="黑体"/>
          <w:kern w:val="2"/>
          <w:sz w:val="32"/>
          <w:szCs w:val="32"/>
        </w:rPr>
        <w:t>十、名词解释</w:t>
      </w:r>
    </w:p>
    <w:p>
      <w:pPr>
        <w:pStyle w:val="14"/>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22D0DC"/>
    <w:multiLevelType w:val="singleLevel"/>
    <w:tmpl w:val="9422D0DC"/>
    <w:lvl w:ilvl="0" w:tentative="0">
      <w:start w:val="1"/>
      <w:numFmt w:val="decimal"/>
      <w:lvlText w:val="%1."/>
      <w:lvlJc w:val="left"/>
      <w:pPr>
        <w:tabs>
          <w:tab w:val="left" w:pos="312"/>
        </w:tabs>
      </w:pPr>
    </w:lvl>
  </w:abstractNum>
  <w:abstractNum w:abstractNumId="1">
    <w:nsid w:val="A1900F54"/>
    <w:multiLevelType w:val="singleLevel"/>
    <w:tmpl w:val="A1900F54"/>
    <w:lvl w:ilvl="0" w:tentative="0">
      <w:start w:val="1"/>
      <w:numFmt w:val="decimal"/>
      <w:lvlText w:val="%1."/>
      <w:lvlJc w:val="left"/>
      <w:pPr>
        <w:tabs>
          <w:tab w:val="left" w:pos="312"/>
        </w:tabs>
      </w:pPr>
    </w:lvl>
  </w:abstractNum>
  <w:abstractNum w:abstractNumId="2">
    <w:nsid w:val="B6DBD64E"/>
    <w:multiLevelType w:val="singleLevel"/>
    <w:tmpl w:val="B6DBD64E"/>
    <w:lvl w:ilvl="0" w:tentative="0">
      <w:start w:val="1"/>
      <w:numFmt w:val="decimal"/>
      <w:lvlText w:val="%1."/>
      <w:lvlJc w:val="left"/>
      <w:pPr>
        <w:tabs>
          <w:tab w:val="left" w:pos="312"/>
        </w:tabs>
      </w:pPr>
    </w:lvl>
  </w:abstractNum>
  <w:abstractNum w:abstractNumId="3">
    <w:nsid w:val="D9560913"/>
    <w:multiLevelType w:val="singleLevel"/>
    <w:tmpl w:val="D9560913"/>
    <w:lvl w:ilvl="0" w:tentative="0">
      <w:start w:val="1"/>
      <w:numFmt w:val="decimal"/>
      <w:lvlText w:val="%1."/>
      <w:lvlJc w:val="left"/>
      <w:pPr>
        <w:tabs>
          <w:tab w:val="left" w:pos="312"/>
        </w:tabs>
      </w:pPr>
    </w:lvl>
  </w:abstractNum>
  <w:abstractNum w:abstractNumId="4">
    <w:nsid w:val="FA016299"/>
    <w:multiLevelType w:val="singleLevel"/>
    <w:tmpl w:val="FA016299"/>
    <w:lvl w:ilvl="0" w:tentative="0">
      <w:start w:val="1"/>
      <w:numFmt w:val="decimal"/>
      <w:lvlText w:val="%1."/>
      <w:lvlJc w:val="left"/>
      <w:pPr>
        <w:tabs>
          <w:tab w:val="left" w:pos="312"/>
        </w:tabs>
      </w:pPr>
    </w:lvl>
  </w:abstractNum>
  <w:abstractNum w:abstractNumId="5">
    <w:nsid w:val="0CE14B09"/>
    <w:multiLevelType w:val="singleLevel"/>
    <w:tmpl w:val="0CE14B09"/>
    <w:lvl w:ilvl="0" w:tentative="0">
      <w:start w:val="1"/>
      <w:numFmt w:val="decimal"/>
      <w:lvlText w:val="%1."/>
      <w:lvlJc w:val="left"/>
      <w:pPr>
        <w:tabs>
          <w:tab w:val="left" w:pos="312"/>
        </w:tabs>
      </w:pPr>
    </w:lvl>
  </w:abstractNum>
  <w:abstractNum w:abstractNumId="6">
    <w:nsid w:val="3543E8E8"/>
    <w:multiLevelType w:val="singleLevel"/>
    <w:tmpl w:val="3543E8E8"/>
    <w:lvl w:ilvl="0" w:tentative="0">
      <w:start w:val="1"/>
      <w:numFmt w:val="decimal"/>
      <w:lvlText w:val="%1."/>
      <w:lvlJc w:val="left"/>
      <w:pPr>
        <w:tabs>
          <w:tab w:val="left" w:pos="312"/>
        </w:tabs>
      </w:pPr>
    </w:lvl>
  </w:abstractNum>
  <w:abstractNum w:abstractNumId="7">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16"/>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7"/>
  </w:num>
  <w:num w:numId="2">
    <w:abstractNumId w:val="2"/>
  </w:num>
  <w:num w:numId="3">
    <w:abstractNumId w:val="1"/>
  </w:num>
  <w:num w:numId="4">
    <w:abstractNumId w:val="5"/>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02FEA"/>
    <w:rsid w:val="00021436"/>
    <w:rsid w:val="00082EF4"/>
    <w:rsid w:val="00085137"/>
    <w:rsid w:val="00097A74"/>
    <w:rsid w:val="000C252B"/>
    <w:rsid w:val="00105B15"/>
    <w:rsid w:val="001A196D"/>
    <w:rsid w:val="001F13F4"/>
    <w:rsid w:val="002026C1"/>
    <w:rsid w:val="00212DBB"/>
    <w:rsid w:val="00215415"/>
    <w:rsid w:val="00260082"/>
    <w:rsid w:val="00264016"/>
    <w:rsid w:val="002946BD"/>
    <w:rsid w:val="002F6713"/>
    <w:rsid w:val="00316466"/>
    <w:rsid w:val="00352854"/>
    <w:rsid w:val="003762A5"/>
    <w:rsid w:val="004103CC"/>
    <w:rsid w:val="0043059D"/>
    <w:rsid w:val="00432B62"/>
    <w:rsid w:val="00471829"/>
    <w:rsid w:val="0047755A"/>
    <w:rsid w:val="00484AEB"/>
    <w:rsid w:val="00487381"/>
    <w:rsid w:val="004A7CFC"/>
    <w:rsid w:val="00527A2C"/>
    <w:rsid w:val="0059475F"/>
    <w:rsid w:val="00681CB7"/>
    <w:rsid w:val="006F18F1"/>
    <w:rsid w:val="007B3677"/>
    <w:rsid w:val="007C7CD1"/>
    <w:rsid w:val="00844940"/>
    <w:rsid w:val="00882412"/>
    <w:rsid w:val="008B37C0"/>
    <w:rsid w:val="008C1FFD"/>
    <w:rsid w:val="008D3923"/>
    <w:rsid w:val="008E0406"/>
    <w:rsid w:val="008F63EB"/>
    <w:rsid w:val="009272A9"/>
    <w:rsid w:val="009544A0"/>
    <w:rsid w:val="00986E64"/>
    <w:rsid w:val="00987B5A"/>
    <w:rsid w:val="009C5F76"/>
    <w:rsid w:val="00A55379"/>
    <w:rsid w:val="00B35F0F"/>
    <w:rsid w:val="00B713B0"/>
    <w:rsid w:val="00BB34A8"/>
    <w:rsid w:val="00BE2508"/>
    <w:rsid w:val="00C0348B"/>
    <w:rsid w:val="00C451EA"/>
    <w:rsid w:val="00C8183B"/>
    <w:rsid w:val="00D20EAB"/>
    <w:rsid w:val="00D522F6"/>
    <w:rsid w:val="00E14DF7"/>
    <w:rsid w:val="00EF71D0"/>
    <w:rsid w:val="00F517FB"/>
    <w:rsid w:val="00F743F0"/>
    <w:rsid w:val="00F806C0"/>
    <w:rsid w:val="00F80C32"/>
    <w:rsid w:val="00FA701D"/>
    <w:rsid w:val="00FB255B"/>
    <w:rsid w:val="00FF11B9"/>
    <w:rsid w:val="070658B7"/>
    <w:rsid w:val="079D730C"/>
    <w:rsid w:val="2D6746B9"/>
    <w:rsid w:val="2D6E6766"/>
    <w:rsid w:val="32EF104E"/>
    <w:rsid w:val="36E06A61"/>
    <w:rsid w:val="46BA7D8E"/>
    <w:rsid w:val="4FE02015"/>
    <w:rsid w:val="64925CCD"/>
    <w:rsid w:val="74720980"/>
    <w:rsid w:val="790547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5">
    <w:name w:val="Default Paragraph Font"/>
    <w:semiHidden/>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1"/>
    <w:semiHidden/>
    <w:qFormat/>
    <w:uiPriority w:val="99"/>
    <w:pPr>
      <w:tabs>
        <w:tab w:val="center" w:pos="4153"/>
        <w:tab w:val="right" w:pos="8306"/>
      </w:tabs>
      <w:snapToGrid w:val="0"/>
      <w:jc w:val="left"/>
    </w:pPr>
    <w:rPr>
      <w:sz w:val="18"/>
      <w:szCs w:val="18"/>
    </w:rPr>
  </w:style>
  <w:style w:type="paragraph" w:styleId="3">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6">
    <w:name w:val="Emphasis"/>
    <w:basedOn w:val="5"/>
    <w:qFormat/>
    <w:uiPriority w:val="99"/>
  </w:style>
  <w:style w:type="table" w:styleId="8">
    <w:name w:val="Table Grid"/>
    <w:basedOn w:val="7"/>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link w:val="3"/>
    <w:semiHidden/>
    <w:qFormat/>
    <w:locked/>
    <w:uiPriority w:val="99"/>
    <w:rPr>
      <w:sz w:val="18"/>
      <w:szCs w:val="18"/>
    </w:rPr>
  </w:style>
  <w:style w:type="character" w:customStyle="1" w:styleId="10">
    <w:name w:val="NormalCharacter"/>
    <w:semiHidden/>
    <w:qFormat/>
    <w:uiPriority w:val="0"/>
  </w:style>
  <w:style w:type="character" w:customStyle="1" w:styleId="11">
    <w:name w:val="页脚 Char"/>
    <w:link w:val="2"/>
    <w:semiHidden/>
    <w:qFormat/>
    <w:locked/>
    <w:uiPriority w:val="99"/>
    <w:rPr>
      <w:sz w:val="18"/>
      <w:szCs w:val="18"/>
    </w:rPr>
  </w:style>
  <w:style w:type="character" w:customStyle="1" w:styleId="12">
    <w:name w:val="默认段落字体1"/>
    <w:qFormat/>
    <w:uiPriority w:val="99"/>
    <w:rPr>
      <w:sz w:val="22"/>
      <w:szCs w:val="22"/>
    </w:rPr>
  </w:style>
  <w:style w:type="paragraph" w:customStyle="1" w:styleId="13">
    <w:name w:val="UserStyle_0"/>
    <w:qFormat/>
    <w:uiPriority w:val="0"/>
    <w:pPr>
      <w:spacing w:line="300" w:lineRule="auto"/>
      <w:textAlignment w:val="baseline"/>
    </w:pPr>
    <w:rPr>
      <w:rFonts w:ascii="Arial" w:hAnsi="Arial" w:eastAsia="宋体" w:cs="Times New Roman"/>
      <w:sz w:val="21"/>
      <w:szCs w:val="21"/>
      <w:lang w:val="en-US" w:eastAsia="zh-CN" w:bidi="ar-SA"/>
    </w:rPr>
  </w:style>
  <w:style w:type="paragraph" w:customStyle="1" w:styleId="14">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15">
    <w:name w:val="List Paragraph"/>
    <w:basedOn w:val="1"/>
    <w:qFormat/>
    <w:uiPriority w:val="99"/>
    <w:pPr>
      <w:ind w:firstLine="420" w:firstLineChars="200"/>
    </w:pPr>
  </w:style>
  <w:style w:type="paragraph" w:customStyle="1" w:styleId="16">
    <w:name w:val="UserStyle_1"/>
    <w:basedOn w:val="1"/>
    <w:next w:val="13"/>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8</Pages>
  <Words>405</Words>
  <Characters>2312</Characters>
  <Lines>19</Lines>
  <Paragraphs>5</Paragraphs>
  <TotalTime>22</TotalTime>
  <ScaleCrop>false</ScaleCrop>
  <LinksUpToDate>false</LinksUpToDate>
  <CharactersWithSpaces>2712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WPS_1583832649</cp:lastModifiedBy>
  <cp:lastPrinted>2001-12-31T16:08:00Z</cp:lastPrinted>
  <dcterms:modified xsi:type="dcterms:W3CDTF">2022-01-20T02:53:24Z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1FE1EDAE95B04A0A89CC9E81FA9F45D2</vt:lpwstr>
  </property>
</Properties>
</file>