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sz w:val="72"/>
          <w:szCs w:val="72"/>
          <w:lang w:val="en-US" w:eastAsia="zh-CN"/>
        </w:rPr>
      </w:pPr>
    </w:p>
    <w:p>
      <w:pPr>
        <w:jc w:val="center"/>
        <w:rPr>
          <w:rFonts w:hint="eastAsia" w:ascii="方正小标宋简体" w:hAnsi="方正小标宋简体" w:eastAsia="方正小标宋简体" w:cs="方正小标宋简体"/>
          <w:b w:val="0"/>
          <w:bCs w:val="0"/>
          <w:sz w:val="72"/>
          <w:szCs w:val="72"/>
          <w:lang w:val="en-US" w:eastAsia="zh-CN"/>
        </w:rPr>
      </w:pPr>
    </w:p>
    <w:p>
      <w:pPr>
        <w:jc w:val="center"/>
        <w:rPr>
          <w:rFonts w:hint="eastAsia" w:ascii="方正小标宋简体" w:hAnsi="方正小标宋简体" w:eastAsia="方正小标宋简体" w:cs="方正小标宋简体"/>
          <w:b w:val="0"/>
          <w:bCs w:val="0"/>
          <w:sz w:val="72"/>
          <w:szCs w:val="72"/>
          <w:lang w:val="en-US" w:eastAsia="zh-CN"/>
        </w:rPr>
      </w:pPr>
    </w:p>
    <w:p>
      <w:pPr>
        <w:jc w:val="center"/>
        <w:rPr>
          <w:rFonts w:hint="eastAsia" w:ascii="方正小标宋简体" w:hAnsi="方正小标宋简体" w:eastAsia="方正小标宋简体" w:cs="方正小标宋简体"/>
          <w:b w:val="0"/>
          <w:bCs w:val="0"/>
          <w:sz w:val="72"/>
          <w:szCs w:val="72"/>
          <w:lang w:val="en-US" w:eastAsia="zh-CN"/>
        </w:rPr>
      </w:pPr>
      <w:r>
        <w:rPr>
          <w:rFonts w:hint="eastAsia" w:ascii="方正小标宋简体" w:hAnsi="方正小标宋简体" w:eastAsia="方正小标宋简体" w:cs="方正小标宋简体"/>
          <w:b w:val="0"/>
          <w:bCs w:val="0"/>
          <w:sz w:val="72"/>
          <w:szCs w:val="72"/>
          <w:lang w:val="en-US" w:eastAsia="zh-CN"/>
        </w:rPr>
        <w:t>2023年度</w:t>
      </w:r>
    </w:p>
    <w:p>
      <w:pPr>
        <w:jc w:val="center"/>
        <w:rPr>
          <w:rFonts w:hint="eastAsia" w:ascii="方正小标宋简体" w:hAnsi="方正小标宋简体" w:eastAsia="方正小标宋简体" w:cs="方正小标宋简体"/>
          <w:b w:val="0"/>
          <w:bCs w:val="0"/>
          <w:sz w:val="72"/>
          <w:szCs w:val="72"/>
          <w:lang w:val="en-US" w:eastAsia="zh-CN"/>
        </w:rPr>
      </w:pPr>
      <w:bookmarkStart w:id="0" w:name="_Toc15306268"/>
      <w:bookmarkStart w:id="1" w:name="_Toc7654"/>
      <w:bookmarkStart w:id="2" w:name="_Toc15377426"/>
      <w:bookmarkStart w:id="3" w:name="_Toc12471"/>
      <w:bookmarkStart w:id="4" w:name="_Toc15396476"/>
      <w:bookmarkStart w:id="5" w:name="_Toc15396598"/>
      <w:bookmarkStart w:id="6" w:name="_Toc15377194"/>
      <w:bookmarkStart w:id="7" w:name="_Toc15378442"/>
      <w:r>
        <w:rPr>
          <w:rFonts w:hint="eastAsia" w:ascii="方正小标宋简体" w:hAnsi="方正小标宋简体" w:eastAsia="方正小标宋简体" w:cs="方正小标宋简体"/>
          <w:b w:val="0"/>
          <w:bCs w:val="0"/>
          <w:sz w:val="72"/>
          <w:szCs w:val="72"/>
          <w:lang w:val="en-US" w:eastAsia="zh-CN"/>
        </w:rPr>
        <w:t>壤塘县红十字会</w:t>
      </w:r>
    </w:p>
    <w:p>
      <w:pPr>
        <w:jc w:val="center"/>
        <w:rPr>
          <w:rFonts w:hint="eastAsia" w:ascii="方正小标宋简体" w:hAnsi="方正小标宋简体" w:eastAsia="方正小标宋简体" w:cs="方正小标宋简体"/>
          <w:b w:val="0"/>
          <w:bCs w:val="0"/>
          <w:color w:val="auto"/>
          <w:sz w:val="72"/>
          <w:szCs w:val="72"/>
          <w:highlight w:val="none"/>
          <w:lang w:val="en-US" w:eastAsia="zh-CN"/>
        </w:rPr>
      </w:pPr>
      <w:r>
        <w:rPr>
          <w:rFonts w:hint="eastAsia" w:ascii="方正小标宋简体" w:hAnsi="方正小标宋简体" w:eastAsia="方正小标宋简体" w:cs="方正小标宋简体"/>
          <w:b w:val="0"/>
          <w:bCs w:val="0"/>
          <w:sz w:val="72"/>
          <w:szCs w:val="72"/>
          <w:lang w:val="en-US" w:eastAsia="zh-CN"/>
        </w:rPr>
        <w:t>部门决算</w:t>
      </w:r>
      <w:bookmarkEnd w:id="0"/>
      <w:bookmarkEnd w:id="1"/>
      <w:bookmarkEnd w:id="2"/>
      <w:bookmarkEnd w:id="3"/>
      <w:bookmarkEnd w:id="4"/>
      <w:bookmarkEnd w:id="5"/>
      <w:bookmarkEnd w:id="6"/>
      <w:bookmarkEnd w:id="7"/>
    </w:p>
    <w:p>
      <w:pPr>
        <w:widowControl/>
        <w:jc w:val="center"/>
        <w:rPr>
          <w:rFonts w:hint="eastAsia" w:ascii="黑体" w:hAnsi="黑体" w:eastAsia="黑体" w:cs="Times New Roman"/>
          <w:color w:val="000000"/>
          <w:sz w:val="48"/>
          <w:szCs w:val="48"/>
        </w:rPr>
      </w:pPr>
    </w:p>
    <w:p>
      <w:pPr>
        <w:widowControl/>
        <w:jc w:val="center"/>
        <w:rPr>
          <w:rFonts w:hint="eastAsia" w:ascii="黑体" w:hAnsi="黑体" w:eastAsia="黑体" w:cs="Times New Roman"/>
          <w:color w:val="000000"/>
          <w:sz w:val="48"/>
          <w:szCs w:val="48"/>
        </w:rPr>
      </w:pPr>
    </w:p>
    <w:p>
      <w:pPr>
        <w:widowControl/>
        <w:jc w:val="center"/>
        <w:rPr>
          <w:rFonts w:hint="eastAsia" w:ascii="黑体" w:hAnsi="黑体" w:eastAsia="黑体" w:cs="Times New Roman"/>
          <w:color w:val="000000"/>
          <w:sz w:val="48"/>
          <w:szCs w:val="48"/>
        </w:rPr>
      </w:pPr>
    </w:p>
    <w:p>
      <w:pPr>
        <w:widowControl/>
        <w:jc w:val="center"/>
        <w:rPr>
          <w:rFonts w:hint="eastAsia" w:ascii="黑体" w:hAnsi="黑体" w:eastAsia="黑体" w:cs="Times New Roman"/>
          <w:color w:val="000000"/>
          <w:sz w:val="48"/>
          <w:szCs w:val="48"/>
        </w:rPr>
      </w:pPr>
    </w:p>
    <w:p>
      <w:pPr>
        <w:widowControl/>
        <w:jc w:val="center"/>
        <w:rPr>
          <w:rFonts w:hint="eastAsia" w:ascii="黑体" w:hAnsi="黑体" w:eastAsia="黑体" w:cs="Times New Roman"/>
          <w:color w:val="000000"/>
          <w:sz w:val="48"/>
          <w:szCs w:val="48"/>
        </w:rPr>
      </w:pPr>
    </w:p>
    <w:p>
      <w:pPr>
        <w:widowControl/>
        <w:jc w:val="center"/>
        <w:rPr>
          <w:rFonts w:hint="eastAsia" w:ascii="黑体" w:hAnsi="黑体" w:eastAsia="黑体" w:cs="Times New Roman"/>
          <w:color w:val="000000"/>
          <w:sz w:val="48"/>
          <w:szCs w:val="48"/>
        </w:rPr>
      </w:pPr>
    </w:p>
    <w:p>
      <w:pPr>
        <w:widowControl/>
        <w:jc w:val="center"/>
        <w:rPr>
          <w:rFonts w:hint="eastAsia" w:ascii="黑体" w:hAnsi="黑体" w:eastAsia="黑体" w:cs="Times New Roman"/>
          <w:color w:val="000000"/>
          <w:sz w:val="48"/>
          <w:szCs w:val="48"/>
        </w:rPr>
      </w:pPr>
    </w:p>
    <w:p>
      <w:pPr>
        <w:widowControl/>
        <w:jc w:val="center"/>
        <w:rPr>
          <w:rFonts w:hint="eastAsia" w:ascii="黑体" w:hAnsi="黑体" w:eastAsia="黑体" w:cs="Times New Roman"/>
          <w:color w:val="000000"/>
          <w:sz w:val="48"/>
          <w:szCs w:val="48"/>
        </w:rPr>
      </w:pPr>
    </w:p>
    <w:p>
      <w:pPr>
        <w:widowControl/>
        <w:jc w:val="center"/>
        <w:rPr>
          <w:rFonts w:hint="eastAsia" w:ascii="黑体" w:hAnsi="黑体" w:eastAsia="黑体" w:cs="Times New Roman"/>
          <w:color w:val="000000"/>
          <w:sz w:val="48"/>
          <w:szCs w:val="48"/>
        </w:rPr>
      </w:pPr>
    </w:p>
    <w:p>
      <w:pPr>
        <w:widowControl/>
        <w:jc w:val="both"/>
        <w:rPr>
          <w:rFonts w:hint="eastAsia" w:ascii="黑体" w:hAnsi="黑体" w:eastAsia="黑体" w:cs="Times New Roman"/>
          <w:color w:val="000000"/>
          <w:sz w:val="48"/>
          <w:szCs w:val="48"/>
        </w:rPr>
      </w:pPr>
    </w:p>
    <w:p>
      <w:pPr>
        <w:widowControl/>
        <w:jc w:val="center"/>
        <w:rPr>
          <w:rFonts w:ascii="黑体" w:hAnsi="黑体" w:eastAsia="黑体" w:cs="Times New Roman"/>
          <w:color w:val="000000"/>
          <w:sz w:val="48"/>
          <w:szCs w:val="48"/>
        </w:rPr>
      </w:pPr>
      <w:r>
        <w:rPr>
          <w:rFonts w:hint="eastAsia" w:ascii="黑体" w:hAnsi="黑体" w:eastAsia="黑体" w:cs="Times New Roman"/>
          <w:color w:val="000000"/>
          <w:sz w:val="48"/>
          <w:szCs w:val="48"/>
        </w:rPr>
        <w:t>目录</w:t>
      </w:r>
    </w:p>
    <w:p>
      <w:pPr>
        <w:widowControl w:val="0"/>
        <w:spacing w:before="120" w:after="120"/>
        <w:jc w:val="center"/>
      </w:pPr>
      <w:r>
        <w:rPr>
          <w:rFonts w:hint="eastAsia" w:ascii="等线" w:hAnsi="等线" w:eastAsia="等线" w:cs="Times New Roman"/>
          <w:b w:val="0"/>
          <w:bCs w:val="0"/>
          <w:caps/>
          <w:kern w:val="2"/>
          <w:sz w:val="24"/>
          <w:szCs w:val="24"/>
          <w:lang w:val="en-US" w:eastAsia="zh-CN" w:bidi="ar-SA"/>
        </w:rPr>
        <w:t>公开时间：2024年10月23日</w:t>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TOC \o "1-3" \h \u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_Toc24437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第一部分 部门概况</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_Toc24437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1</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_Toc26140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一、</w:t>
      </w:r>
      <w:r>
        <w:rPr>
          <w:rFonts w:hint="eastAsia" w:asciiTheme="minorEastAsia" w:hAnsiTheme="minorEastAsia" w:eastAsiaTheme="minorEastAsia" w:cstheme="minorEastAsia"/>
          <w:bCs w:val="0"/>
          <w:lang w:val="en-US" w:eastAsia="zh-CN"/>
        </w:rPr>
        <w:t>部门职责</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_Toc26140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1</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_Toc22876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lang w:val="en-US" w:eastAsia="zh-CN"/>
        </w:rPr>
        <w:t>二、机构设置</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_Toc22876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1</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_Toc27567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 xml:space="preserve">第二部分 </w:t>
      </w:r>
      <w:r>
        <w:rPr>
          <w:rFonts w:hint="eastAsia" w:asciiTheme="minorEastAsia" w:hAnsiTheme="minorEastAsia" w:eastAsiaTheme="minorEastAsia" w:cstheme="minorEastAsia"/>
          <w:bCs w:val="0"/>
          <w:lang w:eastAsia="zh-CN"/>
        </w:rPr>
        <w:t>2023</w:t>
      </w:r>
      <w:r>
        <w:rPr>
          <w:rFonts w:hint="eastAsia" w:asciiTheme="minorEastAsia" w:hAnsiTheme="minorEastAsia" w:eastAsiaTheme="minorEastAsia" w:cstheme="minorEastAsia"/>
          <w:bCs w:val="0"/>
        </w:rPr>
        <w:t>年度部门决算情况说明</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_Toc27567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_Toc11119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lang w:val="en-US" w:eastAsia="zh-CN"/>
        </w:rPr>
        <w:t>一、收入支出决算总体情况说明</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_Toc11119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_Toc5938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lang w:val="en-US" w:eastAsia="zh-CN"/>
        </w:rPr>
        <w:t>二、</w:t>
      </w:r>
      <w:r>
        <w:rPr>
          <w:rFonts w:hint="eastAsia" w:asciiTheme="minorEastAsia" w:hAnsiTheme="minorEastAsia" w:eastAsiaTheme="minorEastAsia" w:cstheme="minorEastAsia"/>
          <w:bCs w:val="0"/>
        </w:rPr>
        <w:t>收入决算情况说明</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_Toc5938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_Toc25940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lang w:val="en-US" w:eastAsia="zh-CN"/>
        </w:rPr>
        <w:t>三、支出决算情况说明</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_Toc25940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3</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_Toc20317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lang w:val="en-US" w:eastAsia="zh-CN"/>
        </w:rPr>
        <w:t>四、财政拨款收入支出决算总体情况说明</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_Toc20317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3</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_Toc14816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lang w:val="en-US" w:eastAsia="zh-CN"/>
        </w:rPr>
        <w:t>五、一般公共预算财政拨款支出决算情况说明</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_Toc14816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4</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_Toc20143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六、一般公共预算财政拨款基本支出决算情况说明</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_Toc20143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6</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_Toc26798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七、</w:t>
      </w:r>
      <w:r>
        <w:rPr>
          <w:rFonts w:hint="eastAsia" w:asciiTheme="minorEastAsia" w:hAnsiTheme="minorEastAsia" w:eastAsiaTheme="minorEastAsia" w:cstheme="minorEastAsia"/>
          <w:bCs w:val="0"/>
          <w:lang w:val="en-US" w:eastAsia="zh-CN"/>
        </w:rPr>
        <w:t>财政拨款</w:t>
      </w:r>
      <w:r>
        <w:rPr>
          <w:rFonts w:hint="eastAsia" w:asciiTheme="minorEastAsia" w:hAnsiTheme="minorEastAsia" w:eastAsiaTheme="minorEastAsia" w:cstheme="minorEastAsia"/>
          <w:bCs w:val="0"/>
        </w:rPr>
        <w:t>“三公”经费支出决算情况说明</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_Toc26798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7</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_Toc20764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八、政府性基金预算支出决算情况说明</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_Toc20764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8</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_Toc30081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lang w:val="en-US" w:eastAsia="zh-CN"/>
        </w:rPr>
        <w:t>九、</w:t>
      </w:r>
      <w:r>
        <w:rPr>
          <w:rFonts w:hint="eastAsia" w:asciiTheme="minorEastAsia" w:hAnsiTheme="minorEastAsia" w:eastAsiaTheme="minorEastAsia" w:cstheme="minorEastAsia"/>
          <w:bCs w:val="0"/>
        </w:rPr>
        <w:t>国有资本经营预算支出决算情况说明</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_Toc30081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8</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_Toc11386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lang w:val="en-US" w:eastAsia="zh-CN"/>
        </w:rPr>
        <w:t>十、</w:t>
      </w:r>
      <w:r>
        <w:rPr>
          <w:rFonts w:hint="eastAsia" w:asciiTheme="minorEastAsia" w:hAnsiTheme="minorEastAsia" w:eastAsiaTheme="minorEastAsia" w:cstheme="minorEastAsia"/>
          <w:bCs w:val="0"/>
        </w:rPr>
        <w:t>其他重要事项的情况说明</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_Toc11386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8</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_Toc9097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lang w:val="en-US" w:eastAsia="zh-CN"/>
        </w:rPr>
        <w:t xml:space="preserve">第三部分 </w:t>
      </w:r>
      <w:r>
        <w:rPr>
          <w:rFonts w:hint="eastAsia" w:asciiTheme="minorEastAsia" w:hAnsiTheme="minorEastAsia" w:eastAsiaTheme="minorEastAsia" w:cstheme="minorEastAsia"/>
          <w:bCs w:val="0"/>
        </w:rPr>
        <w:t>名词解释</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_Toc9097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10</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_Toc4382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第四部分 附件</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_Toc4382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13</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_Toc7175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第五部分 附表</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_Toc7175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25</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_Toc23680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lang w:val="en-US" w:eastAsia="zh-CN"/>
        </w:rPr>
        <w:t>一、收</w:t>
      </w:r>
      <w:r>
        <w:rPr>
          <w:rFonts w:hint="eastAsia" w:asciiTheme="minorEastAsia" w:hAnsiTheme="minorEastAsia" w:eastAsiaTheme="minorEastAsia" w:cstheme="minorEastAsia"/>
          <w:bCs w:val="0"/>
        </w:rPr>
        <w:t>入支出决算总表</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_Toc23680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25</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_Toc8937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lang w:val="en-US" w:eastAsia="zh-CN"/>
        </w:rPr>
        <w:t>二、收</w:t>
      </w:r>
      <w:r>
        <w:rPr>
          <w:rFonts w:hint="eastAsia" w:asciiTheme="minorEastAsia" w:hAnsiTheme="minorEastAsia" w:eastAsiaTheme="minorEastAsia" w:cstheme="minorEastAsia"/>
          <w:bCs w:val="0"/>
        </w:rPr>
        <w:t>入决算表</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_Toc8937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25</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_Toc30177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三、</w:t>
      </w:r>
      <w:r>
        <w:rPr>
          <w:rFonts w:hint="eastAsia" w:asciiTheme="minorEastAsia" w:hAnsiTheme="minorEastAsia" w:eastAsiaTheme="minorEastAsia" w:cstheme="minorEastAsia"/>
          <w:bCs w:val="0"/>
          <w:lang w:val="en-US" w:eastAsia="zh-CN"/>
        </w:rPr>
        <w:t>支</w:t>
      </w:r>
      <w:r>
        <w:rPr>
          <w:rFonts w:hint="eastAsia" w:asciiTheme="minorEastAsia" w:hAnsiTheme="minorEastAsia" w:eastAsiaTheme="minorEastAsia" w:cstheme="minorEastAsia"/>
          <w:bCs w:val="0"/>
        </w:rPr>
        <w:t>出决算表</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_Toc30177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25</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_Toc4427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四、</w:t>
      </w:r>
      <w:r>
        <w:rPr>
          <w:rFonts w:hint="eastAsia" w:asciiTheme="minorEastAsia" w:hAnsiTheme="minorEastAsia" w:eastAsiaTheme="minorEastAsia" w:cstheme="minorEastAsia"/>
          <w:bCs w:val="0"/>
          <w:lang w:val="en-US" w:eastAsia="zh-CN"/>
        </w:rPr>
        <w:t>财</w:t>
      </w:r>
      <w:r>
        <w:rPr>
          <w:rFonts w:hint="eastAsia" w:asciiTheme="minorEastAsia" w:hAnsiTheme="minorEastAsia" w:eastAsiaTheme="minorEastAsia" w:cstheme="minorEastAsia"/>
          <w:bCs w:val="0"/>
        </w:rPr>
        <w:t>政拨款收入支出决算总表</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_Toc4427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25</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_Toc11596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五、</w:t>
      </w:r>
      <w:r>
        <w:rPr>
          <w:rFonts w:hint="eastAsia" w:asciiTheme="minorEastAsia" w:hAnsiTheme="minorEastAsia" w:eastAsiaTheme="minorEastAsia" w:cstheme="minorEastAsia"/>
          <w:bCs w:val="0"/>
          <w:lang w:val="en-US" w:eastAsia="zh-CN"/>
        </w:rPr>
        <w:t>财</w:t>
      </w:r>
      <w:r>
        <w:rPr>
          <w:rFonts w:hint="eastAsia" w:asciiTheme="minorEastAsia" w:hAnsiTheme="minorEastAsia" w:eastAsiaTheme="minorEastAsia" w:cstheme="minorEastAsia"/>
          <w:bCs w:val="0"/>
        </w:rPr>
        <w:t>政拨款支出决算明细表</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_Toc11596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25</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_Toc19714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六、</w:t>
      </w:r>
      <w:r>
        <w:rPr>
          <w:rFonts w:hint="eastAsia" w:asciiTheme="minorEastAsia" w:hAnsiTheme="minorEastAsia" w:eastAsiaTheme="minorEastAsia" w:cstheme="minorEastAsia"/>
          <w:bCs w:val="0"/>
          <w:lang w:val="en-US" w:eastAsia="zh-CN"/>
        </w:rPr>
        <w:t>一</w:t>
      </w:r>
      <w:r>
        <w:rPr>
          <w:rFonts w:hint="eastAsia" w:asciiTheme="minorEastAsia" w:hAnsiTheme="minorEastAsia" w:eastAsiaTheme="minorEastAsia" w:cstheme="minorEastAsia"/>
          <w:bCs w:val="0"/>
        </w:rPr>
        <w:t>般公共预算财政拨款支出决算表</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_Toc19714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25</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_Toc28072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七、</w:t>
      </w:r>
      <w:r>
        <w:rPr>
          <w:rFonts w:hint="eastAsia" w:asciiTheme="minorEastAsia" w:hAnsiTheme="minorEastAsia" w:eastAsiaTheme="minorEastAsia" w:cstheme="minorEastAsia"/>
          <w:bCs w:val="0"/>
          <w:lang w:val="en-US" w:eastAsia="zh-CN"/>
        </w:rPr>
        <w:t>一</w:t>
      </w:r>
      <w:r>
        <w:rPr>
          <w:rFonts w:hint="eastAsia" w:asciiTheme="minorEastAsia" w:hAnsiTheme="minorEastAsia" w:eastAsiaTheme="minorEastAsia" w:cstheme="minorEastAsia"/>
          <w:bCs w:val="0"/>
        </w:rPr>
        <w:t>般公共预算财政拨款支出决算明细表</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_Toc28072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25</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_Toc29912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八、</w:t>
      </w:r>
      <w:r>
        <w:rPr>
          <w:rFonts w:hint="eastAsia" w:asciiTheme="minorEastAsia" w:hAnsiTheme="minorEastAsia" w:eastAsiaTheme="minorEastAsia" w:cstheme="minorEastAsia"/>
          <w:bCs w:val="0"/>
          <w:lang w:val="en-US" w:eastAsia="zh-CN"/>
        </w:rPr>
        <w:t>一</w:t>
      </w:r>
      <w:r>
        <w:rPr>
          <w:rFonts w:hint="eastAsia" w:asciiTheme="minorEastAsia" w:hAnsiTheme="minorEastAsia" w:eastAsiaTheme="minorEastAsia" w:cstheme="minorEastAsia"/>
          <w:bCs w:val="0"/>
        </w:rPr>
        <w:t>般公共预算财政拨款基本支出决算表</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_Toc29912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25</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_Toc692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九、</w:t>
      </w:r>
      <w:r>
        <w:rPr>
          <w:rFonts w:hint="eastAsia" w:asciiTheme="minorEastAsia" w:hAnsiTheme="minorEastAsia" w:eastAsiaTheme="minorEastAsia" w:cstheme="minorEastAsia"/>
          <w:bCs w:val="0"/>
          <w:lang w:val="en-US" w:eastAsia="zh-CN"/>
        </w:rPr>
        <w:t>一</w:t>
      </w:r>
      <w:r>
        <w:rPr>
          <w:rFonts w:hint="eastAsia" w:asciiTheme="minorEastAsia" w:hAnsiTheme="minorEastAsia" w:eastAsiaTheme="minorEastAsia" w:cstheme="minorEastAsia"/>
          <w:bCs w:val="0"/>
        </w:rPr>
        <w:t>般公共预算财政拨款项目支出决算表</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_Toc692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25</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_Toc27278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十、</w:t>
      </w:r>
      <w:r>
        <w:rPr>
          <w:rFonts w:hint="eastAsia" w:asciiTheme="minorEastAsia" w:hAnsiTheme="minorEastAsia" w:eastAsiaTheme="minorEastAsia" w:cstheme="minorEastAsia"/>
          <w:bCs w:val="0"/>
          <w:lang w:val="en-US" w:eastAsia="zh-CN"/>
        </w:rPr>
        <w:t>政</w:t>
      </w:r>
      <w:r>
        <w:rPr>
          <w:rFonts w:hint="eastAsia" w:asciiTheme="minorEastAsia" w:hAnsiTheme="minorEastAsia" w:eastAsiaTheme="minorEastAsia" w:cstheme="minorEastAsia"/>
          <w:bCs w:val="0"/>
        </w:rPr>
        <w:t>府性基金预算财政拨款收入支出决算表</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_Toc27278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25</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_Toc19364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十</w:t>
      </w:r>
      <w:r>
        <w:rPr>
          <w:rFonts w:hint="eastAsia" w:asciiTheme="minorEastAsia" w:hAnsiTheme="minorEastAsia" w:eastAsiaTheme="minorEastAsia" w:cstheme="minorEastAsia"/>
          <w:bCs w:val="0"/>
          <w:lang w:val="en-US" w:eastAsia="zh-CN"/>
        </w:rPr>
        <w:t>一</w:t>
      </w:r>
      <w:r>
        <w:rPr>
          <w:rFonts w:hint="eastAsia" w:asciiTheme="minorEastAsia" w:hAnsiTheme="minorEastAsia" w:eastAsiaTheme="minorEastAsia" w:cstheme="minorEastAsia"/>
          <w:bCs w:val="0"/>
        </w:rPr>
        <w:t>、</w:t>
      </w:r>
      <w:r>
        <w:rPr>
          <w:rFonts w:hint="eastAsia" w:asciiTheme="minorEastAsia" w:hAnsiTheme="minorEastAsia" w:eastAsiaTheme="minorEastAsia" w:cstheme="minorEastAsia"/>
          <w:bCs w:val="0"/>
          <w:lang w:val="en-US" w:eastAsia="zh-CN"/>
        </w:rPr>
        <w:t>国</w:t>
      </w:r>
      <w:r>
        <w:rPr>
          <w:rFonts w:hint="eastAsia" w:asciiTheme="minorEastAsia" w:hAnsiTheme="minorEastAsia" w:eastAsiaTheme="minorEastAsia" w:cstheme="minorEastAsia"/>
          <w:bCs w:val="0"/>
        </w:rPr>
        <w:t>有资本经营预算财政拨款</w:t>
      </w:r>
      <w:r>
        <w:rPr>
          <w:rFonts w:hint="eastAsia" w:asciiTheme="minorEastAsia" w:hAnsiTheme="minorEastAsia" w:eastAsiaTheme="minorEastAsia" w:cstheme="minorEastAsia"/>
          <w:bCs w:val="0"/>
          <w:lang w:val="en-US" w:eastAsia="zh-CN"/>
        </w:rPr>
        <w:t>收入</w:t>
      </w:r>
      <w:r>
        <w:rPr>
          <w:rFonts w:hint="eastAsia" w:asciiTheme="minorEastAsia" w:hAnsiTheme="minorEastAsia" w:eastAsiaTheme="minorEastAsia" w:cstheme="minorEastAsia"/>
          <w:bCs w:val="0"/>
        </w:rPr>
        <w:t>支出决算表</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_Toc19364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25</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_Toc14242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十</w:t>
      </w:r>
      <w:r>
        <w:rPr>
          <w:rFonts w:hint="eastAsia" w:asciiTheme="minorEastAsia" w:hAnsiTheme="minorEastAsia" w:eastAsiaTheme="minorEastAsia" w:cstheme="minorEastAsia"/>
          <w:bCs w:val="0"/>
          <w:lang w:val="en-US" w:eastAsia="zh-CN"/>
        </w:rPr>
        <w:t>二</w:t>
      </w:r>
      <w:r>
        <w:rPr>
          <w:rFonts w:hint="eastAsia" w:asciiTheme="minorEastAsia" w:hAnsiTheme="minorEastAsia" w:eastAsiaTheme="minorEastAsia" w:cstheme="minorEastAsia"/>
          <w:bCs w:val="0"/>
        </w:rPr>
        <w:t>、国有资本经营预算财政拨款支出决算表</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_Toc14242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25</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rPr>
          <w:rFonts w:hint="eastAsia" w:asciiTheme="minorEastAsia" w:hAnsiTheme="minorEastAsia" w:eastAsiaTheme="minorEastAsia" w:cstheme="minorEastAsia"/>
          <w:bCs w:val="0"/>
        </w:rPr>
      </w:pP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HYPERLINK \l _Toc31314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lang w:val="en-US" w:eastAsia="zh-CN"/>
        </w:rPr>
        <w:t>十三、</w:t>
      </w:r>
      <w:r>
        <w:rPr>
          <w:rFonts w:hint="eastAsia" w:asciiTheme="minorEastAsia" w:hAnsiTheme="minorEastAsia" w:eastAsiaTheme="minorEastAsia" w:cstheme="minorEastAsia"/>
          <w:bCs w:val="0"/>
        </w:rPr>
        <w:t>财政拨款“三公”经费支出决算表</w:t>
      </w:r>
      <w:r>
        <w:rPr>
          <w:rFonts w:hint="eastAsia" w:asciiTheme="minorEastAsia" w:hAnsiTheme="minorEastAsia" w:eastAsiaTheme="minorEastAsia" w:cstheme="minorEastAsia"/>
          <w:bCs w:val="0"/>
        </w:rPr>
        <w:tab/>
      </w:r>
      <w:r>
        <w:rPr>
          <w:rFonts w:hint="eastAsia" w:asciiTheme="minorEastAsia" w:hAnsiTheme="minorEastAsia" w:eastAsiaTheme="minorEastAsia" w:cstheme="minorEastAsia"/>
          <w:bCs w:val="0"/>
        </w:rPr>
        <w:fldChar w:fldCharType="begin"/>
      </w:r>
      <w:r>
        <w:rPr>
          <w:rFonts w:hint="eastAsia" w:asciiTheme="minorEastAsia" w:hAnsiTheme="minorEastAsia" w:eastAsiaTheme="minorEastAsia" w:cstheme="minorEastAsia"/>
          <w:bCs w:val="0"/>
        </w:rPr>
        <w:instrText xml:space="preserve"> PAGEREF _Toc31314 \h </w:instrText>
      </w:r>
      <w:r>
        <w:rPr>
          <w:rFonts w:hint="eastAsia" w:asciiTheme="minorEastAsia" w:hAnsiTheme="minorEastAsia" w:eastAsiaTheme="minorEastAsia" w:cstheme="minorEastAsia"/>
          <w:bCs w:val="0"/>
        </w:rPr>
        <w:fldChar w:fldCharType="separate"/>
      </w:r>
      <w:r>
        <w:rPr>
          <w:rFonts w:hint="eastAsia" w:asciiTheme="minorEastAsia" w:hAnsiTheme="minorEastAsia" w:eastAsiaTheme="minorEastAsia" w:cstheme="minorEastAsia"/>
          <w:bCs w:val="0"/>
        </w:rPr>
        <w:t>25</w:t>
      </w:r>
      <w:r>
        <w:rPr>
          <w:rFonts w:hint="eastAsia" w:asciiTheme="minorEastAsia" w:hAnsiTheme="minorEastAsia" w:eastAsiaTheme="minorEastAsia" w:cstheme="minorEastAsia"/>
          <w:bCs w:val="0"/>
        </w:rPr>
        <w:fldChar w:fldCharType="end"/>
      </w:r>
      <w:r>
        <w:rPr>
          <w:rFonts w:hint="eastAsia" w:asciiTheme="minorEastAsia" w:hAnsiTheme="minorEastAsia" w:eastAsiaTheme="minorEastAsia" w:cstheme="minorEastAsia"/>
          <w:bCs w:val="0"/>
        </w:rPr>
        <w:fldChar w:fldCharType="end"/>
      </w:r>
    </w:p>
    <w:p>
      <w:pPr>
        <w:pStyle w:val="12"/>
        <w:tabs>
          <w:tab w:val="right" w:leader="dot" w:pos="8306"/>
          <w:tab w:val="clear" w:pos="8296"/>
        </w:tabs>
      </w:pPr>
      <w:r>
        <w:rPr>
          <w:rFonts w:hint="eastAsia" w:asciiTheme="minorEastAsia" w:hAnsiTheme="minorEastAsia" w:eastAsiaTheme="minorEastAsia" w:cstheme="minorEastAsia"/>
          <w:bCs w:val="0"/>
        </w:rPr>
        <w:fldChar w:fldCharType="end"/>
      </w:r>
    </w:p>
    <w:p>
      <w:pPr>
        <w:pStyle w:val="4"/>
        <w:jc w:val="both"/>
        <w:rPr>
          <w:rFonts w:hint="eastAsia"/>
        </w:rPr>
        <w:sectPr>
          <w:headerReference r:id="rId3" w:type="default"/>
          <w:footerReference r:id="rId4" w:type="default"/>
          <w:pgSz w:w="11906" w:h="16838"/>
          <w:pgMar w:top="1440" w:right="1800" w:bottom="1440" w:left="1800" w:header="851" w:footer="992" w:gutter="0"/>
          <w:pgNumType w:fmt="decimal"/>
          <w:cols w:space="720" w:num="1"/>
          <w:titlePg/>
          <w:docGrid w:type="lines" w:linePitch="312" w:charSpace="0"/>
        </w:sectPr>
      </w:pPr>
    </w:p>
    <w:p>
      <w:pPr>
        <w:rPr>
          <w:rFonts w:hint="eastAsia"/>
        </w:rPr>
      </w:pPr>
    </w:p>
    <w:p>
      <w:pPr>
        <w:pStyle w:val="4"/>
        <w:jc w:val="center"/>
        <w:rPr>
          <w:b/>
          <w:bCs/>
        </w:rPr>
      </w:pPr>
      <w:bookmarkStart w:id="8" w:name="_Toc24437"/>
      <w:r>
        <w:rPr>
          <w:rFonts w:hint="eastAsia"/>
          <w:b/>
          <w:bCs/>
        </w:rPr>
        <w:t>第一部分 部门概况</w:t>
      </w:r>
      <w:bookmarkEnd w:id="8"/>
    </w:p>
    <w:p>
      <w:pPr>
        <w:pStyle w:val="5"/>
        <w:bidi w:val="0"/>
        <w:rPr>
          <w:rFonts w:hint="eastAsia" w:ascii="黑体" w:hAnsi="黑体" w:eastAsia="黑体" w:cs="黑体"/>
          <w:b w:val="0"/>
          <w:bCs w:val="0"/>
          <w:lang w:val="en-US" w:eastAsia="zh-CN"/>
        </w:rPr>
      </w:pPr>
      <w:bookmarkStart w:id="9" w:name="_Toc15377197"/>
      <w:bookmarkStart w:id="10" w:name="_Toc15396600"/>
      <w:bookmarkStart w:id="11" w:name="_Toc26140"/>
      <w:r>
        <w:rPr>
          <w:rFonts w:hint="eastAsia" w:ascii="黑体" w:hAnsi="黑体" w:eastAsia="黑体" w:cs="黑体"/>
          <w:b w:val="0"/>
          <w:bCs w:val="0"/>
        </w:rPr>
        <w:t>一、</w:t>
      </w:r>
      <w:bookmarkEnd w:id="9"/>
      <w:bookmarkEnd w:id="10"/>
      <w:r>
        <w:rPr>
          <w:rFonts w:hint="eastAsia" w:ascii="黑体" w:hAnsi="黑体" w:eastAsia="黑体" w:cs="黑体"/>
          <w:b w:val="0"/>
          <w:bCs w:val="0"/>
          <w:lang w:val="en-US" w:eastAsia="zh-CN"/>
        </w:rPr>
        <w:t>部门职责</w:t>
      </w:r>
      <w:bookmarkEnd w:id="1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Times New Roman"/>
          <w:sz w:val="32"/>
          <w:szCs w:val="32"/>
          <w:lang w:val="zh-CN" w:eastAsia="zh-CN"/>
        </w:rPr>
      </w:pPr>
      <w:bookmarkStart w:id="12" w:name="_Toc15377199"/>
      <w:bookmarkStart w:id="13" w:name="_Toc15378446"/>
      <w:r>
        <w:rPr>
          <w:rFonts w:hint="eastAsia" w:ascii="仿宋" w:hAnsi="仿宋" w:eastAsia="仿宋" w:cs="Times New Roman"/>
          <w:sz w:val="32"/>
          <w:szCs w:val="32"/>
          <w:lang w:val="zh-CN" w:eastAsia="zh-CN"/>
        </w:rPr>
        <w:t>传播国际红十字运动知识和国际人道法；宣传、执行《中华人民共和国红十字会法》《中华人民共和国红十字标志使用办法》等法律法规。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开展备灾救灾工作，在自然灾害和突发事件中，开展对受害者的救助和帮助。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开展人道领域内的社区服务、社会公益服务活动即卫生救护、防病常识的宣传和普及。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开展艾滋病预防及吸毒危害的宣传教育工作，增强公民自我防护意识和能力。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组织会员、志愿工作者开展社会服务活动。参与本地区的医疗服务救助工作和扶贫助学工作。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开展红十字会品牌项目活动，积极推动“三救、三献”工作。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zh-CN" w:eastAsia="zh-CN"/>
        </w:rPr>
        <w:t>依照国际红十字会和红新月的基本原则，完成上级红会及县委县人民政府委托的其他事项。</w:t>
      </w:r>
    </w:p>
    <w:bookmarkEnd w:id="12"/>
    <w:bookmarkEnd w:id="13"/>
    <w:p>
      <w:pPr>
        <w:pStyle w:val="5"/>
        <w:bidi w:val="0"/>
        <w:rPr>
          <w:rFonts w:hint="eastAsia" w:ascii="黑体" w:hAnsi="黑体" w:eastAsia="黑体" w:cs="黑体"/>
          <w:b w:val="0"/>
          <w:bCs w:val="0"/>
          <w:lang w:val="en-US" w:eastAsia="zh-CN"/>
        </w:rPr>
      </w:pPr>
      <w:bookmarkStart w:id="14" w:name="_Toc22876"/>
      <w:bookmarkStart w:id="15" w:name="_Toc15377200"/>
      <w:bookmarkStart w:id="16" w:name="_Toc15396601"/>
      <w:r>
        <w:rPr>
          <w:rFonts w:hint="eastAsia" w:ascii="黑体" w:hAnsi="黑体" w:eastAsia="黑体" w:cs="黑体"/>
          <w:b w:val="0"/>
          <w:bCs w:val="0"/>
          <w:lang w:val="en-US" w:eastAsia="zh-CN"/>
        </w:rPr>
        <w:t>二、机构设置</w:t>
      </w:r>
      <w:bookmarkEnd w:id="14"/>
      <w:bookmarkEnd w:id="15"/>
      <w:bookmarkEnd w:id="1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壤塘县红十字会无下属二级单位，基本性质为参照公务员法管理事业单位，共</w:t>
      </w:r>
      <w:r>
        <w:rPr>
          <w:rFonts w:hint="eastAsia" w:ascii="仿宋" w:hAnsi="仿宋" w:eastAsia="仿宋"/>
          <w:sz w:val="32"/>
          <w:szCs w:val="32"/>
        </w:rPr>
        <w:t>有</w:t>
      </w:r>
      <w:r>
        <w:rPr>
          <w:rFonts w:hint="eastAsia" w:ascii="仿宋" w:hAnsi="仿宋" w:eastAsia="仿宋"/>
          <w:sz w:val="32"/>
          <w:szCs w:val="32"/>
          <w:lang w:val="en-US" w:eastAsia="zh-CN"/>
        </w:rPr>
        <w:t>2个股室，分别为综合办公室及赈济部</w:t>
      </w:r>
      <w:r>
        <w:rPr>
          <w:rFonts w:hint="eastAsia" w:ascii="仿宋" w:hAnsi="仿宋" w:eastAsia="仿宋"/>
          <w:sz w:val="32"/>
          <w:szCs w:val="32"/>
        </w:rPr>
        <w:t>。</w:t>
      </w:r>
    </w:p>
    <w:p>
      <w:pPr>
        <w:pageBreakBefore w:val="0"/>
        <w:widowControl/>
        <w:kinsoku/>
        <w:wordWrap/>
        <w:overflowPunct/>
        <w:topLinePunct w:val="0"/>
        <w:autoSpaceDE/>
        <w:autoSpaceDN/>
        <w:bidi w:val="0"/>
        <w:spacing w:line="560" w:lineRule="exact"/>
        <w:jc w:val="left"/>
        <w:textAlignment w:val="auto"/>
        <w:rPr>
          <w:rFonts w:ascii="仿宋" w:hAnsi="仿宋" w:eastAsia="仿宋"/>
          <w:kern w:val="0"/>
          <w:sz w:val="32"/>
          <w:szCs w:val="32"/>
        </w:rPr>
      </w:pPr>
      <w:r>
        <w:rPr>
          <w:rFonts w:ascii="仿宋" w:hAnsi="仿宋" w:eastAsia="仿宋"/>
          <w:kern w:val="0"/>
          <w:sz w:val="32"/>
          <w:szCs w:val="32"/>
        </w:rPr>
        <w:br w:type="page"/>
      </w:r>
    </w:p>
    <w:p>
      <w:pPr>
        <w:pStyle w:val="4"/>
        <w:jc w:val="center"/>
        <w:rPr>
          <w:rFonts w:hint="eastAsia"/>
        </w:rPr>
      </w:pPr>
      <w:bookmarkStart w:id="17" w:name="_Toc15396602"/>
      <w:bookmarkStart w:id="18" w:name="_Toc27567"/>
      <w:bookmarkStart w:id="19" w:name="_Toc15377204"/>
      <w:r>
        <w:rPr>
          <w:rFonts w:hint="eastAsia"/>
        </w:rPr>
        <w:t xml:space="preserve">第二部分 </w:t>
      </w:r>
      <w:r>
        <w:rPr>
          <w:rFonts w:hint="eastAsia"/>
          <w:lang w:eastAsia="zh-CN"/>
        </w:rPr>
        <w:t>2023</w:t>
      </w:r>
      <w:r>
        <w:rPr>
          <w:rFonts w:hint="eastAsia"/>
        </w:rPr>
        <w:t>年度部门决算情况说明</w:t>
      </w:r>
      <w:bookmarkEnd w:id="17"/>
      <w:bookmarkEnd w:id="18"/>
      <w:bookmarkEnd w:id="19"/>
    </w:p>
    <w:p/>
    <w:p>
      <w:pPr>
        <w:pStyle w:val="5"/>
        <w:keepNext/>
        <w:keepLines/>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eastAsia"/>
          <w:lang w:val="en-US" w:eastAsia="zh-CN"/>
        </w:rPr>
      </w:pPr>
      <w:bookmarkStart w:id="20" w:name="_Toc15377205"/>
      <w:bookmarkStart w:id="21" w:name="_Toc11119"/>
      <w:bookmarkStart w:id="22" w:name="_Toc15396603"/>
      <w:r>
        <w:rPr>
          <w:rFonts w:hint="eastAsia"/>
          <w:lang w:val="en-US" w:eastAsia="zh-CN"/>
        </w:rPr>
        <w:t>一、收入支出决算总体情况说明</w:t>
      </w:r>
      <w:bookmarkEnd w:id="20"/>
      <w:bookmarkEnd w:id="21"/>
      <w:bookmarkEnd w:id="2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eastAsia="zh-CN"/>
        </w:rPr>
        <w:t>2023</w:t>
      </w:r>
      <w:r>
        <w:rPr>
          <w:rFonts w:hint="eastAsia" w:ascii="仿宋" w:hAnsi="仿宋" w:eastAsia="仿宋"/>
          <w:sz w:val="32"/>
          <w:szCs w:val="32"/>
        </w:rPr>
        <w:t>年度收</w:t>
      </w:r>
      <w:r>
        <w:rPr>
          <w:rFonts w:hint="eastAsia" w:ascii="仿宋" w:hAnsi="仿宋" w:eastAsia="仿宋"/>
          <w:sz w:val="32"/>
          <w:szCs w:val="32"/>
          <w:lang w:eastAsia="zh-CN"/>
        </w:rPr>
        <w:t>入</w:t>
      </w:r>
      <w:r>
        <w:rPr>
          <w:rFonts w:hint="eastAsia" w:ascii="仿宋" w:hAnsi="仿宋" w:eastAsia="仿宋"/>
          <w:sz w:val="32"/>
          <w:szCs w:val="32"/>
        </w:rPr>
        <w:t>总计</w:t>
      </w:r>
      <w:r>
        <w:rPr>
          <w:rFonts w:hint="eastAsia" w:ascii="仿宋" w:hAnsi="仿宋" w:eastAsia="仿宋"/>
          <w:sz w:val="32"/>
          <w:szCs w:val="32"/>
          <w:lang w:eastAsia="zh-CN"/>
        </w:rPr>
        <w:t>124.92</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lang w:val="en-US" w:eastAsia="zh-CN"/>
        </w:rPr>
        <w:t>支出总计124.92万元</w:t>
      </w:r>
      <w:r>
        <w:rPr>
          <w:rFonts w:hint="eastAsia" w:ascii="仿宋" w:hAnsi="仿宋" w:eastAsia="仿宋"/>
          <w:sz w:val="32"/>
          <w:szCs w:val="32"/>
        </w:rPr>
        <w:t>。与</w:t>
      </w:r>
      <w:r>
        <w:rPr>
          <w:rFonts w:hint="eastAsia" w:ascii="仿宋" w:hAnsi="仿宋" w:eastAsia="仿宋"/>
          <w:sz w:val="32"/>
          <w:szCs w:val="32"/>
          <w:lang w:eastAsia="zh-CN"/>
        </w:rPr>
        <w:t>2022年</w:t>
      </w:r>
      <w:r>
        <w:rPr>
          <w:rFonts w:hint="eastAsia" w:ascii="仿宋" w:hAnsi="仿宋" w:eastAsia="仿宋"/>
          <w:sz w:val="32"/>
          <w:szCs w:val="32"/>
        </w:rPr>
        <w:t>相比，收</w:t>
      </w:r>
      <w:r>
        <w:rPr>
          <w:rFonts w:hint="eastAsia" w:ascii="仿宋" w:hAnsi="仿宋" w:eastAsia="仿宋"/>
          <w:sz w:val="32"/>
          <w:szCs w:val="32"/>
          <w:lang w:val="en-US" w:eastAsia="zh-CN"/>
        </w:rPr>
        <w:t>入</w:t>
      </w:r>
      <w:r>
        <w:rPr>
          <w:rFonts w:hint="eastAsia" w:ascii="仿宋" w:hAnsi="仿宋" w:eastAsia="仿宋"/>
          <w:sz w:val="32"/>
          <w:szCs w:val="32"/>
        </w:rPr>
        <w:t>总计</w:t>
      </w:r>
      <w:r>
        <w:rPr>
          <w:rFonts w:hint="eastAsia" w:ascii="仿宋" w:hAnsi="仿宋" w:eastAsia="仿宋"/>
          <w:sz w:val="32"/>
          <w:szCs w:val="32"/>
          <w:lang w:val="en-US" w:eastAsia="zh-CN"/>
        </w:rPr>
        <w:t>增加9.96</w:t>
      </w:r>
      <w:r>
        <w:rPr>
          <w:rFonts w:hint="eastAsia" w:ascii="仿宋" w:hAnsi="仿宋" w:eastAsia="仿宋"/>
          <w:sz w:val="32"/>
          <w:szCs w:val="32"/>
        </w:rPr>
        <w:t>万元，</w:t>
      </w:r>
      <w:r>
        <w:rPr>
          <w:rFonts w:hint="eastAsia" w:ascii="仿宋" w:hAnsi="仿宋" w:eastAsia="仿宋"/>
          <w:sz w:val="32"/>
          <w:szCs w:val="32"/>
          <w:lang w:val="en-US" w:eastAsia="zh-CN"/>
        </w:rPr>
        <w:t>增长8.67</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lang w:val="en-US" w:eastAsia="zh-CN"/>
        </w:rPr>
        <w:t>支出</w:t>
      </w:r>
      <w:r>
        <w:rPr>
          <w:rFonts w:hint="eastAsia" w:ascii="仿宋" w:hAnsi="仿宋" w:eastAsia="仿宋"/>
          <w:sz w:val="32"/>
          <w:szCs w:val="32"/>
        </w:rPr>
        <w:t>总计</w:t>
      </w:r>
      <w:r>
        <w:rPr>
          <w:rFonts w:hint="eastAsia" w:ascii="仿宋" w:hAnsi="仿宋" w:eastAsia="仿宋"/>
          <w:sz w:val="32"/>
          <w:szCs w:val="32"/>
          <w:lang w:val="en-US" w:eastAsia="zh-CN"/>
        </w:rPr>
        <w:t>增加6.83</w:t>
      </w:r>
      <w:r>
        <w:rPr>
          <w:rFonts w:hint="eastAsia" w:ascii="仿宋" w:hAnsi="仿宋" w:eastAsia="仿宋"/>
          <w:sz w:val="32"/>
          <w:szCs w:val="32"/>
        </w:rPr>
        <w:t>万元，</w:t>
      </w:r>
      <w:r>
        <w:rPr>
          <w:rFonts w:hint="eastAsia" w:ascii="仿宋" w:hAnsi="仿宋" w:eastAsia="仿宋"/>
          <w:sz w:val="32"/>
          <w:szCs w:val="32"/>
          <w:lang w:val="en-US" w:eastAsia="zh-CN"/>
        </w:rPr>
        <w:t>增长5.78</w:t>
      </w:r>
      <w:r>
        <w:rPr>
          <w:rFonts w:hint="eastAsia" w:ascii="仿宋" w:hAnsi="仿宋" w:eastAsia="仿宋"/>
          <w:sz w:val="32"/>
          <w:szCs w:val="32"/>
        </w:rPr>
        <w:t>%。主要变动原因是</w:t>
      </w:r>
      <w:r>
        <w:rPr>
          <w:rFonts w:hint="eastAsia" w:ascii="仿宋" w:hAnsi="仿宋" w:eastAsia="仿宋"/>
          <w:sz w:val="32"/>
          <w:szCs w:val="32"/>
          <w:lang w:eastAsia="zh-CN"/>
        </w:rPr>
        <w:t>人员变动收支增加</w:t>
      </w:r>
      <w:r>
        <w:rPr>
          <w:rFonts w:hint="eastAsia" w:ascii="仿宋" w:hAnsi="仿宋" w:eastAsia="仿宋"/>
          <w:sz w:val="32"/>
          <w:szCs w:val="32"/>
          <w:lang w:val="en-US" w:eastAsia="zh-CN"/>
        </w:rPr>
        <w:t>。</w:t>
      </w: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4683760" cy="2003425"/>
            <wp:effectExtent l="4445" t="4445" r="17145" b="1143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hint="eastAsia" w:ascii="仿宋_GB2312" w:hAnsi="仿宋_GB2312" w:eastAsia="仿宋_GB2312" w:cs="仿宋_GB2312"/>
          <w:sz w:val="32"/>
          <w:szCs w:val="32"/>
          <w:lang w:val="en-US" w:eastAsia="zh-CN"/>
        </w:rPr>
        <w:drawing>
          <wp:inline distT="0" distB="0" distL="114300" distR="114300">
            <wp:extent cx="4643755" cy="1881505"/>
            <wp:effectExtent l="4445" t="5080" r="19050" b="184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w:t>
      </w:r>
    </w:p>
    <w:p>
      <w:pPr>
        <w:pStyle w:val="5"/>
        <w:keepNext/>
        <w:keepLines/>
        <w:pageBreakBefore w:val="0"/>
        <w:widowControl w:val="0"/>
        <w:kinsoku/>
        <w:wordWrap/>
        <w:overflowPunct/>
        <w:topLinePunct w:val="0"/>
        <w:autoSpaceDE/>
        <w:autoSpaceDN/>
        <w:bidi w:val="0"/>
        <w:adjustRightInd/>
        <w:snapToGrid/>
        <w:spacing w:before="0" w:after="0" w:line="560" w:lineRule="exact"/>
        <w:ind w:firstLine="642" w:firstLineChars="200"/>
        <w:textAlignment w:val="auto"/>
      </w:pPr>
      <w:bookmarkStart w:id="23" w:name="_Toc15396604"/>
      <w:bookmarkStart w:id="24" w:name="_Toc15377206"/>
      <w:bookmarkStart w:id="25" w:name="_Toc5938"/>
      <w:r>
        <w:rPr>
          <w:rFonts w:hint="eastAsia"/>
          <w:lang w:val="en-US" w:eastAsia="zh-CN"/>
        </w:rPr>
        <w:t>二、</w:t>
      </w:r>
      <w:r>
        <w:rPr>
          <w:rFonts w:hint="eastAsia"/>
        </w:rPr>
        <w:t>收入决算情况说明</w:t>
      </w:r>
      <w:bookmarkEnd w:id="23"/>
      <w:bookmarkEnd w:id="24"/>
      <w:bookmarkEnd w:id="2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bookmarkStart w:id="26" w:name="_Toc13887"/>
      <w:bookmarkStart w:id="27" w:name="_Toc5986"/>
      <w:r>
        <w:rPr>
          <w:rFonts w:hint="eastAsia" w:ascii="仿宋" w:hAnsi="仿宋" w:eastAsia="仿宋"/>
          <w:sz w:val="32"/>
          <w:szCs w:val="32"/>
          <w:lang w:eastAsia="zh-CN"/>
        </w:rPr>
        <w:t>2023</w:t>
      </w:r>
      <w:r>
        <w:rPr>
          <w:rFonts w:hint="eastAsia" w:ascii="仿宋" w:hAnsi="仿宋" w:eastAsia="仿宋"/>
          <w:sz w:val="32"/>
          <w:szCs w:val="32"/>
        </w:rPr>
        <w:t>年本年收入合计</w:t>
      </w:r>
      <w:r>
        <w:rPr>
          <w:rFonts w:hint="eastAsia" w:ascii="仿宋" w:hAnsi="仿宋" w:eastAsia="仿宋"/>
          <w:sz w:val="32"/>
          <w:szCs w:val="32"/>
          <w:lang w:val="en-US" w:eastAsia="zh-CN"/>
        </w:rPr>
        <w:t>124.92</w:t>
      </w:r>
      <w:r>
        <w:rPr>
          <w:rFonts w:hint="eastAsia" w:ascii="仿宋" w:hAnsi="仿宋" w:eastAsia="仿宋"/>
          <w:sz w:val="32"/>
          <w:szCs w:val="32"/>
        </w:rPr>
        <w:t>万元，其中：一般公共预算财政拨款收入</w:t>
      </w:r>
      <w:r>
        <w:rPr>
          <w:rFonts w:hint="eastAsia" w:ascii="仿宋" w:hAnsi="仿宋" w:eastAsia="仿宋"/>
          <w:sz w:val="32"/>
          <w:szCs w:val="32"/>
          <w:lang w:val="en-US" w:eastAsia="zh-CN"/>
        </w:rPr>
        <w:t>124.92</w:t>
      </w:r>
      <w:r>
        <w:rPr>
          <w:rFonts w:hint="eastAsia" w:ascii="仿宋" w:hAnsi="仿宋" w:eastAsia="仿宋"/>
          <w:sz w:val="32"/>
          <w:szCs w:val="32"/>
        </w:rPr>
        <w:t>万元，占</w:t>
      </w:r>
      <w:r>
        <w:rPr>
          <w:rFonts w:hint="eastAsia" w:ascii="仿宋" w:hAnsi="仿宋" w:eastAsia="仿宋"/>
          <w:sz w:val="32"/>
          <w:szCs w:val="32"/>
          <w:lang w:val="en-US" w:eastAsia="zh-CN"/>
        </w:rPr>
        <w:t>100</w:t>
      </w:r>
      <w:r>
        <w:rPr>
          <w:rFonts w:hint="eastAsia" w:ascii="仿宋" w:hAnsi="仿宋" w:eastAsia="仿宋"/>
          <w:sz w:val="32"/>
          <w:szCs w:val="32"/>
        </w:rPr>
        <w:t>%；政府性基金预算财政拨款收入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%；国有资本经营预算财政拨款收入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%；上级补助收入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%；事业收入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%；经营收入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%；附属单位上缴收入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%；其他收入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w:t>
      </w:r>
      <w:bookmarkEnd w:id="26"/>
      <w:bookmarkEnd w:id="27"/>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3455035" cy="2017395"/>
            <wp:effectExtent l="0" t="0" r="12065" b="1905"/>
            <wp:docPr id="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IMG_256"/>
                    <pic:cNvPicPr>
                      <a:picLocks noChangeAspect="1"/>
                    </pic:cNvPicPr>
                  </pic:nvPicPr>
                  <pic:blipFill>
                    <a:blip r:embed="rId8"/>
                    <a:stretch>
                      <a:fillRect/>
                    </a:stretch>
                  </pic:blipFill>
                  <pic:spPr>
                    <a:xfrm>
                      <a:off x="0" y="0"/>
                      <a:ext cx="3455035" cy="2017395"/>
                    </a:xfrm>
                    <a:prstGeom prst="rect">
                      <a:avLst/>
                    </a:prstGeom>
                    <a:noFill/>
                    <a:ln>
                      <a:noFill/>
                    </a:ln>
                  </pic:spPr>
                </pic:pic>
              </a:graphicData>
            </a:graphic>
          </wp:inline>
        </w:drawing>
      </w:r>
    </w:p>
    <w:p>
      <w:pPr>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（图2：收入决算结构图）</w:t>
      </w:r>
    </w:p>
    <w:p>
      <w:pPr>
        <w:pStyle w:val="5"/>
        <w:keepNext/>
        <w:keepLines/>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eastAsia"/>
          <w:lang w:val="en-US" w:eastAsia="zh-CN"/>
        </w:rPr>
      </w:pPr>
      <w:bookmarkStart w:id="28" w:name="_Toc25940"/>
      <w:bookmarkStart w:id="29" w:name="_Toc15377207"/>
      <w:bookmarkStart w:id="30" w:name="_Toc15396605"/>
      <w:r>
        <w:rPr>
          <w:rFonts w:hint="eastAsia"/>
          <w:lang w:val="en-US" w:eastAsia="zh-CN"/>
        </w:rPr>
        <w:t>三、支出决算情况说明</w:t>
      </w:r>
      <w:bookmarkEnd w:id="28"/>
      <w:bookmarkEnd w:id="29"/>
      <w:bookmarkEnd w:id="3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bookmarkStart w:id="31" w:name="_Toc25808"/>
      <w:bookmarkStart w:id="32" w:name="_Toc20789"/>
      <w:r>
        <w:rPr>
          <w:rFonts w:hint="eastAsia" w:ascii="仿宋" w:hAnsi="仿宋" w:eastAsia="仿宋"/>
          <w:sz w:val="32"/>
          <w:szCs w:val="32"/>
          <w:lang w:eastAsia="zh-CN"/>
        </w:rPr>
        <w:t>2023</w:t>
      </w:r>
      <w:r>
        <w:rPr>
          <w:rFonts w:hint="eastAsia" w:ascii="仿宋" w:hAnsi="仿宋" w:eastAsia="仿宋"/>
          <w:sz w:val="32"/>
          <w:szCs w:val="32"/>
        </w:rPr>
        <w:t>年本年支出合计</w:t>
      </w:r>
      <w:r>
        <w:rPr>
          <w:rFonts w:hint="eastAsia" w:ascii="仿宋" w:hAnsi="仿宋" w:eastAsia="仿宋"/>
          <w:sz w:val="32"/>
          <w:szCs w:val="32"/>
          <w:lang w:val="en-US" w:eastAsia="zh-CN"/>
        </w:rPr>
        <w:t>124.92</w:t>
      </w:r>
      <w:r>
        <w:rPr>
          <w:rFonts w:hint="eastAsia" w:ascii="仿宋" w:hAnsi="仿宋" w:eastAsia="仿宋"/>
          <w:sz w:val="32"/>
          <w:szCs w:val="32"/>
        </w:rPr>
        <w:t>万元，其中：基本支出</w:t>
      </w:r>
      <w:r>
        <w:rPr>
          <w:rFonts w:hint="eastAsia" w:ascii="仿宋" w:hAnsi="仿宋" w:eastAsia="仿宋"/>
          <w:sz w:val="32"/>
          <w:szCs w:val="32"/>
          <w:lang w:val="en-US" w:eastAsia="zh-CN"/>
        </w:rPr>
        <w:t>114.03</w:t>
      </w:r>
      <w:r>
        <w:rPr>
          <w:rFonts w:hint="eastAsia" w:ascii="仿宋" w:hAnsi="仿宋" w:eastAsia="仿宋"/>
          <w:sz w:val="32"/>
          <w:szCs w:val="32"/>
        </w:rPr>
        <w:t>万元，占</w:t>
      </w:r>
      <w:r>
        <w:rPr>
          <w:rFonts w:hint="eastAsia" w:ascii="仿宋" w:hAnsi="仿宋" w:eastAsia="仿宋"/>
          <w:sz w:val="32"/>
          <w:szCs w:val="32"/>
          <w:lang w:val="en-US" w:eastAsia="zh-CN"/>
        </w:rPr>
        <w:t>91.28</w:t>
      </w:r>
      <w:r>
        <w:rPr>
          <w:rFonts w:hint="eastAsia" w:ascii="仿宋" w:hAnsi="仿宋" w:eastAsia="仿宋"/>
          <w:sz w:val="32"/>
          <w:szCs w:val="32"/>
        </w:rPr>
        <w:t>%；项目支出</w:t>
      </w:r>
      <w:r>
        <w:rPr>
          <w:rFonts w:hint="eastAsia" w:ascii="仿宋" w:hAnsi="仿宋" w:eastAsia="仿宋"/>
          <w:sz w:val="32"/>
          <w:szCs w:val="32"/>
          <w:lang w:val="en-US" w:eastAsia="zh-CN"/>
        </w:rPr>
        <w:t>10.89</w:t>
      </w:r>
      <w:r>
        <w:rPr>
          <w:rFonts w:hint="eastAsia" w:ascii="仿宋" w:hAnsi="仿宋" w:eastAsia="仿宋"/>
          <w:sz w:val="32"/>
          <w:szCs w:val="32"/>
        </w:rPr>
        <w:t>万元，占</w:t>
      </w:r>
      <w:r>
        <w:rPr>
          <w:rFonts w:hint="eastAsia" w:ascii="仿宋" w:hAnsi="仿宋" w:eastAsia="仿宋"/>
          <w:sz w:val="32"/>
          <w:szCs w:val="32"/>
          <w:lang w:val="en-US" w:eastAsia="zh-CN"/>
        </w:rPr>
        <w:t>8.72</w:t>
      </w:r>
      <w:r>
        <w:rPr>
          <w:rFonts w:hint="eastAsia" w:ascii="仿宋" w:hAnsi="仿宋" w:eastAsia="仿宋"/>
          <w:sz w:val="32"/>
          <w:szCs w:val="32"/>
        </w:rPr>
        <w:t>%；</w:t>
      </w:r>
      <w:bookmarkEnd w:id="31"/>
      <w:bookmarkEnd w:id="32"/>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4114800" cy="1988820"/>
            <wp:effectExtent l="4445" t="4445" r="14605" b="6985"/>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（图3：支出决算结构图）</w:t>
      </w:r>
    </w:p>
    <w:p>
      <w:pPr>
        <w:pStyle w:val="5"/>
        <w:keepNext/>
        <w:keepLines/>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eastAsia"/>
          <w:lang w:val="en-US" w:eastAsia="zh-CN"/>
        </w:rPr>
      </w:pPr>
      <w:bookmarkStart w:id="33" w:name="_Toc15396606"/>
      <w:bookmarkStart w:id="34" w:name="_Toc20317"/>
      <w:bookmarkStart w:id="35" w:name="_Toc15377208"/>
      <w:r>
        <w:rPr>
          <w:rFonts w:hint="eastAsia"/>
          <w:lang w:val="en-US" w:eastAsia="zh-CN"/>
        </w:rPr>
        <w:t>四、财政拨款收入支出决算总体情况说明</w:t>
      </w:r>
      <w:bookmarkEnd w:id="33"/>
      <w:bookmarkEnd w:id="34"/>
      <w:bookmarkEnd w:id="3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b/>
          <w:sz w:val="32"/>
          <w:szCs w:val="32"/>
        </w:rPr>
      </w:pPr>
      <w:r>
        <w:rPr>
          <w:rFonts w:hint="eastAsia" w:ascii="仿宋" w:hAnsi="仿宋" w:eastAsia="仿宋"/>
          <w:sz w:val="32"/>
          <w:szCs w:val="32"/>
          <w:lang w:eastAsia="zh-CN"/>
        </w:rPr>
        <w:t>2023</w:t>
      </w:r>
      <w:r>
        <w:rPr>
          <w:rFonts w:hint="eastAsia" w:ascii="仿宋" w:hAnsi="仿宋" w:eastAsia="仿宋"/>
          <w:sz w:val="32"/>
          <w:szCs w:val="32"/>
        </w:rPr>
        <w:t>年度</w:t>
      </w:r>
      <w:r>
        <w:rPr>
          <w:rFonts w:hint="eastAsia" w:ascii="仿宋" w:hAnsi="仿宋" w:eastAsia="仿宋"/>
          <w:sz w:val="32"/>
          <w:szCs w:val="32"/>
          <w:lang w:val="en-US" w:eastAsia="zh-CN"/>
        </w:rPr>
        <w:t>财政拨款</w:t>
      </w:r>
      <w:r>
        <w:rPr>
          <w:rFonts w:hint="eastAsia" w:ascii="仿宋" w:hAnsi="仿宋" w:eastAsia="仿宋"/>
          <w:sz w:val="32"/>
          <w:szCs w:val="32"/>
        </w:rPr>
        <w:t>收</w:t>
      </w:r>
      <w:r>
        <w:rPr>
          <w:rFonts w:hint="eastAsia" w:ascii="仿宋" w:hAnsi="仿宋" w:eastAsia="仿宋"/>
          <w:sz w:val="32"/>
          <w:szCs w:val="32"/>
          <w:lang w:eastAsia="zh-CN"/>
        </w:rPr>
        <w:t>入</w:t>
      </w:r>
      <w:r>
        <w:rPr>
          <w:rFonts w:hint="eastAsia" w:ascii="仿宋" w:hAnsi="仿宋" w:eastAsia="仿宋"/>
          <w:sz w:val="32"/>
          <w:szCs w:val="32"/>
        </w:rPr>
        <w:t>总计</w:t>
      </w:r>
      <w:r>
        <w:rPr>
          <w:rFonts w:hint="eastAsia" w:ascii="仿宋" w:hAnsi="仿宋" w:eastAsia="仿宋"/>
          <w:sz w:val="32"/>
          <w:szCs w:val="32"/>
          <w:lang w:eastAsia="zh-CN"/>
        </w:rPr>
        <w:t>124.92</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lang w:val="en-US" w:eastAsia="zh-CN"/>
        </w:rPr>
        <w:t>财政拨款支出总计124.92万元</w:t>
      </w:r>
      <w:r>
        <w:rPr>
          <w:rFonts w:hint="eastAsia" w:ascii="仿宋" w:hAnsi="仿宋" w:eastAsia="仿宋"/>
          <w:sz w:val="32"/>
          <w:szCs w:val="32"/>
        </w:rPr>
        <w:t>。与</w:t>
      </w:r>
      <w:r>
        <w:rPr>
          <w:rFonts w:hint="eastAsia" w:ascii="仿宋" w:hAnsi="仿宋" w:eastAsia="仿宋"/>
          <w:sz w:val="32"/>
          <w:szCs w:val="32"/>
          <w:lang w:eastAsia="zh-CN"/>
        </w:rPr>
        <w:t>2022年</w:t>
      </w:r>
      <w:r>
        <w:rPr>
          <w:rFonts w:hint="eastAsia" w:ascii="仿宋" w:hAnsi="仿宋" w:eastAsia="仿宋"/>
          <w:sz w:val="32"/>
          <w:szCs w:val="32"/>
        </w:rPr>
        <w:t>相比，</w:t>
      </w:r>
      <w:r>
        <w:rPr>
          <w:rFonts w:hint="eastAsia" w:ascii="仿宋" w:hAnsi="仿宋" w:eastAsia="仿宋"/>
          <w:sz w:val="32"/>
          <w:szCs w:val="32"/>
          <w:lang w:val="en-US" w:eastAsia="zh-CN"/>
        </w:rPr>
        <w:t>增加9.96</w:t>
      </w:r>
      <w:r>
        <w:rPr>
          <w:rFonts w:hint="eastAsia" w:ascii="仿宋" w:hAnsi="仿宋" w:eastAsia="仿宋"/>
          <w:sz w:val="32"/>
          <w:szCs w:val="32"/>
        </w:rPr>
        <w:t>万元，</w:t>
      </w:r>
      <w:r>
        <w:rPr>
          <w:rFonts w:hint="eastAsia" w:ascii="仿宋" w:hAnsi="仿宋" w:eastAsia="仿宋"/>
          <w:sz w:val="32"/>
          <w:szCs w:val="32"/>
          <w:lang w:val="en-US" w:eastAsia="zh-CN"/>
        </w:rPr>
        <w:t>增长8.67</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lang w:val="en-US" w:eastAsia="zh-CN"/>
        </w:rPr>
        <w:t>支出</w:t>
      </w:r>
      <w:r>
        <w:rPr>
          <w:rFonts w:hint="eastAsia" w:ascii="仿宋" w:hAnsi="仿宋" w:eastAsia="仿宋"/>
          <w:sz w:val="32"/>
          <w:szCs w:val="32"/>
        </w:rPr>
        <w:t>总计</w:t>
      </w:r>
      <w:r>
        <w:rPr>
          <w:rFonts w:hint="eastAsia" w:ascii="仿宋" w:hAnsi="仿宋" w:eastAsia="仿宋"/>
          <w:sz w:val="32"/>
          <w:szCs w:val="32"/>
          <w:lang w:val="en-US" w:eastAsia="zh-CN"/>
        </w:rPr>
        <w:t>增加6.83</w:t>
      </w:r>
      <w:r>
        <w:rPr>
          <w:rFonts w:hint="eastAsia" w:ascii="仿宋" w:hAnsi="仿宋" w:eastAsia="仿宋"/>
          <w:sz w:val="32"/>
          <w:szCs w:val="32"/>
        </w:rPr>
        <w:t>万元，</w:t>
      </w:r>
      <w:r>
        <w:rPr>
          <w:rFonts w:hint="eastAsia" w:ascii="仿宋" w:hAnsi="仿宋" w:eastAsia="仿宋"/>
          <w:sz w:val="32"/>
          <w:szCs w:val="32"/>
          <w:lang w:val="en-US" w:eastAsia="zh-CN"/>
        </w:rPr>
        <w:t>增长5.78</w:t>
      </w:r>
      <w:r>
        <w:rPr>
          <w:rFonts w:hint="eastAsia" w:ascii="仿宋" w:hAnsi="仿宋" w:eastAsia="仿宋"/>
          <w:sz w:val="32"/>
          <w:szCs w:val="32"/>
        </w:rPr>
        <w:t>%。主要变动原因是</w:t>
      </w:r>
      <w:r>
        <w:rPr>
          <w:rFonts w:hint="eastAsia" w:ascii="仿宋" w:hAnsi="仿宋" w:eastAsia="仿宋"/>
          <w:sz w:val="32"/>
          <w:szCs w:val="32"/>
          <w:lang w:eastAsia="zh-CN"/>
        </w:rPr>
        <w:t>人员变动收支增加</w:t>
      </w:r>
      <w:r>
        <w:rPr>
          <w:rFonts w:hint="eastAsia" w:ascii="仿宋" w:hAnsi="仿宋" w:eastAsia="仿宋"/>
          <w:sz w:val="32"/>
          <w:szCs w:val="32"/>
          <w:lang w:val="en-US" w:eastAsia="zh-CN"/>
        </w:rPr>
        <w:t>。</w:t>
      </w:r>
    </w:p>
    <w:p>
      <w:pPr>
        <w:pStyle w:val="16"/>
        <w:jc w:val="center"/>
        <w:rPr>
          <w:rFonts w:hint="eastAsia" w:ascii="仿宋" w:hAnsi="仿宋" w:eastAsia="仿宋"/>
          <w:b/>
          <w:sz w:val="32"/>
          <w:szCs w:val="32"/>
          <w:lang w:eastAsia="zh-CN"/>
        </w:rPr>
      </w:pPr>
      <w:r>
        <w:rPr>
          <w:rFonts w:hint="eastAsia" w:ascii="仿宋" w:hAnsi="仿宋" w:eastAsia="仿宋"/>
          <w:b/>
          <w:sz w:val="32"/>
          <w:szCs w:val="32"/>
          <w:lang w:eastAsia="zh-CN"/>
        </w:rPr>
        <w:drawing>
          <wp:inline distT="0" distB="0" distL="114300" distR="114300">
            <wp:extent cx="4216400" cy="2048510"/>
            <wp:effectExtent l="4445" t="4445" r="8255" b="23495"/>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eastAsia" w:ascii="仿宋" w:hAnsi="仿宋" w:eastAsia="仿宋"/>
          <w:b/>
          <w:sz w:val="32"/>
          <w:szCs w:val="32"/>
          <w:lang w:eastAsia="zh-CN"/>
        </w:rPr>
        <w:drawing>
          <wp:inline distT="0" distB="0" distL="114300" distR="114300">
            <wp:extent cx="4230370" cy="1798320"/>
            <wp:effectExtent l="4445" t="5080" r="13335" b="635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（图4：财政拨款收、支决算总计变动情况）</w:t>
      </w:r>
    </w:p>
    <w:p>
      <w:pPr>
        <w:pStyle w:val="5"/>
        <w:keepNext/>
        <w:keepLines/>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eastAsia"/>
          <w:lang w:val="en-US" w:eastAsia="zh-CN"/>
        </w:rPr>
      </w:pPr>
      <w:bookmarkStart w:id="36" w:name="_Toc15396607"/>
      <w:bookmarkStart w:id="37" w:name="_Toc15377209"/>
      <w:bookmarkStart w:id="38" w:name="_Toc14816"/>
      <w:r>
        <w:rPr>
          <w:rFonts w:hint="eastAsia"/>
          <w:lang w:val="en-US" w:eastAsia="zh-CN"/>
        </w:rPr>
        <w:t>五、一般公共预算财政拨款支出决算情况说明</w:t>
      </w:r>
      <w:bookmarkEnd w:id="36"/>
      <w:bookmarkEnd w:id="37"/>
      <w:bookmarkEnd w:id="38"/>
    </w:p>
    <w:p>
      <w:pPr>
        <w:rPr>
          <w:rFonts w:hint="eastAsia" w:ascii="仿宋_GB2312" w:hAnsi="仿宋_GB2312" w:eastAsia="仿宋_GB2312" w:cs="仿宋_GB2312"/>
          <w:b/>
          <w:bCs/>
          <w:sz w:val="32"/>
          <w:szCs w:val="32"/>
        </w:rPr>
      </w:pPr>
      <w:bookmarkStart w:id="39" w:name="_Toc15377210"/>
      <w:r>
        <w:rPr>
          <w:rFonts w:hint="eastAsia" w:ascii="仿宋_GB2312" w:hAnsi="仿宋_GB2312" w:eastAsia="仿宋_GB2312" w:cs="仿宋_GB2312"/>
          <w:b/>
          <w:bCs/>
          <w:sz w:val="32"/>
          <w:szCs w:val="32"/>
        </w:rPr>
        <w:t>（一）一般公共预算财政拨款支出决算总体情况</w:t>
      </w:r>
      <w:bookmarkEnd w:id="3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eastAsia="zh-CN"/>
        </w:rPr>
        <w:t>2023</w:t>
      </w:r>
      <w:r>
        <w:rPr>
          <w:rFonts w:hint="eastAsia" w:ascii="仿宋" w:hAnsi="仿宋" w:eastAsia="仿宋"/>
          <w:sz w:val="32"/>
          <w:szCs w:val="32"/>
        </w:rPr>
        <w:t>年一般公共预算财政拨款支出</w:t>
      </w:r>
      <w:r>
        <w:rPr>
          <w:rFonts w:hint="eastAsia" w:ascii="仿宋" w:hAnsi="仿宋" w:eastAsia="仿宋"/>
          <w:sz w:val="32"/>
          <w:szCs w:val="32"/>
          <w:lang w:val="en-US" w:eastAsia="zh-CN"/>
        </w:rPr>
        <w:t>124.92</w:t>
      </w:r>
      <w:r>
        <w:rPr>
          <w:rFonts w:hint="eastAsia" w:ascii="仿宋" w:hAnsi="仿宋" w:eastAsia="仿宋"/>
          <w:sz w:val="32"/>
          <w:szCs w:val="32"/>
        </w:rPr>
        <w:t>万元，占本年支出合计的</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。与</w:t>
      </w:r>
      <w:r>
        <w:rPr>
          <w:rFonts w:hint="eastAsia" w:ascii="仿宋" w:hAnsi="仿宋" w:eastAsia="仿宋"/>
          <w:sz w:val="32"/>
          <w:szCs w:val="32"/>
          <w:lang w:eastAsia="zh-CN"/>
        </w:rPr>
        <w:t>2022年</w:t>
      </w:r>
      <w:r>
        <w:rPr>
          <w:rFonts w:hint="eastAsia" w:ascii="仿宋" w:hAnsi="仿宋" w:eastAsia="仿宋"/>
          <w:sz w:val="32"/>
          <w:szCs w:val="32"/>
        </w:rPr>
        <w:t>相比，一般公共预算财政拨款</w:t>
      </w:r>
      <w:r>
        <w:rPr>
          <w:rFonts w:hint="eastAsia" w:ascii="仿宋" w:hAnsi="仿宋" w:eastAsia="仿宋"/>
          <w:sz w:val="32"/>
          <w:szCs w:val="32"/>
          <w:lang w:val="en-US" w:eastAsia="zh-CN"/>
        </w:rPr>
        <w:t>支出</w:t>
      </w:r>
      <w:r>
        <w:rPr>
          <w:rFonts w:hint="eastAsia" w:ascii="仿宋" w:hAnsi="仿宋" w:eastAsia="仿宋"/>
          <w:sz w:val="32"/>
          <w:szCs w:val="32"/>
        </w:rPr>
        <w:t>总计</w:t>
      </w:r>
      <w:r>
        <w:rPr>
          <w:rFonts w:hint="eastAsia" w:ascii="仿宋" w:hAnsi="仿宋" w:eastAsia="仿宋"/>
          <w:sz w:val="32"/>
          <w:szCs w:val="32"/>
          <w:lang w:val="en-US" w:eastAsia="zh-CN"/>
        </w:rPr>
        <w:t>增加6.83</w:t>
      </w:r>
      <w:r>
        <w:rPr>
          <w:rFonts w:hint="eastAsia" w:ascii="仿宋" w:hAnsi="仿宋" w:eastAsia="仿宋"/>
          <w:sz w:val="32"/>
          <w:szCs w:val="32"/>
        </w:rPr>
        <w:t>万元，</w:t>
      </w:r>
      <w:r>
        <w:rPr>
          <w:rFonts w:hint="eastAsia" w:ascii="仿宋" w:hAnsi="仿宋" w:eastAsia="仿宋"/>
          <w:sz w:val="32"/>
          <w:szCs w:val="32"/>
          <w:lang w:val="en-US" w:eastAsia="zh-CN"/>
        </w:rPr>
        <w:t>增长5.78</w:t>
      </w:r>
      <w:r>
        <w:rPr>
          <w:rFonts w:hint="eastAsia" w:ascii="仿宋" w:hAnsi="仿宋" w:eastAsia="仿宋"/>
          <w:sz w:val="32"/>
          <w:szCs w:val="32"/>
        </w:rPr>
        <w:t>%。主要变动原因是</w:t>
      </w:r>
      <w:r>
        <w:rPr>
          <w:rFonts w:hint="eastAsia" w:ascii="仿宋" w:hAnsi="仿宋" w:eastAsia="仿宋"/>
          <w:sz w:val="32"/>
          <w:szCs w:val="32"/>
          <w:lang w:eastAsia="zh-CN"/>
        </w:rPr>
        <w:t>人员变动</w:t>
      </w:r>
      <w:r>
        <w:rPr>
          <w:rFonts w:hint="eastAsia" w:ascii="仿宋" w:hAnsi="仿宋" w:eastAsia="仿宋"/>
          <w:sz w:val="32"/>
          <w:szCs w:val="32"/>
          <w:lang w:val="en-US" w:eastAsia="zh-CN"/>
        </w:rPr>
        <w:t>支出</w:t>
      </w:r>
      <w:r>
        <w:rPr>
          <w:rFonts w:hint="eastAsia" w:ascii="仿宋" w:hAnsi="仿宋" w:eastAsia="仿宋"/>
          <w:sz w:val="32"/>
          <w:szCs w:val="32"/>
          <w:lang w:eastAsia="zh-CN"/>
        </w:rPr>
        <w:t>增加。</w:t>
      </w:r>
    </w:p>
    <w:p>
      <w:pPr>
        <w:pStyle w:val="16"/>
        <w:jc w:val="center"/>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4133215" cy="1908175"/>
            <wp:effectExtent l="4445" t="4445" r="15240" b="11430"/>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w:t>
      </w:r>
    </w:p>
    <w:p>
      <w:pPr>
        <w:ind w:firstLine="321" w:firstLineChars="100"/>
        <w:rPr>
          <w:rFonts w:hint="eastAsia" w:ascii="仿宋_GB2312" w:hAnsi="仿宋_GB2312" w:eastAsia="仿宋_GB2312" w:cs="仿宋_GB2312"/>
          <w:b/>
          <w:bCs/>
          <w:sz w:val="32"/>
          <w:szCs w:val="32"/>
        </w:rPr>
      </w:pPr>
      <w:bookmarkStart w:id="40" w:name="_Toc15377211"/>
      <w:r>
        <w:rPr>
          <w:rFonts w:hint="eastAsia" w:ascii="仿宋_GB2312" w:hAnsi="仿宋_GB2312" w:eastAsia="仿宋_GB2312" w:cs="仿宋_GB2312"/>
          <w:b/>
          <w:bCs/>
          <w:sz w:val="32"/>
          <w:szCs w:val="32"/>
        </w:rPr>
        <w:t>（二）一般公共预算财政拨款支出决算结构情况</w:t>
      </w:r>
      <w:bookmarkEnd w:id="40"/>
    </w:p>
    <w:p>
      <w:pPr>
        <w:spacing w:line="600" w:lineRule="exact"/>
        <w:ind w:firstLine="640"/>
        <w:rPr>
          <w:rFonts w:hint="eastAsia" w:ascii="仿宋" w:hAnsi="仿宋" w:eastAsia="仿宋"/>
          <w:b/>
          <w:sz w:val="32"/>
          <w:szCs w:val="32"/>
        </w:rPr>
      </w:pPr>
      <w:r>
        <w:rPr>
          <w:rFonts w:hint="eastAsia" w:ascii="仿宋" w:hAnsi="仿宋" w:eastAsia="仿宋"/>
          <w:sz w:val="32"/>
          <w:szCs w:val="32"/>
          <w:lang w:eastAsia="zh-CN"/>
        </w:rPr>
        <w:t>2023</w:t>
      </w:r>
      <w:r>
        <w:rPr>
          <w:rFonts w:hint="eastAsia" w:ascii="仿宋" w:hAnsi="仿宋" w:eastAsia="仿宋"/>
          <w:sz w:val="32"/>
          <w:szCs w:val="32"/>
        </w:rPr>
        <w:t>年一般公共预算财政拨款支出</w:t>
      </w:r>
      <w:r>
        <w:rPr>
          <w:rFonts w:hint="eastAsia" w:ascii="仿宋" w:hAnsi="仿宋" w:eastAsia="仿宋"/>
          <w:sz w:val="32"/>
          <w:szCs w:val="32"/>
          <w:lang w:val="en-US" w:eastAsia="zh-CN"/>
        </w:rPr>
        <w:t>124.92</w:t>
      </w:r>
      <w:r>
        <w:rPr>
          <w:rFonts w:hint="eastAsia" w:ascii="仿宋" w:hAnsi="仿宋" w:eastAsia="仿宋"/>
          <w:sz w:val="32"/>
          <w:szCs w:val="32"/>
        </w:rPr>
        <w:t>万元，主要用于以下方面</w:t>
      </w:r>
      <w:r>
        <w:rPr>
          <w:rFonts w:hint="eastAsia" w:ascii="仿宋" w:hAnsi="仿宋" w:eastAsia="仿宋"/>
          <w:sz w:val="32"/>
          <w:szCs w:val="32"/>
          <w:lang w:eastAsia="zh-CN"/>
        </w:rPr>
        <w:t>：</w:t>
      </w:r>
      <w:r>
        <w:rPr>
          <w:rFonts w:hint="eastAsia" w:ascii="仿宋" w:hAnsi="仿宋" w:eastAsia="仿宋" w:cs="Times New Roman"/>
          <w:b/>
          <w:color w:val="000000"/>
          <w:sz w:val="32"/>
          <w:szCs w:val="32"/>
          <w:lang w:val="en-US" w:eastAsia="zh-CN"/>
        </w:rPr>
        <w:t>教育支出</w:t>
      </w:r>
      <w:r>
        <w:rPr>
          <w:rFonts w:hint="eastAsia" w:ascii="仿宋" w:hAnsi="仿宋" w:eastAsia="仿宋"/>
          <w:sz w:val="32"/>
          <w:szCs w:val="32"/>
          <w:lang w:val="en-US" w:eastAsia="zh-CN"/>
        </w:rPr>
        <w:t>5.05万元，占4.04%；</w:t>
      </w:r>
      <w:r>
        <w:rPr>
          <w:rFonts w:hint="eastAsia" w:ascii="仿宋" w:hAnsi="仿宋" w:eastAsia="仿宋"/>
          <w:b/>
          <w:color w:val="000000"/>
          <w:sz w:val="32"/>
          <w:szCs w:val="32"/>
        </w:rPr>
        <w:t>社会保障和就业</w:t>
      </w:r>
      <w:r>
        <w:rPr>
          <w:rFonts w:hint="eastAsia" w:ascii="仿宋" w:hAnsi="仿宋" w:eastAsia="仿宋"/>
          <w:b/>
          <w:bCs/>
          <w:color w:val="000000"/>
          <w:sz w:val="32"/>
          <w:szCs w:val="32"/>
        </w:rPr>
        <w:t>支出</w:t>
      </w:r>
      <w:r>
        <w:rPr>
          <w:rFonts w:hint="eastAsia" w:ascii="仿宋" w:hAnsi="仿宋" w:eastAsia="仿宋"/>
          <w:color w:val="000000"/>
          <w:sz w:val="32"/>
          <w:szCs w:val="32"/>
          <w:lang w:val="en-US" w:eastAsia="zh-CN"/>
        </w:rPr>
        <w:t>107.34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85.92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5.62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4.50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lang w:eastAsia="zh-CN"/>
        </w:rPr>
        <w:t>住房保障支出</w:t>
      </w:r>
      <w:r>
        <w:rPr>
          <w:rFonts w:hint="eastAsia" w:ascii="仿宋" w:hAnsi="仿宋" w:eastAsia="仿宋"/>
          <w:color w:val="000000"/>
          <w:sz w:val="32"/>
          <w:szCs w:val="32"/>
          <w:lang w:val="en-US" w:eastAsia="zh-CN"/>
        </w:rPr>
        <w:t>6.92</w:t>
      </w:r>
      <w:r>
        <w:rPr>
          <w:rFonts w:hint="eastAsia" w:ascii="仿宋" w:hAnsi="仿宋" w:eastAsia="仿宋"/>
          <w:color w:val="000000"/>
          <w:sz w:val="32"/>
          <w:szCs w:val="32"/>
          <w:lang w:eastAsia="zh-CN"/>
        </w:rPr>
        <w:t>万元，占</w:t>
      </w:r>
      <w:r>
        <w:rPr>
          <w:rFonts w:hint="eastAsia" w:ascii="仿宋" w:hAnsi="仿宋" w:eastAsia="仿宋"/>
          <w:color w:val="000000"/>
          <w:sz w:val="32"/>
          <w:szCs w:val="32"/>
          <w:lang w:val="en-US" w:eastAsia="zh-CN"/>
        </w:rPr>
        <w:t>5.54</w:t>
      </w:r>
      <w:r>
        <w:rPr>
          <w:rFonts w:hint="eastAsia" w:ascii="仿宋" w:hAnsi="仿宋" w:eastAsia="仿宋"/>
          <w:color w:val="000000"/>
          <w:sz w:val="32"/>
          <w:szCs w:val="32"/>
          <w:lang w:eastAsia="zh-CN"/>
        </w:rPr>
        <w:t>%。</w:t>
      </w:r>
    </w:p>
    <w:p>
      <w:pPr>
        <w:pStyle w:val="16"/>
        <w:jc w:val="center"/>
        <w:rPr>
          <w:rFonts w:ascii="仿宋" w:hAnsi="仿宋" w:eastAsia="仿宋"/>
          <w:sz w:val="32"/>
          <w:szCs w:val="32"/>
        </w:rPr>
      </w:pPr>
      <w:r>
        <w:rPr>
          <w:rFonts w:ascii="仿宋" w:hAnsi="仿宋" w:eastAsia="仿宋"/>
          <w:sz w:val="32"/>
          <w:szCs w:val="32"/>
        </w:rPr>
        <w:drawing>
          <wp:inline distT="0" distB="0" distL="114300" distR="114300">
            <wp:extent cx="4024630" cy="1838960"/>
            <wp:effectExtent l="4445" t="4445" r="9525" b="23495"/>
            <wp:docPr id="11" name="图表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ind w:firstLine="640" w:firstLineChars="200"/>
        <w:rPr>
          <w:rFonts w:hint="eastAsia" w:ascii="仿宋" w:hAnsi="仿宋" w:eastAsia="仿宋"/>
          <w:sz w:val="32"/>
          <w:szCs w:val="32"/>
        </w:rPr>
      </w:pPr>
      <w:r>
        <w:rPr>
          <w:rFonts w:hint="eastAsia" w:ascii="仿宋" w:hAnsi="仿宋" w:eastAsia="仿宋"/>
          <w:sz w:val="32"/>
          <w:szCs w:val="32"/>
        </w:rPr>
        <w:t>（图6：一般公共预算财政拨款支出决算结构）</w:t>
      </w:r>
      <w:bookmarkStart w:id="41" w:name="_Toc15377212"/>
    </w:p>
    <w:p>
      <w:pPr>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（三）一般公共预算财政拨款支出决算具体情况</w:t>
      </w:r>
      <w:bookmarkEnd w:id="41"/>
    </w:p>
    <w:p>
      <w:pPr>
        <w:ind w:firstLine="642" w:firstLineChars="200"/>
        <w:rPr>
          <w:rFonts w:hint="eastAsia" w:ascii="仿宋_GB2312" w:hAnsi="仿宋_GB2312" w:eastAsia="仿宋_GB2312" w:cs="仿宋_GB2312"/>
          <w:b/>
          <w:bCs/>
          <w:sz w:val="32"/>
          <w:szCs w:val="32"/>
        </w:rPr>
      </w:pPr>
      <w:bookmarkStart w:id="42" w:name="_Toc15377213"/>
      <w:bookmarkStart w:id="43" w:name="_Toc15377444"/>
      <w:bookmarkStart w:id="44" w:name="_Toc25701"/>
      <w:bookmarkStart w:id="45" w:name="_Toc20654"/>
      <w:bookmarkStart w:id="46" w:name="_Toc15378460"/>
      <w:r>
        <w:rPr>
          <w:rFonts w:hint="eastAsia" w:ascii="仿宋_GB2312" w:hAnsi="仿宋_GB2312" w:eastAsia="仿宋_GB2312" w:cs="仿宋_GB2312"/>
          <w:b/>
          <w:bCs/>
          <w:sz w:val="32"/>
          <w:szCs w:val="32"/>
          <w:lang w:eastAsia="zh-CN"/>
        </w:rPr>
        <w:t>2023</w:t>
      </w:r>
      <w:r>
        <w:rPr>
          <w:rFonts w:hint="eastAsia" w:ascii="仿宋_GB2312" w:hAnsi="仿宋_GB2312" w:eastAsia="仿宋_GB2312" w:cs="仿宋_GB2312"/>
          <w:b/>
          <w:bCs/>
          <w:sz w:val="32"/>
          <w:szCs w:val="32"/>
        </w:rPr>
        <w:t>年一般公共预算支出决算数为</w:t>
      </w:r>
      <w:r>
        <w:rPr>
          <w:rFonts w:hint="eastAsia" w:ascii="仿宋_GB2312" w:hAnsi="仿宋_GB2312" w:eastAsia="仿宋_GB2312" w:cs="仿宋_GB2312"/>
          <w:b/>
          <w:bCs/>
          <w:sz w:val="32"/>
          <w:szCs w:val="32"/>
          <w:lang w:val="en-US" w:eastAsia="zh-CN"/>
        </w:rPr>
        <w:t>124.92万元</w:t>
      </w:r>
      <w:r>
        <w:rPr>
          <w:rFonts w:hint="eastAsia" w:ascii="仿宋_GB2312" w:hAnsi="仿宋_GB2312" w:eastAsia="仿宋_GB2312" w:cs="仿宋_GB2312"/>
          <w:b/>
          <w:bCs/>
          <w:sz w:val="32"/>
          <w:szCs w:val="32"/>
        </w:rPr>
        <w:t>，完成预算</w:t>
      </w:r>
      <w:r>
        <w:rPr>
          <w:rFonts w:hint="eastAsia" w:ascii="仿宋_GB2312" w:hAnsi="仿宋_GB2312" w:eastAsia="仿宋_GB2312" w:cs="仿宋_GB2312"/>
          <w:b/>
          <w:bCs/>
          <w:sz w:val="32"/>
          <w:szCs w:val="32"/>
          <w:lang w:val="en-US" w:eastAsia="zh-CN"/>
        </w:rPr>
        <w:t>100</w:t>
      </w:r>
      <w:r>
        <w:rPr>
          <w:rFonts w:hint="eastAsia" w:ascii="仿宋_GB2312" w:hAnsi="仿宋_GB2312" w:eastAsia="仿宋_GB2312" w:cs="仿宋_GB2312"/>
          <w:b/>
          <w:bCs/>
          <w:sz w:val="32"/>
          <w:szCs w:val="32"/>
        </w:rPr>
        <w:t>%。其中：</w:t>
      </w:r>
      <w:bookmarkEnd w:id="42"/>
      <w:bookmarkEnd w:id="43"/>
      <w:bookmarkEnd w:id="44"/>
      <w:bookmarkEnd w:id="45"/>
      <w:bookmarkEnd w:id="46"/>
    </w:p>
    <w:p>
      <w:pPr>
        <w:spacing w:line="600" w:lineRule="exact"/>
        <w:ind w:firstLine="640"/>
        <w:rPr>
          <w:rFonts w:hint="eastAsia" w:ascii="仿宋" w:hAnsi="仿宋" w:eastAsia="仿宋"/>
          <w:color w:val="auto"/>
          <w:sz w:val="32"/>
          <w:szCs w:val="32"/>
          <w:highlight w:val="none"/>
          <w:lang w:eastAsia="zh-CN"/>
        </w:rPr>
      </w:pPr>
      <w:r>
        <w:rPr>
          <w:rFonts w:hint="eastAsia" w:ascii="仿宋" w:hAnsi="仿宋" w:eastAsia="仿宋"/>
          <w:b/>
          <w:bCs/>
          <w:color w:val="auto"/>
          <w:sz w:val="32"/>
          <w:szCs w:val="32"/>
          <w:highlight w:val="none"/>
          <w:lang w:val="en-US" w:eastAsia="zh-CN"/>
        </w:rPr>
        <w:t>1.</w:t>
      </w:r>
      <w:r>
        <w:rPr>
          <w:rFonts w:hint="eastAsia" w:ascii="仿宋" w:hAnsi="仿宋" w:eastAsia="仿宋"/>
          <w:b/>
          <w:bCs/>
          <w:color w:val="auto"/>
          <w:sz w:val="32"/>
          <w:szCs w:val="32"/>
          <w:highlight w:val="none"/>
          <w:lang w:eastAsia="zh-CN"/>
        </w:rPr>
        <w:t>教育支出</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205</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eastAsia="zh-CN"/>
        </w:rPr>
        <w:t>进修及培训</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08</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eastAsia="zh-CN"/>
        </w:rPr>
        <w:t>其他进修及培训</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99</w:t>
      </w:r>
      <w:r>
        <w:rPr>
          <w:rStyle w:val="15"/>
          <w:rFonts w:hint="eastAsia" w:ascii="仿宋" w:hAnsi="仿宋" w:eastAsia="仿宋"/>
          <w:bCs/>
          <w:color w:val="auto"/>
          <w:sz w:val="32"/>
          <w:szCs w:val="32"/>
          <w:highlight w:val="none"/>
        </w:rPr>
        <w:t>）</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5.05</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完成预算100%</w:t>
      </w:r>
      <w:r>
        <w:rPr>
          <w:rFonts w:hint="eastAsia" w:ascii="仿宋" w:hAnsi="仿宋" w:eastAsia="仿宋"/>
          <w:color w:val="auto"/>
          <w:sz w:val="32"/>
          <w:szCs w:val="32"/>
          <w:highlight w:val="none"/>
          <w:lang w:eastAsia="zh-CN"/>
        </w:rPr>
        <w:t>；</w:t>
      </w:r>
    </w:p>
    <w:p>
      <w:pPr>
        <w:spacing w:line="600" w:lineRule="exact"/>
        <w:ind w:firstLine="640"/>
        <w:rPr>
          <w:rFonts w:hint="eastAsia" w:ascii="仿宋" w:hAnsi="仿宋" w:eastAsia="仿宋"/>
          <w:color w:val="auto"/>
          <w:sz w:val="32"/>
          <w:szCs w:val="32"/>
          <w:highlight w:val="none"/>
          <w:lang w:eastAsia="zh-CN"/>
        </w:rPr>
      </w:pPr>
      <w:r>
        <w:rPr>
          <w:rFonts w:hint="eastAsia" w:ascii="仿宋" w:hAnsi="仿宋" w:eastAsia="仿宋"/>
          <w:b/>
          <w:bCs/>
          <w:color w:val="auto"/>
          <w:sz w:val="32"/>
          <w:szCs w:val="32"/>
          <w:highlight w:val="none"/>
          <w:lang w:val="en-US" w:eastAsia="zh-CN"/>
        </w:rPr>
        <w:t>2.</w:t>
      </w:r>
      <w:r>
        <w:rPr>
          <w:rFonts w:hint="eastAsia" w:ascii="仿宋" w:hAnsi="仿宋" w:eastAsia="仿宋"/>
          <w:b/>
          <w:bCs/>
          <w:color w:val="auto"/>
          <w:sz w:val="32"/>
          <w:szCs w:val="32"/>
          <w:highlight w:val="none"/>
          <w:lang w:eastAsia="zh-CN"/>
        </w:rPr>
        <w:t>社会保障和就业支出</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208</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eastAsia="zh-CN"/>
        </w:rPr>
        <w:t>社会保障和就业支出</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05</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eastAsia="zh-CN"/>
        </w:rPr>
        <w:t xml:space="preserve">    机关事业单位职业年金缴费支出</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06</w:t>
      </w:r>
      <w:r>
        <w:rPr>
          <w:rStyle w:val="15"/>
          <w:rFonts w:hint="eastAsia" w:ascii="仿宋" w:hAnsi="仿宋" w:eastAsia="仿宋"/>
          <w:bCs/>
          <w:color w:val="auto"/>
          <w:sz w:val="32"/>
          <w:szCs w:val="32"/>
          <w:highlight w:val="none"/>
        </w:rPr>
        <w:t>）</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4.85</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，完成预算100%</w:t>
      </w:r>
      <w:r>
        <w:rPr>
          <w:rFonts w:hint="eastAsia" w:ascii="仿宋" w:hAnsi="仿宋" w:eastAsia="仿宋"/>
          <w:color w:val="auto"/>
          <w:sz w:val="32"/>
          <w:szCs w:val="32"/>
          <w:highlight w:val="none"/>
          <w:lang w:eastAsia="zh-CN"/>
        </w:rPr>
        <w:t>；</w:t>
      </w:r>
    </w:p>
    <w:p>
      <w:pPr>
        <w:spacing w:line="600" w:lineRule="exact"/>
        <w:ind w:firstLine="640"/>
        <w:rPr>
          <w:rFonts w:hint="eastAsia" w:ascii="仿宋" w:hAnsi="仿宋" w:eastAsia="仿宋" w:cs="Times New Roman"/>
          <w:color w:val="auto"/>
          <w:sz w:val="32"/>
          <w:szCs w:val="32"/>
          <w:highlight w:val="none"/>
          <w:lang w:eastAsia="zh-CN"/>
        </w:rPr>
      </w:pPr>
      <w:r>
        <w:rPr>
          <w:rFonts w:hint="eastAsia" w:ascii="仿宋" w:hAnsi="仿宋" w:eastAsia="仿宋" w:cs="Times New Roman"/>
          <w:b/>
          <w:bCs/>
          <w:color w:val="auto"/>
          <w:sz w:val="32"/>
          <w:szCs w:val="32"/>
          <w:highlight w:val="none"/>
          <w:lang w:val="en-US" w:eastAsia="zh-CN"/>
        </w:rPr>
        <w:t>3.</w:t>
      </w:r>
      <w:r>
        <w:rPr>
          <w:rFonts w:hint="eastAsia" w:ascii="仿宋" w:hAnsi="仿宋" w:eastAsia="仿宋" w:cs="Times New Roman"/>
          <w:b/>
          <w:bCs/>
          <w:color w:val="auto"/>
          <w:sz w:val="32"/>
          <w:szCs w:val="32"/>
          <w:highlight w:val="none"/>
          <w:lang w:eastAsia="zh-CN"/>
        </w:rPr>
        <w:t>社会保障和就业支出</w:t>
      </w:r>
      <w:r>
        <w:rPr>
          <w:rStyle w:val="15"/>
          <w:rFonts w:hint="eastAsia" w:ascii="仿宋" w:hAnsi="仿宋" w:eastAsia="仿宋" w:cs="Times New Roman"/>
          <w:bCs/>
          <w:color w:val="auto"/>
          <w:sz w:val="32"/>
          <w:szCs w:val="32"/>
          <w:highlight w:val="none"/>
        </w:rPr>
        <w:t>（</w:t>
      </w:r>
      <w:r>
        <w:rPr>
          <w:rStyle w:val="15"/>
          <w:rFonts w:hint="eastAsia" w:ascii="仿宋" w:hAnsi="仿宋" w:eastAsia="仿宋" w:cs="Times New Roman"/>
          <w:bCs/>
          <w:color w:val="auto"/>
          <w:sz w:val="32"/>
          <w:szCs w:val="32"/>
          <w:highlight w:val="none"/>
          <w:lang w:val="en-US" w:eastAsia="zh-CN"/>
        </w:rPr>
        <w:t>208</w:t>
      </w:r>
      <w:r>
        <w:rPr>
          <w:rStyle w:val="15"/>
          <w:rFonts w:hint="eastAsia" w:ascii="仿宋" w:hAnsi="仿宋" w:eastAsia="仿宋" w:cs="Times New Roman"/>
          <w:bCs/>
          <w:color w:val="auto"/>
          <w:sz w:val="32"/>
          <w:szCs w:val="32"/>
          <w:highlight w:val="none"/>
        </w:rPr>
        <w:t>）</w:t>
      </w:r>
      <w:r>
        <w:rPr>
          <w:rStyle w:val="15"/>
          <w:rFonts w:hint="eastAsia" w:ascii="仿宋" w:hAnsi="仿宋" w:eastAsia="仿宋" w:cs="Times New Roman"/>
          <w:bCs/>
          <w:color w:val="auto"/>
          <w:sz w:val="32"/>
          <w:szCs w:val="32"/>
          <w:highlight w:val="none"/>
          <w:lang w:eastAsia="zh-CN"/>
        </w:rPr>
        <w:t>社会保障和就业支出</w:t>
      </w:r>
      <w:r>
        <w:rPr>
          <w:rStyle w:val="15"/>
          <w:rFonts w:hint="eastAsia" w:ascii="仿宋" w:hAnsi="仿宋" w:eastAsia="仿宋" w:cs="Times New Roman"/>
          <w:bCs/>
          <w:color w:val="auto"/>
          <w:sz w:val="32"/>
          <w:szCs w:val="32"/>
          <w:highlight w:val="none"/>
        </w:rPr>
        <w:t>（</w:t>
      </w:r>
      <w:r>
        <w:rPr>
          <w:rStyle w:val="15"/>
          <w:rFonts w:hint="eastAsia" w:ascii="仿宋" w:hAnsi="仿宋" w:eastAsia="仿宋" w:cs="Times New Roman"/>
          <w:bCs/>
          <w:color w:val="auto"/>
          <w:sz w:val="32"/>
          <w:szCs w:val="32"/>
          <w:highlight w:val="none"/>
          <w:lang w:val="en-US" w:eastAsia="zh-CN"/>
        </w:rPr>
        <w:t>05</w:t>
      </w:r>
      <w:r>
        <w:rPr>
          <w:rStyle w:val="15"/>
          <w:rFonts w:hint="eastAsia" w:ascii="仿宋" w:hAnsi="仿宋" w:eastAsia="仿宋" w:cs="Times New Roman"/>
          <w:bCs/>
          <w:color w:val="auto"/>
          <w:sz w:val="32"/>
          <w:szCs w:val="32"/>
          <w:highlight w:val="none"/>
        </w:rPr>
        <w:t>）</w:t>
      </w:r>
      <w:r>
        <w:rPr>
          <w:rStyle w:val="15"/>
          <w:rFonts w:hint="eastAsia" w:ascii="仿宋" w:hAnsi="仿宋" w:eastAsia="仿宋" w:cs="Times New Roman"/>
          <w:bCs/>
          <w:color w:val="auto"/>
          <w:sz w:val="32"/>
          <w:szCs w:val="32"/>
          <w:highlight w:val="none"/>
          <w:lang w:eastAsia="zh-CN"/>
        </w:rPr>
        <w:t xml:space="preserve">  机关事业单位基本养老保险缴费支出</w:t>
      </w:r>
      <w:r>
        <w:rPr>
          <w:rStyle w:val="15"/>
          <w:rFonts w:hint="eastAsia" w:ascii="仿宋" w:hAnsi="仿宋" w:eastAsia="仿宋" w:cs="Times New Roman"/>
          <w:bCs/>
          <w:color w:val="auto"/>
          <w:sz w:val="32"/>
          <w:szCs w:val="32"/>
          <w:highlight w:val="none"/>
        </w:rPr>
        <w:t>（</w:t>
      </w:r>
      <w:r>
        <w:rPr>
          <w:rStyle w:val="15"/>
          <w:rFonts w:hint="eastAsia" w:ascii="仿宋" w:hAnsi="仿宋" w:eastAsia="仿宋" w:cs="Times New Roman"/>
          <w:bCs/>
          <w:color w:val="auto"/>
          <w:sz w:val="32"/>
          <w:szCs w:val="32"/>
          <w:highlight w:val="none"/>
          <w:lang w:val="en-US" w:eastAsia="zh-CN"/>
        </w:rPr>
        <w:t>05</w:t>
      </w:r>
      <w:r>
        <w:rPr>
          <w:rStyle w:val="15"/>
          <w:rFonts w:hint="eastAsia" w:ascii="仿宋" w:hAnsi="仿宋" w:eastAsia="仿宋" w:cs="Times New Roman"/>
          <w:bCs/>
          <w:color w:val="auto"/>
          <w:sz w:val="32"/>
          <w:szCs w:val="32"/>
          <w:highlight w:val="none"/>
        </w:rPr>
        <w:t>）</w:t>
      </w:r>
      <w:r>
        <w:rPr>
          <w:rFonts w:hint="eastAsia" w:ascii="仿宋" w:hAnsi="仿宋" w:eastAsia="仿宋" w:cs="Times New Roman"/>
          <w:color w:val="auto"/>
          <w:sz w:val="32"/>
          <w:szCs w:val="32"/>
          <w:highlight w:val="none"/>
        </w:rPr>
        <w:t>支出</w:t>
      </w:r>
      <w:r>
        <w:rPr>
          <w:rFonts w:hint="eastAsia" w:ascii="仿宋" w:hAnsi="仿宋" w:eastAsia="仿宋" w:cs="Times New Roman"/>
          <w:color w:val="auto"/>
          <w:sz w:val="32"/>
          <w:szCs w:val="32"/>
          <w:highlight w:val="none"/>
          <w:lang w:val="en-US" w:eastAsia="zh-CN"/>
        </w:rPr>
        <w:t>10.74</w:t>
      </w:r>
      <w:r>
        <w:rPr>
          <w:rFonts w:hint="eastAsia" w:ascii="仿宋" w:hAnsi="仿宋" w:eastAsia="仿宋" w:cs="Times New Roman"/>
          <w:color w:val="auto"/>
          <w:sz w:val="32"/>
          <w:szCs w:val="32"/>
          <w:highlight w:val="none"/>
        </w:rPr>
        <w:t>万元，</w:t>
      </w:r>
      <w:r>
        <w:rPr>
          <w:rFonts w:hint="eastAsia" w:ascii="仿宋" w:hAnsi="仿宋" w:eastAsia="仿宋" w:cs="Times New Roman"/>
          <w:color w:val="auto"/>
          <w:sz w:val="32"/>
          <w:szCs w:val="32"/>
          <w:highlight w:val="none"/>
          <w:lang w:val="en-US" w:eastAsia="zh-CN"/>
        </w:rPr>
        <w:t>完成预算100%</w:t>
      </w:r>
      <w:r>
        <w:rPr>
          <w:rFonts w:hint="eastAsia" w:ascii="仿宋" w:hAnsi="仿宋" w:eastAsia="仿宋" w:cs="Times New Roman"/>
          <w:color w:val="auto"/>
          <w:sz w:val="32"/>
          <w:szCs w:val="32"/>
          <w:highlight w:val="none"/>
          <w:lang w:eastAsia="zh-CN"/>
        </w:rPr>
        <w:t>；</w:t>
      </w:r>
    </w:p>
    <w:p>
      <w:pPr>
        <w:pStyle w:val="7"/>
        <w:ind w:left="0" w:leftChars="0" w:firstLine="642" w:firstLineChars="200"/>
        <w:rPr>
          <w:rFonts w:hint="eastAsia" w:ascii="仿宋" w:hAnsi="仿宋" w:eastAsia="仿宋"/>
          <w:color w:val="auto"/>
          <w:sz w:val="32"/>
          <w:szCs w:val="32"/>
          <w:highlight w:val="none"/>
          <w:lang w:eastAsia="zh-CN"/>
        </w:rPr>
      </w:pPr>
      <w:r>
        <w:rPr>
          <w:rFonts w:hint="eastAsia" w:ascii="仿宋" w:hAnsi="仿宋" w:eastAsia="仿宋"/>
          <w:b/>
          <w:bCs/>
          <w:color w:val="auto"/>
          <w:sz w:val="32"/>
          <w:szCs w:val="32"/>
          <w:highlight w:val="none"/>
          <w:lang w:val="en-US" w:eastAsia="zh-CN"/>
        </w:rPr>
        <w:t>4.</w:t>
      </w:r>
      <w:r>
        <w:rPr>
          <w:rFonts w:hint="eastAsia" w:ascii="仿宋" w:hAnsi="仿宋" w:eastAsia="仿宋"/>
          <w:b/>
          <w:bCs/>
          <w:color w:val="auto"/>
          <w:sz w:val="32"/>
          <w:szCs w:val="32"/>
          <w:highlight w:val="none"/>
          <w:lang w:eastAsia="zh-CN"/>
        </w:rPr>
        <w:t>社会保障和就业支出</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208</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eastAsia="zh-CN"/>
        </w:rPr>
        <w:t>红十字事业</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16</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eastAsia="zh-CN"/>
        </w:rPr>
        <w:t>行政运行</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01</w:t>
      </w:r>
      <w:r>
        <w:rPr>
          <w:rStyle w:val="15"/>
          <w:rFonts w:hint="eastAsia" w:ascii="仿宋" w:hAnsi="仿宋" w:eastAsia="仿宋"/>
          <w:bCs/>
          <w:color w:val="auto"/>
          <w:sz w:val="32"/>
          <w:szCs w:val="32"/>
          <w:highlight w:val="none"/>
        </w:rPr>
        <w:t>）</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85.90</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，完成预算100%</w:t>
      </w:r>
      <w:r>
        <w:rPr>
          <w:rFonts w:hint="eastAsia" w:ascii="仿宋" w:hAnsi="仿宋" w:eastAsia="仿宋"/>
          <w:color w:val="auto"/>
          <w:sz w:val="32"/>
          <w:szCs w:val="32"/>
          <w:highlight w:val="none"/>
          <w:lang w:eastAsia="zh-CN"/>
        </w:rPr>
        <w:t>；</w:t>
      </w:r>
    </w:p>
    <w:p>
      <w:pPr>
        <w:ind w:firstLine="642" w:firstLineChars="200"/>
        <w:rPr>
          <w:rFonts w:hint="eastAsia" w:ascii="仿宋" w:hAnsi="仿宋" w:eastAsia="仿宋"/>
          <w:color w:val="auto"/>
          <w:sz w:val="32"/>
          <w:szCs w:val="32"/>
          <w:highlight w:val="none"/>
          <w:lang w:eastAsia="zh-CN"/>
        </w:rPr>
      </w:pPr>
      <w:r>
        <w:rPr>
          <w:rFonts w:hint="eastAsia" w:ascii="仿宋" w:hAnsi="仿宋" w:eastAsia="仿宋"/>
          <w:b/>
          <w:bCs/>
          <w:color w:val="auto"/>
          <w:sz w:val="32"/>
          <w:szCs w:val="32"/>
          <w:highlight w:val="none"/>
          <w:lang w:val="en-US" w:eastAsia="zh-CN"/>
        </w:rPr>
        <w:t>5.</w:t>
      </w:r>
      <w:r>
        <w:rPr>
          <w:rFonts w:hint="eastAsia" w:ascii="仿宋" w:hAnsi="仿宋" w:eastAsia="仿宋"/>
          <w:b/>
          <w:bCs/>
          <w:color w:val="auto"/>
          <w:sz w:val="32"/>
          <w:szCs w:val="32"/>
          <w:highlight w:val="none"/>
          <w:lang w:eastAsia="zh-CN"/>
        </w:rPr>
        <w:t>社会保障和就业支出</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208</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eastAsia="zh-CN"/>
        </w:rPr>
        <w:t>红十字事业</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16</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eastAsia="zh-CN"/>
        </w:rPr>
        <w:t>一般行政管理事务</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02</w:t>
      </w:r>
      <w:r>
        <w:rPr>
          <w:rStyle w:val="15"/>
          <w:rFonts w:hint="eastAsia" w:ascii="仿宋" w:hAnsi="仿宋" w:eastAsia="仿宋"/>
          <w:bCs/>
          <w:color w:val="auto"/>
          <w:sz w:val="32"/>
          <w:szCs w:val="32"/>
          <w:highlight w:val="none"/>
        </w:rPr>
        <w:t>）</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5.84</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，完成预算100%</w:t>
      </w:r>
      <w:r>
        <w:rPr>
          <w:rFonts w:hint="eastAsia" w:ascii="仿宋" w:hAnsi="仿宋" w:eastAsia="仿宋"/>
          <w:color w:val="auto"/>
          <w:sz w:val="32"/>
          <w:szCs w:val="32"/>
          <w:highlight w:val="none"/>
          <w:lang w:eastAsia="zh-CN"/>
        </w:rPr>
        <w:t>；</w:t>
      </w:r>
    </w:p>
    <w:p>
      <w:pPr>
        <w:pStyle w:val="17"/>
        <w:rPr>
          <w:rFonts w:hint="eastAsia" w:ascii="仿宋" w:hAnsi="仿宋" w:eastAsia="仿宋"/>
          <w:color w:val="auto"/>
          <w:sz w:val="32"/>
          <w:szCs w:val="32"/>
          <w:highlight w:val="none"/>
          <w:lang w:eastAsia="zh-CN"/>
        </w:rPr>
      </w:pPr>
      <w:r>
        <w:rPr>
          <w:rFonts w:hint="eastAsia" w:ascii="仿宋" w:hAnsi="仿宋" w:eastAsia="仿宋"/>
          <w:b/>
          <w:bCs/>
          <w:color w:val="auto"/>
          <w:sz w:val="32"/>
          <w:szCs w:val="32"/>
          <w:highlight w:val="none"/>
          <w:lang w:val="en-US" w:eastAsia="zh-CN"/>
        </w:rPr>
        <w:t>6.</w:t>
      </w:r>
      <w:r>
        <w:rPr>
          <w:rFonts w:hint="eastAsia" w:ascii="仿宋" w:hAnsi="仿宋" w:eastAsia="仿宋"/>
          <w:b/>
          <w:bCs/>
          <w:color w:val="auto"/>
          <w:sz w:val="32"/>
          <w:szCs w:val="32"/>
          <w:highlight w:val="none"/>
          <w:lang w:eastAsia="zh-CN"/>
        </w:rPr>
        <w:t>卫生健康支出</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208</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eastAsia="zh-CN"/>
        </w:rPr>
        <w:t>行政事业单位医疗</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11</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eastAsia="zh-CN"/>
        </w:rPr>
        <w:t>行政单位医疗</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01</w:t>
      </w:r>
      <w:r>
        <w:rPr>
          <w:rStyle w:val="15"/>
          <w:rFonts w:hint="eastAsia" w:ascii="仿宋" w:hAnsi="仿宋" w:eastAsia="仿宋"/>
          <w:bCs/>
          <w:color w:val="auto"/>
          <w:sz w:val="32"/>
          <w:szCs w:val="32"/>
          <w:highlight w:val="none"/>
        </w:rPr>
        <w:t>）</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4.59</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，完成预算100%</w:t>
      </w:r>
      <w:r>
        <w:rPr>
          <w:rFonts w:hint="eastAsia" w:ascii="仿宋" w:hAnsi="仿宋" w:eastAsia="仿宋"/>
          <w:color w:val="auto"/>
          <w:sz w:val="32"/>
          <w:szCs w:val="32"/>
          <w:highlight w:val="none"/>
          <w:lang w:eastAsia="zh-CN"/>
        </w:rPr>
        <w:t>；</w:t>
      </w:r>
    </w:p>
    <w:p>
      <w:pPr>
        <w:pStyle w:val="17"/>
        <w:rPr>
          <w:rFonts w:hint="eastAsia" w:ascii="仿宋" w:hAnsi="仿宋" w:eastAsia="仿宋"/>
          <w:color w:val="auto"/>
          <w:sz w:val="32"/>
          <w:szCs w:val="32"/>
          <w:highlight w:val="none"/>
          <w:lang w:eastAsia="zh-CN"/>
        </w:rPr>
      </w:pPr>
      <w:r>
        <w:rPr>
          <w:rFonts w:hint="eastAsia" w:ascii="仿宋" w:hAnsi="仿宋" w:eastAsia="仿宋"/>
          <w:b/>
          <w:bCs/>
          <w:color w:val="auto"/>
          <w:sz w:val="32"/>
          <w:szCs w:val="32"/>
          <w:highlight w:val="none"/>
          <w:lang w:val="en-US" w:eastAsia="zh-CN"/>
        </w:rPr>
        <w:t>7.</w:t>
      </w:r>
      <w:r>
        <w:rPr>
          <w:rFonts w:hint="eastAsia" w:ascii="仿宋" w:hAnsi="仿宋" w:eastAsia="仿宋"/>
          <w:b/>
          <w:bCs/>
          <w:color w:val="auto"/>
          <w:sz w:val="32"/>
          <w:szCs w:val="32"/>
          <w:highlight w:val="none"/>
          <w:lang w:eastAsia="zh-CN"/>
        </w:rPr>
        <w:t>卫生健康支出</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208</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eastAsia="zh-CN"/>
        </w:rPr>
        <w:t>行政事业单位医疗</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11</w:t>
      </w:r>
      <w:r>
        <w:rPr>
          <w:rStyle w:val="15"/>
          <w:rFonts w:hint="eastAsia" w:ascii="仿宋" w:hAnsi="仿宋" w:eastAsia="仿宋"/>
          <w:bCs/>
          <w:color w:val="auto"/>
          <w:sz w:val="32"/>
          <w:szCs w:val="32"/>
          <w:highlight w:val="none"/>
        </w:rPr>
        <w:t>）</w:t>
      </w:r>
      <w:r>
        <w:rPr>
          <w:rFonts w:hint="eastAsia" w:ascii="仿宋" w:hAnsi="仿宋" w:eastAsia="仿宋"/>
          <w:b/>
          <w:bCs/>
          <w:color w:val="auto"/>
          <w:sz w:val="32"/>
          <w:szCs w:val="32"/>
          <w:highlight w:val="none"/>
          <w:lang w:val="en-US" w:eastAsia="zh-CN"/>
        </w:rPr>
        <w:t>公务员医疗补助</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03</w:t>
      </w:r>
      <w:r>
        <w:rPr>
          <w:rStyle w:val="15"/>
          <w:rFonts w:hint="eastAsia" w:ascii="仿宋" w:hAnsi="仿宋" w:eastAsia="仿宋"/>
          <w:bCs/>
          <w:color w:val="auto"/>
          <w:sz w:val="32"/>
          <w:szCs w:val="32"/>
          <w:highlight w:val="none"/>
        </w:rPr>
        <w:t>）</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1.03</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，完成预算100%</w:t>
      </w:r>
      <w:r>
        <w:rPr>
          <w:rFonts w:hint="eastAsia" w:ascii="仿宋" w:hAnsi="仿宋" w:eastAsia="仿宋"/>
          <w:color w:val="auto"/>
          <w:sz w:val="32"/>
          <w:szCs w:val="32"/>
          <w:highlight w:val="none"/>
          <w:lang w:eastAsia="zh-CN"/>
        </w:rPr>
        <w:t>；</w:t>
      </w:r>
    </w:p>
    <w:p>
      <w:pPr>
        <w:pStyle w:val="17"/>
        <w:rPr>
          <w:rFonts w:hint="eastAsia" w:ascii="仿宋" w:hAnsi="仿宋" w:eastAsia="仿宋"/>
          <w:color w:val="auto"/>
          <w:sz w:val="32"/>
          <w:szCs w:val="32"/>
          <w:highlight w:val="none"/>
          <w:lang w:eastAsia="zh-CN"/>
        </w:rPr>
      </w:pPr>
      <w:r>
        <w:rPr>
          <w:rFonts w:hint="eastAsia" w:ascii="仿宋" w:hAnsi="仿宋" w:eastAsia="仿宋"/>
          <w:b/>
          <w:bCs/>
          <w:color w:val="auto"/>
          <w:sz w:val="32"/>
          <w:szCs w:val="32"/>
          <w:highlight w:val="none"/>
          <w:lang w:val="en-US" w:eastAsia="zh-CN"/>
        </w:rPr>
        <w:t>8.住房保障支出</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221</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住房改革支出</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02</w:t>
      </w:r>
      <w:r>
        <w:rPr>
          <w:rStyle w:val="15"/>
          <w:rFonts w:hint="eastAsia" w:ascii="仿宋" w:hAnsi="仿宋" w:eastAsia="仿宋"/>
          <w:bCs/>
          <w:color w:val="auto"/>
          <w:sz w:val="32"/>
          <w:szCs w:val="32"/>
          <w:highlight w:val="none"/>
        </w:rPr>
        <w:t xml:space="preserve">） </w:t>
      </w:r>
      <w:r>
        <w:rPr>
          <w:rStyle w:val="15"/>
          <w:rFonts w:hint="eastAsia" w:ascii="仿宋" w:hAnsi="仿宋" w:eastAsia="仿宋"/>
          <w:bCs/>
          <w:color w:val="auto"/>
          <w:sz w:val="32"/>
          <w:szCs w:val="32"/>
          <w:highlight w:val="none"/>
          <w:lang w:val="en-US" w:eastAsia="zh-CN"/>
        </w:rPr>
        <w:t>住房公积金</w:t>
      </w:r>
      <w:r>
        <w:rPr>
          <w:rStyle w:val="15"/>
          <w:rFonts w:hint="eastAsia" w:ascii="仿宋" w:hAnsi="仿宋" w:eastAsia="仿宋"/>
          <w:bCs/>
          <w:color w:val="auto"/>
          <w:sz w:val="32"/>
          <w:szCs w:val="32"/>
          <w:highlight w:val="none"/>
        </w:rPr>
        <w:t>（</w:t>
      </w:r>
      <w:r>
        <w:rPr>
          <w:rStyle w:val="15"/>
          <w:rFonts w:hint="eastAsia" w:ascii="仿宋" w:hAnsi="仿宋" w:eastAsia="仿宋"/>
          <w:bCs/>
          <w:color w:val="auto"/>
          <w:sz w:val="32"/>
          <w:szCs w:val="32"/>
          <w:highlight w:val="none"/>
          <w:lang w:val="en-US" w:eastAsia="zh-CN"/>
        </w:rPr>
        <w:t>01</w:t>
      </w:r>
      <w:r>
        <w:rPr>
          <w:rStyle w:val="15"/>
          <w:rFonts w:hint="eastAsia" w:ascii="仿宋" w:hAnsi="仿宋" w:eastAsia="仿宋"/>
          <w:bCs/>
          <w:color w:val="auto"/>
          <w:sz w:val="32"/>
          <w:szCs w:val="32"/>
          <w:highlight w:val="none"/>
        </w:rPr>
        <w:t>）</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6.92</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val="en-US" w:eastAsia="zh-CN"/>
        </w:rPr>
        <w:t>，完成预算100</w:t>
      </w:r>
      <w:r>
        <w:rPr>
          <w:rFonts w:ascii="仿宋" w:hAnsi="仿宋" w:eastAsia="仿宋"/>
          <w:color w:val="auto"/>
          <w:sz w:val="32"/>
          <w:szCs w:val="32"/>
          <w:highlight w:val="none"/>
        </w:rPr>
        <w:t>%</w:t>
      </w:r>
      <w:r>
        <w:rPr>
          <w:rFonts w:hint="eastAsia" w:ascii="仿宋" w:hAnsi="仿宋" w:eastAsia="仿宋"/>
          <w:color w:val="auto"/>
          <w:sz w:val="32"/>
          <w:szCs w:val="32"/>
          <w:highlight w:val="none"/>
          <w:lang w:eastAsia="zh-CN"/>
        </w:rPr>
        <w:t>；</w:t>
      </w:r>
    </w:p>
    <w:p>
      <w:pPr>
        <w:tabs>
          <w:tab w:val="right" w:pos="8306"/>
        </w:tabs>
        <w:spacing w:line="600" w:lineRule="exact"/>
        <w:ind w:firstLine="640"/>
        <w:outlineLvl w:val="1"/>
        <w:rPr>
          <w:rStyle w:val="18"/>
          <w:rFonts w:hint="eastAsia"/>
        </w:rPr>
      </w:pPr>
      <w:bookmarkStart w:id="47" w:name="_Toc15396608"/>
      <w:bookmarkStart w:id="48" w:name="_Toc15377214"/>
    </w:p>
    <w:p>
      <w:pPr>
        <w:tabs>
          <w:tab w:val="right" w:pos="8306"/>
        </w:tabs>
        <w:spacing w:line="600" w:lineRule="exact"/>
        <w:ind w:firstLine="640"/>
        <w:outlineLvl w:val="1"/>
        <w:rPr>
          <w:rStyle w:val="18"/>
        </w:rPr>
      </w:pPr>
      <w:bookmarkStart w:id="49" w:name="_Toc20143"/>
      <w:r>
        <w:rPr>
          <w:rStyle w:val="18"/>
          <w:rFonts w:hint="eastAsia"/>
        </w:rPr>
        <w:t>六、一般公共预算财政拨款基本支出决算情况说明</w:t>
      </w:r>
      <w:bookmarkEnd w:id="47"/>
      <w:bookmarkEnd w:id="48"/>
      <w:bookmarkEnd w:id="49"/>
      <w:r>
        <w:rPr>
          <w:rStyle w:val="18"/>
          <w:rFonts w:ascii="黑体" w:hAnsi="黑体" w:eastAsia="黑体"/>
          <w:b w:val="0"/>
        </w:rPr>
        <w:tab/>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lang w:eastAsia="zh-CN"/>
        </w:rPr>
        <w:t>2023</w:t>
      </w:r>
      <w:r>
        <w:rPr>
          <w:rFonts w:hint="eastAsia" w:ascii="仿宋" w:hAnsi="仿宋" w:eastAsia="仿宋"/>
          <w:sz w:val="32"/>
          <w:szCs w:val="32"/>
        </w:rPr>
        <w:t>年一般公共预算财政拨款基本支出</w:t>
      </w:r>
      <w:r>
        <w:rPr>
          <w:rFonts w:hint="eastAsia" w:ascii="仿宋" w:hAnsi="仿宋" w:eastAsia="仿宋"/>
          <w:sz w:val="32"/>
          <w:szCs w:val="32"/>
          <w:lang w:val="en-US" w:eastAsia="zh-CN"/>
        </w:rPr>
        <w:t>114.03</w:t>
      </w:r>
      <w:r>
        <w:rPr>
          <w:rFonts w:hint="eastAsia" w:ascii="仿宋" w:hAnsi="仿宋" w:eastAsia="仿宋"/>
          <w:sz w:val="32"/>
          <w:szCs w:val="32"/>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人员经费</w:t>
      </w:r>
      <w:r>
        <w:rPr>
          <w:rFonts w:hint="eastAsia" w:ascii="仿宋" w:hAnsi="仿宋" w:eastAsia="仿宋"/>
          <w:sz w:val="32"/>
          <w:szCs w:val="32"/>
          <w:lang w:val="en-US" w:eastAsia="zh-CN"/>
        </w:rPr>
        <w:t>105.82</w:t>
      </w:r>
      <w:r>
        <w:rPr>
          <w:rFonts w:hint="eastAsia" w:ascii="仿宋" w:hAnsi="仿宋" w:eastAsia="仿宋"/>
          <w:sz w:val="32"/>
          <w:szCs w:val="32"/>
        </w:rPr>
        <w:t>万元，主要包括：基本工资、津贴补贴、奖金、机关事业单位基本养老保险缴费、职业年金缴费、职工基本医疗保险缴费</w:t>
      </w:r>
      <w:r>
        <w:rPr>
          <w:rFonts w:hint="eastAsia" w:ascii="仿宋" w:hAnsi="仿宋" w:eastAsia="仿宋"/>
          <w:sz w:val="32"/>
          <w:szCs w:val="32"/>
          <w:lang w:eastAsia="zh-CN"/>
        </w:rPr>
        <w:t>、公务员医疗补助缴费、</w:t>
      </w:r>
      <w:r>
        <w:rPr>
          <w:rFonts w:hint="eastAsia" w:ascii="仿宋" w:hAnsi="仿宋" w:eastAsia="仿宋"/>
          <w:sz w:val="32"/>
          <w:szCs w:val="32"/>
        </w:rPr>
        <w:t>其他社会保障缴费、生活补助、医疗费补助、住房公积金、对个人和家庭的补助支出。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公用经费</w:t>
      </w:r>
      <w:r>
        <w:rPr>
          <w:rFonts w:hint="eastAsia" w:ascii="仿宋" w:hAnsi="仿宋" w:eastAsia="仿宋"/>
          <w:sz w:val="32"/>
          <w:szCs w:val="32"/>
          <w:lang w:val="en-US" w:eastAsia="zh-CN"/>
        </w:rPr>
        <w:t>8.21</w:t>
      </w:r>
      <w:r>
        <w:rPr>
          <w:rFonts w:hint="eastAsia" w:ascii="仿宋" w:hAnsi="仿宋" w:eastAsia="仿宋"/>
          <w:sz w:val="32"/>
          <w:szCs w:val="32"/>
        </w:rPr>
        <w:t>万元，主要包括：办公费</w:t>
      </w:r>
      <w:r>
        <w:rPr>
          <w:rFonts w:hint="eastAsia" w:ascii="仿宋" w:hAnsi="仿宋" w:eastAsia="仿宋"/>
          <w:sz w:val="32"/>
          <w:szCs w:val="32"/>
          <w:lang w:eastAsia="zh-CN"/>
        </w:rPr>
        <w:t>、</w:t>
      </w:r>
      <w:r>
        <w:rPr>
          <w:rFonts w:hint="eastAsia" w:ascii="仿宋" w:hAnsi="仿宋" w:eastAsia="仿宋"/>
          <w:sz w:val="32"/>
          <w:szCs w:val="32"/>
        </w:rPr>
        <w:t>电费、邮电费、取暖费、物业管理费、差旅费、培训费</w:t>
      </w:r>
      <w:r>
        <w:rPr>
          <w:rFonts w:hint="eastAsia" w:ascii="仿宋" w:hAnsi="仿宋" w:eastAsia="仿宋"/>
          <w:sz w:val="32"/>
          <w:szCs w:val="32"/>
          <w:lang w:eastAsia="zh-CN"/>
        </w:rPr>
        <w:t>、</w:t>
      </w:r>
      <w:r>
        <w:rPr>
          <w:rFonts w:hint="eastAsia" w:ascii="仿宋" w:hAnsi="仿宋" w:eastAsia="仿宋"/>
          <w:sz w:val="32"/>
          <w:szCs w:val="32"/>
        </w:rPr>
        <w:t>公务用车运行维护费。</w:t>
      </w:r>
    </w:p>
    <w:p>
      <w:pPr>
        <w:pStyle w:val="5"/>
        <w:ind w:firstLine="642" w:firstLineChars="200"/>
      </w:pPr>
      <w:bookmarkStart w:id="50" w:name="_Toc26798"/>
      <w:bookmarkStart w:id="51" w:name="_Toc15396609"/>
      <w:bookmarkStart w:id="52" w:name="_Toc15377215"/>
      <w:r>
        <w:rPr>
          <w:rFonts w:hint="eastAsia"/>
        </w:rPr>
        <w:t>七、</w:t>
      </w:r>
      <w:r>
        <w:rPr>
          <w:rFonts w:hint="eastAsia"/>
          <w:lang w:val="en-US" w:eastAsia="zh-CN"/>
        </w:rPr>
        <w:t>财政拨款</w:t>
      </w:r>
      <w:r>
        <w:rPr>
          <w:rFonts w:hint="eastAsia"/>
        </w:rPr>
        <w:t>“三公”经费支出决算情况说明</w:t>
      </w:r>
      <w:bookmarkEnd w:id="50"/>
      <w:bookmarkEnd w:id="51"/>
      <w:bookmarkEnd w:id="52"/>
    </w:p>
    <w:p>
      <w:pPr>
        <w:ind w:firstLine="642" w:firstLineChars="200"/>
        <w:rPr>
          <w:rFonts w:ascii="仿宋" w:hAnsi="仿宋" w:eastAsia="仿宋"/>
          <w:b/>
          <w:szCs w:val="32"/>
        </w:rPr>
      </w:pPr>
      <w:bookmarkStart w:id="53" w:name="_Toc15377216"/>
      <w:r>
        <w:rPr>
          <w:rFonts w:hint="eastAsia" w:ascii="仿宋_GB2312" w:hAnsi="仿宋_GB2312" w:eastAsia="仿宋_GB2312" w:cs="仿宋_GB2312"/>
          <w:b/>
          <w:bCs/>
          <w:sz w:val="32"/>
          <w:szCs w:val="32"/>
        </w:rPr>
        <w:t>（一）“三公”经费财政拨款支出决算总体情况说明</w:t>
      </w:r>
      <w:bookmarkEnd w:id="53"/>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lang w:eastAsia="zh-CN"/>
        </w:rPr>
        <w:t>2023</w:t>
      </w:r>
      <w:r>
        <w:rPr>
          <w:rFonts w:hint="eastAsia" w:ascii="仿宋" w:hAnsi="仿宋" w:eastAsia="仿宋"/>
          <w:sz w:val="32"/>
          <w:szCs w:val="32"/>
        </w:rPr>
        <w:t>年“三公”经费财政拨款支出决算为</w:t>
      </w:r>
      <w:r>
        <w:rPr>
          <w:rFonts w:hint="eastAsia" w:ascii="仿宋" w:hAnsi="仿宋" w:eastAsia="仿宋"/>
          <w:sz w:val="32"/>
          <w:szCs w:val="32"/>
          <w:lang w:val="en-US" w:eastAsia="zh-CN"/>
        </w:rPr>
        <w:t>3.91</w:t>
      </w:r>
      <w:r>
        <w:rPr>
          <w:rFonts w:hint="eastAsia" w:ascii="仿宋" w:hAnsi="仿宋" w:eastAsia="仿宋"/>
          <w:sz w:val="32"/>
          <w:szCs w:val="32"/>
        </w:rPr>
        <w:t>万元，完成预算</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，与预算数持平。</w:t>
      </w:r>
    </w:p>
    <w:p>
      <w:pPr>
        <w:ind w:firstLine="642" w:firstLineChars="200"/>
        <w:rPr>
          <w:rFonts w:hint="eastAsia" w:ascii="仿宋_GB2312" w:hAnsi="仿宋_GB2312" w:eastAsia="仿宋_GB2312" w:cs="仿宋_GB2312"/>
          <w:b/>
          <w:bCs/>
          <w:sz w:val="32"/>
          <w:szCs w:val="32"/>
        </w:rPr>
      </w:pPr>
      <w:bookmarkStart w:id="54" w:name="_Toc15377217"/>
      <w:r>
        <w:rPr>
          <w:rFonts w:hint="eastAsia" w:ascii="仿宋_GB2312" w:hAnsi="仿宋_GB2312" w:eastAsia="仿宋_GB2312" w:cs="仿宋_GB2312"/>
          <w:b/>
          <w:bCs/>
          <w:sz w:val="32"/>
          <w:szCs w:val="32"/>
        </w:rPr>
        <w:t>（二）“三公”经费财政拨款支出决算具体情况说明</w:t>
      </w:r>
      <w:bookmarkEnd w:id="54"/>
    </w:p>
    <w:p>
      <w:pPr>
        <w:spacing w:line="600" w:lineRule="exact"/>
        <w:ind w:firstLine="640"/>
        <w:rPr>
          <w:rFonts w:hint="eastAsia" w:ascii="仿宋" w:hAnsi="仿宋" w:eastAsia="仿宋"/>
          <w:color w:val="000000"/>
          <w:sz w:val="32"/>
          <w:szCs w:val="32"/>
        </w:rPr>
      </w:pPr>
      <w:r>
        <w:rPr>
          <w:rFonts w:hint="eastAsia" w:ascii="仿宋" w:hAnsi="仿宋" w:eastAsia="仿宋"/>
          <w:sz w:val="32"/>
          <w:szCs w:val="32"/>
          <w:lang w:eastAsia="zh-CN"/>
        </w:rPr>
        <w:t>2023</w:t>
      </w:r>
      <w:r>
        <w:rPr>
          <w:rFonts w:hint="eastAsia" w:ascii="仿宋" w:hAnsi="仿宋" w:eastAsia="仿宋"/>
          <w:sz w:val="32"/>
          <w:szCs w:val="32"/>
        </w:rPr>
        <w:t>年“三公”经费财政拨款支出决算中，因公出国（境）费支出决算</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ascii="仿宋" w:hAnsi="仿宋" w:eastAsia="仿宋"/>
          <w:sz w:val="32"/>
          <w:szCs w:val="32"/>
          <w:lang w:val="en-US" w:eastAsia="zh-CN"/>
        </w:rPr>
        <w:t>3.91</w:t>
      </w:r>
      <w:r>
        <w:rPr>
          <w:rFonts w:hint="eastAsia" w:ascii="仿宋" w:hAnsi="仿宋" w:eastAsia="仿宋"/>
          <w:sz w:val="32"/>
          <w:szCs w:val="32"/>
        </w:rPr>
        <w:t>万元，占</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；公务接待费支出决算</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color w:val="000000"/>
          <w:sz w:val="32"/>
          <w:szCs w:val="32"/>
        </w:rPr>
        <w:t>具体情况如下：</w:t>
      </w:r>
    </w:p>
    <w:p>
      <w:pPr>
        <w:widowControl w:val="0"/>
        <w:spacing w:beforeLines="30"/>
        <w:jc w:val="center"/>
        <w:rPr>
          <w:rFonts w:hint="eastAsia" w:ascii="仿宋_GB2312" w:hAnsi="Times New Roman" w:eastAsia="仿宋_GB2312" w:cs="Times New Roman"/>
          <w:kern w:val="0"/>
          <w:sz w:val="24"/>
          <w:szCs w:val="20"/>
          <w:lang w:val="zh-CN" w:eastAsia="zh-CN" w:bidi="ar-SA"/>
        </w:rPr>
      </w:pPr>
      <w:r>
        <w:rPr>
          <w:rFonts w:ascii="仿宋_GB2312" w:hAnsi="Times New Roman" w:eastAsia="仿宋_GB2312" w:cs="Times New Roman"/>
          <w:kern w:val="0"/>
          <w:sz w:val="24"/>
          <w:szCs w:val="20"/>
          <w:lang w:val="zh-CN" w:eastAsia="zh-CN" w:bidi="ar-SA"/>
        </w:rPr>
        <w:drawing>
          <wp:inline distT="0" distB="0" distL="114300" distR="114300">
            <wp:extent cx="4306570" cy="1893570"/>
            <wp:effectExtent l="4445" t="5080" r="13335" b="635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widowControl w:val="0"/>
        <w:ind w:leftChars="200" w:hanging="420" w:hangingChars="200"/>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 xml:space="preserve">   </w:t>
      </w:r>
    </w:p>
    <w:p>
      <w:pPr>
        <w:pageBreakBefore w:val="0"/>
        <w:widowControl w:val="0"/>
        <w:kinsoku/>
        <w:wordWrap/>
        <w:overflowPunct/>
        <w:topLinePunct w:val="0"/>
        <w:bidi w:val="0"/>
        <w:spacing w:line="560" w:lineRule="exact"/>
        <w:ind w:firstLine="640"/>
        <w:textAlignment w:val="auto"/>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r>
        <w:rPr>
          <w:rFonts w:hint="eastAsia" w:ascii="仿宋" w:hAnsi="仿宋" w:eastAsia="仿宋"/>
          <w:color w:val="000000"/>
          <w:sz w:val="32"/>
          <w:szCs w:val="32"/>
          <w:lang w:eastAsia="zh-CN"/>
        </w:rPr>
        <w:t>）</w:t>
      </w:r>
    </w:p>
    <w:p>
      <w:pPr>
        <w:numPr>
          <w:ilvl w:val="0"/>
          <w:numId w:val="0"/>
        </w:numPr>
        <w:spacing w:line="600" w:lineRule="exact"/>
        <w:ind w:firstLine="642" w:firstLineChars="200"/>
        <w:rPr>
          <w:rStyle w:val="15"/>
          <w:rFonts w:hint="eastAsia" w:ascii="仿宋" w:hAnsi="仿宋" w:eastAsia="仿宋"/>
          <w:b w:val="0"/>
          <w:bCs/>
          <w:sz w:val="32"/>
          <w:szCs w:val="32"/>
          <w:lang w:val="en-US" w:eastAsia="zh-CN"/>
        </w:rPr>
      </w:pPr>
      <w:r>
        <w:rPr>
          <w:rFonts w:hint="eastAsia" w:ascii="FangSong_GB2312" w:eastAsia="FangSong_GB2312"/>
          <w:b/>
          <w:sz w:val="32"/>
          <w:szCs w:val="32"/>
          <w:lang w:val="en-US" w:eastAsia="zh-CN"/>
        </w:rPr>
        <w:t>1.</w:t>
      </w:r>
      <w:r>
        <w:rPr>
          <w:rFonts w:hint="eastAsia" w:ascii="FangSong_GB2312" w:eastAsia="FangSong_GB2312"/>
          <w:b/>
          <w:sz w:val="32"/>
          <w:szCs w:val="32"/>
        </w:rPr>
        <w:t>因公出国（境）经费支出</w:t>
      </w:r>
      <w:r>
        <w:rPr>
          <w:rFonts w:hint="eastAsia" w:ascii="FangSong_GB2312" w:eastAsia="FangSong_GB2312"/>
          <w:sz w:val="32"/>
          <w:szCs w:val="32"/>
          <w:lang w:val="en-US" w:eastAsia="zh-CN"/>
        </w:rPr>
        <w:t>0</w:t>
      </w:r>
      <w:r>
        <w:rPr>
          <w:rFonts w:hint="eastAsia" w:ascii="FangSong_GB2312" w:eastAsia="FangSong_GB2312"/>
          <w:sz w:val="32"/>
          <w:szCs w:val="32"/>
        </w:rPr>
        <w:t>万元</w:t>
      </w:r>
      <w:r>
        <w:rPr>
          <w:rStyle w:val="15"/>
          <w:rFonts w:hint="eastAsia" w:ascii="仿宋" w:hAnsi="仿宋" w:eastAsia="仿宋"/>
          <w:b w:val="0"/>
          <w:bCs/>
          <w:sz w:val="32"/>
          <w:szCs w:val="32"/>
          <w:lang w:val="en-US" w:eastAsia="zh-CN"/>
        </w:rPr>
        <w:t>。</w:t>
      </w:r>
    </w:p>
    <w:p>
      <w:pPr>
        <w:numPr>
          <w:ilvl w:val="0"/>
          <w:numId w:val="0"/>
        </w:numPr>
        <w:spacing w:line="600" w:lineRule="exact"/>
        <w:ind w:firstLine="642" w:firstLineChars="200"/>
        <w:rPr>
          <w:rFonts w:ascii="FangSong_GB2312" w:eastAsia="FangSong_GB2312"/>
          <w:b/>
          <w:sz w:val="32"/>
          <w:szCs w:val="32"/>
        </w:rPr>
      </w:pPr>
      <w:r>
        <w:rPr>
          <w:rFonts w:ascii="FangSong_GB2312" w:eastAsia="FangSong_GB2312"/>
          <w:b/>
          <w:sz w:val="32"/>
          <w:szCs w:val="32"/>
        </w:rPr>
        <w:t>2.</w:t>
      </w:r>
      <w:r>
        <w:rPr>
          <w:rFonts w:hint="eastAsia" w:ascii="FangSong_GB2312" w:eastAsia="FangSong_GB2312"/>
          <w:b/>
          <w:sz w:val="32"/>
          <w:szCs w:val="32"/>
        </w:rPr>
        <w:t>公务用车购置及运行维护费支出</w:t>
      </w:r>
      <w:r>
        <w:rPr>
          <w:rFonts w:hint="eastAsia" w:ascii="仿宋_GB2312" w:hAnsi="仿宋_GB2312" w:eastAsia="仿宋_GB2312"/>
          <w:color w:val="000000"/>
          <w:kern w:val="2"/>
          <w:sz w:val="32"/>
          <w:szCs w:val="24"/>
          <w:lang w:val="en-US" w:eastAsia="zh-CN"/>
        </w:rPr>
        <w:t>3.91</w:t>
      </w:r>
      <w:r>
        <w:rPr>
          <w:rFonts w:hint="eastAsia" w:ascii="FangSong_GB2312" w:eastAsia="FangSong_GB2312"/>
          <w:sz w:val="32"/>
          <w:szCs w:val="32"/>
        </w:rPr>
        <w:t>万元</w:t>
      </w:r>
      <w:r>
        <w:rPr>
          <w:rFonts w:hint="eastAsia" w:ascii="FangSong_GB2312" w:eastAsia="FangSong_GB2312"/>
          <w:sz w:val="32"/>
          <w:szCs w:val="32"/>
          <w:lang w:eastAsia="zh-CN"/>
        </w:rPr>
        <w:t>，</w:t>
      </w:r>
      <w:r>
        <w:rPr>
          <w:rStyle w:val="15"/>
          <w:rFonts w:hint="eastAsia" w:ascii="仿宋" w:hAnsi="仿宋" w:eastAsia="仿宋"/>
          <w:b w:val="0"/>
          <w:bCs/>
          <w:sz w:val="32"/>
          <w:szCs w:val="32"/>
        </w:rPr>
        <w:t>完成预算</w:t>
      </w:r>
      <w:r>
        <w:rPr>
          <w:rFonts w:hint="eastAsia" w:ascii="仿宋_GB2312" w:hAnsi="仿宋_GB2312" w:eastAsia="仿宋_GB2312"/>
          <w:color w:val="000000"/>
          <w:kern w:val="2"/>
          <w:sz w:val="32"/>
          <w:szCs w:val="24"/>
          <w:lang w:val="zh-CN"/>
        </w:rPr>
        <w:t>100%</w:t>
      </w:r>
      <w:r>
        <w:rPr>
          <w:rStyle w:val="15"/>
          <w:rFonts w:hint="eastAsia" w:ascii="仿宋" w:hAnsi="仿宋" w:eastAsia="仿宋"/>
          <w:b w:val="0"/>
          <w:bCs/>
          <w:sz w:val="32"/>
          <w:szCs w:val="32"/>
        </w:rPr>
        <w:t>。</w:t>
      </w:r>
      <w:r>
        <w:rPr>
          <w:rFonts w:hint="eastAsia" w:ascii="FangSong_GB2312" w:eastAsia="FangSong_GB2312"/>
          <w:sz w:val="32"/>
          <w:szCs w:val="32"/>
        </w:rPr>
        <w:t>公务用车购置及运行维护费支出决算比</w:t>
      </w:r>
      <w:r>
        <w:rPr>
          <w:rFonts w:hint="eastAsia" w:ascii="FangSong_GB2312" w:eastAsia="FangSong_GB2312"/>
          <w:sz w:val="32"/>
          <w:szCs w:val="32"/>
          <w:lang w:eastAsia="zh-CN"/>
        </w:rPr>
        <w:t>2022年</w:t>
      </w:r>
      <w:r>
        <w:rPr>
          <w:rFonts w:hint="eastAsia" w:ascii="FangSong_GB2312" w:eastAsia="FangSong_GB2312"/>
          <w:sz w:val="32"/>
          <w:szCs w:val="32"/>
          <w:lang w:val="en-US" w:eastAsia="zh-CN"/>
        </w:rPr>
        <w:t>减少0.09万元，主要原因为单位厉行节约</w:t>
      </w:r>
      <w:r>
        <w:rPr>
          <w:rFonts w:hint="eastAsia" w:ascii="FangSong_GB2312" w:eastAsia="FangSong_GB2312"/>
          <w:sz w:val="32"/>
          <w:szCs w:val="32"/>
        </w:rPr>
        <w:t>。</w:t>
      </w:r>
    </w:p>
    <w:p>
      <w:pPr>
        <w:spacing w:line="600" w:lineRule="exact"/>
        <w:ind w:firstLine="640" w:firstLineChars="200"/>
        <w:rPr>
          <w:rFonts w:ascii="FangSong_GB2312" w:eastAsia="FangSong_GB2312"/>
          <w:b/>
          <w:sz w:val="32"/>
          <w:szCs w:val="32"/>
        </w:rPr>
      </w:pPr>
      <w:r>
        <w:rPr>
          <w:rFonts w:hint="eastAsia" w:ascii="FangSong_GB2312" w:eastAsia="FangSong_GB2312"/>
          <w:sz w:val="32"/>
          <w:szCs w:val="32"/>
        </w:rPr>
        <w:t>其中：</w:t>
      </w:r>
      <w:r>
        <w:rPr>
          <w:rFonts w:hint="eastAsia" w:ascii="FangSong_GB2312" w:eastAsia="FangSong_GB2312"/>
          <w:b/>
          <w:sz w:val="32"/>
          <w:szCs w:val="32"/>
        </w:rPr>
        <w:t>公务用车购置支出</w:t>
      </w:r>
      <w:r>
        <w:rPr>
          <w:rFonts w:hint="eastAsia" w:ascii="FangSong_GB2312" w:eastAsia="FangSong_GB2312"/>
          <w:sz w:val="32"/>
          <w:szCs w:val="32"/>
          <w:lang w:val="en-US" w:eastAsia="zh-CN"/>
        </w:rPr>
        <w:t>0</w:t>
      </w:r>
      <w:r>
        <w:rPr>
          <w:rFonts w:hint="eastAsia" w:ascii="FangSong_GB2312" w:eastAsia="FangSong_GB2312"/>
          <w:sz w:val="32"/>
          <w:szCs w:val="32"/>
        </w:rPr>
        <w:t>万元。截至</w:t>
      </w:r>
      <w:r>
        <w:rPr>
          <w:rFonts w:hint="eastAsia" w:ascii="FangSong_GB2312" w:eastAsia="FangSong_GB2312"/>
          <w:sz w:val="32"/>
          <w:szCs w:val="32"/>
          <w:lang w:eastAsia="zh-CN"/>
        </w:rPr>
        <w:t>2023</w:t>
      </w:r>
      <w:r>
        <w:rPr>
          <w:rFonts w:hint="eastAsia" w:ascii="FangSong_GB2312" w:eastAsia="FangSong_GB2312"/>
          <w:sz w:val="32"/>
          <w:szCs w:val="32"/>
        </w:rPr>
        <w:t>年</w:t>
      </w:r>
      <w:r>
        <w:rPr>
          <w:rFonts w:ascii="FangSong_GB2312" w:eastAsia="FangSong_GB2312"/>
          <w:sz w:val="32"/>
          <w:szCs w:val="32"/>
        </w:rPr>
        <w:t>12</w:t>
      </w:r>
      <w:r>
        <w:rPr>
          <w:rFonts w:hint="eastAsia" w:ascii="FangSong_GB2312" w:eastAsia="FangSong_GB2312"/>
          <w:sz w:val="32"/>
          <w:szCs w:val="32"/>
        </w:rPr>
        <w:t>月底，单位共有公务用车</w:t>
      </w:r>
      <w:r>
        <w:rPr>
          <w:rFonts w:hint="eastAsia" w:ascii="FangSong_GB2312" w:eastAsia="FangSong_GB2312"/>
          <w:sz w:val="32"/>
          <w:szCs w:val="32"/>
          <w:lang w:val="en-US" w:eastAsia="zh-CN"/>
        </w:rPr>
        <w:t>1</w:t>
      </w:r>
      <w:r>
        <w:rPr>
          <w:rFonts w:hint="eastAsia" w:ascii="FangSong_GB2312" w:eastAsia="FangSong_GB2312"/>
          <w:sz w:val="32"/>
          <w:szCs w:val="32"/>
        </w:rPr>
        <w:t>辆，其中：轿车</w:t>
      </w:r>
      <w:r>
        <w:rPr>
          <w:rFonts w:hint="eastAsia" w:ascii="FangSong_GB2312" w:eastAsia="FangSong_GB2312"/>
          <w:sz w:val="32"/>
          <w:szCs w:val="32"/>
          <w:lang w:val="en-US" w:eastAsia="zh-CN"/>
        </w:rPr>
        <w:t>0</w:t>
      </w:r>
      <w:r>
        <w:rPr>
          <w:rFonts w:hint="eastAsia" w:ascii="FangSong_GB2312" w:eastAsia="FangSong_GB2312"/>
          <w:sz w:val="32"/>
          <w:szCs w:val="32"/>
        </w:rPr>
        <w:t>辆、越野车</w:t>
      </w:r>
      <w:r>
        <w:rPr>
          <w:rFonts w:hint="eastAsia" w:ascii="FangSong_GB2312" w:eastAsia="FangSong_GB2312"/>
          <w:sz w:val="32"/>
          <w:szCs w:val="32"/>
          <w:lang w:val="en-US" w:eastAsia="zh-CN"/>
        </w:rPr>
        <w:t>1</w:t>
      </w:r>
      <w:r>
        <w:rPr>
          <w:rFonts w:hint="eastAsia" w:ascii="FangSong_GB2312" w:eastAsia="FangSong_GB2312"/>
          <w:sz w:val="32"/>
          <w:szCs w:val="32"/>
        </w:rPr>
        <w:t>辆、载客汽车</w:t>
      </w:r>
      <w:r>
        <w:rPr>
          <w:rFonts w:hint="eastAsia" w:ascii="FangSong_GB2312" w:eastAsia="FangSong_GB2312"/>
          <w:sz w:val="32"/>
          <w:szCs w:val="32"/>
          <w:lang w:val="en-US" w:eastAsia="zh-CN"/>
        </w:rPr>
        <w:t>0</w:t>
      </w:r>
      <w:r>
        <w:rPr>
          <w:rFonts w:hint="eastAsia" w:ascii="FangSong_GB2312" w:eastAsia="FangSong_GB2312"/>
          <w:sz w:val="32"/>
          <w:szCs w:val="32"/>
        </w:rPr>
        <w:t>辆。</w:t>
      </w:r>
    </w:p>
    <w:p>
      <w:pPr>
        <w:spacing w:line="600" w:lineRule="exact"/>
        <w:ind w:firstLine="640"/>
        <w:rPr>
          <w:rFonts w:ascii="FangSong_GB2312" w:eastAsia="FangSong_GB2312"/>
          <w:sz w:val="32"/>
          <w:szCs w:val="32"/>
        </w:rPr>
      </w:pPr>
      <w:r>
        <w:rPr>
          <w:rFonts w:hint="eastAsia" w:ascii="FangSong_GB2312" w:eastAsia="FangSong_GB2312"/>
          <w:b/>
          <w:sz w:val="32"/>
          <w:szCs w:val="32"/>
        </w:rPr>
        <w:t>公务用车运行维护费支出</w:t>
      </w:r>
      <w:r>
        <w:rPr>
          <w:rFonts w:hint="eastAsia" w:ascii="FangSong_GB2312" w:eastAsia="FangSong_GB2312"/>
          <w:b w:val="0"/>
          <w:bCs/>
          <w:sz w:val="32"/>
          <w:szCs w:val="32"/>
          <w:lang w:val="en-US" w:eastAsia="zh-CN"/>
        </w:rPr>
        <w:t>3.91</w:t>
      </w:r>
      <w:r>
        <w:rPr>
          <w:rFonts w:hint="eastAsia" w:ascii="FangSong_GB2312" w:eastAsia="FangSong_GB2312"/>
          <w:sz w:val="32"/>
          <w:szCs w:val="32"/>
        </w:rPr>
        <w:t>万元。</w:t>
      </w:r>
      <w:r>
        <w:rPr>
          <w:rStyle w:val="15"/>
          <w:rFonts w:hint="eastAsia" w:ascii="仿宋" w:hAnsi="仿宋" w:eastAsia="仿宋"/>
          <w:b w:val="0"/>
          <w:bCs/>
          <w:sz w:val="32"/>
          <w:szCs w:val="32"/>
        </w:rPr>
        <w:t>完成预算</w:t>
      </w:r>
      <w:r>
        <w:rPr>
          <w:rStyle w:val="15"/>
          <w:rFonts w:hint="eastAsia" w:ascii="仿宋" w:hAnsi="仿宋" w:eastAsia="仿宋"/>
          <w:b w:val="0"/>
          <w:bCs/>
          <w:sz w:val="32"/>
          <w:szCs w:val="32"/>
          <w:lang w:val="en-US" w:eastAsia="zh-CN"/>
        </w:rPr>
        <w:t>100</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FangSong_GB2312" w:eastAsia="FangSong_GB2312"/>
          <w:sz w:val="32"/>
          <w:szCs w:val="32"/>
        </w:rPr>
        <w:t>主要用于所需的公务用车燃料费、维修费、过路过桥费、保险费等支出。</w:t>
      </w:r>
    </w:p>
    <w:p>
      <w:pPr>
        <w:pageBreakBefore w:val="0"/>
        <w:widowControl w:val="0"/>
        <w:kinsoku/>
        <w:wordWrap/>
        <w:overflowPunct/>
        <w:topLinePunct w:val="0"/>
        <w:autoSpaceDE/>
        <w:autoSpaceDN/>
        <w:bidi w:val="0"/>
        <w:adjustRightInd/>
        <w:snapToGrid/>
        <w:spacing w:line="560" w:lineRule="exact"/>
        <w:ind w:firstLine="642" w:firstLineChars="200"/>
        <w:textAlignment w:val="auto"/>
        <w:rPr>
          <w:rFonts w:ascii="黑体" w:eastAsia="黑体"/>
          <w:sz w:val="32"/>
          <w:szCs w:val="32"/>
        </w:rPr>
      </w:pPr>
      <w:r>
        <w:rPr>
          <w:rFonts w:ascii="FangSong_GB2312" w:eastAsia="FangSong_GB2312"/>
          <w:b/>
          <w:sz w:val="32"/>
          <w:szCs w:val="32"/>
        </w:rPr>
        <w:t>3.</w:t>
      </w:r>
      <w:r>
        <w:rPr>
          <w:rFonts w:hint="eastAsia" w:ascii="FangSong_GB2312" w:eastAsia="FangSong_GB2312"/>
          <w:b/>
          <w:sz w:val="32"/>
          <w:szCs w:val="32"/>
        </w:rPr>
        <w:t>公务接待费支出</w:t>
      </w:r>
      <w:r>
        <w:rPr>
          <w:rFonts w:hint="eastAsia" w:ascii="FangSong_GB2312" w:eastAsia="FangSong_GB2312"/>
          <w:sz w:val="32"/>
          <w:szCs w:val="32"/>
          <w:lang w:val="en-US" w:eastAsia="zh-CN"/>
        </w:rPr>
        <w:t>0</w:t>
      </w:r>
      <w:r>
        <w:rPr>
          <w:rFonts w:hint="eastAsia" w:ascii="FangSong_GB2312" w:eastAsia="FangSong_GB2312"/>
          <w:sz w:val="32"/>
          <w:szCs w:val="32"/>
        </w:rPr>
        <w:t>万元</w:t>
      </w:r>
      <w:r>
        <w:rPr>
          <w:rStyle w:val="15"/>
          <w:rFonts w:hint="eastAsia" w:ascii="仿宋" w:hAnsi="仿宋" w:eastAsia="仿宋"/>
          <w:b w:val="0"/>
          <w:bCs/>
          <w:sz w:val="32"/>
          <w:szCs w:val="32"/>
        </w:rPr>
        <w:t>。</w:t>
      </w:r>
      <w:bookmarkStart w:id="55" w:name="_Toc15396610"/>
      <w:bookmarkStart w:id="56" w:name="_Toc15377218"/>
    </w:p>
    <w:p>
      <w:pPr>
        <w:pStyle w:val="5"/>
        <w:pageBreakBefore w:val="0"/>
        <w:widowControl w:val="0"/>
        <w:kinsoku/>
        <w:wordWrap/>
        <w:overflowPunct/>
        <w:topLinePunct w:val="0"/>
        <w:autoSpaceDE/>
        <w:autoSpaceDN/>
        <w:bidi w:val="0"/>
        <w:adjustRightInd/>
        <w:snapToGrid/>
        <w:spacing w:before="0" w:after="0" w:line="560" w:lineRule="exact"/>
        <w:ind w:firstLine="642" w:firstLineChars="200"/>
        <w:textAlignment w:val="auto"/>
      </w:pPr>
      <w:bookmarkStart w:id="57" w:name="_Toc20764"/>
      <w:r>
        <w:rPr>
          <w:rFonts w:hint="eastAsia"/>
        </w:rPr>
        <w:t>八、政府性基金预算支出决算情况说明</w:t>
      </w:r>
      <w:bookmarkEnd w:id="55"/>
      <w:bookmarkEnd w:id="56"/>
      <w:bookmarkEnd w:id="57"/>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FangSong_GB2312" w:eastAsia="FangSong_GB2312"/>
          <w:sz w:val="32"/>
          <w:szCs w:val="32"/>
        </w:rPr>
      </w:pPr>
      <w:r>
        <w:rPr>
          <w:rFonts w:hint="eastAsia" w:ascii="FangSong_GB2312" w:eastAsia="FangSong_GB2312"/>
          <w:sz w:val="32"/>
          <w:szCs w:val="32"/>
          <w:lang w:eastAsia="zh-CN"/>
        </w:rPr>
        <w:t>2023</w:t>
      </w:r>
      <w:r>
        <w:rPr>
          <w:rFonts w:hint="eastAsia" w:ascii="FangSong_GB2312" w:eastAsia="FangSong_GB2312"/>
          <w:sz w:val="32"/>
          <w:szCs w:val="32"/>
        </w:rPr>
        <w:t>年</w:t>
      </w:r>
      <w:r>
        <w:rPr>
          <w:rFonts w:hint="eastAsia" w:ascii="FangSong_GB2312" w:eastAsia="FangSong_GB2312"/>
          <w:sz w:val="32"/>
          <w:szCs w:val="32"/>
          <w:lang w:val="en-US" w:eastAsia="zh-CN"/>
        </w:rPr>
        <w:t>未安排</w:t>
      </w:r>
      <w:r>
        <w:rPr>
          <w:rFonts w:hint="eastAsia" w:ascii="FangSong_GB2312" w:eastAsia="FangSong_GB2312"/>
          <w:sz w:val="32"/>
          <w:szCs w:val="32"/>
        </w:rPr>
        <w:t>政府性基金预算支出</w:t>
      </w:r>
      <w:r>
        <w:rPr>
          <w:rFonts w:hint="eastAsia" w:ascii="FangSong_GB2312" w:eastAsia="FangSong_GB2312"/>
          <w:sz w:val="32"/>
          <w:szCs w:val="32"/>
          <w:lang w:val="en-US" w:eastAsia="zh-CN"/>
        </w:rPr>
        <w:t>0</w:t>
      </w:r>
      <w:r>
        <w:rPr>
          <w:rFonts w:hint="eastAsia" w:ascii="FangSong_GB2312" w:eastAsia="FangSong_GB2312"/>
          <w:sz w:val="32"/>
          <w:szCs w:val="32"/>
        </w:rPr>
        <w:t>万元。</w:t>
      </w:r>
    </w:p>
    <w:p>
      <w:pPr>
        <w:pStyle w:val="5"/>
        <w:pageBreakBefore w:val="0"/>
        <w:widowControl w:val="0"/>
        <w:kinsoku/>
        <w:wordWrap/>
        <w:overflowPunct/>
        <w:topLinePunct w:val="0"/>
        <w:autoSpaceDE/>
        <w:autoSpaceDN/>
        <w:bidi w:val="0"/>
        <w:adjustRightInd/>
        <w:snapToGrid/>
        <w:spacing w:before="0" w:after="0" w:line="560" w:lineRule="exact"/>
        <w:ind w:firstLine="642" w:firstLineChars="200"/>
        <w:textAlignment w:val="auto"/>
      </w:pPr>
      <w:bookmarkStart w:id="58" w:name="_Toc30081"/>
      <w:bookmarkStart w:id="59" w:name="_Toc15396611"/>
      <w:bookmarkStart w:id="60" w:name="_Toc15377219"/>
      <w:r>
        <w:rPr>
          <w:rFonts w:hint="eastAsia"/>
          <w:lang w:val="en-US" w:eastAsia="zh-CN"/>
        </w:rPr>
        <w:t>九、</w:t>
      </w:r>
      <w:r>
        <w:rPr>
          <w:rFonts w:hint="eastAsia"/>
        </w:rPr>
        <w:t>国有资本经营预算支出决算情况说明</w:t>
      </w:r>
      <w:bookmarkEnd w:id="58"/>
      <w:bookmarkEnd w:id="59"/>
      <w:bookmarkEnd w:id="60"/>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小标宋简体" w:hAnsi="方正小标宋简体" w:eastAsia="方正小标宋简体" w:cs="方正小标宋简体"/>
          <w:sz w:val="44"/>
          <w:szCs w:val="44"/>
        </w:rPr>
      </w:pPr>
      <w:r>
        <w:rPr>
          <w:rFonts w:hint="eastAsia" w:ascii="FangSong_GB2312" w:eastAsia="FangSong_GB2312"/>
          <w:sz w:val="32"/>
          <w:szCs w:val="32"/>
          <w:lang w:eastAsia="zh-CN"/>
        </w:rPr>
        <w:t>2023</w:t>
      </w:r>
      <w:r>
        <w:rPr>
          <w:rFonts w:hint="eastAsia" w:ascii="FangSong_GB2312" w:eastAsia="FangSong_GB2312"/>
          <w:sz w:val="32"/>
          <w:szCs w:val="32"/>
        </w:rPr>
        <w:t>年国有资本经营预算财政拨款支出</w:t>
      </w:r>
      <w:r>
        <w:rPr>
          <w:rFonts w:hint="eastAsia" w:ascii="FangSong_GB2312" w:eastAsia="FangSong_GB2312"/>
          <w:sz w:val="32"/>
          <w:szCs w:val="32"/>
          <w:lang w:val="en-US" w:eastAsia="zh-CN"/>
        </w:rPr>
        <w:t>0</w:t>
      </w:r>
      <w:r>
        <w:rPr>
          <w:rFonts w:hint="eastAsia" w:ascii="FangSong_GB2312" w:eastAsia="FangSong_GB2312"/>
          <w:sz w:val="32"/>
          <w:szCs w:val="32"/>
        </w:rPr>
        <w:t>万元。</w:t>
      </w:r>
    </w:p>
    <w:p>
      <w:pPr>
        <w:pStyle w:val="5"/>
        <w:pageBreakBefore w:val="0"/>
        <w:widowControl w:val="0"/>
        <w:kinsoku/>
        <w:wordWrap/>
        <w:overflowPunct/>
        <w:topLinePunct w:val="0"/>
        <w:autoSpaceDE/>
        <w:autoSpaceDN/>
        <w:bidi w:val="0"/>
        <w:adjustRightInd/>
        <w:snapToGrid/>
        <w:spacing w:before="0" w:after="0" w:line="560" w:lineRule="exact"/>
        <w:ind w:firstLine="642" w:firstLineChars="200"/>
        <w:textAlignment w:val="auto"/>
      </w:pPr>
      <w:bookmarkStart w:id="61" w:name="_Toc11386"/>
      <w:bookmarkStart w:id="62" w:name="_Toc15396612"/>
      <w:bookmarkStart w:id="63" w:name="_Toc15377221"/>
      <w:r>
        <w:rPr>
          <w:rFonts w:hint="eastAsia"/>
          <w:lang w:val="en-US" w:eastAsia="zh-CN"/>
        </w:rPr>
        <w:t>十、</w:t>
      </w:r>
      <w:r>
        <w:rPr>
          <w:rFonts w:hint="eastAsia"/>
        </w:rPr>
        <w:t>其他重要事项的情况说明</w:t>
      </w:r>
      <w:bookmarkEnd w:id="61"/>
      <w:bookmarkEnd w:id="62"/>
      <w:bookmarkEnd w:id="63"/>
    </w:p>
    <w:p>
      <w:pPr>
        <w:ind w:firstLine="642" w:firstLineChars="200"/>
        <w:rPr>
          <w:rFonts w:hint="eastAsia" w:ascii="仿宋_GB2312" w:hAnsi="仿宋_GB2312" w:eastAsia="仿宋_GB2312" w:cs="仿宋_GB2312"/>
          <w:b/>
          <w:bCs/>
          <w:sz w:val="32"/>
          <w:szCs w:val="32"/>
        </w:rPr>
      </w:pPr>
      <w:bookmarkStart w:id="64" w:name="_Toc15377222"/>
      <w:r>
        <w:rPr>
          <w:rFonts w:hint="eastAsia" w:ascii="仿宋_GB2312" w:hAnsi="仿宋_GB2312" w:eastAsia="仿宋_GB2312" w:cs="仿宋_GB2312"/>
          <w:b/>
          <w:bCs/>
          <w:sz w:val="32"/>
          <w:szCs w:val="32"/>
        </w:rPr>
        <w:t>（一）机关运行经费支出情况</w:t>
      </w:r>
      <w:bookmarkEnd w:id="64"/>
    </w:p>
    <w:p>
      <w:pPr>
        <w:spacing w:line="600" w:lineRule="exact"/>
        <w:ind w:firstLine="640" w:firstLineChars="200"/>
        <w:rPr>
          <w:rFonts w:hint="eastAsia" w:ascii="FangSong_GB2312" w:eastAsia="FangSong_GB2312"/>
          <w:sz w:val="32"/>
          <w:szCs w:val="32"/>
          <w:lang w:eastAsia="zh-CN"/>
        </w:rPr>
      </w:pPr>
      <w:r>
        <w:rPr>
          <w:rFonts w:hint="eastAsia" w:ascii="FangSong_GB2312" w:eastAsia="FangSong_GB2312"/>
          <w:sz w:val="32"/>
          <w:szCs w:val="32"/>
          <w:lang w:eastAsia="zh-CN"/>
        </w:rPr>
        <w:t>2023</w:t>
      </w:r>
      <w:r>
        <w:rPr>
          <w:rFonts w:hint="eastAsia" w:ascii="FangSong_GB2312" w:eastAsia="FangSong_GB2312"/>
          <w:sz w:val="32"/>
          <w:szCs w:val="32"/>
        </w:rPr>
        <w:t>年，</w:t>
      </w:r>
      <w:r>
        <w:rPr>
          <w:rFonts w:hint="eastAsia" w:ascii="FangSong_GB2312" w:eastAsia="FangSong_GB2312"/>
          <w:sz w:val="32"/>
          <w:szCs w:val="32"/>
          <w:lang w:eastAsia="zh-CN"/>
        </w:rPr>
        <w:t>壤塘县红十字会</w:t>
      </w:r>
      <w:r>
        <w:rPr>
          <w:rFonts w:hint="eastAsia" w:ascii="FangSong_GB2312" w:eastAsia="FangSong_GB2312"/>
          <w:sz w:val="32"/>
          <w:szCs w:val="32"/>
        </w:rPr>
        <w:t>机关运行经费支出</w:t>
      </w:r>
      <w:r>
        <w:rPr>
          <w:rFonts w:hint="eastAsia" w:ascii="仿宋_GB2312" w:hAnsi="仿宋_GB2312" w:eastAsia="仿宋_GB2312"/>
          <w:color w:val="000000"/>
          <w:kern w:val="2"/>
          <w:sz w:val="32"/>
          <w:szCs w:val="24"/>
          <w:lang w:val="en-US" w:eastAsia="zh-CN"/>
        </w:rPr>
        <w:t>8.21</w:t>
      </w:r>
      <w:r>
        <w:rPr>
          <w:rFonts w:hint="eastAsia" w:ascii="FangSong_GB2312" w:eastAsia="FangSong_GB2312"/>
          <w:sz w:val="32"/>
          <w:szCs w:val="32"/>
        </w:rPr>
        <w:t>万元，比</w:t>
      </w:r>
      <w:r>
        <w:rPr>
          <w:rFonts w:hint="eastAsia" w:ascii="FangSong_GB2312" w:eastAsia="FangSong_GB2312"/>
          <w:sz w:val="32"/>
          <w:szCs w:val="32"/>
          <w:lang w:eastAsia="zh-CN"/>
        </w:rPr>
        <w:t>2022年</w:t>
      </w:r>
      <w:r>
        <w:rPr>
          <w:rFonts w:hint="eastAsia" w:ascii="FangSong_GB2312" w:eastAsia="FangSong_GB2312"/>
          <w:sz w:val="32"/>
          <w:szCs w:val="32"/>
          <w:lang w:val="en-US" w:eastAsia="zh-CN"/>
        </w:rPr>
        <w:t>减少3.33</w:t>
      </w:r>
      <w:r>
        <w:rPr>
          <w:rFonts w:hint="eastAsia" w:ascii="FangSong_GB2312" w:eastAsia="FangSong_GB2312"/>
          <w:sz w:val="32"/>
          <w:szCs w:val="32"/>
        </w:rPr>
        <w:t>万元，</w:t>
      </w:r>
      <w:r>
        <w:rPr>
          <w:rFonts w:hint="eastAsia" w:ascii="FangSong_GB2312" w:eastAsia="FangSong_GB2312"/>
          <w:sz w:val="32"/>
          <w:szCs w:val="32"/>
          <w:lang w:val="en-US" w:eastAsia="zh-CN"/>
        </w:rPr>
        <w:t>减少28.84%</w:t>
      </w:r>
      <w:r>
        <w:rPr>
          <w:rFonts w:ascii="FangSong_GB2312" w:eastAsia="FangSong_GB2312"/>
          <w:sz w:val="32"/>
          <w:szCs w:val="32"/>
        </w:rPr>
        <w:t>%</w:t>
      </w:r>
      <w:r>
        <w:rPr>
          <w:rFonts w:hint="eastAsia" w:ascii="FangSong_GB2312" w:eastAsia="FangSong_GB2312"/>
          <w:sz w:val="32"/>
          <w:szCs w:val="32"/>
          <w:lang w:eastAsia="zh-CN"/>
        </w:rPr>
        <w:t>，</w:t>
      </w:r>
      <w:r>
        <w:rPr>
          <w:rFonts w:hint="eastAsia" w:ascii="FangSong_GB2312" w:eastAsia="FangSong_GB2312"/>
          <w:sz w:val="32"/>
          <w:szCs w:val="32"/>
        </w:rPr>
        <w:t>主要原因是</w:t>
      </w:r>
      <w:r>
        <w:rPr>
          <w:rFonts w:hint="eastAsia" w:ascii="FangSong_GB2312" w:eastAsia="FangSong_GB2312"/>
          <w:sz w:val="32"/>
          <w:szCs w:val="32"/>
          <w:lang w:val="en-US" w:eastAsia="zh-CN"/>
        </w:rPr>
        <w:t>单位厉行节约</w:t>
      </w:r>
      <w:r>
        <w:rPr>
          <w:rFonts w:hint="eastAsia" w:ascii="FangSong_GB2312" w:eastAsia="FangSong_GB2312"/>
          <w:sz w:val="32"/>
          <w:szCs w:val="32"/>
          <w:lang w:eastAsia="zh-CN"/>
        </w:rPr>
        <w:t>。</w:t>
      </w:r>
    </w:p>
    <w:p>
      <w:pPr>
        <w:keepNext w:val="0"/>
        <w:keepLines w:val="0"/>
        <w:pageBreakBefore w:val="0"/>
        <w:widowControl w:val="0"/>
        <w:kinsoku/>
        <w:wordWrap/>
        <w:overflowPunct/>
        <w:topLinePunct w:val="0"/>
        <w:bidi w:val="0"/>
        <w:snapToGrid/>
        <w:spacing w:line="560" w:lineRule="exact"/>
        <w:ind w:firstLine="642" w:firstLineChars="200"/>
        <w:textAlignment w:val="auto"/>
        <w:rPr>
          <w:rFonts w:hint="eastAsia" w:ascii="仿宋_GB2312" w:hAnsi="仿宋_GB2312" w:eastAsia="仿宋_GB2312" w:cs="仿宋_GB2312"/>
          <w:b/>
          <w:bCs/>
          <w:sz w:val="32"/>
          <w:szCs w:val="32"/>
        </w:rPr>
      </w:pPr>
      <w:bookmarkStart w:id="65" w:name="_Toc15377223"/>
      <w:r>
        <w:rPr>
          <w:rFonts w:hint="eastAsia" w:ascii="仿宋_GB2312" w:hAnsi="仿宋_GB2312" w:eastAsia="仿宋_GB2312" w:cs="仿宋_GB2312"/>
          <w:b/>
          <w:bCs/>
          <w:sz w:val="32"/>
          <w:szCs w:val="32"/>
        </w:rPr>
        <w:t>（二）政府采购支出情况</w:t>
      </w:r>
      <w:bookmarkEnd w:id="65"/>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FangSong_GB2312" w:eastAsia="FangSong_GB2312"/>
          <w:sz w:val="32"/>
          <w:szCs w:val="32"/>
        </w:rPr>
      </w:pPr>
      <w:r>
        <w:rPr>
          <w:rFonts w:hint="eastAsia" w:ascii="FangSong_GB2312" w:eastAsia="FangSong_GB2312"/>
          <w:sz w:val="32"/>
          <w:szCs w:val="32"/>
          <w:lang w:eastAsia="zh-CN"/>
        </w:rPr>
        <w:t>2023</w:t>
      </w:r>
      <w:r>
        <w:rPr>
          <w:rFonts w:hint="eastAsia" w:ascii="FangSong_GB2312" w:eastAsia="FangSong_GB2312"/>
          <w:sz w:val="32"/>
          <w:szCs w:val="32"/>
        </w:rPr>
        <w:t>年，</w:t>
      </w:r>
      <w:r>
        <w:rPr>
          <w:rFonts w:hint="eastAsia" w:ascii="FangSong_GB2312" w:eastAsia="FangSong_GB2312"/>
          <w:sz w:val="32"/>
          <w:szCs w:val="32"/>
          <w:lang w:eastAsia="zh-CN"/>
        </w:rPr>
        <w:t>壤塘县红十字会</w:t>
      </w:r>
      <w:r>
        <w:rPr>
          <w:rFonts w:hint="eastAsia" w:ascii="FangSong_GB2312" w:eastAsia="FangSong_GB2312"/>
          <w:sz w:val="32"/>
          <w:szCs w:val="32"/>
        </w:rPr>
        <w:t>政府采购支出总额</w:t>
      </w:r>
      <w:r>
        <w:rPr>
          <w:rFonts w:hint="eastAsia" w:ascii="仿宋_GB2312" w:hAnsi="仿宋_GB2312" w:eastAsia="仿宋_GB2312"/>
          <w:color w:val="000000"/>
          <w:kern w:val="2"/>
          <w:sz w:val="32"/>
          <w:szCs w:val="24"/>
          <w:lang w:val="en-US" w:eastAsia="zh-CN"/>
        </w:rPr>
        <w:t>0</w:t>
      </w:r>
      <w:r>
        <w:rPr>
          <w:rFonts w:hint="eastAsia" w:ascii="FangSong_GB2312" w:eastAsia="FangSong_GB2312"/>
          <w:sz w:val="32"/>
          <w:szCs w:val="32"/>
        </w:rPr>
        <w:t>万元，其中：政府采购货物支出</w:t>
      </w:r>
      <w:r>
        <w:rPr>
          <w:rFonts w:hint="eastAsia" w:ascii="FangSong_GB2312" w:eastAsia="FangSong_GB2312"/>
          <w:sz w:val="32"/>
          <w:szCs w:val="32"/>
          <w:lang w:val="en-US" w:eastAsia="zh-CN"/>
        </w:rPr>
        <w:t>0</w:t>
      </w:r>
      <w:r>
        <w:rPr>
          <w:rFonts w:hint="eastAsia" w:ascii="FangSong_GB2312" w:eastAsia="FangSong_GB2312"/>
          <w:sz w:val="32"/>
          <w:szCs w:val="32"/>
        </w:rPr>
        <w:t>万元、政府采购工程支出</w:t>
      </w:r>
      <w:r>
        <w:rPr>
          <w:rFonts w:hint="eastAsia" w:ascii="FangSong_GB2312" w:eastAsia="FangSong_GB2312"/>
          <w:sz w:val="32"/>
          <w:szCs w:val="32"/>
          <w:lang w:val="en-US" w:eastAsia="zh-CN"/>
        </w:rPr>
        <w:t>0</w:t>
      </w:r>
      <w:r>
        <w:rPr>
          <w:rFonts w:hint="eastAsia" w:ascii="FangSong_GB2312" w:eastAsia="FangSong_GB2312"/>
          <w:sz w:val="32"/>
          <w:szCs w:val="32"/>
        </w:rPr>
        <w:t>万元、政府采购服务支出</w:t>
      </w:r>
      <w:r>
        <w:rPr>
          <w:rFonts w:hint="eastAsia" w:ascii="仿宋_GB2312" w:hAnsi="仿宋_GB2312" w:eastAsia="仿宋_GB2312"/>
          <w:color w:val="000000"/>
          <w:kern w:val="2"/>
          <w:sz w:val="32"/>
          <w:szCs w:val="24"/>
          <w:lang w:val="en-US" w:eastAsia="zh-CN"/>
        </w:rPr>
        <w:t>0</w:t>
      </w:r>
      <w:r>
        <w:rPr>
          <w:rFonts w:hint="eastAsia" w:ascii="FangSong_GB2312" w:eastAsia="FangSong_GB2312"/>
          <w:sz w:val="32"/>
          <w:szCs w:val="32"/>
        </w:rPr>
        <w:t>万元。</w:t>
      </w:r>
    </w:p>
    <w:p>
      <w:pPr>
        <w:keepNext w:val="0"/>
        <w:keepLines w:val="0"/>
        <w:pageBreakBefore w:val="0"/>
        <w:widowControl w:val="0"/>
        <w:kinsoku/>
        <w:wordWrap/>
        <w:overflowPunct/>
        <w:topLinePunct w:val="0"/>
        <w:bidi w:val="0"/>
        <w:snapToGrid/>
        <w:spacing w:line="560" w:lineRule="exact"/>
        <w:ind w:firstLine="642" w:firstLineChars="200"/>
        <w:textAlignment w:val="auto"/>
        <w:rPr>
          <w:rFonts w:hint="eastAsia" w:ascii="仿宋_GB2312" w:hAnsi="仿宋_GB2312" w:eastAsia="仿宋_GB2312" w:cs="仿宋_GB2312"/>
          <w:b/>
          <w:bCs/>
          <w:sz w:val="32"/>
          <w:szCs w:val="32"/>
        </w:rPr>
      </w:pPr>
      <w:bookmarkStart w:id="66" w:name="_Toc15377224"/>
      <w:r>
        <w:rPr>
          <w:rFonts w:hint="eastAsia" w:ascii="仿宋_GB2312" w:hAnsi="仿宋_GB2312" w:eastAsia="仿宋_GB2312" w:cs="仿宋_GB2312"/>
          <w:b/>
          <w:bCs/>
          <w:sz w:val="32"/>
          <w:szCs w:val="32"/>
        </w:rPr>
        <w:t>（三）国有资产占有使用情况</w:t>
      </w:r>
      <w:bookmarkEnd w:id="66"/>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ascii="FangSong_GB2312" w:eastAsia="FangSong_GB2312"/>
          <w:sz w:val="32"/>
          <w:szCs w:val="32"/>
        </w:rPr>
      </w:pPr>
      <w:r>
        <w:rPr>
          <w:rFonts w:hint="eastAsia" w:ascii="FangSong_GB2312" w:eastAsia="FangSong_GB2312"/>
          <w:sz w:val="32"/>
          <w:szCs w:val="32"/>
        </w:rPr>
        <w:t>截至</w:t>
      </w:r>
      <w:r>
        <w:rPr>
          <w:rFonts w:hint="eastAsia" w:ascii="FangSong_GB2312" w:eastAsia="FangSong_GB2312"/>
          <w:sz w:val="32"/>
          <w:szCs w:val="32"/>
          <w:lang w:eastAsia="zh-CN"/>
        </w:rPr>
        <w:t>2023</w:t>
      </w:r>
      <w:r>
        <w:rPr>
          <w:rFonts w:hint="eastAsia" w:ascii="FangSong_GB2312" w:eastAsia="FangSong_GB2312"/>
          <w:sz w:val="32"/>
          <w:szCs w:val="32"/>
        </w:rPr>
        <w:t>年</w:t>
      </w:r>
      <w:r>
        <w:rPr>
          <w:rFonts w:ascii="FangSong_GB2312" w:eastAsia="FangSong_GB2312"/>
          <w:sz w:val="32"/>
          <w:szCs w:val="32"/>
        </w:rPr>
        <w:t>12</w:t>
      </w:r>
      <w:r>
        <w:rPr>
          <w:rFonts w:hint="eastAsia" w:ascii="FangSong_GB2312" w:eastAsia="FangSong_GB2312"/>
          <w:sz w:val="32"/>
          <w:szCs w:val="32"/>
        </w:rPr>
        <w:t>月</w:t>
      </w:r>
      <w:r>
        <w:rPr>
          <w:rFonts w:ascii="FangSong_GB2312" w:eastAsia="FangSong_GB2312"/>
          <w:sz w:val="32"/>
          <w:szCs w:val="32"/>
        </w:rPr>
        <w:t>31</w:t>
      </w:r>
      <w:r>
        <w:rPr>
          <w:rFonts w:hint="eastAsia" w:ascii="FangSong_GB2312" w:eastAsia="FangSong_GB2312"/>
          <w:sz w:val="32"/>
          <w:szCs w:val="32"/>
        </w:rPr>
        <w:t>日，</w:t>
      </w:r>
      <w:r>
        <w:rPr>
          <w:rFonts w:hint="eastAsia" w:ascii="FangSong_GB2312" w:eastAsia="FangSong_GB2312"/>
          <w:sz w:val="32"/>
          <w:szCs w:val="32"/>
          <w:lang w:eastAsia="zh-CN"/>
        </w:rPr>
        <w:t>壤塘县红十字会</w:t>
      </w:r>
      <w:r>
        <w:rPr>
          <w:rFonts w:hint="eastAsia" w:ascii="FangSong_GB2312" w:eastAsia="FangSong_GB2312"/>
          <w:sz w:val="32"/>
          <w:szCs w:val="32"/>
        </w:rPr>
        <w:t>共有车辆</w:t>
      </w:r>
      <w:r>
        <w:rPr>
          <w:rFonts w:hint="eastAsia" w:ascii="FangSong_GB2312" w:eastAsia="FangSong_GB2312"/>
          <w:sz w:val="32"/>
          <w:szCs w:val="32"/>
          <w:lang w:val="en-US" w:eastAsia="zh-CN"/>
        </w:rPr>
        <w:t>1</w:t>
      </w:r>
      <w:r>
        <w:rPr>
          <w:rFonts w:hint="eastAsia" w:ascii="FangSong_GB2312" w:eastAsia="FangSong_GB2312"/>
          <w:sz w:val="32"/>
          <w:szCs w:val="32"/>
        </w:rPr>
        <w:t>辆，其中：主要领导干部用车</w:t>
      </w:r>
      <w:r>
        <w:rPr>
          <w:rFonts w:hint="eastAsia" w:ascii="FangSong_GB2312" w:eastAsia="FangSong_GB2312"/>
          <w:sz w:val="32"/>
          <w:szCs w:val="32"/>
          <w:lang w:val="en-US" w:eastAsia="zh-CN"/>
        </w:rPr>
        <w:t>0</w:t>
      </w:r>
      <w:r>
        <w:rPr>
          <w:rFonts w:hint="eastAsia" w:ascii="FangSong_GB2312" w:eastAsia="FangSong_GB2312"/>
          <w:sz w:val="32"/>
          <w:szCs w:val="32"/>
        </w:rPr>
        <w:t>辆、机要通信用车</w:t>
      </w:r>
      <w:r>
        <w:rPr>
          <w:rFonts w:hint="eastAsia" w:ascii="FangSong_GB2312" w:eastAsia="FangSong_GB2312"/>
          <w:sz w:val="32"/>
          <w:szCs w:val="32"/>
          <w:lang w:val="en-US" w:eastAsia="zh-CN"/>
        </w:rPr>
        <w:t>0</w:t>
      </w:r>
      <w:r>
        <w:rPr>
          <w:rFonts w:hint="eastAsia" w:ascii="FangSong_GB2312" w:eastAsia="FangSong_GB2312"/>
          <w:sz w:val="32"/>
          <w:szCs w:val="32"/>
        </w:rPr>
        <w:t>辆、应急保障用车</w:t>
      </w:r>
      <w:r>
        <w:rPr>
          <w:rFonts w:hint="eastAsia" w:ascii="FangSong_GB2312" w:eastAsia="FangSong_GB2312"/>
          <w:sz w:val="32"/>
          <w:szCs w:val="32"/>
          <w:lang w:val="en-US" w:eastAsia="zh-CN"/>
        </w:rPr>
        <w:t>0</w:t>
      </w:r>
      <w:r>
        <w:rPr>
          <w:rFonts w:hint="eastAsia" w:ascii="FangSong_GB2312" w:eastAsia="FangSong_GB2312"/>
          <w:sz w:val="32"/>
          <w:szCs w:val="32"/>
        </w:rPr>
        <w:t>辆、其他用车</w:t>
      </w:r>
      <w:r>
        <w:rPr>
          <w:rFonts w:hint="eastAsia" w:ascii="FangSong_GB2312" w:eastAsia="FangSong_GB2312"/>
          <w:sz w:val="32"/>
          <w:szCs w:val="32"/>
          <w:lang w:val="en-US" w:eastAsia="zh-CN"/>
        </w:rPr>
        <w:t>1</w:t>
      </w:r>
      <w:r>
        <w:rPr>
          <w:rFonts w:hint="eastAsia" w:ascii="FangSong_GB2312" w:eastAsia="FangSong_GB2312"/>
          <w:sz w:val="32"/>
          <w:szCs w:val="32"/>
        </w:rPr>
        <w:t>辆</w:t>
      </w:r>
      <w:r>
        <w:rPr>
          <w:rFonts w:hint="eastAsia" w:ascii="FangSong_GB2312" w:eastAsia="FangSong_GB2312"/>
          <w:sz w:val="32"/>
          <w:szCs w:val="32"/>
          <w:lang w:eastAsia="zh-CN"/>
        </w:rPr>
        <w:t>。</w:t>
      </w:r>
      <w:r>
        <w:rPr>
          <w:rFonts w:hint="eastAsia" w:ascii="FangSong_GB2312" w:eastAsia="FangSong_GB2312"/>
          <w:sz w:val="32"/>
          <w:szCs w:val="32"/>
        </w:rPr>
        <w:t>单价</w:t>
      </w:r>
      <w:r>
        <w:rPr>
          <w:rFonts w:ascii="FangSong_GB2312" w:eastAsia="FangSong_GB2312"/>
          <w:sz w:val="32"/>
          <w:szCs w:val="32"/>
        </w:rPr>
        <w:t>50</w:t>
      </w:r>
      <w:r>
        <w:rPr>
          <w:rFonts w:hint="eastAsia" w:ascii="FangSong_GB2312" w:eastAsia="FangSong_GB2312"/>
          <w:sz w:val="32"/>
          <w:szCs w:val="32"/>
        </w:rPr>
        <w:t>万元以上通用设备</w:t>
      </w:r>
      <w:r>
        <w:rPr>
          <w:rFonts w:hint="eastAsia" w:ascii="FangSong_GB2312" w:eastAsia="FangSong_GB2312"/>
          <w:sz w:val="32"/>
          <w:szCs w:val="32"/>
          <w:lang w:val="en-US" w:eastAsia="zh-CN"/>
        </w:rPr>
        <w:t>0</w:t>
      </w:r>
      <w:r>
        <w:rPr>
          <w:rFonts w:hint="eastAsia" w:ascii="FangSong_GB2312" w:eastAsia="FangSong_GB2312"/>
          <w:sz w:val="32"/>
          <w:szCs w:val="32"/>
        </w:rPr>
        <w:t>台（套），单价</w:t>
      </w:r>
      <w:r>
        <w:rPr>
          <w:rFonts w:ascii="FangSong_GB2312" w:eastAsia="FangSong_GB2312"/>
          <w:sz w:val="32"/>
          <w:szCs w:val="32"/>
        </w:rPr>
        <w:t>100</w:t>
      </w:r>
      <w:r>
        <w:rPr>
          <w:rFonts w:hint="eastAsia" w:ascii="FangSong_GB2312" w:eastAsia="FangSong_GB2312"/>
          <w:sz w:val="32"/>
          <w:szCs w:val="32"/>
        </w:rPr>
        <w:t>万元以上专用设备</w:t>
      </w:r>
      <w:r>
        <w:rPr>
          <w:rFonts w:hint="eastAsia" w:ascii="FangSong_GB2312" w:eastAsia="FangSong_GB2312"/>
          <w:sz w:val="32"/>
          <w:szCs w:val="32"/>
          <w:lang w:val="en-US" w:eastAsia="zh-CN"/>
        </w:rPr>
        <w:t>0</w:t>
      </w:r>
      <w:r>
        <w:rPr>
          <w:rFonts w:hint="eastAsia" w:ascii="FangSong_GB2312" w:eastAsia="FangSong_GB2312"/>
          <w:sz w:val="32"/>
          <w:szCs w:val="32"/>
        </w:rPr>
        <w:t>台（套）。</w:t>
      </w:r>
    </w:p>
    <w:p>
      <w:pPr>
        <w:keepNext w:val="0"/>
        <w:keepLines w:val="0"/>
        <w:pageBreakBefore w:val="0"/>
        <w:widowControl w:val="0"/>
        <w:kinsoku/>
        <w:wordWrap/>
        <w:overflowPunct/>
        <w:topLinePunct w:val="0"/>
        <w:bidi w:val="0"/>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（四）预算绩效管理情况</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FangSong_GB2312" w:hAnsi="FangSong_GB2312" w:eastAsia="FangSong_GB2312" w:cs="FangSong_GB2312"/>
          <w:sz w:val="32"/>
          <w:szCs w:val="32"/>
          <w:lang w:eastAsia="zh-CN"/>
        </w:rPr>
      </w:pPr>
      <w:r>
        <w:rPr>
          <w:rFonts w:hint="eastAsia" w:ascii="FangSong_GB2312" w:hAnsi="FangSong_GB2312" w:eastAsia="FangSong_GB2312" w:cs="FangSong_GB2312"/>
          <w:sz w:val="32"/>
          <w:szCs w:val="32"/>
        </w:rPr>
        <w:t>根据预算绩效管理要求，本部门在</w:t>
      </w:r>
      <w:r>
        <w:rPr>
          <w:rFonts w:hint="eastAsia" w:ascii="FangSong_GB2312" w:hAnsi="FangSong_GB2312" w:eastAsia="FangSong_GB2312" w:cs="FangSong_GB2312"/>
          <w:sz w:val="32"/>
          <w:szCs w:val="32"/>
          <w:lang w:eastAsia="zh-CN"/>
        </w:rPr>
        <w:t>2023</w:t>
      </w:r>
      <w:r>
        <w:rPr>
          <w:rFonts w:hint="eastAsia" w:ascii="FangSong_GB2312" w:hAnsi="FangSong_GB2312" w:eastAsia="FangSong_GB2312" w:cs="FangSong_GB2312"/>
          <w:sz w:val="32"/>
          <w:szCs w:val="32"/>
        </w:rPr>
        <w:t>年度预算编制阶段，组织</w:t>
      </w:r>
      <w:r>
        <w:rPr>
          <w:rFonts w:hint="eastAsia" w:ascii="FangSong_GB2312" w:hAnsi="FangSong_GB2312" w:eastAsia="FangSong_GB2312" w:cs="FangSong_GB2312"/>
          <w:sz w:val="32"/>
          <w:szCs w:val="32"/>
          <w:lang w:eastAsia="zh-CN"/>
        </w:rPr>
        <w:t>对</w:t>
      </w:r>
      <w:r>
        <w:rPr>
          <w:rFonts w:hint="eastAsia" w:ascii="FangSong_GB2312" w:hAnsi="FangSong_GB2312" w:eastAsia="FangSong_GB2312" w:cs="FangSong_GB2312"/>
          <w:sz w:val="32"/>
          <w:szCs w:val="32"/>
          <w:lang w:val="en-US" w:eastAsia="zh-CN"/>
        </w:rPr>
        <w:t>应急救护员培训费用等3</w:t>
      </w:r>
      <w:r>
        <w:rPr>
          <w:rFonts w:hint="eastAsia" w:ascii="FangSong_GB2312" w:hAnsi="FangSong_GB2312" w:eastAsia="FangSong_GB2312" w:cs="FangSong_GB2312"/>
          <w:sz w:val="32"/>
          <w:szCs w:val="32"/>
        </w:rPr>
        <w:t>个项</w:t>
      </w:r>
      <w:r>
        <w:rPr>
          <w:rFonts w:hint="eastAsia" w:ascii="FangSong_GB2312" w:hAnsi="FangSong_GB2312" w:eastAsia="FangSong_GB2312" w:cs="FangSong_GB2312"/>
          <w:sz w:val="32"/>
          <w:szCs w:val="32"/>
          <w:lang w:val="en-US" w:eastAsia="zh-CN"/>
        </w:rPr>
        <w:t>目</w:t>
      </w:r>
      <w:r>
        <w:rPr>
          <w:rFonts w:hint="eastAsia" w:ascii="FangSong_GB2312" w:hAnsi="FangSong_GB2312" w:eastAsia="FangSong_GB2312" w:cs="FangSong_GB2312"/>
          <w:sz w:val="32"/>
          <w:szCs w:val="32"/>
        </w:rPr>
        <w:t>开展了预算事前绩效评估，对</w:t>
      </w:r>
      <w:r>
        <w:rPr>
          <w:rFonts w:hint="eastAsia" w:ascii="FangSong_GB2312" w:hAnsi="FangSong_GB2312" w:eastAsia="FangSong_GB2312" w:cs="FangSong_GB2312"/>
          <w:sz w:val="32"/>
          <w:szCs w:val="32"/>
          <w:lang w:val="en-US" w:eastAsia="zh-CN"/>
        </w:rPr>
        <w:t>3</w:t>
      </w:r>
      <w:r>
        <w:rPr>
          <w:rFonts w:hint="eastAsia" w:ascii="FangSong_GB2312" w:hAnsi="FangSong_GB2312" w:eastAsia="FangSong_GB2312" w:cs="FangSong_GB2312"/>
          <w:sz w:val="32"/>
          <w:szCs w:val="32"/>
        </w:rPr>
        <w:t>个项目编制了绩效目标，预算执行过程中，选取</w:t>
      </w:r>
      <w:r>
        <w:rPr>
          <w:rFonts w:hint="eastAsia" w:ascii="FangSong_GB2312" w:hAnsi="FangSong_GB2312" w:eastAsia="FangSong_GB2312" w:cs="FangSong_GB2312"/>
          <w:sz w:val="32"/>
          <w:szCs w:val="32"/>
          <w:lang w:val="en-US" w:eastAsia="zh-CN"/>
        </w:rPr>
        <w:t>3</w:t>
      </w:r>
      <w:r>
        <w:rPr>
          <w:rFonts w:hint="eastAsia" w:ascii="FangSong_GB2312" w:hAnsi="FangSong_GB2312" w:eastAsia="FangSong_GB2312" w:cs="FangSong_GB2312"/>
          <w:sz w:val="32"/>
          <w:szCs w:val="32"/>
        </w:rPr>
        <w:t>个项目开展绩效监控</w:t>
      </w:r>
      <w:r>
        <w:rPr>
          <w:rFonts w:hint="eastAsia" w:ascii="FangSong_GB2312" w:hAnsi="FangSong_GB2312" w:eastAsia="FangSong_GB2312" w:cs="FangSong_GB2312"/>
          <w:sz w:val="32"/>
          <w:szCs w:val="32"/>
          <w:lang w:eastAsia="zh-CN"/>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ascii="FangSong_GB2312" w:eastAsia="FangSong_GB2312"/>
          <w:b/>
          <w:sz w:val="32"/>
          <w:szCs w:val="32"/>
        </w:rPr>
      </w:pPr>
      <w:r>
        <w:rPr>
          <w:rFonts w:hint="eastAsia" w:ascii="FangSong_GB2312" w:hAnsi="FangSong_GB2312" w:eastAsia="FangSong_GB2312" w:cs="FangSong_GB2312"/>
          <w:sz w:val="32"/>
          <w:szCs w:val="32"/>
          <w:lang w:eastAsia="zh-CN"/>
        </w:rPr>
        <w:t>组织</w:t>
      </w:r>
      <w:r>
        <w:rPr>
          <w:rFonts w:hint="eastAsia" w:ascii="FangSong_GB2312" w:hAnsi="FangSong_GB2312" w:eastAsia="FangSong_GB2312" w:cs="FangSong_GB2312"/>
          <w:sz w:val="32"/>
          <w:szCs w:val="32"/>
        </w:rPr>
        <w:t>对</w:t>
      </w:r>
      <w:r>
        <w:rPr>
          <w:rFonts w:hint="eastAsia" w:ascii="FangSong_GB2312" w:hAnsi="FangSong_GB2312" w:eastAsia="FangSong_GB2312" w:cs="FangSong_GB2312"/>
          <w:sz w:val="32"/>
          <w:szCs w:val="32"/>
          <w:lang w:val="en-US" w:eastAsia="zh-CN"/>
        </w:rPr>
        <w:t>2023年度一般公共预算、</w:t>
      </w:r>
      <w:r>
        <w:rPr>
          <w:rFonts w:hint="eastAsia" w:ascii="FangSong_GB2312" w:hAnsi="FangSong_GB2312" w:eastAsia="FangSong_GB2312" w:cs="FangSong_GB2312"/>
          <w:sz w:val="32"/>
          <w:szCs w:val="32"/>
          <w:lang w:eastAsia="zh-CN"/>
        </w:rPr>
        <w:t>政府性基金预算、国有资本经营预算、社会保险基金预算以及资本资产、债券资金等</w:t>
      </w:r>
      <w:r>
        <w:rPr>
          <w:rFonts w:hint="eastAsia" w:ascii="FangSong_GB2312" w:hAnsi="FangSong_GB2312" w:eastAsia="FangSong_GB2312" w:cs="FangSong_GB2312"/>
          <w:sz w:val="32"/>
          <w:szCs w:val="32"/>
          <w:lang w:val="en-US" w:eastAsia="zh-CN"/>
        </w:rPr>
        <w:t>全面开展绩效自评，形成壤塘县红十字会</w:t>
      </w:r>
      <w:r>
        <w:rPr>
          <w:rFonts w:hint="eastAsia" w:ascii="FangSong_GB2312" w:hAnsi="FangSong_GB2312" w:eastAsia="FangSong_GB2312" w:cs="FangSong_GB2312"/>
          <w:sz w:val="32"/>
          <w:szCs w:val="32"/>
          <w:lang w:eastAsia="zh-CN"/>
        </w:rPr>
        <w:t>部门整体</w:t>
      </w:r>
      <w:r>
        <w:rPr>
          <w:rFonts w:hint="eastAsia" w:ascii="FangSong_GB2312" w:hAnsi="FangSong_GB2312" w:eastAsia="FangSong_GB2312" w:cs="FangSong_GB2312"/>
          <w:sz w:val="32"/>
          <w:szCs w:val="32"/>
          <w:lang w:val="en-US" w:eastAsia="zh-CN"/>
        </w:rPr>
        <w:t>绩效自评报告，其中，壤塘县红十字会部门整体绩效自评得分为93分，绩效自评综述：本次得分为93分，总体表现较好；我单位不涉及专项项目，因此未开展专项项目绩效自评。整体绩效自评报告详见附件。</w:t>
      </w:r>
      <w:r>
        <w:rPr>
          <w:rFonts w:ascii="FangSong_GB2312" w:eastAsia="FangSong_GB2312"/>
          <w:b/>
          <w:sz w:val="32"/>
          <w:szCs w:val="32"/>
        </w:rPr>
        <w:br w:type="page"/>
      </w:r>
    </w:p>
    <w:p>
      <w:pPr>
        <w:pStyle w:val="4"/>
        <w:jc w:val="center"/>
      </w:pPr>
      <w:bookmarkStart w:id="67" w:name="_Toc15377225"/>
      <w:bookmarkStart w:id="68" w:name="_Toc9097"/>
      <w:bookmarkStart w:id="69" w:name="_Toc15396613"/>
      <w:r>
        <w:rPr>
          <w:rFonts w:hint="eastAsia"/>
          <w:lang w:val="en-US" w:eastAsia="zh-CN"/>
        </w:rPr>
        <w:t xml:space="preserve">第三部分 </w:t>
      </w:r>
      <w:r>
        <w:rPr>
          <w:rFonts w:hint="eastAsia"/>
        </w:rPr>
        <w:t>名词解释</w:t>
      </w:r>
      <w:bookmarkEnd w:id="67"/>
      <w:bookmarkEnd w:id="68"/>
      <w:bookmarkEnd w:id="69"/>
    </w:p>
    <w:p>
      <w:pPr>
        <w:spacing w:line="600" w:lineRule="exact"/>
        <w:jc w:val="left"/>
        <w:rPr>
          <w:rFonts w:ascii="宋体"/>
          <w:b/>
          <w:sz w:val="44"/>
          <w:szCs w:val="44"/>
        </w:rPr>
      </w:pPr>
    </w:p>
    <w:p>
      <w:pPr>
        <w:ind w:firstLine="640" w:firstLineChars="200"/>
        <w:rPr>
          <w:rFonts w:ascii="FangSong_GB2312" w:eastAsia="FangSong_GB2312"/>
          <w:color w:val="auto"/>
          <w:szCs w:val="32"/>
        </w:rPr>
      </w:pPr>
      <w:bookmarkStart w:id="70" w:name="_Toc14439"/>
      <w:bookmarkStart w:id="71" w:name="_Toc16002"/>
      <w:r>
        <w:rPr>
          <w:rFonts w:hint="eastAsia" w:ascii="仿宋_GB2312" w:hAnsi="仿宋_GB2312" w:eastAsia="仿宋_GB2312" w:cs="仿宋_GB2312"/>
          <w:sz w:val="32"/>
          <w:szCs w:val="32"/>
          <w:lang w:val="en-US" w:eastAsia="zh-CN"/>
        </w:rPr>
        <w:t>1.财政拨款收入：指单位从同级财政部门取得的财政预算资金。</w:t>
      </w:r>
      <w:bookmarkEnd w:id="70"/>
      <w:bookmarkEnd w:id="71"/>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2.事业收入：指事业单位开展专业业务活动及辅助活动取得的收入。</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3.经营收入：指事业单位在专业业务活动及其辅助活动之外开展非独立核算经营活动取得的收入。</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4.其他收入：指单位取得的除上述收入以外的各项收入。</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5.使用非财政拨款结余：指事业单位使用以前年度积累的非财政拨款结余弥补当年收支差额的金额。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6.年初结转和结余：指以前年度尚未完成、结转到本年按有关规定继续使用的资金。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7.结余分配：指事业单位按照会计制度规定缴纳的所得税、提取的专用结余以及转入非财政拨款结余的金额等。</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8、年末结转和结余：指单位按有关规定结转到下年或以后年度继续使用的资金。</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9.社会保障和就业（类）社会保障就业支出（款）机关事业单位基本养老保险缴费支出（项）：指基本养老保险单位部分支出。</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10.医疗卫生与计划生育（类）卫生健康（款）行政事业单位基本医疗保险、公务员医疗、医疗补助（项）：指基本医疗保险与公务员医疗补助缴费支出。</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11.节能环保（类）节能环保（款）节能环保（项）：指开展节能环保各项工作的支出。</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12.住房保障（类）住房保障支出（款）住房改革支出（项）：住房公积金指单位为职工按比例缴纳的住房公积金支出。</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13.基本支出：指为保障机构正常运转、完成日常工作任务而发生的人员支出和公用支出。</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14.项目支出：指在基本支出之外为完成特定行政任务和事业发展目标所发生的支出。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15.经营支出：指事业单位在专业业务活动及其辅助活动之外开展非独立核算经营活动发生的支出。</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FangSong_GB2312" w:eastAsia="FangSong_GB2312"/>
          <w:color w:val="auto"/>
          <w:sz w:val="32"/>
          <w:szCs w:val="32"/>
        </w:rPr>
      </w:pPr>
      <w:r>
        <w:rPr>
          <w:rFonts w:hint="eastAsia" w:ascii="仿宋_GB2312" w:hAnsi="仿宋_GB2312" w:eastAsia="仿宋_GB2312" w:cs="仿宋_GB2312"/>
          <w:sz w:val="32"/>
          <w:szCs w:val="32"/>
          <w:lang w:val="en-US" w:eastAsia="zh-CN"/>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FangSong_GB2312" w:eastAsia="FangSong_GB2312"/>
          <w:color w:val="auto"/>
          <w:sz w:val="32"/>
          <w:szCs w:val="32"/>
        </w:rPr>
        <w:t>。</w:t>
      </w:r>
    </w:p>
    <w:p>
      <w:pPr>
        <w:pStyle w:val="16"/>
        <w:spacing w:line="560" w:lineRule="exact"/>
        <w:ind w:firstLine="640" w:firstLineChars="200"/>
        <w:rPr>
          <w:rFonts w:ascii="FangSong_GB2312" w:eastAsia="FangSong_GB2312" w:cs="黑体"/>
          <w:color w:val="auto"/>
          <w:sz w:val="32"/>
          <w:szCs w:val="32"/>
        </w:rPr>
      </w:pPr>
    </w:p>
    <w:p>
      <w:pPr>
        <w:spacing w:line="600" w:lineRule="exact"/>
        <w:jc w:val="center"/>
        <w:outlineLvl w:val="0"/>
        <w:rPr>
          <w:rStyle w:val="19"/>
          <w:rFonts w:ascii="黑体" w:hAnsi="黑体" w:eastAsia="黑体"/>
          <w:b w:val="0"/>
        </w:rPr>
      </w:pPr>
      <w:bookmarkStart w:id="72" w:name="_Toc15377226"/>
      <w:r>
        <w:rPr>
          <w:rFonts w:ascii="宋体"/>
          <w:b/>
          <w:sz w:val="44"/>
          <w:szCs w:val="44"/>
        </w:rPr>
        <w:br w:type="page"/>
      </w:r>
      <w:bookmarkStart w:id="73" w:name="_Toc15396614"/>
      <w:bookmarkStart w:id="74" w:name="_Toc4382"/>
      <w:r>
        <w:rPr>
          <w:rStyle w:val="19"/>
          <w:rFonts w:hint="eastAsia"/>
        </w:rPr>
        <w:t>第四部分 附件</w:t>
      </w:r>
      <w:bookmarkEnd w:id="73"/>
      <w:bookmarkEnd w:id="74"/>
    </w:p>
    <w:p>
      <w:pPr>
        <w:spacing w:line="360" w:lineRule="auto"/>
        <w:jc w:val="left"/>
        <w:rPr>
          <w:rFonts w:hint="eastAsia" w:ascii="黑体" w:hAnsi="黑体" w:eastAsia="黑体" w:cs="黑体"/>
          <w:b/>
          <w:bCs/>
          <w:color w:val="auto"/>
          <w:kern w:val="0"/>
          <w:sz w:val="32"/>
          <w:szCs w:val="32"/>
          <w:lang w:val="en-US" w:eastAsia="zh-CN"/>
        </w:rPr>
      </w:pPr>
      <w:r>
        <w:rPr>
          <w:rFonts w:hint="eastAsia" w:ascii="黑体" w:hAnsi="黑体" w:eastAsia="黑体" w:cs="黑体"/>
          <w:b/>
          <w:bCs/>
          <w:color w:val="auto"/>
          <w:kern w:val="0"/>
          <w:sz w:val="32"/>
          <w:szCs w:val="32"/>
          <w:lang w:val="en-US" w:eastAsia="zh-CN"/>
        </w:rPr>
        <w:t>附件1</w:t>
      </w:r>
    </w:p>
    <w:p>
      <w:pPr>
        <w:spacing w:line="360" w:lineRule="auto"/>
        <w:jc w:val="center"/>
        <w:rPr>
          <w:rFonts w:ascii="宋体" w:hAnsi="宋体" w:cs="宋体"/>
          <w:b/>
          <w:bCs/>
          <w:color w:val="auto"/>
          <w:kern w:val="0"/>
          <w:sz w:val="44"/>
          <w:szCs w:val="44"/>
        </w:rPr>
      </w:pPr>
      <w:r>
        <w:rPr>
          <w:rFonts w:hint="eastAsia" w:ascii="宋体" w:hAnsi="宋体" w:cs="宋体"/>
          <w:b/>
          <w:bCs/>
          <w:color w:val="auto"/>
          <w:kern w:val="0"/>
          <w:sz w:val="44"/>
          <w:szCs w:val="44"/>
          <w:lang w:val="en-US" w:eastAsia="zh-CN"/>
        </w:rPr>
        <w:t>壤塘县红十字会2023</w:t>
      </w:r>
      <w:r>
        <w:rPr>
          <w:rFonts w:hint="eastAsia" w:ascii="宋体" w:hAnsi="宋体" w:cs="宋体"/>
          <w:b/>
          <w:bCs/>
          <w:color w:val="auto"/>
          <w:kern w:val="0"/>
          <w:sz w:val="44"/>
          <w:szCs w:val="44"/>
        </w:rPr>
        <w:t>年度部门整体支出绩效评价自评报告</w:t>
      </w:r>
    </w:p>
    <w:p>
      <w:pPr>
        <w:spacing w:line="360" w:lineRule="auto"/>
        <w:jc w:val="center"/>
        <w:rPr>
          <w:rFonts w:ascii="宋体" w:hAnsi="宋体" w:cs="宋体"/>
          <w:color w:val="auto"/>
          <w:kern w:val="0"/>
          <w:szCs w:val="21"/>
        </w:rPr>
      </w:pP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eastAsia" w:ascii="黑体" w:hAnsi="宋体" w:eastAsia="黑体" w:cs="宋体"/>
          <w:color w:val="auto"/>
          <w:kern w:val="0"/>
          <w:sz w:val="32"/>
          <w:szCs w:val="32"/>
          <w:shd w:val="clear" w:color="auto" w:fill="FFFFFF"/>
        </w:rPr>
      </w:pPr>
      <w:r>
        <w:rPr>
          <w:rFonts w:hint="eastAsia" w:ascii="黑体" w:hAnsi="宋体" w:eastAsia="黑体" w:cs="黑体"/>
          <w:color w:val="auto"/>
          <w:kern w:val="0"/>
          <w:sz w:val="32"/>
          <w:szCs w:val="32"/>
          <w:shd w:val="clear" w:color="auto" w:fill="FFFFFF"/>
          <w:lang w:val="en-US" w:eastAsia="zh-CN" w:bidi="ar"/>
        </w:rPr>
        <w:t>一、部门（单位）概况</w:t>
      </w:r>
    </w:p>
    <w:p>
      <w:pPr>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壤塘县红十字会</w:t>
      </w:r>
      <w:r>
        <w:rPr>
          <w:rFonts w:hint="eastAsia" w:ascii="仿宋_GB2312" w:hAnsi="仿宋_GB2312" w:eastAsia="仿宋_GB2312" w:cs="仿宋_GB2312"/>
          <w:color w:val="auto"/>
          <w:sz w:val="32"/>
          <w:szCs w:val="32"/>
        </w:rPr>
        <w:t>机构性质：</w:t>
      </w:r>
      <w:r>
        <w:rPr>
          <w:rFonts w:hint="eastAsia" w:ascii="仿宋_GB2312" w:hAnsi="仿宋_GB2312" w:eastAsia="仿宋_GB2312" w:cs="仿宋_GB2312"/>
          <w:color w:val="auto"/>
          <w:sz w:val="32"/>
          <w:szCs w:val="32"/>
          <w:lang w:val="en-US" w:eastAsia="zh-CN"/>
        </w:rPr>
        <w:t>参照公务员管理事业单位</w:t>
      </w:r>
      <w:r>
        <w:rPr>
          <w:rFonts w:hint="eastAsia" w:ascii="仿宋_GB2312" w:hAnsi="仿宋_GB2312" w:eastAsia="仿宋_GB2312" w:cs="仿宋_GB2312"/>
          <w:color w:val="auto"/>
          <w:sz w:val="32"/>
          <w:szCs w:val="32"/>
        </w:rPr>
        <w:t>，机构地址：</w:t>
      </w:r>
      <w:r>
        <w:rPr>
          <w:rFonts w:hint="eastAsia" w:ascii="仿宋_GB2312" w:hAnsi="仿宋_GB2312" w:eastAsia="仿宋_GB2312" w:cs="仿宋_GB2312"/>
          <w:color w:val="auto"/>
          <w:sz w:val="32"/>
          <w:szCs w:val="32"/>
          <w:lang w:eastAsia="zh-CN"/>
        </w:rPr>
        <w:t>四川省壤塘县</w:t>
      </w:r>
      <w:r>
        <w:rPr>
          <w:rFonts w:hint="eastAsia" w:ascii="仿宋_GB2312" w:hAnsi="仿宋_GB2312" w:eastAsia="仿宋_GB2312" w:cs="仿宋_GB2312"/>
          <w:color w:val="auto"/>
          <w:sz w:val="32"/>
          <w:szCs w:val="32"/>
          <w:lang w:val="en-US" w:eastAsia="zh-CN"/>
        </w:rPr>
        <w:t>壤柯镇罗吾塘藏街118号</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负责人：</w:t>
      </w:r>
      <w:r>
        <w:rPr>
          <w:rFonts w:hint="eastAsia" w:ascii="仿宋_GB2312" w:hAnsi="仿宋_GB2312" w:eastAsia="仿宋_GB2312" w:cs="仿宋_GB2312"/>
          <w:color w:val="auto"/>
          <w:sz w:val="32"/>
          <w:szCs w:val="32"/>
          <w:lang w:val="en-US" w:eastAsia="zh-CN"/>
        </w:rPr>
        <w:t>格西彭措。</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default" w:ascii="仿宋_GB2312" w:hAnsi="宋体" w:eastAsia="仿宋_GB2312" w:cs="宋体"/>
          <w:color w:val="auto"/>
          <w:kern w:val="0"/>
          <w:sz w:val="32"/>
          <w:szCs w:val="32"/>
          <w:shd w:val="clear" w:color="auto" w:fill="FFFFFF"/>
        </w:rPr>
      </w:pPr>
      <w:r>
        <w:rPr>
          <w:rFonts w:hint="default" w:ascii="仿宋_GB2312" w:hAnsi="宋体" w:eastAsia="仿宋_GB2312" w:cs="仿宋_GB2312"/>
          <w:color w:val="auto"/>
          <w:kern w:val="0"/>
          <w:sz w:val="32"/>
          <w:szCs w:val="32"/>
          <w:shd w:val="clear" w:color="auto" w:fill="FFFFFF"/>
          <w:lang w:val="en-US" w:eastAsia="zh-CN" w:bidi="ar"/>
        </w:rPr>
        <w:t>（一）机构组成</w:t>
      </w:r>
    </w:p>
    <w:p>
      <w:pPr>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壤塘县红十字会</w:t>
      </w:r>
      <w:r>
        <w:rPr>
          <w:rFonts w:hint="eastAsia" w:ascii="仿宋_GB2312" w:hAnsi="仿宋_GB2312" w:eastAsia="仿宋_GB2312" w:cs="仿宋_GB2312"/>
          <w:color w:val="auto"/>
          <w:sz w:val="32"/>
          <w:szCs w:val="32"/>
          <w:lang w:val="en-US" w:eastAsia="zh-CN"/>
        </w:rPr>
        <w:t>共</w:t>
      </w:r>
      <w:r>
        <w:rPr>
          <w:rFonts w:hint="eastAsia" w:ascii="仿宋_GB2312" w:hAnsi="仿宋_GB2312" w:eastAsia="仿宋_GB2312" w:cs="仿宋_GB2312"/>
          <w:color w:val="auto"/>
          <w:sz w:val="32"/>
          <w:szCs w:val="32"/>
        </w:rPr>
        <w:t>有</w:t>
      </w:r>
      <w:r>
        <w:rPr>
          <w:rFonts w:hint="eastAsia" w:ascii="仿宋_GB2312" w:hAnsi="仿宋_GB2312" w:eastAsia="仿宋_GB2312" w:cs="仿宋_GB2312"/>
          <w:color w:val="auto"/>
          <w:sz w:val="32"/>
          <w:szCs w:val="32"/>
          <w:lang w:val="en-US" w:eastAsia="zh-CN"/>
        </w:rPr>
        <w:t>2个股室，分别为综合办公室及赈济部</w:t>
      </w:r>
      <w:r>
        <w:rPr>
          <w:rFonts w:hint="eastAsia" w:ascii="仿宋_GB2312" w:hAnsi="仿宋_GB2312" w:eastAsia="仿宋_GB2312" w:cs="仿宋_GB2312"/>
          <w:color w:val="auto"/>
          <w:sz w:val="32"/>
          <w:szCs w:val="32"/>
        </w:rPr>
        <w:t>。</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eastAsia" w:ascii="Calibri" w:hAnsi="Calibri"/>
          <w:color w:val="auto"/>
          <w:szCs w:val="22"/>
        </w:rPr>
      </w:pPr>
      <w:r>
        <w:rPr>
          <w:rFonts w:hint="default" w:ascii="仿宋_GB2312" w:hAnsi="宋体" w:eastAsia="仿宋_GB2312" w:cs="仿宋_GB2312"/>
          <w:color w:val="auto"/>
          <w:kern w:val="0"/>
          <w:sz w:val="32"/>
          <w:szCs w:val="32"/>
          <w:shd w:val="clear" w:color="auto" w:fill="FFFFFF"/>
          <w:lang w:val="en-US" w:eastAsia="zh-CN" w:bidi="ar"/>
        </w:rPr>
        <w:t>（二）机构职能</w:t>
      </w:r>
    </w:p>
    <w:p>
      <w:pPr>
        <w:keepNext w:val="0"/>
        <w:keepLines w:val="0"/>
        <w:pageBreakBefore w:val="0"/>
        <w:widowControl w:val="0"/>
        <w:kinsoku/>
        <w:wordWrap/>
        <w:overflowPunct/>
        <w:topLinePunct w:val="0"/>
        <w:autoSpaceDE/>
        <w:autoSpaceDN/>
        <w:bidi w:val="0"/>
        <w:adjustRightInd w:val="0"/>
        <w:snapToGrid w:val="0"/>
        <w:spacing w:before="93" w:after="120" w:line="600" w:lineRule="exact"/>
        <w:ind w:firstLine="640" w:firstLineChars="200"/>
        <w:jc w:val="both"/>
        <w:textAlignment w:val="auto"/>
        <w:outlineLvl w:val="2"/>
        <w:rPr>
          <w:rFonts w:hint="eastAsia" w:ascii="仿宋" w:hAnsi="仿宋" w:eastAsia="仿宋" w:cs="Times New Roman"/>
          <w:bCs/>
          <w:color w:val="auto"/>
          <w:kern w:val="0"/>
          <w:sz w:val="32"/>
          <w:szCs w:val="32"/>
          <w:lang w:val="zh-CN" w:eastAsia="zh-CN" w:bidi="ar-SA"/>
        </w:rPr>
      </w:pPr>
      <w:r>
        <w:rPr>
          <w:rFonts w:hint="eastAsia" w:ascii="仿宋" w:hAnsi="仿宋" w:eastAsia="仿宋" w:cs="Times New Roman"/>
          <w:bCs/>
          <w:color w:val="auto"/>
          <w:kern w:val="0"/>
          <w:sz w:val="32"/>
          <w:szCs w:val="32"/>
          <w:lang w:val="zh-CN" w:eastAsia="zh-CN" w:bidi="ar-SA"/>
        </w:rPr>
        <w:t>红十字会的职能是传播国际红十字运动知识和国际人道法；宣传、执行《中华人民共和国红十字会法》、《中华人民共和国红十字标志使用办法》等法律</w:t>
      </w:r>
      <w:bookmarkStart w:id="133" w:name="_GoBack"/>
      <w:bookmarkEnd w:id="133"/>
      <w:r>
        <w:rPr>
          <w:rFonts w:hint="eastAsia" w:ascii="仿宋" w:hAnsi="仿宋" w:eastAsia="仿宋" w:cs="Times New Roman"/>
          <w:bCs/>
          <w:color w:val="auto"/>
          <w:kern w:val="0"/>
          <w:sz w:val="32"/>
          <w:szCs w:val="32"/>
          <w:lang w:val="zh-CN" w:eastAsia="zh-CN" w:bidi="ar-SA"/>
        </w:rPr>
        <w:t>、法规。开展备灾救灾工作，在自然灾害和突发事件中，开展对受害者的救助和帮助。开展人道领域内的社区服务、社会公益服务活动即卫生救护、防病常识的宣传和普及。开展艾滋病预防及吸毒危害的宣传教育工作，提高公民自我防护意识和能力。组织会员、志愿工作者开展社会服务活动。参与本地区的医疗服务救助工作和扶贫助学工作。开展红十字会品牌项目活动，积极推动“三救、三献”工作。依照国际红十字会和红新月的基本原则，完成上级红会及县委县人民政府委托的其他事项。</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eastAsia" w:ascii="仿宋" w:hAnsi="仿宋" w:eastAsia="仿宋" w:cs="Times New Roman"/>
          <w:bCs/>
          <w:color w:val="auto"/>
          <w:kern w:val="0"/>
          <w:sz w:val="32"/>
          <w:szCs w:val="32"/>
          <w:lang w:val="zh-CN" w:eastAsia="zh-CN" w:bidi="ar-SA"/>
        </w:rPr>
      </w:pPr>
      <w:r>
        <w:rPr>
          <w:rFonts w:hint="default" w:ascii="仿宋_GB2312" w:hAnsi="宋体" w:eastAsia="仿宋_GB2312" w:cs="仿宋_GB2312"/>
          <w:color w:val="auto"/>
          <w:kern w:val="0"/>
          <w:sz w:val="32"/>
          <w:szCs w:val="32"/>
          <w:shd w:val="clear" w:color="auto" w:fill="FFFFFF"/>
          <w:lang w:val="en-US" w:eastAsia="zh-CN" w:bidi="ar"/>
        </w:rPr>
        <w:t>（三）人员概况</w:t>
      </w:r>
    </w:p>
    <w:p>
      <w:pPr>
        <w:ind w:firstLine="800" w:firstLineChars="250"/>
        <w:jc w:val="both"/>
        <w:rPr>
          <w:rFonts w:hint="default" w:ascii="仿宋_GB2312" w:hAnsi="仿宋_GB2312" w:eastAsia="仿宋_GB2312" w:cs="仿宋_GB2312"/>
          <w:color w:val="auto"/>
          <w:sz w:val="32"/>
          <w:szCs w:val="32"/>
          <w:shd w:val="clear" w:color="auto" w:fill="auto"/>
          <w:lang w:val="en-US" w:eastAsia="zh-CN"/>
        </w:rPr>
      </w:pPr>
      <w:r>
        <w:rPr>
          <w:rFonts w:hint="eastAsia" w:ascii="仿宋_GB2312" w:hAnsi="宋体" w:eastAsia="仿宋_GB2312" w:cs="仿宋_GB2312"/>
          <w:color w:val="auto"/>
          <w:kern w:val="0"/>
          <w:sz w:val="32"/>
          <w:szCs w:val="32"/>
          <w:lang w:eastAsia="zh-CN"/>
        </w:rPr>
        <w:t>人员情况：</w:t>
      </w:r>
      <w:r>
        <w:rPr>
          <w:rFonts w:hint="eastAsia" w:ascii="仿宋_GB2312" w:hAnsi="宋体" w:eastAsia="仿宋_GB2312" w:cs="仿宋_GB2312"/>
          <w:color w:val="auto"/>
          <w:kern w:val="0"/>
          <w:sz w:val="32"/>
          <w:szCs w:val="32"/>
        </w:rPr>
        <w:t>总编制</w:t>
      </w:r>
      <w:r>
        <w:rPr>
          <w:rFonts w:hint="eastAsia" w:ascii="仿宋_GB2312" w:hAnsi="宋体" w:eastAsia="仿宋_GB2312" w:cs="仿宋_GB2312"/>
          <w:color w:val="auto"/>
          <w:kern w:val="0"/>
          <w:sz w:val="32"/>
          <w:szCs w:val="32"/>
          <w:lang w:val="en-US" w:eastAsia="zh-CN"/>
        </w:rPr>
        <w:t>5</w:t>
      </w:r>
      <w:r>
        <w:rPr>
          <w:rFonts w:hint="eastAsia" w:ascii="仿宋_GB2312" w:hAnsi="宋体" w:eastAsia="仿宋_GB2312" w:cs="仿宋_GB2312"/>
          <w:color w:val="auto"/>
          <w:kern w:val="0"/>
          <w:sz w:val="32"/>
          <w:szCs w:val="32"/>
        </w:rPr>
        <w:t>名</w:t>
      </w:r>
      <w:r>
        <w:rPr>
          <w:rFonts w:ascii="仿宋_GB2312" w:hAnsi="宋体" w:eastAsia="仿宋_GB2312" w:cs="仿宋_GB2312"/>
          <w:color w:val="auto"/>
          <w:kern w:val="0"/>
          <w:sz w:val="32"/>
          <w:szCs w:val="32"/>
        </w:rPr>
        <w:t>,</w:t>
      </w:r>
      <w:r>
        <w:rPr>
          <w:rFonts w:hint="eastAsia" w:ascii="仿宋_GB2312" w:hAnsi="宋体" w:eastAsia="仿宋_GB2312" w:cs="仿宋_GB2312"/>
          <w:color w:val="auto"/>
          <w:kern w:val="0"/>
          <w:sz w:val="32"/>
          <w:szCs w:val="32"/>
        </w:rPr>
        <w:t>其中</w:t>
      </w:r>
      <w:r>
        <w:rPr>
          <w:rFonts w:ascii="仿宋_GB2312" w:hAnsi="宋体" w:eastAsia="仿宋_GB2312" w:cs="仿宋_GB2312"/>
          <w:color w:val="auto"/>
          <w:kern w:val="0"/>
          <w:sz w:val="32"/>
          <w:szCs w:val="32"/>
        </w:rPr>
        <w:t>:</w:t>
      </w:r>
      <w:r>
        <w:rPr>
          <w:rFonts w:hint="eastAsia" w:ascii="仿宋_GB2312" w:hAnsi="仿宋_GB2312" w:eastAsia="仿宋_GB2312" w:cs="仿宋_GB2312"/>
          <w:color w:val="auto"/>
          <w:sz w:val="32"/>
          <w:szCs w:val="32"/>
          <w:shd w:val="clear" w:color="auto" w:fill="auto"/>
          <w:lang w:val="en-US" w:eastAsia="zh-CN"/>
        </w:rPr>
        <w:t>公务员3人，事业工勤1人。</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eastAsia" w:ascii="黑体" w:hAnsi="宋体" w:eastAsia="黑体" w:cs="黑体"/>
          <w:color w:val="auto"/>
          <w:kern w:val="0"/>
          <w:sz w:val="32"/>
          <w:szCs w:val="32"/>
          <w:shd w:val="clear" w:color="auto" w:fill="FFFFFF"/>
          <w:lang w:val="en-US" w:eastAsia="zh-CN" w:bidi="ar"/>
        </w:rPr>
      </w:pPr>
      <w:r>
        <w:rPr>
          <w:rFonts w:hint="eastAsia" w:ascii="黑体" w:hAnsi="宋体" w:eastAsia="黑体" w:cs="黑体"/>
          <w:color w:val="auto"/>
          <w:kern w:val="0"/>
          <w:sz w:val="32"/>
          <w:szCs w:val="32"/>
          <w:shd w:val="clear" w:color="auto" w:fill="FFFFFF"/>
          <w:lang w:val="en-US" w:eastAsia="zh-CN" w:bidi="ar"/>
        </w:rPr>
        <w:t>二、部门财政资金收支情况</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（一）部门财政资金收入情况</w:t>
      </w:r>
    </w:p>
    <w:p>
      <w:pPr>
        <w:widowControl w:val="0"/>
        <w:spacing w:line="360" w:lineRule="auto"/>
        <w:ind w:firstLine="640" w:firstLineChars="200"/>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2023年财政下达壤塘县红十字会年初预算收入88.32万元，执行期中追加收入36.6万元，本年度总收入合计124.92万元，本年度无结转结余。</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eastAsia"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（二）部门财政资金支出情况</w:t>
      </w:r>
      <w:r>
        <w:rPr>
          <w:rFonts w:hint="eastAsia" w:ascii="仿宋_GB2312" w:hAnsi="仿宋_GB2312" w:eastAsia="仿宋_GB2312" w:cs="仿宋_GB2312"/>
          <w:color w:val="auto"/>
          <w:kern w:val="2"/>
          <w:sz w:val="32"/>
          <w:szCs w:val="32"/>
          <w:lang w:val="en-US" w:eastAsia="zh-CN" w:bidi="ar-SA"/>
        </w:rPr>
        <w:t xml:space="preserve"> </w:t>
      </w:r>
    </w:p>
    <w:p>
      <w:pPr>
        <w:widowControl w:val="0"/>
        <w:spacing w:line="360" w:lineRule="auto"/>
        <w:ind w:firstLine="640" w:firstLineChars="200"/>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2023年壤塘县红十字会共计预算支出124.92万元，基本支出105.82万元，项目支出10.89万元。</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eastAsia" w:ascii="黑体" w:hAnsi="宋体" w:eastAsia="黑体" w:cs="宋体"/>
          <w:color w:val="auto"/>
          <w:kern w:val="0"/>
          <w:sz w:val="32"/>
          <w:szCs w:val="32"/>
          <w:shd w:val="clear" w:color="auto" w:fill="FFFFFF"/>
        </w:rPr>
      </w:pPr>
      <w:r>
        <w:rPr>
          <w:rFonts w:hint="eastAsia" w:ascii="黑体" w:hAnsi="宋体" w:eastAsia="黑体" w:cs="黑体"/>
          <w:color w:val="auto"/>
          <w:kern w:val="0"/>
          <w:sz w:val="32"/>
          <w:szCs w:val="32"/>
          <w:shd w:val="clear" w:color="auto" w:fill="FFFFFF"/>
          <w:lang w:val="en-US" w:eastAsia="zh-CN" w:bidi="ar"/>
        </w:rPr>
        <w:t>三、部门整体预算绩效管理情况</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default" w:ascii="仿宋_GB2312" w:hAnsi="宋体" w:eastAsia="仿宋_GB2312" w:cs="宋体"/>
          <w:color w:val="auto"/>
          <w:kern w:val="0"/>
          <w:sz w:val="32"/>
          <w:szCs w:val="32"/>
          <w:shd w:val="clear" w:color="auto" w:fill="FFFFFF"/>
        </w:rPr>
      </w:pPr>
      <w:r>
        <w:rPr>
          <w:rFonts w:hint="default" w:ascii="仿宋_GB2312" w:hAnsi="宋体" w:eastAsia="仿宋_GB2312" w:cs="仿宋_GB2312"/>
          <w:color w:val="auto"/>
          <w:kern w:val="0"/>
          <w:sz w:val="32"/>
          <w:szCs w:val="32"/>
          <w:shd w:val="clear" w:color="auto" w:fill="FFFFFF"/>
          <w:lang w:val="en-US" w:eastAsia="zh-CN" w:bidi="ar"/>
        </w:rPr>
        <w:t>（一）部门预算管理</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default" w:ascii="仿宋_GB2312" w:hAnsi="宋体" w:eastAsia="仿宋_GB2312" w:cs="仿宋_GB2312"/>
          <w:color w:val="auto"/>
          <w:kern w:val="0"/>
          <w:sz w:val="32"/>
          <w:szCs w:val="32"/>
          <w:shd w:val="clear" w:color="auto" w:fill="FFFFFF"/>
          <w:lang w:val="en-US" w:eastAsia="zh-CN" w:bidi="ar"/>
        </w:rPr>
      </w:pPr>
      <w:r>
        <w:rPr>
          <w:rFonts w:hint="default" w:ascii="仿宋_GB2312" w:hAnsi="宋体" w:eastAsia="仿宋_GB2312" w:cs="仿宋_GB2312"/>
          <w:color w:val="auto"/>
          <w:kern w:val="0"/>
          <w:sz w:val="32"/>
          <w:szCs w:val="32"/>
          <w:shd w:val="clear" w:color="auto" w:fill="FFFFFF"/>
          <w:lang w:val="en-US" w:eastAsia="zh-CN" w:bidi="ar"/>
        </w:rPr>
        <w:t>1、部门绩效目标制定情况</w:t>
      </w:r>
    </w:p>
    <w:p>
      <w:pPr>
        <w:widowControl w:val="0"/>
        <w:spacing w:after="120"/>
        <w:ind w:firstLine="640" w:firstLineChars="200"/>
        <w:jc w:val="both"/>
        <w:rPr>
          <w:rFonts w:hint="default" w:ascii="Calibri" w:hAnsi="Calibri" w:eastAsia="宋体" w:cs="Times New Roman"/>
          <w:color w:val="auto"/>
          <w:kern w:val="2"/>
          <w:sz w:val="21"/>
          <w:szCs w:val="22"/>
          <w:lang w:val="en-US" w:eastAsia="zh-CN" w:bidi="ar-SA"/>
        </w:rPr>
      </w:pPr>
      <w:r>
        <w:rPr>
          <w:rFonts w:hint="eastAsia" w:ascii="仿宋_GB2312" w:hAnsi="仿宋_GB2312" w:eastAsia="仿宋_GB2312" w:cs="仿宋_GB2312"/>
          <w:color w:val="auto"/>
          <w:kern w:val="2"/>
          <w:sz w:val="32"/>
          <w:szCs w:val="32"/>
          <w:lang w:val="en-US" w:eastAsia="zh-CN" w:bidi="ar-SA"/>
        </w:rPr>
        <w:t>按照预算绩效管理要求，本部门对2023年一般公共预算项目支出开展了绩效目标管理，共编制绩效目标覆盖率达到100%。我会制定了20223年整体目标：我会在县委、县政府的正确领导下，在州红十字会的指导下，开拓创新、履职尽责，积极开展救助、救护、三献实施等工作，发挥党委政府在人道领域的助手和桥梁纽带作用。</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eastAsia" w:ascii="仿宋_GB2312" w:hAnsi="仿宋_GB2312" w:eastAsia="仿宋_GB2312" w:cs="仿宋_GB2312"/>
          <w:b/>
          <w:bCs/>
          <w:color w:val="auto"/>
          <w:kern w:val="0"/>
          <w:sz w:val="32"/>
          <w:szCs w:val="32"/>
        </w:rPr>
      </w:pPr>
      <w:r>
        <w:rPr>
          <w:rFonts w:hint="default" w:ascii="仿宋_GB2312" w:hAnsi="宋体" w:eastAsia="仿宋_GB2312" w:cs="仿宋_GB2312"/>
          <w:color w:val="auto"/>
          <w:kern w:val="0"/>
          <w:sz w:val="32"/>
          <w:szCs w:val="32"/>
          <w:shd w:val="clear" w:color="auto" w:fill="FFFFFF"/>
          <w:lang w:val="en-US" w:eastAsia="zh-CN" w:bidi="ar"/>
        </w:rPr>
        <w:t>2、目标完成情况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2" w:firstLineChars="200"/>
        <w:jc w:val="both"/>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加强思想政治建设，筑牢理想信念之基。</w:t>
      </w:r>
      <w:r>
        <w:rPr>
          <w:rFonts w:hint="eastAsia" w:ascii="仿宋_GB2312" w:hAnsi="仿宋_GB2312" w:eastAsia="仿宋_GB2312" w:cs="仿宋_GB2312"/>
          <w:b/>
          <w:bCs/>
          <w:color w:val="auto"/>
          <w:kern w:val="2"/>
          <w:sz w:val="32"/>
          <w:szCs w:val="32"/>
          <w:lang w:val="en-US" w:eastAsia="zh-CN" w:bidi="ar-SA"/>
        </w:rPr>
        <w:t>一是</w:t>
      </w:r>
      <w:r>
        <w:rPr>
          <w:rFonts w:hint="eastAsia" w:ascii="仿宋_GB2312" w:hAnsi="仿宋_GB2312" w:eastAsia="仿宋_GB2312" w:cs="仿宋_GB2312"/>
          <w:b w:val="0"/>
          <w:bCs w:val="0"/>
          <w:color w:val="auto"/>
          <w:kern w:val="2"/>
          <w:sz w:val="32"/>
          <w:szCs w:val="32"/>
          <w:lang w:val="en-US" w:eastAsia="zh-CN" w:bidi="ar-SA"/>
        </w:rPr>
        <w:t>加强理论学习，提高政治素养。认真制定群团联合党支部学习计划，严格落实“第一议题”学习制度。自8月份成立群团联合党支部以来共集中学习5次，支部开展专题研讨1次，开展群众性主题宣教活动5次，组织党员干部专题培训1次，通过学习党员干部理论修养不断提升，政治意识、大局意识明显增强；</w:t>
      </w:r>
      <w:r>
        <w:rPr>
          <w:rFonts w:hint="eastAsia" w:ascii="仿宋_GB2312" w:hAnsi="仿宋_GB2312" w:eastAsia="仿宋_GB2312" w:cs="仿宋_GB2312"/>
          <w:b/>
          <w:bCs/>
          <w:color w:val="auto"/>
          <w:kern w:val="2"/>
          <w:sz w:val="32"/>
          <w:szCs w:val="32"/>
          <w:lang w:val="en-US" w:eastAsia="zh-CN" w:bidi="ar-SA"/>
        </w:rPr>
        <w:t>二是</w:t>
      </w:r>
      <w:r>
        <w:rPr>
          <w:rFonts w:hint="eastAsia" w:ascii="仿宋_GB2312" w:hAnsi="仿宋_GB2312" w:eastAsia="仿宋_GB2312" w:cs="仿宋_GB2312"/>
          <w:b w:val="0"/>
          <w:bCs w:val="0"/>
          <w:color w:val="auto"/>
          <w:kern w:val="2"/>
          <w:sz w:val="32"/>
          <w:szCs w:val="32"/>
          <w:lang w:val="en-US" w:eastAsia="zh-CN" w:bidi="ar-SA"/>
        </w:rPr>
        <w:t>加强支部建设，提高支部凝聚力、战斗力</w:t>
      </w:r>
      <w:r>
        <w:rPr>
          <w:rFonts w:hint="eastAsia" w:ascii="仿宋_GB2312" w:hAnsi="仿宋_GB2312" w:eastAsia="仿宋_GB2312" w:cs="仿宋_GB2312"/>
          <w:b w:val="0"/>
          <w:bCs w:val="0"/>
          <w:color w:val="0000FF"/>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进一步规范“三会一课”、组织生活会、民主评议党员、主题党日等制度，切实做到抓在经常严在日常。共开展主题党日活动5次，召开党员大会2次，书记讲党课2次，通过学习，使广大党员干部理论修养不断提升，政治意识、大局意识明显增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2" w:firstLineChars="200"/>
        <w:jc w:val="both"/>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加强能力作风建设，提升拒腐防变抵抗力。</w:t>
      </w:r>
      <w:r>
        <w:rPr>
          <w:rFonts w:hint="eastAsia" w:ascii="仿宋_GB2312" w:hAnsi="仿宋_GB2312" w:eastAsia="仿宋_GB2312" w:cs="仿宋_GB2312"/>
          <w:b w:val="0"/>
          <w:bCs w:val="0"/>
          <w:color w:val="auto"/>
          <w:kern w:val="2"/>
          <w:sz w:val="32"/>
          <w:szCs w:val="32"/>
          <w:lang w:val="en-US" w:eastAsia="zh-CN" w:bidi="ar-SA"/>
        </w:rPr>
        <w:t>制定2023年党风廉政建设工作实施方案，坚持对标对表找差距，时刻提醒全体党员干部管得住“手”，封得住“口”，经得起诱惑，保得住名节。认领科级干部领办实事2个，已全部落实到位，召开党风廉政专题会议4次，层层开展廉政谈话5人次，观看警示教育片2次，撰写警示教育心得体会5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2" w:firstLineChars="200"/>
        <w:jc w:val="both"/>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坚持不懈抓好意识形态工作。</w:t>
      </w:r>
      <w:r>
        <w:rPr>
          <w:rFonts w:hint="eastAsia" w:ascii="仿宋_GB2312" w:hAnsi="仿宋_GB2312" w:eastAsia="仿宋_GB2312" w:cs="仿宋_GB2312"/>
          <w:b w:val="0"/>
          <w:bCs w:val="0"/>
          <w:color w:val="auto"/>
          <w:kern w:val="2"/>
          <w:sz w:val="32"/>
          <w:szCs w:val="32"/>
          <w:lang w:val="en-US" w:eastAsia="zh-CN" w:bidi="ar-SA"/>
        </w:rPr>
        <w:t>强化理论学习，将意识形态工作纳入红十字会整体工作布局中来，严格落实“第一议题”制度。</w:t>
      </w:r>
      <w:r>
        <w:rPr>
          <w:rFonts w:hint="eastAsia" w:ascii="仿宋_GB2312" w:hAnsi="仿宋_GB2312" w:eastAsia="仿宋_GB2312" w:cs="仿宋_GB2312"/>
          <w:b/>
          <w:bCs/>
          <w:color w:val="auto"/>
          <w:kern w:val="2"/>
          <w:sz w:val="32"/>
          <w:szCs w:val="32"/>
          <w:lang w:val="en-US" w:eastAsia="zh-CN" w:bidi="ar-SA"/>
        </w:rPr>
        <w:t>一是</w:t>
      </w:r>
      <w:r>
        <w:rPr>
          <w:rFonts w:hint="eastAsia" w:ascii="仿宋_GB2312" w:hAnsi="仿宋_GB2312" w:eastAsia="仿宋_GB2312" w:cs="仿宋_GB2312"/>
          <w:b w:val="0"/>
          <w:bCs w:val="0"/>
          <w:color w:val="auto"/>
          <w:kern w:val="2"/>
          <w:sz w:val="32"/>
          <w:szCs w:val="32"/>
          <w:lang w:val="en-US" w:eastAsia="zh-CN" w:bidi="ar-SA"/>
        </w:rPr>
        <w:t>重点学习习近平总书记关于意识形态重要讲话精神、习近平新时代中国特色社会主义思想、党的二十大精神等内容，在思想上、政治上、行动上同以习近平同志为核心的党中央保持高度一致，进一步推动党员干部增强“四个意识”、坚定“四个自信”、做到“两个维护”；</w:t>
      </w:r>
      <w:r>
        <w:rPr>
          <w:rFonts w:hint="eastAsia" w:ascii="仿宋_GB2312" w:hAnsi="仿宋_GB2312" w:eastAsia="仿宋_GB2312" w:cs="仿宋_GB2312"/>
          <w:b/>
          <w:bCs/>
          <w:color w:val="auto"/>
          <w:kern w:val="2"/>
          <w:sz w:val="32"/>
          <w:szCs w:val="32"/>
          <w:lang w:val="en-US" w:eastAsia="zh-CN" w:bidi="ar-SA"/>
        </w:rPr>
        <w:t>二是</w:t>
      </w:r>
      <w:r>
        <w:rPr>
          <w:rFonts w:hint="eastAsia" w:ascii="仿宋_GB2312" w:hAnsi="仿宋_GB2312" w:eastAsia="仿宋_GB2312" w:cs="仿宋_GB2312"/>
          <w:b w:val="0"/>
          <w:bCs w:val="0"/>
          <w:color w:val="auto"/>
          <w:kern w:val="2"/>
          <w:sz w:val="32"/>
          <w:szCs w:val="32"/>
          <w:lang w:val="en-US" w:eastAsia="zh-CN" w:bidi="ar-SA"/>
        </w:rPr>
        <w:t>定期进行意识形态风险研判，严格落实意识形态工作责任制，共进行意识形态风险研判12次，排查风险点0处。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2" w:firstLineChars="200"/>
        <w:jc w:val="both"/>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提高政治站位，精心组织主题教育走深走实。</w:t>
      </w:r>
      <w:r>
        <w:rPr>
          <w:rFonts w:hint="eastAsia" w:ascii="仿宋_GB2312" w:hAnsi="仿宋_GB2312" w:eastAsia="仿宋_GB2312" w:cs="仿宋_GB2312"/>
          <w:kern w:val="2"/>
          <w:sz w:val="32"/>
          <w:szCs w:val="32"/>
          <w:lang w:val="en-US" w:eastAsia="zh-CN" w:bidi="ar-SA"/>
        </w:rPr>
        <w:t>主题教育启动后，群团联合党支部第一时间组织学习领会主题教育要求，成立领导小组和领导小组办公室，安排专职人员开展工作。召开专题会传达学习上级主题教育动员会精神。严格制定学习计划表，将《工作方案》中学习内容作为重点学习目录，先后开展中心组集中学习4次，支部书记讲党课2次，发放学习资料20余份。支部利用开展主题教育深化队伍理论武装的大课堂、铸牢政治忠诚的大历练，提升队伍能力本领的大课堂、强化政治担当的大历练，推进队伍自我革命的大课堂、永葆政治本色的大历练，把主题教育融入抓班子带队伍、促改革谋发展、防风险保平安的各环节全过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2" w:firstLineChars="200"/>
        <w:jc w:val="both"/>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打造红十字宣传基地，使红十字事业不断深入人心。</w:t>
      </w:r>
      <w:r>
        <w:rPr>
          <w:rFonts w:hint="eastAsia" w:ascii="仿宋_GB2312" w:hAnsi="仿宋_GB2312" w:eastAsia="仿宋_GB2312" w:cs="仿宋_GB2312"/>
          <w:b w:val="0"/>
          <w:bCs w:val="0"/>
          <w:color w:val="auto"/>
          <w:kern w:val="2"/>
          <w:sz w:val="32"/>
          <w:szCs w:val="32"/>
          <w:lang w:val="en-US" w:eastAsia="zh-CN" w:bidi="ar-SA"/>
        </w:rPr>
        <w:t>为切实提高红十字会的社会知晓率和认知度，进一步提高全民参与红十字事业的自觉性和积极性，凝聚更多的人道力量，壤塘县红十字会采取多种形式，全力推进宣传工作。</w:t>
      </w:r>
      <w:r>
        <w:rPr>
          <w:rFonts w:hint="eastAsia" w:ascii="仿宋_GB2312" w:hAnsi="仿宋_GB2312" w:eastAsia="仿宋_GB2312" w:cs="仿宋_GB2312"/>
          <w:b/>
          <w:bCs/>
          <w:color w:val="auto"/>
          <w:kern w:val="2"/>
          <w:sz w:val="32"/>
          <w:szCs w:val="32"/>
          <w:lang w:val="en-US" w:eastAsia="zh-CN" w:bidi="ar-SA"/>
        </w:rPr>
        <w:t>一是</w:t>
      </w:r>
      <w:r>
        <w:rPr>
          <w:rFonts w:hint="eastAsia" w:ascii="仿宋_GB2312" w:hAnsi="仿宋_GB2312" w:eastAsia="仿宋_GB2312" w:cs="仿宋_GB2312"/>
          <w:b w:val="0"/>
          <w:bCs w:val="0"/>
          <w:color w:val="auto"/>
          <w:kern w:val="2"/>
          <w:sz w:val="32"/>
          <w:szCs w:val="32"/>
          <w:lang w:val="en-US" w:eastAsia="zh-CN" w:bidi="ar-SA"/>
        </w:rPr>
        <w:t>扎实开展各种宣传日活动。依托“5.8”世界红十字日、世界急救日、“12.1”世界爱滋病宣传日、无偿献血日及各种大型节会，积极开展红十字应急救护知识进机关、进学校、进社区活动；</w:t>
      </w:r>
      <w:r>
        <w:rPr>
          <w:rFonts w:hint="eastAsia" w:ascii="仿宋_GB2312" w:hAnsi="仿宋_GB2312" w:eastAsia="仿宋_GB2312" w:cs="仿宋_GB2312"/>
          <w:b/>
          <w:bCs/>
          <w:color w:val="auto"/>
          <w:kern w:val="2"/>
          <w:sz w:val="32"/>
          <w:szCs w:val="32"/>
          <w:lang w:val="en-US" w:eastAsia="zh-CN" w:bidi="ar-SA"/>
        </w:rPr>
        <w:t>二是</w:t>
      </w:r>
      <w:r>
        <w:rPr>
          <w:rFonts w:hint="eastAsia" w:ascii="仿宋_GB2312" w:hAnsi="仿宋_GB2312" w:eastAsia="仿宋_GB2312" w:cs="仿宋_GB2312"/>
          <w:b w:val="0"/>
          <w:bCs w:val="0"/>
          <w:color w:val="auto"/>
          <w:kern w:val="2"/>
          <w:sz w:val="32"/>
          <w:szCs w:val="32"/>
          <w:lang w:val="en-US" w:eastAsia="zh-CN" w:bidi="ar-SA"/>
        </w:rPr>
        <w:t>以媒体为平台，大力营造舆论氛围。通过“微壤塘”“壤塘群团”等微信公众号，发布信息48条，提高群众对红十字工作的知晓率，搭建好党风廉政建设宣传新平台;通过多方面的宣传，取得了良好的社会效果，提高了广大公众对红十字工作认知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eastAsia" w:ascii="仿宋_GB2312" w:hAnsi="仿宋_GB2312" w:eastAsia="仿宋_GB2312" w:cs="仿宋_GB2312"/>
          <w:b w:val="0"/>
          <w:bCs w:val="0"/>
          <w:i w:val="0"/>
          <w:iCs w:val="0"/>
          <w:caps w:val="0"/>
          <w:color w:val="auto"/>
          <w:spacing w:val="8"/>
          <w:kern w:val="0"/>
          <w:sz w:val="32"/>
          <w:szCs w:val="32"/>
          <w:shd w:val="clear" w:color="auto" w:fill="FFFFFF"/>
          <w:lang w:val="en-US" w:eastAsia="zh-CN" w:bidi="ar"/>
        </w:rPr>
      </w:pPr>
      <w:r>
        <w:rPr>
          <w:rFonts w:hint="eastAsia" w:ascii="楷体_GB2312" w:hAnsi="楷体_GB2312" w:eastAsia="楷体_GB2312" w:cs="楷体_GB2312"/>
          <w:b/>
          <w:bCs/>
          <w:color w:val="auto"/>
          <w:kern w:val="2"/>
          <w:sz w:val="32"/>
          <w:szCs w:val="32"/>
          <w:lang w:val="en-US" w:eastAsia="zh-CN" w:bidi="ar-SA"/>
        </w:rPr>
        <w:t>汇聚人道力量，改善困难群众生活。</w:t>
      </w:r>
      <w:r>
        <w:rPr>
          <w:rFonts w:hint="eastAsia" w:ascii="仿宋_GB2312" w:hAnsi="仿宋_GB2312" w:eastAsia="仿宋_GB2312" w:cs="仿宋_GB2312"/>
          <w:b/>
          <w:bCs/>
          <w:color w:val="auto"/>
          <w:kern w:val="2"/>
          <w:sz w:val="32"/>
          <w:szCs w:val="32"/>
          <w:lang w:val="en-US" w:eastAsia="zh-CN" w:bidi="ar-SA"/>
        </w:rPr>
        <w:t>一是</w:t>
      </w:r>
      <w:r>
        <w:rPr>
          <w:rFonts w:hint="eastAsia" w:ascii="仿宋_GB2312" w:hAnsi="仿宋_GB2312" w:eastAsia="仿宋_GB2312" w:cs="仿宋_GB2312"/>
          <w:b w:val="0"/>
          <w:bCs w:val="0"/>
          <w:color w:val="auto"/>
          <w:kern w:val="2"/>
          <w:sz w:val="32"/>
          <w:szCs w:val="32"/>
          <w:lang w:val="en-US" w:eastAsia="zh-CN" w:bidi="ar-SA"/>
        </w:rPr>
        <w:t>深入开展“红十字博爱送万家”活动，把社会大家庭的温暖及时送到弱势群体当中。春节前夕，为我县环卫工人、社会孤儿、孤寡老人等特殊困难群众送去御寒棉被、衣物、鞋子等生活用品价值15万元的慰问物资，受益人数达2000余人；</w:t>
      </w:r>
      <w:r>
        <w:rPr>
          <w:rFonts w:hint="eastAsia" w:ascii="仿宋_GB2312" w:hAnsi="仿宋_GB2312" w:eastAsia="仿宋_GB2312" w:cs="仿宋_GB2312"/>
          <w:b/>
          <w:bCs/>
          <w:color w:val="auto"/>
          <w:kern w:val="2"/>
          <w:sz w:val="32"/>
          <w:szCs w:val="32"/>
          <w:lang w:val="en-US" w:eastAsia="zh-CN" w:bidi="ar-SA"/>
        </w:rPr>
        <w:t>二是</w:t>
      </w:r>
      <w:r>
        <w:rPr>
          <w:rFonts w:hint="eastAsia" w:ascii="仿宋_GB2312" w:hAnsi="仿宋_GB2312" w:eastAsia="仿宋_GB2312" w:cs="仿宋_GB2312"/>
          <w:b w:val="0"/>
          <w:bCs w:val="0"/>
          <w:color w:val="auto"/>
          <w:kern w:val="0"/>
          <w:sz w:val="32"/>
          <w:szCs w:val="32"/>
          <w:lang w:val="en-US" w:eastAsia="zh-CN" w:bidi="ar"/>
        </w:rPr>
        <w:t>认真实施助学、助病、助困、贫困母亲救助工作，发放人道救助金52.53万元 ；</w:t>
      </w:r>
      <w:r>
        <w:rPr>
          <w:rFonts w:hint="eastAsia" w:ascii="仿宋_GB2312" w:hAnsi="仿宋_GB2312" w:eastAsia="仿宋_GB2312" w:cs="仿宋_GB2312"/>
          <w:b/>
          <w:bCs/>
          <w:color w:val="auto"/>
          <w:kern w:val="0"/>
          <w:sz w:val="32"/>
          <w:szCs w:val="32"/>
          <w:lang w:val="en-US" w:eastAsia="zh-CN" w:bidi="ar"/>
        </w:rPr>
        <w:t>三是</w:t>
      </w:r>
      <w:r>
        <w:rPr>
          <w:rFonts w:hint="eastAsia" w:ascii="仿宋_GB2312" w:hAnsi="仿宋_GB2312" w:eastAsia="仿宋_GB2312" w:cs="仿宋_GB2312"/>
          <w:b w:val="0"/>
          <w:bCs w:val="0"/>
          <w:color w:val="auto"/>
          <w:kern w:val="0"/>
          <w:sz w:val="32"/>
          <w:szCs w:val="32"/>
          <w:lang w:val="en-US" w:eastAsia="zh-CN" w:bidi="ar"/>
        </w:rPr>
        <w:t>我会与中国红十字基金会、绵阳404医院合作，开展红十字系统“天使阳光”基金暨“小天使”项目，成功接受手术</w:t>
      </w:r>
      <w:r>
        <w:rPr>
          <w:rFonts w:hint="eastAsia" w:ascii="仿宋_GB2312" w:hAnsi="仿宋_GB2312" w:eastAsia="仿宋_GB2312" w:cs="仿宋_GB2312"/>
          <w:b w:val="0"/>
          <w:bCs w:val="0"/>
          <w:color w:val="auto"/>
          <w:kern w:val="0"/>
          <w:sz w:val="32"/>
          <w:szCs w:val="32"/>
          <w:u w:val="none"/>
          <w:lang w:val="en-US" w:eastAsia="zh-CN" w:bidi="ar"/>
        </w:rPr>
        <w:t>4</w:t>
      </w:r>
      <w:r>
        <w:rPr>
          <w:rFonts w:hint="eastAsia" w:ascii="仿宋_GB2312" w:hAnsi="仿宋_GB2312" w:eastAsia="仿宋_GB2312" w:cs="仿宋_GB2312"/>
          <w:b w:val="0"/>
          <w:bCs w:val="0"/>
          <w:color w:val="auto"/>
          <w:kern w:val="0"/>
          <w:sz w:val="32"/>
          <w:szCs w:val="32"/>
          <w:lang w:val="en-US" w:eastAsia="zh-CN" w:bidi="ar"/>
        </w:rPr>
        <w:t>例；</w:t>
      </w:r>
      <w:r>
        <w:rPr>
          <w:rFonts w:hint="eastAsia" w:ascii="仿宋_GB2312" w:hAnsi="仿宋_GB2312" w:eastAsia="仿宋_GB2312" w:cs="仿宋_GB2312"/>
          <w:b/>
          <w:bCs/>
          <w:color w:val="auto"/>
          <w:kern w:val="0"/>
          <w:sz w:val="32"/>
          <w:szCs w:val="32"/>
          <w:lang w:val="en-US" w:eastAsia="zh-CN" w:bidi="ar"/>
        </w:rPr>
        <w:t>四是</w:t>
      </w:r>
      <w:r>
        <w:rPr>
          <w:rFonts w:hint="eastAsia" w:ascii="仿宋_GB2312" w:hAnsi="仿宋_GB2312" w:eastAsia="仿宋_GB2312" w:cs="仿宋_GB2312"/>
          <w:b w:val="0"/>
          <w:bCs w:val="0"/>
          <w:i w:val="0"/>
          <w:iCs w:val="0"/>
          <w:caps w:val="0"/>
          <w:color w:val="auto"/>
          <w:spacing w:val="8"/>
          <w:kern w:val="0"/>
          <w:sz w:val="32"/>
          <w:szCs w:val="32"/>
          <w:shd w:val="clear" w:color="auto" w:fill="FFFFFF"/>
          <w:lang w:val="en-US" w:eastAsia="zh-CN" w:bidi="ar"/>
        </w:rPr>
        <w:t>协同温州鹿城区援建指挥部组织实施了“特殊病种医疗救助”活动，今年已组织第四、五、六批特殊大病患者7人赴温州接受医疗救助；</w:t>
      </w:r>
      <w:r>
        <w:rPr>
          <w:rFonts w:hint="eastAsia" w:ascii="仿宋_GB2312" w:hAnsi="仿宋_GB2312" w:eastAsia="仿宋_GB2312" w:cs="仿宋_GB2312"/>
          <w:b/>
          <w:bCs/>
          <w:i w:val="0"/>
          <w:caps w:val="0"/>
          <w:color w:val="auto"/>
          <w:spacing w:val="0"/>
          <w:w w:val="100"/>
          <w:kern w:val="0"/>
          <w:sz w:val="32"/>
          <w:szCs w:val="32"/>
          <w:highlight w:val="white"/>
          <w:lang w:val="en-US" w:eastAsia="zh-CN" w:bidi="ar"/>
        </w:rPr>
        <w:t>五是</w:t>
      </w:r>
      <w:r>
        <w:rPr>
          <w:rFonts w:hint="eastAsia" w:ascii="仿宋_GB2312" w:hAnsi="仿宋_GB2312" w:eastAsia="仿宋_GB2312" w:cs="仿宋_GB2312"/>
          <w:b w:val="0"/>
          <w:bCs w:val="0"/>
          <w:i w:val="0"/>
          <w:caps w:val="0"/>
          <w:color w:val="auto"/>
          <w:spacing w:val="0"/>
          <w:kern w:val="0"/>
          <w:sz w:val="32"/>
          <w:szCs w:val="32"/>
          <w:u w:val="none"/>
          <w:lang w:val="en-US" w:eastAsia="zh-CN" w:bidi="ar"/>
        </w:rPr>
        <w:t>承办温州天爱公益协会大型捐赠仪式在壤塘县寄宿制小学成功举行，</w:t>
      </w:r>
      <w:r>
        <w:rPr>
          <w:rFonts w:hint="eastAsia" w:ascii="仿宋_GB2312" w:hAnsi="仿宋_GB2312" w:eastAsia="仿宋_GB2312" w:cs="仿宋_GB2312"/>
          <w:b w:val="0"/>
          <w:bCs w:val="0"/>
          <w:i w:val="0"/>
          <w:iCs w:val="0"/>
          <w:caps w:val="0"/>
          <w:color w:val="auto"/>
          <w:spacing w:val="8"/>
          <w:kern w:val="0"/>
          <w:sz w:val="32"/>
          <w:szCs w:val="32"/>
          <w:shd w:val="clear" w:color="auto" w:fill="FFFFFF"/>
          <w:lang w:val="en-US" w:eastAsia="zh-CN" w:bidi="ar"/>
        </w:rPr>
        <w:t>向壤塘县捐赠1万件（双）童衣和童鞋；</w:t>
      </w:r>
      <w:r>
        <w:rPr>
          <w:rFonts w:hint="eastAsia" w:ascii="仿宋_GB2312" w:hAnsi="仿宋_GB2312" w:eastAsia="仿宋_GB2312" w:cs="仿宋_GB2312"/>
          <w:b/>
          <w:bCs/>
          <w:i w:val="0"/>
          <w:iCs w:val="0"/>
          <w:caps w:val="0"/>
          <w:color w:val="auto"/>
          <w:spacing w:val="8"/>
          <w:kern w:val="0"/>
          <w:sz w:val="32"/>
          <w:szCs w:val="32"/>
          <w:shd w:val="clear" w:color="auto" w:fill="FFFFFF"/>
          <w:lang w:val="en-US" w:eastAsia="zh-CN" w:bidi="ar"/>
        </w:rPr>
        <w:t>六是</w:t>
      </w:r>
      <w:r>
        <w:rPr>
          <w:rFonts w:hint="eastAsia" w:ascii="仿宋_GB2312" w:hAnsi="仿宋_GB2312" w:eastAsia="仿宋_GB2312" w:cs="仿宋_GB2312"/>
          <w:b w:val="0"/>
          <w:bCs w:val="0"/>
          <w:i w:val="0"/>
          <w:iCs w:val="0"/>
          <w:caps w:val="0"/>
          <w:color w:val="auto"/>
          <w:spacing w:val="8"/>
          <w:kern w:val="0"/>
          <w:sz w:val="32"/>
          <w:szCs w:val="32"/>
          <w:shd w:val="clear" w:color="auto" w:fill="FFFFFF"/>
          <w:lang w:val="en-US" w:eastAsia="zh-CN" w:bidi="ar"/>
        </w:rPr>
        <w:t>我会承办2023年温州对壤塘医疗援助大型座谈会，</w:t>
      </w:r>
      <w:r>
        <w:rPr>
          <w:rFonts w:hint="eastAsia" w:ascii="仿宋_GB2312" w:hAnsi="仿宋_GB2312" w:eastAsia="仿宋_GB2312" w:cs="仿宋_GB2312"/>
          <w:kern w:val="0"/>
          <w:sz w:val="32"/>
          <w:szCs w:val="32"/>
          <w:lang w:val="en-US" w:eastAsia="zh-CN" w:bidi="ar"/>
        </w:rPr>
        <w:t>温医大附二院、温州眼视光医院、温州都市报向壤塘县捐赠医疗救助金35.6万元，并向“温心守护”项目8名特殊大病患儿发放捐赠慰问金4800.00元；</w:t>
      </w:r>
      <w:r>
        <w:rPr>
          <w:rFonts w:hint="eastAsia" w:ascii="仿宋_GB2312" w:hAnsi="仿宋_GB2312" w:eastAsia="仿宋_GB2312" w:cs="仿宋_GB2312"/>
          <w:b/>
          <w:bCs/>
          <w:kern w:val="0"/>
          <w:sz w:val="32"/>
          <w:szCs w:val="32"/>
          <w:lang w:val="en-US" w:eastAsia="zh-CN" w:bidi="ar"/>
        </w:rPr>
        <w:t>七是</w:t>
      </w:r>
      <w:r>
        <w:rPr>
          <w:rFonts w:hint="eastAsia" w:ascii="仿宋_GB2312" w:hAnsi="仿宋_GB2312" w:eastAsia="仿宋_GB2312" w:cs="仿宋_GB2312"/>
          <w:kern w:val="0"/>
          <w:sz w:val="32"/>
          <w:szCs w:val="32"/>
          <w:lang w:val="en-US" w:eastAsia="zh-CN" w:bidi="ar"/>
        </w:rPr>
        <w:t>成功举办“2023年中国狮子联会浙江海量服务队资助壤塘县困难大学生”座谈会，发放助学金10万元。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2" w:firstLineChars="200"/>
        <w:jc w:val="both"/>
        <w:outlineLvl w:val="0"/>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加强基层红十字组织建设，夯实基层红十字基础。</w:t>
      </w:r>
      <w:r>
        <w:rPr>
          <w:rFonts w:hint="eastAsia" w:ascii="仿宋_GB2312" w:hAnsi="仿宋_GB2312" w:eastAsia="仿宋_GB2312" w:cs="仿宋_GB2312"/>
          <w:b w:val="0"/>
          <w:bCs w:val="0"/>
          <w:color w:val="auto"/>
          <w:kern w:val="2"/>
          <w:sz w:val="32"/>
          <w:szCs w:val="32"/>
          <w:lang w:val="en-US" w:eastAsia="zh-CN" w:bidi="ar-SA"/>
        </w:rPr>
        <w:t>按照阿坝州红十字会《关于加强红十字组织队伍建设的通知》阿州红会发〔2023〕14号要求，积极开展基层红十字组织建设，目前我县4个乡镇（宗科乡、上杜柯乡、上壤塘乡、茸木达乡）红十字会均已挂牌成立，推进了红十字事业发展，更好的服务群众。</w:t>
      </w:r>
    </w:p>
    <w:p>
      <w:pPr>
        <w:keepNext w:val="0"/>
        <w:keepLines w:val="0"/>
        <w:pageBreakBefore w:val="0"/>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持续开展应急救护知识培训，构建社会应急救护网络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为提高广大群众自救互救能力，壤塘县红十字会积极开展红十字应急救护知识进机关、进社区、进学校、进企业活动，分别到中壤塘乡、南木达乡、蒲西乡、县中学、县消防大队等地开展应急救护知识培训，通过多媒体课件、现场演示、参与互动等多种形式，向大家普及了心肺复苏术、海姆立克急救法、夏季防溺亡等多种应急救护知识，增强了群众紧急避险和自救互救的能力。全年共开展救护员培训4场，培训人员112人次，</w:t>
      </w:r>
      <w:r>
        <w:rPr>
          <w:rFonts w:hint="eastAsia" w:ascii="仿宋_GB2312" w:hAnsi="仿宋_GB2312" w:eastAsia="仿宋_GB2312" w:cs="仿宋_GB2312"/>
          <w:b w:val="0"/>
          <w:bCs w:val="0"/>
          <w:color w:val="000000"/>
          <w:sz w:val="32"/>
          <w:szCs w:val="32"/>
        </w:rPr>
        <w:t>数据</w:t>
      </w:r>
      <w:r>
        <w:rPr>
          <w:rFonts w:hint="eastAsia" w:ascii="仿宋_GB2312" w:hAnsi="仿宋_GB2312" w:eastAsia="仿宋_GB2312" w:cs="仿宋_GB2312"/>
          <w:b w:val="0"/>
          <w:bCs w:val="0"/>
          <w:color w:val="000000"/>
          <w:sz w:val="32"/>
          <w:szCs w:val="32"/>
          <w:lang w:eastAsia="zh-CN"/>
        </w:rPr>
        <w:t>已全部录入系统。普训完成</w:t>
      </w:r>
      <w:r>
        <w:rPr>
          <w:rFonts w:hint="eastAsia" w:ascii="仿宋_GB2312" w:hAnsi="仿宋_GB2312" w:eastAsia="仿宋_GB2312" w:cs="仿宋_GB2312"/>
          <w:b w:val="0"/>
          <w:bCs w:val="0"/>
          <w:color w:val="000000"/>
          <w:sz w:val="32"/>
          <w:szCs w:val="32"/>
          <w:lang w:val="en-US" w:eastAsia="zh-CN"/>
        </w:rPr>
        <w:t>1300人，</w:t>
      </w:r>
      <w:r>
        <w:rPr>
          <w:rFonts w:hint="eastAsia" w:ascii="仿宋_GB2312" w:hAnsi="仿宋_GB2312" w:eastAsia="仿宋_GB2312" w:cs="仿宋_GB2312"/>
          <w:b w:val="0"/>
          <w:bCs w:val="0"/>
          <w:color w:val="000000"/>
          <w:kern w:val="2"/>
          <w:sz w:val="32"/>
          <w:szCs w:val="32"/>
          <w:lang w:val="en-US" w:eastAsia="zh-CN" w:bidi="ar-SA"/>
        </w:rPr>
        <w:t>累计向培训人员、社区居民等共计发放应急救护知识手册、宣传资料等5000余份</w:t>
      </w:r>
      <w:r>
        <w:rPr>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2" w:firstLineChars="200"/>
        <w:jc w:val="both"/>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发挥职能开展募捐，积极参与“99腾讯公益”互联网众筹项目。</w:t>
      </w:r>
      <w:r>
        <w:rPr>
          <w:rFonts w:hint="eastAsia" w:ascii="仿宋_GB2312" w:hAnsi="仿宋_GB2312" w:eastAsia="仿宋_GB2312" w:cs="仿宋_GB2312"/>
          <w:b w:val="0"/>
          <w:bCs w:val="0"/>
          <w:color w:val="auto"/>
          <w:kern w:val="2"/>
          <w:sz w:val="32"/>
          <w:szCs w:val="32"/>
          <w:lang w:val="en-US" w:eastAsia="zh-CN" w:bidi="ar-SA"/>
        </w:rPr>
        <w:t>广泛动员社会各界和爱心人士参与爱心活动，全年募集爱心捐款845.02万元</w:t>
      </w:r>
      <w:r>
        <w:rPr>
          <w:rFonts w:hint="eastAsia" w:ascii="仿宋_GB2312" w:hAnsi="仿宋_GB2312" w:eastAsia="仿宋_GB2312" w:cs="仿宋_GB2312"/>
          <w:b w:val="0"/>
          <w:bCs w:val="0"/>
          <w:color w:val="auto"/>
          <w:sz w:val="32"/>
          <w:szCs w:val="32"/>
          <w:lang w:val="en-US" w:eastAsia="zh-CN"/>
        </w:rPr>
        <w:t>(包含定向捐赠资金）。</w:t>
      </w:r>
      <w:r>
        <w:rPr>
          <w:rFonts w:hint="eastAsia" w:ascii="仿宋_GB2312" w:hAnsi="仿宋_GB2312" w:eastAsia="仿宋_GB2312" w:cs="仿宋_GB2312"/>
          <w:b w:val="0"/>
          <w:bCs w:val="0"/>
          <w:color w:val="auto"/>
          <w:kern w:val="2"/>
          <w:sz w:val="32"/>
          <w:szCs w:val="32"/>
          <w:lang w:val="en-US" w:eastAsia="zh-CN" w:bidi="ar-SA"/>
        </w:rPr>
        <w:t>在“99腾讯公益”日，倡议我县干部职工、社会爱心人士积极参与由阿坝州红十字会、阿坝州残疾人联合会在腾讯 99 公益平台上发起了“护你周全助残行动”的筹资项目，组织捐款三天，共计参与捐款518次，筹集善款8159.91元。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2" w:firstLineChars="200"/>
        <w:jc w:val="both"/>
        <w:rPr>
          <w:rFonts w:hint="eastAsia" w:ascii="Times New Roman" w:hAnsi="Times New Roman" w:eastAsia="仿宋_GB2312" w:cs="Times New Roman"/>
          <w:color w:val="0000FF"/>
          <w:kern w:val="0"/>
          <w:sz w:val="32"/>
          <w:szCs w:val="32"/>
          <w:lang w:val="en-US" w:eastAsia="zh-CN" w:bidi="ar"/>
        </w:rPr>
      </w:pPr>
      <w:r>
        <w:rPr>
          <w:rFonts w:hint="eastAsia" w:ascii="楷体_GB2312" w:hAnsi="楷体_GB2312" w:eastAsia="楷体_GB2312" w:cs="楷体_GB2312"/>
          <w:b/>
          <w:bCs/>
          <w:color w:val="auto"/>
          <w:kern w:val="2"/>
          <w:sz w:val="32"/>
          <w:szCs w:val="32"/>
          <w:lang w:val="en-US" w:eastAsia="zh-CN" w:bidi="ar-SA"/>
        </w:rPr>
        <w:t>关爱生命健康，“三献”工作平稳发展</w:t>
      </w:r>
      <w:r>
        <w:rPr>
          <w:rFonts w:hint="eastAsia" w:ascii="楷体_GB2312" w:hAnsi="楷体_GB2312" w:eastAsia="楷体_GB2312" w:cs="楷体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0"/>
          <w:sz w:val="32"/>
          <w:szCs w:val="32"/>
          <w:lang w:val="en-US" w:eastAsia="zh-CN" w:bidi="ar"/>
        </w:rPr>
        <w:t>积极推动“三献”业务，在5.8世界红十字日纪念日，我会紧扣“爱心相伴、救在身边”博爱周主题，利用两周时间开展一系列纪念宣传活动，宣传动员无偿献血、造血干细胞捐献、器官遗体捐献、艾滋病防治相关知识，动员志愿者广泛参与，成功完成3例人体器官捐献志愿者登记。</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仿宋_GB2312" w:eastAsia="仿宋_GB2312" w:cs="仿宋_GB2312"/>
          <w:b w:val="0"/>
          <w:bCs w:val="0"/>
          <w:color w:val="auto"/>
          <w:kern w:val="0"/>
          <w:sz w:val="32"/>
          <w:szCs w:val="32"/>
          <w:lang w:val="en-US" w:eastAsia="zh-CN" w:bidi="ar"/>
        </w:rPr>
      </w:pPr>
      <w:r>
        <w:rPr>
          <w:rFonts w:hint="default" w:ascii="仿宋_GB2312" w:hAnsi="仿宋_GB2312" w:eastAsia="仿宋_GB2312" w:cs="仿宋_GB2312"/>
          <w:b w:val="0"/>
          <w:bCs w:val="0"/>
          <w:color w:val="auto"/>
          <w:kern w:val="0"/>
          <w:sz w:val="32"/>
          <w:szCs w:val="32"/>
          <w:lang w:val="en-US" w:eastAsia="zh-CN" w:bidi="ar"/>
        </w:rPr>
        <w:t>3、预算编制情况</w:t>
      </w:r>
    </w:p>
    <w:p>
      <w:pPr>
        <w:pStyle w:val="11"/>
        <w:ind w:left="0" w:leftChars="0" w:firstLine="640" w:firstLineChars="200"/>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2023年财政下达壤塘县红十字会年初预算入88.32万元，执行期间根据工作安排和开展情况追加收入36.6万元；2023全年实际收入共计124.92万元，年末无结转结余，预算编制准确率较高。严格按照预算编制方案科学合理编制本单位预算，提前做好情况摸底、数据收集、填报绩效目标、细化专项预算，按照人员经费逐人核定编制，公用经费按定额编制；根据“总量控制、计划管理”的`要求从严控制机关经费，严格编制“三公经费”预算，压缩公业务费，科学编制项目支出，编制部门预算项目绩效目标，按时完成预算编制报送工作。</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default" w:ascii="仿宋_GB2312" w:hAnsi="仿宋_GB2312" w:eastAsia="仿宋_GB2312" w:cs="仿宋_GB2312"/>
          <w:b w:val="0"/>
          <w:bCs w:val="0"/>
          <w:color w:val="auto"/>
          <w:kern w:val="0"/>
          <w:sz w:val="32"/>
          <w:szCs w:val="32"/>
          <w:lang w:val="en-US" w:eastAsia="zh-CN" w:bidi="ar"/>
        </w:rPr>
      </w:pPr>
      <w:r>
        <w:rPr>
          <w:rFonts w:hint="default" w:ascii="仿宋_GB2312" w:hAnsi="仿宋_GB2312" w:eastAsia="仿宋_GB2312" w:cs="仿宋_GB2312"/>
          <w:b w:val="0"/>
          <w:bCs w:val="0"/>
          <w:color w:val="auto"/>
          <w:kern w:val="0"/>
          <w:sz w:val="32"/>
          <w:szCs w:val="32"/>
          <w:lang w:val="en-US" w:eastAsia="zh-CN" w:bidi="ar"/>
        </w:rPr>
        <w:t>4、执行进度情况</w:t>
      </w:r>
    </w:p>
    <w:p>
      <w:pPr>
        <w:ind w:firstLine="640" w:firstLineChars="200"/>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2023年财政下达壤塘县红十字会年初预算收入88.32万元，执行期中追加收入36.6万元。年末无结转结余，单位执行进度为100%，达到预期目标。</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default" w:ascii="仿宋_GB2312" w:hAnsi="仿宋_GB2312" w:eastAsia="仿宋_GB2312" w:cs="仿宋_GB2312"/>
          <w:b w:val="0"/>
          <w:bCs w:val="0"/>
          <w:color w:val="auto"/>
          <w:kern w:val="0"/>
          <w:sz w:val="32"/>
          <w:szCs w:val="32"/>
          <w:lang w:val="en-US" w:eastAsia="zh-CN" w:bidi="ar"/>
        </w:rPr>
      </w:pPr>
      <w:r>
        <w:rPr>
          <w:rFonts w:hint="default" w:ascii="仿宋_GB2312" w:hAnsi="仿宋_GB2312" w:eastAsia="仿宋_GB2312" w:cs="仿宋_GB2312"/>
          <w:b w:val="0"/>
          <w:bCs w:val="0"/>
          <w:color w:val="auto"/>
          <w:kern w:val="0"/>
          <w:sz w:val="32"/>
          <w:szCs w:val="32"/>
          <w:lang w:val="en-US" w:eastAsia="zh-CN" w:bidi="ar"/>
        </w:rPr>
        <w:t>5、预算完成情况</w:t>
      </w:r>
    </w:p>
    <w:p>
      <w:pPr>
        <w:pStyle w:val="11"/>
        <w:ind w:left="0" w:leftChars="0" w:firstLine="640" w:firstLineChars="200"/>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2023年财政下达壤塘县红十字会年初预算收入88.32万元，执行期中追加收入36.6万元。年末无结转结余，单位执行进度为100%，达到预期目标。</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default" w:ascii="仿宋_GB2312" w:hAnsi="仿宋_GB2312" w:eastAsia="仿宋_GB2312" w:cs="仿宋_GB2312"/>
          <w:b w:val="0"/>
          <w:bCs w:val="0"/>
          <w:color w:val="auto"/>
          <w:kern w:val="0"/>
          <w:sz w:val="32"/>
          <w:szCs w:val="32"/>
          <w:lang w:val="en-US" w:eastAsia="zh-CN" w:bidi="ar"/>
        </w:rPr>
      </w:pPr>
      <w:r>
        <w:rPr>
          <w:rFonts w:hint="default" w:ascii="仿宋_GB2312" w:hAnsi="仿宋_GB2312" w:eastAsia="仿宋_GB2312" w:cs="仿宋_GB2312"/>
          <w:b w:val="0"/>
          <w:bCs w:val="0"/>
          <w:color w:val="auto"/>
          <w:kern w:val="0"/>
          <w:sz w:val="32"/>
          <w:szCs w:val="32"/>
          <w:lang w:val="en-US" w:eastAsia="zh-CN" w:bidi="ar"/>
        </w:rPr>
        <w:t>6、</w:t>
      </w:r>
      <w:r>
        <w:rPr>
          <w:rFonts w:hint="eastAsia" w:ascii="仿宋_GB2312" w:hAnsi="仿宋_GB2312" w:eastAsia="仿宋_GB2312" w:cs="仿宋_GB2312"/>
          <w:b w:val="0"/>
          <w:bCs w:val="0"/>
          <w:color w:val="auto"/>
          <w:kern w:val="0"/>
          <w:sz w:val="32"/>
          <w:szCs w:val="32"/>
          <w:lang w:val="en-US" w:eastAsia="zh-CN" w:bidi="ar"/>
        </w:rPr>
        <w:t>三公经费</w:t>
      </w:r>
    </w:p>
    <w:p>
      <w:pPr>
        <w:widowControl w:val="0"/>
        <w:spacing w:line="360" w:lineRule="auto"/>
        <w:ind w:firstLine="640" w:firstLineChars="200"/>
        <w:jc w:val="both"/>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三公”经费控制。壤塘县红十字会2023年“三公”经费预算3.91万元，决算支出3.91万元。其中公务用车购置及运行维护费预算3.91万元，决算支出3.91万元（其中公务用车购置费0万元、公务用车运行维护费3.91万元）,未发生因公出国（境）费及公务接待费，2023年“三公”经费决算均未超过预算。</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default"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7</w:t>
      </w:r>
      <w:r>
        <w:rPr>
          <w:rFonts w:hint="default" w:ascii="仿宋_GB2312" w:hAnsi="仿宋_GB2312" w:eastAsia="仿宋_GB2312" w:cs="仿宋_GB2312"/>
          <w:b w:val="0"/>
          <w:bCs w:val="0"/>
          <w:color w:val="auto"/>
          <w:kern w:val="0"/>
          <w:sz w:val="32"/>
          <w:szCs w:val="32"/>
          <w:lang w:val="en-US" w:eastAsia="zh-CN" w:bidi="ar"/>
        </w:rPr>
        <w:t>、</w:t>
      </w:r>
      <w:r>
        <w:rPr>
          <w:rFonts w:hint="eastAsia" w:ascii="仿宋_GB2312" w:hAnsi="仿宋_GB2312" w:eastAsia="仿宋_GB2312" w:cs="仿宋_GB2312"/>
          <w:b w:val="0"/>
          <w:bCs w:val="0"/>
          <w:color w:val="auto"/>
          <w:kern w:val="0"/>
          <w:sz w:val="32"/>
          <w:szCs w:val="32"/>
          <w:lang w:val="en-US" w:eastAsia="zh-CN" w:bidi="ar"/>
        </w:rPr>
        <w:t>政府采购</w:t>
      </w:r>
    </w:p>
    <w:p>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采购规范性。壤塘县红十字会2023年度无政府采购支出。</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both"/>
        <w:textAlignment w:val="auto"/>
        <w:rPr>
          <w:rFonts w:hint="eastAsia" w:ascii="仿宋_GB2312" w:hAnsi="仿宋_GB2312" w:eastAsia="仿宋_GB2312" w:cs="仿宋_GB2312"/>
          <w:b/>
          <w:bCs/>
          <w:sz w:val="32"/>
          <w:szCs w:val="32"/>
        </w:rPr>
      </w:pPr>
      <w:r>
        <w:rPr>
          <w:rFonts w:hint="eastAsia" w:ascii="仿宋_GB2312" w:hAnsi="宋体" w:eastAsia="仿宋_GB2312" w:cs="仿宋_GB2312"/>
          <w:color w:val="auto"/>
          <w:kern w:val="0"/>
          <w:sz w:val="32"/>
          <w:szCs w:val="32"/>
          <w:shd w:val="clear" w:color="auto" w:fill="FFFFFF"/>
          <w:lang w:val="en-US" w:eastAsia="zh-CN" w:bidi="ar"/>
        </w:rPr>
        <w:t xml:space="preserve">8、资产管理 </w:t>
      </w:r>
      <w:r>
        <w:rPr>
          <w:rFonts w:hint="eastAsia" w:ascii="仿宋_GB2312" w:hAnsi="仿宋_GB2312" w:eastAsia="仿宋_GB2312" w:cs="仿宋_GB2312"/>
          <w:b/>
          <w:bCs/>
          <w:sz w:val="32"/>
          <w:szCs w:val="32"/>
        </w:rPr>
        <w:t xml:space="preserve"> </w:t>
      </w:r>
    </w:p>
    <w:p>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固定资产在用率。截止2023年12月31日，壤塘县红十字会《行政单位资产管理系统》固定资产总计35.8589万元，在用的固定资产总计35.8589万元，固定资产在用率达100%。</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default" w:ascii="仿宋_GB2312" w:hAnsi="宋体" w:eastAsia="仿宋_GB2312" w:cs="宋体"/>
          <w:color w:val="auto"/>
          <w:kern w:val="0"/>
          <w:sz w:val="32"/>
          <w:szCs w:val="32"/>
          <w:shd w:val="clear" w:color="auto" w:fill="FFFFFF"/>
        </w:rPr>
      </w:pPr>
      <w:r>
        <w:rPr>
          <w:rFonts w:hint="default" w:ascii="仿宋_GB2312" w:hAnsi="宋体" w:eastAsia="仿宋_GB2312" w:cs="仿宋_GB2312"/>
          <w:color w:val="auto"/>
          <w:kern w:val="0"/>
          <w:sz w:val="32"/>
          <w:szCs w:val="32"/>
          <w:shd w:val="clear" w:color="auto" w:fill="FFFFFF"/>
          <w:lang w:val="en-US" w:eastAsia="zh-CN" w:bidi="ar"/>
        </w:rPr>
        <w:t>（二）结果应用情况</w:t>
      </w:r>
    </w:p>
    <w:p>
      <w:pPr>
        <w:ind w:firstLine="640" w:firstLineChars="200"/>
        <w:rPr>
          <w:rFonts w:hint="default" w:ascii="Calibri" w:hAnsi="Calibri"/>
          <w:color w:val="auto"/>
          <w:szCs w:val="22"/>
          <w:lang w:val="en-US" w:eastAsia="zh-CN"/>
        </w:rPr>
      </w:pPr>
      <w:r>
        <w:rPr>
          <w:rFonts w:hint="eastAsia" w:ascii="仿宋_GB2312" w:hAnsi="仿宋_GB2312" w:eastAsia="仿宋_GB2312" w:cs="仿宋_GB2312"/>
          <w:color w:val="auto"/>
          <w:kern w:val="0"/>
          <w:sz w:val="32"/>
          <w:szCs w:val="32"/>
          <w:lang w:val="en-US" w:eastAsia="zh-CN" w:bidi="ar"/>
        </w:rPr>
        <w:t>绩效目标填报执行了《四川省省级财政专项资金绩效分配管理暂行办法》，实施绩效分配。在项目资金管理方面，单位建立和健全项目资金管理制度和管理办法。严格资金的使用和划拨流程，确保资金使用安全、公平、合理。项目资金做到了专款专用，及时支付。资金的支付均通过对公账户，直接支付到供应商,切实保障了资金使用的准确性和安全性。在绩效目标评价方面，根据县财政局要求，我会成立自评工作小组，组织实施本单位2023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我单位各项工作的正常运转。</w:t>
      </w:r>
    </w:p>
    <w:p>
      <w:pPr>
        <w:keepNext w:val="0"/>
        <w:keepLines w:val="0"/>
        <w:widowControl/>
        <w:numPr>
          <w:ilvl w:val="0"/>
          <w:numId w:val="1"/>
        </w:numPr>
        <w:suppressLineNumbers w:val="0"/>
        <w:adjustRightInd w:val="0"/>
        <w:snapToGrid w:val="0"/>
        <w:spacing w:before="0" w:beforeAutospacing="0" w:after="0" w:afterAutospacing="0" w:line="560" w:lineRule="exact"/>
        <w:ind w:left="0" w:right="0" w:firstLine="640" w:firstLineChars="200"/>
        <w:contextualSpacing/>
        <w:jc w:val="left"/>
        <w:rPr>
          <w:rFonts w:hint="eastAsia" w:ascii="黑体" w:hAnsi="宋体" w:eastAsia="黑体" w:cs="黑体"/>
          <w:color w:val="auto"/>
          <w:kern w:val="0"/>
          <w:sz w:val="32"/>
          <w:szCs w:val="32"/>
          <w:shd w:val="clear" w:color="auto" w:fill="FFFFFF"/>
          <w:lang w:val="en-US" w:eastAsia="zh-CN" w:bidi="ar"/>
        </w:rPr>
      </w:pPr>
      <w:r>
        <w:rPr>
          <w:rFonts w:hint="eastAsia" w:ascii="黑体" w:hAnsi="宋体" w:eastAsia="黑体" w:cs="黑体"/>
          <w:color w:val="auto"/>
          <w:kern w:val="0"/>
          <w:sz w:val="32"/>
          <w:szCs w:val="32"/>
          <w:shd w:val="clear" w:color="auto" w:fill="FFFFFF"/>
          <w:lang w:val="en-US" w:eastAsia="zh-CN" w:bidi="ar"/>
        </w:rPr>
        <w:t>评价结论及建议</w:t>
      </w:r>
    </w:p>
    <w:p>
      <w:pPr>
        <w:keepNext w:val="0"/>
        <w:keepLines w:val="0"/>
        <w:widowControl/>
        <w:numPr>
          <w:ilvl w:val="0"/>
          <w:numId w:val="2"/>
        </w:numPr>
        <w:suppressLineNumbers w:val="0"/>
        <w:adjustRightInd w:val="0"/>
        <w:snapToGrid w:val="0"/>
        <w:spacing w:before="0" w:beforeAutospacing="0" w:after="0" w:afterAutospacing="0" w:line="560" w:lineRule="exact"/>
        <w:ind w:left="0" w:right="0" w:firstLine="640" w:firstLineChars="200"/>
        <w:contextualSpacing/>
        <w:jc w:val="left"/>
        <w:rPr>
          <w:rFonts w:hint="default" w:ascii="仿宋_GB2312" w:hAnsi="宋体" w:eastAsia="仿宋_GB2312" w:cs="仿宋_GB2312"/>
          <w:color w:val="auto"/>
          <w:kern w:val="0"/>
          <w:sz w:val="32"/>
          <w:szCs w:val="32"/>
          <w:shd w:val="clear" w:color="auto" w:fill="FFFFFF"/>
          <w:lang w:val="en-US" w:eastAsia="zh-CN" w:bidi="ar"/>
        </w:rPr>
      </w:pPr>
      <w:r>
        <w:rPr>
          <w:rFonts w:hint="default" w:ascii="仿宋_GB2312" w:hAnsi="宋体" w:eastAsia="仿宋_GB2312" w:cs="仿宋_GB2312"/>
          <w:color w:val="auto"/>
          <w:kern w:val="0"/>
          <w:sz w:val="32"/>
          <w:szCs w:val="32"/>
          <w:shd w:val="clear" w:color="auto" w:fill="FFFFFF"/>
          <w:lang w:val="en-US" w:eastAsia="zh-CN" w:bidi="ar"/>
        </w:rPr>
        <w:t>评价结论</w:t>
      </w:r>
    </w:p>
    <w:p>
      <w:pPr>
        <w:pStyle w:val="11"/>
        <w:ind w:left="0" w:leftChars="0" w:firstLine="640" w:firstLineChars="200"/>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zh-CN" w:eastAsia="zh-CN" w:bidi="ar"/>
        </w:rPr>
        <w:t>我</w:t>
      </w:r>
      <w:r>
        <w:rPr>
          <w:rFonts w:hint="eastAsia" w:ascii="仿宋_GB2312" w:hAnsi="仿宋_GB2312" w:eastAsia="仿宋_GB2312" w:cs="仿宋_GB2312"/>
          <w:color w:val="auto"/>
          <w:kern w:val="0"/>
          <w:sz w:val="32"/>
          <w:szCs w:val="32"/>
          <w:lang w:val="en-US" w:eastAsia="zh-CN" w:bidi="ar"/>
        </w:rPr>
        <w:t>会</w:t>
      </w:r>
      <w:r>
        <w:rPr>
          <w:rFonts w:hint="eastAsia" w:ascii="仿宋_GB2312" w:hAnsi="仿宋_GB2312" w:eastAsia="仿宋_GB2312" w:cs="仿宋_GB2312"/>
          <w:color w:val="auto"/>
          <w:kern w:val="0"/>
          <w:sz w:val="32"/>
          <w:szCs w:val="32"/>
          <w:lang w:val="zh-CN" w:eastAsia="zh-CN" w:bidi="ar"/>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w:t>
      </w:r>
      <w:r>
        <w:rPr>
          <w:rFonts w:hint="eastAsia" w:ascii="仿宋_GB2312" w:hAnsi="仿宋_GB2312" w:eastAsia="仿宋_GB2312" w:cs="仿宋_GB2312"/>
          <w:color w:val="auto"/>
          <w:kern w:val="0"/>
          <w:sz w:val="32"/>
          <w:szCs w:val="32"/>
          <w:lang w:val="en-US" w:eastAsia="zh-CN" w:bidi="ar"/>
        </w:rPr>
        <w:t>会</w:t>
      </w:r>
      <w:r>
        <w:rPr>
          <w:rFonts w:hint="eastAsia" w:ascii="仿宋_GB2312" w:hAnsi="仿宋_GB2312" w:eastAsia="仿宋_GB2312" w:cs="仿宋_GB2312"/>
          <w:color w:val="auto"/>
          <w:kern w:val="0"/>
          <w:sz w:val="32"/>
          <w:szCs w:val="32"/>
          <w:lang w:val="zh-CN" w:eastAsia="zh-CN" w:bidi="ar"/>
        </w:rPr>
        <w:t>将继续努力，科学合理编制预决算，进行绩效评价，加强精细管理，完善不足。</w:t>
      </w:r>
      <w:r>
        <w:rPr>
          <w:rFonts w:hint="eastAsia" w:ascii="仿宋_GB2312" w:hAnsi="仿宋_GB2312" w:eastAsia="仿宋_GB2312" w:cs="仿宋_GB2312"/>
          <w:color w:val="auto"/>
          <w:kern w:val="0"/>
          <w:sz w:val="32"/>
          <w:szCs w:val="32"/>
          <w:lang w:val="en-US" w:eastAsia="zh-CN" w:bidi="ar"/>
        </w:rPr>
        <w:t>根据《壤塘县</w:t>
      </w:r>
      <w:r>
        <w:rPr>
          <w:rFonts w:hint="default" w:ascii="仿宋_GB2312" w:hAnsi="仿宋_GB2312" w:eastAsia="仿宋_GB2312" w:cs="仿宋_GB2312"/>
          <w:color w:val="auto"/>
          <w:kern w:val="0"/>
          <w:sz w:val="32"/>
          <w:szCs w:val="32"/>
          <w:lang w:val="en-US" w:eastAsia="zh-CN" w:bidi="ar"/>
        </w:rPr>
        <w:t>202</w:t>
      </w:r>
      <w:r>
        <w:rPr>
          <w:rFonts w:hint="eastAsia" w:ascii="仿宋_GB2312" w:hAnsi="仿宋_GB2312" w:eastAsia="仿宋_GB2312" w:cs="仿宋_GB2312"/>
          <w:color w:val="auto"/>
          <w:kern w:val="0"/>
          <w:sz w:val="32"/>
          <w:szCs w:val="32"/>
          <w:lang w:val="en-US" w:eastAsia="zh-CN" w:bidi="ar"/>
        </w:rPr>
        <w:t>3</w:t>
      </w:r>
      <w:r>
        <w:rPr>
          <w:rFonts w:hint="default" w:ascii="仿宋_GB2312" w:hAnsi="仿宋_GB2312" w:eastAsia="仿宋_GB2312" w:cs="仿宋_GB2312"/>
          <w:color w:val="auto"/>
          <w:kern w:val="0"/>
          <w:sz w:val="32"/>
          <w:szCs w:val="32"/>
          <w:lang w:val="en-US" w:eastAsia="zh-CN" w:bidi="ar"/>
        </w:rPr>
        <w:t>年部门整体支出绩效评价指标体系》评分，得分</w:t>
      </w:r>
      <w:r>
        <w:rPr>
          <w:rFonts w:hint="eastAsia" w:ascii="仿宋_GB2312" w:hAnsi="仿宋_GB2312" w:eastAsia="仿宋_GB2312" w:cs="仿宋_GB2312"/>
          <w:color w:val="auto"/>
          <w:kern w:val="0"/>
          <w:sz w:val="32"/>
          <w:szCs w:val="32"/>
          <w:lang w:val="en-US" w:eastAsia="zh-CN" w:bidi="ar"/>
        </w:rPr>
        <w:t>93</w:t>
      </w:r>
      <w:r>
        <w:rPr>
          <w:rFonts w:hint="default" w:ascii="仿宋_GB2312" w:hAnsi="仿宋_GB2312" w:eastAsia="仿宋_GB2312" w:cs="仿宋_GB2312"/>
          <w:color w:val="auto"/>
          <w:kern w:val="0"/>
          <w:sz w:val="32"/>
          <w:szCs w:val="32"/>
          <w:lang w:val="en-US" w:eastAsia="zh-CN" w:bidi="ar"/>
        </w:rPr>
        <w:t>分，绩效评价结果优秀。</w:t>
      </w:r>
    </w:p>
    <w:p>
      <w:pPr>
        <w:keepNext w:val="0"/>
        <w:keepLines w:val="0"/>
        <w:widowControl/>
        <w:numPr>
          <w:ilvl w:val="0"/>
          <w:numId w:val="2"/>
        </w:numPr>
        <w:suppressLineNumbers w:val="0"/>
        <w:adjustRightInd w:val="0"/>
        <w:snapToGrid w:val="0"/>
        <w:spacing w:before="0" w:beforeAutospacing="0" w:after="0" w:afterAutospacing="0" w:line="560" w:lineRule="exact"/>
        <w:ind w:left="0" w:leftChars="0" w:right="0" w:firstLine="640" w:firstLineChars="200"/>
        <w:contextualSpacing/>
        <w:jc w:val="left"/>
        <w:rPr>
          <w:rFonts w:hint="default" w:ascii="仿宋_GB2312" w:hAnsi="宋体" w:eastAsia="仿宋_GB2312" w:cs="仿宋_GB2312"/>
          <w:color w:val="auto"/>
          <w:kern w:val="0"/>
          <w:sz w:val="32"/>
          <w:szCs w:val="32"/>
          <w:shd w:val="clear" w:color="auto" w:fill="FFFFFF"/>
          <w:lang w:val="en-US" w:eastAsia="zh-CN" w:bidi="ar"/>
        </w:rPr>
      </w:pPr>
      <w:r>
        <w:rPr>
          <w:rFonts w:hint="default" w:ascii="仿宋_GB2312" w:hAnsi="宋体" w:eastAsia="仿宋_GB2312" w:cs="仿宋_GB2312"/>
          <w:color w:val="auto"/>
          <w:kern w:val="0"/>
          <w:sz w:val="32"/>
          <w:szCs w:val="32"/>
          <w:shd w:val="clear" w:color="auto" w:fill="FFFFFF"/>
          <w:lang w:val="en-US" w:eastAsia="zh-CN" w:bidi="ar"/>
        </w:rPr>
        <w:t>存在问题</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default" w:ascii="仿宋_GB2312" w:hAnsi="仿宋_GB2312" w:eastAsia="仿宋_GB2312" w:cs="仿宋_GB2312"/>
          <w:color w:val="auto"/>
          <w:kern w:val="0"/>
          <w:sz w:val="32"/>
          <w:szCs w:val="32"/>
          <w:lang w:val="en-US" w:eastAsia="zh-CN" w:bidi="ar"/>
        </w:rPr>
      </w:pPr>
      <w:r>
        <w:rPr>
          <w:rFonts w:hint="default" w:ascii="仿宋_GB2312" w:hAnsi="仿宋_GB2312" w:eastAsia="仿宋_GB2312" w:cs="仿宋_GB2312"/>
          <w:color w:val="auto"/>
          <w:kern w:val="0"/>
          <w:sz w:val="32"/>
          <w:szCs w:val="32"/>
          <w:lang w:val="en-US" w:eastAsia="zh-CN" w:bidi="ar"/>
        </w:rPr>
        <w:t>未制定明确的财务监控监督措施</w:t>
      </w:r>
      <w:r>
        <w:rPr>
          <w:rFonts w:hint="eastAsia" w:ascii="仿宋_GB2312" w:hAnsi="仿宋_GB2312" w:eastAsia="仿宋_GB2312" w:cs="仿宋_GB2312"/>
          <w:color w:val="auto"/>
          <w:kern w:val="0"/>
          <w:sz w:val="32"/>
          <w:szCs w:val="32"/>
          <w:lang w:val="en-US" w:eastAsia="zh-CN" w:bidi="ar"/>
        </w:rPr>
        <w:t>。</w:t>
      </w:r>
    </w:p>
    <w:p>
      <w:pPr>
        <w:keepNext w:val="0"/>
        <w:keepLines w:val="0"/>
        <w:widowControl/>
        <w:suppressLineNumbers w:val="0"/>
        <w:adjustRightInd w:val="0"/>
        <w:snapToGrid w:val="0"/>
        <w:spacing w:before="0" w:beforeAutospacing="0" w:after="0" w:afterAutospacing="0" w:line="560" w:lineRule="exact"/>
        <w:ind w:left="0" w:right="0" w:firstLine="640" w:firstLineChars="200"/>
        <w:contextualSpacing/>
        <w:jc w:val="left"/>
        <w:rPr>
          <w:rFonts w:hint="default" w:ascii="仿宋_GB2312" w:hAnsi="宋体" w:eastAsia="仿宋_GB2312" w:cs="仿宋_GB2312"/>
          <w:color w:val="auto"/>
          <w:kern w:val="0"/>
          <w:sz w:val="32"/>
          <w:szCs w:val="32"/>
          <w:shd w:val="clear" w:color="auto" w:fill="FFFFFF"/>
          <w:lang w:val="en-US" w:eastAsia="zh-CN" w:bidi="ar"/>
        </w:rPr>
      </w:pPr>
      <w:r>
        <w:rPr>
          <w:rFonts w:hint="default" w:ascii="仿宋_GB2312" w:hAnsi="宋体" w:eastAsia="仿宋_GB2312" w:cs="仿宋_GB2312"/>
          <w:color w:val="auto"/>
          <w:kern w:val="0"/>
          <w:sz w:val="32"/>
          <w:szCs w:val="32"/>
          <w:shd w:val="clear" w:color="auto" w:fill="FFFFFF"/>
          <w:lang w:val="en-US" w:eastAsia="zh-CN" w:bidi="ar"/>
        </w:rPr>
        <w:t>（三）改进建议</w:t>
      </w: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lang w:val="en-US" w:eastAsia="zh-CN" w:bidi="ar"/>
        </w:rPr>
      </w:pPr>
      <w:r>
        <w:rPr>
          <w:rFonts w:hint="default" w:ascii="仿宋_GB2312" w:hAnsi="仿宋_GB2312" w:eastAsia="仿宋_GB2312" w:cs="仿宋_GB2312"/>
          <w:color w:val="auto"/>
          <w:kern w:val="0"/>
          <w:sz w:val="32"/>
          <w:szCs w:val="32"/>
          <w:lang w:val="en-US" w:eastAsia="zh-CN" w:bidi="ar"/>
        </w:rPr>
        <w:t>财务股室负责单位内控评价与监督工作，负责制定单位内部控制监督评价相关制度；负责组织对单位年度内部控制工作自评工作；负责对本单位风险管理工作的实施情况和有效性进行监督和检查；负责对各个部门各业务流程的执行情况进行监督和检查。</w:t>
      </w: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lang w:val="en-US" w:eastAsia="zh-CN" w:bidi="ar"/>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lang w:val="en-US" w:eastAsia="zh-CN" w:bidi="ar"/>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lang w:val="en-US" w:eastAsia="zh-CN" w:bidi="ar"/>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lang w:val="en-US" w:eastAsia="zh-CN" w:bidi="ar"/>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lang w:val="en-US" w:eastAsia="zh-CN" w:bidi="ar"/>
        </w:rPr>
      </w:pPr>
    </w:p>
    <w:p>
      <w:pPr>
        <w:pStyle w:val="2"/>
        <w:rPr>
          <w:rFonts w:hint="default" w:ascii="仿宋_GB2312" w:hAnsi="仿宋_GB2312" w:eastAsia="仿宋_GB2312" w:cs="仿宋_GB2312"/>
          <w:color w:val="auto"/>
          <w:kern w:val="0"/>
          <w:sz w:val="32"/>
          <w:szCs w:val="32"/>
          <w:lang w:val="en-US" w:eastAsia="zh-CN" w:bidi="ar"/>
        </w:rPr>
      </w:pPr>
    </w:p>
    <w:p>
      <w:pPr>
        <w:pStyle w:val="3"/>
        <w:rPr>
          <w:rFonts w:hint="default"/>
          <w:lang w:val="en-US" w:eastAsia="zh-CN"/>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lang w:val="en-US" w:eastAsia="zh-CN" w:bidi="ar"/>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lang w:val="en-US" w:eastAsia="zh-CN" w:bidi="ar"/>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lang w:val="en-US" w:eastAsia="zh-CN" w:bidi="ar"/>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lang w:val="en-US" w:eastAsia="zh-CN" w:bidi="ar"/>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lang w:val="en-US" w:eastAsia="zh-CN" w:bidi="ar"/>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lang w:val="en-US" w:eastAsia="zh-CN" w:bidi="ar"/>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lang w:val="en-US" w:eastAsia="zh-CN" w:bidi="ar"/>
        </w:rPr>
      </w:pPr>
    </w:p>
    <w:p>
      <w:pPr>
        <w:pStyle w:val="2"/>
        <w:rPr>
          <w:rFonts w:hint="default"/>
          <w:lang w:val="en-US" w:eastAsia="zh-CN"/>
        </w:rPr>
      </w:pPr>
    </w:p>
    <w:p>
      <w:pPr>
        <w:keepNext w:val="0"/>
        <w:keepLines w:val="0"/>
        <w:pageBreakBefore w:val="0"/>
        <w:widowControl w:val="0"/>
        <w:kinsoku/>
        <w:wordWrap w:val="0"/>
        <w:overflowPunct/>
        <w:topLinePunct w:val="0"/>
        <w:autoSpaceDE/>
        <w:autoSpaceDN/>
        <w:bidi w:val="0"/>
        <w:adjustRightInd/>
        <w:snapToGrid/>
        <w:jc w:val="left"/>
        <w:textAlignment w:val="auto"/>
        <w:rPr>
          <w:rFonts w:hint="eastAsia"/>
        </w:rPr>
      </w:pPr>
      <w:r>
        <w:rPr>
          <w:rFonts w:hint="eastAsia" w:ascii="黑体" w:hAnsi="黑体" w:eastAsia="黑体" w:cs="黑体"/>
          <w:sz w:val="32"/>
          <w:szCs w:val="32"/>
          <w:lang w:val="en-US" w:eastAsia="zh-CN"/>
        </w:rPr>
        <w:t>附件2</w:t>
      </w:r>
      <w:r>
        <w:drawing>
          <wp:inline distT="0" distB="0" distL="114300" distR="114300">
            <wp:extent cx="5271135" cy="7298055"/>
            <wp:effectExtent l="0" t="0" r="5715" b="17145"/>
            <wp:docPr id="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pic:cNvPicPr>
                      <a:picLocks noChangeAspect="1"/>
                    </pic:cNvPicPr>
                  </pic:nvPicPr>
                  <pic:blipFill>
                    <a:blip r:embed="rId15"/>
                    <a:stretch>
                      <a:fillRect/>
                    </a:stretch>
                  </pic:blipFill>
                  <pic:spPr>
                    <a:xfrm>
                      <a:off x="0" y="0"/>
                      <a:ext cx="5271135" cy="7298055"/>
                    </a:xfrm>
                    <a:prstGeom prst="rect">
                      <a:avLst/>
                    </a:prstGeom>
                    <a:noFill/>
                    <a:ln>
                      <a:noFill/>
                    </a:ln>
                  </pic:spPr>
                </pic:pic>
              </a:graphicData>
            </a:graphic>
          </wp:inline>
        </w:drawing>
      </w:r>
      <w:bookmarkStart w:id="75" w:name="_Toc15396618"/>
    </w:p>
    <w:p>
      <w:pPr>
        <w:pStyle w:val="4"/>
        <w:jc w:val="center"/>
        <w:rPr>
          <w:rFonts w:hint="eastAsia"/>
        </w:rPr>
      </w:pPr>
    </w:p>
    <w:p>
      <w:pPr>
        <w:bidi w:val="0"/>
        <w:rPr>
          <w:rFonts w:hint="eastAsia"/>
        </w:rPr>
      </w:pPr>
      <w:r>
        <w:drawing>
          <wp:inline distT="0" distB="0" distL="114300" distR="114300">
            <wp:extent cx="5271135" cy="4107180"/>
            <wp:effectExtent l="0" t="0" r="5715" b="7620"/>
            <wp:docPr id="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pic:cNvPicPr>
                      <a:picLocks noChangeAspect="1"/>
                    </pic:cNvPicPr>
                  </pic:nvPicPr>
                  <pic:blipFill>
                    <a:blip r:embed="rId16"/>
                    <a:stretch>
                      <a:fillRect/>
                    </a:stretch>
                  </pic:blipFill>
                  <pic:spPr>
                    <a:xfrm>
                      <a:off x="0" y="0"/>
                      <a:ext cx="5271135" cy="4107180"/>
                    </a:xfrm>
                    <a:prstGeom prst="rect">
                      <a:avLst/>
                    </a:prstGeom>
                    <a:noFill/>
                    <a:ln>
                      <a:noFill/>
                    </a:ln>
                  </pic:spPr>
                </pic:pic>
              </a:graphicData>
            </a:graphic>
          </wp:inline>
        </w:drawing>
      </w:r>
    </w:p>
    <w:p>
      <w:pPr>
        <w:rPr>
          <w:rFonts w:hint="eastAsia" w:ascii="Times New Roman" w:hAnsi="Times New Roman" w:cs="Times New Roman"/>
        </w:rPr>
      </w:pPr>
      <w:r>
        <w:rPr>
          <w:rFonts w:hint="eastAsia"/>
        </w:rPr>
        <w:br w:type="page"/>
      </w:r>
      <w:bookmarkEnd w:id="72"/>
      <w:bookmarkEnd w:id="75"/>
    </w:p>
    <w:p>
      <w:pPr>
        <w:spacing w:line="600" w:lineRule="exact"/>
        <w:jc w:val="center"/>
        <w:outlineLvl w:val="0"/>
        <w:rPr>
          <w:rStyle w:val="20"/>
          <w:rFonts w:ascii="黑体" w:hAnsi="Times New Roman" w:eastAsia="黑体" w:cs="Times New Roman"/>
          <w:b w:val="0"/>
        </w:rPr>
      </w:pPr>
      <w:bookmarkStart w:id="76" w:name="_Toc7175"/>
      <w:r>
        <w:rPr>
          <w:rFonts w:hint="eastAsia" w:ascii="黑体" w:hAnsi="Times New Roman" w:eastAsia="黑体" w:cs="Times New Roman"/>
          <w:color w:val="000000"/>
          <w:sz w:val="44"/>
          <w:szCs w:val="44"/>
        </w:rPr>
        <w:t>第</w:t>
      </w:r>
      <w:r>
        <w:rPr>
          <w:rStyle w:val="20"/>
          <w:rFonts w:hint="eastAsia" w:ascii="黑体" w:eastAsia="黑体"/>
          <w:b w:val="0"/>
        </w:rPr>
        <w:t>五部分</w:t>
      </w:r>
      <w:r>
        <w:rPr>
          <w:rStyle w:val="20"/>
          <w:rFonts w:ascii="黑体" w:eastAsia="黑体"/>
          <w:b w:val="0"/>
        </w:rPr>
        <w:t xml:space="preserve"> </w:t>
      </w:r>
      <w:r>
        <w:rPr>
          <w:rStyle w:val="20"/>
          <w:rFonts w:hint="eastAsia" w:ascii="黑体" w:eastAsia="黑体"/>
          <w:b w:val="0"/>
        </w:rPr>
        <w:t>附表</w:t>
      </w:r>
      <w:bookmarkEnd w:id="76"/>
    </w:p>
    <w:p>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77" w:name="_Toc79163636"/>
      <w:bookmarkStart w:id="78" w:name="_Toc18544"/>
      <w:bookmarkStart w:id="79" w:name="_Toc15396619"/>
      <w:bookmarkStart w:id="80" w:name="_Toc23680"/>
      <w:r>
        <w:rPr>
          <w:rFonts w:hint="eastAsia" w:ascii="仿宋" w:hAnsi="Cambria" w:eastAsia="仿宋" w:cs="Times New Roman"/>
          <w:b w:val="0"/>
          <w:bCs/>
          <w:color w:val="000000"/>
          <w:kern w:val="2"/>
          <w:sz w:val="32"/>
          <w:szCs w:val="32"/>
          <w:lang w:val="en-US" w:eastAsia="zh-CN" w:bidi="ar-SA"/>
        </w:rPr>
        <w:t>一、收</w:t>
      </w:r>
      <w:r>
        <w:rPr>
          <w:rStyle w:val="21"/>
          <w:rFonts w:hint="eastAsia" w:ascii="仿宋" w:eastAsia="仿宋"/>
          <w:b w:val="0"/>
          <w:bCs w:val="0"/>
        </w:rPr>
        <w:t>入支出决算总表</w:t>
      </w:r>
      <w:bookmarkEnd w:id="77"/>
      <w:bookmarkEnd w:id="78"/>
      <w:bookmarkEnd w:id="79"/>
      <w:bookmarkEnd w:id="80"/>
    </w:p>
    <w:p>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81" w:name="_Toc15396620"/>
      <w:bookmarkStart w:id="82" w:name="_Toc79163637"/>
      <w:bookmarkStart w:id="83" w:name="_Toc13553"/>
      <w:bookmarkStart w:id="84" w:name="_Toc8937"/>
      <w:r>
        <w:rPr>
          <w:rFonts w:hint="eastAsia" w:ascii="仿宋" w:hAnsi="Cambria" w:eastAsia="仿宋" w:cs="Times New Roman"/>
          <w:b w:val="0"/>
          <w:bCs/>
          <w:color w:val="000000"/>
          <w:kern w:val="2"/>
          <w:sz w:val="32"/>
          <w:szCs w:val="32"/>
          <w:lang w:val="en-US" w:eastAsia="zh-CN" w:bidi="ar-SA"/>
        </w:rPr>
        <w:t>二、收</w:t>
      </w:r>
      <w:r>
        <w:rPr>
          <w:rStyle w:val="21"/>
          <w:rFonts w:hint="eastAsia" w:ascii="仿宋" w:eastAsia="仿宋"/>
          <w:b w:val="0"/>
          <w:bCs w:val="0"/>
        </w:rPr>
        <w:t>入决算表</w:t>
      </w:r>
      <w:bookmarkEnd w:id="81"/>
      <w:bookmarkEnd w:id="82"/>
      <w:bookmarkEnd w:id="83"/>
      <w:bookmarkEnd w:id="84"/>
    </w:p>
    <w:p>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85" w:name="_Toc79163638"/>
      <w:bookmarkStart w:id="86" w:name="_Toc30177"/>
      <w:bookmarkStart w:id="87" w:name="_Toc15396621"/>
      <w:bookmarkStart w:id="88" w:name="_Toc401"/>
      <w:r>
        <w:rPr>
          <w:rStyle w:val="21"/>
          <w:rFonts w:hint="eastAsia" w:ascii="仿宋" w:eastAsia="仿宋"/>
          <w:b w:val="0"/>
          <w:bCs w:val="0"/>
        </w:rPr>
        <w:t>三、</w:t>
      </w:r>
      <w:r>
        <w:rPr>
          <w:rFonts w:hint="eastAsia" w:ascii="仿宋" w:hAnsi="Cambria" w:eastAsia="仿宋" w:cs="Times New Roman"/>
          <w:b w:val="0"/>
          <w:bCs/>
          <w:color w:val="000000"/>
          <w:kern w:val="2"/>
          <w:sz w:val="32"/>
          <w:szCs w:val="32"/>
          <w:lang w:val="en-US" w:eastAsia="zh-CN" w:bidi="ar-SA"/>
        </w:rPr>
        <w:t>支</w:t>
      </w:r>
      <w:r>
        <w:rPr>
          <w:rStyle w:val="21"/>
          <w:rFonts w:hint="eastAsia" w:ascii="仿宋" w:eastAsia="仿宋"/>
          <w:b w:val="0"/>
          <w:bCs w:val="0"/>
        </w:rPr>
        <w:t>出决算表</w:t>
      </w:r>
      <w:bookmarkEnd w:id="85"/>
      <w:bookmarkEnd w:id="86"/>
      <w:bookmarkEnd w:id="87"/>
      <w:bookmarkEnd w:id="88"/>
    </w:p>
    <w:p>
      <w:pPr>
        <w:keepNext/>
        <w:keepLines/>
        <w:widowControl w:val="0"/>
        <w:spacing w:before="260" w:after="260" w:line="415" w:lineRule="auto"/>
        <w:jc w:val="both"/>
        <w:outlineLvl w:val="1"/>
        <w:rPr>
          <w:rFonts w:ascii="仿宋" w:hAnsi="Cambria" w:eastAsia="仿宋" w:cs="Times New Roman"/>
          <w:b w:val="0"/>
          <w:bCs/>
          <w:color w:val="000000"/>
          <w:kern w:val="2"/>
          <w:sz w:val="32"/>
          <w:szCs w:val="32"/>
          <w:lang w:val="en-US" w:eastAsia="zh-CN" w:bidi="ar-SA"/>
        </w:rPr>
      </w:pPr>
      <w:bookmarkStart w:id="89" w:name="_Toc15396622"/>
      <w:bookmarkStart w:id="90" w:name="_Toc79163639"/>
      <w:bookmarkStart w:id="91" w:name="_Toc7929"/>
      <w:bookmarkStart w:id="92" w:name="_Toc4427"/>
      <w:r>
        <w:rPr>
          <w:rStyle w:val="21"/>
          <w:rFonts w:hint="eastAsia" w:ascii="仿宋" w:eastAsia="仿宋"/>
          <w:b w:val="0"/>
          <w:bCs w:val="0"/>
        </w:rPr>
        <w:t>四、</w:t>
      </w:r>
      <w:r>
        <w:rPr>
          <w:rFonts w:hint="eastAsia" w:ascii="仿宋" w:hAnsi="Cambria" w:eastAsia="仿宋" w:cs="Times New Roman"/>
          <w:b w:val="0"/>
          <w:bCs/>
          <w:color w:val="000000"/>
          <w:kern w:val="2"/>
          <w:sz w:val="32"/>
          <w:szCs w:val="32"/>
          <w:lang w:val="en-US" w:eastAsia="zh-CN" w:bidi="ar-SA"/>
        </w:rPr>
        <w:t>财</w:t>
      </w:r>
      <w:r>
        <w:rPr>
          <w:rStyle w:val="21"/>
          <w:rFonts w:hint="eastAsia" w:ascii="仿宋" w:eastAsia="仿宋"/>
          <w:b w:val="0"/>
          <w:bCs w:val="0"/>
        </w:rPr>
        <w:t>政拨款收入支出决算总表</w:t>
      </w:r>
      <w:bookmarkEnd w:id="89"/>
      <w:bookmarkEnd w:id="90"/>
      <w:bookmarkEnd w:id="91"/>
      <w:bookmarkEnd w:id="92"/>
    </w:p>
    <w:p>
      <w:pPr>
        <w:keepNext/>
        <w:keepLines/>
        <w:widowControl w:val="0"/>
        <w:spacing w:before="260" w:after="260" w:line="415" w:lineRule="auto"/>
        <w:jc w:val="both"/>
        <w:outlineLvl w:val="1"/>
        <w:rPr>
          <w:rStyle w:val="21"/>
          <w:rFonts w:ascii="仿宋" w:hAnsi="Cambria" w:eastAsia="仿宋" w:cs="Times New Roman"/>
          <w:b w:val="0"/>
          <w:bCs w:val="0"/>
          <w:kern w:val="2"/>
          <w:sz w:val="32"/>
          <w:szCs w:val="32"/>
          <w:lang w:val="en-US" w:eastAsia="zh-CN" w:bidi="ar-SA"/>
        </w:rPr>
      </w:pPr>
      <w:bookmarkStart w:id="93" w:name="_Toc11596"/>
      <w:bookmarkStart w:id="94" w:name="_Toc15396623"/>
      <w:bookmarkStart w:id="95" w:name="_Toc20440"/>
      <w:bookmarkStart w:id="96" w:name="_Toc79163640"/>
      <w:r>
        <w:rPr>
          <w:rStyle w:val="21"/>
          <w:rFonts w:hint="eastAsia" w:ascii="仿宋" w:eastAsia="仿宋"/>
          <w:b w:val="0"/>
          <w:bCs w:val="0"/>
        </w:rPr>
        <w:t>五、</w:t>
      </w:r>
      <w:r>
        <w:rPr>
          <w:rFonts w:hint="eastAsia" w:ascii="仿宋" w:hAnsi="Cambria" w:eastAsia="仿宋" w:cs="Times New Roman"/>
          <w:b w:val="0"/>
          <w:bCs/>
          <w:color w:val="000000"/>
          <w:kern w:val="2"/>
          <w:sz w:val="32"/>
          <w:szCs w:val="32"/>
          <w:lang w:val="en-US" w:eastAsia="zh-CN" w:bidi="ar-SA"/>
        </w:rPr>
        <w:t>财</w:t>
      </w:r>
      <w:r>
        <w:rPr>
          <w:rStyle w:val="21"/>
          <w:rFonts w:hint="eastAsia" w:ascii="仿宋" w:eastAsia="仿宋"/>
          <w:b w:val="0"/>
          <w:bCs w:val="0"/>
        </w:rPr>
        <w:t>政拨款支出决算明细表</w:t>
      </w:r>
      <w:bookmarkEnd w:id="93"/>
      <w:bookmarkEnd w:id="94"/>
      <w:bookmarkEnd w:id="95"/>
      <w:bookmarkEnd w:id="96"/>
      <w:bookmarkStart w:id="97" w:name="_Toc15396624"/>
    </w:p>
    <w:p>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98" w:name="_Toc19714"/>
      <w:bookmarkStart w:id="99" w:name="_Toc10532"/>
      <w:bookmarkStart w:id="100" w:name="_Toc79163641"/>
      <w:r>
        <w:rPr>
          <w:rStyle w:val="21"/>
          <w:rFonts w:hint="eastAsia" w:ascii="仿宋" w:eastAsia="仿宋"/>
          <w:b w:val="0"/>
          <w:bCs w:val="0"/>
        </w:rPr>
        <w:t>六、</w:t>
      </w:r>
      <w:r>
        <w:rPr>
          <w:rFonts w:hint="eastAsia" w:ascii="仿宋" w:hAnsi="Cambria" w:eastAsia="仿宋" w:cs="Times New Roman"/>
          <w:b w:val="0"/>
          <w:bCs/>
          <w:color w:val="000000"/>
          <w:kern w:val="2"/>
          <w:sz w:val="32"/>
          <w:szCs w:val="32"/>
          <w:lang w:val="en-US" w:eastAsia="zh-CN" w:bidi="ar-SA"/>
        </w:rPr>
        <w:t>一</w:t>
      </w:r>
      <w:r>
        <w:rPr>
          <w:rStyle w:val="21"/>
          <w:rFonts w:hint="eastAsia" w:ascii="仿宋" w:eastAsia="仿宋"/>
          <w:b w:val="0"/>
          <w:bCs w:val="0"/>
        </w:rPr>
        <w:t>般公共预算财政拨款支出决算表</w:t>
      </w:r>
      <w:bookmarkEnd w:id="97"/>
      <w:bookmarkEnd w:id="98"/>
      <w:bookmarkEnd w:id="99"/>
      <w:bookmarkEnd w:id="100"/>
    </w:p>
    <w:p>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01" w:name="_Toc15396625"/>
      <w:bookmarkStart w:id="102" w:name="_Toc79163642"/>
      <w:bookmarkStart w:id="103" w:name="_Toc28072"/>
      <w:bookmarkStart w:id="104" w:name="_Toc1017"/>
      <w:r>
        <w:rPr>
          <w:rStyle w:val="21"/>
          <w:rFonts w:hint="eastAsia" w:ascii="仿宋" w:eastAsia="仿宋"/>
          <w:b w:val="0"/>
          <w:bCs w:val="0"/>
        </w:rPr>
        <w:t>七、</w:t>
      </w:r>
      <w:r>
        <w:rPr>
          <w:rFonts w:hint="eastAsia" w:ascii="仿宋" w:hAnsi="Cambria" w:eastAsia="仿宋" w:cs="Times New Roman"/>
          <w:b w:val="0"/>
          <w:bCs/>
          <w:color w:val="000000"/>
          <w:kern w:val="2"/>
          <w:sz w:val="32"/>
          <w:szCs w:val="32"/>
          <w:lang w:val="en-US" w:eastAsia="zh-CN" w:bidi="ar-SA"/>
        </w:rPr>
        <w:t>一</w:t>
      </w:r>
      <w:r>
        <w:rPr>
          <w:rStyle w:val="21"/>
          <w:rFonts w:hint="eastAsia" w:ascii="仿宋" w:eastAsia="仿宋"/>
          <w:b w:val="0"/>
          <w:bCs w:val="0"/>
        </w:rPr>
        <w:t>般公共预算财政拨款支出决算明细表</w:t>
      </w:r>
      <w:bookmarkEnd w:id="101"/>
      <w:bookmarkEnd w:id="102"/>
      <w:bookmarkEnd w:id="103"/>
      <w:bookmarkEnd w:id="104"/>
    </w:p>
    <w:p>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05" w:name="_Toc32767"/>
      <w:bookmarkStart w:id="106" w:name="_Toc29912"/>
      <w:bookmarkStart w:id="107" w:name="_Toc15396626"/>
      <w:bookmarkStart w:id="108" w:name="_Toc79163643"/>
      <w:r>
        <w:rPr>
          <w:rStyle w:val="21"/>
          <w:rFonts w:hint="eastAsia" w:ascii="仿宋" w:eastAsia="仿宋"/>
          <w:b w:val="0"/>
          <w:bCs w:val="0"/>
        </w:rPr>
        <w:t>八、</w:t>
      </w:r>
      <w:r>
        <w:rPr>
          <w:rFonts w:hint="eastAsia" w:ascii="仿宋" w:hAnsi="Cambria" w:eastAsia="仿宋" w:cs="Times New Roman"/>
          <w:b w:val="0"/>
          <w:bCs/>
          <w:color w:val="000000"/>
          <w:kern w:val="2"/>
          <w:sz w:val="32"/>
          <w:szCs w:val="32"/>
          <w:lang w:val="en-US" w:eastAsia="zh-CN" w:bidi="ar-SA"/>
        </w:rPr>
        <w:t>一</w:t>
      </w:r>
      <w:r>
        <w:rPr>
          <w:rStyle w:val="21"/>
          <w:rFonts w:hint="eastAsia" w:ascii="仿宋" w:eastAsia="仿宋"/>
          <w:b w:val="0"/>
          <w:bCs w:val="0"/>
        </w:rPr>
        <w:t>般公共预算财政拨款基本支出决算表</w:t>
      </w:r>
      <w:bookmarkEnd w:id="105"/>
      <w:bookmarkEnd w:id="106"/>
      <w:bookmarkEnd w:id="107"/>
      <w:bookmarkEnd w:id="108"/>
    </w:p>
    <w:p>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09" w:name="_Toc25673"/>
      <w:bookmarkStart w:id="110" w:name="_Toc79163894"/>
      <w:bookmarkStart w:id="111" w:name="_Toc79163644"/>
      <w:bookmarkStart w:id="112" w:name="_Toc692"/>
      <w:bookmarkStart w:id="113" w:name="_Toc15396627"/>
      <w:r>
        <w:rPr>
          <w:rStyle w:val="21"/>
          <w:rFonts w:hint="eastAsia" w:ascii="仿宋" w:eastAsia="仿宋"/>
          <w:b w:val="0"/>
          <w:bCs w:val="0"/>
        </w:rPr>
        <w:t>九、</w:t>
      </w:r>
      <w:r>
        <w:rPr>
          <w:rFonts w:hint="eastAsia" w:ascii="仿宋" w:hAnsi="Cambria" w:eastAsia="仿宋" w:cs="Times New Roman"/>
          <w:b w:val="0"/>
          <w:bCs/>
          <w:color w:val="000000"/>
          <w:kern w:val="2"/>
          <w:sz w:val="32"/>
          <w:szCs w:val="32"/>
          <w:lang w:val="en-US" w:eastAsia="zh-CN" w:bidi="ar-SA"/>
        </w:rPr>
        <w:t>一</w:t>
      </w:r>
      <w:r>
        <w:rPr>
          <w:rStyle w:val="21"/>
          <w:rFonts w:hint="eastAsia" w:ascii="仿宋" w:eastAsia="仿宋"/>
          <w:b w:val="0"/>
          <w:bCs w:val="0"/>
        </w:rPr>
        <w:t>般公共预算财政拨款项目支出决算表</w:t>
      </w:r>
      <w:bookmarkEnd w:id="109"/>
      <w:bookmarkEnd w:id="110"/>
      <w:bookmarkEnd w:id="111"/>
      <w:bookmarkEnd w:id="112"/>
      <w:bookmarkEnd w:id="113"/>
    </w:p>
    <w:p>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14" w:name="_Toc79163645"/>
      <w:bookmarkStart w:id="115" w:name="_Toc15396628"/>
      <w:bookmarkStart w:id="116" w:name="_Toc79163895"/>
      <w:bookmarkStart w:id="117" w:name="_Toc27278"/>
      <w:bookmarkStart w:id="118" w:name="_Toc29832"/>
      <w:r>
        <w:rPr>
          <w:rStyle w:val="21"/>
          <w:rFonts w:hint="eastAsia" w:ascii="仿宋" w:eastAsia="仿宋"/>
          <w:b w:val="0"/>
          <w:bCs w:val="0"/>
        </w:rPr>
        <w:t>十、</w:t>
      </w:r>
      <w:bookmarkEnd w:id="114"/>
      <w:bookmarkEnd w:id="115"/>
      <w:bookmarkEnd w:id="116"/>
      <w:bookmarkStart w:id="119" w:name="_Toc79163646"/>
      <w:bookmarkStart w:id="120" w:name="_Toc15396629"/>
      <w:r>
        <w:rPr>
          <w:rFonts w:hint="eastAsia" w:ascii="仿宋" w:hAnsi="Cambria" w:eastAsia="仿宋" w:cs="Times New Roman"/>
          <w:b w:val="0"/>
          <w:bCs/>
          <w:color w:val="000000"/>
          <w:kern w:val="2"/>
          <w:sz w:val="32"/>
          <w:szCs w:val="32"/>
          <w:lang w:val="en-US" w:eastAsia="zh-CN" w:bidi="ar-SA"/>
        </w:rPr>
        <w:t>政</w:t>
      </w:r>
      <w:r>
        <w:rPr>
          <w:rStyle w:val="21"/>
          <w:rFonts w:hint="eastAsia" w:ascii="仿宋" w:eastAsia="仿宋"/>
          <w:b w:val="0"/>
          <w:bCs w:val="0"/>
        </w:rPr>
        <w:t>府性基金预算财政拨款收入支出决算表</w:t>
      </w:r>
      <w:bookmarkEnd w:id="117"/>
      <w:bookmarkEnd w:id="118"/>
      <w:bookmarkEnd w:id="119"/>
      <w:bookmarkEnd w:id="120"/>
    </w:p>
    <w:p>
      <w:pPr>
        <w:keepNext/>
        <w:keepLines/>
        <w:widowControl w:val="0"/>
        <w:spacing w:before="260" w:after="260" w:line="415" w:lineRule="auto"/>
        <w:jc w:val="both"/>
        <w:outlineLvl w:val="1"/>
        <w:rPr>
          <w:rStyle w:val="21"/>
          <w:rFonts w:ascii="仿宋" w:hAnsi="Cambria" w:eastAsia="仿宋" w:cs="Times New Roman"/>
          <w:b w:val="0"/>
          <w:bCs w:val="0"/>
          <w:kern w:val="2"/>
          <w:sz w:val="32"/>
          <w:szCs w:val="32"/>
          <w:lang w:val="en-US" w:eastAsia="zh-CN" w:bidi="ar-SA"/>
        </w:rPr>
      </w:pPr>
      <w:bookmarkStart w:id="121" w:name="_Toc15396630"/>
      <w:bookmarkStart w:id="122" w:name="_Toc79163647"/>
      <w:bookmarkStart w:id="123" w:name="_Toc79163897"/>
      <w:bookmarkStart w:id="124" w:name="_Toc19364"/>
      <w:bookmarkStart w:id="125" w:name="_Toc31206"/>
      <w:r>
        <w:rPr>
          <w:rStyle w:val="21"/>
          <w:rFonts w:hint="eastAsia" w:ascii="仿宋" w:eastAsia="仿宋"/>
          <w:b w:val="0"/>
          <w:bCs w:val="0"/>
        </w:rPr>
        <w:t>十</w:t>
      </w:r>
      <w:bookmarkEnd w:id="121"/>
      <w:bookmarkEnd w:id="122"/>
      <w:bookmarkEnd w:id="123"/>
      <w:bookmarkStart w:id="126" w:name="_Toc15396631"/>
      <w:bookmarkStart w:id="127" w:name="_Toc79163648"/>
      <w:r>
        <w:rPr>
          <w:rStyle w:val="21"/>
          <w:rFonts w:hint="eastAsia" w:ascii="仿宋" w:eastAsia="仿宋"/>
          <w:b w:val="0"/>
          <w:bCs w:val="0"/>
          <w:lang w:val="en-US" w:eastAsia="zh-CN"/>
        </w:rPr>
        <w:t>一</w:t>
      </w:r>
      <w:r>
        <w:rPr>
          <w:rStyle w:val="21"/>
          <w:rFonts w:hint="eastAsia" w:ascii="仿宋" w:eastAsia="仿宋"/>
          <w:b w:val="0"/>
          <w:bCs w:val="0"/>
        </w:rPr>
        <w:t>、</w:t>
      </w:r>
      <w:r>
        <w:rPr>
          <w:rFonts w:hint="eastAsia" w:ascii="仿宋" w:hAnsi="Cambria" w:eastAsia="仿宋" w:cs="Times New Roman"/>
          <w:b w:val="0"/>
          <w:bCs/>
          <w:color w:val="000000"/>
          <w:kern w:val="2"/>
          <w:sz w:val="32"/>
          <w:szCs w:val="32"/>
          <w:lang w:val="en-US" w:eastAsia="zh-CN" w:bidi="ar-SA"/>
        </w:rPr>
        <w:t>国</w:t>
      </w:r>
      <w:r>
        <w:rPr>
          <w:rStyle w:val="21"/>
          <w:rFonts w:hint="eastAsia" w:ascii="仿宋" w:eastAsia="仿宋"/>
          <w:b w:val="0"/>
          <w:bCs w:val="0"/>
        </w:rPr>
        <w:t>有资本经营预算财政拨款</w:t>
      </w:r>
      <w:r>
        <w:rPr>
          <w:rStyle w:val="21"/>
          <w:rFonts w:hint="eastAsia" w:ascii="仿宋" w:eastAsia="仿宋"/>
          <w:b w:val="0"/>
          <w:bCs w:val="0"/>
          <w:lang w:val="en-US" w:eastAsia="zh-CN"/>
        </w:rPr>
        <w:t>收入</w:t>
      </w:r>
      <w:r>
        <w:rPr>
          <w:rStyle w:val="21"/>
          <w:rFonts w:hint="eastAsia" w:ascii="仿宋" w:eastAsia="仿宋"/>
          <w:b w:val="0"/>
          <w:bCs w:val="0"/>
        </w:rPr>
        <w:t>支出决算表</w:t>
      </w:r>
      <w:bookmarkEnd w:id="124"/>
      <w:bookmarkEnd w:id="125"/>
      <w:bookmarkEnd w:id="126"/>
      <w:bookmarkEnd w:id="127"/>
    </w:p>
    <w:p>
      <w:pPr>
        <w:keepNext/>
        <w:keepLines/>
        <w:widowControl w:val="0"/>
        <w:spacing w:before="260" w:after="260" w:line="415" w:lineRule="auto"/>
        <w:jc w:val="both"/>
        <w:outlineLvl w:val="1"/>
        <w:rPr>
          <w:rStyle w:val="21"/>
          <w:rFonts w:hint="eastAsia" w:ascii="仿宋" w:hAnsi="Cambria" w:eastAsia="仿宋" w:cs="Times New Roman"/>
          <w:b w:val="0"/>
          <w:bCs w:val="0"/>
          <w:kern w:val="2"/>
          <w:sz w:val="32"/>
          <w:szCs w:val="32"/>
          <w:lang w:val="en-US" w:eastAsia="zh-CN" w:bidi="ar-SA"/>
        </w:rPr>
      </w:pPr>
      <w:bookmarkStart w:id="128" w:name="_Toc14242"/>
      <w:bookmarkStart w:id="129" w:name="_Toc79163649"/>
      <w:bookmarkStart w:id="130" w:name="_Toc16172"/>
      <w:r>
        <w:rPr>
          <w:rStyle w:val="21"/>
          <w:rFonts w:hint="eastAsia" w:ascii="仿宋" w:eastAsia="仿宋"/>
          <w:b w:val="0"/>
          <w:bCs w:val="0"/>
        </w:rPr>
        <w:t>十</w:t>
      </w:r>
      <w:r>
        <w:rPr>
          <w:rStyle w:val="21"/>
          <w:rFonts w:hint="eastAsia" w:ascii="仿宋" w:eastAsia="仿宋"/>
          <w:b w:val="0"/>
          <w:bCs w:val="0"/>
          <w:lang w:val="en-US" w:eastAsia="zh-CN"/>
        </w:rPr>
        <w:t>二</w:t>
      </w:r>
      <w:r>
        <w:rPr>
          <w:rStyle w:val="21"/>
          <w:rFonts w:hint="eastAsia" w:ascii="仿宋" w:eastAsia="仿宋"/>
          <w:b w:val="0"/>
          <w:bCs w:val="0"/>
        </w:rPr>
        <w:t>、国有资本经营预算财政拨款支出决算表</w:t>
      </w:r>
      <w:bookmarkEnd w:id="128"/>
      <w:bookmarkEnd w:id="129"/>
      <w:bookmarkEnd w:id="130"/>
    </w:p>
    <w:p>
      <w:pPr>
        <w:rPr>
          <w:rFonts w:ascii="Times New Roman" w:hAnsi="Times New Roman" w:cs="Times New Roman"/>
        </w:rPr>
      </w:pPr>
      <w:bookmarkStart w:id="131" w:name="_Toc31314"/>
      <w:bookmarkStart w:id="132" w:name="_Toc18470"/>
      <w:r>
        <w:rPr>
          <w:rStyle w:val="21"/>
          <w:rFonts w:hint="eastAsia" w:ascii="仿宋" w:eastAsia="仿宋"/>
          <w:b w:val="0"/>
          <w:bCs w:val="0"/>
          <w:lang w:val="en-US" w:eastAsia="zh-CN"/>
        </w:rPr>
        <w:t>十三、</w:t>
      </w:r>
      <w:r>
        <w:rPr>
          <w:rStyle w:val="21"/>
          <w:rFonts w:hint="eastAsia" w:ascii="仿宋" w:eastAsia="仿宋"/>
          <w:b w:val="0"/>
          <w:bCs w:val="0"/>
        </w:rPr>
        <w:t>财政拨款“三公”经费支出决算表</w:t>
      </w:r>
      <w:bookmarkEnd w:id="131"/>
      <w:bookmarkEnd w:id="132"/>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FangSong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CCE1D5"/>
    <w:multiLevelType w:val="singleLevel"/>
    <w:tmpl w:val="06CCE1D5"/>
    <w:lvl w:ilvl="0" w:tentative="0">
      <w:start w:val="4"/>
      <w:numFmt w:val="chineseCounting"/>
      <w:suff w:val="nothing"/>
      <w:lvlText w:val="%1、"/>
      <w:lvlJc w:val="left"/>
      <w:rPr>
        <w:rFonts w:hint="eastAsia"/>
      </w:rPr>
    </w:lvl>
  </w:abstractNum>
  <w:abstractNum w:abstractNumId="1">
    <w:nsid w:val="43BF398C"/>
    <w:multiLevelType w:val="singleLevel"/>
    <w:tmpl w:val="43BF398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F23E2"/>
    <w:rsid w:val="38EF23E2"/>
    <w:rsid w:val="521975B9"/>
    <w:rsid w:val="5BDE6099"/>
    <w:rsid w:val="7DDA1F16"/>
    <w:rsid w:val="EFFB3D45"/>
    <w:rsid w:val="FC7CD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99"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beforeLines="30"/>
    </w:pPr>
    <w:rPr>
      <w:rFonts w:ascii="FangSong_GB2312" w:eastAsia="FangSong_GB2312"/>
      <w:kern w:val="0"/>
      <w:sz w:val="30"/>
    </w:rPr>
  </w:style>
  <w:style w:type="paragraph" w:styleId="3">
    <w:name w:val="index 8"/>
    <w:basedOn w:val="1"/>
    <w:next w:val="1"/>
    <w:qFormat/>
    <w:uiPriority w:val="99"/>
    <w:pPr>
      <w:ind w:left="2940"/>
    </w:pPr>
  </w:style>
  <w:style w:type="paragraph" w:styleId="6">
    <w:name w:val="Body Text Indent"/>
    <w:basedOn w:val="1"/>
    <w:next w:val="7"/>
    <w:qFormat/>
    <w:uiPriority w:val="0"/>
    <w:pPr>
      <w:spacing w:after="120"/>
      <w:ind w:left="420" w:leftChars="200"/>
    </w:pPr>
  </w:style>
  <w:style w:type="paragraph" w:styleId="7">
    <w:name w:val="Body Text First Indent 2"/>
    <w:basedOn w:val="6"/>
    <w:qFormat/>
    <w:uiPriority w:val="0"/>
    <w:rPr>
      <w:rFonts w:ascii="Calibri" w:hAnsi="Calibri" w:eastAsia="宋体" w:cs="Times New Roman"/>
    </w:rPr>
  </w:style>
  <w:style w:type="paragraph" w:styleId="8">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paragraph" w:customStyle="1" w:styleId="1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7">
    <w:name w:val="列出段落1"/>
    <w:basedOn w:val="1"/>
    <w:qFormat/>
    <w:uiPriority w:val="34"/>
    <w:pPr>
      <w:ind w:firstLine="420" w:firstLineChars="200"/>
    </w:pPr>
    <w:rPr>
      <w:rFonts w:ascii="Calibri" w:hAnsi="Calibri" w:eastAsia="宋体" w:cs="Times New Roman"/>
    </w:rPr>
  </w:style>
  <w:style w:type="character" w:customStyle="1" w:styleId="18">
    <w:name w:val="标题 2 Char"/>
    <w:basedOn w:val="14"/>
    <w:link w:val="5"/>
    <w:qFormat/>
    <w:uiPriority w:val="9"/>
    <w:rPr>
      <w:rFonts w:ascii="Cambria" w:hAnsi="Cambria" w:eastAsia="宋体" w:cs="Times New Roman"/>
      <w:b/>
      <w:bCs/>
      <w:sz w:val="32"/>
      <w:szCs w:val="32"/>
    </w:rPr>
  </w:style>
  <w:style w:type="character" w:customStyle="1" w:styleId="19">
    <w:name w:val="标题 1 Char"/>
    <w:basedOn w:val="14"/>
    <w:link w:val="4"/>
    <w:qFormat/>
    <w:uiPriority w:val="9"/>
    <w:rPr>
      <w:b/>
      <w:bCs/>
      <w:kern w:val="44"/>
      <w:sz w:val="44"/>
      <w:szCs w:val="44"/>
    </w:rPr>
  </w:style>
  <w:style w:type="character" w:customStyle="1" w:styleId="20">
    <w:name w:val="heading 1 Char"/>
    <w:basedOn w:val="14"/>
    <w:link w:val="4"/>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4"/>
    <w:link w:val="5"/>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image" Target="media/image1.jpe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_rels/chart8.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C:\Users\86199\Desktop\&#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rgbClr val="4F81BD"/>
            </a:solidFill>
            <a:ln>
              <a:noFill/>
            </a:ln>
            <a:effectLst/>
          </c:spPr>
          <c:invertIfNegative val="0"/>
          <c:dLbls>
            <c:delete val="1"/>
          </c:dLbls>
          <c:cat>
            <c:strRef>
              <c:f>[决算公开分析图表.xls]Sheet1!$A$3:$B$3</c:f>
              <c:strCache>
                <c:ptCount val="2"/>
                <c:pt idx="0">
                  <c:v>2022年</c:v>
                </c:pt>
                <c:pt idx="1">
                  <c:v>2023年</c:v>
                </c:pt>
              </c:strCache>
            </c:strRef>
          </c:cat>
          <c:val>
            <c:numRef>
              <c:f>[决算公开分析图表.xls]Sheet1!$A$4:$B$4</c:f>
              <c:numCache>
                <c:formatCode>#,##0.00</c:formatCode>
                <c:ptCount val="2"/>
                <c:pt idx="0">
                  <c:v>114.96</c:v>
                </c:pt>
                <c:pt idx="1">
                  <c:v>124.92</c:v>
                </c:pt>
              </c:numCache>
            </c:numRef>
          </c:val>
        </c:ser>
        <c:dLbls>
          <c:showLegendKey val="0"/>
          <c:showVal val="0"/>
          <c:showCatName val="0"/>
          <c:showSerName val="0"/>
          <c:showPercent val="0"/>
          <c:showBubbleSize val="0"/>
        </c:dLbls>
        <c:gapWidth val="219"/>
        <c:overlap val="-27"/>
        <c:axId val="188821247"/>
        <c:axId val="343412034"/>
      </c:barChart>
      <c:catAx>
        <c:axId val="188821247"/>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43412034"/>
        <c:crosses val="autoZero"/>
        <c:auto val="1"/>
        <c:lblAlgn val="ctr"/>
        <c:lblOffset val="100"/>
        <c:noMultiLvlLbl val="0"/>
      </c:catAx>
      <c:valAx>
        <c:axId val="343412034"/>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88821247"/>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rgbClr val="4F81BD"/>
            </a:solidFill>
            <a:ln>
              <a:noFill/>
            </a:ln>
            <a:effectLst/>
          </c:spPr>
          <c:invertIfNegative val="0"/>
          <c:dLbls>
            <c:delete val="1"/>
          </c:dLbls>
          <c:cat>
            <c:strRef>
              <c:f>[决算公开分析图表.xls]Sheet1!$A$24:$B$24</c:f>
              <c:strCache>
                <c:ptCount val="2"/>
                <c:pt idx="0">
                  <c:v>2022年</c:v>
                </c:pt>
                <c:pt idx="1">
                  <c:v>2023年</c:v>
                </c:pt>
              </c:strCache>
            </c:strRef>
          </c:cat>
          <c:val>
            <c:numRef>
              <c:f>[决算公开分析图表.xls]Sheet1!$A$25:$B$25</c:f>
              <c:numCache>
                <c:formatCode>#,##0.00</c:formatCode>
                <c:ptCount val="2"/>
                <c:pt idx="0">
                  <c:v>118.09</c:v>
                </c:pt>
                <c:pt idx="1">
                  <c:v>124.92</c:v>
                </c:pt>
              </c:numCache>
            </c:numRef>
          </c:val>
        </c:ser>
        <c:dLbls>
          <c:showLegendKey val="0"/>
          <c:showVal val="0"/>
          <c:showCatName val="0"/>
          <c:showSerName val="0"/>
          <c:showPercent val="0"/>
          <c:showBubbleSize val="0"/>
        </c:dLbls>
        <c:gapWidth val="219"/>
        <c:overlap val="-27"/>
        <c:axId val="836537050"/>
        <c:axId val="756068125"/>
      </c:barChart>
      <c:catAx>
        <c:axId val="836537050"/>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756068125"/>
        <c:crosses val="autoZero"/>
        <c:auto val="1"/>
        <c:lblAlgn val="ctr"/>
        <c:lblOffset val="100"/>
        <c:noMultiLvlLbl val="0"/>
      </c:catAx>
      <c:valAx>
        <c:axId val="756068125"/>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836537050"/>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rgbClr val="4F81BD"/>
              </a:solidFill>
              <a:ln w="19050">
                <a:solidFill>
                  <a:srgbClr val="FFFFFF"/>
                </a:solidFill>
              </a:ln>
              <a:effectLst/>
            </c:spPr>
          </c:dPt>
          <c:dPt>
            <c:idx val="1"/>
            <c:bubble3D val="0"/>
            <c:explosion val="0"/>
            <c:spPr>
              <a:solidFill>
                <a:srgbClr val="C0504D"/>
              </a:solidFill>
              <a:ln w="19050">
                <a:solidFill>
                  <a:srgbClr val="FFFFFF"/>
                </a:solidFill>
              </a:ln>
              <a:effectLst/>
            </c:spPr>
          </c:dPt>
          <c:dPt>
            <c:idx val="2"/>
            <c:bubble3D val="0"/>
            <c:explosion val="0"/>
            <c:spPr>
              <a:solidFill>
                <a:srgbClr val="9BBB59"/>
              </a:solidFill>
              <a:ln w="19050">
                <a:solidFill>
                  <a:srgbClr val="FFFFFF"/>
                </a:solidFill>
              </a:ln>
              <a:effectLst/>
            </c:spPr>
          </c:dPt>
          <c:dPt>
            <c:idx val="3"/>
            <c:bubble3D val="0"/>
            <c:explosion val="0"/>
            <c:spPr>
              <a:solidFill>
                <a:srgbClr val="8064A2"/>
              </a:solidFill>
              <a:ln w="19050">
                <a:solidFill>
                  <a:srgbClr val="FFFFFF"/>
                </a:solidFill>
              </a:ln>
              <a:effectLst/>
            </c:spPr>
          </c:dPt>
          <c:dPt>
            <c:idx val="4"/>
            <c:bubble3D val="0"/>
            <c:explosion val="0"/>
            <c:spPr>
              <a:solidFill>
                <a:srgbClr val="4BACC6"/>
              </a:solidFill>
              <a:ln w="19050">
                <a:solidFill>
                  <a:srgbClr val="FFFFFF"/>
                </a:solidFill>
              </a:ln>
              <a:effectLst/>
            </c:spPr>
          </c:dPt>
          <c:dLbls>
            <c:delete val="1"/>
          </c:dLbls>
          <c:cat>
            <c:strRef>
              <c:f>[决算公开分析图表.xls]Sheet1!$C$58:$C$62</c:f>
              <c:strCache>
                <c:ptCount val="5"/>
                <c:pt idx="0">
                  <c:v>基本支出</c:v>
                </c:pt>
                <c:pt idx="1">
                  <c:v>项目支出</c:v>
                </c:pt>
                <c:pt idx="2">
                  <c:v>上缴上级支出</c:v>
                </c:pt>
                <c:pt idx="3">
                  <c:v>经营支出</c:v>
                </c:pt>
                <c:pt idx="4">
                  <c:v>对附属单位补助支出</c:v>
                </c:pt>
              </c:strCache>
            </c:strRef>
          </c:cat>
          <c:val>
            <c:numRef>
              <c:f>[决算公开分析图表.xls]Sheet1!$D$58:$D$62</c:f>
              <c:numCache>
                <c:formatCode>#,##0.00</c:formatCode>
                <c:ptCount val="5"/>
                <c:pt idx="0">
                  <c:v>114.03</c:v>
                </c:pt>
                <c:pt idx="1">
                  <c:v>10.89</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rgbClr val="4F81BD"/>
            </a:solidFill>
            <a:ln>
              <a:noFill/>
            </a:ln>
            <a:effectLst/>
          </c:spPr>
          <c:invertIfNegative val="0"/>
          <c:dLbls>
            <c:delete val="1"/>
          </c:dLbls>
          <c:cat>
            <c:strRef>
              <c:f>[决算公开分析图表.xls]Sheet1!$A$83:$B$83</c:f>
              <c:strCache>
                <c:ptCount val="2"/>
                <c:pt idx="0">
                  <c:v>2022年</c:v>
                </c:pt>
                <c:pt idx="1">
                  <c:v>2023年</c:v>
                </c:pt>
              </c:strCache>
            </c:strRef>
          </c:cat>
          <c:val>
            <c:numRef>
              <c:f>[决算公开分析图表.xls]Sheet1!$A$84:$B$84</c:f>
              <c:numCache>
                <c:formatCode>#,##0.00</c:formatCode>
                <c:ptCount val="2"/>
                <c:pt idx="0">
                  <c:v>114.96</c:v>
                </c:pt>
                <c:pt idx="1">
                  <c:v>124.92</c:v>
                </c:pt>
              </c:numCache>
            </c:numRef>
          </c:val>
        </c:ser>
        <c:dLbls>
          <c:showLegendKey val="0"/>
          <c:showVal val="0"/>
          <c:showCatName val="0"/>
          <c:showSerName val="0"/>
          <c:showPercent val="0"/>
          <c:showBubbleSize val="0"/>
        </c:dLbls>
        <c:gapWidth val="219"/>
        <c:overlap val="-27"/>
        <c:axId val="457826490"/>
        <c:axId val="644117004"/>
      </c:barChart>
      <c:catAx>
        <c:axId val="457826490"/>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644117004"/>
        <c:crosses val="autoZero"/>
        <c:auto val="1"/>
        <c:lblAlgn val="ctr"/>
        <c:lblOffset val="100"/>
        <c:noMultiLvlLbl val="0"/>
      </c:catAx>
      <c:valAx>
        <c:axId val="644117004"/>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57826490"/>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rgbClr val="4F81BD"/>
            </a:solidFill>
            <a:ln>
              <a:noFill/>
            </a:ln>
            <a:effectLst/>
          </c:spPr>
          <c:invertIfNegative val="0"/>
          <c:dLbls>
            <c:delete val="1"/>
          </c:dLbls>
          <c:cat>
            <c:strRef>
              <c:f>[决算公开分析图表.xls]Sheet1!$A$100:$B$100</c:f>
              <c:strCache>
                <c:ptCount val="2"/>
                <c:pt idx="0">
                  <c:v>2022年</c:v>
                </c:pt>
                <c:pt idx="1">
                  <c:v>2023年</c:v>
                </c:pt>
              </c:strCache>
            </c:strRef>
          </c:cat>
          <c:val>
            <c:numRef>
              <c:f>[决算公开分析图表.xls]Sheet1!$A$101:$B$101</c:f>
              <c:numCache>
                <c:formatCode>#,##0.00</c:formatCode>
                <c:ptCount val="2"/>
                <c:pt idx="0">
                  <c:v>118.09</c:v>
                </c:pt>
                <c:pt idx="1">
                  <c:v>124.92</c:v>
                </c:pt>
              </c:numCache>
            </c:numRef>
          </c:val>
        </c:ser>
        <c:dLbls>
          <c:showLegendKey val="0"/>
          <c:showVal val="0"/>
          <c:showCatName val="0"/>
          <c:showSerName val="0"/>
          <c:showPercent val="0"/>
          <c:showBubbleSize val="0"/>
        </c:dLbls>
        <c:gapWidth val="219"/>
        <c:overlap val="-27"/>
        <c:axId val="266637117"/>
        <c:axId val="264915864"/>
      </c:barChart>
      <c:catAx>
        <c:axId val="266637117"/>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64915864"/>
        <c:crosses val="autoZero"/>
        <c:auto val="1"/>
        <c:lblAlgn val="ctr"/>
        <c:lblOffset val="100"/>
        <c:noMultiLvlLbl val="0"/>
      </c:catAx>
      <c:valAx>
        <c:axId val="264915864"/>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66637117"/>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rgbClr val="4F81BD"/>
            </a:solidFill>
            <a:ln>
              <a:noFill/>
            </a:ln>
            <a:effectLst/>
          </c:spPr>
          <c:invertIfNegative val="0"/>
          <c:dLbls>
            <c:delete val="1"/>
          </c:dLbls>
          <c:cat>
            <c:strRef>
              <c:f>[决算公开分析图表.xls]Sheet1!$A$116:$B$116</c:f>
              <c:strCache>
                <c:ptCount val="2"/>
                <c:pt idx="0">
                  <c:v>2022年</c:v>
                </c:pt>
                <c:pt idx="1">
                  <c:v>2023年</c:v>
                </c:pt>
              </c:strCache>
            </c:strRef>
          </c:cat>
          <c:val>
            <c:numRef>
              <c:f>[决算公开分析图表.xls]Sheet1!$A$117:$B$117</c:f>
              <c:numCache>
                <c:formatCode>#,##0.00</c:formatCode>
                <c:ptCount val="2"/>
                <c:pt idx="0">
                  <c:v>118.09</c:v>
                </c:pt>
                <c:pt idx="1">
                  <c:v>124.92</c:v>
                </c:pt>
              </c:numCache>
            </c:numRef>
          </c:val>
        </c:ser>
        <c:dLbls>
          <c:showLegendKey val="0"/>
          <c:showVal val="0"/>
          <c:showCatName val="0"/>
          <c:showSerName val="0"/>
          <c:showPercent val="0"/>
          <c:showBubbleSize val="0"/>
        </c:dLbls>
        <c:gapWidth val="219"/>
        <c:overlap val="-27"/>
        <c:axId val="948676234"/>
        <c:axId val="645733434"/>
      </c:barChart>
      <c:catAx>
        <c:axId val="948676234"/>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645733434"/>
        <c:crosses val="autoZero"/>
        <c:auto val="1"/>
        <c:lblAlgn val="ctr"/>
        <c:lblOffset val="100"/>
        <c:noMultiLvlLbl val="0"/>
      </c:catAx>
      <c:valAx>
        <c:axId val="645733434"/>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948676234"/>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rgbClr val="4F81BD"/>
              </a:solidFill>
              <a:ln w="19050">
                <a:solidFill>
                  <a:srgbClr val="FFFFFF"/>
                </a:solidFill>
              </a:ln>
              <a:effectLst/>
            </c:spPr>
          </c:dPt>
          <c:dPt>
            <c:idx val="1"/>
            <c:bubble3D val="0"/>
            <c:explosion val="0"/>
            <c:spPr>
              <a:solidFill>
                <a:srgbClr val="C0504D"/>
              </a:solidFill>
              <a:ln w="19050">
                <a:solidFill>
                  <a:srgbClr val="FFFFFF"/>
                </a:solidFill>
              </a:ln>
              <a:effectLst/>
            </c:spPr>
          </c:dPt>
          <c:dPt>
            <c:idx val="2"/>
            <c:bubble3D val="0"/>
            <c:explosion val="0"/>
            <c:spPr>
              <a:solidFill>
                <a:srgbClr val="9BBB59"/>
              </a:solidFill>
              <a:ln w="19050">
                <a:solidFill>
                  <a:srgbClr val="FFFFFF"/>
                </a:solidFill>
              </a:ln>
              <a:effectLst/>
            </c:spPr>
          </c:dPt>
          <c:dPt>
            <c:idx val="3"/>
            <c:bubble3D val="0"/>
            <c:explosion val="0"/>
            <c:spPr>
              <a:solidFill>
                <a:srgbClr val="8064A2"/>
              </a:solidFill>
              <a:ln w="19050">
                <a:solidFill>
                  <a:srgbClr val="FFFFFF"/>
                </a:solidFill>
              </a:ln>
              <a:effectLst/>
            </c:spPr>
          </c:dPt>
          <c:dLbls>
            <c:delete val="1"/>
          </c:dLbls>
          <c:cat>
            <c:strRef>
              <c:f>[决算公开分析图表.xls]Sheet1!$C$140:$C$143</c:f>
              <c:strCache>
                <c:ptCount val="4"/>
                <c:pt idx="0">
                  <c:v>教育支出</c:v>
                </c:pt>
                <c:pt idx="1">
                  <c:v>社会保障和就业支出</c:v>
                </c:pt>
                <c:pt idx="2">
                  <c:v>卫生健康支出</c:v>
                </c:pt>
                <c:pt idx="3">
                  <c:v>住房保障支出</c:v>
                </c:pt>
              </c:strCache>
            </c:strRef>
          </c:cat>
          <c:val>
            <c:numRef>
              <c:f>[决算公开分析图表.xls]Sheet1!$D$140:$D$143</c:f>
              <c:numCache>
                <c:formatCode>#,##0.00</c:formatCode>
                <c:ptCount val="4"/>
                <c:pt idx="0">
                  <c:v>5.05</c:v>
                </c:pt>
                <c:pt idx="1">
                  <c:v>107.34</c:v>
                </c:pt>
                <c:pt idx="2">
                  <c:v>5.62</c:v>
                </c:pt>
                <c:pt idx="3">
                  <c:v>6.92</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ysClr val="windowText" lastClr="000000">
                    <a:lumMod val="65000"/>
                    <a:lumOff val="35000"/>
                  </a:sys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spPr/>
          <c:explosion val="0"/>
          <c:dPt>
            <c:idx val="0"/>
            <c:bubble3D val="0"/>
            <c:explosion val="0"/>
            <c:spPr>
              <a:solidFill>
                <a:srgbClr val="4472C4"/>
              </a:solidFill>
              <a:ln>
                <a:noFill/>
              </a:ln>
              <a:effectLst/>
            </c:spPr>
          </c:dPt>
          <c:dPt>
            <c:idx val="1"/>
            <c:bubble3D val="0"/>
            <c:explosion val="0"/>
            <c:spPr>
              <a:solidFill>
                <a:srgbClr val="A5A5A5"/>
              </a:solidFill>
              <a:ln>
                <a:noFill/>
              </a:ln>
              <a:effectLst/>
            </c:spPr>
          </c:dPt>
          <c:dPt>
            <c:idx val="2"/>
            <c:bubble3D val="0"/>
            <c:explosion val="0"/>
            <c:spPr>
              <a:solidFill>
                <a:srgbClr val="5B9BD5"/>
              </a:solidFill>
              <a:ln>
                <a:noFill/>
              </a:ln>
              <a:effectLst/>
            </c:spPr>
          </c:dPt>
          <c:dLbls>
            <c:delete val="1"/>
          </c:dLbls>
          <c:cat>
            <c:strRef>
              <c:f>[决算公开分析图表.xls]Sheet1!$A$164:$A$166</c:f>
              <c:strCache>
                <c:ptCount val="3"/>
                <c:pt idx="0">
                  <c:v>因公出国（境）费</c:v>
                </c:pt>
                <c:pt idx="1">
                  <c:v>公务接待费</c:v>
                </c:pt>
                <c:pt idx="2">
                  <c:v>公务用车购置及运行维护费</c:v>
                </c:pt>
              </c:strCache>
            </c:strRef>
          </c:cat>
          <c:val>
            <c:numRef>
              <c:f>[决算公开分析图表.xls]Sheet1!$B$164:$B$166</c:f>
              <c:numCache>
                <c:formatCode>General</c:formatCode>
                <c:ptCount val="3"/>
                <c:pt idx="0">
                  <c:v>0</c:v>
                </c:pt>
                <c:pt idx="1">
                  <c:v>0</c:v>
                </c:pt>
                <c:pt idx="2">
                  <c:v>3.52</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329715620277511"/>
          <c:y val="0.894993894993895"/>
          <c:w val="0.928698997114988"/>
          <c:h val="0.07753357753357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chart>
  <c:spPr>
    <a:solidFill>
      <a:sysClr val="window" lastClr="FFFFFF"/>
    </a:solidFill>
    <a:ln w="9525" cap="flat" cmpd="sng" algn="ctr">
      <a:solidFill>
        <a:sysClr val="windowText" lastClr="000000">
          <a:lumMod val="15000"/>
          <a:lumOff val="85000"/>
        </a:sysClr>
      </a:solidFill>
      <a:prstDash val="solid"/>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1">
  <a:srgbClr val="4F81BD"/>
  <a:srgbClr val="9BBB59"/>
  <a:srgbClr val="4BACC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ysClr val="windowText" lastClr="000000"/>
    </cs:fontRef>
    <cs:defRPr sz="1000" b="1" kern="1200"/>
  </cs:axisTitle>
  <cs:categoryAxis>
    <cs:lnRef idx="1">
      <a:sysClr val="windowText" lastClr="000000">
        <a:tint val="75000"/>
      </a:sysClr>
    </cs:lnRef>
    <cs:fillRef idx="0"/>
    <cs:effectRef idx="0"/>
    <cs:fontRef idx="minor">
      <a:sysClr val="windowText" lastClr="000000"/>
    </cs:fontRef>
    <cs:spPr>
      <a:ln>
        <a:round/>
      </a:ln>
    </cs:spPr>
    <cs:defRPr sz="1000" kern="1200"/>
  </cs:categoryAxis>
  <cs:chartArea mods="allowNoFillOverride allowNoLineOverride">
    <cs:lnRef idx="1">
      <a:sysClr val="windowText" lastClr="000000">
        <a:tint val="75000"/>
      </a:sysClr>
    </cs:lnRef>
    <cs:fillRef idx="1">
      <a:sysClr val="window" lastClr="FFFFFF"/>
    </cs:fillRef>
    <cs:effectRef idx="0"/>
    <cs:fontRef idx="minor">
      <a:sysClr val="windowText" lastClr="000000"/>
    </cs:fontRef>
    <cs:spPr>
      <a:ln>
        <a:round/>
      </a:ln>
    </cs:spPr>
    <cs:defRPr sz="1000" kern="1200"/>
  </cs:chartArea>
  <cs:dataLabel>
    <cs:lnRef idx="0"/>
    <cs:fillRef idx="0"/>
    <cs:effectRef idx="0"/>
    <cs:fontRef idx="minor">
      <a:sysClr val="windowText" lastClr="000000"/>
    </cs:fontRef>
    <cs:defRPr sz="1000" kern="1200"/>
  </cs:dataLabel>
  <cs:dataLabelCallout>
    <cs:lnRef idx="0"/>
    <cs:fillRef idx="0"/>
    <cs:effectRef idx="0"/>
    <cs:fontRef idx="minor">
      <a:sysClr val="windowText" lastClr="000000"/>
    </cs:fontRef>
    <cs:spPr>
      <a:solidFill>
        <a:sysClr val="window" lastClr="FFFFFF"/>
      </a:solidFill>
      <a:ln>
        <a:solidFill>
          <a:sysClr val="windowText" lastClr="000000">
            <a:lumMod val="65000"/>
            <a:lumOff val="35000"/>
          </a:sysClr>
        </a:solidFill>
      </a:ln>
    </cs:spPr>
    <cs:defRPr sz="1000" kern="1200"/>
  </cs:dataLabelCallout>
  <cs:dataPoint>
    <cs:lnRef idx="0"/>
    <cs:fillRef idx="1">
      <cs:styleClr val="auto"/>
    </cs:fillRef>
    <cs:effectRef idx="0"/>
    <cs:fontRef idx="minor">
      <a:sysClr val="windowText" lastClr="000000"/>
    </cs:fontRef>
  </cs:dataPoint>
  <cs:dataPoint3D>
    <cs:lnRef idx="0"/>
    <cs:fillRef idx="1">
      <cs:styleClr val="auto"/>
    </cs:fillRef>
    <cs:effectRef idx="0"/>
    <cs:fontRef idx="minor">
      <a:sysClr val="windowText" lastClr="000000"/>
    </cs:fontRef>
  </cs:dataPoint3D>
  <cs:dataPointLine>
    <cs:lnRef idx="1">
      <cs:styleClr val="auto"/>
    </cs:lnRef>
    <cs:lineWidthScale>3</cs:lineWidthScale>
    <cs:fillRef idx="0"/>
    <cs:effectRef idx="0"/>
    <cs:fontRef idx="minor">
      <a:sysClr val="windowText" lastClr="000000"/>
    </cs:fontRef>
    <cs:spPr>
      <a:ln cap="rnd">
        <a:round/>
      </a:ln>
    </cs:spPr>
  </cs:dataPointLine>
  <cs:dataPointMarker>
    <cs:lnRef idx="1">
      <cs:styleClr val="auto"/>
    </cs:lnRef>
    <cs:fillRef idx="1">
      <cs:styleClr val="auto"/>
    </cs:fillRef>
    <cs:effectRef idx="0"/>
    <cs:fontRef idx="minor">
      <a:sysClr val="windowText" lastClr="000000"/>
    </cs:fontRef>
    <cs:spPr>
      <a:ln>
        <a:round/>
      </a:ln>
    </cs:spPr>
  </cs:dataPointMarker>
  <cs:dataPointMarkerLayout/>
  <cs:dataPointWireframe>
    <cs:lnRef idx="1">
      <cs:styleClr val="auto"/>
    </cs:lnRef>
    <cs:fillRef idx="0"/>
    <cs:effectRef idx="0"/>
    <cs:fontRef idx="minor">
      <a:sysClr val="windowText" lastClr="000000"/>
    </cs:fontRef>
    <cs:spPr>
      <a:ln>
        <a:round/>
      </a:ln>
    </cs:spPr>
  </cs:dataPointWireframe>
  <cs:dataTable>
    <cs:lnRef idx="1">
      <a:sysClr val="windowText" lastClr="000000">
        <a:tint val="75000"/>
      </a:sysClr>
    </cs:lnRef>
    <cs:fillRef idx="0"/>
    <cs:effectRef idx="0"/>
    <cs:fontRef idx="minor">
      <a:sysClr val="windowText" lastClr="000000"/>
    </cs:fontRef>
    <cs:spPr>
      <a:ln>
        <a:round/>
      </a:ln>
    </cs:spPr>
    <cs:defRPr sz="1000" kern="1200"/>
  </cs:dataTable>
  <cs:downBar>
    <cs:lnRef idx="1">
      <a:sysClr val="windowText" lastClr="000000"/>
    </cs:lnRef>
    <cs:fillRef idx="1">
      <a:sysClr val="windowText" lastClr="000000">
        <a:tint val="95000"/>
      </a:sysClr>
    </cs:fillRef>
    <cs:effectRef idx="0"/>
    <cs:fontRef idx="minor">
      <a:sysClr val="windowText" lastClr="000000"/>
    </cs:fontRef>
    <cs:spPr>
      <a:ln>
        <a:round/>
      </a:ln>
    </cs:spPr>
  </cs:downBar>
  <cs:dropLine>
    <cs:lnRef idx="1">
      <a:sysClr val="windowText" lastClr="000000"/>
    </cs:lnRef>
    <cs:fillRef idx="0"/>
    <cs:effectRef idx="0"/>
    <cs:fontRef idx="minor">
      <a:sysClr val="windowText" lastClr="000000"/>
    </cs:fontRef>
    <cs:spPr>
      <a:ln>
        <a:round/>
      </a:ln>
    </cs:spPr>
  </cs:dropLine>
  <cs:errorBar>
    <cs:lnRef idx="1">
      <a:sysClr val="windowText" lastClr="000000"/>
    </cs:lnRef>
    <cs:fillRef idx="1">
      <a:sysClr val="windowText" lastClr="000000"/>
    </cs:fillRef>
    <cs:effectRef idx="0"/>
    <cs:fontRef idx="minor">
      <a:sysClr val="windowText" lastClr="000000"/>
    </cs:fontRef>
    <cs:spPr>
      <a:ln>
        <a:round/>
      </a:ln>
    </cs:spPr>
  </cs:errorBar>
  <cs:floor>
    <cs:lnRef idx="1">
      <a:sysClr val="windowText" lastClr="000000">
        <a:tint val="75000"/>
      </a:sysClr>
    </cs:lnRef>
    <cs:fillRef idx="0"/>
    <cs:effectRef idx="0"/>
    <cs:fontRef idx="minor">
      <a:sysClr val="windowText" lastClr="000000"/>
    </cs:fontRef>
    <cs:spPr>
      <a:ln>
        <a:round/>
      </a:ln>
    </cs:spPr>
  </cs:floor>
  <cs:gridlineMajor>
    <cs:lnRef idx="1">
      <a:sysClr val="windowText" lastClr="000000">
        <a:tint val="75000"/>
      </a:sysClr>
    </cs:lnRef>
    <cs:fillRef idx="0"/>
    <cs:effectRef idx="0"/>
    <cs:fontRef idx="minor">
      <a:sysClr val="windowText" lastClr="000000"/>
    </cs:fontRef>
    <cs:spPr>
      <a:ln>
        <a:round/>
      </a:ln>
    </cs:spPr>
  </cs:gridlineMajor>
  <cs:gridlineMinor>
    <cs:lnRef idx="1">
      <a:sysClr val="windowText" lastClr="000000">
        <a:tint val="50000"/>
      </a:sysClr>
    </cs:lnRef>
    <cs:fillRef idx="0"/>
    <cs:effectRef idx="0"/>
    <cs:fontRef idx="minor">
      <a:sysClr val="windowText" lastClr="000000"/>
    </cs:fontRef>
    <cs:spPr>
      <a:ln>
        <a:round/>
      </a:ln>
    </cs:spPr>
  </cs:gridlineMinor>
  <cs:hiLoLine>
    <cs:lnRef idx="1">
      <a:sysClr val="windowText" lastClr="000000"/>
    </cs:lnRef>
    <cs:fillRef idx="0"/>
    <cs:effectRef idx="0"/>
    <cs:fontRef idx="minor">
      <a:sysClr val="windowText" lastClr="000000"/>
    </cs:fontRef>
    <cs:spPr>
      <a:ln>
        <a:round/>
      </a:ln>
    </cs:spPr>
  </cs:hiLoLine>
  <cs:leaderLine>
    <cs:lnRef idx="1">
      <a:sysClr val="windowText" lastClr="000000"/>
    </cs:lnRef>
    <cs:fillRef idx="0"/>
    <cs:effectRef idx="0"/>
    <cs:fontRef idx="minor">
      <a:sysClr val="windowText" lastClr="000000"/>
    </cs:fontRef>
    <cs:spPr>
      <a:ln>
        <a:round/>
      </a:ln>
    </cs:spPr>
  </cs:leaderLine>
  <cs:legend>
    <cs:lnRef idx="0"/>
    <cs:fillRef idx="0"/>
    <cs:effectRef idx="0"/>
    <cs:fontRef idx="minor">
      <a:sysClr val="windowText" lastClr="000000"/>
    </cs:fontRef>
    <cs:defRPr sz="1000" kern="1200"/>
  </cs:legend>
  <cs:plotArea mods="allowNoFillOverride allowNoLineOverride">
    <cs:lnRef idx="0"/>
    <cs:fillRef idx="1">
      <a:sysClr val="window" lastClr="FFFFFF"/>
    </cs:fillRef>
    <cs:effectRef idx="0"/>
    <cs:fontRef idx="minor">
      <a:sysClr val="windowText" lastClr="000000"/>
    </cs:fontRef>
  </cs:plotArea>
  <cs:plotArea3D>
    <cs:lnRef idx="0"/>
    <cs:fillRef idx="0"/>
    <cs:effectRef idx="0"/>
    <cs:fontRef idx="minor">
      <a:sysClr val="windowText" lastClr="000000"/>
    </cs:fontRef>
  </cs:plotArea3D>
  <cs:seriesAxis>
    <cs:lnRef idx="1">
      <a:sysClr val="windowText" lastClr="000000">
        <a:tint val="75000"/>
      </a:sysClr>
    </cs:lnRef>
    <cs:fillRef idx="0"/>
    <cs:effectRef idx="0"/>
    <cs:fontRef idx="minor">
      <a:sysClr val="windowText" lastClr="000000"/>
    </cs:fontRef>
    <cs:spPr>
      <a:ln>
        <a:round/>
      </a:ln>
    </cs:spPr>
    <cs:defRPr sz="1000" kern="1200"/>
  </cs:seriesAxis>
  <cs:seriesLine>
    <cs:lnRef idx="1">
      <a:sysClr val="windowText" lastClr="000000"/>
    </cs:lnRef>
    <cs:fillRef idx="0"/>
    <cs:effectRef idx="0"/>
    <cs:fontRef idx="minor">
      <a:sysClr val="windowText" lastClr="000000"/>
    </cs:fontRef>
    <cs:spPr>
      <a:ln>
        <a:round/>
      </a:ln>
    </cs:spPr>
  </cs:seriesLine>
  <cs:title>
    <cs:lnRef idx="0"/>
    <cs:fillRef idx="0"/>
    <cs:effectRef idx="0"/>
    <cs:fontRef idx="minor">
      <a:sysClr val="windowText" lastClr="000000"/>
    </cs:fontRef>
    <cs:defRPr sz="1800" b="1" kern="1200"/>
  </cs:title>
  <cs:trendline>
    <cs:lnRef idx="1">
      <a:sysClr val="windowText" lastClr="000000"/>
    </cs:lnRef>
    <cs:fillRef idx="0"/>
    <cs:effectRef idx="0"/>
    <cs:fontRef idx="minor">
      <a:sysClr val="windowText" lastClr="000000"/>
    </cs:fontRef>
    <cs:spPr>
      <a:ln cap="rnd">
        <a:round/>
      </a:ln>
    </cs:spPr>
  </cs:trendline>
  <cs:trendlineLabel>
    <cs:lnRef idx="0"/>
    <cs:fillRef idx="0"/>
    <cs:effectRef idx="0"/>
    <cs:fontRef idx="minor">
      <a:sysClr val="windowText" lastClr="000000"/>
    </cs:fontRef>
    <cs:defRPr sz="1000" kern="1200"/>
  </cs:trendlineLabel>
  <cs:upBar>
    <cs:lnRef idx="1">
      <a:sysClr val="windowText" lastClr="000000"/>
    </cs:lnRef>
    <cs:fillRef idx="1">
      <a:sysClr val="windowText" lastClr="000000">
        <a:tint val="5000"/>
      </a:sysClr>
    </cs:fillRef>
    <cs:effectRef idx="0"/>
    <cs:fontRef idx="minor">
      <a:sysClr val="windowText" lastClr="000000"/>
    </cs:fontRef>
    <cs:spPr>
      <a:ln>
        <a:round/>
      </a:ln>
    </cs:spPr>
  </cs:upBar>
  <cs:valueAxis>
    <cs:lnRef idx="1">
      <a:sysClr val="windowText" lastClr="000000">
        <a:tint val="75000"/>
      </a:sysClr>
    </cs:lnRef>
    <cs:fillRef idx="0"/>
    <cs:effectRef idx="0"/>
    <cs:fontRef idx="minor">
      <a:sysClr val="windowText" lastClr="000000"/>
    </cs:fontRef>
    <cs:spPr>
      <a:ln>
        <a:round/>
      </a:ln>
    </cs:spPr>
    <cs:defRPr sz="1000" kern="1200"/>
  </cs:valueAxis>
  <cs:wall>
    <cs:lnRef idx="0"/>
    <cs:fillRef idx="0"/>
    <cs:effectRef idx="0"/>
    <cs:fontRef idx="minor">
      <a:sysClr val="windowText" lastClr="000000"/>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rgbClr val="FFFFFF"/>
      </a:solidFill>
      <a:gradFill rotWithShape="1">
        <a:gsLst>
          <a:gs pos="0">
            <a:srgbClr val="FFFFFF">
              <a:lumMod val="110000"/>
              <a:satMod val="105000"/>
              <a:tint val="67000"/>
            </a:srgbClr>
          </a:gs>
          <a:gs pos="50000">
            <a:srgbClr val="FFFFFF">
              <a:lumMod val="105000"/>
              <a:satMod val="103000"/>
              <a:tint val="73000"/>
            </a:srgbClr>
          </a:gs>
          <a:gs pos="100000">
            <a:srgbClr val="FFFFFF">
              <a:lumMod val="105000"/>
              <a:satMod val="109000"/>
              <a:tint val="81000"/>
            </a:srgbClr>
          </a:gs>
        </a:gsLst>
        <a:lin ang="5400000" scaled="0"/>
      </a:gradFill>
      <a:gradFill rotWithShape="1">
        <a:gsLst>
          <a:gs pos="0">
            <a:srgbClr val="FFFFFF">
              <a:satMod val="103000"/>
              <a:lumMod val="102000"/>
              <a:tint val="94000"/>
            </a:srgbClr>
          </a:gs>
          <a:gs pos="50000">
            <a:srgbClr val="FFFFFF">
              <a:satMod val="110000"/>
              <a:lumMod val="100000"/>
              <a:shade val="100000"/>
            </a:srgbClr>
          </a:gs>
          <a:gs pos="100000">
            <a:srgbClr val="E2E2E2">
              <a:lumMod val="99000"/>
              <a:satMod val="120000"/>
              <a:shade val="78000"/>
            </a:srgbClr>
          </a:gs>
        </a:gsLst>
        <a:lin ang="5400000" scaled="0"/>
      </a:gradFill>
    </a:fillStyleLst>
    <a:lnStyleLst>
      <a:ln w="6350" cap="flat" cmpd="sng" algn="ctr">
        <a:solidFill>
          <a:srgbClr val="FFFFFF"/>
        </a:solidFill>
        <a:prstDash val="solid"/>
        <a:miter lim="800000"/>
      </a:ln>
      <a:ln w="12700" cap="flat" cmpd="sng" algn="ctr">
        <a:solidFill>
          <a:srgbClr val="FFFFFF"/>
        </a:solidFill>
        <a:prstDash val="solid"/>
        <a:miter lim="800000"/>
      </a:ln>
      <a:ln w="19050" cap="flat" cmpd="sng" algn="ctr">
        <a:solidFill>
          <a:srgbClr val="FFFFFF"/>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rgbClr val="FFFFFF"/>
      </a:solidFill>
      <a:solidFill>
        <a:srgbClr val="FFFFFF">
          <a:tint val="95000"/>
          <a:satMod val="170000"/>
        </a:srgbClr>
      </a:solidFill>
      <a:gradFill rotWithShape="1">
        <a:gsLst>
          <a:gs pos="0">
            <a:srgbClr val="FFFFFF">
              <a:tint val="93000"/>
              <a:satMod val="150000"/>
              <a:shade val="98000"/>
              <a:lumMod val="102000"/>
            </a:srgbClr>
          </a:gs>
          <a:gs pos="50000">
            <a:srgbClr val="FBFBFB">
              <a:tint val="98000"/>
              <a:satMod val="130000"/>
              <a:shade val="90000"/>
              <a:lumMod val="103000"/>
            </a:srgbClr>
          </a:gs>
          <a:gs pos="100000">
            <a:srgbClr val="D0D0D0">
              <a:shade val="63000"/>
              <a:satMod val="120000"/>
            </a:srgb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2024-10-23T20:58:00Z</dcterms:created>
  <dc:creator>Haier</dc:creator>
  <cp:lastModifiedBy>user</cp:lastModifiedBy>
  <dcterms:modified xsi:type="dcterms:W3CDTF">2026-08-10T17:40:57Z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78E1028B62057954519B796A91D85A99</vt:lpwstr>
  </property>
</Properties>
</file>