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5C7E9">
      <w:pPr>
        <w:keepNext w:val="0"/>
        <w:keepLines w:val="0"/>
        <w:widowControl/>
        <w:numPr>
          <w:ilvl w:val="0"/>
          <w:numId w:val="0"/>
        </w:numPr>
        <w:suppressLineNumbers w:val="0"/>
        <w:spacing w:before="300" w:beforeAutospacing="0" w:after="300" w:afterAutospacing="0" w:line="525" w:lineRule="atLeast"/>
        <w:ind w:right="0" w:rightChars="0"/>
        <w:rPr>
          <w:sz w:val="24"/>
          <w:szCs w:val="24"/>
        </w:rPr>
      </w:pPr>
      <w:r>
        <w:rPr>
          <w:rStyle w:val="19"/>
          <w:b w:val="0"/>
          <w:vanish/>
          <w:sz w:val="24"/>
          <w:szCs w:val="24"/>
        </w:rPr>
        <w:t xml:space="preserve">号 </w:t>
      </w:r>
    </w:p>
    <w:p w14:paraId="0931671D">
      <w:pPr>
        <w:pStyle w:val="2"/>
        <w:suppressAutoHyphens/>
        <w:bidi w:val="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w:t>
      </w:r>
    </w:p>
    <w:p w14:paraId="5EC1CF3B">
      <w:pPr>
        <w:pStyle w:val="2"/>
        <w:suppressAutoHyphens/>
        <w:bidi w:val="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阿坝州壤塘县中壤塘卫生院</w:t>
      </w:r>
    </w:p>
    <w:p w14:paraId="1BCB4349">
      <w:pPr>
        <w:pStyle w:val="2"/>
        <w:suppressAutoHyphens/>
        <w:bidi w:val="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 xml:space="preserve">部门决算 </w:t>
      </w:r>
    </w:p>
    <w:p w14:paraId="42A3DC97">
      <w:pPr>
        <w:keepNext w:val="0"/>
        <w:keepLines w:val="0"/>
        <w:widowControl/>
        <w:numPr>
          <w:ilvl w:val="0"/>
          <w:numId w:val="0"/>
        </w:numPr>
        <w:suppressLineNumbers w:val="0"/>
        <w:spacing w:before="0" w:beforeAutospacing="1" w:after="0" w:afterAutospacing="1"/>
      </w:pPr>
    </w:p>
    <w:p w14:paraId="1C96266C">
      <w:pPr>
        <w:keepNext w:val="0"/>
        <w:keepLines w:val="0"/>
        <w:widowControl/>
        <w:numPr>
          <w:ilvl w:val="0"/>
          <w:numId w:val="0"/>
        </w:numPr>
        <w:suppressLineNumbers w:val="0"/>
        <w:spacing w:before="0" w:beforeAutospacing="1" w:after="0" w:afterAutospacing="1"/>
      </w:pPr>
    </w:p>
    <w:p w14:paraId="32F94024">
      <w:pPr>
        <w:keepNext w:val="0"/>
        <w:keepLines w:val="0"/>
        <w:widowControl/>
        <w:numPr>
          <w:ilvl w:val="0"/>
          <w:numId w:val="0"/>
        </w:numPr>
        <w:suppressLineNumbers w:val="0"/>
        <w:spacing w:before="0" w:beforeAutospacing="1" w:after="0" w:afterAutospacing="1"/>
      </w:pPr>
    </w:p>
    <w:p w14:paraId="1516381F">
      <w:pPr>
        <w:keepNext w:val="0"/>
        <w:keepLines w:val="0"/>
        <w:widowControl/>
        <w:numPr>
          <w:ilvl w:val="0"/>
          <w:numId w:val="0"/>
        </w:numPr>
        <w:suppressLineNumbers w:val="0"/>
        <w:spacing w:before="0" w:beforeAutospacing="1" w:after="0" w:afterAutospacing="1"/>
      </w:pPr>
    </w:p>
    <w:p w14:paraId="518720EE">
      <w:pPr>
        <w:keepNext w:val="0"/>
        <w:keepLines w:val="0"/>
        <w:widowControl/>
        <w:numPr>
          <w:ilvl w:val="0"/>
          <w:numId w:val="0"/>
        </w:numPr>
        <w:suppressLineNumbers w:val="0"/>
        <w:spacing w:before="0" w:beforeAutospacing="1" w:after="0" w:afterAutospacing="1"/>
      </w:pPr>
    </w:p>
    <w:p w14:paraId="7AA2181E">
      <w:pPr>
        <w:keepNext w:val="0"/>
        <w:keepLines w:val="0"/>
        <w:widowControl/>
        <w:numPr>
          <w:ilvl w:val="0"/>
          <w:numId w:val="0"/>
        </w:numPr>
        <w:suppressLineNumbers w:val="0"/>
        <w:spacing w:before="0" w:beforeAutospacing="1" w:after="0" w:afterAutospacing="1"/>
      </w:pPr>
    </w:p>
    <w:p w14:paraId="2B816BDE">
      <w:pPr>
        <w:keepNext w:val="0"/>
        <w:keepLines w:val="0"/>
        <w:widowControl/>
        <w:numPr>
          <w:ilvl w:val="0"/>
          <w:numId w:val="0"/>
        </w:numPr>
        <w:suppressLineNumbers w:val="0"/>
        <w:spacing w:before="0" w:beforeAutospacing="1" w:after="0" w:afterAutospacing="1"/>
      </w:pPr>
    </w:p>
    <w:p w14:paraId="270823CD">
      <w:pPr>
        <w:keepNext w:val="0"/>
        <w:keepLines w:val="0"/>
        <w:widowControl/>
        <w:numPr>
          <w:ilvl w:val="0"/>
          <w:numId w:val="0"/>
        </w:numPr>
        <w:suppressLineNumbers w:val="0"/>
        <w:spacing w:before="0" w:beforeAutospacing="1" w:after="0" w:afterAutospacing="1"/>
      </w:pPr>
    </w:p>
    <w:p w14:paraId="665CDA26">
      <w:pPr>
        <w:keepNext w:val="0"/>
        <w:keepLines w:val="0"/>
        <w:widowControl/>
        <w:numPr>
          <w:ilvl w:val="0"/>
          <w:numId w:val="0"/>
        </w:numPr>
        <w:suppressLineNumbers w:val="0"/>
        <w:spacing w:before="0" w:beforeAutospacing="1" w:after="0" w:afterAutospacing="1"/>
      </w:pPr>
    </w:p>
    <w:p w14:paraId="00EA96DF">
      <w:pPr>
        <w:keepNext w:val="0"/>
        <w:keepLines w:val="0"/>
        <w:widowControl/>
        <w:numPr>
          <w:ilvl w:val="0"/>
          <w:numId w:val="0"/>
        </w:numPr>
        <w:suppressLineNumbers w:val="0"/>
        <w:spacing w:before="0" w:beforeAutospacing="1" w:after="0" w:afterAutospacing="1"/>
      </w:pPr>
    </w:p>
    <w:p w14:paraId="5DF6B6D2">
      <w:pPr>
        <w:keepNext w:val="0"/>
        <w:keepLines w:val="0"/>
        <w:widowControl/>
        <w:numPr>
          <w:ilvl w:val="0"/>
          <w:numId w:val="0"/>
        </w:numPr>
        <w:suppressLineNumbers w:val="0"/>
        <w:spacing w:before="0" w:beforeAutospacing="1" w:after="0" w:afterAutospacing="1"/>
      </w:pPr>
    </w:p>
    <w:p w14:paraId="77ED2C44">
      <w:pPr>
        <w:keepNext w:val="0"/>
        <w:keepLines w:val="0"/>
        <w:widowControl/>
        <w:numPr>
          <w:ilvl w:val="0"/>
          <w:numId w:val="0"/>
        </w:numPr>
        <w:suppressLineNumbers w:val="0"/>
        <w:spacing w:before="0" w:beforeAutospacing="1" w:after="0" w:afterAutospacing="1"/>
      </w:pPr>
    </w:p>
    <w:p w14:paraId="4DB402C3">
      <w:pPr>
        <w:keepNext w:val="0"/>
        <w:keepLines w:val="0"/>
        <w:widowControl/>
        <w:numPr>
          <w:ilvl w:val="0"/>
          <w:numId w:val="0"/>
        </w:numPr>
        <w:suppressLineNumbers w:val="0"/>
        <w:spacing w:before="0" w:beforeAutospacing="1" w:after="0" w:afterAutospacing="1"/>
      </w:pPr>
      <w:r>
        <w:fldChar w:fldCharType="begin"/>
      </w:r>
      <w:r>
        <w:instrText xml:space="preserve"> HYPERLINK "http://59.213.217.6:8888/preview/javascript:;" \o "微信" </w:instrText>
      </w:r>
      <w:r>
        <w:fldChar w:fldCharType="separate"/>
      </w:r>
      <w:r>
        <w:fldChar w:fldCharType="end"/>
      </w:r>
      <w:r>
        <w:fldChar w:fldCharType="begin"/>
      </w:r>
      <w:r>
        <w:instrText xml:space="preserve"> HYPERLINK "http://59.213.217.6:8888/preview/javascript:;" \o "新浪微博" </w:instrText>
      </w:r>
      <w:r>
        <w:fldChar w:fldCharType="separate"/>
      </w:r>
      <w:r>
        <w:fldChar w:fldCharType="end"/>
      </w:r>
    </w:p>
    <w:p w14:paraId="41B8B51F">
      <w:pPr>
        <w:keepNext w:val="0"/>
        <w:keepLines w:val="0"/>
        <w:widowControl/>
        <w:suppressLineNumbers w:val="0"/>
        <w:spacing w:before="0" w:beforeAutospacing="1" w:after="0" w:afterAutospacing="1"/>
        <w:ind w:left="0" w:right="0"/>
        <w:jc w:val="center"/>
        <w:rPr>
          <w:rFonts w:ascii="黑体" w:hAnsi="宋体" w:eastAsia="黑体" w:cs="黑体"/>
          <w:kern w:val="2"/>
          <w:sz w:val="48"/>
          <w:szCs w:val="48"/>
          <w:u w:val="none"/>
          <w:lang w:val="en-US" w:eastAsia="zh-CN" w:bidi="ar"/>
        </w:rPr>
        <w:sectPr>
          <w:pgSz w:w="11906" w:h="16838"/>
          <w:pgMar w:top="1984" w:right="1587" w:bottom="2098" w:left="1474" w:header="851" w:footer="992" w:gutter="0"/>
          <w:pgNumType w:fmt="decimal"/>
          <w:cols w:space="0" w:num="1"/>
          <w:docGrid w:type="lines" w:linePitch="316" w:charSpace="0"/>
        </w:sectPr>
      </w:pPr>
      <w:bookmarkStart w:id="0" w:name="_Toc15377196"/>
      <w:bookmarkEnd w:id="0"/>
      <w:bookmarkStart w:id="1" w:name="_Toc15396599"/>
    </w:p>
    <w:bookmarkEnd w:id="1"/>
    <w:p w14:paraId="3AF28D06">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1" w:line="560" w:lineRule="exact"/>
        <w:ind w:left="0" w:right="0"/>
        <w:jc w:val="center"/>
        <w:textAlignment w:val="auto"/>
        <w:rPr>
          <w:rFonts w:ascii="仿宋" w:hAnsi="仿宋" w:eastAsia="仿宋" w:cs="仿宋"/>
          <w:kern w:val="2"/>
          <w:sz w:val="28"/>
          <w:szCs w:val="28"/>
        </w:rPr>
      </w:pPr>
      <w:r>
        <w:rPr>
          <w:rFonts w:ascii="黑体" w:hAnsi="宋体" w:eastAsia="黑体" w:cs="黑体"/>
          <w:kern w:val="2"/>
          <w:sz w:val="48"/>
          <w:szCs w:val="48"/>
          <w:u w:val="none"/>
          <w:lang w:val="en-US" w:eastAsia="zh-CN" w:bidi="ar"/>
        </w:rPr>
        <w:t>目</w:t>
      </w:r>
      <w:r>
        <w:rPr>
          <w:rFonts w:hint="eastAsia" w:ascii="黑体" w:hAnsi="宋体" w:eastAsia="黑体" w:cs="Times New Roman"/>
          <w:kern w:val="2"/>
          <w:sz w:val="48"/>
          <w:szCs w:val="48"/>
          <w:u w:val="none"/>
          <w:lang w:val="en-US" w:eastAsia="zh-CN" w:bidi="ar"/>
        </w:rPr>
        <w:t xml:space="preserve">   </w:t>
      </w:r>
      <w:r>
        <w:rPr>
          <w:rFonts w:hint="eastAsia" w:ascii="黑体" w:hAnsi="宋体" w:eastAsia="黑体" w:cs="黑体"/>
          <w:kern w:val="2"/>
          <w:sz w:val="48"/>
          <w:szCs w:val="48"/>
          <w:u w:val="none"/>
          <w:lang w:val="en-US" w:eastAsia="zh-CN" w:bidi="ar"/>
        </w:rPr>
        <w:t>录</w:t>
      </w:r>
    </w:p>
    <w:p w14:paraId="2B4F15EE">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1" w:line="560" w:lineRule="exact"/>
        <w:ind w:left="0" w:right="0"/>
        <w:jc w:val="center"/>
        <w:textAlignment w:val="auto"/>
      </w:pPr>
      <w:r>
        <w:rPr>
          <w:rFonts w:ascii="仿宋" w:hAnsi="仿宋" w:eastAsia="仿宋" w:cs="仿宋"/>
          <w:kern w:val="2"/>
          <w:sz w:val="28"/>
          <w:szCs w:val="28"/>
        </w:rPr>
        <w:t>公开时间：</w:t>
      </w:r>
      <w:r>
        <w:rPr>
          <w:rFonts w:hint="eastAsia" w:ascii="仿宋" w:hAnsi="仿宋" w:eastAsia="仿宋" w:cs="Times New Roman"/>
          <w:kern w:val="2"/>
          <w:sz w:val="28"/>
          <w:szCs w:val="28"/>
        </w:rPr>
        <w:t>2025年10月24日</w:t>
      </w:r>
    </w:p>
    <w:sdt>
      <w:sdtPr>
        <w:rPr>
          <w:rFonts w:ascii="宋体" w:hAnsi="宋体" w:eastAsia="宋体" w:cstheme="minorBidi"/>
          <w:kern w:val="2"/>
          <w:sz w:val="21"/>
          <w:szCs w:val="24"/>
          <w:lang w:val="en-US" w:eastAsia="zh-CN" w:bidi="ar-SA"/>
        </w:rPr>
        <w:id w:val="147450928"/>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14:paraId="2D7A6128">
          <w:pPr>
            <w:pStyle w:val="2"/>
            <w:rPr>
              <w:rFonts w:hint="eastAsia" w:asciiTheme="minorHAnsi" w:hAnsiTheme="minorHAnsi" w:eastAsiaTheme="minorEastAsia" w:cstheme="minorBidi"/>
              <w:kern w:val="2"/>
              <w:sz w:val="21"/>
              <w:szCs w:val="24"/>
              <w:lang w:val="en-US" w:eastAsia="zh-CN" w:bidi="ar-SA"/>
            </w:rPr>
          </w:pPr>
          <w:r>
            <w:rPr>
              <w:rFonts w:hint="eastAsia"/>
            </w:rPr>
            <w:fldChar w:fldCharType="begin"/>
          </w:r>
          <w:r>
            <w:rPr>
              <w:rFonts w:hint="eastAsia"/>
            </w:rPr>
            <w:instrText xml:space="preserve">TOC \o "1-2" \h \u </w:instrText>
          </w:r>
          <w:r>
            <w:rPr>
              <w:rFonts w:hint="eastAsia"/>
            </w:rPr>
            <w:fldChar w:fldCharType="separate"/>
          </w:r>
        </w:p>
        <w:p w14:paraId="7C7B95CE">
          <w:pPr>
            <w:pStyle w:val="12"/>
            <w:tabs>
              <w:tab w:val="right" w:leader="dot" w:pos="8845"/>
            </w:tabs>
          </w:pPr>
          <w:r>
            <w:rPr>
              <w:rFonts w:hint="eastAsia"/>
            </w:rPr>
            <w:fldChar w:fldCharType="begin"/>
          </w:r>
          <w:r>
            <w:rPr>
              <w:rFonts w:hint="eastAsia"/>
            </w:rPr>
            <w:instrText xml:space="preserve"> HYPERLINK \l _Toc17522 </w:instrText>
          </w:r>
          <w:r>
            <w:rPr>
              <w:rFonts w:hint="eastAsia"/>
            </w:rPr>
            <w:fldChar w:fldCharType="separate"/>
          </w:r>
          <w:r>
            <w:rPr>
              <w:rFonts w:hint="eastAsia" w:ascii="黑体" w:hAnsi="黑体" w:eastAsia="黑体" w:cs="黑体"/>
              <w:kern w:val="44"/>
              <w:szCs w:val="44"/>
            </w:rPr>
            <w:t>第一部分 部门概况</w:t>
          </w:r>
          <w:r>
            <w:tab/>
          </w:r>
          <w:r>
            <w:fldChar w:fldCharType="begin"/>
          </w:r>
          <w:r>
            <w:instrText xml:space="preserve"> PAGEREF _Toc17522 \h </w:instrText>
          </w:r>
          <w:r>
            <w:fldChar w:fldCharType="separate"/>
          </w:r>
          <w:r>
            <w:t>2</w:t>
          </w:r>
          <w:r>
            <w:fldChar w:fldCharType="end"/>
          </w:r>
          <w:r>
            <w:rPr>
              <w:rFonts w:hint="eastAsia"/>
            </w:rPr>
            <w:fldChar w:fldCharType="end"/>
          </w:r>
        </w:p>
        <w:p w14:paraId="6B21856A">
          <w:pPr>
            <w:pStyle w:val="13"/>
            <w:tabs>
              <w:tab w:val="right" w:leader="dot" w:pos="8845"/>
            </w:tabs>
          </w:pPr>
          <w:r>
            <w:rPr>
              <w:rFonts w:hint="eastAsia"/>
            </w:rPr>
            <w:fldChar w:fldCharType="begin"/>
          </w:r>
          <w:r>
            <w:rPr>
              <w:rFonts w:hint="eastAsia"/>
            </w:rPr>
            <w:instrText xml:space="preserve"> HYPERLINK \l _Toc6014 </w:instrText>
          </w:r>
          <w:r>
            <w:rPr>
              <w:rFonts w:hint="eastAsia"/>
            </w:rPr>
            <w:fldChar w:fldCharType="separate"/>
          </w:r>
          <w:r>
            <w:rPr>
              <w:rFonts w:hint="eastAsia" w:ascii="仿宋" w:hAnsi="仿宋" w:eastAsia="仿宋" w:cs="仿宋"/>
              <w:kern w:val="2"/>
              <w:szCs w:val="32"/>
            </w:rPr>
            <w:t>一、部门职责</w:t>
          </w:r>
          <w:r>
            <w:tab/>
          </w:r>
          <w:r>
            <w:fldChar w:fldCharType="begin"/>
          </w:r>
          <w:r>
            <w:instrText xml:space="preserve"> PAGEREF _Toc6014 \h </w:instrText>
          </w:r>
          <w:r>
            <w:fldChar w:fldCharType="separate"/>
          </w:r>
          <w:r>
            <w:t>2</w:t>
          </w:r>
          <w:r>
            <w:fldChar w:fldCharType="end"/>
          </w:r>
          <w:r>
            <w:rPr>
              <w:rFonts w:hint="eastAsia"/>
            </w:rPr>
            <w:fldChar w:fldCharType="end"/>
          </w:r>
        </w:p>
        <w:p w14:paraId="477903E8">
          <w:pPr>
            <w:pStyle w:val="13"/>
            <w:tabs>
              <w:tab w:val="right" w:leader="dot" w:pos="8845"/>
            </w:tabs>
          </w:pPr>
          <w:r>
            <w:rPr>
              <w:rFonts w:hint="eastAsia"/>
            </w:rPr>
            <w:fldChar w:fldCharType="begin"/>
          </w:r>
          <w:r>
            <w:rPr>
              <w:rFonts w:hint="eastAsia"/>
            </w:rPr>
            <w:instrText xml:space="preserve"> HYPERLINK \l _Toc32482 </w:instrText>
          </w:r>
          <w:r>
            <w:rPr>
              <w:rFonts w:hint="eastAsia"/>
            </w:rPr>
            <w:fldChar w:fldCharType="separate"/>
          </w:r>
          <w:r>
            <w:rPr>
              <w:rFonts w:hint="eastAsia" w:ascii="仿宋" w:hAnsi="仿宋" w:eastAsia="仿宋" w:cs="仿宋"/>
              <w:kern w:val="2"/>
              <w:szCs w:val="32"/>
            </w:rPr>
            <w:t>二、机构设置</w:t>
          </w:r>
          <w:r>
            <w:tab/>
          </w:r>
          <w:r>
            <w:fldChar w:fldCharType="begin"/>
          </w:r>
          <w:r>
            <w:instrText xml:space="preserve"> PAGEREF _Toc32482 \h </w:instrText>
          </w:r>
          <w:r>
            <w:fldChar w:fldCharType="separate"/>
          </w:r>
          <w:r>
            <w:t>2</w:t>
          </w:r>
          <w:r>
            <w:fldChar w:fldCharType="end"/>
          </w:r>
          <w:r>
            <w:rPr>
              <w:rFonts w:hint="eastAsia"/>
            </w:rPr>
            <w:fldChar w:fldCharType="end"/>
          </w:r>
        </w:p>
        <w:p w14:paraId="31B99E09">
          <w:pPr>
            <w:pStyle w:val="12"/>
            <w:tabs>
              <w:tab w:val="right" w:leader="dot" w:pos="8845"/>
            </w:tabs>
          </w:pPr>
          <w:r>
            <w:rPr>
              <w:rFonts w:hint="eastAsia"/>
            </w:rPr>
            <w:fldChar w:fldCharType="begin"/>
          </w:r>
          <w:r>
            <w:rPr>
              <w:rFonts w:hint="eastAsia"/>
            </w:rPr>
            <w:instrText xml:space="preserve"> HYPERLINK \l _Toc32266 </w:instrText>
          </w:r>
          <w:r>
            <w:rPr>
              <w:rFonts w:hint="eastAsia"/>
            </w:rPr>
            <w:fldChar w:fldCharType="separate"/>
          </w:r>
          <w:r>
            <w:rPr>
              <w:rFonts w:hint="eastAsia" w:ascii="黑体" w:hAnsi="黑体" w:eastAsia="黑体" w:cs="黑体"/>
              <w:kern w:val="44"/>
              <w:szCs w:val="44"/>
            </w:rPr>
            <w:t>第二部分 2024年度部门决算情况说明</w:t>
          </w:r>
          <w:r>
            <w:tab/>
          </w:r>
          <w:r>
            <w:fldChar w:fldCharType="begin"/>
          </w:r>
          <w:r>
            <w:instrText xml:space="preserve"> PAGEREF _Toc32266 \h </w:instrText>
          </w:r>
          <w:r>
            <w:fldChar w:fldCharType="separate"/>
          </w:r>
          <w:r>
            <w:t>3</w:t>
          </w:r>
          <w:r>
            <w:fldChar w:fldCharType="end"/>
          </w:r>
          <w:r>
            <w:rPr>
              <w:rFonts w:hint="eastAsia"/>
            </w:rPr>
            <w:fldChar w:fldCharType="end"/>
          </w:r>
        </w:p>
        <w:p w14:paraId="461F3A2F">
          <w:pPr>
            <w:pStyle w:val="13"/>
            <w:tabs>
              <w:tab w:val="right" w:leader="dot" w:pos="8845"/>
            </w:tabs>
          </w:pPr>
          <w:r>
            <w:rPr>
              <w:rFonts w:hint="eastAsia"/>
            </w:rPr>
            <w:fldChar w:fldCharType="begin"/>
          </w:r>
          <w:r>
            <w:rPr>
              <w:rFonts w:hint="eastAsia"/>
            </w:rPr>
            <w:instrText xml:space="preserve"> HYPERLINK \l _Toc7107 </w:instrText>
          </w:r>
          <w:r>
            <w:rPr>
              <w:rFonts w:hint="eastAsia"/>
            </w:rPr>
            <w:fldChar w:fldCharType="separate"/>
          </w:r>
          <w:r>
            <w:rPr>
              <w:rFonts w:hint="eastAsia" w:ascii="仿宋" w:hAnsi="仿宋" w:eastAsia="仿宋" w:cs="仿宋"/>
              <w:kern w:val="2"/>
              <w:szCs w:val="32"/>
            </w:rPr>
            <w:t>一、 收入支出决算总体情况说明</w:t>
          </w:r>
          <w:r>
            <w:tab/>
          </w:r>
          <w:r>
            <w:fldChar w:fldCharType="begin"/>
          </w:r>
          <w:r>
            <w:instrText xml:space="preserve"> PAGEREF _Toc7107 \h </w:instrText>
          </w:r>
          <w:r>
            <w:fldChar w:fldCharType="separate"/>
          </w:r>
          <w:r>
            <w:t>3</w:t>
          </w:r>
          <w:r>
            <w:fldChar w:fldCharType="end"/>
          </w:r>
          <w:r>
            <w:rPr>
              <w:rFonts w:hint="eastAsia"/>
            </w:rPr>
            <w:fldChar w:fldCharType="end"/>
          </w:r>
        </w:p>
        <w:p w14:paraId="7701EF5D">
          <w:pPr>
            <w:pStyle w:val="13"/>
            <w:tabs>
              <w:tab w:val="right" w:leader="dot" w:pos="8845"/>
            </w:tabs>
          </w:pPr>
          <w:r>
            <w:rPr>
              <w:rFonts w:hint="eastAsia"/>
            </w:rPr>
            <w:fldChar w:fldCharType="begin"/>
          </w:r>
          <w:r>
            <w:rPr>
              <w:rFonts w:hint="eastAsia"/>
            </w:rPr>
            <w:instrText xml:space="preserve"> HYPERLINK \l _Toc32630 </w:instrText>
          </w:r>
          <w:r>
            <w:rPr>
              <w:rFonts w:hint="eastAsia"/>
            </w:rPr>
            <w:fldChar w:fldCharType="separate"/>
          </w:r>
          <w:r>
            <w:rPr>
              <w:rFonts w:hint="eastAsia" w:ascii="仿宋" w:hAnsi="仿宋" w:eastAsia="仿宋" w:cs="仿宋"/>
              <w:kern w:val="2"/>
              <w:szCs w:val="32"/>
            </w:rPr>
            <w:t>二、 收入决算情况说明</w:t>
          </w:r>
          <w:r>
            <w:tab/>
          </w:r>
          <w:r>
            <w:fldChar w:fldCharType="begin"/>
          </w:r>
          <w:r>
            <w:instrText xml:space="preserve"> PAGEREF _Toc32630 \h </w:instrText>
          </w:r>
          <w:r>
            <w:fldChar w:fldCharType="separate"/>
          </w:r>
          <w:r>
            <w:t>4</w:t>
          </w:r>
          <w:r>
            <w:fldChar w:fldCharType="end"/>
          </w:r>
          <w:r>
            <w:rPr>
              <w:rFonts w:hint="eastAsia"/>
            </w:rPr>
            <w:fldChar w:fldCharType="end"/>
          </w:r>
        </w:p>
        <w:p w14:paraId="2ED556FD">
          <w:pPr>
            <w:pStyle w:val="13"/>
            <w:tabs>
              <w:tab w:val="right" w:leader="dot" w:pos="8845"/>
            </w:tabs>
          </w:pPr>
          <w:r>
            <w:rPr>
              <w:rFonts w:hint="eastAsia"/>
            </w:rPr>
            <w:fldChar w:fldCharType="begin"/>
          </w:r>
          <w:r>
            <w:rPr>
              <w:rFonts w:hint="eastAsia"/>
            </w:rPr>
            <w:instrText xml:space="preserve"> HYPERLINK \l _Toc12917 </w:instrText>
          </w:r>
          <w:r>
            <w:rPr>
              <w:rFonts w:hint="eastAsia"/>
            </w:rPr>
            <w:fldChar w:fldCharType="separate"/>
          </w:r>
          <w:r>
            <w:rPr>
              <w:rFonts w:hint="eastAsia" w:ascii="仿宋" w:hAnsi="仿宋" w:eastAsia="仿宋" w:cs="仿宋"/>
              <w:kern w:val="2"/>
              <w:szCs w:val="32"/>
            </w:rPr>
            <w:t>三、 支出决算情况说明</w:t>
          </w:r>
          <w:r>
            <w:tab/>
          </w:r>
          <w:r>
            <w:fldChar w:fldCharType="begin"/>
          </w:r>
          <w:r>
            <w:instrText xml:space="preserve"> PAGEREF _Toc12917 \h </w:instrText>
          </w:r>
          <w:r>
            <w:fldChar w:fldCharType="separate"/>
          </w:r>
          <w:r>
            <w:t>5</w:t>
          </w:r>
          <w:r>
            <w:fldChar w:fldCharType="end"/>
          </w:r>
          <w:r>
            <w:rPr>
              <w:rFonts w:hint="eastAsia"/>
            </w:rPr>
            <w:fldChar w:fldCharType="end"/>
          </w:r>
        </w:p>
        <w:p w14:paraId="5FF309AB">
          <w:pPr>
            <w:pStyle w:val="13"/>
            <w:tabs>
              <w:tab w:val="right" w:leader="dot" w:pos="8845"/>
            </w:tabs>
          </w:pPr>
          <w:r>
            <w:rPr>
              <w:rFonts w:hint="eastAsia"/>
            </w:rPr>
            <w:fldChar w:fldCharType="begin"/>
          </w:r>
          <w:r>
            <w:rPr>
              <w:rFonts w:hint="eastAsia"/>
            </w:rPr>
            <w:instrText xml:space="preserve"> HYPERLINK \l _Toc288 </w:instrText>
          </w:r>
          <w:r>
            <w:rPr>
              <w:rFonts w:hint="eastAsia"/>
            </w:rPr>
            <w:fldChar w:fldCharType="separate"/>
          </w:r>
          <w:r>
            <w:rPr>
              <w:rFonts w:hint="eastAsia" w:ascii="仿宋" w:hAnsi="仿宋" w:eastAsia="仿宋" w:cs="仿宋"/>
              <w:kern w:val="2"/>
              <w:szCs w:val="32"/>
              <w:lang w:val="en-US" w:eastAsia="zh-CN" w:bidi="ar"/>
            </w:rPr>
            <w:t>四、财政拨款收入支出决算总体情况说明</w:t>
          </w:r>
          <w:r>
            <w:tab/>
          </w:r>
          <w:r>
            <w:fldChar w:fldCharType="begin"/>
          </w:r>
          <w:r>
            <w:instrText xml:space="preserve"> PAGEREF _Toc288 \h </w:instrText>
          </w:r>
          <w:r>
            <w:fldChar w:fldCharType="separate"/>
          </w:r>
          <w:r>
            <w:t>6</w:t>
          </w:r>
          <w:r>
            <w:fldChar w:fldCharType="end"/>
          </w:r>
          <w:r>
            <w:rPr>
              <w:rFonts w:hint="eastAsia"/>
            </w:rPr>
            <w:fldChar w:fldCharType="end"/>
          </w:r>
        </w:p>
        <w:p w14:paraId="42AE4ED4">
          <w:pPr>
            <w:pStyle w:val="13"/>
            <w:tabs>
              <w:tab w:val="right" w:leader="dot" w:pos="8845"/>
            </w:tabs>
          </w:pPr>
          <w:r>
            <w:rPr>
              <w:rFonts w:hint="eastAsia"/>
            </w:rPr>
            <w:fldChar w:fldCharType="begin"/>
          </w:r>
          <w:r>
            <w:rPr>
              <w:rFonts w:hint="eastAsia"/>
            </w:rPr>
            <w:instrText xml:space="preserve"> HYPERLINK \l _Toc6230 </w:instrText>
          </w:r>
          <w:r>
            <w:rPr>
              <w:rFonts w:hint="eastAsia"/>
            </w:rPr>
            <w:fldChar w:fldCharType="separate"/>
          </w:r>
          <w:r>
            <w:rPr>
              <w:rFonts w:hint="eastAsia" w:ascii="仿宋" w:hAnsi="仿宋" w:eastAsia="仿宋" w:cs="仿宋"/>
              <w:kern w:val="2"/>
              <w:szCs w:val="32"/>
              <w:lang w:val="en-US" w:eastAsia="zh-CN" w:bidi="ar"/>
            </w:rPr>
            <w:t>五、一般公共预算财政拨款支出决算情况说明</w:t>
          </w:r>
          <w:r>
            <w:tab/>
          </w:r>
          <w:r>
            <w:fldChar w:fldCharType="begin"/>
          </w:r>
          <w:r>
            <w:instrText xml:space="preserve"> PAGEREF _Toc6230 \h </w:instrText>
          </w:r>
          <w:r>
            <w:fldChar w:fldCharType="separate"/>
          </w:r>
          <w:r>
            <w:t>7</w:t>
          </w:r>
          <w:r>
            <w:fldChar w:fldCharType="end"/>
          </w:r>
          <w:r>
            <w:rPr>
              <w:rFonts w:hint="eastAsia"/>
            </w:rPr>
            <w:fldChar w:fldCharType="end"/>
          </w:r>
        </w:p>
        <w:p w14:paraId="680CD13D">
          <w:pPr>
            <w:pStyle w:val="13"/>
            <w:tabs>
              <w:tab w:val="right" w:leader="dot" w:pos="8845"/>
            </w:tabs>
          </w:pPr>
          <w:r>
            <w:rPr>
              <w:rFonts w:hint="eastAsia"/>
            </w:rPr>
            <w:fldChar w:fldCharType="begin"/>
          </w:r>
          <w:r>
            <w:rPr>
              <w:rFonts w:hint="eastAsia"/>
            </w:rPr>
            <w:instrText xml:space="preserve"> HYPERLINK \l _Toc23172 </w:instrText>
          </w:r>
          <w:r>
            <w:rPr>
              <w:rFonts w:hint="eastAsia"/>
            </w:rPr>
            <w:fldChar w:fldCharType="separate"/>
          </w:r>
          <w:r>
            <w:rPr>
              <w:rFonts w:hint="eastAsia" w:ascii="仿宋" w:hAnsi="仿宋" w:eastAsia="仿宋" w:cs="仿宋"/>
              <w:kern w:val="2"/>
              <w:szCs w:val="32"/>
              <w:lang w:val="en-US" w:eastAsia="zh-CN" w:bidi="ar"/>
            </w:rPr>
            <w:t>六、一般公共预算财政拨款基本支出决算情况说明</w:t>
          </w:r>
          <w:r>
            <w:tab/>
          </w:r>
          <w:r>
            <w:fldChar w:fldCharType="begin"/>
          </w:r>
          <w:r>
            <w:instrText xml:space="preserve"> PAGEREF _Toc23172 \h </w:instrText>
          </w:r>
          <w:r>
            <w:fldChar w:fldCharType="separate"/>
          </w:r>
          <w:r>
            <w:t>11</w:t>
          </w:r>
          <w:r>
            <w:fldChar w:fldCharType="end"/>
          </w:r>
          <w:r>
            <w:rPr>
              <w:rFonts w:hint="eastAsia"/>
            </w:rPr>
            <w:fldChar w:fldCharType="end"/>
          </w:r>
        </w:p>
        <w:p w14:paraId="0D8BBFF7">
          <w:pPr>
            <w:pStyle w:val="13"/>
            <w:tabs>
              <w:tab w:val="right" w:leader="dot" w:pos="8845"/>
            </w:tabs>
          </w:pPr>
          <w:r>
            <w:rPr>
              <w:rFonts w:hint="eastAsia"/>
            </w:rPr>
            <w:fldChar w:fldCharType="begin"/>
          </w:r>
          <w:r>
            <w:rPr>
              <w:rFonts w:hint="eastAsia"/>
            </w:rPr>
            <w:instrText xml:space="preserve"> HYPERLINK \l _Toc2106 </w:instrText>
          </w:r>
          <w:r>
            <w:rPr>
              <w:rFonts w:hint="eastAsia"/>
            </w:rPr>
            <w:fldChar w:fldCharType="separate"/>
          </w:r>
          <w:r>
            <w:rPr>
              <w:rFonts w:hint="eastAsia" w:ascii="仿宋" w:hAnsi="仿宋" w:eastAsia="仿宋" w:cs="仿宋"/>
              <w:kern w:val="2"/>
              <w:szCs w:val="32"/>
              <w:lang w:val="en-US" w:eastAsia="zh-CN" w:bidi="ar"/>
            </w:rPr>
            <w:t>七、“三公”经费财政拨款支出决算情况说明</w:t>
          </w:r>
          <w:r>
            <w:tab/>
          </w:r>
          <w:r>
            <w:fldChar w:fldCharType="begin"/>
          </w:r>
          <w:r>
            <w:instrText xml:space="preserve"> PAGEREF _Toc2106 \h </w:instrText>
          </w:r>
          <w:r>
            <w:fldChar w:fldCharType="separate"/>
          </w:r>
          <w:r>
            <w:t>12</w:t>
          </w:r>
          <w:r>
            <w:fldChar w:fldCharType="end"/>
          </w:r>
          <w:r>
            <w:rPr>
              <w:rFonts w:hint="eastAsia"/>
            </w:rPr>
            <w:fldChar w:fldCharType="end"/>
          </w:r>
        </w:p>
        <w:p w14:paraId="12D14819">
          <w:pPr>
            <w:pStyle w:val="13"/>
            <w:tabs>
              <w:tab w:val="right" w:leader="dot" w:pos="8845"/>
            </w:tabs>
          </w:pPr>
          <w:r>
            <w:rPr>
              <w:rFonts w:hint="eastAsia"/>
            </w:rPr>
            <w:fldChar w:fldCharType="begin"/>
          </w:r>
          <w:r>
            <w:rPr>
              <w:rFonts w:hint="eastAsia"/>
            </w:rPr>
            <w:instrText xml:space="preserve"> HYPERLINK \l _Toc16193 </w:instrText>
          </w:r>
          <w:r>
            <w:rPr>
              <w:rFonts w:hint="eastAsia"/>
            </w:rPr>
            <w:fldChar w:fldCharType="separate"/>
          </w:r>
          <w:r>
            <w:rPr>
              <w:rFonts w:hint="eastAsia" w:ascii="仿宋" w:hAnsi="仿宋" w:eastAsia="仿宋" w:cs="仿宋"/>
              <w:kern w:val="2"/>
              <w:szCs w:val="32"/>
              <w:lang w:val="en-US" w:eastAsia="zh-CN" w:bidi="ar"/>
            </w:rPr>
            <w:t>八、政府性基金预算支出决算情况说明</w:t>
          </w:r>
          <w:r>
            <w:tab/>
          </w:r>
          <w:r>
            <w:fldChar w:fldCharType="begin"/>
          </w:r>
          <w:r>
            <w:instrText xml:space="preserve"> PAGEREF _Toc16193 \h </w:instrText>
          </w:r>
          <w:r>
            <w:fldChar w:fldCharType="separate"/>
          </w:r>
          <w:r>
            <w:t>14</w:t>
          </w:r>
          <w:r>
            <w:fldChar w:fldCharType="end"/>
          </w:r>
          <w:r>
            <w:rPr>
              <w:rFonts w:hint="eastAsia"/>
            </w:rPr>
            <w:fldChar w:fldCharType="end"/>
          </w:r>
        </w:p>
        <w:p w14:paraId="1496A05D">
          <w:pPr>
            <w:pStyle w:val="13"/>
            <w:tabs>
              <w:tab w:val="right" w:leader="dot" w:pos="8845"/>
            </w:tabs>
          </w:pPr>
          <w:r>
            <w:rPr>
              <w:rFonts w:hint="eastAsia"/>
            </w:rPr>
            <w:fldChar w:fldCharType="begin"/>
          </w:r>
          <w:r>
            <w:rPr>
              <w:rFonts w:hint="eastAsia"/>
            </w:rPr>
            <w:instrText xml:space="preserve"> HYPERLINK \l _Toc17123 </w:instrText>
          </w:r>
          <w:r>
            <w:rPr>
              <w:rFonts w:hint="eastAsia"/>
            </w:rPr>
            <w:fldChar w:fldCharType="separate"/>
          </w:r>
          <w:r>
            <w:rPr>
              <w:rFonts w:hint="eastAsia" w:ascii="仿宋" w:hAnsi="仿宋" w:eastAsia="仿宋" w:cs="仿宋"/>
              <w:kern w:val="2"/>
              <w:szCs w:val="32"/>
              <w:lang w:val="en-US" w:eastAsia="zh-CN" w:bidi="ar"/>
            </w:rPr>
            <w:t>九、国有资本经营预算支出决算情况说明</w:t>
          </w:r>
          <w:r>
            <w:tab/>
          </w:r>
          <w:r>
            <w:fldChar w:fldCharType="begin"/>
          </w:r>
          <w:r>
            <w:instrText xml:space="preserve"> PAGEREF _Toc17123 \h </w:instrText>
          </w:r>
          <w:r>
            <w:fldChar w:fldCharType="separate"/>
          </w:r>
          <w:r>
            <w:t>14</w:t>
          </w:r>
          <w:r>
            <w:fldChar w:fldCharType="end"/>
          </w:r>
          <w:r>
            <w:rPr>
              <w:rFonts w:hint="eastAsia"/>
            </w:rPr>
            <w:fldChar w:fldCharType="end"/>
          </w:r>
        </w:p>
        <w:p w14:paraId="487101D6">
          <w:pPr>
            <w:pStyle w:val="13"/>
            <w:tabs>
              <w:tab w:val="right" w:leader="dot" w:pos="8845"/>
            </w:tabs>
          </w:pPr>
          <w:r>
            <w:rPr>
              <w:rFonts w:hint="eastAsia"/>
            </w:rPr>
            <w:fldChar w:fldCharType="begin"/>
          </w:r>
          <w:r>
            <w:rPr>
              <w:rFonts w:hint="eastAsia"/>
            </w:rPr>
            <w:instrText xml:space="preserve"> HYPERLINK \l _Toc16969 </w:instrText>
          </w:r>
          <w:r>
            <w:rPr>
              <w:rFonts w:hint="eastAsia"/>
            </w:rPr>
            <w:fldChar w:fldCharType="separate"/>
          </w:r>
          <w:r>
            <w:rPr>
              <w:rFonts w:hint="eastAsia" w:ascii="仿宋" w:hAnsi="仿宋" w:eastAsia="仿宋" w:cs="仿宋"/>
              <w:kern w:val="2"/>
              <w:szCs w:val="32"/>
              <w:lang w:val="en-US" w:eastAsia="zh-CN" w:bidi="ar"/>
            </w:rPr>
            <w:t>十、其他重要事项的情况说明</w:t>
          </w:r>
          <w:r>
            <w:tab/>
          </w:r>
          <w:r>
            <w:fldChar w:fldCharType="begin"/>
          </w:r>
          <w:r>
            <w:instrText xml:space="preserve"> PAGEREF _Toc16969 \h </w:instrText>
          </w:r>
          <w:r>
            <w:fldChar w:fldCharType="separate"/>
          </w:r>
          <w:r>
            <w:t>14</w:t>
          </w:r>
          <w:r>
            <w:fldChar w:fldCharType="end"/>
          </w:r>
          <w:r>
            <w:rPr>
              <w:rFonts w:hint="eastAsia"/>
            </w:rPr>
            <w:fldChar w:fldCharType="end"/>
          </w:r>
        </w:p>
        <w:p w14:paraId="475FD23A">
          <w:pPr>
            <w:pStyle w:val="12"/>
            <w:tabs>
              <w:tab w:val="right" w:leader="dot" w:pos="8845"/>
            </w:tabs>
          </w:pPr>
          <w:r>
            <w:rPr>
              <w:rFonts w:hint="eastAsia"/>
            </w:rPr>
            <w:fldChar w:fldCharType="begin"/>
          </w:r>
          <w:r>
            <w:rPr>
              <w:rFonts w:hint="eastAsia"/>
            </w:rPr>
            <w:instrText xml:space="preserve"> HYPERLINK \l _Toc22498 </w:instrText>
          </w:r>
          <w:r>
            <w:rPr>
              <w:rFonts w:hint="eastAsia"/>
            </w:rPr>
            <w:fldChar w:fldCharType="separate"/>
          </w:r>
          <w:r>
            <w:rPr>
              <w:rFonts w:hint="eastAsia" w:ascii="黑体" w:hAnsi="黑体" w:eastAsia="黑体" w:cs="黑体"/>
              <w:kern w:val="44"/>
              <w:szCs w:val="44"/>
              <w:lang w:val="en-US" w:eastAsia="zh-CN"/>
            </w:rPr>
            <w:t>第三部分 名词解释</w:t>
          </w:r>
          <w:r>
            <w:tab/>
          </w:r>
          <w:r>
            <w:fldChar w:fldCharType="begin"/>
          </w:r>
          <w:r>
            <w:instrText xml:space="preserve"> PAGEREF _Toc22498 \h </w:instrText>
          </w:r>
          <w:r>
            <w:fldChar w:fldCharType="separate"/>
          </w:r>
          <w:r>
            <w:t>16</w:t>
          </w:r>
          <w:r>
            <w:fldChar w:fldCharType="end"/>
          </w:r>
          <w:r>
            <w:rPr>
              <w:rFonts w:hint="eastAsia"/>
            </w:rPr>
            <w:fldChar w:fldCharType="end"/>
          </w:r>
        </w:p>
        <w:p w14:paraId="77E26C64">
          <w:pPr>
            <w:pStyle w:val="12"/>
            <w:tabs>
              <w:tab w:val="right" w:leader="dot" w:pos="8845"/>
            </w:tabs>
          </w:pPr>
          <w:r>
            <w:rPr>
              <w:rFonts w:hint="eastAsia"/>
            </w:rPr>
            <w:fldChar w:fldCharType="begin"/>
          </w:r>
          <w:r>
            <w:rPr>
              <w:rFonts w:hint="eastAsia"/>
            </w:rPr>
            <w:instrText xml:space="preserve"> HYPERLINK \l _Toc940 </w:instrText>
          </w:r>
          <w:r>
            <w:rPr>
              <w:rFonts w:hint="eastAsia"/>
            </w:rPr>
            <w:fldChar w:fldCharType="separate"/>
          </w:r>
          <w:r>
            <w:rPr>
              <w:rFonts w:hint="eastAsia" w:ascii="黑体" w:hAnsi="黑体" w:eastAsia="黑体" w:cs="黑体"/>
              <w:kern w:val="44"/>
              <w:szCs w:val="44"/>
              <w:lang w:val="en-US" w:eastAsia="zh-CN"/>
            </w:rPr>
            <w:t>第四部分 附件</w:t>
          </w:r>
          <w:r>
            <w:tab/>
          </w:r>
          <w:r>
            <w:fldChar w:fldCharType="begin"/>
          </w:r>
          <w:r>
            <w:instrText xml:space="preserve"> PAGEREF _Toc940 \h </w:instrText>
          </w:r>
          <w:r>
            <w:fldChar w:fldCharType="separate"/>
          </w:r>
          <w:r>
            <w:t>21</w:t>
          </w:r>
          <w:r>
            <w:fldChar w:fldCharType="end"/>
          </w:r>
          <w:r>
            <w:rPr>
              <w:rFonts w:hint="eastAsia"/>
            </w:rPr>
            <w:fldChar w:fldCharType="end"/>
          </w:r>
        </w:p>
        <w:p w14:paraId="2B36B5B7">
          <w:pPr>
            <w:pStyle w:val="12"/>
            <w:tabs>
              <w:tab w:val="right" w:leader="dot" w:pos="8845"/>
            </w:tabs>
          </w:pPr>
          <w:r>
            <w:rPr>
              <w:rFonts w:hint="eastAsia"/>
            </w:rPr>
            <w:fldChar w:fldCharType="begin"/>
          </w:r>
          <w:r>
            <w:rPr>
              <w:rFonts w:hint="eastAsia"/>
            </w:rPr>
            <w:instrText xml:space="preserve"> HYPERLINK \l _Toc10363 </w:instrText>
          </w:r>
          <w:r>
            <w:rPr>
              <w:rFonts w:hint="eastAsia"/>
            </w:rPr>
            <w:fldChar w:fldCharType="separate"/>
          </w:r>
          <w:r>
            <w:rPr>
              <w:rFonts w:hint="eastAsia" w:ascii="黑体" w:hAnsi="黑体" w:eastAsia="黑体" w:cs="黑体"/>
              <w:kern w:val="44"/>
              <w:szCs w:val="44"/>
              <w:lang w:val="en-US" w:eastAsia="zh-CN"/>
            </w:rPr>
            <w:t>第五部分 附表</w:t>
          </w:r>
          <w:r>
            <w:tab/>
          </w:r>
          <w:r>
            <w:fldChar w:fldCharType="begin"/>
          </w:r>
          <w:r>
            <w:instrText xml:space="preserve"> PAGEREF _Toc10363 \h </w:instrText>
          </w:r>
          <w:r>
            <w:fldChar w:fldCharType="separate"/>
          </w:r>
          <w:r>
            <w:t>52</w:t>
          </w:r>
          <w:r>
            <w:fldChar w:fldCharType="end"/>
          </w:r>
          <w:r>
            <w:rPr>
              <w:rFonts w:hint="eastAsia"/>
            </w:rPr>
            <w:fldChar w:fldCharType="end"/>
          </w:r>
        </w:p>
        <w:p w14:paraId="3D6D4AA5">
          <w:pPr>
            <w:pStyle w:val="13"/>
            <w:tabs>
              <w:tab w:val="right" w:leader="dot" w:pos="8845"/>
            </w:tabs>
          </w:pPr>
          <w:r>
            <w:rPr>
              <w:rFonts w:hint="eastAsia"/>
            </w:rPr>
            <w:fldChar w:fldCharType="begin"/>
          </w:r>
          <w:r>
            <w:rPr>
              <w:rFonts w:hint="eastAsia"/>
            </w:rPr>
            <w:instrText xml:space="preserve"> HYPERLINK \l _Toc29939 </w:instrText>
          </w:r>
          <w:r>
            <w:rPr>
              <w:rFonts w:hint="eastAsia"/>
            </w:rPr>
            <w:fldChar w:fldCharType="separate"/>
          </w:r>
          <w:r>
            <w:rPr>
              <w:rFonts w:hint="eastAsia" w:ascii="仿宋" w:hAnsi="仿宋" w:eastAsia="仿宋" w:cs="仿宋"/>
              <w:kern w:val="2"/>
              <w:szCs w:val="28"/>
              <w:lang w:val="en-US" w:eastAsia="zh-CN" w:bidi="ar"/>
            </w:rPr>
            <w:t>一、收入支出决算总表</w:t>
          </w:r>
          <w:r>
            <w:tab/>
          </w:r>
          <w:r>
            <w:fldChar w:fldCharType="begin"/>
          </w:r>
          <w:r>
            <w:instrText xml:space="preserve"> PAGEREF _Toc29939 \h </w:instrText>
          </w:r>
          <w:r>
            <w:fldChar w:fldCharType="separate"/>
          </w:r>
          <w:r>
            <w:t>52</w:t>
          </w:r>
          <w:r>
            <w:fldChar w:fldCharType="end"/>
          </w:r>
          <w:r>
            <w:rPr>
              <w:rFonts w:hint="eastAsia"/>
            </w:rPr>
            <w:fldChar w:fldCharType="end"/>
          </w:r>
        </w:p>
        <w:p w14:paraId="30DAC9C1">
          <w:pPr>
            <w:pStyle w:val="13"/>
            <w:tabs>
              <w:tab w:val="right" w:leader="dot" w:pos="8845"/>
            </w:tabs>
          </w:pPr>
          <w:r>
            <w:rPr>
              <w:rFonts w:hint="eastAsia"/>
            </w:rPr>
            <w:fldChar w:fldCharType="begin"/>
          </w:r>
          <w:r>
            <w:rPr>
              <w:rFonts w:hint="eastAsia"/>
            </w:rPr>
            <w:instrText xml:space="preserve"> HYPERLINK \l _Toc21250 </w:instrText>
          </w:r>
          <w:r>
            <w:rPr>
              <w:rFonts w:hint="eastAsia"/>
            </w:rPr>
            <w:fldChar w:fldCharType="separate"/>
          </w:r>
          <w:r>
            <w:rPr>
              <w:rFonts w:hint="eastAsia" w:ascii="仿宋" w:hAnsi="仿宋" w:eastAsia="仿宋" w:cs="仿宋"/>
              <w:kern w:val="2"/>
              <w:szCs w:val="28"/>
              <w:lang w:val="en-US" w:eastAsia="zh-CN" w:bidi="ar"/>
            </w:rPr>
            <w:t>二、收入决算表</w:t>
          </w:r>
          <w:r>
            <w:tab/>
          </w:r>
          <w:r>
            <w:fldChar w:fldCharType="begin"/>
          </w:r>
          <w:r>
            <w:instrText xml:space="preserve"> PAGEREF _Toc21250 \h </w:instrText>
          </w:r>
          <w:r>
            <w:fldChar w:fldCharType="separate"/>
          </w:r>
          <w:r>
            <w:t>52</w:t>
          </w:r>
          <w:r>
            <w:fldChar w:fldCharType="end"/>
          </w:r>
          <w:r>
            <w:rPr>
              <w:rFonts w:hint="eastAsia"/>
            </w:rPr>
            <w:fldChar w:fldCharType="end"/>
          </w:r>
        </w:p>
        <w:p w14:paraId="405B871E">
          <w:pPr>
            <w:pStyle w:val="13"/>
            <w:tabs>
              <w:tab w:val="right" w:leader="dot" w:pos="8845"/>
            </w:tabs>
          </w:pPr>
          <w:r>
            <w:rPr>
              <w:rFonts w:hint="eastAsia"/>
            </w:rPr>
            <w:fldChar w:fldCharType="begin"/>
          </w:r>
          <w:r>
            <w:rPr>
              <w:rFonts w:hint="eastAsia"/>
            </w:rPr>
            <w:instrText xml:space="preserve"> HYPERLINK \l _Toc24737 </w:instrText>
          </w:r>
          <w:r>
            <w:rPr>
              <w:rFonts w:hint="eastAsia"/>
            </w:rPr>
            <w:fldChar w:fldCharType="separate"/>
          </w:r>
          <w:r>
            <w:rPr>
              <w:rFonts w:hint="eastAsia" w:ascii="仿宋" w:hAnsi="仿宋" w:eastAsia="仿宋" w:cs="仿宋"/>
              <w:kern w:val="2"/>
              <w:szCs w:val="28"/>
              <w:lang w:val="en-US" w:eastAsia="zh-CN" w:bidi="ar"/>
            </w:rPr>
            <w:t>三、支出决算表</w:t>
          </w:r>
          <w:r>
            <w:tab/>
          </w:r>
          <w:r>
            <w:fldChar w:fldCharType="begin"/>
          </w:r>
          <w:r>
            <w:instrText xml:space="preserve"> PAGEREF _Toc24737 \h </w:instrText>
          </w:r>
          <w:r>
            <w:fldChar w:fldCharType="separate"/>
          </w:r>
          <w:r>
            <w:t>52</w:t>
          </w:r>
          <w:r>
            <w:fldChar w:fldCharType="end"/>
          </w:r>
          <w:r>
            <w:rPr>
              <w:rFonts w:hint="eastAsia"/>
            </w:rPr>
            <w:fldChar w:fldCharType="end"/>
          </w:r>
        </w:p>
        <w:p w14:paraId="7E7CB29B">
          <w:pPr>
            <w:pStyle w:val="13"/>
            <w:tabs>
              <w:tab w:val="right" w:leader="dot" w:pos="8845"/>
            </w:tabs>
          </w:pPr>
          <w:r>
            <w:rPr>
              <w:rFonts w:hint="eastAsia"/>
            </w:rPr>
            <w:fldChar w:fldCharType="begin"/>
          </w:r>
          <w:r>
            <w:rPr>
              <w:rFonts w:hint="eastAsia"/>
            </w:rPr>
            <w:instrText xml:space="preserve"> HYPERLINK \l _Toc10705 </w:instrText>
          </w:r>
          <w:r>
            <w:rPr>
              <w:rFonts w:hint="eastAsia"/>
            </w:rPr>
            <w:fldChar w:fldCharType="separate"/>
          </w:r>
          <w:r>
            <w:rPr>
              <w:rFonts w:hint="eastAsia" w:ascii="仿宋" w:hAnsi="仿宋" w:eastAsia="仿宋" w:cs="仿宋"/>
              <w:kern w:val="2"/>
              <w:szCs w:val="28"/>
              <w:lang w:val="en-US" w:eastAsia="zh-CN" w:bidi="ar"/>
            </w:rPr>
            <w:t>四、财政拨款收入支出决算总表</w:t>
          </w:r>
          <w:r>
            <w:tab/>
          </w:r>
          <w:r>
            <w:fldChar w:fldCharType="begin"/>
          </w:r>
          <w:r>
            <w:instrText xml:space="preserve"> PAGEREF _Toc10705 \h </w:instrText>
          </w:r>
          <w:r>
            <w:fldChar w:fldCharType="separate"/>
          </w:r>
          <w:r>
            <w:t>52</w:t>
          </w:r>
          <w:r>
            <w:fldChar w:fldCharType="end"/>
          </w:r>
          <w:r>
            <w:rPr>
              <w:rFonts w:hint="eastAsia"/>
            </w:rPr>
            <w:fldChar w:fldCharType="end"/>
          </w:r>
        </w:p>
        <w:p w14:paraId="487D16B6">
          <w:pPr>
            <w:pStyle w:val="13"/>
            <w:tabs>
              <w:tab w:val="right" w:leader="dot" w:pos="8845"/>
            </w:tabs>
          </w:pPr>
          <w:r>
            <w:rPr>
              <w:rFonts w:hint="eastAsia"/>
            </w:rPr>
            <w:fldChar w:fldCharType="begin"/>
          </w:r>
          <w:r>
            <w:rPr>
              <w:rFonts w:hint="eastAsia"/>
            </w:rPr>
            <w:instrText xml:space="preserve"> HYPERLINK \l _Toc31688 </w:instrText>
          </w:r>
          <w:r>
            <w:rPr>
              <w:rFonts w:hint="eastAsia"/>
            </w:rPr>
            <w:fldChar w:fldCharType="separate"/>
          </w:r>
          <w:r>
            <w:rPr>
              <w:rFonts w:hint="eastAsia" w:ascii="仿宋" w:hAnsi="仿宋" w:eastAsia="仿宋" w:cs="仿宋"/>
              <w:kern w:val="2"/>
              <w:szCs w:val="28"/>
              <w:lang w:val="en-US" w:eastAsia="zh-CN" w:bidi="ar"/>
            </w:rPr>
            <w:t>五、财政拨款支出决算明细表</w:t>
          </w:r>
          <w:r>
            <w:tab/>
          </w:r>
          <w:r>
            <w:fldChar w:fldCharType="begin"/>
          </w:r>
          <w:r>
            <w:instrText xml:space="preserve"> PAGEREF _Toc31688 \h </w:instrText>
          </w:r>
          <w:r>
            <w:fldChar w:fldCharType="separate"/>
          </w:r>
          <w:r>
            <w:t>52</w:t>
          </w:r>
          <w:r>
            <w:fldChar w:fldCharType="end"/>
          </w:r>
          <w:r>
            <w:rPr>
              <w:rFonts w:hint="eastAsia"/>
            </w:rPr>
            <w:fldChar w:fldCharType="end"/>
          </w:r>
        </w:p>
        <w:p w14:paraId="2A8AAF23">
          <w:pPr>
            <w:pStyle w:val="13"/>
            <w:tabs>
              <w:tab w:val="right" w:leader="dot" w:pos="8845"/>
            </w:tabs>
          </w:pPr>
          <w:r>
            <w:rPr>
              <w:rFonts w:hint="eastAsia"/>
            </w:rPr>
            <w:fldChar w:fldCharType="begin"/>
          </w:r>
          <w:r>
            <w:rPr>
              <w:rFonts w:hint="eastAsia"/>
            </w:rPr>
            <w:instrText xml:space="preserve"> HYPERLINK \l _Toc12857 </w:instrText>
          </w:r>
          <w:r>
            <w:rPr>
              <w:rFonts w:hint="eastAsia"/>
            </w:rPr>
            <w:fldChar w:fldCharType="separate"/>
          </w:r>
          <w:r>
            <w:rPr>
              <w:rFonts w:hint="eastAsia" w:ascii="仿宋" w:hAnsi="仿宋" w:eastAsia="仿宋" w:cs="仿宋"/>
              <w:kern w:val="2"/>
              <w:szCs w:val="28"/>
              <w:lang w:val="en-US" w:eastAsia="zh-CN" w:bidi="ar"/>
            </w:rPr>
            <w:t>六、一般公共预算财政拨款支出决算表</w:t>
          </w:r>
          <w:r>
            <w:tab/>
          </w:r>
          <w:r>
            <w:fldChar w:fldCharType="begin"/>
          </w:r>
          <w:r>
            <w:instrText xml:space="preserve"> PAGEREF _Toc12857 \h </w:instrText>
          </w:r>
          <w:r>
            <w:fldChar w:fldCharType="separate"/>
          </w:r>
          <w:r>
            <w:t>52</w:t>
          </w:r>
          <w:r>
            <w:fldChar w:fldCharType="end"/>
          </w:r>
          <w:r>
            <w:rPr>
              <w:rFonts w:hint="eastAsia"/>
            </w:rPr>
            <w:fldChar w:fldCharType="end"/>
          </w:r>
        </w:p>
        <w:p w14:paraId="239539C5">
          <w:pPr>
            <w:pStyle w:val="13"/>
            <w:tabs>
              <w:tab w:val="right" w:leader="dot" w:pos="8845"/>
            </w:tabs>
          </w:pPr>
          <w:r>
            <w:rPr>
              <w:rFonts w:hint="eastAsia"/>
            </w:rPr>
            <w:fldChar w:fldCharType="begin"/>
          </w:r>
          <w:r>
            <w:rPr>
              <w:rFonts w:hint="eastAsia"/>
            </w:rPr>
            <w:instrText xml:space="preserve"> HYPERLINK \l _Toc11027 </w:instrText>
          </w:r>
          <w:r>
            <w:rPr>
              <w:rFonts w:hint="eastAsia"/>
            </w:rPr>
            <w:fldChar w:fldCharType="separate"/>
          </w:r>
          <w:r>
            <w:rPr>
              <w:rFonts w:hint="eastAsia" w:ascii="仿宋" w:hAnsi="仿宋" w:eastAsia="仿宋" w:cs="仿宋"/>
              <w:kern w:val="2"/>
              <w:szCs w:val="28"/>
              <w:lang w:val="en-US" w:eastAsia="zh-CN" w:bidi="ar"/>
            </w:rPr>
            <w:t>七、一般公共预算财政拨款支出决算明细表</w:t>
          </w:r>
          <w:r>
            <w:tab/>
          </w:r>
          <w:r>
            <w:fldChar w:fldCharType="begin"/>
          </w:r>
          <w:r>
            <w:instrText xml:space="preserve"> PAGEREF _Toc11027 \h </w:instrText>
          </w:r>
          <w:r>
            <w:fldChar w:fldCharType="separate"/>
          </w:r>
          <w:r>
            <w:t>52</w:t>
          </w:r>
          <w:r>
            <w:fldChar w:fldCharType="end"/>
          </w:r>
          <w:r>
            <w:rPr>
              <w:rFonts w:hint="eastAsia"/>
            </w:rPr>
            <w:fldChar w:fldCharType="end"/>
          </w:r>
        </w:p>
        <w:p w14:paraId="297E6D9B">
          <w:pPr>
            <w:pStyle w:val="13"/>
            <w:tabs>
              <w:tab w:val="right" w:leader="dot" w:pos="8845"/>
            </w:tabs>
          </w:pPr>
          <w:r>
            <w:rPr>
              <w:rFonts w:hint="eastAsia"/>
            </w:rPr>
            <w:fldChar w:fldCharType="begin"/>
          </w:r>
          <w:r>
            <w:rPr>
              <w:rFonts w:hint="eastAsia"/>
            </w:rPr>
            <w:instrText xml:space="preserve"> HYPERLINK \l _Toc18546 </w:instrText>
          </w:r>
          <w:r>
            <w:rPr>
              <w:rFonts w:hint="eastAsia"/>
            </w:rPr>
            <w:fldChar w:fldCharType="separate"/>
          </w:r>
          <w:r>
            <w:rPr>
              <w:rFonts w:hint="eastAsia" w:ascii="仿宋" w:hAnsi="仿宋" w:eastAsia="仿宋" w:cs="仿宋"/>
              <w:kern w:val="2"/>
              <w:szCs w:val="28"/>
              <w:lang w:val="en-US" w:eastAsia="zh-CN" w:bidi="ar"/>
            </w:rPr>
            <w:t>八、一般公共预算财政拨款基本支出决算表</w:t>
          </w:r>
          <w:r>
            <w:tab/>
          </w:r>
          <w:r>
            <w:fldChar w:fldCharType="begin"/>
          </w:r>
          <w:r>
            <w:instrText xml:space="preserve"> PAGEREF _Toc18546 \h </w:instrText>
          </w:r>
          <w:r>
            <w:fldChar w:fldCharType="separate"/>
          </w:r>
          <w:r>
            <w:t>52</w:t>
          </w:r>
          <w:r>
            <w:fldChar w:fldCharType="end"/>
          </w:r>
          <w:r>
            <w:rPr>
              <w:rFonts w:hint="eastAsia"/>
            </w:rPr>
            <w:fldChar w:fldCharType="end"/>
          </w:r>
        </w:p>
        <w:p w14:paraId="53957144">
          <w:pPr>
            <w:pStyle w:val="13"/>
            <w:tabs>
              <w:tab w:val="right" w:leader="dot" w:pos="8845"/>
            </w:tabs>
          </w:pPr>
          <w:r>
            <w:rPr>
              <w:rFonts w:hint="eastAsia"/>
            </w:rPr>
            <w:fldChar w:fldCharType="begin"/>
          </w:r>
          <w:r>
            <w:rPr>
              <w:rFonts w:hint="eastAsia"/>
            </w:rPr>
            <w:instrText xml:space="preserve"> HYPERLINK \l _Toc836 </w:instrText>
          </w:r>
          <w:r>
            <w:rPr>
              <w:rFonts w:hint="eastAsia"/>
            </w:rPr>
            <w:fldChar w:fldCharType="separate"/>
          </w:r>
          <w:r>
            <w:rPr>
              <w:rFonts w:hint="eastAsia" w:ascii="仿宋" w:hAnsi="仿宋" w:eastAsia="仿宋" w:cs="仿宋"/>
              <w:kern w:val="2"/>
              <w:szCs w:val="28"/>
              <w:lang w:val="en-US" w:eastAsia="zh-CN" w:bidi="ar"/>
            </w:rPr>
            <w:t>九、一般公共预算财政拨款项目支出决算表</w:t>
          </w:r>
          <w:r>
            <w:tab/>
          </w:r>
          <w:r>
            <w:fldChar w:fldCharType="begin"/>
          </w:r>
          <w:r>
            <w:instrText xml:space="preserve"> PAGEREF _Toc836 \h </w:instrText>
          </w:r>
          <w:r>
            <w:fldChar w:fldCharType="separate"/>
          </w:r>
          <w:r>
            <w:t>52</w:t>
          </w:r>
          <w:r>
            <w:fldChar w:fldCharType="end"/>
          </w:r>
          <w:r>
            <w:rPr>
              <w:rFonts w:hint="eastAsia"/>
            </w:rPr>
            <w:fldChar w:fldCharType="end"/>
          </w:r>
        </w:p>
        <w:p w14:paraId="3B1E682F">
          <w:pPr>
            <w:pStyle w:val="13"/>
            <w:tabs>
              <w:tab w:val="right" w:leader="dot" w:pos="8845"/>
            </w:tabs>
          </w:pPr>
          <w:r>
            <w:rPr>
              <w:rFonts w:hint="eastAsia"/>
            </w:rPr>
            <w:fldChar w:fldCharType="begin"/>
          </w:r>
          <w:r>
            <w:rPr>
              <w:rFonts w:hint="eastAsia"/>
            </w:rPr>
            <w:instrText xml:space="preserve"> HYPERLINK \l _Toc23024 </w:instrText>
          </w:r>
          <w:r>
            <w:rPr>
              <w:rFonts w:hint="eastAsia"/>
            </w:rPr>
            <w:fldChar w:fldCharType="separate"/>
          </w:r>
          <w:r>
            <w:rPr>
              <w:rFonts w:hint="eastAsia" w:ascii="仿宋" w:hAnsi="仿宋" w:eastAsia="仿宋" w:cs="仿宋"/>
              <w:kern w:val="2"/>
              <w:szCs w:val="28"/>
              <w:lang w:val="en-US" w:eastAsia="zh-CN" w:bidi="ar"/>
            </w:rPr>
            <w:t>十、政府性基金预算财政拨款收入支出决算表</w:t>
          </w:r>
          <w:r>
            <w:tab/>
          </w:r>
          <w:r>
            <w:fldChar w:fldCharType="begin"/>
          </w:r>
          <w:r>
            <w:instrText xml:space="preserve"> PAGEREF _Toc23024 \h </w:instrText>
          </w:r>
          <w:r>
            <w:fldChar w:fldCharType="separate"/>
          </w:r>
          <w:r>
            <w:t>52</w:t>
          </w:r>
          <w:r>
            <w:fldChar w:fldCharType="end"/>
          </w:r>
          <w:r>
            <w:rPr>
              <w:rFonts w:hint="eastAsia"/>
            </w:rPr>
            <w:fldChar w:fldCharType="end"/>
          </w:r>
        </w:p>
        <w:p w14:paraId="5CD20BBD">
          <w:pPr>
            <w:pStyle w:val="13"/>
            <w:tabs>
              <w:tab w:val="right" w:leader="dot" w:pos="8845"/>
            </w:tabs>
          </w:pPr>
          <w:r>
            <w:rPr>
              <w:rFonts w:hint="eastAsia"/>
            </w:rPr>
            <w:fldChar w:fldCharType="begin"/>
          </w:r>
          <w:r>
            <w:rPr>
              <w:rFonts w:hint="eastAsia"/>
            </w:rPr>
            <w:instrText xml:space="preserve"> HYPERLINK \l _Toc16564 </w:instrText>
          </w:r>
          <w:r>
            <w:rPr>
              <w:rFonts w:hint="eastAsia"/>
            </w:rPr>
            <w:fldChar w:fldCharType="separate"/>
          </w:r>
          <w:r>
            <w:rPr>
              <w:rFonts w:hint="eastAsia" w:ascii="仿宋" w:hAnsi="仿宋" w:eastAsia="仿宋" w:cs="仿宋"/>
              <w:kern w:val="2"/>
              <w:szCs w:val="28"/>
              <w:lang w:val="en-US" w:eastAsia="zh-CN" w:bidi="ar"/>
            </w:rPr>
            <w:t>十一、国有资本经营预算财政拨款收入支出决算表</w:t>
          </w:r>
          <w:r>
            <w:tab/>
          </w:r>
          <w:r>
            <w:fldChar w:fldCharType="begin"/>
          </w:r>
          <w:r>
            <w:instrText xml:space="preserve"> PAGEREF _Toc16564 \h </w:instrText>
          </w:r>
          <w:r>
            <w:fldChar w:fldCharType="separate"/>
          </w:r>
          <w:r>
            <w:t>52</w:t>
          </w:r>
          <w:r>
            <w:fldChar w:fldCharType="end"/>
          </w:r>
          <w:r>
            <w:rPr>
              <w:rFonts w:hint="eastAsia"/>
            </w:rPr>
            <w:fldChar w:fldCharType="end"/>
          </w:r>
        </w:p>
        <w:p w14:paraId="0812C40C">
          <w:pPr>
            <w:pStyle w:val="13"/>
            <w:tabs>
              <w:tab w:val="right" w:leader="dot" w:pos="8845"/>
            </w:tabs>
          </w:pPr>
          <w:r>
            <w:rPr>
              <w:rFonts w:hint="eastAsia"/>
            </w:rPr>
            <w:fldChar w:fldCharType="begin"/>
          </w:r>
          <w:r>
            <w:rPr>
              <w:rFonts w:hint="eastAsia"/>
            </w:rPr>
            <w:instrText xml:space="preserve"> HYPERLINK \l _Toc2942 </w:instrText>
          </w:r>
          <w:r>
            <w:rPr>
              <w:rFonts w:hint="eastAsia"/>
            </w:rPr>
            <w:fldChar w:fldCharType="separate"/>
          </w:r>
          <w:r>
            <w:rPr>
              <w:rFonts w:hint="eastAsia" w:ascii="仿宋" w:hAnsi="仿宋" w:eastAsia="仿宋" w:cs="仿宋"/>
              <w:kern w:val="2"/>
              <w:szCs w:val="28"/>
              <w:lang w:val="en-US" w:eastAsia="zh-CN" w:bidi="ar"/>
            </w:rPr>
            <w:t>十二、国有资本经营预算财政拨款支出决算表</w:t>
          </w:r>
          <w:r>
            <w:tab/>
          </w:r>
          <w:r>
            <w:fldChar w:fldCharType="begin"/>
          </w:r>
          <w:r>
            <w:instrText xml:space="preserve"> PAGEREF _Toc2942 \h </w:instrText>
          </w:r>
          <w:r>
            <w:fldChar w:fldCharType="separate"/>
          </w:r>
          <w:r>
            <w:t>52</w:t>
          </w:r>
          <w:r>
            <w:fldChar w:fldCharType="end"/>
          </w:r>
          <w:r>
            <w:rPr>
              <w:rFonts w:hint="eastAsia"/>
            </w:rPr>
            <w:fldChar w:fldCharType="end"/>
          </w:r>
        </w:p>
        <w:p w14:paraId="68F223DB">
          <w:pPr>
            <w:pStyle w:val="13"/>
            <w:tabs>
              <w:tab w:val="right" w:leader="dot" w:pos="8845"/>
            </w:tabs>
          </w:pPr>
          <w:r>
            <w:rPr>
              <w:rFonts w:hint="eastAsia"/>
            </w:rPr>
            <w:fldChar w:fldCharType="begin"/>
          </w:r>
          <w:r>
            <w:rPr>
              <w:rFonts w:hint="eastAsia"/>
            </w:rPr>
            <w:instrText xml:space="preserve"> HYPERLINK \l _Toc12178 </w:instrText>
          </w:r>
          <w:r>
            <w:rPr>
              <w:rFonts w:hint="eastAsia"/>
            </w:rPr>
            <w:fldChar w:fldCharType="separate"/>
          </w:r>
          <w:r>
            <w:rPr>
              <w:rFonts w:hint="eastAsia" w:ascii="仿宋" w:hAnsi="仿宋" w:eastAsia="仿宋" w:cs="仿宋"/>
              <w:kern w:val="2"/>
              <w:szCs w:val="28"/>
              <w:lang w:val="en-US" w:eastAsia="zh-CN" w:bidi="ar"/>
            </w:rPr>
            <w:t>十三、财政拨款“三公”经费支出决算表 </w:t>
          </w:r>
          <w:r>
            <w:tab/>
          </w:r>
          <w:r>
            <w:fldChar w:fldCharType="begin"/>
          </w:r>
          <w:r>
            <w:instrText xml:space="preserve"> PAGEREF _Toc12178 \h </w:instrText>
          </w:r>
          <w:r>
            <w:fldChar w:fldCharType="separate"/>
          </w:r>
          <w:r>
            <w:t>52</w:t>
          </w:r>
          <w:r>
            <w:fldChar w:fldCharType="end"/>
          </w:r>
          <w:r>
            <w:rPr>
              <w:rFonts w:hint="eastAsia"/>
            </w:rPr>
            <w:fldChar w:fldCharType="end"/>
          </w:r>
        </w:p>
        <w:p w14:paraId="5F9DEA30">
          <w:pPr>
            <w:pStyle w:val="12"/>
            <w:tabs>
              <w:tab w:val="right" w:leader="dot" w:pos="9181"/>
            </w:tabs>
            <w:rPr>
              <w:rFonts w:hint="eastAsia" w:asciiTheme="minorHAnsi" w:hAnsiTheme="minorHAnsi" w:eastAsiaTheme="minorEastAsia" w:cstheme="minorBidi"/>
              <w:kern w:val="2"/>
              <w:sz w:val="21"/>
              <w:szCs w:val="24"/>
              <w:lang w:val="en-US" w:eastAsia="zh-CN" w:bidi="ar-SA"/>
            </w:rPr>
          </w:pPr>
          <w:r>
            <w:rPr>
              <w:rFonts w:hint="eastAsia"/>
            </w:rPr>
            <w:fldChar w:fldCharType="end"/>
          </w:r>
        </w:p>
      </w:sdtContent>
    </w:sdt>
    <w:p w14:paraId="544B13A1">
      <w:pPr>
        <w:pStyle w:val="3"/>
        <w:ind w:left="0" w:leftChars="0" w:firstLine="0" w:firstLineChars="0"/>
        <w:rPr>
          <w:rFonts w:hint="eastAsia"/>
        </w:rPr>
      </w:pPr>
    </w:p>
    <w:p w14:paraId="17D9A5ED">
      <w:pPr>
        <w:bidi w:val="0"/>
        <w:rPr>
          <w:rFonts w:hint="eastAsia"/>
        </w:rPr>
      </w:pPr>
    </w:p>
    <w:p w14:paraId="38A6CF8E">
      <w:pPr>
        <w:pStyle w:val="4"/>
        <w:keepNext w:val="0"/>
        <w:keepLines w:val="0"/>
        <w:pageBreakBefore w:val="0"/>
        <w:widowControl w:val="0"/>
        <w:suppressLineNumbers w:val="0"/>
        <w:kinsoku/>
        <w:wordWrap/>
        <w:overflowPunct/>
        <w:topLinePunct w:val="0"/>
        <w:autoSpaceDE/>
        <w:autoSpaceDN/>
        <w:bidi w:val="0"/>
        <w:adjustRightInd/>
        <w:snapToGrid/>
        <w:jc w:val="center"/>
        <w:textAlignment w:val="auto"/>
        <w:outlineLvl w:val="0"/>
        <w:rPr>
          <w:rFonts w:hint="eastAsia" w:ascii="黑体" w:hAnsi="黑体" w:eastAsia="黑体" w:cs="黑体"/>
          <w:sz w:val="44"/>
          <w:szCs w:val="44"/>
        </w:rPr>
      </w:pPr>
      <w:bookmarkStart w:id="2" w:name="_Toc31543"/>
      <w:bookmarkEnd w:id="2"/>
      <w:bookmarkStart w:id="3" w:name="_Toc17522"/>
      <w:r>
        <w:rPr>
          <w:rFonts w:hint="eastAsia" w:ascii="黑体" w:hAnsi="黑体" w:eastAsia="黑体" w:cs="黑体"/>
          <w:b/>
          <w:kern w:val="44"/>
          <w:sz w:val="44"/>
          <w:szCs w:val="44"/>
        </w:rPr>
        <w:t>第一部分 部门概况</w:t>
      </w:r>
      <w:bookmarkEnd w:id="3"/>
    </w:p>
    <w:p w14:paraId="75C2C82B">
      <w:pPr>
        <w:pStyle w:val="5"/>
        <w:keepNext w:val="0"/>
        <w:keepLines w:val="0"/>
        <w:pageBreakBefore w:val="0"/>
        <w:widowControl w:val="0"/>
        <w:suppressLineNumbers w:val="0"/>
        <w:kinsoku/>
        <w:wordWrap/>
        <w:overflowPunct/>
        <w:topLinePunct w:val="0"/>
        <w:autoSpaceDE/>
        <w:autoSpaceDN/>
        <w:bidi w:val="0"/>
        <w:adjustRightInd/>
        <w:snapToGrid/>
        <w:ind w:left="0" w:firstLine="643" w:firstLineChars="200"/>
        <w:textAlignment w:val="auto"/>
        <w:outlineLvl w:val="1"/>
      </w:pPr>
      <w:bookmarkStart w:id="4" w:name="_Toc9466"/>
      <w:bookmarkEnd w:id="4"/>
      <w:bookmarkStart w:id="5" w:name="_Toc15396600"/>
      <w:bookmarkEnd w:id="5"/>
      <w:bookmarkStart w:id="6" w:name="_Toc15377197"/>
      <w:bookmarkStart w:id="7" w:name="_Toc6014"/>
      <w:r>
        <w:rPr>
          <w:rFonts w:hint="eastAsia" w:ascii="仿宋" w:hAnsi="仿宋" w:eastAsia="仿宋" w:cs="仿宋"/>
          <w:b/>
          <w:kern w:val="2"/>
          <w:sz w:val="32"/>
          <w:szCs w:val="32"/>
          <w:u w:val="none"/>
        </w:rPr>
        <w:t>一、</w:t>
      </w:r>
      <w:bookmarkEnd w:id="6"/>
      <w:r>
        <w:rPr>
          <w:rFonts w:hint="eastAsia" w:ascii="仿宋" w:hAnsi="仿宋" w:eastAsia="仿宋" w:cs="仿宋"/>
          <w:b/>
          <w:kern w:val="2"/>
          <w:sz w:val="32"/>
          <w:szCs w:val="32"/>
        </w:rPr>
        <w:t>部门职责</w:t>
      </w:r>
      <w:bookmarkEnd w:id="7"/>
    </w:p>
    <w:p w14:paraId="1178BA0C">
      <w:pPr>
        <w:keepNext w:val="0"/>
        <w:keepLines w:val="0"/>
        <w:widowControl/>
        <w:suppressLineNumbers w:val="0"/>
        <w:spacing w:before="0" w:beforeAutospacing="1" w:after="0" w:afterAutospacing="1" w:line="560" w:lineRule="exact"/>
        <w:ind w:left="0" w:right="0" w:firstLine="840" w:firstLineChars="300"/>
        <w:jc w:val="left"/>
      </w:pPr>
      <w:bookmarkStart w:id="8" w:name="_Toc15396601"/>
      <w:bookmarkEnd w:id="8"/>
      <w:r>
        <w:rPr>
          <w:rFonts w:hint="eastAsia" w:ascii="仿宋" w:hAnsi="仿宋" w:eastAsia="仿宋" w:cs="仿宋"/>
          <w:kern w:val="2"/>
          <w:sz w:val="28"/>
          <w:szCs w:val="28"/>
          <w:lang w:val="en-US" w:eastAsia="zh-CN" w:bidi="ar"/>
        </w:rPr>
        <w:t>1、负责在县卫健局领导、协调下开展对基本公共卫生服务，基本医疗服务，大骨节康复治疗服务、对重大疾病、流行病、传染病及突发公共卫生事件进行预防控制工作，配合有关部门参与对上述重大事件实施防控与干预，以及按规定报告传染病疫情信息。</w:t>
      </w:r>
    </w:p>
    <w:p w14:paraId="0C2128B7">
      <w:pPr>
        <w:keepNext w:val="0"/>
        <w:keepLines w:val="0"/>
        <w:widowControl/>
        <w:suppressLineNumbers w:val="0"/>
        <w:spacing w:before="0" w:beforeAutospacing="1" w:after="0" w:afterAutospacing="1" w:line="560" w:lineRule="exact"/>
        <w:ind w:left="0" w:right="0" w:firstLine="560" w:firstLineChars="200"/>
        <w:jc w:val="left"/>
      </w:pPr>
      <w:r>
        <w:rPr>
          <w:rFonts w:hint="eastAsia" w:ascii="仿宋" w:hAnsi="仿宋" w:eastAsia="仿宋" w:cs="仿宋"/>
          <w:kern w:val="2"/>
          <w:sz w:val="28"/>
          <w:szCs w:val="28"/>
          <w:lang w:val="en-US" w:eastAsia="zh-CN" w:bidi="ar"/>
        </w:rPr>
        <w:t>2、参与各乡镇的应急、救灾等方面工作；</w:t>
      </w:r>
    </w:p>
    <w:p w14:paraId="1D488C59">
      <w:pPr>
        <w:keepNext w:val="0"/>
        <w:keepLines w:val="0"/>
        <w:widowControl/>
        <w:suppressLineNumbers w:val="0"/>
        <w:spacing w:before="0" w:beforeAutospacing="1" w:after="0" w:afterAutospacing="1" w:line="560" w:lineRule="exact"/>
        <w:ind w:left="0" w:right="0" w:firstLine="560" w:firstLineChars="200"/>
        <w:jc w:val="left"/>
      </w:pPr>
      <w:r>
        <w:rPr>
          <w:rFonts w:hint="eastAsia" w:ascii="仿宋" w:hAnsi="仿宋" w:eastAsia="仿宋" w:cs="仿宋"/>
          <w:kern w:val="2"/>
          <w:sz w:val="28"/>
          <w:szCs w:val="28"/>
          <w:lang w:val="en-US" w:eastAsia="zh-CN" w:bidi="ar"/>
        </w:rPr>
        <w:t>3、负责各乡镇范围内群众的健康保健指导，对群众及职工进行健康检查，以及开展预防、保健知识的宣传和咨询工作。</w:t>
      </w:r>
    </w:p>
    <w:p w14:paraId="4FDC7351">
      <w:pPr>
        <w:keepNext w:val="0"/>
        <w:keepLines w:val="0"/>
        <w:widowControl/>
        <w:suppressLineNumbers w:val="0"/>
        <w:spacing w:before="0" w:beforeAutospacing="1" w:after="0" w:afterAutospacing="1" w:line="560" w:lineRule="exact"/>
        <w:ind w:left="0" w:right="0" w:firstLine="560" w:firstLineChars="200"/>
        <w:jc w:val="left"/>
      </w:pPr>
      <w:r>
        <w:rPr>
          <w:rFonts w:hint="eastAsia" w:ascii="仿宋" w:hAnsi="仿宋" w:eastAsia="仿宋" w:cs="仿宋"/>
          <w:kern w:val="2"/>
          <w:sz w:val="28"/>
          <w:szCs w:val="28"/>
          <w:lang w:val="en-US" w:eastAsia="zh-CN" w:bidi="ar"/>
        </w:rPr>
        <w:t>4、负责各乡镇基层乡村卫生工作者的业务培训。</w:t>
      </w:r>
    </w:p>
    <w:p w14:paraId="57BB36A1">
      <w:pPr>
        <w:pStyle w:val="5"/>
        <w:keepNext w:val="0"/>
        <w:keepLines w:val="0"/>
        <w:widowControl/>
        <w:suppressLineNumbers w:val="0"/>
        <w:ind w:left="0" w:firstLine="643" w:firstLineChars="200"/>
      </w:pPr>
      <w:bookmarkStart w:id="9" w:name="_Toc28240"/>
      <w:bookmarkEnd w:id="9"/>
      <w:bookmarkStart w:id="10" w:name="_Toc32482"/>
      <w:r>
        <w:rPr>
          <w:rFonts w:hint="eastAsia" w:ascii="仿宋" w:hAnsi="仿宋" w:eastAsia="仿宋" w:cs="仿宋"/>
          <w:b/>
          <w:kern w:val="2"/>
          <w:sz w:val="32"/>
          <w:szCs w:val="32"/>
        </w:rPr>
        <w:t>二、机构设置</w:t>
      </w:r>
      <w:bookmarkEnd w:id="10"/>
    </w:p>
    <w:p w14:paraId="4427EF27">
      <w:pPr>
        <w:keepNext w:val="0"/>
        <w:keepLines w:val="0"/>
        <w:widowControl/>
        <w:suppressLineNumbers w:val="0"/>
        <w:spacing w:before="0" w:beforeAutospacing="1" w:after="0" w:afterAutospacing="1" w:line="560" w:lineRule="exact"/>
        <w:ind w:right="0"/>
        <w:jc w:val="left"/>
      </w:pPr>
      <w:r>
        <w:rPr>
          <w:rFonts w:hint="eastAsia" w:ascii="仿宋" w:hAnsi="仿宋" w:eastAsia="仿宋" w:cs="仿宋"/>
          <w:kern w:val="2"/>
          <w:sz w:val="28"/>
          <w:szCs w:val="28"/>
          <w:lang w:val="en-US" w:eastAsia="zh-CN" w:bidi="ar"/>
        </w:rPr>
        <w:t>壤塘县中壤塘镇卫生院归属于壤塘县卫生健康局下属二级事业单位。</w:t>
      </w:r>
      <w:r>
        <w:rPr>
          <w:rFonts w:hint="eastAsia" w:ascii="仿宋" w:hAnsi="仿宋" w:eastAsia="仿宋" w:cs="仿宋"/>
          <w:kern w:val="2"/>
          <w:sz w:val="28"/>
          <w:szCs w:val="28"/>
          <w:lang w:val="en-US" w:eastAsia="zh-CN" w:bidi="ar"/>
        </w:rPr>
        <w:br w:type="page"/>
      </w:r>
    </w:p>
    <w:p w14:paraId="657528F9">
      <w:pPr>
        <w:pStyle w:val="4"/>
        <w:keepNext w:val="0"/>
        <w:keepLines w:val="0"/>
        <w:pageBreakBefore w:val="0"/>
        <w:widowControl w:val="0"/>
        <w:suppressLineNumbers w:val="0"/>
        <w:kinsoku/>
        <w:wordWrap/>
        <w:overflowPunct/>
        <w:topLinePunct w:val="0"/>
        <w:autoSpaceDE/>
        <w:autoSpaceDN/>
        <w:bidi w:val="0"/>
        <w:adjustRightInd/>
        <w:snapToGrid/>
        <w:jc w:val="center"/>
        <w:textAlignment w:val="auto"/>
        <w:outlineLvl w:val="0"/>
        <w:rPr>
          <w:rFonts w:hint="eastAsia" w:ascii="黑体" w:hAnsi="黑体" w:eastAsia="黑体" w:cs="黑体"/>
          <w:b/>
          <w:kern w:val="44"/>
          <w:sz w:val="44"/>
          <w:szCs w:val="44"/>
        </w:rPr>
      </w:pPr>
      <w:bookmarkStart w:id="11" w:name="_Toc15377204"/>
      <w:bookmarkEnd w:id="11"/>
      <w:bookmarkStart w:id="12" w:name="_Toc24671"/>
      <w:bookmarkEnd w:id="12"/>
      <w:bookmarkStart w:id="13" w:name="_Toc15396602"/>
      <w:bookmarkStart w:id="14" w:name="_Toc32266"/>
      <w:r>
        <w:rPr>
          <w:rFonts w:hint="eastAsia" w:ascii="黑体" w:hAnsi="黑体" w:eastAsia="黑体" w:cs="黑体"/>
          <w:b/>
          <w:kern w:val="44"/>
          <w:sz w:val="44"/>
          <w:szCs w:val="44"/>
        </w:rPr>
        <w:t>第二部分 2024年度</w:t>
      </w:r>
      <w:bookmarkEnd w:id="13"/>
      <w:r>
        <w:rPr>
          <w:rFonts w:hint="eastAsia" w:ascii="黑体" w:hAnsi="黑体" w:eastAsia="黑体" w:cs="黑体"/>
          <w:b/>
          <w:kern w:val="44"/>
          <w:sz w:val="44"/>
          <w:szCs w:val="44"/>
        </w:rPr>
        <w:t>部门决算情况说明</w:t>
      </w:r>
      <w:bookmarkEnd w:id="14"/>
    </w:p>
    <w:p w14:paraId="5D97ABF7">
      <w:pPr>
        <w:pStyle w:val="14"/>
        <w:keepNext w:val="0"/>
        <w:keepLines w:val="0"/>
        <w:widowControl/>
        <w:numPr>
          <w:ilvl w:val="0"/>
          <w:numId w:val="0"/>
        </w:numPr>
        <w:suppressLineNumbers w:val="0"/>
        <w:spacing w:before="0" w:beforeAutospacing="1" w:after="0" w:afterAutospacing="1" w:line="600" w:lineRule="exact"/>
        <w:ind w:left="1360" w:right="0" w:hanging="720" w:firstLineChars="0"/>
        <w:outlineLvl w:val="1"/>
      </w:pPr>
      <w:bookmarkStart w:id="15" w:name="_Toc31279"/>
      <w:bookmarkEnd w:id="15"/>
      <w:bookmarkStart w:id="16" w:name="_Toc7107"/>
      <w:r>
        <w:rPr>
          <w:rFonts w:hint="eastAsia" w:ascii="仿宋" w:hAnsi="仿宋" w:eastAsia="仿宋" w:cs="仿宋"/>
          <w:b w:val="0"/>
          <w:kern w:val="2"/>
          <w:sz w:val="32"/>
          <w:szCs w:val="32"/>
        </w:rPr>
        <w:t>一、 </w:t>
      </w:r>
      <w:bookmarkStart w:id="17" w:name="_Toc15396603"/>
      <w:bookmarkEnd w:id="17"/>
      <w:bookmarkStart w:id="18" w:name="_Toc15377205"/>
      <w:r>
        <w:rPr>
          <w:rFonts w:hint="eastAsia" w:ascii="仿宋" w:hAnsi="仿宋" w:eastAsia="仿宋" w:cs="仿宋"/>
          <w:b/>
          <w:kern w:val="2"/>
          <w:sz w:val="32"/>
          <w:szCs w:val="32"/>
          <w:u w:val="none"/>
        </w:rPr>
        <w:t>收</w:t>
      </w:r>
      <w:bookmarkEnd w:id="18"/>
      <w:r>
        <w:rPr>
          <w:rFonts w:hint="eastAsia" w:ascii="仿宋" w:hAnsi="仿宋" w:eastAsia="仿宋" w:cs="仿宋"/>
          <w:b/>
          <w:kern w:val="2"/>
          <w:sz w:val="32"/>
          <w:szCs w:val="32"/>
        </w:rPr>
        <w:t>入支出决算总体情况说明</w:t>
      </w:r>
      <w:bookmarkEnd w:id="16"/>
    </w:p>
    <w:p w14:paraId="7DAA9D3B">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 w:hAnsi="仿宋" w:eastAsia="仿宋" w:cs="仿宋"/>
          <w:color w:val="000000"/>
          <w:kern w:val="2"/>
          <w:sz w:val="32"/>
          <w:szCs w:val="32"/>
          <w:lang w:val="en-US" w:eastAsia="zh-CN" w:bidi="ar"/>
        </w:rPr>
        <w:t>2024年度收入总计267.69万元，与2023年相比，增加37.02万元，增长16.05%。主要变动原因：当年人员项目变动导致收入增加; 支出总计254.28万元。与2023年相比，增加43.47万元，增长20.62%。主要变动原因:当年人员项目变动导致支出增加。</w:t>
      </w:r>
    </w:p>
    <w:p w14:paraId="65A4C819">
      <w:pPr>
        <w:pStyle w:val="14"/>
        <w:keepNext w:val="0"/>
        <w:keepLines w:val="0"/>
        <w:widowControl/>
        <w:suppressLineNumbers w:val="0"/>
        <w:spacing w:before="0" w:beforeAutospacing="1" w:after="0" w:afterAutospacing="1"/>
        <w:ind w:left="0" w:right="0"/>
        <w:jc w:val="center"/>
      </w:pPr>
      <w:r>
        <w:drawing>
          <wp:inline distT="0" distB="0" distL="114300" distR="114300">
            <wp:extent cx="4714875" cy="2714625"/>
            <wp:effectExtent l="0" t="0" r="9525" b="952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5"/>
                    <a:stretch>
                      <a:fillRect/>
                    </a:stretch>
                  </pic:blipFill>
                  <pic:spPr>
                    <a:xfrm>
                      <a:off x="0" y="0"/>
                      <a:ext cx="4714875" cy="2714625"/>
                    </a:xfrm>
                    <a:prstGeom prst="rect">
                      <a:avLst/>
                    </a:prstGeom>
                    <a:noFill/>
                    <a:ln w="9525">
                      <a:noFill/>
                    </a:ln>
                  </pic:spPr>
                </pic:pic>
              </a:graphicData>
            </a:graphic>
          </wp:inline>
        </w:drawing>
      </w:r>
      <w:r>
        <w:rPr>
          <w:rFonts w:hint="eastAsia" w:ascii="仿宋" w:hAnsi="Calibri" w:eastAsia="仿宋" w:cs="仿宋"/>
          <w:color w:val="000000"/>
          <w:sz w:val="24"/>
          <w:szCs w:val="24"/>
        </w:rPr>
        <w:t> </w:t>
      </w:r>
    </w:p>
    <w:p w14:paraId="262D7301">
      <w:pPr>
        <w:pStyle w:val="14"/>
        <w:keepNext w:val="0"/>
        <w:keepLines w:val="0"/>
        <w:widowControl/>
        <w:suppressLineNumbers w:val="0"/>
        <w:spacing w:before="0" w:beforeAutospacing="1" w:after="0" w:afterAutospacing="1"/>
        <w:ind w:left="0" w:right="0" w:firstLine="0" w:firstLineChars="0"/>
      </w:pPr>
      <w:r>
        <w:rPr>
          <w:rFonts w:hint="eastAsia" w:ascii="仿宋" w:hAnsi="仿宋" w:eastAsia="仿宋" w:cs="仿宋"/>
          <w:kern w:val="2"/>
          <w:sz w:val="28"/>
          <w:szCs w:val="28"/>
        </w:rPr>
        <w:t> </w:t>
      </w:r>
    </w:p>
    <w:p w14:paraId="33CEE52F">
      <w:pPr>
        <w:pStyle w:val="14"/>
        <w:keepNext w:val="0"/>
        <w:keepLines w:val="0"/>
        <w:widowControl/>
        <w:suppressLineNumbers w:val="0"/>
        <w:spacing w:before="0" w:beforeAutospacing="1" w:after="0" w:afterAutospacing="1"/>
        <w:ind w:left="0" w:right="0"/>
      </w:pPr>
      <w:r>
        <w:drawing>
          <wp:inline distT="0" distB="0" distL="114300" distR="114300">
            <wp:extent cx="4848225" cy="2667000"/>
            <wp:effectExtent l="0" t="0" r="952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4848225" cy="2667000"/>
                    </a:xfrm>
                    <a:prstGeom prst="rect">
                      <a:avLst/>
                    </a:prstGeom>
                    <a:noFill/>
                    <a:ln w="9525">
                      <a:noFill/>
                    </a:ln>
                  </pic:spPr>
                </pic:pic>
              </a:graphicData>
            </a:graphic>
          </wp:inline>
        </w:drawing>
      </w:r>
      <w:r>
        <w:rPr>
          <w:rFonts w:hint="eastAsia" w:ascii="仿宋" w:hAnsi="仿宋" w:eastAsia="仿宋" w:cs="仿宋"/>
          <w:kern w:val="2"/>
          <w:sz w:val="28"/>
          <w:szCs w:val="28"/>
        </w:rPr>
        <w:t> </w:t>
      </w:r>
    </w:p>
    <w:p w14:paraId="0DBD27A7">
      <w:pPr>
        <w:keepNext w:val="0"/>
        <w:keepLines w:val="0"/>
        <w:widowControl/>
        <w:suppressLineNumbers w:val="0"/>
        <w:spacing w:before="0" w:beforeAutospacing="1" w:after="0" w:afterAutospacing="1" w:line="600" w:lineRule="exact"/>
        <w:ind w:left="0" w:right="0" w:firstLine="560" w:firstLineChars="200"/>
        <w:jc w:val="left"/>
      </w:pPr>
      <w:r>
        <w:rPr>
          <w:rFonts w:hint="eastAsia" w:ascii="仿宋" w:hAnsi="仿宋" w:eastAsia="仿宋" w:cs="仿宋"/>
          <w:kern w:val="2"/>
          <w:sz w:val="28"/>
          <w:szCs w:val="28"/>
          <w:lang w:val="en-US" w:eastAsia="zh-CN" w:bidi="ar"/>
        </w:rPr>
        <w:t>（图1：收、支决算总计变动情况图）（柱状图）</w:t>
      </w:r>
    </w:p>
    <w:p w14:paraId="23EB3AB9">
      <w:pPr>
        <w:pStyle w:val="14"/>
        <w:keepNext w:val="0"/>
        <w:keepLines w:val="0"/>
        <w:widowControl/>
        <w:numPr>
          <w:ilvl w:val="0"/>
          <w:numId w:val="0"/>
        </w:numPr>
        <w:suppressLineNumbers w:val="0"/>
        <w:spacing w:before="0" w:beforeAutospacing="1" w:after="0" w:afterAutospacing="1" w:line="600" w:lineRule="exact"/>
        <w:ind w:left="1360" w:right="0" w:hanging="720" w:firstLineChars="0"/>
        <w:outlineLvl w:val="1"/>
      </w:pPr>
      <w:bookmarkStart w:id="19" w:name="_Toc15377206"/>
      <w:bookmarkEnd w:id="19"/>
      <w:bookmarkStart w:id="20" w:name="_Toc32630"/>
      <w:r>
        <w:rPr>
          <w:rFonts w:hint="eastAsia" w:ascii="仿宋" w:hAnsi="仿宋" w:eastAsia="仿宋" w:cs="仿宋"/>
          <w:b w:val="0"/>
          <w:kern w:val="2"/>
          <w:sz w:val="32"/>
          <w:szCs w:val="32"/>
        </w:rPr>
        <w:t>二、 </w:t>
      </w:r>
      <w:bookmarkStart w:id="21" w:name="_Toc15396604"/>
      <w:bookmarkEnd w:id="21"/>
      <w:bookmarkStart w:id="22" w:name="_Toc3639"/>
      <w:r>
        <w:rPr>
          <w:rFonts w:hint="eastAsia" w:ascii="仿宋" w:hAnsi="仿宋" w:eastAsia="仿宋" w:cs="仿宋"/>
          <w:b/>
          <w:kern w:val="2"/>
          <w:sz w:val="32"/>
          <w:szCs w:val="32"/>
          <w:u w:val="none"/>
        </w:rPr>
        <w:t>收</w:t>
      </w:r>
      <w:bookmarkEnd w:id="22"/>
      <w:r>
        <w:rPr>
          <w:rFonts w:hint="eastAsia" w:ascii="仿宋" w:hAnsi="仿宋" w:eastAsia="仿宋" w:cs="仿宋"/>
          <w:b/>
          <w:kern w:val="2"/>
          <w:sz w:val="32"/>
          <w:szCs w:val="32"/>
        </w:rPr>
        <w:t>入决算情况说明</w:t>
      </w:r>
      <w:bookmarkEnd w:id="20"/>
    </w:p>
    <w:p w14:paraId="51586952">
      <w:pPr>
        <w:keepNext w:val="0"/>
        <w:keepLines w:val="0"/>
        <w:widowControl/>
        <w:suppressLineNumbers w:val="0"/>
        <w:spacing w:before="0" w:beforeAutospacing="1" w:after="0" w:afterAutospacing="1" w:line="600" w:lineRule="exact"/>
        <w:ind w:left="0" w:right="0" w:firstLine="560" w:firstLineChars="200"/>
        <w:jc w:val="left"/>
      </w:pPr>
      <w:bookmarkStart w:id="23" w:name="_Toc13887"/>
      <w:bookmarkEnd w:id="23"/>
      <w:bookmarkStart w:id="24" w:name="_Toc5986"/>
      <w:r>
        <w:rPr>
          <w:rFonts w:hint="eastAsia" w:ascii="仿宋" w:hAnsi="仿宋" w:eastAsia="仿宋" w:cs="仿宋"/>
          <w:kern w:val="2"/>
          <w:sz w:val="28"/>
          <w:szCs w:val="28"/>
          <w:u w:val="none"/>
          <w:lang w:val="en-US" w:eastAsia="zh-CN" w:bidi="ar"/>
        </w:rPr>
        <w:t>2024年本年收入合计267.69万元，其中：一般公共预算财政拨款收入225.84万元，占84.37%；政府性基金预算财政拨款收入0万元，占0%；国有资本经营预算财政拨款收入0万元，占0%；上级补助收入0万元，占0%；事业收入41.85万元，占15.63%；经营收入0万元，占0%；附属单位上缴收入0万元，占0%；其他收入0万元，占0%</w:t>
      </w:r>
      <w:bookmarkEnd w:id="24"/>
      <w:r>
        <w:rPr>
          <w:rFonts w:hint="eastAsia" w:ascii="仿宋" w:hAnsi="仿宋" w:eastAsia="仿宋" w:cs="仿宋"/>
          <w:kern w:val="2"/>
          <w:sz w:val="28"/>
          <w:szCs w:val="28"/>
          <w:lang w:val="en-US" w:eastAsia="zh-CN" w:bidi="ar"/>
        </w:rPr>
        <w:t>；年初结转和结余0万元，占0%。</w:t>
      </w:r>
    </w:p>
    <w:p w14:paraId="6766B550">
      <w:pPr>
        <w:keepNext w:val="0"/>
        <w:keepLines w:val="0"/>
        <w:widowControl/>
        <w:suppressLineNumbers w:val="0"/>
        <w:spacing w:before="0" w:beforeAutospacing="1" w:after="0" w:afterAutospacing="1" w:line="600" w:lineRule="exact"/>
        <w:ind w:left="0" w:right="0" w:firstLine="562" w:firstLineChars="200"/>
        <w:jc w:val="left"/>
      </w:pPr>
      <w:bookmarkStart w:id="25" w:name="_Toc3435"/>
      <w:bookmarkEnd w:id="25"/>
      <w:bookmarkStart w:id="26" w:name="_Toc19806"/>
      <w:r>
        <w:rPr>
          <w:rFonts w:hint="eastAsia" w:ascii="仿宋" w:hAnsi="仿宋" w:eastAsia="仿宋" w:cs="仿宋"/>
          <w:b/>
          <w:kern w:val="2"/>
          <w:sz w:val="28"/>
          <w:szCs w:val="28"/>
          <w:u w:val="none"/>
          <w:lang w:val="en-US" w:eastAsia="zh-CN" w:bidi="ar"/>
        </w:rPr>
        <w:t>（注：数据来源于财决01表，仅罗列本部门涉及的收入。）</w:t>
      </w:r>
      <w:bookmarkEnd w:id="26"/>
    </w:p>
    <w:p w14:paraId="69BCB0A8">
      <w:pPr>
        <w:pStyle w:val="14"/>
        <w:keepNext w:val="0"/>
        <w:keepLines w:val="0"/>
        <w:widowControl/>
        <w:suppressLineNumbers w:val="0"/>
        <w:spacing w:before="0" w:beforeAutospacing="1" w:after="0" w:afterAutospacing="1"/>
        <w:ind w:left="0" w:right="0"/>
      </w:pPr>
      <w:r>
        <w:drawing>
          <wp:inline distT="0" distB="0" distL="114300" distR="114300">
            <wp:extent cx="4838700" cy="2781300"/>
            <wp:effectExtent l="0" t="0" r="0"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7"/>
                    <a:stretch>
                      <a:fillRect/>
                    </a:stretch>
                  </pic:blipFill>
                  <pic:spPr>
                    <a:xfrm>
                      <a:off x="0" y="0"/>
                      <a:ext cx="4838700" cy="2781300"/>
                    </a:xfrm>
                    <a:prstGeom prst="rect">
                      <a:avLst/>
                    </a:prstGeom>
                    <a:noFill/>
                    <a:ln w="9525">
                      <a:noFill/>
                    </a:ln>
                  </pic:spPr>
                </pic:pic>
              </a:graphicData>
            </a:graphic>
          </wp:inline>
        </w:drawing>
      </w:r>
      <w:r>
        <w:rPr>
          <w:rFonts w:hint="eastAsia" w:ascii="仿宋" w:hAnsi="仿宋" w:eastAsia="仿宋" w:cs="仿宋"/>
          <w:b/>
          <w:color w:val="000000"/>
          <w:sz w:val="32"/>
          <w:szCs w:val="32"/>
        </w:rPr>
        <w:t> </w:t>
      </w:r>
    </w:p>
    <w:p w14:paraId="59D5FC13">
      <w:pPr>
        <w:pStyle w:val="14"/>
        <w:keepNext w:val="0"/>
        <w:keepLines w:val="0"/>
        <w:widowControl/>
        <w:suppressLineNumbers w:val="0"/>
        <w:spacing w:before="0" w:beforeAutospacing="1" w:after="0" w:afterAutospacing="1"/>
        <w:ind w:left="0" w:right="0"/>
        <w:jc w:val="center"/>
      </w:pPr>
      <w:r>
        <w:rPr>
          <w:rFonts w:hint="eastAsia" w:ascii="仿宋" w:hAnsi="仿宋" w:eastAsia="仿宋" w:cs="仿宋"/>
          <w:color w:val="000000"/>
          <w:sz w:val="32"/>
          <w:szCs w:val="32"/>
        </w:rPr>
        <w:t> </w:t>
      </w:r>
    </w:p>
    <w:p w14:paraId="03C31566">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（图</w:t>
      </w:r>
      <w:r>
        <w:rPr>
          <w:rFonts w:hint="eastAsia" w:ascii="仿宋" w:hAnsi="仿宋" w:eastAsia="仿宋" w:cs="Times New Roman"/>
          <w:b/>
          <w:kern w:val="2"/>
          <w:sz w:val="28"/>
          <w:szCs w:val="28"/>
          <w:lang w:val="en-US" w:eastAsia="zh-CN" w:bidi="ar"/>
        </w:rPr>
        <w:t>2：收入决算结构图）（饼状图）</w:t>
      </w:r>
    </w:p>
    <w:p w14:paraId="127570D8">
      <w:pPr>
        <w:pStyle w:val="14"/>
        <w:keepNext w:val="0"/>
        <w:keepLines w:val="0"/>
        <w:widowControl/>
        <w:numPr>
          <w:ilvl w:val="0"/>
          <w:numId w:val="0"/>
        </w:numPr>
        <w:suppressLineNumbers w:val="0"/>
        <w:spacing w:before="0" w:beforeAutospacing="1" w:after="0" w:afterAutospacing="1" w:line="600" w:lineRule="exact"/>
        <w:ind w:left="1360" w:right="0" w:hanging="720" w:firstLineChars="0"/>
        <w:outlineLvl w:val="1"/>
      </w:pPr>
      <w:bookmarkStart w:id="27" w:name="_Toc15396605"/>
      <w:bookmarkEnd w:id="27"/>
      <w:bookmarkStart w:id="28" w:name="_Toc12917"/>
      <w:r>
        <w:rPr>
          <w:rFonts w:hint="eastAsia" w:ascii="仿宋" w:hAnsi="仿宋" w:eastAsia="仿宋" w:cs="仿宋"/>
          <w:b w:val="0"/>
          <w:kern w:val="2"/>
          <w:sz w:val="32"/>
          <w:szCs w:val="32"/>
        </w:rPr>
        <w:t>三、 </w:t>
      </w:r>
      <w:bookmarkStart w:id="29" w:name="_Toc15377207"/>
      <w:bookmarkEnd w:id="29"/>
      <w:bookmarkStart w:id="30" w:name="_Toc22889"/>
      <w:r>
        <w:rPr>
          <w:rFonts w:hint="eastAsia" w:ascii="仿宋" w:hAnsi="仿宋" w:eastAsia="仿宋" w:cs="仿宋"/>
          <w:b/>
          <w:kern w:val="2"/>
          <w:sz w:val="32"/>
          <w:szCs w:val="32"/>
          <w:u w:val="none"/>
        </w:rPr>
        <w:t>支</w:t>
      </w:r>
      <w:bookmarkEnd w:id="30"/>
      <w:r>
        <w:rPr>
          <w:rFonts w:hint="eastAsia" w:ascii="仿宋" w:hAnsi="仿宋" w:eastAsia="仿宋" w:cs="仿宋"/>
          <w:b/>
          <w:kern w:val="2"/>
          <w:sz w:val="32"/>
          <w:szCs w:val="32"/>
        </w:rPr>
        <w:t>出决算情况说明</w:t>
      </w:r>
      <w:bookmarkEnd w:id="28"/>
    </w:p>
    <w:p w14:paraId="0741E28D">
      <w:pPr>
        <w:keepNext w:val="0"/>
        <w:keepLines w:val="0"/>
        <w:widowControl/>
        <w:suppressLineNumbers w:val="0"/>
        <w:spacing w:before="0" w:beforeAutospacing="1" w:after="0" w:afterAutospacing="1" w:line="600" w:lineRule="exact"/>
        <w:ind w:left="0" w:right="0" w:firstLine="560" w:firstLineChars="200"/>
        <w:jc w:val="left"/>
      </w:pPr>
      <w:bookmarkStart w:id="31" w:name="_Toc25808"/>
      <w:bookmarkEnd w:id="31"/>
      <w:bookmarkStart w:id="32" w:name="_Toc20789"/>
      <w:r>
        <w:rPr>
          <w:rFonts w:hint="eastAsia" w:ascii="仿宋" w:hAnsi="仿宋" w:eastAsia="仿宋" w:cs="Times New Roman"/>
          <w:kern w:val="2"/>
          <w:sz w:val="28"/>
          <w:szCs w:val="28"/>
          <w:u w:val="none"/>
          <w:lang w:val="en-US" w:eastAsia="zh-CN" w:bidi="ar"/>
        </w:rPr>
        <w:t>2024年本年支出合计254.28 万元，其中：基本支出203.82万元，占80.16%；项目支出50.46万元，占19.84</w:t>
      </w:r>
      <w:bookmarkEnd w:id="32"/>
      <w:r>
        <w:rPr>
          <w:rFonts w:hint="eastAsia" w:ascii="仿宋" w:hAnsi="仿宋" w:eastAsia="仿宋" w:cs="Times New Roman"/>
          <w:kern w:val="2"/>
          <w:sz w:val="28"/>
          <w:szCs w:val="28"/>
          <w:lang w:val="en-US" w:eastAsia="zh-CN" w:bidi="ar"/>
        </w:rPr>
        <w:t>%</w:t>
      </w:r>
      <w:r>
        <w:rPr>
          <w:rFonts w:hint="eastAsia" w:ascii="仿宋" w:hAnsi="仿宋" w:eastAsia="仿宋" w:cs="仿宋"/>
          <w:kern w:val="2"/>
          <w:sz w:val="28"/>
          <w:szCs w:val="28"/>
          <w:lang w:val="en-US" w:eastAsia="zh-CN" w:bidi="ar"/>
        </w:rPr>
        <w:t>；上缴上级支出</w:t>
      </w:r>
      <w:r>
        <w:rPr>
          <w:rFonts w:hint="eastAsia" w:ascii="仿宋" w:hAnsi="仿宋" w:eastAsia="仿宋" w:cs="Times New Roman"/>
          <w:kern w:val="2"/>
          <w:sz w:val="28"/>
          <w:szCs w:val="28"/>
          <w:lang w:val="en-US" w:eastAsia="zh-CN" w:bidi="ar"/>
        </w:rPr>
        <w:t>0万元，占0%</w:t>
      </w:r>
      <w:r>
        <w:rPr>
          <w:rFonts w:hint="eastAsia" w:ascii="仿宋" w:hAnsi="仿宋" w:eastAsia="仿宋" w:cs="仿宋"/>
          <w:kern w:val="2"/>
          <w:sz w:val="28"/>
          <w:szCs w:val="28"/>
          <w:lang w:val="en-US" w:eastAsia="zh-CN" w:bidi="ar"/>
        </w:rPr>
        <w:t>；经营支出</w:t>
      </w:r>
      <w:r>
        <w:rPr>
          <w:rFonts w:hint="eastAsia" w:ascii="仿宋" w:hAnsi="仿宋" w:eastAsia="仿宋" w:cs="Times New Roman"/>
          <w:kern w:val="2"/>
          <w:sz w:val="28"/>
          <w:szCs w:val="28"/>
          <w:lang w:val="en-US" w:eastAsia="zh-CN" w:bidi="ar"/>
        </w:rPr>
        <w:t>0万元，占0%</w:t>
      </w:r>
      <w:r>
        <w:rPr>
          <w:rFonts w:hint="eastAsia" w:ascii="仿宋" w:hAnsi="仿宋" w:eastAsia="仿宋" w:cs="仿宋"/>
          <w:kern w:val="2"/>
          <w:sz w:val="28"/>
          <w:szCs w:val="28"/>
          <w:lang w:val="en-US" w:eastAsia="zh-CN" w:bidi="ar"/>
        </w:rPr>
        <w:t>；对附属单位补助支出</w:t>
      </w:r>
      <w:r>
        <w:rPr>
          <w:rFonts w:hint="eastAsia" w:ascii="仿宋" w:hAnsi="仿宋" w:eastAsia="仿宋" w:cs="Times New Roman"/>
          <w:kern w:val="2"/>
          <w:sz w:val="28"/>
          <w:szCs w:val="28"/>
          <w:lang w:val="en-US" w:eastAsia="zh-CN" w:bidi="ar"/>
        </w:rPr>
        <w:t>0万元，占0%</w:t>
      </w:r>
      <w:r>
        <w:rPr>
          <w:rFonts w:hint="eastAsia" w:ascii="仿宋" w:hAnsi="仿宋" w:eastAsia="仿宋" w:cs="仿宋"/>
          <w:kern w:val="2"/>
          <w:sz w:val="28"/>
          <w:szCs w:val="28"/>
          <w:lang w:val="en-US" w:eastAsia="zh-CN" w:bidi="ar"/>
        </w:rPr>
        <w:t>。</w:t>
      </w:r>
    </w:p>
    <w:p w14:paraId="312EE3B0">
      <w:pPr>
        <w:keepNext w:val="0"/>
        <w:keepLines w:val="0"/>
        <w:widowControl/>
        <w:suppressLineNumbers w:val="0"/>
        <w:spacing w:before="0" w:beforeAutospacing="1" w:after="0" w:afterAutospacing="1" w:line="600" w:lineRule="exact"/>
        <w:ind w:left="0" w:right="0" w:firstLine="562" w:firstLineChars="200"/>
        <w:jc w:val="left"/>
      </w:pPr>
      <w:bookmarkStart w:id="33" w:name="_Toc20782"/>
      <w:bookmarkEnd w:id="33"/>
      <w:bookmarkStart w:id="34" w:name="_Toc2006"/>
      <w:r>
        <w:rPr>
          <w:rFonts w:hint="eastAsia" w:ascii="仿宋" w:hAnsi="仿宋" w:eastAsia="仿宋" w:cs="仿宋"/>
          <w:b/>
          <w:kern w:val="2"/>
          <w:sz w:val="28"/>
          <w:szCs w:val="28"/>
          <w:u w:val="none"/>
          <w:lang w:val="en-US" w:eastAsia="zh-CN" w:bidi="ar"/>
        </w:rPr>
        <w:t>（注：数据来源于财决</w:t>
      </w:r>
      <w:bookmarkEnd w:id="34"/>
      <w:r>
        <w:rPr>
          <w:rFonts w:hint="eastAsia" w:ascii="仿宋" w:hAnsi="仿宋" w:eastAsia="仿宋" w:cs="Times New Roman"/>
          <w:b/>
          <w:kern w:val="2"/>
          <w:sz w:val="28"/>
          <w:szCs w:val="28"/>
          <w:lang w:val="en-US" w:eastAsia="zh-CN" w:bidi="ar"/>
        </w:rPr>
        <w:t>04</w:t>
      </w:r>
      <w:r>
        <w:rPr>
          <w:rFonts w:hint="eastAsia" w:ascii="仿宋" w:hAnsi="仿宋" w:eastAsia="仿宋" w:cs="仿宋"/>
          <w:b/>
          <w:kern w:val="2"/>
          <w:sz w:val="28"/>
          <w:szCs w:val="28"/>
          <w:lang w:val="en-US" w:eastAsia="zh-CN" w:bidi="ar"/>
        </w:rPr>
        <w:t>表，仅罗列本部门涉及的支出。）</w:t>
      </w:r>
    </w:p>
    <w:p w14:paraId="1A09B7E2">
      <w:pPr>
        <w:pStyle w:val="14"/>
        <w:keepNext w:val="0"/>
        <w:keepLines w:val="0"/>
        <w:widowControl/>
        <w:suppressLineNumbers w:val="0"/>
        <w:spacing w:before="0" w:beforeAutospacing="1" w:after="0" w:afterAutospacing="1"/>
        <w:ind w:left="0" w:right="0"/>
        <w:jc w:val="center"/>
      </w:pPr>
      <w:r>
        <w:drawing>
          <wp:inline distT="0" distB="0" distL="114300" distR="114300">
            <wp:extent cx="4114800" cy="2286000"/>
            <wp:effectExtent l="0" t="0" r="0" b="0"/>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8"/>
                    <a:stretch>
                      <a:fillRect/>
                    </a:stretch>
                  </pic:blipFill>
                  <pic:spPr>
                    <a:xfrm>
                      <a:off x="0" y="0"/>
                      <a:ext cx="4114800" cy="2286000"/>
                    </a:xfrm>
                    <a:prstGeom prst="rect">
                      <a:avLst/>
                    </a:prstGeom>
                    <a:noFill/>
                    <a:ln w="9525">
                      <a:noFill/>
                    </a:ln>
                  </pic:spPr>
                </pic:pic>
              </a:graphicData>
            </a:graphic>
          </wp:inline>
        </w:drawing>
      </w:r>
      <w:r>
        <w:rPr>
          <w:rFonts w:hint="eastAsia" w:ascii="仿宋" w:hAnsi="仿宋" w:eastAsia="仿宋" w:cs="仿宋"/>
          <w:color w:val="000000"/>
          <w:sz w:val="32"/>
          <w:szCs w:val="32"/>
          <w:shd w:val="clear" w:fill="7F7F7F"/>
        </w:rPr>
        <w:t> </w:t>
      </w:r>
    </w:p>
    <w:p w14:paraId="5793F10F">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（图</w:t>
      </w:r>
      <w:r>
        <w:rPr>
          <w:rFonts w:hint="eastAsia" w:ascii="仿宋" w:hAnsi="仿宋" w:eastAsia="仿宋" w:cs="Times New Roman"/>
          <w:b/>
          <w:kern w:val="2"/>
          <w:sz w:val="28"/>
          <w:szCs w:val="28"/>
          <w:lang w:val="en-US" w:eastAsia="zh-CN" w:bidi="ar"/>
        </w:rPr>
        <w:t>3：支出决算结构图）（饼状图）</w:t>
      </w:r>
    </w:p>
    <w:p w14:paraId="75162E2C">
      <w:pPr>
        <w:keepNext w:val="0"/>
        <w:keepLines w:val="0"/>
        <w:widowControl/>
        <w:suppressLineNumbers w:val="0"/>
        <w:spacing w:before="0" w:beforeAutospacing="1" w:after="0" w:afterAutospacing="1" w:line="600" w:lineRule="exact"/>
        <w:ind w:left="0" w:right="0" w:firstLine="643" w:firstLineChars="200"/>
        <w:jc w:val="left"/>
        <w:outlineLvl w:val="1"/>
      </w:pPr>
      <w:bookmarkStart w:id="35" w:name="_Toc15377208"/>
      <w:bookmarkEnd w:id="35"/>
      <w:bookmarkStart w:id="36" w:name="_Toc15396606"/>
      <w:bookmarkEnd w:id="36"/>
      <w:bookmarkStart w:id="37" w:name="_Toc7906"/>
      <w:bookmarkStart w:id="38" w:name="_Toc288"/>
      <w:r>
        <w:rPr>
          <w:rFonts w:hint="eastAsia" w:ascii="仿宋" w:hAnsi="仿宋" w:eastAsia="仿宋" w:cs="仿宋"/>
          <w:b/>
          <w:kern w:val="2"/>
          <w:sz w:val="32"/>
          <w:szCs w:val="32"/>
          <w:u w:val="none"/>
          <w:lang w:val="en-US" w:eastAsia="zh-CN" w:bidi="ar"/>
        </w:rPr>
        <w:t>四、财</w:t>
      </w:r>
      <w:bookmarkEnd w:id="37"/>
      <w:r>
        <w:rPr>
          <w:rFonts w:hint="eastAsia" w:ascii="仿宋" w:hAnsi="仿宋" w:eastAsia="仿宋" w:cs="仿宋"/>
          <w:b/>
          <w:kern w:val="2"/>
          <w:sz w:val="32"/>
          <w:szCs w:val="32"/>
          <w:lang w:val="en-US" w:eastAsia="zh-CN" w:bidi="ar"/>
        </w:rPr>
        <w:t>政拨款收入支出决算总体情况说明</w:t>
      </w:r>
      <w:bookmarkEnd w:id="38"/>
    </w:p>
    <w:p w14:paraId="319A5E6E">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 w:hAnsi="仿宋" w:eastAsia="仿宋" w:cs="仿宋"/>
          <w:color w:val="000000"/>
          <w:kern w:val="2"/>
          <w:sz w:val="32"/>
          <w:szCs w:val="32"/>
          <w:lang w:val="en-US" w:eastAsia="zh-CN" w:bidi="ar"/>
        </w:rPr>
        <w:t>2024年度财政拨款收入总计225.84万元，与2023年相比，增加15.04万元，增长7.13%。主要变动原因：人员变动，导致相关经费增加; 财政拨款支出总计225.84万元。与2023年相比，增加15.04万元，增长7.13%。主要变动原因:项目减少，相关经费减少。</w:t>
      </w:r>
    </w:p>
    <w:p w14:paraId="5AEED614">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b/>
          <w:kern w:val="2"/>
          <w:sz w:val="28"/>
          <w:szCs w:val="28"/>
          <w:lang w:val="en-US" w:eastAsia="zh-CN" w:bidi="ar"/>
        </w:rPr>
        <w:t>（注：数据来源于财决</w:t>
      </w:r>
      <w:r>
        <w:rPr>
          <w:rFonts w:hint="eastAsia" w:ascii="仿宋" w:hAnsi="仿宋" w:eastAsia="仿宋" w:cs="Times New Roman"/>
          <w:b/>
          <w:kern w:val="2"/>
          <w:sz w:val="28"/>
          <w:szCs w:val="28"/>
          <w:lang w:val="en-US" w:eastAsia="zh-CN" w:bidi="ar"/>
        </w:rPr>
        <w:t>01-1</w:t>
      </w:r>
      <w:r>
        <w:rPr>
          <w:rFonts w:hint="eastAsia" w:ascii="仿宋" w:hAnsi="仿宋" w:eastAsia="仿宋" w:cs="仿宋"/>
          <w:b/>
          <w:kern w:val="2"/>
          <w:sz w:val="28"/>
          <w:szCs w:val="28"/>
          <w:lang w:val="en-US" w:eastAsia="zh-CN" w:bidi="ar"/>
        </w:rPr>
        <w:t>表）</w:t>
      </w:r>
    </w:p>
    <w:p w14:paraId="7682E173">
      <w:pPr>
        <w:pStyle w:val="14"/>
        <w:keepNext w:val="0"/>
        <w:keepLines w:val="0"/>
        <w:widowControl/>
        <w:suppressLineNumbers w:val="0"/>
        <w:spacing w:before="0" w:beforeAutospacing="1" w:after="0" w:afterAutospacing="1"/>
        <w:ind w:left="0" w:right="0"/>
        <w:jc w:val="center"/>
      </w:pPr>
      <w:r>
        <w:drawing>
          <wp:inline distT="0" distB="0" distL="114300" distR="114300">
            <wp:extent cx="4219575" cy="2400300"/>
            <wp:effectExtent l="0" t="0" r="9525" b="0"/>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9"/>
                    <a:stretch>
                      <a:fillRect/>
                    </a:stretch>
                  </pic:blipFill>
                  <pic:spPr>
                    <a:xfrm>
                      <a:off x="0" y="0"/>
                      <a:ext cx="4219575" cy="2400300"/>
                    </a:xfrm>
                    <a:prstGeom prst="rect">
                      <a:avLst/>
                    </a:prstGeom>
                    <a:noFill/>
                    <a:ln w="9525">
                      <a:noFill/>
                    </a:ln>
                  </pic:spPr>
                </pic:pic>
              </a:graphicData>
            </a:graphic>
          </wp:inline>
        </w:drawing>
      </w:r>
      <w:r>
        <w:rPr>
          <w:rFonts w:hint="eastAsia" w:ascii="仿宋" w:hAnsi="Calibri" w:eastAsia="仿宋" w:cs="仿宋"/>
          <w:color w:val="000000"/>
          <w:sz w:val="24"/>
          <w:szCs w:val="24"/>
        </w:rPr>
        <w:t> </w:t>
      </w:r>
    </w:p>
    <w:p w14:paraId="7D405A13">
      <w:pPr>
        <w:pStyle w:val="14"/>
        <w:keepNext w:val="0"/>
        <w:keepLines w:val="0"/>
        <w:widowControl/>
        <w:suppressLineNumbers w:val="0"/>
        <w:spacing w:before="0" w:beforeAutospacing="1" w:after="0" w:afterAutospacing="1"/>
        <w:ind w:left="0" w:right="0"/>
        <w:jc w:val="center"/>
      </w:pPr>
      <w:r>
        <w:drawing>
          <wp:inline distT="0" distB="0" distL="114300" distR="114300">
            <wp:extent cx="4352925" cy="2247900"/>
            <wp:effectExtent l="0" t="0" r="9525" b="0"/>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10"/>
                    <a:stretch>
                      <a:fillRect/>
                    </a:stretch>
                  </pic:blipFill>
                  <pic:spPr>
                    <a:xfrm>
                      <a:off x="0" y="0"/>
                      <a:ext cx="4352925" cy="2247900"/>
                    </a:xfrm>
                    <a:prstGeom prst="rect">
                      <a:avLst/>
                    </a:prstGeom>
                    <a:noFill/>
                    <a:ln w="9525">
                      <a:noFill/>
                    </a:ln>
                  </pic:spPr>
                </pic:pic>
              </a:graphicData>
            </a:graphic>
          </wp:inline>
        </w:drawing>
      </w:r>
      <w:r>
        <w:rPr>
          <w:rFonts w:hint="eastAsia" w:ascii="仿宋" w:hAnsi="Calibri" w:eastAsia="仿宋" w:cs="仿宋"/>
          <w:color w:val="000000"/>
          <w:sz w:val="24"/>
          <w:szCs w:val="24"/>
        </w:rPr>
        <w:t> </w:t>
      </w:r>
    </w:p>
    <w:p w14:paraId="7A1509F7">
      <w:pPr>
        <w:pStyle w:val="14"/>
        <w:keepNext w:val="0"/>
        <w:keepLines w:val="0"/>
        <w:widowControl/>
        <w:suppressLineNumbers w:val="0"/>
        <w:spacing w:before="0" w:beforeAutospacing="1" w:after="0" w:afterAutospacing="1"/>
        <w:ind w:left="0" w:right="0"/>
        <w:jc w:val="center"/>
      </w:pPr>
      <w:r>
        <w:rPr>
          <w:rFonts w:hint="eastAsia" w:ascii="仿宋" w:hAnsi="Calibri" w:eastAsia="仿宋" w:cs="仿宋"/>
          <w:color w:val="000000"/>
          <w:sz w:val="24"/>
          <w:szCs w:val="24"/>
        </w:rPr>
        <w:t> </w:t>
      </w:r>
    </w:p>
    <w:p w14:paraId="6B7D989F">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（图</w:t>
      </w:r>
      <w:r>
        <w:rPr>
          <w:rFonts w:hint="eastAsia" w:ascii="仿宋" w:hAnsi="仿宋" w:eastAsia="仿宋" w:cs="Times New Roman"/>
          <w:b/>
          <w:kern w:val="2"/>
          <w:sz w:val="28"/>
          <w:szCs w:val="28"/>
          <w:lang w:val="en-US" w:eastAsia="zh-CN" w:bidi="ar"/>
        </w:rPr>
        <w:t>4：财政拨款收、支决算总计变动情况）（柱状图）</w:t>
      </w:r>
    </w:p>
    <w:p w14:paraId="368490AE">
      <w:pPr>
        <w:keepNext w:val="0"/>
        <w:keepLines w:val="0"/>
        <w:widowControl/>
        <w:suppressLineNumbers w:val="0"/>
        <w:spacing w:before="0" w:beforeAutospacing="1" w:after="0" w:afterAutospacing="1" w:line="600" w:lineRule="exact"/>
        <w:ind w:left="0" w:right="0" w:firstLine="643" w:firstLineChars="200"/>
        <w:jc w:val="left"/>
        <w:outlineLvl w:val="1"/>
      </w:pPr>
      <w:bookmarkStart w:id="39" w:name="_Toc15377209"/>
      <w:bookmarkEnd w:id="39"/>
      <w:bookmarkStart w:id="40" w:name="_Toc15396607"/>
      <w:bookmarkEnd w:id="40"/>
      <w:bookmarkStart w:id="41" w:name="_Toc25206"/>
      <w:bookmarkStart w:id="42" w:name="_Toc6230"/>
      <w:r>
        <w:rPr>
          <w:rFonts w:hint="eastAsia" w:ascii="仿宋" w:hAnsi="仿宋" w:eastAsia="仿宋" w:cs="仿宋"/>
          <w:b/>
          <w:kern w:val="2"/>
          <w:sz w:val="32"/>
          <w:szCs w:val="32"/>
          <w:u w:val="none"/>
          <w:lang w:val="en-US" w:eastAsia="zh-CN" w:bidi="ar"/>
        </w:rPr>
        <w:t>五、一</w:t>
      </w:r>
      <w:bookmarkEnd w:id="41"/>
      <w:r>
        <w:rPr>
          <w:rFonts w:hint="eastAsia" w:ascii="仿宋" w:hAnsi="仿宋" w:eastAsia="仿宋" w:cs="仿宋"/>
          <w:b/>
          <w:kern w:val="2"/>
          <w:sz w:val="32"/>
          <w:szCs w:val="32"/>
          <w:lang w:val="en-US" w:eastAsia="zh-CN" w:bidi="ar"/>
        </w:rPr>
        <w:t>般公共预算财政拨款支出决算情况说明</w:t>
      </w:r>
      <w:bookmarkEnd w:id="42"/>
    </w:p>
    <w:p w14:paraId="02B9E549">
      <w:pPr>
        <w:keepNext w:val="0"/>
        <w:keepLines w:val="0"/>
        <w:widowControl/>
        <w:suppressLineNumbers w:val="0"/>
        <w:spacing w:before="0" w:beforeAutospacing="1" w:after="0" w:afterAutospacing="1" w:line="600" w:lineRule="exact"/>
        <w:ind w:left="0" w:right="0" w:firstLine="643" w:firstLineChars="200"/>
        <w:jc w:val="left"/>
        <w:outlineLvl w:val="2"/>
      </w:pPr>
      <w:bookmarkStart w:id="43" w:name="_Toc15377210"/>
      <w:bookmarkEnd w:id="43"/>
      <w:r>
        <w:rPr>
          <w:rFonts w:hint="eastAsia" w:ascii="仿宋" w:hAnsi="仿宋" w:eastAsia="仿宋" w:cs="仿宋"/>
          <w:b/>
          <w:kern w:val="2"/>
          <w:sz w:val="32"/>
          <w:szCs w:val="32"/>
          <w:lang w:val="en-US" w:eastAsia="zh-CN" w:bidi="ar"/>
        </w:rPr>
        <w:t>（一）一般公共预算财政拨款支出决算总体情况</w:t>
      </w:r>
    </w:p>
    <w:p w14:paraId="5C45CCB3">
      <w:pPr>
        <w:keepNext w:val="0"/>
        <w:keepLines w:val="0"/>
        <w:widowControl/>
        <w:suppressLineNumbers w:val="0"/>
        <w:spacing w:before="0" w:beforeAutospacing="1" w:after="0" w:afterAutospacing="1" w:line="600" w:lineRule="exact"/>
        <w:ind w:left="0" w:right="0" w:firstLine="560" w:firstLineChars="200"/>
        <w:jc w:val="left"/>
      </w:pPr>
      <w:r>
        <w:rPr>
          <w:rFonts w:hint="eastAsia" w:ascii="仿宋" w:hAnsi="仿宋" w:eastAsia="仿宋" w:cs="Times New Roman"/>
          <w:kern w:val="2"/>
          <w:sz w:val="28"/>
          <w:szCs w:val="28"/>
          <w:lang w:val="en-US" w:eastAsia="zh-CN" w:bidi="ar"/>
        </w:rPr>
        <w:t>2024年一般公共预算财政拨款支出225.84万元，与2023年相比，增加15.04万元，增长7.13%。主要变动原因:当年人员项目变动导致支出增加。</w:t>
      </w:r>
    </w:p>
    <w:p w14:paraId="7D214B66">
      <w:pPr>
        <w:pStyle w:val="14"/>
        <w:keepNext w:val="0"/>
        <w:keepLines w:val="0"/>
        <w:widowControl/>
        <w:suppressLineNumbers w:val="0"/>
        <w:spacing w:before="0" w:beforeAutospacing="1" w:after="0" w:afterAutospacing="1"/>
        <w:ind w:left="0" w:right="0"/>
      </w:pPr>
      <w:r>
        <w:rPr>
          <w:rFonts w:hint="eastAsia" w:ascii="仿宋" w:hAnsi="仿宋" w:eastAsia="仿宋" w:cs="仿宋"/>
          <w:color w:val="000000"/>
          <w:sz w:val="32"/>
          <w:szCs w:val="32"/>
        </w:rPr>
        <w:t> </w:t>
      </w:r>
    </w:p>
    <w:p w14:paraId="314DA83A">
      <w:pPr>
        <w:pStyle w:val="14"/>
        <w:keepNext w:val="0"/>
        <w:keepLines w:val="0"/>
        <w:widowControl/>
        <w:suppressLineNumbers w:val="0"/>
        <w:spacing w:before="0" w:beforeAutospacing="1" w:after="0" w:afterAutospacing="1"/>
        <w:ind w:left="0" w:right="0"/>
        <w:jc w:val="center"/>
      </w:pPr>
      <w:r>
        <w:drawing>
          <wp:inline distT="0" distB="0" distL="114300" distR="114300">
            <wp:extent cx="4467225" cy="2552700"/>
            <wp:effectExtent l="0" t="0" r="9525" b="0"/>
            <wp:docPr id="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2"/>
                    <pic:cNvPicPr>
                      <a:picLocks noChangeAspect="1"/>
                    </pic:cNvPicPr>
                  </pic:nvPicPr>
                  <pic:blipFill>
                    <a:blip r:embed="rId11"/>
                    <a:stretch>
                      <a:fillRect/>
                    </a:stretch>
                  </pic:blipFill>
                  <pic:spPr>
                    <a:xfrm>
                      <a:off x="0" y="0"/>
                      <a:ext cx="4467225" cy="2552700"/>
                    </a:xfrm>
                    <a:prstGeom prst="rect">
                      <a:avLst/>
                    </a:prstGeom>
                    <a:noFill/>
                    <a:ln w="9525">
                      <a:noFill/>
                    </a:ln>
                  </pic:spPr>
                </pic:pic>
              </a:graphicData>
            </a:graphic>
          </wp:inline>
        </w:drawing>
      </w:r>
      <w:r>
        <w:rPr>
          <w:rFonts w:hint="eastAsia" w:ascii="仿宋" w:hAnsi="仿宋" w:eastAsia="仿宋" w:cs="仿宋"/>
          <w:color w:val="000000"/>
          <w:sz w:val="32"/>
          <w:szCs w:val="32"/>
        </w:rPr>
        <w:t> </w:t>
      </w:r>
    </w:p>
    <w:p w14:paraId="2EAEC315">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（图</w:t>
      </w:r>
      <w:r>
        <w:rPr>
          <w:rFonts w:hint="eastAsia" w:ascii="仿宋" w:hAnsi="仿宋" w:eastAsia="仿宋" w:cs="Times New Roman"/>
          <w:b/>
          <w:kern w:val="2"/>
          <w:sz w:val="28"/>
          <w:szCs w:val="28"/>
          <w:lang w:val="en-US" w:eastAsia="zh-CN" w:bidi="ar"/>
        </w:rPr>
        <w:t>5：一般公共预算财政拨款支出决算变动情况）（柱状图）</w:t>
      </w:r>
    </w:p>
    <w:p w14:paraId="0994D4BE">
      <w:pPr>
        <w:keepNext w:val="0"/>
        <w:keepLines w:val="0"/>
        <w:widowControl/>
        <w:suppressLineNumbers w:val="0"/>
        <w:spacing w:before="0" w:beforeAutospacing="1" w:after="0" w:afterAutospacing="1" w:line="600" w:lineRule="exact"/>
        <w:ind w:left="0" w:right="0" w:firstLine="643" w:firstLineChars="200"/>
        <w:jc w:val="left"/>
        <w:outlineLvl w:val="2"/>
      </w:pPr>
      <w:bookmarkStart w:id="44" w:name="_Toc15377211"/>
      <w:bookmarkEnd w:id="44"/>
      <w:r>
        <w:rPr>
          <w:rFonts w:hint="eastAsia" w:ascii="仿宋" w:hAnsi="仿宋" w:eastAsia="仿宋" w:cs="仿宋"/>
          <w:b/>
          <w:kern w:val="2"/>
          <w:sz w:val="32"/>
          <w:szCs w:val="32"/>
          <w:lang w:val="en-US" w:eastAsia="zh-CN" w:bidi="ar"/>
        </w:rPr>
        <w:t>（二）一般公共预算财政拨款支出决算结构情况</w:t>
      </w:r>
    </w:p>
    <w:p w14:paraId="0F26A611">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Times New Roman"/>
          <w:kern w:val="2"/>
          <w:sz w:val="28"/>
          <w:szCs w:val="28"/>
          <w:lang w:val="en-US" w:eastAsia="zh-CN" w:bidi="ar"/>
        </w:rPr>
        <w:t>2024年一般公共预算财政拨款支出225.84万元，主要用于以下方面:</w:t>
      </w:r>
    </w:p>
    <w:p w14:paraId="070B3062">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b/>
          <w:kern w:val="2"/>
          <w:sz w:val="28"/>
          <w:szCs w:val="28"/>
          <w:lang w:val="en-US" w:eastAsia="zh-CN" w:bidi="ar"/>
        </w:rPr>
        <w:t>社会保障和就业支出</w:t>
      </w:r>
      <w:r>
        <w:rPr>
          <w:rFonts w:hint="eastAsia" w:ascii="仿宋" w:hAnsi="仿宋" w:eastAsia="仿宋" w:cs="Times New Roman"/>
          <w:kern w:val="2"/>
          <w:sz w:val="28"/>
          <w:szCs w:val="28"/>
          <w:lang w:val="en-US" w:eastAsia="zh-CN" w:bidi="ar"/>
        </w:rPr>
        <w:t>25.64万元，占8.11%</w:t>
      </w:r>
      <w:r>
        <w:rPr>
          <w:rFonts w:hint="eastAsia" w:ascii="仿宋" w:hAnsi="仿宋" w:eastAsia="仿宋" w:cs="仿宋"/>
          <w:kern w:val="2"/>
          <w:sz w:val="28"/>
          <w:szCs w:val="28"/>
          <w:lang w:val="en-US" w:eastAsia="zh-CN" w:bidi="ar"/>
        </w:rPr>
        <w:t>。</w:t>
      </w:r>
      <w:r>
        <w:rPr>
          <w:rFonts w:hint="eastAsia" w:ascii="仿宋" w:hAnsi="仿宋" w:eastAsia="仿宋" w:cs="仿宋"/>
          <w:b/>
          <w:kern w:val="2"/>
          <w:sz w:val="28"/>
          <w:szCs w:val="28"/>
          <w:lang w:val="en-US" w:eastAsia="zh-CN" w:bidi="ar"/>
        </w:rPr>
        <w:t>卫生健康支出</w:t>
      </w:r>
      <w:r>
        <w:rPr>
          <w:rFonts w:hint="eastAsia" w:ascii="仿宋" w:hAnsi="仿宋" w:eastAsia="仿宋" w:cs="Times New Roman"/>
          <w:kern w:val="2"/>
          <w:sz w:val="28"/>
          <w:szCs w:val="28"/>
          <w:lang w:val="en-US" w:eastAsia="zh-CN" w:bidi="ar"/>
        </w:rPr>
        <w:t> 187.21 万元，占87.26%</w:t>
      </w:r>
      <w:r>
        <w:rPr>
          <w:rFonts w:hint="eastAsia" w:ascii="仿宋" w:hAnsi="仿宋" w:eastAsia="仿宋" w:cs="仿宋"/>
          <w:kern w:val="2"/>
          <w:sz w:val="28"/>
          <w:szCs w:val="28"/>
          <w:lang w:val="en-US" w:eastAsia="zh-CN" w:bidi="ar"/>
        </w:rPr>
        <w:t>。</w:t>
      </w:r>
      <w:r>
        <w:rPr>
          <w:rFonts w:hint="eastAsia" w:ascii="仿宋" w:hAnsi="仿宋" w:eastAsia="仿宋" w:cs="仿宋"/>
          <w:b/>
          <w:kern w:val="2"/>
          <w:sz w:val="28"/>
          <w:szCs w:val="28"/>
          <w:lang w:val="en-US" w:eastAsia="zh-CN" w:bidi="ar"/>
        </w:rPr>
        <w:t>住房保障支出</w:t>
      </w:r>
      <w:r>
        <w:rPr>
          <w:rFonts w:hint="eastAsia" w:ascii="仿宋" w:hAnsi="仿宋" w:eastAsia="仿宋" w:cs="仿宋"/>
          <w:kern w:val="2"/>
          <w:sz w:val="28"/>
          <w:szCs w:val="28"/>
          <w:lang w:val="en-US" w:eastAsia="zh-CN" w:bidi="ar"/>
        </w:rPr>
        <w:t>支出</w:t>
      </w:r>
      <w:r>
        <w:rPr>
          <w:rFonts w:hint="eastAsia" w:ascii="仿宋" w:hAnsi="仿宋" w:eastAsia="仿宋" w:cs="Times New Roman"/>
          <w:kern w:val="2"/>
          <w:sz w:val="28"/>
          <w:szCs w:val="28"/>
          <w:lang w:val="en-US" w:eastAsia="zh-CN" w:bidi="ar"/>
        </w:rPr>
        <w:t xml:space="preserve"> 12.99 万元，占4,63%</w:t>
      </w:r>
      <w:r>
        <w:rPr>
          <w:rFonts w:hint="eastAsia" w:ascii="仿宋" w:hAnsi="仿宋" w:eastAsia="仿宋" w:cs="仿宋"/>
          <w:kern w:val="2"/>
          <w:sz w:val="28"/>
          <w:szCs w:val="28"/>
          <w:lang w:val="en-US" w:eastAsia="zh-CN" w:bidi="ar"/>
        </w:rPr>
        <w:t>。</w:t>
      </w:r>
    </w:p>
    <w:p w14:paraId="02858B4E">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b/>
          <w:kern w:val="2"/>
          <w:sz w:val="28"/>
          <w:szCs w:val="28"/>
          <w:lang w:val="en-US" w:eastAsia="zh-CN" w:bidi="ar"/>
        </w:rPr>
        <w:t>（注：数据来源于财决</w:t>
      </w:r>
      <w:r>
        <w:rPr>
          <w:rFonts w:hint="eastAsia" w:ascii="仿宋" w:hAnsi="仿宋" w:eastAsia="仿宋" w:cs="Times New Roman"/>
          <w:b/>
          <w:kern w:val="2"/>
          <w:sz w:val="28"/>
          <w:szCs w:val="28"/>
          <w:lang w:val="en-US" w:eastAsia="zh-CN" w:bidi="ar"/>
        </w:rPr>
        <w:t>01-1表，仅罗列本部门涉及的全部功能分类科目，至类级。）</w:t>
      </w:r>
    </w:p>
    <w:p w14:paraId="13565044">
      <w:pPr>
        <w:pStyle w:val="14"/>
        <w:keepNext w:val="0"/>
        <w:keepLines w:val="0"/>
        <w:widowControl/>
        <w:suppressLineNumbers w:val="0"/>
        <w:spacing w:before="0" w:beforeAutospacing="1" w:after="0" w:afterAutospacing="1"/>
        <w:ind w:left="0" w:right="0"/>
      </w:pPr>
      <w:r>
        <w:rPr>
          <w:rFonts w:hint="eastAsia" w:ascii="仿宋" w:hAnsi="仿宋" w:eastAsia="仿宋" w:cs="仿宋"/>
          <w:b/>
          <w:color w:val="000000"/>
          <w:sz w:val="32"/>
          <w:szCs w:val="32"/>
        </w:rPr>
        <w:t> </w:t>
      </w:r>
    </w:p>
    <w:p w14:paraId="40BE1838">
      <w:pPr>
        <w:pStyle w:val="14"/>
        <w:keepNext w:val="0"/>
        <w:keepLines w:val="0"/>
        <w:widowControl/>
        <w:suppressLineNumbers w:val="0"/>
        <w:spacing w:before="0" w:beforeAutospacing="1" w:after="0" w:afterAutospacing="1"/>
        <w:ind w:left="0" w:right="0"/>
        <w:jc w:val="center"/>
      </w:pPr>
      <w:r>
        <w:drawing>
          <wp:inline distT="0" distB="0" distL="114300" distR="114300">
            <wp:extent cx="4486275" cy="2609850"/>
            <wp:effectExtent l="0" t="0" r="9525" b="0"/>
            <wp:docPr id="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63"/>
                    <pic:cNvPicPr>
                      <a:picLocks noChangeAspect="1"/>
                    </pic:cNvPicPr>
                  </pic:nvPicPr>
                  <pic:blipFill>
                    <a:blip r:embed="rId12"/>
                    <a:stretch>
                      <a:fillRect/>
                    </a:stretch>
                  </pic:blipFill>
                  <pic:spPr>
                    <a:xfrm>
                      <a:off x="0" y="0"/>
                      <a:ext cx="4486275" cy="2609850"/>
                    </a:xfrm>
                    <a:prstGeom prst="rect">
                      <a:avLst/>
                    </a:prstGeom>
                    <a:noFill/>
                    <a:ln w="9525">
                      <a:noFill/>
                    </a:ln>
                  </pic:spPr>
                </pic:pic>
              </a:graphicData>
            </a:graphic>
          </wp:inline>
        </w:drawing>
      </w:r>
      <w:r>
        <w:rPr>
          <w:rFonts w:hint="eastAsia" w:ascii="仿宋" w:hAnsi="仿宋" w:eastAsia="仿宋" w:cs="仿宋"/>
          <w:color w:val="000000"/>
          <w:sz w:val="32"/>
          <w:szCs w:val="32"/>
        </w:rPr>
        <w:t> </w:t>
      </w:r>
    </w:p>
    <w:p w14:paraId="02DCA3E4">
      <w:pPr>
        <w:keepNext w:val="0"/>
        <w:keepLines w:val="0"/>
        <w:widowControl/>
        <w:suppressLineNumbers w:val="0"/>
        <w:spacing w:before="0" w:beforeAutospacing="1" w:after="0" w:afterAutospacing="1" w:line="600" w:lineRule="exact"/>
        <w:ind w:left="0" w:right="0" w:firstLine="602" w:firstLineChars="200"/>
        <w:jc w:val="left"/>
      </w:pPr>
      <w:r>
        <w:rPr>
          <w:rFonts w:hint="eastAsia" w:ascii="仿宋" w:hAnsi="仿宋" w:eastAsia="仿宋" w:cs="仿宋"/>
          <w:b/>
          <w:kern w:val="2"/>
          <w:sz w:val="30"/>
          <w:szCs w:val="30"/>
          <w:lang w:val="en-US" w:eastAsia="zh-CN" w:bidi="ar"/>
        </w:rPr>
        <w:t>（图</w:t>
      </w:r>
      <w:r>
        <w:rPr>
          <w:rFonts w:hint="eastAsia" w:ascii="仿宋" w:hAnsi="仿宋" w:eastAsia="仿宋" w:cs="Times New Roman"/>
          <w:b/>
          <w:kern w:val="2"/>
          <w:sz w:val="30"/>
          <w:szCs w:val="30"/>
          <w:lang w:val="en-US" w:eastAsia="zh-CN" w:bidi="ar"/>
        </w:rPr>
        <w:t>6：一般公共预算财政拨款支出决算结构）（饼状图）</w:t>
      </w:r>
    </w:p>
    <w:p w14:paraId="28DA1392">
      <w:pPr>
        <w:keepNext w:val="0"/>
        <w:keepLines w:val="0"/>
        <w:widowControl/>
        <w:suppressLineNumbers w:val="0"/>
        <w:spacing w:before="0" w:beforeAutospacing="1" w:after="0" w:afterAutospacing="1" w:line="600" w:lineRule="exact"/>
        <w:ind w:left="0" w:right="0" w:firstLine="643" w:firstLineChars="200"/>
        <w:jc w:val="left"/>
        <w:outlineLvl w:val="2"/>
      </w:pPr>
      <w:bookmarkStart w:id="45" w:name="_Toc15377212"/>
      <w:bookmarkEnd w:id="45"/>
      <w:r>
        <w:rPr>
          <w:rFonts w:hint="eastAsia" w:ascii="仿宋" w:hAnsi="仿宋" w:eastAsia="仿宋" w:cs="仿宋"/>
          <w:b/>
          <w:kern w:val="2"/>
          <w:sz w:val="32"/>
          <w:szCs w:val="32"/>
          <w:lang w:val="en-US" w:eastAsia="zh-CN" w:bidi="ar"/>
        </w:rPr>
        <w:t>（三）一般公共预算财政拨款支出决算具体情况</w:t>
      </w:r>
    </w:p>
    <w:p w14:paraId="0766D0DC">
      <w:pPr>
        <w:keepNext w:val="0"/>
        <w:keepLines w:val="0"/>
        <w:widowControl/>
        <w:suppressLineNumbers w:val="0"/>
        <w:spacing w:before="0" w:beforeAutospacing="1" w:after="0" w:afterAutospacing="1" w:line="600" w:lineRule="exact"/>
        <w:ind w:left="0" w:right="0" w:firstLine="560" w:firstLineChars="200"/>
        <w:jc w:val="left"/>
      </w:pPr>
      <w:bookmarkStart w:id="46" w:name="_Toc25701"/>
      <w:bookmarkEnd w:id="46"/>
      <w:bookmarkStart w:id="47" w:name="_Toc20654"/>
      <w:bookmarkEnd w:id="47"/>
      <w:bookmarkStart w:id="48" w:name="_Toc15377213"/>
      <w:bookmarkEnd w:id="48"/>
      <w:bookmarkStart w:id="49" w:name="_Toc15378460"/>
      <w:bookmarkEnd w:id="49"/>
      <w:bookmarkStart w:id="50" w:name="_Toc15377444"/>
      <w:r>
        <w:rPr>
          <w:rFonts w:hint="eastAsia" w:ascii="仿宋" w:hAnsi="仿宋" w:eastAsia="仿宋" w:cs="Times New Roman"/>
          <w:kern w:val="2"/>
          <w:sz w:val="28"/>
          <w:szCs w:val="28"/>
          <w:u w:val="none"/>
          <w:lang w:val="en-US" w:eastAsia="zh-CN" w:bidi="ar"/>
        </w:rPr>
        <w:t>2024年一般公共预算支出决算数为225.84万元，</w:t>
      </w:r>
      <w:bookmarkEnd w:id="50"/>
      <w:r>
        <w:rPr>
          <w:rFonts w:hint="eastAsia" w:ascii="仿宋" w:hAnsi="仿宋" w:eastAsia="仿宋" w:cs="仿宋"/>
          <w:b w:val="0"/>
          <w:kern w:val="0"/>
          <w:sz w:val="28"/>
          <w:szCs w:val="28"/>
          <w:lang w:val="en-US" w:eastAsia="zh-CN" w:bidi="ar"/>
        </w:rPr>
        <w:t>完成预算100%。其中：</w:t>
      </w:r>
    </w:p>
    <w:p w14:paraId="5244FC17">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1</w:t>
      </w:r>
      <w:r>
        <w:rPr>
          <w:rFonts w:hint="eastAsia" w:ascii="宋体" w:hAnsi="宋体" w:eastAsia="宋体" w:cs="宋体"/>
          <w:b/>
          <w:sz w:val="28"/>
          <w:szCs w:val="28"/>
        </w:rPr>
        <w:t>、社会保障和就业支出（类）行政事业单位养老支出（款）机关事业单位基本养老保险缴费支出（项）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17.09</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6A4BBE4F">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2</w:t>
      </w:r>
      <w:r>
        <w:rPr>
          <w:rFonts w:hint="eastAsia" w:ascii="宋体" w:hAnsi="宋体" w:eastAsia="宋体" w:cs="宋体"/>
          <w:b/>
          <w:sz w:val="28"/>
          <w:szCs w:val="28"/>
        </w:rPr>
        <w:t>、社会保障和就业支出（类）行政事业单位养老支出（款）机关事业单位职业年金缴费支出（项）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8.55</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5AC37D52">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3</w:t>
      </w:r>
      <w:r>
        <w:rPr>
          <w:rFonts w:hint="eastAsia" w:ascii="宋体" w:hAnsi="宋体" w:eastAsia="宋体" w:cs="宋体"/>
          <w:b/>
          <w:sz w:val="28"/>
          <w:szCs w:val="28"/>
        </w:rPr>
        <w:t>、卫生健康支出（类）基层医疗卫生机构（款）乡镇卫生院（项）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128.89</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76270830">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4</w:t>
      </w:r>
      <w:r>
        <w:rPr>
          <w:rFonts w:hint="eastAsia" w:ascii="宋体" w:hAnsi="宋体" w:eastAsia="宋体" w:cs="宋体"/>
          <w:b/>
          <w:sz w:val="28"/>
          <w:szCs w:val="28"/>
        </w:rPr>
        <w:t>、卫生健康支出（类）基层医疗卫生机构（款）其他基层医疗卫生机构支出（项）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5.56</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2C8369C5">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5</w:t>
      </w:r>
      <w:r>
        <w:rPr>
          <w:rFonts w:hint="eastAsia" w:ascii="宋体" w:hAnsi="宋体" w:eastAsia="宋体" w:cs="宋体"/>
          <w:b/>
          <w:sz w:val="28"/>
          <w:szCs w:val="28"/>
        </w:rPr>
        <w:t>、卫生健康支出（类）公共卫生（款）基本公共卫生服务（项）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38.34</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200141EB">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6</w:t>
      </w:r>
      <w:r>
        <w:rPr>
          <w:rFonts w:hint="eastAsia" w:ascii="宋体" w:hAnsi="宋体" w:eastAsia="宋体" w:cs="宋体"/>
          <w:b/>
          <w:sz w:val="28"/>
          <w:szCs w:val="28"/>
        </w:rPr>
        <w:t>、卫生健康支出（类）公共卫生（款）重大公共卫生服务（项）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1.81</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10D59A58">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7</w:t>
      </w:r>
      <w:r>
        <w:rPr>
          <w:rFonts w:hint="eastAsia" w:ascii="宋体" w:hAnsi="宋体" w:eastAsia="宋体" w:cs="宋体"/>
          <w:b/>
          <w:sz w:val="28"/>
          <w:szCs w:val="28"/>
        </w:rPr>
        <w:t>、卫生健康支出（类）公共卫生（款）其他公共卫生支出（项）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2.51</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766A6DB0">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8</w:t>
      </w:r>
      <w:r>
        <w:rPr>
          <w:rFonts w:hint="eastAsia" w:ascii="宋体" w:hAnsi="宋体" w:eastAsia="宋体" w:cs="宋体"/>
          <w:b/>
          <w:sz w:val="28"/>
          <w:szCs w:val="28"/>
        </w:rPr>
        <w:t>、卫生健康支出（类）行政事业单位医疗（款）事业单位医疗项）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7.44</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636124C6">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9</w:t>
      </w:r>
      <w:r>
        <w:rPr>
          <w:rFonts w:hint="eastAsia" w:ascii="宋体" w:hAnsi="宋体" w:eastAsia="宋体" w:cs="宋体"/>
          <w:b/>
          <w:sz w:val="28"/>
          <w:szCs w:val="28"/>
        </w:rPr>
        <w:t>、卫生健康支出（类）行政事业单位医疗（款）其他行政事业单位医疗支出（项）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1.57</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68CFE918">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10</w:t>
      </w:r>
      <w:r>
        <w:rPr>
          <w:rFonts w:hint="eastAsia" w:ascii="宋体" w:hAnsi="宋体" w:eastAsia="宋体" w:cs="宋体"/>
          <w:b/>
          <w:sz w:val="28"/>
          <w:szCs w:val="28"/>
        </w:rPr>
        <w:t>、卫生健康支出（类）其他卫生健康支出（款）其他卫生健康支出（项）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1.09</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17B2F423">
      <w:pPr>
        <w:pStyle w:val="14"/>
        <w:keepNext w:val="0"/>
        <w:keepLines w:val="0"/>
        <w:widowControl/>
        <w:suppressLineNumbers w:val="0"/>
        <w:spacing w:before="0" w:beforeAutospacing="1" w:after="0" w:afterAutospacing="1"/>
        <w:ind w:left="0" w:right="0" w:firstLine="562" w:firstLineChars="200"/>
      </w:pPr>
      <w:r>
        <w:rPr>
          <w:rFonts w:hint="eastAsia" w:ascii="宋体" w:hAnsi="仿宋" w:eastAsia="宋体" w:cs="宋体"/>
          <w:b/>
          <w:sz w:val="28"/>
          <w:szCs w:val="28"/>
        </w:rPr>
        <w:t>11</w:t>
      </w:r>
      <w:r>
        <w:rPr>
          <w:rFonts w:hint="eastAsia" w:ascii="宋体" w:hAnsi="宋体" w:eastAsia="宋体" w:cs="宋体"/>
          <w:b/>
          <w:sz w:val="28"/>
          <w:szCs w:val="28"/>
        </w:rPr>
        <w:t>、住房保障支出（类）住房改革支出（款）住房公积金（项）</w:t>
      </w:r>
      <w:r>
        <w:rPr>
          <w:rFonts w:hint="default" w:ascii="Times New Roman" w:hAnsi="Times New Roman" w:eastAsia="宋体" w:cs="Times New Roman"/>
          <w:b/>
          <w:sz w:val="28"/>
          <w:szCs w:val="28"/>
        </w:rPr>
        <w:t xml:space="preserve">: </w:t>
      </w:r>
      <w:r>
        <w:rPr>
          <w:rFonts w:hint="eastAsia" w:ascii="宋体" w:hAnsi="宋体" w:eastAsia="宋体" w:cs="宋体"/>
          <w:b w:val="0"/>
          <w:sz w:val="28"/>
          <w:szCs w:val="28"/>
        </w:rPr>
        <w:t>支出决算为</w:t>
      </w:r>
      <w:r>
        <w:rPr>
          <w:rFonts w:hint="eastAsia" w:ascii="宋体" w:hAnsi="仿宋" w:eastAsia="宋体" w:cs="宋体"/>
          <w:b w:val="0"/>
          <w:sz w:val="28"/>
          <w:szCs w:val="28"/>
        </w:rPr>
        <w:t>12.99</w:t>
      </w:r>
      <w:r>
        <w:rPr>
          <w:rFonts w:hint="eastAsia" w:ascii="宋体" w:hAnsi="宋体" w:eastAsia="宋体" w:cs="宋体"/>
          <w:b w:val="0"/>
          <w:sz w:val="28"/>
          <w:szCs w:val="28"/>
        </w:rPr>
        <w:t>万元，完成预算</w:t>
      </w:r>
      <w:r>
        <w:rPr>
          <w:rFonts w:hint="default" w:ascii="Times New Roman" w:hAnsi="Times New Roman" w:eastAsia="宋体" w:cs="Times New Roman"/>
          <w:b w:val="0"/>
          <w:sz w:val="28"/>
          <w:szCs w:val="28"/>
        </w:rPr>
        <w:t>100%</w:t>
      </w:r>
      <w:r>
        <w:rPr>
          <w:rFonts w:hint="eastAsia" w:ascii="宋体" w:hAnsi="宋体" w:eastAsia="宋体" w:cs="宋体"/>
          <w:b w:val="0"/>
          <w:sz w:val="28"/>
          <w:szCs w:val="28"/>
        </w:rPr>
        <w:t>，与预算数持平。</w:t>
      </w:r>
    </w:p>
    <w:p w14:paraId="69B99A96">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（注：数据来源于财决</w:t>
      </w:r>
      <w:r>
        <w:rPr>
          <w:rFonts w:hint="eastAsia" w:ascii="仿宋" w:hAnsi="仿宋" w:eastAsia="仿宋" w:cs="Times New Roman"/>
          <w:b/>
          <w:kern w:val="2"/>
          <w:sz w:val="28"/>
          <w:szCs w:val="28"/>
          <w:lang w:val="en-US" w:eastAsia="zh-CN" w:bidi="ar"/>
        </w:rPr>
        <w:t>01-1表和财决08表，仅罗列本部门涉及的全部功能分类科目，至项级。上述“预算”口径为调整预算数。增减变动原因为决算数&lt;</w:t>
      </w:r>
      <w:r>
        <w:rPr>
          <w:rFonts w:hint="eastAsia" w:ascii="仿宋" w:hAnsi="仿宋" w:eastAsia="仿宋" w:cs="仿宋"/>
          <w:b/>
          <w:kern w:val="2"/>
          <w:sz w:val="28"/>
          <w:szCs w:val="28"/>
          <w:lang w:val="en-US" w:eastAsia="zh-CN" w:bidi="ar"/>
        </w:rPr>
        <w:t>项级</w:t>
      </w:r>
      <w:r>
        <w:rPr>
          <w:rFonts w:hint="eastAsia" w:ascii="仿宋" w:hAnsi="仿宋" w:eastAsia="仿宋" w:cs="Times New Roman"/>
          <w:b/>
          <w:kern w:val="2"/>
          <w:sz w:val="28"/>
          <w:szCs w:val="28"/>
          <w:lang w:val="en-US" w:eastAsia="zh-CN" w:bidi="ar"/>
        </w:rPr>
        <w:t>&gt;</w:t>
      </w:r>
      <w:r>
        <w:rPr>
          <w:rFonts w:hint="eastAsia" w:ascii="仿宋" w:hAnsi="仿宋" w:eastAsia="仿宋" w:cs="仿宋"/>
          <w:b/>
          <w:kern w:val="2"/>
          <w:sz w:val="28"/>
          <w:szCs w:val="28"/>
          <w:lang w:val="en-US" w:eastAsia="zh-CN" w:bidi="ar"/>
        </w:rPr>
        <w:t>和调整预算数</w:t>
      </w:r>
      <w:r>
        <w:rPr>
          <w:rFonts w:hint="eastAsia" w:ascii="仿宋" w:hAnsi="仿宋" w:eastAsia="仿宋" w:cs="Times New Roman"/>
          <w:b/>
          <w:kern w:val="2"/>
          <w:sz w:val="28"/>
          <w:szCs w:val="28"/>
          <w:lang w:val="en-US" w:eastAsia="zh-CN" w:bidi="ar"/>
        </w:rPr>
        <w:t>&lt;</w:t>
      </w:r>
      <w:r>
        <w:rPr>
          <w:rFonts w:hint="eastAsia" w:ascii="仿宋" w:hAnsi="仿宋" w:eastAsia="仿宋" w:cs="仿宋"/>
          <w:b/>
          <w:kern w:val="2"/>
          <w:sz w:val="28"/>
          <w:szCs w:val="28"/>
          <w:lang w:val="en-US" w:eastAsia="zh-CN" w:bidi="ar"/>
        </w:rPr>
        <w:t>项级</w:t>
      </w:r>
      <w:r>
        <w:rPr>
          <w:rFonts w:hint="eastAsia" w:ascii="仿宋" w:hAnsi="仿宋" w:eastAsia="仿宋" w:cs="Times New Roman"/>
          <w:b/>
          <w:kern w:val="2"/>
          <w:sz w:val="28"/>
          <w:szCs w:val="28"/>
          <w:lang w:val="en-US" w:eastAsia="zh-CN" w:bidi="ar"/>
        </w:rPr>
        <w:t>&gt;</w:t>
      </w:r>
      <w:r>
        <w:rPr>
          <w:rFonts w:hint="eastAsia" w:ascii="仿宋" w:hAnsi="仿宋" w:eastAsia="仿宋" w:cs="仿宋"/>
          <w:b/>
          <w:kern w:val="2"/>
          <w:sz w:val="28"/>
          <w:szCs w:val="28"/>
          <w:lang w:val="en-US" w:eastAsia="zh-CN" w:bidi="ar"/>
        </w:rPr>
        <w:t>比较，与预算数持平可以不写原因。）</w:t>
      </w:r>
    </w:p>
    <w:p w14:paraId="1C273006">
      <w:pPr>
        <w:keepNext w:val="0"/>
        <w:keepLines w:val="0"/>
        <w:widowControl/>
        <w:suppressLineNumbers w:val="0"/>
        <w:spacing w:before="0" w:beforeAutospacing="1" w:after="0" w:afterAutospacing="1" w:line="600" w:lineRule="exact"/>
        <w:ind w:left="0" w:right="0" w:firstLine="640"/>
        <w:jc w:val="left"/>
        <w:outlineLvl w:val="1"/>
      </w:pPr>
      <w:bookmarkStart w:id="51" w:name="_Toc15396608"/>
      <w:bookmarkEnd w:id="51"/>
      <w:bookmarkStart w:id="52" w:name="_Toc15377214"/>
      <w:bookmarkEnd w:id="52"/>
      <w:bookmarkStart w:id="53" w:name="_Toc47"/>
      <w:bookmarkStart w:id="54" w:name="_Toc23172"/>
      <w:r>
        <w:rPr>
          <w:rFonts w:hint="eastAsia" w:ascii="仿宋" w:hAnsi="仿宋" w:eastAsia="仿宋" w:cs="仿宋"/>
          <w:b/>
          <w:kern w:val="2"/>
          <w:sz w:val="32"/>
          <w:szCs w:val="32"/>
          <w:u w:val="none"/>
          <w:lang w:val="en-US" w:eastAsia="zh-CN" w:bidi="ar"/>
        </w:rPr>
        <w:t>六、一</w:t>
      </w:r>
      <w:bookmarkEnd w:id="53"/>
      <w:r>
        <w:rPr>
          <w:rFonts w:hint="eastAsia" w:ascii="仿宋" w:hAnsi="仿宋" w:eastAsia="仿宋" w:cs="仿宋"/>
          <w:b/>
          <w:kern w:val="2"/>
          <w:sz w:val="32"/>
          <w:szCs w:val="32"/>
          <w:lang w:val="en-US" w:eastAsia="zh-CN" w:bidi="ar"/>
        </w:rPr>
        <w:t>般公共预算财政拨款基本支出决算情况说明</w:t>
      </w:r>
      <w:bookmarkEnd w:id="54"/>
      <w:r>
        <w:rPr>
          <w:rFonts w:hint="eastAsia" w:ascii="黑体" w:hAnsi="宋体" w:eastAsia="黑体" w:cs="Times New Roman"/>
          <w:b/>
          <w:kern w:val="2"/>
          <w:sz w:val="32"/>
          <w:szCs w:val="32"/>
          <w:lang w:val="en-US" w:eastAsia="zh-CN" w:bidi="ar"/>
        </w:rPr>
        <w:t xml:space="preserve"> </w:t>
      </w:r>
    </w:p>
    <w:p w14:paraId="195B5A97">
      <w:pPr>
        <w:keepNext w:val="0"/>
        <w:keepLines w:val="0"/>
        <w:widowControl/>
        <w:suppressLineNumbers w:val="0"/>
        <w:spacing w:before="0" w:beforeAutospacing="1" w:after="0" w:afterAutospacing="1" w:line="600" w:lineRule="exact"/>
        <w:ind w:left="0" w:right="0" w:firstLine="645"/>
        <w:jc w:val="left"/>
      </w:pPr>
      <w:r>
        <w:rPr>
          <w:rFonts w:hint="eastAsia" w:ascii="仿宋" w:hAnsi="仿宋" w:eastAsia="仿宋" w:cs="Times New Roman"/>
          <w:kern w:val="2"/>
          <w:sz w:val="28"/>
          <w:szCs w:val="28"/>
          <w:lang w:val="en-US" w:eastAsia="zh-CN" w:bidi="ar"/>
        </w:rPr>
        <w:t>2024年一般公共预算财政拨款基本支出175.38万元，其中：</w:t>
      </w:r>
    </w:p>
    <w:p w14:paraId="12FCBB26">
      <w:pPr>
        <w:keepNext w:val="0"/>
        <w:keepLines w:val="0"/>
        <w:widowControl/>
        <w:suppressLineNumbers w:val="0"/>
        <w:spacing w:before="0" w:beforeAutospacing="1" w:after="0" w:afterAutospacing="1" w:line="600" w:lineRule="exact"/>
        <w:ind w:left="0" w:right="0" w:firstLine="645"/>
        <w:jc w:val="left"/>
      </w:pPr>
      <w:r>
        <w:rPr>
          <w:rFonts w:hint="eastAsia" w:ascii="仿宋" w:hAnsi="仿宋" w:eastAsia="仿宋" w:cs="仿宋"/>
          <w:kern w:val="2"/>
          <w:sz w:val="28"/>
          <w:szCs w:val="28"/>
          <w:lang w:val="en-US" w:eastAsia="zh-CN" w:bidi="ar"/>
        </w:rPr>
        <w:t>人员经费</w:t>
      </w:r>
      <w:r>
        <w:rPr>
          <w:rFonts w:hint="eastAsia" w:ascii="仿宋" w:hAnsi="仿宋" w:eastAsia="仿宋" w:cs="Times New Roman"/>
          <w:kern w:val="2"/>
          <w:sz w:val="28"/>
          <w:szCs w:val="28"/>
          <w:lang w:val="en-US" w:eastAsia="zh-CN" w:bidi="ar"/>
        </w:rPr>
        <w:t>174.84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CC9441F">
      <w:pPr>
        <w:keepNext w:val="0"/>
        <w:keepLines w:val="0"/>
        <w:widowControl/>
        <w:suppressLineNumbers w:val="0"/>
        <w:spacing w:before="0" w:beforeAutospacing="1" w:after="0" w:afterAutospacing="1" w:line="600" w:lineRule="exact"/>
        <w:ind w:left="0" w:right="0" w:firstLine="645"/>
        <w:jc w:val="left"/>
      </w:pPr>
      <w:r>
        <w:rPr>
          <w:rFonts w:hint="eastAsia" w:ascii="仿宋" w:hAnsi="仿宋" w:eastAsia="仿宋" w:cs="仿宋"/>
          <w:kern w:val="2"/>
          <w:sz w:val="28"/>
          <w:szCs w:val="28"/>
          <w:lang w:val="en-US" w:eastAsia="zh-CN" w:bidi="ar"/>
        </w:rPr>
        <w:t>公用经费</w:t>
      </w:r>
      <w:r>
        <w:rPr>
          <w:rFonts w:hint="eastAsia" w:ascii="仿宋" w:hAnsi="仿宋" w:eastAsia="仿宋" w:cs="Times New Roman"/>
          <w:kern w:val="2"/>
          <w:sz w:val="28"/>
          <w:szCs w:val="28"/>
          <w:lang w:val="en-US" w:eastAsia="zh-CN" w:bidi="ar"/>
        </w:rPr>
        <w:t>0.54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956123E">
      <w:pPr>
        <w:keepNext w:val="0"/>
        <w:keepLines w:val="0"/>
        <w:widowControl/>
        <w:suppressLineNumbers w:val="0"/>
        <w:spacing w:before="0" w:beforeAutospacing="1" w:after="0" w:afterAutospacing="1" w:line="600" w:lineRule="exact"/>
        <w:ind w:left="0" w:right="0" w:firstLine="645"/>
        <w:jc w:val="left"/>
      </w:pPr>
      <w:r>
        <w:rPr>
          <w:rFonts w:hint="eastAsia" w:ascii="仿宋" w:hAnsi="仿宋" w:eastAsia="仿宋" w:cs="仿宋"/>
          <w:b/>
          <w:kern w:val="2"/>
          <w:sz w:val="28"/>
          <w:szCs w:val="28"/>
          <w:lang w:val="en-US" w:eastAsia="zh-CN" w:bidi="ar"/>
        </w:rPr>
        <w:t>（注：数据来源于财决</w:t>
      </w:r>
      <w:r>
        <w:rPr>
          <w:rFonts w:hint="eastAsia" w:ascii="仿宋" w:hAnsi="仿宋" w:eastAsia="仿宋" w:cs="Times New Roman"/>
          <w:b/>
          <w:kern w:val="2"/>
          <w:sz w:val="28"/>
          <w:szCs w:val="28"/>
          <w:lang w:val="en-US" w:eastAsia="zh-CN" w:bidi="ar"/>
        </w:rPr>
        <w:t>07表和财决08-1表，仅罗列本部门实际支出涉及的经济分类科目。）</w:t>
      </w:r>
    </w:p>
    <w:p w14:paraId="0B7C9BBB">
      <w:pPr>
        <w:keepNext w:val="0"/>
        <w:keepLines w:val="0"/>
        <w:widowControl/>
        <w:suppressLineNumbers w:val="0"/>
        <w:spacing w:before="0" w:beforeAutospacing="1" w:after="0" w:afterAutospacing="1" w:line="600" w:lineRule="exact"/>
        <w:ind w:left="0" w:right="0" w:firstLine="640"/>
        <w:jc w:val="left"/>
        <w:outlineLvl w:val="1"/>
      </w:pPr>
      <w:bookmarkStart w:id="55" w:name="_Toc15396609"/>
      <w:bookmarkEnd w:id="55"/>
      <w:bookmarkStart w:id="56" w:name="_Toc15377215"/>
      <w:bookmarkEnd w:id="56"/>
      <w:bookmarkStart w:id="57" w:name="_Toc16469"/>
      <w:bookmarkStart w:id="58" w:name="_Toc2106"/>
      <w:r>
        <w:rPr>
          <w:rFonts w:hint="eastAsia" w:ascii="仿宋" w:hAnsi="仿宋" w:eastAsia="仿宋" w:cs="仿宋"/>
          <w:b/>
          <w:kern w:val="2"/>
          <w:sz w:val="32"/>
          <w:szCs w:val="32"/>
          <w:u w:val="none"/>
          <w:lang w:val="en-US" w:eastAsia="zh-CN" w:bidi="ar"/>
        </w:rPr>
        <w:t>七、</w:t>
      </w:r>
      <w:bookmarkEnd w:id="57"/>
      <w:r>
        <w:rPr>
          <w:rFonts w:hint="eastAsia" w:ascii="仿宋" w:hAnsi="仿宋" w:eastAsia="仿宋" w:cs="仿宋"/>
          <w:b/>
          <w:kern w:val="2"/>
          <w:sz w:val="32"/>
          <w:szCs w:val="32"/>
          <w:lang w:val="en-US" w:eastAsia="zh-CN" w:bidi="ar"/>
        </w:rPr>
        <w:t>“三公”经费财政拨款支出决算情况说明</w:t>
      </w:r>
      <w:bookmarkEnd w:id="58"/>
    </w:p>
    <w:p w14:paraId="64AC4952">
      <w:pPr>
        <w:keepNext w:val="0"/>
        <w:keepLines w:val="0"/>
        <w:widowControl/>
        <w:suppressLineNumbers w:val="0"/>
        <w:spacing w:before="0" w:beforeAutospacing="1" w:after="0" w:afterAutospacing="1" w:line="600" w:lineRule="exact"/>
        <w:ind w:left="0" w:right="0" w:firstLine="640"/>
        <w:jc w:val="left"/>
        <w:outlineLvl w:val="2"/>
      </w:pPr>
      <w:bookmarkStart w:id="59" w:name="_Toc15377216"/>
      <w:bookmarkEnd w:id="59"/>
      <w:r>
        <w:rPr>
          <w:rFonts w:hint="eastAsia" w:ascii="仿宋" w:hAnsi="仿宋" w:eastAsia="仿宋" w:cs="仿宋"/>
          <w:b/>
          <w:kern w:val="2"/>
          <w:sz w:val="32"/>
          <w:szCs w:val="32"/>
          <w:lang w:val="en-US" w:eastAsia="zh-CN" w:bidi="ar"/>
        </w:rPr>
        <w:t>（一）“三公”经费财政拨款支出决算总体情况说明</w:t>
      </w:r>
    </w:p>
    <w:p w14:paraId="16D77DBA">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Times New Roman"/>
          <w:kern w:val="2"/>
          <w:sz w:val="28"/>
          <w:szCs w:val="28"/>
          <w:lang w:val="en-US" w:eastAsia="zh-CN" w:bidi="ar"/>
        </w:rPr>
        <w:t>2024年“三公”经费财政拨款支出决算为0万元，完成预算0%</w:t>
      </w:r>
      <w:r>
        <w:rPr>
          <w:rFonts w:hint="eastAsia" w:ascii="仿宋" w:hAnsi="仿宋" w:eastAsia="仿宋" w:cs="仿宋"/>
          <w:kern w:val="2"/>
          <w:sz w:val="28"/>
          <w:szCs w:val="28"/>
          <w:lang w:val="en-US" w:eastAsia="zh-CN" w:bidi="ar"/>
        </w:rPr>
        <w:t>，与预算数持平。</w:t>
      </w:r>
    </w:p>
    <w:p w14:paraId="037D9CB9">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b/>
          <w:kern w:val="2"/>
          <w:sz w:val="28"/>
          <w:szCs w:val="28"/>
          <w:lang w:val="en-US" w:eastAsia="zh-CN" w:bidi="ar"/>
        </w:rPr>
        <w:t>（注：上述</w:t>
      </w:r>
      <w:r>
        <w:rPr>
          <w:rFonts w:hint="eastAsia" w:ascii="仿宋" w:hAnsi="仿宋" w:eastAsia="仿宋" w:cs="Times New Roman"/>
          <w:b/>
          <w:kern w:val="2"/>
          <w:sz w:val="28"/>
          <w:szCs w:val="28"/>
          <w:lang w:val="en-US" w:eastAsia="zh-CN" w:bidi="ar"/>
        </w:rPr>
        <w:t>“预算”口径为调整预算数。）</w:t>
      </w:r>
    </w:p>
    <w:p w14:paraId="39A3F79A">
      <w:pPr>
        <w:keepNext w:val="0"/>
        <w:keepLines w:val="0"/>
        <w:widowControl/>
        <w:suppressLineNumbers w:val="0"/>
        <w:spacing w:before="0" w:beforeAutospacing="1" w:after="0" w:afterAutospacing="1" w:line="600" w:lineRule="exact"/>
        <w:ind w:left="0" w:right="0" w:firstLine="640"/>
        <w:jc w:val="left"/>
        <w:outlineLvl w:val="2"/>
      </w:pPr>
      <w:bookmarkStart w:id="60" w:name="_Toc15377217"/>
      <w:bookmarkEnd w:id="60"/>
      <w:r>
        <w:rPr>
          <w:rFonts w:hint="eastAsia" w:ascii="仿宋" w:hAnsi="仿宋" w:eastAsia="仿宋" w:cs="仿宋"/>
          <w:b/>
          <w:kern w:val="2"/>
          <w:sz w:val="32"/>
          <w:szCs w:val="32"/>
          <w:lang w:val="en-US" w:eastAsia="zh-CN" w:bidi="ar"/>
        </w:rPr>
        <w:t>（二）“三公”经费财政拨款支出决算具体情况说明</w:t>
      </w:r>
    </w:p>
    <w:p w14:paraId="050C7437">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Times New Roman"/>
          <w:kern w:val="2"/>
          <w:sz w:val="28"/>
          <w:szCs w:val="28"/>
          <w:lang w:val="en-US" w:eastAsia="zh-CN" w:bidi="ar"/>
        </w:rPr>
        <w:t>2024年“三公”经费财政拨款支出决算中，因公出国（境）费支出决算0万元，占0%</w:t>
      </w:r>
      <w:r>
        <w:rPr>
          <w:rFonts w:hint="eastAsia" w:ascii="仿宋" w:hAnsi="仿宋" w:eastAsia="仿宋" w:cs="仿宋"/>
          <w:kern w:val="2"/>
          <w:sz w:val="28"/>
          <w:szCs w:val="28"/>
          <w:lang w:val="en-US" w:eastAsia="zh-CN" w:bidi="ar"/>
        </w:rPr>
        <w:t>；公务用车购置及运行维护费支出决算</w:t>
      </w:r>
      <w:r>
        <w:rPr>
          <w:rFonts w:hint="eastAsia" w:ascii="仿宋" w:hAnsi="仿宋" w:eastAsia="仿宋" w:cs="Times New Roman"/>
          <w:kern w:val="2"/>
          <w:sz w:val="28"/>
          <w:szCs w:val="28"/>
          <w:lang w:val="en-US" w:eastAsia="zh-CN" w:bidi="ar"/>
        </w:rPr>
        <w:t>0万元，占0%</w:t>
      </w:r>
      <w:r>
        <w:rPr>
          <w:rFonts w:hint="eastAsia" w:ascii="仿宋" w:hAnsi="仿宋" w:eastAsia="仿宋" w:cs="仿宋"/>
          <w:kern w:val="2"/>
          <w:sz w:val="28"/>
          <w:szCs w:val="28"/>
          <w:lang w:val="en-US" w:eastAsia="zh-CN" w:bidi="ar"/>
        </w:rPr>
        <w:t>；公务接待费支出决算</w:t>
      </w:r>
      <w:r>
        <w:rPr>
          <w:rFonts w:hint="eastAsia" w:ascii="仿宋" w:hAnsi="仿宋" w:eastAsia="仿宋" w:cs="Times New Roman"/>
          <w:kern w:val="2"/>
          <w:sz w:val="28"/>
          <w:szCs w:val="28"/>
          <w:lang w:val="en-US" w:eastAsia="zh-CN" w:bidi="ar"/>
        </w:rPr>
        <w:t>0万元，占0%</w:t>
      </w:r>
      <w:r>
        <w:rPr>
          <w:rFonts w:hint="eastAsia" w:ascii="仿宋" w:hAnsi="仿宋" w:eastAsia="仿宋" w:cs="仿宋"/>
          <w:kern w:val="2"/>
          <w:sz w:val="28"/>
          <w:szCs w:val="28"/>
          <w:lang w:val="en-US" w:eastAsia="zh-CN" w:bidi="ar"/>
        </w:rPr>
        <w:t>。具体情况如下：</w:t>
      </w:r>
    </w:p>
    <w:p w14:paraId="4CA1215F">
      <w:pPr>
        <w:pStyle w:val="14"/>
        <w:keepNext w:val="0"/>
        <w:keepLines w:val="0"/>
        <w:widowControl/>
        <w:suppressLineNumbers w:val="0"/>
        <w:spacing w:before="0" w:beforeAutospacing="1" w:after="0" w:afterAutospacing="1"/>
        <w:ind w:left="0" w:right="0"/>
      </w:pPr>
      <w:r>
        <w:rPr>
          <w:rFonts w:hint="eastAsia" w:ascii="仿宋" w:hAnsi="仿宋" w:eastAsia="仿宋" w:cs="仿宋"/>
          <w:color w:val="000000"/>
          <w:sz w:val="32"/>
          <w:szCs w:val="32"/>
        </w:rPr>
        <w:t> </w:t>
      </w:r>
    </w:p>
    <w:p w14:paraId="7DD189CF">
      <w:pPr>
        <w:pStyle w:val="14"/>
        <w:keepNext w:val="0"/>
        <w:keepLines w:val="0"/>
        <w:widowControl/>
        <w:suppressLineNumbers w:val="0"/>
        <w:spacing w:before="0" w:beforeAutospacing="1" w:after="0" w:afterAutospacing="1"/>
        <w:ind w:left="0" w:right="0"/>
        <w:jc w:val="center"/>
      </w:pPr>
      <w:r>
        <w:drawing>
          <wp:inline distT="0" distB="0" distL="114300" distR="114300">
            <wp:extent cx="4638675" cy="2095500"/>
            <wp:effectExtent l="0" t="0" r="9525" b="0"/>
            <wp:docPr id="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4"/>
                    <pic:cNvPicPr>
                      <a:picLocks noChangeAspect="1"/>
                    </pic:cNvPicPr>
                  </pic:nvPicPr>
                  <pic:blipFill>
                    <a:blip r:embed="rId13"/>
                    <a:stretch>
                      <a:fillRect/>
                    </a:stretch>
                  </pic:blipFill>
                  <pic:spPr>
                    <a:xfrm>
                      <a:off x="0" y="0"/>
                      <a:ext cx="4638675" cy="2095500"/>
                    </a:xfrm>
                    <a:prstGeom prst="rect">
                      <a:avLst/>
                    </a:prstGeom>
                    <a:noFill/>
                    <a:ln w="9525">
                      <a:noFill/>
                    </a:ln>
                  </pic:spPr>
                </pic:pic>
              </a:graphicData>
            </a:graphic>
          </wp:inline>
        </w:drawing>
      </w:r>
      <w:r>
        <w:rPr>
          <w:rFonts w:hint="eastAsia" w:ascii="仿宋" w:hAnsi="仿宋" w:eastAsia="仿宋" w:cs="仿宋"/>
          <w:color w:val="000000"/>
          <w:sz w:val="32"/>
          <w:szCs w:val="32"/>
        </w:rPr>
        <w:t> </w:t>
      </w:r>
    </w:p>
    <w:p w14:paraId="2ADEB676">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kern w:val="2"/>
          <w:sz w:val="28"/>
          <w:szCs w:val="28"/>
          <w:lang w:val="en-US" w:eastAsia="zh-CN" w:bidi="ar"/>
        </w:rPr>
        <w:t>（图</w:t>
      </w:r>
      <w:r>
        <w:rPr>
          <w:rFonts w:hint="eastAsia" w:ascii="仿宋" w:hAnsi="仿宋" w:eastAsia="仿宋" w:cs="Times New Roman"/>
          <w:kern w:val="2"/>
          <w:sz w:val="28"/>
          <w:szCs w:val="28"/>
          <w:lang w:val="en-US" w:eastAsia="zh-CN" w:bidi="ar"/>
        </w:rPr>
        <w:t>7：“三公”经费财政拨款支出结构）（饼状图）</w:t>
      </w:r>
    </w:p>
    <w:p w14:paraId="6C8FCBF3">
      <w:pPr>
        <w:keepNext w:val="0"/>
        <w:keepLines w:val="0"/>
        <w:widowControl/>
        <w:suppressLineNumbers w:val="0"/>
        <w:spacing w:before="0" w:beforeAutospacing="1" w:after="0" w:afterAutospacing="1" w:line="600" w:lineRule="exact"/>
        <w:ind w:left="0" w:right="0" w:firstLine="640"/>
        <w:jc w:val="left"/>
      </w:pPr>
      <w:r>
        <w:rPr>
          <w:rFonts w:ascii="仿宋_GB2312" w:hAnsi="Times New Roman" w:eastAsia="仿宋_GB2312" w:cs="Times New Roman"/>
          <w:b/>
          <w:kern w:val="2"/>
          <w:sz w:val="28"/>
          <w:szCs w:val="28"/>
          <w:lang w:val="en-US" w:eastAsia="zh-CN" w:bidi="ar"/>
        </w:rPr>
        <w:t>1.</w:t>
      </w:r>
      <w:r>
        <w:rPr>
          <w:rFonts w:hint="eastAsia" w:ascii="仿宋_GB2312" w:hAnsi="Times New Roman" w:eastAsia="仿宋_GB2312" w:cs="仿宋_GB2312"/>
          <w:b/>
          <w:kern w:val="2"/>
          <w:sz w:val="28"/>
          <w:szCs w:val="28"/>
          <w:lang w:val="en-US" w:eastAsia="zh-CN" w:bidi="ar"/>
        </w:rPr>
        <w:t>因公出国（境）经费支出：</w:t>
      </w:r>
      <w:r>
        <w:rPr>
          <w:rFonts w:hint="eastAsia" w:ascii="仿宋_GB2312" w:hAnsi="Times New Roman" w:eastAsia="仿宋_GB2312" w:cs="Times New Roman"/>
          <w:kern w:val="2"/>
          <w:sz w:val="28"/>
          <w:szCs w:val="28"/>
          <w:lang w:val="en-US" w:eastAsia="zh-CN" w:bidi="ar"/>
        </w:rPr>
        <w:t>0万元，</w:t>
      </w:r>
      <w:r>
        <w:rPr>
          <w:rFonts w:hint="eastAsia" w:ascii="仿宋" w:hAnsi="仿宋" w:eastAsia="仿宋" w:cs="仿宋"/>
          <w:b w:val="0"/>
          <w:kern w:val="0"/>
          <w:sz w:val="28"/>
          <w:szCs w:val="28"/>
          <w:lang w:val="en-US" w:eastAsia="zh-CN" w:bidi="ar"/>
        </w:rPr>
        <w:t>完成预算0%。</w:t>
      </w:r>
      <w:r>
        <w:rPr>
          <w:rFonts w:hint="eastAsia" w:ascii="仿宋_GB2312" w:hAnsi="Times New Roman" w:eastAsia="仿宋_GB2312" w:cs="仿宋_GB2312"/>
          <w:kern w:val="2"/>
          <w:sz w:val="28"/>
          <w:szCs w:val="28"/>
          <w:lang w:val="en-US" w:eastAsia="zh-CN" w:bidi="ar"/>
        </w:rPr>
        <w:t>全年安排因公出国（境）团组</w:t>
      </w:r>
      <w:r>
        <w:rPr>
          <w:rFonts w:hint="eastAsia" w:ascii="仿宋_GB2312" w:hAnsi="Times New Roman" w:eastAsia="仿宋_GB2312" w:cs="Times New Roman"/>
          <w:kern w:val="2"/>
          <w:sz w:val="28"/>
          <w:szCs w:val="28"/>
          <w:lang w:val="en-US" w:eastAsia="zh-CN" w:bidi="ar"/>
        </w:rPr>
        <w:t>0次，出国（境）0人。因公出国（境）支出决算比2023年增加/</w:t>
      </w:r>
      <w:r>
        <w:rPr>
          <w:rFonts w:hint="eastAsia" w:ascii="仿宋_GB2312" w:hAnsi="Times New Roman" w:eastAsia="仿宋_GB2312" w:cs="仿宋_GB2312"/>
          <w:kern w:val="2"/>
          <w:sz w:val="28"/>
          <w:szCs w:val="28"/>
          <w:lang w:val="en-US" w:eastAsia="zh-CN" w:bidi="ar"/>
        </w:rPr>
        <w:t>减少</w:t>
      </w:r>
      <w:r>
        <w:rPr>
          <w:rFonts w:hint="eastAsia" w:ascii="仿宋_GB2312" w:hAnsi="Times New Roman" w:eastAsia="仿宋_GB2312" w:cs="Times New Roman"/>
          <w:kern w:val="2"/>
          <w:sz w:val="28"/>
          <w:szCs w:val="28"/>
          <w:lang w:val="en-US" w:eastAsia="zh-CN" w:bidi="ar"/>
        </w:rPr>
        <w:t>0万元，增长/</w:t>
      </w:r>
      <w:r>
        <w:rPr>
          <w:rFonts w:hint="eastAsia" w:ascii="仿宋_GB2312" w:hAnsi="Times New Roman" w:eastAsia="仿宋_GB2312" w:cs="仿宋_GB2312"/>
          <w:kern w:val="2"/>
          <w:sz w:val="28"/>
          <w:szCs w:val="28"/>
          <w:lang w:val="en-US" w:eastAsia="zh-CN" w:bidi="ar"/>
        </w:rPr>
        <w:t>下降</w:t>
      </w:r>
      <w:r>
        <w:rPr>
          <w:rFonts w:hint="eastAsia" w:ascii="仿宋_GB2312" w:hAnsi="Times New Roman" w:eastAsia="仿宋_GB2312"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。主要原因是未安排因公出国（境）。</w:t>
      </w:r>
    </w:p>
    <w:p w14:paraId="47D418E1">
      <w:pPr>
        <w:keepNext w:val="0"/>
        <w:keepLines w:val="0"/>
        <w:widowControl/>
        <w:suppressLineNumbers w:val="0"/>
        <w:spacing w:before="0" w:beforeAutospacing="1" w:after="0" w:afterAutospacing="1" w:line="600" w:lineRule="exact"/>
        <w:ind w:left="0" w:right="0" w:firstLine="640"/>
        <w:jc w:val="left"/>
      </w:pPr>
      <w:r>
        <w:rPr>
          <w:rFonts w:hint="eastAsia" w:ascii="仿宋_GB2312" w:hAnsi="Times New Roman" w:eastAsia="仿宋_GB2312" w:cs="Times New Roman"/>
          <w:b/>
          <w:kern w:val="2"/>
          <w:sz w:val="28"/>
          <w:szCs w:val="28"/>
          <w:lang w:val="en-US" w:eastAsia="zh-CN" w:bidi="ar"/>
        </w:rPr>
        <w:t>2.</w:t>
      </w:r>
      <w:r>
        <w:rPr>
          <w:rFonts w:hint="eastAsia" w:ascii="仿宋_GB2312" w:hAnsi="Times New Roman" w:eastAsia="仿宋_GB2312" w:cs="仿宋_GB2312"/>
          <w:b/>
          <w:kern w:val="2"/>
          <w:sz w:val="28"/>
          <w:szCs w:val="28"/>
          <w:lang w:val="en-US" w:eastAsia="zh-CN" w:bidi="ar"/>
        </w:rPr>
        <w:t>公务用车购置及运行维护费支出：</w:t>
      </w:r>
      <w:r>
        <w:rPr>
          <w:rFonts w:hint="eastAsia" w:ascii="仿宋_GB2312" w:eastAsia="仿宋_GB2312" w:cs="Times New Roman" w:hAnsiTheme="minorHAnsi"/>
          <w:color w:val="000000"/>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万元</w:t>
      </w:r>
      <w:r>
        <w:rPr>
          <w:rFonts w:hint="eastAsia" w:ascii="仿宋_GB2312" w:hAnsi="Times New Roman" w:eastAsia="仿宋_GB2312" w:cs="Times New Roman"/>
          <w:kern w:val="2"/>
          <w:sz w:val="28"/>
          <w:szCs w:val="28"/>
          <w:lang w:val="en-US" w:eastAsia="zh-CN" w:bidi="ar"/>
        </w:rPr>
        <w:t>,</w:t>
      </w:r>
      <w:r>
        <w:rPr>
          <w:rFonts w:hint="eastAsia" w:ascii="仿宋" w:hAnsi="仿宋" w:eastAsia="仿宋" w:cs="仿宋"/>
          <w:b w:val="0"/>
          <w:kern w:val="0"/>
          <w:sz w:val="28"/>
          <w:szCs w:val="28"/>
          <w:lang w:val="en-US" w:eastAsia="zh-CN" w:bidi="ar"/>
        </w:rPr>
        <w:t>完成预算</w:t>
      </w:r>
      <w:r>
        <w:rPr>
          <w:rFonts w:hint="eastAsia" w:ascii="仿宋_GB2312" w:eastAsia="仿宋_GB2312" w:cs="Times New Roman" w:hAnsiTheme="minorHAnsi"/>
          <w:color w:val="000000"/>
          <w:kern w:val="2"/>
          <w:sz w:val="28"/>
          <w:szCs w:val="28"/>
          <w:lang w:val="en-US" w:eastAsia="zh-CN" w:bidi="ar"/>
        </w:rPr>
        <w:t>0%</w:t>
      </w:r>
      <w:r>
        <w:rPr>
          <w:rFonts w:hint="eastAsia" w:ascii="仿宋" w:hAnsi="仿宋" w:eastAsia="仿宋" w:cs="仿宋"/>
          <w:b w:val="0"/>
          <w:kern w:val="0"/>
          <w:sz w:val="28"/>
          <w:szCs w:val="28"/>
          <w:lang w:val="en-US" w:eastAsia="zh-CN" w:bidi="ar"/>
        </w:rPr>
        <w:t>。</w:t>
      </w:r>
      <w:r>
        <w:rPr>
          <w:rFonts w:hint="eastAsia" w:ascii="仿宋_GB2312" w:hAnsi="Times New Roman" w:eastAsia="仿宋_GB2312" w:cs="仿宋_GB2312"/>
          <w:kern w:val="2"/>
          <w:sz w:val="28"/>
          <w:szCs w:val="28"/>
          <w:lang w:val="en-US" w:eastAsia="zh-CN" w:bidi="ar"/>
        </w:rPr>
        <w:t>公务用车购置及运行维护费支出决算比</w:t>
      </w:r>
      <w:r>
        <w:rPr>
          <w:rFonts w:hint="eastAsia" w:ascii="仿宋_GB2312" w:hAnsi="Times New Roman" w:eastAsia="仿宋_GB2312" w:cs="Times New Roman"/>
          <w:kern w:val="2"/>
          <w:sz w:val="28"/>
          <w:szCs w:val="28"/>
          <w:lang w:val="en-US" w:eastAsia="zh-CN" w:bidi="ar"/>
        </w:rPr>
        <w:t>2023年增加/</w:t>
      </w:r>
      <w:r>
        <w:rPr>
          <w:rFonts w:hint="eastAsia" w:ascii="仿宋_GB2312" w:hAnsi="Times New Roman" w:eastAsia="仿宋_GB2312" w:cs="仿宋_GB2312"/>
          <w:kern w:val="2"/>
          <w:sz w:val="28"/>
          <w:szCs w:val="28"/>
          <w:lang w:val="en-US" w:eastAsia="zh-CN" w:bidi="ar"/>
        </w:rPr>
        <w:t>减少</w:t>
      </w:r>
      <w:r>
        <w:rPr>
          <w:rFonts w:hint="eastAsia" w:ascii="仿宋_GB2312" w:hAnsi="Times New Roman" w:eastAsia="仿宋_GB2312" w:cs="Times New Roman"/>
          <w:kern w:val="2"/>
          <w:sz w:val="28"/>
          <w:szCs w:val="28"/>
          <w:lang w:val="en-US" w:eastAsia="zh-CN" w:bidi="ar"/>
        </w:rPr>
        <w:t>0万元，增长/</w:t>
      </w:r>
      <w:r>
        <w:rPr>
          <w:rFonts w:hint="eastAsia" w:ascii="仿宋_GB2312" w:hAnsi="Times New Roman" w:eastAsia="仿宋_GB2312" w:cs="仿宋_GB2312"/>
          <w:kern w:val="2"/>
          <w:sz w:val="28"/>
          <w:szCs w:val="28"/>
          <w:lang w:val="en-US" w:eastAsia="zh-CN" w:bidi="ar"/>
        </w:rPr>
        <w:t>下降</w:t>
      </w:r>
      <w:r>
        <w:rPr>
          <w:rFonts w:hint="eastAsia" w:ascii="仿宋_GB2312" w:hAnsi="Times New Roman" w:eastAsia="仿宋_GB2312"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w:t>
      </w:r>
    </w:p>
    <w:p w14:paraId="00E48A26">
      <w:pPr>
        <w:keepNext w:val="0"/>
        <w:keepLines w:val="0"/>
        <w:widowControl/>
        <w:suppressLineNumbers w:val="0"/>
        <w:spacing w:before="0" w:beforeAutospacing="1" w:after="0" w:afterAutospacing="1" w:line="600" w:lineRule="exact"/>
        <w:ind w:left="0" w:right="0" w:firstLine="560" w:firstLineChars="200"/>
        <w:jc w:val="left"/>
      </w:pPr>
      <w:r>
        <w:rPr>
          <w:rFonts w:hint="eastAsia" w:ascii="仿宋_GB2312" w:hAnsi="Times New Roman" w:eastAsia="仿宋_GB2312" w:cs="仿宋_GB2312"/>
          <w:kern w:val="2"/>
          <w:sz w:val="28"/>
          <w:szCs w:val="28"/>
          <w:lang w:val="en-US" w:eastAsia="zh-CN" w:bidi="ar"/>
        </w:rPr>
        <w:t>其中：</w:t>
      </w:r>
      <w:r>
        <w:rPr>
          <w:rFonts w:hint="eastAsia" w:ascii="仿宋_GB2312" w:hAnsi="Times New Roman" w:eastAsia="仿宋_GB2312" w:cs="仿宋_GB2312"/>
          <w:b/>
          <w:kern w:val="2"/>
          <w:sz w:val="28"/>
          <w:szCs w:val="28"/>
          <w:lang w:val="en-US" w:eastAsia="zh-CN" w:bidi="ar"/>
        </w:rPr>
        <w:t>公务用车购置支出：</w:t>
      </w:r>
      <w:r>
        <w:rPr>
          <w:rFonts w:hint="eastAsia" w:ascii="仿宋_GB2312" w:hAnsi="Times New Roman" w:eastAsia="仿宋_GB2312" w:cs="Times New Roman"/>
          <w:kern w:val="2"/>
          <w:sz w:val="28"/>
          <w:szCs w:val="28"/>
          <w:lang w:val="en-US" w:eastAsia="zh-CN" w:bidi="ar"/>
        </w:rPr>
        <w:t>0万元。全年按规定更新购置公务用车0辆，其中：轿车0辆、金额0万元，越野车0辆、金额0万元，载客汽车0辆、金额0万元、其他用车0辆、金额0万元。截至2024年12</w:t>
      </w:r>
      <w:r>
        <w:rPr>
          <w:rFonts w:hint="eastAsia" w:ascii="仿宋_GB2312" w:hAnsi="Times New Roman" w:eastAsia="仿宋_GB2312" w:cs="仿宋_GB2312"/>
          <w:kern w:val="2"/>
          <w:sz w:val="28"/>
          <w:szCs w:val="28"/>
          <w:lang w:val="en-US" w:eastAsia="zh-CN" w:bidi="ar"/>
        </w:rPr>
        <w:t>月底，单位共有公务用车</w:t>
      </w:r>
      <w:r>
        <w:rPr>
          <w:rFonts w:hint="eastAsia" w:ascii="仿宋_GB2312" w:hAnsi="Times New Roman" w:eastAsia="仿宋_GB2312" w:cs="Times New Roman"/>
          <w:kern w:val="2"/>
          <w:sz w:val="28"/>
          <w:szCs w:val="28"/>
          <w:lang w:val="en-US" w:eastAsia="zh-CN" w:bidi="ar"/>
        </w:rPr>
        <w:t>0辆，其中：轿车0辆、越野车0辆、载客汽车0辆。</w:t>
      </w:r>
    </w:p>
    <w:p w14:paraId="0274C668">
      <w:pPr>
        <w:keepNext w:val="0"/>
        <w:keepLines w:val="0"/>
        <w:widowControl/>
        <w:suppressLineNumbers w:val="0"/>
        <w:spacing w:before="0" w:beforeAutospacing="1" w:after="0" w:afterAutospacing="1" w:line="600" w:lineRule="exact"/>
        <w:ind w:left="0" w:right="0" w:firstLine="640"/>
        <w:jc w:val="left"/>
      </w:pPr>
      <w:r>
        <w:rPr>
          <w:rFonts w:hint="eastAsia" w:ascii="仿宋_GB2312" w:hAnsi="Times New Roman" w:eastAsia="仿宋_GB2312" w:cs="仿宋_GB2312"/>
          <w:b/>
          <w:kern w:val="2"/>
          <w:sz w:val="28"/>
          <w:szCs w:val="28"/>
          <w:lang w:val="en-US" w:eastAsia="zh-CN" w:bidi="ar"/>
        </w:rPr>
        <w:t>公务用车运行维护费支出：</w:t>
      </w:r>
      <w:r>
        <w:rPr>
          <w:rFonts w:hint="eastAsia" w:ascii="仿宋_GB2312" w:hAnsi="Times New Roman" w:eastAsia="仿宋_GB2312" w:cs="Times New Roman"/>
          <w:kern w:val="2"/>
          <w:sz w:val="28"/>
          <w:szCs w:val="28"/>
          <w:lang w:val="en-US" w:eastAsia="zh-CN" w:bidi="ar"/>
        </w:rPr>
        <w:t>0万元。</w:t>
      </w:r>
      <w:r>
        <w:rPr>
          <w:rFonts w:hint="eastAsia" w:ascii="仿宋" w:hAnsi="仿宋" w:eastAsia="仿宋" w:cs="仿宋"/>
          <w:b w:val="0"/>
          <w:kern w:val="0"/>
          <w:sz w:val="28"/>
          <w:szCs w:val="28"/>
          <w:lang w:val="en-US" w:eastAsia="zh-CN" w:bidi="ar"/>
        </w:rPr>
        <w:t>完成预算0%。</w:t>
      </w:r>
      <w:r>
        <w:rPr>
          <w:rFonts w:hint="eastAsia" w:ascii="仿宋_GB2312" w:hAnsi="Times New Roman" w:eastAsia="仿宋_GB2312" w:cs="仿宋_GB2312"/>
          <w:kern w:val="2"/>
          <w:sz w:val="28"/>
          <w:szCs w:val="28"/>
          <w:lang w:val="en-US" w:eastAsia="zh-CN" w:bidi="ar"/>
        </w:rPr>
        <w:t>主要用于所需的公务用车燃料费、维修费、过路过桥费、保险费等支出。</w:t>
      </w:r>
    </w:p>
    <w:p w14:paraId="21836A66">
      <w:pPr>
        <w:keepNext w:val="0"/>
        <w:keepLines w:val="0"/>
        <w:widowControl/>
        <w:suppressLineNumbers w:val="0"/>
        <w:spacing w:before="0" w:beforeAutospacing="1" w:after="0" w:afterAutospacing="1" w:line="600" w:lineRule="exact"/>
        <w:ind w:left="0" w:right="0" w:firstLine="640"/>
        <w:jc w:val="left"/>
      </w:pPr>
      <w:r>
        <w:rPr>
          <w:rFonts w:hint="eastAsia" w:ascii="仿宋_GB2312" w:hAnsi="Times New Roman" w:eastAsia="仿宋_GB2312" w:cs="Times New Roman"/>
          <w:b/>
          <w:kern w:val="2"/>
          <w:sz w:val="28"/>
          <w:szCs w:val="28"/>
          <w:lang w:val="en-US" w:eastAsia="zh-CN" w:bidi="ar"/>
        </w:rPr>
        <w:t>3.</w:t>
      </w:r>
      <w:r>
        <w:rPr>
          <w:rFonts w:hint="eastAsia" w:ascii="仿宋_GB2312" w:hAnsi="Times New Roman" w:eastAsia="仿宋_GB2312" w:cs="仿宋_GB2312"/>
          <w:b/>
          <w:kern w:val="2"/>
          <w:sz w:val="28"/>
          <w:szCs w:val="28"/>
          <w:lang w:val="en-US" w:eastAsia="zh-CN" w:bidi="ar"/>
        </w:rPr>
        <w:t>公务接待费支出：</w:t>
      </w:r>
      <w:r>
        <w:rPr>
          <w:rFonts w:hint="eastAsia" w:ascii="仿宋_GB2312" w:hAnsi="Times New Roman" w:eastAsia="仿宋_GB2312" w:cs="Times New Roman"/>
          <w:kern w:val="2"/>
          <w:sz w:val="28"/>
          <w:szCs w:val="28"/>
          <w:lang w:val="en-US" w:eastAsia="zh-CN" w:bidi="ar"/>
        </w:rPr>
        <w:t>0万元，</w:t>
      </w:r>
      <w:r>
        <w:rPr>
          <w:rFonts w:hint="eastAsia" w:ascii="仿宋" w:hAnsi="仿宋" w:eastAsia="仿宋" w:cs="仿宋"/>
          <w:b w:val="0"/>
          <w:kern w:val="0"/>
          <w:sz w:val="28"/>
          <w:szCs w:val="28"/>
          <w:lang w:val="en-US" w:eastAsia="zh-CN" w:bidi="ar"/>
        </w:rPr>
        <w:t>完成预算0%。</w:t>
      </w:r>
      <w:r>
        <w:rPr>
          <w:rFonts w:hint="eastAsia" w:ascii="仿宋_GB2312" w:hAnsi="Times New Roman" w:eastAsia="仿宋_GB2312" w:cs="仿宋_GB2312"/>
          <w:kern w:val="2"/>
          <w:sz w:val="28"/>
          <w:szCs w:val="28"/>
          <w:lang w:val="en-US" w:eastAsia="zh-CN" w:bidi="ar"/>
        </w:rPr>
        <w:t>公务接待费支出决算比</w:t>
      </w:r>
      <w:r>
        <w:rPr>
          <w:rFonts w:hint="eastAsia" w:ascii="仿宋_GB2312" w:hAnsi="Times New Roman" w:eastAsia="仿宋_GB2312" w:cs="Times New Roman"/>
          <w:kern w:val="2"/>
          <w:sz w:val="28"/>
          <w:szCs w:val="28"/>
          <w:lang w:val="en-US" w:eastAsia="zh-CN" w:bidi="ar"/>
        </w:rPr>
        <w:t>2023年增加/</w:t>
      </w:r>
      <w:r>
        <w:rPr>
          <w:rFonts w:hint="eastAsia" w:ascii="仿宋_GB2312" w:hAnsi="Times New Roman" w:eastAsia="仿宋_GB2312" w:cs="仿宋_GB2312"/>
          <w:kern w:val="2"/>
          <w:sz w:val="28"/>
          <w:szCs w:val="28"/>
          <w:lang w:val="en-US" w:eastAsia="zh-CN" w:bidi="ar"/>
        </w:rPr>
        <w:t>减少</w:t>
      </w:r>
      <w:r>
        <w:rPr>
          <w:rFonts w:hint="eastAsia" w:ascii="仿宋_GB2312" w:hAnsi="Times New Roman" w:eastAsia="仿宋_GB2312" w:cs="Times New Roman"/>
          <w:kern w:val="2"/>
          <w:sz w:val="28"/>
          <w:szCs w:val="28"/>
          <w:lang w:val="en-US" w:eastAsia="zh-CN" w:bidi="ar"/>
        </w:rPr>
        <w:t>0万元，增长/</w:t>
      </w:r>
      <w:r>
        <w:rPr>
          <w:rFonts w:hint="eastAsia" w:ascii="仿宋_GB2312" w:hAnsi="Times New Roman" w:eastAsia="仿宋_GB2312" w:cs="仿宋_GB2312"/>
          <w:kern w:val="2"/>
          <w:sz w:val="28"/>
          <w:szCs w:val="28"/>
          <w:lang w:val="en-US" w:eastAsia="zh-CN" w:bidi="ar"/>
        </w:rPr>
        <w:t>下降</w:t>
      </w:r>
      <w:r>
        <w:rPr>
          <w:rFonts w:hint="eastAsia" w:ascii="仿宋_GB2312" w:hAnsi="Times New Roman" w:eastAsia="仿宋_GB2312"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。主要原因是厉行勤俭节约。</w:t>
      </w:r>
    </w:p>
    <w:p w14:paraId="2F927F9D">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仿宋"/>
          <w:b/>
          <w:kern w:val="2"/>
          <w:sz w:val="28"/>
          <w:szCs w:val="28"/>
          <w:lang w:val="en-US" w:eastAsia="zh-CN" w:bidi="ar"/>
        </w:rPr>
        <w:t>国内公务接待支出：</w:t>
      </w:r>
      <w:r>
        <w:rPr>
          <w:rFonts w:hint="eastAsia" w:ascii="仿宋" w:hAnsi="仿宋" w:eastAsia="仿宋"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万元，主要用于执行公务、开展业务活动开支的交通费、住宿费、用餐费等，共计支出</w:t>
      </w:r>
      <w:r>
        <w:rPr>
          <w:rFonts w:hint="eastAsia" w:ascii="仿宋_GB2312" w:hAnsi="Times New Roman" w:eastAsia="仿宋_GB2312" w:cs="Times New Roman"/>
          <w:kern w:val="2"/>
          <w:sz w:val="28"/>
          <w:szCs w:val="28"/>
          <w:lang w:val="en-US" w:eastAsia="zh-CN" w:bidi="ar"/>
        </w:rPr>
        <w:t>0万元。</w:t>
      </w:r>
    </w:p>
    <w:p w14:paraId="4086314D">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外事接待支出：</w:t>
      </w:r>
      <w:r>
        <w:rPr>
          <w:rFonts w:hint="eastAsia" w:ascii="仿宋" w:hAnsi="仿宋" w:eastAsia="仿宋"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万元，外事接待</w:t>
      </w:r>
      <w:r>
        <w:rPr>
          <w:rFonts w:hint="eastAsia" w:ascii="仿宋_GB2312" w:hAnsi="Times New Roman" w:eastAsia="仿宋_GB2312" w:cs="Times New Roman"/>
          <w:kern w:val="2"/>
          <w:sz w:val="28"/>
          <w:szCs w:val="28"/>
          <w:lang w:val="en-US" w:eastAsia="zh-CN" w:bidi="ar"/>
        </w:rPr>
        <w:t>0批次，0人，共计支出0万元。</w:t>
      </w:r>
      <w:bookmarkStart w:id="61" w:name="_Toc15377218"/>
      <w:bookmarkEnd w:id="61"/>
      <w:bookmarkStart w:id="62" w:name="_Toc15396610"/>
      <w:bookmarkEnd w:id="62"/>
    </w:p>
    <w:p w14:paraId="49B07DDD">
      <w:pPr>
        <w:keepNext w:val="0"/>
        <w:keepLines w:val="0"/>
        <w:widowControl/>
        <w:suppressLineNumbers w:val="0"/>
        <w:spacing w:before="0" w:beforeAutospacing="1" w:after="0" w:afterAutospacing="1" w:line="600" w:lineRule="exact"/>
        <w:ind w:left="0" w:right="0" w:firstLine="640"/>
        <w:jc w:val="left"/>
        <w:outlineLvl w:val="1"/>
      </w:pPr>
      <w:bookmarkStart w:id="63" w:name="_Toc31713"/>
      <w:bookmarkEnd w:id="63"/>
      <w:bookmarkStart w:id="64" w:name="_Toc16193"/>
      <w:r>
        <w:rPr>
          <w:rFonts w:hint="eastAsia" w:ascii="仿宋" w:hAnsi="仿宋" w:eastAsia="仿宋" w:cs="仿宋"/>
          <w:b/>
          <w:kern w:val="2"/>
          <w:sz w:val="32"/>
          <w:szCs w:val="32"/>
          <w:lang w:val="en-US" w:eastAsia="zh-CN" w:bidi="ar"/>
        </w:rPr>
        <w:t>八、政府性基金预算支出决算情况说明</w:t>
      </w:r>
      <w:bookmarkEnd w:id="64"/>
    </w:p>
    <w:p w14:paraId="71D3CEE7">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Times New Roman"/>
          <w:kern w:val="2"/>
          <w:sz w:val="28"/>
          <w:szCs w:val="28"/>
          <w:lang w:val="en-US" w:eastAsia="zh-CN" w:bidi="ar"/>
        </w:rPr>
        <w:t>2024年政府性基金预算财政拨款支出0万元。</w:t>
      </w:r>
    </w:p>
    <w:p w14:paraId="48273BE7">
      <w:pPr>
        <w:keepNext w:val="0"/>
        <w:keepLines w:val="0"/>
        <w:widowControl/>
        <w:numPr>
          <w:ilvl w:val="0"/>
          <w:numId w:val="0"/>
        </w:numPr>
        <w:suppressLineNumbers w:val="0"/>
        <w:spacing w:before="0" w:beforeAutospacing="1" w:after="0" w:afterAutospacing="1" w:line="600" w:lineRule="exact"/>
        <w:ind w:left="0" w:right="0" w:firstLine="640"/>
        <w:jc w:val="left"/>
        <w:outlineLvl w:val="1"/>
      </w:pPr>
      <w:bookmarkStart w:id="65" w:name="_Toc15377219"/>
      <w:bookmarkEnd w:id="65"/>
      <w:bookmarkStart w:id="66" w:name="_Toc17123"/>
      <w:r>
        <w:rPr>
          <w:rFonts w:hint="eastAsia" w:ascii="仿宋" w:hAnsi="仿宋" w:eastAsia="仿宋" w:cs="仿宋"/>
          <w:b/>
          <w:kern w:val="2"/>
          <w:sz w:val="32"/>
          <w:szCs w:val="32"/>
          <w:lang w:val="en-US" w:eastAsia="zh-CN" w:bidi="ar"/>
        </w:rPr>
        <w:t>九、</w:t>
      </w:r>
      <w:bookmarkStart w:id="67" w:name="_Toc15735"/>
      <w:bookmarkEnd w:id="67"/>
      <w:bookmarkStart w:id="68" w:name="_Toc15396611"/>
      <w:r>
        <w:rPr>
          <w:rFonts w:hint="eastAsia" w:ascii="仿宋" w:hAnsi="仿宋" w:eastAsia="仿宋" w:cs="仿宋"/>
          <w:b/>
          <w:kern w:val="2"/>
          <w:sz w:val="32"/>
          <w:szCs w:val="32"/>
          <w:u w:val="none"/>
          <w:lang w:val="en-US" w:eastAsia="zh-CN" w:bidi="ar"/>
        </w:rPr>
        <w:t>国有资本经营预算支出决算情况说明</w:t>
      </w:r>
      <w:bookmarkEnd w:id="66"/>
      <w:bookmarkEnd w:id="68"/>
    </w:p>
    <w:p w14:paraId="0256514C">
      <w:pPr>
        <w:keepNext w:val="0"/>
        <w:keepLines w:val="0"/>
        <w:widowControl/>
        <w:suppressLineNumbers w:val="0"/>
        <w:spacing w:before="0" w:beforeAutospacing="1" w:after="0" w:afterAutospacing="1" w:line="600" w:lineRule="exact"/>
        <w:ind w:left="0" w:right="0" w:firstLine="640"/>
        <w:jc w:val="left"/>
      </w:pPr>
      <w:r>
        <w:rPr>
          <w:rFonts w:hint="eastAsia" w:ascii="仿宋" w:hAnsi="仿宋" w:eastAsia="仿宋" w:cs="Times New Roman"/>
          <w:kern w:val="2"/>
          <w:sz w:val="28"/>
          <w:szCs w:val="28"/>
          <w:lang w:val="en-US" w:eastAsia="zh-CN" w:bidi="ar"/>
        </w:rPr>
        <w:t>2024年国有资本经营预算财政拨款支出0万元。</w:t>
      </w:r>
    </w:p>
    <w:p w14:paraId="155D54B3">
      <w:pPr>
        <w:pStyle w:val="14"/>
        <w:keepNext w:val="0"/>
        <w:keepLines w:val="0"/>
        <w:widowControl/>
        <w:suppressLineNumbers w:val="0"/>
        <w:spacing w:before="0" w:beforeAutospacing="1" w:after="0" w:afterAutospacing="1"/>
        <w:ind w:left="0" w:right="0"/>
      </w:pPr>
      <w:r>
        <w:rPr>
          <w:rFonts w:hint="default" w:ascii="Times New Roman" w:hAnsi="Times New Roman" w:eastAsia="宋体" w:cs="Times New Roman"/>
          <w:kern w:val="2"/>
          <w:sz w:val="18"/>
          <w:szCs w:val="18"/>
        </w:rPr>
        <w:t> </w:t>
      </w:r>
    </w:p>
    <w:p w14:paraId="3031E288">
      <w:pPr>
        <w:keepNext w:val="0"/>
        <w:keepLines w:val="0"/>
        <w:widowControl/>
        <w:numPr>
          <w:ilvl w:val="0"/>
          <w:numId w:val="0"/>
        </w:numPr>
        <w:suppressLineNumbers w:val="0"/>
        <w:spacing w:before="0" w:beforeAutospacing="1" w:after="0" w:afterAutospacing="1" w:line="600" w:lineRule="exact"/>
        <w:ind w:left="0" w:right="0" w:firstLine="640"/>
        <w:jc w:val="left"/>
        <w:outlineLvl w:val="1"/>
      </w:pPr>
      <w:bookmarkStart w:id="69" w:name="_Toc15396612"/>
      <w:bookmarkEnd w:id="69"/>
      <w:bookmarkStart w:id="70" w:name="_Toc16969"/>
      <w:r>
        <w:rPr>
          <w:rFonts w:hint="eastAsia" w:ascii="仿宋" w:hAnsi="仿宋" w:eastAsia="仿宋" w:cs="仿宋"/>
          <w:b/>
          <w:kern w:val="2"/>
          <w:sz w:val="32"/>
          <w:szCs w:val="32"/>
          <w:lang w:val="en-US" w:eastAsia="zh-CN" w:bidi="ar"/>
        </w:rPr>
        <w:t>十、</w:t>
      </w:r>
      <w:bookmarkStart w:id="71" w:name="_Toc9075"/>
      <w:bookmarkEnd w:id="71"/>
      <w:bookmarkStart w:id="72" w:name="_Toc15377221"/>
      <w:r>
        <w:rPr>
          <w:rFonts w:hint="eastAsia" w:ascii="仿宋" w:hAnsi="仿宋" w:eastAsia="仿宋" w:cs="仿宋"/>
          <w:b/>
          <w:kern w:val="2"/>
          <w:sz w:val="32"/>
          <w:szCs w:val="32"/>
          <w:u w:val="none"/>
          <w:lang w:val="en-US" w:eastAsia="zh-CN" w:bidi="ar"/>
        </w:rPr>
        <w:t>其他重要事项的情况说明</w:t>
      </w:r>
      <w:bookmarkEnd w:id="70"/>
      <w:bookmarkEnd w:id="72"/>
    </w:p>
    <w:p w14:paraId="77FBE5D7">
      <w:pPr>
        <w:keepNext w:val="0"/>
        <w:keepLines w:val="0"/>
        <w:widowControl/>
        <w:suppressLineNumbers w:val="0"/>
        <w:spacing w:before="0" w:beforeAutospacing="1" w:after="0" w:afterAutospacing="1" w:line="600" w:lineRule="exact"/>
        <w:ind w:left="0" w:right="0" w:firstLine="643" w:firstLineChars="200"/>
        <w:jc w:val="left"/>
        <w:outlineLvl w:val="2"/>
      </w:pPr>
      <w:bookmarkStart w:id="73" w:name="_Toc15377222"/>
      <w:bookmarkEnd w:id="73"/>
      <w:r>
        <w:rPr>
          <w:rFonts w:hint="eastAsia" w:ascii="仿宋" w:hAnsi="仿宋" w:eastAsia="仿宋" w:cs="仿宋"/>
          <w:b/>
          <w:kern w:val="2"/>
          <w:sz w:val="32"/>
          <w:szCs w:val="32"/>
          <w:lang w:val="en-US" w:eastAsia="zh-CN" w:bidi="ar"/>
        </w:rPr>
        <w:t>（一）机关运行经费支出情况</w:t>
      </w:r>
    </w:p>
    <w:p w14:paraId="51BBAEEE">
      <w:pPr>
        <w:keepNext w:val="0"/>
        <w:keepLines w:val="0"/>
        <w:widowControl/>
        <w:suppressLineNumbers w:val="0"/>
        <w:spacing w:before="0" w:beforeAutospacing="1" w:after="0" w:afterAutospacing="1" w:line="600" w:lineRule="exact"/>
        <w:ind w:left="0" w:right="0" w:firstLine="560" w:firstLineChars="200"/>
        <w:jc w:val="left"/>
      </w:pPr>
      <w:r>
        <w:rPr>
          <w:rFonts w:hint="eastAsia" w:ascii="仿宋_GB2312" w:hAnsi="Times New Roman" w:eastAsia="仿宋_GB2312" w:cs="Times New Roman"/>
          <w:kern w:val="2"/>
          <w:sz w:val="28"/>
          <w:szCs w:val="28"/>
          <w:lang w:val="en-US" w:eastAsia="zh-CN" w:bidi="ar"/>
        </w:rPr>
        <w:t>2024年，机关运行经费支出</w:t>
      </w:r>
      <w:r>
        <w:rPr>
          <w:rFonts w:hint="eastAsia" w:ascii="仿宋_GB2312" w:eastAsia="仿宋_GB2312" w:cs="Times New Roman" w:hAnsiTheme="minorHAnsi"/>
          <w:color w:val="000000"/>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万元，比</w:t>
      </w:r>
      <w:r>
        <w:rPr>
          <w:rFonts w:hint="eastAsia" w:ascii="仿宋_GB2312" w:hAnsi="Times New Roman" w:eastAsia="仿宋_GB2312" w:cs="Times New Roman"/>
          <w:kern w:val="2"/>
          <w:sz w:val="28"/>
          <w:szCs w:val="28"/>
          <w:lang w:val="en-US" w:eastAsia="zh-CN" w:bidi="ar"/>
        </w:rPr>
        <w:t>2023年增加/</w:t>
      </w:r>
      <w:r>
        <w:rPr>
          <w:rFonts w:hint="eastAsia" w:ascii="仿宋_GB2312" w:hAnsi="Times New Roman" w:eastAsia="仿宋_GB2312" w:cs="仿宋_GB2312"/>
          <w:kern w:val="2"/>
          <w:sz w:val="28"/>
          <w:szCs w:val="28"/>
          <w:lang w:val="en-US" w:eastAsia="zh-CN" w:bidi="ar"/>
        </w:rPr>
        <w:t>减少</w:t>
      </w:r>
      <w:r>
        <w:rPr>
          <w:rFonts w:hint="eastAsia" w:ascii="仿宋_GB2312" w:hAnsi="Times New Roman" w:eastAsia="仿宋_GB2312" w:cs="Times New Roman"/>
          <w:kern w:val="2"/>
          <w:sz w:val="28"/>
          <w:szCs w:val="28"/>
          <w:lang w:val="en-US" w:eastAsia="zh-CN" w:bidi="ar"/>
        </w:rPr>
        <w:t>0万元，增长/</w:t>
      </w:r>
      <w:r>
        <w:rPr>
          <w:rFonts w:hint="eastAsia" w:ascii="仿宋_GB2312" w:hAnsi="Times New Roman" w:eastAsia="仿宋_GB2312" w:cs="仿宋_GB2312"/>
          <w:kern w:val="2"/>
          <w:sz w:val="28"/>
          <w:szCs w:val="28"/>
          <w:lang w:val="en-US" w:eastAsia="zh-CN" w:bidi="ar"/>
        </w:rPr>
        <w:t>下降</w:t>
      </w:r>
      <w:r>
        <w:rPr>
          <w:rFonts w:hint="eastAsia" w:ascii="仿宋_GB2312" w:hAnsi="Times New Roman" w:eastAsia="仿宋_GB2312" w:cs="Times New Roman"/>
          <w:kern w:val="2"/>
          <w:sz w:val="28"/>
          <w:szCs w:val="28"/>
          <w:lang w:val="en-US" w:eastAsia="zh-CN" w:bidi="ar"/>
        </w:rPr>
        <w:t>0%</w:t>
      </w:r>
      <w:r>
        <w:rPr>
          <w:rFonts w:hint="eastAsia" w:ascii="仿宋_GB2312" w:hAnsi="Times New Roman" w:eastAsia="仿宋_GB2312" w:cs="仿宋_GB2312"/>
          <w:kern w:val="2"/>
          <w:sz w:val="28"/>
          <w:szCs w:val="28"/>
          <w:lang w:val="en-US" w:eastAsia="zh-CN" w:bidi="ar"/>
        </w:rPr>
        <w:t>。</w:t>
      </w:r>
    </w:p>
    <w:p w14:paraId="426D08BA">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（注：数据来源于财决附</w:t>
      </w:r>
      <w:r>
        <w:rPr>
          <w:rFonts w:hint="eastAsia" w:ascii="仿宋" w:hAnsi="仿宋" w:eastAsia="仿宋" w:cs="Times New Roman"/>
          <w:b/>
          <w:kern w:val="2"/>
          <w:sz w:val="28"/>
          <w:szCs w:val="28"/>
          <w:lang w:val="en-US" w:eastAsia="zh-CN" w:bidi="ar"/>
        </w:rPr>
        <w:t>03</w:t>
      </w:r>
      <w:r>
        <w:rPr>
          <w:rFonts w:hint="eastAsia" w:ascii="仿宋" w:hAnsi="仿宋" w:eastAsia="仿宋" w:cs="仿宋"/>
          <w:b/>
          <w:kern w:val="2"/>
          <w:sz w:val="28"/>
          <w:szCs w:val="28"/>
          <w:lang w:val="en-US" w:eastAsia="zh-CN" w:bidi="ar"/>
        </w:rPr>
        <w:t>表）</w:t>
      </w:r>
    </w:p>
    <w:p w14:paraId="17D48946">
      <w:pPr>
        <w:keepNext w:val="0"/>
        <w:keepLines w:val="0"/>
        <w:widowControl/>
        <w:suppressLineNumbers w:val="0"/>
        <w:adjustRightInd w:val="0"/>
        <w:spacing w:before="0" w:beforeAutospacing="1" w:after="0" w:afterAutospacing="1" w:line="600" w:lineRule="exact"/>
        <w:ind w:left="0" w:right="0" w:firstLine="643" w:firstLineChars="200"/>
        <w:jc w:val="left"/>
        <w:outlineLvl w:val="2"/>
      </w:pPr>
      <w:bookmarkStart w:id="74" w:name="_Toc15377223"/>
      <w:bookmarkEnd w:id="74"/>
      <w:r>
        <w:rPr>
          <w:rFonts w:hint="eastAsia" w:ascii="仿宋" w:hAnsi="仿宋" w:eastAsia="仿宋" w:cs="仿宋"/>
          <w:b/>
          <w:kern w:val="2"/>
          <w:sz w:val="32"/>
          <w:szCs w:val="32"/>
          <w:lang w:val="en-US" w:eastAsia="zh-CN" w:bidi="ar"/>
        </w:rPr>
        <w:t>（二）政府采购支出情况</w:t>
      </w:r>
    </w:p>
    <w:p w14:paraId="7BEF18D8">
      <w:pPr>
        <w:keepNext w:val="0"/>
        <w:keepLines w:val="0"/>
        <w:widowControl/>
        <w:suppressLineNumbers w:val="0"/>
        <w:spacing w:before="0" w:beforeAutospacing="1" w:after="0" w:afterAutospacing="1" w:line="600" w:lineRule="exact"/>
        <w:ind w:left="0" w:right="0" w:firstLine="560" w:firstLineChars="200"/>
        <w:jc w:val="left"/>
      </w:pPr>
      <w:r>
        <w:rPr>
          <w:rFonts w:hint="eastAsia" w:ascii="仿宋" w:hAnsi="仿宋" w:eastAsia="仿宋" w:cs="仿宋"/>
          <w:kern w:val="2"/>
          <w:sz w:val="28"/>
          <w:szCs w:val="28"/>
          <w:lang w:val="en-US" w:eastAsia="zh-CN" w:bidi="ar"/>
        </w:rPr>
        <w:t>2024年，政府采购支出总额</w:t>
      </w:r>
      <w:r>
        <w:rPr>
          <w:rFonts w:hint="eastAsia" w:ascii="仿宋" w:hAnsi="仿宋" w:eastAsia="仿宋" w:cs="仿宋"/>
          <w:color w:val="000000"/>
          <w:kern w:val="2"/>
          <w:sz w:val="28"/>
          <w:szCs w:val="28"/>
          <w:lang w:val="en-US" w:eastAsia="zh-CN" w:bidi="ar"/>
        </w:rPr>
        <w:t>0</w:t>
      </w:r>
      <w:r>
        <w:rPr>
          <w:rFonts w:hint="eastAsia" w:ascii="仿宋" w:hAnsi="仿宋" w:eastAsia="仿宋" w:cs="仿宋"/>
          <w:kern w:val="2"/>
          <w:sz w:val="28"/>
          <w:szCs w:val="28"/>
          <w:lang w:val="en-US" w:eastAsia="zh-CN" w:bidi="ar"/>
        </w:rPr>
        <w:t>万元，其中：政府采购货物支出0万元、政府采购工程支出0万元、政府采购服务支出</w:t>
      </w:r>
      <w:r>
        <w:rPr>
          <w:rFonts w:hint="eastAsia" w:ascii="仿宋" w:hAnsi="仿宋" w:eastAsia="仿宋" w:cs="仿宋"/>
          <w:color w:val="000000"/>
          <w:kern w:val="2"/>
          <w:sz w:val="28"/>
          <w:szCs w:val="28"/>
          <w:lang w:val="en-US" w:eastAsia="zh-CN" w:bidi="ar"/>
        </w:rPr>
        <w:t>0</w:t>
      </w:r>
      <w:r>
        <w:rPr>
          <w:rFonts w:hint="eastAsia" w:ascii="仿宋" w:hAnsi="仿宋" w:eastAsia="仿宋" w:cs="仿宋"/>
          <w:kern w:val="2"/>
          <w:sz w:val="28"/>
          <w:szCs w:val="28"/>
          <w:lang w:val="en-US" w:eastAsia="zh-CN" w:bidi="ar"/>
        </w:rPr>
        <w:t>万元。</w:t>
      </w:r>
    </w:p>
    <w:p w14:paraId="591664FC">
      <w:pPr>
        <w:keepNext w:val="0"/>
        <w:keepLines w:val="0"/>
        <w:widowControl/>
        <w:suppressLineNumbers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（注：数据来源于财决附03表）</w:t>
      </w:r>
    </w:p>
    <w:p w14:paraId="03B155BB">
      <w:pPr>
        <w:keepNext w:val="0"/>
        <w:keepLines w:val="0"/>
        <w:widowControl/>
        <w:suppressLineNumbers w:val="0"/>
        <w:adjustRightInd w:val="0"/>
        <w:spacing w:before="0" w:beforeAutospacing="1" w:after="0" w:afterAutospacing="1" w:line="600" w:lineRule="exact"/>
        <w:ind w:left="0" w:right="0" w:firstLine="643" w:firstLineChars="200"/>
        <w:jc w:val="left"/>
        <w:outlineLvl w:val="2"/>
      </w:pPr>
      <w:bookmarkStart w:id="75" w:name="_Toc15377224"/>
      <w:bookmarkEnd w:id="75"/>
      <w:r>
        <w:rPr>
          <w:rFonts w:hint="eastAsia" w:ascii="仿宋" w:hAnsi="仿宋" w:eastAsia="仿宋" w:cs="仿宋"/>
          <w:b/>
          <w:kern w:val="2"/>
          <w:sz w:val="32"/>
          <w:szCs w:val="32"/>
          <w:lang w:val="en-US" w:eastAsia="zh-CN" w:bidi="ar"/>
        </w:rPr>
        <w:t>（三）国有资产占有使用情况</w:t>
      </w:r>
    </w:p>
    <w:p w14:paraId="10A0D40B">
      <w:pPr>
        <w:keepNext w:val="0"/>
        <w:keepLines w:val="0"/>
        <w:widowControl/>
        <w:suppressLineNumbers w:val="0"/>
        <w:adjustRightInd w:val="0"/>
        <w:spacing w:before="0" w:beforeAutospacing="1" w:after="0" w:afterAutospacing="1" w:line="600" w:lineRule="exact"/>
        <w:ind w:left="0" w:right="0" w:firstLine="560" w:firstLineChars="200"/>
        <w:jc w:val="left"/>
      </w:pPr>
      <w:r>
        <w:rPr>
          <w:rFonts w:hint="eastAsia" w:ascii="仿宋_GB2312" w:hAnsi="Times New Roman" w:eastAsia="仿宋_GB2312" w:cs="仿宋_GB2312"/>
          <w:kern w:val="2"/>
          <w:sz w:val="28"/>
          <w:szCs w:val="28"/>
          <w:lang w:val="en-US" w:eastAsia="zh-CN" w:bidi="ar"/>
        </w:rPr>
        <w:t>截至</w:t>
      </w:r>
      <w:r>
        <w:rPr>
          <w:rFonts w:hint="eastAsia" w:ascii="仿宋_GB2312" w:hAnsi="Times New Roman" w:eastAsia="仿宋_GB2312" w:cs="Times New Roman"/>
          <w:kern w:val="2"/>
          <w:sz w:val="28"/>
          <w:szCs w:val="28"/>
          <w:lang w:val="en-US" w:eastAsia="zh-CN" w:bidi="ar"/>
        </w:rPr>
        <w:t>2024年12</w:t>
      </w:r>
      <w:r>
        <w:rPr>
          <w:rFonts w:hint="eastAsia" w:ascii="仿宋_GB2312" w:hAnsi="Times New Roman" w:eastAsia="仿宋_GB2312" w:cs="仿宋_GB2312"/>
          <w:kern w:val="2"/>
          <w:sz w:val="28"/>
          <w:szCs w:val="28"/>
          <w:lang w:val="en-US" w:eastAsia="zh-CN" w:bidi="ar"/>
        </w:rPr>
        <w:t>月</w:t>
      </w:r>
      <w:r>
        <w:rPr>
          <w:rFonts w:hint="eastAsia" w:ascii="仿宋_GB2312" w:hAnsi="Times New Roman" w:eastAsia="仿宋_GB2312" w:cs="Times New Roman"/>
          <w:kern w:val="2"/>
          <w:sz w:val="28"/>
          <w:szCs w:val="28"/>
          <w:lang w:val="en-US" w:eastAsia="zh-CN" w:bidi="ar"/>
        </w:rPr>
        <w:t>31</w:t>
      </w:r>
      <w:r>
        <w:rPr>
          <w:rFonts w:hint="eastAsia" w:ascii="仿宋_GB2312" w:hAnsi="Times New Roman" w:eastAsia="仿宋_GB2312" w:cs="仿宋_GB2312"/>
          <w:kern w:val="2"/>
          <w:sz w:val="28"/>
          <w:szCs w:val="28"/>
          <w:lang w:val="en-US" w:eastAsia="zh-CN" w:bidi="ar"/>
        </w:rPr>
        <w:t>日共有车辆</w:t>
      </w:r>
      <w:r>
        <w:rPr>
          <w:rFonts w:hint="eastAsia" w:ascii="仿宋_GB2312" w:hAnsi="Times New Roman" w:eastAsia="仿宋_GB2312" w:cs="Times New Roman"/>
          <w:kern w:val="2"/>
          <w:sz w:val="28"/>
          <w:szCs w:val="28"/>
          <w:lang w:val="en-US" w:eastAsia="zh-CN" w:bidi="ar"/>
        </w:rPr>
        <w:t>0辆，其中：主要领导干部用车0辆、机要通信用车0辆、应急保障用车0辆、其他用车0辆。单价50</w:t>
      </w:r>
      <w:r>
        <w:rPr>
          <w:rFonts w:hint="eastAsia" w:ascii="仿宋_GB2312" w:hAnsi="Times New Roman" w:eastAsia="仿宋_GB2312" w:cs="仿宋_GB2312"/>
          <w:kern w:val="2"/>
          <w:sz w:val="28"/>
          <w:szCs w:val="28"/>
          <w:lang w:val="en-US" w:eastAsia="zh-CN" w:bidi="ar"/>
        </w:rPr>
        <w:t>万元以上通用设备</w:t>
      </w:r>
      <w:r>
        <w:rPr>
          <w:rFonts w:hint="eastAsia" w:ascii="仿宋_GB2312" w:hAnsi="Times New Roman" w:eastAsia="仿宋_GB2312" w:cs="Times New Roman"/>
          <w:kern w:val="2"/>
          <w:sz w:val="28"/>
          <w:szCs w:val="28"/>
          <w:lang w:val="en-US" w:eastAsia="zh-CN" w:bidi="ar"/>
        </w:rPr>
        <w:t>0台（套），单价100</w:t>
      </w:r>
      <w:r>
        <w:rPr>
          <w:rFonts w:hint="eastAsia" w:ascii="仿宋_GB2312" w:hAnsi="Times New Roman" w:eastAsia="仿宋_GB2312" w:cs="仿宋_GB2312"/>
          <w:kern w:val="2"/>
          <w:sz w:val="28"/>
          <w:szCs w:val="28"/>
          <w:lang w:val="en-US" w:eastAsia="zh-CN" w:bidi="ar"/>
        </w:rPr>
        <w:t>万元以上专用设备</w:t>
      </w:r>
      <w:r>
        <w:rPr>
          <w:rFonts w:hint="eastAsia" w:ascii="仿宋_GB2312" w:hAnsi="Times New Roman" w:eastAsia="仿宋_GB2312" w:cs="Times New Roman"/>
          <w:kern w:val="2"/>
          <w:sz w:val="28"/>
          <w:szCs w:val="28"/>
          <w:lang w:val="en-US" w:eastAsia="zh-CN" w:bidi="ar"/>
        </w:rPr>
        <w:t>0台（套）。</w:t>
      </w:r>
    </w:p>
    <w:p w14:paraId="4808A1FD">
      <w:pPr>
        <w:keepNext w:val="0"/>
        <w:keepLines w:val="0"/>
        <w:widowControl/>
        <w:suppressLineNumbers w:val="0"/>
        <w:adjustRightInd w:val="0"/>
        <w:spacing w:before="0" w:beforeAutospacing="1" w:after="0" w:afterAutospacing="1" w:line="600" w:lineRule="exact"/>
        <w:ind w:left="0" w:right="0" w:firstLine="562" w:firstLineChars="200"/>
        <w:jc w:val="left"/>
      </w:pPr>
      <w:r>
        <w:rPr>
          <w:rFonts w:hint="eastAsia" w:ascii="仿宋" w:hAnsi="仿宋" w:eastAsia="仿宋" w:cs="仿宋"/>
          <w:b/>
          <w:kern w:val="2"/>
          <w:sz w:val="28"/>
          <w:szCs w:val="28"/>
          <w:lang w:val="en-US" w:eastAsia="zh-CN" w:bidi="ar"/>
        </w:rPr>
        <w:t>（注：数据来源于财决附</w:t>
      </w:r>
      <w:r>
        <w:rPr>
          <w:rFonts w:hint="eastAsia" w:ascii="仿宋" w:hAnsi="仿宋" w:eastAsia="仿宋" w:cs="Times New Roman"/>
          <w:b/>
          <w:kern w:val="2"/>
          <w:sz w:val="28"/>
          <w:szCs w:val="28"/>
          <w:lang w:val="en-US" w:eastAsia="zh-CN" w:bidi="ar"/>
        </w:rPr>
        <w:t>03</w:t>
      </w:r>
      <w:r>
        <w:rPr>
          <w:rFonts w:hint="eastAsia" w:ascii="仿宋" w:hAnsi="仿宋" w:eastAsia="仿宋" w:cs="仿宋"/>
          <w:b/>
          <w:kern w:val="2"/>
          <w:sz w:val="28"/>
          <w:szCs w:val="28"/>
          <w:lang w:val="en-US" w:eastAsia="zh-CN" w:bidi="ar"/>
        </w:rPr>
        <w:t>表，按部门决算报表填报数据罗列车辆情况。）</w:t>
      </w:r>
    </w:p>
    <w:p w14:paraId="5C4B1F3A">
      <w:pPr>
        <w:keepNext w:val="0"/>
        <w:keepLines w:val="0"/>
        <w:widowControl/>
        <w:suppressLineNumbers w:val="0"/>
        <w:adjustRightInd w:val="0"/>
        <w:spacing w:before="0" w:beforeAutospacing="1" w:after="0" w:afterAutospacing="1" w:line="600" w:lineRule="exact"/>
        <w:ind w:left="0" w:right="0" w:firstLine="643" w:firstLineChars="200"/>
        <w:jc w:val="left"/>
        <w:outlineLvl w:val="2"/>
      </w:pPr>
      <w:r>
        <w:rPr>
          <w:rFonts w:hint="eastAsia" w:ascii="仿宋" w:hAnsi="仿宋" w:eastAsia="仿宋" w:cs="仿宋"/>
          <w:b/>
          <w:kern w:val="2"/>
          <w:sz w:val="32"/>
          <w:szCs w:val="32"/>
          <w:lang w:val="en-US" w:eastAsia="zh-CN" w:bidi="ar"/>
        </w:rPr>
        <w:t>（四）预算绩效管理情况</w:t>
      </w:r>
    </w:p>
    <w:p w14:paraId="5ECE713B">
      <w:pPr>
        <w:keepNext w:val="0"/>
        <w:keepLines w:val="0"/>
        <w:widowControl/>
        <w:suppressLineNumbers w:val="0"/>
        <w:spacing w:before="0" w:beforeAutospacing="1" w:after="0" w:afterAutospacing="1" w:line="600" w:lineRule="exact"/>
        <w:ind w:left="0" w:right="0" w:firstLine="640" w:firstLineChars="200"/>
        <w:jc w:val="left"/>
      </w:pPr>
      <w:r>
        <w:rPr>
          <w:rFonts w:hint="eastAsia" w:ascii="仿宋_GB2312" w:hAnsi="Times New Roman" w:eastAsia="仿宋_GB2312" w:cs="仿宋_GB2312"/>
          <w:kern w:val="2"/>
          <w:sz w:val="32"/>
          <w:szCs w:val="32"/>
          <w:lang w:val="en-US" w:eastAsia="zh-CN" w:bidi="ar"/>
        </w:rPr>
        <w:t>根据预算绩效管理要求，本单位在</w:t>
      </w:r>
      <w:r>
        <w:rPr>
          <w:rFonts w:hint="eastAsia" w:ascii="仿宋_GB2312" w:hAnsi="Times New Roman" w:eastAsia="仿宋_GB2312" w:cs="Times New Roman"/>
          <w:kern w:val="2"/>
          <w:sz w:val="32"/>
          <w:szCs w:val="32"/>
          <w:lang w:val="en-US" w:eastAsia="zh-CN" w:bidi="ar"/>
        </w:rPr>
        <w:t>2024年度预算编制阶段，组织对14个项目开展了预算事前绩效评估，对14个项目编制了绩效目标，预算执行过程中，选取14个项目开展绩效监控，组织对1个项目开展绩效自评，绩效自评表详见第四部分附件。</w:t>
      </w:r>
    </w:p>
    <w:p w14:paraId="5C05C037">
      <w:pPr>
        <w:pStyle w:val="4"/>
        <w:keepNext w:val="0"/>
        <w:keepLines w:val="0"/>
        <w:pageBreakBefore w:val="0"/>
        <w:widowControl w:val="0"/>
        <w:suppressLineNumbers w:val="0"/>
        <w:kinsoku/>
        <w:wordWrap/>
        <w:overflowPunct/>
        <w:topLinePunct w:val="0"/>
        <w:autoSpaceDE/>
        <w:autoSpaceDN/>
        <w:bidi w:val="0"/>
        <w:adjustRightInd/>
        <w:snapToGrid/>
        <w:jc w:val="center"/>
        <w:textAlignment w:val="auto"/>
        <w:outlineLvl w:val="0"/>
      </w:pPr>
      <w:r>
        <w:rPr>
          <w:rFonts w:hint="eastAsia" w:ascii="仿宋_GB2312" w:hAnsi="Times New Roman" w:eastAsia="仿宋_GB2312" w:cs="Times New Roman"/>
          <w:b/>
          <w:kern w:val="2"/>
          <w:sz w:val="32"/>
          <w:szCs w:val="32"/>
        </w:rPr>
        <w:br w:type="page"/>
      </w:r>
      <w:bookmarkStart w:id="76" w:name="_Toc6900"/>
      <w:bookmarkEnd w:id="76"/>
      <w:bookmarkStart w:id="77" w:name="_Toc22498"/>
      <w:r>
        <w:rPr>
          <w:rFonts w:hint="eastAsia" w:ascii="黑体" w:hAnsi="黑体" w:eastAsia="黑体" w:cs="黑体"/>
          <w:b/>
          <w:kern w:val="44"/>
          <w:sz w:val="44"/>
          <w:szCs w:val="44"/>
          <w:lang w:val="en-US" w:eastAsia="zh-CN"/>
        </w:rPr>
        <w:t>第三部分 </w:t>
      </w:r>
      <w:bookmarkStart w:id="78" w:name="_Toc15377225"/>
      <w:bookmarkEnd w:id="78"/>
      <w:bookmarkStart w:id="79" w:name="_Toc15396613"/>
      <w:r>
        <w:rPr>
          <w:rFonts w:hint="eastAsia" w:ascii="黑体" w:hAnsi="黑体" w:eastAsia="黑体" w:cs="黑体"/>
          <w:b/>
          <w:kern w:val="44"/>
          <w:sz w:val="44"/>
          <w:szCs w:val="44"/>
          <w:lang w:val="en-US" w:eastAsia="zh-CN"/>
        </w:rPr>
        <w:t>名</w:t>
      </w:r>
      <w:bookmarkEnd w:id="79"/>
      <w:r>
        <w:rPr>
          <w:rFonts w:hint="eastAsia" w:ascii="黑体" w:hAnsi="黑体" w:eastAsia="黑体" w:cs="黑体"/>
          <w:b/>
          <w:kern w:val="44"/>
          <w:sz w:val="44"/>
          <w:szCs w:val="44"/>
          <w:lang w:val="en-US" w:eastAsia="zh-CN"/>
        </w:rPr>
        <w:t>词解释</w:t>
      </w:r>
      <w:bookmarkEnd w:id="77"/>
    </w:p>
    <w:p w14:paraId="2C2FA94E">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1、财政拨款收入：指单位从同级财政部门取得的财政预算资金。</w:t>
      </w:r>
    </w:p>
    <w:p w14:paraId="0039BEC9">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2、事业收入：指事业单位开展专业业务活动及辅助活动取得的收入。</w:t>
      </w:r>
    </w:p>
    <w:p w14:paraId="543FBF8E">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3、经营收入：指事业单位在专业业务活动及其辅助活动之外开展非独立核算经营活动取得的收入。</w:t>
      </w:r>
    </w:p>
    <w:p w14:paraId="27A78EE7">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4、其他收入：指单位取得的除上述收入以外的各项收入。主要是援建资金。</w:t>
      </w:r>
    </w:p>
    <w:p w14:paraId="4568EF72">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5、年初结转和结余：指以前年度尚未完成、结转到本年按有关规定继续使用的资金。</w:t>
      </w:r>
    </w:p>
    <w:p w14:paraId="1CF27E1B">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6、年末结转和结余：指单位按有关规定结转到下年或以后年度继续使用的资金。</w:t>
      </w:r>
    </w:p>
    <w:p w14:paraId="06EFBE07">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7、社会保障和就业支出（类）行政事业单位养老支出（款）机关事业单位基本养老保险缴费支出（项）：指机关事业单位实施养老保险制度由单位缴纳的基本养老保险费支出。</w:t>
      </w:r>
    </w:p>
    <w:p w14:paraId="2BDC8AA7">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8、社会保障和就业支出（类）行政事业单位养老支出（款）机关事业单位职业年金缴费支出（项）：指机关事业单位实施养老保险制度由单位实际缴纳的职业年金。</w:t>
      </w:r>
    </w:p>
    <w:p w14:paraId="3854D1D2">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9、一般公共服务支出（类）人力资源事务（款）引进人才费用（项）：指按规定用于人力资源中引进人才的费用。</w:t>
      </w:r>
    </w:p>
    <w:p w14:paraId="04B00CD4">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10、卫生健康支出（类）行政事业单位医疗（款）行政单位医疗（项）：指财政部门集中安排的行政单位基本医疗保险缴费经费。</w:t>
      </w:r>
    </w:p>
    <w:p w14:paraId="6AACD6FD">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11、农林水支出（类）农业农村（款）科技转化与推广服务（项）：指用于农业科技成果转化，农业新品种、新机具、新技术引进、试验、示范。推广及服务农村人居环境整治等方面的技术试验示范支出。</w:t>
      </w:r>
    </w:p>
    <w:p w14:paraId="693524FF">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12、资源勘探工业信息等支出（类）制造业（款）其他制造业支出（项）：指其他用于制造业方面的支出。</w:t>
      </w:r>
    </w:p>
    <w:p w14:paraId="249F68DE">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13、资源勘探工业信息等支出（类）支持中小企业发展和管理支出（款）中小企业发展专项（项）：指用于支持中小企业公共服务体系和融资服务体系建设等方面的支出。</w:t>
      </w:r>
    </w:p>
    <w:p w14:paraId="74699639">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14、商业服务业等支出（类）商业流通事务（款）行政运行（项）：指按规定补助优抚对象的医疗经费。</w:t>
      </w:r>
    </w:p>
    <w:p w14:paraId="229632A1">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15、商业服务业等支出（类）商业流通事务（款）一般行政管理事务（项）：指按规定补助优抚对象的医疗经费。</w:t>
      </w:r>
    </w:p>
    <w:p w14:paraId="47A318DF">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16、商业服务业等支出（类）商业流通事务（款）民贸企业补贴（项）：指按规定补助优抚对象的医疗经费。</w:t>
      </w:r>
    </w:p>
    <w:p w14:paraId="0786FE26">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17、商业服务业等支出（类）商业流通事务（款）其他商业流通事务支出（项）：指其他用于商业流通事务方面的支出。</w:t>
      </w:r>
    </w:p>
    <w:p w14:paraId="65AE1AA2">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18、商业服务业等支出（类）其他商业服务业等支出（款）  其他商业流通事务支出（项）：指在商业服务业中其他用于商业流通事务方面的支出。</w:t>
      </w:r>
    </w:p>
    <w:p w14:paraId="7700E999">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19、住房保障支出（类）住房改革支出（款）住房公积金（项）：指行政事业单位安装工资比例为职工缴纳的住房公积金。</w:t>
      </w:r>
    </w:p>
    <w:p w14:paraId="684C0817">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20、基本支出：指为保障机构正常运转、完成日常工作任务而发生的人员支出和公用支出。</w:t>
      </w:r>
    </w:p>
    <w:p w14:paraId="1C09CD38">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21、项目支出：指在基本支出之外为完成特定行政任务和事业发展目标所发生的支出。</w:t>
      </w:r>
    </w:p>
    <w:p w14:paraId="4244B4D3">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22、经营支出：指事业单位在专业业务活动及其辅助活动之外开展非独立核算经营活动发生的支出。</w:t>
      </w:r>
    </w:p>
    <w:p w14:paraId="0027917E">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9D5746E">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11.节能环保（类）节能环保（款）节能环保（项）：指开展节能环保各项工作的支出。</w:t>
      </w:r>
    </w:p>
    <w:p w14:paraId="198B7C04">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12.住房保障（类）住房保障支出（款）住房改革支出（项）：住房公积金指单位为职工按比例缴纳的住房公积金支出。</w:t>
      </w:r>
    </w:p>
    <w:p w14:paraId="20C18E2B">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13.基本支出：指为保障机构正常运转、完成日常工作任务而发生的人员支出和公用支出。</w:t>
      </w:r>
    </w:p>
    <w:p w14:paraId="410B789F">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 xml:space="preserve">14.项目支出：指在基本支出之外为完成特定行政任务和事业发展目标所发生的支出。 </w:t>
      </w:r>
    </w:p>
    <w:p w14:paraId="4692AF99">
      <w:pPr>
        <w:keepNext w:val="0"/>
        <w:keepLines w:val="0"/>
        <w:widowControl/>
        <w:suppressLineNumbers w:val="0"/>
        <w:spacing w:before="0" w:beforeAutospacing="1" w:after="0" w:afterAutospacing="1"/>
        <w:ind w:left="0" w:right="0" w:firstLine="560" w:firstLineChars="200"/>
        <w:jc w:val="left"/>
      </w:pPr>
      <w:r>
        <w:rPr>
          <w:rFonts w:hint="eastAsia" w:ascii="仿宋" w:hAnsi="仿宋" w:eastAsia="仿宋" w:cs="仿宋"/>
          <w:kern w:val="2"/>
          <w:sz w:val="28"/>
          <w:szCs w:val="28"/>
          <w:lang w:val="en-US" w:eastAsia="zh-CN" w:bidi="ar"/>
        </w:rPr>
        <w:t>15.经营支出：指事业单位在专业业务活动及其辅助活动之外开展非独立核算经营活动发生的支出。</w:t>
      </w:r>
    </w:p>
    <w:p w14:paraId="463B4450">
      <w:pPr>
        <w:pStyle w:val="14"/>
        <w:keepNext w:val="0"/>
        <w:keepLines w:val="0"/>
        <w:widowControl/>
        <w:suppressLineNumbers w:val="0"/>
        <w:spacing w:before="0" w:beforeAutospacing="1" w:after="0" w:afterAutospacing="1" w:line="560" w:lineRule="exact"/>
        <w:ind w:left="0" w:right="0" w:firstLine="560" w:firstLineChars="200"/>
      </w:pPr>
      <w:r>
        <w:rPr>
          <w:rFonts w:hint="eastAsia" w:ascii="仿宋" w:hAnsi="仿宋" w:eastAsia="仿宋" w:cs="仿宋"/>
          <w:sz w:val="28"/>
          <w:szCs w:val="28"/>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CD891A">
      <w:pPr>
        <w:pStyle w:val="14"/>
        <w:keepNext w:val="0"/>
        <w:keepLines w:val="0"/>
        <w:widowControl/>
        <w:suppressLineNumbers w:val="0"/>
        <w:spacing w:before="0" w:beforeAutospacing="1" w:after="0" w:afterAutospacing="1" w:line="560" w:lineRule="exact"/>
        <w:ind w:left="0" w:right="0" w:firstLine="560" w:firstLineChars="200"/>
      </w:pPr>
      <w:r>
        <w:rPr>
          <w:rFonts w:hint="eastAsia" w:ascii="仿宋" w:hAnsi="仿宋" w:eastAsia="仿宋" w:cs="仿宋"/>
          <w:sz w:val="28"/>
          <w:szCs w:val="28"/>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C21FDB0">
      <w:pPr>
        <w:pStyle w:val="14"/>
        <w:keepNext w:val="0"/>
        <w:keepLines w:val="0"/>
        <w:widowControl/>
        <w:suppressLineNumbers w:val="0"/>
        <w:spacing w:before="0" w:beforeAutospacing="1" w:after="0" w:afterAutospacing="1" w:line="560" w:lineRule="exact"/>
        <w:ind w:left="0" w:right="0" w:firstLine="560" w:firstLineChars="200"/>
      </w:pPr>
      <w:r>
        <w:rPr>
          <w:rFonts w:hint="eastAsia" w:ascii="仿宋" w:hAnsi="仿宋" w:eastAsia="仿宋" w:cs="仿宋"/>
          <w:sz w:val="28"/>
          <w:szCs w:val="28"/>
        </w:rPr>
        <w:t> </w:t>
      </w:r>
    </w:p>
    <w:p w14:paraId="4D167C14">
      <w:pPr>
        <w:keepNext w:val="0"/>
        <w:keepLines w:val="0"/>
        <w:widowControl/>
        <w:suppressLineNumbers w:val="0"/>
        <w:spacing w:before="0" w:beforeAutospacing="1" w:after="0" w:afterAutospacing="1"/>
        <w:ind w:left="0" w:right="0" w:firstLine="562" w:firstLineChars="200"/>
        <w:jc w:val="left"/>
      </w:pPr>
      <w:r>
        <w:rPr>
          <w:rFonts w:hint="eastAsia" w:ascii="仿宋" w:hAnsi="仿宋" w:eastAsia="仿宋" w:cs="仿宋"/>
          <w:b/>
          <w:kern w:val="2"/>
          <w:sz w:val="28"/>
          <w:szCs w:val="28"/>
          <w:lang w:val="en-US" w:eastAsia="zh-CN" w:bidi="ar"/>
        </w:rPr>
        <w:t>（名词解释部分请根据各部门实际列支情况罗列，并根据本部门职责职能增减名词解释内容。）</w:t>
      </w:r>
    </w:p>
    <w:p w14:paraId="6A3B77FC">
      <w:pPr>
        <w:pStyle w:val="4"/>
        <w:keepNext w:val="0"/>
        <w:keepLines w:val="0"/>
        <w:pageBreakBefore w:val="0"/>
        <w:widowControl w:val="0"/>
        <w:suppressLineNumbers w:val="0"/>
        <w:kinsoku/>
        <w:wordWrap/>
        <w:overflowPunct/>
        <w:topLinePunct w:val="0"/>
        <w:autoSpaceDE/>
        <w:autoSpaceDN/>
        <w:bidi w:val="0"/>
        <w:adjustRightInd/>
        <w:snapToGrid/>
        <w:jc w:val="center"/>
        <w:textAlignment w:val="auto"/>
        <w:outlineLvl w:val="0"/>
        <w:rPr>
          <w:rFonts w:hint="eastAsia" w:ascii="黑体" w:hAnsi="黑体" w:eastAsia="黑体" w:cs="黑体"/>
          <w:b/>
          <w:kern w:val="44"/>
          <w:sz w:val="44"/>
          <w:szCs w:val="44"/>
          <w:lang w:val="en-US" w:eastAsia="zh-CN"/>
        </w:rPr>
      </w:pPr>
      <w:bookmarkStart w:id="80" w:name="_Toc15377226"/>
      <w:bookmarkEnd w:id="80"/>
      <w:r>
        <w:rPr>
          <w:rFonts w:hint="eastAsia" w:ascii="仿宋" w:hAnsi="仿宋" w:eastAsia="仿宋" w:cs="仿宋"/>
          <w:b/>
          <w:kern w:val="2"/>
          <w:sz w:val="28"/>
          <w:szCs w:val="28"/>
          <w:lang w:val="en-US" w:eastAsia="zh-CN" w:bidi="ar"/>
        </w:rPr>
        <w:br w:type="page"/>
      </w:r>
      <w:bookmarkStart w:id="81" w:name="_Toc15396618"/>
      <w:bookmarkEnd w:id="81"/>
      <w:bookmarkStart w:id="82" w:name="_Toc15396614"/>
      <w:bookmarkEnd w:id="82"/>
      <w:bookmarkStart w:id="83" w:name="_Toc2123"/>
      <w:bookmarkEnd w:id="83"/>
      <w:bookmarkStart w:id="84" w:name="_Toc30839"/>
      <w:bookmarkStart w:id="85" w:name="_Toc940"/>
      <w:r>
        <w:rPr>
          <w:rFonts w:hint="eastAsia" w:ascii="黑体" w:hAnsi="黑体" w:eastAsia="黑体" w:cs="黑体"/>
          <w:b/>
          <w:kern w:val="44"/>
          <w:sz w:val="44"/>
          <w:szCs w:val="44"/>
          <w:lang w:val="en-US" w:eastAsia="zh-CN"/>
        </w:rPr>
        <w:t>第四部分 附件</w:t>
      </w:r>
      <w:bookmarkEnd w:id="84"/>
      <w:bookmarkEnd w:id="85"/>
    </w:p>
    <w:p w14:paraId="10756233">
      <w:pPr>
        <w:keepNext w:val="0"/>
        <w:keepLines w:val="0"/>
        <w:widowControl/>
        <w:suppressLineNumbers w:val="0"/>
        <w:spacing w:before="0" w:beforeAutospacing="1" w:after="0" w:afterAutospacing="1" w:line="572" w:lineRule="exact"/>
        <w:ind w:left="0" w:right="0"/>
        <w:jc w:val="left"/>
        <w:outlineLvl w:val="0"/>
      </w:pPr>
      <w:bookmarkStart w:id="86" w:name="_Toc30849"/>
      <w:bookmarkEnd w:id="86"/>
      <w:bookmarkStart w:id="87" w:name="_Toc14416"/>
      <w:bookmarkEnd w:id="87"/>
      <w:bookmarkStart w:id="88" w:name="_Toc3319"/>
      <w:bookmarkStart w:id="89" w:name="_Toc26197"/>
      <w:bookmarkStart w:id="90" w:name="_Toc704"/>
      <w:r>
        <w:rPr>
          <w:rFonts w:hint="eastAsia" w:ascii="仿宋" w:hAnsi="仿宋" w:eastAsia="仿宋" w:cs="仿宋"/>
          <w:b/>
          <w:kern w:val="2"/>
          <w:sz w:val="32"/>
          <w:szCs w:val="32"/>
          <w:u w:val="none"/>
          <w:lang w:val="en-US" w:eastAsia="zh-CN" w:bidi="ar"/>
        </w:rPr>
        <w:t>附件</w:t>
      </w:r>
      <w:bookmarkEnd w:id="88"/>
      <w:r>
        <w:rPr>
          <w:rFonts w:hint="eastAsia" w:ascii="仿宋" w:hAnsi="仿宋" w:eastAsia="仿宋" w:cs="仿宋"/>
          <w:b/>
          <w:kern w:val="2"/>
          <w:sz w:val="32"/>
          <w:szCs w:val="32"/>
          <w:lang w:val="en-US" w:eastAsia="zh-CN" w:bidi="ar"/>
        </w:rPr>
        <w:t>1</w:t>
      </w:r>
      <w:bookmarkEnd w:id="89"/>
      <w:bookmarkEnd w:id="90"/>
    </w:p>
    <w:p w14:paraId="7C94EA8E">
      <w:pPr>
        <w:keepNext w:val="0"/>
        <w:keepLines w:val="0"/>
        <w:widowControl/>
        <w:suppressLineNumbers w:val="0"/>
        <w:spacing w:before="0" w:beforeAutospacing="1" w:after="0" w:afterAutospacing="1" w:line="360" w:lineRule="auto"/>
        <w:ind w:left="0" w:right="0"/>
        <w:jc w:val="center"/>
        <w:outlineLvl w:val="0"/>
      </w:pPr>
      <w:bookmarkStart w:id="91" w:name="_Toc17827"/>
      <w:bookmarkEnd w:id="91"/>
      <w:bookmarkStart w:id="92" w:name="_Toc5494"/>
      <w:bookmarkStart w:id="93" w:name="_Toc26011"/>
      <w:r>
        <w:rPr>
          <w:rFonts w:hint="eastAsia" w:ascii="宋体" w:hAnsi="宋体" w:eastAsia="宋体" w:cs="宋体"/>
          <w:b/>
          <w:kern w:val="0"/>
          <w:sz w:val="44"/>
          <w:szCs w:val="44"/>
          <w:lang w:val="en-US" w:eastAsia="zh-CN" w:bidi="ar"/>
        </w:rPr>
        <w:t>2024年度壤塘县中壤塘镇卫生院部门整体支出绩效评价自评报告</w:t>
      </w:r>
      <w:bookmarkEnd w:id="92"/>
      <w:bookmarkEnd w:id="93"/>
    </w:p>
    <w:p w14:paraId="0491108C">
      <w:pPr>
        <w:keepNext w:val="0"/>
        <w:keepLines w:val="0"/>
        <w:widowControl/>
        <w:suppressLineNumbers w:val="0"/>
        <w:spacing w:before="0" w:beforeAutospacing="1" w:after="0" w:afterAutospacing="1" w:line="360" w:lineRule="auto"/>
        <w:ind w:left="0" w:right="0"/>
        <w:jc w:val="center"/>
      </w:pPr>
      <w:r>
        <w:rPr>
          <w:rFonts w:hint="eastAsia" w:ascii="宋体" w:hAnsi="宋体" w:eastAsia="宋体" w:cs="宋体"/>
          <w:kern w:val="0"/>
          <w:sz w:val="21"/>
          <w:szCs w:val="21"/>
          <w:lang w:val="en-US" w:eastAsia="zh-CN" w:bidi="ar"/>
        </w:rPr>
        <w:t> </w:t>
      </w:r>
    </w:p>
    <w:p w14:paraId="1CB8D077">
      <w:pPr>
        <w:keepNext w:val="0"/>
        <w:keepLines w:val="0"/>
        <w:widowControl/>
        <w:suppressLineNumbers w:val="0"/>
        <w:spacing w:before="0" w:beforeAutospacing="1" w:after="0" w:afterAutospacing="1" w:line="360" w:lineRule="auto"/>
        <w:ind w:left="0" w:right="0" w:firstLine="643" w:firstLineChars="200"/>
        <w:jc w:val="left"/>
        <w:outlineLvl w:val="0"/>
      </w:pPr>
      <w:bookmarkStart w:id="94" w:name="_Toc2569"/>
      <w:bookmarkEnd w:id="94"/>
      <w:bookmarkStart w:id="95" w:name="_Toc9846"/>
      <w:bookmarkStart w:id="96" w:name="_Toc32440"/>
      <w:r>
        <w:rPr>
          <w:rFonts w:hint="eastAsia" w:ascii="仿宋_GB2312" w:eastAsia="仿宋_GB2312" w:cs="仿宋_GB2312" w:hAnsiTheme="minorHAnsi"/>
          <w:b/>
          <w:kern w:val="0"/>
          <w:sz w:val="32"/>
          <w:szCs w:val="32"/>
          <w:lang w:val="en-US" w:eastAsia="zh-CN" w:bidi="ar"/>
        </w:rPr>
        <w:t>一、部门（单位）概况</w:t>
      </w:r>
      <w:bookmarkEnd w:id="95"/>
      <w:bookmarkEnd w:id="96"/>
    </w:p>
    <w:p w14:paraId="5633945B">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壤塘县</w:t>
      </w:r>
      <w:r>
        <w:rPr>
          <w:rFonts w:hint="eastAsia" w:ascii="仿宋_GB2312" w:eastAsia="仿宋_GB2312" w:cs="仿宋_GB2312"/>
          <w:kern w:val="2"/>
          <w:sz w:val="32"/>
          <w:szCs w:val="32"/>
          <w:lang w:val="en-US" w:eastAsia="zh-CN" w:bidi="ar"/>
        </w:rPr>
        <w:t>中壤塘镇</w:t>
      </w:r>
      <w:r>
        <w:rPr>
          <w:rFonts w:hint="eastAsia" w:ascii="仿宋_GB2312" w:eastAsia="仿宋_GB2312" w:cs="仿宋_GB2312" w:hAnsiTheme="minorHAnsi"/>
          <w:kern w:val="2"/>
          <w:sz w:val="32"/>
          <w:szCs w:val="32"/>
          <w:lang w:val="en-US" w:eastAsia="zh-CN" w:bidi="ar"/>
        </w:rPr>
        <w:t>卫生院机构性质：财政补助事业单位，机构地址：四川省阿坝州壤塘县</w:t>
      </w:r>
      <w:r>
        <w:rPr>
          <w:rFonts w:hint="eastAsia" w:ascii="仿宋_GB2312" w:eastAsia="仿宋_GB2312" w:cs="仿宋_GB2312"/>
          <w:kern w:val="2"/>
          <w:sz w:val="32"/>
          <w:szCs w:val="32"/>
          <w:lang w:val="en-US" w:eastAsia="zh-CN" w:bidi="ar"/>
        </w:rPr>
        <w:t>中壤塘镇</w:t>
      </w:r>
      <w:r>
        <w:rPr>
          <w:rFonts w:hint="eastAsia" w:ascii="仿宋_GB2312" w:eastAsia="仿宋_GB2312" w:cs="仿宋_GB2312" w:hAnsiTheme="minorHAnsi"/>
          <w:kern w:val="2"/>
          <w:sz w:val="32"/>
          <w:szCs w:val="32"/>
          <w:lang w:val="en-US" w:eastAsia="zh-CN" w:bidi="ar"/>
        </w:rPr>
        <w:t>伊根门多村1号，单位负责人：</w:t>
      </w:r>
      <w:r>
        <w:rPr>
          <w:rFonts w:hint="eastAsia" w:ascii="仿宋_GB2312" w:eastAsia="仿宋_GB2312" w:cs="仿宋_GB2312" w:hAnsiTheme="minorHAnsi"/>
          <w:color w:val="000000"/>
          <w:kern w:val="2"/>
          <w:sz w:val="32"/>
          <w:szCs w:val="32"/>
          <w:lang w:val="en-US" w:eastAsia="zh-CN" w:bidi="ar"/>
        </w:rPr>
        <w:t>殷磊。</w:t>
      </w:r>
    </w:p>
    <w:p w14:paraId="4B850064">
      <w:pPr>
        <w:keepNext w:val="0"/>
        <w:keepLines w:val="0"/>
        <w:widowControl/>
        <w:suppressLineNumbers w:val="0"/>
        <w:spacing w:before="0" w:beforeAutospacing="1" w:after="0" w:afterAutospacing="1" w:line="360" w:lineRule="auto"/>
        <w:ind w:left="0" w:right="0" w:firstLine="643" w:firstLineChars="200"/>
        <w:jc w:val="left"/>
        <w:outlineLvl w:val="1"/>
      </w:pPr>
      <w:bookmarkStart w:id="97" w:name="_Toc2201"/>
      <w:bookmarkEnd w:id="97"/>
      <w:bookmarkStart w:id="98" w:name="_Toc19090"/>
      <w:bookmarkStart w:id="99" w:name="_Toc9070"/>
      <w:r>
        <w:rPr>
          <w:rFonts w:hint="eastAsia" w:ascii="仿宋_GB2312" w:eastAsia="仿宋_GB2312" w:cs="仿宋_GB2312" w:hAnsiTheme="minorHAnsi"/>
          <w:b/>
          <w:kern w:val="0"/>
          <w:sz w:val="32"/>
          <w:szCs w:val="32"/>
          <w:lang w:val="en-US" w:eastAsia="zh-CN" w:bidi="ar"/>
        </w:rPr>
        <w:t>（一）机构组成</w:t>
      </w:r>
      <w:bookmarkEnd w:id="98"/>
      <w:bookmarkEnd w:id="99"/>
    </w:p>
    <w:p w14:paraId="4CB471C0">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壤塘县</w:t>
      </w:r>
      <w:r>
        <w:rPr>
          <w:rFonts w:hint="eastAsia" w:ascii="仿宋_GB2312" w:eastAsia="仿宋_GB2312" w:cs="仿宋_GB2312"/>
          <w:kern w:val="2"/>
          <w:sz w:val="32"/>
          <w:szCs w:val="32"/>
          <w:lang w:val="en-US" w:eastAsia="zh-CN" w:bidi="ar"/>
        </w:rPr>
        <w:t>中壤塘镇</w:t>
      </w:r>
      <w:r>
        <w:rPr>
          <w:rFonts w:hint="eastAsia" w:ascii="仿宋_GB2312" w:eastAsia="仿宋_GB2312" w:cs="仿宋_GB2312" w:hAnsiTheme="minorHAnsi"/>
          <w:kern w:val="2"/>
          <w:sz w:val="32"/>
          <w:szCs w:val="32"/>
          <w:lang w:val="en-US" w:eastAsia="zh-CN" w:bidi="ar"/>
        </w:rPr>
        <w:t>卫生院归属于壤塘县卫生健康局的二级事业单位。</w:t>
      </w:r>
    </w:p>
    <w:p w14:paraId="7A5FBBB2">
      <w:pPr>
        <w:keepNext w:val="0"/>
        <w:keepLines w:val="0"/>
        <w:widowControl/>
        <w:numPr>
          <w:ilvl w:val="0"/>
          <w:numId w:val="0"/>
        </w:numPr>
        <w:suppressLineNumbers w:val="0"/>
        <w:spacing w:before="0" w:beforeAutospacing="1" w:after="0" w:afterAutospacing="1" w:line="360" w:lineRule="auto"/>
        <w:ind w:left="0" w:right="0" w:firstLine="643" w:firstLineChars="200"/>
        <w:jc w:val="left"/>
        <w:outlineLvl w:val="1"/>
      </w:pPr>
      <w:bookmarkStart w:id="100" w:name="_Toc12748"/>
      <w:bookmarkEnd w:id="100"/>
      <w:bookmarkStart w:id="101" w:name="_Toc362"/>
      <w:bookmarkStart w:id="102" w:name="_Toc1669"/>
      <w:r>
        <w:rPr>
          <w:rFonts w:hint="eastAsia" w:ascii="仿宋_GB2312" w:eastAsia="仿宋_GB2312" w:cs="仿宋_GB2312" w:hAnsiTheme="minorHAnsi"/>
          <w:b/>
          <w:kern w:val="0"/>
          <w:sz w:val="32"/>
          <w:szCs w:val="32"/>
          <w:lang w:val="en-US" w:eastAsia="zh-CN" w:bidi="ar"/>
        </w:rPr>
        <w:t>（二）机构职能</w:t>
      </w:r>
      <w:bookmarkEnd w:id="101"/>
      <w:bookmarkEnd w:id="102"/>
    </w:p>
    <w:p w14:paraId="735A9598">
      <w:pPr>
        <w:keepNext w:val="0"/>
        <w:keepLines w:val="0"/>
        <w:widowControl/>
        <w:suppressLineNumbers w:val="0"/>
        <w:spacing w:before="0" w:beforeAutospacing="1" w:after="0" w:afterAutospacing="1"/>
        <w:ind w:left="0" w:right="0" w:firstLine="800" w:firstLineChars="250"/>
        <w:jc w:val="left"/>
      </w:pPr>
      <w:r>
        <w:rPr>
          <w:rFonts w:hint="eastAsia" w:ascii="仿宋" w:hAnsi="仿宋" w:eastAsia="仿宋" w:cs="仿宋"/>
          <w:kern w:val="2"/>
          <w:sz w:val="32"/>
          <w:szCs w:val="32"/>
          <w:lang w:val="en-US" w:eastAsia="zh-CN" w:bidi="ar"/>
        </w:rPr>
        <w:t>（1）负责在县卫健局领导、协调下开展对重大疾病、流行病、传染病及突发公共卫生事件进行预防控制工作，配合有关部门参与对上述重大事件实施防控与干预，以及按规定报告传染病疫情信息。</w:t>
      </w:r>
    </w:p>
    <w:p w14:paraId="7DD13717">
      <w:pPr>
        <w:keepNext w:val="0"/>
        <w:keepLines w:val="0"/>
        <w:widowControl/>
        <w:suppressLineNumbers w:val="0"/>
        <w:spacing w:before="0" w:beforeAutospacing="1" w:after="0" w:afterAutospacing="1"/>
        <w:ind w:left="0" w:right="0" w:firstLine="800" w:firstLineChars="250"/>
        <w:jc w:val="left"/>
      </w:pPr>
      <w:r>
        <w:rPr>
          <w:rFonts w:hint="eastAsia" w:ascii="仿宋" w:hAnsi="仿宋" w:eastAsia="仿宋" w:cs="仿宋"/>
          <w:kern w:val="2"/>
          <w:sz w:val="32"/>
          <w:szCs w:val="32"/>
          <w:lang w:val="en-US" w:eastAsia="zh-CN" w:bidi="ar"/>
        </w:rPr>
        <w:t>（2）参与各乡镇的应急、救灾等方面工作；</w:t>
      </w:r>
    </w:p>
    <w:p w14:paraId="693DC0CD">
      <w:pPr>
        <w:keepNext w:val="0"/>
        <w:keepLines w:val="0"/>
        <w:widowControl/>
        <w:suppressLineNumbers w:val="0"/>
        <w:spacing w:before="0" w:beforeAutospacing="1" w:after="0" w:afterAutospacing="1"/>
        <w:ind w:left="0" w:right="0" w:firstLine="800" w:firstLineChars="250"/>
        <w:jc w:val="left"/>
      </w:pPr>
      <w:r>
        <w:rPr>
          <w:rFonts w:hint="eastAsia" w:ascii="仿宋" w:hAnsi="仿宋" w:eastAsia="仿宋" w:cs="仿宋"/>
          <w:kern w:val="2"/>
          <w:sz w:val="32"/>
          <w:szCs w:val="32"/>
          <w:lang w:val="en-US" w:eastAsia="zh-CN" w:bidi="ar"/>
        </w:rPr>
        <w:t>（3）负责各乡镇范围内群众的健康保健指导，对群众及职工进行健康检查，以及开展预防、保健知识的宣传和咨询工作。</w:t>
      </w:r>
    </w:p>
    <w:p w14:paraId="77AA5B4D">
      <w:pPr>
        <w:keepNext w:val="0"/>
        <w:keepLines w:val="0"/>
        <w:widowControl/>
        <w:suppressLineNumbers w:val="0"/>
        <w:spacing w:before="0" w:beforeAutospacing="1" w:after="0" w:afterAutospacing="1"/>
        <w:ind w:left="0" w:right="0" w:firstLine="800" w:firstLineChars="250"/>
        <w:jc w:val="left"/>
      </w:pPr>
      <w:r>
        <w:rPr>
          <w:rFonts w:hint="eastAsia" w:ascii="仿宋" w:hAnsi="仿宋" w:eastAsia="仿宋" w:cs="仿宋"/>
          <w:kern w:val="2"/>
          <w:sz w:val="32"/>
          <w:szCs w:val="32"/>
          <w:lang w:val="en-US" w:eastAsia="zh-CN" w:bidi="ar"/>
        </w:rPr>
        <w:t>（4）负责各乡镇基层乡村卫生工作者的业务培训。</w:t>
      </w:r>
    </w:p>
    <w:p w14:paraId="07C1ED00">
      <w:pPr>
        <w:keepNext w:val="0"/>
        <w:keepLines w:val="0"/>
        <w:widowControl/>
        <w:numPr>
          <w:ilvl w:val="0"/>
          <w:numId w:val="0"/>
        </w:numPr>
        <w:suppressLineNumbers w:val="0"/>
        <w:spacing w:before="0" w:beforeAutospacing="1" w:after="0" w:afterAutospacing="1" w:line="360" w:lineRule="auto"/>
        <w:ind w:left="0" w:right="0" w:firstLine="643" w:firstLineChars="200"/>
        <w:jc w:val="left"/>
        <w:outlineLvl w:val="1"/>
      </w:pPr>
      <w:bookmarkStart w:id="103" w:name="_Toc28412"/>
      <w:bookmarkEnd w:id="103"/>
      <w:bookmarkStart w:id="104" w:name="_Toc20869"/>
      <w:bookmarkStart w:id="105" w:name="_Toc11725"/>
      <w:r>
        <w:rPr>
          <w:rFonts w:hint="eastAsia" w:ascii="仿宋_GB2312" w:eastAsia="仿宋_GB2312" w:cs="仿宋_GB2312" w:hAnsiTheme="minorHAnsi"/>
          <w:b/>
          <w:kern w:val="0"/>
          <w:sz w:val="32"/>
          <w:szCs w:val="32"/>
          <w:lang w:val="en-US" w:eastAsia="zh-CN" w:bidi="ar"/>
        </w:rPr>
        <w:t>（三）人员概况</w:t>
      </w:r>
      <w:bookmarkEnd w:id="104"/>
      <w:bookmarkEnd w:id="105"/>
    </w:p>
    <w:p w14:paraId="75E2BAF2">
      <w:pPr>
        <w:keepNext w:val="0"/>
        <w:keepLines w:val="0"/>
        <w:widowControl/>
        <w:suppressLineNumbers w:val="0"/>
        <w:spacing w:before="0" w:beforeAutospacing="1" w:after="0" w:afterAutospacing="1"/>
        <w:ind w:left="0" w:right="0" w:firstLine="800" w:firstLineChars="250"/>
        <w:jc w:val="left"/>
      </w:pPr>
      <w:r>
        <w:rPr>
          <w:rFonts w:hint="eastAsia" w:ascii="仿宋_GB2312" w:hAnsi="宋体" w:eastAsia="仿宋_GB2312" w:cs="仿宋_GB2312"/>
          <w:kern w:val="0"/>
          <w:sz w:val="32"/>
          <w:szCs w:val="32"/>
          <w:lang w:val="en-US" w:eastAsia="zh-CN" w:bidi="ar"/>
        </w:rPr>
        <w:t>人员情况：年末在职人数7人。</w:t>
      </w:r>
    </w:p>
    <w:p w14:paraId="184924F5">
      <w:pPr>
        <w:keepNext w:val="0"/>
        <w:keepLines w:val="0"/>
        <w:widowControl/>
        <w:suppressLineNumbers w:val="0"/>
        <w:spacing w:before="0" w:beforeAutospacing="1" w:after="0" w:afterAutospacing="1" w:line="360" w:lineRule="auto"/>
        <w:ind w:left="0" w:right="0" w:firstLine="643" w:firstLineChars="200"/>
        <w:jc w:val="left"/>
        <w:outlineLvl w:val="0"/>
      </w:pPr>
      <w:bookmarkStart w:id="106" w:name="_Toc22216"/>
      <w:bookmarkEnd w:id="106"/>
      <w:bookmarkStart w:id="107" w:name="_Toc7145"/>
      <w:bookmarkStart w:id="108" w:name="_Toc18064"/>
      <w:r>
        <w:rPr>
          <w:rFonts w:hint="eastAsia" w:ascii="仿宋_GB2312" w:eastAsia="仿宋_GB2312" w:cs="仿宋_GB2312" w:hAnsiTheme="minorHAnsi"/>
          <w:b/>
          <w:kern w:val="0"/>
          <w:sz w:val="32"/>
          <w:szCs w:val="32"/>
          <w:lang w:val="en-US" w:eastAsia="zh-CN" w:bidi="ar"/>
        </w:rPr>
        <w:t>二、预算管理情况</w:t>
      </w:r>
      <w:bookmarkEnd w:id="107"/>
      <w:bookmarkEnd w:id="108"/>
    </w:p>
    <w:p w14:paraId="39CECC68">
      <w:pPr>
        <w:keepNext w:val="0"/>
        <w:keepLines w:val="0"/>
        <w:widowControl/>
        <w:suppressLineNumbers w:val="0"/>
        <w:spacing w:before="0" w:beforeAutospacing="1" w:after="0" w:afterAutospacing="1" w:line="360" w:lineRule="auto"/>
        <w:ind w:left="0" w:right="0" w:firstLine="643" w:firstLineChars="200"/>
        <w:jc w:val="left"/>
        <w:outlineLvl w:val="1"/>
      </w:pPr>
      <w:bookmarkStart w:id="109" w:name="_Toc9278"/>
      <w:bookmarkEnd w:id="109"/>
      <w:bookmarkStart w:id="110" w:name="_Toc25093"/>
      <w:bookmarkStart w:id="111" w:name="_Toc12407"/>
      <w:r>
        <w:rPr>
          <w:rFonts w:hint="eastAsia" w:ascii="仿宋_GB2312" w:eastAsia="仿宋_GB2312" w:cs="仿宋_GB2312" w:hAnsiTheme="minorHAnsi"/>
          <w:b/>
          <w:kern w:val="0"/>
          <w:sz w:val="32"/>
          <w:szCs w:val="32"/>
          <w:lang w:val="en-US" w:eastAsia="zh-CN" w:bidi="ar"/>
        </w:rPr>
        <w:t>（一）预算编制情况</w:t>
      </w:r>
      <w:bookmarkEnd w:id="110"/>
      <w:bookmarkEnd w:id="111"/>
    </w:p>
    <w:p w14:paraId="336ED63E">
      <w:pPr>
        <w:pStyle w:val="14"/>
        <w:keepNext w:val="0"/>
        <w:keepLines w:val="0"/>
        <w:widowControl/>
        <w:suppressLineNumbers w:val="0"/>
        <w:spacing w:before="0" w:beforeAutospacing="1" w:after="0" w:afterAutospacing="1" w:line="360" w:lineRule="auto"/>
        <w:ind w:left="0" w:right="0" w:firstLine="640" w:firstLineChars="200"/>
        <w:jc w:val="left"/>
        <w:outlineLvl w:val="0"/>
      </w:pPr>
      <w:bookmarkStart w:id="112" w:name="_Toc17527"/>
      <w:bookmarkEnd w:id="112"/>
      <w:bookmarkStart w:id="113" w:name="_Toc27746"/>
      <w:bookmarkStart w:id="114" w:name="_Toc27020"/>
      <w:r>
        <w:rPr>
          <w:rFonts w:hint="eastAsia" w:ascii="仿宋_GB2312" w:eastAsia="仿宋_GB2312" w:cs="仿宋_GB2312"/>
          <w:kern w:val="2"/>
          <w:sz w:val="32"/>
          <w:szCs w:val="32"/>
          <w:lang w:val="en-US" w:eastAsia="zh-CN" w:bidi="ar"/>
        </w:rPr>
        <w:t>2024年财政下达壤塘县中壤塘镇卫生院年初预算收入153.06万元，执行期中追加收入</w:t>
      </w:r>
      <w:r>
        <w:rPr>
          <w:rFonts w:hint="eastAsia" w:ascii="仿宋_GB2312" w:eastAsia="仿宋_GB2312" w:cs="仿宋_GB2312"/>
          <w:color w:val="000000"/>
          <w:kern w:val="2"/>
          <w:sz w:val="32"/>
          <w:szCs w:val="32"/>
          <w:lang w:val="en-US" w:eastAsia="zh-CN" w:bidi="ar"/>
        </w:rPr>
        <w:t>72.78</w:t>
      </w:r>
      <w:r>
        <w:rPr>
          <w:rFonts w:hint="eastAsia" w:ascii="仿宋_GB2312" w:eastAsia="仿宋_GB2312" w:cs="仿宋_GB2312"/>
          <w:kern w:val="2"/>
          <w:sz w:val="32"/>
          <w:szCs w:val="32"/>
          <w:lang w:val="en-US" w:eastAsia="zh-CN" w:bidi="ar"/>
        </w:rPr>
        <w:t>万元，全年使用上年结转结余资金合计0万元，全年财政拨款收入合计225.84万元，事业收入合计41.85万元。   </w:t>
      </w:r>
      <w:bookmarkEnd w:id="113"/>
      <w:bookmarkEnd w:id="114"/>
    </w:p>
    <w:p w14:paraId="174F05BB">
      <w:pPr>
        <w:pStyle w:val="14"/>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kern w:val="2"/>
          <w:sz w:val="32"/>
          <w:szCs w:val="32"/>
          <w:lang w:val="en-US" w:eastAsia="zh-CN" w:bidi="ar"/>
        </w:rPr>
        <w:t>2024年壤塘县中壤塘镇卫生院共计预算支出254.28万元，基本支出203.82万元，项目支出50.46万元。</w:t>
      </w:r>
    </w:p>
    <w:p w14:paraId="4E198D78">
      <w:pPr>
        <w:keepNext w:val="0"/>
        <w:keepLines w:val="0"/>
        <w:widowControl/>
        <w:numPr>
          <w:ilvl w:val="0"/>
          <w:numId w:val="0"/>
        </w:numPr>
        <w:suppressLineNumbers w:val="0"/>
        <w:spacing w:before="0" w:beforeAutospacing="1" w:after="0" w:afterAutospacing="1" w:line="360" w:lineRule="auto"/>
        <w:ind w:left="0" w:right="0" w:firstLine="643" w:firstLineChars="200"/>
        <w:jc w:val="left"/>
        <w:outlineLvl w:val="1"/>
      </w:pPr>
      <w:bookmarkStart w:id="115" w:name="_Toc17513"/>
      <w:bookmarkEnd w:id="115"/>
      <w:bookmarkStart w:id="116" w:name="_Toc18736"/>
      <w:bookmarkStart w:id="117" w:name="_Toc10324"/>
      <w:r>
        <w:rPr>
          <w:rFonts w:hint="eastAsia" w:ascii="仿宋_GB2312" w:eastAsia="仿宋_GB2312" w:cs="仿宋_GB2312" w:hAnsiTheme="minorHAnsi"/>
          <w:b/>
          <w:kern w:val="0"/>
          <w:sz w:val="32"/>
          <w:szCs w:val="32"/>
          <w:lang w:val="en-US" w:eastAsia="zh-CN" w:bidi="ar"/>
        </w:rPr>
        <w:t>（二）预算执行情况</w:t>
      </w:r>
      <w:bookmarkEnd w:id="116"/>
      <w:bookmarkEnd w:id="117"/>
    </w:p>
    <w:p w14:paraId="63CF5CF4">
      <w:pPr>
        <w:pStyle w:val="14"/>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kern w:val="2"/>
          <w:sz w:val="32"/>
          <w:szCs w:val="32"/>
          <w:lang w:val="en-US" w:eastAsia="zh-CN" w:bidi="ar"/>
        </w:rPr>
        <w:t>壤塘县中壤塘镇卫生院2024年财政拨款收入合计225.84万元，使用上年结转结余合计0万元，2023年财政拨款收入210.8万元，比上年增加15.04万元，同比增加7.13%，主要变动原因人员变动，导致相关经费增加。</w:t>
      </w:r>
    </w:p>
    <w:p w14:paraId="5BFC0417">
      <w:pPr>
        <w:keepNext w:val="0"/>
        <w:keepLines w:val="0"/>
        <w:widowControl/>
        <w:suppressLineNumbers w:val="0"/>
        <w:spacing w:before="0" w:beforeAutospacing="1" w:after="0" w:afterAutospacing="1" w:line="360" w:lineRule="auto"/>
        <w:ind w:left="0" w:right="0" w:firstLine="643" w:firstLineChars="200"/>
        <w:jc w:val="left"/>
        <w:outlineLvl w:val="0"/>
      </w:pPr>
      <w:bookmarkStart w:id="118" w:name="_Toc29550"/>
      <w:bookmarkEnd w:id="118"/>
      <w:bookmarkStart w:id="119" w:name="_Toc792"/>
      <w:bookmarkStart w:id="120" w:name="_Toc18634"/>
      <w:r>
        <w:rPr>
          <w:rFonts w:hint="eastAsia" w:ascii="仿宋_GB2312" w:eastAsia="仿宋_GB2312" w:cs="仿宋_GB2312" w:hAnsiTheme="minorHAnsi"/>
          <w:b/>
          <w:kern w:val="0"/>
          <w:sz w:val="32"/>
          <w:szCs w:val="32"/>
          <w:lang w:val="en-US" w:eastAsia="zh-CN" w:bidi="ar"/>
        </w:rPr>
        <w:t>三、部门管理情况</w:t>
      </w:r>
      <w:bookmarkEnd w:id="119"/>
      <w:bookmarkEnd w:id="120"/>
    </w:p>
    <w:p w14:paraId="18254CCE">
      <w:pPr>
        <w:pStyle w:val="14"/>
        <w:keepNext w:val="0"/>
        <w:keepLines w:val="0"/>
        <w:widowControl/>
        <w:suppressLineNumbers w:val="0"/>
        <w:spacing w:before="0" w:beforeAutospacing="1" w:after="0" w:afterAutospacing="1" w:line="360" w:lineRule="auto"/>
        <w:ind w:left="0" w:right="0" w:firstLine="643" w:firstLineChars="200"/>
        <w:jc w:val="left"/>
        <w:outlineLvl w:val="1"/>
      </w:pPr>
      <w:bookmarkStart w:id="121" w:name="_Toc10176"/>
      <w:bookmarkEnd w:id="121"/>
      <w:bookmarkStart w:id="122" w:name="_Toc10216"/>
      <w:bookmarkStart w:id="123" w:name="_Toc28891"/>
      <w:r>
        <w:rPr>
          <w:rFonts w:hint="eastAsia" w:ascii="仿宋_GB2312" w:eastAsia="仿宋_GB2312" w:cs="仿宋_GB2312"/>
          <w:b/>
          <w:kern w:val="0"/>
          <w:sz w:val="32"/>
          <w:szCs w:val="32"/>
          <w:lang w:val="en-US" w:eastAsia="zh-CN" w:bidi="ar"/>
        </w:rPr>
        <w:t>（一）基础管理</w:t>
      </w:r>
      <w:bookmarkEnd w:id="122"/>
      <w:bookmarkEnd w:id="123"/>
    </w:p>
    <w:p w14:paraId="0DB755B0">
      <w:pPr>
        <w:pStyle w:val="14"/>
        <w:keepNext w:val="0"/>
        <w:keepLines w:val="0"/>
        <w:widowControl/>
        <w:suppressLineNumbers w:val="0"/>
        <w:spacing w:before="0" w:beforeAutospacing="1" w:after="0" w:afterAutospacing="1" w:line="360" w:lineRule="auto"/>
        <w:ind w:left="0" w:right="0" w:firstLine="643" w:firstLineChars="200"/>
        <w:jc w:val="left"/>
        <w:outlineLvl w:val="2"/>
      </w:pPr>
      <w:r>
        <w:rPr>
          <w:rFonts w:hint="eastAsia" w:ascii="仿宋_GB2312" w:eastAsia="仿宋_GB2312" w:cs="仿宋_GB2312"/>
          <w:b/>
          <w:kern w:val="0"/>
          <w:sz w:val="32"/>
          <w:szCs w:val="32"/>
          <w:lang w:val="en-US" w:eastAsia="zh-CN" w:bidi="ar"/>
        </w:rPr>
        <w:t>1、管理制度健全性</w:t>
      </w:r>
    </w:p>
    <w:p w14:paraId="153115B4">
      <w:pPr>
        <w:pStyle w:val="14"/>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kern w:val="2"/>
          <w:sz w:val="32"/>
          <w:szCs w:val="32"/>
          <w:lang w:val="en-US" w:eastAsia="zh-CN" w:bidi="ar"/>
        </w:rPr>
        <w:t>壤塘县中壤塘镇卫生院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14:paraId="4197217D">
      <w:pPr>
        <w:pStyle w:val="14"/>
        <w:keepNext w:val="0"/>
        <w:keepLines w:val="0"/>
        <w:widowControl/>
        <w:suppressLineNumbers w:val="0"/>
        <w:spacing w:before="0" w:beforeAutospacing="1" w:after="0" w:afterAutospacing="1" w:line="360" w:lineRule="auto"/>
        <w:ind w:left="420" w:leftChars="200" w:right="0"/>
        <w:jc w:val="left"/>
        <w:outlineLvl w:val="2"/>
      </w:pPr>
      <w:r>
        <w:rPr>
          <w:rFonts w:hint="eastAsia" w:ascii="仿宋_GB2312" w:eastAsia="仿宋_GB2312" w:cs="仿宋_GB2312"/>
          <w:b/>
          <w:kern w:val="0"/>
          <w:sz w:val="32"/>
          <w:szCs w:val="32"/>
          <w:lang w:val="en-US" w:eastAsia="zh-CN" w:bidi="ar"/>
        </w:rPr>
        <w:t>2、财务管理以及资金使用合规性</w:t>
      </w:r>
    </w:p>
    <w:p w14:paraId="51994A76">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壤塘县</w:t>
      </w:r>
      <w:r>
        <w:rPr>
          <w:rFonts w:hint="eastAsia" w:ascii="仿宋_GB2312" w:eastAsia="仿宋_GB2312" w:cs="仿宋_GB2312"/>
          <w:kern w:val="2"/>
          <w:sz w:val="32"/>
          <w:szCs w:val="32"/>
          <w:lang w:val="en-US" w:eastAsia="zh-CN" w:bidi="ar"/>
        </w:rPr>
        <w:t>中壤塘镇</w:t>
      </w:r>
      <w:r>
        <w:rPr>
          <w:rFonts w:hint="eastAsia" w:ascii="仿宋_GB2312" w:eastAsia="仿宋_GB2312" w:cs="仿宋_GB2312" w:hAnsiTheme="minorHAnsi"/>
          <w:kern w:val="2"/>
          <w:sz w:val="32"/>
          <w:szCs w:val="32"/>
          <w:lang w:val="en-US" w:eastAsia="zh-CN" w:bidi="ar"/>
        </w:rPr>
        <w:t>卫生院本年度资金使用过程中严格按照单位财务管理制度要求执行，资金使用的合规性体现在：</w:t>
      </w:r>
    </w:p>
    <w:p w14:paraId="4030A7C7">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1.所有经费开支坚持财务审批制度，重大资金支出（日常公用经费在1万元及以上）由领导班子会议研究决定。</w:t>
      </w:r>
    </w:p>
    <w:p w14:paraId="0A600012">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2.在报销经费时，经办人使用统一规范的审批单，在审批单上写明用途、经办人员、股室负责人、财务负责人、单位领导、金额、报销日期等内容。</w:t>
      </w:r>
    </w:p>
    <w:p w14:paraId="02236561">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3.费用报销审批程序  </w:t>
      </w:r>
    </w:p>
    <w:p w14:paraId="1A5F4338">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经办人填写报销单→由业务室负责人确认签字→财务人员核签字→财务分管领导确认签字→单位负责人批准后，到财务出纳处办理支付手续。</w:t>
      </w:r>
    </w:p>
    <w:p w14:paraId="7C59ED9C">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各个审批环节的具体职责：</w:t>
      </w:r>
    </w:p>
    <w:p w14:paraId="05DD08B0">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业务股室负责人及其分管领导对其发生的支出用途及金额的真实性、准确性负责，并对其股室填写的支出审批单内容、大小写金额、票据张数进行审核。经济业务发生后，原则上在30天之内报账完毕。不得将几个经济事项的票据合并填报。</w:t>
      </w:r>
    </w:p>
    <w:p w14:paraId="57249EB6">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财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14:paraId="69B4FA3B">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各审批领导审查财务收支的真实性、合法性、必要性，并在报销凭证上明确签署报销意见。</w:t>
      </w:r>
    </w:p>
    <w:p w14:paraId="4263402A">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所有费用报销实行单位负责人“一支笔”签批制度。</w:t>
      </w:r>
    </w:p>
    <w:p w14:paraId="2FA498CA">
      <w:pPr>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hAnsiTheme="minorHAnsi"/>
          <w:kern w:val="2"/>
          <w:sz w:val="32"/>
          <w:szCs w:val="32"/>
          <w:lang w:val="en-US" w:eastAsia="zh-CN" w:bidi="ar"/>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14:paraId="75440FC1">
      <w:pPr>
        <w:pStyle w:val="14"/>
        <w:keepNext w:val="0"/>
        <w:keepLines w:val="0"/>
        <w:widowControl/>
        <w:suppressLineNumbers w:val="0"/>
        <w:spacing w:before="0" w:beforeAutospacing="1" w:after="0" w:afterAutospacing="1" w:line="360" w:lineRule="auto"/>
        <w:ind w:left="0" w:right="0" w:firstLine="643" w:firstLineChars="200"/>
        <w:jc w:val="left"/>
        <w:outlineLvl w:val="1"/>
      </w:pPr>
      <w:bookmarkStart w:id="124" w:name="_Toc7385"/>
      <w:bookmarkEnd w:id="124"/>
      <w:bookmarkStart w:id="125" w:name="_Toc2362"/>
      <w:bookmarkStart w:id="126" w:name="_Toc27345"/>
      <w:r>
        <w:rPr>
          <w:rFonts w:hint="eastAsia" w:ascii="仿宋_GB2312" w:eastAsia="仿宋_GB2312" w:cs="仿宋_GB2312"/>
          <w:b/>
          <w:kern w:val="0"/>
          <w:sz w:val="32"/>
          <w:szCs w:val="32"/>
          <w:lang w:val="en-US" w:eastAsia="zh-CN" w:bidi="ar"/>
        </w:rPr>
        <w:t>（二）行政成本</w:t>
      </w:r>
      <w:bookmarkEnd w:id="125"/>
      <w:bookmarkEnd w:id="126"/>
    </w:p>
    <w:p w14:paraId="24D5D333">
      <w:pPr>
        <w:pStyle w:val="14"/>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kern w:val="2"/>
          <w:sz w:val="32"/>
          <w:szCs w:val="32"/>
          <w:lang w:val="en-US" w:eastAsia="zh-CN" w:bidi="ar"/>
        </w:rPr>
        <w:t>“三公”经费控制。壤塘县中壤塘镇卫生院2024年无“三公”经费支出。</w:t>
      </w:r>
    </w:p>
    <w:p w14:paraId="1A0B6560">
      <w:pPr>
        <w:pStyle w:val="14"/>
        <w:keepNext w:val="0"/>
        <w:keepLines w:val="0"/>
        <w:widowControl/>
        <w:suppressLineNumbers w:val="0"/>
        <w:spacing w:before="0" w:beforeAutospacing="1" w:after="0" w:afterAutospacing="1" w:line="360" w:lineRule="auto"/>
        <w:ind w:left="0" w:right="0" w:firstLine="643" w:firstLineChars="200"/>
        <w:jc w:val="left"/>
        <w:outlineLvl w:val="1"/>
      </w:pPr>
      <w:bookmarkStart w:id="127" w:name="_Toc17614"/>
      <w:bookmarkEnd w:id="127"/>
      <w:bookmarkStart w:id="128" w:name="_Toc23543"/>
      <w:bookmarkStart w:id="129" w:name="_Toc16089"/>
      <w:r>
        <w:rPr>
          <w:rFonts w:hint="eastAsia" w:ascii="仿宋_GB2312" w:eastAsia="仿宋_GB2312" w:cs="仿宋_GB2312"/>
          <w:b/>
          <w:kern w:val="0"/>
          <w:sz w:val="32"/>
          <w:szCs w:val="32"/>
          <w:lang w:val="en-US" w:eastAsia="zh-CN" w:bidi="ar"/>
        </w:rPr>
        <w:t>（三）政府采购</w:t>
      </w:r>
      <w:bookmarkEnd w:id="128"/>
      <w:bookmarkEnd w:id="129"/>
    </w:p>
    <w:p w14:paraId="194790A2">
      <w:pPr>
        <w:pStyle w:val="14"/>
        <w:keepNext w:val="0"/>
        <w:keepLines w:val="0"/>
        <w:widowControl/>
        <w:suppressLineNumbers w:val="0"/>
        <w:spacing w:before="0" w:beforeAutospacing="1" w:after="0" w:afterAutospacing="1" w:line="360" w:lineRule="auto"/>
        <w:ind w:left="0" w:right="0" w:firstLine="640" w:firstLineChars="200"/>
        <w:jc w:val="left"/>
      </w:pPr>
      <w:r>
        <w:rPr>
          <w:rFonts w:hint="eastAsia" w:ascii="仿宋_GB2312" w:eastAsia="仿宋_GB2312" w:cs="仿宋_GB2312"/>
          <w:kern w:val="2"/>
          <w:sz w:val="32"/>
          <w:szCs w:val="32"/>
          <w:lang w:val="en-US" w:eastAsia="zh-CN" w:bidi="ar"/>
        </w:rPr>
        <w:t>采购规范性。我院为壤塘县卫生健康局下属二级预算单位，应壤塘县卫健局要求，我院政府采购支出由壤塘县卫生健康局统一负责，故壤塘县中壤塘镇卫生院2024年度无政府采购支出。</w:t>
      </w:r>
    </w:p>
    <w:p w14:paraId="6244BDF8">
      <w:pPr>
        <w:keepNext w:val="0"/>
        <w:keepLines w:val="0"/>
        <w:widowControl/>
        <w:suppressLineNumbers w:val="0"/>
        <w:spacing w:before="0" w:beforeAutospacing="1" w:after="0" w:afterAutospacing="1" w:line="560" w:lineRule="exact"/>
        <w:ind w:left="0" w:right="0" w:firstLine="643" w:firstLineChars="200"/>
        <w:jc w:val="left"/>
        <w:outlineLvl w:val="1"/>
      </w:pPr>
      <w:bookmarkStart w:id="130" w:name="_Toc16101"/>
      <w:bookmarkEnd w:id="130"/>
      <w:bookmarkStart w:id="131" w:name="_Toc20599"/>
      <w:bookmarkStart w:id="132" w:name="_Toc12565"/>
      <w:r>
        <w:rPr>
          <w:rFonts w:hint="eastAsia" w:ascii="仿宋_GB2312" w:eastAsia="仿宋_GB2312" w:cs="仿宋_GB2312" w:hAnsiTheme="minorHAnsi"/>
          <w:b/>
          <w:kern w:val="0"/>
          <w:sz w:val="32"/>
          <w:szCs w:val="32"/>
          <w:lang w:val="en-US" w:eastAsia="zh-CN" w:bidi="ar"/>
        </w:rPr>
        <w:t>（四）资产管理 </w:t>
      </w:r>
      <w:r>
        <w:rPr>
          <w:rFonts w:hint="eastAsia" w:ascii="仿宋_GB2312" w:eastAsia="仿宋_GB2312" w:cs="仿宋_GB2312" w:hAnsiTheme="minorHAnsi"/>
          <w:b/>
          <w:kern w:val="2"/>
          <w:sz w:val="32"/>
          <w:szCs w:val="32"/>
          <w:lang w:val="en-US" w:eastAsia="zh-CN" w:bidi="ar"/>
        </w:rPr>
        <w:t> </w:t>
      </w:r>
      <w:bookmarkEnd w:id="131"/>
      <w:bookmarkEnd w:id="132"/>
    </w:p>
    <w:p w14:paraId="52C2B6A7">
      <w:pPr>
        <w:pStyle w:val="14"/>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eastAsia="仿宋_GB2312" w:cs="仿宋_GB2312"/>
          <w:kern w:val="2"/>
          <w:sz w:val="32"/>
          <w:szCs w:val="32"/>
          <w:lang w:val="en-US" w:eastAsia="zh-CN" w:bidi="ar"/>
        </w:rPr>
        <w:t>固定资产在用率。2024年12月31日，壤塘县中壤塘镇卫生院《行政单位资产管理系统》固定资产净值总计</w:t>
      </w:r>
      <w:r>
        <w:rPr>
          <w:rFonts w:hint="eastAsia" w:ascii="仿宋_GB2312" w:eastAsia="仿宋_GB2312" w:cs="仿宋_GB2312"/>
          <w:color w:val="000000"/>
          <w:kern w:val="2"/>
          <w:sz w:val="32"/>
          <w:szCs w:val="32"/>
          <w:lang w:val="en-US" w:eastAsia="zh-CN" w:bidi="ar"/>
        </w:rPr>
        <w:t>197.24</w:t>
      </w:r>
      <w:r>
        <w:rPr>
          <w:rFonts w:hint="eastAsia" w:ascii="仿宋_GB2312" w:eastAsia="仿宋_GB2312" w:cs="仿宋_GB2312"/>
          <w:kern w:val="2"/>
          <w:sz w:val="32"/>
          <w:szCs w:val="32"/>
          <w:lang w:val="en-US" w:eastAsia="zh-CN" w:bidi="ar"/>
        </w:rPr>
        <w:t>万元，在用的固定资产总计</w:t>
      </w:r>
      <w:r>
        <w:rPr>
          <w:rFonts w:hint="eastAsia" w:ascii="仿宋_GB2312" w:eastAsia="仿宋_GB2312" w:cs="仿宋_GB2312"/>
          <w:color w:val="000000"/>
          <w:kern w:val="2"/>
          <w:sz w:val="32"/>
          <w:szCs w:val="32"/>
          <w:lang w:val="en-US" w:eastAsia="zh-CN" w:bidi="ar"/>
        </w:rPr>
        <w:t>197.24</w:t>
      </w:r>
      <w:r>
        <w:rPr>
          <w:rFonts w:hint="eastAsia" w:ascii="仿宋_GB2312" w:eastAsia="仿宋_GB2312" w:cs="仿宋_GB2312"/>
          <w:kern w:val="2"/>
          <w:sz w:val="32"/>
          <w:szCs w:val="32"/>
          <w:lang w:val="en-US" w:eastAsia="zh-CN" w:bidi="ar"/>
        </w:rPr>
        <w:t>万元，固定资产在用率达100%。</w:t>
      </w:r>
    </w:p>
    <w:p w14:paraId="17EB2541">
      <w:pPr>
        <w:pStyle w:val="14"/>
        <w:keepNext w:val="0"/>
        <w:keepLines w:val="0"/>
        <w:widowControl/>
        <w:suppressLineNumbers w:val="0"/>
        <w:spacing w:before="0" w:beforeAutospacing="1" w:after="0" w:afterAutospacing="1" w:line="560" w:lineRule="exact"/>
        <w:ind w:left="0" w:right="0" w:firstLine="643" w:firstLineChars="200"/>
        <w:jc w:val="left"/>
        <w:outlineLvl w:val="1"/>
      </w:pPr>
      <w:bookmarkStart w:id="133" w:name="_Toc9134"/>
      <w:bookmarkEnd w:id="133"/>
      <w:bookmarkStart w:id="134" w:name="_Toc14362"/>
      <w:bookmarkStart w:id="135" w:name="_Toc30074"/>
      <w:r>
        <w:rPr>
          <w:rFonts w:hint="eastAsia" w:ascii="仿宋_GB2312" w:eastAsia="仿宋_GB2312" w:cs="仿宋_GB2312"/>
          <w:b/>
          <w:kern w:val="0"/>
          <w:sz w:val="32"/>
          <w:szCs w:val="32"/>
          <w:lang w:val="en-US" w:eastAsia="zh-CN" w:bidi="ar"/>
        </w:rPr>
        <w:t>（五）信息公开</w:t>
      </w:r>
      <w:bookmarkEnd w:id="134"/>
      <w:bookmarkEnd w:id="135"/>
    </w:p>
    <w:p w14:paraId="1162F3CC">
      <w:pPr>
        <w:pStyle w:val="14"/>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eastAsia="仿宋_GB2312" w:cs="仿宋_GB2312"/>
          <w:kern w:val="2"/>
          <w:sz w:val="32"/>
          <w:szCs w:val="32"/>
          <w:lang w:val="en-US" w:eastAsia="zh-CN" w:bidi="ar"/>
        </w:rPr>
        <w:t>信息公开。壤塘县中壤塘镇卫生院已经按财政要求及时完成预算、决算、绩效等信息公开工作，信息公开在壤塘县门户网站中。</w:t>
      </w:r>
    </w:p>
    <w:p w14:paraId="12DD7D8E">
      <w:pPr>
        <w:pStyle w:val="14"/>
        <w:keepNext w:val="0"/>
        <w:keepLines w:val="0"/>
        <w:widowControl/>
        <w:suppressLineNumbers w:val="0"/>
        <w:spacing w:before="0" w:beforeAutospacing="1" w:after="0" w:afterAutospacing="1" w:line="360" w:lineRule="auto"/>
        <w:ind w:left="0" w:right="0" w:firstLine="643" w:firstLineChars="200"/>
        <w:jc w:val="left"/>
        <w:outlineLvl w:val="0"/>
      </w:pPr>
      <w:bookmarkStart w:id="136" w:name="_Toc16725"/>
      <w:bookmarkEnd w:id="136"/>
      <w:bookmarkStart w:id="137" w:name="_Toc25792"/>
      <w:bookmarkStart w:id="138" w:name="_Toc20463"/>
      <w:r>
        <w:rPr>
          <w:rFonts w:hint="eastAsia" w:ascii="仿宋_GB2312" w:eastAsia="仿宋_GB2312" w:cs="仿宋_GB2312"/>
          <w:b/>
          <w:kern w:val="0"/>
          <w:sz w:val="32"/>
          <w:szCs w:val="32"/>
          <w:lang w:val="en-US" w:eastAsia="zh-CN" w:bidi="ar"/>
        </w:rPr>
        <w:t>四、部门履职效能</w:t>
      </w:r>
      <w:bookmarkEnd w:id="137"/>
      <w:bookmarkEnd w:id="138"/>
    </w:p>
    <w:p w14:paraId="6E3058C3">
      <w:pPr>
        <w:pStyle w:val="14"/>
        <w:keepNext w:val="0"/>
        <w:keepLines w:val="0"/>
        <w:widowControl/>
        <w:suppressLineNumbers w:val="0"/>
        <w:spacing w:before="0" w:beforeAutospacing="1" w:after="0" w:afterAutospacing="1" w:line="560" w:lineRule="exact"/>
        <w:ind w:left="0" w:right="0"/>
        <w:jc w:val="left"/>
        <w:outlineLvl w:val="1"/>
      </w:pPr>
      <w:bookmarkStart w:id="139" w:name="_Toc28581"/>
      <w:bookmarkStart w:id="140" w:name="_Toc2686"/>
      <w:r>
        <w:rPr>
          <w:rFonts w:hint="eastAsia" w:ascii="仿宋_GB2312" w:eastAsia="仿宋_GB2312" w:cs="仿宋_GB2312"/>
          <w:kern w:val="0"/>
          <w:sz w:val="32"/>
          <w:szCs w:val="32"/>
          <w:lang w:val="en-US" w:eastAsia="zh-CN" w:bidi="ar"/>
        </w:rPr>
        <w:t>   </w:t>
      </w:r>
      <w:bookmarkStart w:id="141" w:name="_Toc29901"/>
      <w:bookmarkEnd w:id="141"/>
      <w:r>
        <w:rPr>
          <w:rFonts w:hint="eastAsia" w:ascii="仿宋_GB2312" w:eastAsia="仿宋_GB2312" w:cs="仿宋_GB2312"/>
          <w:b/>
          <w:kern w:val="0"/>
          <w:sz w:val="32"/>
          <w:szCs w:val="32"/>
          <w:lang w:val="en-US" w:eastAsia="zh-CN" w:bidi="ar"/>
        </w:rPr>
        <w:t>（一）部门履职的年度总体目标</w:t>
      </w:r>
      <w:bookmarkEnd w:id="139"/>
      <w:bookmarkEnd w:id="140"/>
    </w:p>
    <w:p w14:paraId="5A1759AE">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负责在县卫健局领导、协调下开展对重大疾病、流行病、传染病及突发公共卫生事件进行预防控制工作，配合有关部门参与对上述重大事件实施防控与干预，以及按规定报告传染病疫情信息。</w:t>
      </w:r>
    </w:p>
    <w:p w14:paraId="6B1CC5F1">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负责我县各乡镇范围内群众的健康保健指导，对群众及职工进行健康检查，以及开展预防、保健知识的宣传和咨询工作。</w:t>
      </w:r>
    </w:p>
    <w:p w14:paraId="1BC4F702">
      <w:pPr>
        <w:keepNext w:val="0"/>
        <w:keepLines w:val="0"/>
        <w:widowControl/>
        <w:suppressLineNumbers w:val="0"/>
        <w:spacing w:before="0" w:beforeAutospacing="1" w:after="0" w:afterAutospacing="1" w:line="560" w:lineRule="exact"/>
        <w:ind w:left="0" w:right="0" w:firstLine="640" w:firstLineChars="200"/>
        <w:jc w:val="left"/>
        <w:outlineLvl w:val="1"/>
      </w:pPr>
      <w:bookmarkStart w:id="142" w:name="_Toc9168"/>
      <w:bookmarkEnd w:id="142"/>
      <w:bookmarkStart w:id="143" w:name="_Toc964"/>
      <w:bookmarkStart w:id="144" w:name="_Toc8337"/>
      <w:r>
        <w:rPr>
          <w:rFonts w:hint="eastAsia" w:ascii="仿宋_GB2312" w:eastAsia="仿宋_GB2312" w:cs="仿宋_GB2312" w:hAnsiTheme="minorHAnsi"/>
          <w:kern w:val="2"/>
          <w:sz w:val="32"/>
          <w:szCs w:val="32"/>
          <w:lang w:val="en-US" w:eastAsia="zh-CN" w:bidi="ar"/>
        </w:rPr>
        <w:t>（二）重点工作任务绩效目标完成情况</w:t>
      </w:r>
      <w:bookmarkEnd w:id="143"/>
      <w:bookmarkEnd w:id="144"/>
    </w:p>
    <w:p w14:paraId="54093CD4">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1.基本公共卫生项目服务工作：</w:t>
      </w:r>
      <w:bookmarkStart w:id="189" w:name="_GoBack"/>
      <w:bookmarkEnd w:id="189"/>
      <w:r>
        <w:rPr>
          <w:rFonts w:hint="eastAsia" w:ascii="仿宋" w:hAnsi="仿宋" w:eastAsia="仿宋" w:cs="仿宋"/>
          <w:kern w:val="2"/>
          <w:sz w:val="32"/>
          <w:szCs w:val="32"/>
          <w:lang w:val="en-US" w:eastAsia="zh-CN" w:bidi="ar"/>
        </w:rPr>
        <w:t>全镇共建立居民健康档案5000余份，其中高血压患者管理档案85份，完成全年100%;2型糖尿病患者管理档案9份，完成全年7%;重性精神病患者管理档案6份完成全年 100%;65岁以上老年人管理档案280份，完成全年66%。</w:t>
      </w:r>
    </w:p>
    <w:p w14:paraId="560798DE">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2.健康教育服务规范：我镇共举办各类健康知识讲座12场,完成全年50%;在街道、卫生院及学校、人口聚集地进行健康教育宣传咨询活动9次，完成全年67%;共办健康教育专栏6期,完成全年50%，音像举办6期，完成全年50%。</w:t>
      </w:r>
    </w:p>
    <w:p w14:paraId="5726DA54">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3.预防接种服务规范：免费接种乙肝疫苗、卡介苗、脊灰疫苗、百白破疫苗、麻疹类疫苗(麻风、麻腮风)、甲肝疫苗、流脑疫苗、乙脑疫苗、白破二联等国家免疫规划疫苗，接种疫苗 3500针，完成全年82%，在接种过程中，未出现过异常反应，对辖区内计划免疫疫苗预防疾病进行主动监测，上半年无病发生。</w:t>
      </w:r>
    </w:p>
    <w:p w14:paraId="7CB591DC">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4.0-6岁儿童健康管理服务规范：6岁以下儿童保健管理情况:2024年我镇0-6岁儿童425人，保健管理率90%;对查出的所有疾病进行了治疗，无体弱儿。以下儿童死亡情况:2024年全年我镇5岁以下儿童死亡0例，死产0例。</w:t>
      </w:r>
    </w:p>
    <w:p w14:paraId="370A1F9B">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5.孕产妇健康管理服务规范：今年我镇共有新增孕产妇76人，管理数76人，管理率100%，高危孕产妇7人。</w:t>
      </w:r>
    </w:p>
    <w:p w14:paraId="7E646367">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6.慢病管理服务规范:慢性病管理，主要是针对高血压、2型糖尿病等慢性病高危人群进行健康指导。对35岁以上人群实行门诊首诊测血压。对确诊高血压和糖尿病的患者进行登记管理，定期进行随访，随访的同时免费为慢性病患者提供随机血糖监测，并针对辖区慢性病人群开展连续科学的健康评估、干预措施等，并对他们进行体格检查及用药、饮食、运动、心理等健康指导。</w:t>
      </w:r>
    </w:p>
    <w:p w14:paraId="6154EC6F">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7.严重精神障碍患者管理服务规范：重性精神疾病患者管理，我们的主要任务是加强日常摸排,并对辖区内确诊的6例重性精神疾病患者进行随访管理;并对他们进行了体检，体检4人，1人拒绝体检，1人在远牧场，完成全年66%。</w:t>
      </w:r>
    </w:p>
    <w:p w14:paraId="3E6A2C4A">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8.肺结核患者健康管理服务规范：目前我院共计管理结核病26人，规范管理26人，达到管理率100%。</w:t>
      </w:r>
    </w:p>
    <w:p w14:paraId="47A36C89">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9.中医药健康管理服务规范：65岁以上老年人中医药健康管理185份，完成全年的66%;0-6岁儿童数中医药健康管理440人，完成全年的 92.13%。</w:t>
      </w:r>
    </w:p>
    <w:p w14:paraId="29B9E057">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 </w:t>
      </w:r>
    </w:p>
    <w:p w14:paraId="04730833">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五、评价结论及措施</w:t>
      </w:r>
    </w:p>
    <w:p w14:paraId="2E197568">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（一）评价结论：</w:t>
      </w:r>
    </w:p>
    <w:p w14:paraId="7F4D51C7">
      <w:pPr>
        <w:keepNext w:val="0"/>
        <w:keepLines w:val="0"/>
        <w:widowControl/>
        <w:suppressLineNumbers w:val="0"/>
        <w:spacing w:before="0" w:beforeAutospacing="1" w:after="0" w:afterAutospacing="1" w:line="560" w:lineRule="exact"/>
        <w:ind w:left="0" w:right="0" w:firstLine="800" w:firstLineChars="250"/>
        <w:jc w:val="left"/>
      </w:pPr>
      <w:r>
        <w:rPr>
          <w:rFonts w:hint="eastAsia" w:ascii="仿宋" w:hAnsi="仿宋" w:eastAsia="仿宋" w:cs="仿宋"/>
          <w:kern w:val="2"/>
          <w:sz w:val="32"/>
          <w:szCs w:val="32"/>
          <w:lang w:val="en-US" w:eastAsia="zh-CN" w:bidi="ar"/>
        </w:rPr>
        <w:t>我单位严格按照年初预算批复的预算安排各项收支,确保预算严格有效执行、加强预决算管理，确保预决算真实、完整、准确、及时，加强预决算分析工作，强化预决算分析结果运用，建立健全预算、决算相互反映，相互促进的机制。加强单位正常运行和重大项目的实施，较好地完成了2024年部门预算编制和决算</w:t>
      </w:r>
      <w:r>
        <w:rPr>
          <w:rFonts w:hint="eastAsia" w:ascii="仿宋_GB2312" w:hAnsi="宋体" w:eastAsia="仿宋_GB2312" w:cs="仿宋_GB2312"/>
          <w:color w:val="000000"/>
          <w:kern w:val="0"/>
          <w:sz w:val="32"/>
          <w:szCs w:val="32"/>
          <w:shd w:val="clear" w:fill="FFFFFF"/>
          <w:lang w:val="en-US" w:eastAsia="zh-CN" w:bidi="ar"/>
        </w:rPr>
        <w:t>汇总工作</w:t>
      </w:r>
      <w:r>
        <w:rPr>
          <w:rFonts w:hint="eastAsia" w:ascii="仿宋_GB2312" w:hAnsi="宋体" w:eastAsia="仿宋_GB2312" w:cs="宋体"/>
          <w:color w:val="000000"/>
          <w:kern w:val="0"/>
          <w:sz w:val="32"/>
          <w:szCs w:val="32"/>
          <w:shd w:val="clear" w:fill="FFFFFF"/>
          <w:lang w:val="en-US" w:eastAsia="zh-CN" w:bidi="ar"/>
        </w:rPr>
        <w:t>, 2024年目标任务基本完成，预算执行情况较好。</w:t>
      </w:r>
    </w:p>
    <w:p w14:paraId="4465D36C">
      <w:pPr>
        <w:pStyle w:val="14"/>
        <w:keepNext w:val="0"/>
        <w:keepLines w:val="0"/>
        <w:widowControl/>
        <w:suppressLineNumbers w:val="0"/>
        <w:spacing w:before="0" w:beforeAutospacing="1" w:after="0" w:afterAutospacing="1" w:line="560" w:lineRule="exact"/>
        <w:ind w:left="0" w:right="0" w:firstLine="643" w:firstLineChars="200"/>
        <w:jc w:val="left"/>
        <w:outlineLvl w:val="1"/>
      </w:pPr>
      <w:bookmarkStart w:id="145" w:name="_Toc11891"/>
      <w:bookmarkEnd w:id="145"/>
      <w:bookmarkStart w:id="146" w:name="_Toc19601"/>
      <w:bookmarkStart w:id="147" w:name="_Toc18655"/>
      <w:r>
        <w:rPr>
          <w:rFonts w:hint="eastAsia" w:ascii="仿宋_GB2312" w:eastAsia="仿宋_GB2312" w:cs="仿宋_GB2312"/>
          <w:b/>
          <w:kern w:val="2"/>
          <w:sz w:val="32"/>
          <w:szCs w:val="32"/>
          <w:lang w:val="en-US" w:eastAsia="zh-CN" w:bidi="ar"/>
        </w:rPr>
        <w:t>（二）存在问题</w:t>
      </w:r>
      <w:bookmarkEnd w:id="146"/>
      <w:bookmarkEnd w:id="147"/>
    </w:p>
    <w:p w14:paraId="4ED02316">
      <w:pPr>
        <w:keepNext w:val="0"/>
        <w:keepLines w:val="0"/>
        <w:widowControl/>
        <w:suppressLineNumbers w:val="0"/>
        <w:adjustRightInd w:val="0"/>
        <w:spacing w:before="0" w:beforeAutospacing="1" w:after="0" w:afterAutospacing="1" w:line="560" w:lineRule="exact"/>
        <w:ind w:left="0" w:right="0" w:firstLine="640" w:firstLineChars="200"/>
        <w:jc w:val="left"/>
      </w:pPr>
      <w:r>
        <w:rPr>
          <w:rFonts w:hint="eastAsia" w:ascii="仿宋_GB2312" w:eastAsia="仿宋_GB2312" w:cs="仿宋_GB2312" w:hAnsiTheme="minorHAnsi"/>
          <w:color w:val="000000"/>
          <w:kern w:val="0"/>
          <w:sz w:val="32"/>
          <w:szCs w:val="32"/>
          <w:shd w:val="clear" w:fill="FFFFFF"/>
          <w:lang w:val="en-US" w:eastAsia="zh-CN" w:bidi="ar"/>
        </w:rPr>
        <w:t>存在的主要问题是单位预算管理人员对绩效管理的政策、绩效目标编制、绩效评价实施等方面的业务水平还有待进一步提高。</w:t>
      </w:r>
    </w:p>
    <w:p w14:paraId="3ED1B664">
      <w:pPr>
        <w:keepNext w:val="0"/>
        <w:keepLines w:val="0"/>
        <w:widowControl/>
        <w:suppressLineNumbers w:val="0"/>
        <w:adjustRightInd w:val="0"/>
        <w:spacing w:before="0" w:beforeAutospacing="1" w:after="0" w:afterAutospacing="1" w:line="560" w:lineRule="exact"/>
        <w:ind w:left="0" w:right="0" w:firstLine="640" w:firstLineChars="200"/>
        <w:jc w:val="left"/>
      </w:pPr>
      <w:r>
        <w:rPr>
          <w:rFonts w:hint="eastAsia" w:ascii="仿宋_GB2312" w:eastAsia="仿宋_GB2312" w:cs="仿宋_GB2312" w:hAnsiTheme="minorHAnsi"/>
          <w:color w:val="000000"/>
          <w:kern w:val="0"/>
          <w:sz w:val="32"/>
          <w:szCs w:val="32"/>
          <w:shd w:val="clear" w:fill="FFFFFF"/>
          <w:lang w:val="en-US" w:eastAsia="zh-CN" w:bidi="ar"/>
        </w:rPr>
        <w:t>部门单位内控制度不完善有待提高加强管理。机构运行和财务管理缺乏监督机制。</w:t>
      </w:r>
    </w:p>
    <w:p w14:paraId="217E0434">
      <w:pPr>
        <w:pStyle w:val="14"/>
        <w:keepNext w:val="0"/>
        <w:keepLines w:val="0"/>
        <w:widowControl/>
        <w:suppressLineNumbers w:val="0"/>
        <w:spacing w:before="0" w:beforeAutospacing="1" w:after="0" w:afterAutospacing="1" w:line="560" w:lineRule="exact"/>
        <w:ind w:left="0" w:right="0" w:firstLine="643" w:firstLineChars="200"/>
        <w:jc w:val="left"/>
        <w:outlineLvl w:val="1"/>
      </w:pPr>
      <w:bookmarkStart w:id="148" w:name="_Toc11190"/>
      <w:bookmarkEnd w:id="148"/>
      <w:bookmarkStart w:id="149" w:name="_Toc32633"/>
      <w:bookmarkStart w:id="150" w:name="_Toc21882"/>
      <w:r>
        <w:rPr>
          <w:rFonts w:hint="eastAsia" w:ascii="仿宋_GB2312" w:eastAsia="仿宋_GB2312" w:cs="仿宋_GB2312"/>
          <w:b/>
          <w:kern w:val="2"/>
          <w:sz w:val="32"/>
          <w:szCs w:val="32"/>
          <w:lang w:val="en-US" w:eastAsia="zh-CN" w:bidi="ar"/>
        </w:rPr>
        <w:t>（三）改进措施</w:t>
      </w:r>
      <w:bookmarkEnd w:id="149"/>
      <w:bookmarkEnd w:id="150"/>
    </w:p>
    <w:p w14:paraId="4DE46D33">
      <w:pPr>
        <w:keepNext w:val="0"/>
        <w:keepLines w:val="0"/>
        <w:widowControl/>
        <w:suppressLineNumbers w:val="0"/>
        <w:spacing w:before="0" w:beforeAutospacing="1" w:after="0" w:afterAutospacing="1"/>
        <w:ind w:left="0" w:right="0"/>
        <w:jc w:val="left"/>
      </w:pPr>
      <w:r>
        <w:rPr>
          <w:rFonts w:hint="eastAsia" w:ascii="仿宋_GB2312" w:eastAsia="仿宋_GB2312" w:cs="仿宋_GB2312" w:hAnsiTheme="minorHAnsi"/>
          <w:color w:val="000000"/>
          <w:kern w:val="0"/>
          <w:sz w:val="32"/>
          <w:szCs w:val="32"/>
          <w:shd w:val="clear" w:fill="FFFFFF"/>
          <w:lang w:val="en-US" w:eastAsia="zh-CN" w:bidi="ar"/>
        </w:rPr>
        <w:t>为进一步规范部门预算执行，充分发挥公共财政的效益，预算改革任重而道远，对现阶段出现问题，应着重从体制机制层面寻求解决对策。加强单位相关财务人员对绩效目标的编制，专人对绩效目标进行编制和管理。</w:t>
      </w:r>
    </w:p>
    <w:p w14:paraId="5EFFB2B0">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6B921B00">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4850C1B6">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1944276E">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42108239">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2800C95A">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14AB4600">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p w14:paraId="586DCEE9">
      <w:pPr>
        <w:pStyle w:val="14"/>
        <w:keepNext w:val="0"/>
        <w:keepLines w:val="0"/>
        <w:widowControl/>
        <w:suppressLineNumbers w:val="0"/>
        <w:spacing w:before="0" w:beforeAutospacing="1" w:after="0" w:afterAutospacing="1"/>
        <w:ind w:left="0" w:right="0" w:firstLine="560"/>
      </w:pPr>
      <w:r>
        <w:rPr>
          <w:rFonts w:hint="eastAsia" w:ascii="仿宋" w:hAnsi="仿宋" w:eastAsia="仿宋" w:cs="仿宋"/>
          <w:color w:val="222222"/>
          <w:kern w:val="0"/>
          <w:sz w:val="28"/>
          <w:szCs w:val="28"/>
        </w:rPr>
        <w:t>  </w:t>
      </w:r>
    </w:p>
    <w:tbl>
      <w:tblPr>
        <w:tblStyle w:val="1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1077"/>
        <w:gridCol w:w="908"/>
        <w:gridCol w:w="1204"/>
        <w:gridCol w:w="396"/>
        <w:gridCol w:w="850"/>
        <w:gridCol w:w="396"/>
        <w:gridCol w:w="846"/>
        <w:gridCol w:w="486"/>
        <w:gridCol w:w="396"/>
        <w:gridCol w:w="1387"/>
      </w:tblGrid>
      <w:tr w14:paraId="1EB8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5FE4FB">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2659D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96D8D">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1FF25E1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51323021T000000048512-中壤塘镇卫生院村医生活补助</w:t>
            </w:r>
          </w:p>
        </w:tc>
      </w:tr>
      <w:tr w14:paraId="424B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8B7E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CB20DF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61E0D9E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9F40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883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C2F23D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506376D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10BD1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EA41DB8">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4A9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43BAC3C">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15708017">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714EA42">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 xml:space="preserve"> 保障村医生活水平，充分调动村医工作积极性和主动性，使其够全身心投入乡村医疗服务。</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53E0F41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6D3A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5D22AB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967E1B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66A3D0A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46991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AF29A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2A854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5285B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CEBCD0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5C3834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CD54EF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87434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E3570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0AA77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2E9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3F731D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5D1AA3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B34C0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BDDEF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2444B2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9CC77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9EBE5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5FCC76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5E40975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351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A750F5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2A18A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7803D9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31A25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6B318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1.15</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AF3F81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A43C10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85797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EBEE2B4">
            <w:pPr>
              <w:rPr>
                <w:rFonts w:hint="eastAsia" w:ascii="宋体"/>
                <w:sz w:val="24"/>
                <w:szCs w:val="24"/>
              </w:rPr>
            </w:pPr>
          </w:p>
        </w:tc>
      </w:tr>
      <w:tr w14:paraId="5CB18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A9BE71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D79665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F4DEE8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9161F2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8859D2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E4067F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13895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1D030A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73D5900">
            <w:pPr>
              <w:rPr>
                <w:rFonts w:hint="eastAsia" w:ascii="宋体"/>
                <w:sz w:val="24"/>
                <w:szCs w:val="24"/>
              </w:rPr>
            </w:pPr>
          </w:p>
        </w:tc>
      </w:tr>
      <w:tr w14:paraId="3A07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34D6E8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3FB421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9D39B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F6FDE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16064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4CE1B4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84D3E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B13EFD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96A749B">
            <w:pPr>
              <w:rPr>
                <w:rFonts w:hint="eastAsia" w:ascii="宋体"/>
                <w:sz w:val="24"/>
                <w:szCs w:val="24"/>
              </w:rPr>
            </w:pPr>
          </w:p>
        </w:tc>
      </w:tr>
      <w:tr w14:paraId="0C91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F51B02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D18297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323B9E4">
            <w:pPr>
              <w:keepNext w:val="0"/>
              <w:keepLines w:val="0"/>
              <w:widowControl/>
              <w:suppressLineNumbers w:val="0"/>
              <w:spacing w:before="0" w:beforeAutospacing="1" w:after="0" w:afterAutospacing="1"/>
              <w:ind w:left="0" w:right="0"/>
              <w:jc w:val="center"/>
            </w:pPr>
            <w:r>
              <w:rPr>
                <w:rFonts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1B19DE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1ACB63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E21BBA1">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3320AB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8E002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5DCB347">
            <w:pPr>
              <w:rPr>
                <w:rFonts w:hint="eastAsia" w:ascii="宋体"/>
                <w:sz w:val="24"/>
                <w:szCs w:val="24"/>
              </w:rPr>
            </w:pPr>
          </w:p>
        </w:tc>
      </w:tr>
      <w:tr w14:paraId="01E11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F4D17C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B1A82F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B4468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DF5A0D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6C5F83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72CC8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28A2BF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F7641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04EC74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02520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27B649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5045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E13D3BC">
            <w:pPr>
              <w:rPr>
                <w:rFonts w:hint="eastAsia" w:ascii="宋体"/>
                <w:sz w:val="24"/>
                <w:szCs w:val="24"/>
              </w:rPr>
            </w:pPr>
          </w:p>
        </w:tc>
        <w:tc>
          <w:tcPr>
            <w:tcW w:w="1077" w:type="dxa"/>
            <w:vMerge w:val="restart"/>
            <w:tcBorders>
              <w:top w:val="nil"/>
              <w:left w:val="nil"/>
              <w:bottom w:val="single" w:color="000000" w:sz="4" w:space="0"/>
              <w:right w:val="single" w:color="000000" w:sz="4" w:space="0"/>
            </w:tcBorders>
            <w:shd w:val="clear" w:color="auto" w:fill="auto"/>
            <w:vAlign w:val="center"/>
          </w:tcPr>
          <w:p w14:paraId="3BF971E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产出指标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5123D3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数量指标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B7D8B5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卫生院村医人数</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94C8A4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BCB6B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4</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90EB8B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人数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F3850F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30B84C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498550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E7E817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4087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8FB6DAA">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5444DFFB">
            <w:pPr>
              <w:rPr>
                <w:rFonts w:hint="eastAsia" w:ascii="宋体"/>
                <w:sz w:val="24"/>
                <w:szCs w:val="24"/>
              </w:rPr>
            </w:pP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6F89F4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质量指标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A8D394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保障村医生活水平，充分调动村医工作积极性和主动性，使其够全身心投入乡村医疗服务。</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FCA507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BE98F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95</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8C326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72B9AA2">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FE6C8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F43D7B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4C97BB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2446B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ACA2CF9">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1E77D546">
            <w:pPr>
              <w:rPr>
                <w:rFonts w:hint="eastAsia" w:ascii="宋体"/>
                <w:sz w:val="24"/>
                <w:szCs w:val="24"/>
              </w:rPr>
            </w:pP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AA156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时效指标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F4E1E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及时发放村医生活补助</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6FC32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1590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49AB22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1638A4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1F8D7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929E10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5BB0E7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54A7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661D57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E39F4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效益指标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B6847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经济效益指标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78513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提高村医年收入</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515E10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2C68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2880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B6A119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元</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72596FA">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8B9364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BC3A1D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E7E1D7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5532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36FBAE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BDCBDA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满意度指标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E7A23D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服务对象满意度指标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848288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村医满意度</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BDE3B6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E450E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90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D5D4A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A5288B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F090F3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549620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8148D6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12EB2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A1E63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D6FA1B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01DC14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322D5E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8A7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E2C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D37F2C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78D00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6A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A71D92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0B18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5A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641F4249">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520B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95EFA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7B791D45">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4A8C3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3C1D08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6CB7FD1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15DC29B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4D4719A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711E8A4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3E2CA8F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CE88F9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7021870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0AB673A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95A2C7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27D890E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A419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FD3B17">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7DC3F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375B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4DE9224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51323023T000009404850-2023年中央财政补助重大传染病防治防治项目包虫病防治阿州财社（2023）59号中壤塘镇卫生院</w:t>
            </w:r>
          </w:p>
        </w:tc>
      </w:tr>
      <w:tr w14:paraId="75264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BCEB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C518E3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40BD7CE5">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596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5A20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62B2B0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4B7BEE8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FE9D2C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4579DE0">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85F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540EF87">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239BE2D3">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67B9E1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5B1F974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6C00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74F180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F2FE09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77C77A7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B9D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4CA41D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541326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E741E5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E91888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F37B33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33E97F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7F6841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EC8226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A33F7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23A9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59E509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1A0026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D72C0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3B29BD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1.81</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4FE2C4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1.81</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12C424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0F6C3B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DDBBC1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6791852D">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549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5776D86">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DE7069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0BA40E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7147E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1.81</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19CC5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1.81</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D2B1FB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1E743E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8601D3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9D33B65">
            <w:pPr>
              <w:rPr>
                <w:rFonts w:hint="eastAsia" w:ascii="宋体"/>
                <w:sz w:val="24"/>
                <w:szCs w:val="24"/>
              </w:rPr>
            </w:pPr>
          </w:p>
        </w:tc>
      </w:tr>
      <w:tr w14:paraId="56D1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9D4BCF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9946D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1B264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602C7F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DA808D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69893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BD3DA5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D86E1C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C506232">
            <w:pPr>
              <w:rPr>
                <w:rFonts w:hint="eastAsia" w:ascii="宋体"/>
                <w:sz w:val="24"/>
                <w:szCs w:val="24"/>
              </w:rPr>
            </w:pPr>
          </w:p>
        </w:tc>
      </w:tr>
      <w:tr w14:paraId="1340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8FC495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111C89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094762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3CF25B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A937B3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FD6F01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04E1EC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206F17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41C8A70">
            <w:pPr>
              <w:rPr>
                <w:rFonts w:hint="eastAsia" w:ascii="宋体"/>
                <w:sz w:val="24"/>
                <w:szCs w:val="24"/>
              </w:rPr>
            </w:pPr>
          </w:p>
        </w:tc>
      </w:tr>
      <w:tr w14:paraId="7974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22D8A0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FCC848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73A0D2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22F17F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8975E6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045E4C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312860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69281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3C91CD9">
            <w:pPr>
              <w:rPr>
                <w:rFonts w:hint="eastAsia" w:ascii="宋体"/>
                <w:sz w:val="24"/>
                <w:szCs w:val="24"/>
              </w:rPr>
            </w:pPr>
          </w:p>
        </w:tc>
      </w:tr>
      <w:tr w14:paraId="08DD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3A8237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030FD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A3BF55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24414B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DF046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7D3932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1DBFA5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323C2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48E965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B8E9B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8AB1FD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5CC5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03E254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E22884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49B994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25EEA6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0C553F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3C170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578CD5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5D6E8A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FE1AC0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F601FE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0EE5F1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67874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F834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31B5FF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2C7249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2CA164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20EBE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917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BE4A3D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1ACC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5D8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195785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7657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E15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460AA4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5465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B4286A">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30526E55">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50E1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4357B81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195AD95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28FC556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2E76834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5A960F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70B9F98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7F747C9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7E58606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1B02BAD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78C084B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6CB9FD3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E492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AF2DFE">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5704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091C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5B86CC2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51323024T000011591314-阿坝州2024年村医生生活补助州级补助资金（中壤塘镇卫生院）</w:t>
            </w:r>
          </w:p>
        </w:tc>
      </w:tr>
      <w:tr w14:paraId="0A85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441A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B6BA43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5C1B6DF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C13CF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3880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AFB9D6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1946FFB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50F9384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3953EDAD">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254B4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08A805F">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2D59F8B0">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4E77B02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247F68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1CF4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8602DA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D25332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4F35447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36C4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A7F41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B9ACD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65FBD1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4499B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19D8F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0AFCF6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F6BDD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C6AA93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D4EF5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511D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EB8F50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1DFD20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09B28C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A20F93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0.22</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B8B85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0.22</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5196F9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C98886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EFF777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0BF2436E">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63C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26512D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46D0C7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681F0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463BB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0.22</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3AF35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0.22</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EAA71C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1C602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D644F9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15EF54D">
            <w:pPr>
              <w:rPr>
                <w:rFonts w:hint="eastAsia" w:ascii="宋体"/>
                <w:sz w:val="24"/>
                <w:szCs w:val="24"/>
              </w:rPr>
            </w:pPr>
          </w:p>
        </w:tc>
      </w:tr>
      <w:tr w14:paraId="45DAC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0611FF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809B1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F2E104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434FDF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1D06D5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E9606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7C61F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46BB3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DD3DE40">
            <w:pPr>
              <w:rPr>
                <w:rFonts w:hint="eastAsia" w:ascii="宋体"/>
                <w:sz w:val="24"/>
                <w:szCs w:val="24"/>
              </w:rPr>
            </w:pPr>
          </w:p>
        </w:tc>
      </w:tr>
      <w:tr w14:paraId="002EB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6BA084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FC8F01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342C9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CECBC8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49FD5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F81D73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850979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6D8E3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4B792E7">
            <w:pPr>
              <w:rPr>
                <w:rFonts w:hint="eastAsia" w:ascii="宋体"/>
                <w:sz w:val="24"/>
                <w:szCs w:val="24"/>
              </w:rPr>
            </w:pPr>
          </w:p>
        </w:tc>
      </w:tr>
      <w:tr w14:paraId="03FE4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F2A6A55">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B8B33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F8ACF8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A94773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B779FA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6EC7361">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7DFC0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C60DFE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0129433">
            <w:pPr>
              <w:rPr>
                <w:rFonts w:hint="eastAsia" w:ascii="宋体"/>
                <w:sz w:val="24"/>
                <w:szCs w:val="24"/>
              </w:rPr>
            </w:pPr>
          </w:p>
        </w:tc>
      </w:tr>
      <w:tr w14:paraId="4129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42236E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A22AB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D70A3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7E89B1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FBBB43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198FD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AA29B7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9439FB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3E7F8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6D4D5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D57155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1CEE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3EAD89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3C0FB6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643805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14971E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E5DE5D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E48DD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3E1FE7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836260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C85273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28C5EC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3886A4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659F1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0612C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A24142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1A70AA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397EDF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88D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79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2B1189E">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57B6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89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19A57D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7710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61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6106E23">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28BB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54950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4E93A9A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166B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248777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208BE72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5B548F9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0FBFF4A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271EC7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1762D49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7521BC1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3962B31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2BEFEF2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E55A96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42328F1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4EE2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E94836">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2E8B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E108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8242B1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51323024T000011591363-阿坝州2024年基层医疗卫生机构实施基本药物制度补助资金（中壤塘镇卫生院）</w:t>
            </w:r>
          </w:p>
        </w:tc>
      </w:tr>
      <w:tr w14:paraId="5B25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9CDC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446854F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47B4B87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B86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42FB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C8E08E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08FE9A0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62BADB1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0F0808A5">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7F38B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F747158">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2911F459">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DD2D4B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39FF6C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252B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26AFA0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E099B8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7BB8C31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637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729840E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AA7978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D7DDF5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10E82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EB27F6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314EE7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AC2ECB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017979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29513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5D7A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28AFCC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597FE1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58097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F6909F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1.02</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F270D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1.02</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B0B29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AC016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8EC8A9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18F8BCE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A4EF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C225CA4">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6562B6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F3E29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D21A7C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1.02</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5C1870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1.02</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92CCC3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FB48BF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2378AA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AB64E1D">
            <w:pPr>
              <w:rPr>
                <w:rFonts w:hint="eastAsia" w:ascii="宋体"/>
                <w:sz w:val="24"/>
                <w:szCs w:val="24"/>
              </w:rPr>
            </w:pPr>
          </w:p>
        </w:tc>
      </w:tr>
      <w:tr w14:paraId="4588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3796E4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7B3B8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658563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749202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EA984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F71B6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ADEEA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E52F08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1B9489E">
            <w:pPr>
              <w:rPr>
                <w:rFonts w:hint="eastAsia" w:ascii="宋体"/>
                <w:sz w:val="24"/>
                <w:szCs w:val="24"/>
              </w:rPr>
            </w:pPr>
          </w:p>
        </w:tc>
      </w:tr>
      <w:tr w14:paraId="1852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994418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DEE871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5F53F5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6D8E05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C6FEDE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24697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7B526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039427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124666C">
            <w:pPr>
              <w:rPr>
                <w:rFonts w:hint="eastAsia" w:ascii="宋体"/>
                <w:sz w:val="24"/>
                <w:szCs w:val="24"/>
              </w:rPr>
            </w:pPr>
          </w:p>
        </w:tc>
      </w:tr>
      <w:tr w14:paraId="24619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13227F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356695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C1661C4">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E5F676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9033BD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BA6E4E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366C8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0085C3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CAFA084">
            <w:pPr>
              <w:rPr>
                <w:rFonts w:hint="eastAsia" w:ascii="宋体"/>
                <w:sz w:val="24"/>
                <w:szCs w:val="24"/>
              </w:rPr>
            </w:pPr>
          </w:p>
        </w:tc>
      </w:tr>
      <w:tr w14:paraId="6E23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972682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892BDD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06492F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E17142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C0DD22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C3A90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665CAD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2C2C13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58D0A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541762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131380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5789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EF45AE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640B13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751421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141400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CA5F94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F9FE8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874E1A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9D051A2">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46C3D8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D57F22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51433A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05D38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ABB1F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480575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25BC06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DFB427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E94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D73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186097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03D0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20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D656DDC">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3478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28B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CD9DBFD">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1FBE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D761CA">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324E209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1BD9C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082EC8B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7706252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0BA2B6C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1CB4E44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73D61CB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123A573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7AE94D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28C703A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72A70F9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3EAE8DA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2268D4D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ED4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48EF79">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61FA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4378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52F52D6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51323024T000011591419-阿坝州2024年公共卫生服务（基本公卫）州级补助资金（中壤塘镇卫生院）</w:t>
            </w:r>
          </w:p>
        </w:tc>
      </w:tr>
      <w:tr w14:paraId="032B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CD82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4CF15B22">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79814D27">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3083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535B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4C3066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60EC173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91B831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675B899C">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6379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63B51A3">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62057F9B">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5A60B18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3B3AA44D">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0CC4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1D1437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2F3DDD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53B3C52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905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1FF0F2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45484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FA39BD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60F705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50571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6C266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C99A9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7A9EA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61E0D7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49B8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784784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2E3E9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C8663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22ABF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FD78A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1.25</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E055ED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C26F3F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3894AD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200CAD1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4FB5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C97422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15FC8E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BD565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58C57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4A506E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1.25</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4A8CB0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C1AA4B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E9FBB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EE53123">
            <w:pPr>
              <w:rPr>
                <w:rFonts w:hint="eastAsia" w:ascii="宋体"/>
                <w:sz w:val="24"/>
                <w:szCs w:val="24"/>
              </w:rPr>
            </w:pPr>
          </w:p>
        </w:tc>
      </w:tr>
      <w:tr w14:paraId="6E2B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B33AC8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58834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DED4B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50E22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9A3267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9CE04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0A73B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DDB63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0863625">
            <w:pPr>
              <w:rPr>
                <w:rFonts w:hint="eastAsia" w:ascii="宋体"/>
                <w:sz w:val="24"/>
                <w:szCs w:val="24"/>
              </w:rPr>
            </w:pPr>
          </w:p>
        </w:tc>
      </w:tr>
      <w:tr w14:paraId="0DDB6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7EFB75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FF7476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D9A78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2ACE68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47E6CD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D09C59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508C7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2A6D3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B8FF0C4">
            <w:pPr>
              <w:rPr>
                <w:rFonts w:hint="eastAsia" w:ascii="宋体"/>
                <w:sz w:val="24"/>
                <w:szCs w:val="24"/>
              </w:rPr>
            </w:pPr>
          </w:p>
        </w:tc>
      </w:tr>
      <w:tr w14:paraId="6609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8C0F5E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4EE99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3CBD5B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174622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7DDD58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3323E94">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9E4F64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ADB66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FC92EEF">
            <w:pPr>
              <w:rPr>
                <w:rFonts w:hint="eastAsia" w:ascii="宋体"/>
                <w:sz w:val="24"/>
                <w:szCs w:val="24"/>
              </w:rPr>
            </w:pPr>
          </w:p>
        </w:tc>
      </w:tr>
      <w:tr w14:paraId="49D7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72596A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EE7216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1B00E9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01D40B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6B0C61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3A41B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7B0ABD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2A228D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E0DA02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783207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4A2902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7D6F9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7EEAD3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55027D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9D7E38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3108EE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493B00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930F19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711B6E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3F3ACE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3C3EB7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95502A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BAEECC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310B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F003D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F68D6E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AE6568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7C0B74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2F3B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C9D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252C07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294A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13B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F820A85">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6571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9C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4FF2A59">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034D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54729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662B1A1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5292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A32F69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679545D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50318C9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779A69B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53DB31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0587DD0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1257D1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4E3DEDB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77DFC0E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1EEB2A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1B6C87E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267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9FB7D23">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3602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CFC0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65627D6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51323024T000011729224-阿坝州2024年基本药物制度中央和省级补助资金（基层医疗机构实施国家基本药物制度补助中壤塘镇卫生院）</w:t>
            </w:r>
          </w:p>
        </w:tc>
      </w:tr>
      <w:tr w14:paraId="0157F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4ACD2">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F21603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030961C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6745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2AE2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4FA407A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24F734C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A8A67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01278E4F">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1A8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BBAAF32">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096A78CD">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0FD8DC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3EC82307">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0295E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16A928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68C342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36C0B93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1955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458C24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C9C6C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2EC25F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E29C5C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41480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2350A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90909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353E4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9EBDB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3311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B1728A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6CD7EB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AA6F4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AB3E6D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2.27</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CF9C8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2.27</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27FDB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1E8ACF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1F46AA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7C7D82A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594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857DDB6">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661ED4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EE93EE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CF6CF2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2.27</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7BA14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2.27</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6D705A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BE4C38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19727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A4213A6">
            <w:pPr>
              <w:rPr>
                <w:rFonts w:hint="eastAsia" w:ascii="宋体"/>
                <w:sz w:val="24"/>
                <w:szCs w:val="24"/>
              </w:rPr>
            </w:pPr>
          </w:p>
        </w:tc>
      </w:tr>
      <w:tr w14:paraId="1FAA7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7B87C5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639ACC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32E5EB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F5C27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4AA0D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17B735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48BF3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46410A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FFE1597">
            <w:pPr>
              <w:rPr>
                <w:rFonts w:hint="eastAsia" w:ascii="宋体"/>
                <w:sz w:val="24"/>
                <w:szCs w:val="24"/>
              </w:rPr>
            </w:pPr>
          </w:p>
        </w:tc>
      </w:tr>
      <w:tr w14:paraId="0DFE8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E46935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DA15ED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B4999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A20FF8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C6197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4247A4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C2F4A5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094E60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CCFBE96">
            <w:pPr>
              <w:rPr>
                <w:rFonts w:hint="eastAsia" w:ascii="宋体"/>
                <w:sz w:val="24"/>
                <w:szCs w:val="24"/>
              </w:rPr>
            </w:pPr>
          </w:p>
        </w:tc>
      </w:tr>
      <w:tr w14:paraId="545D7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A15FA7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ACFF21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ACF3B0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A0C21C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4B1827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CCD9CE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F2002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521877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159D0D7">
            <w:pPr>
              <w:rPr>
                <w:rFonts w:hint="eastAsia" w:ascii="宋体"/>
                <w:sz w:val="24"/>
                <w:szCs w:val="24"/>
              </w:rPr>
            </w:pPr>
          </w:p>
        </w:tc>
      </w:tr>
      <w:tr w14:paraId="3E1B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3587A72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F85138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587C63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39A39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50829D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13A02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3D48BA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D66CD1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FB0E7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810E6E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6751B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407FC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173A1E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FEA5A7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A5D26D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64DE14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2AD194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23C5F8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75120D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60ED96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A3EB7A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C8A2F3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53CD73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6E26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C3E73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4423A4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A37817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840B85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1AA5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18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0284EFC">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5CAB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7C9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0775EED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3358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AF2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874AE2E">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324A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2B10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14AB0D78">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325C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1E8F3CE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2AADF0B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40578D7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7A99DA6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F794B2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168769B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3B2084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5D24BB1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442AE8A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38BD95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25E8B2B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53C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C4F172">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2899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3FE0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026EC1D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51323024T000011729380-阿坝州2024年基本药物制度中央和省级补助资金（村卫生室基本医疗补助中壤塘镇卫生院）</w:t>
            </w:r>
          </w:p>
        </w:tc>
      </w:tr>
      <w:tr w14:paraId="51B0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6E81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490674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11DC87C6">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912F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0F48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384B3DA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50502B1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423F82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6659B3CE">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0A02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AB80EDA">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7C821CDD">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4A64023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2F4B38F8">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7131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20A9F84">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B32425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11DC3CD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D6F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8ECD9F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68119C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FFA814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21CECA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6FC51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B31083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E32F84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FF9E17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7D8D19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769F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C0D5455">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3FC144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D96472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62917E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1.68</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6330E3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1.68</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54871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0A2E9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870F91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58D0899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609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8A1BB5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14BFEC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BDE3D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FD24D2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1.68</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8AE6C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1.68</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7EBB5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646CB2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305802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8F5BC9E">
            <w:pPr>
              <w:rPr>
                <w:rFonts w:hint="eastAsia" w:ascii="宋体"/>
                <w:sz w:val="24"/>
                <w:szCs w:val="24"/>
              </w:rPr>
            </w:pPr>
          </w:p>
        </w:tc>
      </w:tr>
      <w:tr w14:paraId="3F5C3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A09FFE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D7535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4AE460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F4A41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A1B41B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0B3A1A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7830E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E781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03DC0B3">
            <w:pPr>
              <w:rPr>
                <w:rFonts w:hint="eastAsia" w:ascii="宋体"/>
                <w:sz w:val="24"/>
                <w:szCs w:val="24"/>
              </w:rPr>
            </w:pPr>
          </w:p>
        </w:tc>
      </w:tr>
      <w:tr w14:paraId="6BCB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8E4AD1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C8029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210DCD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61DE76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3960C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2E0B29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B8A78A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ED044E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AEE1FD6">
            <w:pPr>
              <w:rPr>
                <w:rFonts w:hint="eastAsia" w:ascii="宋体"/>
                <w:sz w:val="24"/>
                <w:szCs w:val="24"/>
              </w:rPr>
            </w:pPr>
          </w:p>
        </w:tc>
      </w:tr>
      <w:tr w14:paraId="01D0E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ED4E9F4">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0866D5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AC0150F">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D3FE05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9A19DD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5A4C8F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9ADF0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A674D4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227F385">
            <w:pPr>
              <w:rPr>
                <w:rFonts w:hint="eastAsia" w:ascii="宋体"/>
                <w:sz w:val="24"/>
                <w:szCs w:val="24"/>
              </w:rPr>
            </w:pPr>
          </w:p>
        </w:tc>
      </w:tr>
      <w:tr w14:paraId="6B2B4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07B6E4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C9AA9D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ECE9A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E59FA9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590C32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EEF91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B32509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1F392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A38E0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D9A3E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A74D30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6F41C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C1AA4B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42554A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717345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08C882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1742B7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568DC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522EDF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4A740A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AA2096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8C7519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57F3B1F">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41D08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42487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3F8CD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400CAE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53C670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841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18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54902D5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667E5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3A3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67E1FB0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7C5D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D63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0BAD2C39">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115C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C319EE">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1B6E0335">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0C40E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AE42F7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7639655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080F472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1F29D7C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3F055A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3218907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11DEB4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480A56E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595D814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6A3F9D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4550E6A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E97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D24B58B">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7C76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F6FD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42A0D14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51323024T000011737075-阿坝州2024年基本药物制度中央和省级补助资金（基层医疗卫生机构实施国家基本药物制度补助）中壤塘镇卫生院</w:t>
            </w:r>
          </w:p>
        </w:tc>
      </w:tr>
      <w:tr w14:paraId="3528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E476D">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7241D4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2F1943A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F57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56D8B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63401D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6363EF3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67D24AD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0F0946D4">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2A3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1AD131E">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42E2E0C0">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F5C858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60555DC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0DE5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386E9B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FABEEA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066FCC7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CCE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7D64999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CB77B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2DCE82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6227FE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BA4EA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5D6BC1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E4DD4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FC958B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72463D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48E91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852417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07681D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6FECDE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346224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0.96</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2EF3F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0.96</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0240F7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8662D3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19BA61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222B349A">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FE0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03E284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2443DC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67CD20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6BB5F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0.96</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3E19AC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0.96</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0BA6B7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8FC3E0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43AE31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7752E1F">
            <w:pPr>
              <w:rPr>
                <w:rFonts w:hint="eastAsia" w:ascii="宋体"/>
                <w:sz w:val="24"/>
                <w:szCs w:val="24"/>
              </w:rPr>
            </w:pPr>
          </w:p>
        </w:tc>
      </w:tr>
      <w:tr w14:paraId="384A4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E0A6D1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5E3111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CDEB3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3892CB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1FF702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BC97EB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57A20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B558BF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3F49CB5">
            <w:pPr>
              <w:rPr>
                <w:rFonts w:hint="eastAsia" w:ascii="宋体"/>
                <w:sz w:val="24"/>
                <w:szCs w:val="24"/>
              </w:rPr>
            </w:pPr>
          </w:p>
        </w:tc>
      </w:tr>
      <w:tr w14:paraId="17D57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8A01D2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AAC756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C36ECA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E5896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DACCFE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0D9EC4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7A826A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9C2E13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562007E">
            <w:pPr>
              <w:rPr>
                <w:rFonts w:hint="eastAsia" w:ascii="宋体"/>
                <w:sz w:val="24"/>
                <w:szCs w:val="24"/>
              </w:rPr>
            </w:pPr>
          </w:p>
        </w:tc>
      </w:tr>
      <w:tr w14:paraId="6480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959C65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17C742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597A71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BB9D3A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F26A36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9D9E49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B6742B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0ECE27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D713CFE">
            <w:pPr>
              <w:rPr>
                <w:rFonts w:hint="eastAsia" w:ascii="宋体"/>
                <w:sz w:val="24"/>
                <w:szCs w:val="24"/>
              </w:rPr>
            </w:pPr>
          </w:p>
        </w:tc>
      </w:tr>
      <w:tr w14:paraId="422C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35D10B5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28139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099DBF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5CDAEC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57CD7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10A3E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4B32CD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881C6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D7F213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553048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0A045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7173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69814E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8D0D1F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898B44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CB080A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CD385A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23B61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74B72A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7F73CC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F63213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140CBB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354FB14">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23255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4EA0A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C17563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F8A4BC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086B8F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29C7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F4D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AF548F2">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60E7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5B0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1831224">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1A9B7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C1D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5B62EEB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0A5D4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BA7FC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6FB17B6E">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68D6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77689AE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21FE74C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6AEF0B0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3E5D565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7D92D7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64F868D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86D146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526A5B2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696E0D1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B6EBE4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1B0E566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0FA8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851E02">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4CD4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DEA7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1E91C0D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51323024T000011815480-包虫病防治（中壤塘镇卫生院）</w:t>
            </w:r>
          </w:p>
        </w:tc>
      </w:tr>
      <w:tr w14:paraId="5C58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76BD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AE1214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0D8AEB6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8FBF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A450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68E639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5EF3955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6A12A1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37A07AA">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61B08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4A8E17E">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44382702">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AA7589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2AD4F22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06C7A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7F5E3E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345291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B815F4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650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3A9B14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35742C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D299BD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A256AD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A20BD7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197CB9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00DAB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2628B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9C669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4210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30256D7">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E060E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33E4F7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20D43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1.45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087FC5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1D4C2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876371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7767EE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036CB3A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FED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121A54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7D006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3B5F79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31F091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1.45</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27DF9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D1E2D4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E1B256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91D0B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6CD66C1">
            <w:pPr>
              <w:rPr>
                <w:rFonts w:hint="eastAsia" w:ascii="宋体"/>
                <w:sz w:val="24"/>
                <w:szCs w:val="24"/>
              </w:rPr>
            </w:pPr>
          </w:p>
        </w:tc>
      </w:tr>
      <w:tr w14:paraId="5E31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F63FE2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50386A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8BC7E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27285D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CF3E8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794AC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B8AD3A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65ECF5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CB7307C">
            <w:pPr>
              <w:rPr>
                <w:rFonts w:hint="eastAsia" w:ascii="宋体"/>
                <w:sz w:val="24"/>
                <w:szCs w:val="24"/>
              </w:rPr>
            </w:pPr>
          </w:p>
        </w:tc>
      </w:tr>
      <w:tr w14:paraId="5B766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F41EF7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E3455A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771F9A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FF9E5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F203B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5B3D3F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5B0A6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48059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EB8F956">
            <w:pPr>
              <w:rPr>
                <w:rFonts w:hint="eastAsia" w:ascii="宋体"/>
                <w:sz w:val="24"/>
                <w:szCs w:val="24"/>
              </w:rPr>
            </w:pPr>
          </w:p>
        </w:tc>
      </w:tr>
      <w:tr w14:paraId="5C53D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E8DC48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79A450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707645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87A28D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972B081">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7096E7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5C211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5294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0CE0F80">
            <w:pPr>
              <w:rPr>
                <w:rFonts w:hint="eastAsia" w:ascii="宋体"/>
                <w:sz w:val="24"/>
                <w:szCs w:val="24"/>
              </w:rPr>
            </w:pPr>
          </w:p>
        </w:tc>
      </w:tr>
      <w:tr w14:paraId="1B26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47664AE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AECC8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F50A58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D8C2E1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C493C4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C4332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0DA9F7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069A3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2FCF0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16DEF5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73154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3B8D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3835AC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B5239C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0E256E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985136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16E0C8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F2FA9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0DE49A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DFF453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754216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68E8F5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97F2DB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12E4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F8773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73B825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161C34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8E25E7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2972E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3F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82349E4">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03F8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8A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72B12FA">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3691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993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4837076">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71BD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E6197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1A869F6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72A51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382678B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5071FEE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0B7C16D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0A363D8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29B8485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7236E95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90B317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1E82167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0A4D65D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260517E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1679AFB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2393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858607">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39B3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B250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14C24CE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51323024T000011815906-12项基本公共卫生服务本次下达（中央补助按照55.81元/人预拨）中壤塘镇卫生院</w:t>
            </w:r>
          </w:p>
        </w:tc>
      </w:tr>
      <w:tr w14:paraId="75E4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25F8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2EC107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6F3E5FE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4A0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89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DF285E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2BEFDC8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FF4A93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766EAAA3">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3C5C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92621DA">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67B883E1">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644EC4A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006A8A0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7242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CD1CA2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BFD522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06D2B3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BB6B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C3813B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9365A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E4760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C76DFA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70D6FA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83969C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52FCE3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AFEAB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160A37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9F7E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A15C0A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49B28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183A21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A5ECDE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27.09</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4945B1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27.09</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AFFA18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DBB151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8B1D6A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4C955F25">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6D9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6B80D6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8EAC0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12D0E9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C6BAD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27.09</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A8A05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27.09</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3F0C34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17D877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CCB19E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416DF55">
            <w:pPr>
              <w:rPr>
                <w:rFonts w:hint="eastAsia" w:ascii="宋体"/>
                <w:sz w:val="24"/>
                <w:szCs w:val="24"/>
              </w:rPr>
            </w:pPr>
          </w:p>
        </w:tc>
      </w:tr>
      <w:tr w14:paraId="05818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1235A0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87F0C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9625D8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2DB720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B93D5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E6E84D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D6B253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99395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DF5DEB9">
            <w:pPr>
              <w:rPr>
                <w:rFonts w:hint="eastAsia" w:ascii="宋体"/>
                <w:sz w:val="24"/>
                <w:szCs w:val="24"/>
              </w:rPr>
            </w:pPr>
          </w:p>
        </w:tc>
      </w:tr>
      <w:tr w14:paraId="5950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85ABEC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7B17D0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C0E18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A50A50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CC6656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67B55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F00634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556AF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947DAE6">
            <w:pPr>
              <w:rPr>
                <w:rFonts w:hint="eastAsia" w:ascii="宋体"/>
                <w:sz w:val="24"/>
                <w:szCs w:val="24"/>
              </w:rPr>
            </w:pPr>
          </w:p>
        </w:tc>
      </w:tr>
      <w:tr w14:paraId="794E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650A5F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5B777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9F89EC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50E485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8DD0F4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B3273C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1C5C6E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E0E38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2412B4C">
            <w:pPr>
              <w:rPr>
                <w:rFonts w:hint="eastAsia" w:ascii="宋体"/>
                <w:sz w:val="24"/>
                <w:szCs w:val="24"/>
              </w:rPr>
            </w:pPr>
          </w:p>
        </w:tc>
      </w:tr>
      <w:tr w14:paraId="0A40C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73CF97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58BB01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F1E099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4FE91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05D13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942CD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439673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B7D710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08E61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599A2E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4BBD78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0D12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A30885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353A19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A27E31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6D2D92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9791AF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84A64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5C0AF9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96555D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DF5124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0B705C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5713C6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3054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637F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B1BA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E3B8C7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7CAD89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B64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9E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836619A">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6186E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4A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77BBE43">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1F3B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55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65B103C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07101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E1A887">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3E978900">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328C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6B3FF90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5D72087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3B5F025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69DC12D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BBD609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7BAD7CA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2AECFA4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639C3CC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533F9C8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355E7B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69CBEAE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3D38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792381">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362E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6041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0B02904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51323024T000011815988-12项基本公共卫生服务（中壤塘镇卫生院）</w:t>
            </w:r>
          </w:p>
        </w:tc>
      </w:tr>
      <w:tr w14:paraId="44BB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B06D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283136D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4B63714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605F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DE1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3751E7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3D3DD7E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74784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11E57337">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5FC1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D0A67DC">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07A55912">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B72EA3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5C60DE27">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1A95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994A7D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102CDF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43E22F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1BBA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3B7C178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CD012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17270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B0F6B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21342F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573E2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E8DE1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A4001C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FC422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04D1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99F1066">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AF2F31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46C098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8AAA3B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3.90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510672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3.90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24E5DC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051CD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EBFFFF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4DC91026">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C7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EDC484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2302C3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F9F3F6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CE35F2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3.90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9C9F18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3.90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702587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F3A1D1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C12A3E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C043905">
            <w:pPr>
              <w:rPr>
                <w:rFonts w:hint="eastAsia" w:ascii="宋体"/>
                <w:sz w:val="24"/>
                <w:szCs w:val="24"/>
              </w:rPr>
            </w:pPr>
          </w:p>
        </w:tc>
      </w:tr>
      <w:tr w14:paraId="472D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8E9502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EADB7D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344B47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693C84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7E426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6EB599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6DD48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D2CBD5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56A32F8">
            <w:pPr>
              <w:rPr>
                <w:rFonts w:hint="eastAsia" w:ascii="宋体"/>
                <w:sz w:val="24"/>
                <w:szCs w:val="24"/>
              </w:rPr>
            </w:pPr>
          </w:p>
        </w:tc>
      </w:tr>
      <w:tr w14:paraId="1379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F73DC1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1E7B2D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7AD002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E9720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EE14C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F8CC3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451A0A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CEB117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9FDAE27">
            <w:pPr>
              <w:rPr>
                <w:rFonts w:hint="eastAsia" w:ascii="宋体"/>
                <w:sz w:val="24"/>
                <w:szCs w:val="24"/>
              </w:rPr>
            </w:pPr>
          </w:p>
        </w:tc>
      </w:tr>
      <w:tr w14:paraId="435F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158731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81FDC6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0E5522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22F55F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65FA6A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AEAC40B">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A75BDC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7FB1C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A704245">
            <w:pPr>
              <w:rPr>
                <w:rFonts w:hint="eastAsia" w:ascii="宋体"/>
                <w:sz w:val="24"/>
                <w:szCs w:val="24"/>
              </w:rPr>
            </w:pPr>
          </w:p>
        </w:tc>
      </w:tr>
      <w:tr w14:paraId="77C1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0F4AE6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35AB0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B3BAF5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E450BA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EF8B0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94482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07D76C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D75EA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A437A0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A016A7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4FEAE0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74225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8F32E5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480164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350DDA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4879BD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9A7558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5D13A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FF9981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D13D3B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DFD2D1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12AFE4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53580F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606D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DAD6F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5515D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5CB05D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6796A2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33CA3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1F7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71ED02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6D93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0B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F63791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26C6E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D0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FAFC32E">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2C11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0D58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30EE4058">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236E3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7CDBA70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3A3697D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2392574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6783A6D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331D9F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6C4FFAF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7D2A61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2E8B1F7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5EB4B06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3410670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61DAA47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45F9C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1178FEA">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5F5A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53E6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4D67D7D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51323024T000011983235-全民生活普及（涉藏州县基本公共卫生服务补助中壤塘镇卫生院）</w:t>
            </w:r>
          </w:p>
        </w:tc>
      </w:tr>
      <w:tr w14:paraId="2691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D499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B40629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57926AE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CD7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1C6C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8FAAC3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5C0F728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60EEA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63486648">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1FAB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A73413A">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3EB01ECD">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A0B2E9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7BAFD69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28C4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010B7A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55AC47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39BD4D4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E89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7438C0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2719C0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F6F71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27AAF9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15FE5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350A0D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70AF5F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3D888C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B6EAAE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2764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B4E3C8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C7E300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8B64A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BFD973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2.51</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B1B6E1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2.51</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0ACD0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C9D935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849B9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1EBF6A4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3A49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A7503B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B7683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79A6E6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28AA0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2.51</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CC33D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2.51</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68AD36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FD462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6F9C87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3031B1B">
            <w:pPr>
              <w:rPr>
                <w:rFonts w:hint="eastAsia" w:ascii="宋体"/>
                <w:sz w:val="24"/>
                <w:szCs w:val="24"/>
              </w:rPr>
            </w:pPr>
          </w:p>
        </w:tc>
      </w:tr>
      <w:tr w14:paraId="6602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58F719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4AA239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B7774C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992B0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03AD00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DC25A0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C9BB88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141B3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179405B">
            <w:pPr>
              <w:rPr>
                <w:rFonts w:hint="eastAsia" w:ascii="宋体"/>
                <w:sz w:val="24"/>
                <w:szCs w:val="24"/>
              </w:rPr>
            </w:pPr>
          </w:p>
        </w:tc>
      </w:tr>
      <w:tr w14:paraId="2D89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A5214C6">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736B2D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A8F4D6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6D0B5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137C80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69A582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BCDC4C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69DF08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A81A013">
            <w:pPr>
              <w:rPr>
                <w:rFonts w:hint="eastAsia" w:ascii="宋体"/>
                <w:sz w:val="24"/>
                <w:szCs w:val="24"/>
              </w:rPr>
            </w:pPr>
          </w:p>
        </w:tc>
      </w:tr>
      <w:tr w14:paraId="39B7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391825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33B923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D8832E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FBA21B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604965A">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1E4B94A">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C06F5A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252A8A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1F34B63">
            <w:pPr>
              <w:rPr>
                <w:rFonts w:hint="eastAsia" w:ascii="宋体"/>
                <w:sz w:val="24"/>
                <w:szCs w:val="24"/>
              </w:rPr>
            </w:pPr>
          </w:p>
        </w:tc>
      </w:tr>
      <w:tr w14:paraId="1DCF1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F728A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AD5A25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5A5EE4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B3C5C2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628611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47A0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31C74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F11B87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0B595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25008B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934CEB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6057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AC8E51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D36572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7564DA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C0F704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C13154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7F25A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7F35D1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59B9E3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E9CEDB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0BEBBA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B46696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368E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6D6FD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F8345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E1473B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A5D457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B944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80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3B67F81F">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492F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C9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07359DF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2D2BF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4EC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7E0A8F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3A7E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C34FFD">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46C3F010">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5B60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80F2FC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425D2AC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5E2D225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6AE0F8F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09D235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3A91675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A5EAF1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3A867B2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7BCC029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107DFA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387D9A4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BBF2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D02909C">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22C9F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854C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5B336B6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51323025T000012683976-12项基本公共卫生服务本次下达（中央补助按照10.72元/人预拨）中壤塘镇卫生院</w:t>
            </w:r>
          </w:p>
        </w:tc>
      </w:tr>
      <w:tr w14:paraId="7607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B4DD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3D04EB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581B9E50">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D6AC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7A417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7D1445F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7EA58F3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F81A5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69BDB2D2">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4D332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3F1556E">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3155F6D5">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06FFC8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2C1B165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09B3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2E7EBB7">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0BC41C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7783711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52F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9DBB7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8650B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D83C6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BA74E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9A62BC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380551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44DE84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6FEB7C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CB42ED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0450D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DD62CC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64E93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D32459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04555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5.36</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941E71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5.36</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5286A0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4AA42C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1E23DA5">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04870DF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4EF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995731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213FEE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4B79C0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8BC3B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5.36</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A7DC3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5.36</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1FBAD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612A39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B6FA9F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5C38380">
            <w:pPr>
              <w:rPr>
                <w:rFonts w:hint="eastAsia" w:ascii="宋体"/>
                <w:sz w:val="24"/>
                <w:szCs w:val="24"/>
              </w:rPr>
            </w:pPr>
          </w:p>
        </w:tc>
      </w:tr>
      <w:tr w14:paraId="18770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D33E1A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1F21C6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FB144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8D21E5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49E0DA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539145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187E4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D15B74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554F80F">
            <w:pPr>
              <w:rPr>
                <w:rFonts w:hint="eastAsia" w:ascii="宋体"/>
                <w:sz w:val="24"/>
                <w:szCs w:val="24"/>
              </w:rPr>
            </w:pPr>
          </w:p>
        </w:tc>
      </w:tr>
      <w:tr w14:paraId="26A2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B883B2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9FE5E3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3B830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9EB9F6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AB3E6A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945A8B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C9FC5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57E438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917EBA6">
            <w:pPr>
              <w:rPr>
                <w:rFonts w:hint="eastAsia" w:ascii="宋体"/>
                <w:sz w:val="24"/>
                <w:szCs w:val="24"/>
              </w:rPr>
            </w:pPr>
          </w:p>
        </w:tc>
      </w:tr>
      <w:tr w14:paraId="773C7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802528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FCF5DE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0F3D2C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A3B0BA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E96032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7E54EE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E73963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29347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23888983">
            <w:pPr>
              <w:rPr>
                <w:rFonts w:hint="eastAsia" w:ascii="宋体"/>
                <w:sz w:val="24"/>
                <w:szCs w:val="24"/>
              </w:rPr>
            </w:pPr>
          </w:p>
        </w:tc>
      </w:tr>
      <w:tr w14:paraId="0FCE7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3DA047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958DA9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9BFABA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28004E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36BB5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AB41A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EB181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696FE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D947C7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C5E501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213AF9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4827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BAAF2F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2199C9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1CE180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19B6FC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D6544D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C59BD85">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96B471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50708B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B38CE0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711360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62ED920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7E16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7D95B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F6E75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14CC9F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7746FA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8DAE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AE6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6E19EF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169F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AC2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0E07FD6">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5530A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2E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08257ADE">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02811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074B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7692CFDA">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6E52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567CF4E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0E4310B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07638E7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0F705E7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31835A9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413BB59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227F06D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4CB8B53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713FF30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146739D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3E4CFC6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3023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572A78">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66052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FC94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31068AA2">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51323025T000012684581-12项基本公共卫生服务补助（中壤塘镇卫生院）</w:t>
            </w:r>
          </w:p>
        </w:tc>
      </w:tr>
      <w:tr w14:paraId="2F622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F563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074927A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436D45E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3DB0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6F39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84E787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595797B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4D957F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70065A23">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14C2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997D86B">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6E6FF623">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5D53B2D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0E8F8F0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7FFE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DDDF2A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D15B54A">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7F40D00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4263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3A22A2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45E2D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A0D45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C17182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1F5BD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AF6D65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8D353C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97DBAE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E17E8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E59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CD5915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7A5C1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FE2CE7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E94C16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0.73</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7DD51C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0.73</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DCC9C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49047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0C58C0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47570636">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E4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5E6520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6D2A03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25AE0F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4E4488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0.73</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3AE9EA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0.73</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8B805B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3758BB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B229D7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F0C9728">
            <w:pPr>
              <w:rPr>
                <w:rFonts w:hint="eastAsia" w:ascii="宋体"/>
                <w:sz w:val="24"/>
                <w:szCs w:val="24"/>
              </w:rPr>
            </w:pPr>
          </w:p>
        </w:tc>
      </w:tr>
      <w:tr w14:paraId="401F0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F0FB32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C8EFC9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CDF5D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DCB06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40DE03D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BA5CE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A12FA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1435F2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5826E91">
            <w:pPr>
              <w:rPr>
                <w:rFonts w:hint="eastAsia" w:ascii="宋体"/>
                <w:sz w:val="24"/>
                <w:szCs w:val="24"/>
              </w:rPr>
            </w:pPr>
          </w:p>
        </w:tc>
      </w:tr>
      <w:tr w14:paraId="0B98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139395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9BA918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BFC7C2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964E5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5B419A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DE7C64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4CA804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5D3FF7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581BD9A">
            <w:pPr>
              <w:rPr>
                <w:rFonts w:hint="eastAsia" w:ascii="宋体"/>
                <w:sz w:val="24"/>
                <w:szCs w:val="24"/>
              </w:rPr>
            </w:pPr>
          </w:p>
        </w:tc>
      </w:tr>
      <w:tr w14:paraId="5E7D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40896D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967B0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BA66A25">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35A5C56">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FB9A12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8B5066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77684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E7C87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6AF549F">
            <w:pPr>
              <w:rPr>
                <w:rFonts w:hint="eastAsia" w:ascii="宋体"/>
                <w:sz w:val="24"/>
                <w:szCs w:val="24"/>
              </w:rPr>
            </w:pPr>
          </w:p>
        </w:tc>
      </w:tr>
      <w:tr w14:paraId="1BB6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8CAAD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54C90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BC1F50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F03112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3A5EF5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77CE0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FDEFF9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0B13A1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1A3AC7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85F3BE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13CA9F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4FC3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9E230D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8B623C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6F103835">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8F04FA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A8E5F8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18B74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7DB1EA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6DCCA3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C4C43A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045DE8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C802D32">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77F56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6A30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71E3A8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47FE29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552B06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A9D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7A5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F2D126A">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12C7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A00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E69107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7361F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F6F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E4485A2">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29350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A9EEE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79ED314B">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48DB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3BE8A1F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0379008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4408937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0C84847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A34EC4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776764B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4060D9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7350C06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5EBF8B0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3B750B1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30D0F61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70B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68D7E5">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4418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67DF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4800BD53">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51323025T000012717457-阿坝州2024年基本药物制度中央和省级补助资金（中壤塘镇卫生院）</w:t>
            </w:r>
          </w:p>
        </w:tc>
      </w:tr>
      <w:tr w14:paraId="3709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22FCD">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7600EE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6F0D6C3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B82BC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4944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B52EAC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778D7637">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B9D58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45B090F3">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0BA7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FC2B355">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6861F106">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F89F02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1BB8C28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1734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D764D5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E3C9482">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312901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1136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508F062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29F64F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022B82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E561DE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A0C98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342456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C9510A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DFCBA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CE2FE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71F65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33FA18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E63706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3B4E5D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F0F01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0.43</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4B0D5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0.43</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4CA74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70E8EB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0971D1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1E646AA4">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0CB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CF49A48">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AFB6A3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2584E0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71FC54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0.43</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623C7D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0.43</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2032E5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93143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136CF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F7CB296">
            <w:pPr>
              <w:rPr>
                <w:rFonts w:hint="eastAsia" w:ascii="宋体"/>
                <w:sz w:val="24"/>
                <w:szCs w:val="24"/>
              </w:rPr>
            </w:pPr>
          </w:p>
        </w:tc>
      </w:tr>
      <w:tr w14:paraId="20BE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CC3BC8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C0959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6AAA75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1DE21E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98EA69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0D7B43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E3AE30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4AC6B1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C9B262A">
            <w:pPr>
              <w:rPr>
                <w:rFonts w:hint="eastAsia" w:ascii="宋体"/>
                <w:sz w:val="24"/>
                <w:szCs w:val="24"/>
              </w:rPr>
            </w:pPr>
          </w:p>
        </w:tc>
      </w:tr>
      <w:tr w14:paraId="06C9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EB78882">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2F4C2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9482D1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BE98E5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4401AA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762BAE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2DD769D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C9B5D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7B30B3A">
            <w:pPr>
              <w:rPr>
                <w:rFonts w:hint="eastAsia" w:ascii="宋体"/>
                <w:sz w:val="24"/>
                <w:szCs w:val="24"/>
              </w:rPr>
            </w:pPr>
          </w:p>
        </w:tc>
      </w:tr>
      <w:tr w14:paraId="31211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68AE49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A3C8EF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67DBE7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BF9365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F2045D2">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066D1CA">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DCD38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A7F93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4DC2B0D">
            <w:pPr>
              <w:rPr>
                <w:rFonts w:hint="eastAsia" w:ascii="宋体"/>
                <w:sz w:val="24"/>
                <w:szCs w:val="24"/>
              </w:rPr>
            </w:pPr>
          </w:p>
        </w:tc>
      </w:tr>
      <w:tr w14:paraId="656B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34DAFC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872359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B8DB51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4FB865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72B6CD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063F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7C0D1D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7B477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67EB6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5C6D75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7809752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2A81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9CA112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5130A5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443ECF5">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DD5D58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E78E7A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90586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0945A2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D237121">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B9121A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ED7E30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18349EFC">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3C8D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E0201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FB7655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5977E7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530E5F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A52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16B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C30301E">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2385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11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D5BD918">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1178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2E7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5334F4D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78F7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3C18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15DC607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55BFB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6C303BD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52B18BF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166FBB6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7AB6A5C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254D3EC">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520D49A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2D93C2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7890B0F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44C1888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DFAB56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7F29F59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695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A32D45">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6FC3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A754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2BA9A87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51323025T000012807204-村医生活补助（中壤塘镇卫生院）</w:t>
            </w:r>
          </w:p>
        </w:tc>
      </w:tr>
      <w:tr w14:paraId="41A01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AECF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2DB3F79E">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25A3E551">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9B5C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53ED3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8B817A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1C4EEA1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17A23C9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2F2F129E">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5F07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08DA92C">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6D20786F">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A79FF5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5B482320">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49EE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3F3F28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9A7F93B">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609E03B5">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786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0E39F7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4C20DD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F1A8CB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BDB353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44CA23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67D4C9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E524FE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4D3B1B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D4D93D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6EFC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9C7383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F96DBA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142EC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66A562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0.07</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1462E4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0.07</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27A2C1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89A851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D315F1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693DE99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D0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F9325D5">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D60624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4E6171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1874DE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0.07</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BC0E1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0.07</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FD3A39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FCA3E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2A199A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C805D6A">
            <w:pPr>
              <w:rPr>
                <w:rFonts w:hint="eastAsia" w:ascii="宋体"/>
                <w:sz w:val="24"/>
                <w:szCs w:val="24"/>
              </w:rPr>
            </w:pPr>
          </w:p>
        </w:tc>
      </w:tr>
      <w:tr w14:paraId="3A727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BD85EE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0DF08E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246FCE2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9140A3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F4377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1818B49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4A0211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8D0BA0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BA6EB4B">
            <w:pPr>
              <w:rPr>
                <w:rFonts w:hint="eastAsia" w:ascii="宋体"/>
                <w:sz w:val="24"/>
                <w:szCs w:val="24"/>
              </w:rPr>
            </w:pPr>
          </w:p>
        </w:tc>
      </w:tr>
      <w:tr w14:paraId="1AE7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0AEC79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B7BF05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71081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A99F48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4C1132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7883B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4A28D1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B66C88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02456BD">
            <w:pPr>
              <w:rPr>
                <w:rFonts w:hint="eastAsia" w:ascii="宋体"/>
                <w:sz w:val="24"/>
                <w:szCs w:val="24"/>
              </w:rPr>
            </w:pPr>
          </w:p>
        </w:tc>
      </w:tr>
      <w:tr w14:paraId="1118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2F1250C">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E2DF95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4B7913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CD8E4FF">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44793C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B84A732">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099CE7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05BC6D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795A8166">
            <w:pPr>
              <w:rPr>
                <w:rFonts w:hint="eastAsia" w:ascii="宋体"/>
                <w:sz w:val="24"/>
                <w:szCs w:val="24"/>
              </w:rPr>
            </w:pPr>
          </w:p>
        </w:tc>
      </w:tr>
      <w:tr w14:paraId="0457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C72281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5A4E3F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955E7D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E26C0B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881BEA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4EDDE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FA9DAF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BE0007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4E5DA3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D6A87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ECF49E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1295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64CC7C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9D0BB1A">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DB3CA5F">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E9DC70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3250F0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856B00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A4848C3">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12B916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62E1CC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6A0AC47">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18A8217">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1E16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F9967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7C42D4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011069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DD22AE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427D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548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E0F2684">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075A2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4EC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52FD4C9C">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0C0E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90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DF766AB">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3E682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51807">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663DC08C">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6FD3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4BAE8FA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2E182C1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2EDC8F2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3687BBF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3C9EAD2A">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5D1AAB4D">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045A552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48A1919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23B3759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54903BF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0A57E26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8EF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A60DF1">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1B17B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38CB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6A2F81C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51323025T000013280447-全医疗卫生事业发展大会奖励绩效（中壤塘镇卫生院）</w:t>
            </w:r>
          </w:p>
        </w:tc>
      </w:tr>
      <w:tr w14:paraId="460C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2FDC6">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6A24580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4138DA28">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992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275B2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9359BB4">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237424B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B16A10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71308192">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2401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87A3A6A">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0E7462AD">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8BF166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3F86624E">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229F0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3A2A087">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A36BFB5">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1A54009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0DE2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87C66B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7D4BB9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5FBFFF3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71CFBA7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7A970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61991C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5699A2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EB104B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92E038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3F23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E09E8D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DA7021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7E245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91C81B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635DEF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F3F03B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51657E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8DCEBCB">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40056630">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931F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19A8A83">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0E7B83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868FC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239C03E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1.20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1C4480E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672233F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20166F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9CC674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B2865C3">
            <w:pPr>
              <w:rPr>
                <w:rFonts w:hint="eastAsia" w:ascii="宋体"/>
                <w:sz w:val="24"/>
                <w:szCs w:val="24"/>
              </w:rPr>
            </w:pPr>
          </w:p>
        </w:tc>
      </w:tr>
      <w:tr w14:paraId="2FDCE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E38DD0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6265C6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E56D44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4092C77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E4712D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C80E7E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A9C7B4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A5C3DE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792562E">
            <w:pPr>
              <w:rPr>
                <w:rFonts w:hint="eastAsia" w:ascii="宋体"/>
                <w:sz w:val="24"/>
                <w:szCs w:val="24"/>
              </w:rPr>
            </w:pPr>
          </w:p>
        </w:tc>
      </w:tr>
      <w:tr w14:paraId="36AB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70DCF8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FD0C1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EDE5B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8688F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52D4B9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4377B3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BACB43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86AE05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49526947">
            <w:pPr>
              <w:rPr>
                <w:rFonts w:hint="eastAsia" w:ascii="宋体"/>
                <w:sz w:val="24"/>
                <w:szCs w:val="24"/>
              </w:rPr>
            </w:pPr>
          </w:p>
        </w:tc>
      </w:tr>
      <w:tr w14:paraId="0EBB7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37F606DA">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0F0845E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AC8AFF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32C1628">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BF64CF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0420F2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68D1356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4100FD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697DE5F2">
            <w:pPr>
              <w:rPr>
                <w:rFonts w:hint="eastAsia" w:ascii="宋体"/>
                <w:sz w:val="24"/>
                <w:szCs w:val="24"/>
              </w:rPr>
            </w:pPr>
          </w:p>
        </w:tc>
      </w:tr>
      <w:tr w14:paraId="28AB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288019A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070E70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BA805A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D84AD9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64ABB0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51699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7C5B626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4E132C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6C9285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2EA276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374354B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69AC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71862F89">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19E5FCD6">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08FC84A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206A75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C3B9149">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DB83D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F52493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22BDDE0">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ADD1A0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DB9BAA1">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03F4C5C1">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2637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75D90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57AB63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327BF67">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4582EF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3F37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6C4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2D7B2840">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514DC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9FD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6E7E41B3">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6039E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657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4910572F">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57365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2A7296">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525381E2">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r w14:paraId="5388A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tcBorders>
              <w:top w:val="nil"/>
              <w:left w:val="nil"/>
              <w:bottom w:val="nil"/>
              <w:right w:val="nil"/>
            </w:tcBorders>
            <w:shd w:val="clear" w:color="auto" w:fill="auto"/>
            <w:vAlign w:val="center"/>
          </w:tcPr>
          <w:p w14:paraId="0F29CA39">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077" w:type="dxa"/>
            <w:tcBorders>
              <w:top w:val="nil"/>
              <w:left w:val="nil"/>
              <w:bottom w:val="nil"/>
              <w:right w:val="nil"/>
            </w:tcBorders>
            <w:shd w:val="clear" w:color="auto" w:fill="auto"/>
            <w:vAlign w:val="center"/>
          </w:tcPr>
          <w:p w14:paraId="020F6D3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908" w:type="dxa"/>
            <w:tcBorders>
              <w:top w:val="nil"/>
              <w:left w:val="nil"/>
              <w:bottom w:val="nil"/>
              <w:right w:val="nil"/>
            </w:tcBorders>
            <w:shd w:val="clear" w:color="auto" w:fill="auto"/>
            <w:vAlign w:val="center"/>
          </w:tcPr>
          <w:p w14:paraId="1F55C6B3">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204" w:type="dxa"/>
            <w:tcBorders>
              <w:top w:val="nil"/>
              <w:left w:val="nil"/>
              <w:bottom w:val="nil"/>
              <w:right w:val="nil"/>
            </w:tcBorders>
            <w:shd w:val="clear" w:color="auto" w:fill="auto"/>
            <w:vAlign w:val="center"/>
          </w:tcPr>
          <w:p w14:paraId="1D5837A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2A733178">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50" w:type="dxa"/>
            <w:tcBorders>
              <w:top w:val="nil"/>
              <w:left w:val="nil"/>
              <w:bottom w:val="nil"/>
              <w:right w:val="nil"/>
            </w:tcBorders>
            <w:shd w:val="clear" w:color="auto" w:fill="auto"/>
            <w:vAlign w:val="center"/>
          </w:tcPr>
          <w:p w14:paraId="21353F0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624E8244">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846" w:type="dxa"/>
            <w:tcBorders>
              <w:top w:val="nil"/>
              <w:left w:val="nil"/>
              <w:bottom w:val="nil"/>
              <w:right w:val="nil"/>
            </w:tcBorders>
            <w:shd w:val="clear" w:color="auto" w:fill="auto"/>
            <w:vAlign w:val="center"/>
          </w:tcPr>
          <w:p w14:paraId="0B64ACCF">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486" w:type="dxa"/>
            <w:tcBorders>
              <w:top w:val="nil"/>
              <w:left w:val="nil"/>
              <w:bottom w:val="nil"/>
              <w:right w:val="nil"/>
            </w:tcBorders>
            <w:shd w:val="clear" w:color="auto" w:fill="auto"/>
            <w:vAlign w:val="center"/>
          </w:tcPr>
          <w:p w14:paraId="0E447C70">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96" w:type="dxa"/>
            <w:tcBorders>
              <w:top w:val="nil"/>
              <w:left w:val="nil"/>
              <w:bottom w:val="nil"/>
              <w:right w:val="nil"/>
            </w:tcBorders>
            <w:shd w:val="clear" w:color="auto" w:fill="auto"/>
            <w:vAlign w:val="center"/>
          </w:tcPr>
          <w:p w14:paraId="42AA8906">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nil"/>
              <w:left w:val="nil"/>
              <w:bottom w:val="nil"/>
              <w:right w:val="nil"/>
            </w:tcBorders>
            <w:shd w:val="clear" w:color="auto" w:fill="auto"/>
            <w:vAlign w:val="center"/>
          </w:tcPr>
          <w:p w14:paraId="6E3B789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616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F63A9E">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b/>
                <w:color w:val="000000"/>
                <w:kern w:val="0"/>
                <w:sz w:val="30"/>
                <w:szCs w:val="30"/>
                <w:lang w:val="en-US" w:eastAsia="zh-CN" w:bidi="ar"/>
              </w:rPr>
              <w:t>部门预算项目支出绩效自评表（2024年度）</w:t>
            </w:r>
          </w:p>
        </w:tc>
      </w:tr>
      <w:tr w14:paraId="4F99B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5845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项目名称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5CF709DF">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51323025T000013284914-村卫生室基本药物补助资金（中壤塘镇卫生院）</w:t>
            </w:r>
          </w:p>
        </w:tc>
      </w:tr>
      <w:tr w14:paraId="3D6C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2DFF9">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主管部门</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61E1F0C">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壤塘县卫生健康局</w:t>
            </w:r>
          </w:p>
        </w:tc>
        <w:tc>
          <w:tcPr>
            <w:tcW w:w="846" w:type="dxa"/>
            <w:tcBorders>
              <w:top w:val="nil"/>
              <w:left w:val="nil"/>
              <w:bottom w:val="nil"/>
              <w:right w:val="nil"/>
            </w:tcBorders>
            <w:shd w:val="clear" w:color="auto" w:fill="auto"/>
            <w:vAlign w:val="center"/>
          </w:tcPr>
          <w:p w14:paraId="7CAA6FF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实施单位 （盖章）</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13DF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壤塘县中壤塘镇卫生院</w:t>
            </w:r>
          </w:p>
        </w:tc>
      </w:tr>
      <w:tr w14:paraId="50A7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1A0D6B91">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项目基本情况</w:t>
            </w:r>
          </w:p>
        </w:tc>
        <w:tc>
          <w:tcPr>
            <w:tcW w:w="1077" w:type="dxa"/>
            <w:vMerge w:val="restart"/>
            <w:tcBorders>
              <w:top w:val="nil"/>
              <w:left w:val="nil"/>
              <w:bottom w:val="single" w:color="000000" w:sz="4" w:space="0"/>
              <w:right w:val="single" w:color="000000" w:sz="4" w:space="0"/>
            </w:tcBorders>
            <w:shd w:val="clear" w:color="auto" w:fill="auto"/>
            <w:vAlign w:val="center"/>
          </w:tcPr>
          <w:p w14:paraId="601624C0">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1.项目年度目标完成情况</w:t>
            </w: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33FE0805">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项目年度目标</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398C83BC">
            <w:pPr>
              <w:keepNext w:val="0"/>
              <w:keepLines w:val="0"/>
              <w:widowControl/>
              <w:suppressLineNumbers w:val="0"/>
              <w:spacing w:before="0" w:beforeAutospacing="1" w:after="0" w:afterAutospacing="1"/>
              <w:ind w:left="0" w:right="0"/>
              <w:jc w:val="center"/>
              <w:textAlignment w:val="center"/>
            </w:pPr>
            <w:r>
              <w:rPr>
                <w:rFonts w:hint="eastAsia" w:ascii="黑体" w:hAnsi="宋体" w:eastAsia="黑体" w:cs="黑体"/>
                <w:color w:val="000000"/>
                <w:kern w:val="0"/>
                <w:sz w:val="18"/>
                <w:szCs w:val="18"/>
                <w:lang w:val="en-US" w:eastAsia="zh-CN" w:bidi="ar"/>
              </w:rPr>
              <w:t>年度目标完成情况</w:t>
            </w:r>
          </w:p>
        </w:tc>
      </w:tr>
      <w:tr w14:paraId="18FF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6EE376AE">
            <w:pPr>
              <w:rPr>
                <w:rFonts w:hint="eastAsia" w:ascii="宋体"/>
                <w:sz w:val="24"/>
                <w:szCs w:val="24"/>
              </w:rPr>
            </w:pPr>
          </w:p>
        </w:tc>
        <w:tc>
          <w:tcPr>
            <w:tcW w:w="1077" w:type="dxa"/>
            <w:vMerge w:val="continue"/>
            <w:tcBorders>
              <w:top w:val="nil"/>
              <w:left w:val="nil"/>
              <w:bottom w:val="single" w:color="000000" w:sz="4" w:space="0"/>
              <w:right w:val="single" w:color="000000" w:sz="4" w:space="0"/>
            </w:tcBorders>
            <w:shd w:val="clear" w:color="auto" w:fill="auto"/>
            <w:vAlign w:val="center"/>
          </w:tcPr>
          <w:p w14:paraId="1979BD17">
            <w:pPr>
              <w:rPr>
                <w:rFonts w:hint="eastAsia" w:ascii="宋体"/>
                <w:sz w:val="24"/>
                <w:szCs w:val="24"/>
              </w:rPr>
            </w:pPr>
          </w:p>
        </w:tc>
        <w:tc>
          <w:tcPr>
            <w:tcW w:w="3754" w:type="dxa"/>
            <w:gridSpan w:val="5"/>
            <w:tcBorders>
              <w:top w:val="single" w:color="000000" w:sz="4" w:space="0"/>
              <w:left w:val="nil"/>
              <w:bottom w:val="single" w:color="000000" w:sz="4" w:space="0"/>
              <w:right w:val="single" w:color="000000" w:sz="4" w:space="0"/>
            </w:tcBorders>
            <w:shd w:val="clear" w:color="auto" w:fill="auto"/>
            <w:vAlign w:val="center"/>
          </w:tcPr>
          <w:p w14:paraId="7A1F12C2">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3115" w:type="dxa"/>
            <w:gridSpan w:val="4"/>
            <w:tcBorders>
              <w:top w:val="single" w:color="000000" w:sz="4" w:space="0"/>
              <w:left w:val="nil"/>
              <w:bottom w:val="single" w:color="000000" w:sz="4" w:space="0"/>
              <w:right w:val="single" w:color="000000" w:sz="4" w:space="0"/>
            </w:tcBorders>
            <w:shd w:val="clear" w:color="auto" w:fill="auto"/>
            <w:vAlign w:val="center"/>
          </w:tcPr>
          <w:p w14:paraId="7ACD85FF">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对照年度目标，说明相关任务目标的完成情况（100字以内）</w:t>
            </w:r>
          </w:p>
        </w:tc>
      </w:tr>
      <w:tr w14:paraId="15E4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5F8165B">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BA8F688">
            <w:pPr>
              <w:keepNext w:val="0"/>
              <w:keepLines w:val="0"/>
              <w:widowControl/>
              <w:suppressLineNumbers w:val="0"/>
              <w:spacing w:before="0" w:beforeAutospacing="1" w:after="0" w:afterAutospacing="1"/>
              <w:ind w:left="0" w:right="0"/>
              <w:jc w:val="left"/>
              <w:textAlignment w:val="center"/>
            </w:pPr>
            <w:r>
              <w:rPr>
                <w:rFonts w:hint="eastAsia" w:ascii="宋体" w:hAnsi="宋体" w:eastAsia="宋体" w:cs="宋体"/>
                <w:color w:val="000000"/>
                <w:kern w:val="0"/>
                <w:sz w:val="18"/>
                <w:szCs w:val="18"/>
                <w:lang w:val="en-US" w:eastAsia="zh-CN" w:bidi="ar"/>
              </w:rPr>
              <w:t>2.项目实施内容及过程概述</w:t>
            </w:r>
          </w:p>
        </w:tc>
        <w:tc>
          <w:tcPr>
            <w:tcW w:w="6869" w:type="dxa"/>
            <w:gridSpan w:val="9"/>
            <w:tcBorders>
              <w:top w:val="single" w:color="000000" w:sz="4" w:space="0"/>
              <w:left w:val="nil"/>
              <w:bottom w:val="single" w:color="000000" w:sz="4" w:space="0"/>
              <w:right w:val="single" w:color="000000" w:sz="4" w:space="0"/>
            </w:tcBorders>
            <w:shd w:val="clear" w:color="auto" w:fill="auto"/>
            <w:vAlign w:val="center"/>
          </w:tcPr>
          <w:p w14:paraId="30389D0E">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5E02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685E03A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预算执行情况（10分）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5BB0DDF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年度预算数（万元）</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3BEBB0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年初预算</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BA912C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调整后预算数</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574AAF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预算执行数</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953B19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预算执行率</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0E9CDC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5DF6910">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FF894D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原因</w:t>
            </w:r>
          </w:p>
        </w:tc>
      </w:tr>
      <w:tr w14:paraId="565C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B6F0DDF">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081D76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总额</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1835A013">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0E305A4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075F5D0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37B5A67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24ABCB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51DEC1E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vMerge w:val="restart"/>
            <w:tcBorders>
              <w:top w:val="nil"/>
              <w:left w:val="nil"/>
              <w:bottom w:val="single" w:color="000000" w:sz="4" w:space="0"/>
              <w:right w:val="single" w:color="000000" w:sz="4" w:space="0"/>
            </w:tcBorders>
            <w:shd w:val="clear" w:color="auto" w:fill="auto"/>
            <w:vAlign w:val="center"/>
          </w:tcPr>
          <w:p w14:paraId="607B7C13">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i/>
                <w:color w:val="000000"/>
                <w:kern w:val="0"/>
                <w:sz w:val="18"/>
                <w:szCs w:val="18"/>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5B7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1C49F52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8DF9BE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其中：财政资金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4A8B74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308F111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3.00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76DFFC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FC3E6E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5F0610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0BE76F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13D0E685">
            <w:pPr>
              <w:rPr>
                <w:rFonts w:hint="eastAsia" w:ascii="宋体"/>
                <w:sz w:val="24"/>
                <w:szCs w:val="24"/>
              </w:rPr>
            </w:pPr>
          </w:p>
        </w:tc>
      </w:tr>
      <w:tr w14:paraId="6269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27E5E3E1">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28847C4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财政专户管理资金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D7A1ED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53AB86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6D244C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7D57CFB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4EABB7F1">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24EAC12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3A2840FA">
            <w:pPr>
              <w:rPr>
                <w:rFonts w:hint="eastAsia" w:ascii="宋体"/>
                <w:sz w:val="24"/>
                <w:szCs w:val="24"/>
              </w:rPr>
            </w:pPr>
          </w:p>
        </w:tc>
      </w:tr>
      <w:tr w14:paraId="482FC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56087C90">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32DD641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单位资金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4DAE7F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3CF1EA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3A89007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26065E1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0.00%</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371982D7">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6686FDFD">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52410606">
            <w:pPr>
              <w:rPr>
                <w:rFonts w:hint="eastAsia" w:ascii="宋体"/>
                <w:sz w:val="24"/>
                <w:szCs w:val="24"/>
              </w:rPr>
            </w:pPr>
          </w:p>
        </w:tc>
      </w:tr>
      <w:tr w14:paraId="29E21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4C607C8D">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7066C26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其他资金</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F759BF9">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6FD59CBE">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1642" w:type="dxa"/>
            <w:gridSpan w:val="3"/>
            <w:tcBorders>
              <w:top w:val="single" w:color="000000" w:sz="4" w:space="0"/>
              <w:left w:val="nil"/>
              <w:bottom w:val="single" w:color="000000" w:sz="4" w:space="0"/>
              <w:right w:val="single" w:color="000000" w:sz="4" w:space="0"/>
            </w:tcBorders>
            <w:shd w:val="clear" w:color="auto" w:fill="auto"/>
            <w:vAlign w:val="center"/>
          </w:tcPr>
          <w:p w14:paraId="2A4DDBB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0AD5F493">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066CFB4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B5FAD7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w:t>
            </w:r>
          </w:p>
        </w:tc>
        <w:tc>
          <w:tcPr>
            <w:tcW w:w="1387" w:type="dxa"/>
            <w:vMerge w:val="continue"/>
            <w:tcBorders>
              <w:top w:val="nil"/>
              <w:left w:val="nil"/>
              <w:bottom w:val="single" w:color="000000" w:sz="4" w:space="0"/>
              <w:right w:val="single" w:color="000000" w:sz="4" w:space="0"/>
            </w:tcBorders>
            <w:shd w:val="clear" w:color="auto" w:fill="auto"/>
            <w:vAlign w:val="center"/>
          </w:tcPr>
          <w:p w14:paraId="037ECD49">
            <w:pPr>
              <w:rPr>
                <w:rFonts w:hint="eastAsia" w:ascii="宋体"/>
                <w:sz w:val="24"/>
                <w:szCs w:val="24"/>
              </w:rPr>
            </w:pPr>
          </w:p>
        </w:tc>
      </w:tr>
      <w:tr w14:paraId="1E42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nil"/>
              <w:left w:val="single" w:color="000000" w:sz="4" w:space="0"/>
              <w:bottom w:val="single" w:color="000000" w:sz="4" w:space="0"/>
              <w:right w:val="single" w:color="000000" w:sz="4" w:space="0"/>
            </w:tcBorders>
            <w:shd w:val="clear" w:color="auto" w:fill="auto"/>
            <w:vAlign w:val="center"/>
          </w:tcPr>
          <w:p w14:paraId="3693A97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绩效指标（90分）</w:t>
            </w: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49A4E06B">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一级指标</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72E3848F">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二级指标</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56BC0D7E">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三级指标</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BF2259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指标性质</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A729E92">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指标值</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4CDF91BA">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度量单位</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5B91B3B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完成值</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5FF268D9">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权重</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4D042D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得分</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42C6ACC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未完成原因分析</w:t>
            </w:r>
          </w:p>
        </w:tc>
      </w:tr>
      <w:tr w14:paraId="4813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nil"/>
              <w:left w:val="single" w:color="000000" w:sz="4" w:space="0"/>
              <w:bottom w:val="single" w:color="000000" w:sz="4" w:space="0"/>
              <w:right w:val="single" w:color="000000" w:sz="4" w:space="0"/>
            </w:tcBorders>
            <w:shd w:val="clear" w:color="auto" w:fill="auto"/>
            <w:vAlign w:val="center"/>
          </w:tcPr>
          <w:p w14:paraId="01F4526E">
            <w:pPr>
              <w:rPr>
                <w:rFonts w:hint="eastAsia" w:ascii="宋体"/>
                <w:sz w:val="24"/>
                <w:szCs w:val="24"/>
              </w:rPr>
            </w:pPr>
          </w:p>
        </w:tc>
        <w:tc>
          <w:tcPr>
            <w:tcW w:w="1077" w:type="dxa"/>
            <w:tcBorders>
              <w:top w:val="single" w:color="000000" w:sz="4" w:space="0"/>
              <w:left w:val="nil"/>
              <w:bottom w:val="single" w:color="000000" w:sz="4" w:space="0"/>
              <w:right w:val="single" w:color="000000" w:sz="4" w:space="0"/>
            </w:tcBorders>
            <w:shd w:val="clear" w:color="auto" w:fill="auto"/>
            <w:vAlign w:val="center"/>
          </w:tcPr>
          <w:p w14:paraId="636D1AF8">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908" w:type="dxa"/>
            <w:tcBorders>
              <w:top w:val="single" w:color="000000" w:sz="4" w:space="0"/>
              <w:left w:val="nil"/>
              <w:bottom w:val="single" w:color="000000" w:sz="4" w:space="0"/>
              <w:right w:val="single" w:color="000000" w:sz="4" w:space="0"/>
            </w:tcBorders>
            <w:shd w:val="clear" w:color="auto" w:fill="auto"/>
            <w:vAlign w:val="center"/>
          </w:tcPr>
          <w:p w14:paraId="370D1904">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204" w:type="dxa"/>
            <w:tcBorders>
              <w:top w:val="single" w:color="000000" w:sz="4" w:space="0"/>
              <w:left w:val="nil"/>
              <w:bottom w:val="single" w:color="000000" w:sz="4" w:space="0"/>
              <w:right w:val="single" w:color="000000" w:sz="4" w:space="0"/>
            </w:tcBorders>
            <w:shd w:val="clear" w:color="auto" w:fill="auto"/>
            <w:vAlign w:val="center"/>
          </w:tcPr>
          <w:p w14:paraId="147575C2">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1E3E187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8949CD">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9F4D57C">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846" w:type="dxa"/>
            <w:tcBorders>
              <w:top w:val="single" w:color="000000" w:sz="4" w:space="0"/>
              <w:left w:val="nil"/>
              <w:bottom w:val="single" w:color="000000" w:sz="4" w:space="0"/>
              <w:right w:val="single" w:color="000000" w:sz="4" w:space="0"/>
            </w:tcBorders>
            <w:shd w:val="clear" w:color="auto" w:fill="auto"/>
            <w:vAlign w:val="center"/>
          </w:tcPr>
          <w:p w14:paraId="4102FCD4">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1E7BE39E">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00712B40">
            <w:pPr>
              <w:keepNext w:val="0"/>
              <w:keepLines w:val="0"/>
              <w:widowControl/>
              <w:suppressLineNumbers w:val="0"/>
              <w:spacing w:before="0" w:beforeAutospacing="1" w:after="0" w:afterAutospacing="1"/>
              <w:ind w:left="0" w:right="0"/>
              <w:jc w:val="center"/>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5821193D">
            <w:pPr>
              <w:keepNext w:val="0"/>
              <w:keepLines w:val="0"/>
              <w:widowControl/>
              <w:suppressLineNumbers w:val="0"/>
              <w:spacing w:before="0" w:beforeAutospacing="1" w:after="0" w:afterAutospacing="1"/>
              <w:ind w:left="0" w:right="0"/>
              <w:jc w:val="center"/>
            </w:pPr>
            <w:r>
              <w:rPr>
                <w:rFonts w:hint="eastAsia" w:ascii="微软雅黑" w:hAnsi="微软雅黑" w:eastAsia="微软雅黑" w:cs="微软雅黑"/>
                <w:i/>
                <w:color w:val="000000"/>
                <w:kern w:val="2"/>
                <w:sz w:val="16"/>
                <w:szCs w:val="16"/>
                <w:lang w:val="en-US" w:eastAsia="zh-CN" w:bidi="ar"/>
              </w:rPr>
              <w:t> </w:t>
            </w:r>
          </w:p>
        </w:tc>
      </w:tr>
      <w:tr w14:paraId="41FEC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F771F8">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合计</w:t>
            </w:r>
          </w:p>
        </w:tc>
        <w:tc>
          <w:tcPr>
            <w:tcW w:w="486" w:type="dxa"/>
            <w:tcBorders>
              <w:top w:val="single" w:color="000000" w:sz="4" w:space="0"/>
              <w:left w:val="nil"/>
              <w:bottom w:val="single" w:color="000000" w:sz="4" w:space="0"/>
              <w:right w:val="single" w:color="000000" w:sz="4" w:space="0"/>
            </w:tcBorders>
            <w:shd w:val="clear" w:color="auto" w:fill="auto"/>
            <w:vAlign w:val="center"/>
          </w:tcPr>
          <w:p w14:paraId="7739F28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100</w:t>
            </w:r>
          </w:p>
        </w:tc>
        <w:tc>
          <w:tcPr>
            <w:tcW w:w="396" w:type="dxa"/>
            <w:tcBorders>
              <w:top w:val="single" w:color="000000" w:sz="4" w:space="0"/>
              <w:left w:val="nil"/>
              <w:bottom w:val="single" w:color="000000" w:sz="4" w:space="0"/>
              <w:right w:val="single" w:color="000000" w:sz="4" w:space="0"/>
            </w:tcBorders>
            <w:shd w:val="clear" w:color="auto" w:fill="auto"/>
            <w:vAlign w:val="center"/>
          </w:tcPr>
          <w:p w14:paraId="36201D71">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c>
          <w:tcPr>
            <w:tcW w:w="1387" w:type="dxa"/>
            <w:tcBorders>
              <w:top w:val="single" w:color="000000" w:sz="4" w:space="0"/>
              <w:left w:val="nil"/>
              <w:bottom w:val="single" w:color="000000" w:sz="4" w:space="0"/>
              <w:right w:val="single" w:color="000000" w:sz="4" w:space="0"/>
            </w:tcBorders>
            <w:shd w:val="clear" w:color="auto" w:fill="auto"/>
            <w:vAlign w:val="center"/>
          </w:tcPr>
          <w:p w14:paraId="2F5896BB">
            <w:pPr>
              <w:keepNext w:val="0"/>
              <w:keepLines w:val="0"/>
              <w:widowControl/>
              <w:suppressLineNumbers w:val="0"/>
              <w:spacing w:before="0" w:beforeAutospacing="1" w:after="0" w:afterAutospacing="1"/>
              <w:ind w:left="0" w:right="0"/>
              <w:jc w:val="left"/>
            </w:pPr>
            <w:r>
              <w:rPr>
                <w:rFonts w:hint="eastAsia" w:ascii="宋体" w:hAnsi="宋体" w:eastAsia="宋体" w:cs="宋体"/>
                <w:color w:val="000000"/>
                <w:kern w:val="2"/>
                <w:sz w:val="18"/>
                <w:szCs w:val="18"/>
                <w:lang w:val="en-US" w:eastAsia="zh-CN" w:bidi="ar"/>
              </w:rPr>
              <w:t> </w:t>
            </w:r>
          </w:p>
        </w:tc>
      </w:tr>
      <w:tr w14:paraId="79B97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1DEC">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评价结论</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0EE67051">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结合自评情况，说明项目自评总分，说明项目实施取得的成效或成果。（200字以内）</w:t>
            </w:r>
          </w:p>
        </w:tc>
      </w:tr>
      <w:tr w14:paraId="440D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E696">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存在问题</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77C40D6D">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结合自评情况，分析存在的问题及原因。（200字以内）</w:t>
            </w:r>
          </w:p>
        </w:tc>
      </w:tr>
      <w:tr w14:paraId="7EA7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3934">
            <w:pPr>
              <w:keepNext w:val="0"/>
              <w:keepLines w:val="0"/>
              <w:widowControl/>
              <w:suppressLineNumbers w:val="0"/>
              <w:spacing w:before="0" w:beforeAutospacing="1" w:after="0" w:afterAutospacing="1"/>
              <w:ind w:left="0" w:right="0"/>
              <w:jc w:val="center"/>
              <w:textAlignment w:val="center"/>
            </w:pPr>
            <w:r>
              <w:rPr>
                <w:rFonts w:hint="eastAsia" w:ascii="宋体" w:hAnsi="宋体" w:eastAsia="宋体" w:cs="宋体"/>
                <w:color w:val="000000"/>
                <w:kern w:val="0"/>
                <w:sz w:val="18"/>
                <w:szCs w:val="18"/>
                <w:lang w:val="en-US" w:eastAsia="zh-CN" w:bidi="ar"/>
              </w:rPr>
              <w:t>改进措施</w:t>
            </w:r>
          </w:p>
        </w:tc>
        <w:tc>
          <w:tcPr>
            <w:tcW w:w="7946" w:type="dxa"/>
            <w:gridSpan w:val="10"/>
            <w:tcBorders>
              <w:top w:val="single" w:color="000000" w:sz="4" w:space="0"/>
              <w:left w:val="nil"/>
              <w:bottom w:val="single" w:color="000000" w:sz="4" w:space="0"/>
              <w:right w:val="single" w:color="000000" w:sz="4" w:space="0"/>
            </w:tcBorders>
            <w:shd w:val="clear" w:color="auto" w:fill="auto"/>
            <w:vAlign w:val="center"/>
          </w:tcPr>
          <w:p w14:paraId="1DAC0C87">
            <w:pPr>
              <w:keepNext w:val="0"/>
              <w:keepLines w:val="0"/>
              <w:widowControl/>
              <w:suppressLineNumbers w:val="0"/>
              <w:spacing w:before="0" w:beforeAutospacing="1" w:after="0" w:afterAutospacing="1"/>
              <w:ind w:left="0" w:right="0"/>
              <w:jc w:val="left"/>
              <w:textAlignment w:val="center"/>
            </w:pPr>
            <w:r>
              <w:rPr>
                <w:rFonts w:hint="eastAsia" w:ascii="微软雅黑" w:hAnsi="微软雅黑" w:eastAsia="微软雅黑" w:cs="微软雅黑"/>
                <w:i/>
                <w:color w:val="000000"/>
                <w:kern w:val="0"/>
                <w:sz w:val="16"/>
                <w:szCs w:val="16"/>
                <w:lang w:val="en-US" w:eastAsia="zh-CN" w:bidi="ar"/>
              </w:rPr>
              <w:t>针对项目自评中发现的问题，提出下一步改进完善的意见及有关政策性建议。（200字以内）</w:t>
            </w:r>
          </w:p>
        </w:tc>
      </w:tr>
      <w:tr w14:paraId="76A1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F1A70D">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项目负责人：</w:t>
            </w:r>
          </w:p>
        </w:tc>
        <w:tc>
          <w:tcPr>
            <w:tcW w:w="4361" w:type="dxa"/>
            <w:gridSpan w:val="6"/>
            <w:tcBorders>
              <w:top w:val="single" w:color="000000" w:sz="4" w:space="0"/>
              <w:left w:val="nil"/>
              <w:bottom w:val="single" w:color="000000" w:sz="4" w:space="0"/>
              <w:right w:val="single" w:color="000000" w:sz="4" w:space="0"/>
            </w:tcBorders>
            <w:shd w:val="clear" w:color="auto" w:fill="auto"/>
            <w:vAlign w:val="center"/>
          </w:tcPr>
          <w:p w14:paraId="18ACEF19">
            <w:pPr>
              <w:keepNext w:val="0"/>
              <w:keepLines w:val="0"/>
              <w:widowControl/>
              <w:suppressLineNumbers w:val="0"/>
              <w:spacing w:before="0" w:beforeAutospacing="1" w:after="0" w:afterAutospacing="1"/>
              <w:ind w:left="0" w:right="0"/>
              <w:jc w:val="left"/>
              <w:textAlignment w:val="center"/>
            </w:pPr>
            <w:r>
              <w:rPr>
                <w:rFonts w:hint="eastAsia" w:ascii="黑体" w:hAnsi="宋体" w:eastAsia="黑体" w:cs="黑体"/>
                <w:color w:val="000000"/>
                <w:kern w:val="0"/>
                <w:sz w:val="18"/>
                <w:szCs w:val="18"/>
                <w:lang w:val="en-US" w:eastAsia="zh-CN" w:bidi="ar"/>
              </w:rPr>
              <w:t>财务负责人：</w:t>
            </w:r>
          </w:p>
        </w:tc>
      </w:tr>
    </w:tbl>
    <w:p w14:paraId="44BB1E18">
      <w:pPr>
        <w:pStyle w:val="14"/>
        <w:keepNext w:val="0"/>
        <w:keepLines w:val="0"/>
        <w:widowControl/>
        <w:suppressLineNumbers w:val="0"/>
        <w:spacing w:before="0" w:beforeAutospacing="1" w:after="0" w:afterAutospacing="1"/>
        <w:ind w:left="0" w:right="0" w:firstLine="560"/>
        <w:jc w:val="center"/>
        <w:rPr>
          <w:rFonts w:hint="eastAsia" w:ascii="黑体" w:hAnsi="黑体" w:eastAsia="黑体" w:cs="黑体"/>
          <w:b/>
          <w:kern w:val="44"/>
          <w:sz w:val="44"/>
          <w:szCs w:val="44"/>
          <w:lang w:val="en-US" w:eastAsia="zh-CN"/>
        </w:rPr>
      </w:pPr>
      <w:r>
        <w:rPr>
          <w:rFonts w:hint="eastAsia" w:ascii="仿宋" w:hAnsi="仿宋" w:eastAsia="仿宋" w:cs="仿宋"/>
          <w:color w:val="222222"/>
          <w:kern w:val="0"/>
          <w:sz w:val="28"/>
          <w:szCs w:val="28"/>
        </w:rPr>
        <w:t> </w:t>
      </w:r>
      <w:r>
        <w:rPr>
          <w:rFonts w:hint="eastAsia" w:ascii="仿宋" w:hAnsi="仿宋" w:eastAsia="仿宋" w:cs="仿宋"/>
          <w:b/>
          <w:kern w:val="2"/>
          <w:sz w:val="36"/>
          <w:szCs w:val="36"/>
        </w:rPr>
        <w:br w:type="page"/>
      </w:r>
      <w:bookmarkStart w:id="151" w:name="_Toc10363"/>
      <w:r>
        <w:rPr>
          <w:rFonts w:hint="eastAsia" w:ascii="黑体" w:hAnsi="黑体" w:eastAsia="黑体" w:cs="黑体"/>
          <w:b/>
          <w:kern w:val="44"/>
          <w:sz w:val="44"/>
          <w:szCs w:val="44"/>
          <w:lang w:val="en-US" w:eastAsia="zh-CN"/>
        </w:rPr>
        <w:t>第五部分 附表</w:t>
      </w:r>
      <w:bookmarkEnd w:id="151"/>
      <w:bookmarkStart w:id="152" w:name="_Toc15396619"/>
      <w:bookmarkEnd w:id="152"/>
    </w:p>
    <w:p w14:paraId="48FAD0D3">
      <w:pPr>
        <w:keepNext w:val="0"/>
        <w:keepLines w:val="0"/>
        <w:widowControl/>
        <w:suppressLineNumbers w:val="0"/>
        <w:spacing w:before="0" w:beforeAutospacing="1" w:after="0" w:afterAutospacing="1"/>
        <w:ind w:left="0" w:right="0"/>
        <w:jc w:val="left"/>
        <w:outlineLvl w:val="1"/>
      </w:pPr>
      <w:bookmarkStart w:id="153" w:name="_Toc29053"/>
      <w:bookmarkEnd w:id="153"/>
      <w:bookmarkStart w:id="154" w:name="_Toc29939"/>
      <w:r>
        <w:rPr>
          <w:rFonts w:hint="eastAsia" w:ascii="仿宋" w:hAnsi="仿宋" w:eastAsia="仿宋" w:cs="仿宋"/>
          <w:kern w:val="2"/>
          <w:sz w:val="28"/>
          <w:szCs w:val="28"/>
          <w:lang w:val="en-US" w:eastAsia="zh-CN" w:bidi="ar"/>
        </w:rPr>
        <w:t>一、收</w:t>
      </w:r>
      <w:r>
        <w:rPr>
          <w:rFonts w:hint="eastAsia" w:ascii="仿宋" w:hAnsi="仿宋" w:eastAsia="仿宋" w:cs="仿宋"/>
          <w:b w:val="0"/>
          <w:kern w:val="2"/>
          <w:sz w:val="28"/>
          <w:szCs w:val="28"/>
          <w:lang w:val="en-US" w:eastAsia="zh-CN" w:bidi="ar"/>
        </w:rPr>
        <w:t>入支出决算总表</w:t>
      </w:r>
      <w:bookmarkEnd w:id="154"/>
    </w:p>
    <w:p w14:paraId="60D3BF68">
      <w:pPr>
        <w:keepNext w:val="0"/>
        <w:keepLines w:val="0"/>
        <w:widowControl/>
        <w:suppressLineNumbers w:val="0"/>
        <w:spacing w:before="0" w:beforeAutospacing="1" w:after="0" w:afterAutospacing="1"/>
        <w:ind w:left="0" w:right="0"/>
        <w:jc w:val="left"/>
        <w:outlineLvl w:val="1"/>
      </w:pPr>
      <w:bookmarkStart w:id="155" w:name="_Toc15396620"/>
      <w:bookmarkEnd w:id="155"/>
      <w:bookmarkStart w:id="156" w:name="_Toc18765"/>
      <w:bookmarkStart w:id="157" w:name="_Toc21250"/>
      <w:r>
        <w:rPr>
          <w:rFonts w:hint="eastAsia" w:ascii="仿宋" w:hAnsi="仿宋" w:eastAsia="仿宋" w:cs="仿宋"/>
          <w:kern w:val="2"/>
          <w:sz w:val="28"/>
          <w:szCs w:val="28"/>
          <w:u w:val="none"/>
          <w:lang w:val="en-US" w:eastAsia="zh-CN" w:bidi="ar"/>
        </w:rPr>
        <w:t>二、收</w:t>
      </w:r>
      <w:bookmarkEnd w:id="156"/>
      <w:r>
        <w:rPr>
          <w:rFonts w:hint="eastAsia" w:ascii="仿宋" w:hAnsi="仿宋" w:eastAsia="仿宋" w:cs="仿宋"/>
          <w:b w:val="0"/>
          <w:kern w:val="2"/>
          <w:sz w:val="28"/>
          <w:szCs w:val="28"/>
          <w:lang w:val="en-US" w:eastAsia="zh-CN" w:bidi="ar"/>
        </w:rPr>
        <w:t>入决算表</w:t>
      </w:r>
      <w:bookmarkEnd w:id="157"/>
    </w:p>
    <w:p w14:paraId="57641B9A">
      <w:pPr>
        <w:keepNext w:val="0"/>
        <w:keepLines w:val="0"/>
        <w:widowControl/>
        <w:suppressLineNumbers w:val="0"/>
        <w:spacing w:before="0" w:beforeAutospacing="1" w:after="0" w:afterAutospacing="1"/>
        <w:ind w:left="0" w:right="0"/>
        <w:jc w:val="left"/>
        <w:outlineLvl w:val="1"/>
      </w:pPr>
      <w:bookmarkStart w:id="158" w:name="_Toc15396621"/>
      <w:bookmarkEnd w:id="158"/>
      <w:bookmarkStart w:id="159" w:name="_Toc9700"/>
      <w:bookmarkStart w:id="160" w:name="_Toc24737"/>
      <w:r>
        <w:rPr>
          <w:rFonts w:hint="eastAsia" w:ascii="仿宋" w:hAnsi="仿宋" w:eastAsia="仿宋" w:cs="仿宋"/>
          <w:b w:val="0"/>
          <w:kern w:val="2"/>
          <w:sz w:val="28"/>
          <w:szCs w:val="28"/>
          <w:u w:val="none"/>
          <w:lang w:val="en-US" w:eastAsia="zh-CN" w:bidi="ar"/>
        </w:rPr>
        <w:t>三、</w:t>
      </w:r>
      <w:bookmarkEnd w:id="159"/>
      <w:r>
        <w:rPr>
          <w:rFonts w:hint="eastAsia" w:ascii="仿宋" w:hAnsi="仿宋" w:eastAsia="仿宋" w:cs="仿宋"/>
          <w:kern w:val="2"/>
          <w:sz w:val="28"/>
          <w:szCs w:val="28"/>
          <w:lang w:val="en-US" w:eastAsia="zh-CN" w:bidi="ar"/>
        </w:rPr>
        <w:t>支</w:t>
      </w:r>
      <w:r>
        <w:rPr>
          <w:rFonts w:hint="eastAsia" w:ascii="仿宋" w:hAnsi="仿宋" w:eastAsia="仿宋" w:cs="仿宋"/>
          <w:b w:val="0"/>
          <w:kern w:val="2"/>
          <w:sz w:val="28"/>
          <w:szCs w:val="28"/>
          <w:lang w:val="en-US" w:eastAsia="zh-CN" w:bidi="ar"/>
        </w:rPr>
        <w:t>出决算表</w:t>
      </w:r>
      <w:bookmarkEnd w:id="160"/>
    </w:p>
    <w:p w14:paraId="74B844B3">
      <w:pPr>
        <w:keepNext w:val="0"/>
        <w:keepLines w:val="0"/>
        <w:widowControl/>
        <w:suppressLineNumbers w:val="0"/>
        <w:spacing w:before="0" w:beforeAutospacing="1" w:after="0" w:afterAutospacing="1"/>
        <w:ind w:left="0" w:right="0"/>
        <w:jc w:val="left"/>
        <w:outlineLvl w:val="1"/>
      </w:pPr>
      <w:bookmarkStart w:id="161" w:name="_Toc7677"/>
      <w:bookmarkEnd w:id="161"/>
      <w:bookmarkStart w:id="162" w:name="_Toc15396622"/>
      <w:bookmarkStart w:id="163" w:name="_Toc10705"/>
      <w:r>
        <w:rPr>
          <w:rFonts w:hint="eastAsia" w:ascii="仿宋" w:hAnsi="仿宋" w:eastAsia="仿宋" w:cs="仿宋"/>
          <w:b w:val="0"/>
          <w:kern w:val="2"/>
          <w:sz w:val="28"/>
          <w:szCs w:val="28"/>
          <w:u w:val="none"/>
          <w:lang w:val="en-US" w:eastAsia="zh-CN" w:bidi="ar"/>
        </w:rPr>
        <w:t>四、</w:t>
      </w:r>
      <w:bookmarkEnd w:id="162"/>
      <w:r>
        <w:rPr>
          <w:rFonts w:hint="eastAsia" w:ascii="仿宋" w:hAnsi="仿宋" w:eastAsia="仿宋" w:cs="仿宋"/>
          <w:kern w:val="2"/>
          <w:sz w:val="28"/>
          <w:szCs w:val="28"/>
          <w:lang w:val="en-US" w:eastAsia="zh-CN" w:bidi="ar"/>
        </w:rPr>
        <w:t>财</w:t>
      </w:r>
      <w:r>
        <w:rPr>
          <w:rFonts w:hint="eastAsia" w:ascii="仿宋" w:hAnsi="仿宋" w:eastAsia="仿宋" w:cs="仿宋"/>
          <w:b w:val="0"/>
          <w:kern w:val="2"/>
          <w:sz w:val="28"/>
          <w:szCs w:val="28"/>
          <w:lang w:val="en-US" w:eastAsia="zh-CN" w:bidi="ar"/>
        </w:rPr>
        <w:t>政拨款收入支出决算总表</w:t>
      </w:r>
      <w:bookmarkEnd w:id="163"/>
    </w:p>
    <w:p w14:paraId="190462A8">
      <w:pPr>
        <w:keepNext w:val="0"/>
        <w:keepLines w:val="0"/>
        <w:widowControl/>
        <w:suppressLineNumbers w:val="0"/>
        <w:spacing w:before="0" w:beforeAutospacing="1" w:after="0" w:afterAutospacing="1"/>
        <w:ind w:left="0" w:right="0"/>
        <w:jc w:val="left"/>
        <w:outlineLvl w:val="1"/>
      </w:pPr>
      <w:bookmarkStart w:id="164" w:name="_Toc15396623"/>
      <w:bookmarkEnd w:id="164"/>
      <w:bookmarkStart w:id="165" w:name="_Toc7751"/>
      <w:bookmarkStart w:id="166" w:name="_Toc31688"/>
      <w:r>
        <w:rPr>
          <w:rFonts w:hint="eastAsia" w:ascii="仿宋" w:hAnsi="仿宋" w:eastAsia="仿宋" w:cs="仿宋"/>
          <w:b w:val="0"/>
          <w:kern w:val="2"/>
          <w:sz w:val="28"/>
          <w:szCs w:val="28"/>
          <w:u w:val="none"/>
          <w:lang w:val="en-US" w:eastAsia="zh-CN" w:bidi="ar"/>
        </w:rPr>
        <w:t>五、</w:t>
      </w:r>
      <w:bookmarkEnd w:id="165"/>
      <w:r>
        <w:rPr>
          <w:rFonts w:hint="eastAsia" w:ascii="仿宋" w:hAnsi="仿宋" w:eastAsia="仿宋" w:cs="仿宋"/>
          <w:kern w:val="2"/>
          <w:sz w:val="28"/>
          <w:szCs w:val="28"/>
          <w:lang w:val="en-US" w:eastAsia="zh-CN" w:bidi="ar"/>
        </w:rPr>
        <w:t>财</w:t>
      </w:r>
      <w:r>
        <w:rPr>
          <w:rFonts w:hint="eastAsia" w:ascii="仿宋" w:hAnsi="仿宋" w:eastAsia="仿宋" w:cs="仿宋"/>
          <w:b w:val="0"/>
          <w:kern w:val="2"/>
          <w:sz w:val="28"/>
          <w:szCs w:val="28"/>
          <w:lang w:val="en-US" w:eastAsia="zh-CN" w:bidi="ar"/>
        </w:rPr>
        <w:t>政拨款支出决算明细表</w:t>
      </w:r>
      <w:bookmarkEnd w:id="166"/>
      <w:bookmarkStart w:id="167" w:name="_Toc15396624"/>
      <w:bookmarkEnd w:id="167"/>
    </w:p>
    <w:p w14:paraId="4D9C3DD2">
      <w:pPr>
        <w:keepNext w:val="0"/>
        <w:keepLines w:val="0"/>
        <w:widowControl/>
        <w:suppressLineNumbers w:val="0"/>
        <w:spacing w:before="0" w:beforeAutospacing="1" w:after="0" w:afterAutospacing="1"/>
        <w:ind w:left="0" w:right="0"/>
        <w:jc w:val="left"/>
        <w:outlineLvl w:val="1"/>
      </w:pPr>
      <w:bookmarkStart w:id="168" w:name="_Toc27933"/>
      <w:bookmarkEnd w:id="168"/>
      <w:bookmarkStart w:id="169" w:name="_Toc12857"/>
      <w:r>
        <w:rPr>
          <w:rFonts w:hint="eastAsia" w:ascii="仿宋" w:hAnsi="仿宋" w:eastAsia="仿宋" w:cs="仿宋"/>
          <w:b w:val="0"/>
          <w:kern w:val="2"/>
          <w:sz w:val="28"/>
          <w:szCs w:val="28"/>
          <w:lang w:val="en-US" w:eastAsia="zh-CN" w:bidi="ar"/>
        </w:rPr>
        <w:t>六、</w:t>
      </w:r>
      <w:r>
        <w:rPr>
          <w:rFonts w:hint="eastAsia" w:ascii="仿宋" w:hAnsi="仿宋" w:eastAsia="仿宋" w:cs="仿宋"/>
          <w:kern w:val="2"/>
          <w:sz w:val="28"/>
          <w:szCs w:val="28"/>
          <w:lang w:val="en-US" w:eastAsia="zh-CN" w:bidi="ar"/>
        </w:rPr>
        <w:t>一</w:t>
      </w:r>
      <w:r>
        <w:rPr>
          <w:rFonts w:hint="eastAsia" w:ascii="仿宋" w:hAnsi="仿宋" w:eastAsia="仿宋" w:cs="仿宋"/>
          <w:b w:val="0"/>
          <w:kern w:val="2"/>
          <w:sz w:val="28"/>
          <w:szCs w:val="28"/>
          <w:lang w:val="en-US" w:eastAsia="zh-CN" w:bidi="ar"/>
        </w:rPr>
        <w:t>般公共预算财政拨款支出决算表</w:t>
      </w:r>
      <w:bookmarkEnd w:id="169"/>
    </w:p>
    <w:p w14:paraId="7FD5FCB7">
      <w:pPr>
        <w:keepNext w:val="0"/>
        <w:keepLines w:val="0"/>
        <w:widowControl/>
        <w:suppressLineNumbers w:val="0"/>
        <w:spacing w:before="0" w:beforeAutospacing="1" w:after="0" w:afterAutospacing="1"/>
        <w:ind w:left="0" w:right="0"/>
        <w:jc w:val="left"/>
        <w:outlineLvl w:val="1"/>
      </w:pPr>
      <w:bookmarkStart w:id="170" w:name="_Toc15396625"/>
      <w:bookmarkEnd w:id="170"/>
      <w:bookmarkStart w:id="171" w:name="_Toc13610"/>
      <w:bookmarkStart w:id="172" w:name="_Toc11027"/>
      <w:r>
        <w:rPr>
          <w:rFonts w:hint="eastAsia" w:ascii="仿宋" w:hAnsi="仿宋" w:eastAsia="仿宋" w:cs="仿宋"/>
          <w:b w:val="0"/>
          <w:kern w:val="2"/>
          <w:sz w:val="28"/>
          <w:szCs w:val="28"/>
          <w:u w:val="none"/>
          <w:lang w:val="en-US" w:eastAsia="zh-CN" w:bidi="ar"/>
        </w:rPr>
        <w:t>七、</w:t>
      </w:r>
      <w:bookmarkEnd w:id="171"/>
      <w:r>
        <w:rPr>
          <w:rFonts w:hint="eastAsia" w:ascii="仿宋" w:hAnsi="仿宋" w:eastAsia="仿宋" w:cs="仿宋"/>
          <w:kern w:val="2"/>
          <w:sz w:val="28"/>
          <w:szCs w:val="28"/>
          <w:lang w:val="en-US" w:eastAsia="zh-CN" w:bidi="ar"/>
        </w:rPr>
        <w:t>一</w:t>
      </w:r>
      <w:r>
        <w:rPr>
          <w:rFonts w:hint="eastAsia" w:ascii="仿宋" w:hAnsi="仿宋" w:eastAsia="仿宋" w:cs="仿宋"/>
          <w:b w:val="0"/>
          <w:kern w:val="2"/>
          <w:sz w:val="28"/>
          <w:szCs w:val="28"/>
          <w:lang w:val="en-US" w:eastAsia="zh-CN" w:bidi="ar"/>
        </w:rPr>
        <w:t>般公共预算财政拨款支出决算明细表</w:t>
      </w:r>
      <w:bookmarkEnd w:id="172"/>
    </w:p>
    <w:p w14:paraId="4DFFAB1B">
      <w:pPr>
        <w:keepNext w:val="0"/>
        <w:keepLines w:val="0"/>
        <w:widowControl/>
        <w:suppressLineNumbers w:val="0"/>
        <w:spacing w:before="0" w:beforeAutospacing="1" w:after="0" w:afterAutospacing="1"/>
        <w:ind w:left="0" w:right="0"/>
        <w:jc w:val="left"/>
        <w:outlineLvl w:val="1"/>
      </w:pPr>
      <w:bookmarkStart w:id="173" w:name="_Toc15396626"/>
      <w:bookmarkEnd w:id="173"/>
      <w:bookmarkStart w:id="174" w:name="_Toc5186"/>
      <w:bookmarkStart w:id="175" w:name="_Toc18546"/>
      <w:r>
        <w:rPr>
          <w:rFonts w:hint="eastAsia" w:ascii="仿宋" w:hAnsi="仿宋" w:eastAsia="仿宋" w:cs="仿宋"/>
          <w:b w:val="0"/>
          <w:kern w:val="2"/>
          <w:sz w:val="28"/>
          <w:szCs w:val="28"/>
          <w:u w:val="none"/>
          <w:lang w:val="en-US" w:eastAsia="zh-CN" w:bidi="ar"/>
        </w:rPr>
        <w:t>八、</w:t>
      </w:r>
      <w:bookmarkEnd w:id="174"/>
      <w:r>
        <w:rPr>
          <w:rFonts w:hint="eastAsia" w:ascii="仿宋" w:hAnsi="仿宋" w:eastAsia="仿宋" w:cs="仿宋"/>
          <w:kern w:val="2"/>
          <w:sz w:val="28"/>
          <w:szCs w:val="28"/>
          <w:lang w:val="en-US" w:eastAsia="zh-CN" w:bidi="ar"/>
        </w:rPr>
        <w:t>一</w:t>
      </w:r>
      <w:r>
        <w:rPr>
          <w:rFonts w:hint="eastAsia" w:ascii="仿宋" w:hAnsi="仿宋" w:eastAsia="仿宋" w:cs="仿宋"/>
          <w:b w:val="0"/>
          <w:kern w:val="2"/>
          <w:sz w:val="28"/>
          <w:szCs w:val="28"/>
          <w:lang w:val="en-US" w:eastAsia="zh-CN" w:bidi="ar"/>
        </w:rPr>
        <w:t>般公共预算财政拨款基本支出决算表</w:t>
      </w:r>
      <w:bookmarkEnd w:id="175"/>
    </w:p>
    <w:p w14:paraId="372F87E3">
      <w:pPr>
        <w:keepNext w:val="0"/>
        <w:keepLines w:val="0"/>
        <w:widowControl/>
        <w:suppressLineNumbers w:val="0"/>
        <w:spacing w:before="0" w:beforeAutospacing="1" w:after="0" w:afterAutospacing="1"/>
        <w:ind w:left="0" w:right="0"/>
        <w:jc w:val="left"/>
        <w:outlineLvl w:val="1"/>
      </w:pPr>
      <w:bookmarkStart w:id="176" w:name="_Toc4718"/>
      <w:bookmarkEnd w:id="176"/>
      <w:bookmarkStart w:id="177" w:name="_Toc15396627"/>
      <w:bookmarkStart w:id="178" w:name="_Toc836"/>
      <w:r>
        <w:rPr>
          <w:rFonts w:hint="eastAsia" w:ascii="仿宋" w:hAnsi="仿宋" w:eastAsia="仿宋" w:cs="仿宋"/>
          <w:b w:val="0"/>
          <w:kern w:val="2"/>
          <w:sz w:val="28"/>
          <w:szCs w:val="28"/>
          <w:u w:val="none"/>
          <w:lang w:val="en-US" w:eastAsia="zh-CN" w:bidi="ar"/>
        </w:rPr>
        <w:t>九、</w:t>
      </w:r>
      <w:bookmarkEnd w:id="177"/>
      <w:r>
        <w:rPr>
          <w:rFonts w:hint="eastAsia" w:ascii="仿宋" w:hAnsi="仿宋" w:eastAsia="仿宋" w:cs="仿宋"/>
          <w:kern w:val="2"/>
          <w:sz w:val="28"/>
          <w:szCs w:val="28"/>
          <w:lang w:val="en-US" w:eastAsia="zh-CN" w:bidi="ar"/>
        </w:rPr>
        <w:t>一</w:t>
      </w:r>
      <w:r>
        <w:rPr>
          <w:rFonts w:hint="eastAsia" w:ascii="仿宋" w:hAnsi="仿宋" w:eastAsia="仿宋" w:cs="仿宋"/>
          <w:b w:val="0"/>
          <w:kern w:val="2"/>
          <w:sz w:val="28"/>
          <w:szCs w:val="28"/>
          <w:lang w:val="en-US" w:eastAsia="zh-CN" w:bidi="ar"/>
        </w:rPr>
        <w:t>般公共预算财政拨款项目支出决算表</w:t>
      </w:r>
      <w:bookmarkEnd w:id="178"/>
    </w:p>
    <w:p w14:paraId="04FE9CEC">
      <w:pPr>
        <w:keepNext w:val="0"/>
        <w:keepLines w:val="0"/>
        <w:widowControl/>
        <w:suppressLineNumbers w:val="0"/>
        <w:spacing w:before="0" w:beforeAutospacing="1" w:after="0" w:afterAutospacing="1"/>
        <w:ind w:left="0" w:right="0"/>
        <w:jc w:val="left"/>
        <w:outlineLvl w:val="1"/>
        <w:rPr>
          <w:rFonts w:hint="eastAsia" w:ascii="仿宋" w:hAnsi="仿宋" w:eastAsia="仿宋" w:cs="仿宋"/>
          <w:b w:val="0"/>
          <w:kern w:val="2"/>
          <w:sz w:val="28"/>
          <w:szCs w:val="28"/>
          <w:u w:val="none"/>
          <w:lang w:val="en-US" w:eastAsia="zh-CN" w:bidi="ar"/>
        </w:rPr>
      </w:pPr>
      <w:bookmarkStart w:id="179" w:name="_Toc15396628"/>
      <w:bookmarkEnd w:id="179"/>
      <w:bookmarkStart w:id="180" w:name="_Toc13511"/>
      <w:bookmarkEnd w:id="180"/>
      <w:bookmarkStart w:id="181" w:name="_Toc23024"/>
      <w:r>
        <w:rPr>
          <w:rFonts w:hint="eastAsia" w:ascii="仿宋" w:hAnsi="仿宋" w:eastAsia="仿宋" w:cs="仿宋"/>
          <w:b w:val="0"/>
          <w:kern w:val="2"/>
          <w:sz w:val="28"/>
          <w:szCs w:val="28"/>
          <w:u w:val="none"/>
          <w:lang w:val="en-US" w:eastAsia="zh-CN" w:bidi="ar"/>
        </w:rPr>
        <w:t>十、政府性基金预算财政拨款收入支出决算表</w:t>
      </w:r>
      <w:bookmarkEnd w:id="181"/>
    </w:p>
    <w:p w14:paraId="713C2952">
      <w:pPr>
        <w:keepNext w:val="0"/>
        <w:keepLines w:val="0"/>
        <w:widowControl/>
        <w:suppressLineNumbers w:val="0"/>
        <w:spacing w:before="0" w:beforeAutospacing="1" w:after="0" w:afterAutospacing="1"/>
        <w:ind w:left="0" w:right="0"/>
        <w:jc w:val="left"/>
        <w:outlineLvl w:val="1"/>
        <w:rPr>
          <w:rFonts w:hint="eastAsia" w:ascii="仿宋" w:hAnsi="仿宋" w:eastAsia="仿宋" w:cs="仿宋"/>
          <w:b w:val="0"/>
          <w:kern w:val="2"/>
          <w:sz w:val="28"/>
          <w:szCs w:val="28"/>
          <w:u w:val="none"/>
          <w:lang w:val="en-US" w:eastAsia="zh-CN" w:bidi="ar"/>
        </w:rPr>
      </w:pPr>
      <w:bookmarkStart w:id="182" w:name="_Toc15396629"/>
      <w:bookmarkStart w:id="183" w:name="_Toc16564"/>
      <w:r>
        <w:rPr>
          <w:rFonts w:hint="eastAsia" w:ascii="仿宋" w:hAnsi="仿宋" w:eastAsia="仿宋" w:cs="仿宋"/>
          <w:b w:val="0"/>
          <w:kern w:val="2"/>
          <w:sz w:val="28"/>
          <w:szCs w:val="28"/>
          <w:u w:val="none"/>
          <w:lang w:val="en-US" w:eastAsia="zh-CN" w:bidi="ar"/>
        </w:rPr>
        <w:t>十一、</w:t>
      </w:r>
      <w:bookmarkEnd w:id="182"/>
      <w:r>
        <w:rPr>
          <w:rFonts w:hint="eastAsia" w:ascii="仿宋" w:hAnsi="仿宋" w:eastAsia="仿宋" w:cs="仿宋"/>
          <w:b w:val="0"/>
          <w:kern w:val="2"/>
          <w:sz w:val="28"/>
          <w:szCs w:val="28"/>
          <w:u w:val="none"/>
          <w:lang w:val="en-US" w:eastAsia="zh-CN" w:bidi="ar"/>
        </w:rPr>
        <w:t>国有资本经营预算财政拨款收入支出决算表</w:t>
      </w:r>
      <w:bookmarkEnd w:id="183"/>
    </w:p>
    <w:p w14:paraId="71C6A258">
      <w:pPr>
        <w:keepNext w:val="0"/>
        <w:keepLines w:val="0"/>
        <w:widowControl/>
        <w:suppressLineNumbers w:val="0"/>
        <w:spacing w:before="0" w:beforeAutospacing="1" w:after="0" w:afterAutospacing="1"/>
        <w:ind w:left="0" w:right="0"/>
        <w:jc w:val="left"/>
        <w:outlineLvl w:val="1"/>
        <w:rPr>
          <w:rFonts w:hint="eastAsia" w:ascii="仿宋" w:hAnsi="仿宋" w:eastAsia="仿宋" w:cs="仿宋"/>
          <w:b w:val="0"/>
          <w:kern w:val="2"/>
          <w:sz w:val="28"/>
          <w:szCs w:val="28"/>
          <w:u w:val="none"/>
          <w:lang w:val="en-US" w:eastAsia="zh-CN" w:bidi="ar"/>
        </w:rPr>
      </w:pPr>
      <w:bookmarkStart w:id="184" w:name="_Toc15396630"/>
      <w:bookmarkStart w:id="185" w:name="_Toc2942"/>
      <w:r>
        <w:rPr>
          <w:rFonts w:hint="eastAsia" w:ascii="仿宋" w:hAnsi="仿宋" w:eastAsia="仿宋" w:cs="仿宋"/>
          <w:b w:val="0"/>
          <w:kern w:val="2"/>
          <w:sz w:val="28"/>
          <w:szCs w:val="28"/>
          <w:u w:val="none"/>
          <w:lang w:val="en-US" w:eastAsia="zh-CN" w:bidi="ar"/>
        </w:rPr>
        <w:t>十二、</w:t>
      </w:r>
      <w:bookmarkEnd w:id="184"/>
      <w:r>
        <w:rPr>
          <w:rFonts w:hint="eastAsia" w:ascii="仿宋" w:hAnsi="仿宋" w:eastAsia="仿宋" w:cs="仿宋"/>
          <w:b w:val="0"/>
          <w:kern w:val="2"/>
          <w:sz w:val="28"/>
          <w:szCs w:val="28"/>
          <w:u w:val="none"/>
          <w:lang w:val="en-US" w:eastAsia="zh-CN" w:bidi="ar"/>
        </w:rPr>
        <w:t>国有资本经营预算财政拨款支出决算表</w:t>
      </w:r>
      <w:bookmarkEnd w:id="185"/>
    </w:p>
    <w:p w14:paraId="00515DCD">
      <w:pPr>
        <w:keepNext w:val="0"/>
        <w:keepLines w:val="0"/>
        <w:widowControl/>
        <w:suppressLineNumbers w:val="0"/>
        <w:spacing w:before="0" w:beforeAutospacing="1" w:after="0" w:afterAutospacing="1"/>
        <w:ind w:left="0" w:right="0"/>
        <w:jc w:val="left"/>
        <w:outlineLvl w:val="1"/>
        <w:rPr>
          <w:rFonts w:hint="eastAsia" w:ascii="Times New Roman" w:hAnsi="Times New Roman" w:eastAsia="仿宋_GB2312" w:cs="Times New Roman"/>
          <w:sz w:val="28"/>
          <w:szCs w:val="28"/>
          <w:lang w:eastAsia="zh-CN"/>
        </w:rPr>
      </w:pPr>
      <w:bookmarkStart w:id="186" w:name="_Toc15396631"/>
      <w:bookmarkStart w:id="187" w:name="_Toc12178"/>
      <w:r>
        <w:rPr>
          <w:rFonts w:hint="eastAsia" w:ascii="仿宋" w:hAnsi="仿宋" w:eastAsia="仿宋" w:cs="仿宋"/>
          <w:b w:val="0"/>
          <w:kern w:val="2"/>
          <w:sz w:val="28"/>
          <w:szCs w:val="28"/>
          <w:u w:val="none"/>
          <w:lang w:val="en-US" w:eastAsia="zh-CN" w:bidi="ar"/>
        </w:rPr>
        <w:t>十三、</w:t>
      </w:r>
      <w:bookmarkEnd w:id="186"/>
      <w:r>
        <w:rPr>
          <w:rFonts w:hint="eastAsia" w:ascii="仿宋" w:hAnsi="仿宋" w:eastAsia="仿宋" w:cs="仿宋"/>
          <w:b w:val="0"/>
          <w:kern w:val="2"/>
          <w:sz w:val="28"/>
          <w:szCs w:val="28"/>
          <w:u w:val="none"/>
          <w:lang w:val="en-US" w:eastAsia="zh-CN" w:bidi="ar"/>
        </w:rPr>
        <w:t>财政拨款“三公”经费支出决算表</w:t>
      </w:r>
      <w:bookmarkStart w:id="188" w:name="_Toc1334"/>
      <w:r>
        <w:rPr>
          <w:rFonts w:hint="eastAsia" w:ascii="仿宋" w:hAnsi="仿宋" w:eastAsia="仿宋" w:cs="仿宋"/>
          <w:b w:val="0"/>
          <w:kern w:val="2"/>
          <w:sz w:val="28"/>
          <w:szCs w:val="28"/>
          <w:u w:val="none"/>
          <w:lang w:val="en-US" w:eastAsia="zh-CN" w:bidi="ar"/>
        </w:rPr>
        <w:t> </w:t>
      </w:r>
      <w:bookmarkEnd w:id="187"/>
      <w:bookmarkEnd w:id="188"/>
    </w:p>
    <w:sectPr>
      <w:footerReference r:id="rId3" w:type="default"/>
      <w:pgSz w:w="11906" w:h="16838"/>
      <w:pgMar w:top="1984" w:right="1587" w:bottom="2098" w:left="1474" w:header="851" w:footer="992" w:gutter="0"/>
      <w:pgNumType w:fmt="decimal" w:start="1"/>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3A6B2F-601C-49D6-A23F-935686DFE7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36E94C2-BFFE-468A-B993-FB61015F11A5}"/>
  </w:font>
  <w:font w:name="仿宋_GB2312">
    <w:altName w:val="仿宋"/>
    <w:panose1 w:val="02010609030101010101"/>
    <w:charset w:val="86"/>
    <w:family w:val="modern"/>
    <w:pitch w:val="default"/>
    <w:sig w:usb0="00000000" w:usb1="00000000" w:usb2="00000000" w:usb3="00000000" w:csb0="00040000" w:csb1="00000000"/>
    <w:embedRegular r:id="rId3" w:fontKey="{B9C3CCC6-D890-4003-BDB9-CBA5C516D06F}"/>
  </w:font>
  <w:font w:name="仿宋">
    <w:panose1 w:val="02010609060101010101"/>
    <w:charset w:val="86"/>
    <w:family w:val="auto"/>
    <w:pitch w:val="default"/>
    <w:sig w:usb0="800002BF" w:usb1="38CF7CFA" w:usb2="00000016" w:usb3="00000000" w:csb0="00040001" w:csb1="00000000"/>
    <w:embedRegular r:id="rId4" w:fontKey="{06E4B822-374F-4722-B522-51BC47F2BCDE}"/>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5" w:fontKey="{53CADA9D-9DD1-4C46-99D8-C05C0946D306}"/>
  </w:font>
  <w:font w:name="方正小标宋简体">
    <w:panose1 w:val="02000000000000000000"/>
    <w:charset w:val="86"/>
    <w:family w:val="script"/>
    <w:pitch w:val="default"/>
    <w:sig w:usb0="00000001" w:usb1="08000000" w:usb2="00000000" w:usb3="00000000" w:csb0="00040000" w:csb1="00000000"/>
    <w:embedRegular r:id="rId6" w:fontKey="{F281DD4D-54D5-4313-80E6-D10AD41893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199F">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-419100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502BA">
                          <w:pPr>
                            <w:bidi/>
                            <w:snapToGrid w:val="0"/>
                            <w:ind w:firstLine="280" w:firstLineChars="10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33pt;height:144pt;width:144pt;mso-position-horizontal:center;mso-position-horizontal-relative:margin;mso-wrap-style:none;z-index:251659264;mso-width-relative:page;mso-height-relative:page;" filled="f" stroked="f" coordsize="21600,21600" o:gfxdata="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p3tvtQAAAAIAQAADwAAAAAAAAABACAAAAAiAAAAZHJzL2Rvd25yZXYueG1sUEsBAhQAFAAA&#10;AAgAh07iQCvt69YsAgAAVwQAAA4AAAAAAAAAAQAgAAAAIwEAAGRycy9lMm9Eb2MueG1sUEsFBgAA&#10;AAAGAAYAWQEAAMEFAAAAAA==&#10;">
              <v:fill on="f" focussize="0,0"/>
              <v:stroke on="f" weight="0.5pt"/>
              <v:imagedata o:title=""/>
              <o:lock v:ext="edit" aspectratio="f"/>
              <v:textbox inset="0mm,0mm,0mm,0mm" style="mso-fit-shape-to-text:t;">
                <w:txbxContent>
                  <w:p w14:paraId="62E502BA">
                    <w:pPr>
                      <w:bidi/>
                      <w:snapToGrid w:val="0"/>
                      <w:ind w:firstLine="280" w:firstLineChars="10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isplayBackgroundShape w:val="1"/>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NWYwNjY3NTM5ZWI2NTlkNTI2ZWQyYzI3ODZlNjYifQ=="/>
  </w:docVars>
  <w:rsids>
    <w:rsidRoot w:val="00172A27"/>
    <w:rsid w:val="000145DF"/>
    <w:rsid w:val="0001743D"/>
    <w:rsid w:val="00023B11"/>
    <w:rsid w:val="0003171D"/>
    <w:rsid w:val="00050435"/>
    <w:rsid w:val="000534A7"/>
    <w:rsid w:val="000603D1"/>
    <w:rsid w:val="00091503"/>
    <w:rsid w:val="000A57DC"/>
    <w:rsid w:val="000B798D"/>
    <w:rsid w:val="000D5A63"/>
    <w:rsid w:val="000E0971"/>
    <w:rsid w:val="000E45EB"/>
    <w:rsid w:val="000F371F"/>
    <w:rsid w:val="00107706"/>
    <w:rsid w:val="00113260"/>
    <w:rsid w:val="00141240"/>
    <w:rsid w:val="00172A27"/>
    <w:rsid w:val="001B58E9"/>
    <w:rsid w:val="001C32D0"/>
    <w:rsid w:val="001F2557"/>
    <w:rsid w:val="00206A32"/>
    <w:rsid w:val="00224B19"/>
    <w:rsid w:val="00244BD8"/>
    <w:rsid w:val="00252171"/>
    <w:rsid w:val="00257D48"/>
    <w:rsid w:val="00261E28"/>
    <w:rsid w:val="0027464C"/>
    <w:rsid w:val="002756DE"/>
    <w:rsid w:val="00280881"/>
    <w:rsid w:val="00285F9D"/>
    <w:rsid w:val="002A42AE"/>
    <w:rsid w:val="002B27AF"/>
    <w:rsid w:val="002C2AA8"/>
    <w:rsid w:val="002D2C1F"/>
    <w:rsid w:val="002D6ABD"/>
    <w:rsid w:val="002F0442"/>
    <w:rsid w:val="0030030E"/>
    <w:rsid w:val="0034292D"/>
    <w:rsid w:val="00357E59"/>
    <w:rsid w:val="00373467"/>
    <w:rsid w:val="003B292D"/>
    <w:rsid w:val="003B7B73"/>
    <w:rsid w:val="003C347A"/>
    <w:rsid w:val="003D700E"/>
    <w:rsid w:val="003E7EAB"/>
    <w:rsid w:val="004047B4"/>
    <w:rsid w:val="004061B5"/>
    <w:rsid w:val="004107F7"/>
    <w:rsid w:val="00415CDD"/>
    <w:rsid w:val="00416C83"/>
    <w:rsid w:val="00417E29"/>
    <w:rsid w:val="004434F5"/>
    <w:rsid w:val="00453AD6"/>
    <w:rsid w:val="00491AC6"/>
    <w:rsid w:val="004A0FE8"/>
    <w:rsid w:val="004B626C"/>
    <w:rsid w:val="004D6B23"/>
    <w:rsid w:val="004D6F61"/>
    <w:rsid w:val="004E7CAF"/>
    <w:rsid w:val="00514BA3"/>
    <w:rsid w:val="00522DA6"/>
    <w:rsid w:val="0053131D"/>
    <w:rsid w:val="00537605"/>
    <w:rsid w:val="00546CC7"/>
    <w:rsid w:val="00553587"/>
    <w:rsid w:val="005547A9"/>
    <w:rsid w:val="00554FB0"/>
    <w:rsid w:val="00557209"/>
    <w:rsid w:val="00573CB3"/>
    <w:rsid w:val="00585B1F"/>
    <w:rsid w:val="00585F40"/>
    <w:rsid w:val="0059511A"/>
    <w:rsid w:val="005A1D8E"/>
    <w:rsid w:val="005A7D3B"/>
    <w:rsid w:val="005B7CE9"/>
    <w:rsid w:val="005C259D"/>
    <w:rsid w:val="005C3E96"/>
    <w:rsid w:val="005E7F9F"/>
    <w:rsid w:val="005F7159"/>
    <w:rsid w:val="00604AC8"/>
    <w:rsid w:val="00604D6E"/>
    <w:rsid w:val="00611384"/>
    <w:rsid w:val="00614809"/>
    <w:rsid w:val="00622954"/>
    <w:rsid w:val="0063508C"/>
    <w:rsid w:val="00651742"/>
    <w:rsid w:val="00662A79"/>
    <w:rsid w:val="0066767E"/>
    <w:rsid w:val="00671B4F"/>
    <w:rsid w:val="00675F5D"/>
    <w:rsid w:val="00682D02"/>
    <w:rsid w:val="006846F9"/>
    <w:rsid w:val="00692235"/>
    <w:rsid w:val="006A1949"/>
    <w:rsid w:val="006C1340"/>
    <w:rsid w:val="006C4634"/>
    <w:rsid w:val="006C5182"/>
    <w:rsid w:val="00722574"/>
    <w:rsid w:val="007229AC"/>
    <w:rsid w:val="007407E6"/>
    <w:rsid w:val="00751228"/>
    <w:rsid w:val="00752795"/>
    <w:rsid w:val="007534BC"/>
    <w:rsid w:val="00761F7C"/>
    <w:rsid w:val="00784B75"/>
    <w:rsid w:val="007861ED"/>
    <w:rsid w:val="007B0105"/>
    <w:rsid w:val="007B4BFA"/>
    <w:rsid w:val="007C2F45"/>
    <w:rsid w:val="007E5A1E"/>
    <w:rsid w:val="007F10E0"/>
    <w:rsid w:val="008062EA"/>
    <w:rsid w:val="008133D9"/>
    <w:rsid w:val="008175D5"/>
    <w:rsid w:val="00836320"/>
    <w:rsid w:val="00846C86"/>
    <w:rsid w:val="00864C99"/>
    <w:rsid w:val="00897970"/>
    <w:rsid w:val="008A38B6"/>
    <w:rsid w:val="008A5DA7"/>
    <w:rsid w:val="008C069C"/>
    <w:rsid w:val="008C154D"/>
    <w:rsid w:val="008E692C"/>
    <w:rsid w:val="008E789F"/>
    <w:rsid w:val="008F3B4F"/>
    <w:rsid w:val="008F683A"/>
    <w:rsid w:val="00900BC4"/>
    <w:rsid w:val="00902D9E"/>
    <w:rsid w:val="00916E95"/>
    <w:rsid w:val="00922712"/>
    <w:rsid w:val="009234D2"/>
    <w:rsid w:val="00927DA8"/>
    <w:rsid w:val="009359AE"/>
    <w:rsid w:val="00946469"/>
    <w:rsid w:val="00950878"/>
    <w:rsid w:val="00964CD4"/>
    <w:rsid w:val="00965CAD"/>
    <w:rsid w:val="00965FC7"/>
    <w:rsid w:val="00972BFF"/>
    <w:rsid w:val="00991373"/>
    <w:rsid w:val="00992FA5"/>
    <w:rsid w:val="009A21C0"/>
    <w:rsid w:val="009A46DE"/>
    <w:rsid w:val="009D4DF0"/>
    <w:rsid w:val="009D57E4"/>
    <w:rsid w:val="009E5B76"/>
    <w:rsid w:val="009E6D35"/>
    <w:rsid w:val="009E7FF7"/>
    <w:rsid w:val="00A115EC"/>
    <w:rsid w:val="00A120D1"/>
    <w:rsid w:val="00A15831"/>
    <w:rsid w:val="00A20187"/>
    <w:rsid w:val="00A40378"/>
    <w:rsid w:val="00A52C11"/>
    <w:rsid w:val="00A80FC3"/>
    <w:rsid w:val="00A8521D"/>
    <w:rsid w:val="00A872AF"/>
    <w:rsid w:val="00AA417B"/>
    <w:rsid w:val="00AB2306"/>
    <w:rsid w:val="00AB4E57"/>
    <w:rsid w:val="00B20A63"/>
    <w:rsid w:val="00B24C61"/>
    <w:rsid w:val="00B27EE3"/>
    <w:rsid w:val="00B42BFA"/>
    <w:rsid w:val="00B47B16"/>
    <w:rsid w:val="00B60B6D"/>
    <w:rsid w:val="00B62CB9"/>
    <w:rsid w:val="00B750DE"/>
    <w:rsid w:val="00B85675"/>
    <w:rsid w:val="00B85DBB"/>
    <w:rsid w:val="00B95643"/>
    <w:rsid w:val="00B95823"/>
    <w:rsid w:val="00BC5F94"/>
    <w:rsid w:val="00BD2221"/>
    <w:rsid w:val="00BE25FE"/>
    <w:rsid w:val="00BE42A8"/>
    <w:rsid w:val="00BF142D"/>
    <w:rsid w:val="00BF6D73"/>
    <w:rsid w:val="00C0109C"/>
    <w:rsid w:val="00C1057B"/>
    <w:rsid w:val="00C30CF7"/>
    <w:rsid w:val="00C56ABA"/>
    <w:rsid w:val="00C641EC"/>
    <w:rsid w:val="00CA4E87"/>
    <w:rsid w:val="00CB293D"/>
    <w:rsid w:val="00CC3002"/>
    <w:rsid w:val="00CC3B59"/>
    <w:rsid w:val="00CC7CA9"/>
    <w:rsid w:val="00CD05F4"/>
    <w:rsid w:val="00CD363A"/>
    <w:rsid w:val="00CD40AF"/>
    <w:rsid w:val="00CD5801"/>
    <w:rsid w:val="00CF054C"/>
    <w:rsid w:val="00D137E0"/>
    <w:rsid w:val="00D317CE"/>
    <w:rsid w:val="00D35FC0"/>
    <w:rsid w:val="00D42F57"/>
    <w:rsid w:val="00D56960"/>
    <w:rsid w:val="00D722DE"/>
    <w:rsid w:val="00D745B8"/>
    <w:rsid w:val="00D90665"/>
    <w:rsid w:val="00DA3D20"/>
    <w:rsid w:val="00DB3D57"/>
    <w:rsid w:val="00DB427F"/>
    <w:rsid w:val="00DD16D6"/>
    <w:rsid w:val="00DE3C64"/>
    <w:rsid w:val="00E066FA"/>
    <w:rsid w:val="00E12F0B"/>
    <w:rsid w:val="00E305EE"/>
    <w:rsid w:val="00E624B9"/>
    <w:rsid w:val="00E700B0"/>
    <w:rsid w:val="00E75827"/>
    <w:rsid w:val="00E8488A"/>
    <w:rsid w:val="00E86F0C"/>
    <w:rsid w:val="00E922F8"/>
    <w:rsid w:val="00E93450"/>
    <w:rsid w:val="00E93D4F"/>
    <w:rsid w:val="00EA0788"/>
    <w:rsid w:val="00EA54D8"/>
    <w:rsid w:val="00EB05DF"/>
    <w:rsid w:val="00EB0D3C"/>
    <w:rsid w:val="00EC6EA2"/>
    <w:rsid w:val="00ED621F"/>
    <w:rsid w:val="00EE5714"/>
    <w:rsid w:val="00EE58BD"/>
    <w:rsid w:val="00F01C39"/>
    <w:rsid w:val="00F04F2B"/>
    <w:rsid w:val="00F10B9D"/>
    <w:rsid w:val="00F16793"/>
    <w:rsid w:val="00F219CD"/>
    <w:rsid w:val="00F2620C"/>
    <w:rsid w:val="00F426C5"/>
    <w:rsid w:val="00F442D7"/>
    <w:rsid w:val="00F553DE"/>
    <w:rsid w:val="00F60999"/>
    <w:rsid w:val="00F7016C"/>
    <w:rsid w:val="00F81AA9"/>
    <w:rsid w:val="00F840B0"/>
    <w:rsid w:val="00F977E4"/>
    <w:rsid w:val="00FA4490"/>
    <w:rsid w:val="00FA7386"/>
    <w:rsid w:val="00FB287C"/>
    <w:rsid w:val="00FC5F39"/>
    <w:rsid w:val="00FD12AC"/>
    <w:rsid w:val="00FD60B7"/>
    <w:rsid w:val="00FF606F"/>
    <w:rsid w:val="018B7DBC"/>
    <w:rsid w:val="019C2363"/>
    <w:rsid w:val="01B75A8F"/>
    <w:rsid w:val="02514973"/>
    <w:rsid w:val="036253FE"/>
    <w:rsid w:val="0522647B"/>
    <w:rsid w:val="05907681"/>
    <w:rsid w:val="06E05AE4"/>
    <w:rsid w:val="072D0D42"/>
    <w:rsid w:val="074C4B7B"/>
    <w:rsid w:val="07962A79"/>
    <w:rsid w:val="07F773ED"/>
    <w:rsid w:val="09D05E45"/>
    <w:rsid w:val="0A560642"/>
    <w:rsid w:val="0C420E53"/>
    <w:rsid w:val="0D1809D7"/>
    <w:rsid w:val="0D5F5E5E"/>
    <w:rsid w:val="0F94341D"/>
    <w:rsid w:val="0FEA1A2C"/>
    <w:rsid w:val="108C7E04"/>
    <w:rsid w:val="10C82F30"/>
    <w:rsid w:val="11124F95"/>
    <w:rsid w:val="11243E56"/>
    <w:rsid w:val="120877FE"/>
    <w:rsid w:val="13511DA5"/>
    <w:rsid w:val="13E13312"/>
    <w:rsid w:val="156120DE"/>
    <w:rsid w:val="1592411F"/>
    <w:rsid w:val="159526C2"/>
    <w:rsid w:val="173E6AE4"/>
    <w:rsid w:val="175B06FB"/>
    <w:rsid w:val="181D1AB1"/>
    <w:rsid w:val="182C6C3F"/>
    <w:rsid w:val="18D019BE"/>
    <w:rsid w:val="193E0279"/>
    <w:rsid w:val="195B5909"/>
    <w:rsid w:val="1A2E1092"/>
    <w:rsid w:val="1BC01649"/>
    <w:rsid w:val="1C8A1BFF"/>
    <w:rsid w:val="1D1E2B7A"/>
    <w:rsid w:val="1E591960"/>
    <w:rsid w:val="1F0671D0"/>
    <w:rsid w:val="1F5627F9"/>
    <w:rsid w:val="1F665A05"/>
    <w:rsid w:val="1F8129CE"/>
    <w:rsid w:val="20040BBF"/>
    <w:rsid w:val="2142287E"/>
    <w:rsid w:val="219E1A02"/>
    <w:rsid w:val="221436B8"/>
    <w:rsid w:val="22903D7B"/>
    <w:rsid w:val="236B4CAD"/>
    <w:rsid w:val="2609257A"/>
    <w:rsid w:val="260F4D07"/>
    <w:rsid w:val="29677DFF"/>
    <w:rsid w:val="29BF33CA"/>
    <w:rsid w:val="2B8A65FA"/>
    <w:rsid w:val="2BF7696B"/>
    <w:rsid w:val="2C622962"/>
    <w:rsid w:val="2D4C7384"/>
    <w:rsid w:val="2E6E1954"/>
    <w:rsid w:val="2FE37DD1"/>
    <w:rsid w:val="31521AA8"/>
    <w:rsid w:val="319121DA"/>
    <w:rsid w:val="33897819"/>
    <w:rsid w:val="358A1C67"/>
    <w:rsid w:val="373B04F2"/>
    <w:rsid w:val="398F0E23"/>
    <w:rsid w:val="3A22107D"/>
    <w:rsid w:val="3A5937EA"/>
    <w:rsid w:val="3C300921"/>
    <w:rsid w:val="3C525B05"/>
    <w:rsid w:val="3D3F6C08"/>
    <w:rsid w:val="3D935D5E"/>
    <w:rsid w:val="3DF9513C"/>
    <w:rsid w:val="3F7A7CB0"/>
    <w:rsid w:val="403A57EB"/>
    <w:rsid w:val="406C3278"/>
    <w:rsid w:val="42834B5F"/>
    <w:rsid w:val="43870D83"/>
    <w:rsid w:val="43903D36"/>
    <w:rsid w:val="441D6C32"/>
    <w:rsid w:val="468107CD"/>
    <w:rsid w:val="497D7FD0"/>
    <w:rsid w:val="49CE19A5"/>
    <w:rsid w:val="4A3B4B71"/>
    <w:rsid w:val="4BB22586"/>
    <w:rsid w:val="4EA706E8"/>
    <w:rsid w:val="4ED658DD"/>
    <w:rsid w:val="4EF676C9"/>
    <w:rsid w:val="54335C3A"/>
    <w:rsid w:val="54465692"/>
    <w:rsid w:val="552C6115"/>
    <w:rsid w:val="555651EF"/>
    <w:rsid w:val="55713CC5"/>
    <w:rsid w:val="56C31A9B"/>
    <w:rsid w:val="56ED1F19"/>
    <w:rsid w:val="570706CE"/>
    <w:rsid w:val="58C63C68"/>
    <w:rsid w:val="5925524F"/>
    <w:rsid w:val="598F645E"/>
    <w:rsid w:val="5A753DA0"/>
    <w:rsid w:val="5A800AEE"/>
    <w:rsid w:val="5BEC17D7"/>
    <w:rsid w:val="5C481E58"/>
    <w:rsid w:val="5C9C2D65"/>
    <w:rsid w:val="5CAE321D"/>
    <w:rsid w:val="5DF877FC"/>
    <w:rsid w:val="5E391380"/>
    <w:rsid w:val="5EBD55A4"/>
    <w:rsid w:val="60172FFB"/>
    <w:rsid w:val="61475B62"/>
    <w:rsid w:val="615E7E81"/>
    <w:rsid w:val="61A64355"/>
    <w:rsid w:val="62976475"/>
    <w:rsid w:val="653D2954"/>
    <w:rsid w:val="654747FD"/>
    <w:rsid w:val="658723F5"/>
    <w:rsid w:val="66A20D40"/>
    <w:rsid w:val="66B229D7"/>
    <w:rsid w:val="67E870D7"/>
    <w:rsid w:val="68C53F3C"/>
    <w:rsid w:val="69777056"/>
    <w:rsid w:val="6BFB74AA"/>
    <w:rsid w:val="6CCD7863"/>
    <w:rsid w:val="6F067393"/>
    <w:rsid w:val="6FC20879"/>
    <w:rsid w:val="6FE078AE"/>
    <w:rsid w:val="7012558D"/>
    <w:rsid w:val="70322FDA"/>
    <w:rsid w:val="70A24B63"/>
    <w:rsid w:val="71924BD7"/>
    <w:rsid w:val="72B74DE0"/>
    <w:rsid w:val="73C7444D"/>
    <w:rsid w:val="742A10F7"/>
    <w:rsid w:val="74C37BC5"/>
    <w:rsid w:val="751F117C"/>
    <w:rsid w:val="75C14B6E"/>
    <w:rsid w:val="76A675C7"/>
    <w:rsid w:val="76D95A12"/>
    <w:rsid w:val="775D5A4D"/>
    <w:rsid w:val="781F77FF"/>
    <w:rsid w:val="78F3578F"/>
    <w:rsid w:val="79D352AF"/>
    <w:rsid w:val="7B672277"/>
    <w:rsid w:val="7CA875CE"/>
    <w:rsid w:val="7D340104"/>
    <w:rsid w:val="7DF64C65"/>
    <w:rsid w:val="7ED83E28"/>
    <w:rsid w:val="7F740C74"/>
    <w:rsid w:val="7F965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link w:val="3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index 8"/>
    <w:basedOn w:val="1"/>
    <w:next w:val="1"/>
    <w:unhideWhenUsed/>
    <w:qFormat/>
    <w:uiPriority w:val="99"/>
    <w:pPr>
      <w:ind w:left="2940"/>
    </w:pPr>
  </w:style>
  <w:style w:type="paragraph" w:styleId="6">
    <w:name w:val="Normal Indent"/>
    <w:basedOn w:val="1"/>
    <w:qFormat/>
    <w:uiPriority w:val="0"/>
    <w:pPr>
      <w:ind w:firstLine="420" w:firstLineChars="200"/>
    </w:pPr>
  </w:style>
  <w:style w:type="paragraph" w:styleId="7">
    <w:name w:val="Body Text Indent"/>
    <w:basedOn w:val="1"/>
    <w:qFormat/>
    <w:uiPriority w:val="0"/>
    <w:pPr>
      <w:spacing w:after="120"/>
      <w:ind w:left="200" w:leftChars="200"/>
    </w:pPr>
  </w:style>
  <w:style w:type="paragraph" w:styleId="8">
    <w:name w:val="Date"/>
    <w:basedOn w:val="1"/>
    <w:next w:val="1"/>
    <w:link w:val="22"/>
    <w:qFormat/>
    <w:uiPriority w:val="0"/>
    <w:pPr>
      <w:ind w:left="100" w:leftChars="2500"/>
    </w:pPr>
  </w:style>
  <w:style w:type="paragraph" w:styleId="9">
    <w:name w:val="Balloon Text"/>
    <w:basedOn w:val="1"/>
    <w:link w:val="30"/>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2"/>
    <w:basedOn w:val="7"/>
    <w:qFormat/>
    <w:uiPriority w:val="0"/>
    <w:pPr>
      <w:tabs>
        <w:tab w:val="left" w:pos="960"/>
      </w:tabs>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FollowedHyperlink"/>
    <w:basedOn w:val="18"/>
    <w:qFormat/>
    <w:uiPriority w:val="99"/>
    <w:rPr>
      <w:color w:val="800080"/>
      <w:u w:val="none"/>
    </w:rPr>
  </w:style>
  <w:style w:type="character" w:styleId="21">
    <w:name w:val="Hyperlink"/>
    <w:basedOn w:val="18"/>
    <w:qFormat/>
    <w:uiPriority w:val="99"/>
    <w:rPr>
      <w:color w:val="0000FF"/>
      <w:u w:val="none"/>
    </w:rPr>
  </w:style>
  <w:style w:type="character" w:customStyle="1" w:styleId="22">
    <w:name w:val="日期 Char"/>
    <w:basedOn w:val="18"/>
    <w:link w:val="8"/>
    <w:qFormat/>
    <w:uiPriority w:val="0"/>
    <w:rPr>
      <w:rFonts w:asciiTheme="minorHAnsi" w:hAnsiTheme="minorHAnsi" w:eastAsiaTheme="minorEastAsia" w:cstheme="minorBidi"/>
      <w:kern w:val="2"/>
      <w:sz w:val="21"/>
      <w:szCs w:val="24"/>
    </w:rPr>
  </w:style>
  <w:style w:type="paragraph" w:customStyle="1" w:styleId="23">
    <w:name w:val="样式1"/>
    <w:basedOn w:val="1"/>
    <w:qFormat/>
    <w:uiPriority w:val="0"/>
    <w:pPr>
      <w:spacing w:line="560" w:lineRule="exact"/>
      <w:ind w:firstLine="640" w:firstLineChars="200"/>
    </w:pPr>
    <w:rPr>
      <w:rFonts w:eastAsia="仿宋_GB2312"/>
      <w:sz w:val="32"/>
      <w:szCs w:val="32"/>
    </w:rPr>
  </w:style>
  <w:style w:type="paragraph" w:customStyle="1" w:styleId="24">
    <w:name w:val="样式2"/>
    <w:basedOn w:val="10"/>
    <w:qFormat/>
    <w:uiPriority w:val="0"/>
    <w:pPr>
      <w:spacing w:line="560" w:lineRule="exact"/>
      <w:ind w:firstLine="880" w:firstLineChars="200"/>
    </w:pPr>
    <w:rPr>
      <w:rFonts w:eastAsia="仿宋_GB2312"/>
      <w:sz w:val="32"/>
      <w:szCs w:val="32"/>
    </w:rPr>
  </w:style>
  <w:style w:type="paragraph" w:customStyle="1" w:styleId="25">
    <w:name w:val="样式3"/>
    <w:basedOn w:val="24"/>
    <w:next w:val="4"/>
    <w:qFormat/>
    <w:uiPriority w:val="0"/>
    <w:pPr>
      <w:jc w:val="center"/>
    </w:pPr>
    <w:rPr>
      <w:rFonts w:eastAsia="方正小标宋_GBK"/>
      <w:b/>
      <w:sz w:val="44"/>
    </w:rPr>
  </w:style>
  <w:style w:type="paragraph" w:customStyle="1" w:styleId="26">
    <w:name w:val="样式4"/>
    <w:basedOn w:val="24"/>
    <w:qFormat/>
    <w:uiPriority w:val="0"/>
  </w:style>
  <w:style w:type="character" w:customStyle="1" w:styleId="27">
    <w:name w:val="txt2"/>
    <w:qFormat/>
    <w:uiPriority w:val="0"/>
  </w:style>
  <w:style w:type="paragraph" w:styleId="28">
    <w:name w:val="List Paragraph"/>
    <w:basedOn w:val="1"/>
    <w:unhideWhenUsed/>
    <w:qFormat/>
    <w:uiPriority w:val="99"/>
    <w:pPr>
      <w:ind w:firstLine="420" w:firstLineChars="200"/>
    </w:pPr>
  </w:style>
  <w:style w:type="paragraph" w:customStyle="1" w:styleId="29">
    <w:name w:val="p0"/>
    <w:basedOn w:val="1"/>
    <w:qFormat/>
    <w:uiPriority w:val="0"/>
    <w:pPr>
      <w:widowControl/>
    </w:pPr>
    <w:rPr>
      <w:rFonts w:ascii="Calibri" w:hAnsi="Calibri" w:eastAsia="宋体" w:cs="Times New Roman"/>
      <w:kern w:val="0"/>
      <w:szCs w:val="21"/>
    </w:rPr>
  </w:style>
  <w:style w:type="character" w:customStyle="1" w:styleId="30">
    <w:name w:val="批注框文本 Char"/>
    <w:basedOn w:val="18"/>
    <w:link w:val="9"/>
    <w:qFormat/>
    <w:uiPriority w:val="0"/>
    <w:rPr>
      <w:rFonts w:asciiTheme="minorHAnsi" w:hAnsiTheme="minorHAnsi" w:eastAsiaTheme="minorEastAsia" w:cstheme="minorBidi"/>
      <w:kern w:val="2"/>
      <w:sz w:val="18"/>
      <w:szCs w:val="18"/>
    </w:rPr>
  </w:style>
  <w:style w:type="character" w:customStyle="1" w:styleId="31">
    <w:name w:val="标题 2 Char"/>
    <w:basedOn w:val="18"/>
    <w:link w:val="5"/>
    <w:qFormat/>
    <w:uiPriority w:val="9"/>
    <w:rPr>
      <w:rFonts w:hint="eastAsia" w:ascii="宋体" w:hAnsi="宋体" w:eastAsia="宋体" w:cs="宋体"/>
      <w:b/>
      <w:kern w:val="0"/>
      <w:sz w:val="36"/>
      <w:szCs w:val="3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53</Pages>
  <Words>708</Words>
  <Characters>741</Characters>
  <Lines>1</Lines>
  <Paragraphs>2</Paragraphs>
  <TotalTime>4</TotalTime>
  <ScaleCrop>false</ScaleCrop>
  <LinksUpToDate>false</LinksUpToDate>
  <CharactersWithSpaces>778</CharactersWithSpaces>
  <Application>WPS Office_12.1.0.28043_F1E327BC-269C-435d-A152-05C5408002CA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2024-06-11T01:15:00Z</dcterms:created>
  <dc:creator>zhaoxinlei</dc:creator>
  <cp:lastModifiedBy>思绪</cp:lastModifiedBy>
  <cp:lastPrinted>2022-06-17T03:30:00Z</cp:lastPrinted>
  <dcterms:modified xsi:type="dcterms:W3CDTF">2026-08-05T03:38:27Z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2CFE028CAD6A4C559C4A17692060C700_13</vt:lpwstr>
  </property>
  <property fmtid="{D5CDD505-2E9C-101B-9397-08002B2CF9AE}" pid="4" name="KSOTemplateDocerSaveRecord">
    <vt:lpwstr>eyJoZGlkIjoiZWFkZDY4ODczMjYxY2Y2ODdkMmEzNjljNDhkZDFjZDkiLCJ1c2VySWQiOiIyOTgxODQ0NjAifQ==</vt:lpwstr>
  </property>
</Properties>
</file>