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lang w:eastAsia="zh-CN"/>
        </w:rPr>
        <w:t>壤塘县中壤塘镇卫生院</w:t>
      </w:r>
    </w:p>
    <w:p>
      <w:pPr>
        <w:jc w:val="center"/>
        <w:rPr>
          <w:rFonts w:ascii="黑体" w:eastAsia="黑体"/>
          <w:sz w:val="44"/>
          <w:szCs w:val="44"/>
        </w:rPr>
      </w:pPr>
      <w:r>
        <w:rPr>
          <w:rFonts w:hint="eastAsia" w:ascii="黑体" w:eastAsia="黑体"/>
          <w:sz w:val="44"/>
          <w:szCs w:val="44"/>
          <w:lang w:eastAsia="zh-CN"/>
        </w:rPr>
        <w:t>2026</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仿宋_GB2312" w:hAnsi="仿宋_GB2312" w:eastAsia="仿宋_GB2312" w:cs="仿宋_GB2312"/>
          <w:b/>
          <w:bCs/>
          <w:sz w:val="52"/>
          <w:szCs w:val="52"/>
        </w:rPr>
      </w:pPr>
      <w:r>
        <w:rPr>
          <w:rFonts w:hint="eastAsia" w:ascii="仿宋_GB2312" w:hAnsi="仿宋_GB2312" w:eastAsia="仿宋_GB2312" w:cs="仿宋_GB2312"/>
          <w:b/>
          <w:bCs/>
          <w:sz w:val="52"/>
          <w:szCs w:val="52"/>
        </w:rPr>
        <w:t>目录</w:t>
      </w:r>
    </w:p>
    <w:p>
      <w:pPr>
        <w:pStyle w:val="9"/>
        <w:ind w:firstLine="0" w:firstLineChars="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一、基本职能及主要工作</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（一）部门职能简介</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2026</w:t>
      </w:r>
      <w:r>
        <w:rPr>
          <w:rFonts w:hint="eastAsia" w:ascii="仿宋_GB2312" w:hAnsi="仿宋_GB2312" w:eastAsia="仿宋_GB2312" w:cs="仿宋_GB2312"/>
          <w:sz w:val="32"/>
          <w:szCs w:val="32"/>
        </w:rPr>
        <w:t>年重点工作</w:t>
      </w:r>
    </w:p>
    <w:p>
      <w:pPr>
        <w:pStyle w:val="9"/>
        <w:ind w:firstLine="0" w:firstLineChars="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二、部门预算单位构成</w:t>
      </w:r>
    </w:p>
    <w:p>
      <w:pPr>
        <w:pStyle w:val="9"/>
        <w:ind w:firstLine="0" w:firstLineChars="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三、收支预算情况说明</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（一）收入预算情况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（二）支出预算情况</w:t>
      </w:r>
    </w:p>
    <w:p>
      <w:pPr>
        <w:pStyle w:val="9"/>
        <w:ind w:firstLine="0" w:firstLineChars="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四、财政拨款收支预算情况说明</w:t>
      </w:r>
    </w:p>
    <w:p>
      <w:pPr>
        <w:pStyle w:val="9"/>
        <w:ind w:firstLine="0" w:firstLineChars="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五、一般公共预算当年拨款情况说明</w:t>
      </w:r>
    </w:p>
    <w:p>
      <w:pPr>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sz w:val="32"/>
          <w:szCs w:val="32"/>
        </w:rPr>
        <w:t>（一）一般公共预算当年拨款规模变化情况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（二）一般公共预算当年拨款结构情况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（三）一般公共预算当年拨款具体使用情况</w:t>
      </w:r>
      <w:r>
        <w:rPr>
          <w:rFonts w:hint="eastAsia" w:ascii="仿宋_GB2312" w:hAnsi="仿宋_GB2312" w:eastAsia="仿宋_GB2312" w:cs="仿宋_GB2312"/>
          <w:kern w:val="0"/>
          <w:sz w:val="16"/>
          <w:szCs w:val="16"/>
        </w:rPr>
        <w:br w:type="textWrapping"/>
      </w:r>
      <w:r>
        <w:rPr>
          <w:rFonts w:hint="eastAsia" w:ascii="仿宋_GB2312" w:hAnsi="仿宋_GB2312" w:eastAsia="仿宋_GB2312" w:cs="仿宋_GB2312"/>
          <w:b/>
          <w:bCs/>
          <w:kern w:val="2"/>
          <w:sz w:val="32"/>
          <w:szCs w:val="32"/>
          <w:lang w:val="en-US" w:eastAsia="zh-CN" w:bidi="ar-SA"/>
        </w:rPr>
        <w:t>六、一般公共预算基本支出情况说明</w:t>
      </w:r>
      <w:r>
        <w:rPr>
          <w:rFonts w:hint="eastAsia" w:ascii="仿宋_GB2312" w:hAnsi="仿宋_GB2312" w:eastAsia="仿宋_GB2312" w:cs="仿宋_GB2312"/>
          <w:b/>
          <w:bCs/>
          <w:kern w:val="2"/>
          <w:sz w:val="32"/>
          <w:szCs w:val="32"/>
          <w:lang w:val="en-US" w:eastAsia="zh-CN" w:bidi="ar-SA"/>
        </w:rPr>
        <w:br w:type="textWrapping"/>
      </w:r>
      <w:r>
        <w:rPr>
          <w:rFonts w:hint="eastAsia" w:ascii="仿宋_GB2312" w:hAnsi="仿宋_GB2312" w:eastAsia="仿宋_GB2312" w:cs="仿宋_GB2312"/>
          <w:b/>
          <w:bCs/>
          <w:kern w:val="2"/>
          <w:sz w:val="32"/>
          <w:szCs w:val="32"/>
          <w:lang w:val="en-US" w:eastAsia="zh-CN" w:bidi="ar-SA"/>
        </w:rPr>
        <w:t>七、“三公”经费财政拨款预算安排情况说明</w:t>
      </w:r>
      <w:r>
        <w:rPr>
          <w:rFonts w:hint="eastAsia" w:ascii="仿宋_GB2312" w:hAnsi="仿宋_GB2312" w:eastAsia="仿宋_GB2312" w:cs="仿宋_GB2312"/>
          <w:b/>
          <w:bCs/>
          <w:kern w:val="2"/>
          <w:sz w:val="32"/>
          <w:szCs w:val="32"/>
          <w:lang w:val="en-US" w:eastAsia="zh-CN" w:bidi="ar-SA"/>
        </w:rPr>
        <w:br w:type="textWrapping"/>
      </w:r>
      <w:r>
        <w:rPr>
          <w:rFonts w:hint="eastAsia" w:ascii="仿宋_GB2312" w:hAnsi="仿宋_GB2312" w:eastAsia="仿宋_GB2312" w:cs="仿宋_GB2312"/>
          <w:b/>
          <w:bCs/>
          <w:kern w:val="2"/>
          <w:sz w:val="32"/>
          <w:szCs w:val="32"/>
          <w:lang w:val="en-US" w:eastAsia="zh-CN" w:bidi="ar-SA"/>
        </w:rPr>
        <w:t>八、政府性基金预算支出情况说明</w:t>
      </w:r>
      <w:r>
        <w:rPr>
          <w:rFonts w:hint="eastAsia" w:ascii="仿宋_GB2312" w:hAnsi="仿宋_GB2312" w:eastAsia="仿宋_GB2312" w:cs="仿宋_GB2312"/>
          <w:b/>
          <w:bCs/>
          <w:kern w:val="2"/>
          <w:sz w:val="32"/>
          <w:szCs w:val="32"/>
          <w:lang w:val="en-US" w:eastAsia="zh-CN" w:bidi="ar-SA"/>
        </w:rPr>
        <w:br w:type="textWrapping"/>
      </w:r>
      <w:r>
        <w:rPr>
          <w:rFonts w:hint="eastAsia" w:ascii="仿宋_GB2312" w:hAnsi="仿宋_GB2312" w:eastAsia="仿宋_GB2312" w:cs="仿宋_GB2312"/>
          <w:b/>
          <w:bCs/>
          <w:kern w:val="2"/>
          <w:sz w:val="32"/>
          <w:szCs w:val="32"/>
          <w:lang w:val="en-US" w:eastAsia="zh-CN" w:bidi="ar-SA"/>
        </w:rPr>
        <w:t>九、其他重要事项的情况说明</w:t>
      </w:r>
      <w:r>
        <w:rPr>
          <w:rFonts w:hint="eastAsia" w:ascii="仿宋_GB2312" w:hAnsi="仿宋_GB2312" w:eastAsia="仿宋_GB2312" w:cs="仿宋_GB2312"/>
          <w:b/>
          <w:bCs/>
          <w:kern w:val="2"/>
          <w:sz w:val="32"/>
          <w:szCs w:val="32"/>
          <w:lang w:val="en-US" w:eastAsia="zh-CN" w:bidi="ar-SA"/>
        </w:rPr>
        <w:br w:type="textWrapping"/>
      </w:r>
      <w:r>
        <w:rPr>
          <w:rFonts w:hint="eastAsia" w:ascii="仿宋_GB2312" w:hAnsi="仿宋_GB2312" w:eastAsia="仿宋_GB2312" w:cs="仿宋_GB2312"/>
          <w:b/>
          <w:bCs/>
          <w:kern w:val="2"/>
          <w:sz w:val="32"/>
          <w:szCs w:val="32"/>
          <w:lang w:val="en-US" w:eastAsia="zh-CN" w:bidi="ar-SA"/>
        </w:rPr>
        <w:t>十、名称解释</w:t>
      </w:r>
    </w:p>
    <w:p>
      <w:pPr>
        <w:rPr>
          <w:rFonts w:hint="eastAsia" w:ascii="仿宋_GB2312" w:hAnsi="仿宋_GB2312" w:eastAsia="仿宋_GB2312" w:cs="仿宋_GB2312"/>
          <w:sz w:val="32"/>
          <w:szCs w:val="32"/>
        </w:rPr>
      </w:pPr>
    </w:p>
    <w:p>
      <w:pPr>
        <w:widowControl/>
        <w:shd w:val="clear" w:color="auto" w:fill="FFFFFF"/>
        <w:spacing w:before="100" w:beforeAutospacing="1" w:after="100" w:afterAutospacing="1" w:line="290" w:lineRule="atLeast"/>
        <w:ind w:right="300"/>
        <w:jc w:val="left"/>
        <w:rPr>
          <w:rFonts w:hint="eastAsia" w:ascii="仿宋_GB2312" w:hAnsi="仿宋_GB2312" w:eastAsia="仿宋_GB2312" w:cs="仿宋_GB2312"/>
          <w:kern w:val="0"/>
          <w:sz w:val="12"/>
          <w:szCs w:val="12"/>
        </w:rPr>
      </w:pPr>
    </w:p>
    <w:p>
      <w:pPr>
        <w:pStyle w:val="9"/>
        <w:rPr>
          <w:rFonts w:hint="eastAsia" w:ascii="仿宋_GB2312" w:hAnsi="仿宋_GB2312" w:eastAsia="仿宋_GB2312" w:cs="仿宋_GB2312"/>
          <w:b/>
          <w:bCs/>
          <w:kern w:val="2"/>
          <w:sz w:val="32"/>
          <w:szCs w:val="32"/>
          <w:lang w:val="en-US" w:eastAsia="zh-CN" w:bidi="ar-SA"/>
        </w:rPr>
      </w:pPr>
    </w:p>
    <w:p>
      <w:pPr>
        <w:pStyle w:val="9"/>
        <w:ind w:left="0" w:leftChars="0" w:firstLine="0" w:firstLineChars="0"/>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一、基本职能及主要工作</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（一）部门职能简介</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在县卫生健康局</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领导</w:t>
      </w:r>
      <w:r>
        <w:rPr>
          <w:rFonts w:hint="eastAsia" w:ascii="仿宋_GB2312" w:hAnsi="仿宋_GB2312" w:eastAsia="仿宋_GB2312" w:cs="仿宋_GB2312"/>
          <w:sz w:val="32"/>
          <w:szCs w:val="32"/>
          <w:lang w:eastAsia="zh-CN"/>
        </w:rPr>
        <w:t>及</w:t>
      </w:r>
      <w:r>
        <w:rPr>
          <w:rFonts w:hint="eastAsia" w:ascii="仿宋_GB2312" w:hAnsi="仿宋_GB2312" w:eastAsia="仿宋_GB2312" w:cs="仿宋_GB2312"/>
          <w:sz w:val="32"/>
          <w:szCs w:val="32"/>
        </w:rPr>
        <w:t>协调下开展</w:t>
      </w:r>
      <w:r>
        <w:rPr>
          <w:rFonts w:hint="eastAsia" w:ascii="仿宋_GB2312" w:hAnsi="仿宋_GB2312" w:eastAsia="仿宋_GB2312" w:cs="仿宋_GB2312"/>
          <w:sz w:val="32"/>
          <w:szCs w:val="32"/>
          <w:lang w:eastAsia="zh-CN"/>
        </w:rPr>
        <w:t>对</w:t>
      </w:r>
      <w:r>
        <w:rPr>
          <w:rFonts w:hint="eastAsia" w:ascii="仿宋_GB2312" w:hAnsi="仿宋_GB2312" w:eastAsia="仿宋_GB2312" w:cs="仿宋_GB2312"/>
          <w:sz w:val="32"/>
          <w:szCs w:val="32"/>
        </w:rPr>
        <w:t>基本公共卫生服务，基本医疗服务，大骨节康复治疗服务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对重大疾病、流行病、传染病及突发公共卫生事件进行预防控制工作，配合有关部门对重大事件实施防控，</w:t>
      </w:r>
      <w:r>
        <w:rPr>
          <w:rFonts w:hint="eastAsia" w:ascii="仿宋_GB2312" w:hAnsi="仿宋_GB2312" w:eastAsia="仿宋_GB2312" w:cs="仿宋_GB2312"/>
          <w:sz w:val="32"/>
          <w:szCs w:val="32"/>
          <w:lang w:eastAsia="zh-CN"/>
        </w:rPr>
        <w:t>并及时</w:t>
      </w:r>
      <w:r>
        <w:rPr>
          <w:rFonts w:hint="eastAsia" w:ascii="仿宋_GB2312" w:hAnsi="仿宋_GB2312" w:eastAsia="仿宋_GB2312" w:cs="仿宋_GB2312"/>
          <w:sz w:val="32"/>
          <w:szCs w:val="32"/>
        </w:rPr>
        <w:t>报告病情信息。</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参与县各乡镇的应急、救灾等方面工作；</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负责乡镇范围内群众的健康保健指导，对群众及职工进行健康检查，以及开展预防、保健知识的宣传和咨询工作。</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负责乡镇基层乡村卫生工作者的业务培训。</w:t>
      </w:r>
    </w:p>
    <w:p>
      <w:pPr>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2026</w:t>
      </w:r>
      <w:r>
        <w:rPr>
          <w:rFonts w:hint="eastAsia" w:ascii="仿宋_GB2312" w:hAnsi="仿宋_GB2312" w:eastAsia="仿宋_GB2312" w:cs="仿宋_GB2312"/>
          <w:sz w:val="32"/>
          <w:szCs w:val="32"/>
        </w:rPr>
        <w:t>年重点工作</w:t>
      </w:r>
    </w:p>
    <w:p>
      <w:pPr>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、服务项目</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居民健康档案管理服务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孕产妇、0-6岁儿童、65岁以上老年人、慢性病患者、残疾人等人群为重点，在自愿的基础上，为辖区常住人口建立统一、规范的居民健康档案。重点开展健康档案核查清理活动，规范档案的应用、调取、转移，建立定期维护制度。</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健康教育服务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按照县</w:t>
      </w:r>
      <w:r>
        <w:rPr>
          <w:rFonts w:hint="eastAsia" w:ascii="仿宋_GB2312" w:hAnsi="仿宋_GB2312" w:eastAsia="仿宋_GB2312" w:cs="仿宋_GB2312"/>
          <w:sz w:val="32"/>
          <w:szCs w:val="32"/>
          <w:lang w:eastAsia="zh-CN"/>
        </w:rPr>
        <w:t>卫生健康局</w:t>
      </w:r>
      <w:r>
        <w:rPr>
          <w:rFonts w:hint="eastAsia" w:ascii="仿宋_GB2312" w:hAnsi="仿宋_GB2312" w:eastAsia="仿宋_GB2312" w:cs="仿宋_GB2312"/>
          <w:sz w:val="32"/>
          <w:szCs w:val="32"/>
        </w:rPr>
        <w:t>的统一部署，确保居民健康素养相关知识知晓率≥85%。</w:t>
      </w:r>
    </w:p>
    <w:p>
      <w:pPr>
        <w:ind w:firstLine="640" w:firstLineChars="200"/>
        <w:rPr>
          <w:rFonts w:hint="eastAsia" w:ascii="仿宋_GB2312" w:hAnsi="仿宋_GB2312" w:eastAsia="仿宋_GB2312" w:cs="仿宋_GB2312"/>
          <w:sz w:val="32"/>
          <w:szCs w:val="32"/>
          <w:lang w:val="en-US" w:eastAsia="zh-CN"/>
        </w:rPr>
      </w:pP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预防接种服务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为适龄儿童建立预防接种证;强化安全注射;加强预防接种信息管理，加大流动人口预防接种力度，定期开展漏种排查并及时补种;做好预防接种的宣传工作,创建预防接种微信群，做到应接尽接。</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0</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6岁儿童健康管理服务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加强儿童系统保健管理，认真开展儿童保健工作，开展心理行为教育、母乳喂养、意外伤害预防、常见疾病防治等，规范填写健康档案。</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)孕产妇健康管理服务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结合孕产妇管理系统的应用，积极接受技术培训和业务指导，提升孕产妇健康服务水平，在产前管理和产后随访上实现新突破。</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老年人健康管理服务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对辖区内65岁以上老年人进行登记管理，进行健康危险因素调查和一般体格检查，提供疾病预防、自我保健及伤害预防、自救等健康指导。为65岁以上老年人进行一次规范的健康体检，并记录完整。</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高血压患者健康管理</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高血压高危人群进行指导干预。对35岁以上人群实施门诊首诊测血压，对确诊高血压患者进行登记管理，定期进行随访，每次随访要询问病情、进行体格检查及用药、饮食、运动、心理等健康指导并做好相关记录。进行一次较全面的健康检查。</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2型糖尿病患者健康管理服务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对糖尿病高危人群进行指导干预。对确诊2型糖尿病患者进行管理，每年随访至少4次，每次随访要询问病情、进行体格检查及用药、饮食、运动、心理等健康指导并做好相关记录。进行一次全面健康检查。</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严重精神障碍患者管理服务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按照“应管尽管”的原则，对辖区内诊断明确、在家居住的严重精神障碍患者进行分类管理，进行至少四次随访和一次体检等健康管理工作。</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肺结核患者健康管理服务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做好门诊就医时的筛查工作，对可疑患者推荐到定点医疗机构进一步检查。对确诊患者进行随访、督导服药和对患者家属进行宣教。在区疾控的指导下，完善信息传递与管理制度，切实做好结核病防控工作。</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中医药健康管理服务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认真学习《中医药法》，加强人员培训，提升中医药服务能力，进一步发挥中医药在基本公共卫生服务中的作用。为65岁以上老年人进行中医体质辨识和中医药保健指导，本为 0-36月儿童家长进行中医饮食调养、起居活动指导和摩腹、捏脊、按揉穴位的方法。</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传染病及突发公共卫生事件报告和处理服务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强化法制意识，完善相关制度，及时发现、登记并报告辖区内的传染病病例、疑似病例和突发公共卫生事件;开展结核病、艾滋病等传染病防治知识的宣传和咨询服务;确保传染病和突发公共卫生事件报告率、及时率达100%。)</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卫生计生监督协管服务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积极配合县</w:t>
      </w:r>
      <w:r>
        <w:rPr>
          <w:rFonts w:hint="eastAsia" w:ascii="仿宋_GB2312" w:hAnsi="仿宋_GB2312" w:eastAsia="仿宋_GB2312" w:cs="仿宋_GB2312"/>
          <w:sz w:val="32"/>
          <w:szCs w:val="32"/>
          <w:lang w:eastAsia="zh-CN"/>
        </w:rPr>
        <w:t>卫生健康局</w:t>
      </w:r>
      <w:r>
        <w:rPr>
          <w:rFonts w:hint="eastAsia" w:ascii="仿宋_GB2312" w:hAnsi="仿宋_GB2312" w:eastAsia="仿宋_GB2312" w:cs="仿宋_GB2312"/>
          <w:sz w:val="32"/>
          <w:szCs w:val="32"/>
        </w:rPr>
        <w:t>，按要求完成相关工作和各类信息的报告。</w:t>
      </w:r>
    </w:p>
    <w:p>
      <w:pPr>
        <w:pStyle w:val="9"/>
        <w:numPr>
          <w:ilvl w:val="0"/>
          <w:numId w:val="0"/>
        </w:numPr>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二、部门预算单位构成</w:t>
      </w:r>
    </w:p>
    <w:p>
      <w:pPr>
        <w:spacing w:line="540" w:lineRule="exact"/>
        <w:ind w:firstLine="640" w:firstLineChars="200"/>
        <w:rPr>
          <w:rFonts w:ascii="仿宋_GB2312" w:eastAsia="仿宋_GB2312"/>
          <w:sz w:val="32"/>
          <w:szCs w:val="32"/>
        </w:rPr>
      </w:pPr>
      <w:r>
        <w:rPr>
          <w:rFonts w:hint="eastAsia" w:ascii="仿宋_GB2312" w:eastAsia="仿宋_GB2312"/>
          <w:sz w:val="32"/>
          <w:szCs w:val="32"/>
          <w:lang w:eastAsia="zh-CN"/>
        </w:rPr>
        <w:t>中壤塘镇卫生院</w:t>
      </w:r>
      <w:r>
        <w:rPr>
          <w:rFonts w:hint="eastAsia" w:ascii="仿宋_GB2312" w:eastAsia="仿宋_GB2312"/>
          <w:sz w:val="32"/>
          <w:szCs w:val="32"/>
        </w:rPr>
        <w:t>属</w:t>
      </w:r>
      <w:r>
        <w:rPr>
          <w:rFonts w:hint="eastAsia" w:ascii="仿宋_GB2312" w:eastAsia="仿宋_GB2312"/>
          <w:sz w:val="32"/>
          <w:szCs w:val="32"/>
          <w:lang w:eastAsia="zh-CN"/>
        </w:rPr>
        <w:t>二</w:t>
      </w:r>
      <w:r>
        <w:rPr>
          <w:rFonts w:hint="eastAsia" w:ascii="仿宋_GB2312" w:eastAsia="仿宋_GB2312"/>
          <w:sz w:val="32"/>
          <w:szCs w:val="32"/>
        </w:rPr>
        <w:t>级预算单位，</w:t>
      </w:r>
      <w:r>
        <w:rPr>
          <w:rFonts w:hint="eastAsia" w:ascii="仿宋_GB2312" w:eastAsia="仿宋_GB2312"/>
          <w:sz w:val="32"/>
          <w:szCs w:val="32"/>
          <w:lang w:eastAsia="zh-CN"/>
        </w:rPr>
        <w:t>属事业编制。</w:t>
      </w:r>
    </w:p>
    <w:p>
      <w:pPr>
        <w:pStyle w:val="9"/>
        <w:numPr>
          <w:ilvl w:val="0"/>
          <w:numId w:val="0"/>
        </w:numPr>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三、收支预算情况说明</w:t>
      </w:r>
    </w:p>
    <w:p>
      <w:pPr>
        <w:pStyle w:val="10"/>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按照综合预算的原则，中壤塘镇卫生院所有收入和支出均纳入部门预算管理。</w:t>
      </w:r>
    </w:p>
    <w:p>
      <w:pPr>
        <w:pStyle w:val="10"/>
        <w:keepNext w:val="0"/>
        <w:keepLines w:val="0"/>
        <w:pageBreakBefore w:val="0"/>
        <w:widowControl w:val="0"/>
        <w:numPr>
          <w:ilvl w:val="0"/>
          <w:numId w:val="0"/>
        </w:numPr>
        <w:kinsoku/>
        <w:wordWrap/>
        <w:overflowPunct/>
        <w:topLinePunct w:val="0"/>
        <w:autoSpaceDE/>
        <w:autoSpaceDN/>
        <w:bidi w:val="0"/>
        <w:spacing w:before="0" w:line="560" w:lineRule="exact"/>
        <w:ind w:leftChars="196"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收入包括：一般公共预算拨款收入167.21万元，事业收入0万元，其他收入0万元，上年结转0万元；</w:t>
      </w:r>
    </w:p>
    <w:p>
      <w:pPr>
        <w:pStyle w:val="10"/>
        <w:keepNext w:val="0"/>
        <w:keepLines w:val="0"/>
        <w:pageBreakBefore w:val="0"/>
        <w:widowControl w:val="0"/>
        <w:numPr>
          <w:ilvl w:val="0"/>
          <w:numId w:val="0"/>
        </w:numPr>
        <w:kinsoku/>
        <w:wordWrap/>
        <w:overflowPunct/>
        <w:topLinePunct w:val="0"/>
        <w:autoSpaceDE/>
        <w:autoSpaceDN/>
        <w:bidi w:val="0"/>
        <w:spacing w:before="0" w:line="560" w:lineRule="exact"/>
        <w:ind w:leftChars="196"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支出包括：社会保障和就业支出23.82万元，卫生健康支出130.12万元，住房保障支出13.26万元。中壤塘镇卫生院单位2026年收支总预算167.21万元,比2025年收支预算总数增加8.15万元，主要原因:人员经费增加，收入增加。</w:t>
      </w:r>
    </w:p>
    <w:p>
      <w:pPr>
        <w:pStyle w:val="10"/>
        <w:keepNext w:val="0"/>
        <w:keepLines w:val="0"/>
        <w:pageBreakBefore w:val="0"/>
        <w:widowControl w:val="0"/>
        <w:numPr>
          <w:ilvl w:val="0"/>
          <w:numId w:val="0"/>
        </w:numPr>
        <w:kinsoku/>
        <w:wordWrap/>
        <w:overflowPunct/>
        <w:topLinePunct w:val="0"/>
        <w:autoSpaceDE/>
        <w:autoSpaceDN/>
        <w:bidi w:val="0"/>
        <w:adjustRightInd/>
        <w:snapToGrid/>
        <w:spacing w:before="0" w:line="560" w:lineRule="exact"/>
        <w:textAlignment w:val="auto"/>
        <w:outlineLvl w:val="1"/>
        <w:rPr>
          <w:rFonts w:hint="eastAsia" w:ascii="仿宋_GB2312" w:hAnsi="Calibri" w:eastAsia="仿宋_GB2312" w:cs="Times New Roman"/>
          <w:kern w:val="2"/>
          <w:sz w:val="32"/>
          <w:szCs w:val="32"/>
          <w:lang w:val="en-US" w:eastAsia="zh-CN" w:bidi="ar-SA"/>
        </w:rPr>
      </w:pPr>
      <w:bookmarkStart w:id="0" w:name="_Toc14315"/>
      <w:r>
        <w:rPr>
          <w:rFonts w:hint="eastAsia" w:ascii="仿宋_GB2312" w:hAnsi="Calibri" w:eastAsia="仿宋_GB2312" w:cs="Times New Roman"/>
          <w:kern w:val="2"/>
          <w:sz w:val="32"/>
          <w:szCs w:val="32"/>
          <w:lang w:val="en-US" w:eastAsia="zh-CN" w:bidi="ar-SA"/>
        </w:rPr>
        <w:t>（一）收入预算情况</w:t>
      </w:r>
      <w:bookmarkEnd w:id="0"/>
    </w:p>
    <w:p>
      <w:pPr>
        <w:pStyle w:val="10"/>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中壤塘镇卫生院2026年收入预算167.21万元，其中：上年结转0万元，占0%；一般公共预算拨款收入167.21万元，占100%；事业收入0万元，占0%；其他收入0万元，占0%。</w:t>
      </w:r>
    </w:p>
    <w:p>
      <w:pPr>
        <w:pStyle w:val="10"/>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320" w:firstLineChars="100"/>
        <w:textAlignment w:val="auto"/>
        <w:outlineLvl w:val="1"/>
        <w:rPr>
          <w:rFonts w:hint="eastAsia" w:ascii="仿宋_GB2312" w:hAnsi="Calibri" w:eastAsia="仿宋_GB2312" w:cs="Times New Roman"/>
          <w:kern w:val="2"/>
          <w:sz w:val="32"/>
          <w:szCs w:val="32"/>
          <w:lang w:val="en-US" w:eastAsia="zh-CN" w:bidi="ar-SA"/>
        </w:rPr>
      </w:pPr>
      <w:bookmarkStart w:id="1" w:name="_Toc9347"/>
      <w:r>
        <w:rPr>
          <w:rFonts w:hint="eastAsia" w:ascii="仿宋_GB2312" w:hAnsi="Calibri" w:eastAsia="仿宋_GB2312" w:cs="Times New Roman"/>
          <w:kern w:val="2"/>
          <w:sz w:val="32"/>
          <w:szCs w:val="32"/>
          <w:lang w:val="en-US" w:eastAsia="zh-CN" w:bidi="ar-SA"/>
        </w:rPr>
        <w:t>（二）支出预算情况</w:t>
      </w:r>
      <w:bookmarkEnd w:id="1"/>
    </w:p>
    <w:p>
      <w:pPr>
        <w:pStyle w:val="10"/>
        <w:keepNext w:val="0"/>
        <w:keepLines w:val="0"/>
        <w:pageBreakBefore w:val="0"/>
        <w:widowControl w:val="0"/>
        <w:kinsoku/>
        <w:wordWrap/>
        <w:overflowPunct/>
        <w:topLinePunct w:val="0"/>
        <w:autoSpaceDE/>
        <w:autoSpaceDN/>
        <w:bidi w:val="0"/>
        <w:spacing w:before="0" w:line="560" w:lineRule="exact"/>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中壤塘镇卫生院2026年支出预算167.21万元，其中：基本支出166.06万元，占99.31 %；项目支出1.15万元，占0.69 %。</w:t>
      </w:r>
    </w:p>
    <w:p>
      <w:pPr>
        <w:pStyle w:val="10"/>
        <w:keepNext w:val="0"/>
        <w:keepLines w:val="0"/>
        <w:pageBreakBefore w:val="0"/>
        <w:widowControl w:val="0"/>
        <w:numPr>
          <w:ilvl w:val="0"/>
          <w:numId w:val="0"/>
        </w:numPr>
        <w:kinsoku/>
        <w:wordWrap/>
        <w:overflowPunct/>
        <w:topLinePunct w:val="0"/>
        <w:autoSpaceDE/>
        <w:autoSpaceDN/>
        <w:bidi w:val="0"/>
        <w:spacing w:before="0" w:line="560" w:lineRule="exact"/>
        <w:textAlignment w:val="auto"/>
        <w:rPr>
          <w:rFonts w:ascii="仿宋_GB2312" w:eastAsia="仿宋_GB2312"/>
          <w:sz w:val="32"/>
          <w:szCs w:val="32"/>
        </w:rPr>
      </w:pPr>
      <w:r>
        <w:rPr>
          <w:rFonts w:hint="eastAsia" w:hAnsi="仿宋_GB2312" w:cs="仿宋_GB2312"/>
          <w:b/>
          <w:bCs/>
          <w:kern w:val="2"/>
          <w:sz w:val="32"/>
          <w:szCs w:val="32"/>
          <w:lang w:val="en-US" w:eastAsia="zh-CN" w:bidi="ar-SA"/>
        </w:rPr>
        <w:t>四、</w:t>
      </w:r>
      <w:r>
        <w:rPr>
          <w:rFonts w:hint="eastAsia" w:ascii="仿宋_GB2312" w:hAnsi="仿宋_GB2312" w:eastAsia="仿宋_GB2312" w:cs="仿宋_GB2312"/>
          <w:b/>
          <w:bCs/>
          <w:kern w:val="2"/>
          <w:sz w:val="32"/>
          <w:szCs w:val="32"/>
          <w:lang w:val="en-US" w:eastAsia="zh-CN" w:bidi="ar-SA"/>
        </w:rPr>
        <w:t>财政拨款收支预算情况说明</w:t>
      </w:r>
    </w:p>
    <w:p>
      <w:pPr>
        <w:pStyle w:val="10"/>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ascii="仿宋_GB2312" w:eastAsia="仿宋_GB2312"/>
          <w:sz w:val="32"/>
          <w:szCs w:val="32"/>
        </w:rPr>
      </w:pPr>
      <w:r>
        <w:rPr>
          <w:rFonts w:hint="eastAsia" w:hAnsi="黑体" w:cs="Times New Roman"/>
          <w:kern w:val="2"/>
          <w:sz w:val="32"/>
          <w:szCs w:val="32"/>
          <w:lang w:val="en-US" w:eastAsia="zh-CN"/>
        </w:rPr>
        <w:t>中壤塘镇卫生院2026年财政拨款收支总预算167.21万元,比2025年财政拨款收支总预算增加8.15万元，主要原因:人员经费增加，收入增加。</w:t>
      </w:r>
      <w:r>
        <w:rPr>
          <w:rFonts w:hint="eastAsia" w:hAnsi="黑体" w:cs="Times New Roman"/>
          <w:kern w:val="2"/>
          <w:sz w:val="32"/>
          <w:szCs w:val="32"/>
          <w:lang w:val="en-US" w:eastAsia="zh-CN"/>
        </w:rPr>
        <w:br w:type="textWrapping"/>
      </w:r>
      <w:r>
        <w:rPr>
          <w:rFonts w:hint="eastAsia" w:hAnsi="黑体" w:cs="Times New Roman"/>
          <w:kern w:val="2"/>
          <w:sz w:val="32"/>
          <w:szCs w:val="32"/>
          <w:lang w:val="en-US" w:eastAsia="zh-CN"/>
        </w:rPr>
        <w:t>　　支出包括：社会保障和就业支出23.82万元，卫生健康支出130.12万元，住房保障支出13.26万元。</w:t>
      </w:r>
    </w:p>
    <w:p>
      <w:pPr>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五、一般公共预算当年拨款情况说明</w:t>
      </w:r>
    </w:p>
    <w:p>
      <w:pPr>
        <w:pStyle w:val="10"/>
        <w:keepNext w:val="0"/>
        <w:keepLines w:val="0"/>
        <w:pageBreakBefore w:val="0"/>
        <w:widowControl w:val="0"/>
        <w:numPr>
          <w:ilvl w:val="0"/>
          <w:numId w:val="0"/>
        </w:numPr>
        <w:kinsoku/>
        <w:wordWrap/>
        <w:overflowPunct/>
        <w:topLinePunct w:val="0"/>
        <w:autoSpaceDE/>
        <w:autoSpaceDN/>
        <w:bidi w:val="0"/>
        <w:spacing w:before="0" w:line="560" w:lineRule="exact"/>
        <w:ind w:firstLine="320" w:firstLineChars="100"/>
        <w:textAlignment w:val="auto"/>
        <w:rPr>
          <w:rFonts w:hint="eastAsia" w:hAnsi="黑体" w:cs="Times New Roman"/>
          <w:kern w:val="2"/>
          <w:sz w:val="32"/>
          <w:szCs w:val="32"/>
          <w:lang w:val="en-US" w:eastAsia="zh-CN"/>
        </w:rPr>
      </w:pPr>
      <w:bookmarkStart w:id="2" w:name="_Toc22701"/>
      <w:r>
        <w:rPr>
          <w:rFonts w:hint="eastAsia" w:hAnsi="黑体" w:cs="Times New Roman"/>
          <w:kern w:val="2"/>
          <w:sz w:val="32"/>
          <w:szCs w:val="32"/>
          <w:lang w:val="en-US" w:eastAsia="zh-CN"/>
        </w:rPr>
        <w:t>（一）一般公共预算当年拨款规模变化情况</w:t>
      </w:r>
      <w:bookmarkEnd w:id="2"/>
    </w:p>
    <w:p>
      <w:pPr>
        <w:pStyle w:val="10"/>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hAnsi="黑体" w:cs="Times New Roman"/>
          <w:kern w:val="2"/>
          <w:sz w:val="32"/>
          <w:szCs w:val="32"/>
          <w:lang w:val="en-US" w:eastAsia="zh-CN"/>
        </w:rPr>
      </w:pPr>
      <w:r>
        <w:rPr>
          <w:rFonts w:hint="eastAsia" w:hAnsi="黑体" w:cs="Times New Roman"/>
          <w:kern w:val="2"/>
          <w:sz w:val="32"/>
          <w:szCs w:val="32"/>
          <w:lang w:val="en-US" w:eastAsia="zh-CN"/>
        </w:rPr>
        <w:t>中壤塘镇卫生院2026年一般公共预算当年拨款167.21万元，比2025年预算数增加8.15万元，主要原因：经费增加，财政拨款收入增加，工资标准调整。</w:t>
      </w:r>
    </w:p>
    <w:p>
      <w:pPr>
        <w:pStyle w:val="10"/>
        <w:keepNext w:val="0"/>
        <w:keepLines w:val="0"/>
        <w:pageBreakBefore w:val="0"/>
        <w:widowControl w:val="0"/>
        <w:numPr>
          <w:ilvl w:val="0"/>
          <w:numId w:val="0"/>
        </w:numPr>
        <w:kinsoku/>
        <w:wordWrap/>
        <w:overflowPunct/>
        <w:topLinePunct w:val="0"/>
        <w:autoSpaceDE/>
        <w:autoSpaceDN/>
        <w:bidi w:val="0"/>
        <w:spacing w:before="0" w:line="560" w:lineRule="exact"/>
        <w:ind w:firstLine="320" w:firstLineChars="100"/>
        <w:textAlignment w:val="auto"/>
        <w:rPr>
          <w:rFonts w:hint="eastAsia" w:hAnsi="黑体" w:cs="Times New Roman"/>
          <w:kern w:val="2"/>
          <w:sz w:val="32"/>
          <w:szCs w:val="32"/>
          <w:lang w:val="en-US" w:eastAsia="zh-CN"/>
        </w:rPr>
      </w:pPr>
      <w:r>
        <w:rPr>
          <w:rFonts w:hint="eastAsia" w:hAnsi="黑体" w:cs="Times New Roman"/>
          <w:kern w:val="2"/>
          <w:sz w:val="32"/>
          <w:szCs w:val="32"/>
          <w:lang w:val="en-US" w:eastAsia="zh-CN"/>
        </w:rPr>
        <w:t>（二）一般公共预算当年拨款结构情况</w:t>
      </w:r>
    </w:p>
    <w:p>
      <w:pPr>
        <w:pStyle w:val="10"/>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hAnsi="黑体" w:cs="Times New Roman"/>
          <w:kern w:val="2"/>
          <w:sz w:val="32"/>
          <w:szCs w:val="32"/>
          <w:lang w:val="en-US" w:eastAsia="zh-CN"/>
        </w:rPr>
      </w:pPr>
      <w:r>
        <w:rPr>
          <w:rFonts w:hint="eastAsia" w:hAnsi="黑体" w:cs="Times New Roman"/>
          <w:kern w:val="2"/>
          <w:sz w:val="32"/>
          <w:szCs w:val="32"/>
          <w:lang w:val="en-US" w:eastAsia="zh-CN"/>
        </w:rPr>
        <w:t>社会保障和就业支出23.82万元，占14.25 %；卫生健康支出130.12万元，占77.82%；住房保障支出13.26万元，占7.93%。</w:t>
      </w:r>
    </w:p>
    <w:p>
      <w:pPr>
        <w:pStyle w:val="10"/>
        <w:keepNext w:val="0"/>
        <w:keepLines w:val="0"/>
        <w:pageBreakBefore w:val="0"/>
        <w:widowControl w:val="0"/>
        <w:numPr>
          <w:ilvl w:val="0"/>
          <w:numId w:val="0"/>
        </w:numPr>
        <w:kinsoku/>
        <w:wordWrap/>
        <w:overflowPunct/>
        <w:topLinePunct w:val="0"/>
        <w:autoSpaceDE/>
        <w:autoSpaceDN/>
        <w:bidi w:val="0"/>
        <w:spacing w:before="0" w:line="560" w:lineRule="exact"/>
        <w:ind w:firstLine="320" w:firstLineChars="100"/>
        <w:textAlignment w:val="auto"/>
        <w:rPr>
          <w:rFonts w:hint="eastAsia" w:hAnsi="黑体" w:cs="Times New Roman"/>
          <w:kern w:val="2"/>
          <w:sz w:val="32"/>
          <w:szCs w:val="32"/>
          <w:lang w:val="en-US" w:eastAsia="zh-CN"/>
        </w:rPr>
      </w:pPr>
      <w:r>
        <w:rPr>
          <w:rFonts w:hint="eastAsia" w:hAnsi="黑体" w:cs="Times New Roman"/>
          <w:kern w:val="2"/>
          <w:sz w:val="32"/>
          <w:szCs w:val="32"/>
          <w:lang w:val="en-US" w:eastAsia="zh-CN"/>
        </w:rPr>
        <w:t>（三）一般公共预算当年拨款具体使用情况</w:t>
      </w:r>
    </w:p>
    <w:p>
      <w:pPr>
        <w:pStyle w:val="10"/>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hAnsi="黑体" w:cs="Times New Roman"/>
          <w:kern w:val="2"/>
          <w:sz w:val="32"/>
          <w:szCs w:val="32"/>
          <w:lang w:val="en-US" w:eastAsia="zh-CN"/>
        </w:rPr>
      </w:pPr>
      <w:r>
        <w:rPr>
          <w:rFonts w:hint="eastAsia" w:hAnsi="黑体" w:cs="Times New Roman"/>
          <w:kern w:val="2"/>
          <w:sz w:val="32"/>
          <w:szCs w:val="32"/>
          <w:lang w:val="en-US" w:eastAsia="zh-CN"/>
        </w:rPr>
        <w:t>1.208（类）05（款）05（项）机关事业单位基本养老保险支出: 支出预算为15.88万元。</w:t>
      </w:r>
    </w:p>
    <w:p>
      <w:pPr>
        <w:pStyle w:val="10"/>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hAnsi="黑体" w:cs="Times New Roman"/>
          <w:kern w:val="2"/>
          <w:sz w:val="32"/>
          <w:szCs w:val="32"/>
          <w:lang w:val="en-US" w:eastAsia="zh-CN"/>
        </w:rPr>
      </w:pPr>
      <w:r>
        <w:rPr>
          <w:rFonts w:hint="eastAsia" w:hAnsi="黑体" w:cs="Times New Roman"/>
          <w:kern w:val="2"/>
          <w:sz w:val="32"/>
          <w:szCs w:val="32"/>
          <w:lang w:val="en-US" w:eastAsia="zh-CN"/>
        </w:rPr>
        <w:t>2.208（类）05（款）06（项）机关单位职业年金缴费支出: 支出预算为7.94万元。</w:t>
      </w:r>
    </w:p>
    <w:p>
      <w:pPr>
        <w:pStyle w:val="10"/>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hAnsi="黑体" w:cs="Times New Roman"/>
          <w:kern w:val="2"/>
          <w:sz w:val="32"/>
          <w:szCs w:val="32"/>
          <w:lang w:val="en-US" w:eastAsia="zh-CN"/>
        </w:rPr>
      </w:pPr>
      <w:r>
        <w:rPr>
          <w:rFonts w:hint="eastAsia" w:hAnsi="黑体" w:cs="Times New Roman"/>
          <w:kern w:val="2"/>
          <w:sz w:val="32"/>
          <w:szCs w:val="32"/>
          <w:lang w:val="en-US" w:eastAsia="zh-CN"/>
        </w:rPr>
        <w:t>3.210（类）03（款）02（项）乡镇卫生院:支出预算为121.66万元。</w:t>
      </w:r>
    </w:p>
    <w:p>
      <w:pPr>
        <w:pStyle w:val="10"/>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hAnsi="黑体" w:cs="Times New Roman"/>
          <w:kern w:val="2"/>
          <w:sz w:val="32"/>
          <w:szCs w:val="32"/>
          <w:lang w:val="en-US" w:eastAsia="zh-CN"/>
        </w:rPr>
      </w:pPr>
      <w:r>
        <w:rPr>
          <w:rFonts w:hint="eastAsia" w:hAnsi="黑体" w:cs="Times New Roman"/>
          <w:kern w:val="2"/>
          <w:sz w:val="32"/>
          <w:szCs w:val="32"/>
          <w:lang w:val="en-US" w:eastAsia="zh-CN"/>
        </w:rPr>
        <w:t>4.210（类）11（款）02（项）事业单位医疗:支出预算为6.95万元。</w:t>
      </w:r>
    </w:p>
    <w:p>
      <w:pPr>
        <w:pStyle w:val="10"/>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hAnsi="黑体" w:cs="Times New Roman"/>
          <w:kern w:val="2"/>
          <w:sz w:val="32"/>
          <w:szCs w:val="32"/>
          <w:lang w:val="en-US" w:eastAsia="zh-CN"/>
        </w:rPr>
      </w:pPr>
      <w:r>
        <w:rPr>
          <w:rFonts w:hint="eastAsia" w:hAnsi="黑体" w:cs="Times New Roman"/>
          <w:kern w:val="2"/>
          <w:sz w:val="32"/>
          <w:szCs w:val="32"/>
          <w:lang w:val="en-US" w:eastAsia="zh-CN"/>
        </w:rPr>
        <w:t>5.210（类）11（款）03（项） 其他行政事业单位医疗支出:支出预算为1.51万元。</w:t>
      </w:r>
    </w:p>
    <w:p>
      <w:pPr>
        <w:pStyle w:val="10"/>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hAnsi="黑体" w:cs="Times New Roman"/>
          <w:kern w:val="2"/>
          <w:sz w:val="32"/>
          <w:szCs w:val="32"/>
          <w:lang w:val="en-US" w:eastAsia="zh-CN"/>
        </w:rPr>
      </w:pPr>
      <w:r>
        <w:rPr>
          <w:rFonts w:hint="eastAsia" w:hAnsi="黑体" w:cs="Times New Roman"/>
          <w:kern w:val="2"/>
          <w:sz w:val="32"/>
          <w:szCs w:val="32"/>
          <w:lang w:val="en-US" w:eastAsia="zh-CN"/>
        </w:rPr>
        <w:t>6.221（类）02（款）01（项）住房公积金:支出预算为13.26万元。</w:t>
      </w:r>
    </w:p>
    <w:p>
      <w:pPr>
        <w:pStyle w:val="10"/>
        <w:spacing w:before="0" w:line="360" w:lineRule="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六、一般公共预算基本支出情况说明</w:t>
      </w:r>
    </w:p>
    <w:p>
      <w:pPr>
        <w:pStyle w:val="10"/>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hAnsi="黑体" w:cs="Times New Roman"/>
          <w:kern w:val="2"/>
          <w:sz w:val="32"/>
          <w:szCs w:val="32"/>
          <w:lang w:val="en-US" w:eastAsia="zh-CN"/>
        </w:rPr>
      </w:pPr>
      <w:r>
        <w:rPr>
          <w:rFonts w:hint="eastAsia" w:hAnsi="黑体" w:cs="Times New Roman"/>
          <w:kern w:val="2"/>
          <w:sz w:val="32"/>
          <w:szCs w:val="32"/>
          <w:lang w:val="en-US" w:eastAsia="zh-CN"/>
        </w:rPr>
        <w:t>中壤塘镇卫生院2026年一般公共预算基本支出166.06万元，其中：人员经费163.96万元，主要包括：基本工资、津贴补贴、奖金、其他社会保障缴费、绩效工资、机关事业单位基本养老保险缴费、职业年金缴费、其他工资福利支出、离休费、奖励金、住房公积金、其他对个人和家庭的补助支出。</w:t>
      </w:r>
    </w:p>
    <w:p>
      <w:pPr>
        <w:pStyle w:val="10"/>
        <w:spacing w:before="0" w:line="360" w:lineRule="auto"/>
        <w:ind w:firstLine="640" w:firstLineChars="200"/>
        <w:rPr>
          <w:rFonts w:ascii="黑体" w:eastAsia="黑体"/>
          <w:sz w:val="32"/>
          <w:szCs w:val="32"/>
        </w:rPr>
      </w:pPr>
      <w:r>
        <w:rPr>
          <w:rFonts w:hint="eastAsia" w:hAnsi="黑体" w:cs="Times New Roman"/>
          <w:kern w:val="2"/>
          <w:sz w:val="32"/>
          <w:szCs w:val="32"/>
          <w:lang w:val="en-US" w:eastAsia="zh-CN"/>
        </w:rPr>
        <w:t>公用经费2.10万元，主要包括：办公费、印刷费、手续费、水费、电费、邮电费、差旅费、维修（护）费、租赁费、会议费、培训费、劳务费、工会经费、福利费、其他交通工具运行维护费、其他商品和服务支出。</w:t>
      </w:r>
      <w:r>
        <w:rPr>
          <w:rFonts w:hint="eastAsia" w:hAnsi="黑体" w:cs="Times New Roman"/>
          <w:kern w:val="2"/>
          <w:sz w:val="32"/>
          <w:szCs w:val="32"/>
          <w:lang w:val="en-US" w:eastAsia="zh-CN"/>
        </w:rPr>
        <w:br w:type="textWrapping"/>
      </w:r>
      <w:r>
        <w:rPr>
          <w:rFonts w:hint="eastAsia" w:ascii="仿宋_GB2312" w:hAnsi="仿宋_GB2312" w:eastAsia="仿宋_GB2312" w:cs="仿宋_GB2312"/>
          <w:b/>
          <w:bCs/>
          <w:kern w:val="2"/>
          <w:sz w:val="32"/>
          <w:szCs w:val="32"/>
          <w:lang w:val="en-US" w:eastAsia="zh-CN" w:bidi="ar-SA"/>
        </w:rPr>
        <w:t>七、“三公”经费财政拨款预算安排情况说明</w:t>
      </w:r>
    </w:p>
    <w:p>
      <w:pPr>
        <w:pStyle w:val="10"/>
        <w:spacing w:before="0" w:line="360" w:lineRule="auto"/>
        <w:ind w:firstLine="640" w:firstLineChars="200"/>
        <w:rPr>
          <w:rFonts w:hint="eastAsia" w:hAnsi="黑体" w:cs="Times New Roman"/>
          <w:kern w:val="2"/>
          <w:sz w:val="32"/>
          <w:szCs w:val="32"/>
          <w:lang w:val="en-US" w:eastAsia="zh-CN"/>
        </w:rPr>
      </w:pPr>
      <w:r>
        <w:rPr>
          <w:rFonts w:hint="eastAsia" w:hAnsi="黑体" w:cs="Times New Roman"/>
          <w:kern w:val="2"/>
          <w:sz w:val="32"/>
          <w:szCs w:val="32"/>
          <w:lang w:val="en-US" w:eastAsia="zh-CN"/>
        </w:rPr>
        <w:t>中壤塘镇卫生院2026年“三公”经费财政拨款预算数0万元，其中：因公出国（境）经费0万元，公务接待费0万元，公务用车购置及运行维护费0万元。</w:t>
      </w:r>
    </w:p>
    <w:p>
      <w:pPr>
        <w:pStyle w:val="10"/>
        <w:spacing w:before="0" w:line="360" w:lineRule="auto"/>
        <w:ind w:firstLine="640" w:firstLineChars="200"/>
        <w:rPr>
          <w:rFonts w:hint="eastAsia" w:hAnsi="黑体" w:cs="Times New Roman"/>
          <w:kern w:val="2"/>
          <w:sz w:val="32"/>
          <w:szCs w:val="32"/>
          <w:lang w:val="en-US" w:eastAsia="zh-CN"/>
        </w:rPr>
      </w:pPr>
      <w:r>
        <w:rPr>
          <w:rFonts w:hint="eastAsia" w:hAnsi="黑体" w:cs="Times New Roman"/>
          <w:kern w:val="2"/>
          <w:sz w:val="32"/>
          <w:szCs w:val="32"/>
          <w:lang w:val="en-US" w:eastAsia="zh-CN"/>
        </w:rPr>
        <w:t>（一）2026年因公出国（境）经费0万元。</w:t>
      </w:r>
    </w:p>
    <w:p>
      <w:pPr>
        <w:pStyle w:val="10"/>
        <w:spacing w:before="0" w:line="360" w:lineRule="auto"/>
        <w:ind w:firstLine="640" w:firstLineChars="200"/>
        <w:rPr>
          <w:rFonts w:hint="eastAsia" w:hAnsi="黑体" w:cs="Times New Roman"/>
          <w:kern w:val="2"/>
          <w:sz w:val="32"/>
          <w:szCs w:val="32"/>
          <w:lang w:val="en-US" w:eastAsia="zh-CN"/>
        </w:rPr>
      </w:pPr>
      <w:r>
        <w:rPr>
          <w:rFonts w:hint="eastAsia" w:hAnsi="黑体" w:cs="Times New Roman"/>
          <w:kern w:val="2"/>
          <w:sz w:val="32"/>
          <w:szCs w:val="32"/>
          <w:lang w:val="en-US" w:eastAsia="zh-CN"/>
        </w:rPr>
        <w:t>（二）2026年公务接待经费0万元。较2025年预算经费增加/减少0万元，增长0%。</w:t>
      </w:r>
    </w:p>
    <w:p>
      <w:pPr>
        <w:pStyle w:val="10"/>
        <w:spacing w:before="0" w:line="360" w:lineRule="auto"/>
        <w:ind w:firstLine="640" w:firstLineChars="200"/>
        <w:rPr>
          <w:rFonts w:cs="仿宋_GB2312"/>
          <w:color w:val="000000"/>
          <w:kern w:val="2"/>
          <w:sz w:val="32"/>
          <w:szCs w:val="32"/>
        </w:rPr>
      </w:pPr>
      <w:r>
        <w:rPr>
          <w:rFonts w:hint="eastAsia" w:hAnsi="黑体" w:cs="Times New Roman"/>
          <w:kern w:val="2"/>
          <w:sz w:val="32"/>
          <w:szCs w:val="32"/>
          <w:lang w:val="en-US" w:eastAsia="zh-CN"/>
        </w:rPr>
        <w:t>（三）2026年公务用车购置及运行维护费0万元。较2025年预算经费增加/减少0万元，增长0%，</w:t>
      </w:r>
    </w:p>
    <w:p>
      <w:pPr>
        <w:pStyle w:val="10"/>
        <w:spacing w:before="0" w:line="360" w:lineRule="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八、政府性基金预算支出情况说明</w:t>
      </w:r>
    </w:p>
    <w:p>
      <w:pPr>
        <w:pStyle w:val="10"/>
        <w:spacing w:before="0" w:line="360" w:lineRule="auto"/>
        <w:ind w:firstLine="640" w:firstLineChars="200"/>
        <w:rPr>
          <w:rFonts w:cs="仿宋_GB2312"/>
          <w:kern w:val="2"/>
          <w:sz w:val="32"/>
          <w:szCs w:val="32"/>
        </w:rPr>
      </w:pPr>
      <w:r>
        <w:rPr>
          <w:rFonts w:hint="eastAsia" w:hAnsi="黑体" w:cs="Times New Roman"/>
          <w:kern w:val="2"/>
          <w:sz w:val="32"/>
          <w:szCs w:val="32"/>
          <w:lang w:val="en-US" w:eastAsia="zh-CN"/>
        </w:rPr>
        <w:t>中壤塘镇卫生院</w:t>
      </w:r>
      <w:r>
        <w:rPr>
          <w:rFonts w:hint="eastAsia" w:cs="仿宋_GB2312"/>
          <w:kern w:val="2"/>
          <w:sz w:val="32"/>
          <w:szCs w:val="32"/>
          <w:lang w:eastAsia="zh-CN"/>
        </w:rPr>
        <w:t>2026</w:t>
      </w:r>
      <w:r>
        <w:rPr>
          <w:rFonts w:hint="eastAsia" w:cs="仿宋_GB2312"/>
          <w:kern w:val="2"/>
          <w:sz w:val="32"/>
          <w:szCs w:val="32"/>
        </w:rPr>
        <w:t>年政府性基金预算拨款安排的支出</w:t>
      </w:r>
      <w:r>
        <w:rPr>
          <w:rFonts w:hint="eastAsia" w:cs="仿宋_GB2312"/>
          <w:kern w:val="2"/>
          <w:sz w:val="32"/>
          <w:szCs w:val="32"/>
          <w:lang w:val="en-US" w:eastAsia="zh-CN"/>
        </w:rPr>
        <w:t>0</w:t>
      </w:r>
      <w:r>
        <w:rPr>
          <w:rFonts w:hint="eastAsia" w:cs="仿宋_GB2312"/>
          <w:kern w:val="2"/>
          <w:sz w:val="32"/>
          <w:szCs w:val="32"/>
        </w:rPr>
        <w:t>万元。较</w:t>
      </w:r>
      <w:r>
        <w:rPr>
          <w:rFonts w:hint="eastAsia" w:cs="仿宋_GB2312"/>
          <w:kern w:val="2"/>
          <w:sz w:val="32"/>
          <w:szCs w:val="32"/>
          <w:lang w:eastAsia="zh-CN"/>
        </w:rPr>
        <w:t>2025</w:t>
      </w:r>
      <w:r>
        <w:rPr>
          <w:rFonts w:hint="eastAsia" w:cs="仿宋_GB2312"/>
          <w:kern w:val="2"/>
          <w:sz w:val="32"/>
          <w:szCs w:val="32"/>
        </w:rPr>
        <w:t>年预算经费</w:t>
      </w:r>
      <w:r>
        <w:rPr>
          <w:rFonts w:hint="eastAsia" w:cs="宋体"/>
          <w:sz w:val="32"/>
          <w:szCs w:val="32"/>
        </w:rPr>
        <w:t>增加/</w:t>
      </w:r>
      <w:r>
        <w:rPr>
          <w:rFonts w:hint="eastAsia" w:cs="仿宋_GB2312"/>
          <w:color w:val="000000"/>
          <w:kern w:val="2"/>
          <w:sz w:val="32"/>
          <w:szCs w:val="32"/>
        </w:rPr>
        <w:t>减少</w:t>
      </w:r>
      <w:r>
        <w:rPr>
          <w:rFonts w:hint="eastAsia" w:cs="仿宋_GB2312"/>
          <w:kern w:val="2"/>
          <w:sz w:val="32"/>
          <w:szCs w:val="32"/>
          <w:lang w:val="en-US" w:eastAsia="zh-CN"/>
        </w:rPr>
        <w:t>0</w:t>
      </w:r>
      <w:r>
        <w:rPr>
          <w:rFonts w:hint="eastAsia" w:cs="仿宋_GB2312"/>
          <w:kern w:val="2"/>
          <w:sz w:val="32"/>
          <w:szCs w:val="32"/>
        </w:rPr>
        <w:t>万元，增长</w:t>
      </w:r>
      <w:r>
        <w:rPr>
          <w:rFonts w:hint="eastAsia" w:cs="仿宋_GB2312"/>
          <w:kern w:val="2"/>
          <w:sz w:val="32"/>
          <w:szCs w:val="32"/>
          <w:lang w:val="en-US" w:eastAsia="zh-CN"/>
        </w:rPr>
        <w:t>0</w:t>
      </w:r>
      <w:r>
        <w:rPr>
          <w:rFonts w:hint="eastAsia" w:cs="仿宋_GB2312"/>
          <w:kern w:val="2"/>
          <w:sz w:val="32"/>
          <w:szCs w:val="32"/>
        </w:rPr>
        <w:t>%。</w:t>
      </w:r>
    </w:p>
    <w:p>
      <w:pPr>
        <w:pStyle w:val="10"/>
        <w:spacing w:before="0" w:line="360" w:lineRule="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九、其他重要事项的情况说明</w:t>
      </w:r>
    </w:p>
    <w:p>
      <w:pPr>
        <w:pStyle w:val="10"/>
        <w:spacing w:before="0" w:line="360" w:lineRule="auto"/>
        <w:ind w:firstLine="640" w:firstLineChars="200"/>
        <w:rPr>
          <w:rFonts w:hint="eastAsia" w:cs="仿宋_GB2312"/>
          <w:kern w:val="2"/>
          <w:sz w:val="32"/>
          <w:szCs w:val="32"/>
        </w:rPr>
      </w:pPr>
      <w:r>
        <w:rPr>
          <w:rFonts w:hint="eastAsia"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cs="仿宋_GB2312"/>
          <w:kern w:val="2"/>
          <w:sz w:val="32"/>
          <w:szCs w:val="32"/>
          <w:lang w:val="en-US" w:eastAsia="zh-CN"/>
        </w:rPr>
        <w:t>中壤塘镇卫生院</w:t>
      </w:r>
      <w:r>
        <w:rPr>
          <w:rFonts w:hint="eastAsia" w:cs="仿宋_GB2312"/>
          <w:kern w:val="2"/>
          <w:sz w:val="32"/>
          <w:szCs w:val="32"/>
          <w:lang w:eastAsia="zh-CN"/>
        </w:rPr>
        <w:t>2026</w:t>
      </w:r>
      <w:r>
        <w:rPr>
          <w:rFonts w:hint="eastAsia" w:cs="仿宋_GB2312"/>
          <w:kern w:val="2"/>
          <w:sz w:val="32"/>
          <w:szCs w:val="32"/>
        </w:rPr>
        <w:t>年机关运行经费财政拨款预算为</w:t>
      </w:r>
      <w:r>
        <w:rPr>
          <w:rFonts w:hint="eastAsia" w:cs="仿宋_GB2312"/>
          <w:kern w:val="2"/>
          <w:sz w:val="32"/>
          <w:szCs w:val="32"/>
          <w:lang w:val="en-US" w:eastAsia="zh-CN"/>
        </w:rPr>
        <w:t>2.10</w:t>
      </w:r>
      <w:r>
        <w:rPr>
          <w:rFonts w:hint="eastAsia" w:cs="仿宋_GB2312"/>
          <w:kern w:val="2"/>
          <w:sz w:val="32"/>
          <w:szCs w:val="32"/>
        </w:rPr>
        <w:t>万元，比</w:t>
      </w:r>
      <w:r>
        <w:rPr>
          <w:rFonts w:hint="eastAsia" w:cs="仿宋_GB2312"/>
          <w:kern w:val="2"/>
          <w:sz w:val="32"/>
          <w:szCs w:val="32"/>
          <w:lang w:eastAsia="zh-CN"/>
        </w:rPr>
        <w:t>2025</w:t>
      </w:r>
      <w:r>
        <w:rPr>
          <w:rFonts w:hint="eastAsia" w:cs="仿宋_GB2312"/>
          <w:kern w:val="2"/>
          <w:sz w:val="32"/>
          <w:szCs w:val="32"/>
        </w:rPr>
        <w:t>年预算增加/减少</w:t>
      </w:r>
      <w:r>
        <w:rPr>
          <w:rFonts w:hint="eastAsia" w:cs="仿宋_GB2312"/>
          <w:kern w:val="2"/>
          <w:sz w:val="32"/>
          <w:szCs w:val="32"/>
          <w:lang w:val="en-US" w:eastAsia="zh-CN"/>
        </w:rPr>
        <w:t>0</w:t>
      </w:r>
      <w:r>
        <w:rPr>
          <w:rFonts w:hint="eastAsia" w:cs="仿宋_GB2312"/>
          <w:kern w:val="2"/>
          <w:sz w:val="32"/>
          <w:szCs w:val="32"/>
        </w:rPr>
        <w:t>万元，减少</w:t>
      </w:r>
      <w:r>
        <w:rPr>
          <w:rFonts w:hint="eastAsia" w:cs="仿宋_GB2312"/>
          <w:kern w:val="2"/>
          <w:sz w:val="32"/>
          <w:szCs w:val="32"/>
          <w:lang w:val="en-US" w:eastAsia="zh-CN"/>
        </w:rPr>
        <w:t>0</w:t>
      </w:r>
      <w:r>
        <w:rPr>
          <w:rFonts w:hint="eastAsia" w:cs="仿宋_GB2312"/>
          <w:kern w:val="2"/>
          <w:sz w:val="32"/>
          <w:szCs w:val="32"/>
        </w:rPr>
        <w:t xml:space="preserve">%。 </w:t>
      </w:r>
    </w:p>
    <w:p>
      <w:pPr>
        <w:pStyle w:val="10"/>
        <w:spacing w:before="0" w:line="360" w:lineRule="auto"/>
        <w:ind w:firstLine="640" w:firstLineChars="200"/>
        <w:rPr>
          <w:rFonts w:hint="eastAsia" w:cs="仿宋_GB2312"/>
          <w:kern w:val="2"/>
          <w:sz w:val="32"/>
          <w:szCs w:val="32"/>
        </w:rPr>
      </w:pPr>
      <w:r>
        <w:rPr>
          <w:rFonts w:hint="eastAsia"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xml:space="preserve">　　 </w:t>
      </w:r>
      <w:r>
        <w:rPr>
          <w:rFonts w:hint="eastAsia" w:cs="仿宋_GB2312"/>
          <w:kern w:val="2"/>
          <w:sz w:val="32"/>
          <w:szCs w:val="32"/>
          <w:lang w:eastAsia="zh-CN"/>
        </w:rPr>
        <w:t>2026</w:t>
      </w:r>
      <w:r>
        <w:rPr>
          <w:rFonts w:hint="eastAsia" w:cs="仿宋_GB2312"/>
          <w:kern w:val="2"/>
          <w:sz w:val="32"/>
          <w:szCs w:val="32"/>
        </w:rPr>
        <w:t>年</w:t>
      </w:r>
      <w:r>
        <w:rPr>
          <w:rFonts w:hint="eastAsia" w:cs="仿宋_GB2312"/>
          <w:kern w:val="2"/>
          <w:sz w:val="32"/>
          <w:szCs w:val="32"/>
          <w:lang w:val="en-US" w:eastAsia="zh-CN"/>
        </w:rPr>
        <w:t>中壤塘镇卫生院</w:t>
      </w:r>
      <w:r>
        <w:rPr>
          <w:rFonts w:hint="eastAsia" w:cs="仿宋_GB2312"/>
          <w:kern w:val="2"/>
          <w:sz w:val="32"/>
          <w:szCs w:val="32"/>
        </w:rPr>
        <w:t>安排政府采购预算</w:t>
      </w:r>
      <w:r>
        <w:rPr>
          <w:rFonts w:hint="eastAsia" w:cs="仿宋_GB2312"/>
          <w:kern w:val="2"/>
          <w:sz w:val="32"/>
          <w:szCs w:val="32"/>
          <w:lang w:val="en-US" w:eastAsia="zh-CN"/>
        </w:rPr>
        <w:t>0</w:t>
      </w:r>
      <w:r>
        <w:rPr>
          <w:rFonts w:hint="eastAsia" w:cs="仿宋_GB2312"/>
          <w:kern w:val="2"/>
          <w:sz w:val="32"/>
          <w:szCs w:val="32"/>
        </w:rPr>
        <w:t>万元，</w:t>
      </w:r>
    </w:p>
    <w:p>
      <w:pPr>
        <w:pStyle w:val="10"/>
        <w:spacing w:before="0" w:line="360" w:lineRule="auto"/>
        <w:ind w:firstLine="640" w:firstLineChars="200"/>
        <w:rPr>
          <w:rFonts w:hint="eastAsia" w:cs="仿宋_GB2312"/>
          <w:kern w:val="2"/>
          <w:sz w:val="32"/>
          <w:szCs w:val="32"/>
        </w:rPr>
      </w:pPr>
      <w:r>
        <w:rPr>
          <w:rFonts w:hint="eastAsia" w:cs="仿宋_GB2312"/>
          <w:kern w:val="2"/>
          <w:sz w:val="32"/>
          <w:szCs w:val="32"/>
        </w:rPr>
        <w:t>（三）国有资产占有使用情况</w:t>
      </w:r>
    </w:p>
    <w:p>
      <w:pPr>
        <w:pStyle w:val="10"/>
        <w:spacing w:before="0" w:line="360" w:lineRule="auto"/>
        <w:ind w:firstLine="960" w:firstLineChars="300"/>
        <w:rPr>
          <w:rFonts w:hint="eastAsia" w:cs="仿宋_GB2312"/>
          <w:kern w:val="2"/>
          <w:sz w:val="32"/>
          <w:szCs w:val="32"/>
          <w:lang w:eastAsia="zh-CN"/>
        </w:rPr>
      </w:pPr>
      <w:r>
        <w:rPr>
          <w:rFonts w:hint="eastAsia" w:cs="仿宋_GB2312"/>
          <w:kern w:val="2"/>
          <w:sz w:val="32"/>
          <w:szCs w:val="32"/>
          <w:lang w:eastAsia="zh-CN"/>
        </w:rPr>
        <w:t>无</w:t>
      </w:r>
    </w:p>
    <w:p>
      <w:pPr>
        <w:pStyle w:val="10"/>
        <w:spacing w:before="0" w:line="360" w:lineRule="auto"/>
        <w:ind w:firstLine="640" w:firstLineChars="200"/>
        <w:rPr>
          <w:rFonts w:hint="eastAsia" w:cs="仿宋_GB2312"/>
          <w:kern w:val="2"/>
          <w:sz w:val="32"/>
          <w:szCs w:val="32"/>
        </w:rPr>
      </w:pPr>
      <w:r>
        <w:rPr>
          <w:rFonts w:hint="eastAsia"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w:t>
      </w:r>
      <w:r>
        <w:rPr>
          <w:rFonts w:hint="eastAsia" w:cs="仿宋_GB2312"/>
          <w:kern w:val="2"/>
          <w:sz w:val="32"/>
          <w:szCs w:val="32"/>
          <w:lang w:eastAsia="zh-CN"/>
        </w:rPr>
        <w:t>2026</w:t>
      </w:r>
      <w:r>
        <w:rPr>
          <w:rFonts w:hint="eastAsia" w:cs="仿宋_GB2312"/>
          <w:kern w:val="2"/>
          <w:sz w:val="32"/>
          <w:szCs w:val="32"/>
        </w:rPr>
        <w:t>年</w:t>
      </w:r>
      <w:r>
        <w:rPr>
          <w:rFonts w:hint="eastAsia" w:cs="仿宋_GB2312"/>
          <w:kern w:val="2"/>
          <w:sz w:val="32"/>
          <w:szCs w:val="32"/>
          <w:lang w:val="en-US" w:eastAsia="zh-CN"/>
        </w:rPr>
        <w:t>中壤塘镇卫生院</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167.21</w:t>
      </w:r>
      <w:r>
        <w:rPr>
          <w:rFonts w:hint="eastAsia" w:cs="仿宋_GB2312"/>
          <w:kern w:val="2"/>
          <w:sz w:val="32"/>
          <w:szCs w:val="32"/>
        </w:rPr>
        <w:t>万元。</w:t>
      </w:r>
    </w:p>
    <w:p>
      <w:pPr>
        <w:pStyle w:val="10"/>
        <w:spacing w:before="0" w:line="360" w:lineRule="auto"/>
        <w:rPr>
          <w:rFonts w:hint="eastAsia" w:ascii="仿宋_GB2312" w:hAnsi="仿宋_GB2312" w:eastAsia="仿宋_GB2312" w:cs="仿宋_GB2312"/>
          <w:b/>
          <w:bCs/>
          <w:kern w:val="2"/>
          <w:sz w:val="32"/>
          <w:szCs w:val="32"/>
          <w:lang w:val="en-US" w:eastAsia="zh-CN" w:bidi="ar-SA"/>
        </w:rPr>
      </w:pPr>
    </w:p>
    <w:p>
      <w:pPr>
        <w:pStyle w:val="10"/>
        <w:spacing w:before="0" w:line="360" w:lineRule="auto"/>
        <w:rPr>
          <w:rFonts w:hint="eastAsia" w:cs="仿宋_GB2312"/>
          <w:kern w:val="2"/>
          <w:sz w:val="32"/>
          <w:szCs w:val="32"/>
        </w:rPr>
      </w:pPr>
      <w:bookmarkStart w:id="3" w:name="_GoBack"/>
      <w:bookmarkEnd w:id="3"/>
      <w:r>
        <w:rPr>
          <w:rFonts w:hint="eastAsia" w:ascii="仿宋_GB2312" w:hAnsi="仿宋_GB2312" w:eastAsia="仿宋_GB2312" w:cs="仿宋_GB2312"/>
          <w:b/>
          <w:bCs/>
          <w:kern w:val="2"/>
          <w:sz w:val="32"/>
          <w:szCs w:val="32"/>
          <w:lang w:val="en-US" w:eastAsia="zh-CN" w:bidi="ar-SA"/>
        </w:rPr>
        <w:t>十、名称解释</w:t>
      </w:r>
      <w:r>
        <w:rPr>
          <w:rFonts w:hint="eastAsia" w:ascii="黑体" w:eastAsia="黑体"/>
          <w:sz w:val="32"/>
          <w:szCs w:val="32"/>
        </w:rPr>
        <w:t xml:space="preserve"> </w:t>
      </w:r>
      <w:r>
        <w:rPr>
          <w:rFonts w:hint="eastAsia" w:cs="仿宋_GB2312"/>
          <w:sz w:val="32"/>
          <w:szCs w:val="32"/>
        </w:rPr>
        <w:br w:type="textWrapping"/>
      </w:r>
      <w:r>
        <w:rPr>
          <w:rFonts w:hint="eastAsia" w:ascii="??" w:hAnsi="??" w:eastAsia="宋体" w:cs="宋体"/>
          <w:sz w:val="16"/>
        </w:rPr>
        <w:t xml:space="preserve">　　   </w:t>
      </w:r>
      <w:r>
        <w:rPr>
          <w:rFonts w:hint="eastAsia" w:cs="仿宋_GB2312"/>
          <w:kern w:val="2"/>
          <w:sz w:val="32"/>
          <w:szCs w:val="32"/>
        </w:rPr>
        <w:t>（一）财政拨款收入：指由财政拨款形成的部门收入。按现行管理制度，部门预算中反映的财政拨款仅包括一般公共预算拨款和政府性基金预算拨款。</w:t>
      </w:r>
      <w:r>
        <w:rPr>
          <w:rFonts w:hint="eastAsia" w:cs="仿宋_GB2312"/>
          <w:kern w:val="2"/>
          <w:sz w:val="32"/>
          <w:szCs w:val="32"/>
        </w:rPr>
        <w:br w:type="textWrapping"/>
      </w:r>
      <w:r>
        <w:rPr>
          <w:rFonts w:hint="eastAsia" w:cs="仿宋_GB2312"/>
          <w:kern w:val="2"/>
          <w:sz w:val="32"/>
          <w:szCs w:val="32"/>
        </w:rPr>
        <w:t>　　（二）事业收入：指所属事业单位开展专业业务活动及辅助活动所取得的收入。</w:t>
      </w:r>
      <w:r>
        <w:rPr>
          <w:rFonts w:hint="eastAsia" w:cs="仿宋_GB2312"/>
          <w:kern w:val="2"/>
          <w:sz w:val="32"/>
          <w:szCs w:val="32"/>
        </w:rPr>
        <w:br w:type="textWrapping"/>
      </w:r>
      <w:r>
        <w:rPr>
          <w:rFonts w:hint="eastAsia" w:cs="仿宋_GB2312"/>
          <w:kern w:val="2"/>
          <w:sz w:val="32"/>
          <w:szCs w:val="32"/>
        </w:rPr>
        <w:t>　　（三）事业单位经营收入：指所属事业单位在专业业务活动及其辅助活动之外开展非独立核算经营活动取得的收入。</w:t>
      </w:r>
      <w:r>
        <w:rPr>
          <w:rFonts w:hint="eastAsia" w:cs="仿宋_GB2312"/>
          <w:kern w:val="2"/>
          <w:sz w:val="32"/>
          <w:szCs w:val="32"/>
        </w:rPr>
        <w:br w:type="textWrapping"/>
      </w:r>
      <w:r>
        <w:rPr>
          <w:rFonts w:hint="eastAsia" w:cs="仿宋_GB2312"/>
          <w:kern w:val="2"/>
          <w:sz w:val="32"/>
          <w:szCs w:val="32"/>
        </w:rPr>
        <w:t>　　（四）其他收入：指除上述“财政拨款收入”、“事业收入”、“事业单位经营收入”等以外的收入，主要是所属行政事业单位按规定动用的售房收入、存款利息收入等。</w:t>
      </w:r>
      <w:r>
        <w:rPr>
          <w:rFonts w:hint="eastAsia" w:cs="仿宋_GB2312"/>
          <w:kern w:val="2"/>
          <w:sz w:val="32"/>
          <w:szCs w:val="32"/>
        </w:rPr>
        <w:br w:type="textWrapping"/>
      </w:r>
      <w:r>
        <w:rPr>
          <w:rFonts w:hint="eastAsia" w:cs="仿宋_GB2312"/>
          <w:kern w:val="2"/>
          <w:sz w:val="32"/>
          <w:szCs w:val="32"/>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cs="仿宋_GB2312"/>
          <w:kern w:val="2"/>
          <w:sz w:val="32"/>
          <w:szCs w:val="32"/>
        </w:rPr>
        <w:br w:type="textWrapping"/>
      </w:r>
      <w:r>
        <w:rPr>
          <w:rFonts w:hint="eastAsia" w:cs="仿宋_GB2312"/>
          <w:kern w:val="2"/>
          <w:sz w:val="32"/>
          <w:szCs w:val="32"/>
        </w:rPr>
        <w:t>　　（六）上年结转：指所属行政事业单位以前年度尚未完成、结转至本年按原规定用途继续使用的资金和以前年度已完成项目剩余资金经批准用于新用途使用的资金。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8E9469A"/>
    <w:rsid w:val="23910648"/>
    <w:rsid w:val="50481CBA"/>
    <w:rsid w:val="6151624F"/>
    <w:rsid w:val="655C2C65"/>
    <w:rsid w:val="6B864DE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6</Pages>
  <Words>1635</Words>
  <Characters>1739</Characters>
  <Lines>124</Lines>
  <Paragraphs>51</Paragraphs>
  <TotalTime>4</TotalTime>
  <ScaleCrop>false</ScaleCrop>
  <LinksUpToDate>false</LinksUpToDate>
  <CharactersWithSpaces>1800</CharactersWithSpaces>
  <Application>WPS Office_11.8.2.8411_F1E327BC-269C-435d-A152-05C5408002CA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Administrator</cp:lastModifiedBy>
  <cp:lastPrinted>2026-02-04T01:48:00Z</cp:lastPrinted>
  <dcterms:modified xsi:type="dcterms:W3CDTF">2026-08-01T02:27:08Z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