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bookmarkEnd w:id="0"/>
    <w:p>
      <w:pPr>
        <w:jc w:val="center"/>
        <w:rPr>
          <w:rFonts w:ascii="黑体" w:hAnsi="黑体" w:eastAsia="黑体"/>
          <w:sz w:val="72"/>
          <w:szCs w:val="72"/>
        </w:rPr>
      </w:pPr>
      <w:bookmarkStart w:id="1" w:name="_Toc15396475"/>
      <w:bookmarkStart w:id="2" w:name="_Toc15377425"/>
      <w:bookmarkStart w:id="3" w:name="_Toc15377193"/>
      <w:bookmarkStart w:id="4" w:name="_Toc15378441"/>
      <w:bookmarkStart w:id="5" w:name="_Toc15396597"/>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598"/>
      <w:bookmarkStart w:id="7" w:name="_Toc15378442"/>
      <w:bookmarkStart w:id="8" w:name="_Toc15377194"/>
      <w:bookmarkStart w:id="9" w:name="_Toc15377426"/>
      <w:bookmarkStart w:id="10" w:name="_Toc15396476"/>
      <w:r>
        <w:rPr>
          <w:rFonts w:hint="eastAsia" w:ascii="方正小标宋简体" w:eastAsia="方正小标宋简体"/>
          <w:sz w:val="72"/>
          <w:szCs w:val="72"/>
        </w:rPr>
        <w:t>四川省阿坝州</w:t>
      </w:r>
      <w:bookmarkStart w:id="11" w:name="_Toc15306268"/>
      <w:r>
        <w:rPr>
          <w:rFonts w:hint="eastAsia" w:ascii="方正小标宋简体" w:eastAsia="方正小标宋简体"/>
          <w:sz w:val="72"/>
          <w:szCs w:val="72"/>
          <w:lang w:eastAsia="zh-CN"/>
        </w:rPr>
        <w:t>壤塘县</w:t>
      </w:r>
      <w:r>
        <w:rPr>
          <w:rFonts w:hint="eastAsia" w:ascii="方正小标宋简体" w:eastAsia="方正小标宋简体"/>
          <w:sz w:val="72"/>
          <w:szCs w:val="72"/>
          <w:lang w:val="en-US" w:eastAsia="zh-CN"/>
        </w:rPr>
        <w:t>中壤塘文化旅游景区管理处</w:t>
      </w:r>
      <w:r>
        <w:rPr>
          <w:rFonts w:hint="eastAsia" w:ascii="方正小标宋简体" w:eastAsia="方正小标宋简体"/>
          <w:sz w:val="72"/>
          <w:szCs w:val="72"/>
        </w:rPr>
        <w:t>部门决算</w:t>
      </w:r>
      <w:bookmarkEnd w:id="6"/>
      <w:bookmarkEnd w:id="7"/>
      <w:bookmarkEnd w:id="8"/>
      <w:bookmarkEnd w:id="9"/>
      <w:bookmarkEnd w:id="10"/>
      <w:bookmarkEnd w:id="11"/>
    </w:p>
    <w:p>
      <w:pPr>
        <w:jc w:val="center"/>
        <w:rPr>
          <w:rFonts w:ascii="方正小标宋简体" w:eastAsia="方正小标宋简体"/>
          <w:sz w:val="52"/>
          <w:szCs w:val="52"/>
        </w:rPr>
      </w:pPr>
      <w:bookmarkStart w:id="168" w:name="_GoBack"/>
      <w:bookmarkEnd w:id="168"/>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hint="eastAsia" w:ascii="黑体" w:hAnsi="黑体" w:eastAsia="黑体" w:cs="黑体"/>
          <w:b w:val="0"/>
          <w:bCs w:val="0"/>
          <w:sz w:val="32"/>
          <w:szCs w:val="32"/>
          <w:lang w:val="en-US" w:eastAsia="zh-CN"/>
        </w:rPr>
      </w:pPr>
    </w:p>
    <w:p>
      <w:pPr>
        <w:rPr>
          <w:rFonts w:hint="eastAsia" w:ascii="黑体" w:hAnsi="黑体" w:eastAsia="黑体" w:cs="黑体"/>
          <w:b w:val="0"/>
          <w:bCs w:val="0"/>
          <w:sz w:val="32"/>
          <w:szCs w:val="32"/>
          <w:lang w:val="en-US" w:eastAsia="zh-CN"/>
        </w:rPr>
      </w:pPr>
    </w:p>
    <w:p>
      <w:pPr>
        <w:rPr>
          <w:rFonts w:hint="eastAsia" w:ascii="黑体" w:hAnsi="黑体" w:eastAsia="黑体" w:cs="黑体"/>
          <w:b w:val="0"/>
          <w:bCs w:val="0"/>
          <w:sz w:val="32"/>
          <w:szCs w:val="32"/>
          <w:lang w:val="en-US" w:eastAsia="zh-CN"/>
        </w:rPr>
      </w:pPr>
    </w:p>
    <w:p>
      <w:pPr>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保密审查情况：已审查，内容审定</w:t>
      </w:r>
    </w:p>
    <w:p>
      <w:pPr>
        <w:pStyle w:val="2"/>
        <w:ind w:left="0" w:leftChars="0" w:firstLine="0" w:firstLineChars="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部门主要负责人审签情况：已审签，同意对外公开</w:t>
      </w:r>
    </w:p>
    <w:p>
      <w:pPr>
        <w:jc w:val="center"/>
        <w:rPr>
          <w:rFonts w:ascii="黑体" w:hAnsi="黑体" w:eastAsia="黑体"/>
          <w:color w:val="000000"/>
          <w:sz w:val="48"/>
          <w:szCs w:val="48"/>
        </w:rPr>
      </w:pPr>
      <w:r>
        <w:rPr>
          <w:rFonts w:hint="eastAsia" w:ascii="黑体" w:hAnsi="黑体" w:eastAsia="黑体" w:cs="黑体"/>
          <w:b w:val="0"/>
          <w:bCs w:val="0"/>
          <w:sz w:val="32"/>
          <w:szCs w:val="32"/>
          <w:lang w:val="en-US" w:eastAsia="zh-CN"/>
        </w:rPr>
        <w:t>公开时间：     年    月    日</w:t>
      </w:r>
      <w:r>
        <w:rPr>
          <w:rFonts w:ascii="方正小标宋简体" w:hAnsi="宋体" w:eastAsia="方正小标宋简体"/>
          <w:color w:val="000000"/>
          <w:sz w:val="36"/>
          <w:szCs w:val="36"/>
        </w:rPr>
        <w:br w:type="page"/>
      </w:r>
      <w:bookmarkStart w:id="12" w:name="_Toc15396599"/>
      <w:bookmarkStart w:id="13" w:name="_Toc15377196"/>
      <w:r>
        <w:rPr>
          <w:rFonts w:hint="eastAsia" w:ascii="黑体" w:hAnsi="黑体" w:eastAsia="黑体"/>
          <w:color w:val="000000"/>
          <w:sz w:val="48"/>
          <w:szCs w:val="48"/>
        </w:rPr>
        <w:t>目录</w:t>
      </w:r>
    </w:p>
    <w:p>
      <w:pPr>
        <w:pStyle w:val="13"/>
        <w:tabs>
          <w:tab w:val="right" w:leader="dot" w:pos="8306"/>
          <w:tab w:val="clear" w:pos="8296"/>
        </w:tabs>
      </w:pPr>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黑体" w:hAnsi="黑体" w:eastAsia="黑体"/>
        </w:rPr>
        <w:t>第一部分 部门概况</w:t>
      </w:r>
      <w:r>
        <w:tab/>
      </w:r>
      <w:r>
        <w:fldChar w:fldCharType="begin"/>
      </w:r>
      <w:r>
        <w:instrText xml:space="preserve"> PAGEREF _Toc7568 </w:instrText>
      </w:r>
      <w:r>
        <w:fldChar w:fldCharType="separate"/>
      </w:r>
      <w:r>
        <w:t>3</w:t>
      </w:r>
      <w:r>
        <w:fldChar w:fldCharType="end"/>
      </w:r>
    </w:p>
    <w:p>
      <w:pPr>
        <w:pStyle w:val="14"/>
        <w:tabs>
          <w:tab w:val="right" w:leader="dot" w:pos="8306"/>
          <w:tab w:val="clear" w:pos="8296"/>
        </w:tabs>
        <w:rPr>
          <w:rFonts w:hint="eastAsia" w:ascii="黑体" w:hAnsi="黑体" w:eastAsia="黑体" w:cs="黑体"/>
          <w:lang w:val="en-US" w:eastAsia="zh-CN" w:bidi="ar-SA"/>
        </w:rPr>
      </w:pPr>
      <w:r>
        <w:rPr>
          <w:rFonts w:hint="eastAsia" w:ascii="黑体" w:hAnsi="黑体" w:eastAsia="黑体" w:cs="黑体"/>
          <w:lang w:val="en-US" w:eastAsia="zh-CN" w:bidi="ar-SA"/>
        </w:rPr>
        <w:t>一、基本职能及主要工作</w:t>
      </w:r>
      <w:r>
        <w:rPr>
          <w:rFonts w:hint="eastAsia" w:ascii="黑体" w:hAnsi="黑体" w:eastAsia="黑体" w:cs="黑体"/>
          <w:lang w:val="en-US" w:eastAsia="zh-CN" w:bidi="ar-SA"/>
        </w:rPr>
        <w:tab/>
      </w:r>
      <w:r>
        <w:rPr>
          <w:rFonts w:hint="eastAsia" w:ascii="黑体" w:hAnsi="黑体" w:eastAsia="黑体" w:cs="黑体"/>
          <w:lang w:val="en-US" w:eastAsia="zh-CN" w:bidi="ar-SA"/>
        </w:rPr>
        <w:fldChar w:fldCharType="begin"/>
      </w:r>
      <w:r>
        <w:rPr>
          <w:rFonts w:hint="eastAsia" w:ascii="黑体" w:hAnsi="黑体" w:eastAsia="黑体" w:cs="黑体"/>
          <w:lang w:val="en-US" w:eastAsia="zh-CN" w:bidi="ar-SA"/>
        </w:rPr>
        <w:instrText xml:space="preserve"> PAGEREF _Toc13874 </w:instrText>
      </w:r>
      <w:r>
        <w:rPr>
          <w:rFonts w:hint="eastAsia" w:ascii="黑体" w:hAnsi="黑体" w:eastAsia="黑体" w:cs="黑体"/>
          <w:lang w:val="en-US" w:eastAsia="zh-CN" w:bidi="ar-SA"/>
        </w:rPr>
        <w:fldChar w:fldCharType="separate"/>
      </w:r>
      <w:r>
        <w:rPr>
          <w:rFonts w:hint="eastAsia" w:ascii="黑体" w:hAnsi="黑体" w:eastAsia="黑体" w:cs="黑体"/>
          <w:lang w:val="en-US" w:eastAsia="zh-CN" w:bidi="ar-SA"/>
        </w:rPr>
        <w:t>3</w:t>
      </w:r>
      <w:r>
        <w:rPr>
          <w:rFonts w:hint="eastAsia" w:ascii="黑体" w:hAnsi="黑体" w:eastAsia="黑体" w:cs="黑体"/>
          <w:lang w:val="en-US" w:eastAsia="zh-CN" w:bidi="ar-SA"/>
        </w:rPr>
        <w:fldChar w:fldCharType="end"/>
      </w:r>
    </w:p>
    <w:p>
      <w:pPr>
        <w:pStyle w:val="14"/>
        <w:tabs>
          <w:tab w:val="right" w:leader="dot" w:pos="8306"/>
          <w:tab w:val="clear" w:pos="8296"/>
        </w:tabs>
        <w:rPr>
          <w:rFonts w:hint="eastAsia" w:ascii="黑体" w:hAnsi="黑体" w:eastAsia="黑体" w:cs="黑体"/>
          <w:lang w:eastAsia="zh-CN"/>
        </w:rPr>
      </w:pPr>
      <w:r>
        <w:rPr>
          <w:rFonts w:hint="eastAsia" w:ascii="黑体" w:hAnsi="黑体" w:eastAsia="黑体" w:cs="黑体"/>
          <w:lang w:val="en-US" w:eastAsia="zh-CN" w:bidi="ar-SA"/>
        </w:rPr>
        <w:t>二、机构设置</w:t>
      </w:r>
      <w:r>
        <w:rPr>
          <w:rFonts w:hint="eastAsia" w:ascii="黑体" w:hAnsi="黑体" w:eastAsia="黑体" w:cs="黑体"/>
        </w:rPr>
        <w:tab/>
      </w:r>
      <w:r>
        <w:rPr>
          <w:rFonts w:hint="eastAsia" w:ascii="黑体" w:hAnsi="黑体" w:eastAsia="黑体" w:cs="黑体"/>
          <w:lang w:val="en-US" w:eastAsia="zh-CN"/>
        </w:rPr>
        <w:t>5</w:t>
      </w:r>
    </w:p>
    <w:p>
      <w:pPr>
        <w:pStyle w:val="13"/>
        <w:tabs>
          <w:tab w:val="right" w:leader="dot" w:pos="8306"/>
          <w:tab w:val="clear" w:pos="8296"/>
        </w:tabs>
        <w:rPr>
          <w:rFonts w:hint="eastAsia" w:eastAsia="仿宋"/>
          <w:lang w:val="en-US" w:eastAsia="zh-CN"/>
        </w:rPr>
      </w:pPr>
      <w:r>
        <w:rPr>
          <w:rFonts w:hint="eastAsia" w:ascii="黑体" w:hAnsi="黑体" w:eastAsia="黑体"/>
        </w:rPr>
        <w:t>第二部分20</w:t>
      </w:r>
      <w:r>
        <w:rPr>
          <w:rFonts w:hint="eastAsia" w:ascii="黑体" w:hAnsi="黑体" w:eastAsia="黑体"/>
          <w:lang w:val="en-US" w:eastAsia="zh-CN"/>
        </w:rPr>
        <w:t>20</w:t>
      </w:r>
      <w:r>
        <w:rPr>
          <w:rFonts w:hint="eastAsia" w:ascii="黑体" w:hAnsi="黑体" w:eastAsia="黑体"/>
        </w:rPr>
        <w:t>年度部门决算情况说明</w:t>
      </w:r>
      <w:r>
        <w:tab/>
      </w:r>
      <w:r>
        <w:rPr>
          <w:rFonts w:hint="eastAsia"/>
          <w:lang w:val="en-US" w:eastAsia="zh-CN"/>
        </w:rPr>
        <w:t>6</w:t>
      </w:r>
    </w:p>
    <w:p>
      <w:pPr>
        <w:pStyle w:val="14"/>
        <w:tabs>
          <w:tab w:val="right" w:leader="dot" w:pos="8306"/>
          <w:tab w:val="clear" w:pos="8296"/>
        </w:tabs>
        <w:rPr>
          <w:rFonts w:hint="eastAsia" w:eastAsia="宋体"/>
          <w:lang w:eastAsia="zh-CN"/>
        </w:rPr>
      </w:pPr>
      <w:r>
        <w:rPr>
          <w:rFonts w:hint="eastAsia" w:ascii="黑体" w:hAnsi="黑体" w:eastAsia="黑体"/>
          <w:bCs/>
          <w:lang w:val="en-US" w:eastAsia="zh-CN" w:bidi="ar-SA"/>
        </w:rPr>
        <w:t xml:space="preserve">一、 </w:t>
      </w:r>
      <w:r>
        <w:rPr>
          <w:rFonts w:hint="eastAsia" w:ascii="黑体" w:hAnsi="黑体" w:eastAsia="黑体"/>
          <w:lang w:val="en-US" w:eastAsia="zh-CN" w:bidi="ar-SA"/>
        </w:rPr>
        <w:t>收入支出决算总体情况说明</w:t>
      </w:r>
      <w:r>
        <w:tab/>
      </w:r>
      <w:r>
        <w:rPr>
          <w:rFonts w:hint="eastAsia"/>
          <w:lang w:val="en-US" w:eastAsia="zh-CN"/>
        </w:rPr>
        <w:t>6</w:t>
      </w:r>
    </w:p>
    <w:p>
      <w:pPr>
        <w:pStyle w:val="14"/>
        <w:tabs>
          <w:tab w:val="right" w:leader="dot" w:pos="8306"/>
          <w:tab w:val="clear" w:pos="8296"/>
        </w:tabs>
        <w:rPr>
          <w:rFonts w:hint="eastAsia" w:eastAsia="宋体"/>
          <w:lang w:eastAsia="zh-CN"/>
        </w:rPr>
      </w:pPr>
      <w:r>
        <w:rPr>
          <w:rFonts w:hint="eastAsia" w:ascii="黑体" w:hAnsi="黑体" w:eastAsia="黑体" w:cs="Times New Roman"/>
          <w:bCs/>
          <w:color w:val="000000"/>
          <w:szCs w:val="32"/>
        </w:rPr>
        <w:t xml:space="preserve">二、 </w:t>
      </w:r>
      <w:r>
        <w:rPr>
          <w:rFonts w:hint="eastAsia" w:ascii="黑体" w:hAnsi="黑体" w:eastAsia="黑体" w:cs="Times New Roman"/>
          <w:color w:val="000000"/>
          <w:szCs w:val="32"/>
        </w:rPr>
        <w:t>收入决算情况说明</w:t>
      </w:r>
      <w:r>
        <w:tab/>
      </w:r>
      <w:r>
        <w:rPr>
          <w:rFonts w:hint="eastAsia"/>
          <w:lang w:val="en-US" w:eastAsia="zh-CN"/>
        </w:rPr>
        <w:t>7</w:t>
      </w:r>
    </w:p>
    <w:p>
      <w:pPr>
        <w:pStyle w:val="14"/>
        <w:tabs>
          <w:tab w:val="right" w:leader="dot" w:pos="8306"/>
          <w:tab w:val="clear" w:pos="8296"/>
        </w:tabs>
        <w:rPr>
          <w:rFonts w:hint="eastAsia" w:eastAsia="宋体"/>
          <w:lang w:eastAsia="zh-CN"/>
        </w:rPr>
      </w:pPr>
      <w:r>
        <w:rPr>
          <w:rFonts w:hint="eastAsia" w:ascii="黑体" w:hAnsi="黑体" w:eastAsia="黑体" w:cs="Times New Roman"/>
          <w:bCs/>
          <w:color w:val="000000"/>
          <w:szCs w:val="32"/>
        </w:rPr>
        <w:t xml:space="preserve">三、 </w:t>
      </w:r>
      <w:r>
        <w:rPr>
          <w:rFonts w:hint="eastAsia" w:ascii="黑体" w:hAnsi="黑体" w:eastAsia="黑体" w:cs="Times New Roman"/>
          <w:color w:val="000000"/>
          <w:szCs w:val="32"/>
        </w:rPr>
        <w:t>支出决算情况说明</w:t>
      </w:r>
      <w:r>
        <w:tab/>
      </w:r>
      <w:r>
        <w:rPr>
          <w:rFonts w:hint="eastAsia"/>
          <w:lang w:val="en-US" w:eastAsia="zh-CN"/>
        </w:rPr>
        <w:t>8</w:t>
      </w:r>
    </w:p>
    <w:p>
      <w:pPr>
        <w:pStyle w:val="14"/>
        <w:tabs>
          <w:tab w:val="right" w:leader="dot" w:pos="8306"/>
          <w:tab w:val="clear" w:pos="8296"/>
        </w:tabs>
        <w:rPr>
          <w:rFonts w:hint="eastAsia" w:eastAsia="宋体"/>
          <w:lang w:eastAsia="zh-CN"/>
        </w:rPr>
      </w:pPr>
      <w:r>
        <w:rPr>
          <w:rFonts w:hint="eastAsia" w:ascii="黑体" w:hAnsi="黑体" w:eastAsia="黑体" w:cs="Times New Roman"/>
          <w:color w:val="000000"/>
          <w:szCs w:val="32"/>
        </w:rPr>
        <w:t>四、财政拨款收入支出决算总体情况说明</w:t>
      </w:r>
      <w:r>
        <w:tab/>
      </w:r>
      <w:r>
        <w:rPr>
          <w:rFonts w:hint="eastAsia"/>
          <w:lang w:val="en-US" w:eastAsia="zh-CN"/>
        </w:rPr>
        <w:t>8</w:t>
      </w:r>
    </w:p>
    <w:p>
      <w:pPr>
        <w:pStyle w:val="14"/>
        <w:tabs>
          <w:tab w:val="right" w:leader="dot" w:pos="8306"/>
          <w:tab w:val="clear" w:pos="8296"/>
        </w:tabs>
        <w:rPr>
          <w:rFonts w:hint="eastAsia" w:eastAsia="宋体"/>
          <w:lang w:eastAsia="zh-CN"/>
        </w:rPr>
      </w:pPr>
      <w:r>
        <w:rPr>
          <w:rFonts w:hint="eastAsia" w:ascii="黑体" w:hAnsi="黑体" w:eastAsia="黑体" w:cs="Times New Roman"/>
          <w:bCs/>
          <w:color w:val="000000"/>
          <w:szCs w:val="32"/>
        </w:rPr>
        <w:t>五、一般公共预算财政拨款支出决算情况说明</w:t>
      </w:r>
      <w:r>
        <w:tab/>
      </w:r>
      <w:r>
        <w:rPr>
          <w:rFonts w:hint="eastAsia"/>
          <w:lang w:val="en-US" w:eastAsia="zh-CN"/>
        </w:rPr>
        <w:t>9</w:t>
      </w:r>
    </w:p>
    <w:p>
      <w:pPr>
        <w:pStyle w:val="9"/>
        <w:tabs>
          <w:tab w:val="right" w:leader="dot" w:pos="8306"/>
          <w:tab w:val="clear" w:pos="8296"/>
        </w:tabs>
        <w:rPr>
          <w:rFonts w:hint="eastAsia" w:eastAsia="宋体"/>
          <w:lang w:eastAsia="zh-CN"/>
        </w:rPr>
      </w:pPr>
      <w:r>
        <w:rPr>
          <w:rFonts w:hint="eastAsia" w:ascii="仿宋_GB2312" w:hAnsi="仿宋" w:eastAsia="仿宋_GB2312"/>
          <w:color w:val="000000"/>
          <w:szCs w:val="32"/>
        </w:rPr>
        <w:t>（一）一般公共预算财政拨款支出决算总体情况</w:t>
      </w:r>
      <w:r>
        <w:tab/>
      </w:r>
      <w:r>
        <w:rPr>
          <w:rFonts w:hint="eastAsia"/>
          <w:lang w:val="en-US" w:eastAsia="zh-CN"/>
        </w:rPr>
        <w:t>9</w:t>
      </w:r>
    </w:p>
    <w:p>
      <w:pPr>
        <w:pStyle w:val="9"/>
        <w:tabs>
          <w:tab w:val="right" w:leader="dot" w:pos="8306"/>
          <w:tab w:val="clear" w:pos="8296"/>
        </w:tabs>
      </w:pPr>
      <w:r>
        <w:rPr>
          <w:rFonts w:hint="eastAsia" w:ascii="仿宋_GB2312" w:hAnsi="仿宋" w:eastAsia="仿宋_GB2312"/>
          <w:color w:val="000000"/>
          <w:szCs w:val="32"/>
        </w:rPr>
        <w:t>（二）一般公共预算财政拨款支出决算结构情况</w:t>
      </w:r>
      <w:r>
        <w:tab/>
      </w:r>
      <w:r>
        <w:fldChar w:fldCharType="begin"/>
      </w:r>
      <w:r>
        <w:instrText xml:space="preserve"> PAGEREF _Toc27378 </w:instrText>
      </w:r>
      <w:r>
        <w:fldChar w:fldCharType="separate"/>
      </w:r>
      <w:r>
        <w:t>10</w:t>
      </w:r>
      <w:r>
        <w:fldChar w:fldCharType="end"/>
      </w:r>
    </w:p>
    <w:p>
      <w:pPr>
        <w:pStyle w:val="9"/>
        <w:tabs>
          <w:tab w:val="right" w:leader="dot" w:pos="8306"/>
          <w:tab w:val="clear" w:pos="8296"/>
        </w:tabs>
      </w:pPr>
      <w:r>
        <w:rPr>
          <w:rFonts w:hint="eastAsia" w:ascii="仿宋_GB2312" w:hAnsi="仿宋" w:eastAsia="仿宋_GB2312"/>
          <w:color w:val="000000"/>
          <w:szCs w:val="32"/>
        </w:rPr>
        <w:t>（三）一般公共预算财政拨款支出决算具体情况</w:t>
      </w:r>
      <w:r>
        <w:tab/>
      </w:r>
      <w:r>
        <w:fldChar w:fldCharType="begin"/>
      </w:r>
      <w:r>
        <w:instrText xml:space="preserve"> PAGEREF _Toc14621 </w:instrText>
      </w:r>
      <w:r>
        <w:fldChar w:fldCharType="separate"/>
      </w:r>
      <w:r>
        <w:t>11</w:t>
      </w:r>
      <w:r>
        <w:fldChar w:fldCharType="end"/>
      </w:r>
    </w:p>
    <w:p>
      <w:pPr>
        <w:pStyle w:val="14"/>
        <w:tabs>
          <w:tab w:val="right" w:leader="dot" w:pos="8306"/>
          <w:tab w:val="clear" w:pos="8296"/>
        </w:tabs>
        <w:rPr>
          <w:rFonts w:hint="eastAsia" w:eastAsia="宋体"/>
          <w:lang w:eastAsia="zh-CN"/>
        </w:rPr>
      </w:pPr>
      <w:r>
        <w:rPr>
          <w:rFonts w:hint="eastAsia" w:ascii="黑体" w:hAnsi="Times New Roman" w:eastAsia="黑体" w:cs="Times New Roman"/>
          <w:bCs/>
          <w:color w:val="000000"/>
          <w:szCs w:val="32"/>
        </w:rPr>
        <w:t>六、一般公共预算财政拨款基本支出决算情况说明</w:t>
      </w:r>
      <w:r>
        <w:tab/>
      </w:r>
      <w:r>
        <w:rPr>
          <w:rFonts w:hint="eastAsia"/>
          <w:lang w:val="en-US" w:eastAsia="zh-CN"/>
        </w:rPr>
        <w:t>13</w:t>
      </w:r>
    </w:p>
    <w:p>
      <w:pPr>
        <w:pStyle w:val="14"/>
        <w:tabs>
          <w:tab w:val="right" w:leader="dot" w:pos="8306"/>
          <w:tab w:val="clear" w:pos="8296"/>
        </w:tabs>
        <w:rPr>
          <w:rFonts w:hint="default" w:eastAsia="宋体"/>
          <w:lang w:val="en-US" w:eastAsia="zh-CN"/>
        </w:rPr>
      </w:pPr>
      <w:r>
        <w:rPr>
          <w:rFonts w:hint="eastAsia" w:ascii="黑体" w:hAnsi="Times New Roman" w:eastAsia="黑体" w:cs="Times New Roman"/>
          <w:color w:val="000000"/>
          <w:szCs w:val="32"/>
        </w:rPr>
        <w:t>七、“三公”经费财政拨款支出决算情况说明</w:t>
      </w:r>
      <w:r>
        <w:tab/>
      </w:r>
      <w:r>
        <w:rPr>
          <w:rFonts w:hint="eastAsia"/>
          <w:lang w:val="en-US" w:eastAsia="zh-CN"/>
        </w:rPr>
        <w:t>13</w:t>
      </w:r>
    </w:p>
    <w:p>
      <w:pPr>
        <w:pStyle w:val="9"/>
        <w:tabs>
          <w:tab w:val="right" w:leader="dot" w:pos="8306"/>
          <w:tab w:val="clear" w:pos="8296"/>
        </w:tabs>
      </w:pPr>
      <w:r>
        <w:rPr>
          <w:rFonts w:hint="eastAsia" w:ascii="仿宋_GB2312" w:hAnsi="仿宋" w:eastAsia="仿宋_GB2312"/>
          <w:color w:val="000000"/>
          <w:szCs w:val="32"/>
        </w:rPr>
        <w:t>（一）“三公”经费财政拨款支出决算总体情况说明</w:t>
      </w:r>
      <w:r>
        <w:tab/>
      </w:r>
      <w:r>
        <w:fldChar w:fldCharType="begin"/>
      </w:r>
      <w:r>
        <w:instrText xml:space="preserve"> PAGEREF _Toc5869 </w:instrText>
      </w:r>
      <w:r>
        <w:fldChar w:fldCharType="separate"/>
      </w:r>
      <w:r>
        <w:t>13</w:t>
      </w:r>
      <w:r>
        <w:fldChar w:fldCharType="end"/>
      </w:r>
    </w:p>
    <w:p>
      <w:pPr>
        <w:pStyle w:val="9"/>
        <w:tabs>
          <w:tab w:val="right" w:leader="dot" w:pos="8306"/>
          <w:tab w:val="clear" w:pos="8296"/>
        </w:tabs>
      </w:pPr>
      <w:r>
        <w:rPr>
          <w:rFonts w:hint="eastAsia" w:ascii="仿宋_GB2312" w:hAnsi="仿宋" w:eastAsia="仿宋_GB2312"/>
          <w:color w:val="000000"/>
          <w:szCs w:val="32"/>
        </w:rPr>
        <w:t>（二）“三公”经费财政拨款支出决算具体情况说明</w:t>
      </w:r>
      <w:r>
        <w:tab/>
      </w:r>
      <w:r>
        <w:fldChar w:fldCharType="begin"/>
      </w:r>
      <w:r>
        <w:instrText xml:space="preserve"> PAGEREF _Toc20821 </w:instrText>
      </w:r>
      <w:r>
        <w:fldChar w:fldCharType="separate"/>
      </w:r>
      <w:r>
        <w:t>13</w:t>
      </w:r>
      <w:r>
        <w:fldChar w:fldCharType="end"/>
      </w:r>
    </w:p>
    <w:p>
      <w:pPr>
        <w:pStyle w:val="14"/>
        <w:tabs>
          <w:tab w:val="right" w:leader="dot" w:pos="8306"/>
          <w:tab w:val="clear" w:pos="8296"/>
        </w:tabs>
        <w:rPr>
          <w:rFonts w:hint="eastAsia" w:ascii="黑体" w:hAnsi="黑体" w:eastAsia="黑体" w:cs="Times New Roman"/>
          <w:bCs/>
          <w:color w:val="000000"/>
          <w:szCs w:val="32"/>
        </w:rPr>
      </w:pPr>
      <w:r>
        <w:rPr>
          <w:rFonts w:hint="eastAsia" w:ascii="黑体" w:hAnsi="黑体" w:eastAsia="黑体" w:cs="Times New Roman"/>
          <w:bCs/>
          <w:color w:val="000000"/>
          <w:szCs w:val="32"/>
        </w:rPr>
        <w:t>八、政府性基金预算支出决算情况说明</w:t>
      </w:r>
      <w:r>
        <w:rPr>
          <w:rFonts w:hint="eastAsia" w:ascii="黑体" w:hAnsi="黑体" w:eastAsia="黑体" w:cs="Times New Roman"/>
          <w:bCs/>
          <w:color w:val="000000"/>
          <w:szCs w:val="32"/>
        </w:rPr>
        <w:tab/>
      </w:r>
      <w:r>
        <w:rPr>
          <w:rFonts w:hint="eastAsia" w:ascii="黑体" w:hAnsi="黑体" w:eastAsia="黑体" w:cs="Times New Roman"/>
          <w:bCs/>
          <w:color w:val="000000"/>
          <w:szCs w:val="32"/>
        </w:rPr>
        <w:fldChar w:fldCharType="begin"/>
      </w:r>
      <w:r>
        <w:rPr>
          <w:rFonts w:hint="eastAsia" w:ascii="黑体" w:hAnsi="黑体" w:eastAsia="黑体" w:cs="Times New Roman"/>
          <w:bCs/>
          <w:color w:val="000000"/>
          <w:szCs w:val="32"/>
        </w:rPr>
        <w:instrText xml:space="preserve"> PAGEREF _Toc17254 </w:instrText>
      </w:r>
      <w:r>
        <w:rPr>
          <w:rFonts w:hint="eastAsia" w:ascii="黑体" w:hAnsi="黑体" w:eastAsia="黑体" w:cs="Times New Roman"/>
          <w:bCs/>
          <w:color w:val="000000"/>
          <w:szCs w:val="32"/>
        </w:rPr>
        <w:fldChar w:fldCharType="separate"/>
      </w:r>
      <w:r>
        <w:rPr>
          <w:rFonts w:hint="eastAsia" w:ascii="黑体" w:hAnsi="黑体" w:eastAsia="黑体" w:cs="Times New Roman"/>
          <w:bCs/>
          <w:color w:val="000000"/>
          <w:szCs w:val="32"/>
        </w:rPr>
        <w:t>15</w:t>
      </w:r>
      <w:r>
        <w:rPr>
          <w:rFonts w:hint="eastAsia" w:ascii="黑体" w:hAnsi="黑体" w:eastAsia="黑体" w:cs="Times New Roman"/>
          <w:bCs/>
          <w:color w:val="000000"/>
          <w:szCs w:val="32"/>
        </w:rPr>
        <w:fldChar w:fldCharType="end"/>
      </w:r>
    </w:p>
    <w:p>
      <w:pPr>
        <w:pStyle w:val="14"/>
        <w:tabs>
          <w:tab w:val="right" w:leader="dot" w:pos="8306"/>
          <w:tab w:val="clear" w:pos="8296"/>
        </w:tabs>
      </w:pPr>
      <w:r>
        <w:rPr>
          <w:rFonts w:hint="eastAsia" w:ascii="黑体" w:hAnsi="黑体" w:eastAsia="黑体" w:cs="Times New Roman"/>
          <w:bCs/>
          <w:color w:val="000000"/>
          <w:szCs w:val="32"/>
        </w:rPr>
        <w:t>九、 国有资本经营预算支出决算情况说明</w:t>
      </w:r>
      <w:r>
        <w:tab/>
      </w:r>
      <w:r>
        <w:fldChar w:fldCharType="begin"/>
      </w:r>
      <w:r>
        <w:instrText xml:space="preserve"> PAGEREF _Toc18632 </w:instrText>
      </w:r>
      <w:r>
        <w:fldChar w:fldCharType="separate"/>
      </w:r>
      <w:r>
        <w:t>15</w:t>
      </w:r>
      <w:r>
        <w:fldChar w:fldCharType="end"/>
      </w:r>
    </w:p>
    <w:p>
      <w:pPr>
        <w:pStyle w:val="14"/>
        <w:tabs>
          <w:tab w:val="right" w:leader="dot" w:pos="8306"/>
          <w:tab w:val="clear" w:pos="8296"/>
        </w:tabs>
      </w:pPr>
      <w:r>
        <w:rPr>
          <w:rFonts w:hint="eastAsia" w:ascii="黑体" w:hAnsi="黑体" w:eastAsia="黑体"/>
          <w:color w:val="000000"/>
          <w:szCs w:val="32"/>
        </w:rPr>
        <w:t>十</w:t>
      </w:r>
      <w:r>
        <w:rPr>
          <w:rFonts w:hint="eastAsia" w:ascii="黑体" w:hAnsi="黑体" w:eastAsia="黑体"/>
        </w:rPr>
        <w:t>、其他重要事项的情况说明</w:t>
      </w:r>
      <w:r>
        <w:tab/>
      </w:r>
      <w:r>
        <w:fldChar w:fldCharType="begin"/>
      </w:r>
      <w:r>
        <w:instrText xml:space="preserve"> PAGEREF _Toc10130 </w:instrText>
      </w:r>
      <w:r>
        <w:fldChar w:fldCharType="separate"/>
      </w:r>
      <w:r>
        <w:t>15</w:t>
      </w:r>
      <w:r>
        <w:fldChar w:fldCharType="end"/>
      </w:r>
    </w:p>
    <w:p>
      <w:pPr>
        <w:pStyle w:val="9"/>
        <w:tabs>
          <w:tab w:val="right" w:leader="dot" w:pos="8306"/>
          <w:tab w:val="clear" w:pos="8296"/>
        </w:tabs>
      </w:pPr>
      <w:r>
        <w:rPr>
          <w:rFonts w:hint="eastAsia" w:ascii="仿宋" w:hAnsi="仿宋" w:eastAsia="仿宋"/>
          <w:color w:val="000000"/>
          <w:szCs w:val="32"/>
        </w:rPr>
        <w:t>（一）机关运行经费支出情况</w:t>
      </w:r>
      <w:r>
        <w:tab/>
      </w:r>
      <w:r>
        <w:fldChar w:fldCharType="begin"/>
      </w:r>
      <w:r>
        <w:instrText xml:space="preserve"> PAGEREF _Toc31055 </w:instrText>
      </w:r>
      <w:r>
        <w:fldChar w:fldCharType="separate"/>
      </w:r>
      <w:r>
        <w:t>15</w:t>
      </w:r>
      <w:r>
        <w:fldChar w:fldCharType="end"/>
      </w:r>
    </w:p>
    <w:p>
      <w:pPr>
        <w:pStyle w:val="9"/>
        <w:tabs>
          <w:tab w:val="right" w:leader="dot" w:pos="8306"/>
          <w:tab w:val="clear" w:pos="8296"/>
        </w:tabs>
      </w:pPr>
      <w:r>
        <w:rPr>
          <w:rFonts w:hint="eastAsia" w:ascii="仿宋" w:hAnsi="仿宋" w:eastAsia="仿宋"/>
          <w:color w:val="000000"/>
          <w:szCs w:val="32"/>
        </w:rPr>
        <w:t>（二）政府采购支出情况</w:t>
      </w:r>
      <w:r>
        <w:tab/>
      </w:r>
      <w:r>
        <w:fldChar w:fldCharType="begin"/>
      </w:r>
      <w:r>
        <w:instrText xml:space="preserve"> PAGEREF _Toc18683 </w:instrText>
      </w:r>
      <w:r>
        <w:fldChar w:fldCharType="separate"/>
      </w:r>
      <w:r>
        <w:t>15</w:t>
      </w:r>
      <w:r>
        <w:fldChar w:fldCharType="end"/>
      </w:r>
    </w:p>
    <w:p>
      <w:pPr>
        <w:pStyle w:val="9"/>
        <w:tabs>
          <w:tab w:val="right" w:leader="dot" w:pos="8306"/>
          <w:tab w:val="clear" w:pos="8296"/>
        </w:tabs>
      </w:pPr>
      <w:r>
        <w:rPr>
          <w:rFonts w:hint="eastAsia" w:ascii="仿宋" w:hAnsi="仿宋" w:eastAsia="仿宋"/>
          <w:color w:val="000000"/>
          <w:szCs w:val="32"/>
        </w:rPr>
        <w:t>（三）国有资产占有使用情况</w:t>
      </w:r>
      <w:r>
        <w:tab/>
      </w:r>
      <w:r>
        <w:fldChar w:fldCharType="begin"/>
      </w:r>
      <w:r>
        <w:instrText xml:space="preserve"> PAGEREF _Toc7618 </w:instrText>
      </w:r>
      <w:r>
        <w:fldChar w:fldCharType="separate"/>
      </w:r>
      <w:r>
        <w:t>15</w:t>
      </w:r>
      <w:r>
        <w:fldChar w:fldCharType="end"/>
      </w:r>
    </w:p>
    <w:p>
      <w:pPr>
        <w:pStyle w:val="9"/>
        <w:tabs>
          <w:tab w:val="right" w:leader="dot" w:pos="8306"/>
          <w:tab w:val="clear" w:pos="8296"/>
        </w:tabs>
      </w:pPr>
      <w:r>
        <w:rPr>
          <w:rFonts w:hint="eastAsia" w:ascii="仿宋" w:hAnsi="仿宋" w:eastAsia="仿宋"/>
          <w:color w:val="000000"/>
          <w:szCs w:val="32"/>
        </w:rPr>
        <w:t>（四）预算绩效管理情况。</w:t>
      </w:r>
      <w:r>
        <w:tab/>
      </w:r>
      <w:r>
        <w:fldChar w:fldCharType="begin"/>
      </w:r>
      <w:r>
        <w:instrText xml:space="preserve"> PAGEREF _Toc23741 </w:instrText>
      </w:r>
      <w:r>
        <w:fldChar w:fldCharType="separate"/>
      </w:r>
      <w:r>
        <w:t>15</w:t>
      </w:r>
      <w:r>
        <w:fldChar w:fldCharType="end"/>
      </w:r>
    </w:p>
    <w:p>
      <w:pPr>
        <w:pStyle w:val="13"/>
        <w:tabs>
          <w:tab w:val="right" w:leader="dot" w:pos="8306"/>
          <w:tab w:val="clear" w:pos="8296"/>
        </w:tabs>
      </w:pPr>
      <w:r>
        <w:rPr>
          <w:rFonts w:hint="eastAsia" w:ascii="黑体" w:hAnsi="黑体" w:eastAsia="黑体"/>
        </w:rPr>
        <w:t xml:space="preserve">第三部分 </w:t>
      </w:r>
      <w:r>
        <w:rPr>
          <w:rFonts w:hint="eastAsia" w:ascii="黑体" w:hAnsi="黑体" w:eastAsia="黑体"/>
          <w:color w:val="000000"/>
          <w:szCs w:val="44"/>
        </w:rPr>
        <w:t>名</w:t>
      </w:r>
      <w:r>
        <w:rPr>
          <w:rFonts w:hint="eastAsia" w:ascii="黑体" w:hAnsi="黑体" w:eastAsia="黑体"/>
        </w:rPr>
        <w:t>词解释</w:t>
      </w:r>
      <w:r>
        <w:tab/>
      </w:r>
      <w:r>
        <w:fldChar w:fldCharType="begin"/>
      </w:r>
      <w:r>
        <w:instrText xml:space="preserve"> PAGEREF _Toc3530 </w:instrText>
      </w:r>
      <w:r>
        <w:fldChar w:fldCharType="separate"/>
      </w:r>
      <w:r>
        <w:t>17</w:t>
      </w:r>
      <w:r>
        <w:fldChar w:fldCharType="end"/>
      </w:r>
    </w:p>
    <w:p>
      <w:pPr>
        <w:pStyle w:val="13"/>
        <w:tabs>
          <w:tab w:val="right" w:leader="dot" w:pos="8306"/>
          <w:tab w:val="clear" w:pos="8296"/>
        </w:tabs>
      </w:pPr>
      <w:r>
        <w:rPr>
          <w:rFonts w:hint="eastAsia" w:ascii="黑体" w:hAnsi="黑体" w:eastAsia="黑体"/>
          <w:color w:val="000000"/>
          <w:szCs w:val="44"/>
        </w:rPr>
        <w:t>第</w:t>
      </w:r>
      <w:r>
        <w:rPr>
          <w:rFonts w:hint="eastAsia" w:ascii="黑体" w:hAnsi="黑体" w:eastAsia="黑体"/>
        </w:rPr>
        <w:t>四部分 附件</w:t>
      </w:r>
      <w:r>
        <w:tab/>
      </w:r>
      <w:r>
        <w:fldChar w:fldCharType="begin"/>
      </w:r>
      <w:r>
        <w:instrText xml:space="preserve"> PAGEREF _Toc32473 </w:instrText>
      </w:r>
      <w:r>
        <w:fldChar w:fldCharType="separate"/>
      </w:r>
      <w:r>
        <w:t>20</w:t>
      </w:r>
      <w:r>
        <w:fldChar w:fldCharType="end"/>
      </w:r>
    </w:p>
    <w:p>
      <w:pPr>
        <w:pStyle w:val="13"/>
        <w:tabs>
          <w:tab w:val="right" w:leader="dot" w:pos="8306"/>
          <w:tab w:val="clear" w:pos="8296"/>
        </w:tabs>
        <w:rPr>
          <w:rFonts w:hint="default" w:eastAsia="仿宋"/>
          <w:lang w:val="en-US" w:eastAsia="zh-CN"/>
        </w:rPr>
      </w:pPr>
      <w:r>
        <w:rPr>
          <w:rFonts w:hint="eastAsia" w:ascii="黑体" w:hAnsi="黑体" w:eastAsia="黑体"/>
        </w:rPr>
        <w:t>第五部分 附表</w:t>
      </w:r>
      <w:r>
        <w:tab/>
      </w:r>
      <w:r>
        <w:rPr>
          <w:rFonts w:hint="eastAsia"/>
          <w:lang w:val="en-US" w:eastAsia="zh-CN"/>
        </w:rPr>
        <w:t>33</w:t>
      </w:r>
    </w:p>
    <w:p>
      <w:pPr>
        <w:pStyle w:val="14"/>
        <w:tabs>
          <w:tab w:val="right" w:leader="dot" w:pos="8306"/>
          <w:tab w:val="clear" w:pos="8296"/>
        </w:tabs>
      </w:pPr>
    </w:p>
    <w:p>
      <w:pPr>
        <w:widowControl/>
        <w:jc w:val="left"/>
        <w:rPr>
          <w:rFonts w:hint="eastAsia" w:ascii="黑体" w:hAnsi="黑体" w:eastAsia="黑体"/>
          <w:b/>
        </w:rPr>
      </w:pPr>
      <w:r>
        <w:rPr>
          <w:rFonts w:asciiTheme="minorHAnsi" w:eastAsiaTheme="minorHAnsi"/>
          <w:bCs/>
          <w:caps/>
          <w:szCs w:val="20"/>
        </w:rPr>
        <w:fldChar w:fldCharType="end"/>
      </w:r>
    </w:p>
    <w:p>
      <w:pPr>
        <w:widowControl/>
        <w:jc w:val="left"/>
        <w:rPr>
          <w:rFonts w:hint="eastAsia" w:ascii="黑体" w:hAnsi="黑体" w:eastAsia="黑体"/>
          <w:b/>
        </w:rPr>
      </w:pPr>
    </w:p>
    <w:p>
      <w:pPr>
        <w:pStyle w:val="21"/>
        <w:rPr>
          <w:rFonts w:hint="eastAsia" w:ascii="黑体" w:hAnsi="黑体" w:eastAsia="黑体"/>
          <w:b/>
        </w:rPr>
      </w:pPr>
    </w:p>
    <w:p>
      <w:pPr>
        <w:pStyle w:val="21"/>
        <w:rPr>
          <w:rFonts w:hint="eastAsia" w:ascii="黑体" w:hAnsi="黑体" w:eastAsia="黑体"/>
          <w:b/>
        </w:rPr>
      </w:pPr>
    </w:p>
    <w:p>
      <w:pPr>
        <w:pStyle w:val="21"/>
        <w:rPr>
          <w:rFonts w:hint="eastAsia" w:ascii="黑体" w:hAnsi="黑体" w:eastAsia="黑体"/>
          <w:b/>
        </w:rPr>
      </w:pPr>
    </w:p>
    <w:p>
      <w:pPr>
        <w:pStyle w:val="21"/>
        <w:rPr>
          <w:rFonts w:hint="eastAsia" w:ascii="黑体" w:hAnsi="黑体" w:eastAsia="黑体"/>
          <w:b/>
        </w:rPr>
      </w:pPr>
    </w:p>
    <w:p>
      <w:pPr>
        <w:pStyle w:val="3"/>
        <w:jc w:val="center"/>
        <w:rPr>
          <w:rStyle w:val="30"/>
          <w:rFonts w:ascii="仿宋_GB2312" w:hAnsi="黑体" w:eastAsia="仿宋_GB2312"/>
          <w:b w:val="0"/>
          <w:bCs w:val="0"/>
        </w:rPr>
      </w:pPr>
      <w:bookmarkStart w:id="14" w:name="_Toc7568"/>
      <w:r>
        <w:rPr>
          <w:rFonts w:hint="eastAsia" w:ascii="仿宋_GB2312" w:hAnsi="黑体" w:eastAsia="仿宋_GB2312"/>
        </w:rPr>
        <w:t xml:space="preserve">第一部分 </w:t>
      </w:r>
      <w:r>
        <w:rPr>
          <w:rStyle w:val="30"/>
          <w:rFonts w:hint="eastAsia" w:ascii="仿宋_GB2312" w:hAnsi="黑体" w:eastAsia="仿宋_GB2312"/>
          <w:b/>
          <w:bCs w:val="0"/>
        </w:rPr>
        <w:t>部门概况</w:t>
      </w:r>
      <w:bookmarkEnd w:id="12"/>
      <w:bookmarkEnd w:id="13"/>
      <w:bookmarkEnd w:id="14"/>
    </w:p>
    <w:p>
      <w:pPr>
        <w:numPr>
          <w:ilvl w:val="0"/>
          <w:numId w:val="0"/>
        </w:numPr>
        <w:ind w:firstLine="643" w:firstLineChars="200"/>
        <w:rPr>
          <w:rFonts w:hint="eastAsia" w:ascii="黑体" w:hAnsi="黑体" w:eastAsia="黑体" w:cs="黑体"/>
          <w:b/>
          <w:bCs/>
          <w:kern w:val="2"/>
          <w:sz w:val="32"/>
          <w:szCs w:val="32"/>
          <w:lang w:val="en-US" w:eastAsia="zh-CN" w:bidi="ar-SA"/>
        </w:rPr>
      </w:pPr>
      <w:bookmarkStart w:id="15" w:name="_Toc15396600"/>
      <w:bookmarkStart w:id="16" w:name="_Toc15377197"/>
      <w:bookmarkStart w:id="17" w:name="_Toc13874"/>
      <w:r>
        <w:rPr>
          <w:rFonts w:hint="eastAsia" w:ascii="黑体" w:hAnsi="黑体" w:eastAsia="黑体" w:cs="黑体"/>
          <w:b/>
          <w:bCs/>
          <w:kern w:val="2"/>
          <w:sz w:val="32"/>
          <w:szCs w:val="32"/>
          <w:lang w:val="en-US" w:eastAsia="zh-CN" w:bidi="ar-SA"/>
        </w:rPr>
        <w:t>一、基本职能及主要工作</w:t>
      </w:r>
      <w:bookmarkEnd w:id="15"/>
      <w:bookmarkEnd w:id="16"/>
      <w:bookmarkEnd w:id="17"/>
    </w:p>
    <w:p>
      <w:pPr>
        <w:numPr>
          <w:ilvl w:val="0"/>
          <w:numId w:val="0"/>
        </w:numPr>
        <w:ind w:firstLine="643" w:firstLineChars="200"/>
        <w:rPr>
          <w:rFonts w:hint="eastAsia" w:ascii="仿宋_GB2312" w:hAnsi="仿宋_GB2312" w:eastAsia="仿宋_GB2312" w:cs="仿宋_GB2312"/>
          <w:b/>
          <w:bCs/>
          <w:kern w:val="2"/>
          <w:sz w:val="32"/>
          <w:szCs w:val="32"/>
          <w:lang w:val="en-US" w:eastAsia="zh-CN" w:bidi="ar-SA"/>
        </w:rPr>
      </w:pPr>
      <w:bookmarkStart w:id="18" w:name="_Toc15377198"/>
      <w:bookmarkStart w:id="19" w:name="_Toc15378445"/>
      <w:bookmarkStart w:id="20" w:name="_Toc329"/>
      <w:r>
        <w:rPr>
          <w:rFonts w:hint="eastAsia" w:ascii="仿宋_GB2312" w:hAnsi="仿宋_GB2312" w:eastAsia="仿宋_GB2312" w:cs="仿宋_GB2312"/>
          <w:b/>
          <w:bCs/>
          <w:kern w:val="2"/>
          <w:sz w:val="32"/>
          <w:szCs w:val="32"/>
          <w:lang w:val="en-US" w:eastAsia="zh-CN" w:bidi="ar-SA"/>
        </w:rPr>
        <w:t>（一）主要职能。</w:t>
      </w:r>
      <w:bookmarkEnd w:id="18"/>
      <w:bookmarkEnd w:id="19"/>
      <w:bookmarkEnd w:id="20"/>
    </w:p>
    <w:p>
      <w:pPr>
        <w:pStyle w:val="7"/>
        <w:keepNext w:val="0"/>
        <w:keepLines w:val="0"/>
        <w:pageBreakBefore w:val="0"/>
        <w:widowControl w:val="0"/>
        <w:kinsoku/>
        <w:wordWrap/>
        <w:overflowPunct/>
        <w:topLinePunct w:val="0"/>
        <w:autoSpaceDE/>
        <w:autoSpaceDN/>
        <w:bidi w:val="0"/>
        <w:adjustRightInd/>
        <w:snapToGrid/>
        <w:spacing w:beforeLines="0" w:line="360" w:lineRule="auto"/>
        <w:ind w:firstLine="600" w:firstLineChars="200"/>
        <w:textAlignment w:val="auto"/>
        <w:rPr>
          <w:rFonts w:hint="eastAsia"/>
        </w:rPr>
      </w:pPr>
      <w:bookmarkStart w:id="21" w:name="_Toc15377199"/>
      <w:bookmarkStart w:id="22" w:name="_Toc15378446"/>
      <w:r>
        <w:rPr>
          <w:rFonts w:hint="eastAsia"/>
          <w:lang w:val="en-US" w:eastAsia="zh-CN"/>
        </w:rPr>
        <w:t>1.</w:t>
      </w:r>
      <w:r>
        <w:rPr>
          <w:rFonts w:hint="eastAsia"/>
        </w:rPr>
        <w:t>依照相关法律和行政法规,对区域内(上壤塘海子山中壤塘三座寺庙及茸木达棒托寺石刻大藏经等)所辖景区资源实行统一管理、统一规划、统一开发和统一保护。</w:t>
      </w:r>
    </w:p>
    <w:p>
      <w:pPr>
        <w:pStyle w:val="7"/>
        <w:keepNext w:val="0"/>
        <w:keepLines w:val="0"/>
        <w:pageBreakBefore w:val="0"/>
        <w:widowControl w:val="0"/>
        <w:kinsoku/>
        <w:wordWrap/>
        <w:overflowPunct/>
        <w:topLinePunct w:val="0"/>
        <w:autoSpaceDE/>
        <w:autoSpaceDN/>
        <w:bidi w:val="0"/>
        <w:adjustRightInd/>
        <w:snapToGrid/>
        <w:spacing w:beforeLines="0" w:line="360" w:lineRule="auto"/>
        <w:ind w:firstLine="600" w:firstLineChars="200"/>
        <w:textAlignment w:val="auto"/>
        <w:rPr>
          <w:rFonts w:hint="eastAsia"/>
        </w:rPr>
      </w:pPr>
      <w:r>
        <w:rPr>
          <w:rFonts w:hint="eastAsia"/>
          <w:lang w:val="en-US" w:eastAsia="zh-CN"/>
        </w:rPr>
        <w:t>2.</w:t>
      </w:r>
      <w:r>
        <w:rPr>
          <w:rFonts w:hint="eastAsia"/>
        </w:rPr>
        <w:t>宣传贯彻国家风景名胜、民族宗教、文物、林业、国土、环境保护等有关法律、法规和方针政策。</w:t>
      </w:r>
    </w:p>
    <w:p>
      <w:pPr>
        <w:pStyle w:val="7"/>
        <w:keepNext w:val="0"/>
        <w:keepLines w:val="0"/>
        <w:pageBreakBefore w:val="0"/>
        <w:widowControl w:val="0"/>
        <w:kinsoku/>
        <w:wordWrap/>
        <w:overflowPunct/>
        <w:topLinePunct w:val="0"/>
        <w:autoSpaceDE/>
        <w:autoSpaceDN/>
        <w:bidi w:val="0"/>
        <w:adjustRightInd/>
        <w:snapToGrid/>
        <w:spacing w:beforeLines="0" w:line="360" w:lineRule="auto"/>
        <w:ind w:firstLine="600" w:firstLineChars="200"/>
        <w:textAlignment w:val="auto"/>
        <w:rPr>
          <w:rFonts w:hint="eastAsia"/>
        </w:rPr>
      </w:pPr>
      <w:r>
        <w:rPr>
          <w:rFonts w:hint="eastAsia"/>
          <w:lang w:val="en-US" w:eastAsia="zh-CN"/>
        </w:rPr>
        <w:t>3.</w:t>
      </w:r>
      <w:r>
        <w:rPr>
          <w:rFonts w:hint="eastAsia"/>
        </w:rPr>
        <w:t>依法保护景区资源和生态环境,维护景区的自然风貌和人文景观,有效开发和合理利用景区资源。</w:t>
      </w:r>
    </w:p>
    <w:p>
      <w:pPr>
        <w:pStyle w:val="7"/>
        <w:keepNext w:val="0"/>
        <w:keepLines w:val="0"/>
        <w:pageBreakBefore w:val="0"/>
        <w:widowControl w:val="0"/>
        <w:kinsoku/>
        <w:wordWrap/>
        <w:overflowPunct/>
        <w:topLinePunct w:val="0"/>
        <w:autoSpaceDE/>
        <w:autoSpaceDN/>
        <w:bidi w:val="0"/>
        <w:adjustRightInd/>
        <w:snapToGrid/>
        <w:spacing w:beforeLines="0" w:line="360" w:lineRule="auto"/>
        <w:ind w:firstLine="600" w:firstLineChars="200"/>
        <w:textAlignment w:val="auto"/>
        <w:rPr>
          <w:rFonts w:hint="eastAsia"/>
        </w:rPr>
      </w:pPr>
      <w:r>
        <w:rPr>
          <w:rFonts w:hint="eastAsia"/>
          <w:lang w:val="en-US" w:eastAsia="zh-CN"/>
        </w:rPr>
        <w:t>4.</w:t>
      </w:r>
      <w:r>
        <w:rPr>
          <w:rFonts w:hint="eastAsia"/>
        </w:rPr>
        <w:t>编制景区总体规划和详细规划并组织实施,按照总体</w:t>
      </w:r>
      <w:r>
        <w:rPr>
          <w:rFonts w:hint="eastAsia"/>
          <w:lang w:eastAsia="zh-CN"/>
        </w:rPr>
        <w:t>规</w:t>
      </w:r>
      <w:r>
        <w:rPr>
          <w:rFonts w:hint="eastAsia"/>
        </w:rPr>
        <w:t>划对景区新建、扩建和改建项目进行审核,对建设活动进行监督、检查。</w:t>
      </w:r>
    </w:p>
    <w:p>
      <w:pPr>
        <w:pStyle w:val="7"/>
        <w:keepNext w:val="0"/>
        <w:keepLines w:val="0"/>
        <w:pageBreakBefore w:val="0"/>
        <w:widowControl w:val="0"/>
        <w:kinsoku/>
        <w:wordWrap/>
        <w:overflowPunct/>
        <w:topLinePunct w:val="0"/>
        <w:autoSpaceDE/>
        <w:autoSpaceDN/>
        <w:bidi w:val="0"/>
        <w:adjustRightInd/>
        <w:snapToGrid/>
        <w:spacing w:beforeLines="0" w:line="360" w:lineRule="auto"/>
        <w:ind w:firstLine="600" w:firstLineChars="200"/>
        <w:textAlignment w:val="auto"/>
        <w:rPr>
          <w:rFonts w:hint="eastAsia"/>
        </w:rPr>
      </w:pPr>
      <w:r>
        <w:rPr>
          <w:rFonts w:hint="eastAsia"/>
          <w:lang w:val="en-US" w:eastAsia="zh-CN"/>
        </w:rPr>
        <w:t>5.</w:t>
      </w:r>
      <w:r>
        <w:rPr>
          <w:rFonts w:hint="eastAsia"/>
        </w:rPr>
        <w:t>负责建设、维护、管理景区基础设施和公共设施,管理景区旅游经营活动,增强景区自我发展能力。</w:t>
      </w:r>
    </w:p>
    <w:p>
      <w:pPr>
        <w:pStyle w:val="7"/>
        <w:keepNext w:val="0"/>
        <w:keepLines w:val="0"/>
        <w:pageBreakBefore w:val="0"/>
        <w:widowControl w:val="0"/>
        <w:kinsoku/>
        <w:wordWrap/>
        <w:overflowPunct/>
        <w:topLinePunct w:val="0"/>
        <w:autoSpaceDE/>
        <w:autoSpaceDN/>
        <w:bidi w:val="0"/>
        <w:adjustRightInd/>
        <w:snapToGrid/>
        <w:spacing w:beforeLines="0" w:line="360" w:lineRule="auto"/>
        <w:ind w:firstLine="600" w:firstLineChars="200"/>
        <w:textAlignment w:val="auto"/>
        <w:rPr>
          <w:rFonts w:hint="eastAsia"/>
        </w:rPr>
      </w:pPr>
      <w:r>
        <w:rPr>
          <w:rFonts w:hint="eastAsia"/>
          <w:lang w:val="en-US" w:eastAsia="zh-CN"/>
        </w:rPr>
        <w:t>6.</w:t>
      </w:r>
      <w:r>
        <w:rPr>
          <w:rFonts w:hint="eastAsia"/>
        </w:rPr>
        <w:t>制定景区各项管理制度,负责景区的游人安全、环境卫生、社会治安、安全生产和护林防火等管理工作。</w:t>
      </w:r>
    </w:p>
    <w:p>
      <w:pPr>
        <w:pStyle w:val="7"/>
        <w:keepNext w:val="0"/>
        <w:keepLines w:val="0"/>
        <w:pageBreakBefore w:val="0"/>
        <w:widowControl w:val="0"/>
        <w:kinsoku/>
        <w:wordWrap/>
        <w:overflowPunct/>
        <w:topLinePunct w:val="0"/>
        <w:autoSpaceDE/>
        <w:autoSpaceDN/>
        <w:bidi w:val="0"/>
        <w:adjustRightInd/>
        <w:snapToGrid/>
        <w:spacing w:beforeLines="0" w:line="360" w:lineRule="auto"/>
        <w:ind w:firstLine="600" w:firstLineChars="200"/>
        <w:textAlignment w:val="auto"/>
        <w:rPr>
          <w:rFonts w:hint="eastAsia"/>
        </w:rPr>
      </w:pPr>
      <w:r>
        <w:rPr>
          <w:rFonts w:hint="eastAsia"/>
          <w:lang w:val="en-US" w:eastAsia="zh-CN"/>
        </w:rPr>
        <w:t>7.</w:t>
      </w:r>
      <w:r>
        <w:rPr>
          <w:rFonts w:hint="eastAsia"/>
        </w:rPr>
        <w:t>负责招商引资,统一对外宣传,扩大景区知名度。</w:t>
      </w:r>
    </w:p>
    <w:p>
      <w:pPr>
        <w:pStyle w:val="7"/>
        <w:keepNext w:val="0"/>
        <w:keepLines w:val="0"/>
        <w:pageBreakBefore w:val="0"/>
        <w:widowControl w:val="0"/>
        <w:kinsoku/>
        <w:wordWrap/>
        <w:overflowPunct/>
        <w:topLinePunct w:val="0"/>
        <w:autoSpaceDE/>
        <w:autoSpaceDN/>
        <w:bidi w:val="0"/>
        <w:adjustRightInd/>
        <w:snapToGrid/>
        <w:spacing w:beforeLines="0" w:line="360" w:lineRule="auto"/>
        <w:ind w:firstLine="600" w:firstLineChars="200"/>
        <w:textAlignment w:val="auto"/>
        <w:rPr>
          <w:rFonts w:hint="eastAsia"/>
        </w:rPr>
      </w:pPr>
      <w:r>
        <w:rPr>
          <w:rFonts w:hint="eastAsia"/>
          <w:lang w:val="en-US" w:eastAsia="zh-CN"/>
        </w:rPr>
        <w:t>8.</w:t>
      </w:r>
      <w:r>
        <w:rPr>
          <w:rFonts w:hint="eastAsia"/>
        </w:rPr>
        <w:t>负责景区内经营性项目的审批和管理,根据景区规划和需要,对景区的村寨实施托管,统筹协调并处理辖区内村寨利益。</w:t>
      </w:r>
    </w:p>
    <w:p>
      <w:pPr>
        <w:pStyle w:val="7"/>
        <w:keepNext w:val="0"/>
        <w:keepLines w:val="0"/>
        <w:pageBreakBefore w:val="0"/>
        <w:widowControl w:val="0"/>
        <w:kinsoku/>
        <w:wordWrap/>
        <w:overflowPunct/>
        <w:topLinePunct w:val="0"/>
        <w:autoSpaceDE/>
        <w:autoSpaceDN/>
        <w:bidi w:val="0"/>
        <w:adjustRightInd/>
        <w:snapToGrid/>
        <w:spacing w:beforeLines="0" w:line="360" w:lineRule="auto"/>
        <w:ind w:firstLine="600" w:firstLineChars="200"/>
        <w:textAlignment w:val="auto"/>
        <w:rPr>
          <w:rFonts w:hint="eastAsia"/>
          <w:lang w:eastAsia="zh-CN"/>
        </w:rPr>
      </w:pPr>
      <w:r>
        <w:rPr>
          <w:rFonts w:hint="eastAsia"/>
          <w:lang w:val="en-US" w:eastAsia="zh-CN"/>
        </w:rPr>
        <w:t>9.</w:t>
      </w:r>
      <w:r>
        <w:rPr>
          <w:rFonts w:hint="eastAsia"/>
        </w:rPr>
        <w:t>承办县委、县人民政府交办的其它事项</w:t>
      </w:r>
      <w:r>
        <w:rPr>
          <w:rFonts w:hint="eastAsia"/>
          <w:lang w:eastAsia="zh-CN"/>
        </w:rPr>
        <w:t>。</w:t>
      </w:r>
    </w:p>
    <w:p>
      <w:pPr>
        <w:numPr>
          <w:ilvl w:val="0"/>
          <w:numId w:val="0"/>
        </w:numPr>
        <w:ind w:firstLine="643" w:firstLineChars="200"/>
        <w:rPr>
          <w:rFonts w:hint="eastAsia" w:ascii="仿宋_GB2312" w:hAnsi="仿宋_GB2312" w:eastAsia="仿宋_GB2312" w:cs="仿宋_GB2312"/>
          <w:b/>
          <w:bCs/>
          <w:kern w:val="2"/>
          <w:sz w:val="32"/>
          <w:szCs w:val="32"/>
          <w:lang w:val="en-US" w:eastAsia="zh-CN" w:bidi="ar-SA"/>
        </w:rPr>
      </w:pPr>
      <w:bookmarkStart w:id="23" w:name="_Toc1347"/>
      <w:r>
        <w:rPr>
          <w:rFonts w:hint="eastAsia" w:ascii="仿宋_GB2312" w:hAnsi="仿宋_GB2312" w:eastAsia="仿宋_GB2312" w:cs="仿宋_GB2312"/>
          <w:b/>
          <w:bCs/>
          <w:kern w:val="2"/>
          <w:sz w:val="32"/>
          <w:szCs w:val="32"/>
          <w:lang w:val="en-US" w:eastAsia="zh-CN" w:bidi="ar-SA"/>
        </w:rPr>
        <w:t>（二）2020年重点工作完成情况。</w:t>
      </w:r>
      <w:bookmarkEnd w:id="21"/>
      <w:bookmarkEnd w:id="22"/>
      <w:bookmarkEnd w:id="23"/>
      <w:bookmarkStart w:id="24" w:name="_Toc15396601"/>
      <w:bookmarkStart w:id="25" w:name="_Toc15377200"/>
    </w:p>
    <w:p>
      <w:pPr>
        <w:numPr>
          <w:ilvl w:val="0"/>
          <w:numId w:val="0"/>
        </w:numPr>
        <w:ind w:firstLine="643" w:firstLineChars="200"/>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1、疫情防控工作。</w:t>
      </w:r>
    </w:p>
    <w:p>
      <w:pPr>
        <w:numPr>
          <w:ilvl w:val="0"/>
          <w:numId w:val="0"/>
        </w:numPr>
        <w:ind w:firstLine="640" w:firstLineChars="200"/>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eastAsia="zh-CN"/>
        </w:rPr>
        <w:t>我单位在县委县政府的正确领导下，全体干部职工提高政治站位，把习近平总书记重要指示批示精神作为抓好各项工作的根本遵循,增强“四个意识”，坚定“四个自信”，做到“两个维护”。按照“坚定信心、同舟共济、科学防治、精准施策”的疫情防控总要求，把打赢疫情防控阻击战作为重大政治任务。积极做好防护宣传工作，对本单位干部职工和创业园已入住的毕业学员以电话、微信等方式进行宣传疫情预防知识。</w:t>
      </w:r>
    </w:p>
    <w:p>
      <w:pPr>
        <w:ind w:firstLine="803" w:firstLineChars="250"/>
        <w:rPr>
          <w:rFonts w:hint="eastAsia" w:ascii="仿宋_GB2312" w:hAnsi="仿宋" w:eastAsia="仿宋_GB2312"/>
          <w:sz w:val="32"/>
          <w:szCs w:val="32"/>
          <w:highlight w:val="none"/>
          <w:lang w:eastAsia="zh-CN"/>
        </w:rPr>
      </w:pPr>
      <w:r>
        <w:rPr>
          <w:rFonts w:hint="eastAsia" w:ascii="仿宋_GB2312" w:hAnsi="仿宋_GB2312" w:eastAsia="仿宋_GB2312" w:cs="仿宋_GB2312"/>
          <w:b/>
          <w:bCs/>
          <w:kern w:val="2"/>
          <w:sz w:val="32"/>
          <w:szCs w:val="32"/>
          <w:lang w:val="en-US" w:eastAsia="zh-CN" w:bidi="ar-SA"/>
        </w:rPr>
        <w:t>2、抓项目、重进度、扎实推进各项目建设</w:t>
      </w:r>
      <w:r>
        <w:rPr>
          <w:rFonts w:hint="eastAsia" w:ascii="仿宋_GB2312" w:hAnsi="仿宋" w:eastAsia="仿宋_GB2312"/>
          <w:sz w:val="32"/>
          <w:szCs w:val="32"/>
          <w:highlight w:val="none"/>
          <w:lang w:eastAsia="zh-CN"/>
        </w:rPr>
        <w:t>。</w:t>
      </w:r>
    </w:p>
    <w:p>
      <w:pPr>
        <w:ind w:firstLine="800" w:firstLineChars="250"/>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eastAsia="zh-CN"/>
        </w:rPr>
        <w:t>2017年至2020年</w:t>
      </w:r>
      <w:r>
        <w:rPr>
          <w:rFonts w:hint="eastAsia" w:ascii="仿宋_GB2312" w:hAnsi="仿宋" w:eastAsia="仿宋_GB2312"/>
          <w:sz w:val="32"/>
          <w:szCs w:val="32"/>
          <w:highlight w:val="none"/>
          <w:lang w:val="en-US" w:eastAsia="zh-CN"/>
        </w:rPr>
        <w:t>12</w:t>
      </w:r>
      <w:r>
        <w:rPr>
          <w:rFonts w:hint="eastAsia" w:ascii="仿宋_GB2312" w:hAnsi="仿宋" w:eastAsia="仿宋_GB2312"/>
          <w:sz w:val="32"/>
          <w:szCs w:val="32"/>
          <w:highlight w:val="none"/>
          <w:lang w:eastAsia="zh-CN"/>
        </w:rPr>
        <w:t>月，我单位负责实施项目共计8个；其中中央补助资金项目4个、浙江援建项目4个。按照分步推进、有序实施的原则，目前8个项目已全部竣工，现正在审计中。</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321" w:firstLineChars="1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3、凸显惠民理念、深化群众工作内涵</w:t>
      </w:r>
    </w:p>
    <w:p>
      <w:pPr>
        <w:ind w:firstLine="800" w:firstLineChars="250"/>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eastAsia="zh-CN"/>
        </w:rPr>
        <w:t>按照中央、省委、州委、县委脱贫攻坚工作部署要求，贯彻执行县委县政府的统一安排，帮扶中壤塘镇布康木达村，结合中壤塘镇脱贫攻坚部署方案，我单位深入开展脱贫工作、“两联一进”及“秋季战役”群众工作，到布康木达村采取“六个必讲，六个必问”扎实推进走村入户工作，并对群众工作进行明确分工，压实责任，确保每项工作有序开展。在群众工作中，我单位干部职工，深入走访贫困户，了解家庭基本情况；一是为提高贫困户收入；在创业园就近务工。二是为帮扶村的贫困户、单亲母亲、老党员等送去了牛奶、茶壶、水瓶、大米、清油等慰问品。三是组织单位职工深入帮扶村村级幼儿园开展慰问活动，组织集体发放学习用具、衣物等。四是2020年11月23日，四川省人厅2020年四川省事业单位脱贫攻坚专项奖励中荣获集体记大功。</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4、依法保护景区资源和生态环境，加强生态环境建设。</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贯彻落实党中央、国务院</w:t>
      </w:r>
      <w:r>
        <w:rPr>
          <w:rFonts w:hint="eastAsia" w:ascii="仿宋_GB2312" w:hAnsi="仿宋_GB2312" w:eastAsia="仿宋_GB2312" w:cs="仿宋_GB2312"/>
          <w:sz w:val="32"/>
          <w:szCs w:val="32"/>
          <w:lang w:eastAsia="zh-CN"/>
        </w:rPr>
        <w:t>生态</w:t>
      </w:r>
      <w:r>
        <w:rPr>
          <w:rFonts w:hint="eastAsia" w:ascii="仿宋_GB2312" w:hAnsi="仿宋_GB2312" w:eastAsia="仿宋_GB2312" w:cs="仿宋_GB2312"/>
          <w:sz w:val="32"/>
          <w:szCs w:val="32"/>
        </w:rPr>
        <w:t>环境保护方针政策以及省、</w:t>
      </w:r>
      <w:r>
        <w:rPr>
          <w:rFonts w:hint="eastAsia" w:ascii="仿宋_GB2312" w:hAnsi="仿宋_GB2312" w:eastAsia="仿宋_GB2312" w:cs="仿宋_GB2312"/>
          <w:sz w:val="32"/>
          <w:szCs w:val="32"/>
          <w:lang w:eastAsia="zh-CN"/>
        </w:rPr>
        <w:t>州</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政府关于加强生态文明建设</w:t>
      </w:r>
      <w:r>
        <w:rPr>
          <w:rFonts w:hint="eastAsia" w:ascii="仿宋_GB2312" w:hAnsi="仿宋_GB2312" w:eastAsia="仿宋_GB2312" w:cs="仿宋_GB2312"/>
          <w:sz w:val="32"/>
          <w:szCs w:val="32"/>
          <w:lang w:eastAsia="zh-CN"/>
        </w:rPr>
        <w:t>有关要求，</w:t>
      </w:r>
      <w:r>
        <w:rPr>
          <w:rFonts w:hint="eastAsia" w:ascii="仿宋_GB2312" w:hAnsi="仿宋_GB2312" w:eastAsia="仿宋_GB2312" w:cs="仿宋_GB2312"/>
          <w:sz w:val="32"/>
          <w:szCs w:val="32"/>
          <w:lang w:val="en-US" w:eastAsia="zh-CN"/>
        </w:rPr>
        <w:t>强化生态保护，落实压实责任，确保</w:t>
      </w:r>
      <w:r>
        <w:rPr>
          <w:rFonts w:hint="eastAsia" w:ascii="仿宋_GB2312" w:hAnsi="仿宋_GB2312" w:eastAsia="仿宋_GB2312" w:cs="仿宋_GB2312"/>
          <w:sz w:val="32"/>
          <w:szCs w:val="32"/>
        </w:rPr>
        <w:t>则曲河流域国家水利风景区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南莫且湿地保护区</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lang w:val="en-US" w:eastAsia="zh-CN"/>
        </w:rPr>
        <w:t>生态健康稳定发展，推动景区生态环境可持续发展。</w:t>
      </w:r>
      <w:r>
        <w:rPr>
          <w:rFonts w:hint="eastAsia" w:ascii="仿宋_GB2312" w:hAnsi="仿宋_GB2312" w:eastAsia="仿宋_GB2312" w:cs="仿宋_GB2312"/>
          <w:sz w:val="32"/>
          <w:szCs w:val="32"/>
        </w:rPr>
        <w:t>切实践行绿色发展理念，</w:t>
      </w:r>
      <w:r>
        <w:rPr>
          <w:rFonts w:hint="eastAsia" w:ascii="仿宋_GB2312" w:hAnsi="仿宋_GB2312" w:eastAsia="仿宋_GB2312" w:cs="仿宋_GB2312"/>
          <w:sz w:val="32"/>
          <w:szCs w:val="32"/>
          <w:lang w:eastAsia="zh-CN"/>
        </w:rPr>
        <w:t>进一步提升生态环境监管水平，</w:t>
      </w:r>
      <w:r>
        <w:rPr>
          <w:rFonts w:hint="eastAsia" w:ascii="仿宋_GB2312" w:hAnsi="仿宋_GB2312" w:eastAsia="仿宋_GB2312" w:cs="仿宋_GB2312"/>
          <w:sz w:val="32"/>
          <w:szCs w:val="32"/>
        </w:rPr>
        <w:t>实现环境监管工作规范化、精细化、常态化，</w:t>
      </w:r>
      <w:r>
        <w:rPr>
          <w:rFonts w:hint="eastAsia" w:ascii="仿宋_GB2312" w:hAnsi="仿宋_GB2312" w:eastAsia="仿宋_GB2312" w:cs="仿宋_GB2312"/>
          <w:sz w:val="32"/>
          <w:szCs w:val="32"/>
          <w:lang w:eastAsia="zh-CN"/>
        </w:rPr>
        <w:t>进一步健全党政同责“一岗双责”的生态环境保护长效机制，</w:t>
      </w:r>
      <w:r>
        <w:rPr>
          <w:rFonts w:hint="eastAsia" w:ascii="仿宋_GB2312" w:hAnsi="仿宋_GB2312" w:eastAsia="仿宋_GB2312" w:cs="仿宋_GB2312"/>
          <w:sz w:val="32"/>
          <w:szCs w:val="32"/>
        </w:rPr>
        <w:t>从源头减少环境隐患，促进环境安全，提升生态环境质量，</w:t>
      </w:r>
      <w:r>
        <w:rPr>
          <w:rFonts w:hint="eastAsia" w:ascii="仿宋_GB2312" w:hAnsi="仿宋_GB2312" w:eastAsia="仿宋_GB2312" w:cs="仿宋_GB2312"/>
          <w:sz w:val="32"/>
          <w:szCs w:val="32"/>
          <w:lang w:eastAsia="zh-CN"/>
        </w:rPr>
        <w:t>使环境与旅游经济、社会的发展相协调，</w:t>
      </w:r>
      <w:r>
        <w:rPr>
          <w:rFonts w:hint="eastAsia" w:ascii="仿宋_GB2312" w:hAnsi="仿宋_GB2312" w:eastAsia="仿宋_GB2312" w:cs="仿宋_GB2312"/>
          <w:sz w:val="32"/>
          <w:szCs w:val="32"/>
        </w:rPr>
        <w:t>为全</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生态发展提供有力</w:t>
      </w:r>
      <w:r>
        <w:rPr>
          <w:rFonts w:hint="eastAsia" w:ascii="仿宋_GB2312" w:hAnsi="仿宋_GB2312" w:eastAsia="仿宋_GB2312" w:cs="仿宋_GB2312"/>
          <w:sz w:val="32"/>
          <w:szCs w:val="32"/>
          <w:lang w:eastAsia="zh-CN"/>
        </w:rPr>
        <w:t>责任</w:t>
      </w:r>
      <w:r>
        <w:rPr>
          <w:rFonts w:hint="eastAsia" w:ascii="仿宋_GB2312" w:hAnsi="仿宋_GB2312" w:eastAsia="仿宋_GB2312" w:cs="仿宋_GB2312"/>
          <w:sz w:val="32"/>
          <w:szCs w:val="32"/>
        </w:rPr>
        <w:t>保障</w:t>
      </w:r>
      <w:r>
        <w:rPr>
          <w:rFonts w:hint="eastAsia" w:ascii="仿宋_GB2312" w:hAnsi="仿宋_GB2312" w:eastAsia="仿宋_GB2312" w:cs="仿宋_GB2312"/>
          <w:sz w:val="32"/>
          <w:szCs w:val="32"/>
          <w:lang w:eastAsia="zh-CN"/>
        </w:rPr>
        <w:t>机制</w:t>
      </w:r>
      <w:r>
        <w:rPr>
          <w:rFonts w:hint="eastAsia" w:ascii="仿宋_GB2312" w:hAnsi="仿宋_GB2312" w:eastAsia="仿宋_GB2312" w:cs="仿宋_GB2312"/>
          <w:sz w:val="32"/>
          <w:szCs w:val="32"/>
        </w:rPr>
        <w:t>。</w:t>
      </w:r>
      <w:bookmarkStart w:id="26" w:name="_Toc7434"/>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b/>
          <w:bCs w:val="0"/>
          <w:color w:val="000000"/>
          <w:sz w:val="32"/>
          <w:szCs w:val="32"/>
        </w:rPr>
      </w:pPr>
      <w:r>
        <w:rPr>
          <w:rFonts w:hint="eastAsia" w:ascii="黑体" w:hAnsi="黑体" w:eastAsia="黑体" w:cs="黑体"/>
          <w:b/>
          <w:bCs w:val="0"/>
          <w:color w:val="000000"/>
          <w:sz w:val="32"/>
          <w:szCs w:val="32"/>
        </w:rPr>
        <w:t>二、机构设置</w:t>
      </w:r>
      <w:bookmarkEnd w:id="24"/>
      <w:bookmarkEnd w:id="25"/>
      <w:bookmarkEnd w:id="26"/>
    </w:p>
    <w:p>
      <w:pPr>
        <w:pStyle w:val="4"/>
        <w:keepNext/>
        <w:keepLines/>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仿宋_GB2312" w:hAnsi="仿宋" w:eastAsia="仿宋_GB2312" w:cs="Times New Roman"/>
          <w:b w:val="0"/>
          <w:bCs w:val="0"/>
          <w:kern w:val="2"/>
          <w:sz w:val="32"/>
          <w:szCs w:val="32"/>
          <w:highlight w:val="none"/>
          <w:lang w:val="en-US" w:eastAsia="zh-CN" w:bidi="ar-SA"/>
        </w:rPr>
      </w:pPr>
      <w:bookmarkStart w:id="27" w:name="_Toc10699"/>
      <w:bookmarkStart w:id="28" w:name="_Toc12356"/>
      <w:bookmarkStart w:id="29" w:name="_Toc30939"/>
      <w:r>
        <w:rPr>
          <w:rFonts w:hint="eastAsia" w:ascii="仿宋_GB2312" w:hAnsi="仿宋" w:eastAsia="仿宋_GB2312" w:cs="Times New Roman"/>
          <w:b w:val="0"/>
          <w:bCs w:val="0"/>
          <w:kern w:val="2"/>
          <w:sz w:val="32"/>
          <w:szCs w:val="32"/>
          <w:highlight w:val="none"/>
          <w:lang w:val="en-US" w:eastAsia="zh-CN" w:bidi="ar-SA"/>
        </w:rPr>
        <w:t>壤塘县中壤塘文化旅游景区管理处无下属二级单位，本单位属事业单位。</w:t>
      </w:r>
      <w:bookmarkEnd w:id="27"/>
      <w:bookmarkEnd w:id="28"/>
      <w:bookmarkEnd w:id="29"/>
    </w:p>
    <w:p>
      <w:pPr>
        <w:rPr>
          <w:rFonts w:hint="eastAsia" w:ascii="仿宋_GB2312" w:hAnsi="仿宋" w:eastAsia="仿宋_GB2312" w:cs="Times New Roman"/>
          <w:b w:val="0"/>
          <w:bCs w:val="0"/>
          <w:kern w:val="2"/>
          <w:sz w:val="32"/>
          <w:szCs w:val="32"/>
          <w:highlight w:val="none"/>
          <w:lang w:val="en-US" w:eastAsia="zh-CN" w:bidi="ar-SA"/>
        </w:rPr>
      </w:pPr>
    </w:p>
    <w:p>
      <w:pPr>
        <w:rPr>
          <w:rFonts w:hint="eastAsia" w:ascii="仿宋_GB2312" w:hAnsi="仿宋" w:eastAsia="仿宋_GB2312" w:cs="Times New Roman"/>
          <w:b w:val="0"/>
          <w:bCs w:val="0"/>
          <w:kern w:val="2"/>
          <w:sz w:val="32"/>
          <w:szCs w:val="32"/>
          <w:highlight w:val="none"/>
          <w:lang w:val="en-US" w:eastAsia="zh-CN" w:bidi="ar-SA"/>
        </w:rPr>
      </w:pPr>
    </w:p>
    <w:p>
      <w:pPr>
        <w:pStyle w:val="3"/>
        <w:ind w:right="440"/>
        <w:jc w:val="center"/>
        <w:rPr>
          <w:rFonts w:ascii="仿宋_GB2312" w:eastAsia="仿宋_GB2312"/>
          <w:sz w:val="32"/>
          <w:szCs w:val="32"/>
        </w:rPr>
      </w:pPr>
      <w:bookmarkStart w:id="30" w:name="_Toc21977"/>
      <w:bookmarkStart w:id="31" w:name="_Toc15377204"/>
      <w:bookmarkStart w:id="32" w:name="_Toc15396602"/>
      <w:bookmarkStart w:id="33" w:name="_Toc17034"/>
      <w:r>
        <w:rPr>
          <w:rFonts w:hint="eastAsia" w:ascii="仿宋_GB2312" w:hAnsi="黑体" w:eastAsia="仿宋_GB2312"/>
          <w:color w:val="000000"/>
        </w:rPr>
        <w:t>第二部分</w:t>
      </w:r>
      <w:r>
        <w:rPr>
          <w:rStyle w:val="30"/>
          <w:rFonts w:hint="eastAsia" w:ascii="仿宋_GB2312" w:hAnsi="黑体" w:eastAsia="仿宋_GB2312"/>
          <w:b/>
          <w:bCs w:val="0"/>
        </w:rPr>
        <w:t>20</w:t>
      </w:r>
      <w:r>
        <w:rPr>
          <w:rStyle w:val="30"/>
          <w:rFonts w:hint="eastAsia" w:ascii="仿宋_GB2312" w:hAnsi="黑体" w:eastAsia="仿宋_GB2312"/>
          <w:b/>
          <w:bCs w:val="0"/>
          <w:lang w:val="en-US" w:eastAsia="zh-CN"/>
        </w:rPr>
        <w:t>20</w:t>
      </w:r>
      <w:r>
        <w:rPr>
          <w:rStyle w:val="30"/>
          <w:rFonts w:hint="eastAsia" w:ascii="仿宋_GB2312" w:hAnsi="黑体" w:eastAsia="仿宋_GB2312"/>
          <w:b/>
          <w:bCs w:val="0"/>
        </w:rPr>
        <w:t>年度部门决算情况说明</w:t>
      </w:r>
      <w:bookmarkEnd w:id="30"/>
      <w:bookmarkEnd w:id="31"/>
      <w:bookmarkEnd w:id="32"/>
      <w:bookmarkEnd w:id="33"/>
    </w:p>
    <w:p>
      <w:pPr>
        <w:pStyle w:val="29"/>
        <w:numPr>
          <w:ilvl w:val="0"/>
          <w:numId w:val="1"/>
        </w:numPr>
        <w:spacing w:line="600" w:lineRule="exact"/>
        <w:ind w:firstLineChars="0"/>
        <w:outlineLvl w:val="1"/>
        <w:rPr>
          <w:rStyle w:val="35"/>
          <w:rFonts w:hint="eastAsia" w:ascii="黑体" w:hAnsi="黑体" w:eastAsia="黑体"/>
          <w:b w:val="0"/>
          <w:lang w:val="en-US" w:eastAsia="zh-CN" w:bidi="ar-SA"/>
        </w:rPr>
      </w:pPr>
      <w:bookmarkStart w:id="34" w:name="_Toc15396603"/>
      <w:bookmarkStart w:id="35" w:name="_Toc14976"/>
      <w:bookmarkStart w:id="36" w:name="_Toc15377205"/>
      <w:r>
        <w:rPr>
          <w:rStyle w:val="35"/>
          <w:rFonts w:hint="eastAsia" w:ascii="黑体" w:hAnsi="黑体" w:eastAsia="黑体"/>
          <w:b w:val="0"/>
          <w:lang w:val="en-US" w:eastAsia="zh-CN" w:bidi="ar-SA"/>
        </w:rPr>
        <w:t>收入支出决算总体情况说明</w:t>
      </w:r>
      <w:bookmarkEnd w:id="34"/>
      <w:bookmarkEnd w:id="35"/>
      <w:bookmarkEnd w:id="36"/>
    </w:p>
    <w:p>
      <w:pPr>
        <w:spacing w:line="600" w:lineRule="exact"/>
        <w:ind w:firstLine="640" w:firstLineChars="200"/>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年度收入总计</w:t>
      </w:r>
      <w:r>
        <w:rPr>
          <w:rFonts w:hint="eastAsia" w:ascii="仿宋_GB2312" w:hAnsi="仿宋" w:eastAsia="仿宋_GB2312"/>
          <w:color w:val="000000"/>
          <w:sz w:val="32"/>
          <w:szCs w:val="32"/>
          <w:lang w:val="en-US" w:eastAsia="zh-CN"/>
        </w:rPr>
        <w:t>2,698.59</w:t>
      </w:r>
      <w:r>
        <w:rPr>
          <w:rFonts w:hint="eastAsia" w:ascii="仿宋_GB2312" w:hAnsi="仿宋" w:eastAsia="仿宋_GB2312"/>
          <w:color w:val="000000"/>
          <w:sz w:val="32"/>
          <w:szCs w:val="32"/>
        </w:rPr>
        <w:t>万元，与201</w:t>
      </w: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年相比，</w:t>
      </w:r>
      <w:r>
        <w:rPr>
          <w:rFonts w:hint="eastAsia" w:ascii="仿宋_GB2312" w:hAnsi="仿宋" w:eastAsia="仿宋_GB2312"/>
          <w:color w:val="000000"/>
          <w:sz w:val="32"/>
          <w:szCs w:val="32"/>
          <w:lang w:eastAsia="zh-CN"/>
        </w:rPr>
        <w:t>增加</w:t>
      </w:r>
      <w:r>
        <w:rPr>
          <w:rFonts w:hint="eastAsia" w:ascii="仿宋_GB2312" w:hAnsi="仿宋" w:eastAsia="仿宋_GB2312"/>
          <w:color w:val="000000"/>
          <w:sz w:val="32"/>
          <w:szCs w:val="32"/>
          <w:lang w:val="en-US" w:eastAsia="zh-CN"/>
        </w:rPr>
        <w:t>2,126.43</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增加371.65</w:t>
      </w:r>
      <w:r>
        <w:rPr>
          <w:rFonts w:hint="eastAsia" w:ascii="仿宋_GB2312" w:hAnsi="仿宋" w:eastAsia="仿宋_GB2312"/>
          <w:color w:val="000000"/>
          <w:sz w:val="32"/>
          <w:szCs w:val="32"/>
          <w:lang w:val="en-US" w:eastAsia="zh-CN"/>
        </w:rPr>
        <w:t>%</w:t>
      </w:r>
      <w:r>
        <w:rPr>
          <w:rFonts w:hint="eastAsia" w:ascii="仿宋_GB2312" w:hAnsi="仿宋" w:eastAsia="仿宋_GB2312"/>
          <w:color w:val="000000"/>
          <w:sz w:val="32"/>
          <w:szCs w:val="32"/>
        </w:rPr>
        <w:t>。主要变动原因</w:t>
      </w:r>
      <w:r>
        <w:rPr>
          <w:rFonts w:hint="eastAsia" w:ascii="仿宋_GB2312" w:hAnsi="仿宋" w:eastAsia="仿宋_GB2312"/>
          <w:color w:val="000000"/>
          <w:sz w:val="32"/>
          <w:szCs w:val="32"/>
          <w:lang w:eastAsia="zh-CN"/>
        </w:rPr>
        <w:t>：项目收入增加</w:t>
      </w:r>
      <w:r>
        <w:rPr>
          <w:rFonts w:hint="eastAsia" w:ascii="仿宋_GB2312" w:hAnsi="仿宋" w:eastAsia="仿宋_GB2312"/>
          <w:color w:val="000000"/>
          <w:sz w:val="32"/>
          <w:szCs w:val="32"/>
        </w:rPr>
        <w:t>; 支出总计</w:t>
      </w:r>
      <w:r>
        <w:rPr>
          <w:rFonts w:hint="eastAsia" w:ascii="仿宋_GB2312" w:hAnsi="仿宋" w:eastAsia="仿宋_GB2312"/>
          <w:color w:val="000000"/>
          <w:sz w:val="32"/>
          <w:szCs w:val="32"/>
          <w:lang w:val="en-US" w:eastAsia="zh-CN"/>
        </w:rPr>
        <w:t>2,119.26</w:t>
      </w:r>
      <w:r>
        <w:rPr>
          <w:rFonts w:hint="eastAsia" w:ascii="仿宋_GB2312" w:hAnsi="仿宋" w:eastAsia="仿宋_GB2312"/>
          <w:color w:val="000000"/>
          <w:sz w:val="32"/>
          <w:szCs w:val="32"/>
        </w:rPr>
        <w:t>万元。与201</w:t>
      </w: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年相比，</w:t>
      </w:r>
      <w:r>
        <w:rPr>
          <w:rFonts w:hint="eastAsia" w:ascii="仿宋_GB2312" w:hAnsi="仿宋" w:eastAsia="仿宋_GB2312"/>
          <w:color w:val="000000"/>
          <w:sz w:val="32"/>
          <w:szCs w:val="32"/>
          <w:lang w:eastAsia="zh-CN"/>
        </w:rPr>
        <w:t>减少</w:t>
      </w:r>
      <w:r>
        <w:rPr>
          <w:rFonts w:hint="eastAsia" w:ascii="仿宋_GB2312" w:hAnsi="仿宋" w:eastAsia="仿宋_GB2312"/>
          <w:color w:val="000000"/>
          <w:sz w:val="32"/>
          <w:szCs w:val="32"/>
          <w:lang w:val="en-US" w:eastAsia="zh-CN"/>
        </w:rPr>
        <w:t>1,127.01</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下降</w:t>
      </w:r>
      <w:r>
        <w:rPr>
          <w:rFonts w:hint="eastAsia" w:ascii="仿宋_GB2312" w:hAnsi="仿宋" w:eastAsia="仿宋_GB2312"/>
          <w:color w:val="000000"/>
          <w:sz w:val="32"/>
          <w:szCs w:val="32"/>
          <w:lang w:val="en-US" w:eastAsia="zh-CN"/>
        </w:rPr>
        <w:t>34.72%</w:t>
      </w:r>
      <w:r>
        <w:rPr>
          <w:rFonts w:hint="eastAsia" w:ascii="仿宋_GB2312" w:hAnsi="仿宋" w:eastAsia="仿宋_GB2312"/>
          <w:color w:val="000000"/>
          <w:sz w:val="32"/>
          <w:szCs w:val="32"/>
        </w:rPr>
        <w:t>。主要变动原因是</w:t>
      </w:r>
      <w:r>
        <w:rPr>
          <w:rFonts w:hint="eastAsia" w:ascii="仿宋_GB2312" w:hAnsi="仿宋" w:eastAsia="仿宋_GB2312"/>
          <w:color w:val="000000"/>
          <w:sz w:val="32"/>
          <w:szCs w:val="32"/>
          <w:lang w:eastAsia="zh-CN"/>
        </w:rPr>
        <w:t>项目支出减少，人员经费，公用经费支出增加。</w:t>
      </w:r>
    </w:p>
    <w:p>
      <w:pPr>
        <w:pStyle w:val="21"/>
        <w:rPr>
          <w:rFonts w:hint="eastAsia" w:ascii="仿宋_GB2312" w:hAnsi="仿宋" w:eastAsia="仿宋_GB2312"/>
          <w:color w:val="000000"/>
          <w:sz w:val="32"/>
          <w:szCs w:val="32"/>
          <w:lang w:eastAsia="zh-CN"/>
        </w:rPr>
      </w:pPr>
    </w:p>
    <w:p>
      <w:pPr>
        <w:pStyle w:val="21"/>
        <w:jc w:val="center"/>
      </w:pPr>
      <w:r>
        <w:drawing>
          <wp:inline distT="0" distB="0" distL="114300" distR="114300">
            <wp:extent cx="5085715" cy="3017520"/>
            <wp:effectExtent l="0" t="0" r="635" b="1143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6"/>
                    <a:stretch>
                      <a:fillRect/>
                    </a:stretch>
                  </pic:blipFill>
                  <pic:spPr>
                    <a:xfrm>
                      <a:off x="0" y="0"/>
                      <a:ext cx="5085715" cy="3017520"/>
                    </a:xfrm>
                    <a:prstGeom prst="rect">
                      <a:avLst/>
                    </a:prstGeom>
                    <a:noFill/>
                    <a:ln>
                      <a:noFill/>
                    </a:ln>
                  </pic:spPr>
                </pic:pic>
              </a:graphicData>
            </a:graphic>
          </wp:inline>
        </w:drawing>
      </w:r>
    </w:p>
    <w:p>
      <w:pPr>
        <w:pStyle w:val="21"/>
        <w:ind w:left="0" w:leftChars="0" w:firstLine="0" w:firstLineChars="0"/>
        <w:rPr>
          <w:rFonts w:hint="eastAsia"/>
        </w:rPr>
      </w:pPr>
    </w:p>
    <w:p>
      <w:pPr>
        <w:pStyle w:val="21"/>
        <w:jc w:val="both"/>
        <w:rPr>
          <w:rFonts w:hint="eastAsia" w:ascii="仿宋_GB2312" w:hAnsi="仿宋" w:eastAsia="仿宋_GB2312"/>
          <w:color w:val="000000" w:themeColor="text1"/>
          <w:sz w:val="32"/>
          <w:szCs w:val="32"/>
          <w14:textFill>
            <w14:solidFill>
              <w14:schemeClr w14:val="tx1"/>
            </w14:solidFill>
          </w14:textFill>
        </w:rPr>
      </w:pPr>
      <w:r>
        <w:drawing>
          <wp:inline distT="0" distB="0" distL="114300" distR="114300">
            <wp:extent cx="4207510" cy="2543175"/>
            <wp:effectExtent l="0" t="0" r="2540" b="952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7"/>
                    <a:stretch>
                      <a:fillRect/>
                    </a:stretch>
                  </pic:blipFill>
                  <pic:spPr>
                    <a:xfrm>
                      <a:off x="0" y="0"/>
                      <a:ext cx="4207510" cy="2543175"/>
                    </a:xfrm>
                    <a:prstGeom prst="rect">
                      <a:avLst/>
                    </a:prstGeom>
                    <a:noFill/>
                    <a:ln>
                      <a:noFill/>
                    </a:ln>
                  </pic:spPr>
                </pic:pic>
              </a:graphicData>
            </a:graphic>
          </wp:inline>
        </w:drawing>
      </w:r>
    </w:p>
    <w:p>
      <w:pPr>
        <w:spacing w:line="600" w:lineRule="exact"/>
        <w:jc w:val="center"/>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图1：（收、支决算总计变动情况图）（柱状图）</w:t>
      </w:r>
    </w:p>
    <w:p>
      <w:pPr>
        <w:pStyle w:val="36"/>
        <w:numPr>
          <w:ilvl w:val="0"/>
          <w:numId w:val="1"/>
        </w:numPr>
        <w:spacing w:line="600" w:lineRule="exact"/>
        <w:ind w:firstLineChars="0"/>
        <w:outlineLvl w:val="1"/>
        <w:rPr>
          <w:rFonts w:hint="eastAsia" w:ascii="黑体" w:hAnsi="黑体" w:eastAsia="黑体" w:cs="Times New Roman"/>
          <w:color w:val="000000"/>
          <w:sz w:val="32"/>
          <w:szCs w:val="32"/>
        </w:rPr>
      </w:pPr>
      <w:bookmarkStart w:id="37" w:name="_Toc15377206"/>
      <w:bookmarkStart w:id="38" w:name="_Toc15396604"/>
      <w:bookmarkStart w:id="39" w:name="_Toc29381"/>
      <w:r>
        <w:rPr>
          <w:rFonts w:hint="eastAsia" w:ascii="黑体" w:hAnsi="黑体" w:eastAsia="黑体" w:cs="Times New Roman"/>
          <w:color w:val="000000"/>
          <w:sz w:val="32"/>
          <w:szCs w:val="32"/>
        </w:rPr>
        <w:t>收入决算情况说明</w:t>
      </w:r>
      <w:bookmarkEnd w:id="37"/>
      <w:bookmarkEnd w:id="38"/>
      <w:bookmarkEnd w:id="39"/>
    </w:p>
    <w:p>
      <w:pPr>
        <w:spacing w:line="600" w:lineRule="exact"/>
        <w:ind w:firstLine="64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2020年本年收入合计2,698.59万元，其中：一般公共预算财政拨款收入2,698.59万元，占100%；政府性基金预算财政拨款收入0万元，占0%；国有资本经营预算财政拨款收入0万元，占0%；事业收入0万元，占0%；经营收入0万元，占0%；附属单位上缴收入0万元，占0%；其他收入0万元，占0%。</w:t>
      </w:r>
    </w:p>
    <w:p>
      <w:pPr>
        <w:pStyle w:val="21"/>
        <w:jc w:val="center"/>
        <w:rPr>
          <w:rFonts w:hint="eastAsia"/>
          <w:lang w:val="en-US" w:eastAsia="zh-CN"/>
        </w:rPr>
      </w:pPr>
      <w:r>
        <w:drawing>
          <wp:inline distT="0" distB="0" distL="114300" distR="114300">
            <wp:extent cx="4370705" cy="2661920"/>
            <wp:effectExtent l="0" t="0" r="10795" b="508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8"/>
                    <a:stretch>
                      <a:fillRect/>
                    </a:stretch>
                  </pic:blipFill>
                  <pic:spPr>
                    <a:xfrm>
                      <a:off x="0" y="0"/>
                      <a:ext cx="4370705" cy="2661920"/>
                    </a:xfrm>
                    <a:prstGeom prst="rect">
                      <a:avLst/>
                    </a:prstGeom>
                    <a:noFill/>
                    <a:ln>
                      <a:noFill/>
                    </a:ln>
                  </pic:spPr>
                </pic:pic>
              </a:graphicData>
            </a:graphic>
          </wp:inline>
        </w:drawing>
      </w:r>
    </w:p>
    <w:p>
      <w:pPr>
        <w:spacing w:line="600" w:lineRule="exact"/>
        <w:ind w:firstLine="640" w:firstLineChars="200"/>
        <w:jc w:val="center"/>
        <w:rPr>
          <w:rFonts w:ascii="仿宋_GB2312" w:eastAsia="仿宋_GB2312"/>
          <w:color w:val="FF0000"/>
          <w:sz w:val="32"/>
          <w:szCs w:val="32"/>
        </w:rPr>
      </w:pPr>
      <w:r>
        <w:rPr>
          <w:rFonts w:hint="eastAsia" w:ascii="仿宋_GB2312" w:hAnsi="仿宋" w:eastAsia="仿宋_GB2312"/>
          <w:color w:val="000000" w:themeColor="text1"/>
          <w:sz w:val="32"/>
          <w:szCs w:val="32"/>
          <w14:textFill>
            <w14:solidFill>
              <w14:schemeClr w14:val="tx1"/>
            </w14:solidFill>
          </w14:textFill>
        </w:rPr>
        <w:t>（图2：收入决算结构图）（饼状图）</w:t>
      </w:r>
    </w:p>
    <w:p>
      <w:pPr>
        <w:pStyle w:val="36"/>
        <w:numPr>
          <w:ilvl w:val="0"/>
          <w:numId w:val="1"/>
        </w:numPr>
        <w:spacing w:line="600" w:lineRule="exact"/>
        <w:ind w:firstLineChars="0"/>
        <w:outlineLvl w:val="1"/>
        <w:rPr>
          <w:rFonts w:hint="eastAsia" w:ascii="黑体" w:hAnsi="黑体" w:eastAsia="黑体" w:cs="Times New Roman"/>
          <w:color w:val="000000"/>
          <w:sz w:val="32"/>
          <w:szCs w:val="32"/>
        </w:rPr>
      </w:pPr>
      <w:bookmarkStart w:id="40" w:name="_Toc9205"/>
      <w:bookmarkStart w:id="41" w:name="_Toc15396605"/>
      <w:bookmarkStart w:id="42" w:name="_Toc15377207"/>
      <w:r>
        <w:rPr>
          <w:rFonts w:hint="eastAsia" w:ascii="黑体" w:hAnsi="黑体" w:eastAsia="黑体" w:cs="Times New Roman"/>
          <w:color w:val="000000"/>
          <w:sz w:val="32"/>
          <w:szCs w:val="32"/>
        </w:rPr>
        <w:t>支出决算情况说明</w:t>
      </w:r>
      <w:bookmarkEnd w:id="40"/>
      <w:bookmarkEnd w:id="41"/>
      <w:bookmarkEnd w:id="42"/>
    </w:p>
    <w:p>
      <w:pPr>
        <w:spacing w:line="60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年本年支出合计</w:t>
      </w:r>
      <w:r>
        <w:rPr>
          <w:rFonts w:hint="eastAsia" w:ascii="仿宋_GB2312" w:hAnsi="仿宋" w:eastAsia="仿宋_GB2312"/>
          <w:color w:val="000000"/>
          <w:sz w:val="32"/>
          <w:szCs w:val="32"/>
          <w:lang w:val="en-US" w:eastAsia="zh-CN"/>
        </w:rPr>
        <w:t>2,119.26</w:t>
      </w:r>
      <w:r>
        <w:rPr>
          <w:rFonts w:hint="eastAsia" w:ascii="仿宋_GB2312" w:hAnsi="仿宋" w:eastAsia="仿宋_GB2312"/>
          <w:color w:val="000000"/>
          <w:sz w:val="32"/>
          <w:szCs w:val="32"/>
        </w:rPr>
        <w:t>万元，其中：基本支出</w:t>
      </w:r>
      <w:r>
        <w:rPr>
          <w:rFonts w:hint="eastAsia" w:ascii="仿宋_GB2312" w:hAnsi="仿宋" w:eastAsia="仿宋_GB2312"/>
          <w:color w:val="000000"/>
          <w:sz w:val="32"/>
          <w:szCs w:val="32"/>
          <w:lang w:val="en-US" w:eastAsia="zh-CN"/>
        </w:rPr>
        <w:t>243.38</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11.48</w:t>
      </w:r>
      <w:r>
        <w:rPr>
          <w:rFonts w:hint="eastAsia" w:ascii="仿宋_GB2312" w:hAnsi="仿宋" w:eastAsia="仿宋_GB2312"/>
          <w:color w:val="000000"/>
          <w:sz w:val="32"/>
          <w:szCs w:val="32"/>
        </w:rPr>
        <w:t>%；项目支出</w:t>
      </w:r>
      <w:r>
        <w:rPr>
          <w:rFonts w:hint="eastAsia" w:ascii="仿宋_GB2312" w:hAnsi="仿宋" w:eastAsia="仿宋_GB2312"/>
          <w:color w:val="000000"/>
          <w:sz w:val="32"/>
          <w:szCs w:val="32"/>
          <w:lang w:val="en-US" w:eastAsia="zh-CN"/>
        </w:rPr>
        <w:t>1,875.88</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88.52</w:t>
      </w:r>
      <w:r>
        <w:rPr>
          <w:rFonts w:hint="eastAsia" w:ascii="仿宋_GB2312" w:hAnsi="仿宋" w:eastAsia="仿宋_GB2312"/>
          <w:color w:val="000000"/>
          <w:sz w:val="32"/>
          <w:szCs w:val="32"/>
        </w:rPr>
        <w:t>%；上缴上级支出</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%；经营支出</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%；对附属单位补助支出</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w:t>
      </w:r>
    </w:p>
    <w:p>
      <w:pPr>
        <w:pStyle w:val="21"/>
        <w:jc w:val="center"/>
        <w:rPr>
          <w:rFonts w:hint="eastAsia" w:ascii="仿宋_GB2312" w:hAnsi="仿宋" w:eastAsia="仿宋_GB2312"/>
          <w:color w:val="000000"/>
          <w:sz w:val="32"/>
          <w:szCs w:val="32"/>
        </w:rPr>
      </w:pPr>
      <w:r>
        <w:drawing>
          <wp:inline distT="0" distB="0" distL="114300" distR="114300">
            <wp:extent cx="4539615" cy="2703830"/>
            <wp:effectExtent l="0" t="0" r="1905" b="8890"/>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9"/>
                    <a:stretch>
                      <a:fillRect/>
                    </a:stretch>
                  </pic:blipFill>
                  <pic:spPr>
                    <a:xfrm>
                      <a:off x="0" y="0"/>
                      <a:ext cx="4539615" cy="2703830"/>
                    </a:xfrm>
                    <a:prstGeom prst="rect">
                      <a:avLst/>
                    </a:prstGeom>
                    <a:noFill/>
                    <a:ln>
                      <a:noFill/>
                    </a:ln>
                  </pic:spPr>
                </pic:pic>
              </a:graphicData>
            </a:graphic>
          </wp:inline>
        </w:drawing>
      </w:r>
    </w:p>
    <w:p>
      <w:pPr>
        <w:spacing w:line="600" w:lineRule="exact"/>
        <w:ind w:firstLine="640" w:firstLineChars="200"/>
        <w:jc w:val="center"/>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（图3：支出决算结构图）（饼状图）</w:t>
      </w:r>
    </w:p>
    <w:p>
      <w:pPr>
        <w:pStyle w:val="36"/>
        <w:numPr>
          <w:ilvl w:val="0"/>
          <w:numId w:val="0"/>
        </w:numPr>
        <w:spacing w:line="600" w:lineRule="exact"/>
        <w:ind w:firstLine="640" w:firstLineChars="200"/>
        <w:outlineLvl w:val="1"/>
        <w:rPr>
          <w:rFonts w:hint="eastAsia" w:ascii="黑体" w:hAnsi="黑体" w:eastAsia="黑体" w:cs="Times New Roman"/>
          <w:color w:val="000000"/>
          <w:sz w:val="32"/>
          <w:szCs w:val="32"/>
        </w:rPr>
      </w:pPr>
      <w:bookmarkStart w:id="43" w:name="_Toc15377208"/>
      <w:bookmarkStart w:id="44" w:name="_Toc15396606"/>
      <w:bookmarkStart w:id="45" w:name="_Toc7260"/>
      <w:r>
        <w:rPr>
          <w:rFonts w:hint="eastAsia" w:ascii="黑体" w:hAnsi="黑体" w:eastAsia="黑体" w:cs="Times New Roman"/>
          <w:color w:val="000000"/>
          <w:sz w:val="32"/>
          <w:szCs w:val="32"/>
        </w:rPr>
        <w:t>四、财政拨款收入支出决算总体情况说明</w:t>
      </w:r>
      <w:bookmarkEnd w:id="43"/>
      <w:bookmarkEnd w:id="44"/>
      <w:bookmarkEnd w:id="45"/>
    </w:p>
    <w:p>
      <w:pPr>
        <w:spacing w:line="600" w:lineRule="exact"/>
        <w:ind w:firstLine="640" w:firstLineChars="200"/>
        <w:rPr>
          <w:rFonts w:hint="eastAsia" w:ascii="仿宋_GB2312" w:hAnsi="仿宋" w:eastAsia="仿宋_GB2312"/>
          <w:color w:val="000000"/>
          <w:sz w:val="32"/>
          <w:szCs w:val="32"/>
          <w:highlight w:val="none"/>
        </w:rPr>
      </w:pPr>
      <w:r>
        <w:rPr>
          <w:rFonts w:hint="eastAsia" w:ascii="仿宋_GB2312" w:hAnsi="仿宋" w:eastAsia="仿宋_GB2312"/>
          <w:color w:val="000000"/>
          <w:sz w:val="32"/>
          <w:szCs w:val="32"/>
          <w:highlight w:val="none"/>
        </w:rPr>
        <w:t>20</w:t>
      </w:r>
      <w:r>
        <w:rPr>
          <w:rFonts w:hint="eastAsia" w:ascii="仿宋_GB2312" w:hAnsi="仿宋" w:eastAsia="仿宋_GB2312"/>
          <w:color w:val="000000"/>
          <w:sz w:val="32"/>
          <w:szCs w:val="32"/>
          <w:highlight w:val="none"/>
          <w:lang w:val="en-US" w:eastAsia="zh-CN"/>
        </w:rPr>
        <w:t>20</w:t>
      </w:r>
      <w:r>
        <w:rPr>
          <w:rFonts w:hint="eastAsia" w:ascii="仿宋_GB2312" w:hAnsi="仿宋" w:eastAsia="仿宋_GB2312"/>
          <w:color w:val="000000"/>
          <w:sz w:val="32"/>
          <w:szCs w:val="32"/>
          <w:highlight w:val="none"/>
        </w:rPr>
        <w:t>年财政拨款</w:t>
      </w:r>
      <w:r>
        <w:rPr>
          <w:rFonts w:hint="eastAsia" w:ascii="仿宋_GB2312" w:hAnsi="仿宋" w:eastAsia="仿宋_GB2312"/>
          <w:color w:val="000000"/>
          <w:sz w:val="32"/>
          <w:szCs w:val="32"/>
          <w:highlight w:val="none"/>
          <w:lang w:eastAsia="zh-CN"/>
        </w:rPr>
        <w:t>收入</w:t>
      </w:r>
      <w:r>
        <w:rPr>
          <w:rFonts w:hint="eastAsia" w:ascii="仿宋_GB2312" w:hAnsi="仿宋" w:eastAsia="仿宋_GB2312"/>
          <w:color w:val="000000"/>
          <w:sz w:val="32"/>
          <w:szCs w:val="32"/>
          <w:highlight w:val="none"/>
        </w:rPr>
        <w:t>总计</w:t>
      </w:r>
      <w:r>
        <w:rPr>
          <w:rFonts w:hint="eastAsia" w:ascii="仿宋_GB2312" w:hAnsi="仿宋" w:eastAsia="仿宋_GB2312"/>
          <w:color w:val="000000"/>
          <w:sz w:val="32"/>
          <w:szCs w:val="32"/>
          <w:highlight w:val="none"/>
          <w:lang w:val="en-US" w:eastAsia="zh-CN"/>
        </w:rPr>
        <w:t>2,698.59</w:t>
      </w:r>
      <w:r>
        <w:rPr>
          <w:rFonts w:hint="eastAsia" w:ascii="仿宋_GB2312" w:hAnsi="仿宋" w:eastAsia="仿宋_GB2312"/>
          <w:color w:val="000000"/>
          <w:sz w:val="32"/>
          <w:szCs w:val="32"/>
          <w:highlight w:val="none"/>
        </w:rPr>
        <w:t>万元。</w:t>
      </w:r>
      <w:r>
        <w:rPr>
          <w:rFonts w:hint="eastAsia" w:ascii="仿宋_GB2312" w:hAnsi="仿宋" w:eastAsia="仿宋_GB2312"/>
          <w:color w:val="000000"/>
          <w:sz w:val="32"/>
          <w:szCs w:val="32"/>
        </w:rPr>
        <w:t>与201</w:t>
      </w: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年相比，</w:t>
      </w:r>
      <w:r>
        <w:rPr>
          <w:rFonts w:hint="eastAsia" w:ascii="仿宋_GB2312" w:hAnsi="仿宋" w:eastAsia="仿宋_GB2312"/>
          <w:color w:val="000000"/>
          <w:sz w:val="32"/>
          <w:szCs w:val="32"/>
          <w:lang w:eastAsia="zh-CN"/>
        </w:rPr>
        <w:t>增加</w:t>
      </w:r>
      <w:r>
        <w:rPr>
          <w:rFonts w:hint="eastAsia" w:ascii="仿宋_GB2312" w:hAnsi="仿宋" w:eastAsia="仿宋_GB2312"/>
          <w:color w:val="000000"/>
          <w:sz w:val="32"/>
          <w:szCs w:val="32"/>
          <w:lang w:val="en-US" w:eastAsia="zh-CN"/>
        </w:rPr>
        <w:t>2,126.43</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增加371.65</w:t>
      </w:r>
      <w:r>
        <w:rPr>
          <w:rFonts w:hint="eastAsia" w:ascii="仿宋_GB2312" w:hAnsi="仿宋" w:eastAsia="仿宋_GB2312"/>
          <w:color w:val="000000"/>
          <w:sz w:val="32"/>
          <w:szCs w:val="32"/>
          <w:lang w:val="en-US" w:eastAsia="zh-CN"/>
        </w:rPr>
        <w:t>%</w:t>
      </w:r>
      <w:r>
        <w:rPr>
          <w:rFonts w:hint="eastAsia" w:ascii="仿宋_GB2312" w:hAnsi="仿宋" w:eastAsia="仿宋_GB2312"/>
          <w:color w:val="000000"/>
          <w:sz w:val="32"/>
          <w:szCs w:val="32"/>
        </w:rPr>
        <w:t>。主要变动原因</w:t>
      </w:r>
      <w:r>
        <w:rPr>
          <w:rFonts w:hint="eastAsia" w:ascii="仿宋_GB2312" w:hAnsi="仿宋" w:eastAsia="仿宋_GB2312"/>
          <w:color w:val="000000"/>
          <w:sz w:val="32"/>
          <w:szCs w:val="32"/>
          <w:lang w:eastAsia="zh-CN"/>
        </w:rPr>
        <w:t>：项目收入增加</w:t>
      </w:r>
      <w:r>
        <w:rPr>
          <w:rFonts w:hint="eastAsia" w:ascii="仿宋_GB2312" w:hAnsi="仿宋" w:eastAsia="仿宋_GB2312"/>
          <w:color w:val="000000"/>
          <w:sz w:val="32"/>
          <w:szCs w:val="32"/>
        </w:rPr>
        <w:t xml:space="preserve">; </w:t>
      </w:r>
      <w:r>
        <w:rPr>
          <w:rFonts w:hint="eastAsia" w:ascii="仿宋_GB2312" w:hAnsi="仿宋" w:eastAsia="仿宋_GB2312"/>
          <w:color w:val="000000"/>
          <w:sz w:val="32"/>
          <w:szCs w:val="32"/>
          <w:highlight w:val="none"/>
        </w:rPr>
        <w:t>20</w:t>
      </w:r>
      <w:r>
        <w:rPr>
          <w:rFonts w:hint="eastAsia" w:ascii="仿宋_GB2312" w:hAnsi="仿宋" w:eastAsia="仿宋_GB2312"/>
          <w:color w:val="000000"/>
          <w:sz w:val="32"/>
          <w:szCs w:val="32"/>
          <w:highlight w:val="none"/>
          <w:lang w:val="en-US" w:eastAsia="zh-CN"/>
        </w:rPr>
        <w:t>20</w:t>
      </w:r>
      <w:r>
        <w:rPr>
          <w:rFonts w:hint="eastAsia" w:ascii="仿宋_GB2312" w:hAnsi="仿宋" w:eastAsia="仿宋_GB2312"/>
          <w:color w:val="000000"/>
          <w:sz w:val="32"/>
          <w:szCs w:val="32"/>
          <w:highlight w:val="none"/>
        </w:rPr>
        <w:t>年财政拨款</w:t>
      </w:r>
      <w:r>
        <w:rPr>
          <w:rFonts w:hint="eastAsia" w:ascii="仿宋_GB2312" w:hAnsi="仿宋" w:eastAsia="仿宋_GB2312"/>
          <w:color w:val="000000"/>
          <w:sz w:val="32"/>
          <w:szCs w:val="32"/>
        </w:rPr>
        <w:t>支出总计</w:t>
      </w:r>
      <w:r>
        <w:rPr>
          <w:rFonts w:hint="eastAsia" w:ascii="仿宋_GB2312" w:hAnsi="仿宋" w:eastAsia="仿宋_GB2312"/>
          <w:color w:val="000000"/>
          <w:sz w:val="32"/>
          <w:szCs w:val="32"/>
          <w:lang w:val="en-US" w:eastAsia="zh-CN"/>
        </w:rPr>
        <w:t>2,119.26</w:t>
      </w:r>
      <w:r>
        <w:rPr>
          <w:rFonts w:hint="eastAsia" w:ascii="仿宋_GB2312" w:hAnsi="仿宋" w:eastAsia="仿宋_GB2312"/>
          <w:color w:val="000000"/>
          <w:sz w:val="32"/>
          <w:szCs w:val="32"/>
        </w:rPr>
        <w:t>万元。与201</w:t>
      </w: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年相比，</w:t>
      </w:r>
      <w:r>
        <w:rPr>
          <w:rFonts w:hint="eastAsia" w:ascii="仿宋_GB2312" w:hAnsi="仿宋" w:eastAsia="仿宋_GB2312"/>
          <w:color w:val="000000"/>
          <w:sz w:val="32"/>
          <w:szCs w:val="32"/>
          <w:lang w:eastAsia="zh-CN"/>
        </w:rPr>
        <w:t>减少</w:t>
      </w:r>
      <w:r>
        <w:rPr>
          <w:rFonts w:hint="eastAsia" w:ascii="仿宋_GB2312" w:hAnsi="仿宋" w:eastAsia="仿宋_GB2312"/>
          <w:color w:val="000000"/>
          <w:sz w:val="32"/>
          <w:szCs w:val="32"/>
          <w:lang w:val="en-US" w:eastAsia="zh-CN"/>
        </w:rPr>
        <w:t>1,127.01</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下降</w:t>
      </w:r>
      <w:r>
        <w:rPr>
          <w:rFonts w:hint="eastAsia" w:ascii="仿宋_GB2312" w:hAnsi="仿宋" w:eastAsia="仿宋_GB2312"/>
          <w:color w:val="000000"/>
          <w:sz w:val="32"/>
          <w:szCs w:val="32"/>
          <w:lang w:val="en-US" w:eastAsia="zh-CN"/>
        </w:rPr>
        <w:t>34.72%</w:t>
      </w:r>
      <w:r>
        <w:rPr>
          <w:rFonts w:hint="eastAsia" w:ascii="仿宋_GB2312" w:hAnsi="仿宋" w:eastAsia="仿宋_GB2312"/>
          <w:color w:val="000000"/>
          <w:sz w:val="32"/>
          <w:szCs w:val="32"/>
        </w:rPr>
        <w:t>。主要变动原因是</w:t>
      </w:r>
      <w:r>
        <w:rPr>
          <w:rFonts w:hint="eastAsia" w:ascii="仿宋_GB2312" w:hAnsi="仿宋" w:eastAsia="仿宋_GB2312"/>
          <w:color w:val="000000"/>
          <w:sz w:val="32"/>
          <w:szCs w:val="32"/>
          <w:lang w:eastAsia="zh-CN"/>
        </w:rPr>
        <w:t>项目支出减少，人员经费，公用经费支出增加。</w:t>
      </w:r>
    </w:p>
    <w:p>
      <w:pPr>
        <w:pStyle w:val="21"/>
        <w:rPr>
          <w:rFonts w:hint="eastAsia" w:ascii="仿宋_GB2312" w:hAnsi="仿宋" w:eastAsia="仿宋_GB2312"/>
          <w:color w:val="000000"/>
          <w:sz w:val="32"/>
          <w:szCs w:val="32"/>
          <w:highlight w:val="none"/>
        </w:rPr>
      </w:pPr>
      <w:r>
        <w:drawing>
          <wp:inline distT="0" distB="0" distL="114300" distR="114300">
            <wp:extent cx="4505325" cy="2719705"/>
            <wp:effectExtent l="0" t="0" r="5715" b="825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0"/>
                    <a:stretch>
                      <a:fillRect/>
                    </a:stretch>
                  </pic:blipFill>
                  <pic:spPr>
                    <a:xfrm>
                      <a:off x="0" y="0"/>
                      <a:ext cx="4505325" cy="2719705"/>
                    </a:xfrm>
                    <a:prstGeom prst="rect">
                      <a:avLst/>
                    </a:prstGeom>
                    <a:noFill/>
                    <a:ln>
                      <a:noFill/>
                    </a:ln>
                  </pic:spPr>
                </pic:pic>
              </a:graphicData>
            </a:graphic>
          </wp:inline>
        </w:drawing>
      </w:r>
    </w:p>
    <w:p>
      <w:pPr>
        <w:pStyle w:val="21"/>
        <w:rPr>
          <w:rFonts w:hint="eastAsia" w:ascii="仿宋_GB2312" w:hAnsi="仿宋" w:eastAsia="仿宋_GB2312"/>
          <w:color w:val="000000"/>
          <w:sz w:val="32"/>
          <w:szCs w:val="32"/>
          <w:highlight w:val="none"/>
        </w:rPr>
      </w:pPr>
      <w:r>
        <w:drawing>
          <wp:inline distT="0" distB="0" distL="114300" distR="114300">
            <wp:extent cx="4721225" cy="2847340"/>
            <wp:effectExtent l="0" t="0" r="3175" b="2540"/>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1"/>
                    <a:stretch>
                      <a:fillRect/>
                    </a:stretch>
                  </pic:blipFill>
                  <pic:spPr>
                    <a:xfrm>
                      <a:off x="0" y="0"/>
                      <a:ext cx="4721225" cy="2847340"/>
                    </a:xfrm>
                    <a:prstGeom prst="rect">
                      <a:avLst/>
                    </a:prstGeom>
                    <a:noFill/>
                    <a:ln>
                      <a:noFill/>
                    </a:ln>
                  </pic:spPr>
                </pic:pic>
              </a:graphicData>
            </a:graphic>
          </wp:inline>
        </w:drawing>
      </w:r>
    </w:p>
    <w:p>
      <w:pPr>
        <w:pStyle w:val="21"/>
        <w:ind w:left="0" w:leftChars="0" w:firstLine="0" w:firstLineChars="0"/>
        <w:jc w:val="both"/>
        <w:rPr>
          <w:rFonts w:hint="eastAsia"/>
        </w:rPr>
      </w:pPr>
    </w:p>
    <w:p>
      <w:pPr>
        <w:spacing w:line="600" w:lineRule="exac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（图4：财政拨款收、支决算总计变动情况）（柱状图）</w:t>
      </w:r>
    </w:p>
    <w:p>
      <w:pPr>
        <w:pStyle w:val="16"/>
      </w:pPr>
    </w:p>
    <w:p>
      <w:pPr>
        <w:spacing w:line="600" w:lineRule="exact"/>
        <w:ind w:firstLine="643" w:firstLineChars="200"/>
        <w:outlineLvl w:val="1"/>
        <w:rPr>
          <w:rStyle w:val="31"/>
          <w:rFonts w:ascii="仿宋_GB2312" w:hAnsi="黑体" w:eastAsia="仿宋_GB2312"/>
          <w:b/>
          <w:bCs/>
        </w:rPr>
      </w:pPr>
      <w:bookmarkStart w:id="46" w:name="_Toc15396607"/>
      <w:bookmarkStart w:id="47" w:name="_Toc372"/>
      <w:bookmarkStart w:id="48" w:name="_Toc15377209"/>
      <w:r>
        <w:rPr>
          <w:rFonts w:hint="eastAsia" w:ascii="仿宋_GB2312" w:hAnsi="黑体" w:eastAsia="仿宋_GB2312"/>
          <w:b/>
          <w:bCs/>
          <w:color w:val="000000"/>
          <w:sz w:val="32"/>
          <w:szCs w:val="32"/>
        </w:rPr>
        <w:t>五、一</w:t>
      </w:r>
      <w:r>
        <w:rPr>
          <w:rStyle w:val="31"/>
          <w:rFonts w:hint="eastAsia" w:ascii="仿宋_GB2312" w:hAnsi="黑体" w:eastAsia="仿宋_GB2312"/>
          <w:b/>
          <w:bCs/>
        </w:rPr>
        <w:t>般公共预算财政拨款支出决算情况说明</w:t>
      </w:r>
      <w:bookmarkEnd w:id="46"/>
      <w:bookmarkEnd w:id="47"/>
      <w:bookmarkEnd w:id="48"/>
    </w:p>
    <w:p>
      <w:pPr>
        <w:spacing w:line="600" w:lineRule="exact"/>
        <w:ind w:firstLine="643" w:firstLineChars="200"/>
        <w:outlineLvl w:val="2"/>
        <w:rPr>
          <w:rFonts w:ascii="仿宋_GB2312" w:hAnsi="仿宋" w:eastAsia="仿宋_GB2312"/>
          <w:b/>
          <w:color w:val="000000"/>
          <w:sz w:val="32"/>
          <w:szCs w:val="32"/>
        </w:rPr>
      </w:pPr>
      <w:bookmarkStart w:id="49" w:name="_Toc15377210"/>
      <w:bookmarkStart w:id="50" w:name="_Toc20665"/>
      <w:r>
        <w:rPr>
          <w:rFonts w:hint="eastAsia" w:ascii="仿宋_GB2312" w:hAnsi="仿宋" w:eastAsia="仿宋_GB2312"/>
          <w:b/>
          <w:color w:val="000000"/>
          <w:sz w:val="32"/>
          <w:szCs w:val="32"/>
        </w:rPr>
        <w:t>（一）一般公共预算财政拨款支出决算总体情况</w:t>
      </w:r>
      <w:bookmarkEnd w:id="49"/>
      <w:bookmarkEnd w:id="50"/>
    </w:p>
    <w:p>
      <w:pPr>
        <w:spacing w:line="600" w:lineRule="exact"/>
        <w:ind w:firstLine="640" w:firstLineChars="200"/>
        <w:rPr>
          <w:rFonts w:hint="eastAsia" w:ascii="仿宋_GB2312" w:hAnsi="仿宋" w:eastAsia="仿宋_GB2312"/>
          <w:color w:val="000000"/>
          <w:sz w:val="32"/>
          <w:szCs w:val="32"/>
          <w:highlight w:val="none"/>
          <w:lang w:eastAsia="zh-CN"/>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年一般公共预算财政拨款支出</w:t>
      </w:r>
      <w:r>
        <w:rPr>
          <w:rFonts w:hint="eastAsia" w:ascii="仿宋_GB2312" w:hAnsi="仿宋" w:eastAsia="仿宋_GB2312"/>
          <w:color w:val="000000"/>
          <w:sz w:val="32"/>
          <w:szCs w:val="32"/>
          <w:highlight w:val="none"/>
          <w:lang w:val="en-US" w:eastAsia="zh-CN"/>
        </w:rPr>
        <w:t>2,698.59</w:t>
      </w:r>
      <w:r>
        <w:rPr>
          <w:rFonts w:hint="eastAsia" w:ascii="仿宋_GB2312" w:hAnsi="仿宋" w:eastAsia="仿宋_GB2312"/>
          <w:color w:val="000000"/>
          <w:sz w:val="32"/>
          <w:szCs w:val="32"/>
        </w:rPr>
        <w:t>万元，占本年支出合计的</w:t>
      </w:r>
      <w:r>
        <w:rPr>
          <w:rFonts w:hint="eastAsia" w:ascii="仿宋_GB2312" w:hAnsi="仿宋" w:eastAsia="仿宋_GB2312"/>
          <w:color w:val="000000"/>
          <w:sz w:val="32"/>
          <w:szCs w:val="32"/>
          <w:lang w:val="en-US" w:eastAsia="zh-CN"/>
        </w:rPr>
        <w:t>100</w:t>
      </w:r>
      <w:r>
        <w:rPr>
          <w:rFonts w:hint="eastAsia" w:ascii="仿宋_GB2312" w:hAnsi="仿宋" w:eastAsia="仿宋_GB2312"/>
          <w:color w:val="000000"/>
          <w:sz w:val="32"/>
          <w:szCs w:val="32"/>
        </w:rPr>
        <w:t>%。与201</w:t>
      </w: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年相比，一般公共预算财政拨款</w:t>
      </w:r>
      <w:r>
        <w:rPr>
          <w:rFonts w:hint="eastAsia" w:ascii="仿宋_GB2312" w:hAnsi="仿宋" w:eastAsia="仿宋_GB2312"/>
          <w:color w:val="000000"/>
          <w:sz w:val="32"/>
          <w:szCs w:val="32"/>
          <w:lang w:eastAsia="zh-CN"/>
        </w:rPr>
        <w:t>减少</w:t>
      </w:r>
      <w:r>
        <w:rPr>
          <w:rFonts w:hint="eastAsia" w:ascii="仿宋_GB2312" w:hAnsi="仿宋" w:eastAsia="仿宋_GB2312"/>
          <w:color w:val="000000"/>
          <w:sz w:val="32"/>
          <w:szCs w:val="32"/>
          <w:lang w:val="en-US" w:eastAsia="zh-CN"/>
        </w:rPr>
        <w:t>1,127.01</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下降</w:t>
      </w:r>
      <w:r>
        <w:rPr>
          <w:rFonts w:hint="eastAsia" w:ascii="仿宋_GB2312" w:hAnsi="仿宋" w:eastAsia="仿宋_GB2312"/>
          <w:color w:val="000000"/>
          <w:sz w:val="32"/>
          <w:szCs w:val="32"/>
          <w:lang w:val="en-US" w:eastAsia="zh-CN"/>
        </w:rPr>
        <w:t>34.72%</w:t>
      </w:r>
      <w:r>
        <w:rPr>
          <w:rFonts w:hint="eastAsia" w:ascii="仿宋_GB2312" w:hAnsi="仿宋" w:eastAsia="仿宋_GB2312"/>
          <w:color w:val="000000"/>
          <w:sz w:val="32"/>
          <w:szCs w:val="32"/>
        </w:rPr>
        <w:t>。。主要变动原因是</w:t>
      </w:r>
      <w:r>
        <w:rPr>
          <w:rFonts w:hint="eastAsia" w:ascii="仿宋_GB2312" w:hAnsi="仿宋" w:eastAsia="仿宋_GB2312"/>
          <w:color w:val="000000"/>
          <w:sz w:val="32"/>
          <w:szCs w:val="32"/>
          <w:lang w:eastAsia="zh-CN"/>
        </w:rPr>
        <w:t>项目支出减少，人员经费，公用经费支出增加。</w:t>
      </w:r>
    </w:p>
    <w:p>
      <w:pPr>
        <w:spacing w:line="600" w:lineRule="exact"/>
        <w:rPr>
          <w:rFonts w:hint="eastAsia"/>
          <w:lang w:val="en-US" w:eastAsia="zh-CN"/>
        </w:rPr>
      </w:pPr>
      <w:r>
        <w:drawing>
          <wp:anchor distT="0" distB="0" distL="114935" distR="114935" simplePos="0" relativeHeight="251659264" behindDoc="0" locked="0" layoutInCell="1" allowOverlap="1">
            <wp:simplePos x="0" y="0"/>
            <wp:positionH relativeFrom="column">
              <wp:posOffset>71120</wp:posOffset>
            </wp:positionH>
            <wp:positionV relativeFrom="paragraph">
              <wp:posOffset>108585</wp:posOffset>
            </wp:positionV>
            <wp:extent cx="4991100" cy="3141980"/>
            <wp:effectExtent l="0" t="0" r="7620" b="12700"/>
            <wp:wrapTopAndBottom/>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12"/>
                    <a:stretch>
                      <a:fillRect/>
                    </a:stretch>
                  </pic:blipFill>
                  <pic:spPr>
                    <a:xfrm>
                      <a:off x="0" y="0"/>
                      <a:ext cx="4991100" cy="3141980"/>
                    </a:xfrm>
                    <a:prstGeom prst="rect">
                      <a:avLst/>
                    </a:prstGeom>
                    <a:noFill/>
                    <a:ln>
                      <a:noFill/>
                    </a:ln>
                  </pic:spPr>
                </pic:pic>
              </a:graphicData>
            </a:graphic>
          </wp:anchor>
        </w:drawing>
      </w:r>
    </w:p>
    <w:p>
      <w:pPr>
        <w:spacing w:line="60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ascii="仿宋_GB2312" w:hAnsi="仿宋" w:eastAsia="仿宋_GB2312"/>
          <w:b/>
          <w:color w:val="000000"/>
          <w:sz w:val="32"/>
          <w:szCs w:val="32"/>
        </w:rPr>
      </w:pPr>
      <w:bookmarkStart w:id="51" w:name="_Toc27378"/>
      <w:bookmarkStart w:id="52" w:name="_Toc15377211"/>
      <w:r>
        <w:rPr>
          <w:rFonts w:hint="eastAsia" w:ascii="仿宋_GB2312" w:hAnsi="仿宋" w:eastAsia="仿宋_GB2312"/>
          <w:b/>
          <w:color w:val="000000"/>
          <w:sz w:val="32"/>
          <w:szCs w:val="32"/>
        </w:rPr>
        <w:t>（二）一般公共预算财政拨款支出决算结构情况</w:t>
      </w:r>
      <w:bookmarkEnd w:id="51"/>
      <w:bookmarkEnd w:id="52"/>
    </w:p>
    <w:p>
      <w:pPr>
        <w:spacing w:line="600" w:lineRule="exact"/>
        <w:ind w:firstLine="640"/>
        <w:rPr>
          <w:rFonts w:hint="eastAsia" w:ascii="仿宋_GB2312" w:hAnsi="仿宋" w:eastAsia="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年一</w:t>
      </w:r>
      <w:r>
        <w:rPr>
          <w:rFonts w:hint="eastAsia" w:ascii="仿宋_GB2312" w:hAnsi="仿宋" w:eastAsia="仿宋_GB2312"/>
          <w:b w:val="0"/>
          <w:bCs w:val="0"/>
          <w:color w:val="000000"/>
          <w:sz w:val="32"/>
          <w:szCs w:val="32"/>
        </w:rPr>
        <w:t>般公共预算财</w:t>
      </w:r>
      <w:r>
        <w:rPr>
          <w:rFonts w:hint="eastAsia" w:ascii="仿宋_GB2312" w:hAnsi="仿宋" w:eastAsia="仿宋_GB2312"/>
          <w:b w:val="0"/>
          <w:bCs w:val="0"/>
          <w:color w:val="000000" w:themeColor="text1"/>
          <w:sz w:val="32"/>
          <w:szCs w:val="32"/>
          <w14:textFill>
            <w14:solidFill>
              <w14:schemeClr w14:val="tx1"/>
            </w14:solidFill>
          </w14:textFill>
        </w:rPr>
        <w:t>政拨款支出</w:t>
      </w:r>
      <w:r>
        <w:rPr>
          <w:rFonts w:hint="eastAsia" w:ascii="仿宋_GB2312" w:hAnsi="仿宋" w:eastAsia="仿宋_GB2312"/>
          <w:b w:val="0"/>
          <w:bCs w:val="0"/>
          <w:color w:val="000000"/>
          <w:sz w:val="32"/>
          <w:szCs w:val="32"/>
          <w:highlight w:val="none"/>
          <w:lang w:val="en-US" w:eastAsia="zh-CN"/>
        </w:rPr>
        <w:t>2,119.26</w:t>
      </w:r>
      <w:r>
        <w:rPr>
          <w:rFonts w:hint="eastAsia" w:ascii="仿宋_GB2312" w:hAnsi="仿宋" w:eastAsia="仿宋_GB2312"/>
          <w:b w:val="0"/>
          <w:bCs w:val="0"/>
          <w:color w:val="000000" w:themeColor="text1"/>
          <w:sz w:val="32"/>
          <w:szCs w:val="32"/>
          <w14:textFill>
            <w14:solidFill>
              <w14:schemeClr w14:val="tx1"/>
            </w14:solidFill>
          </w14:textFill>
        </w:rPr>
        <w:t>万元，主要用于以下方面</w:t>
      </w:r>
      <w:r>
        <w:rPr>
          <w:rFonts w:hint="eastAsia" w:ascii="仿宋_GB2312" w:hAnsi="仿宋" w:eastAsia="仿宋_GB2312"/>
          <w:b w:val="0"/>
          <w:bCs w:val="0"/>
          <w:color w:val="000000" w:themeColor="text1"/>
          <w:sz w:val="32"/>
          <w:szCs w:val="32"/>
          <w:highlight w:val="none"/>
          <w14:textFill>
            <w14:solidFill>
              <w14:schemeClr w14:val="tx1"/>
            </w14:solidFill>
          </w14:textFill>
        </w:rPr>
        <w:t>:一般公共服务（201）支出</w:t>
      </w:r>
      <w:r>
        <w:rPr>
          <w:rFonts w:hint="eastAsia" w:ascii="仿宋_GB2312" w:hAnsi="仿宋" w:eastAsia="仿宋_GB2312"/>
          <w:b w:val="0"/>
          <w:bCs w:val="0"/>
          <w:color w:val="000000" w:themeColor="text1"/>
          <w:sz w:val="32"/>
          <w:szCs w:val="32"/>
          <w:highlight w:val="none"/>
          <w:lang w:val="en-US" w:eastAsia="zh-CN"/>
          <w14:textFill>
            <w14:solidFill>
              <w14:schemeClr w14:val="tx1"/>
            </w14:solidFill>
          </w14:textFill>
        </w:rPr>
        <w:t>20</w:t>
      </w:r>
      <w:r>
        <w:rPr>
          <w:rFonts w:hint="eastAsia" w:ascii="仿宋_GB2312" w:hAnsi="仿宋" w:eastAsia="仿宋_GB2312"/>
          <w:b w:val="0"/>
          <w:bCs w:val="0"/>
          <w:color w:val="000000" w:themeColor="text1"/>
          <w:sz w:val="32"/>
          <w:szCs w:val="32"/>
          <w:highlight w:val="none"/>
          <w14:textFill>
            <w14:solidFill>
              <w14:schemeClr w14:val="tx1"/>
            </w14:solidFill>
          </w14:textFill>
        </w:rPr>
        <w:t>万元，占</w:t>
      </w:r>
      <w:r>
        <w:rPr>
          <w:rFonts w:hint="eastAsia" w:ascii="仿宋_GB2312" w:hAnsi="仿宋" w:eastAsia="仿宋_GB2312"/>
          <w:b w:val="0"/>
          <w:bCs w:val="0"/>
          <w:color w:val="000000" w:themeColor="text1"/>
          <w:sz w:val="32"/>
          <w:szCs w:val="32"/>
          <w:highlight w:val="none"/>
          <w:lang w:val="en-US" w:eastAsia="zh-CN"/>
          <w14:textFill>
            <w14:solidFill>
              <w14:schemeClr w14:val="tx1"/>
            </w14:solidFill>
          </w14:textFill>
        </w:rPr>
        <w:t>0.94</w:t>
      </w:r>
      <w:r>
        <w:rPr>
          <w:rFonts w:hint="eastAsia" w:ascii="仿宋_GB2312" w:hAnsi="仿宋" w:eastAsia="仿宋_GB2312"/>
          <w:b w:val="0"/>
          <w:bCs w:val="0"/>
          <w:color w:val="000000" w:themeColor="text1"/>
          <w:sz w:val="32"/>
          <w:szCs w:val="32"/>
          <w:highlight w:val="none"/>
          <w14:textFill>
            <w14:solidFill>
              <w14:schemeClr w14:val="tx1"/>
            </w14:solidFill>
          </w14:textFill>
        </w:rPr>
        <w:t>%；社会保障和就业（208）支出</w:t>
      </w:r>
      <w:r>
        <w:rPr>
          <w:rFonts w:hint="eastAsia" w:ascii="仿宋_GB2312" w:hAnsi="仿宋" w:eastAsia="仿宋_GB2312"/>
          <w:b w:val="0"/>
          <w:bCs w:val="0"/>
          <w:color w:val="000000" w:themeColor="text1"/>
          <w:sz w:val="32"/>
          <w:szCs w:val="32"/>
          <w:highlight w:val="none"/>
          <w:lang w:val="en-US" w:eastAsia="zh-CN"/>
          <w14:textFill>
            <w14:solidFill>
              <w14:schemeClr w14:val="tx1"/>
            </w14:solidFill>
          </w14:textFill>
        </w:rPr>
        <w:t>25.76</w:t>
      </w:r>
      <w:r>
        <w:rPr>
          <w:rFonts w:hint="eastAsia" w:ascii="仿宋_GB2312" w:hAnsi="仿宋" w:eastAsia="仿宋_GB2312"/>
          <w:b w:val="0"/>
          <w:bCs w:val="0"/>
          <w:color w:val="000000" w:themeColor="text1"/>
          <w:sz w:val="32"/>
          <w:szCs w:val="32"/>
          <w:highlight w:val="none"/>
          <w14:textFill>
            <w14:solidFill>
              <w14:schemeClr w14:val="tx1"/>
            </w14:solidFill>
          </w14:textFill>
        </w:rPr>
        <w:t>万元，占</w:t>
      </w:r>
      <w:r>
        <w:rPr>
          <w:rFonts w:hint="eastAsia" w:ascii="仿宋_GB2312" w:hAnsi="仿宋" w:eastAsia="仿宋_GB2312"/>
          <w:b w:val="0"/>
          <w:bCs w:val="0"/>
          <w:color w:val="000000" w:themeColor="text1"/>
          <w:sz w:val="32"/>
          <w:szCs w:val="32"/>
          <w:highlight w:val="none"/>
          <w:lang w:val="en-US" w:eastAsia="zh-CN"/>
          <w14:textFill>
            <w14:solidFill>
              <w14:schemeClr w14:val="tx1"/>
            </w14:solidFill>
          </w14:textFill>
        </w:rPr>
        <w:t>1.22</w:t>
      </w:r>
      <w:r>
        <w:rPr>
          <w:rFonts w:hint="eastAsia" w:ascii="仿宋_GB2312" w:hAnsi="仿宋" w:eastAsia="仿宋_GB2312"/>
          <w:b w:val="0"/>
          <w:bCs w:val="0"/>
          <w:color w:val="000000" w:themeColor="text1"/>
          <w:sz w:val="32"/>
          <w:szCs w:val="32"/>
          <w:highlight w:val="none"/>
          <w14:textFill>
            <w14:solidFill>
              <w14:schemeClr w14:val="tx1"/>
            </w14:solidFill>
          </w14:textFill>
        </w:rPr>
        <w:t>%；</w:t>
      </w:r>
      <w:r>
        <w:rPr>
          <w:rFonts w:hint="eastAsia" w:ascii="仿宋_GB2312" w:hAnsi="仿宋" w:eastAsia="仿宋_GB2312" w:cs="Times New Roman"/>
          <w:b w:val="0"/>
          <w:bCs w:val="0"/>
          <w:color w:val="000000" w:themeColor="text1"/>
          <w:sz w:val="32"/>
          <w:szCs w:val="32"/>
          <w:highlight w:val="none"/>
          <w14:textFill>
            <w14:solidFill>
              <w14:schemeClr w14:val="tx1"/>
            </w14:solidFill>
          </w14:textFill>
        </w:rPr>
        <w:t>卫生健康</w:t>
      </w:r>
      <w:r>
        <w:rPr>
          <w:rFonts w:hint="eastAsia" w:ascii="仿宋_GB2312" w:hAnsi="仿宋" w:eastAsia="仿宋_GB2312"/>
          <w:b w:val="0"/>
          <w:bCs w:val="0"/>
          <w:color w:val="000000" w:themeColor="text1"/>
          <w:sz w:val="32"/>
          <w:szCs w:val="32"/>
          <w:highlight w:val="none"/>
          <w14:textFill>
            <w14:solidFill>
              <w14:schemeClr w14:val="tx1"/>
            </w14:solidFill>
          </w14:textFill>
        </w:rPr>
        <w:t>（</w:t>
      </w:r>
      <w:r>
        <w:rPr>
          <w:rFonts w:hint="eastAsia" w:ascii="仿宋_GB2312" w:hAnsi="仿宋" w:eastAsia="仿宋_GB2312"/>
          <w:b w:val="0"/>
          <w:bCs w:val="0"/>
          <w:color w:val="000000" w:themeColor="text1"/>
          <w:sz w:val="32"/>
          <w:szCs w:val="32"/>
          <w:highlight w:val="none"/>
          <w:lang w:val="en-US" w:eastAsia="zh-CN"/>
          <w14:textFill>
            <w14:solidFill>
              <w14:schemeClr w14:val="tx1"/>
            </w14:solidFill>
          </w14:textFill>
        </w:rPr>
        <w:t>210</w:t>
      </w:r>
      <w:r>
        <w:rPr>
          <w:rFonts w:hint="eastAsia" w:ascii="仿宋_GB2312" w:hAnsi="仿宋" w:eastAsia="仿宋_GB2312"/>
          <w:b w:val="0"/>
          <w:bCs w:val="0"/>
          <w:color w:val="000000" w:themeColor="text1"/>
          <w:sz w:val="32"/>
          <w:szCs w:val="32"/>
          <w:highlight w:val="none"/>
          <w14:textFill>
            <w14:solidFill>
              <w14:schemeClr w14:val="tx1"/>
            </w14:solidFill>
          </w14:textFill>
        </w:rPr>
        <w:t>）</w:t>
      </w:r>
      <w:r>
        <w:rPr>
          <w:rFonts w:hint="eastAsia" w:ascii="仿宋_GB2312" w:hAnsi="仿宋" w:eastAsia="仿宋_GB2312" w:cs="Times New Roman"/>
          <w:b w:val="0"/>
          <w:bCs w:val="0"/>
          <w:color w:val="000000" w:themeColor="text1"/>
          <w:sz w:val="32"/>
          <w:szCs w:val="32"/>
          <w:highlight w:val="none"/>
          <w:lang w:eastAsia="zh-CN"/>
          <w14:textFill>
            <w14:solidFill>
              <w14:schemeClr w14:val="tx1"/>
            </w14:solidFill>
          </w14:textFill>
        </w:rPr>
        <w:t>支出</w:t>
      </w:r>
      <w:r>
        <w:rPr>
          <w:rFonts w:hint="eastAsia" w:ascii="仿宋_GB2312" w:hAnsi="仿宋" w:eastAsia="仿宋_GB2312" w:cs="Times New Roman"/>
          <w:b w:val="0"/>
          <w:bCs w:val="0"/>
          <w:color w:val="000000" w:themeColor="text1"/>
          <w:sz w:val="32"/>
          <w:szCs w:val="32"/>
          <w:highlight w:val="none"/>
          <w:lang w:val="en-US" w:eastAsia="zh-CN"/>
          <w14:textFill>
            <w14:solidFill>
              <w14:schemeClr w14:val="tx1"/>
            </w14:solidFill>
          </w14:textFill>
        </w:rPr>
        <w:t>9.87</w:t>
      </w:r>
      <w:r>
        <w:rPr>
          <w:rFonts w:hint="eastAsia" w:ascii="仿宋_GB2312" w:hAnsi="仿宋" w:eastAsia="仿宋_GB2312"/>
          <w:b w:val="0"/>
          <w:bCs w:val="0"/>
          <w:color w:val="000000" w:themeColor="text1"/>
          <w:sz w:val="32"/>
          <w:szCs w:val="32"/>
          <w:highlight w:val="none"/>
          <w14:textFill>
            <w14:solidFill>
              <w14:schemeClr w14:val="tx1"/>
            </w14:solidFill>
          </w14:textFill>
        </w:rPr>
        <w:t>万元，占</w:t>
      </w:r>
      <w:r>
        <w:rPr>
          <w:rFonts w:hint="eastAsia" w:ascii="仿宋_GB2312" w:hAnsi="仿宋" w:eastAsia="仿宋_GB2312"/>
          <w:b w:val="0"/>
          <w:bCs w:val="0"/>
          <w:color w:val="000000" w:themeColor="text1"/>
          <w:sz w:val="32"/>
          <w:szCs w:val="32"/>
          <w:highlight w:val="none"/>
          <w:lang w:val="en-US" w:eastAsia="zh-CN"/>
          <w14:textFill>
            <w14:solidFill>
              <w14:schemeClr w14:val="tx1"/>
            </w14:solidFill>
          </w14:textFill>
        </w:rPr>
        <w:t>0.47</w:t>
      </w:r>
      <w:r>
        <w:rPr>
          <w:rFonts w:hint="eastAsia" w:ascii="仿宋_GB2312" w:hAnsi="仿宋" w:eastAsia="仿宋_GB2312"/>
          <w:b w:val="0"/>
          <w:bCs w:val="0"/>
          <w:color w:val="000000" w:themeColor="text1"/>
          <w:sz w:val="32"/>
          <w:szCs w:val="32"/>
          <w:highlight w:val="none"/>
          <w14:textFill>
            <w14:solidFill>
              <w14:schemeClr w14:val="tx1"/>
            </w14:solidFill>
          </w14:textFill>
        </w:rPr>
        <w:t>%；</w:t>
      </w:r>
      <w:r>
        <w:rPr>
          <w:rFonts w:hint="eastAsia" w:ascii="仿宋_GB2312" w:hAnsi="仿宋" w:eastAsia="仿宋_GB2312" w:cs="Times New Roman"/>
          <w:b w:val="0"/>
          <w:bCs w:val="0"/>
          <w:color w:val="000000" w:themeColor="text1"/>
          <w:sz w:val="32"/>
          <w:szCs w:val="32"/>
          <w:highlight w:val="none"/>
          <w14:textFill>
            <w14:solidFill>
              <w14:schemeClr w14:val="tx1"/>
            </w14:solidFill>
          </w14:textFill>
        </w:rPr>
        <w:t>住房保障</w:t>
      </w:r>
      <w:r>
        <w:rPr>
          <w:rFonts w:hint="eastAsia" w:ascii="仿宋_GB2312" w:hAnsi="仿宋" w:eastAsia="仿宋_GB2312"/>
          <w:b w:val="0"/>
          <w:bCs w:val="0"/>
          <w:color w:val="000000" w:themeColor="text1"/>
          <w:sz w:val="32"/>
          <w:szCs w:val="32"/>
          <w:highlight w:val="none"/>
          <w14:textFill>
            <w14:solidFill>
              <w14:schemeClr w14:val="tx1"/>
            </w14:solidFill>
          </w14:textFill>
        </w:rPr>
        <w:t>（</w:t>
      </w:r>
      <w:r>
        <w:rPr>
          <w:rFonts w:hint="eastAsia" w:ascii="仿宋_GB2312" w:hAnsi="仿宋" w:eastAsia="仿宋_GB2312"/>
          <w:b w:val="0"/>
          <w:bCs w:val="0"/>
          <w:color w:val="000000" w:themeColor="text1"/>
          <w:sz w:val="32"/>
          <w:szCs w:val="32"/>
          <w:highlight w:val="none"/>
          <w:lang w:val="en-US" w:eastAsia="zh-CN"/>
          <w14:textFill>
            <w14:solidFill>
              <w14:schemeClr w14:val="tx1"/>
            </w14:solidFill>
          </w14:textFill>
        </w:rPr>
        <w:t>221</w:t>
      </w:r>
      <w:r>
        <w:rPr>
          <w:rFonts w:hint="eastAsia" w:ascii="仿宋_GB2312" w:hAnsi="仿宋" w:eastAsia="仿宋_GB2312"/>
          <w:b w:val="0"/>
          <w:bCs w:val="0"/>
          <w:color w:val="000000" w:themeColor="text1"/>
          <w:sz w:val="32"/>
          <w:szCs w:val="32"/>
          <w:highlight w:val="none"/>
          <w14:textFill>
            <w14:solidFill>
              <w14:schemeClr w14:val="tx1"/>
            </w14:solidFill>
          </w14:textFill>
        </w:rPr>
        <w:t>）</w:t>
      </w:r>
      <w:r>
        <w:rPr>
          <w:rFonts w:hint="eastAsia" w:ascii="仿宋_GB2312" w:hAnsi="仿宋" w:eastAsia="仿宋_GB2312" w:cs="Times New Roman"/>
          <w:b w:val="0"/>
          <w:bCs w:val="0"/>
          <w:color w:val="000000" w:themeColor="text1"/>
          <w:sz w:val="32"/>
          <w:szCs w:val="32"/>
          <w:highlight w:val="none"/>
          <w:lang w:eastAsia="zh-CN"/>
          <w14:textFill>
            <w14:solidFill>
              <w14:schemeClr w14:val="tx1"/>
            </w14:solidFill>
          </w14:textFill>
        </w:rPr>
        <w:t>支出</w:t>
      </w:r>
      <w:r>
        <w:rPr>
          <w:rFonts w:hint="eastAsia" w:ascii="仿宋_GB2312" w:hAnsi="仿宋" w:eastAsia="仿宋_GB2312" w:cs="Times New Roman"/>
          <w:b w:val="0"/>
          <w:bCs w:val="0"/>
          <w:color w:val="000000" w:themeColor="text1"/>
          <w:sz w:val="32"/>
          <w:szCs w:val="32"/>
          <w:highlight w:val="none"/>
          <w:lang w:val="en-US" w:eastAsia="zh-CN"/>
          <w14:textFill>
            <w14:solidFill>
              <w14:schemeClr w14:val="tx1"/>
            </w14:solidFill>
          </w14:textFill>
        </w:rPr>
        <w:t>19.11</w:t>
      </w:r>
      <w:r>
        <w:rPr>
          <w:rFonts w:hint="eastAsia" w:ascii="仿宋_GB2312" w:hAnsi="仿宋" w:eastAsia="仿宋_GB2312"/>
          <w:b w:val="0"/>
          <w:bCs w:val="0"/>
          <w:color w:val="000000" w:themeColor="text1"/>
          <w:sz w:val="32"/>
          <w:szCs w:val="32"/>
          <w:highlight w:val="none"/>
          <w14:textFill>
            <w14:solidFill>
              <w14:schemeClr w14:val="tx1"/>
            </w14:solidFill>
          </w14:textFill>
        </w:rPr>
        <w:t>万元，占</w:t>
      </w:r>
      <w:r>
        <w:rPr>
          <w:rFonts w:hint="eastAsia" w:ascii="仿宋_GB2312" w:hAnsi="仿宋" w:eastAsia="仿宋_GB2312"/>
          <w:b w:val="0"/>
          <w:bCs w:val="0"/>
          <w:color w:val="000000" w:themeColor="text1"/>
          <w:sz w:val="32"/>
          <w:szCs w:val="32"/>
          <w:highlight w:val="none"/>
          <w:lang w:val="en-US" w:eastAsia="zh-CN"/>
          <w14:textFill>
            <w14:solidFill>
              <w14:schemeClr w14:val="tx1"/>
            </w14:solidFill>
          </w14:textFill>
        </w:rPr>
        <w:t>0.9</w:t>
      </w:r>
      <w:r>
        <w:rPr>
          <w:rFonts w:hint="eastAsia" w:ascii="仿宋_GB2312" w:hAnsi="仿宋" w:eastAsia="仿宋_GB2312"/>
          <w:b w:val="0"/>
          <w:bCs w:val="0"/>
          <w:color w:val="000000" w:themeColor="text1"/>
          <w:sz w:val="32"/>
          <w:szCs w:val="32"/>
          <w:highlight w:val="none"/>
          <w14:textFill>
            <w14:solidFill>
              <w14:schemeClr w14:val="tx1"/>
            </w14:solidFill>
          </w14:textFill>
        </w:rPr>
        <w:t>%</w:t>
      </w:r>
      <w:r>
        <w:rPr>
          <w:rFonts w:hint="eastAsia" w:ascii="仿宋_GB2312" w:hAnsi="仿宋" w:eastAsia="仿宋_GB2312"/>
          <w:b w:val="0"/>
          <w:bCs w:val="0"/>
          <w:color w:val="000000" w:themeColor="text1"/>
          <w:sz w:val="32"/>
          <w:szCs w:val="32"/>
          <w:highlight w:val="none"/>
          <w:lang w:val="en-US" w:eastAsia="zh-CN"/>
          <w14:textFill>
            <w14:solidFill>
              <w14:schemeClr w14:val="tx1"/>
            </w14:solidFill>
          </w14:textFill>
        </w:rPr>
        <w:t>。</w:t>
      </w:r>
      <w:r>
        <w:rPr>
          <w:rFonts w:hint="eastAsia" w:ascii="仿宋_GB2312" w:hAnsi="仿宋" w:eastAsia="仿宋_GB2312" w:cs="Times New Roman"/>
          <w:b w:val="0"/>
          <w:bCs w:val="0"/>
          <w:color w:val="000000" w:themeColor="text1"/>
          <w:sz w:val="32"/>
          <w:szCs w:val="32"/>
          <w:highlight w:val="none"/>
          <w14:textFill>
            <w14:solidFill>
              <w14:schemeClr w14:val="tx1"/>
            </w14:solidFill>
          </w14:textFill>
        </w:rPr>
        <w:t>农林水支出</w:t>
      </w:r>
      <w:r>
        <w:rPr>
          <w:rFonts w:hint="eastAsia" w:ascii="仿宋_GB2312" w:hAnsi="仿宋" w:eastAsia="仿宋_GB2312"/>
          <w:b w:val="0"/>
          <w:bCs w:val="0"/>
          <w:color w:val="000000" w:themeColor="text1"/>
          <w:sz w:val="32"/>
          <w:szCs w:val="32"/>
          <w:highlight w:val="none"/>
          <w14:textFill>
            <w14:solidFill>
              <w14:schemeClr w14:val="tx1"/>
            </w14:solidFill>
          </w14:textFill>
        </w:rPr>
        <w:t>（</w:t>
      </w:r>
      <w:r>
        <w:rPr>
          <w:rFonts w:hint="eastAsia" w:ascii="仿宋_GB2312" w:hAnsi="仿宋" w:eastAsia="仿宋_GB2312"/>
          <w:b w:val="0"/>
          <w:bCs w:val="0"/>
          <w:color w:val="000000" w:themeColor="text1"/>
          <w:sz w:val="32"/>
          <w:szCs w:val="32"/>
          <w:highlight w:val="none"/>
          <w:lang w:val="en-US" w:eastAsia="zh-CN"/>
          <w14:textFill>
            <w14:solidFill>
              <w14:schemeClr w14:val="tx1"/>
            </w14:solidFill>
          </w14:textFill>
        </w:rPr>
        <w:t>213</w:t>
      </w:r>
      <w:r>
        <w:rPr>
          <w:rFonts w:hint="eastAsia" w:ascii="仿宋_GB2312" w:hAnsi="仿宋" w:eastAsia="仿宋_GB2312"/>
          <w:b w:val="0"/>
          <w:bCs w:val="0"/>
          <w:color w:val="000000" w:themeColor="text1"/>
          <w:sz w:val="32"/>
          <w:szCs w:val="32"/>
          <w:highlight w:val="none"/>
          <w14:textFill>
            <w14:solidFill>
              <w14:schemeClr w14:val="tx1"/>
            </w14:solidFill>
          </w14:textFill>
        </w:rPr>
        <w:t>）</w:t>
      </w:r>
      <w:r>
        <w:rPr>
          <w:rFonts w:hint="eastAsia" w:ascii="仿宋_GB2312" w:hAnsi="仿宋" w:eastAsia="仿宋_GB2312" w:cs="Times New Roman"/>
          <w:b w:val="0"/>
          <w:bCs w:val="0"/>
          <w:color w:val="000000" w:themeColor="text1"/>
          <w:sz w:val="32"/>
          <w:szCs w:val="32"/>
          <w:highlight w:val="none"/>
          <w:lang w:eastAsia="zh-CN"/>
          <w14:textFill>
            <w14:solidFill>
              <w14:schemeClr w14:val="tx1"/>
            </w14:solidFill>
          </w14:textFill>
        </w:rPr>
        <w:t>支出</w:t>
      </w:r>
      <w:r>
        <w:rPr>
          <w:rFonts w:hint="eastAsia" w:ascii="仿宋_GB2312" w:hAnsi="仿宋" w:eastAsia="仿宋_GB2312" w:cs="Times New Roman"/>
          <w:b w:val="0"/>
          <w:bCs w:val="0"/>
          <w:color w:val="000000" w:themeColor="text1"/>
          <w:sz w:val="32"/>
          <w:szCs w:val="32"/>
          <w:highlight w:val="none"/>
          <w:lang w:val="en-US" w:eastAsia="zh-CN"/>
          <w14:textFill>
            <w14:solidFill>
              <w14:schemeClr w14:val="tx1"/>
            </w14:solidFill>
          </w14:textFill>
        </w:rPr>
        <w:t>1,267.12</w:t>
      </w:r>
      <w:r>
        <w:rPr>
          <w:rFonts w:hint="eastAsia" w:ascii="仿宋_GB2312" w:hAnsi="仿宋" w:eastAsia="仿宋_GB2312"/>
          <w:b w:val="0"/>
          <w:bCs w:val="0"/>
          <w:color w:val="000000" w:themeColor="text1"/>
          <w:sz w:val="32"/>
          <w:szCs w:val="32"/>
          <w:highlight w:val="none"/>
          <w14:textFill>
            <w14:solidFill>
              <w14:schemeClr w14:val="tx1"/>
            </w14:solidFill>
          </w14:textFill>
        </w:rPr>
        <w:t>万元，占</w:t>
      </w:r>
      <w:r>
        <w:rPr>
          <w:rFonts w:hint="eastAsia" w:ascii="仿宋_GB2312" w:hAnsi="仿宋" w:eastAsia="仿宋_GB2312"/>
          <w:b w:val="0"/>
          <w:bCs w:val="0"/>
          <w:color w:val="000000" w:themeColor="text1"/>
          <w:sz w:val="32"/>
          <w:szCs w:val="32"/>
          <w:highlight w:val="none"/>
          <w:lang w:val="en-US" w:eastAsia="zh-CN"/>
          <w14:textFill>
            <w14:solidFill>
              <w14:schemeClr w14:val="tx1"/>
            </w14:solidFill>
          </w14:textFill>
        </w:rPr>
        <w:t>59.79</w:t>
      </w:r>
      <w:r>
        <w:rPr>
          <w:rFonts w:hint="eastAsia" w:ascii="仿宋_GB2312" w:hAnsi="仿宋" w:eastAsia="仿宋_GB2312"/>
          <w:b w:val="0"/>
          <w:bCs w:val="0"/>
          <w:color w:val="000000" w:themeColor="text1"/>
          <w:sz w:val="32"/>
          <w:szCs w:val="32"/>
          <w:highlight w:val="none"/>
          <w14:textFill>
            <w14:solidFill>
              <w14:schemeClr w14:val="tx1"/>
            </w14:solidFill>
          </w14:textFill>
        </w:rPr>
        <w:t>%</w:t>
      </w:r>
      <w:r>
        <w:rPr>
          <w:rFonts w:hint="eastAsia" w:ascii="仿宋_GB2312" w:hAnsi="仿宋" w:eastAsia="仿宋_GB2312"/>
          <w:b w:val="0"/>
          <w:bCs w:val="0"/>
          <w:color w:val="000000" w:themeColor="text1"/>
          <w:sz w:val="32"/>
          <w:szCs w:val="32"/>
          <w:highlight w:val="none"/>
          <w:lang w:eastAsia="zh-CN"/>
          <w14:textFill>
            <w14:solidFill>
              <w14:schemeClr w14:val="tx1"/>
            </w14:solidFill>
          </w14:textFill>
        </w:rPr>
        <w:t>；</w:t>
      </w:r>
      <w:r>
        <w:rPr>
          <w:rFonts w:hint="eastAsia" w:ascii="仿宋_GB2312" w:hAnsi="仿宋" w:eastAsia="仿宋_GB2312" w:cs="Times New Roman"/>
          <w:b w:val="0"/>
          <w:bCs w:val="0"/>
          <w:color w:val="000000" w:themeColor="text1"/>
          <w:sz w:val="32"/>
          <w:szCs w:val="32"/>
          <w:highlight w:val="none"/>
          <w14:textFill>
            <w14:solidFill>
              <w14:schemeClr w14:val="tx1"/>
            </w14:solidFill>
          </w14:textFill>
        </w:rPr>
        <w:t>文化旅游体育与传媒支出</w:t>
      </w:r>
      <w:r>
        <w:rPr>
          <w:rFonts w:hint="eastAsia" w:ascii="仿宋_GB2312" w:hAnsi="仿宋" w:eastAsia="仿宋_GB2312"/>
          <w:b w:val="0"/>
          <w:bCs w:val="0"/>
          <w:color w:val="000000" w:themeColor="text1"/>
          <w:sz w:val="32"/>
          <w:szCs w:val="32"/>
          <w:highlight w:val="none"/>
          <w14:textFill>
            <w14:solidFill>
              <w14:schemeClr w14:val="tx1"/>
            </w14:solidFill>
          </w14:textFill>
        </w:rPr>
        <w:t>（</w:t>
      </w:r>
      <w:r>
        <w:rPr>
          <w:rFonts w:hint="eastAsia" w:ascii="仿宋_GB2312" w:hAnsi="仿宋" w:eastAsia="仿宋_GB2312"/>
          <w:b w:val="0"/>
          <w:bCs w:val="0"/>
          <w:color w:val="000000" w:themeColor="text1"/>
          <w:sz w:val="32"/>
          <w:szCs w:val="32"/>
          <w:highlight w:val="none"/>
          <w:lang w:val="en-US" w:eastAsia="zh-CN"/>
          <w14:textFill>
            <w14:solidFill>
              <w14:schemeClr w14:val="tx1"/>
            </w14:solidFill>
          </w14:textFill>
        </w:rPr>
        <w:t>207</w:t>
      </w:r>
      <w:r>
        <w:rPr>
          <w:rFonts w:hint="eastAsia" w:ascii="仿宋_GB2312" w:hAnsi="仿宋" w:eastAsia="仿宋_GB2312"/>
          <w:b w:val="0"/>
          <w:bCs w:val="0"/>
          <w:color w:val="000000" w:themeColor="text1"/>
          <w:sz w:val="32"/>
          <w:szCs w:val="32"/>
          <w:highlight w:val="none"/>
          <w14:textFill>
            <w14:solidFill>
              <w14:schemeClr w14:val="tx1"/>
            </w14:solidFill>
          </w14:textFill>
        </w:rPr>
        <w:t>）</w:t>
      </w:r>
      <w:r>
        <w:rPr>
          <w:rFonts w:hint="eastAsia" w:ascii="仿宋_GB2312" w:hAnsi="仿宋" w:eastAsia="仿宋_GB2312" w:cs="Times New Roman"/>
          <w:b w:val="0"/>
          <w:bCs w:val="0"/>
          <w:color w:val="000000" w:themeColor="text1"/>
          <w:sz w:val="32"/>
          <w:szCs w:val="32"/>
          <w:highlight w:val="none"/>
          <w:lang w:eastAsia="zh-CN"/>
          <w14:textFill>
            <w14:solidFill>
              <w14:schemeClr w14:val="tx1"/>
            </w14:solidFill>
          </w14:textFill>
        </w:rPr>
        <w:t>支出</w:t>
      </w:r>
      <w:r>
        <w:rPr>
          <w:rFonts w:hint="eastAsia" w:ascii="仿宋_GB2312" w:hAnsi="仿宋" w:eastAsia="仿宋_GB2312" w:cs="Times New Roman"/>
          <w:b w:val="0"/>
          <w:bCs w:val="0"/>
          <w:color w:val="000000" w:themeColor="text1"/>
          <w:sz w:val="32"/>
          <w:szCs w:val="32"/>
          <w:highlight w:val="none"/>
          <w:lang w:val="en-US" w:eastAsia="zh-CN"/>
          <w14:textFill>
            <w14:solidFill>
              <w14:schemeClr w14:val="tx1"/>
            </w14:solidFill>
          </w14:textFill>
        </w:rPr>
        <w:t>777.40</w:t>
      </w:r>
      <w:r>
        <w:rPr>
          <w:rFonts w:hint="eastAsia" w:ascii="仿宋_GB2312" w:hAnsi="仿宋" w:eastAsia="仿宋_GB2312"/>
          <w:b w:val="0"/>
          <w:bCs w:val="0"/>
          <w:color w:val="000000" w:themeColor="text1"/>
          <w:sz w:val="32"/>
          <w:szCs w:val="32"/>
          <w:highlight w:val="none"/>
          <w14:textFill>
            <w14:solidFill>
              <w14:schemeClr w14:val="tx1"/>
            </w14:solidFill>
          </w14:textFill>
        </w:rPr>
        <w:t>万元，占</w:t>
      </w:r>
      <w:r>
        <w:rPr>
          <w:rFonts w:hint="eastAsia" w:ascii="仿宋_GB2312" w:hAnsi="仿宋" w:eastAsia="仿宋_GB2312"/>
          <w:b w:val="0"/>
          <w:bCs w:val="0"/>
          <w:color w:val="000000" w:themeColor="text1"/>
          <w:sz w:val="32"/>
          <w:szCs w:val="32"/>
          <w:highlight w:val="none"/>
          <w:lang w:val="en-US" w:eastAsia="zh-CN"/>
          <w14:textFill>
            <w14:solidFill>
              <w14:schemeClr w14:val="tx1"/>
            </w14:solidFill>
          </w14:textFill>
        </w:rPr>
        <w:t>36.68</w:t>
      </w:r>
      <w:r>
        <w:rPr>
          <w:rFonts w:hint="eastAsia" w:ascii="仿宋_GB2312" w:hAnsi="仿宋" w:eastAsia="仿宋_GB2312"/>
          <w:b w:val="0"/>
          <w:bCs w:val="0"/>
          <w:color w:val="000000" w:themeColor="text1"/>
          <w:sz w:val="32"/>
          <w:szCs w:val="32"/>
          <w:highlight w:val="none"/>
          <w14:textFill>
            <w14:solidFill>
              <w14:schemeClr w14:val="tx1"/>
            </w14:solidFill>
          </w14:textFill>
        </w:rPr>
        <w:t>%</w:t>
      </w:r>
      <w:r>
        <w:rPr>
          <w:rFonts w:hint="eastAsia" w:ascii="仿宋_GB2312" w:hAnsi="仿宋" w:eastAsia="仿宋_GB2312"/>
          <w:b w:val="0"/>
          <w:bCs w:val="0"/>
          <w:color w:val="000000" w:themeColor="text1"/>
          <w:sz w:val="32"/>
          <w:szCs w:val="32"/>
          <w:highlight w:val="none"/>
          <w:lang w:eastAsia="zh-CN"/>
          <w14:textFill>
            <w14:solidFill>
              <w14:schemeClr w14:val="tx1"/>
            </w14:solidFill>
          </w14:textFill>
        </w:rPr>
        <w:t>。</w:t>
      </w:r>
    </w:p>
    <w:p>
      <w:pPr>
        <w:pStyle w:val="21"/>
        <w:rPr>
          <w:rFonts w:hint="default"/>
          <w:highlight w:val="none"/>
          <w:lang w:val="en-US" w:eastAsia="zh-CN"/>
        </w:rPr>
      </w:pPr>
    </w:p>
    <w:p>
      <w:pPr>
        <w:pStyle w:val="21"/>
        <w:rPr>
          <w:rFonts w:hint="eastAsia" w:ascii="仿宋_GB2312" w:hAnsi="仿宋" w:eastAsia="仿宋_GB2312"/>
          <w:color w:val="000000"/>
          <w:sz w:val="32"/>
          <w:szCs w:val="32"/>
        </w:rPr>
      </w:pPr>
      <w:r>
        <w:drawing>
          <wp:inline distT="0" distB="0" distL="114300" distR="114300">
            <wp:extent cx="4944745" cy="2741930"/>
            <wp:effectExtent l="0" t="0" r="8255" b="1270"/>
            <wp:docPr id="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pic:cNvPicPr>
                      <a:picLocks noChangeAspect="1"/>
                    </pic:cNvPicPr>
                  </pic:nvPicPr>
                  <pic:blipFill>
                    <a:blip r:embed="rId13"/>
                    <a:stretch>
                      <a:fillRect/>
                    </a:stretch>
                  </pic:blipFill>
                  <pic:spPr>
                    <a:xfrm>
                      <a:off x="0" y="0"/>
                      <a:ext cx="4944745" cy="2741930"/>
                    </a:xfrm>
                    <a:prstGeom prst="rect">
                      <a:avLst/>
                    </a:prstGeom>
                    <a:noFill/>
                    <a:ln>
                      <a:noFill/>
                    </a:ln>
                  </pic:spPr>
                </pic:pic>
              </a:graphicData>
            </a:graphic>
          </wp:inline>
        </w:drawing>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（图6：一般公共预算财政拨款支出决算结构）（饼状图）</w:t>
      </w:r>
    </w:p>
    <w:p>
      <w:pPr>
        <w:spacing w:line="600" w:lineRule="exact"/>
        <w:rPr>
          <w:rFonts w:ascii="仿宋_GB2312" w:hAnsi="仿宋" w:eastAsia="仿宋_GB2312"/>
          <w:color w:val="000000"/>
          <w:sz w:val="32"/>
          <w:szCs w:val="32"/>
        </w:rPr>
      </w:pPr>
    </w:p>
    <w:p>
      <w:pPr>
        <w:spacing w:line="600" w:lineRule="exact"/>
        <w:ind w:firstLine="643" w:firstLineChars="200"/>
        <w:outlineLvl w:val="2"/>
        <w:rPr>
          <w:rFonts w:ascii="仿宋_GB2312" w:hAnsi="仿宋" w:eastAsia="仿宋_GB2312"/>
          <w:b/>
          <w:color w:val="000000"/>
          <w:sz w:val="32"/>
          <w:szCs w:val="32"/>
        </w:rPr>
      </w:pPr>
      <w:bookmarkStart w:id="53" w:name="_Toc14621"/>
      <w:bookmarkStart w:id="54" w:name="_Toc15377212"/>
      <w:r>
        <w:rPr>
          <w:rFonts w:hint="eastAsia" w:ascii="仿宋_GB2312" w:hAnsi="仿宋" w:eastAsia="仿宋_GB2312"/>
          <w:b/>
          <w:color w:val="000000"/>
          <w:sz w:val="32"/>
          <w:szCs w:val="32"/>
        </w:rPr>
        <w:t>（三）一般公共预算财政拨款支出决算具体情况</w:t>
      </w:r>
      <w:bookmarkEnd w:id="53"/>
      <w:bookmarkEnd w:id="54"/>
    </w:p>
    <w:p>
      <w:pPr>
        <w:bidi w:val="0"/>
        <w:ind w:firstLine="643" w:firstLineChars="200"/>
        <w:rPr>
          <w:rFonts w:ascii="仿宋_GB2312" w:hAnsi="仿宋" w:eastAsia="仿宋_GB2312"/>
          <w:color w:val="FF0000"/>
          <w:sz w:val="32"/>
          <w:szCs w:val="32"/>
          <w:highlight w:val="none"/>
        </w:rPr>
      </w:pPr>
      <w:bookmarkStart w:id="55" w:name="_Toc15377213"/>
      <w:bookmarkStart w:id="56" w:name="_Toc15377444"/>
      <w:bookmarkStart w:id="57" w:name="_Toc15378460"/>
      <w:r>
        <w:rPr>
          <w:rFonts w:hint="eastAsia" w:ascii="仿宋_GB2312" w:hAnsi="仿宋" w:eastAsia="仿宋_GB2312"/>
          <w:b/>
          <w:color w:val="000000" w:themeColor="text1"/>
          <w:sz w:val="32"/>
          <w:szCs w:val="32"/>
          <w14:textFill>
            <w14:solidFill>
              <w14:schemeClr w14:val="tx1"/>
            </w14:solidFill>
          </w14:textFill>
        </w:rPr>
        <w:t>20</w:t>
      </w:r>
      <w:r>
        <w:rPr>
          <w:rFonts w:hint="eastAsia" w:ascii="仿宋_GB2312" w:hAnsi="仿宋" w:eastAsia="仿宋_GB2312"/>
          <w:b/>
          <w:color w:val="000000" w:themeColor="text1"/>
          <w:sz w:val="32"/>
          <w:szCs w:val="32"/>
          <w:lang w:val="en-US" w:eastAsia="zh-CN"/>
          <w14:textFill>
            <w14:solidFill>
              <w14:schemeClr w14:val="tx1"/>
            </w14:solidFill>
          </w14:textFill>
        </w:rPr>
        <w:t>20</w:t>
      </w:r>
      <w:r>
        <w:rPr>
          <w:rFonts w:hint="eastAsia" w:ascii="仿宋_GB2312" w:hAnsi="仿宋" w:eastAsia="仿宋_GB2312"/>
          <w:b/>
          <w:color w:val="000000" w:themeColor="text1"/>
          <w:sz w:val="32"/>
          <w:szCs w:val="32"/>
          <w14:textFill>
            <w14:solidFill>
              <w14:schemeClr w14:val="tx1"/>
            </w14:solidFill>
          </w14:textFill>
        </w:rPr>
        <w:t>年</w:t>
      </w:r>
      <w:r>
        <w:rPr>
          <w:rFonts w:hint="eastAsia" w:ascii="仿宋_GB2312" w:hAnsi="仿宋" w:eastAsia="仿宋_GB2312"/>
          <w:b/>
          <w:color w:val="000000" w:themeColor="text1"/>
          <w:sz w:val="32"/>
          <w:szCs w:val="32"/>
          <w:lang w:eastAsia="zh-CN"/>
          <w14:textFill>
            <w14:solidFill>
              <w14:schemeClr w14:val="tx1"/>
            </w14:solidFill>
          </w14:textFill>
        </w:rPr>
        <w:t>一</w:t>
      </w:r>
      <w:r>
        <w:rPr>
          <w:rFonts w:hint="eastAsia" w:ascii="仿宋_GB2312" w:hAnsi="仿宋" w:eastAsia="仿宋_GB2312"/>
          <w:b/>
          <w:color w:val="000000" w:themeColor="text1"/>
          <w:sz w:val="32"/>
          <w:szCs w:val="32"/>
          <w14:textFill>
            <w14:solidFill>
              <w14:schemeClr w14:val="tx1"/>
            </w14:solidFill>
          </w14:textFill>
        </w:rPr>
        <w:t>般公共预算支出决算数为</w:t>
      </w:r>
      <w:r>
        <w:rPr>
          <w:rFonts w:hint="eastAsia" w:ascii="仿宋_GB2312" w:hAnsi="仿宋" w:eastAsia="仿宋_GB2312"/>
          <w:b/>
          <w:color w:val="000000" w:themeColor="text1"/>
          <w:sz w:val="32"/>
          <w:szCs w:val="32"/>
          <w:lang w:val="en-US" w:eastAsia="zh-CN"/>
          <w14:textFill>
            <w14:solidFill>
              <w14:schemeClr w14:val="tx1"/>
            </w14:solidFill>
          </w14:textFill>
        </w:rPr>
        <w:t>2,119.26</w:t>
      </w:r>
      <w:r>
        <w:rPr>
          <w:rFonts w:hint="eastAsia" w:ascii="仿宋_GB2312" w:hAnsi="仿宋" w:eastAsia="仿宋_GB2312"/>
          <w:color w:val="000000" w:themeColor="text1"/>
          <w:sz w:val="32"/>
          <w:szCs w:val="32"/>
          <w14:textFill>
            <w14:solidFill>
              <w14:schemeClr w14:val="tx1"/>
            </w14:solidFill>
          </w14:textFill>
        </w:rPr>
        <w:t>，</w:t>
      </w:r>
      <w:r>
        <w:rPr>
          <w:rStyle w:val="19"/>
          <w:rFonts w:hint="eastAsia" w:ascii="仿宋_GB2312" w:hAnsi="仿宋" w:eastAsia="仿宋_GB2312"/>
          <w:bCs/>
          <w:color w:val="000000" w:themeColor="text1"/>
          <w:sz w:val="32"/>
          <w:szCs w:val="32"/>
          <w14:textFill>
            <w14:solidFill>
              <w14:schemeClr w14:val="tx1"/>
            </w14:solidFill>
          </w14:textFill>
        </w:rPr>
        <w:t>完成</w:t>
      </w:r>
      <w:r>
        <w:rPr>
          <w:rStyle w:val="19"/>
          <w:rFonts w:hint="eastAsia" w:ascii="仿宋_GB2312" w:hAnsi="仿宋" w:eastAsia="仿宋_GB2312"/>
          <w:bCs/>
          <w:color w:val="000000"/>
          <w:sz w:val="32"/>
          <w:szCs w:val="32"/>
        </w:rPr>
        <w:t>预算</w:t>
      </w:r>
      <w:r>
        <w:rPr>
          <w:rStyle w:val="19"/>
          <w:rFonts w:hint="eastAsia" w:ascii="仿宋_GB2312" w:hAnsi="仿宋" w:eastAsia="仿宋_GB2312"/>
          <w:bCs/>
          <w:color w:val="000000"/>
          <w:sz w:val="32"/>
          <w:szCs w:val="32"/>
          <w:highlight w:val="none"/>
          <w:lang w:val="en-US" w:eastAsia="zh-CN"/>
        </w:rPr>
        <w:t>59.91</w:t>
      </w:r>
      <w:r>
        <w:rPr>
          <w:rStyle w:val="19"/>
          <w:rFonts w:hint="eastAsia" w:ascii="仿宋_GB2312" w:hAnsi="仿宋" w:eastAsia="仿宋_GB2312"/>
          <w:bCs/>
          <w:color w:val="000000"/>
          <w:sz w:val="32"/>
          <w:szCs w:val="32"/>
          <w:highlight w:val="none"/>
        </w:rPr>
        <w:t>%。其中：</w:t>
      </w:r>
      <w:bookmarkEnd w:id="55"/>
      <w:bookmarkEnd w:id="56"/>
      <w:bookmarkEnd w:id="57"/>
    </w:p>
    <w:p>
      <w:pPr>
        <w:numPr>
          <w:ilvl w:val="0"/>
          <w:numId w:val="2"/>
        </w:numPr>
        <w:spacing w:line="600" w:lineRule="exact"/>
        <w:ind w:left="0" w:leftChars="0" w:firstLine="643" w:firstLineChars="200"/>
        <w:rPr>
          <w:rFonts w:ascii="仿宋_GB2312" w:hAnsi="仿宋" w:eastAsia="仿宋_GB2312"/>
          <w:b/>
          <w:color w:val="000000"/>
          <w:sz w:val="32"/>
          <w:szCs w:val="32"/>
        </w:rPr>
      </w:pPr>
      <w:r>
        <w:rPr>
          <w:rStyle w:val="19"/>
          <w:rFonts w:hint="eastAsia" w:ascii="仿宋_GB2312" w:hAnsi="仿宋" w:eastAsia="仿宋_GB2312"/>
          <w:bCs/>
          <w:color w:val="000000"/>
          <w:sz w:val="32"/>
          <w:szCs w:val="32"/>
        </w:rPr>
        <w:t>一般公共服务支出（201）人力资源事务（20110）  引进人才费用（2011008）:</w:t>
      </w:r>
      <w:r>
        <w:rPr>
          <w:rStyle w:val="19"/>
          <w:rFonts w:hint="eastAsia" w:ascii="仿宋_GB2312" w:hAnsi="仿宋" w:eastAsia="仿宋_GB2312"/>
          <w:b w:val="0"/>
          <w:bCs/>
          <w:color w:val="000000"/>
          <w:sz w:val="32"/>
          <w:szCs w:val="32"/>
        </w:rPr>
        <w:t>支出决算为</w:t>
      </w:r>
      <w:r>
        <w:rPr>
          <w:rStyle w:val="19"/>
          <w:rFonts w:hint="eastAsia" w:ascii="仿宋_GB2312" w:hAnsi="仿宋" w:eastAsia="仿宋_GB2312"/>
          <w:b w:val="0"/>
          <w:bCs/>
          <w:color w:val="000000"/>
          <w:sz w:val="32"/>
          <w:szCs w:val="32"/>
          <w:lang w:val="en-US" w:eastAsia="zh-CN"/>
        </w:rPr>
        <w:t>20</w:t>
      </w:r>
      <w:r>
        <w:rPr>
          <w:rStyle w:val="19"/>
          <w:rFonts w:hint="eastAsia" w:ascii="仿宋_GB2312" w:hAnsi="仿宋" w:eastAsia="仿宋_GB2312"/>
          <w:b w:val="0"/>
          <w:bCs/>
          <w:color w:val="000000"/>
          <w:sz w:val="32"/>
          <w:szCs w:val="32"/>
        </w:rPr>
        <w:t>万元，完成预算</w:t>
      </w:r>
      <w:r>
        <w:rPr>
          <w:rStyle w:val="19"/>
          <w:rFonts w:hint="eastAsia" w:ascii="仿宋_GB2312" w:hAnsi="仿宋" w:eastAsia="仿宋_GB2312"/>
          <w:b w:val="0"/>
          <w:bCs/>
          <w:color w:val="000000"/>
          <w:sz w:val="32"/>
          <w:szCs w:val="32"/>
          <w:lang w:val="en-US" w:eastAsia="zh-CN"/>
        </w:rPr>
        <w:t>100</w:t>
      </w:r>
      <w:r>
        <w:rPr>
          <w:rStyle w:val="19"/>
          <w:rFonts w:hint="eastAsia" w:ascii="仿宋_GB2312" w:hAnsi="仿宋" w:eastAsia="仿宋_GB2312"/>
          <w:b w:val="0"/>
          <w:bCs/>
          <w:color w:val="000000"/>
          <w:sz w:val="32"/>
          <w:szCs w:val="32"/>
        </w:rPr>
        <w:t>%，决算数等于预算数</w:t>
      </w:r>
      <w:r>
        <w:rPr>
          <w:rStyle w:val="19"/>
          <w:rFonts w:hint="eastAsia" w:ascii="仿宋_GB2312" w:hAnsi="仿宋" w:eastAsia="仿宋_GB2312"/>
          <w:b w:val="0"/>
          <w:bCs/>
          <w:color w:val="000000"/>
          <w:sz w:val="32"/>
          <w:szCs w:val="32"/>
          <w:lang w:eastAsia="zh-CN"/>
        </w:rPr>
        <w:t>，</w:t>
      </w:r>
      <w:r>
        <w:rPr>
          <w:rStyle w:val="19"/>
          <w:rFonts w:hint="eastAsia" w:ascii="仿宋_GB2312" w:hAnsi="仿宋" w:eastAsia="仿宋_GB2312"/>
          <w:b w:val="0"/>
          <w:bCs/>
          <w:color w:val="000000"/>
          <w:sz w:val="32"/>
          <w:szCs w:val="32"/>
        </w:rPr>
        <w:t>主要原因</w:t>
      </w:r>
      <w:r>
        <w:rPr>
          <w:rStyle w:val="19"/>
          <w:rFonts w:hint="eastAsia" w:ascii="仿宋_GB2312" w:hAnsi="仿宋" w:eastAsia="仿宋_GB2312"/>
          <w:b w:val="0"/>
          <w:bCs/>
          <w:color w:val="000000"/>
          <w:sz w:val="32"/>
          <w:szCs w:val="32"/>
          <w:lang w:eastAsia="zh-CN"/>
        </w:rPr>
        <w:t>：</w:t>
      </w:r>
      <w:r>
        <w:rPr>
          <w:rStyle w:val="19"/>
          <w:rFonts w:hint="eastAsia" w:ascii="仿宋_GB2312" w:hAnsi="仿宋" w:eastAsia="仿宋_GB2312"/>
          <w:b w:val="0"/>
          <w:bCs/>
          <w:color w:val="000000"/>
          <w:sz w:val="32"/>
          <w:szCs w:val="32"/>
          <w:highlight w:val="none"/>
          <w:lang w:eastAsia="zh-CN"/>
        </w:rPr>
        <w:t>按照预算执行</w:t>
      </w:r>
      <w:r>
        <w:rPr>
          <w:rStyle w:val="19"/>
          <w:rFonts w:hint="eastAsia" w:ascii="仿宋_GB2312" w:hAnsi="仿宋" w:eastAsia="仿宋_GB2312"/>
          <w:b w:val="0"/>
          <w:bCs/>
          <w:color w:val="000000"/>
          <w:sz w:val="32"/>
          <w:szCs w:val="32"/>
        </w:rPr>
        <w:t>。</w:t>
      </w:r>
    </w:p>
    <w:p>
      <w:pPr>
        <w:numPr>
          <w:ilvl w:val="0"/>
          <w:numId w:val="2"/>
        </w:numPr>
        <w:spacing w:line="600" w:lineRule="exact"/>
        <w:ind w:left="0" w:leftChars="0" w:firstLine="643" w:firstLineChars="200"/>
        <w:rPr>
          <w:rFonts w:ascii="仿宋_GB2312" w:hAnsi="仿宋" w:eastAsia="仿宋_GB2312"/>
          <w:b/>
          <w:color w:val="000000"/>
          <w:sz w:val="32"/>
          <w:szCs w:val="32"/>
        </w:rPr>
      </w:pPr>
      <w:r>
        <w:rPr>
          <w:rStyle w:val="19"/>
          <w:rFonts w:hint="eastAsia" w:ascii="仿宋_GB2312" w:hAnsi="仿宋" w:eastAsia="仿宋_GB2312"/>
          <w:bCs/>
          <w:color w:val="000000"/>
          <w:sz w:val="32"/>
          <w:szCs w:val="32"/>
        </w:rPr>
        <w:t>文化旅游体育与传媒支出（207）文化和旅游（20701）    机关服务（2070103）:</w:t>
      </w:r>
      <w:r>
        <w:rPr>
          <w:rStyle w:val="19"/>
          <w:rFonts w:hint="eastAsia" w:ascii="仿宋_GB2312" w:hAnsi="仿宋" w:eastAsia="仿宋_GB2312"/>
          <w:b w:val="0"/>
          <w:bCs/>
          <w:color w:val="000000"/>
          <w:sz w:val="32"/>
          <w:szCs w:val="32"/>
        </w:rPr>
        <w:t>支出决算为188.64万元，完成预算</w:t>
      </w:r>
      <w:r>
        <w:rPr>
          <w:rStyle w:val="19"/>
          <w:rFonts w:hint="eastAsia" w:ascii="仿宋_GB2312" w:hAnsi="仿宋" w:eastAsia="仿宋_GB2312"/>
          <w:b w:val="0"/>
          <w:bCs/>
          <w:color w:val="000000"/>
          <w:sz w:val="32"/>
          <w:szCs w:val="32"/>
          <w:lang w:val="en-US" w:eastAsia="zh-CN"/>
        </w:rPr>
        <w:t>100</w:t>
      </w:r>
      <w:r>
        <w:rPr>
          <w:rStyle w:val="19"/>
          <w:rFonts w:hint="eastAsia" w:ascii="仿宋_GB2312" w:hAnsi="仿宋" w:eastAsia="仿宋_GB2312"/>
          <w:b w:val="0"/>
          <w:bCs/>
          <w:color w:val="000000"/>
          <w:sz w:val="32"/>
          <w:szCs w:val="32"/>
        </w:rPr>
        <w:t>%，决算数等于预算数</w:t>
      </w:r>
      <w:r>
        <w:rPr>
          <w:rStyle w:val="19"/>
          <w:rFonts w:hint="eastAsia" w:ascii="仿宋_GB2312" w:hAnsi="仿宋" w:eastAsia="仿宋_GB2312"/>
          <w:b w:val="0"/>
          <w:bCs/>
          <w:color w:val="000000"/>
          <w:sz w:val="32"/>
          <w:szCs w:val="32"/>
          <w:lang w:eastAsia="zh-CN"/>
        </w:rPr>
        <w:t>，</w:t>
      </w:r>
      <w:r>
        <w:rPr>
          <w:rStyle w:val="19"/>
          <w:rFonts w:hint="eastAsia" w:ascii="仿宋_GB2312" w:hAnsi="仿宋" w:eastAsia="仿宋_GB2312"/>
          <w:b w:val="0"/>
          <w:bCs/>
          <w:color w:val="000000"/>
          <w:sz w:val="32"/>
          <w:szCs w:val="32"/>
        </w:rPr>
        <w:t>主要原因</w:t>
      </w:r>
      <w:r>
        <w:rPr>
          <w:rStyle w:val="19"/>
          <w:rFonts w:hint="eastAsia" w:ascii="仿宋_GB2312" w:hAnsi="仿宋" w:eastAsia="仿宋_GB2312"/>
          <w:b w:val="0"/>
          <w:bCs/>
          <w:color w:val="000000"/>
          <w:sz w:val="32"/>
          <w:szCs w:val="32"/>
          <w:lang w:eastAsia="zh-CN"/>
        </w:rPr>
        <w:t>：</w:t>
      </w:r>
      <w:r>
        <w:rPr>
          <w:rStyle w:val="19"/>
          <w:rFonts w:hint="eastAsia" w:ascii="仿宋_GB2312" w:hAnsi="仿宋" w:eastAsia="仿宋_GB2312"/>
          <w:b w:val="0"/>
          <w:bCs/>
          <w:color w:val="000000"/>
          <w:sz w:val="32"/>
          <w:szCs w:val="32"/>
          <w:highlight w:val="none"/>
          <w:lang w:eastAsia="zh-CN"/>
        </w:rPr>
        <w:t>按照预算执行</w:t>
      </w:r>
      <w:r>
        <w:rPr>
          <w:rStyle w:val="19"/>
          <w:rFonts w:hint="eastAsia" w:ascii="仿宋_GB2312" w:hAnsi="仿宋" w:eastAsia="仿宋_GB2312"/>
          <w:b w:val="0"/>
          <w:bCs/>
          <w:color w:val="000000"/>
          <w:sz w:val="32"/>
          <w:szCs w:val="32"/>
        </w:rPr>
        <w:t>。</w:t>
      </w:r>
      <w:r>
        <w:rPr>
          <w:rStyle w:val="19"/>
          <w:rFonts w:hint="eastAsia" w:ascii="仿宋_GB2312" w:hAnsi="仿宋" w:eastAsia="仿宋_GB2312"/>
          <w:bCs/>
          <w:color w:val="000000"/>
          <w:sz w:val="32"/>
          <w:szCs w:val="32"/>
        </w:rPr>
        <w:t>文化旅游体育与传媒支出（207）文化和旅游（20701） 旅游宣传（2070113）:</w:t>
      </w:r>
      <w:r>
        <w:rPr>
          <w:rStyle w:val="19"/>
          <w:rFonts w:hint="eastAsia" w:ascii="仿宋_GB2312" w:hAnsi="仿宋" w:eastAsia="仿宋_GB2312"/>
          <w:b w:val="0"/>
          <w:bCs/>
          <w:color w:val="000000"/>
          <w:sz w:val="32"/>
          <w:szCs w:val="32"/>
        </w:rPr>
        <w:t>支出决算为</w:t>
      </w:r>
      <w:r>
        <w:rPr>
          <w:rStyle w:val="19"/>
          <w:rFonts w:hint="eastAsia" w:ascii="仿宋_GB2312" w:hAnsi="仿宋" w:eastAsia="仿宋_GB2312"/>
          <w:b w:val="0"/>
          <w:bCs/>
          <w:color w:val="000000"/>
          <w:sz w:val="32"/>
          <w:szCs w:val="32"/>
          <w:lang w:val="en-US" w:eastAsia="zh-CN"/>
        </w:rPr>
        <w:t>3.21</w:t>
      </w:r>
      <w:r>
        <w:rPr>
          <w:rStyle w:val="19"/>
          <w:rFonts w:hint="eastAsia" w:ascii="仿宋_GB2312" w:hAnsi="仿宋" w:eastAsia="仿宋_GB2312"/>
          <w:b w:val="0"/>
          <w:bCs/>
          <w:color w:val="000000"/>
          <w:sz w:val="32"/>
          <w:szCs w:val="32"/>
        </w:rPr>
        <w:t>万元，完成预算</w:t>
      </w:r>
      <w:r>
        <w:rPr>
          <w:rStyle w:val="19"/>
          <w:rFonts w:hint="eastAsia" w:ascii="仿宋_GB2312" w:hAnsi="仿宋" w:eastAsia="仿宋_GB2312"/>
          <w:b w:val="0"/>
          <w:bCs/>
          <w:color w:val="000000"/>
          <w:sz w:val="32"/>
          <w:szCs w:val="32"/>
          <w:lang w:val="en-US" w:eastAsia="zh-CN"/>
        </w:rPr>
        <w:t>100</w:t>
      </w:r>
      <w:r>
        <w:rPr>
          <w:rStyle w:val="19"/>
          <w:rFonts w:hint="eastAsia" w:ascii="仿宋_GB2312" w:hAnsi="仿宋" w:eastAsia="仿宋_GB2312"/>
          <w:b w:val="0"/>
          <w:bCs/>
          <w:color w:val="000000"/>
          <w:sz w:val="32"/>
          <w:szCs w:val="32"/>
        </w:rPr>
        <w:t>%，决算数等于预算数</w:t>
      </w:r>
      <w:r>
        <w:rPr>
          <w:rStyle w:val="19"/>
          <w:rFonts w:hint="eastAsia" w:ascii="仿宋_GB2312" w:hAnsi="仿宋" w:eastAsia="仿宋_GB2312"/>
          <w:b w:val="0"/>
          <w:bCs/>
          <w:color w:val="000000"/>
          <w:sz w:val="32"/>
          <w:szCs w:val="32"/>
          <w:lang w:eastAsia="zh-CN"/>
        </w:rPr>
        <w:t>，</w:t>
      </w:r>
      <w:r>
        <w:rPr>
          <w:rStyle w:val="19"/>
          <w:rFonts w:hint="eastAsia" w:ascii="仿宋_GB2312" w:hAnsi="仿宋" w:eastAsia="仿宋_GB2312"/>
          <w:b w:val="0"/>
          <w:bCs/>
          <w:color w:val="000000"/>
          <w:sz w:val="32"/>
          <w:szCs w:val="32"/>
        </w:rPr>
        <w:t>主要原因</w:t>
      </w:r>
      <w:r>
        <w:rPr>
          <w:rStyle w:val="19"/>
          <w:rFonts w:hint="eastAsia" w:ascii="仿宋_GB2312" w:hAnsi="仿宋" w:eastAsia="仿宋_GB2312"/>
          <w:b w:val="0"/>
          <w:bCs/>
          <w:color w:val="000000"/>
          <w:sz w:val="32"/>
          <w:szCs w:val="32"/>
          <w:lang w:eastAsia="zh-CN"/>
        </w:rPr>
        <w:t>：</w:t>
      </w:r>
      <w:r>
        <w:rPr>
          <w:rStyle w:val="19"/>
          <w:rFonts w:hint="eastAsia" w:ascii="仿宋_GB2312" w:hAnsi="仿宋" w:eastAsia="仿宋_GB2312"/>
          <w:b w:val="0"/>
          <w:bCs/>
          <w:color w:val="000000"/>
          <w:sz w:val="32"/>
          <w:szCs w:val="32"/>
          <w:highlight w:val="none"/>
          <w:lang w:eastAsia="zh-CN"/>
        </w:rPr>
        <w:t>按照预算执行</w:t>
      </w:r>
      <w:r>
        <w:rPr>
          <w:rStyle w:val="19"/>
          <w:rFonts w:hint="eastAsia" w:ascii="仿宋_GB2312" w:hAnsi="仿宋" w:eastAsia="仿宋_GB2312"/>
          <w:b w:val="0"/>
          <w:bCs/>
          <w:color w:val="000000"/>
          <w:sz w:val="32"/>
          <w:szCs w:val="32"/>
        </w:rPr>
        <w:t>。</w:t>
      </w:r>
      <w:r>
        <w:rPr>
          <w:rStyle w:val="19"/>
          <w:rFonts w:hint="eastAsia" w:ascii="仿宋_GB2312" w:hAnsi="仿宋" w:eastAsia="仿宋_GB2312"/>
          <w:bCs/>
          <w:color w:val="000000"/>
          <w:sz w:val="32"/>
          <w:szCs w:val="32"/>
        </w:rPr>
        <w:t>文化旅游体育与传媒支出（207）文化和旅游（20701）其他文化和旅游支出（2070199）:</w:t>
      </w:r>
      <w:r>
        <w:rPr>
          <w:rStyle w:val="19"/>
          <w:rFonts w:hint="eastAsia" w:ascii="仿宋_GB2312" w:hAnsi="仿宋" w:eastAsia="仿宋_GB2312"/>
          <w:b w:val="0"/>
          <w:bCs/>
          <w:color w:val="000000"/>
          <w:sz w:val="32"/>
          <w:szCs w:val="32"/>
          <w:highlight w:val="none"/>
        </w:rPr>
        <w:t>支出决算为</w:t>
      </w:r>
      <w:r>
        <w:rPr>
          <w:rStyle w:val="19"/>
          <w:rFonts w:hint="eastAsia" w:ascii="仿宋_GB2312" w:hAnsi="仿宋" w:eastAsia="仿宋_GB2312"/>
          <w:b w:val="0"/>
          <w:bCs/>
          <w:color w:val="000000"/>
          <w:sz w:val="32"/>
          <w:szCs w:val="32"/>
          <w:highlight w:val="none"/>
          <w:lang w:val="en-US" w:eastAsia="zh-CN"/>
        </w:rPr>
        <w:t>235.55</w:t>
      </w:r>
      <w:r>
        <w:rPr>
          <w:rStyle w:val="19"/>
          <w:rFonts w:hint="eastAsia" w:ascii="仿宋_GB2312" w:hAnsi="仿宋" w:eastAsia="仿宋_GB2312"/>
          <w:b w:val="0"/>
          <w:bCs/>
          <w:color w:val="000000"/>
          <w:sz w:val="32"/>
          <w:szCs w:val="32"/>
          <w:highlight w:val="none"/>
        </w:rPr>
        <w:t>万元，完成预算</w:t>
      </w:r>
      <w:r>
        <w:rPr>
          <w:rStyle w:val="19"/>
          <w:rFonts w:hint="eastAsia" w:ascii="仿宋_GB2312" w:hAnsi="仿宋" w:eastAsia="仿宋_GB2312"/>
          <w:b w:val="0"/>
          <w:bCs/>
          <w:color w:val="000000"/>
          <w:sz w:val="32"/>
          <w:szCs w:val="32"/>
          <w:highlight w:val="none"/>
          <w:lang w:val="en-US" w:eastAsia="zh-CN"/>
        </w:rPr>
        <w:t>97.33</w:t>
      </w:r>
      <w:r>
        <w:rPr>
          <w:rStyle w:val="19"/>
          <w:rFonts w:hint="eastAsia" w:ascii="仿宋_GB2312" w:hAnsi="仿宋" w:eastAsia="仿宋_GB2312"/>
          <w:b w:val="0"/>
          <w:bCs/>
          <w:color w:val="000000"/>
          <w:sz w:val="32"/>
          <w:szCs w:val="32"/>
          <w:highlight w:val="none"/>
        </w:rPr>
        <w:t>%，决算数</w:t>
      </w:r>
      <w:r>
        <w:rPr>
          <w:rStyle w:val="19"/>
          <w:rFonts w:hint="eastAsia" w:ascii="仿宋_GB2312" w:hAnsi="仿宋" w:eastAsia="仿宋_GB2312"/>
          <w:b w:val="0"/>
          <w:bCs/>
          <w:color w:val="000000"/>
          <w:sz w:val="32"/>
          <w:szCs w:val="32"/>
          <w:highlight w:val="none"/>
          <w:lang w:eastAsia="zh-CN"/>
        </w:rPr>
        <w:t>小于</w:t>
      </w:r>
      <w:r>
        <w:rPr>
          <w:rStyle w:val="19"/>
          <w:rFonts w:hint="eastAsia" w:ascii="仿宋_GB2312" w:hAnsi="仿宋" w:eastAsia="仿宋_GB2312"/>
          <w:b w:val="0"/>
          <w:bCs/>
          <w:color w:val="000000"/>
          <w:sz w:val="32"/>
          <w:szCs w:val="32"/>
          <w:highlight w:val="none"/>
        </w:rPr>
        <w:t>预算数</w:t>
      </w:r>
      <w:r>
        <w:rPr>
          <w:rStyle w:val="19"/>
          <w:rFonts w:hint="eastAsia" w:ascii="仿宋_GB2312" w:hAnsi="仿宋" w:eastAsia="仿宋_GB2312"/>
          <w:b w:val="0"/>
          <w:bCs/>
          <w:color w:val="000000"/>
          <w:sz w:val="32"/>
          <w:szCs w:val="32"/>
          <w:highlight w:val="none"/>
          <w:lang w:eastAsia="zh-CN"/>
        </w:rPr>
        <w:t>，</w:t>
      </w:r>
      <w:r>
        <w:rPr>
          <w:rStyle w:val="19"/>
          <w:rFonts w:hint="eastAsia" w:ascii="仿宋_GB2312" w:hAnsi="仿宋" w:eastAsia="仿宋_GB2312"/>
          <w:b w:val="0"/>
          <w:bCs/>
          <w:color w:val="000000"/>
          <w:sz w:val="32"/>
          <w:szCs w:val="32"/>
          <w:highlight w:val="none"/>
        </w:rPr>
        <w:t>主要原因</w:t>
      </w:r>
      <w:r>
        <w:rPr>
          <w:rStyle w:val="19"/>
          <w:rFonts w:hint="eastAsia" w:ascii="仿宋_GB2312" w:hAnsi="仿宋" w:eastAsia="仿宋_GB2312"/>
          <w:b w:val="0"/>
          <w:bCs/>
          <w:color w:val="000000"/>
          <w:sz w:val="32"/>
          <w:szCs w:val="32"/>
          <w:highlight w:val="none"/>
          <w:lang w:val="en-US" w:eastAsia="zh-CN"/>
        </w:rPr>
        <w:t>2020</w:t>
      </w:r>
      <w:r>
        <w:rPr>
          <w:rFonts w:hint="eastAsia" w:ascii="仿宋" w:hAnsi="仿宋" w:eastAsia="仿宋"/>
          <w:color w:val="000000" w:themeColor="text1"/>
          <w:sz w:val="32"/>
          <w:szCs w:val="32"/>
          <w:highlight w:val="none"/>
          <w:lang w:val="en-US" w:eastAsia="zh-CN"/>
          <w14:textFill>
            <w14:solidFill>
              <w14:schemeClr w14:val="tx1"/>
            </w14:solidFill>
          </w14:textFill>
        </w:rPr>
        <w:t>年我单位正在实施2019年续建项目</w:t>
      </w:r>
      <w:r>
        <w:rPr>
          <w:rStyle w:val="19"/>
          <w:rFonts w:hint="eastAsia" w:ascii="仿宋_GB2312" w:hAnsi="仿宋" w:eastAsia="仿宋_GB2312"/>
          <w:b w:val="0"/>
          <w:bCs/>
          <w:color w:val="000000"/>
          <w:sz w:val="32"/>
          <w:szCs w:val="32"/>
          <w:highlight w:val="none"/>
        </w:rPr>
        <w:t>。</w:t>
      </w:r>
      <w:r>
        <w:rPr>
          <w:rStyle w:val="19"/>
          <w:rFonts w:hint="eastAsia" w:ascii="仿宋_GB2312" w:hAnsi="仿宋" w:eastAsia="仿宋_GB2312"/>
          <w:bCs/>
          <w:color w:val="000000"/>
          <w:sz w:val="32"/>
          <w:szCs w:val="32"/>
        </w:rPr>
        <w:t>文化旅游体育与传媒支出（207）其他文化旅游体育与传媒支出（20799） 文化产业发展专项支出（2079903）:</w:t>
      </w:r>
      <w:r>
        <w:rPr>
          <w:rStyle w:val="19"/>
          <w:rFonts w:hint="eastAsia" w:ascii="仿宋_GB2312" w:hAnsi="仿宋" w:eastAsia="仿宋_GB2312"/>
          <w:b w:val="0"/>
          <w:bCs/>
          <w:color w:val="000000"/>
          <w:sz w:val="32"/>
          <w:szCs w:val="32"/>
        </w:rPr>
        <w:t>支出决算为</w:t>
      </w:r>
      <w:r>
        <w:rPr>
          <w:rStyle w:val="19"/>
          <w:rFonts w:hint="eastAsia" w:ascii="仿宋_GB2312" w:hAnsi="仿宋" w:eastAsia="仿宋_GB2312"/>
          <w:b w:val="0"/>
          <w:bCs/>
          <w:color w:val="000000"/>
          <w:sz w:val="32"/>
          <w:szCs w:val="32"/>
          <w:lang w:val="en-US" w:eastAsia="zh-CN"/>
        </w:rPr>
        <w:t>350.00</w:t>
      </w:r>
      <w:r>
        <w:rPr>
          <w:rStyle w:val="19"/>
          <w:rFonts w:hint="eastAsia" w:ascii="仿宋_GB2312" w:hAnsi="仿宋" w:eastAsia="仿宋_GB2312"/>
          <w:b w:val="0"/>
          <w:bCs/>
          <w:color w:val="000000"/>
          <w:sz w:val="32"/>
          <w:szCs w:val="32"/>
        </w:rPr>
        <w:t>万元，完成预算</w:t>
      </w:r>
      <w:r>
        <w:rPr>
          <w:rStyle w:val="19"/>
          <w:rFonts w:hint="eastAsia" w:ascii="仿宋_GB2312" w:hAnsi="仿宋" w:eastAsia="仿宋_GB2312"/>
          <w:b w:val="0"/>
          <w:bCs/>
          <w:color w:val="000000"/>
          <w:sz w:val="32"/>
          <w:szCs w:val="32"/>
          <w:lang w:val="en-US" w:eastAsia="zh-CN"/>
        </w:rPr>
        <w:t>100</w:t>
      </w:r>
      <w:r>
        <w:rPr>
          <w:rStyle w:val="19"/>
          <w:rFonts w:hint="eastAsia" w:ascii="仿宋_GB2312" w:hAnsi="仿宋" w:eastAsia="仿宋_GB2312"/>
          <w:b w:val="0"/>
          <w:bCs/>
          <w:color w:val="000000"/>
          <w:sz w:val="32"/>
          <w:szCs w:val="32"/>
        </w:rPr>
        <w:t>%，决算数等于预算数</w:t>
      </w:r>
      <w:r>
        <w:rPr>
          <w:rStyle w:val="19"/>
          <w:rFonts w:hint="eastAsia" w:ascii="仿宋_GB2312" w:hAnsi="仿宋" w:eastAsia="仿宋_GB2312"/>
          <w:b w:val="0"/>
          <w:bCs/>
          <w:color w:val="000000"/>
          <w:sz w:val="32"/>
          <w:szCs w:val="32"/>
          <w:lang w:eastAsia="zh-CN"/>
        </w:rPr>
        <w:t>，</w:t>
      </w:r>
      <w:r>
        <w:rPr>
          <w:rStyle w:val="19"/>
          <w:rFonts w:hint="eastAsia" w:ascii="仿宋_GB2312" w:hAnsi="仿宋" w:eastAsia="仿宋_GB2312"/>
          <w:b w:val="0"/>
          <w:bCs/>
          <w:color w:val="000000"/>
          <w:sz w:val="32"/>
          <w:szCs w:val="32"/>
        </w:rPr>
        <w:t>主要原因</w:t>
      </w:r>
      <w:r>
        <w:rPr>
          <w:rStyle w:val="19"/>
          <w:rFonts w:hint="eastAsia" w:ascii="仿宋_GB2312" w:hAnsi="仿宋" w:eastAsia="仿宋_GB2312"/>
          <w:b w:val="0"/>
          <w:bCs/>
          <w:color w:val="000000"/>
          <w:sz w:val="32"/>
          <w:szCs w:val="32"/>
          <w:lang w:eastAsia="zh-CN"/>
        </w:rPr>
        <w:t>：</w:t>
      </w:r>
      <w:r>
        <w:rPr>
          <w:rStyle w:val="19"/>
          <w:rFonts w:hint="eastAsia" w:ascii="仿宋_GB2312" w:hAnsi="仿宋" w:eastAsia="仿宋_GB2312"/>
          <w:b w:val="0"/>
          <w:bCs/>
          <w:color w:val="000000"/>
          <w:sz w:val="32"/>
          <w:szCs w:val="32"/>
          <w:highlight w:val="none"/>
          <w:lang w:eastAsia="zh-CN"/>
        </w:rPr>
        <w:t>按照预算执行</w:t>
      </w:r>
      <w:r>
        <w:rPr>
          <w:rStyle w:val="19"/>
          <w:rFonts w:hint="eastAsia" w:ascii="仿宋_GB2312" w:hAnsi="仿宋" w:eastAsia="仿宋_GB2312"/>
          <w:b w:val="0"/>
          <w:bCs/>
          <w:color w:val="000000"/>
          <w:sz w:val="32"/>
          <w:szCs w:val="32"/>
        </w:rPr>
        <w:t>。</w:t>
      </w:r>
    </w:p>
    <w:p>
      <w:pPr>
        <w:pStyle w:val="21"/>
        <w:ind w:left="0" w:leftChars="0" w:firstLine="0" w:firstLineChars="0"/>
      </w:pPr>
    </w:p>
    <w:p>
      <w:pPr>
        <w:numPr>
          <w:ilvl w:val="0"/>
          <w:numId w:val="2"/>
        </w:numPr>
        <w:spacing w:line="600" w:lineRule="exact"/>
        <w:ind w:left="0" w:leftChars="0" w:firstLine="643" w:firstLineChars="200"/>
        <w:rPr>
          <w:rFonts w:ascii="仿宋_GB2312" w:hAnsi="仿宋" w:eastAsia="仿宋_GB2312"/>
          <w:b/>
          <w:color w:val="000000"/>
          <w:sz w:val="32"/>
          <w:szCs w:val="32"/>
        </w:rPr>
      </w:pPr>
      <w:r>
        <w:rPr>
          <w:rStyle w:val="19"/>
          <w:rFonts w:hint="eastAsia" w:ascii="仿宋_GB2312" w:hAnsi="仿宋" w:eastAsia="仿宋_GB2312"/>
          <w:bCs/>
          <w:color w:val="000000"/>
          <w:sz w:val="32"/>
          <w:szCs w:val="32"/>
        </w:rPr>
        <w:t>社会保障和就业（208）行政事业单位养老支出（20805）机关事业单位基本养老保险缴费支出（2080505）:</w:t>
      </w:r>
      <w:r>
        <w:rPr>
          <w:rStyle w:val="19"/>
          <w:rFonts w:hint="eastAsia" w:ascii="仿宋_GB2312" w:hAnsi="仿宋" w:eastAsia="仿宋_GB2312"/>
          <w:b w:val="0"/>
          <w:bCs/>
          <w:color w:val="000000"/>
          <w:sz w:val="32"/>
          <w:szCs w:val="32"/>
        </w:rPr>
        <w:t>支出决算为</w:t>
      </w:r>
      <w:r>
        <w:rPr>
          <w:rStyle w:val="19"/>
          <w:rFonts w:hint="eastAsia" w:ascii="仿宋_GB2312" w:hAnsi="仿宋" w:eastAsia="仿宋_GB2312"/>
          <w:b w:val="0"/>
          <w:bCs/>
          <w:color w:val="000000"/>
          <w:sz w:val="32"/>
          <w:szCs w:val="32"/>
          <w:lang w:val="en-US" w:eastAsia="zh-CN"/>
        </w:rPr>
        <w:t>17.17</w:t>
      </w:r>
      <w:r>
        <w:rPr>
          <w:rStyle w:val="19"/>
          <w:rFonts w:hint="eastAsia" w:ascii="仿宋_GB2312" w:hAnsi="仿宋" w:eastAsia="仿宋_GB2312"/>
          <w:b w:val="0"/>
          <w:bCs/>
          <w:color w:val="000000"/>
          <w:sz w:val="32"/>
          <w:szCs w:val="32"/>
        </w:rPr>
        <w:t>万元，完成预算</w:t>
      </w:r>
      <w:r>
        <w:rPr>
          <w:rStyle w:val="19"/>
          <w:rFonts w:hint="eastAsia" w:ascii="仿宋_GB2312" w:hAnsi="仿宋" w:eastAsia="仿宋_GB2312"/>
          <w:b w:val="0"/>
          <w:bCs/>
          <w:color w:val="000000"/>
          <w:sz w:val="32"/>
          <w:szCs w:val="32"/>
          <w:lang w:val="en-US" w:eastAsia="zh-CN"/>
        </w:rPr>
        <w:t>100</w:t>
      </w:r>
      <w:r>
        <w:rPr>
          <w:rStyle w:val="19"/>
          <w:rFonts w:hint="eastAsia" w:ascii="仿宋_GB2312" w:hAnsi="仿宋" w:eastAsia="仿宋_GB2312"/>
          <w:b w:val="0"/>
          <w:bCs/>
          <w:color w:val="000000"/>
          <w:sz w:val="32"/>
          <w:szCs w:val="32"/>
        </w:rPr>
        <w:t>%，决算数等于预算数</w:t>
      </w:r>
      <w:r>
        <w:rPr>
          <w:rStyle w:val="19"/>
          <w:rFonts w:hint="eastAsia" w:ascii="仿宋_GB2312" w:hAnsi="仿宋" w:eastAsia="仿宋_GB2312"/>
          <w:b w:val="0"/>
          <w:bCs/>
          <w:color w:val="000000"/>
          <w:sz w:val="32"/>
          <w:szCs w:val="32"/>
          <w:lang w:eastAsia="zh-CN"/>
        </w:rPr>
        <w:t>，</w:t>
      </w:r>
      <w:r>
        <w:rPr>
          <w:rStyle w:val="19"/>
          <w:rFonts w:hint="eastAsia" w:ascii="仿宋_GB2312" w:hAnsi="仿宋" w:eastAsia="仿宋_GB2312"/>
          <w:b w:val="0"/>
          <w:bCs/>
          <w:color w:val="000000"/>
          <w:sz w:val="32"/>
          <w:szCs w:val="32"/>
        </w:rPr>
        <w:t>主要原因</w:t>
      </w:r>
      <w:r>
        <w:rPr>
          <w:rStyle w:val="19"/>
          <w:rFonts w:hint="eastAsia" w:ascii="仿宋_GB2312" w:hAnsi="仿宋" w:eastAsia="仿宋_GB2312"/>
          <w:b w:val="0"/>
          <w:bCs/>
          <w:color w:val="000000"/>
          <w:sz w:val="32"/>
          <w:szCs w:val="32"/>
          <w:lang w:eastAsia="zh-CN"/>
        </w:rPr>
        <w:t>：</w:t>
      </w:r>
      <w:r>
        <w:rPr>
          <w:rStyle w:val="19"/>
          <w:rFonts w:hint="eastAsia" w:ascii="仿宋_GB2312" w:hAnsi="仿宋" w:eastAsia="仿宋_GB2312"/>
          <w:b w:val="0"/>
          <w:bCs/>
          <w:color w:val="000000"/>
          <w:sz w:val="32"/>
          <w:szCs w:val="32"/>
          <w:highlight w:val="none"/>
          <w:lang w:eastAsia="zh-CN"/>
        </w:rPr>
        <w:t>按照预算执行</w:t>
      </w:r>
      <w:r>
        <w:rPr>
          <w:rStyle w:val="19"/>
          <w:rFonts w:hint="eastAsia" w:ascii="仿宋_GB2312" w:hAnsi="仿宋" w:eastAsia="仿宋_GB2312"/>
          <w:b w:val="0"/>
          <w:bCs/>
          <w:color w:val="000000"/>
          <w:sz w:val="32"/>
          <w:szCs w:val="32"/>
        </w:rPr>
        <w:t>。</w:t>
      </w:r>
      <w:r>
        <w:rPr>
          <w:rStyle w:val="19"/>
          <w:rFonts w:hint="eastAsia" w:ascii="仿宋_GB2312" w:hAnsi="仿宋" w:eastAsia="仿宋_GB2312"/>
          <w:bCs/>
          <w:color w:val="000000"/>
          <w:sz w:val="32"/>
          <w:szCs w:val="32"/>
        </w:rPr>
        <w:t>机关事业单位职业年金缴费支出（2080506）:</w:t>
      </w:r>
      <w:r>
        <w:rPr>
          <w:rStyle w:val="19"/>
          <w:rFonts w:hint="eastAsia" w:ascii="仿宋_GB2312" w:hAnsi="仿宋" w:eastAsia="仿宋_GB2312"/>
          <w:b w:val="0"/>
          <w:bCs/>
          <w:color w:val="000000"/>
          <w:sz w:val="32"/>
          <w:szCs w:val="32"/>
        </w:rPr>
        <w:t>支出决算为</w:t>
      </w:r>
      <w:r>
        <w:rPr>
          <w:rStyle w:val="19"/>
          <w:rFonts w:hint="eastAsia" w:ascii="仿宋_GB2312" w:hAnsi="仿宋" w:eastAsia="仿宋_GB2312"/>
          <w:b w:val="0"/>
          <w:bCs/>
          <w:color w:val="000000"/>
          <w:sz w:val="32"/>
          <w:szCs w:val="32"/>
          <w:lang w:val="en-US" w:eastAsia="zh-CN"/>
        </w:rPr>
        <w:t>8.59</w:t>
      </w:r>
      <w:r>
        <w:rPr>
          <w:rStyle w:val="19"/>
          <w:rFonts w:hint="eastAsia" w:ascii="仿宋_GB2312" w:hAnsi="仿宋" w:eastAsia="仿宋_GB2312"/>
          <w:b w:val="0"/>
          <w:bCs/>
          <w:color w:val="000000"/>
          <w:sz w:val="32"/>
          <w:szCs w:val="32"/>
        </w:rPr>
        <w:t>万元，完成预算</w:t>
      </w:r>
      <w:r>
        <w:rPr>
          <w:rStyle w:val="19"/>
          <w:rFonts w:hint="eastAsia" w:ascii="仿宋_GB2312" w:hAnsi="仿宋" w:eastAsia="仿宋_GB2312"/>
          <w:b w:val="0"/>
          <w:bCs/>
          <w:color w:val="000000"/>
          <w:sz w:val="32"/>
          <w:szCs w:val="32"/>
          <w:lang w:val="en-US" w:eastAsia="zh-CN"/>
        </w:rPr>
        <w:t>100</w:t>
      </w:r>
      <w:r>
        <w:rPr>
          <w:rStyle w:val="19"/>
          <w:rFonts w:hint="eastAsia" w:ascii="仿宋_GB2312" w:hAnsi="仿宋" w:eastAsia="仿宋_GB2312"/>
          <w:b w:val="0"/>
          <w:bCs/>
          <w:color w:val="000000"/>
          <w:sz w:val="32"/>
          <w:szCs w:val="32"/>
        </w:rPr>
        <w:t>%，决算数等于预算数</w:t>
      </w:r>
      <w:r>
        <w:rPr>
          <w:rStyle w:val="19"/>
          <w:rFonts w:hint="eastAsia" w:ascii="仿宋_GB2312" w:hAnsi="仿宋" w:eastAsia="仿宋_GB2312"/>
          <w:b w:val="0"/>
          <w:bCs/>
          <w:color w:val="000000"/>
          <w:sz w:val="32"/>
          <w:szCs w:val="32"/>
          <w:lang w:eastAsia="zh-CN"/>
        </w:rPr>
        <w:t>，</w:t>
      </w:r>
      <w:r>
        <w:rPr>
          <w:rStyle w:val="19"/>
          <w:rFonts w:hint="eastAsia" w:ascii="仿宋_GB2312" w:hAnsi="仿宋" w:eastAsia="仿宋_GB2312"/>
          <w:b w:val="0"/>
          <w:bCs/>
          <w:color w:val="000000"/>
          <w:sz w:val="32"/>
          <w:szCs w:val="32"/>
        </w:rPr>
        <w:t>主要原因</w:t>
      </w:r>
      <w:r>
        <w:rPr>
          <w:rStyle w:val="19"/>
          <w:rFonts w:hint="eastAsia" w:ascii="仿宋_GB2312" w:hAnsi="仿宋" w:eastAsia="仿宋_GB2312"/>
          <w:b w:val="0"/>
          <w:bCs/>
          <w:color w:val="000000"/>
          <w:sz w:val="32"/>
          <w:szCs w:val="32"/>
          <w:lang w:eastAsia="zh-CN"/>
        </w:rPr>
        <w:t>：</w:t>
      </w:r>
      <w:r>
        <w:rPr>
          <w:rStyle w:val="19"/>
          <w:rFonts w:hint="eastAsia" w:ascii="仿宋_GB2312" w:hAnsi="仿宋" w:eastAsia="仿宋_GB2312"/>
          <w:b w:val="0"/>
          <w:bCs/>
          <w:color w:val="000000"/>
          <w:sz w:val="32"/>
          <w:szCs w:val="32"/>
          <w:highlight w:val="none"/>
          <w:lang w:eastAsia="zh-CN"/>
        </w:rPr>
        <w:t>按照预算执行</w:t>
      </w:r>
      <w:r>
        <w:rPr>
          <w:rStyle w:val="19"/>
          <w:rFonts w:hint="eastAsia" w:ascii="仿宋_GB2312" w:hAnsi="仿宋" w:eastAsia="仿宋_GB2312"/>
          <w:b w:val="0"/>
          <w:bCs/>
          <w:color w:val="000000"/>
          <w:sz w:val="32"/>
          <w:szCs w:val="32"/>
        </w:rPr>
        <w:t>。</w:t>
      </w:r>
    </w:p>
    <w:p>
      <w:pPr>
        <w:numPr>
          <w:ilvl w:val="0"/>
          <w:numId w:val="2"/>
        </w:numPr>
        <w:spacing w:line="600" w:lineRule="exact"/>
        <w:ind w:left="0" w:leftChars="0" w:firstLine="643" w:firstLineChars="200"/>
        <w:rPr>
          <w:rFonts w:ascii="仿宋_GB2312" w:hAnsi="仿宋" w:eastAsia="仿宋_GB2312"/>
          <w:b/>
          <w:color w:val="000000"/>
          <w:sz w:val="32"/>
          <w:szCs w:val="32"/>
        </w:rPr>
      </w:pPr>
      <w:r>
        <w:rPr>
          <w:rStyle w:val="19"/>
          <w:rFonts w:hint="eastAsia" w:ascii="仿宋_GB2312" w:hAnsi="仿宋" w:eastAsia="仿宋_GB2312" w:cs="Times New Roman"/>
          <w:bCs/>
          <w:color w:val="000000"/>
          <w:sz w:val="32"/>
          <w:szCs w:val="32"/>
          <w:lang w:val="en-US" w:eastAsia="zh-CN"/>
        </w:rPr>
        <w:t>住房保障支出（221）住房改革支出（22102）住房公积金（2210201）</w:t>
      </w:r>
      <w:r>
        <w:rPr>
          <w:rStyle w:val="19"/>
          <w:rFonts w:hint="eastAsia" w:hAnsi="仿宋"/>
          <w:bCs/>
          <w:color w:val="auto"/>
          <w:sz w:val="32"/>
          <w:szCs w:val="32"/>
          <w:lang w:val="en-US" w:eastAsia="zh-CN"/>
        </w:rPr>
        <w:t>:</w:t>
      </w:r>
      <w:r>
        <w:rPr>
          <w:rStyle w:val="19"/>
          <w:rFonts w:hint="eastAsia" w:ascii="仿宋_GB2312" w:hAnsi="仿宋" w:eastAsia="仿宋_GB2312" w:cs="Times New Roman"/>
          <w:b w:val="0"/>
          <w:bCs/>
          <w:color w:val="000000"/>
          <w:sz w:val="32"/>
          <w:szCs w:val="32"/>
          <w:lang w:val="en-US" w:eastAsia="zh-CN"/>
        </w:rPr>
        <w:t>支出决算为19.11万元,完成预算100%，决算数等于预算数，主要原因：</w:t>
      </w:r>
      <w:r>
        <w:rPr>
          <w:rStyle w:val="19"/>
          <w:rFonts w:hint="eastAsia" w:ascii="仿宋_GB2312" w:hAnsi="仿宋" w:eastAsia="仿宋_GB2312"/>
          <w:b w:val="0"/>
          <w:bCs/>
          <w:color w:val="000000"/>
          <w:sz w:val="32"/>
          <w:szCs w:val="32"/>
          <w:highlight w:val="none"/>
          <w:lang w:eastAsia="zh-CN"/>
        </w:rPr>
        <w:t>按照预算执行</w:t>
      </w:r>
      <w:r>
        <w:rPr>
          <w:rStyle w:val="19"/>
          <w:rFonts w:hint="eastAsia" w:ascii="仿宋_GB2312" w:hAnsi="仿宋" w:eastAsia="仿宋_GB2312"/>
          <w:b w:val="0"/>
          <w:bCs/>
          <w:color w:val="000000"/>
          <w:sz w:val="32"/>
          <w:szCs w:val="32"/>
        </w:rPr>
        <w:t>。</w:t>
      </w:r>
    </w:p>
    <w:p>
      <w:pPr>
        <w:numPr>
          <w:ilvl w:val="0"/>
          <w:numId w:val="2"/>
        </w:numPr>
        <w:spacing w:line="600" w:lineRule="exact"/>
        <w:ind w:left="0" w:leftChars="0" w:firstLine="643" w:firstLineChars="200"/>
        <w:rPr>
          <w:rStyle w:val="19"/>
          <w:rFonts w:hint="eastAsia" w:ascii="仿宋_GB2312" w:hAnsi="仿宋" w:eastAsia="仿宋_GB2312"/>
          <w:b w:val="0"/>
          <w:bCs/>
          <w:color w:val="000000"/>
          <w:sz w:val="32"/>
          <w:szCs w:val="32"/>
        </w:rPr>
      </w:pPr>
      <w:r>
        <w:rPr>
          <w:rStyle w:val="19"/>
          <w:rFonts w:hint="eastAsia" w:ascii="仿宋_GB2312" w:hAnsi="仿宋" w:eastAsia="仿宋_GB2312"/>
          <w:bCs/>
          <w:color w:val="000000"/>
          <w:sz w:val="32"/>
          <w:szCs w:val="32"/>
        </w:rPr>
        <w:t>卫生健康支出（210）行政事业单位医疗（21011）</w:t>
      </w:r>
      <w:r>
        <w:rPr>
          <w:rStyle w:val="19"/>
          <w:rFonts w:hint="eastAsia" w:ascii="仿宋_GB2312" w:hAnsi="仿宋" w:eastAsia="仿宋_GB2312"/>
          <w:bCs/>
          <w:color w:val="000000"/>
          <w:sz w:val="32"/>
          <w:szCs w:val="32"/>
          <w:lang w:eastAsia="zh-CN"/>
        </w:rPr>
        <w:t>事业</w:t>
      </w:r>
      <w:r>
        <w:rPr>
          <w:rStyle w:val="19"/>
          <w:rFonts w:hint="eastAsia" w:ascii="仿宋_GB2312" w:hAnsi="仿宋" w:eastAsia="仿宋_GB2312"/>
          <w:bCs/>
          <w:color w:val="000000"/>
          <w:sz w:val="32"/>
          <w:szCs w:val="32"/>
        </w:rPr>
        <w:t>单位医疗（2101102）:</w:t>
      </w:r>
      <w:r>
        <w:rPr>
          <w:rStyle w:val="19"/>
          <w:rFonts w:hint="eastAsia" w:ascii="仿宋_GB2312" w:hAnsi="仿宋" w:eastAsia="仿宋_GB2312"/>
          <w:b w:val="0"/>
          <w:bCs/>
          <w:color w:val="000000"/>
          <w:sz w:val="32"/>
          <w:szCs w:val="32"/>
        </w:rPr>
        <w:t>支出决算为</w:t>
      </w:r>
      <w:r>
        <w:rPr>
          <w:rStyle w:val="19"/>
          <w:rFonts w:hint="eastAsia" w:ascii="仿宋_GB2312" w:hAnsi="仿宋" w:eastAsia="仿宋_GB2312"/>
          <w:b w:val="0"/>
          <w:bCs/>
          <w:color w:val="000000"/>
          <w:sz w:val="32"/>
          <w:szCs w:val="32"/>
          <w:lang w:val="en-US" w:eastAsia="zh-CN"/>
        </w:rPr>
        <w:t>9.87</w:t>
      </w:r>
      <w:r>
        <w:rPr>
          <w:rStyle w:val="19"/>
          <w:rFonts w:hint="eastAsia" w:ascii="仿宋_GB2312" w:hAnsi="仿宋" w:eastAsia="仿宋_GB2312"/>
          <w:b w:val="0"/>
          <w:bCs/>
          <w:color w:val="000000"/>
          <w:sz w:val="32"/>
          <w:szCs w:val="32"/>
        </w:rPr>
        <w:t>万元，完成预算100%，决算数等于预算数，主要原因：</w:t>
      </w:r>
      <w:r>
        <w:rPr>
          <w:rStyle w:val="19"/>
          <w:rFonts w:hint="eastAsia" w:ascii="仿宋_GB2312" w:hAnsi="仿宋" w:eastAsia="仿宋_GB2312"/>
          <w:b w:val="0"/>
          <w:bCs/>
          <w:color w:val="000000"/>
          <w:sz w:val="32"/>
          <w:szCs w:val="32"/>
          <w:highlight w:val="none"/>
          <w:lang w:eastAsia="zh-CN"/>
        </w:rPr>
        <w:t>按照预算执行</w:t>
      </w:r>
      <w:r>
        <w:rPr>
          <w:rStyle w:val="19"/>
          <w:rFonts w:hint="eastAsia" w:ascii="仿宋_GB2312" w:hAnsi="仿宋" w:eastAsia="仿宋_GB2312"/>
          <w:b w:val="0"/>
          <w:bCs/>
          <w:color w:val="000000"/>
          <w:sz w:val="32"/>
          <w:szCs w:val="32"/>
        </w:rPr>
        <w:t>。</w:t>
      </w:r>
    </w:p>
    <w:p>
      <w:pPr>
        <w:pStyle w:val="21"/>
        <w:ind w:left="0" w:leftChars="0" w:firstLine="0" w:firstLineChars="0"/>
        <w:rPr>
          <w:rStyle w:val="19"/>
          <w:rFonts w:hint="eastAsia" w:ascii="仿宋_GB2312" w:hAnsi="仿宋" w:eastAsia="仿宋_GB2312"/>
          <w:b w:val="0"/>
          <w:bCs/>
          <w:color w:val="000000"/>
          <w:sz w:val="32"/>
          <w:szCs w:val="32"/>
          <w:highlight w:val="none"/>
          <w:lang w:eastAsia="zh-CN"/>
        </w:rPr>
      </w:pPr>
      <w:r>
        <w:rPr>
          <w:rStyle w:val="19"/>
          <w:rFonts w:hint="eastAsia" w:ascii="仿宋_GB2312" w:hAnsi="仿宋" w:eastAsia="仿宋_GB2312"/>
          <w:b w:val="0"/>
          <w:bCs/>
          <w:color w:val="000000"/>
          <w:sz w:val="32"/>
          <w:szCs w:val="32"/>
          <w:lang w:val="en-US" w:eastAsia="zh-CN"/>
        </w:rPr>
        <w:t>6.</w:t>
      </w:r>
      <w:r>
        <w:rPr>
          <w:rStyle w:val="19"/>
          <w:rFonts w:hint="eastAsia" w:ascii="仿宋_GB2312" w:hAnsi="仿宋" w:eastAsia="仿宋_GB2312"/>
          <w:bCs/>
          <w:color w:val="000000"/>
          <w:sz w:val="32"/>
          <w:szCs w:val="32"/>
        </w:rPr>
        <w:t>农林水支出</w:t>
      </w:r>
      <w:r>
        <w:rPr>
          <w:rStyle w:val="19"/>
          <w:rFonts w:hint="eastAsia" w:ascii="仿宋_GB2312" w:hAnsi="仿宋" w:eastAsia="仿宋_GB2312"/>
          <w:bCs/>
          <w:color w:val="000000"/>
          <w:sz w:val="32"/>
          <w:szCs w:val="32"/>
          <w:lang w:val="en-US" w:eastAsia="zh-CN"/>
        </w:rPr>
        <w:tab/>
      </w:r>
      <w:r>
        <w:rPr>
          <w:rStyle w:val="19"/>
          <w:rFonts w:hint="eastAsia" w:ascii="仿宋_GB2312" w:hAnsi="仿宋" w:eastAsia="仿宋_GB2312"/>
          <w:bCs/>
          <w:color w:val="000000"/>
          <w:sz w:val="32"/>
          <w:szCs w:val="32"/>
        </w:rPr>
        <w:t>（213）扶贫（21305）农村基础设施建设（2130504）:</w:t>
      </w:r>
      <w:r>
        <w:rPr>
          <w:rStyle w:val="19"/>
          <w:rFonts w:hint="eastAsia" w:ascii="仿宋_GB2312" w:hAnsi="仿宋" w:eastAsia="仿宋_GB2312"/>
          <w:b w:val="0"/>
          <w:bCs/>
          <w:color w:val="000000"/>
          <w:sz w:val="32"/>
          <w:szCs w:val="32"/>
        </w:rPr>
        <w:t>支出决算为</w:t>
      </w:r>
      <w:r>
        <w:rPr>
          <w:rStyle w:val="19"/>
          <w:rFonts w:hint="eastAsia" w:ascii="仿宋_GB2312" w:hAnsi="仿宋" w:eastAsia="仿宋_GB2312"/>
          <w:b w:val="0"/>
          <w:bCs/>
          <w:color w:val="000000"/>
          <w:sz w:val="32"/>
          <w:szCs w:val="32"/>
          <w:lang w:val="en-US" w:eastAsia="zh-CN"/>
        </w:rPr>
        <w:t>66.40</w:t>
      </w:r>
      <w:r>
        <w:rPr>
          <w:rStyle w:val="19"/>
          <w:rFonts w:hint="eastAsia" w:ascii="仿宋_GB2312" w:hAnsi="仿宋" w:eastAsia="仿宋_GB2312"/>
          <w:b w:val="0"/>
          <w:bCs/>
          <w:color w:val="000000"/>
          <w:sz w:val="32"/>
          <w:szCs w:val="32"/>
        </w:rPr>
        <w:t>万元，完成预算</w:t>
      </w:r>
      <w:r>
        <w:rPr>
          <w:rStyle w:val="19"/>
          <w:rFonts w:hint="eastAsia" w:ascii="仿宋_GB2312" w:hAnsi="仿宋" w:eastAsia="仿宋_GB2312"/>
          <w:b w:val="0"/>
          <w:bCs/>
          <w:color w:val="000000"/>
          <w:sz w:val="32"/>
          <w:szCs w:val="32"/>
          <w:lang w:val="en-US" w:eastAsia="zh-CN"/>
        </w:rPr>
        <w:t>100</w:t>
      </w:r>
      <w:r>
        <w:rPr>
          <w:rStyle w:val="19"/>
          <w:rFonts w:hint="eastAsia" w:ascii="仿宋_GB2312" w:hAnsi="仿宋" w:eastAsia="仿宋_GB2312"/>
          <w:b w:val="0"/>
          <w:bCs/>
          <w:color w:val="000000"/>
          <w:sz w:val="32"/>
          <w:szCs w:val="32"/>
        </w:rPr>
        <w:t>%，决算数等于预算数</w:t>
      </w:r>
      <w:r>
        <w:rPr>
          <w:rStyle w:val="19"/>
          <w:rFonts w:hint="eastAsia" w:ascii="仿宋_GB2312" w:hAnsi="仿宋" w:eastAsia="仿宋_GB2312"/>
          <w:b w:val="0"/>
          <w:bCs/>
          <w:color w:val="000000"/>
          <w:sz w:val="32"/>
          <w:szCs w:val="32"/>
          <w:lang w:eastAsia="zh-CN"/>
        </w:rPr>
        <w:t>，</w:t>
      </w:r>
      <w:r>
        <w:rPr>
          <w:rStyle w:val="19"/>
          <w:rFonts w:hint="eastAsia" w:ascii="仿宋_GB2312" w:hAnsi="仿宋" w:eastAsia="仿宋_GB2312"/>
          <w:b w:val="0"/>
          <w:bCs/>
          <w:color w:val="000000"/>
          <w:sz w:val="32"/>
          <w:szCs w:val="32"/>
        </w:rPr>
        <w:t>主要原因</w:t>
      </w:r>
      <w:r>
        <w:rPr>
          <w:rStyle w:val="19"/>
          <w:rFonts w:hint="eastAsia" w:ascii="仿宋_GB2312" w:hAnsi="仿宋" w:eastAsia="仿宋_GB2312"/>
          <w:b w:val="0"/>
          <w:bCs/>
          <w:color w:val="000000"/>
          <w:sz w:val="32"/>
          <w:szCs w:val="32"/>
          <w:lang w:eastAsia="zh-CN"/>
        </w:rPr>
        <w:t>：</w:t>
      </w:r>
      <w:r>
        <w:rPr>
          <w:rStyle w:val="19"/>
          <w:rFonts w:hint="eastAsia" w:ascii="仿宋_GB2312" w:hAnsi="仿宋" w:eastAsia="仿宋_GB2312"/>
          <w:b w:val="0"/>
          <w:bCs/>
          <w:color w:val="000000"/>
          <w:sz w:val="32"/>
          <w:szCs w:val="32"/>
          <w:highlight w:val="none"/>
          <w:lang w:eastAsia="zh-CN"/>
        </w:rPr>
        <w:t>按照预算执行</w:t>
      </w:r>
      <w:r>
        <w:rPr>
          <w:rStyle w:val="19"/>
          <w:rFonts w:hint="eastAsia" w:ascii="仿宋_GB2312" w:hAnsi="仿宋" w:eastAsia="仿宋_GB2312"/>
          <w:b w:val="0"/>
          <w:bCs/>
          <w:color w:val="000000"/>
          <w:sz w:val="32"/>
          <w:szCs w:val="32"/>
        </w:rPr>
        <w:t>。</w:t>
      </w:r>
      <w:r>
        <w:rPr>
          <w:rStyle w:val="19"/>
          <w:rFonts w:hint="eastAsia" w:ascii="仿宋_GB2312" w:hAnsi="仿宋" w:eastAsia="仿宋_GB2312"/>
          <w:bCs/>
          <w:color w:val="000000"/>
          <w:sz w:val="32"/>
          <w:szCs w:val="32"/>
        </w:rPr>
        <w:t>社会发展（2130506）:</w:t>
      </w:r>
      <w:r>
        <w:rPr>
          <w:rStyle w:val="19"/>
          <w:rFonts w:hint="eastAsia" w:ascii="仿宋_GB2312" w:hAnsi="仿宋" w:eastAsia="仿宋_GB2312"/>
          <w:b w:val="0"/>
          <w:bCs/>
          <w:color w:val="000000"/>
          <w:sz w:val="32"/>
          <w:szCs w:val="32"/>
        </w:rPr>
        <w:t>支出决算为</w:t>
      </w:r>
      <w:r>
        <w:rPr>
          <w:rStyle w:val="19"/>
          <w:rFonts w:hint="eastAsia" w:ascii="仿宋_GB2312" w:hAnsi="仿宋" w:eastAsia="仿宋_GB2312"/>
          <w:b w:val="0"/>
          <w:bCs/>
          <w:color w:val="000000"/>
          <w:sz w:val="32"/>
          <w:szCs w:val="32"/>
          <w:lang w:val="en-US" w:eastAsia="zh-CN"/>
        </w:rPr>
        <w:t>162.52</w:t>
      </w:r>
      <w:r>
        <w:rPr>
          <w:rStyle w:val="19"/>
          <w:rFonts w:hint="eastAsia" w:ascii="仿宋_GB2312" w:hAnsi="仿宋" w:eastAsia="仿宋_GB2312"/>
          <w:b w:val="0"/>
          <w:bCs/>
          <w:color w:val="000000"/>
          <w:sz w:val="32"/>
          <w:szCs w:val="32"/>
        </w:rPr>
        <w:t>万元，完成预算</w:t>
      </w:r>
      <w:r>
        <w:rPr>
          <w:rStyle w:val="19"/>
          <w:rFonts w:hint="eastAsia" w:ascii="仿宋_GB2312" w:hAnsi="仿宋" w:eastAsia="仿宋_GB2312"/>
          <w:b w:val="0"/>
          <w:bCs/>
          <w:color w:val="000000"/>
          <w:sz w:val="32"/>
          <w:szCs w:val="32"/>
          <w:lang w:val="en-US" w:eastAsia="zh-CN"/>
        </w:rPr>
        <w:t>100</w:t>
      </w:r>
      <w:r>
        <w:rPr>
          <w:rStyle w:val="19"/>
          <w:rFonts w:hint="eastAsia" w:ascii="仿宋_GB2312" w:hAnsi="仿宋" w:eastAsia="仿宋_GB2312"/>
          <w:b w:val="0"/>
          <w:bCs/>
          <w:color w:val="000000"/>
          <w:sz w:val="32"/>
          <w:szCs w:val="32"/>
        </w:rPr>
        <w:t>%，决算数等于预算数</w:t>
      </w:r>
      <w:r>
        <w:rPr>
          <w:rStyle w:val="19"/>
          <w:rFonts w:hint="eastAsia" w:ascii="仿宋_GB2312" w:hAnsi="仿宋" w:eastAsia="仿宋_GB2312"/>
          <w:b w:val="0"/>
          <w:bCs/>
          <w:color w:val="000000"/>
          <w:sz w:val="32"/>
          <w:szCs w:val="32"/>
          <w:lang w:eastAsia="zh-CN"/>
        </w:rPr>
        <w:t>，</w:t>
      </w:r>
      <w:r>
        <w:rPr>
          <w:rStyle w:val="19"/>
          <w:rFonts w:hint="eastAsia" w:ascii="仿宋_GB2312" w:hAnsi="仿宋" w:eastAsia="仿宋_GB2312"/>
          <w:b w:val="0"/>
          <w:bCs/>
          <w:color w:val="000000"/>
          <w:sz w:val="32"/>
          <w:szCs w:val="32"/>
        </w:rPr>
        <w:t>主要原因</w:t>
      </w:r>
      <w:r>
        <w:rPr>
          <w:rStyle w:val="19"/>
          <w:rFonts w:hint="eastAsia" w:ascii="仿宋_GB2312" w:hAnsi="仿宋" w:eastAsia="仿宋_GB2312"/>
          <w:b w:val="0"/>
          <w:bCs/>
          <w:color w:val="000000"/>
          <w:sz w:val="32"/>
          <w:szCs w:val="32"/>
          <w:lang w:eastAsia="zh-CN"/>
        </w:rPr>
        <w:t>：</w:t>
      </w:r>
      <w:r>
        <w:rPr>
          <w:rStyle w:val="19"/>
          <w:rFonts w:hint="eastAsia" w:ascii="仿宋_GB2312" w:hAnsi="仿宋" w:eastAsia="仿宋_GB2312"/>
          <w:b w:val="0"/>
          <w:bCs/>
          <w:color w:val="000000"/>
          <w:sz w:val="32"/>
          <w:szCs w:val="32"/>
          <w:highlight w:val="none"/>
          <w:lang w:eastAsia="zh-CN"/>
        </w:rPr>
        <w:t>按照预算执行</w:t>
      </w:r>
      <w:r>
        <w:rPr>
          <w:rStyle w:val="19"/>
          <w:rFonts w:hint="eastAsia" w:ascii="仿宋_GB2312" w:hAnsi="仿宋" w:eastAsia="仿宋_GB2312"/>
          <w:b w:val="0"/>
          <w:bCs/>
          <w:color w:val="000000"/>
          <w:sz w:val="32"/>
          <w:szCs w:val="32"/>
        </w:rPr>
        <w:t>。</w:t>
      </w:r>
      <w:r>
        <w:rPr>
          <w:rStyle w:val="19"/>
          <w:rFonts w:hint="eastAsia" w:ascii="仿宋_GB2312" w:hAnsi="仿宋" w:eastAsia="仿宋_GB2312"/>
          <w:bCs/>
          <w:color w:val="000000"/>
          <w:sz w:val="32"/>
          <w:szCs w:val="32"/>
          <w:highlight w:val="none"/>
        </w:rPr>
        <w:t>其他扶贫支出（2130599）:</w:t>
      </w:r>
      <w:r>
        <w:rPr>
          <w:rStyle w:val="19"/>
          <w:rFonts w:hint="eastAsia" w:ascii="仿宋_GB2312" w:hAnsi="仿宋" w:eastAsia="仿宋_GB2312"/>
          <w:b w:val="0"/>
          <w:bCs/>
          <w:color w:val="000000"/>
          <w:sz w:val="32"/>
          <w:szCs w:val="32"/>
          <w:highlight w:val="none"/>
        </w:rPr>
        <w:t>支出决算为</w:t>
      </w:r>
      <w:r>
        <w:rPr>
          <w:rStyle w:val="19"/>
          <w:rFonts w:hint="eastAsia" w:ascii="仿宋_GB2312" w:hAnsi="仿宋" w:eastAsia="仿宋_GB2312"/>
          <w:b w:val="0"/>
          <w:bCs/>
          <w:color w:val="000000"/>
          <w:sz w:val="32"/>
          <w:szCs w:val="32"/>
          <w:highlight w:val="none"/>
          <w:lang w:val="en-US" w:eastAsia="zh-CN"/>
        </w:rPr>
        <w:t>1,038.21</w:t>
      </w:r>
      <w:r>
        <w:rPr>
          <w:rStyle w:val="19"/>
          <w:rFonts w:hint="eastAsia" w:ascii="仿宋_GB2312" w:hAnsi="仿宋" w:eastAsia="仿宋_GB2312"/>
          <w:b w:val="0"/>
          <w:bCs/>
          <w:color w:val="000000"/>
          <w:sz w:val="32"/>
          <w:szCs w:val="32"/>
          <w:highlight w:val="none"/>
        </w:rPr>
        <w:t>万元，完成预算</w:t>
      </w:r>
      <w:r>
        <w:rPr>
          <w:rStyle w:val="19"/>
          <w:rFonts w:hint="eastAsia" w:ascii="仿宋_GB2312" w:hAnsi="仿宋" w:eastAsia="仿宋_GB2312"/>
          <w:b w:val="0"/>
          <w:bCs/>
          <w:color w:val="000000"/>
          <w:sz w:val="32"/>
          <w:szCs w:val="32"/>
          <w:highlight w:val="none"/>
          <w:lang w:val="en-US" w:eastAsia="zh-CN"/>
        </w:rPr>
        <w:t>42.38</w:t>
      </w:r>
      <w:r>
        <w:rPr>
          <w:rStyle w:val="19"/>
          <w:rFonts w:hint="eastAsia" w:ascii="仿宋_GB2312" w:hAnsi="仿宋" w:eastAsia="仿宋_GB2312"/>
          <w:b w:val="0"/>
          <w:bCs/>
          <w:color w:val="000000"/>
          <w:sz w:val="32"/>
          <w:szCs w:val="32"/>
          <w:highlight w:val="none"/>
        </w:rPr>
        <w:t>%，决算数</w:t>
      </w:r>
      <w:r>
        <w:rPr>
          <w:rStyle w:val="19"/>
          <w:rFonts w:hint="eastAsia" w:ascii="仿宋_GB2312" w:hAnsi="仿宋" w:eastAsia="仿宋_GB2312"/>
          <w:b w:val="0"/>
          <w:bCs/>
          <w:color w:val="000000"/>
          <w:sz w:val="32"/>
          <w:szCs w:val="32"/>
          <w:highlight w:val="none"/>
          <w:lang w:eastAsia="zh-CN"/>
        </w:rPr>
        <w:t>小于</w:t>
      </w:r>
      <w:r>
        <w:rPr>
          <w:rStyle w:val="19"/>
          <w:rFonts w:hint="eastAsia" w:ascii="仿宋_GB2312" w:hAnsi="仿宋" w:eastAsia="仿宋_GB2312"/>
          <w:b w:val="0"/>
          <w:bCs/>
          <w:color w:val="000000"/>
          <w:sz w:val="32"/>
          <w:szCs w:val="32"/>
          <w:highlight w:val="none"/>
        </w:rPr>
        <w:t>预算数</w:t>
      </w:r>
      <w:r>
        <w:rPr>
          <w:rStyle w:val="19"/>
          <w:rFonts w:hint="eastAsia" w:ascii="仿宋_GB2312" w:hAnsi="仿宋" w:eastAsia="仿宋_GB2312"/>
          <w:b w:val="0"/>
          <w:bCs/>
          <w:color w:val="000000"/>
          <w:sz w:val="32"/>
          <w:szCs w:val="32"/>
          <w:highlight w:val="none"/>
          <w:lang w:eastAsia="zh-CN"/>
        </w:rPr>
        <w:t>，</w:t>
      </w:r>
      <w:r>
        <w:rPr>
          <w:rStyle w:val="19"/>
          <w:rFonts w:hint="eastAsia" w:ascii="仿宋_GB2312" w:hAnsi="仿宋" w:eastAsia="仿宋_GB2312"/>
          <w:b w:val="0"/>
          <w:bCs/>
          <w:color w:val="000000"/>
          <w:sz w:val="32"/>
          <w:szCs w:val="32"/>
          <w:highlight w:val="none"/>
        </w:rPr>
        <w:t>主要原因</w:t>
      </w:r>
      <w:bookmarkStart w:id="58" w:name="_Toc15396608"/>
      <w:bookmarkStart w:id="59" w:name="_Toc15377214"/>
      <w:r>
        <w:rPr>
          <w:rStyle w:val="19"/>
          <w:rFonts w:hint="eastAsia" w:ascii="仿宋_GB2312" w:hAnsi="仿宋" w:eastAsia="仿宋_GB2312"/>
          <w:b w:val="0"/>
          <w:bCs/>
          <w:color w:val="000000"/>
          <w:sz w:val="32"/>
          <w:szCs w:val="32"/>
          <w:highlight w:val="none"/>
          <w:lang w:eastAsia="zh-CN"/>
        </w:rPr>
        <w:t>为</w:t>
      </w:r>
      <w:r>
        <w:rPr>
          <w:rStyle w:val="19"/>
          <w:rFonts w:hint="eastAsia" w:ascii="仿宋_GB2312" w:hAnsi="仿宋" w:eastAsia="仿宋_GB2312"/>
          <w:b w:val="0"/>
          <w:bCs/>
          <w:color w:val="000000"/>
          <w:sz w:val="32"/>
          <w:szCs w:val="32"/>
          <w:highlight w:val="none"/>
          <w:lang w:val="en-US" w:eastAsia="zh-CN"/>
        </w:rPr>
        <w:t>2020年新建项目增加</w:t>
      </w:r>
      <w:r>
        <w:rPr>
          <w:rStyle w:val="19"/>
          <w:rFonts w:hint="eastAsia" w:ascii="仿宋_GB2312" w:hAnsi="仿宋" w:eastAsia="仿宋_GB2312"/>
          <w:b w:val="0"/>
          <w:bCs/>
          <w:color w:val="000000"/>
          <w:sz w:val="32"/>
          <w:szCs w:val="32"/>
          <w:highlight w:val="none"/>
          <w:lang w:eastAsia="zh-CN"/>
        </w:rPr>
        <w:t>。</w:t>
      </w:r>
    </w:p>
    <w:p>
      <w:pPr>
        <w:tabs>
          <w:tab w:val="right" w:pos="8306"/>
        </w:tabs>
        <w:spacing w:line="600" w:lineRule="exact"/>
        <w:ind w:firstLine="640"/>
        <w:outlineLvl w:val="1"/>
        <w:rPr>
          <w:rStyle w:val="31"/>
          <w:rFonts w:ascii="仿宋_GB2312" w:eastAsia="仿宋_GB2312"/>
          <w:b w:val="0"/>
          <w:bCs/>
        </w:rPr>
      </w:pPr>
      <w:bookmarkStart w:id="60" w:name="_Toc6473"/>
      <w:r>
        <w:rPr>
          <w:rFonts w:hint="eastAsia" w:ascii="黑体" w:hAnsi="Times New Roman" w:eastAsia="黑体" w:cs="Times New Roman"/>
          <w:b w:val="0"/>
          <w:bCs/>
          <w:color w:val="000000"/>
          <w:sz w:val="32"/>
          <w:szCs w:val="32"/>
        </w:rPr>
        <w:t>六、一般公共预算财政拨款基本支出决算情况说明</w:t>
      </w:r>
      <w:bookmarkEnd w:id="58"/>
      <w:bookmarkEnd w:id="59"/>
      <w:bookmarkEnd w:id="60"/>
      <w:r>
        <w:rPr>
          <w:rFonts w:hint="eastAsia" w:ascii="黑体" w:hAnsi="Times New Roman" w:eastAsia="黑体" w:cs="Times New Roman"/>
          <w:b w:val="0"/>
          <w:bCs/>
          <w:color w:val="000000"/>
          <w:sz w:val="32"/>
          <w:szCs w:val="32"/>
        </w:rPr>
        <w:tab/>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年一般公共预算财政拨款基本支出</w:t>
      </w:r>
      <w:r>
        <w:rPr>
          <w:rFonts w:hint="eastAsia" w:ascii="仿宋_GB2312" w:hAnsi="仿宋" w:eastAsia="仿宋_GB2312"/>
          <w:color w:val="000000"/>
          <w:sz w:val="32"/>
          <w:szCs w:val="32"/>
          <w:lang w:val="en-US" w:eastAsia="zh-CN"/>
        </w:rPr>
        <w:t>243.38</w:t>
      </w:r>
      <w:r>
        <w:rPr>
          <w:rFonts w:hint="eastAsia" w:ascii="仿宋_GB2312" w:hAnsi="仿宋" w:eastAsia="仿宋_GB2312"/>
          <w:color w:val="000000"/>
          <w:sz w:val="32"/>
          <w:szCs w:val="32"/>
        </w:rPr>
        <w:t>万元，其中：</w:t>
      </w:r>
    </w:p>
    <w:p>
      <w:pPr>
        <w:spacing w:line="600" w:lineRule="exact"/>
        <w:ind w:firstLine="645"/>
        <w:rPr>
          <w:rFonts w:hint="eastAsia" w:ascii="仿宋_GB2312" w:hAnsi="仿宋" w:eastAsia="仿宋_GB2312"/>
          <w:color w:val="000000"/>
          <w:sz w:val="32"/>
          <w:szCs w:val="32"/>
          <w:highlight w:val="none"/>
          <w:lang w:eastAsia="zh-CN"/>
        </w:rPr>
      </w:pPr>
      <w:r>
        <w:rPr>
          <w:rFonts w:hint="eastAsia" w:ascii="仿宋_GB2312" w:hAnsi="仿宋" w:eastAsia="仿宋_GB2312"/>
          <w:color w:val="000000"/>
          <w:sz w:val="32"/>
          <w:szCs w:val="32"/>
        </w:rPr>
        <w:t>人员经费</w:t>
      </w:r>
      <w:r>
        <w:rPr>
          <w:rFonts w:hint="eastAsia" w:ascii="仿宋_GB2312" w:hAnsi="仿宋" w:eastAsia="仿宋_GB2312"/>
          <w:color w:val="000000"/>
          <w:sz w:val="32"/>
          <w:szCs w:val="32"/>
          <w:lang w:val="en-US" w:eastAsia="zh-CN"/>
        </w:rPr>
        <w:t>221.23</w:t>
      </w:r>
      <w:r>
        <w:rPr>
          <w:rFonts w:hint="eastAsia" w:ascii="仿宋_GB2312" w:hAnsi="仿宋" w:eastAsia="仿宋_GB2312"/>
          <w:color w:val="000000"/>
          <w:sz w:val="32"/>
          <w:szCs w:val="32"/>
        </w:rPr>
        <w:t>万元，主要包括：</w:t>
      </w:r>
      <w:r>
        <w:rPr>
          <w:rFonts w:hint="eastAsia" w:ascii="仿宋_GB2312" w:hAnsi="仿宋" w:eastAsia="仿宋_GB2312"/>
          <w:color w:val="000000"/>
          <w:sz w:val="32"/>
          <w:szCs w:val="32"/>
          <w:highlight w:val="none"/>
        </w:rPr>
        <w:t>基本工资、津贴补贴</w:t>
      </w:r>
      <w:r>
        <w:rPr>
          <w:rFonts w:hint="eastAsia" w:ascii="仿宋_GB2312" w:hAnsi="仿宋" w:eastAsia="仿宋_GB2312"/>
          <w:color w:val="000000"/>
          <w:sz w:val="32"/>
          <w:szCs w:val="32"/>
          <w:highlight w:val="none"/>
          <w:lang w:eastAsia="zh-CN"/>
        </w:rPr>
        <w:t>、奖金、机关事业单位基本养老保险费、职业年金缴费、职工基本医疗保险缴费、其他社会保障缴费、住房公积金、医疗费补助</w:t>
      </w:r>
      <w:r>
        <w:rPr>
          <w:rFonts w:hint="eastAsia" w:ascii="仿宋_GB2312" w:hAnsi="仿宋" w:eastAsia="仿宋_GB2312"/>
          <w:color w:val="000000"/>
          <w:sz w:val="32"/>
          <w:szCs w:val="32"/>
          <w:highlight w:val="none"/>
        </w:rPr>
        <w:t>。</w:t>
      </w:r>
    </w:p>
    <w:p>
      <w:pPr>
        <w:spacing w:line="600" w:lineRule="exact"/>
        <w:ind w:firstLine="645"/>
        <w:rPr>
          <w:rFonts w:ascii="仿宋_GB2312" w:hAnsi="仿宋" w:eastAsia="仿宋_GB2312"/>
          <w:b/>
          <w:color w:val="FF0000"/>
          <w:sz w:val="32"/>
          <w:szCs w:val="32"/>
        </w:rPr>
      </w:pPr>
      <w:r>
        <w:rPr>
          <w:rFonts w:hint="eastAsia" w:ascii="仿宋_GB2312" w:hAnsi="仿宋" w:eastAsia="仿宋_GB2312"/>
          <w:color w:val="000000"/>
          <w:sz w:val="32"/>
          <w:szCs w:val="32"/>
        </w:rPr>
        <w:t>　　公用经费</w:t>
      </w:r>
      <w:r>
        <w:rPr>
          <w:rFonts w:hint="eastAsia" w:ascii="仿宋_GB2312" w:hAnsi="仿宋" w:eastAsia="仿宋_GB2312"/>
          <w:color w:val="000000"/>
          <w:sz w:val="32"/>
          <w:szCs w:val="32"/>
          <w:lang w:val="en-US" w:eastAsia="zh-CN"/>
        </w:rPr>
        <w:t>22.15</w:t>
      </w:r>
      <w:r>
        <w:rPr>
          <w:rFonts w:hint="eastAsia" w:ascii="仿宋_GB2312" w:hAnsi="仿宋" w:eastAsia="仿宋_GB2312"/>
          <w:color w:val="000000"/>
          <w:sz w:val="32"/>
          <w:szCs w:val="32"/>
        </w:rPr>
        <w:t>万元，主要包</w:t>
      </w:r>
      <w:r>
        <w:rPr>
          <w:rFonts w:hint="eastAsia" w:ascii="仿宋_GB2312" w:hAnsi="仿宋" w:eastAsia="仿宋_GB2312" w:cs="Times New Roman"/>
          <w:color w:val="000000"/>
          <w:sz w:val="32"/>
          <w:szCs w:val="32"/>
          <w:highlight w:val="none"/>
        </w:rPr>
        <w:t>括：办公费、</w:t>
      </w:r>
      <w:r>
        <w:rPr>
          <w:rFonts w:hint="eastAsia" w:ascii="仿宋_GB2312" w:hAnsi="仿宋" w:eastAsia="仿宋_GB2312" w:cs="Times New Roman"/>
          <w:color w:val="000000"/>
          <w:sz w:val="32"/>
          <w:szCs w:val="32"/>
          <w:highlight w:val="none"/>
          <w:lang w:eastAsia="zh-CN"/>
        </w:rPr>
        <w:t>印刷</w:t>
      </w:r>
      <w:r>
        <w:rPr>
          <w:rFonts w:hint="eastAsia" w:ascii="仿宋_GB2312" w:hAnsi="仿宋" w:eastAsia="仿宋_GB2312" w:cs="Times New Roman"/>
          <w:color w:val="000000"/>
          <w:sz w:val="32"/>
          <w:szCs w:val="32"/>
          <w:highlight w:val="none"/>
        </w:rPr>
        <w:t>费</w:t>
      </w:r>
      <w:r>
        <w:rPr>
          <w:rFonts w:hint="eastAsia" w:ascii="仿宋_GB2312" w:hAnsi="仿宋" w:eastAsia="仿宋_GB2312" w:cs="Times New Roman"/>
          <w:color w:val="000000"/>
          <w:sz w:val="32"/>
          <w:szCs w:val="32"/>
          <w:highlight w:val="none"/>
          <w:lang w:eastAsia="zh-CN"/>
        </w:rPr>
        <w:t>手续</w:t>
      </w:r>
      <w:r>
        <w:rPr>
          <w:rFonts w:hint="eastAsia" w:ascii="仿宋_GB2312" w:hAnsi="仿宋" w:eastAsia="仿宋_GB2312" w:cs="Times New Roman"/>
          <w:color w:val="000000"/>
          <w:sz w:val="32"/>
          <w:szCs w:val="32"/>
          <w:highlight w:val="none"/>
        </w:rPr>
        <w:t>费、</w:t>
      </w:r>
      <w:r>
        <w:rPr>
          <w:rFonts w:hint="eastAsia" w:ascii="仿宋_GB2312" w:hAnsi="仿宋" w:eastAsia="仿宋_GB2312" w:cs="Times New Roman"/>
          <w:color w:val="000000"/>
          <w:sz w:val="32"/>
          <w:szCs w:val="32"/>
          <w:highlight w:val="none"/>
          <w:lang w:eastAsia="zh-CN"/>
        </w:rPr>
        <w:t>电费、差旅费、劳务费、其他交通费用</w:t>
      </w:r>
      <w:r>
        <w:rPr>
          <w:rFonts w:hint="eastAsia" w:ascii="仿宋_GB2312" w:hAnsi="仿宋" w:eastAsia="仿宋_GB2312" w:cs="Times New Roman"/>
          <w:color w:val="000000"/>
          <w:sz w:val="32"/>
          <w:szCs w:val="32"/>
          <w:highlight w:val="none"/>
        </w:rPr>
        <w:t>。</w:t>
      </w:r>
    </w:p>
    <w:p>
      <w:pPr>
        <w:spacing w:line="600" w:lineRule="exact"/>
        <w:ind w:firstLine="640"/>
        <w:outlineLvl w:val="1"/>
        <w:rPr>
          <w:rFonts w:hint="eastAsia" w:ascii="黑体" w:hAnsi="Times New Roman" w:eastAsia="黑体" w:cs="Times New Roman"/>
          <w:color w:val="000000"/>
          <w:sz w:val="32"/>
          <w:szCs w:val="32"/>
        </w:rPr>
      </w:pPr>
      <w:bookmarkStart w:id="61" w:name="_Toc29999"/>
      <w:bookmarkStart w:id="62" w:name="_Toc15396609"/>
      <w:bookmarkStart w:id="63" w:name="_Toc15377215"/>
      <w:r>
        <w:rPr>
          <w:rFonts w:hint="eastAsia" w:ascii="黑体" w:hAnsi="Times New Roman" w:eastAsia="黑体" w:cs="Times New Roman"/>
          <w:color w:val="000000"/>
          <w:sz w:val="32"/>
          <w:szCs w:val="32"/>
        </w:rPr>
        <w:t>七、“三公”经费财政拨款支出决算情况说明</w:t>
      </w:r>
      <w:bookmarkEnd w:id="61"/>
      <w:bookmarkEnd w:id="62"/>
      <w:bookmarkEnd w:id="63"/>
    </w:p>
    <w:p>
      <w:pPr>
        <w:spacing w:line="600" w:lineRule="exact"/>
        <w:ind w:firstLine="640"/>
        <w:outlineLvl w:val="2"/>
        <w:rPr>
          <w:rFonts w:ascii="仿宋_GB2312" w:hAnsi="仿宋" w:eastAsia="仿宋_GB2312"/>
          <w:b/>
          <w:color w:val="000000"/>
          <w:sz w:val="32"/>
          <w:szCs w:val="32"/>
        </w:rPr>
      </w:pPr>
      <w:bookmarkStart w:id="64" w:name="_Toc5869"/>
      <w:bookmarkStart w:id="65" w:name="_Toc15377216"/>
      <w:r>
        <w:rPr>
          <w:rFonts w:hint="eastAsia" w:ascii="仿宋_GB2312" w:hAnsi="仿宋" w:eastAsia="仿宋_GB2312"/>
          <w:b/>
          <w:color w:val="000000"/>
          <w:sz w:val="32"/>
          <w:szCs w:val="32"/>
        </w:rPr>
        <w:t>（一）“三公”经费财政拨款支出决算总体情况说明</w:t>
      </w:r>
      <w:bookmarkEnd w:id="64"/>
      <w:bookmarkEnd w:id="65"/>
    </w:p>
    <w:p>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年“三公”经费财政拨款支出决算为</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万元，完成预算</w:t>
      </w:r>
      <w:r>
        <w:rPr>
          <w:rFonts w:hint="eastAsia" w:ascii="仿宋_GB2312" w:hAnsi="仿宋" w:eastAsia="仿宋_GB2312"/>
          <w:color w:val="000000"/>
          <w:sz w:val="32"/>
          <w:szCs w:val="32"/>
          <w:lang w:val="en-US" w:eastAsia="zh-CN"/>
        </w:rPr>
        <w:t>100</w:t>
      </w:r>
      <w:r>
        <w:rPr>
          <w:rFonts w:hint="eastAsia" w:ascii="仿宋_GB2312" w:hAnsi="仿宋" w:eastAsia="仿宋_GB2312"/>
          <w:color w:val="000000"/>
          <w:sz w:val="32"/>
          <w:szCs w:val="32"/>
        </w:rPr>
        <w:t>%。</w:t>
      </w:r>
    </w:p>
    <w:p>
      <w:pPr>
        <w:spacing w:line="600" w:lineRule="exact"/>
        <w:ind w:firstLine="640"/>
        <w:rPr>
          <w:rFonts w:ascii="仿宋_GB2312" w:hAnsi="仿宋" w:eastAsia="仿宋_GB2312"/>
          <w:b w:val="0"/>
          <w:bCs/>
          <w:color w:val="000000" w:themeColor="text1"/>
          <w:sz w:val="32"/>
          <w:szCs w:val="32"/>
          <w14:textFill>
            <w14:solidFill>
              <w14:schemeClr w14:val="tx1"/>
            </w14:solidFill>
          </w14:textFill>
        </w:rPr>
      </w:pPr>
      <w:r>
        <w:rPr>
          <w:rFonts w:hint="eastAsia" w:ascii="仿宋_GB2312" w:hAnsi="仿宋" w:eastAsia="仿宋_GB2312"/>
          <w:b w:val="0"/>
          <w:bCs/>
          <w:color w:val="000000"/>
          <w:sz w:val="32"/>
          <w:szCs w:val="32"/>
        </w:rPr>
        <w:t>（上述“预算”口径为调整预</w:t>
      </w:r>
      <w:r>
        <w:rPr>
          <w:rFonts w:hint="eastAsia" w:ascii="仿宋_GB2312" w:hAnsi="仿宋" w:eastAsia="仿宋_GB2312"/>
          <w:b w:val="0"/>
          <w:bCs/>
          <w:color w:val="000000" w:themeColor="text1"/>
          <w:sz w:val="32"/>
          <w:szCs w:val="32"/>
          <w14:textFill>
            <w14:solidFill>
              <w14:schemeClr w14:val="tx1"/>
            </w14:solidFill>
          </w14:textFill>
        </w:rPr>
        <w:t>算数，包括政府性基金支出决算情况</w:t>
      </w:r>
      <w:r>
        <w:rPr>
          <w:rFonts w:hint="eastAsia" w:ascii="仿宋_GB2312" w:hAnsi="仿宋" w:eastAsia="仿宋_GB2312"/>
          <w:b w:val="0"/>
          <w:bCs/>
          <w:color w:val="000000" w:themeColor="text1"/>
          <w:sz w:val="32"/>
          <w:szCs w:val="32"/>
          <w:lang w:eastAsia="zh-CN"/>
          <w14:textFill>
            <w14:solidFill>
              <w14:schemeClr w14:val="tx1"/>
            </w14:solidFill>
          </w14:textFill>
        </w:rPr>
        <w:t>。</w:t>
      </w:r>
      <w:r>
        <w:rPr>
          <w:rFonts w:hint="eastAsia" w:ascii="仿宋_GB2312" w:hAnsi="仿宋" w:eastAsia="仿宋_GB2312"/>
          <w:b w:val="0"/>
          <w:bCs/>
          <w:color w:val="000000" w:themeColor="text1"/>
          <w:sz w:val="32"/>
          <w:szCs w:val="32"/>
          <w14:textFill>
            <w14:solidFill>
              <w14:schemeClr w14:val="tx1"/>
            </w14:solidFill>
          </w14:textFill>
        </w:rPr>
        <w:t>）</w:t>
      </w:r>
    </w:p>
    <w:p>
      <w:pPr>
        <w:spacing w:line="600" w:lineRule="exact"/>
        <w:ind w:firstLine="640"/>
        <w:outlineLvl w:val="2"/>
        <w:rPr>
          <w:rFonts w:ascii="仿宋_GB2312" w:hAnsi="仿宋" w:eastAsia="仿宋_GB2312"/>
          <w:b/>
          <w:color w:val="000000"/>
          <w:sz w:val="32"/>
          <w:szCs w:val="32"/>
        </w:rPr>
      </w:pPr>
      <w:bookmarkStart w:id="66" w:name="_Toc15377217"/>
      <w:bookmarkStart w:id="67" w:name="_Toc20821"/>
      <w:r>
        <w:rPr>
          <w:rFonts w:hint="eastAsia" w:ascii="仿宋_GB2312" w:hAnsi="仿宋" w:eastAsia="仿宋_GB2312"/>
          <w:b/>
          <w:color w:val="000000"/>
          <w:sz w:val="32"/>
          <w:szCs w:val="32"/>
        </w:rPr>
        <w:t>（二）“三公”经费财政拨款支出决算具体情况说明</w:t>
      </w:r>
      <w:bookmarkEnd w:id="66"/>
      <w:bookmarkEnd w:id="67"/>
    </w:p>
    <w:p>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年“三公”经费财政拨款支出决算中，因公出国（境）费支出决算</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万元；公务用车购置及运行维护费支出决算</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万元；公务接待费支出决算</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w:t>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9"/>
          <w:rFonts w:hint="eastAsia" w:ascii="仿宋_GB2312" w:hAnsi="仿宋" w:eastAsia="仿宋_GB2312"/>
          <w:b w:val="0"/>
          <w:bCs/>
          <w:color w:val="000000"/>
          <w:sz w:val="32"/>
          <w:szCs w:val="32"/>
        </w:rPr>
        <w:t>完成预算</w:t>
      </w:r>
      <w:r>
        <w:rPr>
          <w:rStyle w:val="19"/>
          <w:rFonts w:hint="eastAsia" w:ascii="仿宋_GB2312" w:hAnsi="仿宋" w:eastAsia="仿宋_GB2312"/>
          <w:b w:val="0"/>
          <w:bCs/>
          <w:color w:val="000000"/>
          <w:sz w:val="32"/>
          <w:szCs w:val="32"/>
          <w:lang w:val="en-US" w:eastAsia="zh-CN"/>
        </w:rPr>
        <w:t>100</w:t>
      </w:r>
      <w:r>
        <w:rPr>
          <w:rStyle w:val="19"/>
          <w:rFonts w:hint="eastAsia" w:ascii="仿宋_GB2312" w:hAnsi="仿宋" w:eastAsia="仿宋_GB2312"/>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万元，增长/下降</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：无</w:t>
      </w:r>
      <w:r>
        <w:rPr>
          <w:rFonts w:hint="eastAsia" w:ascii="仿宋_GB2312" w:eastAsia="仿宋_GB2312"/>
          <w:color w:val="000000"/>
          <w:sz w:val="32"/>
          <w:szCs w:val="32"/>
        </w:rPr>
        <w:t>。</w:t>
      </w:r>
    </w:p>
    <w:p>
      <w:pPr>
        <w:spacing w:line="600" w:lineRule="exact"/>
        <w:ind w:firstLine="640"/>
        <w:rPr>
          <w:rFonts w:hint="eastAsia" w:ascii="仿宋_GB2312" w:eastAsia="仿宋_GB2312"/>
          <w:b/>
          <w:color w:val="000000"/>
          <w:sz w:val="32"/>
          <w:szCs w:val="32"/>
          <w:lang w:val="en-US" w:eastAsia="zh-CN"/>
        </w:rPr>
      </w:pPr>
      <w:r>
        <w:rPr>
          <w:rFonts w:hint="eastAsia" w:ascii="仿宋_GB2312" w:eastAsia="仿宋_GB2312"/>
          <w:b/>
          <w:color w:val="000000"/>
          <w:sz w:val="32"/>
          <w:szCs w:val="32"/>
        </w:rPr>
        <w:t>2.公务用车购置及运行维护费支出</w:t>
      </w:r>
      <w:r>
        <w:rPr>
          <w:rFonts w:hint="eastAsia" w:ascii="仿宋_GB2312" w:hAnsi="仿宋" w:eastAsia="仿宋_GB2312"/>
          <w:color w:val="000000"/>
          <w:sz w:val="32"/>
          <w:szCs w:val="32"/>
          <w:lang w:val="en-US" w:eastAsia="zh-CN"/>
        </w:rPr>
        <w:t>0</w:t>
      </w:r>
      <w:r>
        <w:rPr>
          <w:rFonts w:hint="eastAsia" w:ascii="仿宋_GB2312" w:eastAsia="仿宋_GB2312"/>
          <w:color w:val="000000"/>
          <w:sz w:val="32"/>
          <w:szCs w:val="32"/>
        </w:rPr>
        <w:t>万元,</w:t>
      </w:r>
      <w:r>
        <w:rPr>
          <w:rStyle w:val="19"/>
          <w:rFonts w:hint="eastAsia" w:ascii="仿宋_GB2312" w:hAnsi="仿宋" w:eastAsia="仿宋_GB2312"/>
          <w:b w:val="0"/>
          <w:bCs/>
          <w:color w:val="000000"/>
          <w:sz w:val="32"/>
          <w:szCs w:val="32"/>
        </w:rPr>
        <w:t>完成预算</w:t>
      </w:r>
      <w:r>
        <w:rPr>
          <w:rStyle w:val="19"/>
          <w:rFonts w:hint="eastAsia" w:ascii="仿宋_GB2312" w:hAnsi="仿宋" w:eastAsia="仿宋_GB2312"/>
          <w:b w:val="0"/>
          <w:bCs/>
          <w:color w:val="000000"/>
          <w:sz w:val="32"/>
          <w:szCs w:val="32"/>
          <w:lang w:val="en-US" w:eastAsia="zh-CN"/>
        </w:rPr>
        <w:t>100</w:t>
      </w:r>
      <w:r>
        <w:rPr>
          <w:rStyle w:val="19"/>
          <w:rFonts w:hint="eastAsia" w:ascii="仿宋_GB2312" w:hAnsi="仿宋" w:eastAsia="仿宋_GB2312"/>
          <w:b w:val="0"/>
          <w:bCs/>
          <w:color w:val="000000"/>
          <w:sz w:val="32"/>
          <w:szCs w:val="32"/>
        </w:rPr>
        <w:t>%。</w:t>
      </w:r>
      <w:r>
        <w:rPr>
          <w:rFonts w:hint="eastAsia" w:ascii="仿宋_GB2312" w:eastAsia="仿宋_GB2312"/>
          <w:color w:val="000000"/>
          <w:sz w:val="32"/>
          <w:szCs w:val="32"/>
        </w:rPr>
        <w:t>公务用车购置及运行维护费支出决算比201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万元，增长/下降</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highlight w:val="none"/>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highlight w:val="none"/>
        </w:rPr>
        <w:t>截至20</w:t>
      </w:r>
      <w:r>
        <w:rPr>
          <w:rFonts w:hint="eastAsia" w:ascii="仿宋_GB2312" w:eastAsia="仿宋_GB2312"/>
          <w:color w:val="000000"/>
          <w:sz w:val="32"/>
          <w:szCs w:val="32"/>
          <w:highlight w:val="none"/>
          <w:lang w:val="en-US" w:eastAsia="zh-CN"/>
        </w:rPr>
        <w:t>20</w:t>
      </w:r>
      <w:r>
        <w:rPr>
          <w:rFonts w:hint="eastAsia" w:ascii="仿宋_GB2312" w:eastAsia="仿宋_GB2312"/>
          <w:color w:val="000000"/>
          <w:sz w:val="32"/>
          <w:szCs w:val="32"/>
          <w:highlight w:val="none"/>
        </w:rPr>
        <w:t>年12月底，单位共有公务用车</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辆，其中：轿车</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辆、越野车</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辆、载客汽车</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辆。</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hAnsi="仿宋"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3.公务接待费支出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9"/>
          <w:rFonts w:hint="eastAsia" w:ascii="仿宋_GB2312" w:hAnsi="仿宋" w:eastAsia="仿宋_GB2312"/>
          <w:b w:val="0"/>
          <w:bCs/>
          <w:color w:val="000000"/>
          <w:sz w:val="32"/>
          <w:szCs w:val="32"/>
        </w:rPr>
        <w:t>完成预算</w:t>
      </w:r>
      <w:r>
        <w:rPr>
          <w:rStyle w:val="19"/>
          <w:rFonts w:hint="eastAsia" w:ascii="仿宋_GB2312" w:hAnsi="仿宋" w:eastAsia="仿宋_GB2312"/>
          <w:b w:val="0"/>
          <w:bCs/>
          <w:color w:val="000000"/>
          <w:sz w:val="32"/>
          <w:szCs w:val="32"/>
          <w:lang w:val="en-US" w:eastAsia="zh-CN"/>
        </w:rPr>
        <w:t>100</w:t>
      </w:r>
      <w:r>
        <w:rPr>
          <w:rStyle w:val="19"/>
          <w:rFonts w:hint="eastAsia" w:ascii="仿宋_GB2312" w:hAnsi="仿宋" w:eastAsia="仿宋_GB2312"/>
          <w:b w:val="0"/>
          <w:bCs/>
          <w:color w:val="000000"/>
          <w:sz w:val="32"/>
          <w:szCs w:val="32"/>
        </w:rPr>
        <w:t>%。</w:t>
      </w:r>
      <w:r>
        <w:rPr>
          <w:rFonts w:hint="eastAsia" w:ascii="仿宋_GB2312" w:eastAsia="仿宋_GB2312"/>
          <w:color w:val="000000"/>
          <w:sz w:val="32"/>
          <w:szCs w:val="32"/>
        </w:rPr>
        <w:t>公务接待费支出决算比201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万元，增长/下降</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：无</w:t>
      </w:r>
      <w:r>
        <w:rPr>
          <w:rFonts w:hint="eastAsia" w:ascii="仿宋_GB2312" w:eastAsia="仿宋_GB2312"/>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w:t>
      </w:r>
    </w:p>
    <w:p>
      <w:pPr>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_GB2312" w:hAnsi="仿宋" w:eastAsia="仿宋_GB2312"/>
          <w:b/>
          <w:color w:val="000000"/>
          <w:sz w:val="32"/>
          <w:szCs w:val="32"/>
        </w:rPr>
        <w:t>外事接待支出</w:t>
      </w:r>
      <w:r>
        <w:rPr>
          <w:rFonts w:hint="eastAsia" w:ascii="仿宋_GB2312" w:hAnsi="仿宋"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p>
    <w:p>
      <w:pPr>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_GB2312" w:hAnsi="仿宋" w:eastAsia="仿宋_GB2312"/>
          <w:b/>
          <w:color w:val="000000"/>
          <w:sz w:val="32"/>
          <w:szCs w:val="32"/>
        </w:rPr>
        <w:t>其他国内公务接待支出</w:t>
      </w:r>
      <w:r>
        <w:rPr>
          <w:rFonts w:hint="eastAsia" w:ascii="仿宋_GB2312" w:hAnsi="仿宋"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w:t>
      </w:r>
    </w:p>
    <w:p>
      <w:pPr>
        <w:bidi w:val="0"/>
      </w:pPr>
      <w:bookmarkStart w:id="68" w:name="_Toc15377218"/>
      <w:bookmarkStart w:id="69" w:name="_Toc15396610"/>
    </w:p>
    <w:p>
      <w:pPr>
        <w:spacing w:line="600" w:lineRule="exact"/>
        <w:ind w:firstLine="640"/>
        <w:outlineLvl w:val="1"/>
        <w:rPr>
          <w:rStyle w:val="31"/>
          <w:rFonts w:ascii="仿宋_GB2312" w:hAnsi="黑体" w:eastAsia="仿宋_GB2312"/>
          <w:b/>
          <w:bCs/>
        </w:rPr>
      </w:pPr>
      <w:bookmarkStart w:id="70" w:name="_Toc17254"/>
      <w:r>
        <w:rPr>
          <w:rFonts w:hint="eastAsia" w:ascii="仿宋_GB2312" w:eastAsia="仿宋_GB2312"/>
          <w:b/>
          <w:bCs/>
          <w:color w:val="000000"/>
          <w:sz w:val="32"/>
          <w:szCs w:val="32"/>
        </w:rPr>
        <w:t>八、</w:t>
      </w:r>
      <w:r>
        <w:rPr>
          <w:rStyle w:val="31"/>
          <w:rFonts w:hint="eastAsia" w:ascii="仿宋_GB2312" w:hAnsi="黑体" w:eastAsia="仿宋_GB2312"/>
          <w:b/>
          <w:bCs/>
        </w:rPr>
        <w:t>政府性基金预算支出决算情况说明</w:t>
      </w:r>
      <w:bookmarkEnd w:id="68"/>
      <w:bookmarkEnd w:id="69"/>
      <w:bookmarkEnd w:id="70"/>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31"/>
          <w:rFonts w:ascii="仿宋_GB2312" w:hAnsi="黑体" w:eastAsia="仿宋_GB2312"/>
          <w:b/>
          <w:bCs w:val="0"/>
        </w:rPr>
      </w:pPr>
      <w:bookmarkStart w:id="71" w:name="_Toc15377219"/>
      <w:bookmarkStart w:id="72" w:name="_Toc18632"/>
      <w:bookmarkStart w:id="73" w:name="_Toc15396611"/>
      <w:r>
        <w:rPr>
          <w:rStyle w:val="31"/>
          <w:rFonts w:hint="eastAsia" w:ascii="仿宋_GB2312" w:hAnsi="黑体" w:eastAsia="仿宋_GB2312"/>
          <w:b/>
          <w:bCs w:val="0"/>
        </w:rPr>
        <w:t>国有资本经营预算支出决算情况说明</w:t>
      </w:r>
      <w:bookmarkEnd w:id="71"/>
      <w:bookmarkEnd w:id="72"/>
      <w:bookmarkEnd w:id="73"/>
    </w:p>
    <w:p>
      <w:pPr>
        <w:spacing w:line="600" w:lineRule="exact"/>
        <w:ind w:firstLine="640"/>
        <w:rPr>
          <w:rFonts w:hint="eastAsia" w:ascii="黑体" w:hAnsi="黑体" w:eastAsia="黑体"/>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bookmarkStart w:id="74" w:name="_Toc79163624"/>
      <w:bookmarkStart w:id="75" w:name="_Toc79163874"/>
    </w:p>
    <w:p>
      <w:pPr>
        <w:spacing w:line="600" w:lineRule="exact"/>
        <w:ind w:firstLine="800" w:firstLineChars="250"/>
        <w:outlineLvl w:val="1"/>
        <w:rPr>
          <w:rStyle w:val="35"/>
          <w:rFonts w:ascii="黑体" w:hAnsi="黑体" w:eastAsia="黑体"/>
        </w:rPr>
      </w:pPr>
      <w:bookmarkStart w:id="76" w:name="_Toc10130"/>
      <w:r>
        <w:rPr>
          <w:rFonts w:hint="eastAsia" w:ascii="黑体" w:hAnsi="黑体" w:eastAsia="黑体"/>
          <w:color w:val="000000"/>
          <w:sz w:val="32"/>
          <w:szCs w:val="32"/>
        </w:rPr>
        <w:t>十</w:t>
      </w:r>
      <w:r>
        <w:rPr>
          <w:rStyle w:val="35"/>
          <w:rFonts w:hint="eastAsia" w:ascii="黑体" w:hAnsi="黑体" w:eastAsia="黑体"/>
        </w:rPr>
        <w:t>、</w:t>
      </w:r>
      <w:r>
        <w:rPr>
          <w:rStyle w:val="35"/>
          <w:rFonts w:hint="eastAsia" w:ascii="黑体" w:hAnsi="黑体" w:eastAsia="黑体"/>
          <w:b w:val="0"/>
        </w:rPr>
        <w:t>其他重要事项的情况说明</w:t>
      </w:r>
      <w:bookmarkEnd w:id="74"/>
      <w:bookmarkEnd w:id="75"/>
      <w:bookmarkEnd w:id="76"/>
    </w:p>
    <w:p>
      <w:pPr>
        <w:spacing w:line="600" w:lineRule="exact"/>
        <w:ind w:firstLine="643" w:firstLineChars="200"/>
        <w:outlineLvl w:val="2"/>
        <w:rPr>
          <w:rFonts w:ascii="仿宋" w:hAnsi="仿宋" w:eastAsia="仿宋"/>
          <w:color w:val="000000"/>
          <w:sz w:val="32"/>
          <w:szCs w:val="32"/>
        </w:rPr>
      </w:pPr>
      <w:bookmarkStart w:id="77" w:name="_Toc79163625"/>
      <w:bookmarkStart w:id="78" w:name="_Toc79163875"/>
      <w:bookmarkStart w:id="79" w:name="_Toc31055"/>
      <w:r>
        <w:rPr>
          <w:rFonts w:hint="eastAsia" w:ascii="仿宋" w:hAnsi="仿宋" w:eastAsia="仿宋"/>
          <w:b/>
          <w:color w:val="000000"/>
          <w:sz w:val="32"/>
          <w:szCs w:val="32"/>
        </w:rPr>
        <w:t>（一）机关运行经费支出情况</w:t>
      </w:r>
      <w:bookmarkEnd w:id="77"/>
      <w:bookmarkEnd w:id="78"/>
      <w:bookmarkEnd w:id="79"/>
    </w:p>
    <w:p>
      <w:pPr>
        <w:spacing w:line="6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bookmarkStart w:id="80" w:name="_Toc79163876"/>
      <w:bookmarkStart w:id="81" w:name="_Toc79163626"/>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壤塘县中壤塘文化旅游景区管理处</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8.19</w:t>
      </w:r>
      <w:r>
        <w:rPr>
          <w:rFonts w:hint="eastAsia" w:ascii="仿宋_GB2312" w:eastAsia="仿宋_GB2312"/>
          <w:color w:val="000000"/>
          <w:sz w:val="32"/>
          <w:szCs w:val="32"/>
        </w:rPr>
        <w:t>万元，比201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9.57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hint="eastAsia" w:ascii="仿宋_GB2312" w:eastAsia="仿宋_GB2312"/>
          <w:color w:val="000000"/>
          <w:sz w:val="32"/>
          <w:szCs w:val="32"/>
          <w:lang w:val="en-US" w:eastAsia="zh-CN"/>
        </w:rPr>
        <w:t>53.89</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w:t>
      </w:r>
      <w:r>
        <w:rPr>
          <w:rFonts w:hint="eastAsia" w:ascii="仿宋_GB2312" w:eastAsia="仿宋_GB2312"/>
          <w:color w:val="000000" w:themeColor="text1"/>
          <w:sz w:val="32"/>
          <w:szCs w:val="32"/>
          <w:lang w:val="en-US" w:eastAsia="zh-CN"/>
          <w14:textFill>
            <w14:solidFill>
              <w14:schemeClr w14:val="tx1"/>
            </w14:solidFill>
          </w14:textFill>
        </w:rPr>
        <w:t>:部分商品服务支出列入项目支出中，机关运行经费只算日常公用经费</w:t>
      </w:r>
      <w:r>
        <w:rPr>
          <w:rFonts w:hint="eastAsia" w:ascii="仿宋_GB2312" w:eastAsia="仿宋_GB2312"/>
          <w:color w:val="000000" w:themeColor="text1"/>
          <w:sz w:val="32"/>
          <w:szCs w:val="32"/>
          <w:lang w:eastAsia="zh-CN"/>
          <w14:textFill>
            <w14:solidFill>
              <w14:schemeClr w14:val="tx1"/>
            </w14:solidFill>
          </w14:textFill>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2" w:name="_Toc18683"/>
      <w:r>
        <w:rPr>
          <w:rFonts w:hint="eastAsia" w:ascii="仿宋" w:hAnsi="仿宋" w:eastAsia="仿宋"/>
          <w:b/>
          <w:color w:val="000000"/>
          <w:sz w:val="32"/>
          <w:szCs w:val="32"/>
        </w:rPr>
        <w:t>（二）政府采购支出情况</w:t>
      </w:r>
      <w:bookmarkEnd w:id="80"/>
      <w:bookmarkEnd w:id="81"/>
      <w:bookmarkEnd w:id="82"/>
    </w:p>
    <w:p>
      <w:pPr>
        <w:spacing w:line="600" w:lineRule="exact"/>
        <w:ind w:firstLine="640" w:firstLineChars="200"/>
        <w:rPr>
          <w:rFonts w:ascii="仿宋_GB2312" w:eastAsia="仿宋_GB2312"/>
          <w:color w:val="000000"/>
          <w:sz w:val="32"/>
          <w:szCs w:val="32"/>
        </w:rPr>
      </w:pPr>
      <w:bookmarkStart w:id="83" w:name="_Toc79163877"/>
      <w:bookmarkStart w:id="84" w:name="_Toc79163627"/>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壤塘县中壤塘文化旅游景区管理处</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5" w:name="_Toc7618"/>
      <w:r>
        <w:rPr>
          <w:rFonts w:hint="eastAsia" w:ascii="仿宋" w:hAnsi="仿宋" w:eastAsia="仿宋"/>
          <w:b/>
          <w:color w:val="000000"/>
          <w:sz w:val="32"/>
          <w:szCs w:val="32"/>
        </w:rPr>
        <w:t>（三）国有资产占有使用情况</w:t>
      </w:r>
      <w:bookmarkEnd w:id="83"/>
      <w:bookmarkEnd w:id="84"/>
      <w:bookmarkEnd w:id="85"/>
    </w:p>
    <w:p>
      <w:pPr>
        <w:autoSpaceDE w:val="0"/>
        <w:autoSpaceDN w:val="0"/>
        <w:adjustRightInd w:val="0"/>
        <w:spacing w:line="600" w:lineRule="exact"/>
        <w:ind w:firstLine="640" w:firstLineChars="200"/>
        <w:jc w:val="left"/>
        <w:rPr>
          <w:rFonts w:ascii="仿宋_GB2312" w:eastAsia="仿宋_GB2312"/>
          <w:color w:val="000000"/>
          <w:sz w:val="32"/>
          <w:szCs w:val="32"/>
        </w:rPr>
      </w:pPr>
      <w:bookmarkStart w:id="86" w:name="_Toc79163628"/>
      <w:bookmarkStart w:id="87" w:name="_Toc79163878"/>
      <w:r>
        <w:rPr>
          <w:rFonts w:hint="eastAsia" w:ascii="仿宋_GB2312" w:eastAsia="仿宋_GB2312"/>
          <w:color w:val="000000"/>
          <w:sz w:val="32"/>
          <w:szCs w:val="32"/>
        </w:rPr>
        <w:t>截至20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年12月31日，</w:t>
      </w:r>
      <w:r>
        <w:rPr>
          <w:rFonts w:hint="eastAsia" w:ascii="仿宋_GB2312" w:eastAsia="仿宋_GB2312"/>
          <w:color w:val="000000"/>
          <w:sz w:val="32"/>
          <w:szCs w:val="32"/>
          <w:lang w:eastAsia="zh-CN"/>
        </w:rPr>
        <w:t>壤塘县中壤塘文化旅游景区管理处</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辆，其中：部级领导干部用车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themeColor="text1"/>
          <w:sz w:val="32"/>
          <w:szCs w:val="32"/>
          <w14:textFill>
            <w14:solidFill>
              <w14:schemeClr w14:val="tx1"/>
            </w14:solidFill>
          </w14:textFill>
        </w:rPr>
        <w:t>单价50万元以上通用设备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8" w:name="_Toc23741"/>
      <w:r>
        <w:rPr>
          <w:rFonts w:hint="eastAsia" w:ascii="仿宋" w:hAnsi="仿宋" w:eastAsia="仿宋"/>
          <w:b/>
          <w:color w:val="000000"/>
          <w:sz w:val="32"/>
          <w:szCs w:val="32"/>
        </w:rPr>
        <w:t>（四）预算绩效管理情况。</w:t>
      </w:r>
      <w:bookmarkEnd w:id="86"/>
      <w:bookmarkEnd w:id="87"/>
      <w:bookmarkEnd w:id="88"/>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w:t>
      </w:r>
      <w:r>
        <w:rPr>
          <w:rFonts w:hint="eastAsia" w:ascii="仿宋_GB2312" w:hAnsi="仿宋_GB2312" w:eastAsia="仿宋_GB2312" w:cs="仿宋_GB2312"/>
          <w:sz w:val="32"/>
          <w:szCs w:val="32"/>
          <w:lang w:eastAsia="zh-CN"/>
        </w:rPr>
        <w:t>未</w:t>
      </w:r>
      <w:r>
        <w:rPr>
          <w:rFonts w:hint="eastAsia" w:ascii="仿宋_GB2312" w:hAnsi="仿宋_GB2312" w:eastAsia="仿宋_GB2312" w:cs="仿宋_GB2312"/>
          <w:sz w:val="32"/>
          <w:szCs w:val="32"/>
        </w:rPr>
        <w:t>开展预算事前绩效评估，对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年部门整体支出开展绩效自评，从评价情况来看我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年部门整体支出情况良好，从预算到执行和收入、支出管理均严格按照相关要求进行，全年收支平衡，有效保障了单位正常运转，圆满完成了单位目标任务。</w:t>
      </w:r>
    </w:p>
    <w:p>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本部门无专项预算项目，因此未组织开展项目支出绩效评价。</w:t>
      </w:r>
    </w:p>
    <w:p>
      <w:pPr>
        <w:pStyle w:val="21"/>
      </w:pPr>
    </w:p>
    <w:p>
      <w:pPr>
        <w:spacing w:line="580" w:lineRule="exact"/>
        <w:jc w:val="center"/>
        <w:rPr>
          <w:rFonts w:ascii="仿宋_GB2312" w:hAnsi="方正小标宋简体" w:eastAsia="仿宋_GB2312" w:cs="方正小标宋简体"/>
          <w:sz w:val="32"/>
          <w:szCs w:val="32"/>
        </w:rPr>
      </w:pPr>
    </w:p>
    <w:p>
      <w:pPr>
        <w:pStyle w:val="21"/>
        <w:rPr>
          <w:rFonts w:hint="eastAsia" w:ascii="仿宋_GB2312" w:eastAsia="仿宋_GB2312"/>
          <w:b/>
          <w:color w:val="000000"/>
          <w:sz w:val="32"/>
          <w:szCs w:val="32"/>
        </w:rPr>
      </w:pPr>
    </w:p>
    <w:p>
      <w:pPr>
        <w:pStyle w:val="21"/>
        <w:rPr>
          <w:rFonts w:hint="eastAsia" w:ascii="仿宋_GB2312" w:eastAsia="仿宋_GB2312"/>
          <w:b/>
          <w:color w:val="000000"/>
          <w:sz w:val="32"/>
          <w:szCs w:val="32"/>
        </w:rPr>
      </w:pPr>
    </w:p>
    <w:p>
      <w:pPr>
        <w:pStyle w:val="21"/>
        <w:rPr>
          <w:rFonts w:hint="eastAsia" w:ascii="仿宋_GB2312" w:eastAsia="仿宋_GB2312"/>
          <w:b/>
          <w:color w:val="000000"/>
          <w:sz w:val="32"/>
          <w:szCs w:val="32"/>
        </w:rPr>
      </w:pPr>
    </w:p>
    <w:p>
      <w:pPr>
        <w:pStyle w:val="21"/>
        <w:rPr>
          <w:rFonts w:hint="eastAsia" w:ascii="仿宋_GB2312" w:eastAsia="仿宋_GB2312"/>
          <w:b/>
          <w:color w:val="000000"/>
          <w:sz w:val="32"/>
          <w:szCs w:val="32"/>
        </w:rPr>
      </w:pPr>
    </w:p>
    <w:p>
      <w:pPr>
        <w:pStyle w:val="21"/>
        <w:rPr>
          <w:rFonts w:hint="eastAsia" w:ascii="仿宋_GB2312" w:eastAsia="仿宋_GB2312"/>
          <w:b/>
          <w:color w:val="000000"/>
          <w:sz w:val="32"/>
          <w:szCs w:val="32"/>
        </w:rPr>
      </w:pPr>
    </w:p>
    <w:p>
      <w:pPr>
        <w:pStyle w:val="21"/>
        <w:rPr>
          <w:rFonts w:hint="eastAsia" w:ascii="仿宋_GB2312" w:eastAsia="仿宋_GB2312"/>
          <w:b/>
          <w:color w:val="000000"/>
          <w:sz w:val="32"/>
          <w:szCs w:val="32"/>
        </w:rPr>
      </w:pPr>
    </w:p>
    <w:p>
      <w:pPr>
        <w:pStyle w:val="21"/>
        <w:rPr>
          <w:rFonts w:hint="eastAsia" w:ascii="仿宋_GB2312" w:eastAsia="仿宋_GB2312"/>
          <w:b/>
          <w:color w:val="000000"/>
          <w:sz w:val="32"/>
          <w:szCs w:val="32"/>
        </w:rPr>
      </w:pPr>
    </w:p>
    <w:p>
      <w:pPr>
        <w:pStyle w:val="21"/>
        <w:rPr>
          <w:rFonts w:hint="eastAsia" w:ascii="仿宋_GB2312" w:eastAsia="仿宋_GB2312"/>
          <w:b/>
          <w:color w:val="000000"/>
          <w:sz w:val="32"/>
          <w:szCs w:val="32"/>
        </w:rPr>
      </w:pPr>
    </w:p>
    <w:p>
      <w:pPr>
        <w:pStyle w:val="21"/>
        <w:rPr>
          <w:rFonts w:hint="eastAsia" w:ascii="仿宋_GB2312" w:eastAsia="仿宋_GB2312"/>
          <w:b/>
          <w:color w:val="000000"/>
          <w:sz w:val="32"/>
          <w:szCs w:val="32"/>
        </w:rPr>
      </w:pPr>
    </w:p>
    <w:p>
      <w:pPr>
        <w:widowControl/>
        <w:jc w:val="left"/>
        <w:rPr>
          <w:rFonts w:hint="eastAsia" w:ascii="仿宋_GB2312" w:eastAsia="仿宋_GB2312"/>
          <w:b/>
          <w:color w:val="000000"/>
          <w:sz w:val="32"/>
          <w:szCs w:val="32"/>
        </w:rPr>
      </w:pPr>
    </w:p>
    <w:p>
      <w:pPr>
        <w:numPr>
          <w:ilvl w:val="0"/>
          <w:numId w:val="4"/>
        </w:numPr>
        <w:spacing w:line="600" w:lineRule="exact"/>
        <w:ind w:firstLine="660" w:firstLineChars="150"/>
        <w:jc w:val="center"/>
        <w:outlineLvl w:val="0"/>
        <w:rPr>
          <w:rStyle w:val="37"/>
          <w:rFonts w:ascii="黑体" w:hAnsi="黑体" w:eastAsia="黑体"/>
          <w:b w:val="0"/>
        </w:rPr>
      </w:pPr>
      <w:bookmarkStart w:id="89" w:name="_Toc15396613"/>
      <w:bookmarkStart w:id="90" w:name="_Toc79163629"/>
      <w:bookmarkStart w:id="91" w:name="_Toc3530"/>
      <w:bookmarkStart w:id="92" w:name="_Toc15377225"/>
      <w:r>
        <w:rPr>
          <w:rFonts w:hint="eastAsia" w:ascii="黑体" w:hAnsi="黑体" w:eastAsia="黑体"/>
          <w:color w:val="000000"/>
          <w:sz w:val="44"/>
          <w:szCs w:val="44"/>
        </w:rPr>
        <w:t>名</w:t>
      </w:r>
      <w:r>
        <w:rPr>
          <w:rStyle w:val="37"/>
          <w:rFonts w:hint="eastAsia" w:ascii="黑体" w:hAnsi="黑体" w:eastAsia="黑体"/>
          <w:b w:val="0"/>
        </w:rPr>
        <w:t>词解释</w:t>
      </w:r>
      <w:bookmarkEnd w:id="89"/>
      <w:bookmarkEnd w:id="90"/>
      <w:bookmarkEnd w:id="91"/>
      <w:bookmarkEnd w:id="92"/>
    </w:p>
    <w:p>
      <w:pPr>
        <w:spacing w:line="600" w:lineRule="exact"/>
        <w:jc w:val="left"/>
        <w:rPr>
          <w:rFonts w:ascii="宋体"/>
          <w:b/>
          <w:color w:val="000000"/>
          <w:sz w:val="44"/>
          <w:szCs w:val="44"/>
        </w:rPr>
      </w:pPr>
    </w:p>
    <w:p>
      <w:pPr>
        <w:pStyle w:val="2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事业收入：指事业单位开展专业业务活动及辅助活动取得的收入。（二级预算单位事业收入情况）等。</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经营收入：指事业单位在专业业务活动及其辅助活动之外开展非独立核算经营活动取得的收入。（二级预算单位经营收入情况）等。</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28"/>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Style w:val="28"/>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9. 社会保障和就业（类）人力资源和社会保障管理事务（款）社会保险经办机构（项）：指社会保险经办机构开展业务工作的支出</w:t>
      </w:r>
      <w:r>
        <w:rPr>
          <w:rFonts w:hint="eastAsia" w:ascii="仿宋_GB2312" w:eastAsia="仿宋_GB2312"/>
          <w:sz w:val="32"/>
          <w:szCs w:val="32"/>
          <w:lang w:eastAsia="zh-CN"/>
        </w:rPr>
        <w:t>。</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10.社会保障和就业（类）行政事业单位离退休（款）机关事业单位基本养老保险缴费支出（项）：指机关事业单位实施养老保险制度由单位缴纳的基本养老保险费支出。</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11. 社会保障和就业（类）行政事业单位离退休（款）机关事业单位职业年金缴费支出（项）：指机关事业单位养老保险制度由单位缴纳的职业年金支出。</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12.医疗卫生与计划生育（类）行政事业单位医疗（款）事业单位医疗（项）：指财政部门集中安排的事业单位基本医疗保险缴费。</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13.住房保障（类）住房改革（款）住房公积金（项）：指行政事业单位按规定的标准和比例为职工缴纳的住房公积金。</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14.基本支出：指为保障机构正常运转、完成日常工作任务而发生的人员支出和公用支出。</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15.项目支出：指在基本支出之外为完成特定行政任务和事业发展目标所发生的支出。</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16.经营支出：指事业单位在专业业务活动及其辅助活动之外开展非独立核算经营活动发生的支出。</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37"/>
          <w:rFonts w:ascii="黑体" w:hAnsi="黑体" w:eastAsia="黑体"/>
          <w:b w:val="0"/>
        </w:rPr>
      </w:pPr>
      <w:bookmarkStart w:id="93" w:name="_Toc32473"/>
      <w:r>
        <w:rPr>
          <w:rFonts w:hint="eastAsia" w:ascii="黑体" w:hAnsi="黑体" w:eastAsia="黑体"/>
          <w:color w:val="000000"/>
          <w:sz w:val="44"/>
          <w:szCs w:val="44"/>
        </w:rPr>
        <w:t>第</w:t>
      </w:r>
      <w:r>
        <w:rPr>
          <w:rStyle w:val="37"/>
          <w:rFonts w:hint="eastAsia" w:ascii="黑体" w:hAnsi="黑体" w:eastAsia="黑体"/>
          <w:b w:val="0"/>
        </w:rPr>
        <w:t>四部分 附件</w:t>
      </w:r>
      <w:bookmarkEnd w:id="93"/>
    </w:p>
    <w:p>
      <w:pPr>
        <w:spacing w:line="600" w:lineRule="exact"/>
        <w:jc w:val="left"/>
        <w:outlineLvl w:val="0"/>
        <w:rPr>
          <w:rFonts w:ascii="方正小标宋简体" w:hAnsi="方正小标宋简体" w:eastAsia="方正小标宋简体" w:cs="方正小标宋简体"/>
          <w:sz w:val="32"/>
          <w:szCs w:val="32"/>
        </w:rPr>
      </w:pPr>
      <w:bookmarkStart w:id="94" w:name="_Toc29815"/>
      <w:r>
        <w:rPr>
          <w:rFonts w:hint="eastAsia" w:ascii="黑体" w:hAnsi="黑体" w:eastAsia="黑体" w:cs="黑体"/>
          <w:sz w:val="32"/>
          <w:szCs w:val="32"/>
        </w:rPr>
        <w:t>附件1</w:t>
      </w:r>
      <w:bookmarkEnd w:id="94"/>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eastAsia="zh-CN"/>
        </w:rPr>
        <w:t>壤塘县</w:t>
      </w:r>
      <w:r>
        <w:rPr>
          <w:rFonts w:hint="eastAsia" w:ascii="方正小标宋简体" w:hAnsi="宋体" w:eastAsia="方正小标宋简体" w:cs="Times New Roman"/>
          <w:color w:val="000000"/>
          <w:kern w:val="0"/>
          <w:sz w:val="40"/>
          <w:szCs w:val="44"/>
          <w:lang w:val="zh-CN" w:eastAsia="zh-CN"/>
        </w:rPr>
        <w:t>中壤塘</w:t>
      </w:r>
      <w:r>
        <w:rPr>
          <w:rFonts w:hint="eastAsia" w:ascii="方正小标宋简体" w:hAnsi="宋体" w:eastAsia="方正小标宋简体" w:cs="Times New Roman"/>
          <w:color w:val="000000"/>
          <w:kern w:val="0"/>
          <w:sz w:val="40"/>
          <w:szCs w:val="44"/>
          <w:lang w:val="en-US" w:eastAsia="zh-CN"/>
        </w:rPr>
        <w:t>文化旅游景区管理处</w:t>
      </w:r>
      <w:r>
        <w:rPr>
          <w:rFonts w:hint="eastAsia" w:ascii="方正小标宋简体" w:hAnsi="宋体" w:eastAsia="方正小标宋简体" w:cs="Times New Roman"/>
          <w:color w:val="000000"/>
          <w:kern w:val="0"/>
          <w:sz w:val="40"/>
          <w:szCs w:val="44"/>
          <w:lang w:val="zh-CN"/>
        </w:rPr>
        <w:t>2</w:t>
      </w:r>
      <w:r>
        <w:rPr>
          <w:rFonts w:ascii="方正小标宋简体" w:hAnsi="宋体" w:eastAsia="方正小标宋简体"/>
          <w:color w:val="000000"/>
          <w:kern w:val="0"/>
          <w:sz w:val="40"/>
          <w:szCs w:val="44"/>
        </w:rPr>
        <w:t>0</w:t>
      </w:r>
      <w:r>
        <w:rPr>
          <w:rFonts w:hint="eastAsia" w:ascii="方正小标宋简体" w:hAnsi="宋体" w:eastAsia="方正小标宋简体"/>
          <w:color w:val="000000"/>
          <w:kern w:val="0"/>
          <w:sz w:val="40"/>
          <w:szCs w:val="44"/>
          <w:lang w:val="en-US" w:eastAsia="zh-CN"/>
        </w:rPr>
        <w:t>20</w:t>
      </w:r>
      <w:r>
        <w:rPr>
          <w:rFonts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spacing w:line="360" w:lineRule="auto"/>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壤塘中壤塘</w:t>
      </w:r>
      <w:r>
        <w:rPr>
          <w:rFonts w:hint="eastAsia" w:ascii="仿宋_GB2312" w:hAnsi="仿宋_GB2312" w:eastAsia="仿宋_GB2312" w:cs="仿宋_GB2312"/>
          <w:sz w:val="32"/>
          <w:szCs w:val="32"/>
          <w:lang w:val="en-US" w:eastAsia="zh-CN"/>
        </w:rPr>
        <w:t>文化旅游景区管理处共</w:t>
      </w:r>
      <w:r>
        <w:rPr>
          <w:rFonts w:hint="eastAsia" w:ascii="仿宋_GB2312" w:hAnsi="仿宋_GB2312" w:eastAsia="仿宋_GB2312" w:cs="仿宋_GB2312"/>
          <w:sz w:val="32"/>
          <w:szCs w:val="32"/>
        </w:rPr>
        <w:t>有</w:t>
      </w:r>
      <w:r>
        <w:rPr>
          <w:rFonts w:hint="eastAsia" w:ascii="仿宋_GB2312" w:hAnsi="仿宋_GB2312" w:eastAsia="仿宋_GB2312" w:cs="仿宋_GB2312"/>
          <w:sz w:val="32"/>
          <w:szCs w:val="32"/>
          <w:lang w:val="en-US" w:eastAsia="zh-CN"/>
        </w:rPr>
        <w:t>4个股室，办公室、规划建设股、管理运营股、则曲河水利风景区管理股</w:t>
      </w:r>
      <w:r>
        <w:rPr>
          <w:rFonts w:hint="eastAsia" w:ascii="仿宋_GB2312" w:hAnsi="仿宋_GB2312" w:eastAsia="仿宋_GB2312" w:cs="仿宋_GB2312"/>
          <w:sz w:val="32"/>
          <w:szCs w:val="32"/>
        </w:rPr>
        <w:t>。</w:t>
      </w:r>
    </w:p>
    <w:p>
      <w:pPr>
        <w:numPr>
          <w:ilvl w:val="0"/>
          <w:numId w:val="5"/>
        </w:num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机构职能。</w:t>
      </w:r>
    </w:p>
    <w:p>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w w:val="100"/>
          <w:kern w:val="10"/>
          <w:sz w:val="32"/>
          <w:szCs w:val="32"/>
          <w:lang w:val="en-US" w:eastAsia="zh-CN" w:bidi="ar-SA"/>
        </w:rPr>
      </w:pPr>
      <w:r>
        <w:rPr>
          <w:rFonts w:hint="eastAsia" w:ascii="仿宋" w:hAnsi="仿宋" w:eastAsia="仿宋" w:cs="仿宋"/>
          <w:sz w:val="32"/>
          <w:szCs w:val="32"/>
        </w:rPr>
        <w:t xml:space="preserve"> </w:t>
      </w:r>
      <w:r>
        <w:rPr>
          <w:rFonts w:hint="eastAsia" w:ascii="仿宋_GB2312" w:hAnsi="仿宋_GB2312" w:eastAsia="仿宋_GB2312" w:cs="仿宋_GB2312"/>
          <w:w w:val="100"/>
          <w:kern w:val="10"/>
          <w:sz w:val="32"/>
          <w:szCs w:val="32"/>
          <w:lang w:val="en-US" w:eastAsia="zh-CN" w:bidi="ar-SA"/>
        </w:rPr>
        <w:t>1、办公室。贯彻执行景区各项工作制度，协助党支部、</w:t>
      </w:r>
    </w:p>
    <w:p>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w w:val="100"/>
          <w:kern w:val="10"/>
          <w:sz w:val="32"/>
          <w:szCs w:val="32"/>
          <w:lang w:val="en-US" w:eastAsia="zh-CN" w:bidi="ar-SA"/>
        </w:rPr>
      </w:pPr>
      <w:r>
        <w:rPr>
          <w:rFonts w:hint="eastAsia" w:ascii="仿宋_GB2312" w:hAnsi="仿宋_GB2312" w:eastAsia="仿宋_GB2312" w:cs="仿宋_GB2312"/>
          <w:w w:val="100"/>
          <w:kern w:val="10"/>
          <w:sz w:val="32"/>
          <w:szCs w:val="32"/>
          <w:lang w:val="en-US" w:eastAsia="zh-CN" w:bidi="ar-SA"/>
        </w:rPr>
        <w:t xml:space="preserve">管理处领导做好日常工作，抓好组织协调和对外联络接待工作；协助景区领导抓好干部职工的思想政治教育、精神文明建设、党风廉政建设、社会治安综合治理、普法、信访、统计、保密、计划生育及工、青、妇和老干部工作；抓好机关行政管理、作风建设工作，对工作作风、纪律进行督查；负责公文的写作和处理，及时做好来文的登记、请办、分送、 传阅、承办；发文的草拟、送审、打印、校对、印刷、缮印、装订、送发；文书档案的收集、整理、鉴别、保管、统计、 移交、利用、销毁、立卷、归档等工作；负责收发、印信、 考勤工作， 做好报刊、信函的订阅、分发和登记；印章的刻制、颁发、使用、缴销；介绍信（证明）的审批、填写、 保管；按照考勤制度组织考勤、保存考勤资料；负责会议的组织安排和综合性文稿的起草工作，搞好机关的宣传工作； 负责人事管理和年度考核等工作；负责景区公共财产管理，办公用品的购置，公设施的改造、维修、维护等工作；负责景区车辆的调度、维修保养及安全管理工作；负责景区重大接待、重大活动、重要工作、日常接待的安排及重要决议的督促、检查、督办；负责抓好督查工作的拟办、立项、交办、催办、办结、复函及立卷归档工作。贯彻落实景区有关财务工作的方针政策，制订具体实施意见和细则；搞好财务分析，为领导经营决策提供优质服务；协调好与计划、财政、税务、银行、统计等业务部门的关系；负责单位财务经费计划的报批工作，做好全年财务预、决算；做好各种财务票据的领购、管理及各种财务报表的编报分析工作；负责景区各项经营业务收入和税外规费的征收、管理、使用，接受财政、审计监督；对中壤塘景区管理处及下属单位实行会计监督，坚持依法办事，维护国家财经纪律；负责单位财务收支运行、记账工作，及时办理各项现金手续，建立健全会计账目，做到日清月结、账账相符、账实相符；负责中壤塘景区管理处资金的合理调度，积极组织投融资工作，并进行监督管理；协助搞好工程预结算和财务审计工作；定期、如实做好中壤塘景区管理处各项统计指标的统计、 制表；对其他统计单位报表汇总，如期上报统计报表；负责单位人事工资审核报批和国有资产产权登记管理工作；加强财务人员专业知识培训，组织会计人员培训、学习、考试和会计证年检；辅导和监督报销单位的会计工作；为相关企业办理营业执照、税务登记的申领、年审、变更、换证等提供协助服务。完成领导交办的其他工作。 </w:t>
      </w:r>
    </w:p>
    <w:p>
      <w:pPr>
        <w:pStyle w:val="15"/>
        <w:keepNext w:val="0"/>
        <w:keepLines w:val="0"/>
        <w:pageBreakBefore w:val="0"/>
        <w:widowControl/>
        <w:numPr>
          <w:ilvl w:val="0"/>
          <w:numId w:val="6"/>
        </w:numPr>
        <w:suppressLineNumbers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规划建设股。贯彻执行上级有关景区旅游事业的法律、法规和政策，拟定景区旅游业发展的规范性文件，并组织监督实施;负责申报中壤塘创建国家4A级旅游景区工作及景区建设工作;负责制定景区总体规划、土地利用总体规划和单体规划，搞好景区单体项目可研、环评、立项等报批工作，做好各项工程的勘察、设计、图纸会审等工作;负责景区的统一规划和开发建设，编制景区基础设施及配套工程的建设计划，并组织实施;负责编制景区的总体发展规划、建设性详细规划、中长期规划及年度计划，并组织实施，同时注重有效保护和科学开发利用资源;负责景区内的规划建设、生态环境保护等各项管理;按规定权限和程序，管辖区域内的招商引资、旅游开发工作;负责协调相关部门处理景区保护、规划、开发、建设、管理中的问题;加强景区内旅游服务质量的监督管理工作;协调处理景区建设和发展过程中的其他问题;负责景区建设工程、在建企业的建设和安全生产管理等工作，督促抓好施工现场管理、安全措施落实工作，杜绝安全事故的发生;负责景区内土地管理和土地储备工作;制定景区旅游协调发展配套政策和实施细则;负责研究解决景区建设过程中存在的其他问题和困难;完成领导交办的其他工作。   </w:t>
      </w:r>
    </w:p>
    <w:p>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3、管理运营股。按照相关法律、法规对景区内风景资源、人文资源、自然生态环境实施保护、管理和合理开发利用;负责做好景区内的公共设施维护管理、环境保护、市政市容、环境卫生、园林绿化、水资源保护和安全运营等工作;负责组织编制景区管理运营的规章制度及考核标准和办法;积极探索市场化养护机制，对建成工程，谋划、制定出台相应的管理运营承包办法，落实管护队伍和资金，在满足公共服务的基础上，最大限度地回收成本;负责景区内经营活动的审核事项，搞好经营企业、经营网点和从业人员的市场准入工作，并依法对其经营活动进行管理;负责景区环境资源、旅游资源的普查、管理和保护，利用土地资源和项目内外市场搞好旅游开发、休闲游乐等方面的商业运作;负责景区总体形象的对外宣传推介，汇编宣传资料，了解市场信息，制定营销策略，搞好服务项目开发建设的招商引资与服务工作;协调搞好景区范围内的综合执法工作，做好景区内投诉处理、车辆停放、安全保卫等工作，组织对景区保护、管理和利用情况进行督查，开展日常巡护工作，发现有违规行为的，及时按照有关制度进行处置;负责群众环境保护意识的宣传工作;负责对景区内非物遗产、传统建筑和公共设施的日常管理以及旅游市场秩序管理等工作;完成上级领导交办的其他事项。</w:t>
      </w:r>
    </w:p>
    <w:p>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则曲河水利风景区管理股。全面负责则曲河水利风景区工作及水利风景区建设工作;贯彻执行上级有关水利风景区旅游事业的法律、法规和政策,拟定景区旅游业发展的规范性文件，并组织监督实施;负责制定水利风景区总体规划、土地利用总体规划和单体规划，搞好水利风景区单体项目可研、环评、立项等报批工作，做好各项工程的勘察、设计、图纸会审等工作;负责水利风景区的统一规划和开发建设,编制保护区基础设施及配套工程的建设计划，并组织实施;负责编制水利风景区的总体发展规划、建设性详细规划、中长期规划及年度计划，并组织实施，同时注重有效保护和科学开发利用资源;负责水利风景区内的规划建设、生态环境保护等各项管理;按规定权限和程序，管辖区域内的招商引资、旅游开发工作;负责协调相关部门处理水利风景区内保护、规划、开发、建设、管理中的问题;加强水利风景区内旅游服务质量的监督管理工作;协调处理水利风景区建设和发展过程中的其他问题;负责水利风景区建设工程、在建企业的建设和安全生产管理等工作，督促抓好施工现场管理、安全措施落实工作，杜绝安全事故的发生;制定水利风景区旅游协调发展配套政策和实施细则;负责研究解决保护区建设过程中存在的其他问题和困难。完成上级领导交办的其他工作。</w:t>
      </w:r>
    </w:p>
    <w:p>
      <w:pPr>
        <w:spacing w:line="360" w:lineRule="auto"/>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机关党</w:t>
      </w:r>
      <w:r>
        <w:rPr>
          <w:rFonts w:hint="eastAsia" w:ascii="仿宋_GB2312" w:hAnsi="仿宋_GB2312" w:eastAsia="仿宋_GB2312" w:cs="仿宋_GB2312"/>
          <w:sz w:val="32"/>
          <w:szCs w:val="32"/>
          <w:lang w:val="en-US" w:eastAsia="zh-CN"/>
        </w:rPr>
        <w:t>支部</w:t>
      </w:r>
      <w:r>
        <w:rPr>
          <w:rFonts w:hint="eastAsia" w:ascii="仿宋_GB2312" w:hAnsi="仿宋_GB2312" w:eastAsia="仿宋_GB2312" w:cs="仿宋_GB2312"/>
          <w:sz w:val="32"/>
          <w:szCs w:val="32"/>
        </w:rPr>
        <w:t>：负责机关党的建设和扶贫攻坚等相关工作。</w:t>
      </w:r>
    </w:p>
    <w:p>
      <w:pPr>
        <w:spacing w:line="360" w:lineRule="auto"/>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工会：负责全局工会工作和退休职工服务管理相关工作。</w:t>
      </w:r>
    </w:p>
    <w:p>
      <w:pPr>
        <w:spacing w:line="360" w:lineRule="auto"/>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团委：负责全局团支部和志愿者相关工作。</w:t>
      </w:r>
    </w:p>
    <w:p>
      <w:pPr>
        <w:spacing w:line="360" w:lineRule="auto"/>
        <w:ind w:firstLine="640" w:firstLineChars="200"/>
        <w:jc w:val="both"/>
        <w:rPr>
          <w:rFonts w:hint="eastAsia" w:ascii="仿宋" w:hAnsi="仿宋" w:eastAsia="仿宋" w:cs="仿宋"/>
          <w:sz w:val="32"/>
          <w:szCs w:val="32"/>
        </w:rPr>
      </w:pPr>
      <w:r>
        <w:rPr>
          <w:rFonts w:hint="eastAsia" w:ascii="仿宋_GB2312" w:hAnsi="仿宋_GB2312" w:eastAsia="仿宋_GB2312" w:cs="仿宋_GB2312"/>
          <w:sz w:val="32"/>
          <w:szCs w:val="32"/>
        </w:rPr>
        <w:t>妇委会：负责全局女职工和关心下一代相关工作。</w:t>
      </w:r>
    </w:p>
    <w:p>
      <w:pPr>
        <w:numPr>
          <w:ilvl w:val="0"/>
          <w:numId w:val="5"/>
        </w:num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人员概况。</w:t>
      </w:r>
    </w:p>
    <w:p>
      <w:pPr>
        <w:numPr>
          <w:ilvl w:val="0"/>
          <w:numId w:val="0"/>
        </w:numPr>
        <w:spacing w:line="580" w:lineRule="exact"/>
        <w:ind w:firstLine="640" w:firstLineChars="200"/>
        <w:rPr>
          <w:rFonts w:hint="eastAsia" w:ascii="仿宋" w:hAnsi="仿宋" w:eastAsia="仿宋" w:cs="仿宋"/>
          <w:sz w:val="32"/>
          <w:szCs w:val="32"/>
        </w:rPr>
      </w:pPr>
      <w:r>
        <w:rPr>
          <w:rFonts w:hint="eastAsia" w:ascii="仿宋_GB2312" w:hAnsi="宋体" w:eastAsia="仿宋_GB2312" w:cs="仿宋_GB2312"/>
          <w:kern w:val="0"/>
          <w:sz w:val="32"/>
          <w:szCs w:val="32"/>
          <w:lang w:eastAsia="zh-CN"/>
        </w:rPr>
        <w:t>人员情况：</w:t>
      </w:r>
      <w:r>
        <w:rPr>
          <w:rFonts w:hint="eastAsia" w:ascii="仿宋_GB2312" w:hAnsi="宋体" w:eastAsia="仿宋_GB2312" w:cs="仿宋_GB2312"/>
          <w:kern w:val="0"/>
          <w:sz w:val="32"/>
          <w:szCs w:val="32"/>
        </w:rPr>
        <w:t>总编制</w:t>
      </w:r>
      <w:r>
        <w:rPr>
          <w:rFonts w:hint="eastAsia" w:ascii="仿宋_GB2312" w:hAnsi="宋体" w:eastAsia="仿宋_GB2312" w:cs="仿宋_GB2312"/>
          <w:kern w:val="0"/>
          <w:sz w:val="32"/>
          <w:szCs w:val="32"/>
          <w:u w:val="none"/>
          <w:lang w:val="en-US" w:eastAsia="zh-CN"/>
        </w:rPr>
        <w:t>16</w:t>
      </w:r>
      <w:r>
        <w:rPr>
          <w:rFonts w:hint="eastAsia" w:ascii="仿宋_GB2312" w:hAnsi="宋体" w:eastAsia="仿宋_GB2312" w:cs="仿宋_GB2312"/>
          <w:kern w:val="0"/>
          <w:sz w:val="32"/>
          <w:szCs w:val="32"/>
        </w:rPr>
        <w:t>名</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其中</w:t>
      </w:r>
      <w:r>
        <w:rPr>
          <w:rFonts w:ascii="仿宋_GB2312" w:hAnsi="宋体" w:eastAsia="仿宋_GB2312" w:cs="仿宋_GB2312"/>
          <w:kern w:val="0"/>
          <w:sz w:val="32"/>
          <w:szCs w:val="32"/>
        </w:rPr>
        <w:t>:</w:t>
      </w:r>
      <w:r>
        <w:rPr>
          <w:rFonts w:hint="eastAsia" w:ascii="仿宋_GB2312" w:hAnsi="仿宋_GB2312" w:eastAsia="仿宋_GB2312" w:cs="仿宋_GB2312"/>
          <w:sz w:val="32"/>
          <w:szCs w:val="32"/>
        </w:rPr>
        <w:t>其中，主任1名，副主任2名;股级领导职数4名。</w:t>
      </w:r>
    </w:p>
    <w:p>
      <w:pPr>
        <w:spacing w:line="360" w:lineRule="auto"/>
        <w:ind w:firstLine="643" w:firstLineChars="200"/>
        <w:jc w:val="both"/>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二、预算管理情况</w:t>
      </w:r>
    </w:p>
    <w:p>
      <w:pPr>
        <w:spacing w:line="360" w:lineRule="auto"/>
        <w:ind w:firstLine="321" w:firstLineChars="100"/>
        <w:jc w:val="both"/>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（一）预算编制情况</w:t>
      </w:r>
    </w:p>
    <w:p>
      <w:pPr>
        <w:pStyle w:val="21"/>
        <w:spacing w:line="360" w:lineRule="auto"/>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年财政下达壤塘县中壤塘文化旅游景区管理处年初预算收入</w:t>
      </w:r>
      <w:r>
        <w:rPr>
          <w:rFonts w:hint="eastAsia" w:ascii="仿宋_GB2312" w:hAnsi="仿宋_GB2312" w:eastAsia="仿宋_GB2312" w:cs="仿宋_GB2312"/>
          <w:sz w:val="32"/>
          <w:szCs w:val="32"/>
          <w:lang w:val="en-US" w:eastAsia="zh-CN"/>
        </w:rPr>
        <w:t>208</w:t>
      </w:r>
      <w:r>
        <w:rPr>
          <w:rFonts w:hint="eastAsia" w:ascii="仿宋_GB2312" w:hAnsi="仿宋_GB2312" w:eastAsia="仿宋_GB2312" w:cs="仿宋_GB2312"/>
          <w:sz w:val="32"/>
          <w:szCs w:val="32"/>
          <w:lang w:eastAsia="zh-CN"/>
        </w:rPr>
        <w:t>万元，执行期中追加收入</w:t>
      </w:r>
      <w:r>
        <w:rPr>
          <w:rFonts w:hint="eastAsia" w:ascii="仿宋_GB2312" w:hAnsi="仿宋_GB2312" w:eastAsia="仿宋_GB2312" w:cs="仿宋_GB2312"/>
          <w:sz w:val="32"/>
          <w:szCs w:val="32"/>
          <w:lang w:val="en-US" w:eastAsia="zh-CN"/>
        </w:rPr>
        <w:t>2698.59</w:t>
      </w:r>
      <w:r>
        <w:rPr>
          <w:rFonts w:hint="eastAsia" w:ascii="仿宋_GB2312" w:hAnsi="仿宋_GB2312" w:eastAsia="仿宋_GB2312" w:cs="仿宋_GB2312"/>
          <w:sz w:val="32"/>
          <w:szCs w:val="32"/>
          <w:lang w:eastAsia="zh-CN"/>
        </w:rPr>
        <w:t xml:space="preserve">万元。   </w:t>
      </w:r>
    </w:p>
    <w:p>
      <w:pPr>
        <w:pStyle w:val="21"/>
        <w:spacing w:line="360" w:lineRule="auto"/>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年壤塘县中壤塘文化旅游景区管理处共计预算支出</w:t>
      </w:r>
      <w:r>
        <w:rPr>
          <w:rFonts w:hint="eastAsia" w:ascii="仿宋_GB2312" w:hAnsi="仿宋_GB2312" w:eastAsia="仿宋_GB2312" w:cs="仿宋_GB2312"/>
          <w:sz w:val="32"/>
          <w:szCs w:val="32"/>
          <w:lang w:val="en-US" w:eastAsia="zh-CN"/>
        </w:rPr>
        <w:t>2199.26</w:t>
      </w:r>
      <w:r>
        <w:rPr>
          <w:rFonts w:hint="eastAsia" w:ascii="仿宋_GB2312" w:hAnsi="仿宋_GB2312" w:eastAsia="仿宋_GB2312" w:cs="仿宋_GB2312"/>
          <w:sz w:val="32"/>
          <w:szCs w:val="32"/>
          <w:lang w:eastAsia="zh-CN"/>
        </w:rPr>
        <w:t>万元，基本支出</w:t>
      </w:r>
      <w:r>
        <w:rPr>
          <w:rFonts w:hint="eastAsia" w:ascii="仿宋_GB2312" w:hAnsi="仿宋_GB2312" w:eastAsia="仿宋_GB2312" w:cs="仿宋_GB2312"/>
          <w:sz w:val="32"/>
          <w:szCs w:val="32"/>
          <w:lang w:val="en-US" w:eastAsia="zh-CN"/>
        </w:rPr>
        <w:t>243.38</w:t>
      </w:r>
      <w:r>
        <w:rPr>
          <w:rFonts w:hint="eastAsia" w:ascii="仿宋_GB2312" w:hAnsi="仿宋_GB2312" w:eastAsia="仿宋_GB2312" w:cs="仿宋_GB2312"/>
          <w:sz w:val="32"/>
          <w:szCs w:val="32"/>
          <w:lang w:eastAsia="zh-CN"/>
        </w:rPr>
        <w:t>万元，项目支出</w:t>
      </w:r>
      <w:r>
        <w:rPr>
          <w:rFonts w:hint="eastAsia" w:ascii="仿宋_GB2312" w:hAnsi="仿宋_GB2312" w:eastAsia="仿宋_GB2312" w:cs="仿宋_GB2312"/>
          <w:sz w:val="32"/>
          <w:szCs w:val="32"/>
          <w:lang w:val="en-US" w:eastAsia="zh-CN"/>
        </w:rPr>
        <w:t>1875.88</w:t>
      </w:r>
      <w:r>
        <w:rPr>
          <w:rFonts w:hint="eastAsia" w:ascii="仿宋_GB2312" w:hAnsi="仿宋_GB2312" w:eastAsia="仿宋_GB2312" w:cs="仿宋_GB2312"/>
          <w:sz w:val="32"/>
          <w:szCs w:val="32"/>
          <w:lang w:eastAsia="zh-CN"/>
        </w:rPr>
        <w:t>万元。</w:t>
      </w:r>
    </w:p>
    <w:p>
      <w:pPr>
        <w:numPr>
          <w:ilvl w:val="0"/>
          <w:numId w:val="7"/>
        </w:numPr>
        <w:spacing w:line="360" w:lineRule="auto"/>
        <w:ind w:firstLine="643" w:firstLineChars="200"/>
        <w:jc w:val="both"/>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预算执行情况</w:t>
      </w:r>
    </w:p>
    <w:p>
      <w:pPr>
        <w:pStyle w:val="21"/>
        <w:spacing w:line="360" w:lineRule="auto"/>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壤塘县中壤塘文化旅游景区管理处20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年财政拨款收入：共计</w:t>
      </w:r>
      <w:r>
        <w:rPr>
          <w:rFonts w:hint="eastAsia" w:ascii="仿宋_GB2312" w:hAnsi="仿宋_GB2312" w:eastAsia="仿宋_GB2312" w:cs="仿宋_GB2312"/>
          <w:sz w:val="32"/>
          <w:szCs w:val="32"/>
          <w:lang w:val="en-US" w:eastAsia="zh-CN"/>
        </w:rPr>
        <w:t>3537.51，2019年财政拨款3729.33万元，比上年减少191.82万元，减少5.42%，主要变动原因是项目减少。</w:t>
      </w:r>
    </w:p>
    <w:p>
      <w:pPr>
        <w:spacing w:line="360" w:lineRule="auto"/>
        <w:ind w:firstLine="643" w:firstLineChars="200"/>
        <w:jc w:val="both"/>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三、部门管理情况</w:t>
      </w:r>
    </w:p>
    <w:p>
      <w:pPr>
        <w:pStyle w:val="21"/>
        <w:spacing w:line="360" w:lineRule="auto"/>
        <w:jc w:val="both"/>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（一）基础管理</w:t>
      </w:r>
    </w:p>
    <w:p>
      <w:pPr>
        <w:pStyle w:val="21"/>
        <w:spacing w:line="360" w:lineRule="auto"/>
        <w:jc w:val="both"/>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1、管理制度健全性</w:t>
      </w:r>
    </w:p>
    <w:p>
      <w:pPr>
        <w:pStyle w:val="21"/>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壤塘县中壤塘文化旅游景区管理处</w:t>
      </w:r>
      <w:r>
        <w:rPr>
          <w:rFonts w:hint="eastAsia" w:ascii="仿宋_GB2312" w:hAnsi="仿宋_GB2312" w:eastAsia="仿宋_GB2312" w:cs="仿宋_GB2312"/>
          <w:sz w:val="32"/>
          <w:szCs w:val="32"/>
        </w:rPr>
        <w:t>根据财政部颁布《行政单位内部控制规范》、《关于全部推进行政单位内部控制建设的指导意见》文件要求等法律法规及规章制度规定，结合单位实际情况，在对单位主要经济活动及业务流程梳理分析的基础上，初步建立覆盖本单位经济活动的内部控制体系，形成一系列的内部管理制度。主要包括有值班管理制度、档案管理制度、印章管理制度、会计核算管理制度、厉行节约管理措施、内部财务管理制度、预算资金管理办法等内部管理制度,另还有公文管理制度、督查管理制度在建；以上相关管理制度合法、合规、完整，均得到了有效执行。</w:t>
      </w:r>
    </w:p>
    <w:p>
      <w:pPr>
        <w:pStyle w:val="21"/>
        <w:spacing w:line="360" w:lineRule="auto"/>
        <w:ind w:left="420" w:leftChars="200" w:firstLine="0" w:firstLineChars="0"/>
        <w:jc w:val="both"/>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2、财务管理以及资金使用合规性</w:t>
      </w:r>
    </w:p>
    <w:p>
      <w:pPr>
        <w:spacing w:line="360" w:lineRule="auto"/>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壤塘中壤塘</w:t>
      </w:r>
      <w:r>
        <w:rPr>
          <w:rFonts w:hint="eastAsia" w:ascii="仿宋_GB2312" w:hAnsi="仿宋_GB2312" w:eastAsia="仿宋_GB2312" w:cs="仿宋_GB2312"/>
          <w:sz w:val="32"/>
          <w:szCs w:val="32"/>
          <w:lang w:val="en-US" w:eastAsia="zh-CN"/>
        </w:rPr>
        <w:t>文化旅游景区管理处</w:t>
      </w:r>
      <w:r>
        <w:rPr>
          <w:rFonts w:hint="eastAsia" w:ascii="仿宋_GB2312" w:hAnsi="仿宋_GB2312" w:eastAsia="仿宋_GB2312" w:cs="仿宋_GB2312"/>
          <w:sz w:val="32"/>
          <w:szCs w:val="32"/>
        </w:rPr>
        <w:t>本年度资金使用过程中严格按照单位财务管理制度要求执行，资金使用的合规性体现在：</w:t>
      </w:r>
    </w:p>
    <w:p>
      <w:pPr>
        <w:spacing w:line="360" w:lineRule="auto"/>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1.所有经费开支坚持财务审批制度，重大资金支出（日常公用经费在1万元及以上）由</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党组会、</w:t>
      </w:r>
      <w:r>
        <w:rPr>
          <w:rFonts w:hint="eastAsia" w:ascii="仿宋_GB2312" w:hAnsi="仿宋_GB2312" w:eastAsia="仿宋_GB2312" w:cs="仿宋_GB2312"/>
          <w:sz w:val="32"/>
          <w:szCs w:val="32"/>
          <w:lang w:eastAsia="zh-CN"/>
        </w:rPr>
        <w:t>班子成员会、</w:t>
      </w:r>
      <w:r>
        <w:rPr>
          <w:rFonts w:hint="eastAsia" w:ascii="仿宋_GB2312" w:hAnsi="仿宋_GB2312" w:eastAsia="仿宋_GB2312" w:cs="仿宋_GB2312"/>
          <w:sz w:val="32"/>
          <w:szCs w:val="32"/>
        </w:rPr>
        <w:t>职工大会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会议研究决定。</w:t>
      </w:r>
    </w:p>
    <w:p>
      <w:pPr>
        <w:spacing w:line="360" w:lineRule="auto"/>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2.在报销经费时，经办人使用统一规范的审批单，在审批单上写明用途、经办人员、股室负责人、财务负责人、单位领导、金额、报销日期等内容。</w:t>
      </w:r>
    </w:p>
    <w:p>
      <w:pPr>
        <w:spacing w:line="360" w:lineRule="auto"/>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3.费用报销审批程序  </w:t>
      </w:r>
    </w:p>
    <w:p>
      <w:pPr>
        <w:spacing w:line="360" w:lineRule="auto"/>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经办人填写</w:t>
      </w:r>
      <w:r>
        <w:rPr>
          <w:rFonts w:hint="eastAsia" w:ascii="仿宋_GB2312" w:hAnsi="仿宋_GB2312" w:eastAsia="仿宋_GB2312" w:cs="仿宋_GB2312"/>
          <w:sz w:val="32"/>
          <w:szCs w:val="32"/>
          <w:lang w:eastAsia="zh-CN"/>
        </w:rPr>
        <w:t>报销单</w:t>
      </w:r>
      <w:r>
        <w:rPr>
          <w:rFonts w:hint="eastAsia" w:ascii="仿宋_GB2312" w:hAnsi="仿宋_GB2312" w:eastAsia="仿宋_GB2312" w:cs="仿宋_GB2312"/>
          <w:sz w:val="32"/>
          <w:szCs w:val="32"/>
        </w:rPr>
        <w:t>→由业务科室负责人确认签字→财务科</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rPr>
        <w:t>核签字→</w:t>
      </w:r>
      <w:r>
        <w:rPr>
          <w:rFonts w:hint="eastAsia" w:ascii="仿宋_GB2312" w:hAnsi="仿宋_GB2312" w:eastAsia="仿宋_GB2312" w:cs="仿宋_GB2312"/>
          <w:sz w:val="32"/>
          <w:szCs w:val="32"/>
          <w:lang w:eastAsia="zh-CN"/>
        </w:rPr>
        <w:t>财务</w:t>
      </w:r>
      <w:r>
        <w:rPr>
          <w:rFonts w:hint="eastAsia" w:ascii="仿宋_GB2312" w:hAnsi="仿宋_GB2312" w:eastAsia="仿宋_GB2312" w:cs="仿宋_GB2312"/>
          <w:sz w:val="32"/>
          <w:szCs w:val="32"/>
        </w:rPr>
        <w:t>分管领导确认签字→</w:t>
      </w:r>
      <w:r>
        <w:rPr>
          <w:rFonts w:hint="eastAsia" w:ascii="仿宋_GB2312" w:hAnsi="仿宋_GB2312" w:eastAsia="仿宋_GB2312" w:cs="仿宋_GB2312"/>
          <w:sz w:val="32"/>
          <w:szCs w:val="32"/>
          <w:lang w:eastAsia="zh-CN"/>
        </w:rPr>
        <w:t>单位领导</w:t>
      </w:r>
      <w:r>
        <w:rPr>
          <w:rFonts w:hint="eastAsia" w:ascii="仿宋_GB2312" w:hAnsi="仿宋_GB2312" w:eastAsia="仿宋_GB2312" w:cs="仿宋_GB2312"/>
          <w:sz w:val="32"/>
          <w:szCs w:val="32"/>
        </w:rPr>
        <w:t>批准后，到财务科出纳处办理支付手续。</w:t>
      </w:r>
    </w:p>
    <w:p>
      <w:pPr>
        <w:spacing w:line="360" w:lineRule="auto"/>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各个审批环节的具体职责：</w:t>
      </w:r>
    </w:p>
    <w:p>
      <w:pPr>
        <w:spacing w:line="360" w:lineRule="auto"/>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业务科室负责人及其分管领导对其发生的支出用途及金额的真实性、准确性负责，并对其科室填写的支出审批单内容、大小写金额、票据张数进行审核。经济业务发生后，原则上在</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天之内报账完毕。不得将几个经济事项的票据合并填报。</w:t>
      </w:r>
    </w:p>
    <w:p>
      <w:pPr>
        <w:spacing w:line="360" w:lineRule="auto"/>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财务室</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rPr>
        <w:t>提供的原始票据的合法性进行审核监督。审核发票是否真实合法、填写是否规范、印章是否齐全、报销金额与原始票据是否相符；审核是否符合审批程序；审核是否在预算额度内、在审计金额内按进度、按比例、按范围付款。对不符合规定的票据，财务科有权拒绝受理。</w:t>
      </w:r>
    </w:p>
    <w:p>
      <w:pPr>
        <w:spacing w:line="360" w:lineRule="auto"/>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各审批领导审查财务收支的真实性、合法性、必要性，并在报销凭证上明确签署报销意见。</w:t>
      </w:r>
    </w:p>
    <w:p>
      <w:pPr>
        <w:spacing w:line="360" w:lineRule="auto"/>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所有费用报销实行</w:t>
      </w:r>
      <w:r>
        <w:rPr>
          <w:rFonts w:hint="eastAsia" w:ascii="仿宋_GB2312" w:hAnsi="仿宋_GB2312" w:eastAsia="仿宋_GB2312" w:cs="仿宋_GB2312"/>
          <w:sz w:val="32"/>
          <w:szCs w:val="32"/>
          <w:lang w:eastAsia="zh-CN"/>
        </w:rPr>
        <w:t>单位负责人</w:t>
      </w:r>
      <w:r>
        <w:rPr>
          <w:rFonts w:hint="eastAsia" w:ascii="仿宋_GB2312" w:hAnsi="仿宋_GB2312" w:eastAsia="仿宋_GB2312" w:cs="仿宋_GB2312"/>
          <w:sz w:val="32"/>
          <w:szCs w:val="32"/>
        </w:rPr>
        <w:t>“一支笔”签批制度。</w:t>
      </w:r>
    </w:p>
    <w:p>
      <w:pPr>
        <w:spacing w:line="360" w:lineRule="auto"/>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纳人员对已经审批后的支出票据必须进行复核（复核票据张数、金额、审批程序），对不符合规定的票据有权拒绝支付并立即向机关领导报告。严格控制现金支付，原则上采用公务卡和转账结算。会计人员进行会计核算时，对不符合财经管理规定的票据有权拒绝接受并应立即报告。</w:t>
      </w:r>
    </w:p>
    <w:p>
      <w:pPr>
        <w:pStyle w:val="21"/>
        <w:spacing w:line="360" w:lineRule="auto"/>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（二）行政成本</w:t>
      </w:r>
    </w:p>
    <w:p>
      <w:pPr>
        <w:pStyle w:val="21"/>
        <w:spacing w:line="360" w:lineRule="auto"/>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“三公”经费控制。壤塘县中壤塘文化旅游景区管理处20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年“三公”经费预算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万元，决算支出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万元。其中公务用车购置及运行维护费预算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万元，决算支出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万元（均为公务用车运行维护费）</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未发生因公出国（境）费，20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年“三公”经费决算均未超过预算。</w:t>
      </w:r>
    </w:p>
    <w:p>
      <w:pPr>
        <w:pStyle w:val="21"/>
        <w:spacing w:line="360" w:lineRule="auto"/>
        <w:jc w:val="both"/>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（三）政府采购</w:t>
      </w:r>
    </w:p>
    <w:p>
      <w:pPr>
        <w:pStyle w:val="21"/>
        <w:spacing w:line="360" w:lineRule="auto"/>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采购规范性。壤塘县中壤塘文化旅游景区管理处20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年度政府采购货物支出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万元，政府采购工程支出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万元，政府采购服务支出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万元。</w:t>
      </w:r>
    </w:p>
    <w:p>
      <w:pPr>
        <w:numPr>
          <w:ilvl w:val="0"/>
          <w:numId w:val="7"/>
        </w:numPr>
        <w:snapToGrid w:val="0"/>
        <w:spacing w:line="360" w:lineRule="auto"/>
        <w:ind w:firstLine="643"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 xml:space="preserve">资产管理 </w:t>
      </w:r>
      <w:r>
        <w:rPr>
          <w:rFonts w:hint="eastAsia" w:ascii="仿宋_GB2312" w:hAnsi="仿宋_GB2312" w:eastAsia="仿宋_GB2312" w:cs="仿宋_GB2312"/>
          <w:b/>
          <w:bCs/>
          <w:sz w:val="32"/>
          <w:szCs w:val="32"/>
        </w:rPr>
        <w:t xml:space="preserve"> </w:t>
      </w:r>
    </w:p>
    <w:p>
      <w:pPr>
        <w:pStyle w:val="21"/>
        <w:spacing w:line="360" w:lineRule="auto"/>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固定资产在用率。截止20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年12月31日，壤塘县中壤塘文化旅游景区管理处《行政单位资产管理系统》固定资产总计</w:t>
      </w:r>
      <w:r>
        <w:rPr>
          <w:rFonts w:hint="eastAsia" w:ascii="仿宋_GB2312" w:hAnsi="仿宋_GB2312" w:eastAsia="仿宋_GB2312" w:cs="仿宋_GB2312"/>
          <w:sz w:val="32"/>
          <w:szCs w:val="32"/>
          <w:lang w:val="en-US" w:eastAsia="zh-CN"/>
        </w:rPr>
        <w:t>7.75</w:t>
      </w:r>
      <w:r>
        <w:rPr>
          <w:rFonts w:hint="eastAsia" w:ascii="仿宋_GB2312" w:hAnsi="仿宋_GB2312" w:eastAsia="仿宋_GB2312" w:cs="仿宋_GB2312"/>
          <w:sz w:val="32"/>
          <w:szCs w:val="32"/>
          <w:lang w:eastAsia="zh-CN"/>
        </w:rPr>
        <w:t>万元，在用的固定资产总计</w:t>
      </w:r>
      <w:r>
        <w:rPr>
          <w:rFonts w:hint="eastAsia" w:ascii="仿宋_GB2312" w:hAnsi="仿宋_GB2312" w:eastAsia="仿宋_GB2312" w:cs="仿宋_GB2312"/>
          <w:sz w:val="32"/>
          <w:szCs w:val="32"/>
          <w:lang w:val="en-US" w:eastAsia="zh-CN"/>
        </w:rPr>
        <w:t>7.75</w:t>
      </w:r>
      <w:r>
        <w:rPr>
          <w:rFonts w:hint="eastAsia" w:ascii="仿宋_GB2312" w:hAnsi="仿宋_GB2312" w:eastAsia="仿宋_GB2312" w:cs="仿宋_GB2312"/>
          <w:sz w:val="32"/>
          <w:szCs w:val="32"/>
          <w:lang w:eastAsia="zh-CN"/>
        </w:rPr>
        <w:t>万元，固定资产在用率达</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eastAsia="zh-CN"/>
        </w:rPr>
        <w:t>%。</w:t>
      </w:r>
    </w:p>
    <w:p>
      <w:pPr>
        <w:pStyle w:val="21"/>
        <w:spacing w:line="360" w:lineRule="auto"/>
        <w:ind w:left="420" w:leftChars="200" w:firstLine="0" w:firstLineChars="0"/>
        <w:jc w:val="both"/>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（五）信息公开</w:t>
      </w:r>
    </w:p>
    <w:p>
      <w:pPr>
        <w:pStyle w:val="21"/>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信息公开。</w:t>
      </w:r>
      <w:r>
        <w:rPr>
          <w:rFonts w:hint="eastAsia" w:ascii="仿宋_GB2312" w:hAnsi="仿宋_GB2312" w:eastAsia="仿宋_GB2312" w:cs="仿宋_GB2312"/>
          <w:sz w:val="32"/>
          <w:szCs w:val="32"/>
          <w:lang w:eastAsia="zh-CN"/>
        </w:rPr>
        <w:t>壤塘县中壤塘镇人民政府</w:t>
      </w:r>
      <w:r>
        <w:rPr>
          <w:rFonts w:hint="eastAsia" w:ascii="仿宋_GB2312" w:hAnsi="仿宋_GB2312" w:eastAsia="仿宋_GB2312" w:cs="仿宋_GB2312"/>
          <w:sz w:val="32"/>
          <w:szCs w:val="32"/>
        </w:rPr>
        <w:t>已经按财政要求及时完成预算、决算、绩效等信息公开工作，信息公开在</w:t>
      </w:r>
      <w:r>
        <w:rPr>
          <w:rFonts w:hint="eastAsia" w:ascii="仿宋_GB2312" w:hAnsi="仿宋_GB2312" w:eastAsia="仿宋_GB2312" w:cs="仿宋_GB2312"/>
          <w:sz w:val="32"/>
          <w:szCs w:val="32"/>
          <w:lang w:val="en-US" w:eastAsia="zh-CN"/>
        </w:rPr>
        <w:t>壤塘县</w:t>
      </w:r>
      <w:r>
        <w:rPr>
          <w:rFonts w:hint="eastAsia" w:ascii="仿宋_GB2312" w:hAnsi="仿宋_GB2312" w:eastAsia="仿宋_GB2312" w:cs="仿宋_GB2312"/>
          <w:sz w:val="32"/>
          <w:szCs w:val="32"/>
        </w:rPr>
        <w:t>门户网站中。</w:t>
      </w:r>
    </w:p>
    <w:p>
      <w:pPr>
        <w:pStyle w:val="21"/>
        <w:spacing w:line="360" w:lineRule="auto"/>
        <w:ind w:firstLine="643" w:firstLineChars="200"/>
        <w:jc w:val="both"/>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四、部门履职效能</w:t>
      </w:r>
    </w:p>
    <w:p>
      <w:pPr>
        <w:pStyle w:val="21"/>
        <w:spacing w:line="360" w:lineRule="auto"/>
        <w:ind w:firstLine="0" w:firstLineChars="0"/>
        <w:jc w:val="both"/>
        <w:rPr>
          <w:rFonts w:hint="eastAsia" w:ascii="仿宋_GB2312" w:hAnsi="仿宋_GB2312" w:eastAsia="仿宋_GB2312" w:cs="仿宋_GB2312"/>
          <w:b/>
          <w:bCs/>
          <w:kern w:val="0"/>
          <w:sz w:val="32"/>
          <w:szCs w:val="32"/>
        </w:rPr>
      </w:pP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b/>
          <w:bCs/>
          <w:kern w:val="0"/>
          <w:sz w:val="32"/>
          <w:szCs w:val="32"/>
        </w:rPr>
        <w:t>（一）部门履职的年度总体目标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1、抓项目、重进度、扎实推进各项目建设。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（1）续建项目工程进展情况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一是唐卡创作中心和村民多功能活动中心项目；</w:t>
      </w:r>
      <w:r>
        <w:rPr>
          <w:rFonts w:hint="eastAsia" w:ascii="仿宋_GB2312" w:hAnsi="仿宋_GB2312" w:eastAsia="仿宋_GB2312" w:cs="仿宋_GB2312"/>
          <w:b w:val="0"/>
          <w:bCs w:val="0"/>
          <w:sz w:val="32"/>
          <w:szCs w:val="32"/>
          <w:lang w:val="en-US" w:eastAsia="zh-CN"/>
        </w:rPr>
        <w:t>工程现已完工并验收，目前正在审计中。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二是配套实施建设项目；</w:t>
      </w:r>
      <w:r>
        <w:rPr>
          <w:rFonts w:hint="eastAsia" w:ascii="仿宋_GB2312" w:hAnsi="仿宋_GB2312" w:eastAsia="仿宋_GB2312" w:cs="仿宋_GB2312"/>
          <w:b w:val="0"/>
          <w:bCs w:val="0"/>
          <w:sz w:val="32"/>
          <w:szCs w:val="32"/>
          <w:lang w:val="en-US" w:eastAsia="zh-CN"/>
        </w:rPr>
        <w:t>工程现已完工并验收，目前正在审计中。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三是民居一期建设项目；</w:t>
      </w:r>
      <w:r>
        <w:rPr>
          <w:rFonts w:hint="eastAsia" w:ascii="仿宋_GB2312" w:hAnsi="仿宋_GB2312" w:eastAsia="仿宋_GB2312" w:cs="仿宋_GB2312"/>
          <w:b w:val="0"/>
          <w:bCs w:val="0"/>
          <w:sz w:val="32"/>
          <w:szCs w:val="32"/>
          <w:lang w:val="en-US" w:eastAsia="zh-CN"/>
        </w:rPr>
        <w:t>一期建设70栋，每栋政府补助5.3万元，共计371万元。目前传习所毕业学员共计60名，已入住58栋民居，学员正在创作中。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（2）新建项目进展情况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浙江援建一期建设项目；一是</w:t>
      </w:r>
      <w:r>
        <w:rPr>
          <w:rFonts w:hint="eastAsia" w:ascii="仿宋_GB2312" w:hAnsi="仿宋_GB2312" w:eastAsia="仿宋_GB2312" w:cs="仿宋_GB2312"/>
          <w:b w:val="0"/>
          <w:bCs w:val="0"/>
          <w:sz w:val="32"/>
          <w:szCs w:val="32"/>
          <w:lang w:val="en-US" w:eastAsia="zh-CN"/>
        </w:rPr>
        <w:t>创业园藏香传习中心建设项目，计划总投资373万。中标价为：2357500元；现已支付资金：1234380.6元。工程现已完工并验收，目前正在审计中。</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创业园综合生活服务楼建设项目；计划总投资1100万，中标价为：9770251.31元。现已支付资金：7613291.52元，工程现已完工并验收，目前正在审计中。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浙江援建二期建设项目；一是</w:t>
      </w:r>
      <w:r>
        <w:rPr>
          <w:rFonts w:hint="eastAsia" w:ascii="仿宋_GB2312" w:hAnsi="仿宋_GB2312" w:eastAsia="仿宋_GB2312" w:cs="仿宋_GB2312"/>
          <w:b w:val="0"/>
          <w:bCs w:val="0"/>
          <w:sz w:val="32"/>
          <w:szCs w:val="32"/>
          <w:lang w:val="en-US" w:eastAsia="zh-CN"/>
        </w:rPr>
        <w:t>园区基础设施建设项目，总投资1600万元。现已支付资金：9740575.09元。该项目工程现已完工并验收，目前正在审计中。二</w:t>
      </w:r>
      <w:r>
        <w:rPr>
          <w:rFonts w:hint="eastAsia" w:ascii="仿宋_GB2312" w:hAnsi="仿宋_GB2312" w:eastAsia="仿宋_GB2312" w:cs="仿宋_GB2312"/>
          <w:b/>
          <w:bCs/>
          <w:sz w:val="32"/>
          <w:szCs w:val="32"/>
          <w:lang w:val="en-US" w:eastAsia="zh-CN"/>
        </w:rPr>
        <w:t>是</w:t>
      </w:r>
      <w:r>
        <w:rPr>
          <w:rFonts w:hint="eastAsia" w:ascii="仿宋_GB2312" w:hAnsi="仿宋_GB2312" w:eastAsia="仿宋_GB2312" w:cs="仿宋_GB2312"/>
          <w:b w:val="0"/>
          <w:bCs w:val="0"/>
          <w:sz w:val="32"/>
          <w:szCs w:val="32"/>
          <w:lang w:val="en-US" w:eastAsia="zh-CN"/>
        </w:rPr>
        <w:t>创业园桥、栈道、观景台建设项目；总投资820万，中标价为6319190.8元；现已支付资金：2954757元。工程现已完工并验收，目前正在审计中。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lang w:eastAsia="zh-CN"/>
        </w:rPr>
        <w:t>开展群众工作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sz w:val="32"/>
          <w:szCs w:val="32"/>
          <w:lang w:val="en-US" w:eastAsia="zh-CN"/>
        </w:rPr>
        <w:t>按照中央、省委、州委、县委脱贫攻坚工作部署要求，贯彻执行</w:t>
      </w:r>
      <w:r>
        <w:rPr>
          <w:rFonts w:hint="eastAsia" w:ascii="仿宋_GB2312" w:hAnsi="仿宋_GB2312" w:eastAsia="仿宋_GB2312" w:cs="仿宋_GB2312"/>
          <w:sz w:val="32"/>
          <w:szCs w:val="32"/>
          <w:lang w:eastAsia="zh-CN"/>
        </w:rPr>
        <w:t>县委县政府的统一安排，</w:t>
      </w:r>
      <w:r>
        <w:rPr>
          <w:rFonts w:hint="eastAsia" w:ascii="仿宋_GB2312" w:hAnsi="仿宋_GB2312" w:eastAsia="仿宋_GB2312" w:cs="仿宋_GB2312"/>
          <w:sz w:val="32"/>
          <w:szCs w:val="32"/>
        </w:rPr>
        <w:t>帮扶</w:t>
      </w:r>
      <w:r>
        <w:rPr>
          <w:rFonts w:hint="eastAsia" w:ascii="仿宋_GB2312" w:hAnsi="仿宋_GB2312" w:eastAsia="仿宋_GB2312" w:cs="仿宋_GB2312"/>
          <w:sz w:val="32"/>
          <w:szCs w:val="32"/>
          <w:lang w:eastAsia="zh-CN"/>
        </w:rPr>
        <w:t>中壤塘镇布康木达村，</w:t>
      </w:r>
      <w:r>
        <w:rPr>
          <w:rFonts w:hint="eastAsia" w:ascii="仿宋_GB2312" w:hAnsi="仿宋_GB2312" w:eastAsia="仿宋_GB2312" w:cs="仿宋_GB2312"/>
          <w:sz w:val="32"/>
          <w:szCs w:val="32"/>
          <w:lang w:val="en-US" w:eastAsia="zh-CN"/>
        </w:rPr>
        <w:t>结合</w:t>
      </w:r>
      <w:r>
        <w:rPr>
          <w:rFonts w:hint="eastAsia" w:ascii="仿宋_GB2312" w:hAnsi="仿宋_GB2312" w:eastAsia="仿宋_GB2312" w:cs="仿宋_GB2312"/>
          <w:sz w:val="32"/>
          <w:szCs w:val="32"/>
          <w:lang w:eastAsia="zh-CN"/>
        </w:rPr>
        <w:t>中壤塘镇脱贫攻坚部署方案，</w:t>
      </w:r>
      <w:r>
        <w:rPr>
          <w:rFonts w:hint="eastAsia" w:ascii="仿宋_GB2312" w:hAnsi="仿宋_GB2312" w:eastAsia="仿宋_GB2312" w:cs="仿宋_GB2312"/>
          <w:b w:val="0"/>
          <w:bCs w:val="0"/>
          <w:sz w:val="32"/>
          <w:szCs w:val="32"/>
          <w:lang w:val="en-US" w:eastAsia="zh-CN"/>
        </w:rPr>
        <w:t>我单位</w:t>
      </w:r>
      <w:r>
        <w:rPr>
          <w:rFonts w:hint="eastAsia" w:ascii="仿宋_GB2312" w:hAnsi="仿宋_GB2312" w:eastAsia="仿宋_GB2312" w:cs="仿宋_GB2312"/>
          <w:b w:val="0"/>
          <w:bCs w:val="0"/>
          <w:sz w:val="32"/>
          <w:szCs w:val="32"/>
          <w:lang w:eastAsia="zh-CN"/>
        </w:rPr>
        <w:t>深入开展</w:t>
      </w:r>
      <w:r>
        <w:rPr>
          <w:rFonts w:hint="eastAsia" w:ascii="仿宋_GB2312" w:hAnsi="仿宋_GB2312" w:eastAsia="仿宋_GB2312" w:cs="仿宋_GB2312"/>
          <w:b w:val="0"/>
          <w:bCs w:val="0"/>
          <w:sz w:val="32"/>
          <w:szCs w:val="32"/>
          <w:lang w:val="en-US" w:eastAsia="zh-CN"/>
        </w:rPr>
        <w:t>脱贫工作、</w:t>
      </w:r>
      <w:r>
        <w:rPr>
          <w:rFonts w:hint="eastAsia" w:ascii="仿宋_GB2312" w:hAnsi="仿宋_GB2312" w:eastAsia="仿宋_GB2312" w:cs="仿宋_GB2312"/>
          <w:b w:val="0"/>
          <w:bCs w:val="0"/>
          <w:sz w:val="32"/>
          <w:szCs w:val="32"/>
          <w:lang w:eastAsia="zh-CN"/>
        </w:rPr>
        <w:t>“两联一进”及</w:t>
      </w:r>
      <w:r>
        <w:rPr>
          <w:rFonts w:hint="eastAsia" w:ascii="仿宋_GB2312" w:hAnsi="仿宋_GB2312" w:eastAsia="仿宋_GB2312" w:cs="仿宋_GB2312"/>
          <w:sz w:val="32"/>
          <w:szCs w:val="32"/>
          <w:lang w:eastAsia="zh-CN"/>
        </w:rPr>
        <w:t>“秋季战役”</w:t>
      </w:r>
      <w:r>
        <w:rPr>
          <w:rFonts w:hint="eastAsia" w:ascii="仿宋_GB2312" w:hAnsi="仿宋_GB2312" w:eastAsia="仿宋_GB2312" w:cs="仿宋_GB2312"/>
          <w:b w:val="0"/>
          <w:bCs w:val="0"/>
          <w:sz w:val="32"/>
          <w:szCs w:val="32"/>
          <w:lang w:eastAsia="zh-CN"/>
        </w:rPr>
        <w:t>群众工作，</w:t>
      </w:r>
      <w:r>
        <w:rPr>
          <w:rFonts w:hint="eastAsia" w:ascii="仿宋_GB2312" w:hAnsi="仿宋_GB2312" w:eastAsia="仿宋_GB2312" w:cs="仿宋_GB2312"/>
          <w:b w:val="0"/>
          <w:bCs w:val="0"/>
          <w:sz w:val="32"/>
          <w:szCs w:val="32"/>
          <w:lang w:val="en-US" w:eastAsia="zh-CN"/>
        </w:rPr>
        <w:t>到</w:t>
      </w:r>
      <w:r>
        <w:rPr>
          <w:rFonts w:hint="eastAsia" w:ascii="仿宋_GB2312" w:hAnsi="仿宋_GB2312" w:eastAsia="仿宋_GB2312" w:cs="仿宋_GB2312"/>
          <w:sz w:val="32"/>
          <w:szCs w:val="32"/>
          <w:lang w:eastAsia="zh-CN"/>
        </w:rPr>
        <w:t>布康木达村</w:t>
      </w:r>
      <w:r>
        <w:rPr>
          <w:rFonts w:hint="eastAsia" w:ascii="仿宋_GB2312" w:hAnsi="仿宋_GB2312" w:eastAsia="仿宋_GB2312" w:cs="仿宋_GB2312"/>
          <w:sz w:val="32"/>
          <w:szCs w:val="32"/>
        </w:rPr>
        <w:t>采取“六个必讲，六个必问”扎实推进走村入户工作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w:t>
      </w:r>
      <w:r>
        <w:rPr>
          <w:rFonts w:hint="eastAsia" w:ascii="仿宋_GB2312" w:hAnsi="仿宋_GB2312" w:eastAsia="仿宋_GB2312" w:cs="仿宋_GB2312"/>
          <w:sz w:val="32"/>
          <w:szCs w:val="32"/>
          <w:lang w:val="en-US" w:eastAsia="zh-CN"/>
        </w:rPr>
        <w:t>对群众工作</w:t>
      </w:r>
      <w:r>
        <w:rPr>
          <w:rFonts w:hint="eastAsia" w:ascii="仿宋_GB2312" w:hAnsi="仿宋_GB2312" w:eastAsia="仿宋_GB2312" w:cs="仿宋_GB2312"/>
          <w:sz w:val="32"/>
          <w:szCs w:val="32"/>
        </w:rPr>
        <w:t>进行明确</w:t>
      </w:r>
      <w:r>
        <w:rPr>
          <w:rFonts w:hint="eastAsia" w:ascii="仿宋_GB2312" w:hAnsi="仿宋_GB2312" w:eastAsia="仿宋_GB2312" w:cs="仿宋_GB2312"/>
          <w:sz w:val="32"/>
          <w:szCs w:val="32"/>
          <w:lang w:eastAsia="zh-CN"/>
        </w:rPr>
        <w:t>分工</w:t>
      </w:r>
      <w:r>
        <w:rPr>
          <w:rFonts w:hint="eastAsia" w:ascii="仿宋_GB2312" w:hAnsi="仿宋_GB2312" w:eastAsia="仿宋_GB2312" w:cs="仿宋_GB2312"/>
          <w:sz w:val="32"/>
          <w:szCs w:val="32"/>
        </w:rPr>
        <w:t>，压实责任，确保每项工作有序开展</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1、在群众工作中，我单位干部职工，深入走访贫困户，了解家庭基本情况；其中动员适龄儿童入学4次；核实新生儿未上户3次；宣传政策10余次、开展村民一家亲活动2次，参加村民大会及村级活动10余次。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2、提高贫困户收入；一是创业园就近务工8人，共计收入约7万元。二是给贫困户安装宽带、电线、补办户口薄、办理残疾证等帮扶工作；并组织村民到卫生院看病就诊3次。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3、为帮扶村的贫困户、单亲母亲、老党员等送去了牛奶、茶壶、水瓶、大米、清油等慰问品。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4、组织单位职工深入帮扶村村级幼儿园开展慰问活动，其中组织集体发放电脑、学习用具、衣物等共计6次。职工不定期个人送去慰问20余次。</w:t>
      </w:r>
    </w:p>
    <w:p>
      <w:pPr>
        <w:widowControl/>
        <w:spacing w:line="360" w:lineRule="auto"/>
        <w:ind w:firstLine="643" w:firstLineChars="200"/>
        <w:jc w:val="both"/>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（二）重点工作任务绩效目标完成情况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rPr>
        <w:t xml:space="preserve"> 1、重点工作任务一：</w:t>
      </w:r>
      <w:r>
        <w:rPr>
          <w:rFonts w:hint="eastAsia" w:ascii="仿宋_GB2312" w:hAnsi="仿宋_GB2312" w:eastAsia="仿宋_GB2312" w:cs="仿宋_GB2312"/>
          <w:b/>
          <w:bCs/>
          <w:sz w:val="32"/>
          <w:szCs w:val="32"/>
          <w:lang w:val="en-US" w:eastAsia="zh-CN"/>
        </w:rPr>
        <w:t>全力创建壤巴拉4A级文化旅游景区工作。</w:t>
      </w:r>
    </w:p>
    <w:p>
      <w:pPr>
        <w:keepNext w:val="0"/>
        <w:keepLines w:val="0"/>
        <w:pageBreakBefore w:val="0"/>
        <w:widowControl w:val="0"/>
        <w:tabs>
          <w:tab w:val="left" w:pos="1002"/>
        </w:tabs>
        <w:kinsoku/>
        <w:wordWrap/>
        <w:overflowPunct/>
        <w:topLinePunct w:val="0"/>
        <w:autoSpaceDN/>
        <w:bidi w:val="0"/>
        <w:adjustRightInd/>
        <w:snapToGrid/>
        <w:spacing w:line="560" w:lineRule="exact"/>
        <w:ind w:firstLine="640" w:firstLineChars="200"/>
        <w:jc w:val="both"/>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rPr>
        <w:t>工作任务的内容：</w:t>
      </w:r>
      <w:r>
        <w:rPr>
          <w:rFonts w:hint="eastAsia" w:ascii="仿宋_GB2312" w:hAnsi="仿宋" w:eastAsia="仿宋_GB2312"/>
          <w:sz w:val="32"/>
          <w:szCs w:val="32"/>
        </w:rPr>
        <w:t>我县拟创建的</w:t>
      </w:r>
      <w:r>
        <w:rPr>
          <w:rFonts w:hint="eastAsia" w:ascii="仿宋_GB2312" w:hAnsi="仿宋" w:eastAsia="仿宋_GB2312"/>
          <w:sz w:val="32"/>
          <w:szCs w:val="32"/>
          <w:lang w:val="en-US" w:eastAsia="zh-CN"/>
        </w:rPr>
        <w:t>壤巴拉</w:t>
      </w:r>
      <w:r>
        <w:rPr>
          <w:rFonts w:hint="eastAsia" w:ascii="仿宋_GB2312" w:hAnsi="仿宋" w:eastAsia="仿宋_GB2312"/>
          <w:sz w:val="32"/>
          <w:szCs w:val="32"/>
        </w:rPr>
        <w:t>4</w:t>
      </w:r>
      <w:r>
        <w:rPr>
          <w:rFonts w:hint="eastAsia" w:ascii="仿宋_GB2312" w:eastAsia="仿宋_GB2312"/>
          <w:sz w:val="32"/>
          <w:szCs w:val="32"/>
        </w:rPr>
        <w:t>A级文化旅游景区，以非物质文化遗产确尔基寺、藏哇寺、泽布基寺三大寺庙及传统村落为线</w:t>
      </w:r>
      <w:r>
        <w:rPr>
          <w:rFonts w:hint="eastAsia" w:ascii="仿宋_GB2312" w:eastAsia="仿宋_GB2312"/>
          <w:sz w:val="32"/>
          <w:szCs w:val="32"/>
          <w:lang w:eastAsia="zh-CN"/>
        </w:rPr>
        <w:t>；</w:t>
      </w:r>
      <w:r>
        <w:rPr>
          <w:rFonts w:hint="eastAsia" w:ascii="仿宋_GB2312" w:eastAsia="仿宋_GB2312"/>
          <w:sz w:val="32"/>
          <w:szCs w:val="32"/>
        </w:rPr>
        <w:t>以国家级非物质遗产传习所</w:t>
      </w:r>
      <w:r>
        <w:rPr>
          <w:rFonts w:hint="eastAsia" w:ascii="仿宋_GB2312" w:eastAsia="仿宋_GB2312"/>
          <w:sz w:val="32"/>
          <w:szCs w:val="32"/>
          <w:lang w:eastAsia="zh-CN"/>
        </w:rPr>
        <w:t>、</w:t>
      </w:r>
      <w:r>
        <w:rPr>
          <w:rFonts w:hint="eastAsia" w:ascii="仿宋_GB2312" w:eastAsia="仿宋_GB2312"/>
          <w:sz w:val="32"/>
          <w:szCs w:val="32"/>
        </w:rPr>
        <w:t>觉囊文化</w:t>
      </w:r>
      <w:r>
        <w:rPr>
          <w:rFonts w:hint="eastAsia" w:ascii="仿宋_GB2312" w:eastAsia="仿宋_GB2312"/>
          <w:sz w:val="32"/>
          <w:szCs w:val="32"/>
          <w:lang w:val="en-US" w:eastAsia="zh-CN"/>
        </w:rPr>
        <w:t>艺术博物馆</w:t>
      </w:r>
      <w:r>
        <w:rPr>
          <w:rFonts w:hint="eastAsia" w:ascii="仿宋_GB2312" w:eastAsia="仿宋_GB2312"/>
          <w:sz w:val="32"/>
          <w:szCs w:val="32"/>
        </w:rPr>
        <w:t>、壤巴拉非</w:t>
      </w:r>
      <w:r>
        <w:rPr>
          <w:rFonts w:hint="eastAsia" w:ascii="仿宋_GB2312" w:eastAsia="仿宋_GB2312"/>
          <w:sz w:val="32"/>
          <w:szCs w:val="32"/>
          <w:lang w:val="en-US" w:eastAsia="zh-CN"/>
        </w:rPr>
        <w:t>遗传习创业园</w:t>
      </w:r>
      <w:r>
        <w:rPr>
          <w:rFonts w:hint="eastAsia" w:ascii="仿宋_GB2312" w:eastAsia="仿宋_GB2312"/>
          <w:sz w:val="32"/>
          <w:szCs w:val="32"/>
        </w:rPr>
        <w:t>、玛拉雅文化发展中心习为轴</w:t>
      </w:r>
      <w:r>
        <w:rPr>
          <w:rFonts w:hint="eastAsia" w:ascii="仿宋_GB2312" w:eastAsia="仿宋_GB2312"/>
          <w:sz w:val="32"/>
          <w:szCs w:val="32"/>
          <w:lang w:eastAsia="zh-CN"/>
        </w:rPr>
        <w:t>；</w:t>
      </w:r>
      <w:r>
        <w:rPr>
          <w:rFonts w:hint="eastAsia" w:ascii="仿宋_GB2312" w:eastAsia="仿宋_GB2312"/>
          <w:sz w:val="32"/>
          <w:szCs w:val="32"/>
          <w:lang w:val="en-US" w:eastAsia="zh-CN"/>
        </w:rPr>
        <w:t>以</w:t>
      </w:r>
      <w:r>
        <w:rPr>
          <w:rFonts w:hint="eastAsia" w:ascii="仿宋_GB2312" w:eastAsia="仿宋_GB2312"/>
          <w:sz w:val="32"/>
          <w:szCs w:val="32"/>
        </w:rPr>
        <w:t>棒托石刻公园、国家级南莫且湿地保护区及海子山、则曲河流域国家水利风景区、藏戏传习所建设为载体。</w:t>
      </w:r>
      <w:r>
        <w:rPr>
          <w:rFonts w:hint="eastAsia" w:ascii="仿宋_GB2312" w:eastAsia="仿宋_GB2312"/>
          <w:sz w:val="32"/>
          <w:szCs w:val="32"/>
          <w:lang w:val="en-US" w:eastAsia="zh-CN"/>
        </w:rPr>
        <w:t>2017年</w:t>
      </w:r>
      <w:r>
        <w:rPr>
          <w:rFonts w:hint="eastAsia" w:ascii="仿宋_GB2312" w:eastAsia="仿宋_GB2312"/>
          <w:sz w:val="32"/>
          <w:szCs w:val="32"/>
        </w:rPr>
        <w:t>全面启动创建4A级文化旅游景区</w:t>
      </w:r>
      <w:r>
        <w:rPr>
          <w:rFonts w:hint="eastAsia" w:ascii="仿宋_GB2312" w:eastAsia="仿宋_GB2312"/>
          <w:sz w:val="32"/>
          <w:szCs w:val="32"/>
          <w:lang w:eastAsia="zh-CN"/>
        </w:rPr>
        <w:t>。</w:t>
      </w:r>
      <w:r>
        <w:rPr>
          <w:rFonts w:hint="eastAsia" w:ascii="仿宋_GB2312" w:eastAsia="仿宋_GB2312"/>
          <w:sz w:val="32"/>
          <w:szCs w:val="32"/>
          <w:lang w:val="en-US" w:eastAsia="zh-CN"/>
        </w:rPr>
        <w:t>目前已完成壤巴拉国家4A级景区创建工作。</w:t>
      </w:r>
    </w:p>
    <w:p>
      <w:pPr>
        <w:keepNext w:val="0"/>
        <w:keepLines w:val="0"/>
        <w:pageBreakBefore w:val="0"/>
        <w:widowControl w:val="0"/>
        <w:kinsoku/>
        <w:wordWrap/>
        <w:overflowPunct/>
        <w:topLinePunct w:val="0"/>
        <w:autoSpaceDN/>
        <w:bidi w:val="0"/>
        <w:adjustRightInd/>
        <w:snapToGrid/>
        <w:spacing w:line="560" w:lineRule="exact"/>
        <w:ind w:firstLine="640" w:firstLineChars="200"/>
        <w:jc w:val="both"/>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、重点工作任务</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lang w:val="en-US" w:eastAsia="zh-CN"/>
        </w:rPr>
        <w:t>打造壤巴拉非遗传习创业园。</w:t>
      </w:r>
    </w:p>
    <w:p>
      <w:pPr>
        <w:keepNext w:val="0"/>
        <w:keepLines w:val="0"/>
        <w:pageBreakBefore w:val="0"/>
        <w:widowControl w:val="0"/>
        <w:kinsoku/>
        <w:wordWrap/>
        <w:overflowPunct/>
        <w:topLinePunct w:val="0"/>
        <w:autoSpaceDE w:val="0"/>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任务的内容：在充分调研，反复讨论的基础上，立足中壤塘地区是全县文化特色和富集区、生态功能区、贫困重灾区、维稳重点区以及发展前景好，政治社会意义较为重大等实际，以14个非遗传习所为依托，着力建设壤巴拉非遗传习创业园，打造一个集文化技能培训、文化旅游景观和居住生活功能于一体的“美丽家园、文化原乡”。创业园规划用地为42公顷，总建筑面积约为83000平方米，分为公共建筑、自建民居、基础设施三大部分。其中：公共建筑面积为2.7万平方米，园内主要进驻的传习</w:t>
      </w:r>
      <w:r>
        <w:rPr>
          <w:rFonts w:hint="eastAsia" w:ascii="仿宋_GB2312" w:hAnsi="仿宋_GB2312" w:eastAsia="仿宋_GB2312" w:cs="仿宋_GB2312"/>
          <w:sz w:val="32"/>
          <w:szCs w:val="32"/>
          <w:lang w:val="en-US" w:eastAsia="zh-CN"/>
        </w:rPr>
        <w:t>所有</w:t>
      </w:r>
      <w:r>
        <w:rPr>
          <w:rFonts w:hint="eastAsia" w:ascii="仿宋_GB2312" w:hAnsi="仿宋_GB2312" w:eastAsia="仿宋_GB2312" w:cs="仿宋_GB2312"/>
          <w:sz w:val="32"/>
          <w:szCs w:val="32"/>
        </w:rPr>
        <w:t>唐卡、梵乐、藏医药、藏香、雕刻、裁缝等，规划建设传习、创作、交流及展示等中心12个，新建民居183栋。预计总投资2.7亿。</w:t>
      </w:r>
    </w:p>
    <w:p>
      <w:pPr>
        <w:keepNext w:val="0"/>
        <w:keepLines w:val="0"/>
        <w:pageBreakBefore w:val="0"/>
        <w:widowControl w:val="0"/>
        <w:kinsoku/>
        <w:wordWrap/>
        <w:overflowPunct/>
        <w:topLinePunct w:val="0"/>
        <w:autoSpaceDN/>
        <w:bidi w:val="0"/>
        <w:adjustRightInd/>
        <w:snapToGrid/>
        <w:spacing w:line="560" w:lineRule="exact"/>
        <w:ind w:firstLine="640" w:firstLineChars="200"/>
        <w:jc w:val="both"/>
        <w:textAlignment w:val="auto"/>
        <w:rPr>
          <w:rFonts w:hint="default" w:ascii="Times New Roman" w:hAnsi="Times New Roman" w:eastAsia="黑体" w:cs="Times New Roman"/>
          <w:b w:val="0"/>
          <w:bCs w:val="0"/>
          <w:kern w:val="2"/>
          <w:sz w:val="21"/>
          <w:szCs w:val="24"/>
          <w:lang w:val="en-US" w:eastAsia="zh-CN" w:bidi="ar-SA"/>
        </w:rPr>
      </w:pPr>
      <w:r>
        <w:rPr>
          <w:rFonts w:hint="eastAsia" w:ascii="仿宋_GB2312" w:hAnsi="仿宋" w:eastAsia="仿宋_GB2312" w:cs="仿宋"/>
          <w:sz w:val="32"/>
          <w:szCs w:val="32"/>
        </w:rPr>
        <w:t>按照分步推进、有序实施的原则，通过系列有效措施，助推园区建设，</w:t>
      </w:r>
      <w:r>
        <w:rPr>
          <w:rFonts w:hint="eastAsia" w:ascii="仿宋_GB2312" w:hAnsi="仿宋_GB2312" w:eastAsia="仿宋_GB2312" w:cs="仿宋_GB2312"/>
          <w:sz w:val="32"/>
          <w:szCs w:val="32"/>
        </w:rPr>
        <w:t>今年以来</w:t>
      </w:r>
      <w:r>
        <w:rPr>
          <w:rFonts w:hint="eastAsia" w:ascii="仿宋_GB2312" w:hAnsi="仿宋_GB2312" w:eastAsia="仿宋_GB2312" w:cs="仿宋_GB2312"/>
          <w:sz w:val="32"/>
          <w:szCs w:val="32"/>
          <w:lang w:val="en-US" w:eastAsia="zh-CN"/>
        </w:rPr>
        <w:t>园区</w:t>
      </w:r>
      <w:r>
        <w:rPr>
          <w:rFonts w:hint="eastAsia" w:ascii="仿宋_GB2312" w:hAnsi="仿宋_GB2312" w:eastAsia="仿宋_GB2312" w:cs="仿宋_GB2312"/>
          <w:sz w:val="32"/>
          <w:szCs w:val="32"/>
        </w:rPr>
        <w:t>总投资累计达到1.08亿元，</w:t>
      </w:r>
      <w:r>
        <w:rPr>
          <w:rFonts w:hint="eastAsia" w:ascii="仿宋_GB2312" w:hAnsi="仿宋_GB2312" w:eastAsia="仿宋_GB2312" w:cs="仿宋_GB2312"/>
          <w:sz w:val="32"/>
          <w:szCs w:val="32"/>
          <w:lang w:val="en-US" w:eastAsia="zh-CN"/>
        </w:rPr>
        <w:t>目前园区一期项目已陆续建成并已投入使用。</w:t>
      </w:r>
      <w:r>
        <w:rPr>
          <w:rFonts w:hint="eastAsia" w:ascii="仿宋_GB2312" w:eastAsia="仿宋_GB2312"/>
          <w:b w:val="0"/>
          <w:bCs w:val="0"/>
          <w:sz w:val="32"/>
          <w:szCs w:val="32"/>
          <w:lang w:val="en-US" w:eastAsia="zh-CN"/>
        </w:rPr>
        <w:t>园区共计已入住10所已成熟传习所毕业生，共计300名学员（传承人）；70栋民居已入住58栋60名唐卡毕业生；并开始进行了创作。</w:t>
      </w:r>
    </w:p>
    <w:p>
      <w:pPr>
        <w:keepNext w:val="0"/>
        <w:keepLines w:val="0"/>
        <w:pageBreakBefore w:val="0"/>
        <w:widowControl w:val="0"/>
        <w:kinsoku/>
        <w:wordWrap/>
        <w:overflowPunct/>
        <w:topLinePunct w:val="0"/>
        <w:autoSpaceDN/>
        <w:bidi w:val="0"/>
        <w:adjustRightInd/>
        <w:snapToGrid/>
        <w:spacing w:line="560" w:lineRule="exact"/>
        <w:ind w:firstLine="640" w:firstLineChars="200"/>
        <w:jc w:val="both"/>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、重点工作任务</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lang w:val="en-US" w:eastAsia="zh-CN"/>
        </w:rPr>
        <w:t>强力推进重点项目</w:t>
      </w:r>
      <w:r>
        <w:rPr>
          <w:rFonts w:hint="eastAsia" w:ascii="仿宋_GB2312" w:eastAsia="仿宋_GB2312"/>
          <w:b/>
          <w:bCs/>
          <w:sz w:val="32"/>
          <w:szCs w:val="32"/>
          <w:lang w:val="en-US" w:eastAsia="zh-CN"/>
        </w:rPr>
        <w:t>项目，并投入使用。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rPr>
        <w:t>工作任务的内容：</w:t>
      </w:r>
      <w:r>
        <w:rPr>
          <w:rFonts w:hint="eastAsia" w:ascii="仿宋_GB2312" w:hAnsi="仿宋_GB2312" w:eastAsia="仿宋_GB2312" w:cs="仿宋_GB2312"/>
          <w:b w:val="0"/>
          <w:bCs w:val="0"/>
          <w:sz w:val="32"/>
          <w:szCs w:val="32"/>
          <w:lang w:val="en-US" w:eastAsia="zh-CN"/>
        </w:rPr>
        <w:t>2020年我单位负责实施项目共计8个；8个续建项目。其中中央补助</w:t>
      </w:r>
      <w:r>
        <w:rPr>
          <w:rFonts w:hint="eastAsia" w:ascii="仿宋_GB2312" w:hAnsi="仿宋_GB2312" w:eastAsia="仿宋_GB2312" w:cs="仿宋_GB2312"/>
          <w:b w:val="0"/>
          <w:bCs w:val="0"/>
          <w:sz w:val="32"/>
          <w:szCs w:val="32"/>
        </w:rPr>
        <w:t>资金</w:t>
      </w:r>
      <w:r>
        <w:rPr>
          <w:rFonts w:hint="eastAsia" w:ascii="仿宋_GB2312" w:hAnsi="仿宋_GB2312" w:eastAsia="仿宋_GB2312" w:cs="仿宋_GB2312"/>
          <w:b w:val="0"/>
          <w:bCs w:val="0"/>
          <w:sz w:val="32"/>
          <w:szCs w:val="32"/>
          <w:lang w:eastAsia="zh-CN"/>
        </w:rPr>
        <w:t>项目</w:t>
      </w:r>
      <w:r>
        <w:rPr>
          <w:rFonts w:hint="eastAsia" w:ascii="仿宋_GB2312" w:hAnsi="仿宋_GB2312" w:eastAsia="仿宋_GB2312" w:cs="仿宋_GB2312"/>
          <w:b w:val="0"/>
          <w:bCs w:val="0"/>
          <w:sz w:val="32"/>
          <w:szCs w:val="32"/>
          <w:lang w:val="en-US" w:eastAsia="zh-CN"/>
        </w:rPr>
        <w:t>4个、浙江援建项目4个，总投入资金约8千万。</w:t>
      </w:r>
    </w:p>
    <w:p>
      <w:pPr>
        <w:pStyle w:val="21"/>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五、</w:t>
      </w:r>
      <w:r>
        <w:rPr>
          <w:rFonts w:hint="eastAsia" w:ascii="仿宋_GB2312" w:hAnsi="仿宋_GB2312" w:eastAsia="仿宋_GB2312" w:cs="仿宋_GB2312"/>
          <w:b/>
          <w:bCs/>
          <w:kern w:val="0"/>
          <w:sz w:val="32"/>
          <w:szCs w:val="32"/>
        </w:rPr>
        <w:t>评价结论及措施</w:t>
      </w:r>
    </w:p>
    <w:p>
      <w:pPr>
        <w:pStyle w:val="21"/>
        <w:spacing w:line="360" w:lineRule="auto"/>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）存在问题</w:t>
      </w:r>
    </w:p>
    <w:p>
      <w:pPr>
        <w:pStyle w:val="21"/>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1、办公用品耗材使用量大，存在一定浪费的情况。</w:t>
      </w:r>
    </w:p>
    <w:p>
      <w:pPr>
        <w:pStyle w:val="21"/>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我</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lang w:eastAsia="zh-CN"/>
        </w:rPr>
        <w:t>基础设施</w:t>
      </w:r>
      <w:r>
        <w:rPr>
          <w:rFonts w:hint="eastAsia" w:ascii="仿宋_GB2312" w:hAnsi="仿宋_GB2312" w:eastAsia="仿宋_GB2312" w:cs="仿宋_GB2312"/>
          <w:sz w:val="32"/>
          <w:szCs w:val="32"/>
        </w:rPr>
        <w:t>项目较多且急</w:t>
      </w:r>
      <w:r>
        <w:rPr>
          <w:rFonts w:hint="eastAsia" w:ascii="仿宋_GB2312" w:hAnsi="仿宋_GB2312" w:eastAsia="仿宋_GB2312" w:cs="仿宋_GB2312"/>
          <w:sz w:val="32"/>
          <w:szCs w:val="32"/>
          <w:lang w:eastAsia="zh-CN"/>
        </w:rPr>
        <w:t>任务重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资金拨付率较慢。</w:t>
      </w:r>
    </w:p>
    <w:p>
      <w:pPr>
        <w:pStyle w:val="21"/>
        <w:spacing w:line="360" w:lineRule="auto"/>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）改进措施</w:t>
      </w:r>
    </w:p>
    <w:p>
      <w:pPr>
        <w:pStyle w:val="21"/>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1、合理安排</w:t>
      </w:r>
      <w:r>
        <w:rPr>
          <w:rFonts w:hint="eastAsia" w:ascii="仿宋_GB2312" w:hAnsi="仿宋_GB2312" w:eastAsia="仿宋_GB2312" w:cs="仿宋_GB2312"/>
          <w:sz w:val="32"/>
          <w:szCs w:val="32"/>
          <w:lang w:eastAsia="zh-CN"/>
        </w:rPr>
        <w:t>办公耗材使用</w:t>
      </w:r>
      <w:r>
        <w:rPr>
          <w:rFonts w:hint="eastAsia" w:ascii="仿宋_GB2312" w:hAnsi="仿宋_GB2312" w:eastAsia="仿宋_GB2312" w:cs="仿宋_GB2312"/>
          <w:sz w:val="32"/>
          <w:szCs w:val="32"/>
        </w:rPr>
        <w:t>，切实做到物尽其用，尽可能减少浪费的情况。</w:t>
      </w:r>
    </w:p>
    <w:p>
      <w:pPr>
        <w:pStyle w:val="21"/>
        <w:spacing w:line="360" w:lineRule="auto"/>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加强对基础设施项目管理，及时拨付项目资金进度。</w:t>
      </w:r>
    </w:p>
    <w:p>
      <w:pPr>
        <w:pStyle w:val="21"/>
        <w:spacing w:line="360" w:lineRule="auto"/>
        <w:ind w:left="420" w:leftChars="200" w:firstLine="0" w:firstLineChars="0"/>
        <w:jc w:val="both"/>
        <w:rPr>
          <w:rFonts w:asciiTheme="minorEastAsia" w:hAnsiTheme="minorEastAsia" w:eastAsiaTheme="minorEastAsia" w:cstheme="minorEastAsia"/>
          <w:szCs w:val="21"/>
        </w:rPr>
      </w:pPr>
    </w:p>
    <w:p>
      <w:pPr>
        <w:pStyle w:val="28"/>
        <w:spacing w:line="560" w:lineRule="exact"/>
        <w:ind w:firstLine="480" w:firstLineChars="200"/>
        <w:rPr>
          <w:rFonts w:ascii="仿宋" w:hAnsi="仿宋" w:eastAsia="仿宋"/>
          <w:color w:val="000000" w:themeColor="text1"/>
          <w14:textFill>
            <w14:solidFill>
              <w14:schemeClr w14:val="tx1"/>
            </w14:solidFill>
          </w14:textFill>
        </w:rPr>
      </w:pPr>
    </w:p>
    <w:p>
      <w:pPr>
        <w:pStyle w:val="28"/>
        <w:spacing w:line="560" w:lineRule="exact"/>
        <w:ind w:firstLine="480" w:firstLineChars="200"/>
        <w:rPr>
          <w:rFonts w:ascii="仿宋" w:hAnsi="仿宋" w:eastAsia="仿宋"/>
          <w:color w:val="000000" w:themeColor="text1"/>
          <w14:textFill>
            <w14:solidFill>
              <w14:schemeClr w14:val="tx1"/>
            </w14:solidFill>
          </w14:textFill>
        </w:rPr>
      </w:pPr>
    </w:p>
    <w:p>
      <w:pPr>
        <w:pStyle w:val="28"/>
        <w:spacing w:line="560" w:lineRule="exact"/>
        <w:ind w:firstLine="480" w:firstLineChars="200"/>
        <w:rPr>
          <w:rFonts w:ascii="仿宋" w:hAnsi="仿宋" w:eastAsia="仿宋"/>
          <w:color w:val="000000" w:themeColor="text1"/>
          <w14:textFill>
            <w14:solidFill>
              <w14:schemeClr w14:val="tx1"/>
            </w14:solidFill>
          </w14:textFill>
        </w:rPr>
      </w:pPr>
    </w:p>
    <w:p>
      <w:pPr>
        <w:pStyle w:val="28"/>
        <w:spacing w:line="560" w:lineRule="exact"/>
        <w:ind w:firstLine="480" w:firstLineChars="200"/>
        <w:rPr>
          <w:rFonts w:ascii="仿宋" w:hAnsi="仿宋" w:eastAsia="仿宋"/>
          <w:color w:val="000000" w:themeColor="text1"/>
          <w14:textFill>
            <w14:solidFill>
              <w14:schemeClr w14:val="tx1"/>
            </w14:solidFill>
          </w14:textFill>
        </w:rPr>
      </w:pPr>
    </w:p>
    <w:p>
      <w:pPr>
        <w:pStyle w:val="28"/>
        <w:spacing w:line="560" w:lineRule="exact"/>
        <w:ind w:firstLine="480" w:firstLineChars="200"/>
        <w:rPr>
          <w:rFonts w:ascii="仿宋" w:hAnsi="仿宋" w:eastAsia="仿宋"/>
          <w:color w:val="000000" w:themeColor="text1"/>
          <w14:textFill>
            <w14:solidFill>
              <w14:schemeClr w14:val="tx1"/>
            </w14:solidFill>
          </w14:textFill>
        </w:rPr>
      </w:pPr>
    </w:p>
    <w:p>
      <w:pPr>
        <w:pStyle w:val="28"/>
        <w:spacing w:line="560" w:lineRule="exact"/>
        <w:ind w:firstLine="480" w:firstLineChars="200"/>
        <w:rPr>
          <w:rFonts w:ascii="仿宋" w:hAnsi="仿宋" w:eastAsia="仿宋"/>
          <w:color w:val="000000" w:themeColor="text1"/>
          <w14:textFill>
            <w14:solidFill>
              <w14:schemeClr w14:val="tx1"/>
            </w14:solidFill>
          </w14:textFill>
        </w:rPr>
      </w:pPr>
    </w:p>
    <w:p>
      <w:pPr>
        <w:pStyle w:val="28"/>
        <w:spacing w:line="560" w:lineRule="exact"/>
        <w:ind w:firstLine="480" w:firstLineChars="200"/>
        <w:rPr>
          <w:rFonts w:ascii="仿宋" w:hAnsi="仿宋" w:eastAsia="仿宋"/>
          <w:color w:val="000000" w:themeColor="text1"/>
          <w14:textFill>
            <w14:solidFill>
              <w14:schemeClr w14:val="tx1"/>
            </w14:solidFill>
          </w14:textFill>
        </w:rPr>
      </w:pPr>
    </w:p>
    <w:p>
      <w:pPr>
        <w:pStyle w:val="28"/>
        <w:spacing w:line="560" w:lineRule="exact"/>
        <w:ind w:firstLine="480" w:firstLineChars="200"/>
        <w:rPr>
          <w:rFonts w:ascii="仿宋" w:hAnsi="仿宋" w:eastAsia="仿宋"/>
          <w:color w:val="000000" w:themeColor="text1"/>
          <w14:textFill>
            <w14:solidFill>
              <w14:schemeClr w14:val="tx1"/>
            </w14:solidFill>
          </w14:textFill>
        </w:rPr>
      </w:pPr>
    </w:p>
    <w:p>
      <w:pPr>
        <w:pStyle w:val="28"/>
        <w:spacing w:line="560" w:lineRule="exact"/>
        <w:ind w:firstLine="480" w:firstLineChars="200"/>
        <w:rPr>
          <w:rFonts w:ascii="仿宋" w:hAnsi="仿宋" w:eastAsia="仿宋"/>
          <w:color w:val="000000" w:themeColor="text1"/>
          <w14:textFill>
            <w14:solidFill>
              <w14:schemeClr w14:val="tx1"/>
            </w14:solidFill>
          </w14:textFill>
        </w:rPr>
      </w:pPr>
    </w:p>
    <w:p>
      <w:pPr>
        <w:pStyle w:val="28"/>
        <w:spacing w:line="560" w:lineRule="exact"/>
        <w:ind w:firstLine="480" w:firstLineChars="200"/>
        <w:rPr>
          <w:rFonts w:ascii="仿宋" w:hAnsi="仿宋" w:eastAsia="仿宋"/>
          <w:color w:val="000000" w:themeColor="text1"/>
          <w14:textFill>
            <w14:solidFill>
              <w14:schemeClr w14:val="tx1"/>
            </w14:solidFill>
          </w14:textFill>
        </w:rPr>
      </w:pPr>
    </w:p>
    <w:p>
      <w:pPr>
        <w:pStyle w:val="28"/>
        <w:spacing w:line="560" w:lineRule="exact"/>
        <w:ind w:firstLine="480" w:firstLineChars="200"/>
        <w:rPr>
          <w:rFonts w:ascii="仿宋" w:hAnsi="仿宋" w:eastAsia="仿宋"/>
          <w:color w:val="000000" w:themeColor="text1"/>
          <w14:textFill>
            <w14:solidFill>
              <w14:schemeClr w14:val="tx1"/>
            </w14:solidFill>
          </w14:textFill>
        </w:rPr>
      </w:pPr>
    </w:p>
    <w:p>
      <w:pPr>
        <w:pStyle w:val="28"/>
        <w:spacing w:line="560" w:lineRule="exact"/>
        <w:ind w:firstLine="480" w:firstLineChars="200"/>
        <w:rPr>
          <w:rFonts w:ascii="仿宋" w:hAnsi="仿宋" w:eastAsia="仿宋"/>
          <w:color w:val="000000" w:themeColor="text1"/>
          <w14:textFill>
            <w14:solidFill>
              <w14:schemeClr w14:val="tx1"/>
            </w14:solidFill>
          </w14:textFill>
        </w:rPr>
      </w:pPr>
    </w:p>
    <w:p>
      <w:pPr>
        <w:pStyle w:val="28"/>
        <w:spacing w:line="560" w:lineRule="exact"/>
        <w:ind w:firstLine="480" w:firstLineChars="200"/>
        <w:rPr>
          <w:rFonts w:ascii="仿宋" w:hAnsi="仿宋" w:eastAsia="仿宋"/>
          <w:color w:val="000000" w:themeColor="text1"/>
          <w14:textFill>
            <w14:solidFill>
              <w14:schemeClr w14:val="tx1"/>
            </w14:solidFill>
          </w14:textFill>
        </w:rPr>
      </w:pPr>
    </w:p>
    <w:p>
      <w:pPr>
        <w:pStyle w:val="28"/>
        <w:spacing w:line="560" w:lineRule="exact"/>
        <w:ind w:firstLine="480" w:firstLineChars="200"/>
        <w:rPr>
          <w:rFonts w:ascii="仿宋" w:hAnsi="仿宋" w:eastAsia="仿宋"/>
          <w:color w:val="000000" w:themeColor="text1"/>
          <w14:textFill>
            <w14:solidFill>
              <w14:schemeClr w14:val="tx1"/>
            </w14:solidFill>
          </w14:textFill>
        </w:rPr>
      </w:pPr>
    </w:p>
    <w:p>
      <w:pPr>
        <w:pStyle w:val="28"/>
        <w:spacing w:line="560" w:lineRule="exact"/>
        <w:ind w:firstLine="480" w:firstLineChars="200"/>
        <w:rPr>
          <w:rFonts w:ascii="仿宋" w:hAnsi="仿宋" w:eastAsia="仿宋"/>
          <w:color w:val="000000" w:themeColor="text1"/>
          <w14:textFill>
            <w14:solidFill>
              <w14:schemeClr w14:val="tx1"/>
            </w14:solidFill>
          </w14:textFill>
        </w:rPr>
      </w:pPr>
    </w:p>
    <w:p>
      <w:pPr>
        <w:pStyle w:val="28"/>
        <w:spacing w:line="560" w:lineRule="exact"/>
        <w:ind w:firstLine="480" w:firstLineChars="200"/>
        <w:rPr>
          <w:rFonts w:ascii="仿宋" w:hAnsi="仿宋" w:eastAsia="仿宋"/>
          <w:color w:val="000000" w:themeColor="text1"/>
          <w14:textFill>
            <w14:solidFill>
              <w14:schemeClr w14:val="tx1"/>
            </w14:solidFill>
          </w14:textFill>
        </w:rPr>
      </w:pPr>
    </w:p>
    <w:p>
      <w:pPr>
        <w:pStyle w:val="28"/>
        <w:spacing w:line="560" w:lineRule="exact"/>
        <w:ind w:firstLine="480" w:firstLineChars="200"/>
        <w:rPr>
          <w:rFonts w:ascii="仿宋" w:hAnsi="仿宋" w:eastAsia="仿宋"/>
          <w:color w:val="000000" w:themeColor="text1"/>
          <w14:textFill>
            <w14:solidFill>
              <w14:schemeClr w14:val="tx1"/>
            </w14:solidFill>
          </w14:textFill>
        </w:rPr>
      </w:pPr>
    </w:p>
    <w:p>
      <w:pPr>
        <w:pStyle w:val="28"/>
        <w:spacing w:line="560" w:lineRule="exact"/>
        <w:rPr>
          <w:rFonts w:hint="eastAsia" w:ascii="仿宋" w:hAnsi="仿宋" w:eastAsia="仿宋"/>
          <w:color w:val="000000" w:themeColor="text1"/>
          <w:lang w:eastAsia="zh-CN"/>
          <w14:textFill>
            <w14:solidFill>
              <w14:schemeClr w14:val="tx1"/>
            </w14:solidFill>
          </w14:textFill>
        </w:rPr>
      </w:pPr>
    </w:p>
    <w:p>
      <w:pPr>
        <w:pStyle w:val="28"/>
        <w:spacing w:line="560" w:lineRule="exact"/>
        <w:rPr>
          <w:rFonts w:hint="eastAsia" w:ascii="仿宋" w:hAnsi="仿宋" w:eastAsia="仿宋"/>
          <w:color w:val="000000" w:themeColor="text1"/>
          <w:lang w:eastAsia="zh-CN"/>
          <w14:textFill>
            <w14:solidFill>
              <w14:schemeClr w14:val="tx1"/>
            </w14:solidFill>
          </w14:textFill>
        </w:rPr>
      </w:pPr>
    </w:p>
    <w:p>
      <w:pPr>
        <w:pStyle w:val="28"/>
        <w:spacing w:line="560" w:lineRule="exact"/>
        <w:rPr>
          <w:rFonts w:hint="eastAsia" w:ascii="仿宋" w:hAnsi="仿宋" w:eastAsia="仿宋"/>
          <w:color w:val="000000" w:themeColor="text1"/>
          <w:lang w:eastAsia="zh-CN"/>
          <w14:textFill>
            <w14:solidFill>
              <w14:schemeClr w14:val="tx1"/>
            </w14:solidFill>
          </w14:textFill>
        </w:rPr>
      </w:pPr>
    </w:p>
    <w:p>
      <w:pPr>
        <w:pStyle w:val="28"/>
        <w:spacing w:line="560" w:lineRule="exact"/>
        <w:rPr>
          <w:rFonts w:hint="eastAsia" w:ascii="仿宋" w:hAnsi="仿宋" w:eastAsia="仿宋"/>
          <w:color w:val="000000" w:themeColor="text1"/>
          <w:lang w:eastAsia="zh-CN"/>
          <w14:textFill>
            <w14:solidFill>
              <w14:schemeClr w14:val="tx1"/>
            </w14:solidFill>
          </w14:textFill>
        </w:rPr>
      </w:pPr>
    </w:p>
    <w:p>
      <w:pPr>
        <w:pStyle w:val="28"/>
        <w:spacing w:line="560" w:lineRule="exact"/>
        <w:ind w:firstLine="480" w:firstLineChars="200"/>
        <w:rPr>
          <w:rFonts w:ascii="仿宋" w:hAnsi="仿宋" w:eastAsia="仿宋"/>
          <w:color w:val="000000" w:themeColor="text1"/>
          <w14:textFill>
            <w14:solidFill>
              <w14:schemeClr w14:val="tx1"/>
            </w14:solidFill>
          </w14:textFill>
        </w:rPr>
      </w:pPr>
    </w:p>
    <w:p>
      <w:pPr>
        <w:spacing w:line="600" w:lineRule="exact"/>
        <w:jc w:val="center"/>
        <w:outlineLvl w:val="0"/>
        <w:rPr>
          <w:rStyle w:val="37"/>
          <w:rFonts w:ascii="黑体" w:hAnsi="黑体" w:eastAsia="黑体"/>
          <w:b w:val="0"/>
        </w:rPr>
      </w:pPr>
      <w:bookmarkStart w:id="95" w:name="_Toc15396618"/>
      <w:bookmarkStart w:id="96" w:name="_Toc30954"/>
      <w:bookmarkStart w:id="97" w:name="_Toc79163635"/>
      <w:bookmarkStart w:id="98" w:name="_Toc79163885"/>
      <w:r>
        <w:rPr>
          <w:rFonts w:hint="eastAsia" w:ascii="黑体" w:hAnsi="黑体" w:eastAsia="黑体"/>
          <w:color w:val="000000"/>
          <w:sz w:val="44"/>
          <w:szCs w:val="44"/>
        </w:rPr>
        <w:t>第</w:t>
      </w:r>
      <w:r>
        <w:rPr>
          <w:rStyle w:val="37"/>
          <w:rFonts w:hint="eastAsia" w:ascii="黑体" w:hAnsi="黑体" w:eastAsia="黑体"/>
          <w:b w:val="0"/>
        </w:rPr>
        <w:t>五部分</w:t>
      </w:r>
      <w:r>
        <w:rPr>
          <w:rStyle w:val="37"/>
          <w:rFonts w:ascii="黑体" w:hAnsi="黑体" w:eastAsia="黑体"/>
          <w:b w:val="0"/>
        </w:rPr>
        <w:t xml:space="preserve"> </w:t>
      </w:r>
      <w:r>
        <w:rPr>
          <w:rStyle w:val="37"/>
          <w:rFonts w:hint="eastAsia" w:ascii="黑体" w:hAnsi="黑体" w:eastAsia="黑体"/>
          <w:b w:val="0"/>
        </w:rPr>
        <w:t>附表</w:t>
      </w:r>
      <w:bookmarkEnd w:id="95"/>
      <w:bookmarkEnd w:id="96"/>
      <w:bookmarkEnd w:id="97"/>
      <w:bookmarkEnd w:id="98"/>
    </w:p>
    <w:p>
      <w:pPr>
        <w:pStyle w:val="4"/>
        <w:rPr>
          <w:rFonts w:ascii="仿宋" w:hAnsi="仿宋" w:eastAsia="仿宋"/>
          <w:color w:val="000000"/>
        </w:rPr>
      </w:pPr>
      <w:bookmarkStart w:id="99" w:name="_Toc15297"/>
      <w:bookmarkStart w:id="100" w:name="_Toc79163886"/>
      <w:bookmarkStart w:id="101" w:name="_Toc15396619"/>
      <w:bookmarkStart w:id="102" w:name="_Toc15519"/>
      <w:bookmarkStart w:id="103" w:name="_Toc79163636"/>
      <w:r>
        <w:rPr>
          <w:rFonts w:hint="eastAsia" w:ascii="仿宋" w:hAnsi="仿宋" w:eastAsia="仿宋"/>
          <w:b w:val="0"/>
          <w:color w:val="000000"/>
        </w:rPr>
        <w:t>一、收</w:t>
      </w:r>
      <w:r>
        <w:rPr>
          <w:rStyle w:val="35"/>
          <w:rFonts w:hint="eastAsia" w:ascii="仿宋" w:hAnsi="仿宋" w:eastAsia="仿宋"/>
          <w:b w:val="0"/>
          <w:bCs w:val="0"/>
        </w:rPr>
        <w:t>入支出决算总表</w:t>
      </w:r>
      <w:bookmarkEnd w:id="99"/>
      <w:bookmarkEnd w:id="100"/>
      <w:bookmarkEnd w:id="101"/>
      <w:bookmarkEnd w:id="102"/>
      <w:bookmarkEnd w:id="103"/>
    </w:p>
    <w:p>
      <w:pPr>
        <w:pStyle w:val="4"/>
        <w:rPr>
          <w:rFonts w:ascii="仿宋" w:hAnsi="仿宋" w:eastAsia="仿宋"/>
          <w:color w:val="000000"/>
        </w:rPr>
      </w:pPr>
      <w:bookmarkStart w:id="104" w:name="_Toc79163887"/>
      <w:bookmarkStart w:id="105" w:name="_Toc15396620"/>
      <w:bookmarkStart w:id="106" w:name="_Toc15240"/>
      <w:bookmarkStart w:id="107" w:name="_Toc18945"/>
      <w:bookmarkStart w:id="108" w:name="_Toc79163637"/>
      <w:r>
        <w:rPr>
          <w:rFonts w:hint="eastAsia" w:ascii="仿宋" w:hAnsi="仿宋" w:eastAsia="仿宋"/>
          <w:b w:val="0"/>
          <w:color w:val="000000"/>
        </w:rPr>
        <w:t>二、收</w:t>
      </w:r>
      <w:r>
        <w:rPr>
          <w:rStyle w:val="35"/>
          <w:rFonts w:hint="eastAsia" w:ascii="仿宋" w:hAnsi="仿宋" w:eastAsia="仿宋"/>
          <w:b w:val="0"/>
          <w:bCs w:val="0"/>
        </w:rPr>
        <w:t>入决算表</w:t>
      </w:r>
      <w:bookmarkEnd w:id="104"/>
      <w:bookmarkEnd w:id="105"/>
      <w:bookmarkEnd w:id="106"/>
      <w:bookmarkEnd w:id="107"/>
      <w:bookmarkEnd w:id="108"/>
    </w:p>
    <w:p>
      <w:pPr>
        <w:pStyle w:val="4"/>
        <w:rPr>
          <w:rFonts w:ascii="仿宋" w:hAnsi="仿宋" w:eastAsia="仿宋"/>
          <w:color w:val="000000"/>
        </w:rPr>
      </w:pPr>
      <w:bookmarkStart w:id="109" w:name="_Toc13370"/>
      <w:bookmarkStart w:id="110" w:name="_Toc79163888"/>
      <w:bookmarkStart w:id="111" w:name="_Toc79163638"/>
      <w:bookmarkStart w:id="112" w:name="_Toc26918"/>
      <w:bookmarkStart w:id="113" w:name="_Toc15396621"/>
      <w:r>
        <w:rPr>
          <w:rStyle w:val="35"/>
          <w:rFonts w:hint="eastAsia" w:ascii="仿宋" w:hAnsi="仿宋" w:eastAsia="仿宋"/>
          <w:b w:val="0"/>
          <w:bCs w:val="0"/>
        </w:rPr>
        <w:t>三、</w:t>
      </w:r>
      <w:r>
        <w:rPr>
          <w:rFonts w:hint="eastAsia" w:ascii="仿宋" w:hAnsi="仿宋" w:eastAsia="仿宋"/>
          <w:b w:val="0"/>
          <w:color w:val="000000"/>
        </w:rPr>
        <w:t>支</w:t>
      </w:r>
      <w:r>
        <w:rPr>
          <w:rStyle w:val="35"/>
          <w:rFonts w:hint="eastAsia" w:ascii="仿宋" w:hAnsi="仿宋" w:eastAsia="仿宋"/>
          <w:b w:val="0"/>
          <w:bCs w:val="0"/>
        </w:rPr>
        <w:t>出决算表</w:t>
      </w:r>
      <w:bookmarkEnd w:id="109"/>
      <w:bookmarkEnd w:id="110"/>
      <w:bookmarkEnd w:id="111"/>
      <w:bookmarkEnd w:id="112"/>
      <w:bookmarkEnd w:id="113"/>
    </w:p>
    <w:p>
      <w:pPr>
        <w:pStyle w:val="4"/>
        <w:rPr>
          <w:rFonts w:ascii="仿宋" w:hAnsi="仿宋" w:eastAsia="仿宋"/>
          <w:b w:val="0"/>
          <w:color w:val="000000"/>
        </w:rPr>
      </w:pPr>
      <w:bookmarkStart w:id="114" w:name="_Toc29907"/>
      <w:bookmarkStart w:id="115" w:name="_Toc2029"/>
      <w:bookmarkStart w:id="116" w:name="_Toc15396622"/>
      <w:bookmarkStart w:id="117" w:name="_Toc79163889"/>
      <w:bookmarkStart w:id="118" w:name="_Toc79163639"/>
      <w:r>
        <w:rPr>
          <w:rStyle w:val="35"/>
          <w:rFonts w:hint="eastAsia" w:ascii="仿宋" w:hAnsi="仿宋" w:eastAsia="仿宋"/>
          <w:b w:val="0"/>
          <w:bCs w:val="0"/>
        </w:rPr>
        <w:t>四、</w:t>
      </w:r>
      <w:r>
        <w:rPr>
          <w:rFonts w:hint="eastAsia" w:ascii="仿宋" w:hAnsi="仿宋" w:eastAsia="仿宋"/>
          <w:b w:val="0"/>
          <w:color w:val="000000"/>
        </w:rPr>
        <w:t>财</w:t>
      </w:r>
      <w:r>
        <w:rPr>
          <w:rStyle w:val="35"/>
          <w:rFonts w:hint="eastAsia" w:ascii="仿宋" w:hAnsi="仿宋" w:eastAsia="仿宋"/>
          <w:b w:val="0"/>
          <w:bCs w:val="0"/>
        </w:rPr>
        <w:t>政拨款收入支出决算总表</w:t>
      </w:r>
      <w:bookmarkEnd w:id="114"/>
      <w:bookmarkEnd w:id="115"/>
      <w:bookmarkEnd w:id="116"/>
      <w:bookmarkEnd w:id="117"/>
      <w:bookmarkEnd w:id="118"/>
    </w:p>
    <w:p>
      <w:pPr>
        <w:pStyle w:val="4"/>
        <w:rPr>
          <w:rStyle w:val="35"/>
          <w:rFonts w:ascii="仿宋" w:hAnsi="仿宋" w:eastAsia="仿宋"/>
          <w:b w:val="0"/>
          <w:bCs w:val="0"/>
        </w:rPr>
      </w:pPr>
      <w:bookmarkStart w:id="119" w:name="_Toc15023"/>
      <w:bookmarkStart w:id="120" w:name="_Toc79163640"/>
      <w:bookmarkStart w:id="121" w:name="_Toc79163890"/>
      <w:bookmarkStart w:id="122" w:name="_Toc163"/>
      <w:bookmarkStart w:id="123" w:name="_Toc15396623"/>
      <w:r>
        <w:rPr>
          <w:rStyle w:val="35"/>
          <w:rFonts w:hint="eastAsia" w:ascii="仿宋" w:hAnsi="仿宋" w:eastAsia="仿宋"/>
          <w:b w:val="0"/>
          <w:bCs w:val="0"/>
        </w:rPr>
        <w:t>五、</w:t>
      </w:r>
      <w:r>
        <w:rPr>
          <w:rFonts w:hint="eastAsia" w:ascii="仿宋" w:hAnsi="仿宋" w:eastAsia="仿宋"/>
          <w:b w:val="0"/>
          <w:color w:val="000000"/>
        </w:rPr>
        <w:t>财</w:t>
      </w:r>
      <w:r>
        <w:rPr>
          <w:rStyle w:val="35"/>
          <w:rFonts w:hint="eastAsia" w:ascii="仿宋" w:hAnsi="仿宋" w:eastAsia="仿宋"/>
          <w:b w:val="0"/>
          <w:bCs w:val="0"/>
        </w:rPr>
        <w:t>政拨款支出决算明细表</w:t>
      </w:r>
      <w:bookmarkEnd w:id="119"/>
      <w:bookmarkEnd w:id="120"/>
      <w:bookmarkEnd w:id="121"/>
      <w:bookmarkEnd w:id="122"/>
      <w:bookmarkEnd w:id="123"/>
      <w:bookmarkStart w:id="124" w:name="_Toc15396624"/>
    </w:p>
    <w:p>
      <w:pPr>
        <w:pStyle w:val="4"/>
        <w:rPr>
          <w:rFonts w:ascii="仿宋" w:hAnsi="仿宋" w:eastAsia="仿宋"/>
          <w:color w:val="000000"/>
        </w:rPr>
      </w:pPr>
      <w:bookmarkStart w:id="125" w:name="_Toc79163641"/>
      <w:bookmarkStart w:id="126" w:name="_Toc468"/>
      <w:bookmarkStart w:id="127" w:name="_Toc79163891"/>
      <w:bookmarkStart w:id="128" w:name="_Toc29587"/>
      <w:r>
        <w:rPr>
          <w:rStyle w:val="35"/>
          <w:rFonts w:hint="eastAsia" w:ascii="仿宋" w:hAnsi="仿宋" w:eastAsia="仿宋"/>
          <w:b w:val="0"/>
          <w:bCs w:val="0"/>
        </w:rPr>
        <w:t>六、</w:t>
      </w:r>
      <w:r>
        <w:rPr>
          <w:rFonts w:hint="eastAsia" w:ascii="仿宋" w:hAnsi="仿宋" w:eastAsia="仿宋"/>
          <w:b w:val="0"/>
          <w:color w:val="000000"/>
        </w:rPr>
        <w:t>一</w:t>
      </w:r>
      <w:r>
        <w:rPr>
          <w:rStyle w:val="35"/>
          <w:rFonts w:hint="eastAsia" w:ascii="仿宋" w:hAnsi="仿宋" w:eastAsia="仿宋"/>
          <w:b w:val="0"/>
          <w:bCs w:val="0"/>
        </w:rPr>
        <w:t>般公共预算财政拨款支出决算表</w:t>
      </w:r>
      <w:bookmarkEnd w:id="124"/>
      <w:bookmarkEnd w:id="125"/>
      <w:bookmarkEnd w:id="126"/>
      <w:bookmarkEnd w:id="127"/>
      <w:bookmarkEnd w:id="128"/>
    </w:p>
    <w:p>
      <w:pPr>
        <w:pStyle w:val="4"/>
        <w:rPr>
          <w:rFonts w:ascii="仿宋" w:hAnsi="仿宋" w:eastAsia="仿宋"/>
          <w:color w:val="000000"/>
        </w:rPr>
      </w:pPr>
      <w:bookmarkStart w:id="129" w:name="_Toc4910"/>
      <w:bookmarkStart w:id="130" w:name="_Toc12022"/>
      <w:bookmarkStart w:id="131" w:name="_Toc79163892"/>
      <w:bookmarkStart w:id="132" w:name="_Toc15396625"/>
      <w:bookmarkStart w:id="133" w:name="_Toc79163642"/>
      <w:r>
        <w:rPr>
          <w:rStyle w:val="35"/>
          <w:rFonts w:hint="eastAsia" w:ascii="仿宋" w:hAnsi="仿宋" w:eastAsia="仿宋"/>
          <w:b w:val="0"/>
          <w:bCs w:val="0"/>
        </w:rPr>
        <w:t>七、</w:t>
      </w:r>
      <w:r>
        <w:rPr>
          <w:rFonts w:hint="eastAsia" w:ascii="仿宋" w:hAnsi="仿宋" w:eastAsia="仿宋"/>
          <w:b w:val="0"/>
          <w:color w:val="000000"/>
        </w:rPr>
        <w:t>一</w:t>
      </w:r>
      <w:r>
        <w:rPr>
          <w:rStyle w:val="35"/>
          <w:rFonts w:hint="eastAsia" w:ascii="仿宋" w:hAnsi="仿宋" w:eastAsia="仿宋"/>
          <w:b w:val="0"/>
          <w:bCs w:val="0"/>
        </w:rPr>
        <w:t>般公共预算财政拨款支出决算明细表</w:t>
      </w:r>
      <w:bookmarkEnd w:id="129"/>
      <w:bookmarkEnd w:id="130"/>
      <w:bookmarkEnd w:id="131"/>
      <w:bookmarkEnd w:id="132"/>
      <w:bookmarkEnd w:id="133"/>
    </w:p>
    <w:p>
      <w:pPr>
        <w:pStyle w:val="4"/>
        <w:rPr>
          <w:rFonts w:ascii="仿宋" w:hAnsi="仿宋" w:eastAsia="仿宋"/>
          <w:color w:val="000000"/>
        </w:rPr>
      </w:pPr>
      <w:bookmarkStart w:id="134" w:name="_Toc79163643"/>
      <w:bookmarkStart w:id="135" w:name="_Toc15396626"/>
      <w:bookmarkStart w:id="136" w:name="_Toc32227"/>
      <w:bookmarkStart w:id="137" w:name="_Toc79163893"/>
      <w:bookmarkStart w:id="138" w:name="_Toc22515"/>
      <w:r>
        <w:rPr>
          <w:rStyle w:val="35"/>
          <w:rFonts w:hint="eastAsia" w:ascii="仿宋" w:hAnsi="仿宋" w:eastAsia="仿宋"/>
          <w:b w:val="0"/>
          <w:bCs w:val="0"/>
        </w:rPr>
        <w:t>八、</w:t>
      </w:r>
      <w:r>
        <w:rPr>
          <w:rFonts w:hint="eastAsia" w:ascii="仿宋" w:hAnsi="仿宋" w:eastAsia="仿宋"/>
          <w:b w:val="0"/>
          <w:color w:val="000000"/>
        </w:rPr>
        <w:t>一</w:t>
      </w:r>
      <w:r>
        <w:rPr>
          <w:rStyle w:val="35"/>
          <w:rFonts w:hint="eastAsia" w:ascii="仿宋" w:hAnsi="仿宋" w:eastAsia="仿宋"/>
          <w:b w:val="0"/>
          <w:bCs w:val="0"/>
        </w:rPr>
        <w:t>般公共预算财政拨款基本支出决算表</w:t>
      </w:r>
      <w:bookmarkEnd w:id="134"/>
      <w:bookmarkEnd w:id="135"/>
      <w:bookmarkEnd w:id="136"/>
      <w:bookmarkEnd w:id="137"/>
      <w:bookmarkEnd w:id="138"/>
    </w:p>
    <w:p>
      <w:pPr>
        <w:pStyle w:val="4"/>
        <w:rPr>
          <w:rFonts w:ascii="仿宋" w:hAnsi="仿宋" w:eastAsia="仿宋"/>
          <w:color w:val="000000"/>
        </w:rPr>
      </w:pPr>
      <w:bookmarkStart w:id="139" w:name="_Toc22425"/>
      <w:bookmarkStart w:id="140" w:name="_Toc79163644"/>
      <w:bookmarkStart w:id="141" w:name="_Toc15396627"/>
      <w:bookmarkStart w:id="142" w:name="_Toc5327"/>
      <w:bookmarkStart w:id="143" w:name="_Toc79163894"/>
      <w:r>
        <w:rPr>
          <w:rStyle w:val="35"/>
          <w:rFonts w:hint="eastAsia" w:ascii="仿宋" w:hAnsi="仿宋" w:eastAsia="仿宋"/>
          <w:b w:val="0"/>
          <w:bCs w:val="0"/>
        </w:rPr>
        <w:t>九、</w:t>
      </w:r>
      <w:r>
        <w:rPr>
          <w:rFonts w:hint="eastAsia" w:ascii="仿宋" w:hAnsi="仿宋" w:eastAsia="仿宋"/>
          <w:b w:val="0"/>
          <w:color w:val="000000"/>
        </w:rPr>
        <w:t>一</w:t>
      </w:r>
      <w:r>
        <w:rPr>
          <w:rStyle w:val="35"/>
          <w:rFonts w:hint="eastAsia" w:ascii="仿宋" w:hAnsi="仿宋" w:eastAsia="仿宋"/>
          <w:b w:val="0"/>
          <w:bCs w:val="0"/>
        </w:rPr>
        <w:t>般公共预算财政拨款项目支出决算表</w:t>
      </w:r>
      <w:bookmarkEnd w:id="139"/>
      <w:bookmarkEnd w:id="140"/>
      <w:bookmarkEnd w:id="141"/>
      <w:bookmarkEnd w:id="142"/>
      <w:bookmarkEnd w:id="143"/>
    </w:p>
    <w:p>
      <w:pPr>
        <w:pStyle w:val="4"/>
        <w:rPr>
          <w:rFonts w:ascii="仿宋" w:hAnsi="仿宋" w:eastAsia="仿宋"/>
          <w:color w:val="000000"/>
        </w:rPr>
      </w:pPr>
      <w:bookmarkStart w:id="144" w:name="_Toc1397"/>
      <w:bookmarkStart w:id="145" w:name="_Toc79163645"/>
      <w:bookmarkStart w:id="146" w:name="_Toc15396628"/>
      <w:bookmarkStart w:id="147" w:name="_Toc79163895"/>
      <w:bookmarkStart w:id="148" w:name="_Toc28711"/>
      <w:r>
        <w:rPr>
          <w:rStyle w:val="35"/>
          <w:rFonts w:hint="eastAsia" w:ascii="仿宋" w:hAnsi="仿宋" w:eastAsia="仿宋"/>
          <w:b w:val="0"/>
          <w:bCs w:val="0"/>
        </w:rPr>
        <w:t>十、</w:t>
      </w:r>
      <w:r>
        <w:rPr>
          <w:rFonts w:hint="eastAsia" w:ascii="仿宋" w:hAnsi="仿宋" w:eastAsia="仿宋"/>
          <w:b w:val="0"/>
          <w:color w:val="000000"/>
        </w:rPr>
        <w:t>一</w:t>
      </w:r>
      <w:r>
        <w:rPr>
          <w:rStyle w:val="35"/>
          <w:rFonts w:hint="eastAsia" w:ascii="仿宋" w:hAnsi="仿宋" w:eastAsia="仿宋"/>
          <w:b w:val="0"/>
          <w:bCs w:val="0"/>
        </w:rPr>
        <w:t>般公共预算财政拨款“三公”经费支出决算表</w:t>
      </w:r>
      <w:bookmarkEnd w:id="144"/>
      <w:bookmarkEnd w:id="145"/>
      <w:bookmarkEnd w:id="146"/>
      <w:bookmarkEnd w:id="147"/>
      <w:bookmarkEnd w:id="148"/>
    </w:p>
    <w:p>
      <w:pPr>
        <w:pStyle w:val="4"/>
        <w:rPr>
          <w:rFonts w:ascii="仿宋" w:hAnsi="仿宋" w:eastAsia="仿宋"/>
          <w:color w:val="000000"/>
        </w:rPr>
      </w:pPr>
      <w:bookmarkStart w:id="149" w:name="_Toc29030"/>
      <w:bookmarkStart w:id="150" w:name="_Toc79163646"/>
      <w:bookmarkStart w:id="151" w:name="_Toc79163896"/>
      <w:bookmarkStart w:id="152" w:name="_Toc15396629"/>
      <w:bookmarkStart w:id="153" w:name="_Toc15416"/>
      <w:r>
        <w:rPr>
          <w:rStyle w:val="35"/>
          <w:rFonts w:hint="eastAsia" w:ascii="仿宋" w:hAnsi="仿宋" w:eastAsia="仿宋"/>
          <w:b w:val="0"/>
          <w:bCs w:val="0"/>
        </w:rPr>
        <w:t>十一、</w:t>
      </w:r>
      <w:r>
        <w:rPr>
          <w:rFonts w:hint="eastAsia" w:ascii="仿宋" w:hAnsi="仿宋" w:eastAsia="仿宋"/>
          <w:b w:val="0"/>
          <w:color w:val="000000"/>
        </w:rPr>
        <w:t>政</w:t>
      </w:r>
      <w:r>
        <w:rPr>
          <w:rStyle w:val="35"/>
          <w:rFonts w:hint="eastAsia" w:ascii="仿宋" w:hAnsi="仿宋" w:eastAsia="仿宋"/>
          <w:b w:val="0"/>
          <w:bCs w:val="0"/>
        </w:rPr>
        <w:t>府性基金预算财政拨款收入支出决算表</w:t>
      </w:r>
      <w:bookmarkEnd w:id="149"/>
      <w:bookmarkEnd w:id="150"/>
      <w:bookmarkEnd w:id="151"/>
      <w:bookmarkEnd w:id="152"/>
      <w:bookmarkEnd w:id="153"/>
    </w:p>
    <w:p>
      <w:pPr>
        <w:pStyle w:val="4"/>
        <w:rPr>
          <w:rFonts w:ascii="仿宋" w:hAnsi="仿宋" w:eastAsia="仿宋"/>
          <w:color w:val="000000"/>
        </w:rPr>
      </w:pPr>
      <w:bookmarkStart w:id="154" w:name="_Toc15396630"/>
      <w:bookmarkStart w:id="155" w:name="_Toc79163897"/>
      <w:bookmarkStart w:id="156" w:name="_Toc6452"/>
      <w:bookmarkStart w:id="157" w:name="_Toc79163647"/>
      <w:bookmarkStart w:id="158" w:name="_Toc17000"/>
      <w:r>
        <w:rPr>
          <w:rStyle w:val="35"/>
          <w:rFonts w:hint="eastAsia" w:ascii="仿宋" w:hAnsi="仿宋" w:eastAsia="仿宋"/>
          <w:b w:val="0"/>
          <w:bCs w:val="0"/>
        </w:rPr>
        <w:t>十二、</w:t>
      </w:r>
      <w:r>
        <w:rPr>
          <w:rFonts w:hint="eastAsia" w:ascii="仿宋" w:hAnsi="仿宋" w:eastAsia="仿宋"/>
          <w:b w:val="0"/>
          <w:color w:val="000000"/>
        </w:rPr>
        <w:t>政</w:t>
      </w:r>
      <w:r>
        <w:rPr>
          <w:rStyle w:val="35"/>
          <w:rFonts w:hint="eastAsia" w:ascii="仿宋" w:hAnsi="仿宋" w:eastAsia="仿宋"/>
          <w:b w:val="0"/>
          <w:bCs w:val="0"/>
        </w:rPr>
        <w:t>府性基金预算财政拨款“三公”经费支出决算表</w:t>
      </w:r>
      <w:bookmarkEnd w:id="154"/>
      <w:bookmarkEnd w:id="155"/>
      <w:bookmarkEnd w:id="156"/>
      <w:bookmarkEnd w:id="157"/>
      <w:bookmarkEnd w:id="158"/>
    </w:p>
    <w:p>
      <w:pPr>
        <w:pStyle w:val="4"/>
        <w:rPr>
          <w:rStyle w:val="35"/>
          <w:rFonts w:ascii="仿宋" w:hAnsi="仿宋" w:eastAsia="仿宋"/>
          <w:b w:val="0"/>
          <w:bCs w:val="0"/>
        </w:rPr>
      </w:pPr>
      <w:bookmarkStart w:id="159" w:name="_Toc8862"/>
      <w:bookmarkStart w:id="160" w:name="_Toc79163648"/>
      <w:bookmarkStart w:id="161" w:name="_Toc79163898"/>
      <w:bookmarkStart w:id="162" w:name="_Toc15396631"/>
      <w:bookmarkStart w:id="163" w:name="_Toc14938"/>
      <w:r>
        <w:rPr>
          <w:rStyle w:val="35"/>
          <w:rFonts w:hint="eastAsia" w:ascii="仿宋" w:hAnsi="仿宋" w:eastAsia="仿宋"/>
          <w:b w:val="0"/>
          <w:bCs w:val="0"/>
        </w:rPr>
        <w:t>十三、</w:t>
      </w:r>
      <w:r>
        <w:rPr>
          <w:rFonts w:hint="eastAsia" w:ascii="仿宋" w:hAnsi="仿宋" w:eastAsia="仿宋"/>
          <w:b w:val="0"/>
          <w:color w:val="000000"/>
        </w:rPr>
        <w:t>国</w:t>
      </w:r>
      <w:r>
        <w:rPr>
          <w:rStyle w:val="35"/>
          <w:rFonts w:hint="eastAsia" w:ascii="仿宋" w:hAnsi="仿宋" w:eastAsia="仿宋"/>
          <w:b w:val="0"/>
          <w:bCs w:val="0"/>
        </w:rPr>
        <w:t>有资本经营预算财政拨款支出决算表</w:t>
      </w:r>
      <w:bookmarkEnd w:id="159"/>
      <w:bookmarkEnd w:id="160"/>
      <w:bookmarkEnd w:id="161"/>
      <w:bookmarkEnd w:id="162"/>
      <w:bookmarkEnd w:id="163"/>
    </w:p>
    <w:p>
      <w:pPr>
        <w:pStyle w:val="4"/>
        <w:rPr>
          <w:rStyle w:val="35"/>
          <w:rFonts w:ascii="仿宋" w:hAnsi="仿宋" w:eastAsia="仿宋"/>
          <w:b w:val="0"/>
          <w:bCs w:val="0"/>
        </w:rPr>
      </w:pPr>
      <w:bookmarkStart w:id="164" w:name="_Toc79163649"/>
      <w:bookmarkStart w:id="165" w:name="_Toc15079"/>
      <w:bookmarkStart w:id="166" w:name="_Toc79163899"/>
      <w:bookmarkStart w:id="167" w:name="_Toc21468"/>
      <w:r>
        <w:rPr>
          <w:rStyle w:val="35"/>
          <w:rFonts w:hint="eastAsia" w:ascii="仿宋" w:hAnsi="仿宋" w:eastAsia="仿宋"/>
          <w:b w:val="0"/>
          <w:bCs w:val="0"/>
        </w:rPr>
        <w:t>十四、国有资本经营预算财政拨款支出决算表</w:t>
      </w:r>
      <w:bookmarkEnd w:id="164"/>
      <w:bookmarkEnd w:id="165"/>
      <w:bookmarkEnd w:id="166"/>
      <w:bookmarkEnd w:id="167"/>
    </w:p>
    <w:p>
      <w:pPr>
        <w:pStyle w:val="28"/>
        <w:spacing w:line="560" w:lineRule="exact"/>
        <w:ind w:firstLine="480" w:firstLineChars="200"/>
        <w:rPr>
          <w:rFonts w:ascii="仿宋" w:hAnsi="仿宋" w:eastAsia="仿宋"/>
          <w:color w:val="000000" w:themeColor="text1"/>
          <w14:textFill>
            <w14:solidFill>
              <w14:schemeClr w14:val="tx1"/>
            </w14:solidFill>
          </w14:textFill>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1"/>
          <w:jc w:val="center"/>
        </w:pPr>
        <w:r>
          <w:fldChar w:fldCharType="begin"/>
        </w:r>
        <w:r>
          <w:instrText xml:space="preserve">PAGE   \* MERGEFORMAT</w:instrText>
        </w:r>
        <w:r>
          <w:fldChar w:fldCharType="separate"/>
        </w:r>
        <w:r>
          <w:rPr>
            <w:lang w:val="zh-CN"/>
          </w:rPr>
          <w:t>2</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F83D8E"/>
    <w:multiLevelType w:val="singleLevel"/>
    <w:tmpl w:val="87F83D8E"/>
    <w:lvl w:ilvl="0" w:tentative="0">
      <w:start w:val="2"/>
      <w:numFmt w:val="chineseCounting"/>
      <w:suff w:val="nothing"/>
      <w:lvlText w:val="（%1）"/>
      <w:lvlJc w:val="left"/>
      <w:rPr>
        <w:rFonts w:hint="eastAsia"/>
      </w:rPr>
    </w:lvl>
  </w:abstractNum>
  <w:abstractNum w:abstractNumId="1">
    <w:nsid w:val="A568BECB"/>
    <w:multiLevelType w:val="singleLevel"/>
    <w:tmpl w:val="A568BECB"/>
    <w:lvl w:ilvl="0" w:tentative="0">
      <w:start w:val="2"/>
      <w:numFmt w:val="decimal"/>
      <w:suff w:val="nothing"/>
      <w:lvlText w:val="%1、"/>
      <w:lvlJc w:val="left"/>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eastAsia"/>
        <w:b/>
        <w:bCs/>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FF06321"/>
    <w:multiLevelType w:val="singleLevel"/>
    <w:tmpl w:val="1FF06321"/>
    <w:lvl w:ilvl="0" w:tentative="0">
      <w:start w:val="1"/>
      <w:numFmt w:val="decimal"/>
      <w:lvlText w:val="%1."/>
      <w:lvlJc w:val="left"/>
      <w:pPr>
        <w:tabs>
          <w:tab w:val="left" w:pos="312"/>
        </w:tabs>
      </w:pPr>
      <w:rPr>
        <w:rFonts w:hint="default"/>
        <w:b/>
        <w:bCs/>
      </w:rPr>
    </w:lvl>
  </w:abstractNum>
  <w:abstractNum w:abstractNumId="6">
    <w:nsid w:val="6DC933DC"/>
    <w:multiLevelType w:val="singleLevel"/>
    <w:tmpl w:val="6DC933DC"/>
    <w:lvl w:ilvl="0" w:tentative="0">
      <w:start w:val="2"/>
      <w:numFmt w:val="chineseCounting"/>
      <w:suff w:val="nothing"/>
      <w:lvlText w:val="（%1）"/>
      <w:lvlJc w:val="left"/>
      <w:rPr>
        <w:rFonts w:hint="eastAsia"/>
      </w:rPr>
    </w:lvl>
  </w:abstractNum>
  <w:num w:numId="1">
    <w:abstractNumId w:val="4"/>
  </w:num>
  <w:num w:numId="2">
    <w:abstractNumId w:val="5"/>
  </w:num>
  <w:num w:numId="3">
    <w:abstractNumId w:val="2"/>
  </w:num>
  <w:num w:numId="4">
    <w:abstractNumId w:val="3"/>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hOThlNjZjM2NiOTg1NjJjZDViOWIyODY2OTQ0ZTYifQ=="/>
  </w:docVars>
  <w:rsids>
    <w:rsidRoot w:val="00F1361C"/>
    <w:rsid w:val="00010792"/>
    <w:rsid w:val="000222C6"/>
    <w:rsid w:val="0002549F"/>
    <w:rsid w:val="0002749D"/>
    <w:rsid w:val="0006487A"/>
    <w:rsid w:val="00065F8F"/>
    <w:rsid w:val="000768F2"/>
    <w:rsid w:val="0009184B"/>
    <w:rsid w:val="0009593C"/>
    <w:rsid w:val="000B047F"/>
    <w:rsid w:val="000B202D"/>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B1FA9"/>
    <w:rsid w:val="001C0962"/>
    <w:rsid w:val="001D6C1E"/>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9410C"/>
    <w:rsid w:val="004A711F"/>
    <w:rsid w:val="004B199D"/>
    <w:rsid w:val="004B4690"/>
    <w:rsid w:val="004E0A2D"/>
    <w:rsid w:val="004E206B"/>
    <w:rsid w:val="004E6DF7"/>
    <w:rsid w:val="004F0FBD"/>
    <w:rsid w:val="00505A47"/>
    <w:rsid w:val="00512FDA"/>
    <w:rsid w:val="00520DA0"/>
    <w:rsid w:val="005664BB"/>
    <w:rsid w:val="0057481D"/>
    <w:rsid w:val="0058486E"/>
    <w:rsid w:val="00597919"/>
    <w:rsid w:val="005C52C6"/>
    <w:rsid w:val="005D1C8B"/>
    <w:rsid w:val="005D5CED"/>
    <w:rsid w:val="005E3365"/>
    <w:rsid w:val="005F1A4C"/>
    <w:rsid w:val="00605688"/>
    <w:rsid w:val="006070AF"/>
    <w:rsid w:val="00607E6C"/>
    <w:rsid w:val="006101B1"/>
    <w:rsid w:val="00614E44"/>
    <w:rsid w:val="00622830"/>
    <w:rsid w:val="0062663B"/>
    <w:rsid w:val="00630AEF"/>
    <w:rsid w:val="006325F8"/>
    <w:rsid w:val="00634C9A"/>
    <w:rsid w:val="00643C0A"/>
    <w:rsid w:val="006440E4"/>
    <w:rsid w:val="0066343B"/>
    <w:rsid w:val="00664777"/>
    <w:rsid w:val="006748A4"/>
    <w:rsid w:val="00683E73"/>
    <w:rsid w:val="006A3141"/>
    <w:rsid w:val="006A5E34"/>
    <w:rsid w:val="006B2422"/>
    <w:rsid w:val="006B2B9A"/>
    <w:rsid w:val="006C1937"/>
    <w:rsid w:val="006F020C"/>
    <w:rsid w:val="007127B7"/>
    <w:rsid w:val="0071537A"/>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07797"/>
    <w:rsid w:val="008253BB"/>
    <w:rsid w:val="0083706E"/>
    <w:rsid w:val="008423A5"/>
    <w:rsid w:val="00850625"/>
    <w:rsid w:val="00853718"/>
    <w:rsid w:val="00855221"/>
    <w:rsid w:val="00860645"/>
    <w:rsid w:val="00871F71"/>
    <w:rsid w:val="00885AF4"/>
    <w:rsid w:val="008865A4"/>
    <w:rsid w:val="008939CD"/>
    <w:rsid w:val="00894150"/>
    <w:rsid w:val="008B768C"/>
    <w:rsid w:val="008C4DB1"/>
    <w:rsid w:val="008C4EAF"/>
    <w:rsid w:val="008C5176"/>
    <w:rsid w:val="008C7FD0"/>
    <w:rsid w:val="008E1DE7"/>
    <w:rsid w:val="008E707C"/>
    <w:rsid w:val="00900B08"/>
    <w:rsid w:val="00902155"/>
    <w:rsid w:val="00902FA3"/>
    <w:rsid w:val="00923564"/>
    <w:rsid w:val="0092392E"/>
    <w:rsid w:val="009315F9"/>
    <w:rsid w:val="009337F3"/>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2260"/>
    <w:rsid w:val="00A56DF2"/>
    <w:rsid w:val="00A57F63"/>
    <w:rsid w:val="00A67AB5"/>
    <w:rsid w:val="00A91760"/>
    <w:rsid w:val="00A93B00"/>
    <w:rsid w:val="00A93C21"/>
    <w:rsid w:val="00AB34FA"/>
    <w:rsid w:val="00AC3C6A"/>
    <w:rsid w:val="00AD5620"/>
    <w:rsid w:val="00AD7C1B"/>
    <w:rsid w:val="00AE16BA"/>
    <w:rsid w:val="00AE1EBE"/>
    <w:rsid w:val="00AE7003"/>
    <w:rsid w:val="00B03C9D"/>
    <w:rsid w:val="00B060AE"/>
    <w:rsid w:val="00B10517"/>
    <w:rsid w:val="00B14E76"/>
    <w:rsid w:val="00B15718"/>
    <w:rsid w:val="00B161B8"/>
    <w:rsid w:val="00B2048C"/>
    <w:rsid w:val="00B310B9"/>
    <w:rsid w:val="00B35F3F"/>
    <w:rsid w:val="00B36CBB"/>
    <w:rsid w:val="00B425E0"/>
    <w:rsid w:val="00B440AA"/>
    <w:rsid w:val="00B44B70"/>
    <w:rsid w:val="00B53C56"/>
    <w:rsid w:val="00B77EA6"/>
    <w:rsid w:val="00B81598"/>
    <w:rsid w:val="00B841F1"/>
    <w:rsid w:val="00B8480B"/>
    <w:rsid w:val="00B944D6"/>
    <w:rsid w:val="00BB4DF0"/>
    <w:rsid w:val="00BC289F"/>
    <w:rsid w:val="00BC5361"/>
    <w:rsid w:val="00BC5460"/>
    <w:rsid w:val="00BC6B50"/>
    <w:rsid w:val="00BD0E25"/>
    <w:rsid w:val="00BF5BD6"/>
    <w:rsid w:val="00C03E31"/>
    <w:rsid w:val="00C13B26"/>
    <w:rsid w:val="00C33E72"/>
    <w:rsid w:val="00C34EED"/>
    <w:rsid w:val="00C354B2"/>
    <w:rsid w:val="00C35554"/>
    <w:rsid w:val="00C42709"/>
    <w:rsid w:val="00C533CC"/>
    <w:rsid w:val="00C5751C"/>
    <w:rsid w:val="00C61BFC"/>
    <w:rsid w:val="00C62B85"/>
    <w:rsid w:val="00C65438"/>
    <w:rsid w:val="00C663B4"/>
    <w:rsid w:val="00C91CBB"/>
    <w:rsid w:val="00CA1D7E"/>
    <w:rsid w:val="00CC09B6"/>
    <w:rsid w:val="00CC666F"/>
    <w:rsid w:val="00CD1E3F"/>
    <w:rsid w:val="00CE44F6"/>
    <w:rsid w:val="00CE49DA"/>
    <w:rsid w:val="00CE7B61"/>
    <w:rsid w:val="00D00095"/>
    <w:rsid w:val="00D20620"/>
    <w:rsid w:val="00D26091"/>
    <w:rsid w:val="00D34E7C"/>
    <w:rsid w:val="00D35489"/>
    <w:rsid w:val="00D43BB3"/>
    <w:rsid w:val="00D51276"/>
    <w:rsid w:val="00D7035F"/>
    <w:rsid w:val="00DA65AC"/>
    <w:rsid w:val="00DB1913"/>
    <w:rsid w:val="00DC410D"/>
    <w:rsid w:val="00DC68CA"/>
    <w:rsid w:val="00DC7CBA"/>
    <w:rsid w:val="00DD2D64"/>
    <w:rsid w:val="00DD73B7"/>
    <w:rsid w:val="00DF28BC"/>
    <w:rsid w:val="00DF34B9"/>
    <w:rsid w:val="00DF36DA"/>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01B6"/>
    <w:rsid w:val="00F36D8F"/>
    <w:rsid w:val="00F417B1"/>
    <w:rsid w:val="00F602DF"/>
    <w:rsid w:val="00F81FD9"/>
    <w:rsid w:val="00F841AA"/>
    <w:rsid w:val="00FA23E8"/>
    <w:rsid w:val="00FD3CC1"/>
    <w:rsid w:val="00FE17BC"/>
    <w:rsid w:val="00FF1E02"/>
    <w:rsid w:val="00FF30B4"/>
    <w:rsid w:val="0100359D"/>
    <w:rsid w:val="011E4302"/>
    <w:rsid w:val="01326130"/>
    <w:rsid w:val="016A7881"/>
    <w:rsid w:val="017E0CD4"/>
    <w:rsid w:val="018C6D0A"/>
    <w:rsid w:val="01B523E3"/>
    <w:rsid w:val="02156525"/>
    <w:rsid w:val="02230115"/>
    <w:rsid w:val="022E7AB2"/>
    <w:rsid w:val="02467457"/>
    <w:rsid w:val="026C4FD1"/>
    <w:rsid w:val="026F511D"/>
    <w:rsid w:val="027C684F"/>
    <w:rsid w:val="02906E4F"/>
    <w:rsid w:val="02951C88"/>
    <w:rsid w:val="02DB653C"/>
    <w:rsid w:val="02DD4948"/>
    <w:rsid w:val="030F534B"/>
    <w:rsid w:val="03190BFF"/>
    <w:rsid w:val="0329103D"/>
    <w:rsid w:val="037006E9"/>
    <w:rsid w:val="03910B34"/>
    <w:rsid w:val="03C0405B"/>
    <w:rsid w:val="03C149B2"/>
    <w:rsid w:val="03C45140"/>
    <w:rsid w:val="042B6ECF"/>
    <w:rsid w:val="043C7ABA"/>
    <w:rsid w:val="04520949"/>
    <w:rsid w:val="046D0884"/>
    <w:rsid w:val="04C70D4F"/>
    <w:rsid w:val="050F4587"/>
    <w:rsid w:val="053479EC"/>
    <w:rsid w:val="05581013"/>
    <w:rsid w:val="05B7792F"/>
    <w:rsid w:val="05B9112D"/>
    <w:rsid w:val="05CF0D11"/>
    <w:rsid w:val="05E655A4"/>
    <w:rsid w:val="06466408"/>
    <w:rsid w:val="066002A6"/>
    <w:rsid w:val="06722096"/>
    <w:rsid w:val="06840B3B"/>
    <w:rsid w:val="06C364D9"/>
    <w:rsid w:val="06D02805"/>
    <w:rsid w:val="07840394"/>
    <w:rsid w:val="07E24618"/>
    <w:rsid w:val="07F30755"/>
    <w:rsid w:val="08242A70"/>
    <w:rsid w:val="0849793C"/>
    <w:rsid w:val="08583B46"/>
    <w:rsid w:val="086C1487"/>
    <w:rsid w:val="08A929DF"/>
    <w:rsid w:val="08FE4AE2"/>
    <w:rsid w:val="09456966"/>
    <w:rsid w:val="09986558"/>
    <w:rsid w:val="09B03219"/>
    <w:rsid w:val="09BD025A"/>
    <w:rsid w:val="09E50333"/>
    <w:rsid w:val="09ED503A"/>
    <w:rsid w:val="0A336163"/>
    <w:rsid w:val="0A541B24"/>
    <w:rsid w:val="0B033319"/>
    <w:rsid w:val="0B0631D3"/>
    <w:rsid w:val="0B2B3018"/>
    <w:rsid w:val="0B4C4447"/>
    <w:rsid w:val="0B5B6AC7"/>
    <w:rsid w:val="0C205D41"/>
    <w:rsid w:val="0C5B0535"/>
    <w:rsid w:val="0C7E602C"/>
    <w:rsid w:val="0C941F55"/>
    <w:rsid w:val="0CDE7578"/>
    <w:rsid w:val="0D1E5A69"/>
    <w:rsid w:val="0D3E64D2"/>
    <w:rsid w:val="0D55725C"/>
    <w:rsid w:val="0D6353D7"/>
    <w:rsid w:val="0DB47B27"/>
    <w:rsid w:val="0DD36937"/>
    <w:rsid w:val="0E157464"/>
    <w:rsid w:val="0E2E419D"/>
    <w:rsid w:val="0E3A3D38"/>
    <w:rsid w:val="0E4D6C86"/>
    <w:rsid w:val="0EAC6E81"/>
    <w:rsid w:val="0EEA0B9D"/>
    <w:rsid w:val="0F045569"/>
    <w:rsid w:val="0F5D3DE3"/>
    <w:rsid w:val="0F6951B5"/>
    <w:rsid w:val="0FC30A0A"/>
    <w:rsid w:val="0FD9506D"/>
    <w:rsid w:val="0FE52755"/>
    <w:rsid w:val="107567A8"/>
    <w:rsid w:val="108B3019"/>
    <w:rsid w:val="108E16B4"/>
    <w:rsid w:val="109065E6"/>
    <w:rsid w:val="109F5DF2"/>
    <w:rsid w:val="10B03D59"/>
    <w:rsid w:val="10C055FF"/>
    <w:rsid w:val="10F7429A"/>
    <w:rsid w:val="1128649F"/>
    <w:rsid w:val="11D65EF2"/>
    <w:rsid w:val="120874B0"/>
    <w:rsid w:val="1217473F"/>
    <w:rsid w:val="123B2361"/>
    <w:rsid w:val="12466E66"/>
    <w:rsid w:val="126A5CF5"/>
    <w:rsid w:val="12A61A7F"/>
    <w:rsid w:val="12BB2612"/>
    <w:rsid w:val="12FB2A91"/>
    <w:rsid w:val="130B1B6E"/>
    <w:rsid w:val="131E40C5"/>
    <w:rsid w:val="13214430"/>
    <w:rsid w:val="134779F7"/>
    <w:rsid w:val="13537A8C"/>
    <w:rsid w:val="135B0E8F"/>
    <w:rsid w:val="136C68F0"/>
    <w:rsid w:val="13B301CC"/>
    <w:rsid w:val="13C472A1"/>
    <w:rsid w:val="13CD33F2"/>
    <w:rsid w:val="13F03948"/>
    <w:rsid w:val="14170CE7"/>
    <w:rsid w:val="1483224E"/>
    <w:rsid w:val="1492672E"/>
    <w:rsid w:val="14BE3213"/>
    <w:rsid w:val="14CA67A0"/>
    <w:rsid w:val="14D301E8"/>
    <w:rsid w:val="14F4667E"/>
    <w:rsid w:val="151F0024"/>
    <w:rsid w:val="15332B7E"/>
    <w:rsid w:val="155F7DBA"/>
    <w:rsid w:val="1564527F"/>
    <w:rsid w:val="157F54E4"/>
    <w:rsid w:val="158A1175"/>
    <w:rsid w:val="15FD1168"/>
    <w:rsid w:val="1602497B"/>
    <w:rsid w:val="16BB723D"/>
    <w:rsid w:val="16C63581"/>
    <w:rsid w:val="16DC595C"/>
    <w:rsid w:val="16FF3123"/>
    <w:rsid w:val="172941DA"/>
    <w:rsid w:val="177D4FAC"/>
    <w:rsid w:val="17892CF0"/>
    <w:rsid w:val="17A23E30"/>
    <w:rsid w:val="17E75213"/>
    <w:rsid w:val="18216B4B"/>
    <w:rsid w:val="183C2898"/>
    <w:rsid w:val="18483122"/>
    <w:rsid w:val="185A7AB2"/>
    <w:rsid w:val="189C16FE"/>
    <w:rsid w:val="19116FAB"/>
    <w:rsid w:val="19242A46"/>
    <w:rsid w:val="194EC54C"/>
    <w:rsid w:val="1967276F"/>
    <w:rsid w:val="196D4CEA"/>
    <w:rsid w:val="19772438"/>
    <w:rsid w:val="198717BD"/>
    <w:rsid w:val="19BB5503"/>
    <w:rsid w:val="19CB0143"/>
    <w:rsid w:val="19DD63FD"/>
    <w:rsid w:val="19EA7205"/>
    <w:rsid w:val="19F63DF0"/>
    <w:rsid w:val="1A3103FC"/>
    <w:rsid w:val="1A8D5679"/>
    <w:rsid w:val="1AA4667C"/>
    <w:rsid w:val="1ABA40AC"/>
    <w:rsid w:val="1ABC51F0"/>
    <w:rsid w:val="1AC67F64"/>
    <w:rsid w:val="1B0B4114"/>
    <w:rsid w:val="1B1E1DEE"/>
    <w:rsid w:val="1B6A100C"/>
    <w:rsid w:val="1C001B5E"/>
    <w:rsid w:val="1C315832"/>
    <w:rsid w:val="1C8A6A7F"/>
    <w:rsid w:val="1C9E415A"/>
    <w:rsid w:val="1CED20E8"/>
    <w:rsid w:val="1D1E32B2"/>
    <w:rsid w:val="1D2608C5"/>
    <w:rsid w:val="1D277F90"/>
    <w:rsid w:val="1D432C2A"/>
    <w:rsid w:val="1D584E9A"/>
    <w:rsid w:val="1DB464B7"/>
    <w:rsid w:val="1E2F3EDB"/>
    <w:rsid w:val="1E8077A4"/>
    <w:rsid w:val="1E902C34"/>
    <w:rsid w:val="1E9879BE"/>
    <w:rsid w:val="1EA668F1"/>
    <w:rsid w:val="1ECD292E"/>
    <w:rsid w:val="1ED8346F"/>
    <w:rsid w:val="1EE65BC0"/>
    <w:rsid w:val="1EFC05A0"/>
    <w:rsid w:val="1F513004"/>
    <w:rsid w:val="1F712D53"/>
    <w:rsid w:val="1F91659F"/>
    <w:rsid w:val="1FAB60C1"/>
    <w:rsid w:val="1FB7399C"/>
    <w:rsid w:val="1FE71328"/>
    <w:rsid w:val="2048654A"/>
    <w:rsid w:val="204F39E6"/>
    <w:rsid w:val="20800DC2"/>
    <w:rsid w:val="20C25028"/>
    <w:rsid w:val="20D93D6F"/>
    <w:rsid w:val="20DA2EF8"/>
    <w:rsid w:val="20ED4460"/>
    <w:rsid w:val="20F413D9"/>
    <w:rsid w:val="213473A8"/>
    <w:rsid w:val="213E5C1E"/>
    <w:rsid w:val="2157139F"/>
    <w:rsid w:val="21716F29"/>
    <w:rsid w:val="219701BC"/>
    <w:rsid w:val="21A61C89"/>
    <w:rsid w:val="21AE032A"/>
    <w:rsid w:val="21AE328E"/>
    <w:rsid w:val="21D455EB"/>
    <w:rsid w:val="21DE5162"/>
    <w:rsid w:val="21F8720A"/>
    <w:rsid w:val="2205431D"/>
    <w:rsid w:val="22285E02"/>
    <w:rsid w:val="223905F7"/>
    <w:rsid w:val="22633A26"/>
    <w:rsid w:val="227F1D25"/>
    <w:rsid w:val="228369A7"/>
    <w:rsid w:val="22895EE4"/>
    <w:rsid w:val="228D1389"/>
    <w:rsid w:val="229D44D9"/>
    <w:rsid w:val="22BA1246"/>
    <w:rsid w:val="23472C6F"/>
    <w:rsid w:val="23803BDC"/>
    <w:rsid w:val="23A83C63"/>
    <w:rsid w:val="23B826AC"/>
    <w:rsid w:val="23CF5E1D"/>
    <w:rsid w:val="240371BF"/>
    <w:rsid w:val="241B161D"/>
    <w:rsid w:val="24264BA6"/>
    <w:rsid w:val="242E3D06"/>
    <w:rsid w:val="24822019"/>
    <w:rsid w:val="248C7F61"/>
    <w:rsid w:val="24933F2E"/>
    <w:rsid w:val="24A00AB6"/>
    <w:rsid w:val="24A763D8"/>
    <w:rsid w:val="24A77F3F"/>
    <w:rsid w:val="24B8638C"/>
    <w:rsid w:val="24C10FFB"/>
    <w:rsid w:val="24E060DC"/>
    <w:rsid w:val="24EA0951"/>
    <w:rsid w:val="2503679B"/>
    <w:rsid w:val="252447A8"/>
    <w:rsid w:val="25395453"/>
    <w:rsid w:val="253D1B3B"/>
    <w:rsid w:val="254D6DAE"/>
    <w:rsid w:val="25A44E10"/>
    <w:rsid w:val="25E95BD4"/>
    <w:rsid w:val="26052D83"/>
    <w:rsid w:val="262B1307"/>
    <w:rsid w:val="26330B01"/>
    <w:rsid w:val="2658113D"/>
    <w:rsid w:val="265B66A1"/>
    <w:rsid w:val="26705557"/>
    <w:rsid w:val="26982A47"/>
    <w:rsid w:val="26A92C77"/>
    <w:rsid w:val="26CD39E1"/>
    <w:rsid w:val="26D23598"/>
    <w:rsid w:val="26EC18AA"/>
    <w:rsid w:val="27565C11"/>
    <w:rsid w:val="276F1834"/>
    <w:rsid w:val="277D4939"/>
    <w:rsid w:val="27D17B4E"/>
    <w:rsid w:val="27DC4E9E"/>
    <w:rsid w:val="27E85432"/>
    <w:rsid w:val="281A663F"/>
    <w:rsid w:val="281F4DAA"/>
    <w:rsid w:val="284A79EA"/>
    <w:rsid w:val="28554A67"/>
    <w:rsid w:val="28610C9B"/>
    <w:rsid w:val="28647284"/>
    <w:rsid w:val="28894DF9"/>
    <w:rsid w:val="28904A1E"/>
    <w:rsid w:val="292B0827"/>
    <w:rsid w:val="29CD7C87"/>
    <w:rsid w:val="29EA07B4"/>
    <w:rsid w:val="29F74516"/>
    <w:rsid w:val="29FD04D3"/>
    <w:rsid w:val="2A4C1799"/>
    <w:rsid w:val="2A797CCB"/>
    <w:rsid w:val="2AC521C0"/>
    <w:rsid w:val="2AD04DDF"/>
    <w:rsid w:val="2AD07736"/>
    <w:rsid w:val="2B110340"/>
    <w:rsid w:val="2B152979"/>
    <w:rsid w:val="2B5163B0"/>
    <w:rsid w:val="2B5D03B3"/>
    <w:rsid w:val="2B747C17"/>
    <w:rsid w:val="2B971075"/>
    <w:rsid w:val="2BA549AF"/>
    <w:rsid w:val="2BC12F8C"/>
    <w:rsid w:val="2BFB7991"/>
    <w:rsid w:val="2C03285E"/>
    <w:rsid w:val="2C166154"/>
    <w:rsid w:val="2C2439C5"/>
    <w:rsid w:val="2C2E415F"/>
    <w:rsid w:val="2C3A124D"/>
    <w:rsid w:val="2C7C1134"/>
    <w:rsid w:val="2CA33264"/>
    <w:rsid w:val="2CAF2984"/>
    <w:rsid w:val="2D13139A"/>
    <w:rsid w:val="2D545D20"/>
    <w:rsid w:val="2D6C7DF4"/>
    <w:rsid w:val="2DB254D3"/>
    <w:rsid w:val="2DBF24E7"/>
    <w:rsid w:val="2DC411A8"/>
    <w:rsid w:val="2DCB6097"/>
    <w:rsid w:val="2DF02A12"/>
    <w:rsid w:val="2DFF70E7"/>
    <w:rsid w:val="2E373206"/>
    <w:rsid w:val="2E3C0949"/>
    <w:rsid w:val="2E416CE9"/>
    <w:rsid w:val="2E6D4BD9"/>
    <w:rsid w:val="2EB06632"/>
    <w:rsid w:val="2EB258B0"/>
    <w:rsid w:val="2F011F6F"/>
    <w:rsid w:val="2F097F41"/>
    <w:rsid w:val="2F1B3093"/>
    <w:rsid w:val="2F2D3A6F"/>
    <w:rsid w:val="2F5523ED"/>
    <w:rsid w:val="2F633513"/>
    <w:rsid w:val="2F6B3F56"/>
    <w:rsid w:val="2F7460F0"/>
    <w:rsid w:val="2F7B68F8"/>
    <w:rsid w:val="2FAF3B0F"/>
    <w:rsid w:val="2FAF4757"/>
    <w:rsid w:val="2FB50474"/>
    <w:rsid w:val="2FDF6060"/>
    <w:rsid w:val="30010A69"/>
    <w:rsid w:val="3003348D"/>
    <w:rsid w:val="30327DC2"/>
    <w:rsid w:val="303960B1"/>
    <w:rsid w:val="3059361A"/>
    <w:rsid w:val="30894BD5"/>
    <w:rsid w:val="30905871"/>
    <w:rsid w:val="30F1532F"/>
    <w:rsid w:val="31215055"/>
    <w:rsid w:val="313B384A"/>
    <w:rsid w:val="31717D8A"/>
    <w:rsid w:val="319F7F4E"/>
    <w:rsid w:val="31CD2AE7"/>
    <w:rsid w:val="31E51CA1"/>
    <w:rsid w:val="323F3C5C"/>
    <w:rsid w:val="3285203F"/>
    <w:rsid w:val="32881605"/>
    <w:rsid w:val="32A15257"/>
    <w:rsid w:val="32DE1E22"/>
    <w:rsid w:val="32E74EA5"/>
    <w:rsid w:val="32FA179E"/>
    <w:rsid w:val="33055B15"/>
    <w:rsid w:val="334D373F"/>
    <w:rsid w:val="337310EA"/>
    <w:rsid w:val="339102D7"/>
    <w:rsid w:val="33A9465B"/>
    <w:rsid w:val="33A9581F"/>
    <w:rsid w:val="33CB3968"/>
    <w:rsid w:val="34476BE1"/>
    <w:rsid w:val="345A01AF"/>
    <w:rsid w:val="34655C88"/>
    <w:rsid w:val="3533072C"/>
    <w:rsid w:val="35B61E9E"/>
    <w:rsid w:val="35DF4410"/>
    <w:rsid w:val="35DF727E"/>
    <w:rsid w:val="35E42EB5"/>
    <w:rsid w:val="35FF51A8"/>
    <w:rsid w:val="364B690E"/>
    <w:rsid w:val="372565EC"/>
    <w:rsid w:val="3742277E"/>
    <w:rsid w:val="37571898"/>
    <w:rsid w:val="376C2919"/>
    <w:rsid w:val="379473C2"/>
    <w:rsid w:val="37BB25DC"/>
    <w:rsid w:val="37C44D04"/>
    <w:rsid w:val="37D0644D"/>
    <w:rsid w:val="38167272"/>
    <w:rsid w:val="38384A73"/>
    <w:rsid w:val="38D02817"/>
    <w:rsid w:val="38F8371D"/>
    <w:rsid w:val="38F9683A"/>
    <w:rsid w:val="39001F73"/>
    <w:rsid w:val="39745DDD"/>
    <w:rsid w:val="397D0F62"/>
    <w:rsid w:val="398A463C"/>
    <w:rsid w:val="398A601C"/>
    <w:rsid w:val="39987762"/>
    <w:rsid w:val="39A47AA5"/>
    <w:rsid w:val="39A562BC"/>
    <w:rsid w:val="39AC0147"/>
    <w:rsid w:val="39B35274"/>
    <w:rsid w:val="39C11B45"/>
    <w:rsid w:val="39D50EFB"/>
    <w:rsid w:val="39F958DC"/>
    <w:rsid w:val="3A270226"/>
    <w:rsid w:val="3A54296F"/>
    <w:rsid w:val="3A5B2A0C"/>
    <w:rsid w:val="3AB21618"/>
    <w:rsid w:val="3AB52CB5"/>
    <w:rsid w:val="3AED246C"/>
    <w:rsid w:val="3AF33866"/>
    <w:rsid w:val="3B082387"/>
    <w:rsid w:val="3B2525EF"/>
    <w:rsid w:val="3B3B7E5C"/>
    <w:rsid w:val="3B494774"/>
    <w:rsid w:val="3B6D0AA1"/>
    <w:rsid w:val="3BA86E2B"/>
    <w:rsid w:val="3BBE099F"/>
    <w:rsid w:val="3BEF0CE0"/>
    <w:rsid w:val="3BF1569C"/>
    <w:rsid w:val="3C011A3F"/>
    <w:rsid w:val="3C2362A7"/>
    <w:rsid w:val="3C320068"/>
    <w:rsid w:val="3CAF79B9"/>
    <w:rsid w:val="3CE358B4"/>
    <w:rsid w:val="3CE92A73"/>
    <w:rsid w:val="3CF37AE6"/>
    <w:rsid w:val="3CF52B25"/>
    <w:rsid w:val="3D0658D9"/>
    <w:rsid w:val="3D572AB9"/>
    <w:rsid w:val="3D7D4DB1"/>
    <w:rsid w:val="3D8F1598"/>
    <w:rsid w:val="3DB65664"/>
    <w:rsid w:val="3DE041E3"/>
    <w:rsid w:val="3E004393"/>
    <w:rsid w:val="3E1808A7"/>
    <w:rsid w:val="3E2A19A0"/>
    <w:rsid w:val="3E6A6093"/>
    <w:rsid w:val="3E907579"/>
    <w:rsid w:val="3EC47A2C"/>
    <w:rsid w:val="3F5E5763"/>
    <w:rsid w:val="3F931DFC"/>
    <w:rsid w:val="3FAE18FC"/>
    <w:rsid w:val="3FC84647"/>
    <w:rsid w:val="40142615"/>
    <w:rsid w:val="40395916"/>
    <w:rsid w:val="404D54F8"/>
    <w:rsid w:val="405B254E"/>
    <w:rsid w:val="405E534A"/>
    <w:rsid w:val="40961DB0"/>
    <w:rsid w:val="40B57A5C"/>
    <w:rsid w:val="40D94EE5"/>
    <w:rsid w:val="415070CD"/>
    <w:rsid w:val="4162324B"/>
    <w:rsid w:val="41732C07"/>
    <w:rsid w:val="41AC06C6"/>
    <w:rsid w:val="41DB3D32"/>
    <w:rsid w:val="41DC0473"/>
    <w:rsid w:val="41EB75F4"/>
    <w:rsid w:val="420F3A94"/>
    <w:rsid w:val="424648C8"/>
    <w:rsid w:val="426660C5"/>
    <w:rsid w:val="42710CEF"/>
    <w:rsid w:val="4282352A"/>
    <w:rsid w:val="42A36158"/>
    <w:rsid w:val="42A8333C"/>
    <w:rsid w:val="42B62CDC"/>
    <w:rsid w:val="42BC4EF8"/>
    <w:rsid w:val="42CE11B2"/>
    <w:rsid w:val="42EA77AA"/>
    <w:rsid w:val="43101881"/>
    <w:rsid w:val="43432560"/>
    <w:rsid w:val="434F2590"/>
    <w:rsid w:val="43926AD0"/>
    <w:rsid w:val="440700DA"/>
    <w:rsid w:val="4408077A"/>
    <w:rsid w:val="4411543D"/>
    <w:rsid w:val="447E1681"/>
    <w:rsid w:val="44E14779"/>
    <w:rsid w:val="44F900F9"/>
    <w:rsid w:val="454331F9"/>
    <w:rsid w:val="4554762C"/>
    <w:rsid w:val="457A40C5"/>
    <w:rsid w:val="45B222C8"/>
    <w:rsid w:val="45E4251E"/>
    <w:rsid w:val="46052F59"/>
    <w:rsid w:val="461C592D"/>
    <w:rsid w:val="46391FAF"/>
    <w:rsid w:val="46697DB1"/>
    <w:rsid w:val="467D1D6C"/>
    <w:rsid w:val="46934684"/>
    <w:rsid w:val="46A05E54"/>
    <w:rsid w:val="46AB1B57"/>
    <w:rsid w:val="46B57B7C"/>
    <w:rsid w:val="46FC2345"/>
    <w:rsid w:val="47C8437C"/>
    <w:rsid w:val="47CA3C02"/>
    <w:rsid w:val="47EA40E6"/>
    <w:rsid w:val="488A42F3"/>
    <w:rsid w:val="48BC39E5"/>
    <w:rsid w:val="48CF58C8"/>
    <w:rsid w:val="49AE3BDD"/>
    <w:rsid w:val="49D1364A"/>
    <w:rsid w:val="4A664666"/>
    <w:rsid w:val="4A6E7995"/>
    <w:rsid w:val="4AB929B9"/>
    <w:rsid w:val="4B0A6E08"/>
    <w:rsid w:val="4BA11450"/>
    <w:rsid w:val="4BAC3FC3"/>
    <w:rsid w:val="4BAE0D12"/>
    <w:rsid w:val="4BF56302"/>
    <w:rsid w:val="4C211B4C"/>
    <w:rsid w:val="4C6223B0"/>
    <w:rsid w:val="4C6B2990"/>
    <w:rsid w:val="4C8433C6"/>
    <w:rsid w:val="4CB43A1B"/>
    <w:rsid w:val="4CD76895"/>
    <w:rsid w:val="4CE7404C"/>
    <w:rsid w:val="4CE961AB"/>
    <w:rsid w:val="4D610D96"/>
    <w:rsid w:val="4D70737C"/>
    <w:rsid w:val="4D7C7C30"/>
    <w:rsid w:val="4DAD6801"/>
    <w:rsid w:val="4DE148BF"/>
    <w:rsid w:val="4E2D54B6"/>
    <w:rsid w:val="4E5B00FD"/>
    <w:rsid w:val="4EA25B2C"/>
    <w:rsid w:val="4EEE2C1C"/>
    <w:rsid w:val="4F02710B"/>
    <w:rsid w:val="4F3736D6"/>
    <w:rsid w:val="4F645BDB"/>
    <w:rsid w:val="4F882BB0"/>
    <w:rsid w:val="4F8E2738"/>
    <w:rsid w:val="4FCE45C0"/>
    <w:rsid w:val="4FD2432E"/>
    <w:rsid w:val="4FEC5BDF"/>
    <w:rsid w:val="50653BD0"/>
    <w:rsid w:val="5098377D"/>
    <w:rsid w:val="50CA0B92"/>
    <w:rsid w:val="50E5317B"/>
    <w:rsid w:val="50E90DD5"/>
    <w:rsid w:val="51516016"/>
    <w:rsid w:val="518205E0"/>
    <w:rsid w:val="51AB5DF4"/>
    <w:rsid w:val="51C90DC7"/>
    <w:rsid w:val="51D641C3"/>
    <w:rsid w:val="51E07598"/>
    <w:rsid w:val="51FB608D"/>
    <w:rsid w:val="5225647E"/>
    <w:rsid w:val="52375CBB"/>
    <w:rsid w:val="52636E23"/>
    <w:rsid w:val="52ED6284"/>
    <w:rsid w:val="52F0161B"/>
    <w:rsid w:val="52F92792"/>
    <w:rsid w:val="5330133E"/>
    <w:rsid w:val="53501D79"/>
    <w:rsid w:val="537A115A"/>
    <w:rsid w:val="537A40C2"/>
    <w:rsid w:val="539C4613"/>
    <w:rsid w:val="53F048C2"/>
    <w:rsid w:val="542E2E34"/>
    <w:rsid w:val="546C622C"/>
    <w:rsid w:val="54827EEA"/>
    <w:rsid w:val="548F1F8B"/>
    <w:rsid w:val="54B76DDA"/>
    <w:rsid w:val="54EC5302"/>
    <w:rsid w:val="55214D74"/>
    <w:rsid w:val="55811A25"/>
    <w:rsid w:val="55820460"/>
    <w:rsid w:val="55864716"/>
    <w:rsid w:val="55873A94"/>
    <w:rsid w:val="559021AA"/>
    <w:rsid w:val="55CA7FB9"/>
    <w:rsid w:val="55E5472D"/>
    <w:rsid w:val="55F146CF"/>
    <w:rsid w:val="55FD5DB1"/>
    <w:rsid w:val="56427B98"/>
    <w:rsid w:val="56E2439D"/>
    <w:rsid w:val="57244B7B"/>
    <w:rsid w:val="573A1E9C"/>
    <w:rsid w:val="5747151A"/>
    <w:rsid w:val="577B5106"/>
    <w:rsid w:val="57995F9B"/>
    <w:rsid w:val="57BD482D"/>
    <w:rsid w:val="57DC6817"/>
    <w:rsid w:val="57EF4D04"/>
    <w:rsid w:val="580C4CB7"/>
    <w:rsid w:val="580C6E46"/>
    <w:rsid w:val="58130942"/>
    <w:rsid w:val="581C00C9"/>
    <w:rsid w:val="583224B3"/>
    <w:rsid w:val="587A7D10"/>
    <w:rsid w:val="58A93170"/>
    <w:rsid w:val="58CE1747"/>
    <w:rsid w:val="58F06378"/>
    <w:rsid w:val="59207A11"/>
    <w:rsid w:val="595909E5"/>
    <w:rsid w:val="595C7735"/>
    <w:rsid w:val="59A91352"/>
    <w:rsid w:val="59CA6F37"/>
    <w:rsid w:val="5A2B508C"/>
    <w:rsid w:val="5A2B5793"/>
    <w:rsid w:val="5A523D22"/>
    <w:rsid w:val="5A616F50"/>
    <w:rsid w:val="5A716AE6"/>
    <w:rsid w:val="5A7C0E79"/>
    <w:rsid w:val="5A8946AF"/>
    <w:rsid w:val="5A8D7133"/>
    <w:rsid w:val="5A9507BB"/>
    <w:rsid w:val="5AAA757B"/>
    <w:rsid w:val="5AC27908"/>
    <w:rsid w:val="5AEC5B07"/>
    <w:rsid w:val="5B6A30A3"/>
    <w:rsid w:val="5B797DF5"/>
    <w:rsid w:val="5BAA6987"/>
    <w:rsid w:val="5BB74722"/>
    <w:rsid w:val="5BD53352"/>
    <w:rsid w:val="5BE876B2"/>
    <w:rsid w:val="5BF61737"/>
    <w:rsid w:val="5C4706BC"/>
    <w:rsid w:val="5C7A78D8"/>
    <w:rsid w:val="5C8E66B9"/>
    <w:rsid w:val="5C9F1562"/>
    <w:rsid w:val="5CC46100"/>
    <w:rsid w:val="5CE93525"/>
    <w:rsid w:val="5D451184"/>
    <w:rsid w:val="5D8407E2"/>
    <w:rsid w:val="5DA86561"/>
    <w:rsid w:val="5DB255EE"/>
    <w:rsid w:val="5DBF0406"/>
    <w:rsid w:val="5DD6583F"/>
    <w:rsid w:val="5E2B6374"/>
    <w:rsid w:val="5E6C181B"/>
    <w:rsid w:val="5F302CF2"/>
    <w:rsid w:val="5F315EB8"/>
    <w:rsid w:val="5F6C0EC6"/>
    <w:rsid w:val="5F773F0E"/>
    <w:rsid w:val="5F9B7256"/>
    <w:rsid w:val="5FBC5DC5"/>
    <w:rsid w:val="60021079"/>
    <w:rsid w:val="601D6215"/>
    <w:rsid w:val="6036304B"/>
    <w:rsid w:val="605B5048"/>
    <w:rsid w:val="6060395B"/>
    <w:rsid w:val="607B00E5"/>
    <w:rsid w:val="60F65306"/>
    <w:rsid w:val="60FC59F9"/>
    <w:rsid w:val="60FD48E7"/>
    <w:rsid w:val="612D391A"/>
    <w:rsid w:val="61492924"/>
    <w:rsid w:val="6166746F"/>
    <w:rsid w:val="62053890"/>
    <w:rsid w:val="62C85D8E"/>
    <w:rsid w:val="632A557F"/>
    <w:rsid w:val="63471F16"/>
    <w:rsid w:val="639F1DD4"/>
    <w:rsid w:val="63C6003A"/>
    <w:rsid w:val="63C77EE3"/>
    <w:rsid w:val="63F450A9"/>
    <w:rsid w:val="63FA510E"/>
    <w:rsid w:val="63FB034D"/>
    <w:rsid w:val="64056593"/>
    <w:rsid w:val="641038CA"/>
    <w:rsid w:val="64134D0F"/>
    <w:rsid w:val="641546C3"/>
    <w:rsid w:val="6426258B"/>
    <w:rsid w:val="644068C0"/>
    <w:rsid w:val="644666E7"/>
    <w:rsid w:val="64553647"/>
    <w:rsid w:val="645E79E7"/>
    <w:rsid w:val="6460020C"/>
    <w:rsid w:val="646E0873"/>
    <w:rsid w:val="64830796"/>
    <w:rsid w:val="648F3F65"/>
    <w:rsid w:val="64903FA7"/>
    <w:rsid w:val="64C5534B"/>
    <w:rsid w:val="64C656C1"/>
    <w:rsid w:val="6523036B"/>
    <w:rsid w:val="652B6FC3"/>
    <w:rsid w:val="65364B42"/>
    <w:rsid w:val="65BB74D7"/>
    <w:rsid w:val="665B6338"/>
    <w:rsid w:val="66AE46D9"/>
    <w:rsid w:val="67073D18"/>
    <w:rsid w:val="672C605B"/>
    <w:rsid w:val="673415C0"/>
    <w:rsid w:val="67421922"/>
    <w:rsid w:val="67755B48"/>
    <w:rsid w:val="67EC215D"/>
    <w:rsid w:val="68087D95"/>
    <w:rsid w:val="682D48BE"/>
    <w:rsid w:val="68467C6A"/>
    <w:rsid w:val="6882744A"/>
    <w:rsid w:val="68A72570"/>
    <w:rsid w:val="68B2616B"/>
    <w:rsid w:val="68CD7BC5"/>
    <w:rsid w:val="68EF4A80"/>
    <w:rsid w:val="68F70167"/>
    <w:rsid w:val="690D0526"/>
    <w:rsid w:val="6914105B"/>
    <w:rsid w:val="6936425D"/>
    <w:rsid w:val="69472405"/>
    <w:rsid w:val="694C1AA8"/>
    <w:rsid w:val="697543FD"/>
    <w:rsid w:val="697839F2"/>
    <w:rsid w:val="697970B7"/>
    <w:rsid w:val="6A680F43"/>
    <w:rsid w:val="6A727A36"/>
    <w:rsid w:val="6A8A0933"/>
    <w:rsid w:val="6A9C0E28"/>
    <w:rsid w:val="6AB72D9C"/>
    <w:rsid w:val="6AD02018"/>
    <w:rsid w:val="6AFC5784"/>
    <w:rsid w:val="6B103927"/>
    <w:rsid w:val="6B1F4ED3"/>
    <w:rsid w:val="6B2335F6"/>
    <w:rsid w:val="6B3D4D20"/>
    <w:rsid w:val="6B7B7EC5"/>
    <w:rsid w:val="6BB75B36"/>
    <w:rsid w:val="6BB84D44"/>
    <w:rsid w:val="6BEB5668"/>
    <w:rsid w:val="6BF02244"/>
    <w:rsid w:val="6C303F33"/>
    <w:rsid w:val="6C58708A"/>
    <w:rsid w:val="6C6F4ABA"/>
    <w:rsid w:val="6C801A3F"/>
    <w:rsid w:val="6C8B4B14"/>
    <w:rsid w:val="6C984DC3"/>
    <w:rsid w:val="6CA5489C"/>
    <w:rsid w:val="6CFB7419"/>
    <w:rsid w:val="6D4D3041"/>
    <w:rsid w:val="6D8A2B7A"/>
    <w:rsid w:val="6D9B5052"/>
    <w:rsid w:val="6DBB20AE"/>
    <w:rsid w:val="6DE62B30"/>
    <w:rsid w:val="6DEE4E76"/>
    <w:rsid w:val="6E163F24"/>
    <w:rsid w:val="6E2D42AC"/>
    <w:rsid w:val="6E304C71"/>
    <w:rsid w:val="6E3B0A6B"/>
    <w:rsid w:val="6EA1500A"/>
    <w:rsid w:val="6EFE2510"/>
    <w:rsid w:val="6F0315CB"/>
    <w:rsid w:val="6F190B3E"/>
    <w:rsid w:val="6F2C7486"/>
    <w:rsid w:val="6F334BED"/>
    <w:rsid w:val="6F363620"/>
    <w:rsid w:val="6F60024A"/>
    <w:rsid w:val="6F6C2C84"/>
    <w:rsid w:val="701F5A15"/>
    <w:rsid w:val="70202A42"/>
    <w:rsid w:val="70271481"/>
    <w:rsid w:val="70DA03FB"/>
    <w:rsid w:val="71042E48"/>
    <w:rsid w:val="71317AA7"/>
    <w:rsid w:val="71541A1E"/>
    <w:rsid w:val="715D377D"/>
    <w:rsid w:val="715F7FC2"/>
    <w:rsid w:val="718D7D96"/>
    <w:rsid w:val="71A4441F"/>
    <w:rsid w:val="71AE71B0"/>
    <w:rsid w:val="71B851D9"/>
    <w:rsid w:val="71CA0A45"/>
    <w:rsid w:val="72744DE0"/>
    <w:rsid w:val="727F4DC6"/>
    <w:rsid w:val="72BE6041"/>
    <w:rsid w:val="72CD4700"/>
    <w:rsid w:val="730A29B8"/>
    <w:rsid w:val="734B3BBF"/>
    <w:rsid w:val="739A5FC5"/>
    <w:rsid w:val="73B43629"/>
    <w:rsid w:val="73B5549D"/>
    <w:rsid w:val="73C96F82"/>
    <w:rsid w:val="73E06D80"/>
    <w:rsid w:val="73F07233"/>
    <w:rsid w:val="73F91AF8"/>
    <w:rsid w:val="74085B38"/>
    <w:rsid w:val="741D1FF2"/>
    <w:rsid w:val="74477EFB"/>
    <w:rsid w:val="74526F13"/>
    <w:rsid w:val="7512378C"/>
    <w:rsid w:val="751B0368"/>
    <w:rsid w:val="75352D39"/>
    <w:rsid w:val="75567C95"/>
    <w:rsid w:val="756D7681"/>
    <w:rsid w:val="759A0A9A"/>
    <w:rsid w:val="75AD15B0"/>
    <w:rsid w:val="75B26BFF"/>
    <w:rsid w:val="75E868BA"/>
    <w:rsid w:val="75FF04A1"/>
    <w:rsid w:val="76391AC6"/>
    <w:rsid w:val="763A5241"/>
    <w:rsid w:val="76A6194F"/>
    <w:rsid w:val="76CD4EFB"/>
    <w:rsid w:val="76FE793D"/>
    <w:rsid w:val="77891C64"/>
    <w:rsid w:val="779B4687"/>
    <w:rsid w:val="77A95F16"/>
    <w:rsid w:val="77F633C3"/>
    <w:rsid w:val="77FB6A92"/>
    <w:rsid w:val="77FC5039"/>
    <w:rsid w:val="78162AF0"/>
    <w:rsid w:val="782C169E"/>
    <w:rsid w:val="78666263"/>
    <w:rsid w:val="78941216"/>
    <w:rsid w:val="78D22BE8"/>
    <w:rsid w:val="790F11B1"/>
    <w:rsid w:val="791046B7"/>
    <w:rsid w:val="793434C4"/>
    <w:rsid w:val="7975331B"/>
    <w:rsid w:val="79797F66"/>
    <w:rsid w:val="7988737A"/>
    <w:rsid w:val="79DA7152"/>
    <w:rsid w:val="79E01E9B"/>
    <w:rsid w:val="7A53325F"/>
    <w:rsid w:val="7A5B4EB3"/>
    <w:rsid w:val="7A8F166F"/>
    <w:rsid w:val="7A9A39A3"/>
    <w:rsid w:val="7B1A240F"/>
    <w:rsid w:val="7B2047B4"/>
    <w:rsid w:val="7B853B8E"/>
    <w:rsid w:val="7B9B783D"/>
    <w:rsid w:val="7BC75526"/>
    <w:rsid w:val="7BF817B5"/>
    <w:rsid w:val="7C56578C"/>
    <w:rsid w:val="7C691409"/>
    <w:rsid w:val="7C6B5449"/>
    <w:rsid w:val="7CFA27D5"/>
    <w:rsid w:val="7D2365CD"/>
    <w:rsid w:val="7D471E5B"/>
    <w:rsid w:val="7D565ECB"/>
    <w:rsid w:val="7D59153B"/>
    <w:rsid w:val="7D8F2BD1"/>
    <w:rsid w:val="7DD5474A"/>
    <w:rsid w:val="7E566FBD"/>
    <w:rsid w:val="7E68262D"/>
    <w:rsid w:val="7E9D0959"/>
    <w:rsid w:val="7EDC6077"/>
    <w:rsid w:val="7F4946D2"/>
    <w:rsid w:val="7F4E28B8"/>
    <w:rsid w:val="7F610CDF"/>
    <w:rsid w:val="7F6171A4"/>
    <w:rsid w:val="7FA374D7"/>
    <w:rsid w:val="7FCE14D1"/>
    <w:rsid w:val="7FD350D8"/>
    <w:rsid w:val="7FDD10DD"/>
    <w:rsid w:val="FFFB0AEB"/>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6">
    <w:name w:val="annotation text"/>
    <w:basedOn w:val="1"/>
    <w:unhideWhenUsed/>
    <w:qFormat/>
    <w:uiPriority w:val="99"/>
    <w:pPr>
      <w:jc w:val="left"/>
    </w:pPr>
  </w:style>
  <w:style w:type="paragraph" w:styleId="7">
    <w:name w:val="Body Text"/>
    <w:basedOn w:val="1"/>
    <w:link w:val="27"/>
    <w:qFormat/>
    <w:uiPriority w:val="99"/>
    <w:pPr>
      <w:spacing w:beforeLines="30"/>
    </w:pPr>
    <w:rPr>
      <w:rFonts w:ascii="仿宋_GB2312" w:eastAsia="仿宋_GB2312"/>
      <w:kern w:val="0"/>
      <w:sz w:val="30"/>
    </w:rPr>
  </w:style>
  <w:style w:type="paragraph" w:styleId="8">
    <w:name w:val="Body Text Indent"/>
    <w:basedOn w:val="1"/>
    <w:qFormat/>
    <w:uiPriority w:val="0"/>
    <w:pPr>
      <w:spacing w:after="120"/>
      <w:ind w:left="420" w:left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unhideWhenUsed/>
    <w:qFormat/>
    <w:uiPriority w:val="0"/>
    <w:pPr>
      <w:spacing w:before="100" w:beforeAutospacing="1" w:after="100" w:afterAutospacing="1"/>
    </w:pPr>
  </w:style>
  <w:style w:type="paragraph" w:styleId="16">
    <w:name w:val="Body Text First Indent 2"/>
    <w:basedOn w:val="8"/>
    <w:qFormat/>
    <w:uiPriority w:val="0"/>
    <w:pPr>
      <w:tabs>
        <w:tab w:val="left" w:pos="960"/>
      </w:tabs>
      <w:spacing w:after="0" w:line="540" w:lineRule="exact"/>
      <w:ind w:left="0" w:leftChars="0" w:firstLine="420" w:firstLineChars="200"/>
    </w:pPr>
    <w:rPr>
      <w:rFonts w:ascii="Calibri" w:hAnsi="Calibri" w:eastAsia="宋体" w:cs="Times New Roman"/>
      <w:sz w:val="32"/>
      <w:szCs w:val="32"/>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列出段落1"/>
    <w:basedOn w:val="1"/>
    <w:qFormat/>
    <w:uiPriority w:val="34"/>
    <w:pPr>
      <w:ind w:firstLine="420" w:firstLineChars="200"/>
    </w:pPr>
    <w:rPr>
      <w:rFonts w:ascii="Calibri" w:hAnsi="Calibri" w:eastAsia="宋体" w:cs="Times New Roman"/>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7"/>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9">
    <w:name w:val="List Paragraph"/>
    <w:basedOn w:val="1"/>
    <w:qFormat/>
    <w:uiPriority w:val="34"/>
    <w:pPr>
      <w:ind w:firstLine="420" w:firstLineChars="200"/>
    </w:pPr>
  </w:style>
  <w:style w:type="character" w:customStyle="1" w:styleId="30">
    <w:name w:val="标题 1 Char"/>
    <w:basedOn w:val="18"/>
    <w:link w:val="3"/>
    <w:qFormat/>
    <w:uiPriority w:val="9"/>
    <w:rPr>
      <w:rFonts w:ascii="Times New Roman" w:hAnsi="Times New Roman"/>
      <w:b/>
      <w:bCs/>
      <w:kern w:val="44"/>
      <w:sz w:val="44"/>
      <w:szCs w:val="44"/>
    </w:rPr>
  </w:style>
  <w:style w:type="character" w:customStyle="1" w:styleId="31">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2">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10"/>
    <w:semiHidden/>
    <w:qFormat/>
    <w:uiPriority w:val="99"/>
    <w:rPr>
      <w:rFonts w:ascii="Times New Roman" w:hAnsi="Times New Roman"/>
      <w:kern w:val="2"/>
      <w:sz w:val="18"/>
      <w:szCs w:val="18"/>
    </w:rPr>
  </w:style>
  <w:style w:type="character" w:customStyle="1" w:styleId="34">
    <w:name w:val="标题 3 Char"/>
    <w:basedOn w:val="18"/>
    <w:link w:val="5"/>
    <w:qFormat/>
    <w:uiPriority w:val="9"/>
    <w:rPr>
      <w:rFonts w:ascii="Times New Roman" w:hAnsi="Times New Roman"/>
      <w:b/>
      <w:bCs/>
      <w:kern w:val="2"/>
      <w:sz w:val="32"/>
      <w:szCs w:val="32"/>
    </w:rPr>
  </w:style>
  <w:style w:type="character" w:customStyle="1" w:styleId="35">
    <w:name w:val="标题 2 字符"/>
    <w:basedOn w:val="18"/>
    <w:link w:val="4"/>
    <w:qFormat/>
    <w:locked/>
    <w:uiPriority w:val="9"/>
    <w:rPr>
      <w:rFonts w:ascii="Cambria" w:hAnsi="Cambria" w:eastAsia="宋体" w:cs="Times New Roman"/>
      <w:b/>
      <w:bCs/>
      <w:kern w:val="2"/>
      <w:sz w:val="32"/>
      <w:szCs w:val="32"/>
    </w:rPr>
  </w:style>
  <w:style w:type="paragraph" w:customStyle="1" w:styleId="36">
    <w:name w:val="列表段落1"/>
    <w:basedOn w:val="1"/>
    <w:qFormat/>
    <w:uiPriority w:val="34"/>
    <w:pPr>
      <w:ind w:firstLine="420" w:firstLineChars="200"/>
    </w:pPr>
  </w:style>
  <w:style w:type="character" w:customStyle="1" w:styleId="37">
    <w:name w:val="标题 1 字符"/>
    <w:basedOn w:val="18"/>
    <w:link w:val="3"/>
    <w:qFormat/>
    <w:locked/>
    <w:uiPriority w:val="9"/>
    <w:rPr>
      <w:rFonts w:ascii="Times New Roman" w:hAnsi="Times New Roman"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32</Pages>
  <Words>12319</Words>
  <Characters>13185</Characters>
  <Lines>62</Lines>
  <Paragraphs>17</Paragraphs>
  <TotalTime>12</TotalTime>
  <ScaleCrop>false</ScaleCrop>
  <LinksUpToDate>false</LinksUpToDate>
  <CharactersWithSpaces>13369</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2019-08-01T17:14:00Z</dcterms:created>
  <dc:creator>张彬茜</dc:creator>
  <cp:lastModifiedBy>木易</cp:lastModifiedBy>
  <cp:lastPrinted>2022-06-13T07:08:00Z</cp:lastPrinted>
  <dcterms:modified xsi:type="dcterms:W3CDTF">2022-06-20T08:01:59Z</dcterms:modified>
  <dc:title>四川省***</dc:title>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E47E1800913A44B7BCAA197FD4855A2C</vt:lpwstr>
  </property>
</Properties>
</file>