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黑体" w:hAnsi="黑体" w:eastAsia="黑体"/>
          <w:color w:val="000000"/>
          <w:sz w:val="72"/>
          <w:szCs w:val="72"/>
        </w:rPr>
      </w:pPr>
      <w:bookmarkStart w:id="1" w:name="_Toc15396475"/>
      <w:bookmarkStart w:id="2" w:name="_Toc15377425"/>
      <w:bookmarkStart w:id="3" w:name="_Toc15396597"/>
      <w:bookmarkStart w:id="4" w:name="_Toc15378441"/>
      <w:bookmarkStart w:id="5" w:name="_Toc15377193"/>
      <w:bookmarkStart w:id="76" w:name="_GoBack"/>
      <w:r>
        <w:rPr>
          <w:rFonts w:ascii="黑体" w:hAnsi="黑体" w:eastAsia="黑体"/>
          <w:color w:val="000000"/>
          <w:sz w:val="72"/>
          <w:szCs w:val="72"/>
        </w:rPr>
        <w:t>201</w:t>
      </w:r>
      <w:r>
        <w:rPr>
          <w:rFonts w:hint="eastAsia" w:ascii="黑体" w:hAnsi="黑体" w:eastAsia="黑体"/>
          <w:color w:val="000000"/>
          <w:sz w:val="72"/>
          <w:szCs w:val="72"/>
        </w:rPr>
        <w:t>8年度</w:t>
      </w:r>
      <w:bookmarkEnd w:id="1"/>
      <w:bookmarkEnd w:id="2"/>
      <w:bookmarkEnd w:id="3"/>
      <w:bookmarkEnd w:id="4"/>
      <w:bookmarkEnd w:id="5"/>
    </w:p>
    <w:p>
      <w:pPr>
        <w:adjustRightInd w:val="0"/>
        <w:snapToGrid w:val="0"/>
        <w:spacing w:line="360" w:lineRule="auto"/>
        <w:jc w:val="center"/>
        <w:outlineLvl w:val="0"/>
        <w:rPr>
          <w:rFonts w:ascii="黑体" w:hAnsi="黑体" w:eastAsia="黑体"/>
          <w:color w:val="000000"/>
          <w:sz w:val="72"/>
          <w:szCs w:val="72"/>
        </w:rPr>
      </w:pPr>
      <w:bookmarkStart w:id="6" w:name="_Toc15377426"/>
      <w:bookmarkStart w:id="7" w:name="_Toc15396476"/>
      <w:bookmarkStart w:id="8" w:name="_Toc15377194"/>
      <w:bookmarkStart w:id="9" w:name="_Toc15396598"/>
      <w:bookmarkStart w:id="10" w:name="_Toc15378442"/>
      <w:r>
        <w:rPr>
          <w:rFonts w:hint="eastAsia" w:ascii="黑体" w:hAnsi="黑体" w:eastAsia="黑体"/>
          <w:color w:val="000000"/>
          <w:sz w:val="72"/>
          <w:szCs w:val="72"/>
        </w:rPr>
        <w:t>四川省</w:t>
      </w:r>
      <w:bookmarkEnd w:id="0"/>
      <w:bookmarkStart w:id="11" w:name="_Toc15306268"/>
      <w:r>
        <w:rPr>
          <w:rFonts w:hint="eastAsia" w:ascii="黑体" w:hAnsi="黑体" w:eastAsia="黑体"/>
          <w:color w:val="000000"/>
          <w:sz w:val="72"/>
          <w:szCs w:val="72"/>
        </w:rPr>
        <w:t>吾依乡人民政府决算</w:t>
      </w:r>
      <w:bookmarkEnd w:id="6"/>
      <w:bookmarkEnd w:id="7"/>
      <w:bookmarkEnd w:id="8"/>
      <w:bookmarkEnd w:id="9"/>
      <w:bookmarkEnd w:id="10"/>
      <w:bookmarkEnd w:id="11"/>
      <w:r>
        <w:rPr>
          <w:rFonts w:hint="eastAsia" w:ascii="黑体" w:hAnsi="黑体" w:eastAsia="黑体"/>
          <w:color w:val="000000"/>
          <w:sz w:val="72"/>
          <w:szCs w:val="72"/>
        </w:rPr>
        <w:t>公开</w:t>
      </w:r>
      <w:bookmarkEnd w:id="76"/>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公开时间：2019年 10 月 21  日</w:t>
      </w:r>
    </w:p>
    <w:p/>
    <w:p>
      <w:pPr>
        <w:pStyle w:val="10"/>
        <w:rPr>
          <w:rFonts w:cstheme="minorBidi"/>
        </w:rPr>
      </w:pPr>
      <w:r>
        <w:fldChar w:fldCharType="begin"/>
      </w:r>
      <w:r>
        <w:instrText xml:space="preserve"> HYPERLINK \l "_Toc15396599" </w:instrText>
      </w:r>
      <w:r>
        <w:fldChar w:fldCharType="separate"/>
      </w:r>
      <w:r>
        <w:rPr>
          <w:rStyle w:val="16"/>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fldChar w:fldCharType="begin"/>
      </w:r>
      <w:r>
        <w:instrText xml:space="preserve"> PAGEREF _Toc15396602 \h </w:instrText>
      </w:r>
      <w:r>
        <w:fldChar w:fldCharType="separate"/>
      </w:r>
      <w:r>
        <w:t>14</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20</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20</w:t>
      </w:r>
      <w:r>
        <w:rPr>
          <w:rFonts w:ascii="仿宋" w:hAnsi="仿宋" w:eastAsia="仿宋"/>
          <w:sz w:val="28"/>
          <w:szCs w:val="28"/>
        </w:rPr>
        <w:fldChar w:fldCharType="end"/>
      </w:r>
      <w:r>
        <w:rPr>
          <w:rFonts w:ascii="仿宋" w:hAnsi="仿宋" w:eastAsia="仿宋"/>
          <w:sz w:val="28"/>
          <w:szCs w:val="28"/>
        </w:rPr>
        <w:fldChar w:fldCharType="end"/>
      </w:r>
    </w:p>
    <w:p>
      <w:pPr>
        <w:rPr>
          <w:color w:val="000000" w:themeColor="text1"/>
          <w14:textFill>
            <w14:solidFill>
              <w14:schemeClr w14:val="tx1"/>
            </w14:solidFill>
          </w14:textFill>
        </w:rPr>
      </w:pPr>
      <w:r>
        <w:rPr>
          <w:rFonts w:hint="eastAsia"/>
        </w:rPr>
        <w:t xml:space="preserve">    </w:t>
      </w:r>
      <w:r>
        <w:rPr>
          <w:rStyle w:val="16"/>
          <w:rFonts w:hint="eastAsia" w:ascii="仿宋" w:hAnsi="仿宋" w:eastAsia="仿宋" w:cstheme="majorBidi"/>
          <w:bCs/>
          <w:color w:val="000000" w:themeColor="text1"/>
          <w:sz w:val="28"/>
          <w:szCs w:val="28"/>
          <w:u w:val="none"/>
          <w14:textFill>
            <w14:solidFill>
              <w14:schemeClr w14:val="tx1"/>
            </w14:solidFill>
          </w14:textFill>
        </w:rPr>
        <w:t>十、预算绩效情况说明</w:t>
      </w:r>
      <w:r>
        <w:rPr>
          <w:rStyle w:val="16"/>
          <w:rFonts w:ascii="仿宋" w:hAnsi="仿宋" w:eastAsia="仿宋" w:cstheme="majorBidi"/>
          <w:bCs/>
          <w:color w:val="000000" w:themeColor="text1"/>
          <w:sz w:val="28"/>
          <w:szCs w:val="28"/>
          <w:u w:val="none"/>
          <w14:textFill>
            <w14:solidFill>
              <w14:schemeClr w14:val="tx1"/>
            </w14:solidFill>
          </w14:textFill>
        </w:rPr>
        <w:t>…………………………………………</w:t>
      </w:r>
      <w:r>
        <w:rPr>
          <w:rStyle w:val="16"/>
          <w:rFonts w:hint="eastAsia" w:ascii="仿宋" w:hAnsi="仿宋" w:eastAsia="仿宋" w:cstheme="majorBidi"/>
          <w:bCs/>
          <w:color w:val="000000" w:themeColor="text1"/>
          <w:sz w:val="28"/>
          <w:szCs w:val="28"/>
          <w:u w:val="none"/>
          <w14:textFill>
            <w14:solidFill>
              <w14:schemeClr w14:val="tx1"/>
            </w14:solidFill>
          </w14:textFill>
        </w:rPr>
        <w:t xml:space="preserve">  13</w:t>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29</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fldChar w:fldCharType="begin"/>
      </w:r>
      <w:r>
        <w:instrText xml:space="preserve"> PAGEREF _Toc15396614 \h </w:instrText>
      </w:r>
      <w:r>
        <w:fldChar w:fldCharType="separate"/>
      </w:r>
      <w:r>
        <w:t>32</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32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fldChar w:fldCharType="begin"/>
      </w:r>
      <w:r>
        <w:instrText xml:space="preserve"> PAGEREF _Toc15396618 \h </w:instrText>
      </w:r>
      <w:r>
        <w:fldChar w:fldCharType="separate"/>
      </w:r>
      <w:r>
        <w:t>36</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44</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Fonts w:ascii="黑体" w:hAnsi="黑体" w:eastAsia="黑体"/>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snapToGrid w:val="0"/>
        <w:spacing w:line="520" w:lineRule="exact"/>
        <w:ind w:firstLine="640" w:firstLineChars="200"/>
        <w:rPr>
          <w:rFonts w:ascii="仿宋_GB2312" w:hAnsi="仿宋_GB2312" w:eastAsia="仿宋_GB2312" w:cs="仿宋_GB2312"/>
          <w:sz w:val="32"/>
          <w:szCs w:val="32"/>
        </w:rPr>
      </w:pPr>
      <w:bookmarkStart w:id="16" w:name="_Toc15377198"/>
      <w:bookmarkStart w:id="17" w:name="_Toc15378445"/>
      <w:r>
        <w:rPr>
          <w:rFonts w:hint="eastAsia" w:ascii="仿宋" w:hAnsi="仿宋" w:eastAsia="仿宋"/>
          <w:bCs/>
          <w:color w:val="000000"/>
          <w:sz w:val="32"/>
          <w:szCs w:val="32"/>
        </w:rPr>
        <w:t>（一）</w:t>
      </w:r>
      <w:bookmarkEnd w:id="16"/>
      <w:bookmarkEnd w:id="17"/>
      <w:bookmarkStart w:id="18" w:name="_Toc15378446"/>
      <w:bookmarkStart w:id="19" w:name="_Toc15377199"/>
      <w:r>
        <w:rPr>
          <w:rFonts w:hint="eastAsia" w:ascii="楷体" w:hAnsi="楷体" w:eastAsia="楷体" w:cs="楷体"/>
          <w:b/>
          <w:bCs/>
          <w:sz w:val="32"/>
          <w:szCs w:val="32"/>
        </w:rPr>
        <w:t>1、基本职能</w:t>
      </w:r>
      <w:r>
        <w:rPr>
          <w:rFonts w:hint="eastAsia" w:ascii="仿宋_GB2312" w:hAnsi="仿宋" w:eastAsia="仿宋_GB2312"/>
          <w:sz w:val="32"/>
          <w:szCs w:val="32"/>
        </w:rPr>
        <w:t>执行本级人民代表大会的决议和上级国家行政机关的决定和命令，在辖区内发布决定和命令；</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2、按照国家宪法和法律，行使对本辖区内的行政及民政事务的管理,推进计划生育工作；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3、制定本乡的经济和社会发展规划，并组织实施；组织和领导行政经济体制改革，协调本行政区域村民委员会与各经济组织之间的关系；</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4、组织规划乡财政管理的各项收入，管理乡范围内的各项财政支出和行政筹集、分配和使用的资金；</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5、负责管理对外经济技术交流与合作，开展经济信息预测工作，推广科学技术成果；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6、对本乡各项社会建设进行宏观管理，抓好环境卫生整治工作；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7、加强基本农田水利建设和道路、桥梁等的建设，加强土地的统一管理、统筹规划，协助有关部门做好地质灾害的防治工作;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8、负责农村土地承包管理、农民负担监督管理、农村集体资产财务管理；</w:t>
      </w:r>
      <w:r>
        <w:rPr>
          <w:rFonts w:hint="eastAsia" w:eastAsia="仿宋_GB2312"/>
          <w:sz w:val="32"/>
          <w:szCs w:val="32"/>
        </w:rPr>
        <w:t>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9、组织和开展社会主义精神文明活动，正确调解和处理人民内部矛盾，认真调解民事纠纷；</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10、充分发挥行政职能，组织和开展本乡的文化、教育、卫生、民政和科技等工作；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11、根据经济发展需要，建立经济、技术咨询服务机构，向经济组织和农牧民提供全面服务。</w:t>
      </w:r>
      <w:r>
        <w:rPr>
          <w:rFonts w:hint="eastAsia" w:eastAsia="仿宋_GB2312"/>
          <w:sz w:val="32"/>
          <w:szCs w:val="32"/>
        </w:rPr>
        <w:t> </w:t>
      </w:r>
    </w:p>
    <w:p>
      <w:pPr>
        <w:spacing w:line="560" w:lineRule="exact"/>
        <w:ind w:firstLine="645"/>
        <w:rPr>
          <w:rFonts w:eastAsia="仿宋_GB2312"/>
          <w:sz w:val="32"/>
          <w:szCs w:val="32"/>
        </w:rPr>
      </w:pPr>
      <w:r>
        <w:rPr>
          <w:rFonts w:hint="eastAsia" w:ascii="仿宋_GB2312" w:hAnsi="仿宋" w:eastAsia="仿宋_GB2312"/>
          <w:sz w:val="32"/>
          <w:szCs w:val="32"/>
        </w:rPr>
        <w:t>12、在乡党委的领导下做好民族宗教、寺庙的管理等工作。</w:t>
      </w:r>
      <w:r>
        <w:rPr>
          <w:rFonts w:hint="eastAsia" w:eastAsia="仿宋_GB2312"/>
          <w:sz w:val="32"/>
          <w:szCs w:val="32"/>
        </w:rPr>
        <w:t> </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pacing w:line="560" w:lineRule="exact"/>
        <w:ind w:firstLine="642" w:firstLineChars="200"/>
        <w:rPr>
          <w:rFonts w:ascii="黑体" w:hAnsi="黑体" w:eastAsia="黑体" w:cs="黑体"/>
          <w:sz w:val="32"/>
          <w:szCs w:val="32"/>
        </w:rPr>
      </w:pPr>
      <w:r>
        <w:rPr>
          <w:rFonts w:hint="eastAsia" w:ascii="楷体" w:hAnsi="楷体" w:eastAsia="楷体" w:cs="楷体"/>
          <w:b/>
          <w:bCs/>
          <w:sz w:val="32"/>
          <w:szCs w:val="32"/>
        </w:rPr>
        <w:t>（一）经济发展呈现新态势</w:t>
      </w:r>
      <w:r>
        <w:rPr>
          <w:rFonts w:hint="eastAsia" w:ascii="仿宋_GB2312" w:eastAsia="仿宋_GB2312" w:cs="宋体"/>
          <w:b/>
          <w:bCs/>
          <w:color w:val="000000"/>
          <w:sz w:val="32"/>
          <w:szCs w:val="32"/>
          <w:lang w:bidi="ar"/>
        </w:rPr>
        <w:t>产业培育纵深推进。</w:t>
      </w:r>
      <w:r>
        <w:rPr>
          <w:rFonts w:hint="eastAsia" w:ascii="仿宋_GB2312" w:hAnsi="仿宋_GB2312" w:eastAsia="仿宋_GB2312" w:cs="仿宋_GB2312"/>
          <w:b/>
          <w:bCs/>
          <w:color w:val="000000"/>
          <w:sz w:val="32"/>
          <w:szCs w:val="32"/>
          <w:lang w:bidi="ar"/>
        </w:rPr>
        <w:t>农业上</w:t>
      </w:r>
      <w:r>
        <w:rPr>
          <w:rFonts w:hint="eastAsia" w:ascii="仿宋_GB2312" w:hAnsi="仿宋_GB2312" w:eastAsia="仿宋_GB2312" w:cs="仿宋_GB2312"/>
          <w:color w:val="000000"/>
          <w:sz w:val="32"/>
          <w:szCs w:val="32"/>
          <w:lang w:bidi="ar"/>
        </w:rPr>
        <w:t>，我乡</w:t>
      </w:r>
      <w:r>
        <w:rPr>
          <w:rFonts w:hint="eastAsia" w:ascii="仿宋_GB2312" w:hAnsi="仿宋_GB2312" w:eastAsia="仿宋_GB2312" w:cs="仿宋_GB2312"/>
          <w:kern w:val="0"/>
          <w:sz w:val="32"/>
          <w:szCs w:val="32"/>
          <w:lang w:bidi="ar"/>
        </w:rPr>
        <w:t>全面落实粮食直补，加快农业产业化进程</w:t>
      </w:r>
      <w:r>
        <w:rPr>
          <w:rFonts w:hint="eastAsia" w:ascii="仿宋_GB2312" w:hAnsi="仿宋_GB2312" w:eastAsia="仿宋_GB2312" w:cs="仿宋_GB2312"/>
          <w:color w:val="000000"/>
          <w:sz w:val="32"/>
          <w:szCs w:val="32"/>
        </w:rPr>
        <w:t>，扎实开展春耕备耕工作，2018年我乡</w:t>
      </w:r>
      <w:r>
        <w:rPr>
          <w:rFonts w:hint="eastAsia" w:ascii="仿宋_GB2312" w:hAnsi="仿宋_GB2312" w:eastAsia="仿宋_GB2312" w:cs="仿宋_GB2312"/>
          <w:sz w:val="32"/>
          <w:szCs w:val="32"/>
        </w:rPr>
        <w:t>发放青稞种子8000斤，油菜种子600斤，马铃薯种子10000斤，复合肥24000斤，硼肥24件；小菜园建设覆盖100户，试种紫色土豆8亩；开展农技培训540余人次，到地指导24次，实现农业收入140余万元。牧业上</w:t>
      </w:r>
      <w:r>
        <w:rPr>
          <w:rFonts w:hint="eastAsia" w:ascii="仿宋_GB2312" w:hAnsi="仿宋_GB2312" w:eastAsia="仿宋_GB2312" w:cs="仿宋_GB2312"/>
          <w:color w:val="000000"/>
          <w:sz w:val="32"/>
          <w:szCs w:val="32"/>
        </w:rPr>
        <w:t>，为促进全乡畜牧生产持续、稳步、健康发展，全面落实</w:t>
      </w:r>
      <w:r>
        <w:rPr>
          <w:rFonts w:hint="default" w:ascii="仿宋_GB2312" w:hAnsi="仿宋_GB2312" w:eastAsia="仿宋_GB2312" w:cs="仿宋_GB2312"/>
          <w:color w:val="000000"/>
          <w:sz w:val="32"/>
          <w:szCs w:val="32"/>
          <w:lang w:val="en-US"/>
        </w:rPr>
        <w:t>县委县政府</w:t>
      </w:r>
      <w:r>
        <w:rPr>
          <w:rFonts w:hint="eastAsia" w:ascii="仿宋_GB2312" w:hAnsi="仿宋_GB2312" w:eastAsia="仿宋_GB2312" w:cs="仿宋_GB2312"/>
          <w:color w:val="000000"/>
          <w:sz w:val="32"/>
          <w:szCs w:val="32"/>
        </w:rPr>
        <w:t>扶贫攻坚目标，</w:t>
      </w:r>
      <w:r>
        <w:rPr>
          <w:rFonts w:hint="eastAsia" w:ascii="仿宋_GB2312" w:hAnsi="仿宋_GB2312" w:eastAsia="仿宋_GB2312" w:cs="仿宋_GB2312"/>
          <w:sz w:val="32"/>
          <w:szCs w:val="32"/>
        </w:rPr>
        <w:t>开展春秋季防疫2次；</w:t>
      </w:r>
      <w:r>
        <w:rPr>
          <w:rFonts w:hint="eastAsia" w:ascii="仿宋_GB2312" w:hAnsi="仿宋_GB2312" w:eastAsia="仿宋_GB2312" w:cs="仿宋_GB2312"/>
          <w:color w:val="000000"/>
          <w:sz w:val="32"/>
          <w:szCs w:val="32"/>
        </w:rPr>
        <w:t>针对我乡西西纯牧区成立合作社饲养牦牛176头，牦牛出栏、出售牧产品增加牧民收入，针对周边县域突发炭疽疫情，我乡积极应对，加强疫情监测，指定疫情观察员，防止兽类流通，同时定期对辖区的各个牧场和放生场开展检疫检查，</w:t>
      </w:r>
      <w:r>
        <w:rPr>
          <w:rFonts w:hint="eastAsia" w:ascii="仿宋_GB2312" w:hAnsi="仿宋_GB2312" w:eastAsia="仿宋_GB2312" w:cs="仿宋_GB2312"/>
          <w:sz w:val="32"/>
          <w:szCs w:val="32"/>
        </w:rPr>
        <w:t>开展疫情检测30余次，实现畜牧业收入493余万元。</w:t>
      </w:r>
    </w:p>
    <w:p>
      <w:pPr>
        <w:spacing w:line="560" w:lineRule="exact"/>
        <w:ind w:firstLine="642" w:firstLineChars="200"/>
        <w:rPr>
          <w:rFonts w:ascii="楷体" w:hAnsi="楷体" w:eastAsia="楷体" w:cs="楷体"/>
          <w:b/>
          <w:bCs/>
          <w:sz w:val="32"/>
          <w:szCs w:val="32"/>
        </w:rPr>
      </w:pPr>
      <w:r>
        <w:rPr>
          <w:rFonts w:hint="eastAsia" w:ascii="楷体" w:hAnsi="楷体" w:eastAsia="楷体" w:cs="楷体"/>
          <w:b/>
          <w:bCs/>
          <w:sz w:val="32"/>
          <w:szCs w:val="32"/>
        </w:rPr>
        <w:t>（二）基础设施实现新发展</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2018年我乡已实施项目有：</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1、2018年杜科片区脱贫攻坚基础设施建设项目修卡村修卡小组道路建设，项目总投资165万元，建设内容：新建入户路2400米、寨内路960米、堡坎420米；目前已完成建设。</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2、2018年杜科片区脱贫攻坚基础设施建设项目修卡村巴尔古寨道路建设，项目总投资210万元，建设内容为：新建入户路2500米、寨内路1200米、堡坎1200米、管涵2座、盖板涵1座等，目前已全面完工；</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3、2018年杜科片区脱贫攻坚基础设施建设项目章腊村道路建设项目，项目总投资105万元、建设内容：新建入户路1200米，寨内路450米，堡坎500米，堡坎护基300米现已全面完工；</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4、2018年杜科片区脱贫攻坚基础设施建设项目壤古村壤古小组道路建设，项目总投资240万元，建设内容为：通寨道路硬化4.5公里、堡坎300米、防护栏1000米已完成90%；</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5、壤塘县2018年吾依乡西西村、章腊村脱贫攻坚基础设施查漏补缺建设项目，总投资110万，建设内容：坝子平整4000平方米、坝子硬化800平方米、垃圾焚烧池3座、毛石</w:t>
      </w:r>
      <w:r>
        <w:rPr>
          <w:rFonts w:hint="eastAsia" w:ascii="仿宋_GB2312" w:eastAsia="仿宋_GB2312" w:cs="宋体"/>
          <w:color w:val="000000"/>
          <w:sz w:val="32"/>
          <w:szCs w:val="32"/>
          <w:lang w:eastAsia="zh-CN" w:bidi="ar"/>
        </w:rPr>
        <w:t>混凝土</w:t>
      </w:r>
      <w:r>
        <w:rPr>
          <w:rFonts w:hint="eastAsia" w:ascii="仿宋_GB2312" w:eastAsia="仿宋_GB2312" w:cs="宋体"/>
          <w:color w:val="000000"/>
          <w:sz w:val="32"/>
          <w:szCs w:val="32"/>
          <w:lang w:bidi="ar"/>
        </w:rPr>
        <w:t>挡墙250米、入户路200米现已全面完工；</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6、壤塘县2018年吾依乡卡龙村、吾依村脱贫攻坚基础设施查漏补缺建设项目，总投资240万，建设内容：堡坎800米、小桥1座、蓄水池1座、桥面断头道路硬化250米等，正在建设中，已完成80%；</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7、壤塘县2018年吾依乡壤古村、修卡村脱贫攻坚基础设施查漏补缺建设项目，总投资410万元，建设内容：堡坎1500米、入户路820米、寨内路1500米、水冲式厕所1座、垃圾焚烧池2座、篮球场1个，正在建设中，已完成90%；</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8、“十三五”易地扶贫搬迁项目——吾依乡修卡村脱贫攻坚无电用户电力接入工程，总投资22万元，建设内容：新建低压线路总长1.2公里、电线杆20基、改造下户线15户，目前正在招标中；</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9、“十三五”易地扶贫搬迁项目——吾依乡吾依村脱贫攻坚无电用户电力接入工程，总投资35万元，建设内容：新建低压线路总长2.3公里、电线杆46基、改造下户线7户，目前正在招标中；</w:t>
      </w:r>
    </w:p>
    <w:p>
      <w:pPr>
        <w:spacing w:line="560" w:lineRule="exact"/>
        <w:ind w:firstLine="640" w:firstLineChars="200"/>
        <w:rPr>
          <w:rFonts w:ascii="仿宋_GB2312" w:eastAsia="仿宋_GB2312" w:cs="宋体"/>
          <w:color w:val="000000"/>
          <w:sz w:val="32"/>
          <w:szCs w:val="32"/>
          <w:lang w:bidi="ar"/>
        </w:rPr>
      </w:pPr>
      <w:r>
        <w:rPr>
          <w:rFonts w:hint="eastAsia" w:ascii="仿宋_GB2312" w:hAnsi="仿宋_GB2312" w:eastAsia="仿宋_GB2312" w:cs="仿宋_GB2312"/>
          <w:color w:val="000000"/>
          <w:sz w:val="32"/>
          <w:szCs w:val="32"/>
        </w:rPr>
        <w:t>10、2017年吾依村基础设施和公共服务建设项目，总投入资610万元，建设内容：入户路、寨内路、堡坎、小桥等，正在建设中，目前已完工90%。</w:t>
      </w:r>
    </w:p>
    <w:p>
      <w:pPr>
        <w:spacing w:line="560" w:lineRule="exact"/>
        <w:ind w:firstLine="627" w:firstLineChars="196"/>
        <w:rPr>
          <w:rFonts w:ascii="仿宋_GB2312" w:eastAsia="仿宋_GB2312" w:cs="宋体"/>
          <w:color w:val="000000"/>
          <w:sz w:val="32"/>
          <w:szCs w:val="32"/>
          <w:lang w:bidi="ar"/>
        </w:rPr>
      </w:pPr>
      <w:r>
        <w:rPr>
          <w:rFonts w:hint="eastAsia" w:ascii="仿宋_GB2312" w:eastAsia="仿宋_GB2312" w:cs="宋体"/>
          <w:color w:val="000000"/>
          <w:sz w:val="32"/>
          <w:szCs w:val="32"/>
          <w:lang w:bidi="ar"/>
        </w:rPr>
        <w:t>2019年我乡拟实施的项目有：</w:t>
      </w:r>
    </w:p>
    <w:p>
      <w:pPr>
        <w:spacing w:line="560" w:lineRule="exact"/>
        <w:ind w:firstLine="640" w:firstLineChars="200"/>
        <w:rPr>
          <w:rFonts w:ascii="仿宋_GB2312" w:eastAsia="仿宋_GB2312" w:cs="宋体"/>
          <w:color w:val="000000"/>
          <w:sz w:val="32"/>
          <w:szCs w:val="32"/>
          <w:lang w:bidi="ar"/>
        </w:rPr>
      </w:pPr>
      <w:r>
        <w:rPr>
          <w:rFonts w:hint="eastAsia" w:ascii="仿宋_GB2312" w:eastAsia="仿宋_GB2312" w:cs="宋体"/>
          <w:color w:val="000000"/>
          <w:sz w:val="32"/>
          <w:szCs w:val="32"/>
          <w:lang w:bidi="ar"/>
        </w:rPr>
        <w:t>1.章腊沟沟口至定居点4.61公里沥青道路建设，总投资365万元。</w:t>
      </w:r>
    </w:p>
    <w:p>
      <w:pPr>
        <w:spacing w:line="560" w:lineRule="exact"/>
        <w:ind w:firstLine="640" w:firstLineChars="200"/>
        <w:jc w:val="left"/>
        <w:rPr>
          <w:rFonts w:ascii="仿宋_GB2312" w:eastAsia="仿宋_GB2312" w:cs="宋体"/>
          <w:color w:val="000000"/>
          <w:sz w:val="32"/>
          <w:szCs w:val="32"/>
          <w:lang w:bidi="ar"/>
        </w:rPr>
      </w:pPr>
      <w:r>
        <w:rPr>
          <w:rFonts w:hint="eastAsia" w:ascii="仿宋_GB2312" w:eastAsia="仿宋_GB2312" w:cs="宋体"/>
          <w:color w:val="000000"/>
          <w:sz w:val="32"/>
          <w:szCs w:val="32"/>
          <w:lang w:bidi="ar"/>
        </w:rPr>
        <w:t>2.章腊沟便桥3个，总投资85万元。</w:t>
      </w:r>
    </w:p>
    <w:p>
      <w:pPr>
        <w:spacing w:line="560" w:lineRule="exact"/>
        <w:ind w:firstLine="640" w:firstLineChars="200"/>
        <w:jc w:val="left"/>
        <w:rPr>
          <w:rFonts w:ascii="仿宋_GB2312" w:eastAsia="仿宋_GB2312" w:cs="宋体"/>
          <w:color w:val="000000"/>
          <w:sz w:val="32"/>
          <w:szCs w:val="32"/>
          <w:lang w:bidi="ar"/>
        </w:rPr>
      </w:pPr>
      <w:r>
        <w:rPr>
          <w:rFonts w:hint="eastAsia" w:ascii="仿宋_GB2312" w:eastAsia="仿宋_GB2312" w:cs="宋体"/>
          <w:color w:val="000000"/>
          <w:sz w:val="32"/>
          <w:szCs w:val="32"/>
          <w:lang w:bidi="ar"/>
        </w:rPr>
        <w:t>3.修卡村寨通寨公路 1.5公里（包括堡坎、桥函），总投资135万元。</w:t>
      </w:r>
    </w:p>
    <w:p>
      <w:pPr>
        <w:spacing w:line="560" w:lineRule="exact"/>
        <w:ind w:firstLine="640" w:firstLineChars="200"/>
        <w:jc w:val="left"/>
        <w:rPr>
          <w:rFonts w:ascii="仿宋_GB2312" w:eastAsia="仿宋_GB2312" w:cs="宋体"/>
          <w:color w:val="000000"/>
          <w:sz w:val="32"/>
          <w:szCs w:val="32"/>
          <w:lang w:bidi="ar"/>
        </w:rPr>
      </w:pPr>
      <w:r>
        <w:rPr>
          <w:rFonts w:hint="eastAsia" w:ascii="仿宋_GB2312" w:eastAsia="仿宋_GB2312" w:cs="宋体"/>
          <w:color w:val="000000"/>
          <w:sz w:val="32"/>
          <w:szCs w:val="32"/>
          <w:lang w:bidi="ar"/>
        </w:rPr>
        <w:t>4.修卡村公玛寨通寨道路 2.53公里硬化项目（包括堡坎、桥函），总投资227万元。</w:t>
      </w:r>
    </w:p>
    <w:p>
      <w:pPr>
        <w:spacing w:line="560" w:lineRule="exact"/>
        <w:ind w:firstLine="640" w:firstLineChars="200"/>
        <w:jc w:val="left"/>
        <w:rPr>
          <w:rFonts w:ascii="仿宋_GB2312" w:eastAsia="仿宋_GB2312" w:cs="宋体"/>
          <w:color w:val="000000"/>
          <w:sz w:val="32"/>
          <w:szCs w:val="32"/>
          <w:lang w:bidi="ar"/>
        </w:rPr>
      </w:pPr>
      <w:r>
        <w:rPr>
          <w:rFonts w:hint="eastAsia" w:ascii="仿宋_GB2312" w:eastAsia="仿宋_GB2312" w:cs="宋体"/>
          <w:color w:val="000000"/>
          <w:sz w:val="32"/>
          <w:szCs w:val="32"/>
          <w:lang w:bidi="ar"/>
        </w:rPr>
        <w:t>5.修卡村巴尔古寨及吉郎沟寨 4.18公里道路硬化项目总投资376万。</w:t>
      </w:r>
    </w:p>
    <w:p>
      <w:pPr>
        <w:spacing w:line="560" w:lineRule="exact"/>
        <w:ind w:firstLine="642" w:firstLineChars="200"/>
        <w:rPr>
          <w:rFonts w:ascii="楷体" w:hAnsi="楷体" w:eastAsia="楷体" w:cs="楷体"/>
          <w:b/>
          <w:bCs/>
          <w:color w:val="000000"/>
          <w:sz w:val="32"/>
          <w:szCs w:val="32"/>
          <w:lang w:bidi="ar"/>
        </w:rPr>
      </w:pPr>
      <w:r>
        <w:rPr>
          <w:rFonts w:hint="eastAsia" w:ascii="楷体" w:hAnsi="楷体" w:eastAsia="楷体" w:cs="楷体"/>
          <w:b/>
          <w:bCs/>
          <w:color w:val="000000"/>
          <w:sz w:val="32"/>
          <w:szCs w:val="32"/>
          <w:lang w:bidi="ar"/>
        </w:rPr>
        <w:t>（三）民生福祉得到新改善</w:t>
      </w:r>
    </w:p>
    <w:p>
      <w:pPr>
        <w:spacing w:line="56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color w:val="000000"/>
          <w:sz w:val="32"/>
          <w:szCs w:val="32"/>
          <w:lang w:bidi="ar"/>
        </w:rPr>
        <w:t>全力抓好教育事业：</w:t>
      </w:r>
      <w:r>
        <w:rPr>
          <w:rFonts w:hint="eastAsia" w:ascii="仿宋_GB2312" w:hAnsi="仿宋_GB2312" w:eastAsia="仿宋_GB2312" w:cs="仿宋_GB2312"/>
          <w:color w:val="000000"/>
          <w:sz w:val="32"/>
          <w:szCs w:val="32"/>
          <w:lang w:bidi="ar"/>
        </w:rPr>
        <w:t>把教育均衡发展工作纳入乡党委政府重点工作，配合吾依中心校做好教育均衡验收。</w:t>
      </w:r>
      <w:r>
        <w:rPr>
          <w:rFonts w:hint="eastAsia" w:ascii="仿宋_GB2312" w:hAnsi="仿宋_GB2312" w:eastAsia="仿宋_GB2312" w:cs="仿宋_GB2312"/>
          <w:color w:val="000000"/>
          <w:sz w:val="32"/>
          <w:szCs w:val="32"/>
        </w:rPr>
        <w:t>落实控辍保学责任制，全面摸排适龄学生底数，实行人头追踪，落实包村工作组、村两委“一对一”动员责任制，及时了解报告学生入学情况，加强新动员学生管理，开展定期走访，防止新动员学生入学出现反复。全年共动员适龄学生</w:t>
      </w:r>
      <w:r>
        <w:rPr>
          <w:rFonts w:hint="eastAsia" w:ascii="仿宋_GB2312" w:hAnsi="仿宋_GB2312" w:eastAsia="仿宋_GB2312" w:cs="仿宋_GB2312"/>
          <w:sz w:val="32"/>
          <w:szCs w:val="32"/>
        </w:rPr>
        <w:t>175人次，中心校学生到校259人，入学率达96%。积极做好“金秋助学”和助学帮困，让每一位适龄儿童都入校入园接受科学文化知识。</w:t>
      </w:r>
    </w:p>
    <w:p>
      <w:pPr>
        <w:adjustRightInd w:val="0"/>
        <w:snapToGrid w:val="0"/>
        <w:spacing w:line="560"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bidi="ar"/>
        </w:rPr>
        <w:t>全力抓好医疗事业：</w:t>
      </w:r>
      <w:r>
        <w:rPr>
          <w:rFonts w:hint="eastAsia" w:ascii="仿宋_GB2312" w:hAnsi="仿宋_GB2312" w:eastAsia="仿宋_GB2312" w:cs="仿宋_GB2312"/>
          <w:color w:val="000000"/>
          <w:sz w:val="32"/>
          <w:szCs w:val="32"/>
        </w:rPr>
        <w:t>严格落实分级诊疗制度和发放县域内就诊服务卡，建立贫困户医疗就诊服务台帐，组织开展了医疗签约服务行动及巡诊义诊服务活动，签约服务人数达3050人次，对重点人群（65岁以上老年人、糖尿病、高血压病人等）开展免费健康体检，健康体检196人次，开展义诊巡诊11次，同时依托农民夜校等平台开展健康教育知识讲座5次，健康咨询及教育752人次。实行大病救助申报审核制度，统一申报渠道，严格把关，确保医疗救助精准到位。在爱心企业资金的支持下改建预防接种门诊，通过接种门诊规范化建设，进一步优化了服务流程，大力改善了接种服务条件，降低了接种安全风险，这必将为进一步提高疫苗接种率，降低我乡传染病发病率起到积极的推动作用。</w:t>
      </w:r>
    </w:p>
    <w:p>
      <w:pPr>
        <w:adjustRightInd w:val="0"/>
        <w:snapToGrid w:val="0"/>
        <w:spacing w:line="560" w:lineRule="exact"/>
        <w:ind w:firstLine="642" w:firstLineChars="200"/>
        <w:rPr>
          <w:rFonts w:ascii="楷体_GB2312" w:hAnsi="楷体_GB2312" w:eastAsia="楷体_GB2312" w:cs="楷体_GB2312"/>
          <w:b/>
          <w:bCs/>
          <w:color w:val="000000"/>
          <w:sz w:val="32"/>
          <w:szCs w:val="32"/>
        </w:rPr>
      </w:pPr>
      <w:r>
        <w:rPr>
          <w:rFonts w:hint="eastAsia" w:ascii="仿宋_GB2312" w:hAnsi="仿宋_GB2312" w:eastAsia="仿宋_GB2312" w:cs="仿宋_GB2312"/>
          <w:b/>
          <w:bCs/>
          <w:color w:val="000000"/>
          <w:sz w:val="32"/>
          <w:szCs w:val="32"/>
          <w:lang w:bidi="ar"/>
        </w:rPr>
        <w:t>全力抓好</w:t>
      </w:r>
      <w:r>
        <w:rPr>
          <w:rFonts w:hint="eastAsia" w:ascii="楷体_GB2312" w:hAnsi="楷体_GB2312" w:eastAsia="楷体_GB2312" w:cs="楷体_GB2312"/>
          <w:b/>
          <w:bCs/>
          <w:color w:val="000000"/>
          <w:sz w:val="32"/>
          <w:szCs w:val="32"/>
        </w:rPr>
        <w:t>计生卫生</w:t>
      </w:r>
      <w:r>
        <w:rPr>
          <w:rFonts w:hint="eastAsia" w:ascii="仿宋_GB2312" w:hAnsi="仿宋_GB2312" w:eastAsia="仿宋_GB2312" w:cs="仿宋_GB2312"/>
          <w:b/>
          <w:bCs/>
          <w:color w:val="000000"/>
          <w:sz w:val="32"/>
          <w:szCs w:val="32"/>
          <w:lang w:bidi="ar"/>
        </w:rPr>
        <w:t>事业</w:t>
      </w:r>
      <w:r>
        <w:rPr>
          <w:rFonts w:hint="eastAsia" w:ascii="楷体_GB2312" w:hAnsi="楷体_GB2312" w:eastAsia="楷体_GB2312" w:cs="楷体_GB2312"/>
          <w:b/>
          <w:bCs/>
          <w:color w:val="000000"/>
          <w:sz w:val="32"/>
          <w:szCs w:val="32"/>
        </w:rPr>
        <w:t>：</w:t>
      </w:r>
      <w:r>
        <w:rPr>
          <w:rFonts w:hint="eastAsia" w:ascii="仿宋_GB2312" w:hAnsi="仿宋_GB2312" w:eastAsia="仿宋_GB2312" w:cs="仿宋_GB2312"/>
          <w:color w:val="000000"/>
          <w:sz w:val="32"/>
          <w:szCs w:val="32"/>
        </w:rPr>
        <w:t>全年发放“三项制度”资金75880元，发放避孕套6000支，协助县各级部门开展义诊巡诊5次；清理、核实全镇各类人员人口信息平台数据，修改、比对人口数据637条；全乡6个村（居）确定“包村包户”和“一对一”联系制度，16名乡干部联系789名育龄妇女，6名专业技术人员参与“一对一”育龄妇女联系工作，落实包村包户责任制包村包户责任制、专业技术人员“一对一”联系制，包户率、联系率达100%。</w:t>
      </w:r>
    </w:p>
    <w:p>
      <w:pPr>
        <w:adjustRightInd w:val="0"/>
        <w:snapToGrid w:val="0"/>
        <w:spacing w:line="560"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bidi="ar"/>
        </w:rPr>
        <w:t>全力抓好</w:t>
      </w:r>
      <w:r>
        <w:rPr>
          <w:rFonts w:hint="eastAsia" w:ascii="仿宋_GB2312" w:hAnsi="仿宋_GB2312" w:eastAsia="仿宋_GB2312" w:cs="仿宋_GB2312"/>
          <w:b/>
          <w:bCs/>
          <w:color w:val="000000"/>
          <w:sz w:val="32"/>
          <w:szCs w:val="32"/>
        </w:rPr>
        <w:t>民政救助</w:t>
      </w:r>
      <w:r>
        <w:rPr>
          <w:rFonts w:hint="eastAsia" w:ascii="仿宋_GB2312" w:hAnsi="仿宋_GB2312" w:eastAsia="仿宋_GB2312" w:cs="仿宋_GB2312"/>
          <w:b/>
          <w:bCs/>
          <w:color w:val="000000"/>
          <w:sz w:val="32"/>
          <w:szCs w:val="32"/>
          <w:lang w:bidi="ar"/>
        </w:rPr>
        <w:t>事业</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一是开展低保系统重核工作：加强城乡社会救助体系建设，切实保障困难群众的基本生活；进一步完善低保申请、入户调查、民主评议、审核审批等工作环节和程序，并及时更新城乡低保信息系统工作，对无资格享受、死亡人员进行了清退，对因婚嫁有在多户中重领，错领人员进行了梳理整改。二是发放民政资金：2018年1-12月发放农村低保资金3369867元；发放城镇低保资金94380元；发放特困人员（三度）资金330900元；发放特困人员（五保）资金121800元；发放困难残疾人生活补贴资金115920元；发放重度残疾人护理补贴资金80370元；发放民政医疗救助190余人次，发放资金264070余元；发放自然灾害救助资金85000元。</w:t>
      </w:r>
    </w:p>
    <w:p>
      <w:pPr>
        <w:adjustRightInd w:val="0"/>
        <w:snapToGrid w:val="0"/>
        <w:spacing w:line="560" w:lineRule="exact"/>
        <w:ind w:firstLine="642" w:firstLineChars="200"/>
        <w:rPr>
          <w:rFonts w:ascii="仿宋_GB2312" w:hAnsi="仿宋_GB2312" w:eastAsia="仿宋_GB2312" w:cs="仿宋_GB2312"/>
          <w:b/>
          <w:bCs/>
          <w:color w:val="000000"/>
          <w:sz w:val="32"/>
          <w:szCs w:val="32"/>
          <w:lang w:bidi="ar"/>
        </w:rPr>
      </w:pPr>
      <w:r>
        <w:rPr>
          <w:rFonts w:hint="eastAsia" w:ascii="仿宋_GB2312" w:hAnsi="仿宋_GB2312" w:eastAsia="仿宋_GB2312" w:cs="仿宋_GB2312"/>
          <w:b/>
          <w:bCs/>
          <w:color w:val="000000"/>
          <w:sz w:val="32"/>
          <w:szCs w:val="32"/>
          <w:lang w:bidi="ar"/>
        </w:rPr>
        <w:t>全力抓好文体事业：</w:t>
      </w:r>
      <w:r>
        <w:rPr>
          <w:rFonts w:hint="eastAsia" w:ascii="仿宋_GB2312" w:hAnsi="仿宋_GB2312" w:eastAsia="仿宋_GB2312" w:cs="仿宋_GB2312"/>
          <w:color w:val="000000"/>
          <w:sz w:val="32"/>
          <w:szCs w:val="32"/>
          <w:lang w:bidi="ar"/>
        </w:rPr>
        <w:t>为认真落实县文化发展大会精神，传承发扬壤巴拉传统文化，以文化促脱贫，我乡将文体工作作为重点工作来抓。今年，我乡利用藏历新年、三八妇女节、五四青年节、中秋节等、壤巴拉节等传统节假日举行歌手大赛、锅庄比赛、文艺演出、厨艺大赛、座谈会、游园活动等形式丰富的节庆活动，</w:t>
      </w:r>
      <w:r>
        <w:rPr>
          <w:rFonts w:hint="eastAsia" w:ascii="仿宋_GB2312" w:hAnsi="仿宋_GB2312" w:eastAsia="仿宋_GB2312" w:cs="仿宋_GB2312"/>
          <w:sz w:val="32"/>
          <w:szCs w:val="32"/>
        </w:rPr>
        <w:t>通过庆祝活动的开展，大力弘扬社会主义核心价值观，传扬家乡文化，丰富群众业余生活，提升乡干部群众精神面貌。</w:t>
      </w:r>
    </w:p>
    <w:p>
      <w:pPr>
        <w:spacing w:line="560" w:lineRule="exact"/>
        <w:ind w:firstLine="642" w:firstLineChars="200"/>
        <w:rPr>
          <w:rFonts w:ascii="楷体" w:hAnsi="楷体" w:eastAsia="楷体" w:cs="楷体"/>
          <w:b/>
          <w:bCs/>
          <w:color w:val="000000"/>
          <w:sz w:val="32"/>
          <w:szCs w:val="32"/>
          <w:lang w:bidi="ar"/>
        </w:rPr>
      </w:pPr>
      <w:r>
        <w:rPr>
          <w:rFonts w:hint="eastAsia" w:ascii="楷体" w:hAnsi="楷体" w:eastAsia="楷体" w:cs="楷体"/>
          <w:b/>
          <w:bCs/>
          <w:color w:val="000000"/>
          <w:sz w:val="32"/>
          <w:szCs w:val="32"/>
          <w:lang w:bidi="ar"/>
        </w:rPr>
        <w:t>（四）脱贫攻坚迈出新步伐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我乡本年度共有2个村脱贫（吾依村、章腊村），2018年计划脱贫29户156人，其中吾依村计划脱贫21户114人，章腊村计划脱贫8户42人。</w:t>
      </w:r>
    </w:p>
    <w:p>
      <w:pPr>
        <w:spacing w:line="560" w:lineRule="exact"/>
        <w:ind w:firstLine="642" w:firstLineChars="200"/>
        <w:rPr>
          <w:rFonts w:eastAsia="仿宋_GB2312"/>
          <w:color w:val="000000"/>
          <w:sz w:val="32"/>
          <w:szCs w:val="32"/>
        </w:rPr>
      </w:pPr>
      <w:r>
        <w:rPr>
          <w:rFonts w:hint="eastAsia" w:ascii="仿宋" w:hAnsi="仿宋" w:eastAsia="仿宋"/>
          <w:b/>
          <w:bCs/>
          <w:color w:val="000000"/>
          <w:sz w:val="32"/>
          <w:szCs w:val="32"/>
        </w:rPr>
        <w:t>认真落实扶贫专项资金</w:t>
      </w:r>
      <w:r>
        <w:rPr>
          <w:rFonts w:hint="eastAsia" w:ascii="仿宋" w:hAnsi="仿宋" w:eastAsia="仿宋"/>
          <w:color w:val="000000"/>
          <w:sz w:val="32"/>
          <w:szCs w:val="32"/>
        </w:rPr>
        <w:t>：</w:t>
      </w:r>
      <w:r>
        <w:rPr>
          <w:rFonts w:hint="eastAsia" w:ascii="仿宋_GB2312" w:hAnsi="仿宋_GB2312" w:eastAsia="仿宋_GB2312" w:cs="仿宋_GB2312"/>
          <w:sz w:val="32"/>
          <w:szCs w:val="32"/>
        </w:rPr>
        <w:t>吾依村2017年产业扶持基金50万元投资壤巴拉慧科生态农业有限公司，按照建档立卡贫困户的持股数进行分红，人均增收157元</w:t>
      </w:r>
      <w:r>
        <w:rPr>
          <w:rFonts w:hint="eastAsia" w:ascii="仿宋" w:hAnsi="仿宋" w:eastAsia="仿宋"/>
          <w:color w:val="000000"/>
          <w:sz w:val="32"/>
          <w:szCs w:val="32"/>
        </w:rPr>
        <w:t>，</w:t>
      </w:r>
      <w:r>
        <w:rPr>
          <w:rFonts w:hint="eastAsia" w:eastAsia="仿宋_GB2312"/>
          <w:color w:val="000000"/>
          <w:sz w:val="32"/>
          <w:szCs w:val="32"/>
        </w:rPr>
        <w:t>目前一期收益已经分发到位；2018年吾依村整合财政专项扶贫资金73.83万元和村集体经济试点项目资金100万元，投资精品旅游接待点（购买壤巴拉欣城铺面，170平方），目前正在招商引资；章腊村产业扶持资金40.35万元（其中20万元为2017年产业扶持资金，20.35万元为财政专项产业扶贫基金），计划开办贫困户农家旅游接待藏家乐，项目已审核通过，目前正在有序推进。章腊村产业扶持资金40.35万元（其中20万元为2017年产业扶持资金），计划开办村集体经济农家乐。</w:t>
      </w:r>
    </w:p>
    <w:p>
      <w:pPr>
        <w:spacing w:line="560" w:lineRule="exact"/>
        <w:ind w:firstLine="642" w:firstLineChars="200"/>
        <w:rPr>
          <w:rFonts w:eastAsia="仿宋_GB2312"/>
          <w:color w:val="000000"/>
          <w:sz w:val="32"/>
          <w:szCs w:val="32"/>
        </w:rPr>
      </w:pPr>
      <w:r>
        <w:rPr>
          <w:rFonts w:hint="eastAsia" w:eastAsia="仿宋_GB2312"/>
          <w:b/>
          <w:bCs/>
          <w:color w:val="000000"/>
          <w:sz w:val="32"/>
          <w:szCs w:val="32"/>
        </w:rPr>
        <w:t>扎实推进精准脱贫项目建设：</w:t>
      </w:r>
      <w:r>
        <w:rPr>
          <w:rFonts w:hint="eastAsia" w:eastAsia="仿宋_GB2312"/>
          <w:color w:val="000000"/>
          <w:sz w:val="32"/>
          <w:szCs w:val="32"/>
        </w:rPr>
        <w:t>2018年易地扶贫搬迁实施户数为10户（吾依村2户、章腊村4户、修卡村4户），共计投资92万元，已按每户30%启动资金、进度每户40%进度资金进行了拨付。目前已完成装修和家具购置，正准备接受验收；2018年居家环境改善项目实施户为32户175人（吾依村19户、章腊村4户、修卡村9户），共计投资48万元，启动资金已经拨付兑现（目前每户已拨40%，即每户6000元）。目前完成装修和家具购置，正准备接受验收；2018年危房改造户数为25户，其中新建11户、改建11户（吾依村建新3户、改建7户；章腊村新建7户、改建4户；卡龙新建4户），共计投资58.5万元，启动资金已经拨付兑现。目前新建完成11户，维修完成11户，已全部完工。</w:t>
      </w:r>
    </w:p>
    <w:p>
      <w:pPr>
        <w:spacing w:line="560" w:lineRule="exact"/>
        <w:ind w:firstLine="642" w:firstLineChars="200"/>
        <w:rPr>
          <w:rFonts w:eastAsia="仿宋_GB2312"/>
          <w:color w:val="000000"/>
          <w:sz w:val="32"/>
          <w:szCs w:val="32"/>
        </w:rPr>
      </w:pPr>
      <w:r>
        <w:rPr>
          <w:rFonts w:hint="eastAsia" w:eastAsia="仿宋_GB2312"/>
          <w:b/>
          <w:bCs/>
          <w:color w:val="000000"/>
          <w:sz w:val="32"/>
          <w:szCs w:val="32"/>
        </w:rPr>
        <w:t>努力做好生态扶贫工作：</w:t>
      </w:r>
      <w:r>
        <w:rPr>
          <w:rFonts w:hint="eastAsia" w:eastAsia="仿宋_GB2312"/>
          <w:color w:val="000000"/>
          <w:sz w:val="32"/>
          <w:szCs w:val="32"/>
        </w:rPr>
        <w:t>按照生态扶贫工程实施方案要求，我乡选聘164名建档立卡贫困户，4名非贫困户为生态扶贫公益性岗位。各村成立生态扶贫专业合作社，乡上成立了生态扶贫合作联社。对生态扶贫公益性岗位人员进行定岗定责、划片包干管护，</w:t>
      </w:r>
      <w:r>
        <w:rPr>
          <w:rFonts w:eastAsia="仿宋_GB2312"/>
          <w:sz w:val="32"/>
        </w:rPr>
        <w:t>各村根据实际情况将贫困户安排到相应的岗位，并科学划分管护界限和管护面积，使全乡的生态、湿地、草原和河道都能得到有效管护，极大的阻止了生态资源遭到破坏。</w:t>
      </w:r>
    </w:p>
    <w:p>
      <w:pPr>
        <w:spacing w:line="560" w:lineRule="exact"/>
        <w:ind w:firstLine="660"/>
        <w:rPr>
          <w:rFonts w:ascii="黑体" w:hAnsi="黑体" w:eastAsia="黑体" w:cs="黑体"/>
          <w:color w:val="000000"/>
          <w:sz w:val="32"/>
          <w:szCs w:val="32"/>
          <w:lang w:bidi="ar"/>
        </w:rPr>
      </w:pPr>
      <w:r>
        <w:rPr>
          <w:rFonts w:hint="eastAsia" w:eastAsia="仿宋_GB2312"/>
          <w:b/>
          <w:bCs/>
          <w:color w:val="000000"/>
          <w:sz w:val="32"/>
          <w:szCs w:val="32"/>
        </w:rPr>
        <w:t>确保动态管理及时有效：</w:t>
      </w:r>
      <w:r>
        <w:rPr>
          <w:rFonts w:hint="eastAsia" w:ascii="仿宋_GB2312" w:hAnsi="仿宋" w:eastAsia="仿宋_GB2312" w:cs="宋体"/>
          <w:color w:val="000000"/>
          <w:kern w:val="0"/>
          <w:sz w:val="32"/>
          <w:szCs w:val="32"/>
        </w:rPr>
        <w:t>按时对国家扶贫系统、</w:t>
      </w:r>
      <w:r>
        <w:rPr>
          <w:rFonts w:hint="eastAsia" w:eastAsia="仿宋_GB2312"/>
          <w:color w:val="000000"/>
          <w:sz w:val="32"/>
          <w:szCs w:val="32"/>
        </w:rPr>
        <w:t>六有系统</w:t>
      </w:r>
      <w:r>
        <w:rPr>
          <w:rFonts w:hint="eastAsia" w:ascii="仿宋_GB2312" w:hAnsi="仿宋" w:eastAsia="仿宋_GB2312" w:cs="宋体"/>
          <w:color w:val="000000"/>
          <w:kern w:val="0"/>
          <w:sz w:val="32"/>
          <w:szCs w:val="32"/>
        </w:rPr>
        <w:t>中建档立卡贫困户人员情况进行新增、减少动态管理；</w:t>
      </w:r>
      <w:r>
        <w:rPr>
          <w:rFonts w:hint="eastAsia" w:ascii="仿宋_GB2312" w:hAnsi="仿宋" w:eastAsia="仿宋_GB2312"/>
          <w:color w:val="000000"/>
          <w:sz w:val="32"/>
          <w:szCs w:val="32"/>
          <w:shd w:val="clear" w:color="auto" w:fill="FFFFFF"/>
        </w:rPr>
        <w:t>进一步调查了解贫困现状，实行动态管理，实时掌握各种情况；进一步调查了解贫困户急需解决的住房建设、安全饮水、看病就医，以及出行难四大问题和困难，并建立相应台账，同时搞好和县级相关部门对接，积极申报项目，</w:t>
      </w:r>
      <w:r>
        <w:rPr>
          <w:rFonts w:hint="eastAsia" w:eastAsia="仿宋_GB2312"/>
          <w:color w:val="000000"/>
          <w:sz w:val="32"/>
          <w:szCs w:val="32"/>
        </w:rPr>
        <w:t>确保扶贫路上不落一户，不落一人。</w:t>
      </w:r>
    </w:p>
    <w:p>
      <w:pPr>
        <w:spacing w:line="560" w:lineRule="exact"/>
        <w:ind w:firstLine="642" w:firstLineChars="200"/>
        <w:rPr>
          <w:rFonts w:ascii="楷体" w:hAnsi="楷体" w:eastAsia="楷体" w:cs="楷体"/>
          <w:b/>
          <w:bCs/>
          <w:color w:val="000000"/>
          <w:sz w:val="32"/>
          <w:szCs w:val="32"/>
          <w:lang w:bidi="ar"/>
        </w:rPr>
      </w:pPr>
      <w:r>
        <w:rPr>
          <w:rFonts w:hint="eastAsia" w:ascii="楷体" w:hAnsi="楷体" w:eastAsia="楷体" w:cs="楷体"/>
          <w:b/>
          <w:bCs/>
          <w:color w:val="000000"/>
          <w:sz w:val="32"/>
          <w:szCs w:val="32"/>
          <w:lang w:bidi="ar"/>
        </w:rPr>
        <w:t>（五）社会治理再上新台阶</w:t>
      </w:r>
    </w:p>
    <w:p>
      <w:pPr>
        <w:widowControl/>
        <w:spacing w:line="560" w:lineRule="exact"/>
        <w:ind w:firstLine="629" w:firstLineChars="196"/>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sz w:val="32"/>
          <w:szCs w:val="32"/>
          <w:lang w:bidi="ar"/>
        </w:rPr>
        <w:t>综治维稳：</w:t>
      </w:r>
      <w:r>
        <w:rPr>
          <w:rFonts w:hint="eastAsia" w:ascii="仿宋_GB2312" w:hAnsi="仿宋_GB2312" w:eastAsia="仿宋_GB2312" w:cs="仿宋_GB2312"/>
          <w:bCs/>
          <w:color w:val="000000"/>
          <w:kern w:val="0"/>
          <w:sz w:val="32"/>
          <w:szCs w:val="32"/>
        </w:rPr>
        <w:t>一是坚持以</w:t>
      </w:r>
      <w:r>
        <w:rPr>
          <w:rFonts w:hint="eastAsia" w:ascii="仿宋_GB2312" w:hAnsi="仿宋_GB2312" w:eastAsia="仿宋_GB2312" w:cs="仿宋_GB2312"/>
          <w:color w:val="000000"/>
          <w:sz w:val="32"/>
          <w:szCs w:val="32"/>
        </w:rPr>
        <w:t>“排查化解矛盾纠纷为主线，社会管理创新为突破口，“平安壤塘”建设为主题，网格化管理为手段，深化严打整治斗争为抓手，治安防控体系为依托”，进一步加强综治基层基础工作，全面提升依法常态化治理工作水平。二是结合“四大三访”工作及群众工作开展为契机，配齐、配强调解员，完善矛盾纠纷排查台账、化解台账各一本，完善《村规民约》</w:t>
      </w:r>
      <w:r>
        <w:rPr>
          <w:rFonts w:hint="eastAsia" w:ascii="仿宋_GB2312" w:hAnsi="仿宋_GB2312" w:eastAsia="仿宋_GB2312" w:cs="仿宋_GB2312"/>
          <w:color w:val="000000"/>
          <w:kern w:val="0"/>
          <w:sz w:val="32"/>
          <w:szCs w:val="32"/>
        </w:rPr>
        <w:t>加强社会治安综合治理，坚持定期排查不稳定因素，及时发现和调处各类矛盾纠纷，做到了小事不出组，大事不出村，急事、难事不出乡，把不稳定隐患消除在萌芽状态。</w:t>
      </w:r>
      <w:r>
        <w:rPr>
          <w:rFonts w:hint="eastAsia" w:ascii="仿宋_GB2312" w:hAnsi="仿宋_GB2312" w:eastAsia="仿宋_GB2312" w:cs="仿宋_GB2312"/>
          <w:bCs/>
          <w:color w:val="000000"/>
          <w:sz w:val="32"/>
          <w:szCs w:val="32"/>
        </w:rPr>
        <w:t>2018年共调处矛盾纠纷8起。三是</w:t>
      </w:r>
      <w:r>
        <w:rPr>
          <w:rFonts w:hint="eastAsia" w:ascii="仿宋_GB2312" w:hAnsi="仿宋_GB2312" w:eastAsia="仿宋_GB2312" w:cs="仿宋_GB2312"/>
          <w:color w:val="000000"/>
          <w:kern w:val="0"/>
          <w:sz w:val="32"/>
          <w:szCs w:val="32"/>
        </w:rPr>
        <w:t>认真按照上级部门要求继续扎实开展“法律七进”工作、依法治乡工作，扎实推进未成年人思想道德教育。</w:t>
      </w:r>
    </w:p>
    <w:p>
      <w:pPr>
        <w:spacing w:line="560" w:lineRule="exact"/>
        <w:ind w:firstLine="642" w:firstLineChars="200"/>
        <w:rPr>
          <w:rFonts w:ascii="仿宋_GB2312" w:hAnsi="仿宋_GB2312" w:eastAsia="仿宋_GB2312" w:cs="仿宋_GB2312"/>
          <w:b/>
          <w:color w:val="000000"/>
          <w:sz w:val="32"/>
          <w:szCs w:val="32"/>
        </w:rPr>
      </w:pPr>
      <w:r>
        <w:rPr>
          <w:rFonts w:hint="eastAsia" w:ascii="仿宋_GB2312" w:hAnsi="宋体" w:eastAsia="仿宋_GB2312" w:cs="仿宋_GB2312"/>
          <w:b/>
          <w:bCs/>
          <w:color w:val="000000"/>
          <w:sz w:val="32"/>
          <w:szCs w:val="32"/>
          <w:shd w:val="clear" w:color="auto" w:fill="FFFFFF"/>
        </w:rPr>
        <w:t>寺庙管理：</w:t>
      </w:r>
      <w:r>
        <w:rPr>
          <w:rFonts w:hint="eastAsia" w:ascii="仿宋_GB2312" w:eastAsia="仿宋_GB2312" w:cs="仿宋_GB2312"/>
          <w:color w:val="000000"/>
          <w:sz w:val="32"/>
          <w:szCs w:val="32"/>
          <w:shd w:val="clear" w:color="auto" w:fill="FFFFFF"/>
        </w:rPr>
        <w:t>一是明确职责，落实寺庙管理责任制。乡党委、政府寺庙管理所始终把寺庙管理工作纳入重要议事日程，签订寺庙管理工作责任书；二是依法管理宗教事务，加强民管会班子建设。促进寺庙内部管理的民主化、规范化、制度化建设；三是始终坚持爱国爱教、遵纪守法、品行端正、办事公道，有一定宗教知识和较高社会威望，管理能力强，特别是维稳当中表现突出为推荐任用主要依据，确保寺庙民管会牢牢掌握在爱国爱教人士手中。</w:t>
      </w:r>
    </w:p>
    <w:p>
      <w:pPr>
        <w:spacing w:line="560"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kern w:val="0"/>
          <w:sz w:val="32"/>
          <w:szCs w:val="32"/>
        </w:rPr>
        <w:t>环境卫生综合整治：</w:t>
      </w:r>
      <w:r>
        <w:rPr>
          <w:rFonts w:hint="eastAsia" w:ascii="仿宋_GB2312" w:hAnsi="仿宋_GB2312" w:eastAsia="仿宋_GB2312" w:cs="仿宋_GB2312"/>
          <w:bCs/>
          <w:color w:val="000000"/>
          <w:sz w:val="32"/>
          <w:szCs w:val="32"/>
        </w:rPr>
        <w:t>今年开年以来，我乡坚持定期、不定期开展环境卫生集中整治工作。截止目前已集中对公路沿线、各村定居点、活动室、村寨进行了彻底的清洁卫生大扫除30余次。继续与农牧民住户签定了门前三包责任书，责任到人，包干到片。同时，以寺庙为重点开展卫生习惯养成活动。不断提高群众“爱国爱家意识”。</w:t>
      </w:r>
    </w:p>
    <w:p>
      <w:pPr>
        <w:spacing w:line="560" w:lineRule="exact"/>
        <w:ind w:firstLine="629" w:firstLineChars="196"/>
        <w:rPr>
          <w:rFonts w:ascii="仿宋_GB2312" w:hAnsi="仿宋_GB2312" w:eastAsia="仿宋_GB2312" w:cs="仿宋_GB2312"/>
          <w:b/>
          <w:bCs/>
          <w:color w:val="000000"/>
          <w:sz w:val="32"/>
          <w:szCs w:val="32"/>
          <w:lang w:bidi="ar"/>
        </w:rPr>
      </w:pPr>
      <w:r>
        <w:rPr>
          <w:rFonts w:hint="eastAsia" w:ascii="仿宋_GB2312" w:hAnsi="仿宋" w:eastAsia="仿宋_GB2312" w:cs="宋体"/>
          <w:b/>
          <w:bCs/>
          <w:color w:val="000000"/>
          <w:kern w:val="0"/>
          <w:sz w:val="32"/>
          <w:szCs w:val="32"/>
          <w:lang w:bidi="ar"/>
        </w:rPr>
        <w:t>国土、水务：</w:t>
      </w:r>
      <w:r>
        <w:rPr>
          <w:rFonts w:hint="eastAsia" w:ascii="仿宋_GB2312" w:hAnsi="仿宋" w:eastAsia="仿宋_GB2312" w:cs="宋体"/>
          <w:color w:val="000000"/>
          <w:kern w:val="0"/>
          <w:sz w:val="32"/>
          <w:szCs w:val="32"/>
          <w:lang w:bidi="ar"/>
        </w:rPr>
        <w:t>制定地质灾害、防洪抢险应急预案，并安排开展应急避险演练1次；储备全套抗洪抢险物资；继续组建应急抢险队伍建设，以民兵为骨干力量，每村选派20名青壮年组建应急抢险队，保障百姓生命财产安全；加强地质灾害隐患点、防洪灾害隐患点的监测，对全乡16个隐患点安排了乡村两级监测人员，坚持24小时值班制度。坚持做好隐患点监测和巡查，完善值班及巡逻巡查记录。</w:t>
      </w:r>
    </w:p>
    <w:p>
      <w:pPr>
        <w:spacing w:line="560" w:lineRule="exact"/>
        <w:ind w:firstLine="629" w:firstLineChars="196"/>
        <w:rPr>
          <w:rFonts w:ascii="仿宋_GB2312" w:hAnsi="仿宋_GB2312" w:eastAsia="仿宋_GB2312" w:cs="仿宋_GB2312"/>
          <w:color w:val="000000"/>
          <w:sz w:val="32"/>
          <w:szCs w:val="32"/>
          <w:lang w:bidi="ar"/>
        </w:rPr>
      </w:pPr>
      <w:r>
        <w:rPr>
          <w:rFonts w:hint="eastAsia" w:ascii="仿宋_GB2312" w:hAnsi="仿宋_GB2312" w:eastAsia="仿宋_GB2312" w:cs="仿宋_GB2312"/>
          <w:b/>
          <w:bCs/>
          <w:color w:val="000000"/>
          <w:sz w:val="32"/>
          <w:szCs w:val="32"/>
          <w:lang w:bidi="ar"/>
        </w:rPr>
        <w:t>安全生产：</w:t>
      </w:r>
      <w:r>
        <w:rPr>
          <w:rFonts w:hint="eastAsia" w:ascii="仿宋_GB2312" w:hAnsi="仿宋_GB2312" w:eastAsia="仿宋_GB2312" w:cs="仿宋_GB2312"/>
          <w:color w:val="000000"/>
          <w:sz w:val="32"/>
          <w:szCs w:val="32"/>
          <w:lang w:bidi="ar"/>
        </w:rPr>
        <w:t>安全生产：我乡始终坚持“安全第一，预防为主”的方针，把安全生产工作列入重要议事日程，常抓不懈，警钟长鸣。坚持落实安全生产责任制和责任追究制，将责任落实到人，将压力传递到人。乡、村共组织召开安全生产会议20余次，安排安全生产大检查30余次，同时与学校、卫生院、各村和我乡各施工单位及时签订了安全生产责任书。加强及监督我乡交通安全、食品安全、卫生安全、用电安全、建筑安全等、防汛安全等。在强有力的监督管理下，确保了全乡人民群众生命和财产安全。</w:t>
      </w:r>
    </w:p>
    <w:p>
      <w:pPr>
        <w:spacing w:line="560" w:lineRule="exact"/>
        <w:ind w:firstLine="627" w:firstLineChars="196"/>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同时，扎实抓好精神文明建设，老龄、保密、妇女儿童、工会、机关事务等工作。</w:t>
      </w:r>
    </w:p>
    <w:p>
      <w:pPr>
        <w:pStyle w:val="3"/>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pStyle w:val="12"/>
        <w:widowControl/>
        <w:shd w:val="clear" w:color="auto" w:fill="FFFFFF"/>
        <w:spacing w:beforeAutospacing="0" w:afterAutospacing="0"/>
        <w:ind w:firstLine="480"/>
        <w:jc w:val="both"/>
        <w:rPr>
          <w:rFonts w:ascii="宋体" w:hAnsi="宋体" w:cs="宋体"/>
          <w:color w:val="333333"/>
        </w:rPr>
      </w:pPr>
      <w:bookmarkStart w:id="22" w:name="_Toc15378448"/>
      <w:bookmarkStart w:id="23" w:name="_Toc15377432"/>
      <w:bookmarkStart w:id="24" w:name="_Toc15377201"/>
      <w:bookmarkStart w:id="25" w:name="_Toc15306275"/>
      <w:r>
        <w:rPr>
          <w:rFonts w:hint="eastAsia" w:ascii="仿宋_GB2312" w:hAnsi="仿宋" w:eastAsia="仿宋_GB2312" w:cs="仿宋_GB2312"/>
          <w:color w:val="333333"/>
          <w:sz w:val="32"/>
          <w:szCs w:val="32"/>
          <w:shd w:val="clear" w:color="auto" w:fill="FFFFFF"/>
        </w:rPr>
        <w:t>壤塘县吾依乡人民政府属一级预算单位，无下属二级预算单位。</w:t>
      </w:r>
      <w:r>
        <w:rPr>
          <w:rFonts w:ascii="仿宋_GB2312" w:hAnsi="仿宋" w:eastAsia="仿宋_GB2312" w:cs="仿宋_GB2312"/>
          <w:color w:val="333333"/>
          <w:sz w:val="32"/>
          <w:szCs w:val="32"/>
          <w:shd w:val="clear" w:color="auto" w:fill="FFFFFF"/>
        </w:rPr>
        <w:t>编制总人数在职</w:t>
      </w:r>
      <w:r>
        <w:rPr>
          <w:rFonts w:hint="eastAsia" w:ascii="仿宋" w:hAnsi="仿宋" w:eastAsia="仿宋" w:cs="仿宋"/>
          <w:color w:val="333333"/>
          <w:sz w:val="32"/>
          <w:szCs w:val="32"/>
          <w:shd w:val="clear" w:color="auto" w:fill="FFFFFF"/>
        </w:rPr>
        <w:t>27</w:t>
      </w:r>
      <w:r>
        <w:rPr>
          <w:rFonts w:ascii="仿宋_GB2312" w:hAnsi="仿宋" w:eastAsia="仿宋_GB2312" w:cs="仿宋_GB2312"/>
          <w:color w:val="333333"/>
          <w:sz w:val="32"/>
          <w:szCs w:val="32"/>
          <w:shd w:val="clear" w:color="auto" w:fill="FFFFFF"/>
        </w:rPr>
        <w:t>人，其中行政编制</w:t>
      </w:r>
      <w:r>
        <w:rPr>
          <w:rFonts w:hint="eastAsia" w:ascii="仿宋" w:hAnsi="仿宋" w:eastAsia="仿宋" w:cs="仿宋"/>
          <w:color w:val="333333"/>
          <w:sz w:val="32"/>
          <w:szCs w:val="32"/>
          <w:shd w:val="clear" w:color="auto" w:fill="FFFFFF"/>
        </w:rPr>
        <w:t>18</w:t>
      </w:r>
      <w:r>
        <w:rPr>
          <w:rFonts w:ascii="仿宋_GB2312" w:hAnsi="仿宋" w:eastAsia="仿宋_GB2312" w:cs="仿宋_GB2312"/>
          <w:color w:val="333333"/>
          <w:sz w:val="32"/>
          <w:szCs w:val="32"/>
          <w:shd w:val="clear" w:color="auto" w:fill="FFFFFF"/>
        </w:rPr>
        <w:t>人，行政工勤编制</w:t>
      </w:r>
      <w:r>
        <w:rPr>
          <w:rFonts w:hint="eastAsia" w:ascii="仿宋" w:hAnsi="仿宋" w:eastAsia="仿宋" w:cs="仿宋"/>
          <w:color w:val="333333"/>
          <w:sz w:val="32"/>
          <w:szCs w:val="32"/>
          <w:shd w:val="clear" w:color="auto" w:fill="FFFFFF"/>
        </w:rPr>
        <w:t>1</w:t>
      </w:r>
      <w:r>
        <w:rPr>
          <w:rFonts w:ascii="仿宋_GB2312" w:hAnsi="仿宋" w:eastAsia="仿宋_GB2312" w:cs="仿宋_GB2312"/>
          <w:color w:val="333333"/>
          <w:sz w:val="32"/>
          <w:szCs w:val="32"/>
          <w:shd w:val="clear" w:color="auto" w:fill="FFFFFF"/>
        </w:rPr>
        <w:t>人，事业编制</w:t>
      </w:r>
      <w:r>
        <w:rPr>
          <w:rFonts w:hint="eastAsia" w:ascii="仿宋" w:hAnsi="仿宋" w:eastAsia="仿宋" w:cs="仿宋"/>
          <w:color w:val="333333"/>
          <w:sz w:val="32"/>
          <w:szCs w:val="32"/>
          <w:shd w:val="clear" w:color="auto" w:fill="FFFFFF"/>
        </w:rPr>
        <w:t>8</w:t>
      </w:r>
      <w:r>
        <w:rPr>
          <w:rFonts w:ascii="仿宋_GB2312" w:hAnsi="仿宋" w:eastAsia="仿宋_GB2312" w:cs="仿宋_GB2312"/>
          <w:color w:val="333333"/>
          <w:sz w:val="32"/>
          <w:szCs w:val="32"/>
          <w:shd w:val="clear" w:color="auto" w:fill="FFFFFF"/>
        </w:rPr>
        <w:t>人</w:t>
      </w:r>
      <w:r>
        <w:rPr>
          <w:rFonts w:hint="eastAsia" w:ascii="仿宋_GB2312" w:hAnsi="仿宋" w:eastAsia="仿宋_GB2312" w:cs="仿宋_GB2312"/>
          <w:color w:val="333333"/>
          <w:sz w:val="32"/>
          <w:szCs w:val="32"/>
          <w:shd w:val="clear" w:color="auto" w:fill="FFFFFF"/>
        </w:rPr>
        <w:t>。</w:t>
      </w:r>
    </w:p>
    <w:bookmarkEnd w:id="22"/>
    <w:bookmarkEnd w:id="23"/>
    <w:bookmarkEnd w:id="24"/>
    <w:bookmarkEnd w:id="25"/>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Fonts w:ascii="黑体" w:hAnsi="黑体" w:eastAsia="黑体"/>
          <w:b w:val="0"/>
          <w:bCs w:val="0"/>
        </w:rPr>
      </w:pPr>
      <w:bookmarkStart w:id="26" w:name="_Toc15396602"/>
      <w:bookmarkStart w:id="27" w:name="_Toc15377204"/>
      <w:r>
        <w:rPr>
          <w:rFonts w:hint="eastAsia" w:ascii="黑体" w:hAnsi="黑体" w:eastAsia="黑体"/>
          <w:b w:val="0"/>
          <w:color w:val="000000"/>
        </w:rPr>
        <w:t>第二部分</w:t>
      </w:r>
      <w:r>
        <w:rPr>
          <w:rStyle w:val="25"/>
          <w:rFonts w:hint="eastAsia" w:ascii="黑体" w:hAnsi="黑体" w:eastAsia="黑体"/>
          <w:b w:val="0"/>
          <w:bCs w:val="0"/>
        </w:rPr>
        <w:t>2018年度部门决算情况说明</w:t>
      </w:r>
      <w:bookmarkEnd w:id="26"/>
      <w:bookmarkEnd w:id="27"/>
    </w:p>
    <w:p>
      <w:pPr>
        <w:pStyle w:val="24"/>
        <w:numPr>
          <w:ilvl w:val="0"/>
          <w:numId w:val="1"/>
        </w:numPr>
        <w:spacing w:line="600" w:lineRule="exact"/>
        <w:ind w:firstLineChars="0"/>
        <w:outlineLvl w:val="1"/>
        <w:rPr>
          <w:rStyle w:val="26"/>
          <w:rFonts w:ascii="黑体" w:hAnsi="黑体" w:eastAsia="黑体"/>
          <w:b w:val="0"/>
        </w:rPr>
      </w:pPr>
      <w:bookmarkStart w:id="28" w:name="_Toc15396603"/>
      <w:bookmarkStart w:id="29"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8"/>
      <w:bookmarkEnd w:id="2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2018年度总收入1817.50万元、总支出1599.31万元。与2017年相比，年度总收入增加988.61万元；较2017年增长54.39%、年度总支出增加703.94万元；较2017年增长78.62%。主要变动原因是2018年项目资金支出金额增加。</w:t>
      </w:r>
    </w:p>
    <w:p>
      <w:pPr>
        <w:spacing w:line="600" w:lineRule="exact"/>
        <w:ind w:firstLine="420" w:firstLineChars="20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59264" behindDoc="1" locked="0" layoutInCell="1" allowOverlap="1">
            <wp:simplePos x="0" y="0"/>
            <wp:positionH relativeFrom="column">
              <wp:posOffset>266700</wp:posOffset>
            </wp:positionH>
            <wp:positionV relativeFrom="paragraph">
              <wp:posOffset>-635</wp:posOffset>
            </wp:positionV>
            <wp:extent cx="5172075" cy="2657475"/>
            <wp:effectExtent l="0" t="0" r="0" b="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_GB2312" w:eastAsia="仿宋_GB2312"/>
          <w:color w:val="000000" w:themeColor="text1"/>
          <w:sz w:val="32"/>
          <w:szCs w:val="32"/>
          <w14:textFill>
            <w14:solidFill>
              <w14:schemeClr w14:val="tx1"/>
            </w14:solidFill>
          </w14:textFill>
        </w:rPr>
      </w:pPr>
    </w:p>
    <w:p>
      <w:pPr>
        <w:pStyle w:val="24"/>
        <w:numPr>
          <w:ilvl w:val="0"/>
          <w:numId w:val="1"/>
        </w:numPr>
        <w:spacing w:line="600" w:lineRule="exact"/>
        <w:ind w:firstLineChars="0"/>
        <w:outlineLvl w:val="1"/>
        <w:rPr>
          <w:rStyle w:val="26"/>
          <w:rFonts w:ascii="黑体" w:hAnsi="黑体" w:eastAsia="黑体"/>
          <w:b w:val="0"/>
        </w:rPr>
      </w:pPr>
      <w:bookmarkStart w:id="30" w:name="_Toc15377206"/>
      <w:bookmarkStart w:id="31"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30"/>
      <w:bookmarkEnd w:id="31"/>
    </w:p>
    <w:p>
      <w:pPr>
        <w:ind w:firstLine="320" w:firstLineChars="1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8年本年收入合计1817.50万元，其中：一般公共预算财政拨款收入1315.77万元，占72.40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；政府性基金预算财政拨款收入501.22万元，占27.58</w:t>
      </w:r>
      <w:r>
        <w:rPr>
          <w:rFonts w:ascii="仿宋" w:hAnsi="仿宋" w:eastAsia="仿宋"/>
          <w:color w:val="000000"/>
          <w:sz w:val="32"/>
          <w:szCs w:val="32"/>
        </w:rPr>
        <w:t>%</w:t>
      </w:r>
      <w:r>
        <w:rPr>
          <w:rFonts w:hint="eastAsia" w:ascii="仿宋" w:hAnsi="仿宋" w:eastAsia="仿宋"/>
          <w:color w:val="000000"/>
          <w:sz w:val="32"/>
          <w:szCs w:val="32"/>
        </w:rPr>
        <w:t>；其他收入0.51万元，占0.02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1" locked="0" layoutInCell="1" allowOverlap="1">
            <wp:simplePos x="0" y="0"/>
            <wp:positionH relativeFrom="column">
              <wp:posOffset>266700</wp:posOffset>
            </wp:positionH>
            <wp:positionV relativeFrom="paragraph">
              <wp:posOffset>52705</wp:posOffset>
            </wp:positionV>
            <wp:extent cx="5229225" cy="2228850"/>
            <wp:effectExtent l="0" t="0" r="0" b="0"/>
            <wp:wrapTight wrapText="bothSides">
              <wp:wrapPolygon>
                <wp:start x="0" y="0"/>
                <wp:lineTo x="0" y="21600"/>
                <wp:lineTo x="21561" y="21600"/>
                <wp:lineTo x="21561" y="0"/>
                <wp:lineTo x="0" y="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pStyle w:val="24"/>
        <w:numPr>
          <w:ilvl w:val="0"/>
          <w:numId w:val="1"/>
        </w:numPr>
        <w:spacing w:line="600" w:lineRule="exact"/>
        <w:ind w:firstLineChars="0"/>
        <w:outlineLvl w:val="1"/>
        <w:rPr>
          <w:rStyle w:val="26"/>
          <w:rFonts w:ascii="黑体" w:hAnsi="黑体" w:eastAsia="黑体"/>
          <w:b w:val="0"/>
        </w:rPr>
      </w:pPr>
      <w:bookmarkStart w:id="32" w:name="_Toc15377207"/>
      <w:bookmarkStart w:id="33"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32"/>
      <w:bookmarkEnd w:id="33"/>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8年本年支出合计1599.33万元，其中：基本支出526.63万元，占32.93</w:t>
      </w:r>
      <w:r>
        <w:rPr>
          <w:rFonts w:ascii="仿宋" w:hAnsi="仿宋" w:eastAsia="仿宋"/>
          <w:color w:val="000000"/>
          <w:sz w:val="32"/>
          <w:szCs w:val="32"/>
        </w:rPr>
        <w:t>%</w:t>
      </w:r>
      <w:r>
        <w:rPr>
          <w:rFonts w:hint="eastAsia" w:ascii="仿宋" w:hAnsi="仿宋" w:eastAsia="仿宋"/>
          <w:color w:val="000000"/>
          <w:sz w:val="32"/>
          <w:szCs w:val="32"/>
        </w:rPr>
        <w:t>；项目支出1072.70万元，占67.07</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shd w:val="pct10" w:color="auto" w:fill="FFFFFF"/>
        </w:rPr>
        <w:t xml:space="preserve"> </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1312" behindDoc="1" locked="0" layoutInCell="1" allowOverlap="1">
            <wp:simplePos x="0" y="0"/>
            <wp:positionH relativeFrom="column">
              <wp:posOffset>266700</wp:posOffset>
            </wp:positionH>
            <wp:positionV relativeFrom="paragraph">
              <wp:posOffset>-2457450</wp:posOffset>
            </wp:positionV>
            <wp:extent cx="4572000" cy="2743200"/>
            <wp:effectExtent l="0" t="0" r="0" b="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6"/>
          <w:rFonts w:ascii="黑体" w:hAnsi="黑体" w:eastAsia="黑体"/>
          <w:b w:val="0"/>
        </w:rPr>
      </w:pPr>
      <w:bookmarkStart w:id="34" w:name="_Toc15377208"/>
      <w:bookmarkStart w:id="35"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4"/>
      <w:bookmarkEnd w:id="3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8年总财政拨款收入1816.99万元、财政拨款总支出1599.31万元。与</w:t>
      </w:r>
      <w:r>
        <w:rPr>
          <w:rFonts w:ascii="仿宋" w:hAnsi="仿宋" w:eastAsia="仿宋"/>
          <w:color w:val="000000"/>
          <w:sz w:val="32"/>
          <w:szCs w:val="32"/>
        </w:rPr>
        <w:t>201</w:t>
      </w:r>
      <w:r>
        <w:rPr>
          <w:rFonts w:hint="eastAsia" w:ascii="仿宋" w:hAnsi="仿宋" w:eastAsia="仿宋"/>
          <w:color w:val="000000"/>
          <w:sz w:val="32"/>
          <w:szCs w:val="32"/>
        </w:rPr>
        <w:t>7年相比，财政拨款收入增加988.09万元；较2017年增加45.61%、支出增加707.73万元；较2017年增长44.25%。是2018年项目资金支出金额增加。</w:t>
      </w:r>
    </w:p>
    <w:p>
      <w:pPr>
        <w:spacing w:line="600" w:lineRule="exact"/>
        <w:ind w:firstLine="420" w:firstLineChars="200"/>
        <w:outlineLvl w:val="1"/>
        <w:rPr>
          <w:rFonts w:ascii="仿宋" w:hAnsi="仿宋" w:eastAsia="仿宋"/>
          <w:color w:val="000000" w:themeColor="text1"/>
          <w:sz w:val="32"/>
          <w:szCs w:val="32"/>
          <w14:textFill>
            <w14:solidFill>
              <w14:schemeClr w14:val="tx1"/>
            </w14:solidFill>
          </w14:textFill>
        </w:rPr>
      </w:pPr>
      <w:bookmarkStart w:id="36" w:name="_Toc15377209"/>
      <w:bookmarkStart w:id="37" w:name="_Toc15396607"/>
      <w:r>
        <w:drawing>
          <wp:anchor distT="0" distB="0" distL="114300" distR="114300" simplePos="0" relativeHeight="251662336" behindDoc="1" locked="0" layoutInCell="1" allowOverlap="1">
            <wp:simplePos x="0" y="0"/>
            <wp:positionH relativeFrom="column">
              <wp:posOffset>485775</wp:posOffset>
            </wp:positionH>
            <wp:positionV relativeFrom="paragraph">
              <wp:posOffset>171450</wp:posOffset>
            </wp:positionV>
            <wp:extent cx="4572000" cy="2743200"/>
            <wp:effectExtent l="0" t="0" r="0" b="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6"/>
      <w:bookmarkEnd w:id="37"/>
    </w:p>
    <w:p>
      <w:pPr>
        <w:spacing w:line="600" w:lineRule="exact"/>
        <w:ind w:firstLine="642"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8年一般公共预算财政拨款支出1250.58万元，占本年支出合计的78.19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7年相比，一般公共预算财政拨款增加431.26万元，增长65.51</w:t>
      </w:r>
      <w:r>
        <w:rPr>
          <w:rFonts w:ascii="仿宋" w:hAnsi="仿宋" w:eastAsia="仿宋"/>
          <w:color w:val="000000"/>
          <w:sz w:val="32"/>
          <w:szCs w:val="32"/>
        </w:rPr>
        <w:t>%</w:t>
      </w:r>
      <w:r>
        <w:rPr>
          <w:rFonts w:hint="eastAsia" w:ascii="仿宋" w:hAnsi="仿宋" w:eastAsia="仿宋"/>
          <w:color w:val="000000"/>
          <w:sz w:val="32"/>
          <w:szCs w:val="32"/>
        </w:rPr>
        <w:t>。主要变动原因是农林水支出增加。</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3360" behindDoc="1" locked="0" layoutInCell="1" allowOverlap="1">
            <wp:simplePos x="0" y="0"/>
            <wp:positionH relativeFrom="column">
              <wp:posOffset>657225</wp:posOffset>
            </wp:positionH>
            <wp:positionV relativeFrom="paragraph">
              <wp:posOffset>180975</wp:posOffset>
            </wp:positionV>
            <wp:extent cx="4686300" cy="3048000"/>
            <wp:effectExtent l="0" t="0" r="0"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39" w:name="_Toc15377211"/>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9"/>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政拨款支出1250.55万元，主要用于以下方面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支出635.58万元，占50.82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国防支出（类）</w:t>
      </w:r>
      <w:r>
        <w:rPr>
          <w:rFonts w:hint="eastAsia" w:ascii="仿宋" w:hAnsi="仿宋" w:eastAsia="仿宋"/>
          <w:color w:val="000000" w:themeColor="text1"/>
          <w:sz w:val="32"/>
          <w:szCs w:val="32"/>
          <w14:textFill>
            <w14:solidFill>
              <w14:schemeClr w14:val="tx1"/>
            </w14:solidFill>
          </w14:textFill>
        </w:rPr>
        <w:t>2万元，占0.16%；</w:t>
      </w:r>
      <w:r>
        <w:rPr>
          <w:rFonts w:hint="eastAsia" w:ascii="仿宋" w:hAnsi="仿宋" w:eastAsia="仿宋"/>
          <w:b/>
          <w:color w:val="000000" w:themeColor="text1"/>
          <w:sz w:val="32"/>
          <w:szCs w:val="32"/>
          <w14:textFill>
            <w14:solidFill>
              <w14:schemeClr w14:val="tx1"/>
            </w14:solidFill>
          </w14:textFill>
        </w:rPr>
        <w:t>公共安全（类）</w:t>
      </w:r>
      <w:r>
        <w:rPr>
          <w:rFonts w:hint="eastAsia" w:ascii="仿宋" w:hAnsi="仿宋" w:eastAsia="仿宋"/>
          <w:color w:val="000000" w:themeColor="text1"/>
          <w:sz w:val="32"/>
          <w:szCs w:val="32"/>
          <w14:textFill>
            <w14:solidFill>
              <w14:schemeClr w14:val="tx1"/>
            </w14:solidFill>
          </w14:textFill>
        </w:rPr>
        <w:t>支出1万元，占0.08%；</w:t>
      </w:r>
      <w:r>
        <w:rPr>
          <w:rFonts w:hint="eastAsia" w:ascii="仿宋" w:hAnsi="仿宋" w:eastAsia="仿宋"/>
          <w:b/>
          <w:color w:val="000000" w:themeColor="text1"/>
          <w:sz w:val="32"/>
          <w:szCs w:val="32"/>
          <w14:textFill>
            <w14:solidFill>
              <w14:schemeClr w14:val="tx1"/>
            </w14:solidFill>
          </w14:textFill>
        </w:rPr>
        <w:t>文化体育与传媒（类）支出</w:t>
      </w:r>
      <w:r>
        <w:rPr>
          <w:rFonts w:hint="eastAsia" w:ascii="仿宋" w:hAnsi="仿宋" w:eastAsia="仿宋"/>
          <w:color w:val="000000" w:themeColor="text1"/>
          <w:sz w:val="32"/>
          <w:szCs w:val="32"/>
          <w14:textFill>
            <w14:solidFill>
              <w14:schemeClr w14:val="tx1"/>
            </w14:solidFill>
          </w14:textFill>
        </w:rPr>
        <w:t>1.60万元，占0.13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支出63.95万元，占5.11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医疗卫生与计划生育（类）</w:t>
      </w:r>
      <w:r>
        <w:rPr>
          <w:rFonts w:hint="eastAsia" w:ascii="仿宋" w:hAnsi="仿宋" w:eastAsia="仿宋"/>
          <w:color w:val="000000" w:themeColor="text1"/>
          <w:sz w:val="32"/>
          <w:szCs w:val="32"/>
          <w14:textFill>
            <w14:solidFill>
              <w14:schemeClr w14:val="tx1"/>
            </w14:solidFill>
          </w14:textFill>
        </w:rPr>
        <w:t>支出15.42万元，占1.23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农林水（类）</w:t>
      </w:r>
      <w:r>
        <w:rPr>
          <w:rFonts w:hint="eastAsia" w:ascii="仿宋" w:hAnsi="仿宋" w:eastAsia="仿宋"/>
          <w:color w:val="000000" w:themeColor="text1"/>
          <w:sz w:val="32"/>
          <w:szCs w:val="32"/>
          <w14:textFill>
            <w14:solidFill>
              <w14:schemeClr w14:val="tx1"/>
            </w14:solidFill>
          </w14:textFill>
        </w:rPr>
        <w:t>支出494.96万元，占39.58%；</w:t>
      </w:r>
      <w:r>
        <w:rPr>
          <w:rFonts w:hint="eastAsia" w:ascii="仿宋" w:hAnsi="仿宋" w:eastAsia="仿宋"/>
          <w:b/>
          <w:color w:val="000000" w:themeColor="text1"/>
          <w:sz w:val="32"/>
          <w:szCs w:val="32"/>
          <w14:textFill>
            <w14:solidFill>
              <w14:schemeClr w14:val="tx1"/>
            </w14:solidFill>
          </w14:textFill>
        </w:rPr>
        <w:t>住房保障（类）</w:t>
      </w:r>
      <w:r>
        <w:rPr>
          <w:rFonts w:hint="eastAsia" w:ascii="仿宋" w:hAnsi="仿宋" w:eastAsia="仿宋"/>
          <w:color w:val="000000" w:themeColor="text1"/>
          <w:sz w:val="32"/>
          <w:szCs w:val="32"/>
          <w14:textFill>
            <w14:solidFill>
              <w14:schemeClr w14:val="tx1"/>
            </w14:solidFill>
          </w14:textFill>
        </w:rPr>
        <w:t>支出36.75万元，占2.89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4384" behindDoc="1" locked="0" layoutInCell="1" allowOverlap="1">
            <wp:simplePos x="0" y="0"/>
            <wp:positionH relativeFrom="column">
              <wp:posOffset>409575</wp:posOffset>
            </wp:positionH>
            <wp:positionV relativeFrom="paragraph">
              <wp:posOffset>228600</wp:posOffset>
            </wp:positionV>
            <wp:extent cx="5274310" cy="2465705"/>
            <wp:effectExtent l="0" t="0" r="2540" b="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rPr>
          <w:rStyle w:val="15"/>
          <w:rFonts w:ascii="仿宋" w:hAnsi="仿宋" w:eastAsia="仿宋"/>
          <w:bCs/>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p>
    <w:p>
      <w:pPr>
        <w:spacing w:line="600" w:lineRule="exact"/>
        <w:ind w:firstLine="642" w:firstLineChars="200"/>
        <w:outlineLvl w:val="2"/>
        <w:rPr>
          <w:rFonts w:ascii="仿宋" w:hAnsi="仿宋" w:eastAsia="仿宋"/>
          <w:color w:val="FF0000"/>
          <w:sz w:val="32"/>
          <w:szCs w:val="32"/>
        </w:rPr>
      </w:pPr>
      <w:r>
        <w:rPr>
          <w:rFonts w:hint="eastAsia" w:ascii="仿宋" w:hAnsi="仿宋" w:eastAsia="仿宋"/>
          <w:b/>
          <w:color w:val="000000" w:themeColor="text1"/>
          <w:sz w:val="32"/>
          <w:szCs w:val="32"/>
          <w14:textFill>
            <w14:solidFill>
              <w14:schemeClr w14:val="tx1"/>
            </w14:solidFill>
          </w14:textFill>
        </w:rPr>
        <w:t>2018年般公共预算支出决算数为1250.55</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p>
    <w:p>
      <w:pPr>
        <w:spacing w:line="600" w:lineRule="exact"/>
        <w:ind w:firstLine="642" w:firstLineChars="200"/>
        <w:rPr>
          <w:rFonts w:ascii="仿宋" w:hAnsi="仿宋" w:eastAsia="仿宋"/>
          <w:b/>
          <w:sz w:val="32"/>
          <w:szCs w:val="32"/>
        </w:rPr>
      </w:pPr>
      <w:r>
        <w:rPr>
          <w:rStyle w:val="15"/>
          <w:rFonts w:ascii="仿宋" w:hAnsi="仿宋" w:eastAsia="仿宋"/>
          <w:bCs/>
          <w:sz w:val="32"/>
          <w:szCs w:val="32"/>
        </w:rPr>
        <w:t>1.</w:t>
      </w:r>
      <w:r>
        <w:rPr>
          <w:rFonts w:hint="eastAsia" w:ascii="仿宋" w:hAnsi="仿宋" w:eastAsia="仿宋" w:cs="仿宋"/>
          <w:sz w:val="32"/>
          <w:szCs w:val="32"/>
          <w:shd w:val="clear" w:color="auto" w:fill="FFFFFF"/>
        </w:rPr>
        <w:t>一</w:t>
      </w:r>
      <w:r>
        <w:rPr>
          <w:rFonts w:hint="eastAsia" w:ascii="仿宋" w:hAnsi="仿宋" w:eastAsia="仿宋" w:cs="仿宋"/>
          <w:color w:val="000000"/>
          <w:sz w:val="32"/>
          <w:szCs w:val="32"/>
          <w:shd w:val="clear" w:color="auto" w:fill="FFFFFF"/>
        </w:rPr>
        <w:t>般公共服务（类）20</w:t>
      </w:r>
      <w:r>
        <w:rPr>
          <w:rFonts w:hint="eastAsia" w:ascii="仿宋" w:hAnsi="仿宋" w:eastAsia="仿宋" w:cs="仿宋"/>
          <w:sz w:val="32"/>
          <w:szCs w:val="32"/>
          <w:shd w:val="clear" w:color="auto" w:fill="FFFFFF"/>
        </w:rPr>
        <w:t>1</w:t>
      </w:r>
      <w:r>
        <w:rPr>
          <w:rStyle w:val="15"/>
          <w:rFonts w:ascii="仿宋" w:hAnsi="仿宋" w:eastAsia="仿宋"/>
          <w:bCs/>
          <w:sz w:val="32"/>
          <w:szCs w:val="32"/>
        </w:rPr>
        <w:t>:</w:t>
      </w:r>
      <w:r>
        <w:rPr>
          <w:rStyle w:val="15"/>
          <w:rFonts w:hint="eastAsia" w:ascii="仿宋" w:hAnsi="仿宋" w:eastAsia="仿宋"/>
          <w:bCs/>
          <w:sz w:val="32"/>
          <w:szCs w:val="32"/>
        </w:rPr>
        <w:t>支出决算为</w:t>
      </w:r>
      <w:r>
        <w:rPr>
          <w:rFonts w:hint="eastAsia" w:ascii="仿宋_GB2312" w:eastAsia="仿宋_GB2312"/>
          <w:sz w:val="32"/>
          <w:szCs w:val="32"/>
        </w:rPr>
        <w:t>635.38</w:t>
      </w:r>
      <w:r>
        <w:rPr>
          <w:rStyle w:val="15"/>
          <w:rFonts w:hint="eastAsia" w:ascii="仿宋" w:hAnsi="仿宋" w:eastAsia="仿宋"/>
          <w:bCs/>
          <w:sz w:val="32"/>
          <w:szCs w:val="32"/>
        </w:rPr>
        <w:t>万元，完成预算79.19</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2" w:firstLineChars="200"/>
        <w:rPr>
          <w:rFonts w:ascii="仿宋" w:hAnsi="仿宋" w:eastAsia="仿宋"/>
          <w:b/>
          <w:color w:val="7C83E1"/>
          <w:sz w:val="32"/>
          <w:szCs w:val="32"/>
        </w:rPr>
      </w:pPr>
      <w:r>
        <w:rPr>
          <w:rStyle w:val="15"/>
          <w:rFonts w:ascii="仿宋" w:hAnsi="仿宋" w:eastAsia="仿宋"/>
          <w:bCs/>
          <w:sz w:val="32"/>
          <w:szCs w:val="32"/>
        </w:rPr>
        <w:t>2.</w:t>
      </w:r>
      <w:r>
        <w:rPr>
          <w:rFonts w:hint="eastAsia" w:ascii="仿宋" w:hAnsi="仿宋" w:eastAsia="仿宋" w:cs="仿宋"/>
          <w:color w:val="000000"/>
          <w:sz w:val="32"/>
          <w:szCs w:val="32"/>
          <w:shd w:val="clear" w:color="auto" w:fill="FFFFFF"/>
        </w:rPr>
        <w:t>国防支出（类）203</w:t>
      </w:r>
      <w:r>
        <w:rPr>
          <w:rStyle w:val="15"/>
          <w:rFonts w:ascii="仿宋" w:hAnsi="仿宋" w:eastAsia="仿宋"/>
          <w:bCs/>
          <w:color w:val="7C83E1"/>
          <w:sz w:val="32"/>
          <w:szCs w:val="32"/>
        </w:rPr>
        <w:t>:</w:t>
      </w:r>
      <w:r>
        <w:rPr>
          <w:rStyle w:val="15"/>
          <w:rFonts w:hint="eastAsia" w:ascii="仿宋" w:hAnsi="仿宋" w:eastAsia="仿宋"/>
          <w:bCs/>
          <w:sz w:val="32"/>
          <w:szCs w:val="32"/>
        </w:rPr>
        <w:t>支出决算为2万元，完成预算100%。</w:t>
      </w:r>
    </w:p>
    <w:p>
      <w:pPr>
        <w:spacing w:line="600" w:lineRule="exact"/>
        <w:ind w:firstLine="642" w:firstLineChars="200"/>
        <w:rPr>
          <w:rFonts w:ascii="仿宋" w:hAnsi="仿宋" w:eastAsia="仿宋"/>
          <w:b/>
          <w:color w:val="7C83E1"/>
          <w:sz w:val="32"/>
          <w:szCs w:val="32"/>
        </w:rPr>
      </w:pPr>
      <w:r>
        <w:rPr>
          <w:rStyle w:val="15"/>
          <w:rFonts w:ascii="仿宋" w:hAnsi="仿宋" w:eastAsia="仿宋"/>
          <w:bCs/>
          <w:sz w:val="32"/>
          <w:szCs w:val="32"/>
        </w:rPr>
        <w:t>3.</w:t>
      </w:r>
      <w:r>
        <w:rPr>
          <w:rFonts w:hint="eastAsia" w:ascii="仿宋_GB2312" w:eastAsia="仿宋_GB2312"/>
          <w:sz w:val="32"/>
          <w:szCs w:val="32"/>
        </w:rPr>
        <w:t>公共安全204</w:t>
      </w:r>
      <w:r>
        <w:rPr>
          <w:rStyle w:val="15"/>
          <w:rFonts w:ascii="仿宋" w:hAnsi="仿宋" w:eastAsia="仿宋"/>
          <w:bCs/>
          <w:sz w:val="32"/>
          <w:szCs w:val="32"/>
        </w:rPr>
        <w:t>:</w:t>
      </w:r>
      <w:r>
        <w:rPr>
          <w:rStyle w:val="15"/>
          <w:rFonts w:hint="eastAsia" w:ascii="仿宋" w:hAnsi="仿宋" w:eastAsia="仿宋"/>
          <w:bCs/>
          <w:sz w:val="32"/>
          <w:szCs w:val="32"/>
        </w:rPr>
        <w:t>支出决算为1万元，完成预算100</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0" w:firstLineChars="200"/>
        <w:rPr>
          <w:rFonts w:ascii="仿宋" w:hAnsi="仿宋" w:eastAsia="仿宋"/>
          <w:b/>
          <w:color w:val="7C83E1"/>
          <w:sz w:val="32"/>
          <w:szCs w:val="32"/>
        </w:rPr>
      </w:pPr>
      <w:r>
        <w:rPr>
          <w:rFonts w:hint="eastAsia" w:ascii="仿宋" w:hAnsi="仿宋" w:eastAsia="仿宋" w:cs="仿宋"/>
          <w:color w:val="000000"/>
          <w:sz w:val="32"/>
          <w:szCs w:val="32"/>
          <w:shd w:val="clear" w:color="auto" w:fill="FFFFFF"/>
        </w:rPr>
        <w:t>3. 文化体育与传媒支出（类）20</w:t>
      </w:r>
      <w:r>
        <w:rPr>
          <w:rFonts w:hint="eastAsia" w:ascii="仿宋" w:hAnsi="仿宋" w:eastAsia="仿宋" w:cs="仿宋"/>
          <w:sz w:val="32"/>
          <w:szCs w:val="32"/>
          <w:shd w:val="clear" w:color="auto" w:fill="FFFFFF"/>
        </w:rPr>
        <w:t>7</w:t>
      </w:r>
      <w:r>
        <w:rPr>
          <w:rStyle w:val="15"/>
          <w:rFonts w:ascii="仿宋" w:hAnsi="仿宋" w:eastAsia="仿宋"/>
          <w:bCs/>
          <w:sz w:val="32"/>
          <w:szCs w:val="32"/>
        </w:rPr>
        <w:t>:</w:t>
      </w:r>
      <w:r>
        <w:rPr>
          <w:rStyle w:val="15"/>
          <w:rFonts w:hint="eastAsia" w:ascii="仿宋" w:hAnsi="仿宋" w:eastAsia="仿宋"/>
          <w:bCs/>
          <w:sz w:val="32"/>
          <w:szCs w:val="32"/>
        </w:rPr>
        <w:t>支出决算为1.6万元，完成预算100</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2" w:firstLineChars="200"/>
        <w:rPr>
          <w:rFonts w:ascii="仿宋" w:hAnsi="仿宋" w:eastAsia="仿宋"/>
          <w:b/>
          <w:color w:val="7C83E1"/>
          <w:sz w:val="32"/>
          <w:szCs w:val="32"/>
        </w:rPr>
      </w:pPr>
      <w:r>
        <w:rPr>
          <w:rStyle w:val="15"/>
          <w:rFonts w:ascii="仿宋" w:hAnsi="仿宋" w:eastAsia="仿宋"/>
          <w:bCs/>
          <w:sz w:val="32"/>
          <w:szCs w:val="32"/>
        </w:rPr>
        <w:t>5.</w:t>
      </w:r>
      <w:r>
        <w:rPr>
          <w:rFonts w:hint="eastAsia" w:ascii="仿宋" w:hAnsi="仿宋" w:eastAsia="仿宋" w:cs="仿宋"/>
          <w:color w:val="000000"/>
          <w:sz w:val="32"/>
          <w:szCs w:val="32"/>
          <w:shd w:val="clear" w:color="auto" w:fill="FFFFFF"/>
        </w:rPr>
        <w:t> 社会保障和就业（类）208:支出决算</w:t>
      </w:r>
      <w:r>
        <w:rPr>
          <w:rStyle w:val="15"/>
          <w:rFonts w:hint="eastAsia" w:ascii="仿宋" w:hAnsi="仿宋" w:eastAsia="仿宋"/>
          <w:bCs/>
          <w:sz w:val="32"/>
          <w:szCs w:val="32"/>
        </w:rPr>
        <w:t>为63.95万元，完成预算79.31</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0" w:firstLineChars="200"/>
        <w:rPr>
          <w:rFonts w:ascii="仿宋" w:hAnsi="仿宋" w:eastAsia="仿宋"/>
          <w:b/>
          <w:color w:val="7C83E1"/>
          <w:sz w:val="32"/>
          <w:szCs w:val="32"/>
        </w:rPr>
      </w:pPr>
      <w:r>
        <w:rPr>
          <w:rFonts w:hint="eastAsia" w:ascii="仿宋" w:hAnsi="仿宋" w:eastAsia="仿宋" w:cs="仿宋"/>
          <w:color w:val="000000"/>
          <w:sz w:val="32"/>
          <w:szCs w:val="32"/>
          <w:shd w:val="clear" w:color="auto" w:fill="FFFFFF"/>
        </w:rPr>
        <w:t>5. 医疗卫生支出（类）210</w:t>
      </w:r>
      <w:r>
        <w:rPr>
          <w:rStyle w:val="15"/>
          <w:rFonts w:ascii="仿宋" w:hAnsi="仿宋" w:eastAsia="仿宋"/>
          <w:bCs/>
          <w:sz w:val="32"/>
          <w:szCs w:val="32"/>
        </w:rPr>
        <w:t>:</w:t>
      </w:r>
      <w:r>
        <w:rPr>
          <w:rStyle w:val="15"/>
          <w:rFonts w:hint="eastAsia" w:ascii="仿宋" w:hAnsi="仿宋" w:eastAsia="仿宋"/>
          <w:bCs/>
          <w:sz w:val="32"/>
          <w:szCs w:val="32"/>
        </w:rPr>
        <w:t>支出决算为15.42万元，完成预算92.05</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0" w:firstLineChars="200"/>
        <w:rPr>
          <w:rFonts w:ascii="仿宋" w:hAnsi="仿宋" w:eastAsia="仿宋"/>
          <w:b/>
          <w:color w:val="7C83E1"/>
          <w:sz w:val="32"/>
          <w:szCs w:val="32"/>
        </w:rPr>
      </w:pPr>
      <w:r>
        <w:rPr>
          <w:rFonts w:hint="eastAsia" w:ascii="仿宋" w:hAnsi="仿宋" w:eastAsia="仿宋" w:cs="仿宋"/>
          <w:color w:val="000000"/>
          <w:sz w:val="32"/>
          <w:szCs w:val="32"/>
          <w:shd w:val="clear" w:color="auto" w:fill="FFFFFF"/>
        </w:rPr>
        <w:t>6. 农林水支出（类</w:t>
      </w:r>
      <w:r>
        <w:rPr>
          <w:rFonts w:hint="eastAsia" w:ascii="仿宋" w:hAnsi="仿宋" w:eastAsia="仿宋" w:cs="仿宋"/>
          <w:sz w:val="32"/>
          <w:szCs w:val="32"/>
          <w:shd w:val="clear" w:color="auto" w:fill="FFFFFF"/>
        </w:rPr>
        <w:t>）213</w:t>
      </w:r>
      <w:r>
        <w:rPr>
          <w:rStyle w:val="15"/>
          <w:rFonts w:ascii="仿宋" w:hAnsi="仿宋" w:eastAsia="仿宋"/>
          <w:bCs/>
          <w:sz w:val="32"/>
          <w:szCs w:val="32"/>
        </w:rPr>
        <w:t>:</w:t>
      </w:r>
      <w:r>
        <w:rPr>
          <w:rStyle w:val="15"/>
          <w:rFonts w:hint="eastAsia" w:ascii="仿宋" w:hAnsi="仿宋" w:eastAsia="仿宋"/>
          <w:bCs/>
          <w:sz w:val="32"/>
          <w:szCs w:val="32"/>
        </w:rPr>
        <w:t>支出决算为494.46万元，完成预算77</w:t>
      </w:r>
      <w:r>
        <w:rPr>
          <w:rStyle w:val="15"/>
          <w:rFonts w:ascii="仿宋" w:hAnsi="仿宋" w:eastAsia="仿宋"/>
          <w:bCs/>
          <w:sz w:val="32"/>
          <w:szCs w:val="32"/>
        </w:rPr>
        <w:t>%</w:t>
      </w:r>
      <w:r>
        <w:rPr>
          <w:rStyle w:val="15"/>
          <w:rFonts w:hint="eastAsia" w:ascii="仿宋" w:hAnsi="仿宋" w:eastAsia="仿宋"/>
          <w:bCs/>
          <w:sz w:val="32"/>
          <w:szCs w:val="32"/>
        </w:rPr>
        <w:t>。</w:t>
      </w:r>
    </w:p>
    <w:p>
      <w:pPr>
        <w:spacing w:line="600" w:lineRule="exact"/>
        <w:ind w:firstLine="642" w:firstLineChars="200"/>
        <w:rPr>
          <w:rFonts w:ascii="仿宋" w:hAnsi="仿宋" w:eastAsia="仿宋"/>
          <w:b/>
          <w:color w:val="7C83E1"/>
          <w:sz w:val="32"/>
          <w:szCs w:val="32"/>
        </w:rPr>
      </w:pPr>
      <w:r>
        <w:rPr>
          <w:rStyle w:val="15"/>
          <w:rFonts w:hint="eastAsia" w:ascii="仿宋" w:hAnsi="仿宋" w:eastAsia="仿宋"/>
          <w:bCs/>
          <w:sz w:val="32"/>
          <w:szCs w:val="32"/>
        </w:rPr>
        <w:t>9</w:t>
      </w:r>
      <w:r>
        <w:rPr>
          <w:rStyle w:val="15"/>
          <w:rFonts w:ascii="仿宋" w:hAnsi="仿宋" w:eastAsia="仿宋"/>
          <w:bCs/>
          <w:sz w:val="32"/>
          <w:szCs w:val="32"/>
        </w:rPr>
        <w:t>.</w:t>
      </w:r>
      <w:r>
        <w:rPr>
          <w:rFonts w:hint="eastAsia" w:ascii="仿宋" w:hAnsi="仿宋" w:eastAsia="仿宋" w:cs="仿宋"/>
          <w:sz w:val="32"/>
          <w:szCs w:val="32"/>
          <w:shd w:val="clear" w:color="auto" w:fill="FFFFFF"/>
        </w:rPr>
        <w:t>住</w:t>
      </w:r>
      <w:r>
        <w:rPr>
          <w:rFonts w:hint="eastAsia" w:ascii="仿宋" w:hAnsi="仿宋" w:eastAsia="仿宋" w:cs="仿宋"/>
          <w:color w:val="000000"/>
          <w:sz w:val="32"/>
          <w:szCs w:val="32"/>
          <w:shd w:val="clear" w:color="auto" w:fill="FFFFFF"/>
        </w:rPr>
        <w:t>房保障支出（类）221</w:t>
      </w:r>
      <w:r>
        <w:rPr>
          <w:rStyle w:val="15"/>
          <w:rFonts w:ascii="仿宋" w:hAnsi="仿宋" w:eastAsia="仿宋"/>
          <w:bCs/>
          <w:color w:val="7C83E1"/>
          <w:sz w:val="32"/>
          <w:szCs w:val="32"/>
        </w:rPr>
        <w:t>:</w:t>
      </w:r>
      <w:r>
        <w:rPr>
          <w:rStyle w:val="15"/>
          <w:rFonts w:hint="eastAsia" w:ascii="仿宋" w:hAnsi="仿宋" w:eastAsia="仿宋"/>
          <w:bCs/>
          <w:sz w:val="32"/>
          <w:szCs w:val="32"/>
        </w:rPr>
        <w:t>支出决算为36.75万元，完成预算98.79</w:t>
      </w:r>
      <w:r>
        <w:rPr>
          <w:rStyle w:val="15"/>
          <w:rFonts w:ascii="仿宋" w:hAnsi="仿宋" w:eastAsia="仿宋"/>
          <w:bCs/>
          <w:sz w:val="32"/>
          <w:szCs w:val="32"/>
        </w:rPr>
        <w:t>%</w:t>
      </w:r>
      <w:r>
        <w:rPr>
          <w:rStyle w:val="15"/>
          <w:rFonts w:hint="eastAsia" w:ascii="仿宋" w:hAnsi="仿宋" w:eastAsia="仿宋"/>
          <w:bCs/>
          <w:sz w:val="32"/>
          <w:szCs w:val="32"/>
        </w:rPr>
        <w:t>。</w:t>
      </w:r>
    </w:p>
    <w:p>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8年一般公共预算财政拨款基本支出526.6万元，其中：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489.84万元，主要包括：基本工资79.09万元、津贴补贴184.22万元、奖金72.21万元、伙食补助费3.12万元、绩效工资26.80万元、机关事业单位基本养老保险缴费45.68万元、职业年金缴费18.27万元、职工基本医疗保险缴费15.42万元、其他社会保障缴费5.07万元、住房公积金36.75万元、生活补助3.00万元，医疗费补助0.22万元。</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公用经费36.76万元，主要包括：办公费17.24万元、印刷费8.88万元、手续费0.02万元、电费4.50万元、邮电费0.20万元、差旅费2.11万元、培训费0.33万元、公务用车运行维护费3.49万元。</w:t>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8年“三公”经费财政拨款支出决算为3.49万元，完成预算96.94</w:t>
      </w:r>
      <w:r>
        <w:rPr>
          <w:rFonts w:ascii="仿宋" w:hAnsi="仿宋" w:eastAsia="仿宋"/>
          <w:color w:val="000000"/>
          <w:sz w:val="32"/>
          <w:szCs w:val="32"/>
        </w:rPr>
        <w:t>%</w:t>
      </w:r>
      <w:r>
        <w:rPr>
          <w:rFonts w:hint="eastAsia" w:ascii="仿宋" w:hAnsi="仿宋" w:eastAsia="仿宋"/>
          <w:color w:val="000000"/>
          <w:sz w:val="32"/>
          <w:szCs w:val="32"/>
        </w:rPr>
        <w:t>，决算数小于预算数主要原因是公车报废无公务用车费用支出。</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drawing>
          <wp:anchor distT="0" distB="0" distL="114300" distR="114300" simplePos="0" relativeHeight="251665408" behindDoc="1" locked="0" layoutInCell="1" allowOverlap="1">
            <wp:simplePos x="0" y="0"/>
            <wp:positionH relativeFrom="column">
              <wp:posOffset>633095</wp:posOffset>
            </wp:positionH>
            <wp:positionV relativeFrom="paragraph">
              <wp:posOffset>1369060</wp:posOffset>
            </wp:positionV>
            <wp:extent cx="3942080" cy="2199640"/>
            <wp:effectExtent l="0" t="0" r="1270" b="0"/>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；公务用车购置及运行维护费支出决算3.49万元，占100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3.49万元,</w:t>
      </w:r>
      <w:r>
        <w:rPr>
          <w:rStyle w:val="15"/>
          <w:rFonts w:hint="eastAsia" w:ascii="仿宋" w:hAnsi="仿宋" w:eastAsia="仿宋"/>
          <w:b w:val="0"/>
          <w:bCs/>
          <w:color w:val="000000"/>
          <w:sz w:val="32"/>
          <w:szCs w:val="32"/>
        </w:rPr>
        <w:t>完成预算96.49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7年减少4.86万元，下降41.79</w:t>
      </w:r>
      <w:r>
        <w:rPr>
          <w:rFonts w:ascii="仿宋_GB2312" w:eastAsia="仿宋_GB2312"/>
          <w:color w:val="000000"/>
          <w:sz w:val="32"/>
          <w:szCs w:val="32"/>
        </w:rPr>
        <w:t>%</w:t>
      </w:r>
      <w:r>
        <w:rPr>
          <w:rFonts w:hint="eastAsia" w:ascii="仿宋_GB2312" w:eastAsia="仿宋_GB2312"/>
          <w:color w:val="000000"/>
          <w:sz w:val="32"/>
          <w:szCs w:val="32"/>
        </w:rPr>
        <w:t>。主要原因是2018年公务用车报废，公务用车运行维护费支出减少。</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月底，单位共有公务用车1辆，其中：轿车0辆、越野车1辆、载客汽车0辆。</w:t>
      </w:r>
    </w:p>
    <w:p>
      <w:pPr>
        <w:spacing w:line="56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3.49万元。</w:t>
      </w:r>
      <w:r>
        <w:rPr>
          <w:rFonts w:hint="eastAsia" w:ascii="仿宋" w:hAnsi="仿宋" w:eastAsia="仿宋"/>
          <w:color w:val="000000"/>
          <w:sz w:val="32"/>
          <w:szCs w:val="32"/>
        </w:rPr>
        <w:t>主要用于开展脱贫攻坚工作、保障民生、易地搬迁、惠民惠农财政补贴资金“一卡通”等下村、上县所需的公务用车燃料费、维修费、过路过桥费、保险费等支出。</w:t>
      </w:r>
    </w:p>
    <w:p>
      <w:pPr>
        <w:spacing w:line="600" w:lineRule="exact"/>
        <w:ind w:firstLine="640"/>
        <w:rPr>
          <w:rFonts w:ascii="黑体" w:eastAsia="黑体"/>
          <w:color w:val="7C83E1"/>
          <w:sz w:val="32"/>
          <w:szCs w:val="32"/>
        </w:rPr>
      </w:pPr>
      <w:r>
        <w:rPr>
          <w:rFonts w:ascii="仿宋_GB2312" w:eastAsia="仿宋_GB2312"/>
          <w:b/>
          <w:sz w:val="32"/>
          <w:szCs w:val="32"/>
        </w:rPr>
        <w:t>3.</w:t>
      </w:r>
      <w:r>
        <w:rPr>
          <w:rFonts w:hint="eastAsia" w:ascii="仿宋_GB2312" w:eastAsia="仿宋_GB2312"/>
          <w:b/>
          <w:sz w:val="32"/>
          <w:szCs w:val="32"/>
        </w:rPr>
        <w:t>无公务接待费支出</w:t>
      </w:r>
      <w:r>
        <w:rPr>
          <w:rFonts w:hint="eastAsia" w:ascii="仿宋_GB2312" w:eastAsia="仿宋_GB2312"/>
          <w:sz w:val="32"/>
          <w:szCs w:val="32"/>
        </w:rPr>
        <w:t>。</w:t>
      </w:r>
    </w:p>
    <w:p>
      <w:pPr>
        <w:spacing w:line="600" w:lineRule="exact"/>
        <w:ind w:firstLine="640"/>
        <w:outlineLvl w:val="1"/>
        <w:rPr>
          <w:rStyle w:val="26"/>
          <w:rFonts w:ascii="黑体" w:hAnsi="黑体" w:eastAsia="黑体"/>
        </w:rPr>
      </w:pPr>
      <w:bookmarkStart w:id="46" w:name="_Toc15377218"/>
      <w:bookmarkStart w:id="47"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8年政府性基金预算拨款支出348.75万元。</w:t>
      </w:r>
    </w:p>
    <w:p>
      <w:pPr>
        <w:numPr>
          <w:ilvl w:val="0"/>
          <w:numId w:val="2"/>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7C83E1"/>
          <w:sz w:val="32"/>
          <w:szCs w:val="32"/>
        </w:rPr>
      </w:pPr>
      <w:r>
        <w:rPr>
          <w:rFonts w:ascii="仿宋_GB2312" w:eastAsia="仿宋_GB2312"/>
          <w:sz w:val="32"/>
          <w:szCs w:val="32"/>
        </w:rPr>
        <w:t>201</w:t>
      </w:r>
      <w:r>
        <w:rPr>
          <w:rFonts w:hint="eastAsia" w:ascii="仿宋_GB2312" w:eastAsia="仿宋_GB2312"/>
          <w:sz w:val="32"/>
          <w:szCs w:val="32"/>
        </w:rPr>
        <w:t>8年无国有资本经营预算拨款支出。</w:t>
      </w:r>
    </w:p>
    <w:p>
      <w:pPr>
        <w:pStyle w:val="24"/>
        <w:numPr>
          <w:ilvl w:val="0"/>
          <w:numId w:val="3"/>
        </w:numPr>
        <w:spacing w:line="580" w:lineRule="exact"/>
        <w:ind w:firstLineChars="0"/>
        <w:rPr>
          <w:rStyle w:val="26"/>
          <w:rFonts w:ascii="黑体" w:hAnsi="黑体" w:eastAsia="黑体"/>
          <w:b w:val="0"/>
          <w:color w:val="000000" w:themeColor="text1"/>
          <w14:textFill>
            <w14:solidFill>
              <w14:schemeClr w14:val="tx1"/>
            </w14:solidFill>
          </w14:textFill>
        </w:rPr>
      </w:pPr>
      <w:r>
        <w:rPr>
          <w:rStyle w:val="26"/>
          <w:rFonts w:hint="eastAsia" w:ascii="黑体" w:hAnsi="黑体" w:eastAsia="黑体"/>
          <w:b w:val="0"/>
          <w:color w:val="000000" w:themeColor="text1"/>
          <w14:textFill>
            <w14:solidFill>
              <w14:schemeClr w14:val="tx1"/>
            </w14:solidFill>
          </w14:textFill>
        </w:rPr>
        <w:t>预算绩效情况说明</w:t>
      </w:r>
    </w:p>
    <w:p>
      <w:pPr>
        <w:pStyle w:val="24"/>
        <w:numPr>
          <w:ilvl w:val="0"/>
          <w:numId w:val="3"/>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4"/>
        </w:numPr>
        <w:spacing w:line="580" w:lineRule="exact"/>
        <w:ind w:firstLine="642"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4项目开展了预算事前绩效评估，对4个项目编制了绩效目标，预算执行过程中，选取4个项目开展绩效监控，年终执行完毕后，对4个项目开展了绩效目标完成情况梳理填报。</w:t>
      </w:r>
    </w:p>
    <w:p>
      <w:pPr>
        <w:pStyle w:val="12"/>
        <w:widowControl/>
        <w:numPr>
          <w:ilvl w:val="0"/>
          <w:numId w:val="4"/>
        </w:numPr>
        <w:shd w:val="clear" w:color="auto" w:fill="FFFFFF"/>
        <w:spacing w:beforeAutospacing="0" w:afterAutospacing="0" w:line="600" w:lineRule="atLeast"/>
        <w:ind w:firstLine="960"/>
        <w:jc w:val="both"/>
        <w:rPr>
          <w:color w:val="000000" w:themeColor="text1"/>
          <w:sz w:val="21"/>
          <w:szCs w:val="21"/>
          <w14:textFill>
            <w14:solidFill>
              <w14:schemeClr w14:val="tx1"/>
            </w14:solidFill>
          </w14:textFill>
        </w:rPr>
      </w:pPr>
      <w:r>
        <w:rPr>
          <w:rFonts w:hint="eastAsia" w:ascii="仿宋" w:hAnsi="仿宋" w:eastAsia="仿宋" w:cs="仿宋"/>
          <w:color w:val="000000"/>
          <w:sz w:val="32"/>
          <w:szCs w:val="32"/>
          <w:shd w:val="clear" w:color="auto" w:fill="FFFFFF"/>
        </w:rPr>
        <w:t>本单位按要求对2018年部门整体支出开展绩效自评，从评价情况来看通过加强预算收支管理，不断建立健全内部管理制度，梳理内部管理流程，部门整体支出管理情况得到</w:t>
      </w:r>
      <w:r>
        <w:rPr>
          <w:rFonts w:hint="eastAsia" w:ascii="仿宋" w:hAnsi="仿宋" w:eastAsia="仿宋" w:cs="仿宋"/>
          <w:color w:val="000000" w:themeColor="text1"/>
          <w:sz w:val="32"/>
          <w:szCs w:val="32"/>
          <w:shd w:val="clear" w:color="auto" w:fill="FFFFFF"/>
          <w14:textFill>
            <w14:solidFill>
              <w14:schemeClr w14:val="tx1"/>
            </w14:solidFill>
          </w14:textFill>
        </w:rPr>
        <w:t>提升。预算决策、管理、执行等日益规范，能较好地满足工作需要，取得了良好经济效益和社会效益。</w:t>
      </w:r>
    </w:p>
    <w:p>
      <w:pPr>
        <w:numPr>
          <w:ilvl w:val="0"/>
          <w:numId w:val="5"/>
        </w:numPr>
        <w:tabs>
          <w:tab w:val="clear" w:pos="312"/>
        </w:tabs>
        <w:spacing w:line="580" w:lineRule="exact"/>
        <w:ind w:firstLine="642"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本部门在2018年度部门决算中反映“吾依乡壤塘县2018年杜柯片区脱贫攻坚基础设施建设项目章腊村道路建设“吾依乡壤塘县2018年杜柯片区脱贫攻坚基础设施建设项目修卡村修卡小组道路建设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吾依乡壤塘县2018年杜柯片区脱贫攻坚基础设施建设项目壤古村壤古寨道路建设”、“吾依乡壤塘县2018年吾依村、卡龙村脱贫攻坚基础设施查漏补缺建设项目”等4个项目绩效目标实际完成情况。</w:t>
      </w:r>
    </w:p>
    <w:p>
      <w:pPr>
        <w:adjustRightInd w:val="0"/>
        <w:snapToGrid w:val="0"/>
        <w:spacing w:line="640" w:lineRule="exact"/>
        <w:ind w:firstLine="720"/>
        <w:rPr>
          <w:rFonts w:ascii="仿宋" w:hAnsi="仿宋" w:eastAsia="仿宋" w:cs="仿宋_GB2312"/>
          <w:sz w:val="32"/>
          <w:szCs w:val="32"/>
        </w:rPr>
      </w:pPr>
      <w:r>
        <w:rPr>
          <w:rFonts w:hint="eastAsia" w:ascii="仿宋_GB2312" w:hAnsi="仿宋_GB2312" w:eastAsia="仿宋_GB2312" w:cs="仿宋_GB2312"/>
          <w:sz w:val="32"/>
          <w:szCs w:val="32"/>
        </w:rPr>
        <w:t>1、吾依乡壤塘县2018年杜柯片区脱贫攻坚基础设施建设项目章腊村道路建设项目综述。项目全年预算数105万元，执行数为55.61万元，完成预算的52%。通过项目实施，</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sz w:val="32"/>
          <w:szCs w:val="32"/>
        </w:rPr>
        <w:t>改善群众生产生活条件，保障基本公共服务，促进农畜牧产业的发展，增强村基础配套设施保障能力，促进村经济快速发展</w:t>
      </w:r>
      <w:r>
        <w:rPr>
          <w:rFonts w:hint="eastAsia" w:ascii="仿宋" w:hAnsi="仿宋" w:eastAsia="仿宋" w:cs="仿宋_GB2312"/>
          <w:sz w:val="32"/>
          <w:szCs w:val="32"/>
        </w:rPr>
        <w:t>。</w:t>
      </w:r>
      <w:r>
        <w:rPr>
          <w:rFonts w:hint="eastAsia" w:ascii="仿宋" w:hAnsi="仿宋" w:eastAsia="仿宋"/>
          <w:sz w:val="32"/>
          <w:szCs w:val="32"/>
        </w:rPr>
        <w:t>是一项利村、利民、利社会的系统工程、民心工程、德政工程。</w:t>
      </w:r>
    </w:p>
    <w:p>
      <w:pPr>
        <w:adjustRightInd w:val="0"/>
        <w:snapToGrid w:val="0"/>
        <w:spacing w:line="640" w:lineRule="exact"/>
        <w:ind w:firstLine="720"/>
        <w:rPr>
          <w:rFonts w:ascii="仿宋" w:hAnsi="仿宋" w:eastAsia="仿宋" w:cs="仿宋_GB2312"/>
          <w:sz w:val="32"/>
          <w:szCs w:val="32"/>
        </w:rPr>
      </w:pPr>
      <w:r>
        <w:rPr>
          <w:rFonts w:hint="eastAsia" w:ascii="仿宋_GB2312" w:hAnsi="仿宋_GB2312" w:eastAsia="仿宋_GB2312" w:cs="仿宋_GB2312"/>
          <w:sz w:val="32"/>
          <w:szCs w:val="32"/>
        </w:rPr>
        <w:t>2、吾依乡壤塘县2018年杜柯片区脱贫攻坚基础设施建设项目修卡村修卡小组道路建设情况综述。项目全年预算数165万元，执行数为100.64万元，完成预算的95.84%。通过项目实施，</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sz w:val="32"/>
          <w:szCs w:val="32"/>
        </w:rPr>
        <w:t>改善群众生产生活条件，保障基本公共服务，促进农畜牧产业的发展，增强村基础配套设施保障能力，促进村经济快速发展</w:t>
      </w:r>
      <w:r>
        <w:rPr>
          <w:rFonts w:hint="eastAsia" w:ascii="仿宋" w:hAnsi="仿宋" w:eastAsia="仿宋" w:cs="仿宋_GB2312"/>
          <w:sz w:val="32"/>
          <w:szCs w:val="32"/>
        </w:rPr>
        <w:t>。</w:t>
      </w:r>
      <w:r>
        <w:rPr>
          <w:rFonts w:hint="eastAsia" w:ascii="仿宋" w:hAnsi="仿宋" w:eastAsia="仿宋"/>
          <w:sz w:val="32"/>
          <w:szCs w:val="32"/>
        </w:rPr>
        <w:t>是一项利村、利民、利社会的系统工程、民心工程、德政工程。</w:t>
      </w:r>
    </w:p>
    <w:p>
      <w:pPr>
        <w:adjustRightInd w:val="0"/>
        <w:snapToGrid w:val="0"/>
        <w:spacing w:line="640" w:lineRule="exact"/>
        <w:ind w:firstLine="720"/>
        <w:rPr>
          <w:rFonts w:ascii="仿宋" w:hAnsi="仿宋" w:eastAsia="仿宋" w:cs="仿宋_GB2312"/>
          <w:sz w:val="32"/>
          <w:szCs w:val="32"/>
        </w:rPr>
      </w:pPr>
      <w:r>
        <w:rPr>
          <w:rFonts w:hint="eastAsia" w:ascii="仿宋_GB2312" w:hAnsi="仿宋_GB2312" w:eastAsia="仿宋_GB2312" w:cs="仿宋_GB2312"/>
          <w:sz w:val="32"/>
          <w:szCs w:val="32"/>
        </w:rPr>
        <w:t>3、吾依乡壤塘县2018年杜柯片区脱贫攻坚基础设施建设项目壤古村壤古寨道路建设情况综述。项目全年预算数310万元，执行数为177.85万元，完成预算的57.37%。通过项目实施，</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sz w:val="32"/>
          <w:szCs w:val="32"/>
        </w:rPr>
        <w:t>改善群众生产生活条件，保障基本公共服务，促进农畜牧产业的发展，增强村基础配套设施保障能力，促进村经济快速发展</w:t>
      </w:r>
      <w:r>
        <w:rPr>
          <w:rFonts w:hint="eastAsia" w:ascii="仿宋" w:hAnsi="仿宋" w:eastAsia="仿宋" w:cs="仿宋_GB2312"/>
          <w:sz w:val="32"/>
          <w:szCs w:val="32"/>
        </w:rPr>
        <w:t>。</w:t>
      </w:r>
      <w:r>
        <w:rPr>
          <w:rFonts w:hint="eastAsia" w:ascii="仿宋" w:hAnsi="仿宋" w:eastAsia="仿宋"/>
          <w:sz w:val="32"/>
          <w:szCs w:val="32"/>
        </w:rPr>
        <w:t>是一项利村、利民、利社会的系统工程、民心工程、德政工程。</w:t>
      </w:r>
    </w:p>
    <w:p>
      <w:pPr>
        <w:tabs>
          <w:tab w:val="left" w:pos="312"/>
        </w:tabs>
        <w:spacing w:line="58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4、吾依乡壤塘县2018年吾依村、卡龙村脱贫攻坚基础设施查漏补缺建设项目建设情况综述。项目全年预算数73.22万元，执行数为70.26万元，完成预算的95.96%。</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sz w:val="32"/>
          <w:szCs w:val="32"/>
        </w:rPr>
        <w:t>彻底改善农牧民居住环境安全和出行安全的问题，</w:t>
      </w:r>
      <w:r>
        <w:rPr>
          <w:rFonts w:hint="eastAsia" w:ascii="仿宋" w:hAnsi="仿宋" w:eastAsia="仿宋" w:cs="仿宋_GB2312"/>
          <w:sz w:val="32"/>
          <w:szCs w:val="32"/>
        </w:rPr>
        <w:t>带动脱贫攻坚任务村的基础设施的完善，促进项目村和项目实施区域内的家居环境改善，为村民提供便利的公共服务和完善整村的基础配套建设。</w:t>
      </w: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p>
      <w:pPr>
        <w:adjustRightInd w:val="0"/>
        <w:snapToGrid w:val="0"/>
        <w:spacing w:line="640" w:lineRule="exact"/>
        <w:ind w:firstLine="72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firstLine="0" w:firstLineChars="0"/>
              <w:textAlignment w:val="center"/>
              <w:rPr>
                <w:rFonts w:ascii="黑体" w:hAnsi="黑体" w:eastAsia="黑体" w:cs="宋体"/>
                <w:bCs/>
                <w:color w:val="000000" w:themeColor="text1"/>
                <w:kern w:val="0"/>
                <w:sz w:val="36"/>
                <w:szCs w:val="36"/>
                <w14:textFill>
                  <w14:solidFill>
                    <w14:schemeClr w14:val="tx1"/>
                  </w14:solidFill>
                </w14:textFill>
              </w:rPr>
            </w:pPr>
          </w:p>
          <w:p>
            <w:pPr>
              <w:pStyle w:val="24"/>
              <w:widowControl/>
              <w:ind w:left="4173" w:leftChars="1310" w:hanging="1422" w:hangingChars="395"/>
              <w:textAlignment w:val="center"/>
              <w:rPr>
                <w:rFonts w:ascii="宋体" w:hAnsi="宋体" w:cs="宋体"/>
                <w:color w:val="000000" w:themeColor="text1"/>
                <w:sz w:val="36"/>
                <w:szCs w:val="36"/>
                <w14:textFill>
                  <w14:solidFill>
                    <w14:schemeClr w14:val="tx1"/>
                  </w14:solidFill>
                </w14:textFill>
              </w:rPr>
            </w:pPr>
            <w:r>
              <w:rPr>
                <w:rFonts w:hint="eastAsia" w:ascii="黑体" w:hAnsi="黑体" w:eastAsia="黑体" w:cs="宋体"/>
                <w:bCs/>
                <w:color w:val="000000" w:themeColor="text1"/>
                <w:kern w:val="0"/>
                <w:sz w:val="36"/>
                <w:szCs w:val="36"/>
                <w14:textFill>
                  <w14:solidFill>
                    <w14:schemeClr w14:val="tx1"/>
                  </w14:solidFill>
                </w14:textFill>
              </w:rPr>
              <w:t>项目支出绩效目标完成情况表</w:t>
            </w:r>
            <w:r>
              <w:rPr>
                <w:rFonts w:hint="eastAsia" w:ascii="宋体" w:hAnsi="宋体" w:cs="宋体"/>
                <w:b/>
                <w:bCs/>
                <w:color w:val="000000" w:themeColor="text1"/>
                <w:kern w:val="0"/>
                <w:sz w:val="36"/>
                <w:szCs w:val="36"/>
                <w14:textFill>
                  <w14:solidFill>
                    <w14:schemeClr w14:val="tx1"/>
                  </w14:solidFill>
                </w14:textFill>
              </w:rPr>
              <w:br w:type="textWrapping"/>
            </w:r>
            <w:r>
              <w:rPr>
                <w:rFonts w:hint="eastAsia" w:ascii="宋体" w:hAnsi="宋体" w:cs="宋体"/>
                <w:color w:val="000000" w:themeColor="text1"/>
                <w:kern w:val="0"/>
                <w:sz w:val="36"/>
                <w:szCs w:val="36"/>
                <w14:textFill>
                  <w14:solidFill>
                    <w14:schemeClr w14:val="tx1"/>
                  </w14:solidFill>
                </w14:textFill>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B0F0"/>
                <w:sz w:val="24"/>
              </w:rPr>
            </w:pPr>
            <w:r>
              <w:rPr>
                <w:rFonts w:hint="eastAsia" w:ascii="宋体" w:hAnsi="宋体" w:cs="宋体"/>
                <w:color w:val="000000" w:themeColor="text1"/>
                <w:sz w:val="24"/>
                <w14:textFill>
                  <w14:solidFill>
                    <w14:schemeClr w14:val="tx1"/>
                  </w14:solidFill>
                </w14:textFill>
              </w:rPr>
              <w:t>壤塘县2018年杜柯片区脱贫攻坚基础设施建设项目吾依乡章腊村道路建设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680" w:firstLineChars="700"/>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壤塘县吾依乡人民政府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55.61</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55.61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55.61</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14:textFill>
                  <w14:solidFill>
                    <w14:schemeClr w14:val="tx1"/>
                  </w14:solidFill>
                </w14:textFill>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2米宽寨内路1.2Km，挡墙0.5Km</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2米宽寨内路1.2Km，挡墙0.5Km</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2米宽寨内路1.2Km，挡墙0.5Km</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2米宽寨内路1.2Km，挡墙0.5Km</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2米宽寨内路1.2Km，挡墙0.5Km</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为村民提供便利的公共服务，经济效益和社会效益都将十分显著。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为村民提供便利的公共服务，经济效益和社会效益都将十分显著。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为村民提供便利的公共服务，经济效益和社会效益都将十分显著。</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ascii="宋体" w:hAnsi="宋体" w:cs="宋体"/>
                <w:color w:val="000000" w:themeColor="text1"/>
                <w:sz w:val="24"/>
                <w14:textFill>
                  <w14:solidFill>
                    <w14:schemeClr w14:val="tx1"/>
                  </w14:solidFill>
                </w14:textFill>
              </w:rPr>
              <w:t>00</w:t>
            </w:r>
            <w:r>
              <w:rPr>
                <w:rFonts w:hint="eastAsia" w:ascii="宋体" w:hAnsi="宋体" w:cs="宋体"/>
                <w:color w:val="000000" w:themeColor="text1"/>
                <w:sz w:val="24"/>
                <w14:textFill>
                  <w14:solidFill>
                    <w14:schemeClr w14:val="tx1"/>
                  </w14:solidFill>
                </w14:textFill>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ascii="宋体" w:hAnsi="宋体" w:cs="宋体"/>
                <w:color w:val="000000" w:themeColor="text1"/>
                <w:sz w:val="24"/>
                <w14:textFill>
                  <w14:solidFill>
                    <w14:schemeClr w14:val="tx1"/>
                  </w14:solidFill>
                </w14:textFill>
              </w:rPr>
              <w:t>00</w:t>
            </w:r>
            <w:r>
              <w:rPr>
                <w:rFonts w:hint="eastAsia" w:ascii="宋体" w:hAnsi="宋体" w:cs="宋体"/>
                <w:color w:val="000000" w:themeColor="text1"/>
                <w:sz w:val="24"/>
                <w14:textFill>
                  <w14:solidFill>
                    <w14:schemeClr w14:val="tx1"/>
                  </w14:solidFill>
                </w14:textFill>
              </w:rPr>
              <w:t>%</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黑体" w:hAnsi="黑体" w:eastAsia="黑体" w:cs="宋体"/>
                <w:bCs/>
                <w:color w:val="000000" w:themeColor="text1"/>
                <w:kern w:val="0"/>
                <w:sz w:val="36"/>
                <w:szCs w:val="36"/>
                <w14:textFill>
                  <w14:solidFill>
                    <w14:schemeClr w14:val="tx1"/>
                  </w14:solidFill>
                </w14:textFill>
              </w:rPr>
            </w:pPr>
          </w:p>
          <w:p>
            <w:pPr>
              <w:widowControl/>
              <w:textAlignment w:val="center"/>
              <w:rPr>
                <w:rFonts w:ascii="黑体" w:hAnsi="黑体" w:eastAsia="黑体" w:cs="宋体"/>
                <w:bCs/>
                <w:color w:val="000000" w:themeColor="text1"/>
                <w:kern w:val="0"/>
                <w:sz w:val="36"/>
                <w:szCs w:val="36"/>
                <w14:textFill>
                  <w14:solidFill>
                    <w14:schemeClr w14:val="tx1"/>
                  </w14:solidFill>
                </w14:textFill>
              </w:rPr>
            </w:pPr>
          </w:p>
          <w:p>
            <w:pPr>
              <w:widowControl/>
              <w:textAlignment w:val="center"/>
              <w:rPr>
                <w:rFonts w:ascii="黑体" w:hAnsi="黑体" w:eastAsia="黑体" w:cs="宋体"/>
                <w:bCs/>
                <w:color w:val="000000" w:themeColor="text1"/>
                <w:kern w:val="0"/>
                <w:sz w:val="36"/>
                <w:szCs w:val="36"/>
                <w14:textFill>
                  <w14:solidFill>
                    <w14:schemeClr w14:val="tx1"/>
                  </w14:solidFill>
                </w14:textFill>
              </w:rPr>
            </w:pPr>
          </w:p>
          <w:p>
            <w:pPr>
              <w:pStyle w:val="24"/>
              <w:widowControl/>
              <w:ind w:left="4173" w:leftChars="1310" w:hanging="1422" w:hangingChars="395"/>
              <w:textAlignment w:val="center"/>
              <w:rPr>
                <w:rFonts w:ascii="宋体" w:hAnsi="宋体" w:cs="宋体"/>
                <w:color w:val="000000" w:themeColor="text1"/>
                <w:sz w:val="36"/>
                <w:szCs w:val="36"/>
                <w14:textFill>
                  <w14:solidFill>
                    <w14:schemeClr w14:val="tx1"/>
                  </w14:solidFill>
                </w14:textFill>
              </w:rPr>
            </w:pPr>
            <w:r>
              <w:rPr>
                <w:rFonts w:hint="eastAsia" w:ascii="黑体" w:hAnsi="黑体" w:eastAsia="黑体" w:cs="宋体"/>
                <w:bCs/>
                <w:color w:val="000000" w:themeColor="text1"/>
                <w:kern w:val="0"/>
                <w:sz w:val="36"/>
                <w:szCs w:val="36"/>
                <w14:textFill>
                  <w14:solidFill>
                    <w14:schemeClr w14:val="tx1"/>
                  </w14:solidFill>
                </w14:textFill>
              </w:rPr>
              <w:t>项目支出绩效目标完成情况表</w:t>
            </w:r>
            <w:r>
              <w:rPr>
                <w:rFonts w:hint="eastAsia" w:ascii="宋体" w:hAnsi="宋体" w:cs="宋体"/>
                <w:b/>
                <w:bCs/>
                <w:color w:val="000000" w:themeColor="text1"/>
                <w:kern w:val="0"/>
                <w:sz w:val="36"/>
                <w:szCs w:val="36"/>
                <w14:textFill>
                  <w14:solidFill>
                    <w14:schemeClr w14:val="tx1"/>
                  </w14:solidFill>
                </w14:textFill>
              </w:rPr>
              <w:br w:type="textWrapping"/>
            </w:r>
            <w:r>
              <w:rPr>
                <w:rFonts w:hint="eastAsia" w:ascii="宋体" w:hAnsi="宋体" w:cs="宋体"/>
                <w:color w:val="000000" w:themeColor="text1"/>
                <w:kern w:val="0"/>
                <w:sz w:val="36"/>
                <w:szCs w:val="36"/>
                <w14:textFill>
                  <w14:solidFill>
                    <w14:schemeClr w14:val="tx1"/>
                  </w14:solidFill>
                </w14:textFill>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壤塘县2018年杜柯片区脱贫攻坚基础设施建设项目吾依乡修卡村修卡小组道路建设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680" w:firstLineChars="700"/>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壤塘县吾依乡人民政府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100.64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100.64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14:textFill>
                  <w14:solidFill>
                    <w14:schemeClr w14:val="tx1"/>
                  </w14:solidFill>
                </w14:textFill>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入户路2.5公里、寨内路1.8公里、堡坎320米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入户路2.5公里、寨内路1.8公里、堡坎320米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入户路2.5公里、寨内路1.8公里、堡坎320米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入户路2.5公里、寨内路1.8公里、堡坎320米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入户路2.5公里、寨内路1.8公里、堡坎320米</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为村民提供便利的公共服务和完善整村的基础配套建设。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为村民提供便利的公共服务和完善整村的基础配套建设。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为村民提供便利的公共服务和完善整村的基础配套建设。</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黑体" w:hAnsi="黑体" w:eastAsia="黑体" w:cs="宋体"/>
                <w:bCs/>
                <w:color w:val="000000" w:themeColor="text1"/>
                <w:kern w:val="0"/>
                <w:sz w:val="36"/>
                <w:szCs w:val="36"/>
                <w14:textFill>
                  <w14:solidFill>
                    <w14:schemeClr w14:val="tx1"/>
                  </w14:solidFill>
                </w14:textFill>
              </w:rPr>
            </w:pPr>
          </w:p>
          <w:p>
            <w:pPr>
              <w:pStyle w:val="24"/>
              <w:widowControl/>
              <w:ind w:left="4173" w:leftChars="1310" w:hanging="1422" w:hangingChars="395"/>
              <w:textAlignment w:val="center"/>
              <w:rPr>
                <w:rFonts w:ascii="黑体" w:hAnsi="黑体" w:eastAsia="黑体" w:cs="宋体"/>
                <w:bCs/>
                <w:color w:val="000000" w:themeColor="text1"/>
                <w:kern w:val="0"/>
                <w:sz w:val="36"/>
                <w:szCs w:val="36"/>
                <w14:textFill>
                  <w14:solidFill>
                    <w14:schemeClr w14:val="tx1"/>
                  </w14:solidFill>
                </w14:textFill>
              </w:rPr>
            </w:pPr>
          </w:p>
          <w:p>
            <w:pPr>
              <w:pStyle w:val="24"/>
              <w:widowControl/>
              <w:ind w:left="4173" w:leftChars="1310" w:hanging="1422" w:hangingChars="395"/>
              <w:textAlignment w:val="center"/>
              <w:rPr>
                <w:rFonts w:ascii="黑体" w:hAnsi="黑体" w:eastAsia="黑体" w:cs="宋体"/>
                <w:bCs/>
                <w:color w:val="000000" w:themeColor="text1"/>
                <w:kern w:val="0"/>
                <w:sz w:val="36"/>
                <w:szCs w:val="36"/>
                <w14:textFill>
                  <w14:solidFill>
                    <w14:schemeClr w14:val="tx1"/>
                  </w14:solidFill>
                </w14:textFill>
              </w:rPr>
            </w:pPr>
          </w:p>
          <w:p>
            <w:pPr>
              <w:pStyle w:val="24"/>
              <w:widowControl/>
              <w:ind w:left="4173" w:leftChars="1310" w:hanging="1422" w:hangingChars="395"/>
              <w:textAlignment w:val="center"/>
              <w:rPr>
                <w:rFonts w:ascii="宋体" w:hAnsi="宋体" w:cs="宋体"/>
                <w:color w:val="000000" w:themeColor="text1"/>
                <w:sz w:val="36"/>
                <w:szCs w:val="36"/>
                <w14:textFill>
                  <w14:solidFill>
                    <w14:schemeClr w14:val="tx1"/>
                  </w14:solidFill>
                </w14:textFill>
              </w:rPr>
            </w:pPr>
            <w:r>
              <w:rPr>
                <w:rFonts w:hint="eastAsia" w:ascii="黑体" w:hAnsi="黑体" w:eastAsia="黑体" w:cs="宋体"/>
                <w:bCs/>
                <w:color w:val="000000" w:themeColor="text1"/>
                <w:kern w:val="0"/>
                <w:sz w:val="36"/>
                <w:szCs w:val="36"/>
                <w14:textFill>
                  <w14:solidFill>
                    <w14:schemeClr w14:val="tx1"/>
                  </w14:solidFill>
                </w14:textFill>
              </w:rPr>
              <w:t>项目支出绩效目标完成情况表</w:t>
            </w:r>
            <w:r>
              <w:rPr>
                <w:rFonts w:hint="eastAsia" w:ascii="宋体" w:hAnsi="宋体" w:cs="宋体"/>
                <w:b/>
                <w:bCs/>
                <w:color w:val="000000" w:themeColor="text1"/>
                <w:kern w:val="0"/>
                <w:sz w:val="36"/>
                <w:szCs w:val="36"/>
                <w14:textFill>
                  <w14:solidFill>
                    <w14:schemeClr w14:val="tx1"/>
                  </w14:solidFill>
                </w14:textFill>
              </w:rPr>
              <w:br w:type="textWrapping"/>
            </w:r>
            <w:r>
              <w:rPr>
                <w:rFonts w:hint="eastAsia" w:ascii="宋体" w:hAnsi="宋体" w:cs="宋体"/>
                <w:color w:val="000000" w:themeColor="text1"/>
                <w:kern w:val="0"/>
                <w:sz w:val="36"/>
                <w:szCs w:val="36"/>
                <w14:textFill>
                  <w14:solidFill>
                    <w14:schemeClr w14:val="tx1"/>
                  </w14:solidFill>
                </w14:textFill>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壤塘县2018年杜柯片区脱贫攻坚基础设施建设项目吾依乡壤古村壤古寨道路建设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920" w:firstLineChars="800"/>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壤塘县吾依乡人民政府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177.85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177.85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177.85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14:textFill>
                  <w14:solidFill>
                    <w14:schemeClr w14:val="tx1"/>
                  </w14:solidFill>
                </w14:textFill>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寨内路1.2公里，堡坎1500米、高2.5米、款1米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寨内路1.2公里，堡坎1500米、高2.5米、款1米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寨内路1.2公里，堡坎1500米、高2.5米、款1米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寨内路1.2公里，堡坎1500米、高2.5米、款1米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寨内路1.2公里，堡坎1500米、高2.5米、款1米</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解决制约上壤古村村村民出行难问题，其经济效益和社会效益都将十分显著。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解决制约上壤古村村村民出行难问题，其经济效益和社会效益都将十分显著。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解决制约上壤古村村村民出行难问题，其经济效益和社会效益都将十分显著。</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673" w:leftChars="1368" w:hanging="1800" w:hangingChars="500"/>
              <w:textAlignment w:val="center"/>
              <w:rPr>
                <w:rFonts w:ascii="黑体" w:hAnsi="黑体" w:eastAsia="黑体" w:cs="宋体"/>
                <w:bCs/>
                <w:color w:val="000000" w:themeColor="text1"/>
                <w:kern w:val="0"/>
                <w:sz w:val="36"/>
                <w:szCs w:val="36"/>
                <w14:textFill>
                  <w14:solidFill>
                    <w14:schemeClr w14:val="tx1"/>
                  </w14:solidFill>
                </w14:textFill>
              </w:rPr>
            </w:pPr>
          </w:p>
          <w:p>
            <w:pPr>
              <w:pStyle w:val="24"/>
              <w:widowControl/>
              <w:ind w:left="4673" w:leftChars="1368" w:hanging="1800" w:hangingChars="500"/>
              <w:textAlignment w:val="center"/>
              <w:rPr>
                <w:rFonts w:ascii="黑体" w:hAnsi="黑体" w:eastAsia="黑体" w:cs="宋体"/>
                <w:bCs/>
                <w:color w:val="000000" w:themeColor="text1"/>
                <w:kern w:val="0"/>
                <w:sz w:val="36"/>
                <w:szCs w:val="36"/>
                <w14:textFill>
                  <w14:solidFill>
                    <w14:schemeClr w14:val="tx1"/>
                  </w14:solidFill>
                </w14:textFill>
              </w:rPr>
            </w:pPr>
          </w:p>
          <w:p>
            <w:pPr>
              <w:pStyle w:val="24"/>
              <w:widowControl/>
              <w:ind w:left="4673" w:leftChars="1368" w:hanging="1800" w:hangingChars="500"/>
              <w:textAlignment w:val="center"/>
              <w:rPr>
                <w:rFonts w:ascii="黑体" w:hAnsi="黑体" w:eastAsia="黑体" w:cs="宋体"/>
                <w:bCs/>
                <w:color w:val="000000" w:themeColor="text1"/>
                <w:kern w:val="0"/>
                <w:sz w:val="36"/>
                <w:szCs w:val="36"/>
                <w14:textFill>
                  <w14:solidFill>
                    <w14:schemeClr w14:val="tx1"/>
                  </w14:solidFill>
                </w14:textFill>
              </w:rPr>
            </w:pPr>
          </w:p>
          <w:p>
            <w:pPr>
              <w:pStyle w:val="24"/>
              <w:widowControl/>
              <w:ind w:left="4673" w:leftChars="1368" w:hanging="1800" w:hangingChars="500"/>
              <w:textAlignment w:val="center"/>
              <w:rPr>
                <w:rFonts w:ascii="黑体" w:hAnsi="黑体" w:eastAsia="黑体" w:cs="宋体"/>
                <w:bCs/>
                <w:color w:val="000000" w:themeColor="text1"/>
                <w:kern w:val="0"/>
                <w:sz w:val="36"/>
                <w:szCs w:val="36"/>
                <w14:textFill>
                  <w14:solidFill>
                    <w14:schemeClr w14:val="tx1"/>
                  </w14:solidFill>
                </w14:textFill>
              </w:rPr>
            </w:pPr>
            <w:r>
              <w:rPr>
                <w:rFonts w:hint="eastAsia" w:ascii="黑体" w:hAnsi="黑体" w:eastAsia="黑体" w:cs="宋体"/>
                <w:bCs/>
                <w:color w:val="000000" w:themeColor="text1"/>
                <w:kern w:val="0"/>
                <w:sz w:val="36"/>
                <w:szCs w:val="36"/>
                <w14:textFill>
                  <w14:solidFill>
                    <w14:schemeClr w14:val="tx1"/>
                  </w14:solidFill>
                </w14:textFill>
              </w:rPr>
              <w:t>项目支出绩效目标完成情况表</w:t>
            </w:r>
          </w:p>
          <w:p>
            <w:pPr>
              <w:pStyle w:val="24"/>
              <w:widowControl/>
              <w:ind w:left="4670" w:leftChars="1881" w:hanging="720" w:hangingChars="200"/>
              <w:textAlignment w:val="center"/>
              <w:rPr>
                <w:rFonts w:ascii="宋体" w:hAnsi="宋体" w:cs="宋体"/>
                <w:color w:val="000000" w:themeColor="text1"/>
                <w:sz w:val="36"/>
                <w:szCs w:val="36"/>
                <w14:textFill>
                  <w14:solidFill>
                    <w14:schemeClr w14:val="tx1"/>
                  </w14:solidFill>
                </w14:textFill>
              </w:rPr>
            </w:pPr>
            <w:r>
              <w:rPr>
                <w:rFonts w:hint="eastAsia" w:ascii="宋体" w:hAnsi="宋体" w:cs="宋体"/>
                <w:color w:val="000000" w:themeColor="text1"/>
                <w:kern w:val="0"/>
                <w:sz w:val="36"/>
                <w:szCs w:val="36"/>
                <w14:textFill>
                  <w14:solidFill>
                    <w14:schemeClr w14:val="tx1"/>
                  </w14:solidFill>
                </w14:textFill>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壤塘县2018年吾依乡吾依村、卡龙村脱贫攻坚基础设施查漏补缺建设项目建设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680" w:firstLineChars="700"/>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壤塘县吾依乡人民政府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73.22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70.26</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70.26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70.26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14:textFill>
                  <w14:solidFill>
                    <w14:schemeClr w14:val="tx1"/>
                  </w14:solidFill>
                </w14:textFill>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入户路1.2公里，小桥1座，堡坎350米，蓄水池1座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入户路1.2公里，小桥1座，堡坎350米，蓄水池1座</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入户路1.2公里，小桥1座，堡坎350米，蓄水池1座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入户路1.2公里，小桥1座，堡坎350米，蓄水池1座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入户路1.2公里，小桥1座，堡坎350米，蓄水池1座</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促进农畜牧产业的发展，增强村基础配套设施保障能力，促进村经济快速发展。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促进农畜牧产业的发展，增强村基础配套设施保障能力，促进村经济快速发展。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促进农畜牧产业的发展，增强村基础配套设施保障能力，促进村经济快速发展。</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bl>
    <w:p>
      <w:pPr>
        <w:spacing w:line="580" w:lineRule="exact"/>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rPr>
          <w:rFonts w:ascii="仿宋_GB2312" w:hAnsi="仿宋_GB2312" w:eastAsia="仿宋_GB2312" w:cs="仿宋_GB2312"/>
          <w:sz w:val="32"/>
          <w:szCs w:val="32"/>
        </w:rPr>
      </w:pPr>
    </w:p>
    <w:p>
      <w:pPr>
        <w:spacing w:line="580" w:lineRule="exact"/>
        <w:rPr>
          <w:rFonts w:ascii="仿宋" w:hAnsi="仿宋" w:eastAsia="仿宋" w:cs="楷体_GB2312"/>
          <w:b/>
          <w:bCs/>
          <w:sz w:val="32"/>
          <w:szCs w:val="32"/>
        </w:rPr>
      </w:pPr>
    </w:p>
    <w:p>
      <w:pPr>
        <w:spacing w:line="580" w:lineRule="exact"/>
        <w:rPr>
          <w:rFonts w:ascii="仿宋_GB2312" w:hAnsi="仿宋_GB2312" w:eastAsia="仿宋_GB2312" w:cs="仿宋_GB2312"/>
          <w:sz w:val="32"/>
          <w:szCs w:val="32"/>
        </w:rPr>
      </w:pPr>
    </w:p>
    <w:p>
      <w:pPr>
        <w:numPr>
          <w:ilvl w:val="0"/>
          <w:numId w:val="4"/>
        </w:numPr>
        <w:spacing w:line="580" w:lineRule="exact"/>
        <w:ind w:firstLine="642"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800" w:firstLineChars="25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本部门按要求对2018年部门整体支出绩效评价情况开展自评，《吾依乡人民政府2018年部门整体支出绩效评价报告》见附件。</w:t>
      </w:r>
    </w:p>
    <w:p>
      <w:pPr>
        <w:pStyle w:val="24"/>
        <w:spacing w:line="580" w:lineRule="exact"/>
        <w:ind w:left="420" w:firstLine="640"/>
        <w:rPr>
          <w:rFonts w:ascii="方正小标宋简体" w:hAnsi="方正小标宋简体" w:eastAsia="方正小标宋简体" w:cs="方正小标宋简体"/>
          <w:sz w:val="44"/>
          <w:szCs w:val="44"/>
        </w:rPr>
      </w:pPr>
      <w:r>
        <w:rPr>
          <w:rFonts w:hint="eastAsia" w:ascii="仿宋_GB2312" w:hAnsi="仿宋_GB2312" w:eastAsia="仿宋_GB2312" w:cs="仿宋_GB2312"/>
          <w:color w:val="000000" w:themeColor="text1"/>
          <w:sz w:val="32"/>
          <w:szCs w:val="32"/>
          <w14:textFill>
            <w14:solidFill>
              <w14:schemeClr w14:val="tx1"/>
            </w14:solidFill>
          </w14:textFill>
        </w:rPr>
        <w:t>本部门自行组织对壤塘县吾依乡2018年杜柯片区脱贫攻坚基础设施建设项目（壤古村壤古寨道路建设）项目、壤塘县吾依乡2018年杜柯片区脱贫攻坚基础设施建设项目（修卡村修卡小组道路建设）项目等项目开展了绩效评价，《项目2018年绩效评价报告》见附件。</w:t>
      </w:r>
    </w:p>
    <w:p>
      <w:pPr>
        <w:spacing w:line="600"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2"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8年，吾依乡人民政府机关运行经费支出36.77万元，比</w:t>
      </w:r>
      <w:r>
        <w:rPr>
          <w:rFonts w:ascii="仿宋_GB2312" w:eastAsia="仿宋_GB2312"/>
          <w:color w:val="000000"/>
          <w:sz w:val="32"/>
          <w:szCs w:val="32"/>
        </w:rPr>
        <w:t>201</w:t>
      </w:r>
      <w:r>
        <w:rPr>
          <w:rFonts w:hint="eastAsia" w:ascii="仿宋_GB2312" w:eastAsia="仿宋_GB2312"/>
          <w:color w:val="000000"/>
          <w:sz w:val="32"/>
          <w:szCs w:val="32"/>
        </w:rPr>
        <w:t>7年增加2.03万元，增加5.8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主要原因是2018年日常公用经费支出增加。</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8年，壤塘县吾依乡人民政府无政府采购。</w:t>
      </w:r>
      <w:r>
        <w:rPr>
          <w:rFonts w:ascii="仿宋" w:hAnsi="仿宋" w:eastAsia="仿宋"/>
          <w:b/>
          <w:color w:val="000000"/>
          <w:sz w:val="32"/>
          <w:szCs w:val="32"/>
        </w:rPr>
        <w:t xml:space="preserve"> </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日，壤塘县吾依乡人民政府共有车辆2辆，其中：部级领导干部用车0辆、一般公务用车0辆、一般执法执勤用车0辆、特种专业技术用车0辆、其他用车2辆，</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sz w:val="32"/>
          <w:szCs w:val="32"/>
        </w:rPr>
        <w:t>其他用车主要是用于下村、上县，开展脱贫攻坚工作、保障民生、易地搬迁等；</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p>
    <w:p>
      <w:pPr>
        <w:spacing w:line="600" w:lineRule="atLeast"/>
        <w:ind w:firstLine="642"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2" w:firstLineChars="150"/>
        <w:jc w:val="center"/>
        <w:outlineLvl w:val="0"/>
        <w:rPr>
          <w:rStyle w:val="25"/>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9.一般公共服务：指反映政府提供一般公共服务的支出。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10.外交：指反映政府外交事务支出。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公共安全：指反映政府维护社会公共安全方面的支出。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12.教育 ：指反映政府教育事务支出。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科学技术：指反映科学技术方面的支出。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 ：指反映政府在文化、体育、文物、广播影视、新闻出版等方面的支出。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社会保障和就业：指反映政府在社会保障与就业方面的支出。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医疗卫生与计划生育：指反映医疗卫生与计划生育、中医等管理事务方面的支出。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节能环保：指反映政府节能环保支出。</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城乡社区：指反映政府城乡管理事务支出。</w:t>
      </w:r>
    </w:p>
    <w:p>
      <w:pPr>
        <w:numPr>
          <w:ilvl w:val="0"/>
          <w:numId w:val="7"/>
        </w:num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农林水：指反映政府农林水支出。</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交通运输：指反映交通运输和邮政业务相关的支出。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资源勘探信息等：指反映用于资源勘探、制造业、建筑业、工业信息等方面的支出。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商业服务业：指反映商业服务等方面的支出。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金融：指反映金融方面的支出。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国土海洋气象：指反映政府用于国土资源、海洋、测绘、地震、气象等公益服务事业方面的支出。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住房保障：指集中反映政府用于住房方面的支出。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粮油物资储备：指反映政府用于粮油物资储备方面的支出。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sz w:val="32"/>
          <w:szCs w:val="32"/>
        </w:rPr>
      </w:pPr>
    </w:p>
    <w:p>
      <w:pPr>
        <w:ind w:firstLine="880" w:firstLineChars="200"/>
        <w:rPr>
          <w:rFonts w:ascii="黑体" w:hAnsi="黑体" w:eastAsia="黑体"/>
          <w:color w:val="000000"/>
          <w:sz w:val="44"/>
          <w:szCs w:val="44"/>
        </w:rPr>
      </w:pPr>
      <w:bookmarkStart w:id="57" w:name="_Toc15396614"/>
      <w:bookmarkStart w:id="58"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四部分 附件</w:t>
      </w:r>
      <w:bookmarkEnd w:id="57"/>
    </w:p>
    <w:p>
      <w:pPr>
        <w:spacing w:line="600" w:lineRule="exact"/>
        <w:jc w:val="center"/>
        <w:outlineLvl w:val="0"/>
        <w:rPr>
          <w:rStyle w:val="25"/>
        </w:rPr>
      </w:pPr>
    </w:p>
    <w:p>
      <w:pPr>
        <w:pStyle w:val="3"/>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rPr>
        <w:t>壤塘县吾依乡人民政府2018年部门整体支出绩效评价报告</w:t>
      </w:r>
      <w:bookmarkEnd w:id="60"/>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党委、政府、人大、财政所。</w:t>
      </w:r>
    </w:p>
    <w:p>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吾依乡</w:t>
      </w:r>
      <w:r>
        <w:rPr>
          <w:rFonts w:ascii="仿宋_GB2312" w:hAnsi="宋体" w:eastAsia="仿宋_GB2312" w:cs="宋体"/>
          <w:kern w:val="0"/>
          <w:sz w:val="32"/>
          <w:szCs w:val="32"/>
        </w:rPr>
        <w:t>人民政府属一级预算单位，</w:t>
      </w:r>
      <w:r>
        <w:rPr>
          <w:rFonts w:hint="eastAsia" w:ascii="仿宋_GB2312" w:hAnsi="宋体" w:eastAsia="仿宋_GB2312" w:cs="宋体"/>
          <w:kern w:val="0"/>
          <w:sz w:val="32"/>
          <w:szCs w:val="32"/>
        </w:rPr>
        <w:t>乡镇</w:t>
      </w:r>
      <w:r>
        <w:rPr>
          <w:rFonts w:hint="eastAsia" w:ascii="仿宋_GB2312" w:eastAsia="仿宋_GB2312"/>
          <w:sz w:val="32"/>
          <w:szCs w:val="32"/>
        </w:rPr>
        <w:t>机关设党政办公室、综合发展办公室，综治维稳办公室（挂镇群众工作办公室的牌子）和乡镇工作办公室；乡人大和工、青、妇等群团的日常工作由各综合办事机构或配备的专兼职人员承担；保留财政所牌子。</w:t>
      </w:r>
    </w:p>
    <w:p>
      <w:pPr>
        <w:numPr>
          <w:ilvl w:val="0"/>
          <w:numId w:val="8"/>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机构职能。</w:t>
      </w:r>
    </w:p>
    <w:p>
      <w:pPr>
        <w:spacing w:line="560"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rPr>
        <w:t>1、主要职能执行本级人民代表大会的决议和上级国家行政机关的决定和命令，在辖区内发布决定和命令；</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2、按照国家宪法和法律，行使对本辖区内的行政及民政事务的管理,推进计划生育工作；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3、制定本乡的经济和社会发展规划，并组织实施；组织和领导行政经济体制改革，协调本行政区域村民委员会与各经济组织之间的关系；</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4、组织规划乡财政管理的各项收入，管理乡范围内的各项财政支出和行政筹集、分配和使用的资金；</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5、负责管理对外经济技术交流与合作，开展经济信息预测工作，推广科学技术成果；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6、对本乡各项社会建设进行宏观管理，抓好环境卫生整治工作；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7、加强基本农田水利建设和道路、桥梁等的建设，加强土地的统一管理、统筹规划，协助有关部门做好地质灾害的防治工作;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8、负责农村土地承包管理、农民负担监督管理、农村集体资产财务管理；</w:t>
      </w:r>
      <w:r>
        <w:rPr>
          <w:rFonts w:hint="eastAsia" w:eastAsia="仿宋_GB2312"/>
          <w:sz w:val="32"/>
          <w:szCs w:val="32"/>
        </w:rPr>
        <w:t>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9、组织和开展社会主义精神文明活动，正确调解和处理人民内部矛盾，认真调解民事纠纷；</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10、充分发挥行政职能，组织和开展本乡的文化、教育、卫生、民政和科技等工作；</w:t>
      </w:r>
      <w:r>
        <w:rPr>
          <w:rFonts w:hint="eastAsia" w:eastAsia="仿宋_GB2312"/>
          <w:sz w:val="32"/>
          <w:szCs w:val="32"/>
        </w:rPr>
        <w:t> </w:t>
      </w:r>
    </w:p>
    <w:p>
      <w:pPr>
        <w:spacing w:line="560" w:lineRule="exact"/>
        <w:rPr>
          <w:rFonts w:ascii="仿宋_GB2312" w:hAnsi="仿宋" w:eastAsia="仿宋_GB2312"/>
          <w:sz w:val="32"/>
          <w:szCs w:val="32"/>
        </w:rPr>
      </w:pPr>
      <w:r>
        <w:rPr>
          <w:rFonts w:hint="eastAsia" w:ascii="仿宋_GB2312" w:hAnsi="仿宋" w:eastAsia="仿宋_GB2312"/>
          <w:sz w:val="32"/>
          <w:szCs w:val="32"/>
        </w:rPr>
        <w:t>　　11、根据经济发展需要，建立经济、技术咨询服务机构，向经济组织和农牧民提供全面服务。</w:t>
      </w:r>
      <w:r>
        <w:rPr>
          <w:rFonts w:hint="eastAsia" w:eastAsia="仿宋_GB2312"/>
          <w:sz w:val="32"/>
          <w:szCs w:val="32"/>
        </w:rPr>
        <w:t> </w:t>
      </w:r>
    </w:p>
    <w:p>
      <w:pPr>
        <w:spacing w:line="560" w:lineRule="exact"/>
        <w:ind w:firstLine="645"/>
        <w:rPr>
          <w:rFonts w:ascii="仿宋" w:hAnsi="仿宋" w:eastAsia="仿宋" w:cs="仿宋_GB2312"/>
          <w:sz w:val="32"/>
          <w:szCs w:val="32"/>
        </w:rPr>
      </w:pPr>
      <w:r>
        <w:rPr>
          <w:rFonts w:hint="eastAsia" w:ascii="仿宋_GB2312" w:hAnsi="仿宋" w:eastAsia="仿宋_GB2312"/>
          <w:sz w:val="32"/>
          <w:szCs w:val="32"/>
        </w:rPr>
        <w:t>12、在乡党委的领导下做好民族宗教、寺庙的管理等工作。</w:t>
      </w:r>
      <w:r>
        <w:rPr>
          <w:rFonts w:hint="eastAsia" w:eastAsia="仿宋_GB2312"/>
          <w:sz w:val="32"/>
          <w:szCs w:val="32"/>
        </w:rPr>
        <w:t> </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pPr>
        <w:widowControl/>
        <w:spacing w:line="600" w:lineRule="exact"/>
        <w:ind w:left="210" w:leftChars="100" w:firstLine="640" w:firstLineChars="200"/>
        <w:jc w:val="left"/>
        <w:rPr>
          <w:rFonts w:ascii="仿宋" w:hAnsi="仿宋" w:eastAsia="仿宋" w:cs="仿宋_GB2312"/>
          <w:sz w:val="32"/>
          <w:szCs w:val="32"/>
        </w:rPr>
      </w:pPr>
      <w:r>
        <w:rPr>
          <w:rFonts w:hint="eastAsia" w:ascii="仿宋_GB2312" w:hAnsi="宋体" w:eastAsia="仿宋_GB2312" w:cs="宋体"/>
          <w:kern w:val="0"/>
          <w:sz w:val="32"/>
          <w:szCs w:val="32"/>
        </w:rPr>
        <w:t>总编制27名,其中:行政编制18人、事业编制8人、工勤1人。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  2018年我乡当年预算收入1817.50万元，上年结转218.29万元，合计2035.79万元。</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（二）部门财政资金支出情况。</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s="仿宋_GB2312"/>
          <w:sz w:val="32"/>
          <w:szCs w:val="32"/>
        </w:rPr>
        <w:t xml:space="preserve">  2018年我乡实际支出1599.30万元，</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支出635.58万元；</w:t>
      </w:r>
      <w:r>
        <w:rPr>
          <w:rFonts w:hint="eastAsia" w:ascii="仿宋" w:hAnsi="仿宋" w:eastAsia="仿宋"/>
          <w:b/>
          <w:color w:val="000000" w:themeColor="text1"/>
          <w:sz w:val="32"/>
          <w:szCs w:val="32"/>
          <w14:textFill>
            <w14:solidFill>
              <w14:schemeClr w14:val="tx1"/>
            </w14:solidFill>
          </w14:textFill>
        </w:rPr>
        <w:t>国防支出（类）</w:t>
      </w:r>
      <w:r>
        <w:rPr>
          <w:rFonts w:hint="eastAsia" w:ascii="仿宋" w:hAnsi="仿宋" w:eastAsia="仿宋"/>
          <w:color w:val="000000" w:themeColor="text1"/>
          <w:sz w:val="32"/>
          <w:szCs w:val="32"/>
          <w14:textFill>
            <w14:solidFill>
              <w14:schemeClr w14:val="tx1"/>
            </w14:solidFill>
          </w14:textFill>
        </w:rPr>
        <w:t>2万元；</w:t>
      </w:r>
      <w:r>
        <w:rPr>
          <w:rFonts w:hint="eastAsia" w:ascii="仿宋" w:hAnsi="仿宋" w:eastAsia="仿宋"/>
          <w:b/>
          <w:color w:val="000000" w:themeColor="text1"/>
          <w:sz w:val="32"/>
          <w:szCs w:val="32"/>
          <w14:textFill>
            <w14:solidFill>
              <w14:schemeClr w14:val="tx1"/>
            </w14:solidFill>
          </w14:textFill>
        </w:rPr>
        <w:t>公共安全（类）</w:t>
      </w:r>
      <w:r>
        <w:rPr>
          <w:rFonts w:hint="eastAsia" w:ascii="仿宋" w:hAnsi="仿宋" w:eastAsia="仿宋"/>
          <w:color w:val="000000" w:themeColor="text1"/>
          <w:sz w:val="32"/>
          <w:szCs w:val="32"/>
          <w14:textFill>
            <w14:solidFill>
              <w14:schemeClr w14:val="tx1"/>
            </w14:solidFill>
          </w14:textFill>
        </w:rPr>
        <w:t>支出1万元；</w:t>
      </w:r>
      <w:r>
        <w:rPr>
          <w:rFonts w:hint="eastAsia" w:ascii="仿宋" w:hAnsi="仿宋" w:eastAsia="仿宋"/>
          <w:b/>
          <w:color w:val="000000" w:themeColor="text1"/>
          <w:sz w:val="32"/>
          <w:szCs w:val="32"/>
          <w14:textFill>
            <w14:solidFill>
              <w14:schemeClr w14:val="tx1"/>
            </w14:solidFill>
          </w14:textFill>
        </w:rPr>
        <w:t>文化体育与传媒（类）支出</w:t>
      </w:r>
      <w:r>
        <w:rPr>
          <w:rFonts w:hint="eastAsia" w:ascii="仿宋" w:hAnsi="仿宋" w:eastAsia="仿宋"/>
          <w:color w:val="000000" w:themeColor="text1"/>
          <w:sz w:val="32"/>
          <w:szCs w:val="32"/>
          <w14:textFill>
            <w14:solidFill>
              <w14:schemeClr w14:val="tx1"/>
            </w14:solidFill>
          </w14:textFill>
        </w:rPr>
        <w:t>1.60万元；</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支出63.95万元；</w:t>
      </w:r>
      <w:r>
        <w:rPr>
          <w:rFonts w:hint="eastAsia" w:ascii="仿宋" w:hAnsi="仿宋" w:eastAsia="仿宋"/>
          <w:b/>
          <w:color w:val="000000" w:themeColor="text1"/>
          <w:sz w:val="32"/>
          <w:szCs w:val="32"/>
          <w14:textFill>
            <w14:solidFill>
              <w14:schemeClr w14:val="tx1"/>
            </w14:solidFill>
          </w14:textFill>
        </w:rPr>
        <w:t>医疗卫生与计划生育（类）</w:t>
      </w:r>
      <w:r>
        <w:rPr>
          <w:rFonts w:hint="eastAsia" w:ascii="仿宋" w:hAnsi="仿宋" w:eastAsia="仿宋"/>
          <w:color w:val="000000" w:themeColor="text1"/>
          <w:sz w:val="32"/>
          <w:szCs w:val="32"/>
          <w14:textFill>
            <w14:solidFill>
              <w14:schemeClr w14:val="tx1"/>
            </w14:solidFill>
          </w14:textFill>
        </w:rPr>
        <w:t>支出15.42万元；</w:t>
      </w:r>
      <w:r>
        <w:rPr>
          <w:rFonts w:hint="eastAsia" w:ascii="仿宋" w:hAnsi="仿宋" w:eastAsia="仿宋"/>
          <w:b/>
          <w:color w:val="000000" w:themeColor="text1"/>
          <w:sz w:val="32"/>
          <w:szCs w:val="32"/>
          <w14:textFill>
            <w14:solidFill>
              <w14:schemeClr w14:val="tx1"/>
            </w14:solidFill>
          </w14:textFill>
        </w:rPr>
        <w:t>农林水（类）</w:t>
      </w:r>
      <w:r>
        <w:rPr>
          <w:rFonts w:hint="eastAsia" w:ascii="仿宋" w:hAnsi="仿宋" w:eastAsia="仿宋"/>
          <w:color w:val="000000" w:themeColor="text1"/>
          <w:sz w:val="32"/>
          <w:szCs w:val="32"/>
          <w14:textFill>
            <w14:solidFill>
              <w14:schemeClr w14:val="tx1"/>
            </w14:solidFill>
          </w14:textFill>
        </w:rPr>
        <w:t>支出494.96万元；</w:t>
      </w:r>
      <w:r>
        <w:rPr>
          <w:rFonts w:hint="eastAsia" w:ascii="仿宋" w:hAnsi="仿宋" w:eastAsia="仿宋"/>
          <w:b/>
          <w:color w:val="000000" w:themeColor="text1"/>
          <w:sz w:val="32"/>
          <w:szCs w:val="32"/>
          <w14:textFill>
            <w14:solidFill>
              <w14:schemeClr w14:val="tx1"/>
            </w14:solidFill>
          </w14:textFill>
        </w:rPr>
        <w:t>住房保障（类）</w:t>
      </w:r>
      <w:r>
        <w:rPr>
          <w:rFonts w:hint="eastAsia" w:ascii="仿宋" w:hAnsi="仿宋" w:eastAsia="仿宋"/>
          <w:color w:val="000000" w:themeColor="text1"/>
          <w:sz w:val="32"/>
          <w:szCs w:val="32"/>
          <w14:textFill>
            <w14:solidFill>
              <w14:schemeClr w14:val="tx1"/>
            </w14:solidFill>
          </w14:textFill>
        </w:rPr>
        <w:t>支出36.75万元；年末结转结余435.98万元。</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包括部门绩效目标制定、目标完成、预算编制准确、支出控制、预算动态调整、执行进度、预算完成情况和违规记录等情况。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包括专项预算项目程序严密、规划合理、结果符合、分配科学、分配及时、专项预算绩效目标完成、实施绩效、违规记录等情况。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包括部门自评质量、绩效目标公开和自评公开、评价结果整改和应用结果反馈等情况。</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pStyle w:val="12"/>
        <w:widowControl/>
        <w:shd w:val="clear" w:color="auto" w:fill="FFFFFF"/>
        <w:wordWrap w:val="0"/>
        <w:spacing w:beforeAutospacing="0" w:afterAutospacing="0" w:line="360" w:lineRule="atLeast"/>
        <w:ind w:firstLine="640" w:firstLineChars="200"/>
        <w:rPr>
          <w:rFonts w:ascii="仿宋" w:hAnsi="仿宋" w:eastAsia="仿宋" w:cs="仿宋_GB2312"/>
          <w:sz w:val="32"/>
          <w:szCs w:val="32"/>
        </w:rPr>
      </w:pPr>
      <w:r>
        <w:rPr>
          <w:rFonts w:hint="eastAsia" w:ascii="仿宋" w:hAnsi="仿宋" w:eastAsia="仿宋" w:cs="仿宋"/>
          <w:color w:val="505050"/>
          <w:sz w:val="32"/>
          <w:szCs w:val="32"/>
          <w:shd w:val="clear" w:color="auto" w:fill="FFFFFF"/>
        </w:rPr>
        <w:t>按照县政府的工作任务要求，结合我乡2018年度工作开展实际，根据年初工作计划有序开展各项工作，进一步细化工作任务，按照工作计划和要求细致分工，是财政收支预算执行得到了良好的制度保障和实施效果。</w:t>
      </w:r>
    </w:p>
    <w:p>
      <w:pPr>
        <w:numPr>
          <w:ilvl w:val="0"/>
          <w:numId w:val="9"/>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存在问题。</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一是人员增加导致预算不合理。</w:t>
      </w:r>
    </w:p>
    <w:p>
      <w:pPr>
        <w:ind w:firstLine="640" w:firstLineChars="200"/>
        <w:rPr>
          <w:rFonts w:ascii="仿宋" w:hAnsi="仿宋" w:eastAsia="仿宋" w:cs="仿宋_GB2312"/>
          <w:sz w:val="32"/>
          <w:szCs w:val="32"/>
        </w:rPr>
      </w:pPr>
      <w:r>
        <w:rPr>
          <w:rFonts w:hint="eastAsia" w:ascii="仿宋_GB2312" w:eastAsia="仿宋_GB2312"/>
          <w:color w:val="000000"/>
          <w:sz w:val="32"/>
          <w:szCs w:val="32"/>
        </w:rPr>
        <w:t>二是内部控制不合理。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一是合理预算。</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二是加强内部控制管理。</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rPr>
          <w:rStyle w:val="25"/>
          <w:rFonts w:ascii="仿宋" w:hAnsi="仿宋" w:eastAsia="仿宋"/>
          <w:b w:val="0"/>
          <w:bCs w:val="0"/>
          <w:sz w:val="32"/>
          <w:szCs w:val="32"/>
        </w:rPr>
      </w:pPr>
      <w:bookmarkStart w:id="61" w:name="_Toc15396617"/>
      <w:r>
        <w:rPr>
          <w:rStyle w:val="25"/>
          <w:rFonts w:hint="eastAsia" w:ascii="仿宋" w:hAnsi="仿宋" w:eastAsia="仿宋"/>
          <w:b w:val="0"/>
          <w:bCs w:val="0"/>
          <w:sz w:val="32"/>
          <w:szCs w:val="32"/>
        </w:rPr>
        <w:t>附件2</w:t>
      </w:r>
      <w:bookmarkEnd w:id="61"/>
      <w:bookmarkStart w:id="62" w:name="_Toc15396618"/>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壤塘县2018年杜柯片区脱贫攻坚基础设施建设项目吾依乡章腊村道路建设支出绩效评价报告（一）</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w:t>
      </w:r>
      <w:r>
        <w:rPr>
          <w:rFonts w:hint="eastAsia" w:ascii="仿宋_GB2312" w:hAnsi="仿宋_GB2312" w:eastAsia="仿宋_GB2312" w:cs="仿宋_GB2312"/>
          <w:sz w:val="32"/>
          <w:szCs w:val="32"/>
        </w:rPr>
        <w:t>壤塘县2018年杜柯片区脱贫攻坚基础设施建设项目吾依乡章腊村道路建设</w:t>
      </w:r>
      <w:r>
        <w:rPr>
          <w:rFonts w:hint="eastAsia" w:ascii="仿宋_GB2312" w:eastAsia="仿宋_GB2312"/>
          <w:color w:val="000000"/>
          <w:kern w:val="0"/>
          <w:sz w:val="32"/>
          <w:szCs w:val="32"/>
        </w:rPr>
        <w:t>；项目内容：</w:t>
      </w:r>
      <w:r>
        <w:rPr>
          <w:rFonts w:hint="eastAsia" w:ascii="宋体" w:hAnsi="宋体" w:cs="宋体"/>
          <w:color w:val="000000" w:themeColor="text1"/>
          <w:sz w:val="24"/>
          <w14:textFill>
            <w14:solidFill>
              <w14:schemeClr w14:val="tx1"/>
            </w14:solidFill>
          </w14:textFill>
        </w:rPr>
        <w:t>2米宽寨内路1.2Km，挡墙0.5Km</w:t>
      </w:r>
      <w:r>
        <w:rPr>
          <w:rFonts w:hint="eastAsia" w:ascii="仿宋_GB2312" w:eastAsia="仿宋_GB2312"/>
          <w:color w:val="000000"/>
          <w:kern w:val="0"/>
          <w:sz w:val="32"/>
          <w:szCs w:val="32"/>
        </w:rPr>
        <w:t>。项目投资105万元。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3</w:t>
      </w:r>
      <w:r>
        <w:rPr>
          <w:rFonts w:hint="eastAsia" w:ascii="仿宋_GB2312" w:eastAsia="仿宋_GB2312"/>
          <w:color w:val="000000"/>
          <w:kern w:val="0"/>
          <w:sz w:val="32"/>
          <w:szCs w:val="32"/>
          <w:lang w:val="zh-CN"/>
        </w:rPr>
        <w:t>月开工、201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年9月竣工。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105万元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年9月全部竣工，完成总投资</w:t>
      </w:r>
      <w:r>
        <w:rPr>
          <w:rFonts w:hint="eastAsia" w:ascii="仿宋_GB2312" w:eastAsia="仿宋_GB2312"/>
          <w:color w:val="000000"/>
          <w:kern w:val="0"/>
          <w:sz w:val="32"/>
          <w:szCs w:val="32"/>
        </w:rPr>
        <w:t>55.61</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105</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年9月竣工，完成总投资</w:t>
      </w:r>
      <w:r>
        <w:rPr>
          <w:rFonts w:hint="eastAsia" w:ascii="仿宋_GB2312" w:eastAsia="仿宋_GB2312"/>
          <w:color w:val="000000"/>
          <w:kern w:val="0"/>
          <w:sz w:val="32"/>
          <w:szCs w:val="32"/>
        </w:rPr>
        <w:t>55.61</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年9月竣工验收合格。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hAnsi="仿宋_GB2312" w:eastAsia="仿宋_GB2312" w:cs="仿宋_GB2312"/>
          <w:sz w:val="32"/>
          <w:szCs w:val="32"/>
        </w:rPr>
        <w:t>壤塘县2018年杜柯片区脱贫攻坚基础设施建设项目吾依乡章腊村道路建设</w:t>
      </w:r>
      <w:r>
        <w:rPr>
          <w:rFonts w:hint="eastAsia" w:ascii="仿宋_GB2312" w:eastAsia="仿宋_GB2312"/>
          <w:color w:val="000000"/>
          <w:kern w:val="0"/>
          <w:sz w:val="32"/>
          <w:szCs w:val="32"/>
          <w:lang w:val="zh-CN"/>
        </w:rPr>
        <w:t>的实施，将彻底改善章腊村农牧民出行安全的问题，这将是一条脱贫奔康的幸福大道，进一步提高农牧民生产生活积极性。通过实施项目建设，可以带动脱贫攻坚任务村的基础设施的完善，为村民提供便利的公共服务和完善整村的基础配套建设。项目实施后，可解决贫困村</w:t>
      </w:r>
      <w:r>
        <w:rPr>
          <w:rFonts w:hint="eastAsia" w:ascii="仿宋_GB2312" w:eastAsia="仿宋_GB2312"/>
          <w:color w:val="000000"/>
          <w:kern w:val="0"/>
          <w:sz w:val="32"/>
          <w:szCs w:val="32"/>
        </w:rPr>
        <w:t>住户</w:t>
      </w:r>
      <w:r>
        <w:rPr>
          <w:rFonts w:hint="eastAsia" w:ascii="仿宋_GB2312" w:eastAsia="仿宋_GB2312"/>
          <w:color w:val="000000"/>
          <w:kern w:val="0"/>
          <w:sz w:val="32"/>
          <w:szCs w:val="32"/>
          <w:lang w:val="zh-CN"/>
        </w:rPr>
        <w:t>的出行难问题，改善群众生产生活条件，保障基本公共服务，促进农畜牧产业的发展，增强村基础配套设施保障能力，促进村经济快速发展，解决制约章腊村经济发展的主要因素，其经济效益和社会效益都将十分显著，是一项利村、利民、利社会的系统工程、民心工程、德政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ind w:firstLine="640" w:firstLineChars="200"/>
        <w:rPr>
          <w:rFonts w:ascii="仿宋_GB2312" w:eastAsia="仿宋_GB2312"/>
          <w:color w:val="000000"/>
          <w:kern w:val="0"/>
          <w:sz w:val="32"/>
          <w:szCs w:val="32"/>
          <w:lang w:val="zh-CN"/>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壤塘县2018年杜柯片区脱贫攻坚基础设施建设项目吾依乡修卡村修卡小组道路建设支出绩效评价报告（二）</w:t>
      </w:r>
    </w:p>
    <w:p>
      <w:pPr>
        <w:spacing w:line="580" w:lineRule="exact"/>
        <w:ind w:firstLine="640" w:firstLineChars="200"/>
        <w:rPr>
          <w:rFonts w:ascii="仿宋_GB2312" w:hAnsi="仿宋_GB2312" w:eastAsia="仿宋_GB2312" w:cs="仿宋_GB2312"/>
          <w:color w:val="C00000"/>
          <w:sz w:val="32"/>
          <w:szCs w:val="32"/>
        </w:rPr>
      </w:pP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项目名称：壤塘县2018年杜柯片区脱贫攻坚基础设施建设项目吾依乡修卡村修卡小组道路建设；项目内容：入户路2.5公里、寨内路1.8公里、堡坎320米。项目投资165万元。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3</w:t>
      </w:r>
      <w:r>
        <w:rPr>
          <w:rFonts w:hint="eastAsia" w:ascii="仿宋_GB2312" w:eastAsia="仿宋_GB2312"/>
          <w:color w:val="000000"/>
          <w:kern w:val="0"/>
          <w:sz w:val="32"/>
          <w:szCs w:val="32"/>
          <w:lang w:val="zh-CN"/>
        </w:rPr>
        <w:t>月开动、201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年8月竣工。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165万元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年8月全部竣工，完成总投资</w:t>
      </w:r>
      <w:r>
        <w:rPr>
          <w:rFonts w:hint="eastAsia" w:ascii="仿宋_GB2312" w:eastAsia="仿宋_GB2312"/>
          <w:color w:val="000000"/>
          <w:kern w:val="0"/>
          <w:sz w:val="32"/>
          <w:szCs w:val="32"/>
        </w:rPr>
        <w:t>100.64</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165</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年8月竣工，完成总投资</w:t>
      </w:r>
      <w:r>
        <w:rPr>
          <w:rFonts w:hint="eastAsia" w:ascii="仿宋_GB2312" w:eastAsia="仿宋_GB2312"/>
          <w:color w:val="000000"/>
          <w:kern w:val="0"/>
          <w:sz w:val="32"/>
          <w:szCs w:val="32"/>
        </w:rPr>
        <w:t>100.64</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年8月竣工验收合格。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壤塘县2018年杜柯片区脱贫攻坚基础设施建设项目吾依乡修卡村修卡小组道路建设</w:t>
      </w:r>
      <w:r>
        <w:rPr>
          <w:rFonts w:hint="eastAsia" w:ascii="仿宋_GB2312" w:eastAsia="仿宋_GB2312"/>
          <w:color w:val="000000"/>
          <w:kern w:val="0"/>
          <w:sz w:val="32"/>
          <w:szCs w:val="32"/>
          <w:lang w:val="zh-CN"/>
        </w:rPr>
        <w:t>的实施，将彻底改善修卡村农牧民出行安全的问题，这将是一条脱贫奔康的幸福大道，进一步提高农牧民生产生活积极性。通过实施项目建设，可以带动当地部分贫困户参与项目建设增加收入，更为村民提供便利的公共服务和完善整村的基础配套建设。项目实施后，可解决修卡村</w:t>
      </w:r>
      <w:r>
        <w:rPr>
          <w:rFonts w:hint="eastAsia" w:ascii="仿宋_GB2312" w:eastAsia="仿宋_GB2312"/>
          <w:color w:val="000000"/>
          <w:kern w:val="0"/>
          <w:sz w:val="32"/>
          <w:szCs w:val="32"/>
        </w:rPr>
        <w:t>村民</w:t>
      </w:r>
      <w:r>
        <w:rPr>
          <w:rFonts w:hint="eastAsia" w:ascii="仿宋_GB2312" w:eastAsia="仿宋_GB2312"/>
          <w:color w:val="000000"/>
          <w:kern w:val="0"/>
          <w:sz w:val="32"/>
          <w:szCs w:val="32"/>
          <w:lang w:val="zh-CN"/>
        </w:rPr>
        <w:t>的出行难问题，改善群众生产生活条件，保障基本公共服务，促进农畜牧产业的发展，增强村基础配套设施保障能力，促进村经济快速发展，解决制约修卡村经济发展的主要因素，其经济效益和社会效益都将十分显著，是一项利村、利民、利社会的系统工程、民心工程、德政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jc w:val="center"/>
        <w:rPr>
          <w:rFonts w:ascii="黑体" w:hAnsi="黑体" w:eastAsia="黑体" w:cs="方正小标宋简体"/>
          <w:color w:val="C00000"/>
          <w:sz w:val="44"/>
          <w:szCs w:val="44"/>
        </w:rPr>
      </w:pPr>
      <w:r>
        <w:rPr>
          <w:rFonts w:hint="eastAsia" w:ascii="黑体" w:hAnsi="黑体" w:eastAsia="黑体" w:cs="方正小标宋简体"/>
          <w:sz w:val="44"/>
          <w:szCs w:val="44"/>
        </w:rPr>
        <w:t>壤塘县2018年杜柯片区脱贫攻坚基础设施建设项目吾依乡壤古村壤古寨道路建设支出绩效评价报告（三）</w:t>
      </w:r>
    </w:p>
    <w:p>
      <w:pPr>
        <w:spacing w:line="580" w:lineRule="exact"/>
        <w:ind w:firstLine="640" w:firstLineChars="200"/>
        <w:rPr>
          <w:rFonts w:ascii="仿宋_GB2312" w:hAnsi="仿宋_GB2312" w:eastAsia="仿宋_GB2312" w:cs="仿宋_GB2312"/>
          <w:color w:val="C00000"/>
          <w:sz w:val="32"/>
          <w:szCs w:val="32"/>
        </w:rPr>
      </w:pP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项目名称：壤塘县2018年杜柯片区脱贫攻坚基础设施建设项目吾依乡壤古村壤古寨道路建设；项目内容：寨内路1.2公里，堡坎1500米、高2.5米、款1米。项目投资310万元。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3</w:t>
      </w:r>
      <w:r>
        <w:rPr>
          <w:rFonts w:hint="eastAsia" w:ascii="仿宋_GB2312" w:eastAsia="仿宋_GB2312"/>
          <w:color w:val="000000"/>
          <w:kern w:val="0"/>
          <w:sz w:val="32"/>
          <w:szCs w:val="32"/>
          <w:lang w:val="zh-CN"/>
        </w:rPr>
        <w:t>月开动、201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310万元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年10月全部竣工，完成总投资</w:t>
      </w:r>
      <w:r>
        <w:rPr>
          <w:rFonts w:hint="eastAsia" w:ascii="仿宋_GB2312" w:eastAsia="仿宋_GB2312"/>
          <w:color w:val="000000"/>
          <w:kern w:val="0"/>
          <w:sz w:val="32"/>
          <w:szCs w:val="32"/>
        </w:rPr>
        <w:t>177.85</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310</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年10月竣工，完成总投资</w:t>
      </w:r>
      <w:r>
        <w:rPr>
          <w:rFonts w:hint="eastAsia" w:ascii="仿宋_GB2312" w:eastAsia="仿宋_GB2312"/>
          <w:color w:val="000000"/>
          <w:kern w:val="0"/>
          <w:sz w:val="32"/>
          <w:szCs w:val="32"/>
        </w:rPr>
        <w:t>177.85</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壤塘县2018年杜柯片区脱贫攻坚基础设施建设项目吾依乡壤古村壤古寨道路建设</w:t>
      </w:r>
      <w:r>
        <w:rPr>
          <w:rFonts w:hint="eastAsia" w:ascii="仿宋_GB2312" w:eastAsia="仿宋_GB2312"/>
          <w:color w:val="000000"/>
          <w:kern w:val="0"/>
          <w:sz w:val="32"/>
          <w:szCs w:val="32"/>
          <w:lang w:val="zh-CN"/>
        </w:rPr>
        <w:t>的实施，将彻底改善上壤古村村农牧民出行安全的问题，这将是一条脱贫奔康的幸福大道，进一步提高农牧民生产生活积极性。通过实施项目建设，可以带动当地部分贫困户参与项目建设增加收入，更为村民提供便利的公共服务和完善整村的基础配套建设。项目实施后，可解决上壤古村村</w:t>
      </w:r>
      <w:r>
        <w:rPr>
          <w:rFonts w:hint="eastAsia" w:ascii="仿宋_GB2312" w:eastAsia="仿宋_GB2312"/>
          <w:color w:val="000000"/>
          <w:kern w:val="0"/>
          <w:sz w:val="32"/>
          <w:szCs w:val="32"/>
        </w:rPr>
        <w:t>村民</w:t>
      </w:r>
      <w:r>
        <w:rPr>
          <w:rFonts w:hint="eastAsia" w:ascii="仿宋_GB2312" w:eastAsia="仿宋_GB2312"/>
          <w:color w:val="000000"/>
          <w:kern w:val="0"/>
          <w:sz w:val="32"/>
          <w:szCs w:val="32"/>
          <w:lang w:val="zh-CN"/>
        </w:rPr>
        <w:t>的出行难问题，改善群众生产生活条件，保障基本公共服务，促进农畜牧产业的发展，增强村基础配套设施保障能力，促进村经济快速发展，解决制约上壤古村村经济发展的主要因素，其经济效益和社会效益都将十分显著，是一项利村、利民、利社会的系统工程、民心工程、德政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壤塘县2018年吾依乡吾依村、卡龙村脱贫攻坚基础设施查漏补缺建设项目建设支出绩效评价报告（四）</w:t>
      </w:r>
    </w:p>
    <w:p>
      <w:pPr>
        <w:spacing w:line="580" w:lineRule="exact"/>
        <w:ind w:firstLine="640" w:firstLineChars="200"/>
        <w:rPr>
          <w:rFonts w:ascii="仿宋_GB2312" w:hAnsi="仿宋_GB2312" w:eastAsia="仿宋_GB2312" w:cs="仿宋_GB2312"/>
          <w:color w:val="C00000"/>
          <w:sz w:val="32"/>
          <w:szCs w:val="32"/>
        </w:rPr>
      </w:pP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项目名称：壤塘县2018年吾依乡吾依村、卡龙村脱贫攻坚基础设施查漏补缺建设项目建设；项目内容：入户路1.2公里，小桥1座，堡坎350米，蓄水池1座</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7</w:t>
      </w:r>
      <w:r>
        <w:rPr>
          <w:rFonts w:hint="eastAsia" w:ascii="仿宋_GB2312" w:eastAsia="仿宋_GB2312"/>
          <w:color w:val="000000"/>
          <w:kern w:val="0"/>
          <w:sz w:val="32"/>
          <w:szCs w:val="32"/>
          <w:lang w:val="zh-CN"/>
        </w:rPr>
        <w:t>月开动、201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73.22万元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年11月全部竣工，完成总投资</w:t>
      </w:r>
      <w:r>
        <w:rPr>
          <w:rFonts w:hint="eastAsia" w:ascii="仿宋_GB2312" w:eastAsia="仿宋_GB2312"/>
          <w:color w:val="000000"/>
          <w:kern w:val="0"/>
          <w:sz w:val="32"/>
          <w:szCs w:val="32"/>
        </w:rPr>
        <w:t>136</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73.22</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年11月竣工，完成总投资</w:t>
      </w:r>
      <w:r>
        <w:rPr>
          <w:rFonts w:hint="eastAsia" w:ascii="仿宋_GB2312" w:eastAsia="仿宋_GB2312"/>
          <w:color w:val="000000"/>
          <w:kern w:val="0"/>
          <w:sz w:val="32"/>
          <w:szCs w:val="32"/>
        </w:rPr>
        <w:t>70.26</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壤塘县2018年吾依乡吾依村、卡龙村脱贫攻坚基础设施查漏补缺建设项目建设</w:t>
      </w:r>
      <w:r>
        <w:rPr>
          <w:rFonts w:hint="eastAsia" w:ascii="仿宋_GB2312" w:eastAsia="仿宋_GB2312"/>
          <w:color w:val="000000"/>
          <w:kern w:val="0"/>
          <w:sz w:val="32"/>
          <w:szCs w:val="32"/>
          <w:lang w:val="zh-CN"/>
        </w:rPr>
        <w:t>的实施，将彻底改善吾依村、卡龙村农牧民出行安全的问题，这将是一条脱贫奔康的幸福大道，进一步提高农牧民生产生活积极性。通过实施项目建设，可以带动当地部分贫困户参与项目建设增加收入，更为村民提供便利的公共服务和完善整村的基础配套建设。项目实施后，可解决章腊村</w:t>
      </w:r>
      <w:r>
        <w:rPr>
          <w:rFonts w:hint="eastAsia" w:ascii="仿宋_GB2312" w:eastAsia="仿宋_GB2312"/>
          <w:color w:val="000000"/>
          <w:kern w:val="0"/>
          <w:sz w:val="32"/>
          <w:szCs w:val="32"/>
        </w:rPr>
        <w:t>村民</w:t>
      </w:r>
      <w:r>
        <w:rPr>
          <w:rFonts w:hint="eastAsia" w:ascii="仿宋_GB2312" w:eastAsia="仿宋_GB2312"/>
          <w:color w:val="000000"/>
          <w:kern w:val="0"/>
          <w:sz w:val="32"/>
          <w:szCs w:val="32"/>
          <w:lang w:val="zh-CN"/>
        </w:rPr>
        <w:t>的出行难问题，改善群众生产生活条件，保障基本公共服务，促进农畜牧产业的发展，增强村基础配套设施保障能力，促进村经济快速发展，解决制约吾依村、卡龙村经济发展的主要因素，其经济效益和社会效益都将十分显著，是一项利村、利民、利社会的系统工程、民心工程、德政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rPr>
          <w:rFonts w:ascii="仿宋_GB2312" w:eastAsia="仿宋_GB2312"/>
          <w:color w:val="000000"/>
          <w:kern w:val="0"/>
          <w:sz w:val="32"/>
          <w:szCs w:val="32"/>
          <w:lang w:val="zh-CN"/>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8"/>
      <w:bookmarkEnd w:id="62"/>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3"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3"/>
    </w:p>
    <w:p>
      <w:pPr>
        <w:pStyle w:val="3"/>
        <w:rPr>
          <w:rFonts w:ascii="仿宋" w:hAnsi="仿宋" w:eastAsia="仿宋"/>
          <w:color w:val="000000"/>
        </w:rPr>
      </w:pPr>
      <w:bookmarkStart w:id="64" w:name="_Toc15396620"/>
      <w:r>
        <w:rPr>
          <w:rFonts w:hint="eastAsia" w:ascii="仿宋" w:hAnsi="仿宋" w:eastAsia="仿宋"/>
          <w:b w:val="0"/>
          <w:color w:val="000000"/>
        </w:rPr>
        <w:t>二、收</w:t>
      </w:r>
      <w:r>
        <w:rPr>
          <w:rStyle w:val="26"/>
          <w:rFonts w:hint="eastAsia" w:ascii="仿宋" w:hAnsi="仿宋" w:eastAsia="仿宋"/>
          <w:b w:val="0"/>
          <w:bCs w:val="0"/>
        </w:rPr>
        <w:t>入总表</w:t>
      </w:r>
      <w:bookmarkEnd w:id="64"/>
    </w:p>
    <w:p>
      <w:pPr>
        <w:pStyle w:val="3"/>
        <w:rPr>
          <w:rFonts w:ascii="仿宋" w:hAnsi="仿宋" w:eastAsia="仿宋"/>
          <w:color w:val="000000"/>
        </w:rPr>
      </w:pPr>
      <w:bookmarkStart w:id="65"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5"/>
    </w:p>
    <w:p>
      <w:pPr>
        <w:pStyle w:val="3"/>
        <w:rPr>
          <w:rFonts w:ascii="仿宋" w:hAnsi="仿宋" w:eastAsia="仿宋"/>
          <w:b w:val="0"/>
          <w:color w:val="000000"/>
        </w:rPr>
      </w:pPr>
      <w:bookmarkStart w:id="66"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6"/>
    </w:p>
    <w:p>
      <w:pPr>
        <w:pStyle w:val="3"/>
        <w:rPr>
          <w:rFonts w:ascii="仿宋" w:hAnsi="仿宋" w:eastAsia="仿宋"/>
          <w:color w:val="000000"/>
        </w:rPr>
      </w:pPr>
      <w:bookmarkStart w:id="67"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7"/>
    </w:p>
    <w:p>
      <w:pPr>
        <w:pStyle w:val="3"/>
        <w:rPr>
          <w:rFonts w:ascii="仿宋" w:hAnsi="仿宋" w:eastAsia="仿宋"/>
          <w:color w:val="000000"/>
        </w:rPr>
      </w:pPr>
      <w:bookmarkStart w:id="68"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8"/>
    </w:p>
    <w:p>
      <w:pPr>
        <w:pStyle w:val="3"/>
        <w:rPr>
          <w:rFonts w:ascii="仿宋" w:hAnsi="仿宋" w:eastAsia="仿宋"/>
          <w:color w:val="000000"/>
        </w:rPr>
      </w:pPr>
      <w:bookmarkStart w:id="69"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9"/>
    </w:p>
    <w:p>
      <w:pPr>
        <w:pStyle w:val="3"/>
        <w:rPr>
          <w:rFonts w:ascii="仿宋" w:hAnsi="仿宋" w:eastAsia="仿宋"/>
          <w:color w:val="000000"/>
        </w:rPr>
      </w:pPr>
      <w:bookmarkStart w:id="70"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70"/>
    </w:p>
    <w:p>
      <w:pPr>
        <w:pStyle w:val="3"/>
        <w:rPr>
          <w:rFonts w:ascii="仿宋" w:hAnsi="仿宋" w:eastAsia="仿宋"/>
          <w:color w:val="000000"/>
        </w:rPr>
      </w:pPr>
      <w:bookmarkStart w:id="71"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71"/>
    </w:p>
    <w:p>
      <w:pPr>
        <w:pStyle w:val="3"/>
        <w:rPr>
          <w:rFonts w:ascii="仿宋" w:hAnsi="仿宋" w:eastAsia="仿宋"/>
          <w:color w:val="000000"/>
        </w:rPr>
      </w:pPr>
      <w:bookmarkStart w:id="72"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2"/>
    </w:p>
    <w:p>
      <w:pPr>
        <w:pStyle w:val="3"/>
        <w:rPr>
          <w:rFonts w:ascii="仿宋" w:hAnsi="仿宋" w:eastAsia="仿宋"/>
          <w:color w:val="000000"/>
        </w:rPr>
      </w:pPr>
      <w:bookmarkStart w:id="73"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3"/>
    </w:p>
    <w:p>
      <w:pPr>
        <w:pStyle w:val="3"/>
        <w:rPr>
          <w:rFonts w:ascii="仿宋" w:hAnsi="仿宋" w:eastAsia="仿宋"/>
          <w:color w:val="000000"/>
        </w:rPr>
      </w:pPr>
      <w:bookmarkStart w:id="74"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4"/>
    </w:p>
    <w:p>
      <w:pPr>
        <w:pStyle w:val="3"/>
        <w:rPr>
          <w:rFonts w:ascii="仿宋" w:hAnsi="仿宋" w:eastAsia="仿宋"/>
          <w:color w:val="000000" w:themeColor="text1"/>
          <w14:textFill>
            <w14:solidFill>
              <w14:schemeClr w14:val="tx1"/>
            </w14:solidFill>
          </w14:textFill>
        </w:rPr>
      </w:pPr>
      <w:bookmarkStart w:id="75"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8"/>
          <w:jc w:val="center"/>
        </w:pPr>
        <w:r>
          <w:fldChar w:fldCharType="begin"/>
        </w:r>
        <w:r>
          <w:instrText xml:space="preserve">PAGE   \* MERGEFORMAT</w:instrText>
        </w:r>
        <w:r>
          <w:fldChar w:fldCharType="separate"/>
        </w:r>
        <w:r>
          <w:rPr>
            <w:lang w:val="zh-CN"/>
          </w:rPr>
          <w:t>4</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E05E8E"/>
    <w:multiLevelType w:val="singleLevel"/>
    <w:tmpl w:val="ABE05E8E"/>
    <w:lvl w:ilvl="0" w:tentative="0">
      <w:start w:val="2"/>
      <w:numFmt w:val="chineseCounting"/>
      <w:suff w:val="nothing"/>
      <w:lvlText w:val="（%1）"/>
      <w:lvlJc w:val="left"/>
      <w:rPr>
        <w:rFonts w:hint="eastAsia"/>
      </w:rPr>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1E9B184"/>
    <w:multiLevelType w:val="singleLevel"/>
    <w:tmpl w:val="11E9B184"/>
    <w:lvl w:ilvl="0" w:tentative="0">
      <w:start w:val="19"/>
      <w:numFmt w:val="decimal"/>
      <w:lvlText w:val="%1."/>
      <w:lvlJc w:val="left"/>
      <w:pPr>
        <w:tabs>
          <w:tab w:val="left" w:pos="312"/>
        </w:tabs>
      </w:p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8">
    <w:nsid w:val="43C214C4"/>
    <w:multiLevelType w:val="singleLevel"/>
    <w:tmpl w:val="43C214C4"/>
    <w:lvl w:ilvl="0" w:tentative="0">
      <w:start w:val="2"/>
      <w:numFmt w:val="chineseCounting"/>
      <w:suff w:val="nothing"/>
      <w:lvlText w:val="（%1）"/>
      <w:lvlJc w:val="left"/>
      <w:rPr>
        <w:rFonts w:hint="eastAsia"/>
      </w:rPr>
    </w:lvl>
  </w:abstractNum>
  <w:num w:numId="1">
    <w:abstractNumId w:val="6"/>
  </w:num>
  <w:num w:numId="2">
    <w:abstractNumId w:val="2"/>
  </w:num>
  <w:num w:numId="3">
    <w:abstractNumId w:val="7"/>
  </w:num>
  <w:num w:numId="4">
    <w:abstractNumId w:val="4"/>
  </w:num>
  <w:num w:numId="5">
    <w:abstractNumId w:val="1"/>
  </w:num>
  <w:num w:numId="6">
    <w:abstractNumId w:val="3"/>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1FEC"/>
    <w:rsid w:val="000033DF"/>
    <w:rsid w:val="000222C6"/>
    <w:rsid w:val="00023B25"/>
    <w:rsid w:val="0002549F"/>
    <w:rsid w:val="000428A8"/>
    <w:rsid w:val="00056F1C"/>
    <w:rsid w:val="0006487A"/>
    <w:rsid w:val="00065F8F"/>
    <w:rsid w:val="00066C41"/>
    <w:rsid w:val="000768F2"/>
    <w:rsid w:val="0009184B"/>
    <w:rsid w:val="0009593C"/>
    <w:rsid w:val="000B047F"/>
    <w:rsid w:val="000B5923"/>
    <w:rsid w:val="000B5A48"/>
    <w:rsid w:val="000B6FF3"/>
    <w:rsid w:val="000C3467"/>
    <w:rsid w:val="000C3CA6"/>
    <w:rsid w:val="000D1267"/>
    <w:rsid w:val="000D1D50"/>
    <w:rsid w:val="000D5782"/>
    <w:rsid w:val="000D5BE2"/>
    <w:rsid w:val="000E131D"/>
    <w:rsid w:val="000E6613"/>
    <w:rsid w:val="000E7119"/>
    <w:rsid w:val="000F4B58"/>
    <w:rsid w:val="0010525B"/>
    <w:rsid w:val="00114E9B"/>
    <w:rsid w:val="00121A99"/>
    <w:rsid w:val="001329C2"/>
    <w:rsid w:val="00146D6E"/>
    <w:rsid w:val="0014729F"/>
    <w:rsid w:val="00156E40"/>
    <w:rsid w:val="00157BAB"/>
    <w:rsid w:val="00161721"/>
    <w:rsid w:val="001654D1"/>
    <w:rsid w:val="0018106D"/>
    <w:rsid w:val="001877A7"/>
    <w:rsid w:val="00190F5A"/>
    <w:rsid w:val="00191536"/>
    <w:rsid w:val="00196687"/>
    <w:rsid w:val="001A3F37"/>
    <w:rsid w:val="001A6B1A"/>
    <w:rsid w:val="001B0639"/>
    <w:rsid w:val="001C0078"/>
    <w:rsid w:val="001C0962"/>
    <w:rsid w:val="001D7531"/>
    <w:rsid w:val="001E737D"/>
    <w:rsid w:val="001F0592"/>
    <w:rsid w:val="001F1E51"/>
    <w:rsid w:val="001F7506"/>
    <w:rsid w:val="002006CD"/>
    <w:rsid w:val="00202B36"/>
    <w:rsid w:val="00204B7A"/>
    <w:rsid w:val="00210104"/>
    <w:rsid w:val="0021101A"/>
    <w:rsid w:val="00220536"/>
    <w:rsid w:val="00235629"/>
    <w:rsid w:val="0024092A"/>
    <w:rsid w:val="00260C38"/>
    <w:rsid w:val="002616C0"/>
    <w:rsid w:val="002662AA"/>
    <w:rsid w:val="00280496"/>
    <w:rsid w:val="002852CB"/>
    <w:rsid w:val="00294184"/>
    <w:rsid w:val="00295495"/>
    <w:rsid w:val="00297D07"/>
    <w:rsid w:val="002B1559"/>
    <w:rsid w:val="002B2613"/>
    <w:rsid w:val="002F1818"/>
    <w:rsid w:val="002F567B"/>
    <w:rsid w:val="003216A9"/>
    <w:rsid w:val="00334C58"/>
    <w:rsid w:val="0035178E"/>
    <w:rsid w:val="0037013F"/>
    <w:rsid w:val="00380C92"/>
    <w:rsid w:val="003A484F"/>
    <w:rsid w:val="003B09C2"/>
    <w:rsid w:val="003B0BE0"/>
    <w:rsid w:val="003B0C1B"/>
    <w:rsid w:val="003B245C"/>
    <w:rsid w:val="003B688C"/>
    <w:rsid w:val="003C0291"/>
    <w:rsid w:val="003C39AE"/>
    <w:rsid w:val="003C7B60"/>
    <w:rsid w:val="003D1FB2"/>
    <w:rsid w:val="003D2B8D"/>
    <w:rsid w:val="003D66DA"/>
    <w:rsid w:val="003E1310"/>
    <w:rsid w:val="003E6F55"/>
    <w:rsid w:val="003F0305"/>
    <w:rsid w:val="003F7283"/>
    <w:rsid w:val="00406254"/>
    <w:rsid w:val="004075DE"/>
    <w:rsid w:val="004223DE"/>
    <w:rsid w:val="0042361E"/>
    <w:rsid w:val="00430984"/>
    <w:rsid w:val="00432D04"/>
    <w:rsid w:val="00434489"/>
    <w:rsid w:val="004352D8"/>
    <w:rsid w:val="00437085"/>
    <w:rsid w:val="004372C8"/>
    <w:rsid w:val="004400D7"/>
    <w:rsid w:val="00443880"/>
    <w:rsid w:val="004464F4"/>
    <w:rsid w:val="0044757C"/>
    <w:rsid w:val="0045025C"/>
    <w:rsid w:val="00471401"/>
    <w:rsid w:val="004716FE"/>
    <w:rsid w:val="00473F31"/>
    <w:rsid w:val="0048263A"/>
    <w:rsid w:val="00483FD1"/>
    <w:rsid w:val="00485115"/>
    <w:rsid w:val="00487E5D"/>
    <w:rsid w:val="0049123B"/>
    <w:rsid w:val="004A711F"/>
    <w:rsid w:val="004B199D"/>
    <w:rsid w:val="004B3D04"/>
    <w:rsid w:val="004B4690"/>
    <w:rsid w:val="004D0F02"/>
    <w:rsid w:val="004D6026"/>
    <w:rsid w:val="004E0A2D"/>
    <w:rsid w:val="004E206B"/>
    <w:rsid w:val="004E325A"/>
    <w:rsid w:val="004E6DF7"/>
    <w:rsid w:val="004E7DD4"/>
    <w:rsid w:val="004F0FBD"/>
    <w:rsid w:val="004F12FE"/>
    <w:rsid w:val="00505A47"/>
    <w:rsid w:val="00512FDA"/>
    <w:rsid w:val="00514A35"/>
    <w:rsid w:val="00516FF1"/>
    <w:rsid w:val="00520DA0"/>
    <w:rsid w:val="00554C7F"/>
    <w:rsid w:val="00561A33"/>
    <w:rsid w:val="005664BB"/>
    <w:rsid w:val="0057481D"/>
    <w:rsid w:val="0058486E"/>
    <w:rsid w:val="00587590"/>
    <w:rsid w:val="00591354"/>
    <w:rsid w:val="005A04A3"/>
    <w:rsid w:val="005B629C"/>
    <w:rsid w:val="005B6DFF"/>
    <w:rsid w:val="005D1C8B"/>
    <w:rsid w:val="005D5CED"/>
    <w:rsid w:val="005E2505"/>
    <w:rsid w:val="005F1A4C"/>
    <w:rsid w:val="00604AED"/>
    <w:rsid w:val="00605688"/>
    <w:rsid w:val="006070AF"/>
    <w:rsid w:val="00607E6C"/>
    <w:rsid w:val="006101B1"/>
    <w:rsid w:val="00614E44"/>
    <w:rsid w:val="0061599B"/>
    <w:rsid w:val="00617076"/>
    <w:rsid w:val="00622830"/>
    <w:rsid w:val="00630AEF"/>
    <w:rsid w:val="006325F8"/>
    <w:rsid w:val="00632E7D"/>
    <w:rsid w:val="00633EC1"/>
    <w:rsid w:val="00634C9A"/>
    <w:rsid w:val="00637F55"/>
    <w:rsid w:val="006440E4"/>
    <w:rsid w:val="006544C6"/>
    <w:rsid w:val="0066343B"/>
    <w:rsid w:val="00664777"/>
    <w:rsid w:val="006703F7"/>
    <w:rsid w:val="00672385"/>
    <w:rsid w:val="006748A4"/>
    <w:rsid w:val="00683E73"/>
    <w:rsid w:val="006A3141"/>
    <w:rsid w:val="006A5E34"/>
    <w:rsid w:val="006B1E93"/>
    <w:rsid w:val="006B2422"/>
    <w:rsid w:val="006B2B9A"/>
    <w:rsid w:val="006C1937"/>
    <w:rsid w:val="006C70E1"/>
    <w:rsid w:val="006F020C"/>
    <w:rsid w:val="007127B7"/>
    <w:rsid w:val="007311BE"/>
    <w:rsid w:val="007416B6"/>
    <w:rsid w:val="00746F48"/>
    <w:rsid w:val="0075404D"/>
    <w:rsid w:val="0076182A"/>
    <w:rsid w:val="00767B7E"/>
    <w:rsid w:val="007770C3"/>
    <w:rsid w:val="00784D24"/>
    <w:rsid w:val="00785FBA"/>
    <w:rsid w:val="00786E4A"/>
    <w:rsid w:val="007875EB"/>
    <w:rsid w:val="0079426B"/>
    <w:rsid w:val="007B3B58"/>
    <w:rsid w:val="007D312A"/>
    <w:rsid w:val="007D3F19"/>
    <w:rsid w:val="007E0982"/>
    <w:rsid w:val="007E23B0"/>
    <w:rsid w:val="007E433A"/>
    <w:rsid w:val="007E609E"/>
    <w:rsid w:val="007F1991"/>
    <w:rsid w:val="007F2C2F"/>
    <w:rsid w:val="007F55FC"/>
    <w:rsid w:val="007F5665"/>
    <w:rsid w:val="00800112"/>
    <w:rsid w:val="00804820"/>
    <w:rsid w:val="008102C4"/>
    <w:rsid w:val="00810A4B"/>
    <w:rsid w:val="0081549B"/>
    <w:rsid w:val="008253BB"/>
    <w:rsid w:val="00826F08"/>
    <w:rsid w:val="00830617"/>
    <w:rsid w:val="0083706E"/>
    <w:rsid w:val="008423A5"/>
    <w:rsid w:val="00850625"/>
    <w:rsid w:val="00853718"/>
    <w:rsid w:val="00855221"/>
    <w:rsid w:val="00860645"/>
    <w:rsid w:val="00864805"/>
    <w:rsid w:val="00871F71"/>
    <w:rsid w:val="00885AF4"/>
    <w:rsid w:val="008939CD"/>
    <w:rsid w:val="008A6AEE"/>
    <w:rsid w:val="008B768C"/>
    <w:rsid w:val="008C4DB1"/>
    <w:rsid w:val="008C4EAF"/>
    <w:rsid w:val="008C5176"/>
    <w:rsid w:val="008C7FD0"/>
    <w:rsid w:val="008D2A52"/>
    <w:rsid w:val="008E1DE7"/>
    <w:rsid w:val="008E707C"/>
    <w:rsid w:val="00900B08"/>
    <w:rsid w:val="00902155"/>
    <w:rsid w:val="00902FA3"/>
    <w:rsid w:val="00913898"/>
    <w:rsid w:val="00923564"/>
    <w:rsid w:val="0092392E"/>
    <w:rsid w:val="009315F9"/>
    <w:rsid w:val="00946945"/>
    <w:rsid w:val="00951248"/>
    <w:rsid w:val="0095152F"/>
    <w:rsid w:val="00954C49"/>
    <w:rsid w:val="00957A0B"/>
    <w:rsid w:val="0097099F"/>
    <w:rsid w:val="00971997"/>
    <w:rsid w:val="00971FFC"/>
    <w:rsid w:val="009825DB"/>
    <w:rsid w:val="0098660A"/>
    <w:rsid w:val="00987B15"/>
    <w:rsid w:val="009931C3"/>
    <w:rsid w:val="009A0D38"/>
    <w:rsid w:val="009B282F"/>
    <w:rsid w:val="009B2C43"/>
    <w:rsid w:val="009B4EAE"/>
    <w:rsid w:val="009B7573"/>
    <w:rsid w:val="009C22F4"/>
    <w:rsid w:val="009C2E98"/>
    <w:rsid w:val="009D3447"/>
    <w:rsid w:val="009D4711"/>
    <w:rsid w:val="009E058D"/>
    <w:rsid w:val="009F1185"/>
    <w:rsid w:val="009F18CD"/>
    <w:rsid w:val="009F2A13"/>
    <w:rsid w:val="00A04EB0"/>
    <w:rsid w:val="00A13CC1"/>
    <w:rsid w:val="00A16847"/>
    <w:rsid w:val="00A237D8"/>
    <w:rsid w:val="00A268C4"/>
    <w:rsid w:val="00A307CD"/>
    <w:rsid w:val="00A349D0"/>
    <w:rsid w:val="00A37C55"/>
    <w:rsid w:val="00A40A00"/>
    <w:rsid w:val="00A4142F"/>
    <w:rsid w:val="00A559B0"/>
    <w:rsid w:val="00A56DF2"/>
    <w:rsid w:val="00A64BE9"/>
    <w:rsid w:val="00A6768F"/>
    <w:rsid w:val="00A67AB5"/>
    <w:rsid w:val="00A70924"/>
    <w:rsid w:val="00A75AA0"/>
    <w:rsid w:val="00A91760"/>
    <w:rsid w:val="00A93B00"/>
    <w:rsid w:val="00A93C21"/>
    <w:rsid w:val="00AA3457"/>
    <w:rsid w:val="00AB1140"/>
    <w:rsid w:val="00AC08EE"/>
    <w:rsid w:val="00AC3C6A"/>
    <w:rsid w:val="00AD10E3"/>
    <w:rsid w:val="00AD5620"/>
    <w:rsid w:val="00AD7C1B"/>
    <w:rsid w:val="00AE16BA"/>
    <w:rsid w:val="00AE1EBE"/>
    <w:rsid w:val="00AE53A9"/>
    <w:rsid w:val="00B03C9D"/>
    <w:rsid w:val="00B060AE"/>
    <w:rsid w:val="00B10517"/>
    <w:rsid w:val="00B14E76"/>
    <w:rsid w:val="00B161B8"/>
    <w:rsid w:val="00B2048C"/>
    <w:rsid w:val="00B310B9"/>
    <w:rsid w:val="00B33E38"/>
    <w:rsid w:val="00B35F3F"/>
    <w:rsid w:val="00B36CBB"/>
    <w:rsid w:val="00B425E0"/>
    <w:rsid w:val="00B440AA"/>
    <w:rsid w:val="00B44B70"/>
    <w:rsid w:val="00B53C56"/>
    <w:rsid w:val="00B77EA6"/>
    <w:rsid w:val="00B81598"/>
    <w:rsid w:val="00B82D13"/>
    <w:rsid w:val="00B841F1"/>
    <w:rsid w:val="00B871FD"/>
    <w:rsid w:val="00B93A75"/>
    <w:rsid w:val="00B944D6"/>
    <w:rsid w:val="00BA26AD"/>
    <w:rsid w:val="00BB4DF0"/>
    <w:rsid w:val="00BC289F"/>
    <w:rsid w:val="00BC5361"/>
    <w:rsid w:val="00BC5460"/>
    <w:rsid w:val="00BC6B50"/>
    <w:rsid w:val="00BD0E25"/>
    <w:rsid w:val="00BD6043"/>
    <w:rsid w:val="00BF540D"/>
    <w:rsid w:val="00BF5BD6"/>
    <w:rsid w:val="00C03E31"/>
    <w:rsid w:val="00C227A0"/>
    <w:rsid w:val="00C27932"/>
    <w:rsid w:val="00C32E83"/>
    <w:rsid w:val="00C33E72"/>
    <w:rsid w:val="00C354B2"/>
    <w:rsid w:val="00C35554"/>
    <w:rsid w:val="00C42709"/>
    <w:rsid w:val="00C533CC"/>
    <w:rsid w:val="00C5751C"/>
    <w:rsid w:val="00C61BFC"/>
    <w:rsid w:val="00C62B85"/>
    <w:rsid w:val="00C65438"/>
    <w:rsid w:val="00C72FEC"/>
    <w:rsid w:val="00C91CBB"/>
    <w:rsid w:val="00CC09B6"/>
    <w:rsid w:val="00CC666F"/>
    <w:rsid w:val="00CD1E3F"/>
    <w:rsid w:val="00CE44F6"/>
    <w:rsid w:val="00CE49DA"/>
    <w:rsid w:val="00CE553C"/>
    <w:rsid w:val="00CE7B61"/>
    <w:rsid w:val="00D00095"/>
    <w:rsid w:val="00D12028"/>
    <w:rsid w:val="00D135DB"/>
    <w:rsid w:val="00D20620"/>
    <w:rsid w:val="00D26091"/>
    <w:rsid w:val="00D32134"/>
    <w:rsid w:val="00D34E7C"/>
    <w:rsid w:val="00D35489"/>
    <w:rsid w:val="00D51276"/>
    <w:rsid w:val="00D5358F"/>
    <w:rsid w:val="00D7035F"/>
    <w:rsid w:val="00D91C15"/>
    <w:rsid w:val="00DA65AC"/>
    <w:rsid w:val="00DB1913"/>
    <w:rsid w:val="00DC410D"/>
    <w:rsid w:val="00DC68CA"/>
    <w:rsid w:val="00DC7CBA"/>
    <w:rsid w:val="00DD1B6F"/>
    <w:rsid w:val="00DD73B7"/>
    <w:rsid w:val="00DE69E8"/>
    <w:rsid w:val="00DF28BC"/>
    <w:rsid w:val="00DF34B9"/>
    <w:rsid w:val="00E01053"/>
    <w:rsid w:val="00E07ACF"/>
    <w:rsid w:val="00E234B7"/>
    <w:rsid w:val="00E2414F"/>
    <w:rsid w:val="00E25473"/>
    <w:rsid w:val="00E331A1"/>
    <w:rsid w:val="00E33202"/>
    <w:rsid w:val="00E336A9"/>
    <w:rsid w:val="00E50624"/>
    <w:rsid w:val="00E568DF"/>
    <w:rsid w:val="00E64269"/>
    <w:rsid w:val="00E77154"/>
    <w:rsid w:val="00E82267"/>
    <w:rsid w:val="00E906AF"/>
    <w:rsid w:val="00EA010F"/>
    <w:rsid w:val="00EB3F24"/>
    <w:rsid w:val="00EB7F1F"/>
    <w:rsid w:val="00ED1B63"/>
    <w:rsid w:val="00ED3C1F"/>
    <w:rsid w:val="00ED4085"/>
    <w:rsid w:val="00ED420E"/>
    <w:rsid w:val="00EE0A2C"/>
    <w:rsid w:val="00EE2F57"/>
    <w:rsid w:val="00EF4C34"/>
    <w:rsid w:val="00EF77C6"/>
    <w:rsid w:val="00F05438"/>
    <w:rsid w:val="00F06864"/>
    <w:rsid w:val="00F116FF"/>
    <w:rsid w:val="00F1361C"/>
    <w:rsid w:val="00F14F51"/>
    <w:rsid w:val="00F160C7"/>
    <w:rsid w:val="00F172A3"/>
    <w:rsid w:val="00F36D8F"/>
    <w:rsid w:val="00F417B1"/>
    <w:rsid w:val="00F45AC2"/>
    <w:rsid w:val="00F5118C"/>
    <w:rsid w:val="00F602DF"/>
    <w:rsid w:val="00F61B31"/>
    <w:rsid w:val="00F77A3E"/>
    <w:rsid w:val="00F81FD9"/>
    <w:rsid w:val="00F841AA"/>
    <w:rsid w:val="00FA23E8"/>
    <w:rsid w:val="00FD3540"/>
    <w:rsid w:val="00FD3CC1"/>
    <w:rsid w:val="00FE0F23"/>
    <w:rsid w:val="00FE6508"/>
    <w:rsid w:val="00FF0935"/>
    <w:rsid w:val="00FF1E02"/>
    <w:rsid w:val="00FF30B4"/>
    <w:rsid w:val="10C055FF"/>
    <w:rsid w:val="16BB723D"/>
    <w:rsid w:val="240371BF"/>
    <w:rsid w:val="29FD04D3"/>
    <w:rsid w:val="319F7F4E"/>
    <w:rsid w:val="4CE9170D"/>
    <w:rsid w:val="667553E3"/>
    <w:rsid w:val="78736D8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Autospacing="1" w:afterAutospacing="1"/>
      <w:jc w:val="left"/>
    </w:pPr>
    <w:rPr>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overlay val="0"/>
    </c:title>
    <c:autoTitleDeleted val="0"/>
    <c:plotArea>
      <c:layout>
        <c:manualLayout>
          <c:layoutTarget val="inner"/>
          <c:xMode val="edge"/>
          <c:yMode val="edge"/>
          <c:x val="0.0611111111111111"/>
          <c:y val="0.346393851306221"/>
          <c:w val="0.938888888888889"/>
          <c:h val="0.557779847411547"/>
        </c:manualLayout>
      </c:layout>
      <c:barChart>
        <c:barDir val="col"/>
        <c:grouping val="clustered"/>
        <c:varyColors val="0"/>
        <c:ser>
          <c:idx val="0"/>
          <c:order val="0"/>
          <c:tx>
            <c:strRef>
              <c:f>Sheet1!$C$4:$C$5</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Sheet1!$B$6:$B$7</c:f>
              <c:numCache>
                <c:formatCode>General</c:formatCode>
                <c:ptCount val="2"/>
                <c:pt idx="0">
                  <c:v>2017</c:v>
                </c:pt>
                <c:pt idx="1">
                  <c:v>2018</c:v>
                </c:pt>
              </c:numCache>
            </c:numRef>
          </c:cat>
          <c:val>
            <c:numRef>
              <c:f>Sheet1!$C$6:$C$7</c:f>
              <c:numCache>
                <c:formatCode>General</c:formatCode>
                <c:ptCount val="2"/>
                <c:pt idx="0">
                  <c:v>895.37</c:v>
                </c:pt>
                <c:pt idx="1">
                  <c:v>1817.5</c:v>
                </c:pt>
              </c:numCache>
            </c:numRef>
          </c:val>
        </c:ser>
        <c:ser>
          <c:idx val="1"/>
          <c:order val="1"/>
          <c:tx>
            <c:strRef>
              <c:f>Sheet1!$D$4:$D$5</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Sheet1!$B$6:$B$7</c:f>
              <c:numCache>
                <c:formatCode>General</c:formatCode>
                <c:ptCount val="2"/>
                <c:pt idx="0">
                  <c:v>2017</c:v>
                </c:pt>
                <c:pt idx="1">
                  <c:v>2018</c:v>
                </c:pt>
              </c:numCache>
            </c:numRef>
          </c:cat>
          <c:val>
            <c:numRef>
              <c:f>Sheet1!$D$6:$D$7</c:f>
              <c:numCache>
                <c:formatCode>General</c:formatCode>
                <c:ptCount val="2"/>
                <c:pt idx="0">
                  <c:v>828.89</c:v>
                </c:pt>
                <c:pt idx="1">
                  <c:v>1599.3</c:v>
                </c:pt>
              </c:numCache>
            </c:numRef>
          </c:val>
        </c:ser>
        <c:dLbls>
          <c:showLegendKey val="0"/>
          <c:showVal val="1"/>
          <c:showCatName val="0"/>
          <c:showSerName val="0"/>
          <c:showPercent val="0"/>
          <c:showBubbleSize val="0"/>
        </c:dLbls>
        <c:gapWidth val="150"/>
        <c:overlap val="-25"/>
        <c:axId val="117068160"/>
        <c:axId val="117069696"/>
      </c:barChart>
      <c:catAx>
        <c:axId val="11706816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69696"/>
        <c:crosses val="autoZero"/>
        <c:auto val="1"/>
        <c:lblAlgn val="ctr"/>
        <c:lblOffset val="100"/>
        <c:noMultiLvlLbl val="0"/>
      </c:catAx>
      <c:valAx>
        <c:axId val="117069696"/>
        <c:scaling>
          <c:orientation val="minMax"/>
        </c:scaling>
        <c:delete val="1"/>
        <c:axPos val="l"/>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68160"/>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年收入图</a:t>
            </a:r>
            <a:endParaRPr lang="zh-CN" altLang="en-US"/>
          </a:p>
        </c:rich>
      </c:tx>
      <c:layout/>
      <c:overlay val="0"/>
    </c:title>
    <c:autoTitleDeleted val="0"/>
    <c:plotArea>
      <c:layout/>
      <c:pie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Sheet1!$B$5:$B$7</c:f>
              <c:strCache>
                <c:ptCount val="3"/>
                <c:pt idx="0">
                  <c:v>一般公共预算收入</c:v>
                </c:pt>
                <c:pt idx="1">
                  <c:v>政府性基金预算收入</c:v>
                </c:pt>
                <c:pt idx="2">
                  <c:v>其他收入</c:v>
                </c:pt>
              </c:strCache>
            </c:strRef>
          </c:cat>
          <c:val>
            <c:numRef>
              <c:f>Sheet1!$C$5:$C$7</c:f>
              <c:numCache>
                <c:formatCode>General</c:formatCode>
                <c:ptCount val="3"/>
                <c:pt idx="0">
                  <c:v>1316.28</c:v>
                </c:pt>
                <c:pt idx="1">
                  <c:v>501.22</c:v>
                </c:pt>
                <c:pt idx="2">
                  <c:v>0.51</c:v>
                </c:pt>
              </c:numCache>
            </c:numRef>
          </c:val>
        </c:ser>
        <c:dLbls>
          <c:showLegendKey val="0"/>
          <c:showVal val="0"/>
          <c:showCatName val="0"/>
          <c:showSerName val="0"/>
          <c:showPercent val="1"/>
          <c:showBubbleSize val="0"/>
          <c:showLeaderLines val="1"/>
        </c:dLbls>
        <c:firstSliceAng val="0"/>
      </c:pieChart>
    </c:plotArea>
    <c:legend>
      <c:legendPos val="t"/>
      <c:layout>
        <c:manualLayout>
          <c:xMode val="edge"/>
          <c:yMode val="edge"/>
          <c:x val="0.0784109798775153"/>
          <c:y val="0.32463768115942"/>
          <c:w val="0.809844706911636"/>
          <c:h val="0.1164760926623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年支出</a:t>
            </a:r>
            <a:endParaRPr lang="zh-CN" altLang="en-US"/>
          </a:p>
        </c:rich>
      </c:tx>
      <c:layout/>
      <c:overlay val="0"/>
    </c:title>
    <c:autoTitleDeleted val="0"/>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Sheet1!$B$5:$B$6</c:f>
              <c:strCache>
                <c:ptCount val="2"/>
                <c:pt idx="0">
                  <c:v>基本支出</c:v>
                </c:pt>
                <c:pt idx="1">
                  <c:v>项目支出</c:v>
                </c:pt>
              </c:strCache>
            </c:strRef>
          </c:cat>
          <c:val>
            <c:numRef>
              <c:f>Sheet1!$C$5:$C$6</c:f>
              <c:numCache>
                <c:formatCode>General</c:formatCode>
                <c:ptCount val="2"/>
                <c:pt idx="0">
                  <c:v>526.61</c:v>
                </c:pt>
                <c:pt idx="1">
                  <c:v>1072.69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年财政拨款收入与支出对比图</a:t>
            </a:r>
            <a:endParaRPr lang="zh-CN" altLang="en-US"/>
          </a:p>
        </c:rich>
      </c:tx>
      <c:layout/>
      <c:overlay val="0"/>
    </c:title>
    <c:autoTitleDeleted val="0"/>
    <c:plotArea>
      <c:layout/>
      <c:barChart>
        <c:barDir val="col"/>
        <c:grouping val="clustered"/>
        <c:varyColors val="0"/>
        <c:ser>
          <c:idx val="0"/>
          <c:order val="0"/>
          <c:tx>
            <c:strRef>
              <c:f>Sheet1!$B$6</c:f>
              <c:strCache>
                <c:ptCount val="1"/>
                <c:pt idx="0">
                  <c:v>2017</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Sheet1!$C$5:$D$5</c:f>
              <c:strCache>
                <c:ptCount val="2"/>
                <c:pt idx="0">
                  <c:v>收入</c:v>
                </c:pt>
                <c:pt idx="1">
                  <c:v>支出</c:v>
                </c:pt>
              </c:strCache>
            </c:strRef>
          </c:cat>
          <c:val>
            <c:numRef>
              <c:f>Sheet1!$C$6:$D$6</c:f>
              <c:numCache>
                <c:formatCode>General</c:formatCode>
                <c:ptCount val="2"/>
                <c:pt idx="0">
                  <c:v>828.9</c:v>
                </c:pt>
                <c:pt idx="1">
                  <c:v>895.57</c:v>
                </c:pt>
              </c:numCache>
            </c:numRef>
          </c:val>
        </c:ser>
        <c:ser>
          <c:idx val="1"/>
          <c:order val="1"/>
          <c:tx>
            <c:strRef>
              <c:f>Sheet1!$B$7</c:f>
              <c:strCache>
                <c:ptCount val="1"/>
                <c:pt idx="0">
                  <c:v>2018</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Sheet1!$C$5:$D$5</c:f>
              <c:strCache>
                <c:ptCount val="2"/>
                <c:pt idx="0">
                  <c:v>收入</c:v>
                </c:pt>
                <c:pt idx="1">
                  <c:v>支出</c:v>
                </c:pt>
              </c:strCache>
            </c:strRef>
          </c:cat>
          <c:val>
            <c:numRef>
              <c:f>Sheet1!$C$7:$D$7</c:f>
              <c:numCache>
                <c:formatCode>General</c:formatCode>
                <c:ptCount val="2"/>
                <c:pt idx="0">
                  <c:v>1816.99</c:v>
                </c:pt>
                <c:pt idx="1">
                  <c:v>1599.3</c:v>
                </c:pt>
              </c:numCache>
            </c:numRef>
          </c:val>
        </c:ser>
        <c:dLbls>
          <c:showLegendKey val="0"/>
          <c:showVal val="1"/>
          <c:showCatName val="0"/>
          <c:showSerName val="0"/>
          <c:showPercent val="0"/>
          <c:showBubbleSize val="0"/>
        </c:dLbls>
        <c:gapWidth val="150"/>
        <c:overlap val="-25"/>
        <c:axId val="117007872"/>
        <c:axId val="117009408"/>
      </c:barChart>
      <c:catAx>
        <c:axId val="11700787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09408"/>
        <c:crosses val="autoZero"/>
        <c:auto val="1"/>
        <c:lblAlgn val="ctr"/>
        <c:lblOffset val="100"/>
        <c:noMultiLvlLbl val="0"/>
      </c:catAx>
      <c:valAx>
        <c:axId val="117009408"/>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07872"/>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一般公共预算财政拨款支出</a:t>
            </a:r>
            <a:endParaRPr lang="zh-CN" altLang="en-US"/>
          </a:p>
        </c:rich>
      </c:tx>
      <c:layout/>
      <c:overlay val="0"/>
    </c:title>
    <c:autoTitleDeleted val="0"/>
    <c:plotArea>
      <c:layout/>
      <c:barChart>
        <c:barDir val="col"/>
        <c:grouping val="clustered"/>
        <c:varyColors val="0"/>
        <c:ser>
          <c:idx val="0"/>
          <c:order val="0"/>
          <c:tx>
            <c:strRef>
              <c:f>Sheet1!$B$6</c:f>
              <c:strCache>
                <c:ptCount val="1"/>
                <c:pt idx="0">
                  <c:v>2017</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Sheet1!$C$5:$D$5</c:f>
              <c:strCache>
                <c:ptCount val="1"/>
                <c:pt idx="0">
                  <c:v>一般公共预算财政拨款支出</c:v>
                </c:pt>
              </c:strCache>
            </c:strRef>
          </c:cat>
          <c:val>
            <c:numRef>
              <c:f>Sheet1!$C$6:$D$6</c:f>
              <c:numCache>
                <c:formatCode>General</c:formatCode>
                <c:ptCount val="2"/>
                <c:pt idx="0">
                  <c:v>819.29</c:v>
                </c:pt>
              </c:numCache>
            </c:numRef>
          </c:val>
        </c:ser>
        <c:ser>
          <c:idx val="1"/>
          <c:order val="1"/>
          <c:tx>
            <c:strRef>
              <c:f>Sheet1!$B$7</c:f>
              <c:strCache>
                <c:ptCount val="1"/>
                <c:pt idx="0">
                  <c:v>2018</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Sheet1!$C$5:$D$5</c:f>
              <c:strCache>
                <c:ptCount val="1"/>
                <c:pt idx="0">
                  <c:v>一般公共预算财政拨款支出</c:v>
                </c:pt>
              </c:strCache>
            </c:strRef>
          </c:cat>
          <c:val>
            <c:numRef>
              <c:f>Sheet1!$C$7:$D$7</c:f>
              <c:numCache>
                <c:formatCode>General</c:formatCode>
                <c:ptCount val="2"/>
                <c:pt idx="0">
                  <c:v>1250.55</c:v>
                </c:pt>
              </c:numCache>
            </c:numRef>
          </c:val>
        </c:ser>
        <c:dLbls>
          <c:showLegendKey val="0"/>
          <c:showVal val="1"/>
          <c:showCatName val="0"/>
          <c:showSerName val="0"/>
          <c:showPercent val="0"/>
          <c:showBubbleSize val="0"/>
        </c:dLbls>
        <c:gapWidth val="150"/>
        <c:overlap val="-25"/>
        <c:axId val="117245056"/>
        <c:axId val="117246592"/>
      </c:barChart>
      <c:catAx>
        <c:axId val="117245056"/>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246592"/>
        <c:crosses val="autoZero"/>
        <c:auto val="1"/>
        <c:lblAlgn val="ctr"/>
        <c:lblOffset val="100"/>
        <c:noMultiLvlLbl val="0"/>
      </c:catAx>
      <c:valAx>
        <c:axId val="117246592"/>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245056"/>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Sheet1!$B$6:$B$13</c:f>
              <c:strCache>
                <c:ptCount val="8"/>
                <c:pt idx="0">
                  <c:v>一般公共服务支出</c:v>
                </c:pt>
                <c:pt idx="1">
                  <c:v>国防支出</c:v>
                </c:pt>
                <c:pt idx="2">
                  <c:v>公共安全支出</c:v>
                </c:pt>
                <c:pt idx="3">
                  <c:v>文化体育与成传媒支出</c:v>
                </c:pt>
                <c:pt idx="4">
                  <c:v>社会保障和就业支出</c:v>
                </c:pt>
                <c:pt idx="5">
                  <c:v>医疗卫生与计划生育支出</c:v>
                </c:pt>
                <c:pt idx="6">
                  <c:v>农林水支出</c:v>
                </c:pt>
                <c:pt idx="7">
                  <c:v>住房保障支出</c:v>
                </c:pt>
              </c:strCache>
            </c:strRef>
          </c:cat>
          <c:val>
            <c:numRef>
              <c:f>Sheet1!$C$6:$C$13</c:f>
              <c:numCache>
                <c:formatCode>General</c:formatCode>
                <c:ptCount val="8"/>
                <c:pt idx="0">
                  <c:v>635.38</c:v>
                </c:pt>
                <c:pt idx="1">
                  <c:v>2</c:v>
                </c:pt>
                <c:pt idx="2">
                  <c:v>1</c:v>
                </c:pt>
                <c:pt idx="3">
                  <c:v>1.6</c:v>
                </c:pt>
                <c:pt idx="4">
                  <c:v>63.95</c:v>
                </c:pt>
                <c:pt idx="5">
                  <c:v>15.42</c:v>
                </c:pt>
                <c:pt idx="6">
                  <c:v>494.46</c:v>
                </c:pt>
                <c:pt idx="7">
                  <c:v>36.75</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“三公”经费财政拨款支出决算</a:t>
            </a:r>
            <a:endParaRPr lang="zh-CN" altLang="en-US"/>
          </a:p>
        </c:rich>
      </c:tx>
      <c:layout/>
      <c:overlay val="0"/>
    </c:title>
    <c:autoTitleDeleted val="0"/>
    <c:plotArea>
      <c:layout/>
      <c:pie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Sheet1!$B$5:$B$7</c:f>
              <c:strCache>
                <c:ptCount val="3"/>
                <c:pt idx="0">
                  <c:v>因公出国（境）费</c:v>
                </c:pt>
                <c:pt idx="1">
                  <c:v>公务用车购置及运行维护费</c:v>
                </c:pt>
                <c:pt idx="2">
                  <c:v>公务接待费支出</c:v>
                </c:pt>
              </c:strCache>
            </c:strRef>
          </c:cat>
          <c:val>
            <c:numRef>
              <c:f>Sheet1!$C$5:$C$7</c:f>
              <c:numCache>
                <c:formatCode>General</c:formatCode>
                <c:ptCount val="3"/>
                <c:pt idx="0">
                  <c:v>0</c:v>
                </c:pt>
                <c:pt idx="1">
                  <c:v>3.49</c:v>
                </c:pt>
                <c:pt idx="2">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tyleName="APA" xmlns:b="http://schemas.openxmlformats.org/officeDocument/2006/bibliography" SelectedStyle="\APA.XSL"/>

</file>

<file path=customXml/itemProps1.xml><?xml version="1.0" encoding="utf-8"?>
<ds:datastoreItem xmlns:ds="http://schemas.openxmlformats.org/officeDocument/2006/customXml" ds:itemID="{3DD4E0D2-432A-44E4-B1E9-0BE42CE6DB30}">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44</Pages>
  <Words>16515</Words>
  <Characters>4310</Characters>
  <Lines>35</Lines>
  <Paragraphs>41</Paragraphs>
  <TotalTime>435</TotalTime>
  <ScaleCrop>false</ScaleCrop>
  <LinksUpToDate>false</LinksUpToDate>
  <CharactersWithSpaces>20784</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2019-10-20T11:29:00Z</cp:lastPrinted>
  <dcterms:modified xsi:type="dcterms:W3CDTF">2026-08-19T19:03:36Z</dcterms:modified>
  <dc:title>四川省***</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3975E59B069A1D68888D856A8FC37858</vt:lpwstr>
  </property>
</Properties>
</file>