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r>
        <w:rPr>
          <w:rFonts w:hint="eastAsia" w:ascii="方正小标宋简体" w:hAnsi="宋体" w:eastAsia="方正小标宋简体"/>
          <w:color w:val="000000"/>
          <w:sz w:val="72"/>
          <w:szCs w:val="72"/>
        </w:rPr>
        <w:t xml:space="preserve"> </w:t>
      </w:r>
    </w:p>
    <w:p>
      <w:pPr>
        <w:jc w:val="center"/>
        <w:rPr>
          <w:rFonts w:ascii="黑体" w:hAnsi="黑体" w:eastAsia="黑体"/>
          <w:sz w:val="72"/>
          <w:szCs w:val="72"/>
        </w:rPr>
      </w:pPr>
      <w:bookmarkStart w:id="1" w:name="_Toc15377193"/>
      <w:bookmarkStart w:id="2" w:name="_Toc15378441"/>
      <w:bookmarkStart w:id="3" w:name="_Toc15396597"/>
      <w:bookmarkStart w:id="4" w:name="_Toc15377425"/>
      <w:bookmarkStart w:id="5" w:name="_Toc1539647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7426"/>
      <w:bookmarkStart w:id="9" w:name="_Toc15378442"/>
      <w:bookmarkStart w:id="10" w:name="_Toc15396598"/>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rPr>
        <w:t>茸木达乡</w:t>
      </w:r>
    </w:p>
    <w:p>
      <w:pPr>
        <w:jc w:val="center"/>
        <w:rPr>
          <w:rFonts w:ascii="方正小标宋简体" w:eastAsia="方正小标宋简体"/>
          <w:sz w:val="72"/>
          <w:szCs w:val="72"/>
        </w:rPr>
      </w:pPr>
      <w:r>
        <w:rPr>
          <w:rFonts w:hint="eastAsia" w:ascii="方正小标宋简体" w:eastAsia="方正小标宋简体"/>
          <w:sz w:val="72"/>
          <w:szCs w:val="72"/>
        </w:rPr>
        <w:t>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both"/>
        <w:rPr>
          <w:rFonts w:ascii="方正小标宋简体" w:hAnsi="宋体" w:eastAsia="方正小标宋简体"/>
          <w:sz w:val="36"/>
          <w:szCs w:val="36"/>
        </w:rPr>
      </w:pPr>
    </w:p>
    <w:p>
      <w:pPr>
        <w:widowControl/>
        <w:jc w:val="both"/>
        <w:rPr>
          <w:rFonts w:ascii="方正小标宋简体" w:hAnsi="宋体" w:eastAsia="方正小标宋简体"/>
          <w:sz w:val="36"/>
          <w:szCs w:val="36"/>
        </w:rPr>
      </w:pPr>
    </w:p>
    <w:p>
      <w:pPr>
        <w:widowControl/>
        <w:jc w:val="both"/>
        <w:rPr>
          <w:rFonts w:ascii="方正小标宋简体" w:hAnsi="宋体" w:eastAsia="方正小标宋简体"/>
          <w:sz w:val="36"/>
          <w:szCs w:val="36"/>
        </w:rPr>
      </w:pPr>
    </w:p>
    <w:p>
      <w:pPr>
        <w:widowControl/>
        <w:jc w:val="center"/>
        <w:rPr>
          <w:rFonts w:hint="eastAsia" w:ascii="方正小标宋简体" w:hAnsi="宋体" w:eastAsia="方正小标宋简体"/>
          <w:sz w:val="36"/>
          <w:szCs w:val="36"/>
          <w:lang w:val="en-US" w:eastAsia="zh-CN"/>
        </w:rPr>
      </w:pPr>
      <w:r>
        <w:rPr>
          <w:rFonts w:hint="eastAsia" w:ascii="方正小标宋简体" w:hAnsi="宋体" w:eastAsia="方正小标宋简体"/>
          <w:sz w:val="36"/>
          <w:szCs w:val="36"/>
          <w:lang w:eastAsia="zh-CN"/>
        </w:rPr>
        <w:t>时间：</w:t>
      </w:r>
      <w:r>
        <w:rPr>
          <w:rFonts w:hint="eastAsia" w:ascii="方正小标宋简体" w:hAnsi="宋体" w:eastAsia="方正小标宋简体"/>
          <w:sz w:val="36"/>
          <w:szCs w:val="36"/>
          <w:lang w:val="en-US" w:eastAsia="zh-CN"/>
        </w:rPr>
        <w:t>2022年10月19日</w:t>
      </w:r>
    </w:p>
    <w:p>
      <w:pPr>
        <w:pStyle w:val="2"/>
        <w:jc w:val="center"/>
        <w:rPr>
          <w:rFonts w:hint="eastAsia" w:ascii="方正小标宋简体" w:hAnsi="宋体" w:eastAsia="方正小标宋简体"/>
          <w:sz w:val="36"/>
          <w:szCs w:val="36"/>
          <w:lang w:val="en-US" w:eastAsia="zh-CN"/>
        </w:rPr>
      </w:pPr>
    </w:p>
    <w:p/>
    <w:p>
      <w:pPr>
        <w:pStyle w:val="16"/>
        <w:tabs>
          <w:tab w:val="right" w:leader="dot" w:pos="8296"/>
        </w:tabs>
        <w:rPr>
          <w:b w:val="0"/>
          <w:bCs w:val="0"/>
          <w:caps w:val="0"/>
        </w:rPr>
      </w:pPr>
      <w:bookmarkStart w:id="154" w:name="_GoBack"/>
      <w:bookmarkEnd w:id="154"/>
    </w:p>
    <w:p>
      <w:pPr>
        <w:pStyle w:val="16"/>
        <w:tabs>
          <w:tab w:val="right" w:leader="dot" w:pos="8296"/>
        </w:tabs>
        <w:rPr>
          <w:rFonts w:hAnsiTheme="minorHAnsi"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rPr>
        <w:t>5</w:t>
      </w:r>
    </w:p>
    <w:p>
      <w:pPr>
        <w:pStyle w:val="19"/>
        <w:tabs>
          <w:tab w:val="right" w:leader="dot" w:pos="8296"/>
        </w:tabs>
        <w:rPr>
          <w:rFonts w:hAnsiTheme="minorHAnsi"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5</w:t>
      </w:r>
    </w:p>
    <w:p>
      <w:pPr>
        <w:pStyle w:val="11"/>
        <w:tabs>
          <w:tab w:val="right" w:leader="dot" w:pos="8296"/>
        </w:tabs>
      </w:pPr>
      <w:r>
        <w:rPr>
          <w:rFonts w:ascii="仿宋" w:hAnsi="仿宋" w:eastAsia="仿宋"/>
          <w:bCs/>
          <w:color w:val="000000"/>
        </w:rPr>
        <w:t>（一）主要职能。</w:t>
      </w:r>
      <w:r>
        <w:tab/>
      </w:r>
      <w:r>
        <w:rPr>
          <w:rFonts w:hint="eastAsia"/>
        </w:rPr>
        <w:t>11</w:t>
      </w:r>
    </w:p>
    <w:p>
      <w:pPr>
        <w:pStyle w:val="11"/>
        <w:tabs>
          <w:tab w:val="right" w:leader="dot" w:pos="8296"/>
        </w:tabs>
        <w:rPr>
          <w:rFonts w:hAnsiTheme="minorHAnsi" w:cstheme="minorBidi"/>
          <w:i w:val="0"/>
          <w:iCs w:val="0"/>
          <w:sz w:val="21"/>
          <w:szCs w:val="22"/>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rPr>
          <w:rFonts w:hint="eastAsia"/>
        </w:rPr>
        <w:t>16</w:t>
      </w:r>
    </w:p>
    <w:p>
      <w:pPr>
        <w:pStyle w:val="19"/>
        <w:tabs>
          <w:tab w:val="right" w:leader="dot" w:pos="8296"/>
        </w:tabs>
        <w:rPr>
          <w:rFonts w:hAnsiTheme="minorHAnsi"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rPr>
        <w:t>16</w:t>
      </w:r>
    </w:p>
    <w:p>
      <w:pPr>
        <w:pStyle w:val="16"/>
        <w:tabs>
          <w:tab w:val="right" w:leader="dot" w:pos="8296"/>
        </w:tabs>
        <w:rPr>
          <w:b w:val="0"/>
          <w:bCs w:val="0"/>
          <w:i/>
          <w:iCs/>
          <w:caps w:val="0"/>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b w:val="0"/>
          <w:bCs w:val="0"/>
          <w:i/>
          <w:iCs/>
          <w:caps w:val="0"/>
        </w:rPr>
        <w:t>18</w:t>
      </w:r>
    </w:p>
    <w:p>
      <w:pPr>
        <w:pStyle w:val="19"/>
        <w:tabs>
          <w:tab w:val="left" w:pos="840"/>
          <w:tab w:val="right" w:leader="dot" w:pos="8296"/>
        </w:tabs>
        <w:rPr>
          <w:rFonts w:hAnsiTheme="minorHAnsi"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18</w:t>
      </w:r>
    </w:p>
    <w:p>
      <w:pPr>
        <w:pStyle w:val="19"/>
        <w:tabs>
          <w:tab w:val="left" w:pos="840"/>
          <w:tab w:val="right" w:leader="dot" w:pos="8296"/>
        </w:tabs>
        <w:rPr>
          <w:rFonts w:hAnsiTheme="minorHAnsi"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18</w:t>
      </w:r>
    </w:p>
    <w:p>
      <w:pPr>
        <w:pStyle w:val="19"/>
        <w:tabs>
          <w:tab w:val="left" w:pos="840"/>
          <w:tab w:val="right" w:leader="dot" w:pos="8296"/>
        </w:tabs>
        <w:rPr>
          <w:rFonts w:hAnsiTheme="minorHAnsi"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19</w:t>
      </w:r>
    </w:p>
    <w:p>
      <w:pPr>
        <w:pStyle w:val="19"/>
        <w:tabs>
          <w:tab w:val="right" w:leader="dot" w:pos="8296"/>
        </w:tabs>
        <w:rPr>
          <w:rFonts w:hAnsiTheme="minorHAnsi"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rPr>
        <w:t>19</w:t>
      </w:r>
    </w:p>
    <w:p>
      <w:pPr>
        <w:pStyle w:val="19"/>
        <w:tabs>
          <w:tab w:val="right" w:leader="dot" w:pos="8296"/>
        </w:tabs>
        <w:rPr>
          <w:rFonts w:hAnsiTheme="minorHAnsi"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rPr>
        <w:t>19</w:t>
      </w:r>
    </w:p>
    <w:p>
      <w:pPr>
        <w:pStyle w:val="11"/>
        <w:tabs>
          <w:tab w:val="right" w:leader="dot" w:pos="8296"/>
        </w:tabs>
      </w:pPr>
      <w:r>
        <w:rPr>
          <w:rFonts w:ascii="仿宋" w:hAnsi="仿宋" w:eastAsia="仿宋"/>
          <w:b/>
          <w:color w:val="000000"/>
        </w:rPr>
        <w:t>（一）一般公共预算财政拨款支出决算总体情况</w:t>
      </w:r>
      <w:r>
        <w:tab/>
      </w:r>
      <w:r>
        <w:rPr>
          <w:rFonts w:hint="eastAsia"/>
        </w:rPr>
        <w:t>20</w:t>
      </w:r>
    </w:p>
    <w:p>
      <w:pPr>
        <w:pStyle w:val="11"/>
        <w:tabs>
          <w:tab w:val="right" w:leader="dot" w:pos="8296"/>
        </w:tabs>
        <w:rPr>
          <w:rFonts w:hAnsiTheme="minorHAnsi" w:cstheme="minorBidi"/>
          <w:i w:val="0"/>
          <w:iCs w:val="0"/>
          <w:sz w:val="21"/>
          <w:szCs w:val="22"/>
        </w:rPr>
      </w:pPr>
      <w:r>
        <w:rPr>
          <w:rFonts w:ascii="仿宋" w:hAnsi="仿宋" w:eastAsia="仿宋"/>
          <w:b/>
          <w:color w:val="000000"/>
        </w:rPr>
        <w:t>（二）一般公共预算财政拨款支出决算结构情况</w:t>
      </w:r>
      <w:r>
        <w:tab/>
      </w:r>
      <w:r>
        <w:rPr>
          <w:rFonts w:hint="eastAsia"/>
        </w:rPr>
        <w:t>21</w:t>
      </w:r>
    </w:p>
    <w:p>
      <w:pPr>
        <w:pStyle w:val="11"/>
        <w:tabs>
          <w:tab w:val="right" w:leader="dot" w:pos="8296"/>
        </w:tabs>
        <w:rPr>
          <w:rFonts w:hAnsiTheme="minorHAnsi" w:cstheme="minorBidi"/>
          <w:i w:val="0"/>
          <w:iCs w:val="0"/>
          <w:sz w:val="21"/>
          <w:szCs w:val="22"/>
        </w:rPr>
      </w:pPr>
      <w:r>
        <w:rPr>
          <w:rFonts w:ascii="仿宋" w:hAnsi="仿宋" w:eastAsia="仿宋"/>
          <w:b/>
          <w:color w:val="000000"/>
        </w:rPr>
        <w:t>（三）一般公共预算财政拨款支出决算具体情况</w:t>
      </w:r>
      <w:r>
        <w:tab/>
      </w:r>
      <w:r>
        <w:rPr>
          <w:rFonts w:hint="eastAsia"/>
        </w:rPr>
        <w:t>22</w:t>
      </w:r>
    </w:p>
    <w:p>
      <w:pPr>
        <w:pStyle w:val="19"/>
        <w:tabs>
          <w:tab w:val="right" w:leader="dot" w:pos="8296"/>
        </w:tabs>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rPr>
        <w:t>22</w:t>
      </w:r>
    </w:p>
    <w:p>
      <w:pPr>
        <w:pStyle w:val="19"/>
        <w:tabs>
          <w:tab w:val="right" w:leader="dot" w:pos="8296"/>
        </w:tabs>
        <w:rPr>
          <w:rFonts w:hAnsiTheme="minorHAnsi"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rPr>
        <w:t>23</w:t>
      </w:r>
    </w:p>
    <w:p>
      <w:pPr>
        <w:pStyle w:val="11"/>
        <w:tabs>
          <w:tab w:val="right" w:leader="dot" w:pos="8296"/>
        </w:tabs>
      </w:pPr>
      <w:r>
        <w:rPr>
          <w:rFonts w:ascii="仿宋" w:hAnsi="仿宋" w:eastAsia="仿宋"/>
          <w:b/>
          <w:color w:val="000000"/>
        </w:rPr>
        <w:t>（一）“三公”经费财政拨款支出决算总体情况说明</w:t>
      </w:r>
      <w:r>
        <w:tab/>
      </w:r>
      <w:r>
        <w:rPr>
          <w:rFonts w:hint="eastAsia"/>
        </w:rPr>
        <w:t>23</w:t>
      </w:r>
    </w:p>
    <w:p>
      <w:pPr>
        <w:pStyle w:val="11"/>
        <w:tabs>
          <w:tab w:val="right" w:leader="dot" w:pos="8296"/>
        </w:tabs>
        <w:rPr>
          <w:rFonts w:hAnsiTheme="minorHAnsi" w:cstheme="minorBidi"/>
          <w:i w:val="0"/>
          <w:iCs w:val="0"/>
          <w:sz w:val="21"/>
          <w:szCs w:val="22"/>
        </w:rPr>
      </w:pPr>
      <w:r>
        <w:rPr>
          <w:rFonts w:ascii="仿宋" w:hAnsi="仿宋" w:eastAsia="仿宋"/>
          <w:b/>
          <w:color w:val="000000"/>
        </w:rPr>
        <w:t>（二）“三公”经费财政拨款支出决算具体情况说明</w:t>
      </w:r>
      <w:r>
        <w:tab/>
      </w:r>
      <w:r>
        <w:rPr>
          <w:rFonts w:hint="eastAsia"/>
        </w:rPr>
        <w:t>23</w:t>
      </w:r>
    </w:p>
    <w:p>
      <w:pPr>
        <w:pStyle w:val="19"/>
        <w:tabs>
          <w:tab w:val="right" w:leader="dot" w:pos="8296"/>
        </w:tabs>
      </w:pPr>
      <w:r>
        <w:rPr>
          <w:rFonts w:ascii="黑体" w:eastAsia="黑体"/>
          <w:color w:val="000000"/>
        </w:rPr>
        <w:t>八、</w:t>
      </w:r>
      <w:r>
        <w:rPr>
          <w:rFonts w:ascii="黑体" w:hAnsi="黑体" w:eastAsia="黑体"/>
          <w:bCs/>
        </w:rPr>
        <w:t>政府性基金预算支出决算情况说明</w:t>
      </w:r>
      <w:r>
        <w:tab/>
      </w:r>
      <w:r>
        <w:rPr>
          <w:rFonts w:hint="eastAsia"/>
        </w:rPr>
        <w:t>23</w:t>
      </w:r>
    </w:p>
    <w:p>
      <w:pPr>
        <w:pStyle w:val="19"/>
        <w:tabs>
          <w:tab w:val="right" w:leader="dot" w:pos="8296"/>
        </w:tabs>
        <w:rPr>
          <w:rFonts w:hAnsiTheme="minorHAnsi" w:cstheme="minorBidi"/>
          <w:smallCaps w:val="0"/>
          <w:sz w:val="21"/>
          <w:szCs w:val="22"/>
        </w:rPr>
      </w:pPr>
      <w:r>
        <w:rPr>
          <w:rFonts w:ascii="黑体" w:hAnsi="黑体" w:eastAsia="黑体"/>
          <w:bCs/>
        </w:rPr>
        <w:t>九、 国有资本经营预算支出决算情况说明</w:t>
      </w:r>
      <w:r>
        <w:tab/>
      </w:r>
      <w:r>
        <w:rPr>
          <w:rFonts w:hint="eastAsia"/>
        </w:rPr>
        <w:t>23</w:t>
      </w:r>
    </w:p>
    <w:p>
      <w:pPr>
        <w:pStyle w:val="19"/>
        <w:tabs>
          <w:tab w:val="right" w:leader="dot" w:pos="8296"/>
        </w:tabs>
        <w:rPr>
          <w:rFonts w:hAnsiTheme="minorHAnsi"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rPr>
        <w:t>24</w:t>
      </w:r>
    </w:p>
    <w:p>
      <w:pPr>
        <w:pStyle w:val="11"/>
        <w:tabs>
          <w:tab w:val="right" w:leader="dot" w:pos="8296"/>
        </w:tabs>
        <w:rPr>
          <w:rFonts w:hAnsiTheme="minorHAnsi" w:cstheme="minorBidi"/>
          <w:i w:val="0"/>
          <w:iCs w:val="0"/>
          <w:sz w:val="21"/>
          <w:szCs w:val="22"/>
        </w:rPr>
      </w:pPr>
      <w:r>
        <w:rPr>
          <w:rFonts w:ascii="仿宋" w:hAnsi="仿宋" w:eastAsia="仿宋"/>
          <w:b/>
          <w:color w:val="000000"/>
        </w:rPr>
        <w:t>（</w:t>
      </w:r>
      <w:r>
        <w:rPr>
          <w:rFonts w:hint="eastAsia" w:ascii="仿宋" w:hAnsi="仿宋" w:eastAsia="仿宋"/>
          <w:b/>
          <w:color w:val="000000"/>
        </w:rPr>
        <w:t>一</w:t>
      </w:r>
      <w:r>
        <w:rPr>
          <w:rFonts w:ascii="仿宋" w:hAnsi="仿宋" w:eastAsia="仿宋"/>
          <w:b/>
          <w:color w:val="000000"/>
        </w:rPr>
        <w:t>）政府采购支出情况</w:t>
      </w:r>
      <w:r>
        <w:tab/>
      </w:r>
      <w:r>
        <w:rPr>
          <w:rFonts w:hint="eastAsia"/>
        </w:rPr>
        <w:t>24</w:t>
      </w:r>
    </w:p>
    <w:p>
      <w:pPr>
        <w:pStyle w:val="11"/>
        <w:tabs>
          <w:tab w:val="right" w:leader="dot" w:pos="8296"/>
        </w:tabs>
      </w:pPr>
      <w:r>
        <w:rPr>
          <w:rFonts w:ascii="仿宋" w:hAnsi="仿宋" w:eastAsia="仿宋"/>
          <w:b/>
          <w:color w:val="000000"/>
        </w:rPr>
        <w:t>（</w:t>
      </w:r>
      <w:r>
        <w:rPr>
          <w:rFonts w:hint="eastAsia" w:ascii="仿宋" w:hAnsi="仿宋" w:eastAsia="仿宋"/>
          <w:b/>
          <w:color w:val="000000"/>
        </w:rPr>
        <w:t>二</w:t>
      </w:r>
      <w:r>
        <w:rPr>
          <w:rFonts w:ascii="仿宋" w:hAnsi="仿宋" w:eastAsia="仿宋"/>
          <w:b/>
          <w:color w:val="000000"/>
        </w:rPr>
        <w:t>）国有资产占有使用情况</w:t>
      </w:r>
      <w:r>
        <w:tab/>
      </w:r>
      <w:r>
        <w:rPr>
          <w:rFonts w:hint="eastAsia"/>
        </w:rPr>
        <w:t>25</w:t>
      </w:r>
    </w:p>
    <w:p>
      <w:pPr>
        <w:pStyle w:val="11"/>
        <w:tabs>
          <w:tab w:val="right" w:leader="dot" w:pos="8296"/>
        </w:tabs>
        <w:rPr>
          <w:rFonts w:hAnsiTheme="minorHAnsi" w:cstheme="minorBidi"/>
          <w:i w:val="0"/>
          <w:iCs w:val="0"/>
          <w:sz w:val="21"/>
          <w:szCs w:val="22"/>
        </w:rPr>
      </w:pPr>
      <w:r>
        <w:rPr>
          <w:rFonts w:ascii="仿宋" w:hAnsi="仿宋" w:eastAsia="仿宋"/>
          <w:b/>
          <w:color w:val="000000"/>
        </w:rPr>
        <w:t>（</w:t>
      </w:r>
      <w:r>
        <w:rPr>
          <w:rFonts w:hint="eastAsia" w:ascii="仿宋" w:hAnsi="仿宋" w:eastAsia="仿宋"/>
          <w:b/>
          <w:color w:val="000000"/>
        </w:rPr>
        <w:t>三</w:t>
      </w:r>
      <w:r>
        <w:rPr>
          <w:rFonts w:ascii="仿宋" w:hAnsi="仿宋" w:eastAsia="仿宋"/>
          <w:b/>
          <w:color w:val="000000"/>
        </w:rPr>
        <w:t>）预算绩效管理情况。</w:t>
      </w:r>
      <w:r>
        <w:tab/>
      </w:r>
      <w:r>
        <w:rPr>
          <w:rFonts w:hint="eastAsia"/>
        </w:rPr>
        <w:t>34</w:t>
      </w:r>
    </w:p>
    <w:p>
      <w:pPr>
        <w:pStyle w:val="16"/>
        <w:tabs>
          <w:tab w:val="right" w:leader="dot" w:pos="8296"/>
        </w:tabs>
        <w:rPr>
          <w:rFonts w:hAnsiTheme="minorHAnsi"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rPr>
        <w:t>35</w:t>
      </w:r>
    </w:p>
    <w:p>
      <w:pPr>
        <w:pStyle w:val="16"/>
        <w:tabs>
          <w:tab w:val="right" w:leader="dot" w:pos="8296"/>
        </w:tabs>
        <w:rPr>
          <w:rFonts w:hAnsiTheme="minorHAnsi"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rPr>
        <w:t>38</w:t>
      </w:r>
    </w:p>
    <w:p>
      <w:pPr>
        <w:pStyle w:val="16"/>
        <w:tabs>
          <w:tab w:val="right" w:leader="dot" w:pos="8296"/>
        </w:tabs>
        <w:rPr>
          <w:rFonts w:ascii="仿宋" w:hAnsi="仿宋" w:eastAsia="仿宋"/>
          <w:b w:val="0"/>
          <w:bCs w:val="0"/>
          <w:caps w:val="0"/>
          <w:smallCaps/>
        </w:rPr>
      </w:pPr>
      <w:r>
        <w:rPr>
          <w:rFonts w:hint="eastAsia" w:ascii="仿宋" w:hAnsi="仿宋" w:eastAsia="仿宋"/>
          <w:b w:val="0"/>
          <w:bCs w:val="0"/>
          <w:caps w:val="0"/>
          <w:smallCaps/>
        </w:rPr>
        <w:t>2021年茸木达脱贫攻坚产业建设项目绩效自评报告</w:t>
      </w:r>
      <w:r>
        <w:tab/>
      </w:r>
      <w:r>
        <w:rPr>
          <w:rFonts w:hint="eastAsia" w:ascii="仿宋" w:hAnsi="仿宋" w:eastAsia="仿宋"/>
          <w:b w:val="0"/>
          <w:bCs w:val="0"/>
          <w:caps w:val="0"/>
          <w:smallCaps/>
        </w:rPr>
        <w:t>38</w:t>
      </w:r>
    </w:p>
    <w:p>
      <w:pPr>
        <w:pStyle w:val="16"/>
        <w:tabs>
          <w:tab w:val="right" w:leader="dot" w:pos="8296"/>
        </w:tabs>
        <w:rPr>
          <w:rFonts w:ascii="仿宋" w:hAnsi="仿宋" w:eastAsia="仿宋"/>
          <w:b w:val="0"/>
          <w:bCs w:val="0"/>
          <w:caps w:val="0"/>
          <w:smallCaps/>
        </w:rPr>
      </w:pPr>
      <w:r>
        <w:rPr>
          <w:rFonts w:hint="eastAsia" w:ascii="仿宋" w:hAnsi="仿宋" w:eastAsia="仿宋"/>
          <w:b w:val="0"/>
          <w:bCs w:val="0"/>
          <w:caps w:val="0"/>
          <w:smallCaps/>
        </w:rPr>
        <w:t>壤塘县茸木达乡巴尔依村巴生小组脱贫攻坚入户路建设项目绩效自评报告</w:t>
      </w:r>
      <w:r>
        <w:tab/>
      </w:r>
      <w:r>
        <w:rPr>
          <w:rFonts w:hint="eastAsia" w:ascii="仿宋" w:hAnsi="仿宋" w:eastAsia="仿宋"/>
          <w:b w:val="0"/>
          <w:bCs w:val="0"/>
          <w:caps w:val="0"/>
          <w:smallCaps/>
        </w:rPr>
        <w:t>40</w:t>
      </w:r>
    </w:p>
    <w:p>
      <w:pPr>
        <w:pStyle w:val="16"/>
        <w:tabs>
          <w:tab w:val="right" w:leader="dot" w:pos="8296"/>
        </w:tabs>
        <w:rPr>
          <w:rFonts w:ascii="黑体" w:hAnsi="黑体"/>
          <w:kern w:val="44"/>
        </w:rPr>
      </w:pPr>
      <w:r>
        <w:rPr>
          <w:rFonts w:hint="eastAsia" w:ascii="仿宋" w:hAnsi="仿宋" w:eastAsia="仿宋"/>
          <w:b w:val="0"/>
          <w:bCs w:val="0"/>
          <w:caps w:val="0"/>
          <w:smallCaps/>
        </w:rPr>
        <w:t>壤塘县茸木达乡德萨村牙格车小组脱贫攻坚入户路建设项目绩效自评报告</w:t>
      </w:r>
      <w:r>
        <w:tab/>
      </w:r>
      <w:r>
        <w:rPr>
          <w:rFonts w:hint="eastAsia" w:ascii="仿宋" w:hAnsi="仿宋" w:eastAsia="仿宋"/>
          <w:b w:val="0"/>
          <w:bCs w:val="0"/>
          <w:caps w:val="0"/>
          <w:smallCaps/>
        </w:rPr>
        <w:t>43</w:t>
      </w:r>
    </w:p>
    <w:p>
      <w:pPr>
        <w:pStyle w:val="16"/>
        <w:tabs>
          <w:tab w:val="right" w:leader="dot" w:pos="8296"/>
        </w:tabs>
        <w:rPr>
          <w:rFonts w:ascii="仿宋" w:hAnsi="仿宋" w:eastAsia="仿宋"/>
          <w:b w:val="0"/>
          <w:bCs w:val="0"/>
          <w:caps w:val="0"/>
          <w:smallCaps/>
        </w:rPr>
      </w:pPr>
      <w:r>
        <w:rPr>
          <w:rFonts w:hint="eastAsia" w:ascii="仿宋" w:hAnsi="仿宋" w:eastAsia="仿宋"/>
          <w:b w:val="0"/>
          <w:bCs w:val="0"/>
          <w:caps w:val="0"/>
          <w:smallCaps/>
        </w:rPr>
        <w:t>壤塘县脱贫攻坚产业（黑青稞）建设项目绩效自评报告</w:t>
      </w:r>
      <w:r>
        <w:tab/>
      </w:r>
      <w:r>
        <w:rPr>
          <w:rFonts w:hint="eastAsia" w:ascii="仿宋" w:hAnsi="仿宋" w:eastAsia="仿宋"/>
          <w:b w:val="0"/>
          <w:bCs w:val="0"/>
          <w:caps w:val="0"/>
          <w:smallCaps/>
        </w:rPr>
        <w:t>45</w:t>
      </w:r>
    </w:p>
    <w:p>
      <w:pPr>
        <w:pStyle w:val="16"/>
        <w:tabs>
          <w:tab w:val="right" w:leader="dot" w:pos="8296"/>
        </w:tabs>
        <w:rPr>
          <w:rFonts w:ascii="仿宋" w:hAnsi="仿宋" w:eastAsia="仿宋"/>
          <w:b w:val="0"/>
          <w:bCs w:val="0"/>
          <w:caps w:val="0"/>
          <w:smallCaps/>
        </w:rPr>
      </w:pPr>
      <w:r>
        <w:rPr>
          <w:rFonts w:hint="eastAsia" w:ascii="仿宋" w:hAnsi="仿宋" w:eastAsia="仿宋"/>
          <w:b w:val="0"/>
          <w:bCs w:val="0"/>
          <w:caps w:val="0"/>
          <w:smallCaps/>
        </w:rPr>
        <w:t>茸木达乡旅游配套基础设施建设项目绩效自评报告</w:t>
      </w:r>
      <w:r>
        <w:tab/>
      </w:r>
      <w:r>
        <w:rPr>
          <w:rFonts w:hint="eastAsia" w:ascii="仿宋" w:hAnsi="仿宋" w:eastAsia="仿宋"/>
          <w:b w:val="0"/>
          <w:bCs w:val="0"/>
          <w:caps w:val="0"/>
          <w:smallCaps/>
        </w:rPr>
        <w:t>48</w:t>
      </w:r>
    </w:p>
    <w:p>
      <w:pPr>
        <w:pStyle w:val="16"/>
        <w:tabs>
          <w:tab w:val="right" w:leader="dot" w:pos="8296"/>
        </w:tabs>
        <w:rPr>
          <w:rFonts w:hAnsiTheme="minorHAnsi"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rPr>
          <w:rFonts w:hint="eastAsia"/>
        </w:rPr>
        <w:t>51</w:t>
      </w:r>
    </w:p>
    <w:p>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rPr>
        <w:t>50</w:t>
      </w:r>
    </w:p>
    <w:p>
      <w:pPr>
        <w:pStyle w:val="19"/>
        <w:tabs>
          <w:tab w:val="right" w:leader="dot" w:pos="8296"/>
        </w:tabs>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rPr>
        <w:t>50</w:t>
      </w:r>
    </w:p>
    <w:p>
      <w:pPr>
        <w:pStyle w:val="19"/>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rPr>
          <w:rFonts w:hint="eastAsia"/>
        </w:rPr>
        <w:t>50</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6"/>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4"/>
        <w:rPr>
          <w:rStyle w:val="27"/>
          <w:rFonts w:ascii="仿宋" w:hAnsi="仿宋" w:eastAsia="仿宋"/>
          <w:b w:val="0"/>
          <w:bCs w:val="0"/>
        </w:rPr>
      </w:pPr>
      <w:bookmarkStart w:id="16" w:name="_Toc79163602"/>
      <w:bookmarkStart w:id="17" w:name="_Toc15377197"/>
      <w:bookmarkStart w:id="18" w:name="_Toc15396600"/>
      <w:bookmarkStart w:id="19" w:name="_Toc7916385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7"/>
        <w:adjustRightInd w:val="0"/>
        <w:snapToGrid w:val="0"/>
        <w:spacing w:before="93" w:line="600" w:lineRule="exact"/>
        <w:ind w:firstLine="672" w:firstLineChars="210"/>
        <w:outlineLvl w:val="2"/>
        <w:rPr>
          <w:rFonts w:ascii="仿宋" w:hAnsi="仿宋" w:eastAsia="仿宋"/>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bookmarkEnd w:id="22"/>
      <w:bookmarkEnd w:id="23"/>
    </w:p>
    <w:p>
      <w:pPr>
        <w:widowControl/>
        <w:adjustRightInd w:val="0"/>
        <w:snapToGrid w:val="0"/>
        <w:spacing w:line="560" w:lineRule="exact"/>
        <w:contextualSpacing/>
        <w:jc w:val="left"/>
        <w:rPr>
          <w:rFonts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（一）机构组成</w:t>
      </w:r>
    </w:p>
    <w:p>
      <w:pPr>
        <w:widowControl/>
        <w:spacing w:line="600" w:lineRule="exact"/>
        <w:ind w:firstLine="753" w:firstLineChars="250"/>
        <w:jc w:val="left"/>
        <w:rPr>
          <w:rFonts w:ascii="仿宋_GB2312" w:eastAsia="仿宋_GB2312"/>
          <w:sz w:val="32"/>
          <w:szCs w:val="32"/>
        </w:rPr>
      </w:pPr>
      <w:r>
        <w:rPr>
          <w:rFonts w:hint="eastAsia" w:ascii="仿宋_GB2312" w:hAnsi="宋体"/>
          <w:b/>
          <w:bCs/>
          <w:sz w:val="30"/>
          <w:szCs w:val="30"/>
        </w:rPr>
        <w:t>（1）壤塘</w:t>
      </w:r>
      <w:r>
        <w:rPr>
          <w:rFonts w:ascii="仿宋_GB2312" w:hAnsi="宋体"/>
          <w:b/>
          <w:bCs/>
          <w:sz w:val="30"/>
          <w:szCs w:val="30"/>
        </w:rPr>
        <w:t>县</w:t>
      </w:r>
      <w:r>
        <w:rPr>
          <w:rFonts w:hint="eastAsia" w:ascii="仿宋_GB2312" w:hAnsi="宋体"/>
          <w:b/>
          <w:bCs/>
          <w:sz w:val="30"/>
          <w:szCs w:val="30"/>
        </w:rPr>
        <w:t>茸木达乡</w:t>
      </w:r>
      <w:r>
        <w:rPr>
          <w:rFonts w:ascii="仿宋_GB2312" w:hAnsi="宋体"/>
          <w:b/>
          <w:bCs/>
          <w:sz w:val="30"/>
          <w:szCs w:val="30"/>
        </w:rPr>
        <w:t>内设</w:t>
      </w:r>
      <w:r>
        <w:rPr>
          <w:rFonts w:hint="eastAsia" w:ascii="仿宋_GB2312" w:hAnsi="宋体"/>
          <w:b/>
          <w:bCs/>
          <w:sz w:val="30"/>
          <w:szCs w:val="30"/>
        </w:rPr>
        <w:t>6</w:t>
      </w:r>
      <w:r>
        <w:rPr>
          <w:rFonts w:ascii="仿宋_GB2312" w:hAnsi="宋体"/>
          <w:b/>
          <w:bCs/>
          <w:sz w:val="30"/>
          <w:szCs w:val="30"/>
        </w:rPr>
        <w:t>个</w:t>
      </w:r>
      <w:r>
        <w:rPr>
          <w:rFonts w:hint="eastAsia" w:ascii="仿宋_GB2312" w:hAnsi="宋体"/>
          <w:b/>
          <w:bCs/>
          <w:sz w:val="30"/>
          <w:szCs w:val="30"/>
        </w:rPr>
        <w:t>部门机构：</w:t>
      </w:r>
      <w:r>
        <w:rPr>
          <w:rFonts w:hint="eastAsia" w:ascii="仿宋_GB2312" w:eastAsia="仿宋_GB2312"/>
          <w:sz w:val="32"/>
          <w:szCs w:val="32"/>
        </w:rPr>
        <w:t>党委、政府、人大、财政所、兽防站、事业</w:t>
      </w:r>
    </w:p>
    <w:p>
      <w:pPr>
        <w:widowControl/>
        <w:adjustRightInd w:val="0"/>
        <w:snapToGrid w:val="0"/>
        <w:spacing w:line="560" w:lineRule="exact"/>
        <w:contextualSpacing/>
        <w:jc w:val="left"/>
        <w:rPr>
          <w:rFonts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（二）机构职能</w:t>
      </w:r>
    </w:p>
    <w:p>
      <w:pPr>
        <w:spacing w:line="540" w:lineRule="exact"/>
        <w:ind w:firstLine="645"/>
        <w:rPr>
          <w:rFonts w:ascii="仿宋_GB2312" w:eastAsia="仿宋_GB2312"/>
          <w:b/>
          <w:sz w:val="32"/>
          <w:szCs w:val="32"/>
        </w:rPr>
      </w:pPr>
      <w:r>
        <w:rPr>
          <w:rFonts w:hint="eastAsia" w:ascii="仿宋_GB2312" w:eastAsia="仿宋_GB2312"/>
          <w:b/>
          <w:sz w:val="32"/>
          <w:szCs w:val="32"/>
        </w:rPr>
        <w:t>1.乡党委主要职责</w:t>
      </w:r>
    </w:p>
    <w:p>
      <w:pPr>
        <w:spacing w:line="540" w:lineRule="exact"/>
        <w:ind w:firstLine="645"/>
        <w:rPr>
          <w:rFonts w:ascii="仿宋_GB2312" w:eastAsia="仿宋_GB2312"/>
          <w:sz w:val="32"/>
          <w:szCs w:val="32"/>
        </w:rPr>
      </w:pPr>
      <w:r>
        <w:rPr>
          <w:rFonts w:hint="eastAsia" w:ascii="仿宋_GB2312" w:eastAsia="仿宋_GB2312"/>
          <w:sz w:val="32"/>
          <w:szCs w:val="32"/>
        </w:rPr>
        <w:t>（1）认真贯彻执行党中央和上级组织的指示，积极宣传贯彻执行党的路线、方针、政策；</w:t>
      </w:r>
    </w:p>
    <w:p>
      <w:pPr>
        <w:spacing w:line="540" w:lineRule="exact"/>
        <w:ind w:firstLine="645"/>
        <w:rPr>
          <w:rFonts w:ascii="仿宋_GB2312" w:eastAsia="仿宋_GB2312"/>
          <w:sz w:val="32"/>
          <w:szCs w:val="32"/>
        </w:rPr>
      </w:pPr>
      <w:r>
        <w:rPr>
          <w:rFonts w:hint="eastAsia" w:ascii="仿宋_GB2312" w:eastAsia="仿宋_GB2312"/>
          <w:sz w:val="32"/>
          <w:szCs w:val="32"/>
        </w:rPr>
        <w:t>（2）建立必要的学习制度，抓好领导班子的学习，使党委领导成员深刻领会党的路线、方针、政策的精神实质；</w:t>
      </w:r>
    </w:p>
    <w:p>
      <w:pPr>
        <w:spacing w:line="540" w:lineRule="exact"/>
        <w:ind w:firstLine="645"/>
        <w:rPr>
          <w:rFonts w:ascii="仿宋_GB2312" w:eastAsia="仿宋_GB2312"/>
          <w:sz w:val="32"/>
          <w:szCs w:val="32"/>
        </w:rPr>
      </w:pPr>
      <w:r>
        <w:rPr>
          <w:rFonts w:hint="eastAsia" w:ascii="仿宋_GB2312" w:eastAsia="仿宋_GB2312"/>
          <w:sz w:val="32"/>
          <w:szCs w:val="32"/>
        </w:rPr>
        <w:t>（3）紧密联系本乡实际，认真倾听各方面的意见，周密地制定出贯彻执行党中央和上级党组织指示的实施方案和具体措施；</w:t>
      </w:r>
    </w:p>
    <w:p>
      <w:pPr>
        <w:spacing w:line="540" w:lineRule="exact"/>
        <w:ind w:firstLine="645"/>
        <w:rPr>
          <w:rFonts w:ascii="仿宋_GB2312" w:eastAsia="仿宋_GB2312"/>
          <w:sz w:val="32"/>
          <w:szCs w:val="32"/>
        </w:rPr>
      </w:pPr>
      <w:r>
        <w:rPr>
          <w:rFonts w:hint="eastAsia" w:ascii="仿宋_GB2312" w:eastAsia="仿宋_GB2312"/>
          <w:sz w:val="32"/>
          <w:szCs w:val="32"/>
        </w:rPr>
        <w:t>（4）做好督促、检查工作，使党的路线、方针、政策得到切实地贯彻执行；</w:t>
      </w:r>
    </w:p>
    <w:p>
      <w:pPr>
        <w:spacing w:line="540" w:lineRule="exact"/>
        <w:ind w:firstLine="645"/>
        <w:rPr>
          <w:rFonts w:ascii="仿宋_GB2312" w:eastAsia="仿宋_GB2312"/>
          <w:sz w:val="32"/>
          <w:szCs w:val="32"/>
        </w:rPr>
      </w:pPr>
      <w:r>
        <w:rPr>
          <w:rFonts w:hint="eastAsia" w:ascii="仿宋_GB2312" w:eastAsia="仿宋_GB2312"/>
          <w:sz w:val="32"/>
          <w:szCs w:val="32"/>
        </w:rPr>
        <w:t>（5）保证上级党委政府指示在本乡的实施，把握本乡经济发展和改革的全局；</w:t>
      </w:r>
    </w:p>
    <w:p>
      <w:pPr>
        <w:spacing w:line="540" w:lineRule="exact"/>
        <w:ind w:firstLine="645"/>
        <w:rPr>
          <w:rFonts w:ascii="仿宋_GB2312" w:eastAsia="仿宋_GB2312"/>
          <w:sz w:val="32"/>
          <w:szCs w:val="32"/>
        </w:rPr>
      </w:pPr>
      <w:r>
        <w:rPr>
          <w:rFonts w:hint="eastAsia" w:ascii="仿宋_GB2312" w:eastAsia="仿宋_GB2312"/>
          <w:sz w:val="32"/>
          <w:szCs w:val="32"/>
        </w:rPr>
        <w:t>（6）负责对本乡内的重大问题提出决策，保证各项社会发展和经济发展规划、措施符合党的路线、方针、政策及经济发展规律；</w:t>
      </w:r>
    </w:p>
    <w:p>
      <w:pPr>
        <w:spacing w:line="540" w:lineRule="exact"/>
        <w:ind w:firstLine="645"/>
        <w:rPr>
          <w:rFonts w:ascii="仿宋_GB2312" w:eastAsia="仿宋_GB2312"/>
          <w:sz w:val="32"/>
          <w:szCs w:val="32"/>
        </w:rPr>
      </w:pPr>
      <w:r>
        <w:rPr>
          <w:rFonts w:hint="eastAsia" w:ascii="仿宋_GB2312" w:eastAsia="仿宋_GB2312"/>
          <w:sz w:val="32"/>
          <w:szCs w:val="32"/>
        </w:rPr>
        <w:t>（7）按照干部“四化”方针，加强对干部的管理、教育、培养，向上级组织推荐德才兼备的优秀干部；</w:t>
      </w:r>
    </w:p>
    <w:p>
      <w:pPr>
        <w:spacing w:line="540" w:lineRule="exact"/>
        <w:ind w:firstLine="645"/>
        <w:rPr>
          <w:rFonts w:ascii="仿宋_GB2312" w:eastAsia="仿宋_GB2312"/>
          <w:sz w:val="32"/>
          <w:szCs w:val="32"/>
        </w:rPr>
      </w:pPr>
      <w:r>
        <w:rPr>
          <w:rFonts w:hint="eastAsia" w:ascii="仿宋_GB2312" w:eastAsia="仿宋_GB2312"/>
          <w:sz w:val="32"/>
          <w:szCs w:val="32"/>
        </w:rPr>
        <w:t>（8）充分发挥领导核心作用，积极主动地做好班子间的协调工作，使班子成员团结、协作、勤政为民；</w:t>
      </w:r>
    </w:p>
    <w:p>
      <w:pPr>
        <w:spacing w:line="540" w:lineRule="exact"/>
        <w:ind w:firstLine="645"/>
        <w:rPr>
          <w:rFonts w:ascii="仿宋_GB2312" w:eastAsia="仿宋_GB2312"/>
          <w:sz w:val="32"/>
          <w:szCs w:val="32"/>
        </w:rPr>
      </w:pPr>
      <w:r>
        <w:rPr>
          <w:rFonts w:hint="eastAsia" w:ascii="仿宋_GB2312" w:eastAsia="仿宋_GB2312"/>
          <w:sz w:val="32"/>
          <w:szCs w:val="32"/>
        </w:rPr>
        <w:t>（9）认真搞好发展党员、教育党员、管理党员的工作，切实加强居委会的领导、监督和检查工作，充分发挥其作用；</w:t>
      </w:r>
    </w:p>
    <w:p>
      <w:pPr>
        <w:spacing w:line="540" w:lineRule="exact"/>
        <w:ind w:firstLine="645"/>
        <w:rPr>
          <w:rFonts w:ascii="仿宋_GB2312" w:eastAsia="仿宋_GB2312"/>
          <w:sz w:val="32"/>
          <w:szCs w:val="32"/>
        </w:rPr>
      </w:pPr>
      <w:r>
        <w:rPr>
          <w:rFonts w:hint="eastAsia" w:ascii="仿宋_GB2312" w:eastAsia="仿宋_GB2312"/>
          <w:sz w:val="32"/>
          <w:szCs w:val="32"/>
        </w:rPr>
        <w:t>（10）加强乡党委领导班子建设，要重点抓好思想建设、组织建设、作风建设、制度建设和廉政建设；</w:t>
      </w:r>
    </w:p>
    <w:p>
      <w:pPr>
        <w:spacing w:line="540" w:lineRule="exact"/>
        <w:ind w:firstLine="645"/>
        <w:rPr>
          <w:rFonts w:ascii="仿宋_GB2312" w:eastAsia="仿宋_GB2312"/>
          <w:sz w:val="32"/>
          <w:szCs w:val="32"/>
        </w:rPr>
      </w:pPr>
      <w:r>
        <w:rPr>
          <w:rFonts w:hint="eastAsia" w:ascii="仿宋_GB2312" w:eastAsia="仿宋_GB2312"/>
          <w:sz w:val="32"/>
          <w:szCs w:val="32"/>
        </w:rPr>
        <w:t>（11）运用行政和法律手段，有效维护社会治安；</w:t>
      </w:r>
    </w:p>
    <w:p>
      <w:pPr>
        <w:spacing w:line="540" w:lineRule="exact"/>
        <w:ind w:firstLine="645"/>
        <w:rPr>
          <w:rFonts w:ascii="仿宋_GB2312" w:eastAsia="仿宋_GB2312"/>
          <w:sz w:val="32"/>
          <w:szCs w:val="32"/>
        </w:rPr>
      </w:pPr>
      <w:r>
        <w:rPr>
          <w:rFonts w:hint="eastAsia" w:ascii="仿宋_GB2312" w:eastAsia="仿宋_GB2312"/>
          <w:sz w:val="32"/>
          <w:szCs w:val="32"/>
        </w:rPr>
        <w:t>（12)领导乡人大、武装部、政法及群团组织工作。</w:t>
      </w:r>
    </w:p>
    <w:p>
      <w:pPr>
        <w:spacing w:line="540" w:lineRule="exact"/>
        <w:ind w:firstLine="645"/>
        <w:rPr>
          <w:rFonts w:ascii="仿宋_GB2312" w:eastAsia="仿宋_GB2312"/>
          <w:b/>
          <w:sz w:val="32"/>
          <w:szCs w:val="32"/>
        </w:rPr>
      </w:pPr>
      <w:r>
        <w:rPr>
          <w:rFonts w:hint="eastAsia" w:ascii="仿宋_GB2312" w:eastAsia="仿宋_GB2312"/>
          <w:b/>
          <w:sz w:val="32"/>
          <w:szCs w:val="32"/>
        </w:rPr>
        <w:t>2.乡人大主席团主要职责</w:t>
      </w:r>
    </w:p>
    <w:p>
      <w:pPr>
        <w:spacing w:line="540" w:lineRule="exact"/>
        <w:ind w:firstLine="645"/>
        <w:rPr>
          <w:rFonts w:ascii="仿宋_GB2312" w:eastAsia="仿宋_GB2312"/>
          <w:sz w:val="32"/>
          <w:szCs w:val="32"/>
        </w:rPr>
      </w:pPr>
      <w:r>
        <w:rPr>
          <w:rFonts w:hint="eastAsia" w:ascii="仿宋_GB2312" w:eastAsia="仿宋_GB2312"/>
          <w:sz w:val="32"/>
          <w:szCs w:val="32"/>
        </w:rPr>
        <w:t>（1）检查宪法、法律、法规及本级人民代表大会和上级人民代表大会及常务委员会的决议、决定在本行政区域内的遵守和执行情况；</w:t>
      </w:r>
    </w:p>
    <w:p>
      <w:pPr>
        <w:spacing w:line="540" w:lineRule="exact"/>
        <w:ind w:firstLine="645"/>
        <w:rPr>
          <w:rFonts w:ascii="仿宋_GB2312" w:eastAsia="仿宋_GB2312"/>
          <w:sz w:val="32"/>
          <w:szCs w:val="32"/>
        </w:rPr>
      </w:pPr>
      <w:r>
        <w:rPr>
          <w:rFonts w:hint="eastAsia" w:ascii="仿宋_GB2312" w:eastAsia="仿宋_GB2312"/>
          <w:sz w:val="32"/>
          <w:szCs w:val="32"/>
        </w:rPr>
        <w:t>（2）听取本级人民政府的工作汇报，提出意见和建议，调查研究本行政区域内的重大问题；</w:t>
      </w:r>
    </w:p>
    <w:p>
      <w:pPr>
        <w:spacing w:line="540" w:lineRule="exact"/>
        <w:ind w:firstLine="645"/>
        <w:rPr>
          <w:rFonts w:ascii="仿宋_GB2312" w:eastAsia="仿宋_GB2312"/>
          <w:sz w:val="32"/>
          <w:szCs w:val="32"/>
        </w:rPr>
      </w:pPr>
      <w:r>
        <w:rPr>
          <w:rFonts w:hint="eastAsia" w:ascii="仿宋_GB2312" w:eastAsia="仿宋_GB2312"/>
          <w:sz w:val="32"/>
          <w:szCs w:val="32"/>
        </w:rPr>
        <w:t>（3）审查本级人民政府对本级人民代表大会通过的财政预算的部分变更，并向下次代表大会报告；</w:t>
      </w:r>
    </w:p>
    <w:p>
      <w:pPr>
        <w:spacing w:line="540" w:lineRule="exact"/>
        <w:ind w:firstLine="645"/>
        <w:rPr>
          <w:rFonts w:ascii="仿宋_GB2312" w:eastAsia="仿宋_GB2312"/>
          <w:sz w:val="32"/>
          <w:szCs w:val="32"/>
        </w:rPr>
      </w:pPr>
      <w:r>
        <w:rPr>
          <w:rFonts w:hint="eastAsia" w:ascii="仿宋_GB2312" w:eastAsia="仿宋_GB2312"/>
          <w:sz w:val="32"/>
          <w:szCs w:val="32"/>
        </w:rPr>
        <w:t>（4）将代表向人民代表大会提出的议案和对各方面工作的建议、意见和批评交有关机关或组织研究处理，督促有关机关或组织将办理情况答复代表；</w:t>
      </w:r>
    </w:p>
    <w:p>
      <w:pPr>
        <w:spacing w:line="540" w:lineRule="exact"/>
        <w:ind w:firstLine="645"/>
        <w:rPr>
          <w:rFonts w:ascii="仿宋_GB2312" w:eastAsia="仿宋_GB2312"/>
          <w:sz w:val="32"/>
          <w:szCs w:val="32"/>
        </w:rPr>
      </w:pPr>
      <w:r>
        <w:rPr>
          <w:rFonts w:hint="eastAsia" w:ascii="仿宋_GB2312" w:eastAsia="仿宋_GB2312"/>
          <w:sz w:val="32"/>
          <w:szCs w:val="32"/>
        </w:rPr>
        <w:t>（5）受理人民群众对本级人民政府和国家工作人员的申诉和意见；</w:t>
      </w:r>
    </w:p>
    <w:p>
      <w:pPr>
        <w:spacing w:line="540" w:lineRule="exact"/>
        <w:ind w:firstLine="645"/>
        <w:rPr>
          <w:rFonts w:ascii="仿宋_GB2312" w:eastAsia="仿宋_GB2312"/>
          <w:sz w:val="32"/>
          <w:szCs w:val="32"/>
        </w:rPr>
      </w:pPr>
      <w:r>
        <w:rPr>
          <w:rFonts w:hint="eastAsia" w:ascii="仿宋_GB2312" w:eastAsia="仿宋_GB2312"/>
          <w:sz w:val="32"/>
          <w:szCs w:val="32"/>
        </w:rPr>
        <w:t>（6）召集选民依法罢免、补选本级人民代表大会代表和本选区的县级人民代表大会代表；</w:t>
      </w:r>
    </w:p>
    <w:p>
      <w:pPr>
        <w:spacing w:line="540" w:lineRule="exact"/>
        <w:ind w:firstLine="645"/>
        <w:rPr>
          <w:rFonts w:ascii="仿宋_GB2312" w:eastAsia="仿宋_GB2312"/>
          <w:sz w:val="32"/>
          <w:szCs w:val="32"/>
        </w:rPr>
      </w:pPr>
      <w:r>
        <w:rPr>
          <w:rFonts w:hint="eastAsia" w:ascii="仿宋_GB2312" w:eastAsia="仿宋_GB2312"/>
          <w:sz w:val="32"/>
          <w:szCs w:val="32"/>
        </w:rPr>
        <w:t>（7）办理上级人民代表大会常务委员会交办的其他事项。</w:t>
      </w:r>
    </w:p>
    <w:p>
      <w:pPr>
        <w:spacing w:line="540" w:lineRule="exact"/>
        <w:ind w:firstLine="645"/>
        <w:rPr>
          <w:rFonts w:ascii="仿宋_GB2312" w:eastAsia="仿宋_GB2312"/>
          <w:b/>
          <w:sz w:val="32"/>
          <w:szCs w:val="32"/>
        </w:rPr>
      </w:pPr>
      <w:r>
        <w:rPr>
          <w:rFonts w:hint="eastAsia" w:ascii="仿宋_GB2312" w:eastAsia="仿宋_GB2312"/>
          <w:b/>
          <w:sz w:val="32"/>
          <w:szCs w:val="32"/>
        </w:rPr>
        <w:t>3.乡人民政府主要职责</w:t>
      </w:r>
    </w:p>
    <w:p>
      <w:pPr>
        <w:spacing w:line="540" w:lineRule="exact"/>
        <w:ind w:firstLine="645"/>
        <w:rPr>
          <w:rFonts w:ascii="仿宋_GB2312" w:eastAsia="仿宋_GB2312"/>
          <w:sz w:val="32"/>
          <w:szCs w:val="32"/>
        </w:rPr>
      </w:pPr>
      <w:r>
        <w:rPr>
          <w:rFonts w:hint="eastAsia" w:ascii="仿宋_GB2312" w:eastAsia="仿宋_GB2312"/>
          <w:sz w:val="32"/>
          <w:szCs w:val="32"/>
        </w:rPr>
        <w:t>（1）执行本级人民代表大会的决议和上级国家行政机关的决定和命令，在辖区内发布决定和命令；</w:t>
      </w:r>
    </w:p>
    <w:p>
      <w:pPr>
        <w:spacing w:line="540" w:lineRule="exact"/>
        <w:ind w:firstLine="645"/>
        <w:rPr>
          <w:rFonts w:ascii="仿宋_GB2312" w:eastAsia="仿宋_GB2312"/>
          <w:sz w:val="32"/>
          <w:szCs w:val="32"/>
        </w:rPr>
      </w:pPr>
      <w:r>
        <w:rPr>
          <w:rFonts w:hint="eastAsia" w:ascii="仿宋_GB2312" w:eastAsia="仿宋_GB2312"/>
          <w:sz w:val="32"/>
          <w:szCs w:val="32"/>
        </w:rPr>
        <w:t>（2）按照国家宪法和法律，行使对本辖区内的行政及民政事务的管理，推进计划生育工作；</w:t>
      </w:r>
    </w:p>
    <w:p>
      <w:pPr>
        <w:spacing w:line="540" w:lineRule="exact"/>
        <w:ind w:firstLine="645"/>
        <w:rPr>
          <w:rFonts w:ascii="仿宋_GB2312" w:eastAsia="仿宋_GB2312"/>
          <w:sz w:val="32"/>
          <w:szCs w:val="32"/>
        </w:rPr>
      </w:pPr>
      <w:r>
        <w:rPr>
          <w:rFonts w:hint="eastAsia" w:ascii="仿宋_GB2312" w:eastAsia="仿宋_GB2312"/>
          <w:sz w:val="32"/>
          <w:szCs w:val="32"/>
        </w:rPr>
        <w:t>（3）制定本乡的经济和社会发展规划，并组织实施；组织和领导行政经济体制改革，协调本行政区域居民委员会与各经济组织之间的关系；</w:t>
      </w:r>
    </w:p>
    <w:p>
      <w:pPr>
        <w:spacing w:line="540" w:lineRule="exact"/>
        <w:ind w:firstLine="645"/>
        <w:rPr>
          <w:rFonts w:ascii="仿宋_GB2312" w:eastAsia="仿宋_GB2312"/>
          <w:sz w:val="32"/>
          <w:szCs w:val="32"/>
        </w:rPr>
      </w:pPr>
      <w:r>
        <w:rPr>
          <w:rFonts w:hint="eastAsia" w:ascii="仿宋_GB2312" w:eastAsia="仿宋_GB2312"/>
          <w:sz w:val="32"/>
          <w:szCs w:val="32"/>
        </w:rPr>
        <w:t>（4）组织规划乡财政管理的各项收入，管理乡范围内的各项财政支出和行政筹集、分配和使用的资金；</w:t>
      </w:r>
    </w:p>
    <w:p>
      <w:pPr>
        <w:spacing w:line="540" w:lineRule="exact"/>
        <w:ind w:firstLine="645"/>
        <w:rPr>
          <w:rFonts w:ascii="仿宋_GB2312" w:eastAsia="仿宋_GB2312"/>
          <w:sz w:val="32"/>
          <w:szCs w:val="32"/>
        </w:rPr>
      </w:pPr>
      <w:r>
        <w:rPr>
          <w:rFonts w:hint="eastAsia" w:ascii="仿宋_GB2312" w:eastAsia="仿宋_GB2312"/>
          <w:sz w:val="32"/>
          <w:szCs w:val="32"/>
        </w:rPr>
        <w:t>（5）负责管理对外经济技术交流与合作，开展经济信息预测工作，推广科学技术成果；</w:t>
      </w:r>
    </w:p>
    <w:p>
      <w:pPr>
        <w:spacing w:line="540" w:lineRule="exact"/>
        <w:ind w:firstLine="645"/>
        <w:rPr>
          <w:rFonts w:ascii="仿宋_GB2312" w:eastAsia="仿宋_GB2312"/>
          <w:sz w:val="32"/>
          <w:szCs w:val="32"/>
        </w:rPr>
      </w:pPr>
      <w:r>
        <w:rPr>
          <w:rFonts w:hint="eastAsia" w:ascii="仿宋_GB2312" w:eastAsia="仿宋_GB2312"/>
          <w:sz w:val="32"/>
          <w:szCs w:val="32"/>
        </w:rPr>
        <w:t>（6）协助县级有关部门，负责县城的卫生、治安、城乡撤迁、规划建设、环境保护工作；</w:t>
      </w:r>
    </w:p>
    <w:p>
      <w:pPr>
        <w:spacing w:line="540" w:lineRule="exact"/>
        <w:ind w:firstLine="645"/>
        <w:rPr>
          <w:rFonts w:ascii="仿宋_GB2312" w:eastAsia="仿宋_GB2312"/>
          <w:sz w:val="32"/>
          <w:szCs w:val="32"/>
        </w:rPr>
      </w:pPr>
      <w:r>
        <w:rPr>
          <w:rFonts w:hint="eastAsia" w:ascii="仿宋_GB2312" w:eastAsia="仿宋_GB2312"/>
          <w:sz w:val="32"/>
          <w:szCs w:val="32"/>
        </w:rPr>
        <w:t>（7）加强土地的统筹规划、统一管理，协助有关部门做好地质灾害的防治工作；</w:t>
      </w:r>
    </w:p>
    <w:p>
      <w:pPr>
        <w:spacing w:line="540" w:lineRule="exact"/>
        <w:ind w:firstLine="645"/>
        <w:rPr>
          <w:rFonts w:ascii="仿宋_GB2312" w:eastAsia="仿宋_GB2312"/>
          <w:sz w:val="32"/>
          <w:szCs w:val="32"/>
        </w:rPr>
      </w:pPr>
      <w:r>
        <w:rPr>
          <w:rFonts w:hint="eastAsia" w:ascii="仿宋_GB2312" w:eastAsia="仿宋_GB2312"/>
          <w:sz w:val="32"/>
          <w:szCs w:val="32"/>
        </w:rPr>
        <w:t>（8）组织和开展社会主义精神文明活动，正确调解和处理人民内部矛盾，认真调解民事纠纷；</w:t>
      </w:r>
    </w:p>
    <w:p>
      <w:pPr>
        <w:spacing w:line="540" w:lineRule="exact"/>
        <w:ind w:firstLine="645"/>
        <w:rPr>
          <w:rFonts w:ascii="仿宋_GB2312" w:eastAsia="仿宋_GB2312"/>
          <w:sz w:val="32"/>
          <w:szCs w:val="32"/>
        </w:rPr>
      </w:pPr>
      <w:r>
        <w:rPr>
          <w:rFonts w:hint="eastAsia" w:ascii="仿宋_GB2312" w:eastAsia="仿宋_GB2312"/>
          <w:sz w:val="32"/>
          <w:szCs w:val="32"/>
        </w:rPr>
        <w:t>（9）充分发挥行政职能，组织和开展本乡内的文化、教育、卫生、民政和科技等工作；</w:t>
      </w:r>
    </w:p>
    <w:p>
      <w:pPr>
        <w:spacing w:line="540" w:lineRule="exact"/>
        <w:ind w:firstLine="645"/>
        <w:rPr>
          <w:rFonts w:ascii="仿宋_GB2312" w:eastAsia="仿宋_GB2312"/>
          <w:sz w:val="32"/>
          <w:szCs w:val="32"/>
        </w:rPr>
      </w:pPr>
      <w:r>
        <w:rPr>
          <w:rFonts w:hint="eastAsia" w:ascii="仿宋_GB2312" w:eastAsia="仿宋_GB2312"/>
          <w:sz w:val="32"/>
          <w:szCs w:val="32"/>
        </w:rPr>
        <w:t>（10）根据经济发展需要，建立经济、技术咨询服务机构，向经济组织和本乡内居民提供全面服务。</w:t>
      </w:r>
    </w:p>
    <w:p>
      <w:pPr>
        <w:spacing w:line="540" w:lineRule="exact"/>
        <w:ind w:firstLine="645"/>
        <w:rPr>
          <w:rFonts w:ascii="仿宋_GB2312" w:eastAsia="仿宋_GB2312"/>
          <w:b/>
          <w:sz w:val="32"/>
          <w:szCs w:val="32"/>
        </w:rPr>
      </w:pPr>
      <w:r>
        <w:rPr>
          <w:rFonts w:hint="eastAsia" w:ascii="仿宋_GB2312" w:eastAsia="仿宋_GB2312"/>
          <w:b/>
          <w:sz w:val="32"/>
          <w:szCs w:val="32"/>
        </w:rPr>
        <w:t>4.乡纪委主要职责</w:t>
      </w:r>
    </w:p>
    <w:p>
      <w:pPr>
        <w:spacing w:line="540" w:lineRule="exact"/>
        <w:ind w:firstLine="645"/>
        <w:rPr>
          <w:rFonts w:ascii="仿宋_GB2312" w:eastAsia="仿宋_GB2312"/>
          <w:sz w:val="32"/>
          <w:szCs w:val="32"/>
        </w:rPr>
      </w:pPr>
      <w:r>
        <w:rPr>
          <w:rFonts w:hint="eastAsia" w:ascii="仿宋_GB2312" w:eastAsia="仿宋_GB2312"/>
          <w:sz w:val="32"/>
          <w:szCs w:val="32"/>
        </w:rPr>
        <w:t>（1）负责全乡党的纪律检查工作。认真贯彻落实州、县纪委关于加强党风廉政建设的决定，维护党的章程和其他党内法规，检查党的路线、方针、政策和决议的执行情况；</w:t>
      </w:r>
    </w:p>
    <w:p>
      <w:pPr>
        <w:spacing w:line="540" w:lineRule="exact"/>
        <w:ind w:firstLine="645"/>
        <w:rPr>
          <w:rFonts w:ascii="仿宋_GB2312" w:eastAsia="仿宋_GB2312"/>
          <w:sz w:val="32"/>
          <w:szCs w:val="32"/>
        </w:rPr>
      </w:pPr>
      <w:r>
        <w:rPr>
          <w:rFonts w:hint="eastAsia" w:ascii="仿宋_GB2312" w:eastAsia="仿宋_GB2312"/>
          <w:sz w:val="32"/>
          <w:szCs w:val="32"/>
        </w:rPr>
        <w:t>（2）负责贯彻落实党中央、省、州和县委、县政府有关行政监察工作的决定，监督检查乡政府及其负责人执行国家政策和法律法规、国民经济和社会发展计划及县政府发布的决议和命令，保证政令畅通；</w:t>
      </w:r>
    </w:p>
    <w:p>
      <w:pPr>
        <w:spacing w:line="540" w:lineRule="exact"/>
        <w:ind w:firstLine="645"/>
        <w:rPr>
          <w:rFonts w:ascii="仿宋_GB2312" w:eastAsia="仿宋_GB2312"/>
          <w:sz w:val="32"/>
          <w:szCs w:val="32"/>
        </w:rPr>
      </w:pPr>
      <w:r>
        <w:rPr>
          <w:rFonts w:hint="eastAsia" w:ascii="仿宋_GB2312" w:eastAsia="仿宋_GB2312"/>
          <w:sz w:val="32"/>
          <w:szCs w:val="32"/>
        </w:rPr>
        <w:t>（3）负责调查处理乡内党的组织和党员领导干部违反党的章程及其他党内法规的案件，认真受理群众来信来访；</w:t>
      </w:r>
    </w:p>
    <w:p>
      <w:pPr>
        <w:spacing w:line="540" w:lineRule="exact"/>
        <w:ind w:firstLine="645"/>
        <w:rPr>
          <w:rFonts w:ascii="仿宋_GB2312" w:eastAsia="仿宋_GB2312"/>
          <w:sz w:val="32"/>
          <w:szCs w:val="32"/>
        </w:rPr>
      </w:pPr>
      <w:r>
        <w:rPr>
          <w:rFonts w:hint="eastAsia" w:ascii="仿宋_GB2312" w:eastAsia="仿宋_GB2312"/>
          <w:sz w:val="32"/>
          <w:szCs w:val="32"/>
        </w:rPr>
        <w:t>（4）负责配合有关部门调查处理乡政府及其主要负责人违反国家法律、法规、政策及政纪的行为；</w:t>
      </w:r>
    </w:p>
    <w:p>
      <w:pPr>
        <w:spacing w:line="540" w:lineRule="exact"/>
        <w:ind w:firstLine="645"/>
        <w:rPr>
          <w:rFonts w:ascii="仿宋_GB2312" w:eastAsia="仿宋_GB2312"/>
          <w:sz w:val="32"/>
          <w:szCs w:val="32"/>
        </w:rPr>
      </w:pPr>
      <w:r>
        <w:rPr>
          <w:rFonts w:hint="eastAsia" w:ascii="仿宋_GB2312" w:eastAsia="仿宋_GB2312"/>
          <w:sz w:val="32"/>
          <w:szCs w:val="32"/>
        </w:rPr>
        <w:t>（5）按照上级党委和县委的要求，组织制定全乡党风党纪教育规划，配合有关部门做好党的纪检工作方针、政策的宣传工作和对党员遵守纪律的教育工作；</w:t>
      </w:r>
    </w:p>
    <w:p>
      <w:pPr>
        <w:spacing w:line="540" w:lineRule="exact"/>
        <w:ind w:firstLine="645"/>
        <w:rPr>
          <w:rFonts w:ascii="仿宋_GB2312" w:eastAsia="仿宋_GB2312"/>
          <w:sz w:val="32"/>
          <w:szCs w:val="32"/>
        </w:rPr>
      </w:pPr>
      <w:r>
        <w:rPr>
          <w:rFonts w:hint="eastAsia" w:ascii="仿宋_GB2312" w:eastAsia="仿宋_GB2312"/>
          <w:sz w:val="32"/>
          <w:szCs w:val="32"/>
        </w:rPr>
        <w:t>（6）会同有关部门做好行政监察工作的方针、政策和法律、法规的宣传工作，教育机关工作人员和公务员遵纪守法，为政清廉；</w:t>
      </w:r>
    </w:p>
    <w:p>
      <w:pPr>
        <w:spacing w:line="540" w:lineRule="exact"/>
        <w:ind w:firstLine="645"/>
        <w:rPr>
          <w:rFonts w:ascii="仿宋_GB2312" w:eastAsia="仿宋_GB2312"/>
          <w:sz w:val="32"/>
          <w:szCs w:val="32"/>
        </w:rPr>
      </w:pPr>
      <w:r>
        <w:rPr>
          <w:rFonts w:hint="eastAsia" w:ascii="仿宋_GB2312" w:eastAsia="仿宋_GB2312"/>
          <w:sz w:val="32"/>
          <w:szCs w:val="32"/>
        </w:rPr>
        <w:t>（7）承办县委、县政府、县纪委、县监察局以及乡党委、政府交办的其他工作。</w:t>
      </w:r>
    </w:p>
    <w:p>
      <w:pPr>
        <w:spacing w:line="540" w:lineRule="exact"/>
        <w:ind w:firstLine="645"/>
        <w:rPr>
          <w:rFonts w:ascii="仿宋_GB2312" w:eastAsia="仿宋_GB2312"/>
          <w:b/>
          <w:sz w:val="32"/>
          <w:szCs w:val="32"/>
        </w:rPr>
      </w:pPr>
      <w:r>
        <w:rPr>
          <w:rFonts w:hint="eastAsia" w:ascii="仿宋_GB2312" w:eastAsia="仿宋_GB2312"/>
          <w:b/>
          <w:sz w:val="32"/>
          <w:szCs w:val="32"/>
        </w:rPr>
        <w:t>5.乡武装部主要职责</w:t>
      </w:r>
    </w:p>
    <w:p>
      <w:pPr>
        <w:spacing w:line="540" w:lineRule="exact"/>
        <w:ind w:firstLine="645"/>
        <w:rPr>
          <w:rFonts w:ascii="仿宋_GB2312" w:eastAsia="仿宋_GB2312"/>
          <w:sz w:val="32"/>
          <w:szCs w:val="32"/>
        </w:rPr>
      </w:pPr>
      <w:r>
        <w:rPr>
          <w:rFonts w:hint="eastAsia" w:ascii="仿宋_GB2312" w:eastAsia="仿宋_GB2312"/>
          <w:sz w:val="32"/>
          <w:szCs w:val="32"/>
        </w:rPr>
        <w:t>（1）认真贯彻党管武装的原则，做好民兵的组织建设和思想建设，做好民兵训练和民兵整组工作；</w:t>
      </w:r>
    </w:p>
    <w:p>
      <w:pPr>
        <w:spacing w:line="540" w:lineRule="exact"/>
        <w:ind w:firstLine="645"/>
        <w:rPr>
          <w:rFonts w:ascii="仿宋_GB2312" w:eastAsia="仿宋_GB2312"/>
          <w:sz w:val="32"/>
          <w:szCs w:val="32"/>
        </w:rPr>
      </w:pPr>
      <w:r>
        <w:rPr>
          <w:rFonts w:hint="eastAsia" w:ascii="仿宋_GB2312" w:eastAsia="仿宋_GB2312"/>
          <w:sz w:val="32"/>
          <w:szCs w:val="32"/>
        </w:rPr>
        <w:t>（2）组织民兵积极参加社会主义两个文明建设，组织民兵维护社会治安，维护公共秩序和抢险救灾；</w:t>
      </w:r>
    </w:p>
    <w:p>
      <w:pPr>
        <w:spacing w:line="540" w:lineRule="exact"/>
        <w:ind w:firstLine="645"/>
        <w:rPr>
          <w:rFonts w:ascii="仿宋_GB2312" w:eastAsia="仿宋_GB2312"/>
          <w:sz w:val="32"/>
          <w:szCs w:val="32"/>
        </w:rPr>
      </w:pPr>
      <w:r>
        <w:rPr>
          <w:rFonts w:hint="eastAsia" w:ascii="仿宋_GB2312" w:eastAsia="仿宋_GB2312"/>
          <w:sz w:val="32"/>
          <w:szCs w:val="32"/>
        </w:rPr>
        <w:t>（3）协助有关部门做好征兵工作，复员、退伍军人的安置工作，搞好军烈属、复员退休军人的优抚工作；</w:t>
      </w:r>
    </w:p>
    <w:p>
      <w:pPr>
        <w:spacing w:line="540" w:lineRule="exact"/>
        <w:ind w:firstLine="645"/>
        <w:rPr>
          <w:rFonts w:ascii="仿宋_GB2312" w:eastAsia="仿宋_GB2312"/>
          <w:sz w:val="32"/>
          <w:szCs w:val="32"/>
        </w:rPr>
      </w:pPr>
      <w:r>
        <w:rPr>
          <w:rFonts w:hint="eastAsia" w:ascii="仿宋_GB2312" w:eastAsia="仿宋_GB2312"/>
          <w:sz w:val="32"/>
          <w:szCs w:val="32"/>
        </w:rPr>
        <w:t>（4）做好武装弹药的保管、使用和交换工作；</w:t>
      </w:r>
    </w:p>
    <w:p>
      <w:pPr>
        <w:spacing w:line="540" w:lineRule="exact"/>
        <w:ind w:firstLine="645"/>
        <w:rPr>
          <w:rFonts w:ascii="仿宋_GB2312" w:eastAsia="仿宋_GB2312"/>
          <w:sz w:val="32"/>
          <w:szCs w:val="32"/>
        </w:rPr>
      </w:pPr>
      <w:r>
        <w:rPr>
          <w:rFonts w:hint="eastAsia" w:ascii="仿宋_GB2312" w:eastAsia="仿宋_GB2312"/>
          <w:sz w:val="32"/>
          <w:szCs w:val="32"/>
        </w:rPr>
        <w:t>（5）深入实际，调查研究，及时解决基层民兵队伍中的新问题，加强对基层民兵组织的领导，研究和探索民兵建设中的新问题、新方法，抓好民兵的思想政治工作；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（6）承办领导临时交办的其他任务。</w:t>
      </w:r>
    </w:p>
    <w:p>
      <w:pPr>
        <w:spacing w:line="54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color w:val="000000"/>
          <w:kern w:val="0"/>
          <w:sz w:val="32"/>
          <w:szCs w:val="32"/>
        </w:rPr>
        <w:t>（三）群团组织</w:t>
      </w:r>
    </w:p>
    <w:p>
      <w:pPr>
        <w:spacing w:line="540" w:lineRule="exact"/>
        <w:ind w:firstLine="472" w:firstLineChars="147"/>
        <w:rPr>
          <w:rFonts w:ascii="仿宋_GB2312" w:eastAsia="仿宋_GB2312"/>
          <w:b/>
          <w:sz w:val="32"/>
          <w:szCs w:val="32"/>
        </w:rPr>
      </w:pPr>
      <w:r>
        <w:rPr>
          <w:rFonts w:hint="eastAsia" w:ascii="仿宋_GB2312" w:eastAsia="仿宋_GB2312"/>
          <w:b/>
          <w:sz w:val="32"/>
          <w:szCs w:val="32"/>
        </w:rPr>
        <w:t>1.工会主要职责：</w:t>
      </w:r>
    </w:p>
    <w:p>
      <w:pPr>
        <w:spacing w:line="540" w:lineRule="exact"/>
        <w:ind w:firstLine="645"/>
        <w:rPr>
          <w:rFonts w:ascii="仿宋_GB2312" w:eastAsia="仿宋_GB2312"/>
          <w:sz w:val="32"/>
          <w:szCs w:val="32"/>
        </w:rPr>
      </w:pPr>
      <w:r>
        <w:rPr>
          <w:rFonts w:hint="eastAsia" w:ascii="仿宋_GB2312" w:eastAsia="仿宋_GB2312"/>
          <w:sz w:val="32"/>
          <w:szCs w:val="32"/>
        </w:rPr>
        <w:t>（1）建立健全各级工会组织，建立和发展工会积极分子队伍，做好新会员的接收、教育工作；</w:t>
      </w:r>
    </w:p>
    <w:p>
      <w:pPr>
        <w:spacing w:line="540" w:lineRule="exact"/>
        <w:ind w:firstLine="645"/>
        <w:rPr>
          <w:rFonts w:ascii="仿宋_GB2312" w:eastAsia="仿宋_GB2312"/>
          <w:sz w:val="32"/>
          <w:szCs w:val="32"/>
        </w:rPr>
      </w:pPr>
      <w:r>
        <w:rPr>
          <w:rFonts w:hint="eastAsia" w:ascii="仿宋_GB2312" w:eastAsia="仿宋_GB2312"/>
          <w:sz w:val="32"/>
          <w:szCs w:val="32"/>
        </w:rPr>
        <w:t>（2）对职工进行爱国主义、集体主义、社会主义、民主法制、科学、文化、技术教育，提高职工的思想、道德和科学、文化、技术、业务素质；</w:t>
      </w:r>
    </w:p>
    <w:p>
      <w:pPr>
        <w:spacing w:line="540" w:lineRule="exact"/>
        <w:ind w:firstLine="645"/>
        <w:rPr>
          <w:rFonts w:ascii="仿宋_GB2312" w:eastAsia="仿宋_GB2312"/>
          <w:sz w:val="32"/>
          <w:szCs w:val="32"/>
        </w:rPr>
      </w:pPr>
      <w:r>
        <w:rPr>
          <w:rFonts w:hint="eastAsia" w:ascii="仿宋_GB2312" w:eastAsia="仿宋_GB2312"/>
          <w:sz w:val="32"/>
          <w:szCs w:val="32"/>
        </w:rPr>
        <w:t>（3）组织和教育职工依法行使民主权利，参与企业管理。组织职工开展劳动竞赛，开展群众性的合理化建议，技术革新和技术协作活动；</w:t>
      </w:r>
    </w:p>
    <w:p>
      <w:pPr>
        <w:spacing w:line="540" w:lineRule="exact"/>
        <w:ind w:firstLine="645"/>
        <w:rPr>
          <w:rFonts w:ascii="仿宋_GB2312" w:eastAsia="仿宋_GB2312"/>
          <w:sz w:val="32"/>
          <w:szCs w:val="32"/>
        </w:rPr>
      </w:pPr>
      <w:r>
        <w:rPr>
          <w:rFonts w:hint="eastAsia" w:ascii="仿宋_GB2312" w:eastAsia="仿宋_GB2312"/>
          <w:sz w:val="32"/>
          <w:szCs w:val="32"/>
        </w:rPr>
        <w:t>（4）依法维护职工的合法权益。维护女职工的特殊权益，组织开展健康的文化体育活动；</w:t>
      </w:r>
    </w:p>
    <w:p>
      <w:pPr>
        <w:spacing w:line="540" w:lineRule="exact"/>
        <w:ind w:firstLine="645"/>
        <w:rPr>
          <w:rFonts w:ascii="仿宋_GB2312" w:eastAsia="仿宋_GB2312"/>
          <w:sz w:val="32"/>
          <w:szCs w:val="32"/>
        </w:rPr>
      </w:pPr>
      <w:r>
        <w:rPr>
          <w:rFonts w:hint="eastAsia" w:ascii="仿宋_GB2312" w:eastAsia="仿宋_GB2312"/>
          <w:sz w:val="32"/>
          <w:szCs w:val="32"/>
        </w:rPr>
        <w:t>（5）协助和督促行政部门做好劳动保护、劳动保险工作，办好职工集体福利事业，改善职工生活；</w:t>
      </w:r>
    </w:p>
    <w:p>
      <w:pPr>
        <w:spacing w:line="540" w:lineRule="exact"/>
        <w:ind w:firstLine="645"/>
        <w:rPr>
          <w:rFonts w:ascii="仿宋_GB2312" w:eastAsia="仿宋_GB2312"/>
          <w:sz w:val="32"/>
          <w:szCs w:val="32"/>
        </w:rPr>
      </w:pPr>
      <w:r>
        <w:rPr>
          <w:rFonts w:hint="eastAsia" w:ascii="仿宋_GB2312" w:eastAsia="仿宋_GB2312"/>
          <w:sz w:val="32"/>
          <w:szCs w:val="32"/>
        </w:rPr>
        <w:t>（6）用好工会经费，管好工会财产；</w:t>
      </w:r>
    </w:p>
    <w:p>
      <w:pPr>
        <w:spacing w:line="540" w:lineRule="exact"/>
        <w:ind w:firstLine="645"/>
        <w:rPr>
          <w:rFonts w:ascii="仿宋_GB2312" w:eastAsia="仿宋_GB2312"/>
          <w:sz w:val="32"/>
          <w:szCs w:val="32"/>
        </w:rPr>
      </w:pPr>
      <w:r>
        <w:rPr>
          <w:rFonts w:hint="eastAsia" w:ascii="仿宋_GB2312" w:eastAsia="仿宋_GB2312"/>
          <w:sz w:val="32"/>
          <w:szCs w:val="32"/>
        </w:rPr>
        <w:t>（7）承办上级主管部门领导交办的其他工作任务。</w:t>
      </w:r>
    </w:p>
    <w:p>
      <w:pPr>
        <w:spacing w:line="540" w:lineRule="exact"/>
        <w:ind w:firstLine="472" w:firstLineChars="147"/>
        <w:rPr>
          <w:rFonts w:ascii="仿宋_GB2312" w:eastAsia="仿宋_GB2312"/>
          <w:b/>
          <w:sz w:val="32"/>
          <w:szCs w:val="32"/>
        </w:rPr>
      </w:pPr>
      <w:r>
        <w:rPr>
          <w:rFonts w:hint="eastAsia" w:ascii="仿宋_GB2312" w:eastAsia="仿宋_GB2312"/>
          <w:b/>
          <w:sz w:val="32"/>
          <w:szCs w:val="32"/>
        </w:rPr>
        <w:t>2.团委主要职责：</w:t>
      </w:r>
    </w:p>
    <w:p>
      <w:pPr>
        <w:spacing w:line="540" w:lineRule="exact"/>
        <w:ind w:firstLine="645"/>
        <w:rPr>
          <w:rFonts w:ascii="仿宋_GB2312" w:eastAsia="仿宋_GB2312"/>
          <w:sz w:val="32"/>
          <w:szCs w:val="32"/>
        </w:rPr>
      </w:pPr>
      <w:r>
        <w:rPr>
          <w:rFonts w:hint="eastAsia" w:ascii="仿宋_GB2312" w:eastAsia="仿宋_GB2312"/>
          <w:sz w:val="32"/>
          <w:szCs w:val="32"/>
        </w:rPr>
        <w:t>（1）以共产主义精神教育青年，帮助青年用先进的思想武装自己，引导广大青年投身于社会主义建设；</w:t>
      </w:r>
    </w:p>
    <w:p>
      <w:pPr>
        <w:spacing w:line="540" w:lineRule="exact"/>
        <w:ind w:firstLine="645"/>
        <w:rPr>
          <w:rFonts w:ascii="仿宋_GB2312" w:eastAsia="仿宋_GB2312"/>
          <w:sz w:val="32"/>
          <w:szCs w:val="32"/>
        </w:rPr>
      </w:pPr>
      <w:r>
        <w:rPr>
          <w:rFonts w:hint="eastAsia" w:ascii="仿宋_GB2312" w:eastAsia="仿宋_GB2312"/>
          <w:sz w:val="32"/>
          <w:szCs w:val="32"/>
        </w:rPr>
        <w:t>（2）了解团员的思想、工作情况，并对其进行思想教育和纪律教育；</w:t>
      </w:r>
    </w:p>
    <w:p>
      <w:pPr>
        <w:spacing w:line="540" w:lineRule="exact"/>
        <w:ind w:firstLine="645"/>
        <w:rPr>
          <w:rFonts w:ascii="仿宋_GB2312" w:eastAsia="仿宋_GB2312"/>
          <w:sz w:val="32"/>
          <w:szCs w:val="32"/>
        </w:rPr>
      </w:pPr>
      <w:r>
        <w:rPr>
          <w:rFonts w:hint="eastAsia" w:ascii="仿宋_GB2312" w:eastAsia="仿宋_GB2312"/>
          <w:sz w:val="32"/>
          <w:szCs w:val="32"/>
        </w:rPr>
        <w:t>（3）了解掌握各团支部的组织状况，督促、报告、指导基层团支部开展各项工作；</w:t>
      </w:r>
    </w:p>
    <w:p>
      <w:pPr>
        <w:spacing w:line="540" w:lineRule="exact"/>
        <w:ind w:firstLine="645"/>
        <w:rPr>
          <w:rFonts w:ascii="仿宋_GB2312" w:eastAsia="仿宋_GB2312"/>
          <w:sz w:val="32"/>
          <w:szCs w:val="32"/>
        </w:rPr>
      </w:pPr>
      <w:r>
        <w:rPr>
          <w:rFonts w:hint="eastAsia" w:ascii="仿宋_GB2312" w:eastAsia="仿宋_GB2312"/>
          <w:sz w:val="32"/>
          <w:szCs w:val="32"/>
        </w:rPr>
        <w:t>（4）搞好团员的统计，转移组织关系，按照规定收缴团费，办理团员的超龄离团手续；</w:t>
      </w:r>
    </w:p>
    <w:p>
      <w:pPr>
        <w:spacing w:line="540" w:lineRule="exact"/>
        <w:ind w:firstLine="645"/>
        <w:rPr>
          <w:rFonts w:ascii="仿宋_GB2312" w:eastAsia="仿宋_GB2312"/>
          <w:sz w:val="32"/>
          <w:szCs w:val="32"/>
        </w:rPr>
      </w:pPr>
      <w:r>
        <w:rPr>
          <w:rFonts w:hint="eastAsia" w:ascii="仿宋_GB2312" w:eastAsia="仿宋_GB2312"/>
          <w:sz w:val="32"/>
          <w:szCs w:val="32"/>
        </w:rPr>
        <w:t>（5）组织召开团员代表大会，监督团员行使权利和履行义务；</w:t>
      </w:r>
    </w:p>
    <w:p>
      <w:pPr>
        <w:spacing w:line="540" w:lineRule="exact"/>
        <w:ind w:firstLine="645"/>
        <w:rPr>
          <w:rFonts w:ascii="仿宋_GB2312" w:eastAsia="仿宋_GB2312"/>
          <w:sz w:val="32"/>
          <w:szCs w:val="32"/>
        </w:rPr>
      </w:pPr>
      <w:r>
        <w:rPr>
          <w:rFonts w:hint="eastAsia" w:ascii="仿宋_GB2312" w:eastAsia="仿宋_GB2312"/>
          <w:sz w:val="32"/>
          <w:szCs w:val="32"/>
        </w:rPr>
        <w:t>（6）承办领导临时交办的其它工作。</w:t>
      </w:r>
    </w:p>
    <w:p>
      <w:pPr>
        <w:spacing w:line="540" w:lineRule="exact"/>
        <w:ind w:firstLine="643" w:firstLineChars="200"/>
        <w:rPr>
          <w:rFonts w:ascii="仿宋_GB2312" w:eastAsia="仿宋_GB2312"/>
          <w:b/>
          <w:bCs/>
          <w:sz w:val="32"/>
          <w:szCs w:val="32"/>
        </w:rPr>
      </w:pPr>
      <w:r>
        <w:rPr>
          <w:rFonts w:hint="eastAsia" w:ascii="仿宋_GB2312" w:eastAsia="仿宋_GB2312"/>
          <w:b/>
          <w:bCs/>
          <w:sz w:val="32"/>
          <w:szCs w:val="32"/>
        </w:rPr>
        <w:t>3.妇联主要职责：</w:t>
      </w:r>
    </w:p>
    <w:p>
      <w:pPr>
        <w:spacing w:line="540" w:lineRule="exact"/>
        <w:ind w:firstLine="645"/>
        <w:rPr>
          <w:rFonts w:ascii="仿宋_GB2312" w:eastAsia="仿宋_GB2312"/>
          <w:sz w:val="32"/>
          <w:szCs w:val="32"/>
        </w:rPr>
      </w:pPr>
      <w:r>
        <w:rPr>
          <w:rFonts w:hint="eastAsia" w:ascii="仿宋_GB2312" w:eastAsia="仿宋_GB2312"/>
          <w:sz w:val="32"/>
          <w:szCs w:val="32"/>
        </w:rPr>
        <w:t>（1）搞好本级妇联的日常工作；</w:t>
      </w:r>
    </w:p>
    <w:p>
      <w:pPr>
        <w:spacing w:line="540" w:lineRule="exact"/>
        <w:ind w:firstLine="645"/>
        <w:rPr>
          <w:rFonts w:ascii="仿宋_GB2312" w:eastAsia="仿宋_GB2312"/>
          <w:sz w:val="32"/>
          <w:szCs w:val="32"/>
        </w:rPr>
      </w:pPr>
      <w:r>
        <w:rPr>
          <w:rFonts w:hint="eastAsia" w:ascii="仿宋_GB2312" w:eastAsia="仿宋_GB2312"/>
          <w:sz w:val="32"/>
          <w:szCs w:val="32"/>
        </w:rPr>
        <w:t>（2）调查研究本级妇女、儿童的情况，发展问题，并及时向上级反映和提出建议；</w:t>
      </w:r>
    </w:p>
    <w:p>
      <w:pPr>
        <w:spacing w:line="540" w:lineRule="exact"/>
        <w:ind w:firstLine="645"/>
        <w:rPr>
          <w:rFonts w:ascii="仿宋_GB2312" w:eastAsia="仿宋_GB2312"/>
          <w:sz w:val="32"/>
          <w:szCs w:val="32"/>
        </w:rPr>
      </w:pPr>
      <w:r>
        <w:rPr>
          <w:rFonts w:hint="eastAsia" w:ascii="仿宋_GB2312" w:eastAsia="仿宋_GB2312"/>
          <w:sz w:val="32"/>
          <w:szCs w:val="32"/>
        </w:rPr>
        <w:t>（3）带领妇女积极开展“双学双赛”活动和 “巾帼建功”、“五好文明家庭”等活动，提高妇女思想道德素质、科技文化素质、民主法制素质，弘扬社会公德、职业道德和家庭美德；</w:t>
      </w:r>
    </w:p>
    <w:p>
      <w:pPr>
        <w:spacing w:line="540" w:lineRule="exact"/>
        <w:ind w:firstLine="645"/>
        <w:rPr>
          <w:rFonts w:ascii="仿宋_GB2312" w:eastAsia="仿宋_GB2312"/>
          <w:sz w:val="32"/>
          <w:szCs w:val="32"/>
        </w:rPr>
      </w:pPr>
      <w:r>
        <w:rPr>
          <w:rFonts w:hint="eastAsia" w:ascii="仿宋_GB2312" w:eastAsia="仿宋_GB2312"/>
          <w:sz w:val="32"/>
          <w:szCs w:val="32"/>
        </w:rPr>
        <w:t>（4）负责搞好本级妇联的宣传舆论工作。教育、引导广大妇女增强自尊、自强、自信、自立精神，表彰先进，开展职业技术培训和妇女干部的培训，全面提高素质，促进妇女人才的成长；</w:t>
      </w:r>
    </w:p>
    <w:p>
      <w:pPr>
        <w:spacing w:line="540" w:lineRule="exact"/>
        <w:ind w:firstLine="645"/>
        <w:rPr>
          <w:rFonts w:ascii="仿宋_GB2312" w:eastAsia="仿宋_GB2312"/>
          <w:sz w:val="32"/>
          <w:szCs w:val="32"/>
        </w:rPr>
      </w:pPr>
      <w:r>
        <w:rPr>
          <w:rFonts w:hint="eastAsia" w:ascii="仿宋_GB2312" w:eastAsia="仿宋_GB2312"/>
          <w:sz w:val="32"/>
          <w:szCs w:val="32"/>
        </w:rPr>
        <w:t>（5）促进妇女参政、议政，维护妇女儿童的合法权益；</w:t>
      </w:r>
    </w:p>
    <w:p>
      <w:pPr>
        <w:spacing w:line="540" w:lineRule="exact"/>
        <w:ind w:firstLine="645"/>
        <w:rPr>
          <w:rFonts w:ascii="仿宋_GB2312" w:eastAsia="仿宋_GB2312"/>
          <w:sz w:val="32"/>
          <w:szCs w:val="32"/>
        </w:rPr>
      </w:pPr>
      <w:r>
        <w:rPr>
          <w:rFonts w:hint="eastAsia" w:ascii="仿宋_GB2312" w:eastAsia="仿宋_GB2312"/>
          <w:sz w:val="32"/>
          <w:szCs w:val="32"/>
        </w:rPr>
        <w:t>（6）为妇女儿童服务。加强与社会各界的关系，巩固各族妇女大团结；</w:t>
      </w:r>
    </w:p>
    <w:p>
      <w:pPr>
        <w:spacing w:line="540" w:lineRule="exact"/>
        <w:ind w:firstLine="645"/>
        <w:rPr>
          <w:rFonts w:ascii="仿宋_GB2312" w:eastAsia="仿宋_GB2312"/>
          <w:sz w:val="32"/>
          <w:szCs w:val="32"/>
        </w:rPr>
      </w:pPr>
      <w:r>
        <w:rPr>
          <w:rFonts w:hint="eastAsia" w:ascii="仿宋_GB2312" w:eastAsia="仿宋_GB2312"/>
          <w:sz w:val="32"/>
          <w:szCs w:val="32"/>
        </w:rPr>
        <w:t>（7）承办领导临时交办的其它工作。</w:t>
      </w:r>
    </w:p>
    <w:p>
      <w:pPr>
        <w:spacing w:line="540" w:lineRule="exact"/>
        <w:ind w:firstLine="643" w:firstLineChars="200"/>
        <w:rPr>
          <w:rFonts w:ascii="仿宋_GB2312" w:eastAsia="仿宋_GB2312"/>
          <w:b/>
          <w:bCs/>
          <w:sz w:val="32"/>
          <w:szCs w:val="32"/>
        </w:rPr>
      </w:pPr>
      <w:r>
        <w:rPr>
          <w:rFonts w:hint="eastAsia" w:ascii="仿宋_GB2312" w:eastAsia="仿宋_GB2312"/>
          <w:b/>
          <w:bCs/>
          <w:sz w:val="32"/>
          <w:szCs w:val="32"/>
        </w:rPr>
        <w:t>4.</w:t>
      </w:r>
      <w:r>
        <w:rPr>
          <w:rFonts w:hint="eastAsia" w:ascii="仿宋_GB2312" w:eastAsia="仿宋_GB2312"/>
          <w:b/>
          <w:bCs/>
          <w:sz w:val="32"/>
          <w:szCs w:val="32"/>
          <w:lang w:val="zh-CN"/>
        </w:rPr>
        <w:t>人员概况</w:t>
      </w:r>
    </w:p>
    <w:p>
      <w:pPr>
        <w:spacing w:line="540" w:lineRule="exact"/>
        <w:ind w:firstLine="645"/>
        <w:rPr>
          <w:rFonts w:ascii="仿宋_GB2312" w:eastAsia="仿宋_GB2312"/>
          <w:sz w:val="32"/>
          <w:szCs w:val="32"/>
        </w:rPr>
      </w:pPr>
      <w:r>
        <w:rPr>
          <w:rFonts w:hint="eastAsia" w:eastAsia="仿宋_GB2312"/>
          <w:sz w:val="32"/>
          <w:szCs w:val="32"/>
        </w:rPr>
        <w:t>茸木达乡属一级预算单位，无下属二级单位</w:t>
      </w:r>
      <w:r>
        <w:rPr>
          <w:rFonts w:hint="eastAsia" w:ascii="仿宋_GB2312" w:hAnsi="仿宋_GB2312" w:eastAsia="仿宋_GB2312" w:cs="仿宋_GB2312"/>
          <w:sz w:val="32"/>
          <w:szCs w:val="32"/>
        </w:rPr>
        <w:t>。</w:t>
      </w:r>
      <w:r>
        <w:rPr>
          <w:rFonts w:hint="eastAsia" w:ascii="仿宋_GB2312" w:eastAsia="仿宋_GB2312"/>
          <w:sz w:val="32"/>
          <w:szCs w:val="32"/>
        </w:rPr>
        <w:t>壤塘县茸木达乡编制数32人，其中：行政编制18人；全额事业编制13人，机关工勤1人。离休人员0人，退休人员4人。</w:t>
      </w:r>
    </w:p>
    <w:p>
      <w:pPr>
        <w:pStyle w:val="7"/>
        <w:adjustRightInd w:val="0"/>
        <w:snapToGrid w:val="0"/>
        <w:spacing w:before="93" w:line="600" w:lineRule="exact"/>
        <w:ind w:firstLine="675" w:firstLineChars="210"/>
        <w:outlineLvl w:val="2"/>
        <w:rPr>
          <w:rFonts w:ascii="黑体" w:hAnsi="黑体" w:eastAsia="黑体" w:cs="黑体"/>
          <w:b/>
          <w:color w:val="000000"/>
          <w:sz w:val="32"/>
          <w:szCs w:val="32"/>
        </w:rPr>
      </w:pPr>
      <w:bookmarkStart w:id="24" w:name="_Toc15377199"/>
      <w:bookmarkStart w:id="25" w:name="_Toc15378446"/>
      <w:bookmarkStart w:id="26" w:name="_Toc79163854"/>
      <w:bookmarkStart w:id="27" w:name="_Toc79163604"/>
      <w:r>
        <w:rPr>
          <w:rFonts w:hint="eastAsia" w:ascii="黑体" w:hAnsi="黑体" w:eastAsia="黑体" w:cs="黑体"/>
          <w:b/>
          <w:color w:val="000000"/>
          <w:sz w:val="32"/>
          <w:szCs w:val="32"/>
        </w:rPr>
        <w:t>（二）2021年重点工作完成情况。</w:t>
      </w:r>
      <w:bookmarkEnd w:id="24"/>
      <w:bookmarkEnd w:id="25"/>
      <w:bookmarkEnd w:id="26"/>
      <w:bookmarkEnd w:id="27"/>
    </w:p>
    <w:p>
      <w:pPr>
        <w:pStyle w:val="25"/>
        <w:spacing w:line="360" w:lineRule="auto"/>
        <w:ind w:firstLine="643"/>
        <w:rPr>
          <w:rFonts w:ascii="仿宋_GB2312" w:hAnsi="仿宋_GB2312" w:eastAsia="仿宋_GB2312" w:cs="仿宋_GB2312"/>
          <w:sz w:val="32"/>
          <w:szCs w:val="32"/>
        </w:rPr>
      </w:pPr>
      <w:r>
        <w:rPr>
          <w:rFonts w:hint="eastAsia" w:ascii="仿宋" w:hAnsi="仿宋" w:eastAsia="仿宋" w:cs="仿宋"/>
          <w:b/>
          <w:bCs/>
          <w:sz w:val="32"/>
          <w:szCs w:val="32"/>
        </w:rPr>
        <w:t>1.以强烈的使命担当确保决策部署落地落实。一是加强重大决策学习。</w:t>
      </w:r>
      <w:r>
        <w:rPr>
          <w:rFonts w:hint="eastAsia" w:ascii="仿宋_GB2312" w:hAnsi="仿宋_GB2312" w:eastAsia="仿宋_GB2312" w:cs="仿宋_GB2312"/>
          <w:sz w:val="32"/>
          <w:szCs w:val="32"/>
        </w:rPr>
        <w:t>深入学习贯彻习近平新时代中国特色社会主义思想和党的十九届五中、六中全会精神以及省、州、县系列全会精神，承接壤塘县“155”发展战略，攻坚克难抓好全乡经济发展、社会稳定、民生保障等工作。二是严格落实防控措施。及时成立茸木达乡综合卡点，强化“前哨”作用，筑牢疫情防控第一防线，累计排查车辆1.2万台次、1.3万余人。同时严格疫苗接种工作，我乡新冠疫苗接种总任务数为1177人，截至目前，第一剂次接种1476人，接种率达98%；第二剂次1388人，接种率达97%，对未接种少数人员，正在发动各村工作组积极协助排查，加强动员。三是巩固提升脱贫成效。持续巩固207户941人脱贫成效，紧盯2021年动态管理排查中发现7户46人三类监测户（其中6户38人已脱贫户，1户8人非贫困户），并对全乡农牧民群众开展全覆盖第三轮“两不愁三保障”大排查和外出务工大排查等工作，填写收入台账、细化帮扶措施，确保全面消除绝对贫困问题。实施脱贫攻坚项目8个，除德萨村发展村集体经济项目以外均通过县级主管部门验收。四是狠抓稳定隐患排查调处。严格管控辖区重点人员、特殊物品，全年排查矛盾纠纷6起，已调处4起；全覆盖开展3座寺庙“一寺一策”管理工作。按照德发书记“趁热打铁、扎实推进、见到成效”的指示，成立茸木达乡僧尼群众思想教育整顿工作领导小组，全覆盖开展村组干部、农牧民群众、民管会班子思想教育整顿会。联合三郎寺管会邀请统战、公安、民宗、党校等县级部门开展为期3天的僧尼集中学习教育整顿培训班，成效明显。五是严抓森林草原防灭火工作。共聘用208名生态管护员，组建乡、村两级应急扑火队1支和森林草原防灭火巡逻队4支，开展日常演练5次，培训6次。我乡森林草原覆盖面广，属森林草原防火重点区域。截至目前，我乡未发生一起火情。六是扎实推进控辍保学。全覆盖摸排学龄儿童入学情况，我乡7-15周岁适龄儿童515人，7-9周岁学生已全部入学。结合大排查“回头看”工作，</w:t>
      </w:r>
      <w:r>
        <w:rPr>
          <w:rFonts w:ascii="仿宋_GB2312" w:hAnsi="仿宋_GB2312" w:eastAsia="仿宋_GB2312" w:cs="仿宋_GB2312"/>
          <w:sz w:val="32"/>
          <w:szCs w:val="32"/>
        </w:rPr>
        <w:t>全面开展劝返入校工作，确保春季开学取得实效</w:t>
      </w:r>
      <w:r>
        <w:rPr>
          <w:rFonts w:hint="eastAsia" w:ascii="仿宋_GB2312" w:hAnsi="仿宋_GB2312" w:eastAsia="仿宋_GB2312" w:cs="仿宋_GB2312"/>
          <w:sz w:val="32"/>
          <w:szCs w:val="32"/>
        </w:rPr>
        <w:t>。七是有序推进安全生产。全年开展消防、道路交通等重点领域安全生产排查12次，全年未发生较大安全事故。</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2.以政治建设统领新时代党的建设。</w:t>
      </w:r>
      <w:r>
        <w:rPr>
          <w:rFonts w:hint="eastAsia" w:ascii="仿宋_GB2312" w:hAnsi="仿宋_GB2312" w:eastAsia="仿宋_GB2312" w:cs="仿宋_GB2312"/>
          <w:sz w:val="32"/>
          <w:szCs w:val="32"/>
        </w:rPr>
        <w:t>一是落实政治责任。坚持党委会议议事和“三重一大”决策制度，全年主持召开党委会14次。二是落实管党责任。认真执行“一岗双责”，班子成员包村抓党建，帮助村级理清思路，协调解决具体困难问题。三是落实第一责任人责任。带头调研村级党建工作2次，签订党建目标责任书7份；全年发展正式党员11名、预备党员10名；顺利完成村级建制调整，深入开展村两委换届系列工作。四是持续加强边界地区基层党组织之间交流合作。结合两省三县五乡的地理位置，先后与青海省果洛州班玛县灯塔乡、阿坝县柯河乡签订《川青边界“联合党工委”2021年共建协议》，有效构建起了边界地区开放合作、共同发展的良好格局。五是提高乡村两级干部能力素质。除积极参加县级机关组织的各项培训外，今年还组织了3批次乡村干部分别到石里乡、灯塔乡、柯河乡学习乡村振兴先进经验。</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3.以党风廉政建设高质量推进工作开展。</w:t>
      </w:r>
      <w:r>
        <w:rPr>
          <w:rFonts w:hint="eastAsia" w:ascii="仿宋_GB2312" w:hAnsi="仿宋_GB2312" w:eastAsia="仿宋_GB2312" w:cs="仿宋_GB2312"/>
          <w:sz w:val="32"/>
          <w:szCs w:val="32"/>
        </w:rPr>
        <w:t>坚持“全面从严治党”要求，主动扛起第一责任人职责。一是严肃党内政治生活。坚决执行党的路线方针政策，严守党的政治规矩和政治纪律，严格落实民主生活会、组织生活会等制度，在思想上、政治上、行动上同党中央保持高度一致。二是担起主体责任。制定班子成员党风廉政建设“三张清单”，召开党风廉政建设专题会议2次，听取班子成员专题汇报2次，带头上廉政党课2次，通报违纪违法案件6期，廉政学习4次，约谈乡村干部2次，与乡村干部全覆盖谈心谈话1次。三是做实做细日常监督。推行“阳光村务”建设，禁止村两委负责人插手工程。组织开展“阳光问廉”坝坝会4场次，解决群众诉求6个，收集意见建议6条。四是切实推进作风建设。认真贯彻落实中央</w:t>
      </w:r>
      <w:r>
        <w:fldChar w:fldCharType="begin"/>
      </w:r>
      <w:r>
        <w:instrText xml:space="preserve"> HYPERLINK "https://www.wm114.cn/wen/207/412693.html" </w:instrText>
      </w:r>
      <w:r>
        <w:fldChar w:fldCharType="separate"/>
      </w:r>
      <w:r>
        <w:rPr>
          <w:rFonts w:hint="eastAsia" w:ascii="仿宋_GB2312" w:hAnsi="仿宋_GB2312" w:eastAsia="仿宋_GB2312" w:cs="仿宋_GB2312"/>
          <w:sz w:val="32"/>
          <w:szCs w:val="32"/>
        </w:rPr>
        <w:t>八项规定</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精神，逢节必讲廉洁过节要求，以身作则严守廉洁自律规定，先后2次对班子成员进行集体廉政谈话。坚持会前学法学纪制度，会前学法学纪24余次。</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4.以人民为中心做好意识形态工作。</w:t>
      </w:r>
      <w:r>
        <w:rPr>
          <w:rFonts w:hint="eastAsia" w:ascii="仿宋_GB2312" w:hAnsi="仿宋_GB2312" w:eastAsia="仿宋_GB2312" w:cs="仿宋_GB2312"/>
          <w:sz w:val="32"/>
          <w:szCs w:val="32"/>
        </w:rPr>
        <w:t>树牢和践行“四个意识”，坚持筑牢思想理论基础，树立正确舆论导向。一是落实“一岗双责”，纳入班子成员和村两委考核范围，听取班子成员专题</w:t>
      </w:r>
      <w:r>
        <w:fldChar w:fldCharType="begin"/>
      </w:r>
      <w:r>
        <w:instrText xml:space="preserve"> HYPERLINK "http://www.wm114.cn/0c/41/index.html" </w:instrText>
      </w:r>
      <w:r>
        <w:fldChar w:fldCharType="separate"/>
      </w:r>
      <w:r>
        <w:rPr>
          <w:rFonts w:hint="eastAsia" w:ascii="仿宋_GB2312" w:hAnsi="仿宋_GB2312" w:eastAsia="仿宋_GB2312" w:cs="仿宋_GB2312"/>
          <w:sz w:val="32"/>
          <w:szCs w:val="32"/>
        </w:rPr>
        <w:t>汇报</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次。二是强化理论学习，围绕习近平新时代中国特色社会主义思想、党的十九届五中、六中全会精神、壤塘县第十四次党代会精神等内容，组织集中学习12次、讲党课2次，并利用学习强国常态学，确保理论武装到位。三是发挥阵地功能，用好村级文化设备，坚持定期对外开放，通过村村响，引导广大群众树立正确的舆论导向。深入开展志愿服务，疫情防控期间，群众参与志愿服务200余人。四是弘扬社会文明，践行核心价值观。积极开展各类创建活动，实施移风易俗宣传教育、美丽乡村建设等行动，创建州级民族团结进步村2个、县级文明单位1个。 张贴宣传标语13幅、伟人像640余幅，悬挂国旗420面。</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5.以产业转型为基础，探索茸木达经济发展新模式。</w:t>
      </w:r>
      <w:r>
        <w:rPr>
          <w:rFonts w:hint="eastAsia" w:ascii="仿宋_GB2312" w:hAnsi="仿宋_GB2312" w:eastAsia="仿宋_GB2312" w:cs="仿宋_GB2312"/>
          <w:sz w:val="32"/>
          <w:szCs w:val="32"/>
        </w:rPr>
        <w:t>我乡始终把产业结构优化作为我乡发展的重中之重，改善以往以传统畜牧业和粗放型农业为主的产业发展局面，牢固树立“特色是方向、增收是核心”的指导思想，推动农业增效、农民增收、农村发展。一是全乡产业扶持基金共计350万元，其中310万元投资慧科公司（德萨村150万，啄昆村10万元，茸木达村50万），巴尔依100万），目前均已到期，兑现分红10余万元；啄昆村剩余40万产业扶持基金投入南木达农庄旅游接待点集体经济；二是全乡联户牧场4处（建制合并前巴生村、洞窝村、牙格车村，茸木达村），共计350余头，投资149.77万元，累计分红6万余元；三是雪尔盖村2017年投资27.25万成立石料开采厂，累计分红10万元，因涉及生态红线，2021年暂停开采；四是2018年啄坤村成立农庄旅游接待点集体经济，投资资金105.69万元，累计分红8万元；五是试点种植黑青稞1250亩，投资30万元。</w:t>
      </w:r>
    </w:p>
    <w:p>
      <w:pPr>
        <w:pStyle w:val="25"/>
        <w:spacing w:line="360" w:lineRule="auto"/>
        <w:ind w:firstLine="640"/>
        <w:rPr>
          <w:rFonts w:ascii="仿宋" w:hAnsi="仿宋" w:eastAsia="仿宋"/>
          <w:bCs/>
          <w:color w:val="000000"/>
          <w:sz w:val="32"/>
          <w:szCs w:val="32"/>
        </w:rPr>
      </w:pPr>
      <w:r>
        <w:rPr>
          <w:rFonts w:hint="eastAsia" w:ascii="仿宋_GB2312" w:hAnsi="仿宋_GB2312" w:eastAsia="仿宋_GB2312" w:cs="仿宋_GB2312"/>
          <w:b/>
          <w:bCs/>
          <w:sz w:val="32"/>
          <w:szCs w:val="32"/>
        </w:rPr>
        <w:t>6.强化落实巩固脱贫攻坚成果工作</w:t>
      </w:r>
      <w:r>
        <w:rPr>
          <w:rFonts w:hint="eastAsia" w:ascii="仿宋_GB2312" w:hAnsi="仿宋_GB2312" w:eastAsia="仿宋_GB2312" w:cs="仿宋_GB2312"/>
          <w:sz w:val="32"/>
          <w:szCs w:val="32"/>
        </w:rPr>
        <w:t>。2021年，我乡各项指标均全面增长，经济和社会发展总体呈良好态势，巩固脱贫攻坚成果成效显著。一是以“就业优先、带动增收”为抓手，进一步巩固脱贫攻坚工作成果。我乡加大劳动力转移输出，扶持、鼓励农牧民群众外出务工就业，引导就近务工，累计组织“点对点”向浙江、绵阳等援助省市输送农民工78人，动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余名石匠木匠就近务工</w:t>
      </w:r>
      <w:r>
        <w:rPr>
          <w:rFonts w:ascii="仿宋_GB2312" w:hAnsi="仿宋_GB2312" w:eastAsia="仿宋_GB2312" w:cs="仿宋_GB2312"/>
          <w:sz w:val="32"/>
          <w:szCs w:val="32"/>
        </w:rPr>
        <w:t>，累计收入达</w:t>
      </w:r>
      <w:r>
        <w:rPr>
          <w:rFonts w:hint="eastAsia" w:ascii="仿宋_GB2312" w:hAnsi="仿宋_GB2312" w:eastAsia="仿宋_GB2312" w:cs="仿宋_GB2312"/>
          <w:sz w:val="32"/>
          <w:szCs w:val="32"/>
        </w:rPr>
        <w:t>930</w:t>
      </w:r>
      <w:r>
        <w:rPr>
          <w:rFonts w:ascii="仿宋_GB2312" w:hAnsi="仿宋_GB2312" w:eastAsia="仿宋_GB2312" w:cs="仿宋_GB2312"/>
          <w:sz w:val="32"/>
          <w:szCs w:val="32"/>
        </w:rPr>
        <w:t>余万元</w:t>
      </w:r>
      <w:r>
        <w:rPr>
          <w:rFonts w:hint="eastAsia" w:ascii="仿宋_GB2312" w:hAnsi="仿宋_GB2312" w:eastAsia="仿宋_GB2312" w:cs="仿宋_GB2312"/>
          <w:sz w:val="32"/>
          <w:szCs w:val="32"/>
        </w:rPr>
        <w:t>，并通过基础设施建设、村民自建项目建设、公益性岗位设置等解决就近务工问题，截至目前，累计就近务工1000余人次，人均增收1800余元。二是以“兜底保障，四个不摘”为重点，聚焦“两不愁、三保障”核心指标，通过“两联一进”，组织帮扶干部开展入户走访，驻村工作队入户大排查等，对全乡647户2419名农牧民群众开展摸排，及时掌握农牧民群众生活情况，并坚持“结果导向”，针对排查情况进一步</w:t>
      </w:r>
      <w:r>
        <w:rPr>
          <w:rFonts w:ascii="仿宋_GB2312" w:hAnsi="仿宋_GB2312" w:eastAsia="仿宋_GB2312" w:cs="仿宋_GB2312"/>
          <w:sz w:val="32"/>
          <w:szCs w:val="32"/>
        </w:rPr>
        <w:t>细化帮扶措施，确保全面消除绝对贫困问题。</w:t>
      </w:r>
      <w:r>
        <w:rPr>
          <w:rFonts w:hint="eastAsia" w:ascii="仿宋_GB2312" w:hAnsi="仿宋_GB2312" w:eastAsia="仿宋_GB2312" w:cs="仿宋_GB2312"/>
          <w:sz w:val="32"/>
          <w:szCs w:val="32"/>
        </w:rPr>
        <w:t>在2021年</w:t>
      </w:r>
      <w:r>
        <w:rPr>
          <w:rFonts w:ascii="仿宋_GB2312" w:hAnsi="仿宋_GB2312" w:eastAsia="仿宋_GB2312" w:cs="仿宋_GB2312"/>
          <w:sz w:val="32"/>
          <w:szCs w:val="32"/>
        </w:rPr>
        <w:t>动态管理</w:t>
      </w:r>
      <w:r>
        <w:rPr>
          <w:rFonts w:hint="eastAsia" w:ascii="仿宋_GB2312" w:hAnsi="仿宋_GB2312" w:eastAsia="仿宋_GB2312" w:cs="仿宋_GB2312"/>
          <w:sz w:val="32"/>
          <w:szCs w:val="32"/>
        </w:rPr>
        <w:t xml:space="preserve">排查中，新增识别7户46人（边缘易致贫户1户8人，脱贫不稳定户6户38人），紧紧围绕“就业、医保、教育”等方面政策制定针对性帮扶措施，加强分类管理做到精准施策。11月初，我乡聚焦“两不愁、三保障”核心指标，对没有劳动能力的低收入人口，以现有社会保障体系为基础，落实低保、特困供养、临时救助等兜底保障政策；对有劳动能力的低收入人口，坚持开发式帮扶，帮助其提高内生发展能力，提高就业技能，依靠双手勤劳致富。 </w:t>
      </w:r>
    </w:p>
    <w:p>
      <w:pPr>
        <w:pStyle w:val="4"/>
        <w:rPr>
          <w:rStyle w:val="27"/>
          <w:b w:val="0"/>
          <w:bCs w:val="0"/>
        </w:rPr>
      </w:pPr>
      <w:bookmarkStart w:id="28" w:name="_Toc15377200"/>
      <w:bookmarkStart w:id="29" w:name="_Toc15396601"/>
      <w:bookmarkStart w:id="30" w:name="_Toc79163605"/>
      <w:bookmarkStart w:id="31" w:name="_Toc79163855"/>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设置5个党政综合办事机构具体是:(1)党政办公室，挂经济发展和乡村振兴办公室牌子，负责党委、人大主席团、政府日常事务性工作;负责经济发展、乡村振兴、扶贫开发等工作。(2)党建工作办公室挂群团工作办公室牌子，负责指导基层党组织建设、党风廉政建设等工作，负责群团相关工作(3)维护稳定办公室挂群众工作办公室牌子，负责社会治安综合治理、维护稳定、群众信访等工作(4)社会事务和应急管理办公室,挂安全生产管理委员会办公室、综合行政执法办公室牌子，负责教育、科学、卫生健康、民政、劳动保障等工作:负责安全生产和应急管理等工作;负责辖区内综合行政执法工作。(5)财政工作办公室，负责集体资产与村级财务的管理指导、管理乡乡行政事业单位和其他组织的各类财政资金等工作。</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乡乡人大、纪委综合办事机构及县监察委员会派出监察室按有关规定设置，确保有人员负责相关工作;乡乡工会、共青团、妇联等群团机构按有关章程设置,相关工作由有关党政综合办事机构承担。</w:t>
      </w:r>
    </w:p>
    <w:p>
      <w:pPr>
        <w:pStyle w:val="2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统一设置4个直属公益一类事业机构具体是(1)便民服务中心，负责牵头承担乡乡便民服务等工作(2)社会事业服务中心，负责教育、科学、卫生健康、民政、劳动就业、社会保障等社会事业服务工作(3)农业农村服务中心，主要承担农技推广、农产品质量安全技术服务、畜牧兽医等涉农服务工作。(4)综合文化服务中心，主要承担宣传思想教育、基本公共文化服务等工作。</w:t>
      </w:r>
    </w:p>
    <w:p>
      <w:pPr>
        <w:pStyle w:val="3"/>
        <w:ind w:right="880"/>
        <w:jc w:val="right"/>
        <w:rPr>
          <w:rFonts w:ascii="黑体" w:hAnsi="黑体" w:eastAsia="黑体"/>
          <w:b w:val="0"/>
          <w:color w:val="000000"/>
        </w:rPr>
      </w:pPr>
      <w:bookmarkStart w:id="32" w:name="_Toc15377204"/>
      <w:bookmarkStart w:id="33" w:name="_Toc79163859"/>
      <w:bookmarkStart w:id="34" w:name="_Toc79163609"/>
      <w:bookmarkStart w:id="35" w:name="_Toc15396602"/>
    </w:p>
    <w:p>
      <w:pPr>
        <w:pStyle w:val="3"/>
        <w:ind w:right="440"/>
        <w:rPr>
          <w:rFonts w:ascii="黑体" w:hAnsi="黑体" w:eastAsia="黑体"/>
          <w:b w:val="0"/>
          <w:color w:val="000000"/>
        </w:rPr>
      </w:pPr>
    </w:p>
    <w:p/>
    <w:p>
      <w:pPr>
        <w:pStyle w:val="3"/>
        <w:ind w:right="440"/>
        <w:jc w:val="right"/>
        <w:rPr>
          <w:rStyle w:val="26"/>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w:t>
      </w:r>
      <w:r>
        <w:rPr>
          <w:rStyle w:val="26"/>
          <w:rFonts w:hint="eastAsia" w:ascii="黑体" w:hAnsi="黑体" w:eastAsia="黑体"/>
          <w:b w:val="0"/>
          <w:bCs w:val="0"/>
        </w:rPr>
        <w:t>1年度部门决算情况说明</w:t>
      </w:r>
      <w:bookmarkEnd w:id="32"/>
      <w:bookmarkEnd w:id="33"/>
      <w:bookmarkEnd w:id="34"/>
      <w:bookmarkEnd w:id="35"/>
    </w:p>
    <w:p/>
    <w:p>
      <w:pPr>
        <w:pStyle w:val="37"/>
        <w:numPr>
          <w:ilvl w:val="0"/>
          <w:numId w:val="1"/>
        </w:numPr>
        <w:spacing w:line="600" w:lineRule="exact"/>
        <w:ind w:firstLineChars="0"/>
        <w:outlineLvl w:val="1"/>
        <w:rPr>
          <w:rStyle w:val="27"/>
          <w:rFonts w:ascii="黑体" w:hAnsi="黑体" w:eastAsia="黑体"/>
          <w:b w:val="0"/>
        </w:rPr>
      </w:pPr>
      <w:bookmarkStart w:id="36" w:name="_Toc15377205"/>
      <w:bookmarkStart w:id="37" w:name="_Toc15396603"/>
      <w:bookmarkStart w:id="38" w:name="_Toc79163860"/>
      <w:bookmarkStart w:id="39" w:name="_Toc79163610"/>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pStyle w:val="9"/>
        <w:spacing w:after="0"/>
        <w:ind w:left="0" w:leftChars="0"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1年度收入合计2,265.15万元，其中：一般公共预算财政拨款收入2088.56万元、 年初结转和结余176.59万元；支出合计2,265.15万元。与2020年相比，收入总计与支出总计各增加766.92万元；主要变动原因是2021年收入与支出数均高于2020年，主要原因是单位2021年项目增加，导致2021年支出高于2020年。</w:t>
      </w:r>
    </w:p>
    <w:p>
      <w:pPr>
        <w:pStyle w:val="2"/>
        <w:ind w:left="820" w:hanging="400"/>
        <w:jc w:val="center"/>
      </w:pPr>
      <w:r>
        <w:drawing>
          <wp:inline distT="0" distB="0" distL="0" distR="0">
            <wp:extent cx="4572000" cy="2743200"/>
            <wp:effectExtent l="19050" t="0" r="19050" b="0"/>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7"/>
        <w:numPr>
          <w:ilvl w:val="0"/>
          <w:numId w:val="1"/>
        </w:numPr>
        <w:spacing w:line="600" w:lineRule="exact"/>
        <w:ind w:firstLineChars="0"/>
        <w:outlineLvl w:val="1"/>
        <w:rPr>
          <w:rStyle w:val="27"/>
          <w:rFonts w:ascii="黑体" w:hAnsi="黑体" w:eastAsia="黑体"/>
          <w:b w:val="0"/>
        </w:rPr>
      </w:pPr>
      <w:bookmarkStart w:id="40" w:name="_Toc15396604"/>
      <w:bookmarkStart w:id="41" w:name="_Toc15377206"/>
      <w:bookmarkStart w:id="42" w:name="_Toc79163861"/>
      <w:bookmarkStart w:id="43" w:name="_Toc79163611"/>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1年本年收入合计2,265.15万元，其中：一般公共预算财政拨款收入2088.56万元，占92</w:t>
      </w:r>
      <w:r>
        <w:rPr>
          <w:rFonts w:ascii="仿宋" w:hAnsi="仿宋" w:eastAsia="仿宋"/>
          <w:color w:val="000000"/>
          <w:sz w:val="32"/>
          <w:szCs w:val="32"/>
        </w:rPr>
        <w:t>%</w:t>
      </w:r>
      <w:r>
        <w:rPr>
          <w:rFonts w:hint="eastAsia" w:ascii="仿宋" w:hAnsi="仿宋" w:eastAsia="仿宋"/>
          <w:color w:val="000000"/>
          <w:sz w:val="32"/>
          <w:szCs w:val="32"/>
        </w:rPr>
        <w:t>；年初结转和结余176.59万元，占8</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pPr>
    </w:p>
    <w:p>
      <w:pPr>
        <w:jc w:val="center"/>
      </w:pPr>
      <w:r>
        <w:drawing>
          <wp:inline distT="0" distB="0" distL="0" distR="0">
            <wp:extent cx="4019550" cy="1828800"/>
            <wp:effectExtent l="19050" t="0" r="19050" b="0"/>
            <wp:docPr id="1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7"/>
        <w:numPr>
          <w:ilvl w:val="0"/>
          <w:numId w:val="1"/>
        </w:numPr>
        <w:spacing w:line="600" w:lineRule="exact"/>
        <w:ind w:firstLineChars="0"/>
        <w:outlineLvl w:val="1"/>
        <w:rPr>
          <w:rStyle w:val="27"/>
          <w:rFonts w:ascii="黑体" w:hAnsi="黑体" w:eastAsia="黑体"/>
          <w:b w:val="0"/>
        </w:rPr>
      </w:pPr>
      <w:bookmarkStart w:id="44" w:name="_Toc79163862"/>
      <w:bookmarkStart w:id="45" w:name="_Toc79163612"/>
      <w:bookmarkStart w:id="46" w:name="_Toc15377207"/>
      <w:bookmarkStart w:id="47"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w:t>
      </w:r>
      <w:r>
        <w:rPr>
          <w:rFonts w:hint="eastAsia" w:ascii="仿宋" w:hAnsi="仿宋" w:eastAsia="仿宋"/>
          <w:color w:val="000000"/>
          <w:sz w:val="32"/>
          <w:szCs w:val="32"/>
        </w:rPr>
        <w:t>2,265.15</w:t>
      </w:r>
      <w:r>
        <w:rPr>
          <w:rFonts w:hint="eastAsia" w:ascii="仿宋_GB2312" w:eastAsia="仿宋_GB2312"/>
          <w:sz w:val="32"/>
          <w:szCs w:val="32"/>
        </w:rPr>
        <w:t>万元，其中：基本支出713.45万元；项目支出1551.69万元。</w:t>
      </w:r>
    </w:p>
    <w:p>
      <w:pPr>
        <w:pStyle w:val="2"/>
        <w:ind w:left="820" w:hanging="400"/>
        <w:jc w:val="center"/>
      </w:pPr>
      <w:r>
        <w:drawing>
          <wp:inline distT="0" distB="0" distL="0" distR="0">
            <wp:extent cx="4162425" cy="2209800"/>
            <wp:effectExtent l="19050" t="0" r="9525" b="0"/>
            <wp:docPr id="1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7"/>
          <w:rFonts w:ascii="黑体" w:hAnsi="黑体" w:eastAsia="黑体"/>
          <w:b w:val="0"/>
        </w:rPr>
      </w:pPr>
      <w:bookmarkStart w:id="48" w:name="_Toc79163613"/>
      <w:bookmarkStart w:id="49" w:name="_Toc15377208"/>
      <w:bookmarkStart w:id="50" w:name="_Toc79163863"/>
      <w:bookmarkStart w:id="5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pPr>
        <w:pStyle w:val="9"/>
        <w:spacing w:after="0"/>
        <w:ind w:left="0" w:leftChars="0"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1年度收入合计2,265.15万元，其中：一般公共预算财政拨款收入2088.56万元、 年初结转和结余176.59万元；支出合计2,265.15万元。与2020年相比，收入总计与支出总计各增加766.92万元；主要变动原因是2021年收入与支出数均高于2020年，主要原因是单位2021年项目增加，导致2021年支出高于2020年。</w:t>
      </w:r>
    </w:p>
    <w:p>
      <w:pPr>
        <w:pStyle w:val="2"/>
        <w:ind w:left="820" w:hanging="400"/>
      </w:pPr>
      <w:r>
        <w:drawing>
          <wp:inline distT="0" distB="0" distL="0" distR="0">
            <wp:extent cx="4572000" cy="2743200"/>
            <wp:effectExtent l="19050" t="0" r="19050" b="0"/>
            <wp:docPr id="1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7"/>
          <w:rFonts w:ascii="黑体" w:hAnsi="黑体" w:eastAsia="黑体"/>
          <w:b w:val="0"/>
        </w:rPr>
      </w:pPr>
      <w:bookmarkStart w:id="52" w:name="_Toc15377209"/>
      <w:bookmarkStart w:id="53" w:name="_Toc79163614"/>
      <w:bookmarkStart w:id="54" w:name="_Toc15396607"/>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pStyle w:val="9"/>
        <w:spacing w:after="0"/>
        <w:ind w:left="0" w:leftChars="0"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1年一般公共预算财政拨款支出2,265.15万元，占本年支出合计的100</w:t>
      </w:r>
      <w:r>
        <w:rPr>
          <w:rFonts w:ascii="仿宋" w:hAnsi="仿宋" w:eastAsia="仿宋"/>
          <w:color w:val="000000"/>
          <w:sz w:val="32"/>
          <w:szCs w:val="32"/>
        </w:rPr>
        <w:t>%</w:t>
      </w:r>
      <w:r>
        <w:rPr>
          <w:rFonts w:hint="eastAsia" w:ascii="仿宋" w:hAnsi="仿宋" w:eastAsia="仿宋"/>
          <w:color w:val="000000"/>
          <w:sz w:val="32"/>
          <w:szCs w:val="32"/>
        </w:rPr>
        <w:t>。其中：基本支出713.45万元；项目支出1551.69万元。与2020年相比，支出总计增加766.92万元；主要变动原因是2021年收入与支出数均高于2020年，主要原因是单位2021年项目增加，导致2021年支出高于2020年。</w:t>
      </w:r>
    </w:p>
    <w:p>
      <w:r>
        <w:rPr>
          <w:rFonts w:hint="eastAsia"/>
        </w:rPr>
        <w:t>.</w:t>
      </w:r>
    </w:p>
    <w:p>
      <w:pPr>
        <w:pStyle w:val="2"/>
        <w:ind w:left="820" w:hanging="400"/>
      </w:pPr>
      <w:r>
        <w:drawing>
          <wp:inline distT="0" distB="0" distL="0" distR="0">
            <wp:extent cx="4895215" cy="2543175"/>
            <wp:effectExtent l="19050" t="0" r="19051" b="0"/>
            <wp:docPr id="1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1年一般公共预算财政拨款支出2,265.15万元，主要用于以下方面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一般公共服务（类）支出553.45万元，</w:t>
      </w:r>
      <w:r>
        <w:rPr>
          <w:rFonts w:hint="eastAsia" w:ascii="仿宋" w:hAnsi="仿宋" w:eastAsia="仿宋"/>
          <w:color w:val="FF0000"/>
          <w:sz w:val="32"/>
          <w:szCs w:val="32"/>
        </w:rPr>
        <w:t>占</w:t>
      </w:r>
      <w:r>
        <w:rPr>
          <w:rFonts w:hint="eastAsia" w:ascii="仿宋" w:hAnsi="仿宋" w:eastAsia="仿宋"/>
          <w:color w:val="000000"/>
          <w:sz w:val="32"/>
          <w:szCs w:val="32"/>
        </w:rPr>
        <w:t>24.43%；国防支出5万元，占0.2%；社会保障和就业支出74.02万元，占3.27%；卫生健康支出41.08万元，占1.81</w:t>
      </w:r>
      <w:r>
        <w:rPr>
          <w:rFonts w:ascii="仿宋" w:hAnsi="仿宋" w:eastAsia="仿宋"/>
          <w:color w:val="000000"/>
          <w:sz w:val="32"/>
          <w:szCs w:val="32"/>
        </w:rPr>
        <w:t>%</w:t>
      </w:r>
      <w:r>
        <w:rPr>
          <w:rFonts w:hint="eastAsia" w:ascii="仿宋" w:hAnsi="仿宋" w:eastAsia="仿宋"/>
          <w:color w:val="000000"/>
          <w:sz w:val="32"/>
          <w:szCs w:val="32"/>
        </w:rPr>
        <w:t>；</w:t>
      </w:r>
    </w:p>
    <w:p>
      <w:pPr>
        <w:pStyle w:val="25"/>
        <w:ind w:firstLine="0" w:firstLineChars="0"/>
        <w:rPr>
          <w:rFonts w:ascii="仿宋" w:hAnsi="仿宋" w:eastAsia="仿宋"/>
          <w:color w:val="000000"/>
          <w:sz w:val="32"/>
          <w:szCs w:val="32"/>
        </w:rPr>
      </w:pPr>
      <w:r>
        <w:rPr>
          <w:rFonts w:hint="eastAsia" w:ascii="仿宋" w:hAnsi="仿宋" w:eastAsia="仿宋"/>
          <w:color w:val="000000"/>
          <w:sz w:val="32"/>
          <w:szCs w:val="32"/>
        </w:rPr>
        <w:t>节能环保支出</w:t>
      </w:r>
      <w:r>
        <w:rPr>
          <w:rFonts w:hint="eastAsia" w:ascii="仿宋" w:hAnsi="仿宋" w:eastAsia="仿宋"/>
          <w:b/>
          <w:bCs/>
          <w:color w:val="000000"/>
          <w:sz w:val="32"/>
          <w:szCs w:val="32"/>
        </w:rPr>
        <w:t>3</w:t>
      </w:r>
      <w:r>
        <w:rPr>
          <w:rFonts w:hint="eastAsia" w:ascii="仿宋" w:hAnsi="仿宋" w:eastAsia="仿宋"/>
          <w:color w:val="000000"/>
          <w:sz w:val="32"/>
          <w:szCs w:val="32"/>
        </w:rPr>
        <w:t>万元，占0.13</w:t>
      </w:r>
      <w:r>
        <w:rPr>
          <w:rFonts w:ascii="仿宋" w:hAnsi="仿宋" w:eastAsia="仿宋"/>
          <w:color w:val="000000"/>
          <w:sz w:val="32"/>
          <w:szCs w:val="32"/>
        </w:rPr>
        <w:t>%</w:t>
      </w:r>
      <w:r>
        <w:rPr>
          <w:rFonts w:hint="eastAsia" w:ascii="仿宋" w:hAnsi="仿宋" w:eastAsia="仿宋"/>
          <w:color w:val="000000"/>
          <w:sz w:val="32"/>
          <w:szCs w:val="32"/>
        </w:rPr>
        <w:t>；农林水支出1534.65万元，占67.75</w:t>
      </w:r>
      <w:r>
        <w:rPr>
          <w:rFonts w:ascii="仿宋" w:hAnsi="仿宋" w:eastAsia="仿宋"/>
          <w:color w:val="000000"/>
          <w:sz w:val="32"/>
          <w:szCs w:val="32"/>
        </w:rPr>
        <w:t>%</w:t>
      </w:r>
      <w:r>
        <w:rPr>
          <w:rFonts w:hint="eastAsia" w:ascii="仿宋" w:hAnsi="仿宋" w:eastAsia="仿宋"/>
          <w:color w:val="000000"/>
          <w:sz w:val="32"/>
          <w:szCs w:val="32"/>
        </w:rPr>
        <w:t>；交通运输支出5万元，占0.2</w:t>
      </w:r>
      <w:r>
        <w:rPr>
          <w:rFonts w:ascii="仿宋" w:hAnsi="仿宋" w:eastAsia="仿宋"/>
          <w:color w:val="000000"/>
          <w:sz w:val="32"/>
          <w:szCs w:val="32"/>
        </w:rPr>
        <w:t>%</w:t>
      </w:r>
      <w:r>
        <w:rPr>
          <w:rFonts w:hint="eastAsia" w:ascii="仿宋" w:hAnsi="仿宋" w:eastAsia="仿宋"/>
          <w:color w:val="000000"/>
          <w:sz w:val="32"/>
          <w:szCs w:val="32"/>
        </w:rPr>
        <w:t>；住房保障支出47.94万元，占2.11</w:t>
      </w:r>
      <w:r>
        <w:rPr>
          <w:rFonts w:ascii="仿宋" w:hAnsi="仿宋" w:eastAsia="仿宋"/>
          <w:color w:val="000000"/>
          <w:sz w:val="32"/>
          <w:szCs w:val="32"/>
        </w:rPr>
        <w:t>%</w:t>
      </w:r>
      <w:r>
        <w:rPr>
          <w:rFonts w:hint="eastAsia" w:ascii="仿宋" w:hAnsi="仿宋" w:eastAsia="仿宋"/>
          <w:color w:val="000000"/>
          <w:sz w:val="32"/>
          <w:szCs w:val="32"/>
        </w:rPr>
        <w:t>；灾害防治及应急管理支出1万元，占0.44</w:t>
      </w:r>
      <w:r>
        <w:rPr>
          <w:rFonts w:ascii="仿宋" w:hAnsi="仿宋" w:eastAsia="仿宋"/>
          <w:color w:val="000000"/>
          <w:sz w:val="32"/>
          <w:szCs w:val="32"/>
        </w:rPr>
        <w:t>%</w:t>
      </w:r>
    </w:p>
    <w:p>
      <w:pPr>
        <w:pStyle w:val="25"/>
        <w:ind w:firstLine="640"/>
        <w:rPr>
          <w:rFonts w:ascii="仿宋" w:hAnsi="仿宋" w:eastAsia="仿宋"/>
          <w:color w:val="000000"/>
          <w:sz w:val="32"/>
          <w:szCs w:val="32"/>
        </w:rPr>
      </w:pPr>
      <w:r>
        <w:rPr>
          <w:rFonts w:ascii="仿宋" w:hAnsi="仿宋" w:eastAsia="仿宋"/>
          <w:color w:val="000000"/>
          <w:sz w:val="32"/>
          <w:szCs w:val="32"/>
        </w:rPr>
        <w:drawing>
          <wp:inline distT="0" distB="0" distL="0" distR="0">
            <wp:extent cx="4572000" cy="2057400"/>
            <wp:effectExtent l="19050" t="0" r="19050" b="0"/>
            <wp:docPr id="16"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15377212"/>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7444"/>
      <w:bookmarkStart w:id="67" w:name="_Toc15378460"/>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hint="eastAsia" w:ascii="仿宋" w:hAnsi="仿宋" w:eastAsia="仿宋"/>
          <w:color w:val="000000"/>
          <w:sz w:val="32"/>
          <w:szCs w:val="32"/>
        </w:rPr>
        <w:t>2,265.15万元</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FF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rPr>
        <w:t>553.45万元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Style w:val="23"/>
          <w:bCs/>
          <w:color w:val="000000"/>
        </w:rPr>
      </w:pPr>
      <w:r>
        <w:rPr>
          <w:rStyle w:val="23"/>
          <w:rFonts w:ascii="仿宋" w:hAnsi="仿宋" w:eastAsia="仿宋"/>
          <w:bCs/>
          <w:color w:val="000000"/>
          <w:sz w:val="32"/>
          <w:szCs w:val="32"/>
        </w:rPr>
        <w:t>2.</w:t>
      </w:r>
      <w:r>
        <w:rPr>
          <w:rFonts w:hint="eastAsia" w:ascii="仿宋" w:hAnsi="仿宋" w:eastAsia="仿宋"/>
          <w:b/>
          <w:color w:val="000000"/>
          <w:sz w:val="32"/>
          <w:szCs w:val="32"/>
        </w:rPr>
        <w:t>国防支出</w:t>
      </w:r>
      <w:r>
        <w:rPr>
          <w:rStyle w:val="23"/>
          <w:rFonts w:hint="eastAsia" w:ascii="仿宋" w:hAnsi="仿宋" w:eastAsia="仿宋"/>
          <w:bCs/>
          <w:color w:val="000000"/>
          <w:sz w:val="32"/>
          <w:szCs w:val="32"/>
        </w:rPr>
        <w:t>（类）</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支出决算为5万元，完成预算100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Style w:val="23"/>
          <w:rFonts w:ascii="仿宋" w:hAnsi="仿宋" w:eastAsia="仿宋"/>
          <w:b w:val="0"/>
          <w:bCs/>
          <w:color w:val="000000"/>
          <w:sz w:val="32"/>
          <w:szCs w:val="32"/>
        </w:rPr>
      </w:pPr>
      <w:r>
        <w:rPr>
          <w:rStyle w:val="23"/>
          <w:rFonts w:ascii="仿宋" w:hAnsi="仿宋" w:eastAsia="仿宋"/>
          <w:bCs/>
          <w:color w:val="000000"/>
          <w:sz w:val="32"/>
          <w:szCs w:val="32"/>
        </w:rPr>
        <w:t>3.</w:t>
      </w:r>
      <w:r>
        <w:rPr>
          <w:rFonts w:hint="eastAsia" w:ascii="仿宋" w:hAnsi="仿宋" w:eastAsia="仿宋"/>
          <w:b/>
          <w:color w:val="000000"/>
          <w:sz w:val="32"/>
          <w:szCs w:val="32"/>
        </w:rPr>
        <w:t>社会保障和就业</w:t>
      </w:r>
      <w:r>
        <w:rPr>
          <w:rStyle w:val="23"/>
          <w:rFonts w:hint="eastAsia" w:ascii="仿宋" w:hAnsi="仿宋" w:eastAsia="仿宋"/>
          <w:bCs/>
          <w:color w:val="000000"/>
          <w:sz w:val="32"/>
          <w:szCs w:val="32"/>
        </w:rPr>
        <w:t>（类）</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支出决算为74.02万元，完成预算100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4.</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Fonts w:hint="eastAsia" w:ascii="仿宋" w:hAnsi="仿宋" w:eastAsia="仿宋"/>
          <w:b/>
          <w:bCs/>
          <w:color w:val="000000"/>
          <w:sz w:val="32"/>
          <w:szCs w:val="32"/>
        </w:rPr>
        <w:t>41.08</w:t>
      </w:r>
      <w:r>
        <w:rPr>
          <w:rFonts w:hint="eastAsia" w:ascii="仿宋" w:hAnsi="仿宋" w:eastAsia="仿宋"/>
          <w:color w:val="000000"/>
          <w:sz w:val="32"/>
          <w:szCs w:val="32"/>
        </w:rPr>
        <w:t>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5.</w:t>
      </w:r>
      <w:r>
        <w:rPr>
          <w:rFonts w:hint="eastAsia" w:ascii="仿宋" w:hAnsi="仿宋" w:eastAsia="仿宋"/>
          <w:b/>
          <w:bCs/>
          <w:color w:val="000000"/>
          <w:sz w:val="32"/>
          <w:szCs w:val="32"/>
        </w:rPr>
        <w:t>节能环保：</w:t>
      </w:r>
      <w:r>
        <w:rPr>
          <w:rStyle w:val="23"/>
          <w:rFonts w:hint="eastAsia" w:ascii="仿宋" w:hAnsi="仿宋" w:eastAsia="仿宋"/>
          <w:b w:val="0"/>
          <w:bCs/>
          <w:color w:val="000000"/>
          <w:sz w:val="32"/>
          <w:szCs w:val="32"/>
        </w:rPr>
        <w:t>支出决算为3万元，完成预算100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3" w:firstLineChars="200"/>
        <w:rPr>
          <w:rStyle w:val="23"/>
          <w:rFonts w:ascii="仿宋" w:hAnsi="仿宋" w:eastAsia="仿宋"/>
          <w:b w:val="0"/>
          <w:bCs/>
          <w:color w:val="000000"/>
          <w:sz w:val="32"/>
          <w:szCs w:val="32"/>
        </w:rPr>
      </w:pPr>
      <w:r>
        <w:rPr>
          <w:rStyle w:val="23"/>
          <w:rFonts w:ascii="仿宋" w:hAnsi="仿宋" w:eastAsia="仿宋"/>
          <w:bCs/>
          <w:color w:val="000000"/>
          <w:sz w:val="32"/>
          <w:szCs w:val="32"/>
        </w:rPr>
        <w:t>6.</w:t>
      </w:r>
      <w:r>
        <w:rPr>
          <w:rFonts w:hint="eastAsia" w:ascii="仿宋" w:hAnsi="仿宋" w:eastAsia="仿宋"/>
          <w:b/>
          <w:bCs/>
          <w:color w:val="000000"/>
          <w:sz w:val="32"/>
          <w:szCs w:val="32"/>
        </w:rPr>
        <w:t>农林水支:</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rPr>
        <w:t>1534.65万元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Style w:val="25"/>
        <w:ind w:firstLine="643"/>
        <w:rPr>
          <w:rFonts w:ascii="仿宋" w:hAnsi="仿宋" w:eastAsia="仿宋"/>
          <w:b/>
          <w:bCs/>
          <w:color w:val="000000"/>
          <w:sz w:val="32"/>
          <w:szCs w:val="32"/>
        </w:rPr>
      </w:pPr>
      <w:r>
        <w:rPr>
          <w:rStyle w:val="23"/>
          <w:rFonts w:hint="eastAsia" w:ascii="仿宋" w:hAnsi="仿宋" w:eastAsia="仿宋"/>
          <w:bCs/>
          <w:color w:val="000000"/>
          <w:sz w:val="32"/>
          <w:szCs w:val="32"/>
        </w:rPr>
        <w:t>7</w:t>
      </w:r>
      <w:r>
        <w:rPr>
          <w:rStyle w:val="23"/>
          <w:rFonts w:ascii="仿宋" w:hAnsi="仿宋" w:eastAsia="仿宋"/>
          <w:bCs/>
          <w:color w:val="000000"/>
          <w:sz w:val="32"/>
          <w:szCs w:val="32"/>
        </w:rPr>
        <w:t>.</w:t>
      </w:r>
      <w:r>
        <w:rPr>
          <w:rFonts w:hint="eastAsia" w:ascii="仿宋" w:hAnsi="仿宋" w:eastAsia="仿宋"/>
          <w:b/>
          <w:bCs/>
          <w:color w:val="000000"/>
          <w:sz w:val="32"/>
          <w:szCs w:val="32"/>
        </w:rPr>
        <w:t>交通运输</w:t>
      </w:r>
      <w:r>
        <w:rPr>
          <w:rFonts w:hint="eastAsia" w:ascii="仿宋" w:hAnsi="仿宋" w:eastAsia="仿宋"/>
          <w:color w:val="000000"/>
          <w:sz w:val="32"/>
          <w:szCs w:val="32"/>
        </w:rPr>
        <w:t>：</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rPr>
        <w:t>5万元，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Style w:val="25"/>
        <w:ind w:firstLine="643"/>
        <w:rPr>
          <w:rFonts w:ascii="仿宋" w:hAnsi="仿宋" w:eastAsia="仿宋"/>
          <w:b/>
          <w:bCs/>
          <w:color w:val="000000"/>
          <w:sz w:val="32"/>
          <w:szCs w:val="32"/>
        </w:rPr>
      </w:pPr>
      <w:r>
        <w:rPr>
          <w:rStyle w:val="23"/>
          <w:rFonts w:hint="eastAsia" w:ascii="仿宋" w:hAnsi="仿宋" w:eastAsia="仿宋"/>
          <w:bCs/>
          <w:color w:val="000000"/>
          <w:sz w:val="32"/>
          <w:szCs w:val="32"/>
        </w:rPr>
        <w:t>8</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rPr>
        <w:t>47.94万元，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Style w:val="25"/>
        <w:ind w:firstLine="643"/>
        <w:rPr>
          <w:rFonts w:ascii="仿宋" w:hAnsi="仿宋" w:eastAsia="仿宋"/>
          <w:b/>
          <w:bCs/>
          <w:color w:val="000000"/>
          <w:sz w:val="32"/>
          <w:szCs w:val="32"/>
        </w:rPr>
      </w:pPr>
      <w:r>
        <w:rPr>
          <w:rStyle w:val="23"/>
          <w:rFonts w:hint="eastAsia" w:ascii="仿宋" w:hAnsi="仿宋" w:eastAsia="仿宋"/>
          <w:bCs/>
          <w:color w:val="000000"/>
          <w:sz w:val="32"/>
          <w:szCs w:val="32"/>
        </w:rPr>
        <w:t>9</w:t>
      </w:r>
      <w:r>
        <w:rPr>
          <w:rStyle w:val="23"/>
          <w:rFonts w:ascii="仿宋" w:hAnsi="仿宋" w:eastAsia="仿宋"/>
          <w:bCs/>
          <w:color w:val="000000"/>
          <w:sz w:val="32"/>
          <w:szCs w:val="32"/>
        </w:rPr>
        <w:t>.</w:t>
      </w:r>
      <w:r>
        <w:rPr>
          <w:rFonts w:hint="eastAsia" w:ascii="仿宋" w:hAnsi="仿宋" w:eastAsia="仿宋"/>
          <w:b/>
          <w:bCs/>
          <w:color w:val="000000"/>
          <w:sz w:val="32"/>
          <w:szCs w:val="32"/>
        </w:rPr>
        <w:t>灾害防治及应急管理：</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rPr>
        <w:t>1万元，</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68" w:name="_Toc79163868"/>
      <w:bookmarkStart w:id="69" w:name="_Toc7916361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8"/>
      <w:bookmarkEnd w:id="69"/>
      <w:bookmarkEnd w:id="70"/>
      <w:bookmarkEnd w:id="7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ascii="仿宋" w:hAnsi="仿宋" w:eastAsia="仿宋"/>
          <w:color w:val="000000"/>
          <w:sz w:val="32"/>
          <w:szCs w:val="32"/>
        </w:rPr>
        <w:t>**</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工资福利支出641.42万元，主要包括：基本工资91.2万元、津贴补贴192.42万元、奖金160.63万元、绩效工资40.54万元、机关事业单位基本养老保险缴费49.35万元、职业年金缴费24.67万元、其他社会保障缴费5.25万元、</w:t>
      </w:r>
    </w:p>
    <w:p>
      <w:pPr>
        <w:spacing w:line="600" w:lineRule="exact"/>
        <w:rPr>
          <w:rFonts w:ascii="仿宋" w:hAnsi="仿宋" w:eastAsia="仿宋"/>
          <w:color w:val="000000"/>
          <w:sz w:val="32"/>
          <w:szCs w:val="32"/>
        </w:rPr>
      </w:pPr>
      <w:r>
        <w:rPr>
          <w:rFonts w:hint="eastAsia" w:ascii="仿宋" w:hAnsi="仿宋" w:eastAsia="仿宋"/>
          <w:color w:val="000000"/>
          <w:sz w:val="32"/>
          <w:szCs w:val="32"/>
        </w:rPr>
        <w:t>职工基本医疗保险缴费23.06万元，公务员医疗补助缴费6.35万元，住房公积金47.94万元。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商品和服务支出173.91万元，主要包括：办公费60.47万、电费6万元、邮电费2.14万元、差旅费1.4万元、维修（护）费71.41万元、租赁费3万元、会议费5.18万元、培训费3.75万元、、劳务费5.91万元、委托业务费3.68万元、公务用车运行维护费10.96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对个人和家庭的补助124.55万元，主要包括：生活补助122.67万元；医疗补助1.88万元。</w:t>
      </w:r>
    </w:p>
    <w:p>
      <w:pPr>
        <w:spacing w:line="600" w:lineRule="exact"/>
        <w:ind w:firstLine="645"/>
        <w:rPr>
          <w:rFonts w:ascii="仿宋" w:hAnsi="仿宋" w:eastAsia="仿宋"/>
          <w:b/>
          <w:bCs/>
          <w:color w:val="000000"/>
          <w:sz w:val="32"/>
          <w:szCs w:val="32"/>
        </w:rPr>
      </w:pPr>
      <w:r>
        <w:rPr>
          <w:rFonts w:hint="eastAsia" w:ascii="仿宋" w:hAnsi="仿宋" w:eastAsia="仿宋"/>
          <w:color w:val="000000"/>
          <w:sz w:val="32"/>
          <w:szCs w:val="32"/>
        </w:rPr>
        <w:t>资本性支出（基本建设）</w:t>
      </w:r>
      <w:r>
        <w:rPr>
          <w:rFonts w:ascii="仿宋" w:hAnsi="仿宋" w:eastAsia="仿宋"/>
          <w:color w:val="000000"/>
          <w:sz w:val="32"/>
          <w:szCs w:val="32"/>
        </w:rPr>
        <w:t>283.22</w:t>
      </w:r>
      <w:r>
        <w:rPr>
          <w:rFonts w:hint="eastAsia" w:ascii="仿宋" w:hAnsi="仿宋" w:eastAsia="仿宋"/>
          <w:color w:val="000000"/>
          <w:sz w:val="32"/>
          <w:szCs w:val="32"/>
        </w:rPr>
        <w:t>万元</w:t>
      </w:r>
      <w:r>
        <w:rPr>
          <w:rFonts w:hint="eastAsia" w:ascii="仿宋" w:hAnsi="仿宋" w:eastAsia="仿宋"/>
          <w:b/>
          <w:bCs/>
          <w:color w:val="000000"/>
          <w:sz w:val="32"/>
          <w:szCs w:val="32"/>
        </w:rPr>
        <w:t>，</w:t>
      </w:r>
      <w:r>
        <w:rPr>
          <w:rFonts w:hint="eastAsia" w:ascii="仿宋" w:hAnsi="仿宋" w:eastAsia="仿宋"/>
          <w:color w:val="000000"/>
          <w:sz w:val="32"/>
          <w:szCs w:val="32"/>
        </w:rPr>
        <w:t>主要包括：基础设施建设</w:t>
      </w:r>
      <w:r>
        <w:rPr>
          <w:rFonts w:ascii="仿宋" w:hAnsi="仿宋" w:eastAsia="仿宋"/>
          <w:color w:val="000000"/>
          <w:sz w:val="32"/>
          <w:szCs w:val="32"/>
        </w:rPr>
        <w:t>283.22</w:t>
      </w:r>
      <w:r>
        <w:rPr>
          <w:rFonts w:hint="eastAsia" w:ascii="仿宋" w:hAnsi="仿宋" w:eastAsia="仿宋"/>
          <w:color w:val="000000"/>
          <w:sz w:val="32"/>
          <w:szCs w:val="32"/>
        </w:rPr>
        <w:t>万元。</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资本性支出1,042.05万元；主要包括：基础设施建设1,011.16万元；土地补偿30.88万元。</w:t>
      </w:r>
    </w:p>
    <w:p>
      <w:pPr>
        <w:spacing w:line="600" w:lineRule="exact"/>
        <w:ind w:firstLine="640"/>
        <w:outlineLvl w:val="1"/>
        <w:rPr>
          <w:rStyle w:val="27"/>
          <w:rFonts w:ascii="黑体" w:hAnsi="黑体" w:eastAsia="黑体"/>
          <w:b w:val="0"/>
        </w:rPr>
      </w:pPr>
      <w:bookmarkStart w:id="72" w:name="_Toc15377215"/>
      <w:bookmarkStart w:id="73" w:name="_Toc15396609"/>
      <w:bookmarkStart w:id="74" w:name="_Toc79163619"/>
      <w:bookmarkStart w:id="75"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1年“三公”经费财政拨款支出决算为10.96万元，完成预算100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1年“三公”经费财政拨款支出决算中，公务用车购置及运行维护费支出决算10.96万元，占100%；</w:t>
      </w:r>
    </w:p>
    <w:p>
      <w:pPr>
        <w:pStyle w:val="25"/>
        <w:ind w:firstLine="0" w:firstLineChars="0"/>
      </w:pPr>
    </w:p>
    <w:p>
      <w:pPr>
        <w:pStyle w:val="25"/>
        <w:ind w:firstLine="0" w:firstLineChars="0"/>
        <w:jc w:val="center"/>
      </w:pPr>
      <w:r>
        <w:drawing>
          <wp:inline distT="0" distB="0" distL="0" distR="0">
            <wp:extent cx="4610100" cy="1905000"/>
            <wp:effectExtent l="19050" t="0" r="19050" b="0"/>
            <wp:docPr id="1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10.96万元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 w:hAnsi="仿宋" w:eastAsia="仿宋"/>
          <w:color w:val="000000"/>
          <w:sz w:val="32"/>
          <w:szCs w:val="32"/>
        </w:rPr>
        <w:t>公务用车购置及运行维护费支出决算比</w:t>
      </w:r>
      <w:r>
        <w:rPr>
          <w:rFonts w:ascii="仿宋" w:hAnsi="仿宋" w:eastAsia="仿宋"/>
          <w:color w:val="000000"/>
          <w:sz w:val="32"/>
          <w:szCs w:val="32"/>
        </w:rPr>
        <w:t>20</w:t>
      </w:r>
      <w:r>
        <w:rPr>
          <w:rFonts w:hint="eastAsia" w:ascii="仿宋" w:hAnsi="仿宋" w:eastAsia="仿宋"/>
          <w:color w:val="000000"/>
          <w:sz w:val="32"/>
          <w:szCs w:val="32"/>
        </w:rPr>
        <w:t>20年减少12.41万元，下降113%</w:t>
      </w:r>
      <w:r>
        <w:rPr>
          <w:rFonts w:ascii="仿宋" w:hAnsi="仿宋" w:eastAsia="仿宋"/>
          <w:color w:val="000000"/>
          <w:sz w:val="32"/>
          <w:szCs w:val="32"/>
        </w:rPr>
        <w:t>%</w:t>
      </w:r>
      <w:r>
        <w:rPr>
          <w:rFonts w:hint="eastAsia" w:ascii="仿宋" w:hAnsi="仿宋" w:eastAsia="仿宋"/>
          <w:color w:val="000000"/>
          <w:sz w:val="32"/>
          <w:szCs w:val="32"/>
        </w:rPr>
        <w:t>。主要原因是2021年没有车辆购置费。其中：公务用车运行维护费支出10.96万元。主要用于出差以及乡上巡逻所需的公务用车燃料费、维修费、过路过桥费、保险费等支出。</w:t>
      </w:r>
    </w:p>
    <w:p>
      <w:pPr>
        <w:spacing w:line="600" w:lineRule="exact"/>
        <w:ind w:firstLine="640"/>
        <w:outlineLvl w:val="1"/>
        <w:rPr>
          <w:rStyle w:val="27"/>
          <w:rFonts w:ascii="黑体" w:hAns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2"/>
      <w:bookmarkEnd w:id="83"/>
      <w:bookmarkEnd w:id="84"/>
      <w:bookmarkEnd w:id="85"/>
    </w:p>
    <w:p>
      <w:pPr>
        <w:spacing w:line="600" w:lineRule="exact"/>
        <w:ind w:firstLine="640"/>
        <w:jc w:val="center"/>
        <w:rPr>
          <w:rFonts w:ascii="仿宋_GB2312" w:eastAsia="仿宋_GB2312"/>
          <w:color w:val="000000"/>
          <w:sz w:val="32"/>
          <w:szCs w:val="32"/>
        </w:rPr>
      </w:pPr>
      <w:r>
        <w:rPr>
          <w:rFonts w:hint="eastAsia" w:ascii="仿宋_GB2312" w:eastAsia="仿宋_GB2312"/>
          <w:color w:val="000000"/>
          <w:sz w:val="32"/>
          <w:szCs w:val="32"/>
        </w:rPr>
        <w:t>无</w:t>
      </w:r>
    </w:p>
    <w:p>
      <w:pPr>
        <w:numPr>
          <w:ilvl w:val="0"/>
          <w:numId w:val="2"/>
        </w:numPr>
        <w:spacing w:line="600" w:lineRule="exact"/>
        <w:ind w:firstLine="640"/>
        <w:outlineLvl w:val="1"/>
        <w:rPr>
          <w:rStyle w:val="27"/>
          <w:rFonts w:ascii="黑体" w:hAnsi="黑体" w:eastAsia="黑体"/>
          <w:b w:val="0"/>
        </w:rPr>
      </w:pPr>
      <w:bookmarkStart w:id="86" w:name="_Toc15377219"/>
      <w:bookmarkStart w:id="87" w:name="_Toc15396611"/>
      <w:bookmarkStart w:id="88" w:name="_Toc79163623"/>
      <w:bookmarkStart w:id="89" w:name="_Toc79163873"/>
      <w:r>
        <w:rPr>
          <w:rStyle w:val="27"/>
          <w:rFonts w:hint="eastAsia" w:ascii="黑体" w:hAnsi="黑体" w:eastAsia="黑体"/>
          <w:b w:val="0"/>
        </w:rPr>
        <w:t>国有资本经营预算支出决算情况说明</w:t>
      </w:r>
      <w:bookmarkEnd w:id="86"/>
      <w:bookmarkEnd w:id="87"/>
      <w:bookmarkEnd w:id="88"/>
      <w:bookmarkEnd w:id="89"/>
    </w:p>
    <w:p>
      <w:pPr>
        <w:spacing w:line="580" w:lineRule="exact"/>
        <w:jc w:val="center"/>
        <w:rPr>
          <w:rFonts w:ascii="方正小标宋简体" w:hAnsi="方正小标宋简体" w:eastAsia="方正小标宋简体" w:cs="方正小标宋简体"/>
          <w:sz w:val="44"/>
          <w:szCs w:val="44"/>
        </w:rPr>
      </w:pPr>
      <w:r>
        <w:rPr>
          <w:rFonts w:hint="eastAsia" w:ascii="仿宋_GB2312" w:eastAsia="仿宋_GB2312"/>
          <w:color w:val="000000"/>
          <w:sz w:val="32"/>
          <w:szCs w:val="32"/>
        </w:rPr>
        <w:t>无</w:t>
      </w:r>
    </w:p>
    <w:p>
      <w:pPr>
        <w:spacing w:line="600" w:lineRule="exact"/>
        <w:ind w:firstLine="800" w:firstLineChars="250"/>
        <w:outlineLvl w:val="1"/>
        <w:rPr>
          <w:rFonts w:ascii="黑体" w:hAnsi="黑体" w:eastAsia="黑体"/>
          <w:b/>
          <w:bCs/>
          <w:sz w:val="32"/>
          <w:szCs w:val="32"/>
        </w:rPr>
      </w:pPr>
      <w:bookmarkStart w:id="90" w:name="_Toc15396612"/>
      <w:bookmarkStart w:id="91" w:name="_Toc15377221"/>
      <w:bookmarkStart w:id="92" w:name="_Toc79163624"/>
      <w:bookmarkStart w:id="93" w:name="_Toc7916387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0"/>
      <w:bookmarkEnd w:id="91"/>
      <w:bookmarkEnd w:id="92"/>
      <w:bookmarkEnd w:id="93"/>
      <w:bookmarkStart w:id="94" w:name="_Toc15377223"/>
      <w:bookmarkStart w:id="95" w:name="_Toc79163626"/>
      <w:bookmarkStart w:id="96" w:name="_Toc79163876"/>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（一）政府采购支出情况</w:t>
      </w:r>
      <w:bookmarkEnd w:id="94"/>
      <w:bookmarkEnd w:id="95"/>
      <w:bookmarkEnd w:id="96"/>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1年，政府采购支出总额707.89万元，其中:政府采购工程支出707.89万元,占政府采购支出总额的100</w:t>
      </w:r>
      <w:r>
        <w:rPr>
          <w:rFonts w:ascii="仿宋" w:hAnsi="仿宋" w:eastAsia="仿宋"/>
          <w:color w:val="000000"/>
          <w:sz w:val="32"/>
          <w:szCs w:val="32"/>
        </w:rPr>
        <w:t>%</w:t>
      </w:r>
      <w:r>
        <w:rPr>
          <w:rFonts w:hint="eastAsia" w:ascii="仿宋" w:hAnsi="仿宋" w:eastAsia="仿宋"/>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7"/>
      <w:bookmarkStart w:id="98" w:name="_Toc15377224"/>
      <w:bookmarkStart w:id="99" w:name="_Toc79163877"/>
      <w:r>
        <w:rPr>
          <w:rFonts w:hint="eastAsia" w:ascii="仿宋" w:hAnsi="仿宋" w:eastAsia="仿宋"/>
          <w:b/>
          <w:color w:val="000000"/>
          <w:sz w:val="32"/>
          <w:szCs w:val="32"/>
        </w:rPr>
        <w:t xml:space="preserve"> (二）国有资产占有使用情况</w:t>
      </w:r>
      <w:bookmarkEnd w:id="97"/>
      <w:bookmarkEnd w:id="98"/>
      <w:bookmarkEnd w:id="99"/>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w:t>
      </w:r>
      <w:r>
        <w:rPr>
          <w:rFonts w:hint="eastAsia" w:ascii="仿宋" w:hAnsi="仿宋" w:eastAsia="仿宋"/>
          <w:color w:val="000000"/>
          <w:sz w:val="32"/>
          <w:szCs w:val="32"/>
        </w:rPr>
        <w:t>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日，茸木达乡共有车辆2辆，其中：主要：其他用车2辆。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8"/>
      <w:bookmarkStart w:id="101" w:name="_Toc79163878"/>
      <w:bookmarkStart w:id="102" w:name="_Toc79163879"/>
      <w:bookmarkStart w:id="103" w:name="_Toc79163629"/>
      <w:bookmarkStart w:id="104" w:name="_Toc15377225"/>
      <w:bookmarkStart w:id="105" w:name="_Toc15396613"/>
      <w:r>
        <w:rPr>
          <w:rFonts w:hint="eastAsia" w:ascii="仿宋" w:hAnsi="仿宋" w:eastAsia="仿宋"/>
          <w:b/>
          <w:color w:val="000000"/>
          <w:sz w:val="32"/>
          <w:szCs w:val="32"/>
        </w:rPr>
        <w:t>（三）预算绩效管理情况。</w:t>
      </w:r>
      <w:bookmarkEnd w:id="100"/>
      <w:bookmarkEnd w:id="101"/>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根据预算绩效管理要求，本部门（单位）在年初预算编制阶段，组织对2021年茸木达脱贫攻坚产业建设项目，壤塘县茸木达乡巴尔依村巴生小组脱贫攻坚入户路建设项目，壤塘县茸木达乡德萨村牙格车小组脱贫攻坚入户路建设项目，壤塘县脱贫攻坚产业（黑青稞）建设项目，茸木达乡旅游配套基础设施建设项目开展了预算事前绩效评估，对5个项目编制了绩效目标，预算执行过程中，选取5个项目开展绩效监控，年终执行完毕后，对5个项目开展了绩效目标完成情况自评。</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w:t>
      </w:r>
      <w:r>
        <w:rPr>
          <w:rFonts w:hint="eastAsia" w:ascii="仿宋" w:hAnsi="仿宋" w:eastAsia="仿宋"/>
          <w:color w:val="000000"/>
          <w:sz w:val="32"/>
          <w:szCs w:val="32"/>
        </w:rPr>
        <w:t>1年部门整体支出开展绩效自评，从评价情况来看项目按照招标相关程序确定施工方，并成立了项目领导小组、配备了监理，村上安排有专人监督，并按照项目实施方案实施。抓好工程工期与质量工作的同时项目建设内容和设计清单内容及批复内容相符，并按时完成各项指标值，验收合格。本部门还自行组织了3个项目支出绩效评价，从评价情况来看项目按照招标相关程序确定施工方，并成立了项目领导小组、配备了监理，村上安排有专人监督，并按照项目实施方案实施。抓好工程工期与质量工作的同时项目建设内容和设计清单内容及批复内容相符，并按时完成各项指标值，验收合格。</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项目绩效目标完成情况。</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ascii="仿宋" w:hAnsi="仿宋" w:eastAsia="仿宋"/>
          <w:color w:val="000000"/>
          <w:sz w:val="32"/>
          <w:szCs w:val="32"/>
        </w:rPr>
        <w:t xml:space="preserve">    </w:t>
      </w:r>
      <w:r>
        <w:rPr>
          <w:rFonts w:hint="eastAsia" w:ascii="仿宋" w:hAnsi="仿宋" w:eastAsia="仿宋"/>
          <w:color w:val="000000"/>
          <w:sz w:val="32"/>
          <w:szCs w:val="32"/>
        </w:rPr>
        <w:t>本部门在</w:t>
      </w:r>
      <w:r>
        <w:rPr>
          <w:rFonts w:ascii="仿宋" w:hAnsi="仿宋" w:eastAsia="仿宋"/>
          <w:color w:val="000000"/>
          <w:sz w:val="32"/>
          <w:szCs w:val="32"/>
        </w:rPr>
        <w:t>202</w:t>
      </w:r>
      <w:r>
        <w:rPr>
          <w:rFonts w:hint="eastAsia" w:ascii="仿宋" w:hAnsi="仿宋" w:eastAsia="仿宋"/>
          <w:color w:val="000000"/>
          <w:sz w:val="32"/>
          <w:szCs w:val="32"/>
        </w:rPr>
        <w:t>1年度部门决算中反映“2021年茸木达脱贫攻坚产业建设””壤塘县茸木达乡巴尔依村巴生小组脱贫攻坚入户路建设项目”“壤塘县茸木达乡德萨村牙格车小组脱贫攻坚入户路建设项目”“壤塘县脱贫攻坚产业（黑青稞）建设项目建设”“茸木达乡旅游配套基础设施建设项目”等5个项目绩效目标实际完成情况。</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）2021年茸木达脱贫攻坚产业建设项目绩效目标完成情况综述。项目全年预算数210万元，执行数为186.92302万元，完成预算的90</w:t>
      </w:r>
      <w:r>
        <w:rPr>
          <w:rFonts w:ascii="仿宋" w:hAnsi="仿宋" w:eastAsia="仿宋"/>
          <w:color w:val="000000"/>
          <w:sz w:val="32"/>
          <w:szCs w:val="32"/>
        </w:rPr>
        <w:t>%</w:t>
      </w:r>
      <w:r>
        <w:rPr>
          <w:rFonts w:hint="eastAsia" w:ascii="仿宋" w:hAnsi="仿宋" w:eastAsia="仿宋"/>
          <w:color w:val="000000"/>
          <w:sz w:val="32"/>
          <w:szCs w:val="32"/>
        </w:rPr>
        <w:t>。通过项目实施，将彻底改善农牧民耕地安全，进一步提高农牧民生产生活积极性，促进村经济快速发展，解决制约茸木达乡经济发展的主要因素，其经济效益和社会效益都将十分显著，是一项利村、利民、利社会的系统工程、民心工程、德政工程。</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2</w:t>
      </w:r>
      <w:r>
        <w:rPr>
          <w:rFonts w:hint="eastAsia" w:ascii="仿宋" w:hAnsi="仿宋" w:eastAsia="仿宋"/>
          <w:color w:val="000000"/>
          <w:sz w:val="32"/>
          <w:szCs w:val="32"/>
        </w:rPr>
        <w:t>）壤塘县茸木达乡巴尔依村巴生小组脱贫攻坚入户路建设项目绩效目标完成情况综述。项目全年预算数117万元，执行数为98.530556万元，完成预算的85</w:t>
      </w:r>
      <w:r>
        <w:rPr>
          <w:rFonts w:ascii="仿宋" w:hAnsi="仿宋" w:eastAsia="仿宋"/>
          <w:color w:val="000000"/>
          <w:sz w:val="32"/>
          <w:szCs w:val="32"/>
        </w:rPr>
        <w:t>%</w:t>
      </w:r>
      <w:r>
        <w:rPr>
          <w:rFonts w:hint="eastAsia" w:ascii="仿宋" w:hAnsi="仿宋" w:eastAsia="仿宋"/>
          <w:color w:val="000000"/>
          <w:sz w:val="32"/>
          <w:szCs w:val="32"/>
        </w:rPr>
        <w:t>。通过项目实施，将彻底改善农牧民出行安全，进一步提高农牧民生产生活积极性，促进村经济快速发展，解决制约茸木达乡经济发展的主要因素，其经济效益和社会效益都将十分。</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）壤塘县茸木达乡德萨村牙格车小组脱贫攻坚入户路建设项目绩效目标完成情况综述。项目全年预算数165万元，执行数为158.331059万元，完成预算的96</w:t>
      </w:r>
      <w:r>
        <w:rPr>
          <w:rFonts w:ascii="仿宋" w:hAnsi="仿宋" w:eastAsia="仿宋"/>
          <w:color w:val="000000"/>
          <w:sz w:val="32"/>
          <w:szCs w:val="32"/>
        </w:rPr>
        <w:t>%</w:t>
      </w:r>
      <w:r>
        <w:rPr>
          <w:rFonts w:hint="eastAsia" w:ascii="仿宋" w:hAnsi="仿宋" w:eastAsia="仿宋"/>
          <w:color w:val="000000"/>
          <w:sz w:val="32"/>
          <w:szCs w:val="32"/>
        </w:rPr>
        <w:t>。通过项目实施，将彻底改善农牧民出行安全，进一步提高农牧民生产生活积极性，促进村经济快速发展。</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（4）壤塘县脱贫攻坚产业（黑青稞）建设项目建设绩效目标完成情况综述。项目全年预算数60万元，执行数为55.728555万元，完成预算的93</w:t>
      </w:r>
      <w:r>
        <w:rPr>
          <w:rFonts w:ascii="仿宋" w:hAnsi="仿宋" w:eastAsia="仿宋"/>
          <w:color w:val="000000"/>
          <w:sz w:val="32"/>
          <w:szCs w:val="32"/>
        </w:rPr>
        <w:t>%</w:t>
      </w:r>
      <w:r>
        <w:rPr>
          <w:rFonts w:hint="eastAsia" w:ascii="仿宋" w:hAnsi="仿宋" w:eastAsia="仿宋"/>
          <w:color w:val="000000"/>
          <w:sz w:val="32"/>
          <w:szCs w:val="32"/>
        </w:rPr>
        <w:t>。通过项目实施，将彻底改善农牧民黑青稞加工困难，进一步提高农牧民生产生活积极性，促进村经济快速发展，解决制约茸木达乡经济发展的主要因素，其经济效益和社会效益都将十分显著，是一项利村、利民、利社会的系统工程、民心工程、德政工程。</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（5）茸木达乡旅游配套基础设施建设项目绩效目标完成情况综述。项目全年预算数45万元，执行数为45万元，完成预算的100</w:t>
      </w:r>
      <w:r>
        <w:rPr>
          <w:rFonts w:ascii="仿宋" w:hAnsi="仿宋" w:eastAsia="仿宋"/>
          <w:color w:val="000000"/>
          <w:sz w:val="32"/>
          <w:szCs w:val="32"/>
        </w:rPr>
        <w:t>%</w:t>
      </w:r>
      <w:r>
        <w:rPr>
          <w:rFonts w:hint="eastAsia" w:ascii="仿宋" w:hAnsi="仿宋" w:eastAsia="仿宋"/>
          <w:color w:val="000000"/>
          <w:sz w:val="32"/>
          <w:szCs w:val="32"/>
        </w:rPr>
        <w:t>。通过项目实施，将进一步提高农牧民生活质量，促进村经济快速发展，解决制约茸木达乡经济发展的主要因素，其经济效益和社会效益都将十分显著。</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2021年茸木达脱贫攻坚产业建设项目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186.92302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186.92302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网围栏购买安装32000米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网围栏购买安装32000米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网围栏32000米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网围栏32000米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网围栏32000米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01"/>
              </w:tabs>
              <w:jc w:val="left"/>
              <w:textAlignment w:val="center"/>
              <w:rPr>
                <w:rFonts w:ascii="宋体" w:cs="宋体"/>
                <w:color w:val="000000"/>
                <w:sz w:val="24"/>
              </w:rPr>
            </w:pPr>
            <w:r>
              <w:rPr>
                <w:rFonts w:hint="eastAsia" w:ascii="宋体" w:cs="宋体"/>
                <w:color w:val="000000"/>
                <w:sz w:val="24"/>
              </w:rPr>
              <w:tab/>
            </w: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项目工程验收率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贫困户参与项目建设务工收入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人均≧0.2万元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人均≧0.2万元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耕地保护率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壤塘县茸木达乡巴尔依村巴生小组脱贫攻坚入户路建设项目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98.530556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98.530556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修建排水管357.7米；铸铁箅子41个；水泥砼明沟214米；铺砌水泥砼面层3100.3平方米；设置挡墙131米；波形护栏拆除28米，修复34米；设置不锈钢护栏64米；零星工程栏杆翻新喷漆51平方米，树池24个，台阶10米长。</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修建排水管357.7米；铸铁箅子41个；水泥砼明沟214米；铺砌水泥砼面层3100.3平方米；设置挡墙131米；波形护栏拆除28米，修复34米；设置不锈钢护栏64米；零星工程栏杆翻新喷漆51平方米，树池24个，台阶10米长。</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铺砌水泥砼面层3100平方米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≧3100平方米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≧3100平方米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01"/>
              </w:tabs>
              <w:jc w:val="left"/>
              <w:textAlignment w:val="center"/>
              <w:rPr>
                <w:rFonts w:ascii="宋体" w:cs="宋体"/>
                <w:color w:val="000000"/>
                <w:sz w:val="24"/>
              </w:rPr>
            </w:pPr>
            <w:r>
              <w:rPr>
                <w:rFonts w:hint="eastAsia" w:ascii="宋体" w:cs="宋体"/>
                <w:color w:val="000000"/>
                <w:sz w:val="24"/>
              </w:rPr>
              <w:tab/>
            </w: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项目工程验收率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排水管道357米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≧357米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≧357米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贫困户参与项目建设务工收入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≥680人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≥680人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壤塘县茸木达乡德萨村牙格车小组脱贫攻坚入户路建设项目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158.331059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158.331059</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修建排水管460米；铸铁箅子55个；水泥砼明沟72米；水泥砼盖板沟159米；铺砌水泥砼面层3145平方米；设置挡墙460米。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修建排水管460米；铸铁箅子55个；水泥砼明沟72米；水泥砼盖板沟159米；铺砌水泥砼面层3145平方米；设置挡墙460米。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入户路2公里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≧2公里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01"/>
              </w:tabs>
              <w:jc w:val="left"/>
              <w:textAlignment w:val="center"/>
              <w:rPr>
                <w:rFonts w:ascii="宋体" w:cs="宋体"/>
                <w:color w:val="000000"/>
                <w:sz w:val="24"/>
              </w:rPr>
            </w:pPr>
            <w:r>
              <w:rPr>
                <w:rFonts w:hint="eastAsia" w:ascii="宋体" w:cs="宋体"/>
                <w:color w:val="000000"/>
                <w:sz w:val="24"/>
              </w:rPr>
              <w:tab/>
            </w: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项目工程验收率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排水管道2000米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≧2000米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挡墙460米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≧460米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贫困户参与项目建设务工收入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≥901人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壤塘县脱贫攻坚产业（黑青稞）建设项目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55.728555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55.728555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茸木达村修建1座石磨坊，建设面积共计70平方米，购买设备及附属设施建设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茸木达村修建1座石磨坊，建设面积共计70平方米，购买设备及附属设施建设</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磨坊1座70平方米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≧70平方米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01"/>
              </w:tabs>
              <w:jc w:val="left"/>
              <w:textAlignment w:val="center"/>
              <w:rPr>
                <w:rFonts w:ascii="宋体" w:cs="宋体"/>
                <w:color w:val="000000"/>
                <w:sz w:val="24"/>
              </w:rPr>
            </w:pPr>
            <w:r>
              <w:rPr>
                <w:rFonts w:hint="eastAsia" w:ascii="宋体" w:cs="宋体"/>
                <w:color w:val="000000"/>
                <w:sz w:val="24"/>
              </w:rPr>
              <w:tab/>
            </w: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项目工程验收率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石磨一座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≧一座</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电磨一座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≧一座</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经济效益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贫困户参与项目建设务工收入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rPr>
              <w:t>人均≧0.1万元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p>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≧1900人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≧1900人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w:t>
            </w:r>
          </w:p>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w:t>
      </w:r>
      <w:r>
        <w:rPr>
          <w:rFonts w:hint="eastAsia" w:ascii="仿宋" w:hAnsi="仿宋" w:eastAsia="仿宋"/>
          <w:color w:val="000000"/>
          <w:sz w:val="32"/>
          <w:szCs w:val="32"/>
        </w:rPr>
        <w:t>1年部门整体支出绩效评价情况开展自评，《</w:t>
      </w:r>
      <w:r>
        <w:rPr>
          <w:rFonts w:ascii="仿宋" w:hAnsi="仿宋" w:eastAsia="仿宋"/>
          <w:color w:val="000000"/>
          <w:sz w:val="32"/>
          <w:szCs w:val="32"/>
        </w:rPr>
        <w:t>XX</w:t>
      </w:r>
      <w:r>
        <w:rPr>
          <w:rFonts w:hint="eastAsia" w:ascii="仿宋" w:hAnsi="仿宋" w:eastAsia="仿宋"/>
          <w:color w:val="000000"/>
          <w:sz w:val="32"/>
          <w:szCs w:val="32"/>
        </w:rPr>
        <w:t>部门</w:t>
      </w:r>
      <w:r>
        <w:rPr>
          <w:rFonts w:ascii="仿宋" w:hAnsi="仿宋" w:eastAsia="仿宋"/>
          <w:color w:val="000000"/>
          <w:sz w:val="32"/>
          <w:szCs w:val="32"/>
        </w:rPr>
        <w:t>202</w:t>
      </w:r>
      <w:r>
        <w:rPr>
          <w:rFonts w:hint="eastAsia" w:ascii="仿宋" w:hAnsi="仿宋" w:eastAsia="仿宋"/>
          <w:color w:val="000000"/>
          <w:sz w:val="32"/>
          <w:szCs w:val="32"/>
        </w:rPr>
        <w:t>1年部门整体支出绩效评价报告》见附件（附件</w:t>
      </w:r>
      <w:r>
        <w:rPr>
          <w:rFonts w:ascii="仿宋" w:hAnsi="仿宋" w:eastAsia="仿宋"/>
          <w:color w:val="000000"/>
          <w:sz w:val="32"/>
          <w:szCs w:val="32"/>
        </w:rPr>
        <w:t>1</w:t>
      </w:r>
      <w:r>
        <w:rPr>
          <w:rFonts w:hint="eastAsia" w:ascii="仿宋" w:hAnsi="仿宋" w:eastAsia="仿宋"/>
          <w:color w:val="000000"/>
          <w:sz w:val="32"/>
          <w:szCs w:val="32"/>
        </w:rPr>
        <w:t>）。</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本部门自行组织对2021年茸木达脱贫攻坚产业建设项目，壤塘县茸木达乡巴尔依村巴生小组脱贫攻坚入户路建设项目，壤塘县茸木达乡德萨村牙格车小组脱贫攻坚入户路建设项目，壤塘县脱贫攻坚产业（黑青稞）建设项目，茸木达乡旅游配套基础设施建设项目开展了绩效评价，详见附件。</w:t>
      </w:r>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ascii="仿宋" w:hAnsi="仿宋" w:eastAsia="仿宋"/>
          <w:color w:val="000000"/>
          <w:sz w:val="32"/>
          <w:szCs w:val="32"/>
        </w:rPr>
        <w:br w:type="page"/>
      </w:r>
    </w:p>
    <w:p>
      <w:pPr>
        <w:numPr>
          <w:ilvl w:val="0"/>
          <w:numId w:val="3"/>
        </w:numPr>
        <w:spacing w:line="600" w:lineRule="exact"/>
        <w:ind w:firstLine="660" w:firstLineChars="150"/>
        <w:jc w:val="center"/>
        <w:outlineLvl w:val="0"/>
        <w:rPr>
          <w:rStyle w:val="26"/>
          <w:rFonts w:ascii="黑体" w:hAnsi="黑体" w:eastAsia="黑体"/>
          <w:b w:val="0"/>
        </w:rPr>
      </w:pPr>
      <w:r>
        <w:rPr>
          <w:rFonts w:hint="eastAsia" w:ascii="黑体" w:hAnsi="黑体" w:eastAsia="黑体"/>
          <w:color w:val="000000"/>
          <w:sz w:val="44"/>
          <w:szCs w:val="44"/>
        </w:rPr>
        <w:t>名</w:t>
      </w:r>
      <w:r>
        <w:rPr>
          <w:rStyle w:val="26"/>
          <w:rFonts w:hint="eastAsia" w:ascii="黑体" w:hAnsi="黑体" w:eastAsia="黑体"/>
          <w:b w:val="0"/>
        </w:rPr>
        <w:t>词解释</w:t>
      </w:r>
      <w:bookmarkEnd w:id="102"/>
      <w:bookmarkEnd w:id="103"/>
      <w:bookmarkEnd w:id="104"/>
      <w:bookmarkEnd w:id="105"/>
    </w:p>
    <w:p>
      <w:pPr>
        <w:spacing w:line="600" w:lineRule="exact"/>
        <w:jc w:val="left"/>
        <w:rPr>
          <w:rFonts w:ascii="宋体"/>
          <w:b/>
          <w:color w:val="000000"/>
          <w:sz w:val="44"/>
          <w:szCs w:val="44"/>
        </w:rPr>
      </w:pPr>
    </w:p>
    <w:p>
      <w:pPr>
        <w:pStyle w:val="3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w:t>
      </w:r>
      <w:r>
        <w:rPr>
          <w:rFonts w:hint="eastAsia" w:ascii="仿宋" w:hAnsi="仿宋" w:eastAsia="仿宋"/>
          <w:b/>
          <w:color w:val="000000"/>
          <w:sz w:val="32"/>
          <w:szCs w:val="32"/>
        </w:rPr>
        <w:t>1年政府收支分类科目》增减内容。）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pPr>
        <w:pStyle w:val="36"/>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rPr>
      </w:pPr>
      <w:bookmarkStart w:id="106" w:name="_Toc15377226"/>
      <w:r>
        <w:rPr>
          <w:rFonts w:ascii="宋体"/>
          <w:b/>
          <w:color w:val="000000"/>
          <w:sz w:val="44"/>
          <w:szCs w:val="44"/>
        </w:rPr>
        <w:br w:type="page"/>
      </w:r>
      <w:bookmarkStart w:id="107" w:name="_Toc79163880"/>
      <w:bookmarkStart w:id="108" w:name="_Toc79163630"/>
      <w:bookmarkStart w:id="109" w:name="_Toc15396614"/>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07"/>
      <w:bookmarkEnd w:id="108"/>
      <w:bookmarkEnd w:id="109"/>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2021年茸木达脱贫攻坚产业建设项目</w:t>
      </w:r>
    </w:p>
    <w:p>
      <w:pPr>
        <w:adjustRightInd w:val="0"/>
        <w:snapToGrid w:val="0"/>
        <w:spacing w:line="560" w:lineRule="exact"/>
        <w:ind w:firstLine="720"/>
        <w:jc w:val="center"/>
        <w:rPr>
          <w:rFonts w:ascii="仿宋_GB2312" w:hAnsi="宋体" w:eastAsia="仿宋_GB2312"/>
          <w:sz w:val="32"/>
          <w:szCs w:val="32"/>
        </w:rPr>
      </w:pPr>
      <w:r>
        <w:rPr>
          <w:rFonts w:hint="eastAsia" w:ascii="宋体" w:hAnsi="宋体"/>
          <w:b/>
          <w:sz w:val="44"/>
          <w:szCs w:val="44"/>
        </w:rPr>
        <w:t>绩效自评报告</w:t>
      </w:r>
    </w:p>
    <w:p>
      <w:pPr>
        <w:pStyle w:val="41"/>
        <w:spacing w:line="240" w:lineRule="auto"/>
        <w:jc w:val="center"/>
        <w:rPr>
          <w:rFonts w:ascii="宋体" w:hAnsi="宋体" w:cs="Times New Roman"/>
          <w:color w:val="auto"/>
          <w:kern w:val="2"/>
          <w:sz w:val="32"/>
          <w:szCs w:val="32"/>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项目概况</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项目名称：2021年茸木达脱贫攻坚产业建设</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项目建设内容：网围栏购买及安装32000米。</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总投资：210万元</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（一）项目资金申报及批复情况。项目通过村召开村民大会的方式确定实施内容及资金预算申报乡审核的办法进行，由乡人民政府对项目进行对标筛选，</w:t>
      </w:r>
      <w:r>
        <w:rPr>
          <w:rFonts w:hint="eastAsia" w:ascii="仿宋_GB2312" w:hAnsi="Calibri" w:eastAsia="仿宋_GB2312" w:cs="仿宋"/>
          <w:color w:val="000000"/>
          <w:kern w:val="0"/>
          <w:sz w:val="32"/>
          <w:szCs w:val="32"/>
        </w:rPr>
        <w:t>公示公开后由乡人民政府上报给行业部门进行审批</w:t>
      </w:r>
      <w:r>
        <w:rPr>
          <w:rFonts w:hint="eastAsia" w:ascii="仿宋_GB2312" w:hAnsi="Calibri" w:eastAsia="仿宋_GB2312" w:cs="仿宋"/>
          <w:color w:val="000000"/>
          <w:kern w:val="0"/>
          <w:sz w:val="32"/>
          <w:szCs w:val="32"/>
          <w:lang w:val="zh-CN"/>
        </w:rPr>
        <w:t>。壤发改行审〔2021〕33号批复，项目申报资金</w:t>
      </w:r>
      <w:r>
        <w:rPr>
          <w:rFonts w:hint="eastAsia" w:ascii="仿宋_GB2312" w:hAnsi="Calibri" w:eastAsia="仿宋_GB2312" w:cs="仿宋"/>
          <w:color w:val="000000"/>
          <w:kern w:val="0"/>
          <w:sz w:val="32"/>
          <w:szCs w:val="32"/>
        </w:rPr>
        <w:t>210万元</w:t>
      </w:r>
      <w:r>
        <w:rPr>
          <w:rFonts w:hint="eastAsia" w:ascii="仿宋_GB2312" w:hAnsi="Calibri" w:eastAsia="仿宋_GB2312" w:cs="仿宋"/>
          <w:color w:val="000000"/>
          <w:kern w:val="0"/>
          <w:sz w:val="32"/>
          <w:szCs w:val="32"/>
          <w:lang w:val="zh-CN"/>
        </w:rPr>
        <w:t>、符合资金管理办法等相关规定。</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（二）项目绩效目标。</w:t>
      </w:r>
      <w:r>
        <w:rPr>
          <w:rFonts w:hint="eastAsia" w:ascii="仿宋_GB2312" w:hAnsi="Calibri" w:eastAsia="仿宋_GB2312" w:cs="仿宋"/>
          <w:color w:val="000000"/>
          <w:kern w:val="0"/>
          <w:sz w:val="32"/>
          <w:szCs w:val="32"/>
        </w:rPr>
        <w:t>该项目建设将为群众带来便利，让受益群众收入增加。同时提高我乡基础设施建设短板。项目计划与2021年5月开工10月完工。</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（三）项目资金申报相符性。项目申报实施内容与实际实施内容一致，</w:t>
      </w:r>
      <w:r>
        <w:rPr>
          <w:rFonts w:hint="eastAsia" w:ascii="仿宋_GB2312" w:hAnsi="Calibri" w:eastAsia="仿宋_GB2312" w:cs="仿宋"/>
          <w:color w:val="000000"/>
          <w:kern w:val="0"/>
          <w:sz w:val="32"/>
          <w:szCs w:val="32"/>
        </w:rPr>
        <w:t>围绕进一步改善农村基础设施条件、为群众提供生活便利，通过此项目保护了群众耕地的问题，群众得到了实质性的优惠与农村居民的生产生活息息相关，项目的实施能够得到广大群众的积极支持并参与建设，</w:t>
      </w:r>
      <w:r>
        <w:rPr>
          <w:rFonts w:hint="eastAsia" w:ascii="仿宋_GB2312" w:hAnsi="Calibri" w:eastAsia="仿宋_GB2312" w:cs="仿宋"/>
          <w:color w:val="000000"/>
          <w:kern w:val="0"/>
          <w:sz w:val="32"/>
          <w:szCs w:val="32"/>
          <w:lang w:val="zh-CN"/>
        </w:rPr>
        <w:t>该项目的实施十分合理可行，社会效益显著。。</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二、项目实施及管理情况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ab/>
      </w:r>
      <w:r>
        <w:rPr>
          <w:rFonts w:hint="eastAsia" w:ascii="仿宋_GB2312" w:hAnsi="Calibri" w:eastAsia="仿宋_GB2312" w:cs="仿宋"/>
          <w:color w:val="000000"/>
          <w:kern w:val="0"/>
          <w:sz w:val="32"/>
          <w:szCs w:val="32"/>
          <w:lang w:val="zh-CN"/>
        </w:rPr>
        <w:t>（一）资金计划、到位及使用情况。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1、资金计划及到位。该项目计划资金</w:t>
      </w:r>
      <w:r>
        <w:rPr>
          <w:rFonts w:hint="eastAsia" w:ascii="仿宋_GB2312" w:hAnsi="Calibri" w:eastAsia="仿宋_GB2312" w:cs="仿宋"/>
          <w:color w:val="000000"/>
          <w:kern w:val="0"/>
          <w:sz w:val="32"/>
          <w:szCs w:val="32"/>
        </w:rPr>
        <w:t>210万元，</w:t>
      </w:r>
      <w:r>
        <w:rPr>
          <w:rFonts w:hint="eastAsia" w:ascii="仿宋_GB2312" w:hAnsi="Calibri" w:eastAsia="仿宋_GB2312" w:cs="仿宋"/>
          <w:color w:val="000000"/>
          <w:kern w:val="0"/>
          <w:sz w:val="32"/>
          <w:szCs w:val="32"/>
          <w:lang w:val="zh-CN"/>
        </w:rPr>
        <w:t>实际到位</w:t>
      </w:r>
      <w:r>
        <w:rPr>
          <w:rFonts w:hint="eastAsia" w:ascii="仿宋_GB2312" w:hAnsi="Calibri" w:eastAsia="仿宋_GB2312" w:cs="仿宋"/>
          <w:color w:val="000000"/>
          <w:kern w:val="0"/>
          <w:sz w:val="32"/>
          <w:szCs w:val="32"/>
        </w:rPr>
        <w:t>210万元。</w:t>
      </w:r>
      <w:r>
        <w:rPr>
          <w:rFonts w:hint="eastAsia" w:ascii="仿宋_GB2312" w:hAnsi="Calibri" w:eastAsia="仿宋_GB2312" w:cs="仿宋"/>
          <w:color w:val="000000"/>
          <w:kern w:val="0"/>
          <w:sz w:val="32"/>
          <w:szCs w:val="32"/>
          <w:lang w:val="zh-CN"/>
        </w:rPr>
        <w:t>资金到位率</w:t>
      </w:r>
      <w:r>
        <w:rPr>
          <w:rFonts w:hint="eastAsia"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2、资金使用。截止评价时点项目资金的实际支出</w:t>
      </w:r>
      <w:r>
        <w:rPr>
          <w:rFonts w:hint="eastAsia" w:ascii="仿宋_GB2312" w:hAnsi="Calibri" w:eastAsia="仿宋_GB2312" w:cs="仿宋"/>
          <w:color w:val="000000"/>
          <w:kern w:val="0"/>
          <w:sz w:val="32"/>
          <w:szCs w:val="32"/>
        </w:rPr>
        <w:t>186.92302万元</w:t>
      </w:r>
      <w:r>
        <w:rPr>
          <w:rFonts w:hint="eastAsia" w:ascii="仿宋_GB2312" w:hAnsi="Calibri" w:eastAsia="仿宋_GB2312" w:cs="仿宋"/>
          <w:color w:val="000000"/>
          <w:kern w:val="0"/>
          <w:sz w:val="32"/>
          <w:szCs w:val="32"/>
          <w:lang w:val="zh-CN"/>
        </w:rPr>
        <w:t>，资金开支范围主要为</w:t>
      </w:r>
      <w:r>
        <w:rPr>
          <w:rFonts w:hint="eastAsia" w:ascii="仿宋_GB2312" w:hAnsi="Calibri" w:eastAsia="仿宋_GB2312" w:cs="仿宋"/>
          <w:color w:val="000000"/>
          <w:kern w:val="0"/>
          <w:sz w:val="32"/>
          <w:szCs w:val="32"/>
        </w:rPr>
        <w:t>基础设施建设工程款和待摊费</w:t>
      </w:r>
      <w:r>
        <w:rPr>
          <w:rFonts w:hint="eastAsia" w:ascii="仿宋_GB2312" w:hAnsi="Calibri" w:eastAsia="仿宋_GB2312" w:cs="仿宋"/>
          <w:color w:val="000000"/>
          <w:kern w:val="0"/>
          <w:sz w:val="32"/>
          <w:szCs w:val="32"/>
          <w:lang w:val="zh-CN"/>
        </w:rPr>
        <w:t>、支付依据合规合法，资金支付</w:t>
      </w:r>
      <w:r>
        <w:rPr>
          <w:rFonts w:hint="eastAsia" w:ascii="仿宋_GB2312" w:hAnsi="Calibri" w:eastAsia="仿宋_GB2312" w:cs="仿宋"/>
          <w:color w:val="000000"/>
          <w:kern w:val="0"/>
          <w:sz w:val="32"/>
          <w:szCs w:val="32"/>
        </w:rPr>
        <w:t>等于</w:t>
      </w:r>
      <w:r>
        <w:rPr>
          <w:rFonts w:hint="eastAsia" w:ascii="仿宋_GB2312" w:hAnsi="Calibri" w:eastAsia="仿宋_GB2312" w:cs="仿宋"/>
          <w:color w:val="000000"/>
          <w:kern w:val="0"/>
          <w:sz w:val="32"/>
          <w:szCs w:val="32"/>
          <w:lang w:val="zh-CN"/>
        </w:rPr>
        <w:t>预算资金。</w:t>
      </w:r>
      <w:r>
        <w:rPr>
          <w:rFonts w:hint="eastAsia" w:ascii="仿宋_GB2312" w:hAnsi="Calibri" w:eastAsia="仿宋_GB2312" w:cs="仿宋"/>
          <w:color w:val="000000"/>
          <w:kern w:val="0"/>
          <w:sz w:val="32"/>
          <w:szCs w:val="32"/>
        </w:rPr>
        <w:t>支付合法合规</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（二）项目财务管理情况。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严格按照会计法和相关财务制度实施，对照项目资金管理办法，评价项目严格执行财务管理制度、财务处理及时、会计核算规范。</w:t>
      </w:r>
      <w:r>
        <w:rPr>
          <w:rFonts w:hint="eastAsia" w:ascii="仿宋_GB2312" w:hAnsi="Calibri" w:eastAsia="仿宋_GB2312" w:cs="仿宋"/>
          <w:color w:val="000000"/>
          <w:kern w:val="0"/>
          <w:sz w:val="32"/>
          <w:szCs w:val="32"/>
        </w:rPr>
        <w:t>资金到位后，我乡加强对项目资金使用情况的监督管理，做到专款专用，确保不挪用转借和挤占项目工程款。</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（三）项目组织实施情况。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该项目按照招标相关程序确定施工方，并</w:t>
      </w:r>
      <w:r>
        <w:rPr>
          <w:rFonts w:hint="eastAsia" w:ascii="仿宋_GB2312" w:hAnsi="Calibri" w:eastAsia="仿宋_GB2312" w:cs="仿宋"/>
          <w:color w:val="000000"/>
          <w:kern w:val="0"/>
          <w:sz w:val="32"/>
          <w:szCs w:val="32"/>
          <w:lang w:val="zh-CN"/>
        </w:rPr>
        <w:t>成立了项目</w:t>
      </w:r>
      <w:r>
        <w:rPr>
          <w:rFonts w:hint="eastAsia" w:ascii="仿宋_GB2312" w:hAnsi="Calibri" w:eastAsia="仿宋_GB2312" w:cs="仿宋"/>
          <w:color w:val="000000"/>
          <w:kern w:val="0"/>
          <w:sz w:val="32"/>
          <w:szCs w:val="32"/>
        </w:rPr>
        <w:t>领导小组</w:t>
      </w:r>
      <w:r>
        <w:rPr>
          <w:rFonts w:hint="eastAsia" w:ascii="仿宋_GB2312" w:hAnsi="Calibri" w:eastAsia="仿宋_GB2312" w:cs="仿宋"/>
          <w:color w:val="000000"/>
          <w:kern w:val="0"/>
          <w:sz w:val="32"/>
          <w:szCs w:val="32"/>
          <w:lang w:val="zh-CN"/>
        </w:rPr>
        <w:t>、配备了监理，</w:t>
      </w:r>
      <w:r>
        <w:rPr>
          <w:rFonts w:hint="eastAsia" w:ascii="仿宋_GB2312" w:hAnsi="Calibri" w:eastAsia="仿宋_GB2312" w:cs="仿宋"/>
          <w:color w:val="000000"/>
          <w:kern w:val="0"/>
          <w:sz w:val="32"/>
          <w:szCs w:val="32"/>
        </w:rPr>
        <w:t>村上</w:t>
      </w:r>
      <w:r>
        <w:rPr>
          <w:rFonts w:hint="eastAsia" w:ascii="仿宋_GB2312" w:hAnsi="Calibri" w:eastAsia="仿宋_GB2312" w:cs="仿宋"/>
          <w:color w:val="000000"/>
          <w:kern w:val="0"/>
          <w:sz w:val="32"/>
          <w:szCs w:val="32"/>
          <w:lang w:val="zh-CN"/>
        </w:rPr>
        <w:t>安排有专人</w:t>
      </w:r>
      <w:r>
        <w:rPr>
          <w:rFonts w:hint="eastAsia" w:ascii="仿宋_GB2312" w:hAnsi="Calibri" w:eastAsia="仿宋_GB2312" w:cs="仿宋"/>
          <w:color w:val="000000"/>
          <w:kern w:val="0"/>
          <w:sz w:val="32"/>
          <w:szCs w:val="32"/>
        </w:rPr>
        <w:t>监督，并按照项目实施方案实施。</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三、目标完成情况</w:t>
      </w:r>
      <w:r>
        <w:rPr>
          <w:rFonts w:hint="eastAsia" w:ascii="仿宋_GB2312" w:hAnsi="Calibri" w:eastAsia="仿宋_GB2312" w:cs="仿宋"/>
          <w:color w:val="000000"/>
          <w:kern w:val="0"/>
          <w:sz w:val="32"/>
          <w:szCs w:val="32"/>
          <w:lang w:val="zh-CN"/>
        </w:rPr>
        <w:tab/>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（一）目标任务量完成情况。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我乡成立了项目领导小组并配备监理协助抓好工程工期</w:t>
      </w:r>
      <w:r>
        <w:rPr>
          <w:rFonts w:hint="eastAsia" w:ascii="仿宋_GB2312" w:hAnsi="Calibri" w:eastAsia="仿宋_GB2312" w:cs="仿宋"/>
          <w:color w:val="000000"/>
          <w:kern w:val="0"/>
          <w:sz w:val="32"/>
          <w:szCs w:val="32"/>
        </w:rPr>
        <w:t>与</w:t>
      </w:r>
      <w:r>
        <w:rPr>
          <w:rFonts w:hint="eastAsia" w:ascii="仿宋_GB2312" w:hAnsi="Calibri" w:eastAsia="仿宋_GB2312" w:cs="仿宋"/>
          <w:color w:val="000000"/>
          <w:kern w:val="0"/>
          <w:sz w:val="32"/>
          <w:szCs w:val="32"/>
          <w:lang w:val="zh-CN"/>
        </w:rPr>
        <w:t>质量等工作。</w:t>
      </w:r>
      <w:r>
        <w:rPr>
          <w:rFonts w:hint="eastAsia" w:ascii="仿宋_GB2312" w:hAnsi="Calibri" w:eastAsia="仿宋_GB2312" w:cs="仿宋"/>
          <w:color w:val="000000"/>
          <w:kern w:val="0"/>
          <w:sz w:val="32"/>
          <w:szCs w:val="32"/>
        </w:rPr>
        <w:t>该项目建设内容和设计清单内容及批复内容相符，并按时完成各项指标值，验收合格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（二）目标质量完成情况。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工程建设质量符合设计规范、验收合格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（三）目标进度完成情况。</w:t>
      </w:r>
    </w:p>
    <w:p>
      <w:pPr>
        <w:adjustRightInd w:val="0"/>
        <w:snapToGrid w:val="0"/>
        <w:spacing w:line="560" w:lineRule="exact"/>
        <w:ind w:firstLine="800" w:firstLineChars="25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该项目计划工期与实际工期一致，如约完成建设</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四、项目效益情况</w:t>
      </w:r>
    </w:p>
    <w:p>
      <w:pPr>
        <w:adjustRightInd w:val="0"/>
        <w:snapToGrid w:val="0"/>
        <w:spacing w:line="560" w:lineRule="exact"/>
        <w:ind w:firstLine="640" w:firstLineChars="20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2021年茸木达脱贫攻坚产业项目建设</w:t>
      </w:r>
      <w:r>
        <w:rPr>
          <w:rFonts w:hint="eastAsia" w:ascii="仿宋_GB2312" w:hAnsi="Calibri" w:eastAsia="仿宋_GB2312" w:cs="仿宋"/>
          <w:color w:val="000000"/>
          <w:kern w:val="0"/>
          <w:sz w:val="32"/>
          <w:szCs w:val="32"/>
          <w:lang w:val="zh-CN"/>
        </w:rPr>
        <w:t>的实施，将彻底改善农牧民</w:t>
      </w:r>
      <w:r>
        <w:rPr>
          <w:rFonts w:hint="eastAsia" w:ascii="仿宋_GB2312" w:hAnsi="Calibri" w:eastAsia="仿宋_GB2312" w:cs="仿宋"/>
          <w:color w:val="000000"/>
          <w:kern w:val="0"/>
          <w:sz w:val="32"/>
          <w:szCs w:val="32"/>
        </w:rPr>
        <w:t>耕地安全</w:t>
      </w:r>
      <w:r>
        <w:rPr>
          <w:rFonts w:hint="eastAsia" w:ascii="仿宋_GB2312" w:hAnsi="Calibri" w:eastAsia="仿宋_GB2312" w:cs="仿宋"/>
          <w:color w:val="000000"/>
          <w:kern w:val="0"/>
          <w:sz w:val="32"/>
          <w:szCs w:val="32"/>
          <w:lang w:val="zh-CN"/>
        </w:rPr>
        <w:t>，进一步提高农牧民生产生活积极性，促进村经济快速发展，解决制约</w:t>
      </w:r>
      <w:r>
        <w:rPr>
          <w:rFonts w:hint="eastAsia" w:ascii="仿宋_GB2312" w:hAnsi="Calibri" w:eastAsia="仿宋_GB2312" w:cs="仿宋"/>
          <w:color w:val="000000"/>
          <w:kern w:val="0"/>
          <w:sz w:val="32"/>
          <w:szCs w:val="32"/>
        </w:rPr>
        <w:t>茸木达乡</w:t>
      </w:r>
      <w:r>
        <w:rPr>
          <w:rFonts w:hint="eastAsia" w:ascii="仿宋_GB2312" w:hAnsi="Calibri" w:eastAsia="仿宋_GB2312" w:cs="仿宋"/>
          <w:color w:val="000000"/>
          <w:kern w:val="0"/>
          <w:sz w:val="32"/>
          <w:szCs w:val="32"/>
          <w:lang w:val="zh-CN"/>
        </w:rPr>
        <w:t>经济发展的主要因素，其经济效益和社会效益都将十分显著，是一项利村、利民、利社会的系统工程、民心工程、德政工程。</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五、问题及建议</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（一）存在的问题：</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（二）相关建议：</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spacing w:line="580" w:lineRule="exact"/>
        <w:ind w:firstLine="640" w:firstLineChars="200"/>
        <w:rPr>
          <w:rFonts w:ascii="仿宋_GB2312" w:hAnsi="Calibri" w:eastAsia="仿宋_GB2312" w:cs="仿宋"/>
          <w:color w:val="000000"/>
          <w:kern w:val="0"/>
          <w:sz w:val="32"/>
          <w:szCs w:val="32"/>
        </w:rPr>
      </w:pPr>
    </w:p>
    <w:p>
      <w:pPr>
        <w:spacing w:line="580" w:lineRule="exact"/>
        <w:ind w:firstLine="640" w:firstLineChars="200"/>
        <w:rPr>
          <w:rFonts w:ascii="仿宋_GB2312" w:hAnsi="Calibri" w:eastAsia="仿宋_GB2312" w:cs="仿宋"/>
          <w:color w:val="000000"/>
          <w:kern w:val="0"/>
          <w:sz w:val="32"/>
          <w:szCs w:val="32"/>
        </w:rPr>
      </w:pP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壤塘县茸木达乡巴尔依村巴生小组脱贫攻坚入户路建设项目绩效自评报告</w:t>
      </w:r>
    </w:p>
    <w:p>
      <w:pPr>
        <w:adjustRightInd w:val="0"/>
        <w:snapToGrid w:val="0"/>
        <w:spacing w:line="560" w:lineRule="exact"/>
        <w:ind w:firstLine="720"/>
        <w:jc w:val="center"/>
        <w:rPr>
          <w:rFonts w:ascii="宋体" w:hAnsi="宋体"/>
          <w:b/>
          <w:sz w:val="44"/>
          <w:szCs w:val="44"/>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项目概况</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项目名称：壤塘县茸木达乡巴尔依村巴生小组脱贫攻坚入户路建设项目</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建设内容：修建排水管357.7米；铸铁箅子41个；水泥砼明沟214米；铺砌水泥砼面层3100.3平方米；设置挡墙131米；波形护栏拆除28米，修复34米；设置不锈钢护栏64米；零星工程栏杆翻新喷漆51平方米，树池24个，台阶10米长。</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总投资：117万元。</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（一）项目资金申报及批复情况。项目通过村召开村民大会的方式确定实施内容及资金预算申报乡审核的办法进行，由乡人民政府对项目进行对标筛选，</w:t>
      </w:r>
      <w:r>
        <w:rPr>
          <w:rFonts w:hint="eastAsia" w:ascii="仿宋_GB2312" w:hAnsi="Calibri" w:eastAsia="仿宋_GB2312" w:cs="仿宋"/>
          <w:color w:val="000000"/>
          <w:kern w:val="0"/>
          <w:sz w:val="32"/>
          <w:szCs w:val="32"/>
        </w:rPr>
        <w:t>公示公开后由乡人民政府上报给行业部门进行审批</w:t>
      </w:r>
      <w:r>
        <w:rPr>
          <w:rFonts w:hint="eastAsia" w:ascii="仿宋_GB2312" w:hAnsi="Calibri" w:eastAsia="仿宋_GB2312" w:cs="仿宋"/>
          <w:color w:val="000000"/>
          <w:kern w:val="0"/>
          <w:sz w:val="32"/>
          <w:szCs w:val="32"/>
          <w:lang w:val="zh-CN"/>
        </w:rPr>
        <w:t>。壤发改行审〔2021〕61号批复，项目申报资金</w:t>
      </w:r>
      <w:r>
        <w:rPr>
          <w:rFonts w:hint="eastAsia" w:ascii="仿宋_GB2312" w:hAnsi="Calibri" w:eastAsia="仿宋_GB2312" w:cs="仿宋"/>
          <w:color w:val="000000"/>
          <w:kern w:val="0"/>
          <w:sz w:val="32"/>
          <w:szCs w:val="32"/>
        </w:rPr>
        <w:t>117万元</w:t>
      </w:r>
      <w:r>
        <w:rPr>
          <w:rFonts w:hint="eastAsia" w:ascii="仿宋_GB2312" w:hAnsi="Calibri" w:eastAsia="仿宋_GB2312" w:cs="仿宋"/>
          <w:color w:val="000000"/>
          <w:kern w:val="0"/>
          <w:sz w:val="32"/>
          <w:szCs w:val="32"/>
          <w:lang w:val="zh-CN"/>
        </w:rPr>
        <w:t>、符合资金管理办法等相关规定。</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（二）项目绩效目标。</w:t>
      </w:r>
      <w:r>
        <w:rPr>
          <w:rFonts w:hint="eastAsia" w:ascii="仿宋_GB2312" w:hAnsi="Calibri" w:eastAsia="仿宋_GB2312" w:cs="仿宋"/>
          <w:color w:val="000000"/>
          <w:kern w:val="0"/>
          <w:sz w:val="32"/>
          <w:szCs w:val="32"/>
        </w:rPr>
        <w:t>该项目建设将为群众带来便利，让受益群众收入增加。同时提高我乡基础设施建设短板。项目计划与2021年5月开工10月完工。</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（三）项目资金申报相符性。项目申报实施内容与实际实施内容一致，</w:t>
      </w:r>
      <w:r>
        <w:rPr>
          <w:rFonts w:hint="eastAsia" w:ascii="仿宋_GB2312" w:hAnsi="Calibri" w:eastAsia="仿宋_GB2312" w:cs="仿宋"/>
          <w:color w:val="000000"/>
          <w:kern w:val="0"/>
          <w:sz w:val="32"/>
          <w:szCs w:val="32"/>
        </w:rPr>
        <w:t>围绕进一步改善农村基础设施条件、为群众提供生活便利，通过此项目群众出行难的问题，群众得到了实质性的优惠与农村居民的生产生活息息相关，项目的实施能够得到广大群众的积极支持并参与建设，</w:t>
      </w:r>
      <w:r>
        <w:rPr>
          <w:rFonts w:hint="eastAsia" w:ascii="仿宋_GB2312" w:hAnsi="Calibri" w:eastAsia="仿宋_GB2312" w:cs="仿宋"/>
          <w:color w:val="000000"/>
          <w:kern w:val="0"/>
          <w:sz w:val="32"/>
          <w:szCs w:val="32"/>
          <w:lang w:val="zh-CN"/>
        </w:rPr>
        <w:t>该项目的实施十分合理可行，社会效益显著。</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二、项目实施及管理情况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ab/>
      </w:r>
      <w:r>
        <w:rPr>
          <w:rFonts w:hint="eastAsia" w:ascii="仿宋_GB2312" w:hAnsi="Calibri" w:eastAsia="仿宋_GB2312" w:cs="仿宋"/>
          <w:color w:val="000000"/>
          <w:kern w:val="0"/>
          <w:sz w:val="32"/>
          <w:szCs w:val="32"/>
          <w:lang w:val="zh-CN"/>
        </w:rPr>
        <w:t>（一）资金计划、到位及使用情况。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1、资金计划及到位。该项目计划资金</w:t>
      </w:r>
      <w:r>
        <w:rPr>
          <w:rFonts w:hint="eastAsia" w:ascii="仿宋_GB2312" w:hAnsi="Calibri" w:eastAsia="仿宋_GB2312" w:cs="仿宋"/>
          <w:color w:val="000000"/>
          <w:kern w:val="0"/>
          <w:sz w:val="32"/>
          <w:szCs w:val="32"/>
        </w:rPr>
        <w:t>117万元，</w:t>
      </w:r>
      <w:r>
        <w:rPr>
          <w:rFonts w:hint="eastAsia" w:ascii="仿宋_GB2312" w:hAnsi="Calibri" w:eastAsia="仿宋_GB2312" w:cs="仿宋"/>
          <w:color w:val="000000"/>
          <w:kern w:val="0"/>
          <w:sz w:val="32"/>
          <w:szCs w:val="32"/>
          <w:lang w:val="zh-CN"/>
        </w:rPr>
        <w:t>实际到位</w:t>
      </w:r>
      <w:r>
        <w:rPr>
          <w:rFonts w:hint="eastAsia" w:ascii="仿宋_GB2312" w:hAnsi="Calibri" w:eastAsia="仿宋_GB2312" w:cs="仿宋"/>
          <w:color w:val="000000"/>
          <w:kern w:val="0"/>
          <w:sz w:val="32"/>
          <w:szCs w:val="32"/>
        </w:rPr>
        <w:t>117万元。</w:t>
      </w:r>
      <w:r>
        <w:rPr>
          <w:rFonts w:hint="eastAsia" w:ascii="仿宋_GB2312" w:hAnsi="Calibri" w:eastAsia="仿宋_GB2312" w:cs="仿宋"/>
          <w:color w:val="000000"/>
          <w:kern w:val="0"/>
          <w:sz w:val="32"/>
          <w:szCs w:val="32"/>
          <w:lang w:val="zh-CN"/>
        </w:rPr>
        <w:t>资金到位率</w:t>
      </w:r>
      <w:r>
        <w:rPr>
          <w:rFonts w:hint="eastAsia"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2、资金使用。截止评价时点项目资金的实际支出</w:t>
      </w:r>
      <w:r>
        <w:rPr>
          <w:rFonts w:hint="eastAsia" w:ascii="仿宋_GB2312" w:hAnsi="Calibri" w:eastAsia="仿宋_GB2312" w:cs="仿宋"/>
          <w:color w:val="000000"/>
          <w:kern w:val="0"/>
          <w:sz w:val="32"/>
          <w:szCs w:val="32"/>
        </w:rPr>
        <w:t>98.530556万元</w:t>
      </w:r>
      <w:r>
        <w:rPr>
          <w:rFonts w:hint="eastAsia" w:ascii="仿宋_GB2312" w:hAnsi="Calibri" w:eastAsia="仿宋_GB2312" w:cs="仿宋"/>
          <w:color w:val="000000"/>
          <w:kern w:val="0"/>
          <w:sz w:val="32"/>
          <w:szCs w:val="32"/>
          <w:lang w:val="zh-CN"/>
        </w:rPr>
        <w:t>，资金开支范围主要为</w:t>
      </w:r>
      <w:r>
        <w:rPr>
          <w:rFonts w:hint="eastAsia" w:ascii="仿宋_GB2312" w:hAnsi="Calibri" w:eastAsia="仿宋_GB2312" w:cs="仿宋"/>
          <w:color w:val="000000"/>
          <w:kern w:val="0"/>
          <w:sz w:val="32"/>
          <w:szCs w:val="32"/>
        </w:rPr>
        <w:t>基础设施建设工程款和待摊费</w:t>
      </w:r>
      <w:r>
        <w:rPr>
          <w:rFonts w:hint="eastAsia" w:ascii="仿宋_GB2312" w:hAnsi="Calibri" w:eastAsia="仿宋_GB2312" w:cs="仿宋"/>
          <w:color w:val="000000"/>
          <w:kern w:val="0"/>
          <w:sz w:val="32"/>
          <w:szCs w:val="32"/>
          <w:lang w:val="zh-CN"/>
        </w:rPr>
        <w:t>、支付依据合规合法，资金支付</w:t>
      </w:r>
      <w:r>
        <w:rPr>
          <w:rFonts w:hint="eastAsia" w:ascii="仿宋_GB2312" w:hAnsi="Calibri" w:eastAsia="仿宋_GB2312" w:cs="仿宋"/>
          <w:color w:val="000000"/>
          <w:kern w:val="0"/>
          <w:sz w:val="32"/>
          <w:szCs w:val="32"/>
        </w:rPr>
        <w:t>等于</w:t>
      </w:r>
      <w:r>
        <w:rPr>
          <w:rFonts w:hint="eastAsia" w:ascii="仿宋_GB2312" w:hAnsi="Calibri" w:eastAsia="仿宋_GB2312" w:cs="仿宋"/>
          <w:color w:val="000000"/>
          <w:kern w:val="0"/>
          <w:sz w:val="32"/>
          <w:szCs w:val="32"/>
          <w:lang w:val="zh-CN"/>
        </w:rPr>
        <w:t>预算资金。</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（二）项目财务管理情况。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严格按照会计法和相关财务制度实施，对照项目资金管理办法，评价项目严格执行财务管理制度、财务处理及时、会计核算规范。</w:t>
      </w:r>
      <w:r>
        <w:rPr>
          <w:rFonts w:hint="eastAsia" w:ascii="仿宋_GB2312" w:hAnsi="Calibri" w:eastAsia="仿宋_GB2312" w:cs="仿宋"/>
          <w:color w:val="000000"/>
          <w:kern w:val="0"/>
          <w:sz w:val="32"/>
          <w:szCs w:val="32"/>
        </w:rPr>
        <w:t>资金到位后，我乡加强对项目资金使用情况的监督管理，做到专款专用，确保不挪用转借和挤占项目工程款。</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（三）项目组织实施情况。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该项目按照招标相关程序确定施工方，并</w:t>
      </w:r>
      <w:r>
        <w:rPr>
          <w:rFonts w:hint="eastAsia" w:ascii="仿宋_GB2312" w:hAnsi="Calibri" w:eastAsia="仿宋_GB2312" w:cs="仿宋"/>
          <w:color w:val="000000"/>
          <w:kern w:val="0"/>
          <w:sz w:val="32"/>
          <w:szCs w:val="32"/>
          <w:lang w:val="zh-CN"/>
        </w:rPr>
        <w:t>成立了项目</w:t>
      </w:r>
      <w:r>
        <w:rPr>
          <w:rFonts w:hint="eastAsia" w:ascii="仿宋_GB2312" w:hAnsi="Calibri" w:eastAsia="仿宋_GB2312" w:cs="仿宋"/>
          <w:color w:val="000000"/>
          <w:kern w:val="0"/>
          <w:sz w:val="32"/>
          <w:szCs w:val="32"/>
        </w:rPr>
        <w:t>领导小组</w:t>
      </w:r>
      <w:r>
        <w:rPr>
          <w:rFonts w:hint="eastAsia" w:ascii="仿宋_GB2312" w:hAnsi="Calibri" w:eastAsia="仿宋_GB2312" w:cs="仿宋"/>
          <w:color w:val="000000"/>
          <w:kern w:val="0"/>
          <w:sz w:val="32"/>
          <w:szCs w:val="32"/>
          <w:lang w:val="zh-CN"/>
        </w:rPr>
        <w:t>、配备了监理，</w:t>
      </w:r>
      <w:r>
        <w:rPr>
          <w:rFonts w:hint="eastAsia" w:ascii="仿宋_GB2312" w:hAnsi="Calibri" w:eastAsia="仿宋_GB2312" w:cs="仿宋"/>
          <w:color w:val="000000"/>
          <w:kern w:val="0"/>
          <w:sz w:val="32"/>
          <w:szCs w:val="32"/>
        </w:rPr>
        <w:t>村上</w:t>
      </w:r>
      <w:r>
        <w:rPr>
          <w:rFonts w:hint="eastAsia" w:ascii="仿宋_GB2312" w:hAnsi="Calibri" w:eastAsia="仿宋_GB2312" w:cs="仿宋"/>
          <w:color w:val="000000"/>
          <w:kern w:val="0"/>
          <w:sz w:val="32"/>
          <w:szCs w:val="32"/>
          <w:lang w:val="zh-CN"/>
        </w:rPr>
        <w:t>安排有专人</w:t>
      </w:r>
      <w:r>
        <w:rPr>
          <w:rFonts w:hint="eastAsia" w:ascii="仿宋_GB2312" w:hAnsi="Calibri" w:eastAsia="仿宋_GB2312" w:cs="仿宋"/>
          <w:color w:val="000000"/>
          <w:kern w:val="0"/>
          <w:sz w:val="32"/>
          <w:szCs w:val="32"/>
        </w:rPr>
        <w:t>监督，并按照项目实施方案实施。</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三、目标完成情况</w:t>
      </w:r>
      <w:r>
        <w:rPr>
          <w:rFonts w:hint="eastAsia" w:ascii="仿宋_GB2312" w:hAnsi="Calibri" w:eastAsia="仿宋_GB2312" w:cs="仿宋"/>
          <w:color w:val="000000"/>
          <w:kern w:val="0"/>
          <w:sz w:val="32"/>
          <w:szCs w:val="32"/>
          <w:lang w:val="zh-CN"/>
        </w:rPr>
        <w:tab/>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（一）目标任务量完成情况。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我乡成立了项目领导小组并配备监理协助抓好工程工期</w:t>
      </w:r>
      <w:r>
        <w:rPr>
          <w:rFonts w:hint="eastAsia" w:ascii="仿宋_GB2312" w:hAnsi="Calibri" w:eastAsia="仿宋_GB2312" w:cs="仿宋"/>
          <w:color w:val="000000"/>
          <w:kern w:val="0"/>
          <w:sz w:val="32"/>
          <w:szCs w:val="32"/>
        </w:rPr>
        <w:t>与</w:t>
      </w:r>
      <w:r>
        <w:rPr>
          <w:rFonts w:hint="eastAsia" w:ascii="仿宋_GB2312" w:hAnsi="Calibri" w:eastAsia="仿宋_GB2312" w:cs="仿宋"/>
          <w:color w:val="000000"/>
          <w:kern w:val="0"/>
          <w:sz w:val="32"/>
          <w:szCs w:val="32"/>
          <w:lang w:val="zh-CN"/>
        </w:rPr>
        <w:t>质量等工作。</w:t>
      </w:r>
      <w:r>
        <w:rPr>
          <w:rFonts w:hint="eastAsia" w:ascii="仿宋_GB2312" w:hAnsi="Calibri" w:eastAsia="仿宋_GB2312" w:cs="仿宋"/>
          <w:color w:val="000000"/>
          <w:kern w:val="0"/>
          <w:sz w:val="32"/>
          <w:szCs w:val="32"/>
        </w:rPr>
        <w:t>该项目建设内容和设计清单内容及批复内容相符，并按时完成各项指标值，验收合格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（二）目标质量完成情况。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工程建设质量符合设计规范、验收合格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（三）目标进度完成情况。</w:t>
      </w:r>
    </w:p>
    <w:p>
      <w:pPr>
        <w:adjustRightInd w:val="0"/>
        <w:snapToGrid w:val="0"/>
        <w:spacing w:line="560" w:lineRule="exact"/>
        <w:ind w:firstLine="800" w:firstLineChars="25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该项目计划工期与实际工期一致，如约完成建设</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四、项目效益情况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壤塘县茸木达乡巴尔依村巴生小组脱贫攻坚入户路建设项目</w:t>
      </w:r>
      <w:r>
        <w:rPr>
          <w:rFonts w:hint="eastAsia" w:ascii="仿宋_GB2312" w:hAnsi="Calibri" w:eastAsia="仿宋_GB2312" w:cs="仿宋"/>
          <w:color w:val="000000"/>
          <w:kern w:val="0"/>
          <w:sz w:val="32"/>
          <w:szCs w:val="32"/>
          <w:lang w:val="zh-CN"/>
        </w:rPr>
        <w:t>的实施，将彻底改善农牧民</w:t>
      </w:r>
      <w:r>
        <w:rPr>
          <w:rFonts w:hint="eastAsia" w:ascii="仿宋_GB2312" w:hAnsi="Calibri" w:eastAsia="仿宋_GB2312" w:cs="仿宋"/>
          <w:color w:val="000000"/>
          <w:kern w:val="0"/>
          <w:sz w:val="32"/>
          <w:szCs w:val="32"/>
        </w:rPr>
        <w:t>出行安全</w:t>
      </w:r>
      <w:r>
        <w:rPr>
          <w:rFonts w:hint="eastAsia" w:ascii="仿宋_GB2312" w:hAnsi="Calibri" w:eastAsia="仿宋_GB2312" w:cs="仿宋"/>
          <w:color w:val="000000"/>
          <w:kern w:val="0"/>
          <w:sz w:val="32"/>
          <w:szCs w:val="32"/>
          <w:lang w:val="zh-CN"/>
        </w:rPr>
        <w:t>，进一步提高农牧民生产生活积极性，促进村经济快速发展，解决制约</w:t>
      </w:r>
      <w:r>
        <w:rPr>
          <w:rFonts w:hint="eastAsia" w:ascii="仿宋_GB2312" w:hAnsi="Calibri" w:eastAsia="仿宋_GB2312" w:cs="仿宋"/>
          <w:color w:val="000000"/>
          <w:kern w:val="0"/>
          <w:sz w:val="32"/>
          <w:szCs w:val="32"/>
        </w:rPr>
        <w:t>茸木达乡</w:t>
      </w:r>
      <w:r>
        <w:rPr>
          <w:rFonts w:hint="eastAsia" w:ascii="仿宋_GB2312" w:hAnsi="Calibri" w:eastAsia="仿宋_GB2312" w:cs="仿宋"/>
          <w:color w:val="000000"/>
          <w:kern w:val="0"/>
          <w:sz w:val="32"/>
          <w:szCs w:val="32"/>
          <w:lang w:val="zh-CN"/>
        </w:rPr>
        <w:t>经济发展的主要因素，其经济效益和社会效益都将十分显著，是一项利村、利民、利社会的系统工程、民心工程、德政工程。</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五、问题及建议</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（一）存在的问题：</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（二）相关建议：</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rPr>
          <w:rFonts w:ascii="仿宋_GB2312" w:hAnsi="Calibri" w:eastAsia="仿宋_GB2312" w:cs="仿宋"/>
          <w:color w:val="000000"/>
          <w:kern w:val="0"/>
          <w:sz w:val="32"/>
          <w:szCs w:val="32"/>
        </w:rPr>
      </w:pP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壤塘县茸木达乡德萨村牙格车小组脱贫攻坚入户路建设项目绩效自评报告</w:t>
      </w:r>
    </w:p>
    <w:p>
      <w:pPr>
        <w:adjustRightInd w:val="0"/>
        <w:snapToGrid w:val="0"/>
        <w:spacing w:line="560" w:lineRule="exact"/>
        <w:ind w:firstLine="720"/>
        <w:jc w:val="center"/>
        <w:rPr>
          <w:rFonts w:ascii="宋体" w:hAnsi="宋体"/>
          <w:b/>
          <w:sz w:val="44"/>
          <w:szCs w:val="44"/>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项目概况</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项目名称：壤塘县茸木达乡德萨村牙格车小组脱贫攻坚入户路建设项目</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建设内容：修建排水管460米；铸铁箅子55个；水泥砼明沟72米；水泥砼盖板沟159米；铺砌水泥砼面层3145平方米；设置挡墙460米。</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总投资：165万元。</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（一）项目资金申报及批复情况。项目通过村召开村民大会的方式确定实施内容及资金预算申报乡审核的办法进行，由乡人民政府对项目进行对标筛选，</w:t>
      </w:r>
      <w:r>
        <w:rPr>
          <w:rFonts w:hint="eastAsia" w:ascii="仿宋_GB2312" w:hAnsi="Calibri" w:eastAsia="仿宋_GB2312" w:cs="仿宋"/>
          <w:color w:val="000000"/>
          <w:kern w:val="0"/>
          <w:sz w:val="32"/>
          <w:szCs w:val="32"/>
        </w:rPr>
        <w:t>公示公开后由乡人民政府上报给行业部门进行审批</w:t>
      </w:r>
      <w:r>
        <w:rPr>
          <w:rFonts w:hint="eastAsia" w:ascii="仿宋_GB2312" w:hAnsi="Calibri" w:eastAsia="仿宋_GB2312" w:cs="仿宋"/>
          <w:color w:val="000000"/>
          <w:kern w:val="0"/>
          <w:sz w:val="32"/>
          <w:szCs w:val="32"/>
          <w:lang w:val="zh-CN"/>
        </w:rPr>
        <w:t>。壤发改行审〔2021〕60号批复，项目申报资金</w:t>
      </w:r>
      <w:r>
        <w:rPr>
          <w:rFonts w:hint="eastAsia" w:ascii="仿宋_GB2312" w:hAnsi="Calibri" w:eastAsia="仿宋_GB2312" w:cs="仿宋"/>
          <w:color w:val="000000"/>
          <w:kern w:val="0"/>
          <w:sz w:val="32"/>
          <w:szCs w:val="32"/>
        </w:rPr>
        <w:t>215万元</w:t>
      </w:r>
      <w:r>
        <w:rPr>
          <w:rFonts w:hint="eastAsia" w:ascii="仿宋_GB2312" w:hAnsi="Calibri" w:eastAsia="仿宋_GB2312" w:cs="仿宋"/>
          <w:color w:val="000000"/>
          <w:kern w:val="0"/>
          <w:sz w:val="32"/>
          <w:szCs w:val="32"/>
          <w:lang w:val="zh-CN"/>
        </w:rPr>
        <w:t>、符合资金管理办法等相关规定。</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（二）项目绩效目标。</w:t>
      </w:r>
      <w:r>
        <w:rPr>
          <w:rFonts w:hint="eastAsia" w:ascii="仿宋_GB2312" w:hAnsi="Calibri" w:eastAsia="仿宋_GB2312" w:cs="仿宋"/>
          <w:color w:val="000000"/>
          <w:kern w:val="0"/>
          <w:sz w:val="32"/>
          <w:szCs w:val="32"/>
        </w:rPr>
        <w:t>该项目建设将为群众带来便利，让受益群众收入增加。同时提高我乡基础设施建设短板。项目计划与2021年5月开工10月完工。</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（三）项目资金申报相符性。项目申报实施内容与实际实施内容一致，</w:t>
      </w:r>
      <w:r>
        <w:rPr>
          <w:rFonts w:hint="eastAsia" w:ascii="仿宋_GB2312" w:hAnsi="Calibri" w:eastAsia="仿宋_GB2312" w:cs="仿宋"/>
          <w:color w:val="000000"/>
          <w:kern w:val="0"/>
          <w:sz w:val="32"/>
          <w:szCs w:val="32"/>
        </w:rPr>
        <w:t>围绕进一步改善农村基础设施条件、为群众提供生活便利，通过此项目解决了基础设施薄弱，群众得到了实质性的优惠与农村居民的生产生活息息相关，项目的实施能够得到广大群众的积极支持并参与建设，</w:t>
      </w:r>
      <w:r>
        <w:rPr>
          <w:rFonts w:hint="eastAsia" w:ascii="仿宋_GB2312" w:hAnsi="Calibri" w:eastAsia="仿宋_GB2312" w:cs="仿宋"/>
          <w:color w:val="000000"/>
          <w:kern w:val="0"/>
          <w:sz w:val="32"/>
          <w:szCs w:val="32"/>
          <w:lang w:val="zh-CN"/>
        </w:rPr>
        <w:t>该项目的实施十分合理可行，社会效益显著。</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二、项目实施及管理情况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ab/>
      </w:r>
      <w:r>
        <w:rPr>
          <w:rFonts w:hint="eastAsia" w:ascii="仿宋_GB2312" w:hAnsi="Calibri" w:eastAsia="仿宋_GB2312" w:cs="仿宋"/>
          <w:color w:val="000000"/>
          <w:kern w:val="0"/>
          <w:sz w:val="32"/>
          <w:szCs w:val="32"/>
          <w:lang w:val="zh-CN"/>
        </w:rPr>
        <w:t>（一）资金计划、到位及使用情况。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1、资金计划及到位。该项目计划资金</w:t>
      </w:r>
      <w:r>
        <w:rPr>
          <w:rFonts w:hint="eastAsia" w:ascii="仿宋_GB2312" w:hAnsi="Calibri" w:eastAsia="仿宋_GB2312" w:cs="仿宋"/>
          <w:color w:val="000000"/>
          <w:kern w:val="0"/>
          <w:sz w:val="32"/>
          <w:szCs w:val="32"/>
        </w:rPr>
        <w:t>215万元，</w:t>
      </w:r>
      <w:r>
        <w:rPr>
          <w:rFonts w:hint="eastAsia" w:ascii="仿宋_GB2312" w:hAnsi="Calibri" w:eastAsia="仿宋_GB2312" w:cs="仿宋"/>
          <w:color w:val="000000"/>
          <w:kern w:val="0"/>
          <w:sz w:val="32"/>
          <w:szCs w:val="32"/>
          <w:lang w:val="zh-CN"/>
        </w:rPr>
        <w:t>实际到位</w:t>
      </w:r>
      <w:r>
        <w:rPr>
          <w:rFonts w:hint="eastAsia" w:ascii="仿宋_GB2312" w:hAnsi="Calibri" w:eastAsia="仿宋_GB2312" w:cs="仿宋"/>
          <w:color w:val="000000"/>
          <w:kern w:val="0"/>
          <w:sz w:val="32"/>
          <w:szCs w:val="32"/>
        </w:rPr>
        <w:t>215万元。</w:t>
      </w:r>
      <w:r>
        <w:rPr>
          <w:rFonts w:hint="eastAsia" w:ascii="仿宋_GB2312" w:hAnsi="Calibri" w:eastAsia="仿宋_GB2312" w:cs="仿宋"/>
          <w:color w:val="000000"/>
          <w:kern w:val="0"/>
          <w:sz w:val="32"/>
          <w:szCs w:val="32"/>
          <w:lang w:val="zh-CN"/>
        </w:rPr>
        <w:t>资金到位率</w:t>
      </w:r>
      <w:r>
        <w:rPr>
          <w:rFonts w:hint="eastAsia"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2、资金使用。截止评价时点项目资金的实际支出</w:t>
      </w:r>
      <w:r>
        <w:rPr>
          <w:rFonts w:hint="eastAsia" w:ascii="仿宋_GB2312" w:hAnsi="Calibri" w:eastAsia="仿宋_GB2312" w:cs="仿宋"/>
          <w:color w:val="000000"/>
          <w:kern w:val="0"/>
          <w:sz w:val="32"/>
          <w:szCs w:val="32"/>
        </w:rPr>
        <w:t>158.331059万元</w:t>
      </w:r>
      <w:r>
        <w:rPr>
          <w:rFonts w:hint="eastAsia" w:ascii="仿宋_GB2312" w:hAnsi="Calibri" w:eastAsia="仿宋_GB2312" w:cs="仿宋"/>
          <w:color w:val="000000"/>
          <w:kern w:val="0"/>
          <w:sz w:val="32"/>
          <w:szCs w:val="32"/>
          <w:lang w:val="zh-CN"/>
        </w:rPr>
        <w:t>，资金开支范围主要为</w:t>
      </w:r>
      <w:r>
        <w:rPr>
          <w:rFonts w:hint="eastAsia" w:ascii="仿宋_GB2312" w:hAnsi="Calibri" w:eastAsia="仿宋_GB2312" w:cs="仿宋"/>
          <w:color w:val="000000"/>
          <w:kern w:val="0"/>
          <w:sz w:val="32"/>
          <w:szCs w:val="32"/>
        </w:rPr>
        <w:t>基础设施建设工程款和待摊费</w:t>
      </w:r>
      <w:r>
        <w:rPr>
          <w:rFonts w:hint="eastAsia" w:ascii="仿宋_GB2312" w:hAnsi="Calibri" w:eastAsia="仿宋_GB2312" w:cs="仿宋"/>
          <w:color w:val="000000"/>
          <w:kern w:val="0"/>
          <w:sz w:val="32"/>
          <w:szCs w:val="32"/>
          <w:lang w:val="zh-CN"/>
        </w:rPr>
        <w:t>、支付依据合规合法，资金支付</w:t>
      </w:r>
      <w:r>
        <w:rPr>
          <w:rFonts w:hint="eastAsia" w:ascii="仿宋_GB2312" w:hAnsi="Calibri" w:eastAsia="仿宋_GB2312" w:cs="仿宋"/>
          <w:color w:val="000000"/>
          <w:kern w:val="0"/>
          <w:sz w:val="32"/>
          <w:szCs w:val="32"/>
        </w:rPr>
        <w:t>等于</w:t>
      </w:r>
      <w:r>
        <w:rPr>
          <w:rFonts w:hint="eastAsia" w:ascii="仿宋_GB2312" w:hAnsi="Calibri" w:eastAsia="仿宋_GB2312" w:cs="仿宋"/>
          <w:color w:val="000000"/>
          <w:kern w:val="0"/>
          <w:sz w:val="32"/>
          <w:szCs w:val="32"/>
          <w:lang w:val="zh-CN"/>
        </w:rPr>
        <w:t>预算资金。</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（二）项目财务管理情况。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严格按照会计法和相关财务制度实施，对照项目资金管理办法，评价项目严格执行财务管理制度、财务处理及时、会计核算规范。</w:t>
      </w:r>
      <w:r>
        <w:rPr>
          <w:rFonts w:hint="eastAsia" w:ascii="仿宋_GB2312" w:hAnsi="Calibri" w:eastAsia="仿宋_GB2312" w:cs="仿宋"/>
          <w:color w:val="000000"/>
          <w:kern w:val="0"/>
          <w:sz w:val="32"/>
          <w:szCs w:val="32"/>
        </w:rPr>
        <w:t>资金到位后，我乡加强对项目资金使用情况的监督管理，做到专款专用，确保不挪用转借和挤占项目工程款。</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（三）项目组织实施情况。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该项目按照招标相关程序确定施工方，并</w:t>
      </w:r>
      <w:r>
        <w:rPr>
          <w:rFonts w:hint="eastAsia" w:ascii="仿宋_GB2312" w:hAnsi="Calibri" w:eastAsia="仿宋_GB2312" w:cs="仿宋"/>
          <w:color w:val="000000"/>
          <w:kern w:val="0"/>
          <w:sz w:val="32"/>
          <w:szCs w:val="32"/>
          <w:lang w:val="zh-CN"/>
        </w:rPr>
        <w:t>成立了项目</w:t>
      </w:r>
      <w:r>
        <w:rPr>
          <w:rFonts w:hint="eastAsia" w:ascii="仿宋_GB2312" w:hAnsi="Calibri" w:eastAsia="仿宋_GB2312" w:cs="仿宋"/>
          <w:color w:val="000000"/>
          <w:kern w:val="0"/>
          <w:sz w:val="32"/>
          <w:szCs w:val="32"/>
        </w:rPr>
        <w:t>领导小组</w:t>
      </w:r>
      <w:r>
        <w:rPr>
          <w:rFonts w:hint="eastAsia" w:ascii="仿宋_GB2312" w:hAnsi="Calibri" w:eastAsia="仿宋_GB2312" w:cs="仿宋"/>
          <w:color w:val="000000"/>
          <w:kern w:val="0"/>
          <w:sz w:val="32"/>
          <w:szCs w:val="32"/>
          <w:lang w:val="zh-CN"/>
        </w:rPr>
        <w:t>、配备了监理，</w:t>
      </w:r>
      <w:r>
        <w:rPr>
          <w:rFonts w:hint="eastAsia" w:ascii="仿宋_GB2312" w:hAnsi="Calibri" w:eastAsia="仿宋_GB2312" w:cs="仿宋"/>
          <w:color w:val="000000"/>
          <w:kern w:val="0"/>
          <w:sz w:val="32"/>
          <w:szCs w:val="32"/>
        </w:rPr>
        <w:t>村上</w:t>
      </w:r>
      <w:r>
        <w:rPr>
          <w:rFonts w:hint="eastAsia" w:ascii="仿宋_GB2312" w:hAnsi="Calibri" w:eastAsia="仿宋_GB2312" w:cs="仿宋"/>
          <w:color w:val="000000"/>
          <w:kern w:val="0"/>
          <w:sz w:val="32"/>
          <w:szCs w:val="32"/>
          <w:lang w:val="zh-CN"/>
        </w:rPr>
        <w:t>安排有专人</w:t>
      </w:r>
      <w:r>
        <w:rPr>
          <w:rFonts w:hint="eastAsia" w:ascii="仿宋_GB2312" w:hAnsi="Calibri" w:eastAsia="仿宋_GB2312" w:cs="仿宋"/>
          <w:color w:val="000000"/>
          <w:kern w:val="0"/>
          <w:sz w:val="32"/>
          <w:szCs w:val="32"/>
        </w:rPr>
        <w:t>监督，并按照项目实施方案实施。</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三、目标完成情况</w:t>
      </w:r>
      <w:r>
        <w:rPr>
          <w:rFonts w:hint="eastAsia" w:ascii="仿宋_GB2312" w:hAnsi="Calibri" w:eastAsia="仿宋_GB2312" w:cs="仿宋"/>
          <w:color w:val="000000"/>
          <w:kern w:val="0"/>
          <w:sz w:val="32"/>
          <w:szCs w:val="32"/>
          <w:lang w:val="zh-CN"/>
        </w:rPr>
        <w:tab/>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（一）目标任务量完成情况。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我乡成立了项目领导小组并配备监理协助抓好工程工期</w:t>
      </w:r>
      <w:r>
        <w:rPr>
          <w:rFonts w:hint="eastAsia" w:ascii="仿宋_GB2312" w:hAnsi="Calibri" w:eastAsia="仿宋_GB2312" w:cs="仿宋"/>
          <w:color w:val="000000"/>
          <w:kern w:val="0"/>
          <w:sz w:val="32"/>
          <w:szCs w:val="32"/>
        </w:rPr>
        <w:t>与</w:t>
      </w:r>
      <w:r>
        <w:rPr>
          <w:rFonts w:hint="eastAsia" w:ascii="仿宋_GB2312" w:hAnsi="Calibri" w:eastAsia="仿宋_GB2312" w:cs="仿宋"/>
          <w:color w:val="000000"/>
          <w:kern w:val="0"/>
          <w:sz w:val="32"/>
          <w:szCs w:val="32"/>
          <w:lang w:val="zh-CN"/>
        </w:rPr>
        <w:t>质量等工作。</w:t>
      </w:r>
      <w:r>
        <w:rPr>
          <w:rFonts w:hint="eastAsia" w:ascii="仿宋_GB2312" w:hAnsi="Calibri" w:eastAsia="仿宋_GB2312" w:cs="仿宋"/>
          <w:color w:val="000000"/>
          <w:kern w:val="0"/>
          <w:sz w:val="32"/>
          <w:szCs w:val="32"/>
        </w:rPr>
        <w:t>该项目建设内容和设计清单内容及批复内容相符，并按时完成各项指标值，验收合格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（二）目标质量完成情况。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工程建设质量符合设计规范、验收合格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（三）目标进度完成情况。</w:t>
      </w:r>
    </w:p>
    <w:p>
      <w:pPr>
        <w:adjustRightInd w:val="0"/>
        <w:snapToGrid w:val="0"/>
        <w:spacing w:line="560" w:lineRule="exact"/>
        <w:ind w:firstLine="800" w:firstLineChars="25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该项目计划工期与实际工期一致，如约完成建设</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四、项目效益情况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壤塘县茸木达乡德萨村牙格车小组脱贫攻坚入户路建设项目</w:t>
      </w:r>
      <w:r>
        <w:rPr>
          <w:rFonts w:hint="eastAsia" w:ascii="仿宋_GB2312" w:hAnsi="Calibri" w:eastAsia="仿宋_GB2312" w:cs="仿宋"/>
          <w:color w:val="000000"/>
          <w:kern w:val="0"/>
          <w:sz w:val="32"/>
          <w:szCs w:val="32"/>
          <w:lang w:val="zh-CN"/>
        </w:rPr>
        <w:t>的实施，将彻底改善农牧民</w:t>
      </w:r>
      <w:r>
        <w:rPr>
          <w:rFonts w:hint="eastAsia" w:ascii="仿宋_GB2312" w:hAnsi="Calibri" w:eastAsia="仿宋_GB2312" w:cs="仿宋"/>
          <w:color w:val="000000"/>
          <w:kern w:val="0"/>
          <w:sz w:val="32"/>
          <w:szCs w:val="32"/>
        </w:rPr>
        <w:t>出行安全</w:t>
      </w:r>
      <w:r>
        <w:rPr>
          <w:rFonts w:hint="eastAsia" w:ascii="仿宋_GB2312" w:hAnsi="Calibri" w:eastAsia="仿宋_GB2312" w:cs="仿宋"/>
          <w:color w:val="000000"/>
          <w:kern w:val="0"/>
          <w:sz w:val="32"/>
          <w:szCs w:val="32"/>
          <w:lang w:val="zh-CN"/>
        </w:rPr>
        <w:t>，进一步提高农牧民生产生活积极性，促进村经济快速发展，解决制约</w:t>
      </w:r>
      <w:r>
        <w:rPr>
          <w:rFonts w:hint="eastAsia" w:ascii="仿宋_GB2312" w:hAnsi="Calibri" w:eastAsia="仿宋_GB2312" w:cs="仿宋"/>
          <w:color w:val="000000"/>
          <w:kern w:val="0"/>
          <w:sz w:val="32"/>
          <w:szCs w:val="32"/>
        </w:rPr>
        <w:t>茸木达乡</w:t>
      </w:r>
      <w:r>
        <w:rPr>
          <w:rFonts w:hint="eastAsia" w:ascii="仿宋_GB2312" w:hAnsi="Calibri" w:eastAsia="仿宋_GB2312" w:cs="仿宋"/>
          <w:color w:val="000000"/>
          <w:kern w:val="0"/>
          <w:sz w:val="32"/>
          <w:szCs w:val="32"/>
          <w:lang w:val="zh-CN"/>
        </w:rPr>
        <w:t>经济发展的主要因素，其经济效益和社会效益都将十分显著，是一项利村、利民、利社会的系统工程、民心工程、德政工程。</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五、问题及建议</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（一）存在的问题：</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（二）相关建议：</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rPr>
          <w:rFonts w:ascii="仿宋_GB2312" w:hAnsi="Calibri" w:eastAsia="仿宋_GB2312" w:cs="仿宋"/>
          <w:color w:val="000000"/>
          <w:kern w:val="0"/>
          <w:sz w:val="32"/>
          <w:szCs w:val="32"/>
        </w:rPr>
      </w:pP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壤塘县脱贫攻坚产业（黑青稞）建设</w:t>
      </w: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项目绩效自评报告</w:t>
      </w:r>
    </w:p>
    <w:p>
      <w:pPr>
        <w:adjustRightInd w:val="0"/>
        <w:snapToGrid w:val="0"/>
        <w:spacing w:line="560" w:lineRule="exact"/>
        <w:ind w:firstLine="720"/>
        <w:jc w:val="center"/>
        <w:rPr>
          <w:rFonts w:ascii="宋体" w:hAnsi="宋体"/>
          <w:b/>
          <w:sz w:val="44"/>
          <w:szCs w:val="44"/>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项目概况</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项目名称：壤塘县脱贫攻坚产业（黑青稞）建设项目建设</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建设内容：茸木达村修建1座石磨坊，建设面积共计70平方米，购买设备及附属设施建设。</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总投资：60万元。</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（一）项目资金申报及批复情况。项目通过村召开村民大会的方式确定实施内容及资金预算申报乡审核的办法进行，由乡人民政府对项目进行对标筛选，</w:t>
      </w:r>
      <w:r>
        <w:rPr>
          <w:rFonts w:hint="eastAsia" w:ascii="仿宋_GB2312" w:hAnsi="Calibri" w:eastAsia="仿宋_GB2312" w:cs="仿宋"/>
          <w:color w:val="000000"/>
          <w:kern w:val="0"/>
          <w:sz w:val="32"/>
          <w:szCs w:val="32"/>
        </w:rPr>
        <w:t>公示公开后由乡人民政府上报给行业部门进行审批</w:t>
      </w:r>
      <w:r>
        <w:rPr>
          <w:rFonts w:hint="eastAsia" w:ascii="仿宋_GB2312" w:hAnsi="Calibri" w:eastAsia="仿宋_GB2312" w:cs="仿宋"/>
          <w:color w:val="000000"/>
          <w:kern w:val="0"/>
          <w:sz w:val="32"/>
          <w:szCs w:val="32"/>
          <w:lang w:val="zh-CN"/>
        </w:rPr>
        <w:t>。壤发改行审〔2021〕30号批复，项目申报资金</w:t>
      </w:r>
      <w:r>
        <w:rPr>
          <w:rFonts w:hint="eastAsia" w:ascii="仿宋_GB2312" w:hAnsi="Calibri" w:eastAsia="仿宋_GB2312" w:cs="仿宋"/>
          <w:color w:val="000000"/>
          <w:kern w:val="0"/>
          <w:sz w:val="32"/>
          <w:szCs w:val="32"/>
        </w:rPr>
        <w:t>60万元</w:t>
      </w:r>
      <w:r>
        <w:rPr>
          <w:rFonts w:hint="eastAsia" w:ascii="仿宋_GB2312" w:hAnsi="Calibri" w:eastAsia="仿宋_GB2312" w:cs="仿宋"/>
          <w:color w:val="000000"/>
          <w:kern w:val="0"/>
          <w:sz w:val="32"/>
          <w:szCs w:val="32"/>
          <w:lang w:val="zh-CN"/>
        </w:rPr>
        <w:t>、符合资金管理办法等相关规定。</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（二）项目绩效目标。</w:t>
      </w:r>
      <w:r>
        <w:rPr>
          <w:rFonts w:hint="eastAsia" w:ascii="仿宋_GB2312" w:hAnsi="Calibri" w:eastAsia="仿宋_GB2312" w:cs="仿宋"/>
          <w:color w:val="000000"/>
          <w:kern w:val="0"/>
          <w:sz w:val="32"/>
          <w:szCs w:val="32"/>
        </w:rPr>
        <w:t>该项目建设将为群众带来便利，让受益群众收入增加。同时提高我乡基础设施建设短板。项目计划与2021年5月开工10月完工。</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（三）项目资金申报相符性。项目申报实施内容与实际实施内容一致，</w:t>
      </w:r>
      <w:r>
        <w:rPr>
          <w:rFonts w:hint="eastAsia" w:ascii="仿宋_GB2312" w:hAnsi="Calibri" w:eastAsia="仿宋_GB2312" w:cs="仿宋"/>
          <w:color w:val="000000"/>
          <w:kern w:val="0"/>
          <w:sz w:val="32"/>
          <w:szCs w:val="32"/>
        </w:rPr>
        <w:t>围绕进一步改善农村基础设施条件、为群众提供生活便利，通过此项目降低了群众青稞加工难的问题，群众得到了实质性的优惠与农村居民的生产生活息息相关，项目的实施能够得到广大群众的积极支持并参与建设，</w:t>
      </w:r>
      <w:r>
        <w:rPr>
          <w:rFonts w:hint="eastAsia" w:ascii="仿宋_GB2312" w:hAnsi="Calibri" w:eastAsia="仿宋_GB2312" w:cs="仿宋"/>
          <w:color w:val="000000"/>
          <w:kern w:val="0"/>
          <w:sz w:val="32"/>
          <w:szCs w:val="32"/>
          <w:lang w:val="zh-CN"/>
        </w:rPr>
        <w:t>该项目的实施十分合理可行，社会效益显著。</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二、项目实施及管理情况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ab/>
      </w:r>
      <w:r>
        <w:rPr>
          <w:rFonts w:hint="eastAsia" w:ascii="仿宋_GB2312" w:hAnsi="Calibri" w:eastAsia="仿宋_GB2312" w:cs="仿宋"/>
          <w:color w:val="000000"/>
          <w:kern w:val="0"/>
          <w:sz w:val="32"/>
          <w:szCs w:val="32"/>
          <w:lang w:val="zh-CN"/>
        </w:rPr>
        <w:t>（一）资金计划、到位及使用情况。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1、资金计划及到位。该项目计划资金</w:t>
      </w:r>
      <w:r>
        <w:rPr>
          <w:rFonts w:hint="eastAsia" w:ascii="仿宋_GB2312" w:hAnsi="Calibri" w:eastAsia="仿宋_GB2312" w:cs="仿宋"/>
          <w:color w:val="000000"/>
          <w:kern w:val="0"/>
          <w:sz w:val="32"/>
          <w:szCs w:val="32"/>
        </w:rPr>
        <w:t>60万元，</w:t>
      </w:r>
      <w:r>
        <w:rPr>
          <w:rFonts w:hint="eastAsia" w:ascii="仿宋_GB2312" w:hAnsi="Calibri" w:eastAsia="仿宋_GB2312" w:cs="仿宋"/>
          <w:color w:val="000000"/>
          <w:kern w:val="0"/>
          <w:sz w:val="32"/>
          <w:szCs w:val="32"/>
          <w:lang w:val="zh-CN"/>
        </w:rPr>
        <w:t>实际到位</w:t>
      </w:r>
      <w:r>
        <w:rPr>
          <w:rFonts w:hint="eastAsia" w:ascii="仿宋_GB2312" w:hAnsi="Calibri" w:eastAsia="仿宋_GB2312" w:cs="仿宋"/>
          <w:color w:val="000000"/>
          <w:kern w:val="0"/>
          <w:sz w:val="32"/>
          <w:szCs w:val="32"/>
        </w:rPr>
        <w:t>60万元。</w:t>
      </w:r>
      <w:r>
        <w:rPr>
          <w:rFonts w:hint="eastAsia" w:ascii="仿宋_GB2312" w:hAnsi="Calibri" w:eastAsia="仿宋_GB2312" w:cs="仿宋"/>
          <w:color w:val="000000"/>
          <w:kern w:val="0"/>
          <w:sz w:val="32"/>
          <w:szCs w:val="32"/>
          <w:lang w:val="zh-CN"/>
        </w:rPr>
        <w:t>资金到位率</w:t>
      </w:r>
      <w:r>
        <w:rPr>
          <w:rFonts w:hint="eastAsia"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2、资金使用。截止评价时点项目资金的实际支出</w:t>
      </w:r>
      <w:r>
        <w:rPr>
          <w:rFonts w:hint="eastAsia" w:ascii="仿宋_GB2312" w:hAnsi="Calibri" w:eastAsia="仿宋_GB2312" w:cs="仿宋"/>
          <w:color w:val="000000"/>
          <w:kern w:val="0"/>
          <w:sz w:val="32"/>
          <w:szCs w:val="32"/>
        </w:rPr>
        <w:t>55.728555万元</w:t>
      </w:r>
      <w:r>
        <w:rPr>
          <w:rFonts w:hint="eastAsia" w:ascii="仿宋_GB2312" w:hAnsi="Calibri" w:eastAsia="仿宋_GB2312" w:cs="仿宋"/>
          <w:color w:val="000000"/>
          <w:kern w:val="0"/>
          <w:sz w:val="32"/>
          <w:szCs w:val="32"/>
          <w:lang w:val="zh-CN"/>
        </w:rPr>
        <w:t>，资金开支范围主要为</w:t>
      </w:r>
      <w:r>
        <w:rPr>
          <w:rFonts w:hint="eastAsia" w:ascii="仿宋_GB2312" w:hAnsi="Calibri" w:eastAsia="仿宋_GB2312" w:cs="仿宋"/>
          <w:color w:val="000000"/>
          <w:kern w:val="0"/>
          <w:sz w:val="32"/>
          <w:szCs w:val="32"/>
        </w:rPr>
        <w:t>基础设施建设工程款和待摊费</w:t>
      </w:r>
      <w:r>
        <w:rPr>
          <w:rFonts w:hint="eastAsia" w:ascii="仿宋_GB2312" w:hAnsi="Calibri" w:eastAsia="仿宋_GB2312" w:cs="仿宋"/>
          <w:color w:val="000000"/>
          <w:kern w:val="0"/>
          <w:sz w:val="32"/>
          <w:szCs w:val="32"/>
          <w:lang w:val="zh-CN"/>
        </w:rPr>
        <w:t>、支付依据合规合法，资金支付</w:t>
      </w:r>
      <w:r>
        <w:rPr>
          <w:rFonts w:hint="eastAsia" w:ascii="仿宋_GB2312" w:hAnsi="Calibri" w:eastAsia="仿宋_GB2312" w:cs="仿宋"/>
          <w:color w:val="000000"/>
          <w:kern w:val="0"/>
          <w:sz w:val="32"/>
          <w:szCs w:val="32"/>
        </w:rPr>
        <w:t>等于</w:t>
      </w:r>
      <w:r>
        <w:rPr>
          <w:rFonts w:hint="eastAsia" w:ascii="仿宋_GB2312" w:hAnsi="Calibri" w:eastAsia="仿宋_GB2312" w:cs="仿宋"/>
          <w:color w:val="000000"/>
          <w:kern w:val="0"/>
          <w:sz w:val="32"/>
          <w:szCs w:val="32"/>
          <w:lang w:val="zh-CN"/>
        </w:rPr>
        <w:t>预算资金。</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（二）项目财务管理情况。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严格按照会计法和相关财务制度实施，对照项目资金管理办法，评价项目严格执行财务管理制度、财务处理及时、会计核算规范。</w:t>
      </w:r>
      <w:r>
        <w:rPr>
          <w:rFonts w:hint="eastAsia" w:ascii="仿宋_GB2312" w:hAnsi="Calibri" w:eastAsia="仿宋_GB2312" w:cs="仿宋"/>
          <w:color w:val="000000"/>
          <w:kern w:val="0"/>
          <w:sz w:val="32"/>
          <w:szCs w:val="32"/>
        </w:rPr>
        <w:t>资金到位后，我乡加强对项目资金使用情况的监督管理，做到专款专用，确保不挪用转借和挤占项目工程款。</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（三）项目组织实施情况。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该项目按照招标相关程序确定施工方，并</w:t>
      </w:r>
      <w:r>
        <w:rPr>
          <w:rFonts w:hint="eastAsia" w:ascii="仿宋_GB2312" w:hAnsi="Calibri" w:eastAsia="仿宋_GB2312" w:cs="仿宋"/>
          <w:color w:val="000000"/>
          <w:kern w:val="0"/>
          <w:sz w:val="32"/>
          <w:szCs w:val="32"/>
          <w:lang w:val="zh-CN"/>
        </w:rPr>
        <w:t>成立了项目</w:t>
      </w:r>
      <w:r>
        <w:rPr>
          <w:rFonts w:hint="eastAsia" w:ascii="仿宋_GB2312" w:hAnsi="Calibri" w:eastAsia="仿宋_GB2312" w:cs="仿宋"/>
          <w:color w:val="000000"/>
          <w:kern w:val="0"/>
          <w:sz w:val="32"/>
          <w:szCs w:val="32"/>
        </w:rPr>
        <w:t>领导小组</w:t>
      </w:r>
      <w:r>
        <w:rPr>
          <w:rFonts w:hint="eastAsia" w:ascii="仿宋_GB2312" w:hAnsi="Calibri" w:eastAsia="仿宋_GB2312" w:cs="仿宋"/>
          <w:color w:val="000000"/>
          <w:kern w:val="0"/>
          <w:sz w:val="32"/>
          <w:szCs w:val="32"/>
          <w:lang w:val="zh-CN"/>
        </w:rPr>
        <w:t>、配备了监理，</w:t>
      </w:r>
      <w:r>
        <w:rPr>
          <w:rFonts w:hint="eastAsia" w:ascii="仿宋_GB2312" w:hAnsi="Calibri" w:eastAsia="仿宋_GB2312" w:cs="仿宋"/>
          <w:color w:val="000000"/>
          <w:kern w:val="0"/>
          <w:sz w:val="32"/>
          <w:szCs w:val="32"/>
        </w:rPr>
        <w:t>村上</w:t>
      </w:r>
      <w:r>
        <w:rPr>
          <w:rFonts w:hint="eastAsia" w:ascii="仿宋_GB2312" w:hAnsi="Calibri" w:eastAsia="仿宋_GB2312" w:cs="仿宋"/>
          <w:color w:val="000000"/>
          <w:kern w:val="0"/>
          <w:sz w:val="32"/>
          <w:szCs w:val="32"/>
          <w:lang w:val="zh-CN"/>
        </w:rPr>
        <w:t>安排有专人</w:t>
      </w:r>
      <w:r>
        <w:rPr>
          <w:rFonts w:hint="eastAsia" w:ascii="仿宋_GB2312" w:hAnsi="Calibri" w:eastAsia="仿宋_GB2312" w:cs="仿宋"/>
          <w:color w:val="000000"/>
          <w:kern w:val="0"/>
          <w:sz w:val="32"/>
          <w:szCs w:val="32"/>
        </w:rPr>
        <w:t>监督，并按照项目实施方案实施。</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三、目标完成情况</w:t>
      </w:r>
      <w:r>
        <w:rPr>
          <w:rFonts w:hint="eastAsia" w:ascii="仿宋_GB2312" w:hAnsi="Calibri" w:eastAsia="仿宋_GB2312" w:cs="仿宋"/>
          <w:color w:val="000000"/>
          <w:kern w:val="0"/>
          <w:sz w:val="32"/>
          <w:szCs w:val="32"/>
          <w:lang w:val="zh-CN"/>
        </w:rPr>
        <w:tab/>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（一）目标任务量完成情况。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我乡成立了项目领导小组并配备监理协助抓好工程工期</w:t>
      </w:r>
      <w:r>
        <w:rPr>
          <w:rFonts w:hint="eastAsia" w:ascii="仿宋_GB2312" w:hAnsi="Calibri" w:eastAsia="仿宋_GB2312" w:cs="仿宋"/>
          <w:color w:val="000000"/>
          <w:kern w:val="0"/>
          <w:sz w:val="32"/>
          <w:szCs w:val="32"/>
        </w:rPr>
        <w:t>与</w:t>
      </w:r>
      <w:r>
        <w:rPr>
          <w:rFonts w:hint="eastAsia" w:ascii="仿宋_GB2312" w:hAnsi="Calibri" w:eastAsia="仿宋_GB2312" w:cs="仿宋"/>
          <w:color w:val="000000"/>
          <w:kern w:val="0"/>
          <w:sz w:val="32"/>
          <w:szCs w:val="32"/>
          <w:lang w:val="zh-CN"/>
        </w:rPr>
        <w:t>质量等工作。</w:t>
      </w:r>
      <w:r>
        <w:rPr>
          <w:rFonts w:hint="eastAsia" w:ascii="仿宋_GB2312" w:hAnsi="Calibri" w:eastAsia="仿宋_GB2312" w:cs="仿宋"/>
          <w:color w:val="000000"/>
          <w:kern w:val="0"/>
          <w:sz w:val="32"/>
          <w:szCs w:val="32"/>
        </w:rPr>
        <w:t>该项目建设内容和设计清单内容及批复内容相符，并按时完成各项指标值，验收合格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（二）目标质量完成情况。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工程建设质量符合设计规范、验收合格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（三）目标进度完成情况。</w:t>
      </w:r>
    </w:p>
    <w:p>
      <w:pPr>
        <w:adjustRightInd w:val="0"/>
        <w:snapToGrid w:val="0"/>
        <w:spacing w:line="560" w:lineRule="exact"/>
        <w:ind w:firstLine="800" w:firstLineChars="25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该项目计划工期与实际工期一致，如约完成建设</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四、项目效益情况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壤塘县脱贫攻坚产业（黑青稞）建设项目建设</w:t>
      </w:r>
      <w:r>
        <w:rPr>
          <w:rFonts w:hint="eastAsia" w:ascii="仿宋_GB2312" w:hAnsi="Calibri" w:eastAsia="仿宋_GB2312" w:cs="仿宋"/>
          <w:color w:val="000000"/>
          <w:kern w:val="0"/>
          <w:sz w:val="32"/>
          <w:szCs w:val="32"/>
          <w:lang w:val="zh-CN"/>
        </w:rPr>
        <w:t>的实施，将彻底改善农牧民</w:t>
      </w:r>
      <w:r>
        <w:rPr>
          <w:rFonts w:hint="eastAsia" w:ascii="仿宋_GB2312" w:hAnsi="Calibri" w:eastAsia="仿宋_GB2312" w:cs="仿宋"/>
          <w:color w:val="000000"/>
          <w:kern w:val="0"/>
          <w:sz w:val="32"/>
          <w:szCs w:val="32"/>
        </w:rPr>
        <w:t>黑青稞加工困难</w:t>
      </w:r>
      <w:r>
        <w:rPr>
          <w:rFonts w:hint="eastAsia" w:ascii="仿宋_GB2312" w:hAnsi="Calibri" w:eastAsia="仿宋_GB2312" w:cs="仿宋"/>
          <w:color w:val="000000"/>
          <w:kern w:val="0"/>
          <w:sz w:val="32"/>
          <w:szCs w:val="32"/>
          <w:lang w:val="zh-CN"/>
        </w:rPr>
        <w:t>，进一步提高农牧民生产生活积极性，促进村经济快速发展，解决制约</w:t>
      </w:r>
      <w:r>
        <w:rPr>
          <w:rFonts w:hint="eastAsia" w:ascii="仿宋_GB2312" w:hAnsi="Calibri" w:eastAsia="仿宋_GB2312" w:cs="仿宋"/>
          <w:color w:val="000000"/>
          <w:kern w:val="0"/>
          <w:sz w:val="32"/>
          <w:szCs w:val="32"/>
        </w:rPr>
        <w:t>茸木达乡</w:t>
      </w:r>
      <w:r>
        <w:rPr>
          <w:rFonts w:hint="eastAsia" w:ascii="仿宋_GB2312" w:hAnsi="Calibri" w:eastAsia="仿宋_GB2312" w:cs="仿宋"/>
          <w:color w:val="000000"/>
          <w:kern w:val="0"/>
          <w:sz w:val="32"/>
          <w:szCs w:val="32"/>
          <w:lang w:val="zh-CN"/>
        </w:rPr>
        <w:t>经济发展的主要因素，其经济效益和社会效益都将十分显著，是一项利村、利民、利社会的系统工程、民心工程、德政工程。</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五、问题及建议</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（一）存在的问题：</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（二）相关建议：</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jc w:val="center"/>
        <w:rPr>
          <w:rFonts w:ascii="仿宋_GB2312" w:hAnsi="Calibri" w:eastAsia="仿宋_GB2312" w:cs="仿宋"/>
          <w:color w:val="000000"/>
          <w:kern w:val="0"/>
          <w:sz w:val="32"/>
          <w:szCs w:val="32"/>
        </w:rPr>
      </w:pP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茸木达乡旅游配套基础设施建设项目</w:t>
      </w:r>
    </w:p>
    <w:p>
      <w:pPr>
        <w:adjustRightInd w:val="0"/>
        <w:snapToGrid w:val="0"/>
        <w:spacing w:line="560" w:lineRule="exact"/>
        <w:ind w:firstLine="720"/>
        <w:jc w:val="center"/>
        <w:rPr>
          <w:rFonts w:ascii="宋体" w:hAnsi="宋体"/>
          <w:b/>
          <w:sz w:val="44"/>
          <w:szCs w:val="44"/>
        </w:rPr>
      </w:pPr>
      <w:r>
        <w:rPr>
          <w:rFonts w:hint="eastAsia" w:ascii="宋体" w:hAnsi="宋体"/>
          <w:b/>
          <w:sz w:val="44"/>
          <w:szCs w:val="44"/>
        </w:rPr>
        <w:t>绩效自评报告</w:t>
      </w:r>
    </w:p>
    <w:p>
      <w:pPr>
        <w:pStyle w:val="41"/>
        <w:spacing w:line="240" w:lineRule="auto"/>
        <w:jc w:val="center"/>
        <w:rPr>
          <w:rFonts w:ascii="仿宋_GB2312" w:hAnsi="Calibri" w:eastAsia="仿宋_GB2312" w:cs="仿宋"/>
          <w:sz w:val="32"/>
          <w:szCs w:val="32"/>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项目概况</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项目名称：茸木达乡旅游配套基础设施建设项目</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建设内容：新建景观挡墙430平方米、农旅产品销售场地100平方米及附属设施建设。</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总投资：45万元。</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（一）项目资金申报及批复情况。项目通过村召开村民大会的方式确定实施内容及资金预算申报乡审核的办法进行，由乡人民政府对项目进行对标筛选，</w:t>
      </w:r>
      <w:r>
        <w:rPr>
          <w:rFonts w:hint="eastAsia" w:ascii="仿宋_GB2312" w:hAnsi="Calibri" w:eastAsia="仿宋_GB2312" w:cs="仿宋"/>
          <w:color w:val="000000"/>
          <w:kern w:val="0"/>
          <w:sz w:val="32"/>
          <w:szCs w:val="32"/>
        </w:rPr>
        <w:t>公示公开后由乡人民政府上报给行业部门进行审批</w:t>
      </w:r>
      <w:r>
        <w:rPr>
          <w:rFonts w:hint="eastAsia" w:ascii="仿宋_GB2312" w:hAnsi="Calibri" w:eastAsia="仿宋_GB2312" w:cs="仿宋"/>
          <w:color w:val="000000"/>
          <w:kern w:val="0"/>
          <w:sz w:val="32"/>
          <w:szCs w:val="32"/>
          <w:lang w:val="zh-CN"/>
        </w:rPr>
        <w:t>。壤发改行审〔2021〕296号批复，项目申报资金</w:t>
      </w:r>
      <w:r>
        <w:rPr>
          <w:rFonts w:hint="eastAsia" w:ascii="仿宋_GB2312" w:hAnsi="Calibri" w:eastAsia="仿宋_GB2312" w:cs="仿宋"/>
          <w:color w:val="000000"/>
          <w:kern w:val="0"/>
          <w:sz w:val="32"/>
          <w:szCs w:val="32"/>
        </w:rPr>
        <w:t>45万元</w:t>
      </w:r>
      <w:r>
        <w:rPr>
          <w:rFonts w:hint="eastAsia" w:ascii="仿宋_GB2312" w:hAnsi="Calibri" w:eastAsia="仿宋_GB2312" w:cs="仿宋"/>
          <w:color w:val="000000"/>
          <w:kern w:val="0"/>
          <w:sz w:val="32"/>
          <w:szCs w:val="32"/>
          <w:lang w:val="zh-CN"/>
        </w:rPr>
        <w:t>、符合资金管理办法等相关规定。</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（二）项目绩效目标。</w:t>
      </w:r>
      <w:r>
        <w:rPr>
          <w:rFonts w:hint="eastAsia" w:ascii="仿宋_GB2312" w:hAnsi="Calibri" w:eastAsia="仿宋_GB2312" w:cs="仿宋"/>
          <w:color w:val="000000"/>
          <w:kern w:val="0"/>
          <w:sz w:val="32"/>
          <w:szCs w:val="32"/>
        </w:rPr>
        <w:t>该项目建设将为群众带来便利，让受益群众收入增加。同时提高我乡基础设施建设短板。项目计划与2021年10月开工11月完工。</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（三）项目资金申报相符性。项目申报实施内容与实际实施内容一致，</w:t>
      </w:r>
      <w:r>
        <w:rPr>
          <w:rFonts w:hint="eastAsia" w:ascii="仿宋_GB2312" w:hAnsi="Calibri" w:eastAsia="仿宋_GB2312" w:cs="仿宋"/>
          <w:color w:val="000000"/>
          <w:kern w:val="0"/>
          <w:sz w:val="32"/>
          <w:szCs w:val="32"/>
        </w:rPr>
        <w:t>围绕进一步改善农村基础设施条件、为群众提供生活便利，通过此项目改变我乡旅游基础设施薄弱，群众得到了实质性的优惠与农村居民的生产生活息息相关，项目的实施能够得到广大群众的积极支持并参与建设，</w:t>
      </w:r>
      <w:r>
        <w:rPr>
          <w:rFonts w:hint="eastAsia" w:ascii="仿宋_GB2312" w:hAnsi="Calibri" w:eastAsia="仿宋_GB2312" w:cs="仿宋"/>
          <w:color w:val="000000"/>
          <w:kern w:val="0"/>
          <w:sz w:val="32"/>
          <w:szCs w:val="32"/>
          <w:lang w:val="zh-CN"/>
        </w:rPr>
        <w:t>该项目的实施十分合理可行，社会效益显著。</w:t>
      </w:r>
    </w:p>
    <w:p>
      <w:pPr>
        <w:adjustRightInd w:val="0"/>
        <w:snapToGrid w:val="0"/>
        <w:spacing w:line="560" w:lineRule="exact"/>
        <w:ind w:firstLine="720"/>
        <w:rPr>
          <w:rFonts w:ascii="仿宋_GB2312" w:hAnsi="Calibri" w:eastAsia="仿宋_GB2312" w:cs="仿宋"/>
          <w:color w:val="000000"/>
          <w:kern w:val="0"/>
          <w:sz w:val="32"/>
          <w:szCs w:val="32"/>
          <w:lang w:val="zh-CN"/>
        </w:rPr>
      </w:pP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二、项目实施及管理情况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ab/>
      </w:r>
      <w:r>
        <w:rPr>
          <w:rFonts w:hint="eastAsia" w:ascii="仿宋_GB2312" w:hAnsi="Calibri" w:eastAsia="仿宋_GB2312" w:cs="仿宋"/>
          <w:color w:val="000000"/>
          <w:kern w:val="0"/>
          <w:sz w:val="32"/>
          <w:szCs w:val="32"/>
          <w:lang w:val="zh-CN"/>
        </w:rPr>
        <w:t>（一）资金计划、到位及使用情况。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1、资金计划及到位。该项目计划资金</w:t>
      </w:r>
      <w:r>
        <w:rPr>
          <w:rFonts w:hint="eastAsia" w:ascii="仿宋_GB2312" w:hAnsi="Calibri" w:eastAsia="仿宋_GB2312" w:cs="仿宋"/>
          <w:color w:val="000000"/>
          <w:kern w:val="0"/>
          <w:sz w:val="32"/>
          <w:szCs w:val="32"/>
        </w:rPr>
        <w:t>45万元，</w:t>
      </w:r>
      <w:r>
        <w:rPr>
          <w:rFonts w:hint="eastAsia" w:ascii="仿宋_GB2312" w:hAnsi="Calibri" w:eastAsia="仿宋_GB2312" w:cs="仿宋"/>
          <w:color w:val="000000"/>
          <w:kern w:val="0"/>
          <w:sz w:val="32"/>
          <w:szCs w:val="32"/>
          <w:lang w:val="zh-CN"/>
        </w:rPr>
        <w:t>实际到位</w:t>
      </w:r>
      <w:r>
        <w:rPr>
          <w:rFonts w:hint="eastAsia" w:ascii="仿宋_GB2312" w:hAnsi="Calibri" w:eastAsia="仿宋_GB2312" w:cs="仿宋"/>
          <w:color w:val="000000"/>
          <w:kern w:val="0"/>
          <w:sz w:val="32"/>
          <w:szCs w:val="32"/>
        </w:rPr>
        <w:t>45万元。</w:t>
      </w:r>
      <w:r>
        <w:rPr>
          <w:rFonts w:hint="eastAsia" w:ascii="仿宋_GB2312" w:hAnsi="Calibri" w:eastAsia="仿宋_GB2312" w:cs="仿宋"/>
          <w:color w:val="000000"/>
          <w:kern w:val="0"/>
          <w:sz w:val="32"/>
          <w:szCs w:val="32"/>
          <w:lang w:val="zh-CN"/>
        </w:rPr>
        <w:t>资金到位率</w:t>
      </w:r>
      <w:r>
        <w:rPr>
          <w:rFonts w:hint="eastAsia" w:ascii="仿宋_GB2312" w:hAnsi="Calibri" w:eastAsia="仿宋_GB2312" w:cs="仿宋"/>
          <w:color w:val="000000"/>
          <w:kern w:val="0"/>
          <w:sz w:val="32"/>
          <w:szCs w:val="32"/>
        </w:rPr>
        <w:t>100%</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2、资金使用。截止评价时点项目资金的实际支出</w:t>
      </w:r>
      <w:r>
        <w:rPr>
          <w:rFonts w:hint="eastAsia" w:ascii="仿宋_GB2312" w:hAnsi="Calibri" w:eastAsia="仿宋_GB2312" w:cs="仿宋"/>
          <w:color w:val="000000"/>
          <w:kern w:val="0"/>
          <w:sz w:val="32"/>
          <w:szCs w:val="32"/>
        </w:rPr>
        <w:t>39.2742万元</w:t>
      </w:r>
      <w:r>
        <w:rPr>
          <w:rFonts w:hint="eastAsia" w:ascii="仿宋_GB2312" w:hAnsi="Calibri" w:eastAsia="仿宋_GB2312" w:cs="仿宋"/>
          <w:color w:val="000000"/>
          <w:kern w:val="0"/>
          <w:sz w:val="32"/>
          <w:szCs w:val="32"/>
          <w:lang w:val="zh-CN"/>
        </w:rPr>
        <w:t>，资金开支范围主要为</w:t>
      </w:r>
      <w:r>
        <w:rPr>
          <w:rFonts w:hint="eastAsia" w:ascii="仿宋_GB2312" w:hAnsi="Calibri" w:eastAsia="仿宋_GB2312" w:cs="仿宋"/>
          <w:color w:val="000000"/>
          <w:kern w:val="0"/>
          <w:sz w:val="32"/>
          <w:szCs w:val="32"/>
        </w:rPr>
        <w:t>基础设施建设工程款和待摊费</w:t>
      </w:r>
      <w:r>
        <w:rPr>
          <w:rFonts w:hint="eastAsia" w:ascii="仿宋_GB2312" w:hAnsi="Calibri" w:eastAsia="仿宋_GB2312" w:cs="仿宋"/>
          <w:color w:val="000000"/>
          <w:kern w:val="0"/>
          <w:sz w:val="32"/>
          <w:szCs w:val="32"/>
          <w:lang w:val="zh-CN"/>
        </w:rPr>
        <w:t>、支付依据合规合法，资金支付</w:t>
      </w:r>
      <w:r>
        <w:rPr>
          <w:rFonts w:hint="eastAsia" w:ascii="仿宋_GB2312" w:hAnsi="Calibri" w:eastAsia="仿宋_GB2312" w:cs="仿宋"/>
          <w:color w:val="000000"/>
          <w:kern w:val="0"/>
          <w:sz w:val="32"/>
          <w:szCs w:val="32"/>
        </w:rPr>
        <w:t>等于</w:t>
      </w:r>
      <w:r>
        <w:rPr>
          <w:rFonts w:hint="eastAsia" w:ascii="仿宋_GB2312" w:hAnsi="Calibri" w:eastAsia="仿宋_GB2312" w:cs="仿宋"/>
          <w:color w:val="000000"/>
          <w:kern w:val="0"/>
          <w:sz w:val="32"/>
          <w:szCs w:val="32"/>
          <w:lang w:val="zh-CN"/>
        </w:rPr>
        <w:t>预算资金。</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（二）项目财务管理情况。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严格按照会计法和相关财务制度实施，对照项目资金管理办法，评价项目严格执行财务管理制度、财务处理及时、会计核算规范。</w:t>
      </w:r>
      <w:r>
        <w:rPr>
          <w:rFonts w:hint="eastAsia" w:ascii="仿宋_GB2312" w:hAnsi="Calibri" w:eastAsia="仿宋_GB2312" w:cs="仿宋"/>
          <w:color w:val="000000"/>
          <w:kern w:val="0"/>
          <w:sz w:val="32"/>
          <w:szCs w:val="32"/>
        </w:rPr>
        <w:t>资金到位后，我乡加强对项目资金使用情况的监督管理，做到专款专用，确保不挪用转借和挤占项目工程款。</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（三）项目组织实施情况。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该项目按照招标相关程序确定施工方，并</w:t>
      </w:r>
      <w:r>
        <w:rPr>
          <w:rFonts w:hint="eastAsia" w:ascii="仿宋_GB2312" w:hAnsi="Calibri" w:eastAsia="仿宋_GB2312" w:cs="仿宋"/>
          <w:color w:val="000000"/>
          <w:kern w:val="0"/>
          <w:sz w:val="32"/>
          <w:szCs w:val="32"/>
          <w:lang w:val="zh-CN"/>
        </w:rPr>
        <w:t>成立了项目</w:t>
      </w:r>
      <w:r>
        <w:rPr>
          <w:rFonts w:hint="eastAsia" w:ascii="仿宋_GB2312" w:hAnsi="Calibri" w:eastAsia="仿宋_GB2312" w:cs="仿宋"/>
          <w:color w:val="000000"/>
          <w:kern w:val="0"/>
          <w:sz w:val="32"/>
          <w:szCs w:val="32"/>
        </w:rPr>
        <w:t>领导小组</w:t>
      </w:r>
      <w:r>
        <w:rPr>
          <w:rFonts w:hint="eastAsia" w:ascii="仿宋_GB2312" w:hAnsi="Calibri" w:eastAsia="仿宋_GB2312" w:cs="仿宋"/>
          <w:color w:val="000000"/>
          <w:kern w:val="0"/>
          <w:sz w:val="32"/>
          <w:szCs w:val="32"/>
          <w:lang w:val="zh-CN"/>
        </w:rPr>
        <w:t>、配备了监理，</w:t>
      </w:r>
      <w:r>
        <w:rPr>
          <w:rFonts w:hint="eastAsia" w:ascii="仿宋_GB2312" w:hAnsi="Calibri" w:eastAsia="仿宋_GB2312" w:cs="仿宋"/>
          <w:color w:val="000000"/>
          <w:kern w:val="0"/>
          <w:sz w:val="32"/>
          <w:szCs w:val="32"/>
        </w:rPr>
        <w:t>村上</w:t>
      </w:r>
      <w:r>
        <w:rPr>
          <w:rFonts w:hint="eastAsia" w:ascii="仿宋_GB2312" w:hAnsi="Calibri" w:eastAsia="仿宋_GB2312" w:cs="仿宋"/>
          <w:color w:val="000000"/>
          <w:kern w:val="0"/>
          <w:sz w:val="32"/>
          <w:szCs w:val="32"/>
          <w:lang w:val="zh-CN"/>
        </w:rPr>
        <w:t>安排有专人</w:t>
      </w:r>
      <w:r>
        <w:rPr>
          <w:rFonts w:hint="eastAsia" w:ascii="仿宋_GB2312" w:hAnsi="Calibri" w:eastAsia="仿宋_GB2312" w:cs="仿宋"/>
          <w:color w:val="000000"/>
          <w:kern w:val="0"/>
          <w:sz w:val="32"/>
          <w:szCs w:val="32"/>
        </w:rPr>
        <w:t>监督，并按照项目实施方案实施。</w:t>
      </w:r>
    </w:p>
    <w:p>
      <w:pPr>
        <w:adjustRightInd w:val="0"/>
        <w:snapToGrid w:val="0"/>
        <w:spacing w:line="560" w:lineRule="exact"/>
        <w:ind w:firstLine="720"/>
        <w:rPr>
          <w:rFonts w:ascii="仿宋_GB2312" w:hAnsi="Calibri" w:eastAsia="仿宋_GB2312" w:cs="仿宋"/>
          <w:color w:val="000000"/>
          <w:kern w:val="0"/>
          <w:sz w:val="32"/>
          <w:szCs w:val="32"/>
          <w:lang w:val="zh-CN"/>
        </w:rPr>
      </w:pP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三、目标完成情况</w:t>
      </w:r>
      <w:r>
        <w:rPr>
          <w:rFonts w:hint="eastAsia" w:ascii="仿宋_GB2312" w:hAnsi="Calibri" w:eastAsia="仿宋_GB2312" w:cs="仿宋"/>
          <w:color w:val="000000"/>
          <w:kern w:val="0"/>
          <w:sz w:val="32"/>
          <w:szCs w:val="32"/>
          <w:lang w:val="zh-CN"/>
        </w:rPr>
        <w:tab/>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（一）目标任务量完成情况。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我乡成立了项目领导小组并配备监理协助抓好工程工期</w:t>
      </w:r>
      <w:r>
        <w:rPr>
          <w:rFonts w:hint="eastAsia" w:ascii="仿宋_GB2312" w:hAnsi="Calibri" w:eastAsia="仿宋_GB2312" w:cs="仿宋"/>
          <w:color w:val="000000"/>
          <w:kern w:val="0"/>
          <w:sz w:val="32"/>
          <w:szCs w:val="32"/>
        </w:rPr>
        <w:t>与</w:t>
      </w:r>
      <w:r>
        <w:rPr>
          <w:rFonts w:hint="eastAsia" w:ascii="仿宋_GB2312" w:hAnsi="Calibri" w:eastAsia="仿宋_GB2312" w:cs="仿宋"/>
          <w:color w:val="000000"/>
          <w:kern w:val="0"/>
          <w:sz w:val="32"/>
          <w:szCs w:val="32"/>
          <w:lang w:val="zh-CN"/>
        </w:rPr>
        <w:t>质量等工作。</w:t>
      </w:r>
      <w:r>
        <w:rPr>
          <w:rFonts w:hint="eastAsia" w:ascii="仿宋_GB2312" w:hAnsi="Calibri" w:eastAsia="仿宋_GB2312" w:cs="仿宋"/>
          <w:color w:val="000000"/>
          <w:kern w:val="0"/>
          <w:sz w:val="32"/>
          <w:szCs w:val="32"/>
        </w:rPr>
        <w:t>该项目建设内容和设计清单内容及批复内容相符，并按时完成各项指标值，验收合格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（二）目标质量完成情况。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工程建设质量符合设计规范、验收合格</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（三）目标进度完成情况。</w:t>
      </w:r>
    </w:p>
    <w:p>
      <w:pPr>
        <w:adjustRightInd w:val="0"/>
        <w:snapToGrid w:val="0"/>
        <w:spacing w:line="560" w:lineRule="exact"/>
        <w:ind w:firstLine="800" w:firstLineChars="25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该项目计划工期与实际工期一致，如约完成建设</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四、项目效益情况</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茸木达乡旅游配套基础设施建设项目</w:t>
      </w:r>
      <w:r>
        <w:rPr>
          <w:rFonts w:hint="eastAsia" w:ascii="仿宋_GB2312" w:hAnsi="Calibri" w:eastAsia="仿宋_GB2312" w:cs="仿宋"/>
          <w:color w:val="000000"/>
          <w:kern w:val="0"/>
          <w:sz w:val="32"/>
          <w:szCs w:val="32"/>
          <w:lang w:val="zh-CN"/>
        </w:rPr>
        <w:t>的实施，将进一步提高农牧民生活</w:t>
      </w:r>
      <w:r>
        <w:rPr>
          <w:rFonts w:hint="eastAsia" w:ascii="仿宋_GB2312" w:hAnsi="Calibri" w:eastAsia="仿宋_GB2312" w:cs="仿宋"/>
          <w:color w:val="000000"/>
          <w:kern w:val="0"/>
          <w:sz w:val="32"/>
          <w:szCs w:val="32"/>
        </w:rPr>
        <w:t>质量</w:t>
      </w:r>
      <w:r>
        <w:rPr>
          <w:rFonts w:hint="eastAsia" w:ascii="仿宋_GB2312" w:hAnsi="Calibri" w:eastAsia="仿宋_GB2312" w:cs="仿宋"/>
          <w:color w:val="000000"/>
          <w:kern w:val="0"/>
          <w:sz w:val="32"/>
          <w:szCs w:val="32"/>
          <w:lang w:val="zh-CN"/>
        </w:rPr>
        <w:t>，促进村经济快速发展，解决制约</w:t>
      </w:r>
      <w:r>
        <w:rPr>
          <w:rFonts w:hint="eastAsia" w:ascii="仿宋_GB2312" w:hAnsi="Calibri" w:eastAsia="仿宋_GB2312" w:cs="仿宋"/>
          <w:color w:val="000000"/>
          <w:kern w:val="0"/>
          <w:sz w:val="32"/>
          <w:szCs w:val="32"/>
        </w:rPr>
        <w:t>茸木达乡</w:t>
      </w:r>
      <w:r>
        <w:rPr>
          <w:rFonts w:hint="eastAsia" w:ascii="仿宋_GB2312" w:hAnsi="Calibri" w:eastAsia="仿宋_GB2312" w:cs="仿宋"/>
          <w:color w:val="000000"/>
          <w:kern w:val="0"/>
          <w:sz w:val="32"/>
          <w:szCs w:val="32"/>
          <w:lang w:val="zh-CN"/>
        </w:rPr>
        <w:t>经济发展的主要因素，其经济效益和社会效益都将十分显著，是一项利村、利民、利社会的系统工程、民心工程、德政工程。</w:t>
      </w:r>
    </w:p>
    <w:p>
      <w:pPr>
        <w:adjustRightInd w:val="0"/>
        <w:snapToGrid w:val="0"/>
        <w:spacing w:line="560" w:lineRule="exact"/>
        <w:ind w:firstLine="72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五、问题及建议</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（一）存在的问题：</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adjustRightInd w:val="0"/>
        <w:snapToGrid w:val="0"/>
        <w:spacing w:line="560" w:lineRule="exact"/>
        <w:ind w:firstLine="720"/>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（二）相关建议：</w:t>
      </w:r>
      <w:r>
        <w:rPr>
          <w:rFonts w:hint="eastAsia" w:ascii="仿宋_GB2312" w:hAnsi="Calibri" w:eastAsia="仿宋_GB2312" w:cs="仿宋"/>
          <w:color w:val="000000"/>
          <w:kern w:val="0"/>
          <w:sz w:val="32"/>
          <w:szCs w:val="32"/>
        </w:rPr>
        <w:t>无</w:t>
      </w:r>
      <w:r>
        <w:rPr>
          <w:rFonts w:hint="eastAsia" w:ascii="仿宋_GB2312" w:hAnsi="Calibri" w:eastAsia="仿宋_GB2312" w:cs="仿宋"/>
          <w:color w:val="000000"/>
          <w:kern w:val="0"/>
          <w:sz w:val="32"/>
          <w:szCs w:val="32"/>
          <w:lang w:val="zh-CN"/>
        </w:rPr>
        <w:t>。</w:t>
      </w:r>
    </w:p>
    <w:p>
      <w:pPr>
        <w:rPr>
          <w:rFonts w:ascii="仿宋_GB2312" w:hAnsi="Calibri" w:eastAsia="仿宋_GB2312" w:cs="仿宋"/>
          <w:color w:val="000000"/>
          <w:kern w:val="0"/>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6"/>
          <w:rFonts w:ascii="黑体" w:hAnsi="黑体" w:eastAsia="黑体"/>
          <w:b w:val="0"/>
        </w:rPr>
      </w:pPr>
    </w:p>
    <w:p>
      <w:pPr>
        <w:widowControl/>
        <w:jc w:val="left"/>
        <w:rPr>
          <w:rStyle w:val="26"/>
          <w:rFonts w:ascii="黑体" w:hAnsi="黑体" w:eastAsia="黑体"/>
          <w:b w:val="0"/>
        </w:rPr>
      </w:pPr>
      <w:r>
        <w:rPr>
          <w:rStyle w:val="26"/>
          <w:rFonts w:ascii="黑体" w:hAnsi="黑体" w:eastAsia="黑体"/>
          <w:b w:val="0"/>
        </w:rPr>
        <w:br w:type="page"/>
      </w:r>
    </w:p>
    <w:p>
      <w:pPr>
        <w:widowControl/>
        <w:jc w:val="left"/>
        <w:rPr>
          <w:rStyle w:val="26"/>
          <w:rFonts w:ascii="黑体" w:hAnsi="黑体" w:eastAsia="黑体"/>
          <w:b w:val="0"/>
        </w:rPr>
      </w:pPr>
    </w:p>
    <w:p>
      <w:pPr>
        <w:spacing w:line="600" w:lineRule="exact"/>
        <w:jc w:val="center"/>
        <w:outlineLvl w:val="0"/>
        <w:rPr>
          <w:rStyle w:val="26"/>
          <w:rFonts w:ascii="黑体" w:hAnsi="黑体" w:eastAsia="黑体"/>
          <w:b w:val="0"/>
        </w:rPr>
      </w:pPr>
      <w:bookmarkStart w:id="110" w:name="_Toc15396618"/>
      <w:bookmarkStart w:id="111" w:name="_Toc79163635"/>
      <w:bookmarkStart w:id="112" w:name="_Toc79163885"/>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06"/>
      <w:bookmarkEnd w:id="110"/>
      <w:bookmarkEnd w:id="111"/>
      <w:bookmarkEnd w:id="112"/>
    </w:p>
    <w:p>
      <w:pPr>
        <w:pStyle w:val="4"/>
        <w:rPr>
          <w:rFonts w:ascii="仿宋" w:hAnsi="仿宋" w:eastAsia="仿宋"/>
          <w:color w:val="000000"/>
        </w:rPr>
      </w:pPr>
      <w:bookmarkStart w:id="113" w:name="_Toc15396619"/>
      <w:bookmarkStart w:id="114" w:name="_Toc79163636"/>
      <w:bookmarkStart w:id="115" w:name="_Toc79163886"/>
      <w:r>
        <w:rPr>
          <w:rFonts w:hint="eastAsia" w:ascii="仿宋" w:hAnsi="仿宋" w:eastAsia="仿宋"/>
          <w:b w:val="0"/>
          <w:color w:val="000000"/>
        </w:rPr>
        <w:t>一、收</w:t>
      </w:r>
      <w:r>
        <w:rPr>
          <w:rStyle w:val="27"/>
          <w:rFonts w:hint="eastAsia" w:ascii="仿宋" w:hAnsi="仿宋" w:eastAsia="仿宋"/>
          <w:b w:val="0"/>
          <w:bCs w:val="0"/>
        </w:rPr>
        <w:t>入支出决算总表</w:t>
      </w:r>
      <w:bookmarkEnd w:id="113"/>
      <w:bookmarkEnd w:id="114"/>
      <w:bookmarkEnd w:id="115"/>
    </w:p>
    <w:p>
      <w:pPr>
        <w:pStyle w:val="4"/>
        <w:rPr>
          <w:rFonts w:ascii="仿宋" w:hAnsi="仿宋" w:eastAsia="仿宋"/>
          <w:color w:val="000000"/>
        </w:rPr>
      </w:pPr>
      <w:bookmarkStart w:id="116" w:name="_Toc15396620"/>
      <w:bookmarkStart w:id="117" w:name="_Toc79163637"/>
      <w:bookmarkStart w:id="118" w:name="_Toc79163887"/>
      <w:r>
        <w:rPr>
          <w:rFonts w:hint="eastAsia" w:ascii="仿宋" w:hAnsi="仿宋" w:eastAsia="仿宋"/>
          <w:b w:val="0"/>
          <w:color w:val="000000"/>
        </w:rPr>
        <w:t>二、收</w:t>
      </w:r>
      <w:r>
        <w:rPr>
          <w:rStyle w:val="27"/>
          <w:rFonts w:hint="eastAsia" w:ascii="仿宋" w:hAnsi="仿宋" w:eastAsia="仿宋"/>
          <w:b w:val="0"/>
          <w:bCs w:val="0"/>
        </w:rPr>
        <w:t>入决算表</w:t>
      </w:r>
      <w:bookmarkEnd w:id="116"/>
      <w:bookmarkEnd w:id="117"/>
      <w:bookmarkEnd w:id="118"/>
    </w:p>
    <w:p>
      <w:pPr>
        <w:pStyle w:val="4"/>
        <w:rPr>
          <w:rFonts w:ascii="仿宋" w:hAnsi="仿宋" w:eastAsia="仿宋"/>
          <w:color w:val="000000"/>
        </w:rPr>
      </w:pPr>
      <w:bookmarkStart w:id="119" w:name="_Toc15396621"/>
      <w:bookmarkStart w:id="120" w:name="_Toc79163638"/>
      <w:bookmarkStart w:id="121" w:name="_Toc7916388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19"/>
      <w:bookmarkEnd w:id="120"/>
      <w:bookmarkEnd w:id="121"/>
    </w:p>
    <w:p>
      <w:pPr>
        <w:pStyle w:val="4"/>
        <w:rPr>
          <w:rFonts w:ascii="仿宋" w:hAnsi="仿宋" w:eastAsia="仿宋"/>
          <w:b w:val="0"/>
          <w:color w:val="000000"/>
        </w:rPr>
      </w:pPr>
      <w:bookmarkStart w:id="122" w:name="_Toc15396622"/>
      <w:bookmarkStart w:id="123" w:name="_Toc79163639"/>
      <w:bookmarkStart w:id="124" w:name="_Toc7916388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2"/>
      <w:bookmarkEnd w:id="123"/>
      <w:bookmarkEnd w:id="124"/>
    </w:p>
    <w:p>
      <w:pPr>
        <w:pStyle w:val="4"/>
        <w:rPr>
          <w:rStyle w:val="27"/>
          <w:rFonts w:ascii="仿宋" w:hAnsi="仿宋" w:eastAsia="仿宋"/>
          <w:b w:val="0"/>
          <w:bCs w:val="0"/>
        </w:rPr>
      </w:pPr>
      <w:bookmarkStart w:id="125" w:name="_Toc15396623"/>
      <w:bookmarkStart w:id="126" w:name="_Toc79163640"/>
      <w:bookmarkStart w:id="127" w:name="_Toc7916389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25"/>
      <w:bookmarkEnd w:id="126"/>
      <w:bookmarkEnd w:id="127"/>
      <w:bookmarkStart w:id="128" w:name="_Toc15396624"/>
    </w:p>
    <w:p>
      <w:pPr>
        <w:pStyle w:val="4"/>
        <w:rPr>
          <w:rFonts w:ascii="仿宋" w:hAnsi="仿宋" w:eastAsia="仿宋"/>
          <w:color w:val="000000"/>
        </w:rPr>
      </w:pPr>
      <w:bookmarkStart w:id="129" w:name="_Toc79163641"/>
      <w:bookmarkStart w:id="130"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28"/>
      <w:bookmarkEnd w:id="129"/>
      <w:bookmarkEnd w:id="130"/>
    </w:p>
    <w:p>
      <w:pPr>
        <w:pStyle w:val="4"/>
        <w:rPr>
          <w:rFonts w:ascii="仿宋" w:hAnsi="仿宋" w:eastAsia="仿宋"/>
          <w:color w:val="000000"/>
        </w:rPr>
      </w:pPr>
      <w:bookmarkStart w:id="131" w:name="_Toc15396625"/>
      <w:bookmarkStart w:id="132" w:name="_Toc79163642"/>
      <w:bookmarkStart w:id="133"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31"/>
      <w:bookmarkEnd w:id="132"/>
      <w:bookmarkEnd w:id="133"/>
    </w:p>
    <w:p>
      <w:pPr>
        <w:pStyle w:val="4"/>
        <w:rPr>
          <w:rFonts w:ascii="仿宋" w:hAnsi="仿宋" w:eastAsia="仿宋"/>
          <w:color w:val="000000"/>
        </w:rPr>
      </w:pPr>
      <w:bookmarkStart w:id="134" w:name="_Toc15396626"/>
      <w:bookmarkStart w:id="135" w:name="_Toc79163643"/>
      <w:bookmarkStart w:id="136" w:name="_Toc7916389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34"/>
      <w:bookmarkEnd w:id="135"/>
      <w:bookmarkEnd w:id="136"/>
    </w:p>
    <w:p>
      <w:pPr>
        <w:pStyle w:val="4"/>
        <w:rPr>
          <w:rFonts w:ascii="仿宋" w:hAnsi="仿宋" w:eastAsia="仿宋"/>
          <w:color w:val="000000"/>
        </w:rPr>
      </w:pPr>
      <w:bookmarkStart w:id="137" w:name="_Toc15396627"/>
      <w:bookmarkStart w:id="138" w:name="_Toc79163644"/>
      <w:bookmarkStart w:id="139" w:name="_Toc7916389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37"/>
      <w:bookmarkEnd w:id="138"/>
      <w:bookmarkEnd w:id="139"/>
    </w:p>
    <w:p>
      <w:pPr>
        <w:pStyle w:val="4"/>
        <w:rPr>
          <w:rFonts w:ascii="仿宋" w:hAnsi="仿宋" w:eastAsia="仿宋"/>
          <w:color w:val="000000"/>
        </w:rPr>
      </w:pPr>
      <w:bookmarkStart w:id="140" w:name="_Toc15396628"/>
      <w:bookmarkStart w:id="141" w:name="_Toc79163645"/>
      <w:bookmarkStart w:id="142" w:name="_Toc7916389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40"/>
      <w:bookmarkEnd w:id="141"/>
      <w:bookmarkEnd w:id="142"/>
    </w:p>
    <w:p>
      <w:pPr>
        <w:pStyle w:val="4"/>
        <w:rPr>
          <w:rFonts w:ascii="仿宋" w:hAnsi="仿宋" w:eastAsia="仿宋"/>
          <w:color w:val="000000"/>
        </w:rPr>
      </w:pPr>
      <w:bookmarkStart w:id="143" w:name="_Toc15396629"/>
      <w:bookmarkStart w:id="144" w:name="_Toc79163646"/>
      <w:bookmarkStart w:id="145" w:name="_Toc7916389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43"/>
      <w:bookmarkEnd w:id="144"/>
      <w:bookmarkEnd w:id="145"/>
    </w:p>
    <w:p>
      <w:pPr>
        <w:pStyle w:val="4"/>
        <w:rPr>
          <w:rFonts w:ascii="仿宋" w:hAnsi="仿宋" w:eastAsia="仿宋"/>
          <w:color w:val="000000"/>
        </w:rPr>
      </w:pPr>
      <w:bookmarkStart w:id="146" w:name="_Toc15396630"/>
      <w:bookmarkStart w:id="147" w:name="_Toc79163647"/>
      <w:bookmarkStart w:id="148" w:name="_Toc79163897"/>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46"/>
      <w:bookmarkEnd w:id="147"/>
      <w:bookmarkEnd w:id="148"/>
    </w:p>
    <w:p>
      <w:pPr>
        <w:pStyle w:val="4"/>
        <w:rPr>
          <w:rStyle w:val="27"/>
          <w:rFonts w:ascii="仿宋" w:hAnsi="仿宋" w:eastAsia="仿宋"/>
          <w:b w:val="0"/>
          <w:bCs w:val="0"/>
        </w:rPr>
      </w:pPr>
      <w:bookmarkStart w:id="149" w:name="_Toc15396631"/>
      <w:bookmarkStart w:id="150" w:name="_Toc79163648"/>
      <w:bookmarkStart w:id="151" w:name="_Toc7916389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49"/>
      <w:bookmarkEnd w:id="150"/>
      <w:bookmarkEnd w:id="151"/>
    </w:p>
    <w:p>
      <w:pPr>
        <w:pStyle w:val="4"/>
        <w:rPr>
          <w:rStyle w:val="27"/>
          <w:rFonts w:ascii="仿宋" w:hAnsi="仿宋" w:eastAsia="仿宋"/>
          <w:b w:val="0"/>
          <w:bCs w:val="0"/>
        </w:rPr>
      </w:pPr>
      <w:bookmarkStart w:id="152" w:name="_Toc79163649"/>
      <w:bookmarkStart w:id="153" w:name="_Toc79163899"/>
      <w:r>
        <w:rPr>
          <w:rStyle w:val="27"/>
          <w:rFonts w:hint="eastAsia" w:ascii="仿宋" w:hAnsi="仿宋" w:eastAsia="仿宋"/>
          <w:b w:val="0"/>
          <w:bCs w:val="0"/>
        </w:rPr>
        <w:t>十四、国有资本经营预算财政拨款支出决算表</w:t>
      </w:r>
      <w:bookmarkEnd w:id="152"/>
      <w:bookmarkEnd w:id="15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27</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5OTc2NGZiNWZiN2VhNWQ1NzNiN2E1Y2I3NTg1NG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1F1C"/>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56D9"/>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37898"/>
    <w:rsid w:val="0036561B"/>
    <w:rsid w:val="0037013F"/>
    <w:rsid w:val="00380C92"/>
    <w:rsid w:val="00394E7F"/>
    <w:rsid w:val="003A484F"/>
    <w:rsid w:val="003A4883"/>
    <w:rsid w:val="003B0BE0"/>
    <w:rsid w:val="003B0C1B"/>
    <w:rsid w:val="003B4E4F"/>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169E"/>
    <w:rsid w:val="00443880"/>
    <w:rsid w:val="00445607"/>
    <w:rsid w:val="004464F4"/>
    <w:rsid w:val="00471401"/>
    <w:rsid w:val="00473F31"/>
    <w:rsid w:val="00476DF9"/>
    <w:rsid w:val="0048263A"/>
    <w:rsid w:val="00487E5D"/>
    <w:rsid w:val="004A711F"/>
    <w:rsid w:val="004B199D"/>
    <w:rsid w:val="004B4690"/>
    <w:rsid w:val="004B7EA0"/>
    <w:rsid w:val="004D5479"/>
    <w:rsid w:val="004E0A2D"/>
    <w:rsid w:val="004E206B"/>
    <w:rsid w:val="004E6DF7"/>
    <w:rsid w:val="004F0FBD"/>
    <w:rsid w:val="004F2BA0"/>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47EA4"/>
    <w:rsid w:val="0065271A"/>
    <w:rsid w:val="0066343B"/>
    <w:rsid w:val="00664777"/>
    <w:rsid w:val="006748A4"/>
    <w:rsid w:val="006755E4"/>
    <w:rsid w:val="00681A31"/>
    <w:rsid w:val="00683E73"/>
    <w:rsid w:val="006A3141"/>
    <w:rsid w:val="006A5E34"/>
    <w:rsid w:val="006B2422"/>
    <w:rsid w:val="006B2B9A"/>
    <w:rsid w:val="006C1937"/>
    <w:rsid w:val="006C265B"/>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4256"/>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0DBA"/>
    <w:rsid w:val="00A331C8"/>
    <w:rsid w:val="00A40A00"/>
    <w:rsid w:val="00A4142F"/>
    <w:rsid w:val="00A422EB"/>
    <w:rsid w:val="00A45BB7"/>
    <w:rsid w:val="00A56DF2"/>
    <w:rsid w:val="00A56E6E"/>
    <w:rsid w:val="00A67AB5"/>
    <w:rsid w:val="00A72633"/>
    <w:rsid w:val="00A733B2"/>
    <w:rsid w:val="00A741C2"/>
    <w:rsid w:val="00A76457"/>
    <w:rsid w:val="00A91760"/>
    <w:rsid w:val="00A93B00"/>
    <w:rsid w:val="00A93C21"/>
    <w:rsid w:val="00AB0EA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2EF9"/>
    <w:rsid w:val="00C87FD8"/>
    <w:rsid w:val="00C91381"/>
    <w:rsid w:val="00C91CBB"/>
    <w:rsid w:val="00C91F58"/>
    <w:rsid w:val="00CB4E70"/>
    <w:rsid w:val="00CC09B6"/>
    <w:rsid w:val="00CC666F"/>
    <w:rsid w:val="00CD1E3F"/>
    <w:rsid w:val="00CE44F6"/>
    <w:rsid w:val="00CE49DA"/>
    <w:rsid w:val="00CE7B61"/>
    <w:rsid w:val="00D00095"/>
    <w:rsid w:val="00D114F0"/>
    <w:rsid w:val="00D16C71"/>
    <w:rsid w:val="00D20620"/>
    <w:rsid w:val="00D254F7"/>
    <w:rsid w:val="00D26091"/>
    <w:rsid w:val="00D2685C"/>
    <w:rsid w:val="00D34E7C"/>
    <w:rsid w:val="00D35489"/>
    <w:rsid w:val="00D36AFE"/>
    <w:rsid w:val="00D51276"/>
    <w:rsid w:val="00D7035F"/>
    <w:rsid w:val="00D87243"/>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6534"/>
    <w:rsid w:val="00E472B1"/>
    <w:rsid w:val="00E50624"/>
    <w:rsid w:val="00E568DF"/>
    <w:rsid w:val="00E64269"/>
    <w:rsid w:val="00E70975"/>
    <w:rsid w:val="00E82267"/>
    <w:rsid w:val="00E853CE"/>
    <w:rsid w:val="00E867B6"/>
    <w:rsid w:val="00E9402F"/>
    <w:rsid w:val="00EA010F"/>
    <w:rsid w:val="00ED1B63"/>
    <w:rsid w:val="00ED3C1F"/>
    <w:rsid w:val="00ED4085"/>
    <w:rsid w:val="00ED420E"/>
    <w:rsid w:val="00ED6FBE"/>
    <w:rsid w:val="00EE2F57"/>
    <w:rsid w:val="00EF4C34"/>
    <w:rsid w:val="00EF60EF"/>
    <w:rsid w:val="00EF77C6"/>
    <w:rsid w:val="00F027B3"/>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4781A0B"/>
    <w:rsid w:val="06B84C89"/>
    <w:rsid w:val="08B4632D"/>
    <w:rsid w:val="093700E7"/>
    <w:rsid w:val="098552F6"/>
    <w:rsid w:val="09E518F1"/>
    <w:rsid w:val="0A2032A3"/>
    <w:rsid w:val="0E671B6A"/>
    <w:rsid w:val="10C055FF"/>
    <w:rsid w:val="11056D1C"/>
    <w:rsid w:val="118107EC"/>
    <w:rsid w:val="166B7CFA"/>
    <w:rsid w:val="166E7112"/>
    <w:rsid w:val="16BB723D"/>
    <w:rsid w:val="17FB4C10"/>
    <w:rsid w:val="18F04C8D"/>
    <w:rsid w:val="1A5B175B"/>
    <w:rsid w:val="1D155CEE"/>
    <w:rsid w:val="1DD43CFE"/>
    <w:rsid w:val="2223248F"/>
    <w:rsid w:val="240371BF"/>
    <w:rsid w:val="24143F4E"/>
    <w:rsid w:val="26C810FF"/>
    <w:rsid w:val="29CE5AA6"/>
    <w:rsid w:val="29E40B13"/>
    <w:rsid w:val="29FD04D3"/>
    <w:rsid w:val="2AF204CF"/>
    <w:rsid w:val="2B7A3D3F"/>
    <w:rsid w:val="2C365B84"/>
    <w:rsid w:val="2C892158"/>
    <w:rsid w:val="319F7F4E"/>
    <w:rsid w:val="31AF08B2"/>
    <w:rsid w:val="326B7F22"/>
    <w:rsid w:val="32764F2C"/>
    <w:rsid w:val="33B411E3"/>
    <w:rsid w:val="3479267A"/>
    <w:rsid w:val="353A51AE"/>
    <w:rsid w:val="375A6BCB"/>
    <w:rsid w:val="39AD6F19"/>
    <w:rsid w:val="3B7D5B01"/>
    <w:rsid w:val="3BFD221A"/>
    <w:rsid w:val="3C8B7826"/>
    <w:rsid w:val="3DFA4C63"/>
    <w:rsid w:val="3F540307"/>
    <w:rsid w:val="41A7029A"/>
    <w:rsid w:val="44D34460"/>
    <w:rsid w:val="475F3F46"/>
    <w:rsid w:val="49EC17BB"/>
    <w:rsid w:val="4ACB58F7"/>
    <w:rsid w:val="4B5B769B"/>
    <w:rsid w:val="4D6866D1"/>
    <w:rsid w:val="4EB66579"/>
    <w:rsid w:val="4ECE2238"/>
    <w:rsid w:val="4FB72C09"/>
    <w:rsid w:val="545D5AF4"/>
    <w:rsid w:val="586731F7"/>
    <w:rsid w:val="5A0362C7"/>
    <w:rsid w:val="5AC24903"/>
    <w:rsid w:val="5CF3349A"/>
    <w:rsid w:val="5EAB13CA"/>
    <w:rsid w:val="5ECA436F"/>
    <w:rsid w:val="624B392F"/>
    <w:rsid w:val="660302D0"/>
    <w:rsid w:val="66130AB8"/>
    <w:rsid w:val="68CF3F3A"/>
    <w:rsid w:val="6A386990"/>
    <w:rsid w:val="6ACD532A"/>
    <w:rsid w:val="6C4A05C8"/>
    <w:rsid w:val="6D5971AC"/>
    <w:rsid w:val="6DCB744C"/>
    <w:rsid w:val="72734D90"/>
    <w:rsid w:val="72B15531"/>
    <w:rsid w:val="74EB4D2A"/>
    <w:rsid w:val="78A96522"/>
    <w:rsid w:val="78DD6ABD"/>
    <w:rsid w:val="79D0629D"/>
    <w:rsid w:val="7AD95E6C"/>
    <w:rsid w:val="7B0C77A9"/>
    <w:rsid w:val="7BCF1831"/>
    <w:rsid w:val="7D891584"/>
    <w:rsid w:val="7DC26844"/>
    <w:rsid w:val="7DC600E3"/>
    <w:rsid w:val="7FE51E72"/>
    <w:rsid w:val="7FE64A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200" w:leftChars="200" w:hanging="200" w:hangingChars="200"/>
    </w:pPr>
    <w:rPr>
      <w:kern w:val="0"/>
      <w:sz w:val="20"/>
      <w:szCs w:val="21"/>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5"/>
    <w:qFormat/>
    <w:uiPriority w:val="99"/>
    <w:pPr>
      <w:spacing w:beforeLines="30"/>
    </w:pPr>
    <w:rPr>
      <w:rFonts w:ascii="仿宋_GB2312" w:eastAsia="仿宋_GB2312"/>
      <w:kern w:val="0"/>
      <w:sz w:val="24"/>
      <w:szCs w:val="20"/>
      <w:lang w:val="zh-CN"/>
    </w:rPr>
  </w:style>
  <w:style w:type="paragraph" w:styleId="8">
    <w:name w:val="Body Text Indent"/>
    <w:basedOn w:val="1"/>
    <w:next w:val="9"/>
    <w:qFormat/>
    <w:uiPriority w:val="0"/>
    <w:pPr>
      <w:spacing w:after="120"/>
      <w:ind w:left="420" w:leftChars="200"/>
    </w:pPr>
  </w:style>
  <w:style w:type="paragraph" w:styleId="9">
    <w:name w:val="Body Text First Indent 2"/>
    <w:basedOn w:val="8"/>
    <w:next w:val="1"/>
    <w:qFormat/>
    <w:uiPriority w:val="0"/>
    <w:pPr>
      <w:tabs>
        <w:tab w:val="left" w:pos="960"/>
      </w:tabs>
      <w:ind w:firstLine="420" w:firstLine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0"/>
    <w:semiHidden/>
    <w:unhideWhenUsed/>
    <w:qFormat/>
    <w:uiPriority w:val="99"/>
    <w:rPr>
      <w:sz w:val="18"/>
      <w:szCs w:val="18"/>
    </w:rPr>
  </w:style>
  <w:style w:type="paragraph" w:styleId="14">
    <w:name w:val="footer"/>
    <w:basedOn w:val="1"/>
    <w:link w:val="34"/>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paragraph" w:customStyle="1" w:styleId="25">
    <w:name w:val="列出段落1"/>
    <w:basedOn w:val="1"/>
    <w:qFormat/>
    <w:uiPriority w:val="34"/>
    <w:pPr>
      <w:ind w:firstLine="420" w:firstLineChars="200"/>
    </w:pPr>
    <w:rPr>
      <w:rFonts w:ascii="Calibri" w:hAnsi="Calibri"/>
    </w:rPr>
  </w:style>
  <w:style w:type="character" w:customStyle="1" w:styleId="26">
    <w:name w:val="标题 1 Char"/>
    <w:basedOn w:val="22"/>
    <w:link w:val="3"/>
    <w:qFormat/>
    <w:locked/>
    <w:uiPriority w:val="9"/>
    <w:rPr>
      <w:rFonts w:ascii="Times New Roman" w:hAnsi="Times New Roman" w:cs="Times New Roman"/>
      <w:b/>
      <w:bCs/>
      <w:kern w:val="44"/>
      <w:sz w:val="44"/>
      <w:szCs w:val="44"/>
    </w:rPr>
  </w:style>
  <w:style w:type="character" w:customStyle="1" w:styleId="27">
    <w:name w:val="标题 2 Char"/>
    <w:basedOn w:val="22"/>
    <w:link w:val="4"/>
    <w:qFormat/>
    <w:locked/>
    <w:uiPriority w:val="9"/>
    <w:rPr>
      <w:rFonts w:ascii="Cambria" w:hAnsi="Cambria" w:eastAsia="宋体" w:cs="Times New Roman"/>
      <w:b/>
      <w:bCs/>
      <w:kern w:val="2"/>
      <w:sz w:val="32"/>
      <w:szCs w:val="32"/>
    </w:rPr>
  </w:style>
  <w:style w:type="character" w:customStyle="1" w:styleId="28">
    <w:name w:val="标题 3 Char"/>
    <w:basedOn w:val="22"/>
    <w:link w:val="5"/>
    <w:qFormat/>
    <w:locked/>
    <w:uiPriority w:val="9"/>
    <w:rPr>
      <w:rFonts w:ascii="Times New Roman" w:hAnsi="Times New Roman" w:cs="Times New Roman"/>
      <w:b/>
      <w:bCs/>
      <w:kern w:val="2"/>
      <w:sz w:val="32"/>
      <w:szCs w:val="32"/>
    </w:rPr>
  </w:style>
  <w:style w:type="character" w:customStyle="1" w:styleId="29">
    <w:name w:val="Body Text Char"/>
    <w:basedOn w:val="22"/>
    <w:semiHidden/>
    <w:qFormat/>
    <w:uiPriority w:val="99"/>
    <w:rPr>
      <w:rFonts w:ascii="Times New Roman" w:hAnsi="Times New Roman" w:cs="Times New Roman"/>
      <w:sz w:val="24"/>
      <w:szCs w:val="24"/>
    </w:rPr>
  </w:style>
  <w:style w:type="character" w:customStyle="1" w:styleId="30">
    <w:name w:val="批注框文本 Char"/>
    <w:basedOn w:val="22"/>
    <w:link w:val="13"/>
    <w:semiHidden/>
    <w:qFormat/>
    <w:locked/>
    <w:uiPriority w:val="99"/>
    <w:rPr>
      <w:rFonts w:ascii="Times New Roman" w:hAnsi="Times New Roman" w:cs="Times New Roman"/>
      <w:kern w:val="2"/>
      <w:sz w:val="18"/>
      <w:szCs w:val="18"/>
    </w:rPr>
  </w:style>
  <w:style w:type="character" w:customStyle="1" w:styleId="31">
    <w:name w:val="Footer Char"/>
    <w:basedOn w:val="22"/>
    <w:semiHidden/>
    <w:qFormat/>
    <w:uiPriority w:val="99"/>
    <w:rPr>
      <w:rFonts w:ascii="Times New Roman" w:hAnsi="Times New Roman" w:cs="Times New Roman"/>
      <w:sz w:val="18"/>
      <w:szCs w:val="18"/>
    </w:rPr>
  </w:style>
  <w:style w:type="character" w:customStyle="1" w:styleId="32">
    <w:name w:val="Header Char"/>
    <w:basedOn w:val="22"/>
    <w:semiHidden/>
    <w:qFormat/>
    <w:uiPriority w:val="99"/>
    <w:rPr>
      <w:rFonts w:ascii="Times New Roman" w:hAnsi="Times New Roman" w:cs="Times New Roman"/>
      <w:sz w:val="18"/>
      <w:szCs w:val="18"/>
    </w:rPr>
  </w:style>
  <w:style w:type="character" w:customStyle="1" w:styleId="33">
    <w:name w:val="页眉 Char"/>
    <w:link w:val="15"/>
    <w:semiHidden/>
    <w:qFormat/>
    <w:locked/>
    <w:uiPriority w:val="99"/>
    <w:rPr>
      <w:sz w:val="18"/>
    </w:rPr>
  </w:style>
  <w:style w:type="character" w:customStyle="1" w:styleId="34">
    <w:name w:val="页脚 Char"/>
    <w:link w:val="14"/>
    <w:qFormat/>
    <w:locked/>
    <w:uiPriority w:val="99"/>
    <w:rPr>
      <w:sz w:val="18"/>
    </w:rPr>
  </w:style>
  <w:style w:type="character" w:customStyle="1" w:styleId="35">
    <w:name w:val="正文文本 Char"/>
    <w:link w:val="7"/>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41">
    <w:name w:val="四号正文"/>
    <w:basedOn w:val="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6032;&#24314;%20Microsoft%20Excel%2097-2003%20&#24037;&#20316;&#34920;%20(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t>收、支决算总计变动情况图</a:t>
            </a:r>
            <a:endParaRPr lang="zh-CN" altLang="en-US"/>
          </a:p>
        </c:rich>
      </c:tx>
      <c:layout/>
      <c:overlay val="0"/>
    </c:title>
    <c:autoTitleDeleted val="0"/>
    <c:plotArea>
      <c:layout/>
      <c:barChart>
        <c:barDir val="bar"/>
        <c:grouping val="clustered"/>
        <c:varyColors val="0"/>
        <c:ser>
          <c:idx val="0"/>
          <c:order val="0"/>
          <c:tx>
            <c:strRef>
              <c:f>'新建 Microsoft Excel 97-2003 工作表 '!$A$2</c:f>
              <c:strCache>
                <c:ptCount val="1"/>
                <c:pt idx="0">
                  <c:v>2021年收入</c:v>
                </c:pt>
              </c:strCache>
            </c:strRef>
          </c:tx>
          <c:invertIfNegative val="0"/>
          <c:dLbls>
            <c:delete val="1"/>
          </c:dLbls>
          <c:cat>
            <c:strRef>
              <c:f>'新建 Microsoft Excel 97-2003 工作表 '!$B$1</c:f>
              <c:strCache>
                <c:ptCount val="1"/>
                <c:pt idx="0">
                  <c:v>金额</c:v>
                </c:pt>
              </c:strCache>
            </c:strRef>
          </c:cat>
          <c:val>
            <c:numRef>
              <c:f>'新建 Microsoft Excel 97-2003 工作表 '!$B$2</c:f>
              <c:numCache>
                <c:formatCode>#,##0.00</c:formatCode>
                <c:ptCount val="1"/>
                <c:pt idx="0">
                  <c:v>2265.15</c:v>
                </c:pt>
              </c:numCache>
            </c:numRef>
          </c:val>
        </c:ser>
        <c:ser>
          <c:idx val="1"/>
          <c:order val="1"/>
          <c:tx>
            <c:strRef>
              <c:f>'新建 Microsoft Excel 97-2003 工作表 '!$A$3</c:f>
              <c:strCache>
                <c:ptCount val="1"/>
                <c:pt idx="0">
                  <c:v>2021年支出</c:v>
                </c:pt>
              </c:strCache>
            </c:strRef>
          </c:tx>
          <c:invertIfNegative val="0"/>
          <c:dLbls>
            <c:delete val="1"/>
          </c:dLbls>
          <c:cat>
            <c:strRef>
              <c:f>'新建 Microsoft Excel 97-2003 工作表 '!$B$1</c:f>
              <c:strCache>
                <c:ptCount val="1"/>
                <c:pt idx="0">
                  <c:v>金额</c:v>
                </c:pt>
              </c:strCache>
            </c:strRef>
          </c:cat>
          <c:val>
            <c:numRef>
              <c:f>'新建 Microsoft Excel 97-2003 工作表 '!$B$3</c:f>
              <c:numCache>
                <c:formatCode>#,##0.00</c:formatCode>
                <c:ptCount val="1"/>
                <c:pt idx="0">
                  <c:v>2265.15</c:v>
                </c:pt>
              </c:numCache>
            </c:numRef>
          </c:val>
        </c:ser>
        <c:ser>
          <c:idx val="2"/>
          <c:order val="2"/>
          <c:tx>
            <c:strRef>
              <c:f>'新建 Microsoft Excel 97-2003 工作表 '!$A$4</c:f>
              <c:strCache>
                <c:ptCount val="1"/>
                <c:pt idx="0">
                  <c:v>2020年收入</c:v>
                </c:pt>
              </c:strCache>
            </c:strRef>
          </c:tx>
          <c:invertIfNegative val="0"/>
          <c:dLbls>
            <c:delete val="1"/>
          </c:dLbls>
          <c:cat>
            <c:strRef>
              <c:f>'新建 Microsoft Excel 97-2003 工作表 '!$B$1</c:f>
              <c:strCache>
                <c:ptCount val="1"/>
                <c:pt idx="0">
                  <c:v>金额</c:v>
                </c:pt>
              </c:strCache>
            </c:strRef>
          </c:cat>
          <c:val>
            <c:numRef>
              <c:f>'新建 Microsoft Excel 97-2003 工作表 '!$B$4</c:f>
              <c:numCache>
                <c:formatCode>#,##0.00</c:formatCode>
                <c:ptCount val="1"/>
                <c:pt idx="0">
                  <c:v>1498.23</c:v>
                </c:pt>
              </c:numCache>
            </c:numRef>
          </c:val>
        </c:ser>
        <c:ser>
          <c:idx val="3"/>
          <c:order val="3"/>
          <c:tx>
            <c:strRef>
              <c:f>'新建 Microsoft Excel 97-2003 工作表 '!$A$5</c:f>
              <c:strCache>
                <c:ptCount val="1"/>
                <c:pt idx="0">
                  <c:v>2020年支出</c:v>
                </c:pt>
              </c:strCache>
            </c:strRef>
          </c:tx>
          <c:invertIfNegative val="0"/>
          <c:dLbls>
            <c:delete val="1"/>
          </c:dLbls>
          <c:cat>
            <c:strRef>
              <c:f>'新建 Microsoft Excel 97-2003 工作表 '!$B$1</c:f>
              <c:strCache>
                <c:ptCount val="1"/>
                <c:pt idx="0">
                  <c:v>金额</c:v>
                </c:pt>
              </c:strCache>
            </c:strRef>
          </c:cat>
          <c:val>
            <c:numRef>
              <c:f>'新建 Microsoft Excel 97-2003 工作表 '!$B$5</c:f>
              <c:numCache>
                <c:formatCode>#,##0.00</c:formatCode>
                <c:ptCount val="1"/>
                <c:pt idx="0">
                  <c:v>1498.23</c:v>
                </c:pt>
              </c:numCache>
            </c:numRef>
          </c:val>
        </c:ser>
        <c:dLbls>
          <c:showLegendKey val="0"/>
          <c:showVal val="0"/>
          <c:showCatName val="0"/>
          <c:showSerName val="0"/>
          <c:showPercent val="0"/>
          <c:showBubbleSize val="0"/>
        </c:dLbls>
        <c:gapWidth val="150"/>
        <c:axId val="108337408"/>
        <c:axId val="108433408"/>
      </c:barChart>
      <c:catAx>
        <c:axId val="108337408"/>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433408"/>
        <c:crosses val="autoZero"/>
        <c:auto val="1"/>
        <c:lblAlgn val="ctr"/>
        <c:lblOffset val="100"/>
        <c:noMultiLvlLbl val="0"/>
      </c:catAx>
      <c:valAx>
        <c:axId val="108433408"/>
        <c:scaling>
          <c:orientation val="minMax"/>
        </c:scaling>
        <c:delete val="0"/>
        <c:axPos val="b"/>
        <c:majorGridlines/>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3374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t>图</a:t>
            </a:r>
            <a:r>
              <a:rPr lang="en-US" altLang="zh-CN" sz="1800" b="1" i="0" u="none" strike="noStrike" baseline="0"/>
              <a:t>2</a:t>
            </a:r>
            <a:r>
              <a:rPr lang="zh-CN" altLang="zh-CN" sz="1800" b="1" i="0" u="none" strike="noStrike" baseline="0"/>
              <a:t>：收入决算结构图</a:t>
            </a:r>
            <a:endParaRPr lang="zh-CN" altLang="en-US"/>
          </a:p>
        </c:rich>
      </c:tx>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'新建 Microsoft Excel 97-2003 工作表 '!$F$2:$F$3</c:f>
              <c:strCache>
                <c:ptCount val="2"/>
                <c:pt idx="0">
                  <c:v>一般公共预算财政拨款收入收入</c:v>
                </c:pt>
                <c:pt idx="1">
                  <c:v>年初结转和结余</c:v>
                </c:pt>
              </c:strCache>
            </c:strRef>
          </c:cat>
          <c:val>
            <c:numRef>
              <c:f>'新建 Microsoft Excel 97-2003 工作表 '!$G$2:$G$3</c:f>
              <c:numCache>
                <c:formatCode>General</c:formatCode>
                <c:ptCount val="2"/>
                <c:pt idx="0">
                  <c:v>2088.56</c:v>
                </c:pt>
                <c:pt idx="1">
                  <c:v>176.59</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t>图</a:t>
            </a:r>
            <a:r>
              <a:rPr lang="en-US" altLang="zh-CN" sz="1800" b="1" i="0" u="none" strike="noStrike" baseline="0"/>
              <a:t>3</a:t>
            </a:r>
            <a:r>
              <a:rPr lang="zh-CN" altLang="zh-CN" sz="1800" b="1" i="0" u="none" strike="noStrike" baseline="0"/>
              <a:t>：支出决算结构图</a:t>
            </a:r>
            <a:endParaRPr lang="zh-CN" altLang="en-US"/>
          </a:p>
        </c:rich>
      </c:tx>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'新建 Microsoft Excel 97-2003 工作表 '!$F$5:$F$6</c:f>
              <c:strCache>
                <c:ptCount val="2"/>
                <c:pt idx="0">
                  <c:v>基本支出</c:v>
                </c:pt>
                <c:pt idx="1">
                  <c:v>项目支出</c:v>
                </c:pt>
              </c:strCache>
            </c:strRef>
          </c:cat>
          <c:val>
            <c:numRef>
              <c:f>'新建 Microsoft Excel 97-2003 工作表 '!$G$5:$G$6</c:f>
              <c:numCache>
                <c:formatCode>General</c:formatCode>
                <c:ptCount val="2"/>
                <c:pt idx="0">
                  <c:v>713.45</c:v>
                </c:pt>
                <c:pt idx="1">
                  <c:v>1551.69</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t>财政拨款收、支决算总计变动情况</a:t>
            </a:r>
            <a:endParaRPr lang="zh-CN" altLang="en-US"/>
          </a:p>
        </c:rich>
      </c:tx>
      <c:layout/>
      <c:overlay val="0"/>
    </c:title>
    <c:autoTitleDeleted val="0"/>
    <c:plotArea>
      <c:layout/>
      <c:barChart>
        <c:barDir val="col"/>
        <c:grouping val="clustered"/>
        <c:varyColors val="0"/>
        <c:ser>
          <c:idx val="0"/>
          <c:order val="0"/>
          <c:invertIfNegative val="0"/>
          <c:dLbls>
            <c:delete val="1"/>
          </c:dLbls>
          <c:cat>
            <c:strRef>
              <c:f>'新建 Microsoft Excel 97-2003 工作表 '!$A$2:$A$5</c:f>
              <c:strCache>
                <c:ptCount val="4"/>
                <c:pt idx="0">
                  <c:v>2021年收入</c:v>
                </c:pt>
                <c:pt idx="1">
                  <c:v>2021年支出</c:v>
                </c:pt>
                <c:pt idx="2">
                  <c:v>2020年收入</c:v>
                </c:pt>
                <c:pt idx="3">
                  <c:v>2020年支出</c:v>
                </c:pt>
              </c:strCache>
            </c:strRef>
          </c:cat>
          <c:val>
            <c:numRef>
              <c:f>'新建 Microsoft Excel 97-2003 工作表 '!$B$2:$B$5</c:f>
              <c:numCache>
                <c:formatCode>#,##0.00</c:formatCode>
                <c:ptCount val="4"/>
                <c:pt idx="0">
                  <c:v>2265.15</c:v>
                </c:pt>
                <c:pt idx="1">
                  <c:v>2265.15</c:v>
                </c:pt>
                <c:pt idx="2">
                  <c:v>1498.23</c:v>
                </c:pt>
                <c:pt idx="3">
                  <c:v>1498.23</c:v>
                </c:pt>
              </c:numCache>
            </c:numRef>
          </c:val>
        </c:ser>
        <c:dLbls>
          <c:showLegendKey val="0"/>
          <c:showVal val="0"/>
          <c:showCatName val="0"/>
          <c:showSerName val="0"/>
          <c:showPercent val="0"/>
          <c:showBubbleSize val="0"/>
        </c:dLbls>
        <c:gapWidth val="150"/>
        <c:axId val="108711936"/>
        <c:axId val="108713472"/>
      </c:barChart>
      <c:catAx>
        <c:axId val="10871193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713472"/>
        <c:crosses val="autoZero"/>
        <c:auto val="1"/>
        <c:lblAlgn val="ctr"/>
        <c:lblOffset val="100"/>
        <c:noMultiLvlLbl val="0"/>
      </c:catAx>
      <c:valAx>
        <c:axId val="108713472"/>
        <c:scaling>
          <c:orientation val="minMax"/>
        </c:scaling>
        <c:delete val="0"/>
        <c:axPos val="l"/>
        <c:majorGridlines/>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71193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t>一般公共预算财政拨款支出决算变动情况</a:t>
            </a:r>
            <a:endParaRPr lang="zh-CN" altLang="en-US"/>
          </a:p>
        </c:rich>
      </c:tx>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layout/>
                <c15:showLeaderLines val="0"/>
                <c15:leaderLines/>
              </c:ext>
            </c:extLst>
          </c:dLbls>
          <c:cat>
            <c:strRef>
              <c:f>'新建 Microsoft Excel 97-2003 工作表 '!$F$5:$F$6</c:f>
              <c:strCache>
                <c:ptCount val="2"/>
                <c:pt idx="0">
                  <c:v>基本支出</c:v>
                </c:pt>
                <c:pt idx="1">
                  <c:v>项目支出</c:v>
                </c:pt>
              </c:strCache>
            </c:strRef>
          </c:cat>
          <c:val>
            <c:numRef>
              <c:f>'新建 Microsoft Excel 97-2003 工作表 '!$G$5:$G$6</c:f>
              <c:numCache>
                <c:formatCode>General</c:formatCode>
                <c:ptCount val="2"/>
                <c:pt idx="0">
                  <c:v>713.45</c:v>
                </c:pt>
                <c:pt idx="1">
                  <c:v>1551.69</c:v>
                </c:pt>
              </c:numCache>
            </c:numRef>
          </c:val>
        </c:ser>
        <c:dLbls>
          <c:showLegendKey val="0"/>
          <c:showVal val="1"/>
          <c:showCatName val="1"/>
          <c:showSerName val="0"/>
          <c:showPercent val="0"/>
          <c:showBubbleSize val="0"/>
        </c:dLbls>
        <c:gapWidth val="150"/>
        <c:axId val="110495232"/>
        <c:axId val="110496768"/>
      </c:barChart>
      <c:catAx>
        <c:axId val="1104952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496768"/>
        <c:crosses val="autoZero"/>
        <c:auto val="1"/>
        <c:lblAlgn val="ctr"/>
        <c:lblOffset val="100"/>
        <c:noMultiLvlLbl val="0"/>
      </c:catAx>
      <c:valAx>
        <c:axId val="110496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49523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400" b="1" i="0" u="none" strike="noStrike" baseline="0"/>
              <a:t>一般公共预算财政拨款支出决算结构</a:t>
            </a:r>
            <a:endParaRPr lang="zh-CN" altLang="en-US" sz="1400"/>
          </a:p>
        </c:rich>
      </c:tx>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'新建 Microsoft Excel 97-2003 工作表 '!$A$27:$A$35</c:f>
              <c:strCache>
                <c:ptCount val="9"/>
                <c:pt idx="0">
                  <c:v>一般公共服务（类）</c:v>
                </c:pt>
                <c:pt idx="1">
                  <c:v>国防支出（类）</c:v>
                </c:pt>
                <c:pt idx="2">
                  <c:v>社会保障和就业（类）</c:v>
                </c:pt>
                <c:pt idx="3">
                  <c:v>卫生健康（类）</c:v>
                </c:pt>
                <c:pt idx="4">
                  <c:v>节能环保</c:v>
                </c:pt>
                <c:pt idx="5">
                  <c:v>农林水支</c:v>
                </c:pt>
                <c:pt idx="6">
                  <c:v>交通运输</c:v>
                </c:pt>
                <c:pt idx="7">
                  <c:v>住房保障</c:v>
                </c:pt>
                <c:pt idx="8">
                  <c:v>灾害防治及应急管理</c:v>
                </c:pt>
              </c:strCache>
            </c:strRef>
          </c:cat>
          <c:val>
            <c:numRef>
              <c:f>'新建 Microsoft Excel 97-2003 工作表 '!$B$27:$B$35</c:f>
              <c:numCache>
                <c:formatCode>General</c:formatCode>
                <c:ptCount val="9"/>
                <c:pt idx="0">
                  <c:v>553.45</c:v>
                </c:pt>
                <c:pt idx="1">
                  <c:v>5</c:v>
                </c:pt>
                <c:pt idx="2">
                  <c:v>74.02</c:v>
                </c:pt>
                <c:pt idx="3">
                  <c:v>41.08</c:v>
                </c:pt>
                <c:pt idx="4">
                  <c:v>3</c:v>
                </c:pt>
                <c:pt idx="5">
                  <c:v>1534.65</c:v>
                </c:pt>
                <c:pt idx="6">
                  <c:v>5</c:v>
                </c:pt>
                <c:pt idx="7">
                  <c:v>47.94</c:v>
                </c:pt>
                <c:pt idx="8">
                  <c:v>1</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'新建 Microsoft Excel 97-2003 工作表 '!$A$39</c:f>
              <c:strCache>
                <c:ptCount val="1"/>
                <c:pt idx="0">
                  <c:v>公务用车运行维护费</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val>
            <c:numRef>
              <c:f>'新建 Microsoft Excel 97-2003 工作表 '!$B$39</c:f>
              <c:numCache>
                <c:formatCode>General</c:formatCode>
                <c:ptCount val="1"/>
                <c:pt idx="0">
                  <c:v>10.9559</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24179-046C-4739-91EB-83E71140BF8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50</Pages>
  <Words>19422</Words>
  <Characters>20814</Characters>
  <Lines>21</Lines>
  <Paragraphs>43</Paragraphs>
  <TotalTime>14</TotalTime>
  <ScaleCrop>false</ScaleCrop>
  <LinksUpToDate>false</LinksUpToDate>
  <CharactersWithSpaces>20914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刘唐华</cp:lastModifiedBy>
  <cp:lastPrinted>2021-07-29T03:56:00Z</cp:lastPrinted>
  <dcterms:modified xsi:type="dcterms:W3CDTF">2022-10-18T04:59:32Z</dcterms:modified>
  <dc:title>阿坝州部门决算说明</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C601947B17024C6195B4777EFBCC606D</vt:lpwstr>
  </property>
</Properties>
</file>