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D6373A">
      <w:pPr>
        <w:rPr>
          <w:rFonts w:ascii="黑体" w:hAnsi="黑体" w:eastAsia="黑体" w:cs="Times New Roman"/>
          <w:sz w:val="44"/>
          <w:szCs w:val="44"/>
        </w:rPr>
      </w:pPr>
    </w:p>
    <w:p w14:paraId="4D0BB94E">
      <w:pPr>
        <w:rPr>
          <w:rFonts w:ascii="黑体" w:hAnsi="黑体" w:eastAsia="黑体" w:cs="Times New Roman"/>
          <w:sz w:val="44"/>
          <w:szCs w:val="44"/>
        </w:rPr>
      </w:pPr>
    </w:p>
    <w:p w14:paraId="7E21E575">
      <w:pPr>
        <w:jc w:val="center"/>
        <w:rPr>
          <w:rFonts w:ascii="黑体" w:hAnsi="黑体" w:eastAsia="黑体" w:cs="黑体"/>
          <w:sz w:val="72"/>
          <w:szCs w:val="72"/>
        </w:rPr>
      </w:pPr>
      <w:r>
        <w:rPr>
          <w:rFonts w:hint="eastAsia" w:ascii="黑体" w:hAnsi="黑体" w:eastAsia="黑体" w:cs="黑体"/>
          <w:sz w:val="72"/>
          <w:szCs w:val="72"/>
        </w:rPr>
        <w:t>壤塘县茸木达乡</w:t>
      </w:r>
      <w:r>
        <w:rPr>
          <w:rFonts w:ascii="黑体" w:hAnsi="黑体" w:eastAsia="黑体" w:cs="黑体"/>
          <w:sz w:val="72"/>
          <w:szCs w:val="72"/>
        </w:rPr>
        <w:t>202</w:t>
      </w:r>
      <w:r>
        <w:rPr>
          <w:rFonts w:hint="eastAsia" w:ascii="黑体" w:hAnsi="黑体" w:eastAsia="黑体" w:cs="黑体"/>
          <w:sz w:val="72"/>
          <w:szCs w:val="72"/>
          <w:lang w:val="en-US" w:eastAsia="zh-CN"/>
        </w:rPr>
        <w:t>3</w:t>
      </w:r>
      <w:r>
        <w:rPr>
          <w:rFonts w:ascii="黑体" w:hAnsi="黑体" w:eastAsia="黑体" w:cs="黑体"/>
          <w:sz w:val="72"/>
          <w:szCs w:val="72"/>
        </w:rPr>
        <w:t>年</w:t>
      </w:r>
    </w:p>
    <w:p w14:paraId="502CEF85">
      <w:pPr>
        <w:jc w:val="center"/>
        <w:rPr>
          <w:rFonts w:ascii="黑体" w:hAnsi="黑体" w:eastAsia="黑体" w:cs="Times New Roman"/>
          <w:sz w:val="72"/>
          <w:szCs w:val="72"/>
        </w:rPr>
      </w:pPr>
      <w:r>
        <w:rPr>
          <w:rFonts w:hint="eastAsia" w:ascii="黑体" w:hAnsi="黑体" w:eastAsia="黑体" w:cs="黑体"/>
          <w:sz w:val="72"/>
          <w:szCs w:val="72"/>
        </w:rPr>
        <w:t>部门预算</w:t>
      </w:r>
    </w:p>
    <w:p w14:paraId="7CD115C8">
      <w:pPr>
        <w:jc w:val="center"/>
        <w:rPr>
          <w:rFonts w:ascii="黑体" w:hAnsi="黑体" w:eastAsia="黑体" w:cs="Times New Roman"/>
          <w:sz w:val="44"/>
          <w:szCs w:val="44"/>
        </w:rPr>
      </w:pPr>
    </w:p>
    <w:p w14:paraId="76322DC9">
      <w:pPr>
        <w:jc w:val="center"/>
        <w:rPr>
          <w:rFonts w:ascii="黑体" w:hAnsi="黑体" w:eastAsia="黑体" w:cs="Times New Roman"/>
          <w:sz w:val="44"/>
          <w:szCs w:val="44"/>
        </w:rPr>
      </w:pPr>
    </w:p>
    <w:p w14:paraId="213774A8">
      <w:pPr>
        <w:jc w:val="center"/>
        <w:rPr>
          <w:rFonts w:ascii="黑体" w:hAnsi="黑体" w:eastAsia="黑体" w:cs="Times New Roman"/>
          <w:sz w:val="44"/>
          <w:szCs w:val="44"/>
        </w:rPr>
      </w:pPr>
    </w:p>
    <w:p w14:paraId="67F90C20">
      <w:pPr>
        <w:jc w:val="center"/>
        <w:rPr>
          <w:rFonts w:ascii="黑体" w:hAnsi="黑体" w:eastAsia="黑体" w:cs="Times New Roman"/>
          <w:sz w:val="44"/>
          <w:szCs w:val="44"/>
        </w:rPr>
      </w:pPr>
    </w:p>
    <w:p w14:paraId="1AFC0DD5">
      <w:pPr>
        <w:jc w:val="center"/>
        <w:rPr>
          <w:rFonts w:ascii="黑体" w:hAnsi="黑体" w:eastAsia="黑体" w:cs="Times New Roman"/>
          <w:sz w:val="44"/>
          <w:szCs w:val="44"/>
        </w:rPr>
      </w:pPr>
    </w:p>
    <w:p w14:paraId="65E90558">
      <w:pPr>
        <w:jc w:val="center"/>
        <w:rPr>
          <w:rFonts w:ascii="黑体" w:hAnsi="黑体" w:eastAsia="黑体" w:cs="Times New Roman"/>
          <w:sz w:val="44"/>
          <w:szCs w:val="44"/>
        </w:rPr>
      </w:pPr>
    </w:p>
    <w:p w14:paraId="1A927ABB">
      <w:pPr>
        <w:jc w:val="center"/>
        <w:rPr>
          <w:rFonts w:ascii="黑体" w:hAnsi="黑体" w:eastAsia="黑体" w:cs="Times New Roman"/>
          <w:sz w:val="44"/>
          <w:szCs w:val="44"/>
        </w:rPr>
      </w:pPr>
    </w:p>
    <w:p w14:paraId="4D21CFF5">
      <w:pPr>
        <w:jc w:val="center"/>
        <w:rPr>
          <w:rFonts w:ascii="黑体" w:hAnsi="黑体" w:eastAsia="黑体" w:cs="Times New Roman"/>
          <w:sz w:val="44"/>
          <w:szCs w:val="44"/>
        </w:rPr>
      </w:pPr>
    </w:p>
    <w:p w14:paraId="07A0BEAC">
      <w:pPr>
        <w:jc w:val="center"/>
        <w:rPr>
          <w:rFonts w:ascii="黑体" w:hAnsi="黑体" w:eastAsia="黑体" w:cs="Times New Roman"/>
          <w:sz w:val="44"/>
          <w:szCs w:val="44"/>
        </w:rPr>
      </w:pPr>
    </w:p>
    <w:p w14:paraId="7DE027F1">
      <w:pPr>
        <w:jc w:val="center"/>
        <w:rPr>
          <w:rFonts w:ascii="黑体" w:hAnsi="黑体" w:eastAsia="黑体" w:cs="Times New Roman"/>
          <w:sz w:val="44"/>
          <w:szCs w:val="44"/>
        </w:rPr>
      </w:pPr>
    </w:p>
    <w:p w14:paraId="130E1D01">
      <w:pPr>
        <w:jc w:val="center"/>
        <w:rPr>
          <w:rFonts w:ascii="黑体" w:hAnsi="黑体" w:eastAsia="黑体" w:cs="黑体"/>
          <w:sz w:val="72"/>
          <w:szCs w:val="72"/>
        </w:rPr>
      </w:pPr>
      <w:r>
        <w:rPr>
          <w:rFonts w:hint="eastAsia" w:ascii="黑体" w:hAnsi="黑体" w:eastAsia="黑体" w:cs="黑体"/>
          <w:sz w:val="72"/>
          <w:szCs w:val="72"/>
        </w:rPr>
        <w:t>202</w:t>
      </w:r>
      <w:r>
        <w:rPr>
          <w:rFonts w:hint="eastAsia" w:ascii="黑体" w:hAnsi="黑体" w:eastAsia="黑体" w:cs="黑体"/>
          <w:sz w:val="72"/>
          <w:szCs w:val="72"/>
          <w:lang w:val="en-US" w:eastAsia="zh-CN"/>
        </w:rPr>
        <w:t>3</w:t>
      </w:r>
      <w:r>
        <w:rPr>
          <w:rFonts w:hint="eastAsia" w:ascii="黑体" w:hAnsi="黑体" w:eastAsia="黑体" w:cs="黑体"/>
          <w:sz w:val="72"/>
          <w:szCs w:val="72"/>
        </w:rPr>
        <w:t xml:space="preserve">年 </w:t>
      </w:r>
      <w:r>
        <w:rPr>
          <w:rFonts w:hint="eastAsia" w:ascii="黑体" w:hAnsi="黑体" w:eastAsia="黑体" w:cs="黑体"/>
          <w:sz w:val="72"/>
          <w:szCs w:val="72"/>
          <w:lang w:val="en-US" w:eastAsia="zh-CN"/>
        </w:rPr>
        <w:t>1</w:t>
      </w:r>
      <w:r>
        <w:rPr>
          <w:rFonts w:hint="eastAsia" w:ascii="黑体" w:hAnsi="黑体" w:eastAsia="黑体" w:cs="黑体"/>
          <w:sz w:val="72"/>
          <w:szCs w:val="72"/>
        </w:rPr>
        <w:t>月</w:t>
      </w:r>
      <w:r>
        <w:rPr>
          <w:rFonts w:hint="eastAsia" w:ascii="黑体" w:hAnsi="黑体" w:eastAsia="黑体" w:cs="黑体"/>
          <w:sz w:val="72"/>
          <w:szCs w:val="72"/>
          <w:lang w:val="en-US" w:eastAsia="zh-CN"/>
        </w:rPr>
        <w:t>11日</w:t>
      </w:r>
      <w:r>
        <w:rPr>
          <w:rFonts w:hint="eastAsia" w:ascii="黑体" w:hAnsi="黑体" w:eastAsia="黑体" w:cs="黑体"/>
          <w:sz w:val="72"/>
          <w:szCs w:val="72"/>
        </w:rPr>
        <w:t xml:space="preserve"> </w:t>
      </w:r>
    </w:p>
    <w:p w14:paraId="5FD3192E">
      <w:pPr>
        <w:rPr>
          <w:rFonts w:ascii="黑体" w:hAnsi="黑体" w:eastAsia="黑体" w:cs="Times New Roman"/>
          <w:sz w:val="44"/>
          <w:szCs w:val="44"/>
        </w:rPr>
      </w:pPr>
    </w:p>
    <w:p w14:paraId="795BC9FC">
      <w:pPr>
        <w:rPr>
          <w:rFonts w:ascii="黑体" w:hAnsi="黑体" w:eastAsia="黑体" w:cs="Times New Roman"/>
          <w:sz w:val="44"/>
          <w:szCs w:val="44"/>
        </w:rPr>
      </w:pPr>
    </w:p>
    <w:p w14:paraId="3A98F6CA">
      <w:pPr>
        <w:rPr>
          <w:rFonts w:ascii="黑体" w:hAnsi="黑体" w:eastAsia="黑体" w:cs="Times New Roman"/>
          <w:sz w:val="44"/>
          <w:szCs w:val="44"/>
        </w:rPr>
      </w:pPr>
    </w:p>
    <w:p w14:paraId="5E660F05">
      <w:pPr>
        <w:ind w:firstLine="3120" w:firstLineChars="600"/>
        <w:rPr>
          <w:rFonts w:ascii="黑体" w:hAnsi="黑体" w:eastAsia="黑体" w:cs="Times New Roman"/>
          <w:sz w:val="52"/>
          <w:szCs w:val="52"/>
        </w:rPr>
      </w:pPr>
      <w:r>
        <w:rPr>
          <w:rFonts w:hint="eastAsia" w:ascii="黑体" w:hAnsi="黑体" w:eastAsia="黑体" w:cs="黑体"/>
          <w:sz w:val="52"/>
          <w:szCs w:val="52"/>
        </w:rPr>
        <w:t>目</w:t>
      </w:r>
      <w:r>
        <w:rPr>
          <w:rFonts w:ascii="黑体" w:hAnsi="黑体" w:eastAsia="黑体" w:cs="黑体"/>
          <w:sz w:val="52"/>
          <w:szCs w:val="52"/>
        </w:rPr>
        <w:t xml:space="preserve"> </w:t>
      </w:r>
      <w:r>
        <w:rPr>
          <w:rFonts w:hint="eastAsia" w:ascii="黑体" w:hAnsi="黑体" w:eastAsia="黑体" w:cs="黑体"/>
          <w:sz w:val="52"/>
          <w:szCs w:val="52"/>
        </w:rPr>
        <w:t>录</w:t>
      </w:r>
    </w:p>
    <w:p w14:paraId="366C4B7F">
      <w:pPr>
        <w:ind w:firstLine="3080" w:firstLineChars="700"/>
        <w:rPr>
          <w:rFonts w:ascii="黑体" w:hAnsi="黑体" w:eastAsia="黑体" w:cs="Times New Roman"/>
          <w:sz w:val="44"/>
          <w:szCs w:val="44"/>
        </w:rPr>
      </w:pPr>
    </w:p>
    <w:p w14:paraId="7E76D358">
      <w:pPr>
        <w:pStyle w:val="9"/>
        <w:numPr>
          <w:ilvl w:val="0"/>
          <w:numId w:val="1"/>
        </w:numPr>
        <w:ind w:firstLineChars="0"/>
        <w:rPr>
          <w:rFonts w:ascii="黑体" w:hAnsi="黑体" w:eastAsia="黑体" w:cs="Times New Roman"/>
          <w:sz w:val="32"/>
          <w:szCs w:val="32"/>
        </w:rPr>
      </w:pPr>
      <w:r>
        <w:rPr>
          <w:rFonts w:hint="eastAsia" w:ascii="黑体" w:hAnsi="黑体" w:eastAsia="黑体" w:cs="黑体"/>
          <w:sz w:val="32"/>
          <w:szCs w:val="32"/>
        </w:rPr>
        <w:t>基本职能及主要工作</w:t>
      </w:r>
    </w:p>
    <w:p w14:paraId="7FC1B251">
      <w:pPr>
        <w:rPr>
          <w:rFonts w:ascii="仿宋_GB2312" w:hAnsi="黑体" w:eastAsia="仿宋_GB2312" w:cs="Times New Roman"/>
          <w:sz w:val="32"/>
          <w:szCs w:val="32"/>
        </w:rPr>
      </w:pPr>
      <w:r>
        <w:rPr>
          <w:rFonts w:hint="eastAsia" w:ascii="仿宋_GB2312" w:hAnsi="黑体" w:eastAsia="仿宋_GB2312" w:cs="仿宋_GB2312"/>
          <w:sz w:val="32"/>
          <w:szCs w:val="32"/>
        </w:rPr>
        <w:t>（一）部门职能简介</w:t>
      </w:r>
    </w:p>
    <w:p w14:paraId="4B241A3A">
      <w:pPr>
        <w:rPr>
          <w:rFonts w:ascii="仿宋_GB2312" w:hAnsi="黑体" w:eastAsia="仿宋_GB2312" w:cs="Times New Roman"/>
          <w:sz w:val="32"/>
          <w:szCs w:val="32"/>
        </w:rPr>
      </w:pPr>
      <w:r>
        <w:rPr>
          <w:rFonts w:hint="eastAsia" w:ascii="仿宋_GB2312" w:hAnsi="黑体" w:eastAsia="仿宋_GB2312" w:cs="仿宋_GB2312"/>
          <w:sz w:val="32"/>
          <w:szCs w:val="32"/>
        </w:rPr>
        <w:t>（二）</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ascii="仿宋_GB2312" w:hAnsi="黑体" w:eastAsia="仿宋_GB2312" w:cs="仿宋_GB2312"/>
          <w:sz w:val="32"/>
          <w:szCs w:val="32"/>
        </w:rPr>
        <w:t>年</w:t>
      </w:r>
      <w:r>
        <w:rPr>
          <w:rFonts w:hint="eastAsia" w:ascii="仿宋_GB2312" w:hAnsi="黑体" w:eastAsia="仿宋_GB2312" w:cs="仿宋_GB2312"/>
          <w:sz w:val="32"/>
          <w:szCs w:val="32"/>
        </w:rPr>
        <w:t>重点工作</w:t>
      </w:r>
    </w:p>
    <w:p w14:paraId="421C1FCC">
      <w:pPr>
        <w:rPr>
          <w:rFonts w:ascii="黑体" w:hAnsi="黑体" w:eastAsia="黑体" w:cs="Times New Roman"/>
          <w:sz w:val="32"/>
          <w:szCs w:val="32"/>
        </w:rPr>
      </w:pPr>
      <w:r>
        <w:rPr>
          <w:rFonts w:hint="eastAsia" w:ascii="黑体" w:hAnsi="黑体" w:eastAsia="黑体" w:cs="黑体"/>
          <w:sz w:val="32"/>
          <w:szCs w:val="32"/>
        </w:rPr>
        <w:t>二、部门预算单位构成</w:t>
      </w:r>
    </w:p>
    <w:p w14:paraId="2BA112D2">
      <w:pPr>
        <w:rPr>
          <w:rFonts w:ascii="黑体" w:hAnsi="黑体" w:eastAsia="黑体" w:cs="Times New Roman"/>
          <w:sz w:val="32"/>
          <w:szCs w:val="32"/>
        </w:rPr>
      </w:pPr>
      <w:r>
        <w:rPr>
          <w:rFonts w:hint="eastAsia" w:ascii="黑体" w:hAnsi="黑体" w:eastAsia="黑体" w:cs="黑体"/>
          <w:sz w:val="32"/>
          <w:szCs w:val="32"/>
        </w:rPr>
        <w:t>三、收支预算情况说明</w:t>
      </w:r>
    </w:p>
    <w:p w14:paraId="42F352CF">
      <w:pPr>
        <w:rPr>
          <w:rFonts w:ascii="仿宋_GB2312" w:hAnsi="黑体" w:eastAsia="仿宋_GB2312" w:cs="Times New Roman"/>
          <w:sz w:val="32"/>
          <w:szCs w:val="32"/>
        </w:rPr>
      </w:pPr>
      <w:r>
        <w:rPr>
          <w:rFonts w:hint="eastAsia" w:ascii="黑体" w:hAnsi="黑体" w:eastAsia="黑体" w:cs="黑体"/>
          <w:sz w:val="32"/>
          <w:szCs w:val="32"/>
        </w:rPr>
        <w:t>（</w:t>
      </w:r>
      <w:r>
        <w:rPr>
          <w:rFonts w:hint="eastAsia" w:ascii="仿宋_GB2312" w:hAnsi="黑体" w:eastAsia="仿宋_GB2312" w:cs="仿宋_GB2312"/>
          <w:sz w:val="32"/>
          <w:szCs w:val="32"/>
        </w:rPr>
        <w:t>一）收入预算情况</w:t>
      </w:r>
    </w:p>
    <w:p w14:paraId="78F7D85A">
      <w:pPr>
        <w:rPr>
          <w:rFonts w:ascii="仿宋_GB2312" w:hAnsi="黑体" w:eastAsia="仿宋_GB2312" w:cs="Times New Roman"/>
          <w:sz w:val="32"/>
          <w:szCs w:val="32"/>
        </w:rPr>
      </w:pPr>
      <w:r>
        <w:rPr>
          <w:rFonts w:hint="eastAsia" w:ascii="仿宋_GB2312" w:hAnsi="黑体" w:eastAsia="仿宋_GB2312" w:cs="仿宋_GB2312"/>
          <w:sz w:val="32"/>
          <w:szCs w:val="32"/>
        </w:rPr>
        <w:t>（二）支出预算情况</w:t>
      </w:r>
    </w:p>
    <w:p w14:paraId="3CAA67E4">
      <w:pPr>
        <w:rPr>
          <w:rFonts w:ascii="黑体" w:hAnsi="黑体" w:eastAsia="黑体" w:cs="Times New Roman"/>
          <w:sz w:val="32"/>
          <w:szCs w:val="32"/>
        </w:rPr>
      </w:pPr>
      <w:r>
        <w:rPr>
          <w:rFonts w:hint="eastAsia" w:ascii="黑体" w:hAnsi="黑体" w:eastAsia="黑体" w:cs="黑体"/>
          <w:sz w:val="32"/>
          <w:szCs w:val="32"/>
        </w:rPr>
        <w:t>四、财政拨款收支预算情况说明</w:t>
      </w:r>
    </w:p>
    <w:p w14:paraId="537B2942">
      <w:pPr>
        <w:rPr>
          <w:rFonts w:ascii="黑体" w:hAnsi="黑体" w:eastAsia="黑体" w:cs="Times New Roman"/>
          <w:sz w:val="32"/>
          <w:szCs w:val="32"/>
        </w:rPr>
      </w:pPr>
      <w:r>
        <w:rPr>
          <w:rFonts w:hint="eastAsia" w:ascii="黑体" w:hAnsi="黑体" w:eastAsia="黑体" w:cs="黑体"/>
          <w:sz w:val="32"/>
          <w:szCs w:val="32"/>
        </w:rPr>
        <w:t>五、一般公共预算当年拨款情况说明</w:t>
      </w:r>
    </w:p>
    <w:p w14:paraId="50A9A856">
      <w:pPr>
        <w:rPr>
          <w:rFonts w:ascii="黑体" w:hAnsi="黑体" w:eastAsia="黑体" w:cs="Times New Roman"/>
          <w:sz w:val="32"/>
          <w:szCs w:val="32"/>
        </w:rPr>
      </w:pPr>
      <w:r>
        <w:rPr>
          <w:rFonts w:hint="eastAsia" w:ascii="仿宋_GB2312" w:hAnsi="黑体" w:eastAsia="仿宋_GB2312" w:cs="仿宋_GB2312"/>
          <w:sz w:val="32"/>
          <w:szCs w:val="32"/>
        </w:rPr>
        <w:t>（一）一般公共预算当年拨款规模变化情况</w:t>
      </w:r>
      <w:r>
        <w:rPr>
          <w:rFonts w:ascii="仿宋_GB2312" w:hAnsi="黑体" w:eastAsia="仿宋_GB2312" w:cs="Times New Roman"/>
          <w:sz w:val="32"/>
          <w:szCs w:val="32"/>
        </w:rPr>
        <w:br w:type="textWrapping"/>
      </w:r>
      <w:r>
        <w:rPr>
          <w:rFonts w:hint="eastAsia" w:ascii="仿宋_GB2312" w:hAnsi="黑体" w:eastAsia="仿宋_GB2312" w:cs="仿宋_GB2312"/>
          <w:sz w:val="32"/>
          <w:szCs w:val="32"/>
        </w:rPr>
        <w:t>（二）一般公共预算当年拨款结构情况</w:t>
      </w:r>
      <w:r>
        <w:rPr>
          <w:rFonts w:ascii="仿宋_GB2312" w:hAnsi="黑体" w:eastAsia="仿宋_GB2312" w:cs="Times New Roman"/>
          <w:sz w:val="32"/>
          <w:szCs w:val="32"/>
        </w:rPr>
        <w:br w:type="textWrapping"/>
      </w:r>
      <w:r>
        <w:rPr>
          <w:rFonts w:hint="eastAsia" w:ascii="仿宋_GB2312" w:hAnsi="黑体" w:eastAsia="仿宋_GB2312" w:cs="仿宋_GB2312"/>
          <w:sz w:val="32"/>
          <w:szCs w:val="32"/>
        </w:rPr>
        <w:t>（三）一般公共预算当年拨款具体使用情况</w:t>
      </w:r>
      <w:r>
        <w:rPr>
          <w:rFonts w:ascii="??" w:hAnsi="??" w:cs="??"/>
          <w:kern w:val="0"/>
          <w:sz w:val="16"/>
          <w:szCs w:val="16"/>
        </w:rPr>
        <w:br w:type="textWrapping"/>
      </w:r>
      <w:r>
        <w:rPr>
          <w:rFonts w:hint="eastAsia" w:ascii="黑体" w:hAnsi="黑体" w:eastAsia="黑体" w:cs="黑体"/>
          <w:sz w:val="32"/>
          <w:szCs w:val="32"/>
        </w:rPr>
        <w:t>六、一般公共预算基本支出情况说明</w:t>
      </w:r>
      <w:r>
        <w:rPr>
          <w:rFonts w:ascii="黑体" w:hAnsi="黑体" w:eastAsia="黑体" w:cs="Times New Roman"/>
          <w:sz w:val="32"/>
          <w:szCs w:val="32"/>
        </w:rPr>
        <w:br w:type="textWrapping"/>
      </w:r>
      <w:r>
        <w:rPr>
          <w:rFonts w:hint="eastAsia" w:ascii="黑体" w:hAnsi="黑体" w:eastAsia="黑体" w:cs="黑体"/>
          <w:sz w:val="32"/>
          <w:szCs w:val="32"/>
        </w:rPr>
        <w:t>七、“三公”经费财政拨款预算安排情况说明</w:t>
      </w:r>
      <w:r>
        <w:rPr>
          <w:rFonts w:ascii="黑体" w:hAnsi="黑体" w:eastAsia="黑体" w:cs="Times New Roman"/>
          <w:sz w:val="32"/>
          <w:szCs w:val="32"/>
        </w:rPr>
        <w:br w:type="textWrapping"/>
      </w:r>
      <w:r>
        <w:rPr>
          <w:rFonts w:hint="eastAsia" w:ascii="黑体" w:hAnsi="黑体" w:eastAsia="黑体" w:cs="黑体"/>
          <w:sz w:val="32"/>
          <w:szCs w:val="32"/>
        </w:rPr>
        <w:t>八、政府性基金预算支出情况说明</w:t>
      </w:r>
      <w:r>
        <w:rPr>
          <w:rFonts w:ascii="黑体" w:hAnsi="黑体" w:eastAsia="黑体" w:cs="Times New Roman"/>
          <w:sz w:val="32"/>
          <w:szCs w:val="32"/>
        </w:rPr>
        <w:br w:type="textWrapping"/>
      </w:r>
      <w:r>
        <w:rPr>
          <w:rFonts w:hint="eastAsia" w:ascii="黑体" w:hAnsi="黑体" w:eastAsia="黑体" w:cs="黑体"/>
          <w:sz w:val="32"/>
          <w:szCs w:val="32"/>
        </w:rPr>
        <w:t>九、其他重要事项的情况说明</w:t>
      </w:r>
      <w:r>
        <w:rPr>
          <w:rFonts w:ascii="黑体" w:hAnsi="黑体" w:eastAsia="黑体" w:cs="Times New Roman"/>
          <w:sz w:val="32"/>
          <w:szCs w:val="32"/>
        </w:rPr>
        <w:br w:type="textWrapping"/>
      </w:r>
      <w:r>
        <w:rPr>
          <w:rFonts w:hint="eastAsia" w:ascii="黑体" w:hAnsi="黑体" w:eastAsia="黑体" w:cs="黑体"/>
          <w:sz w:val="32"/>
          <w:szCs w:val="32"/>
        </w:rPr>
        <w:t>十、名称解释</w:t>
      </w:r>
    </w:p>
    <w:p w14:paraId="1247B878">
      <w:pPr>
        <w:widowControl/>
        <w:shd w:val="clear" w:color="auto" w:fill="FFFFFF"/>
        <w:spacing w:before="100" w:beforeAutospacing="1" w:after="100" w:afterAutospacing="1" w:line="290" w:lineRule="atLeast"/>
        <w:ind w:right="300"/>
        <w:jc w:val="left"/>
        <w:rPr>
          <w:rFonts w:hint="eastAsia" w:ascii="??" w:hAnsi="??" w:cs="??"/>
          <w:kern w:val="0"/>
          <w:sz w:val="12"/>
          <w:szCs w:val="12"/>
        </w:rPr>
      </w:pPr>
    </w:p>
    <w:p w14:paraId="781E3323">
      <w:pPr>
        <w:widowControl/>
        <w:shd w:val="clear" w:color="auto" w:fill="FFFFFF"/>
        <w:spacing w:before="100" w:beforeAutospacing="1" w:after="100" w:afterAutospacing="1" w:line="290" w:lineRule="atLeast"/>
        <w:ind w:right="300"/>
        <w:jc w:val="left"/>
        <w:rPr>
          <w:rFonts w:ascii="??" w:hAnsi="??" w:cs="??"/>
          <w:kern w:val="0"/>
          <w:sz w:val="12"/>
          <w:szCs w:val="12"/>
        </w:rPr>
      </w:pPr>
    </w:p>
    <w:p w14:paraId="26B7C9A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jc w:val="left"/>
        <w:rPr>
          <w:rFonts w:hint="eastAsia" w:ascii="微软雅黑" w:hAnsi="微软雅黑" w:eastAsia="微软雅黑"/>
          <w:sz w:val="22"/>
          <w:szCs w:val="24"/>
          <w:lang w:val="zh-CN"/>
        </w:rPr>
      </w:pPr>
      <w:r>
        <w:rPr>
          <w:rFonts w:hint="eastAsia" w:ascii="黑体" w:hAnsi="黑体" w:eastAsia="黑体" w:cs="黑体"/>
          <w:sz w:val="32"/>
          <w:szCs w:val="32"/>
        </w:rPr>
        <w:t>一、基本职能及主要工作</w:t>
      </w:r>
      <w:r>
        <w:rPr>
          <w:rFonts w:ascii="??" w:hAnsi="??" w:cs="Times New Roman"/>
          <w:sz w:val="16"/>
          <w:szCs w:val="16"/>
        </w:rPr>
        <w:br w:type="textWrapping"/>
      </w:r>
      <w:r>
        <w:rPr>
          <w:rFonts w:hint="eastAsia" w:ascii="??" w:hAnsi="??" w:cs="宋体"/>
          <w:sz w:val="16"/>
          <w:szCs w:val="16"/>
        </w:rPr>
        <w:t>　　</w:t>
      </w:r>
      <w:r>
        <w:rPr>
          <w:rFonts w:ascii="??" w:hAnsi="??" w:cs="??"/>
          <w:sz w:val="16"/>
          <w:szCs w:val="16"/>
        </w:rPr>
        <w:t xml:space="preserve">    </w:t>
      </w:r>
      <w:r>
        <w:rPr>
          <w:rFonts w:hint="eastAsia" w:ascii="楷体_GB2312" w:hAnsi="黑体" w:eastAsia="楷体_GB2312" w:cs="楷体_GB2312"/>
          <w:b/>
          <w:bCs/>
          <w:sz w:val="32"/>
          <w:szCs w:val="32"/>
          <w:lang w:val="zh-CN"/>
        </w:rPr>
        <w:t>（一）茸木达乡人民政府职能简介</w:t>
      </w:r>
    </w:p>
    <w:p w14:paraId="14E6027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ind w:firstLine="640" w:firstLineChars="20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1、主要职能执行本级人民代表大会的决议和上级国家行政机关的决定和命令，在辖区内发布决定和命令；</w:t>
      </w:r>
    </w:p>
    <w:p w14:paraId="166617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ind w:firstLine="640" w:firstLineChars="20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2、按照国家宪法和法律，行使对本辖区内的行政及民政事务的管理,推进计划生育工作；</w:t>
      </w:r>
    </w:p>
    <w:p w14:paraId="4AE5742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ind w:firstLine="640" w:firstLineChars="20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3、制定本乡的经济和社会发展规划，并组织实施；组织和领导行政经济体制改革，协调本行政区域村民委员会与各经济组织之间的关系。</w:t>
      </w:r>
    </w:p>
    <w:p w14:paraId="19322F0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ind w:firstLine="640" w:firstLineChars="20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4、组织规划乡财政管理的各项收入，管理乡范围内的各项财政支出和行政筹集、分配和使用的资金。</w:t>
      </w:r>
    </w:p>
    <w:p w14:paraId="052BD67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ind w:firstLine="640" w:firstLineChars="20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5、负责管理对外经济技术交流与合作，开展经济信息预测工作，推广科学技术成果。</w:t>
      </w:r>
    </w:p>
    <w:p w14:paraId="7E54F5B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ind w:firstLine="640" w:firstLineChars="20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6、对本乡各项社会建设进行宏观管理，抓好环境卫生整治工作</w:t>
      </w:r>
    </w:p>
    <w:p w14:paraId="48B0A7F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ind w:firstLine="640" w:firstLineChars="20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7、加强基本农田水利建设和道路、桥梁等的建设，加强土地的统一管理、统筹规划，协助有关部门做好地质灾害的防治工作。</w:t>
      </w:r>
    </w:p>
    <w:p w14:paraId="00D64C6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ind w:firstLine="640" w:firstLineChars="20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8、负责农村土地承包管理、农民负担监督管理、农村集体资产财务管理。</w:t>
      </w:r>
    </w:p>
    <w:p w14:paraId="79B4236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ind w:firstLine="640" w:firstLineChars="20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9、组织和开展社会主义精神文明活动，正确调解和处理人民内部矛盾，认真调解民事纠纷。</w:t>
      </w:r>
    </w:p>
    <w:p w14:paraId="74DEE27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ind w:firstLine="640" w:firstLineChars="20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10、充分发挥行政职能，组织和开展本乡的文化、教育、卫生、民政和科技等工作。</w:t>
      </w:r>
    </w:p>
    <w:p w14:paraId="4C89EC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ind w:firstLine="640" w:firstLineChars="20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11、根据经济发展需要，建立经济、技术咨询服务机构，向经济组织和农牧民提供全面服务。</w:t>
      </w:r>
    </w:p>
    <w:p w14:paraId="16072629">
      <w:pPr>
        <w:pStyle w:val="10"/>
        <w:spacing w:before="0" w:line="360" w:lineRule="auto"/>
        <w:rPr>
          <w:rFonts w:hint="eastAsia"/>
          <w:kern w:val="2"/>
          <w:sz w:val="32"/>
          <w:szCs w:val="32"/>
        </w:rPr>
      </w:pPr>
      <w:r>
        <w:rPr>
          <w:rFonts w:hint="eastAsia" w:hAnsi="黑体"/>
          <w:b/>
          <w:bCs/>
          <w:kern w:val="2"/>
          <w:sz w:val="32"/>
          <w:szCs w:val="32"/>
        </w:rPr>
        <w:t>　　</w:t>
      </w:r>
      <w:r>
        <w:rPr>
          <w:rFonts w:hint="eastAsia" w:ascii="楷体_GB2312" w:hAnsi="黑体" w:eastAsia="楷体_GB2312" w:cs="楷体_GB2312"/>
          <w:b/>
          <w:bCs/>
          <w:kern w:val="2"/>
          <w:sz w:val="32"/>
          <w:szCs w:val="32"/>
        </w:rPr>
        <w:t>（二）茸木达乡</w:t>
      </w:r>
      <w:r>
        <w:rPr>
          <w:rFonts w:ascii="楷体_GB2312" w:hAnsi="黑体" w:eastAsia="楷体_GB2312" w:cs="楷体_GB2312"/>
          <w:b/>
          <w:bCs/>
          <w:kern w:val="2"/>
          <w:sz w:val="32"/>
          <w:szCs w:val="32"/>
        </w:rPr>
        <w:t>20</w:t>
      </w:r>
      <w:r>
        <w:rPr>
          <w:rFonts w:hint="eastAsia" w:ascii="楷体_GB2312" w:hAnsi="黑体" w:eastAsia="楷体_GB2312" w:cs="楷体_GB2312"/>
          <w:b/>
          <w:bCs/>
          <w:kern w:val="2"/>
          <w:sz w:val="32"/>
          <w:szCs w:val="32"/>
        </w:rPr>
        <w:t>2</w:t>
      </w:r>
      <w:r>
        <w:rPr>
          <w:rFonts w:hint="eastAsia" w:ascii="楷体_GB2312" w:hAnsi="黑体" w:eastAsia="楷体_GB2312" w:cs="楷体_GB2312"/>
          <w:b/>
          <w:bCs/>
          <w:kern w:val="2"/>
          <w:sz w:val="32"/>
          <w:szCs w:val="32"/>
          <w:lang w:val="en-US" w:eastAsia="zh-CN"/>
        </w:rPr>
        <w:t>3</w:t>
      </w:r>
      <w:r>
        <w:rPr>
          <w:rFonts w:ascii="楷体_GB2312" w:hAnsi="黑体" w:eastAsia="楷体_GB2312" w:cs="楷体_GB2312"/>
          <w:b/>
          <w:bCs/>
          <w:kern w:val="2"/>
          <w:sz w:val="32"/>
          <w:szCs w:val="32"/>
        </w:rPr>
        <w:t>年</w:t>
      </w:r>
      <w:r>
        <w:rPr>
          <w:rFonts w:hint="eastAsia" w:ascii="楷体_GB2312" w:hAnsi="黑体" w:eastAsia="楷体_GB2312" w:cs="楷体_GB2312"/>
          <w:b/>
          <w:bCs/>
          <w:kern w:val="2"/>
          <w:sz w:val="32"/>
          <w:szCs w:val="32"/>
        </w:rPr>
        <w:t>重点工作</w:t>
      </w:r>
    </w:p>
    <w:p w14:paraId="79E974A9">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default" w:ascii="Times New Roman" w:hAnsi="Times New Roman" w:eastAsia="方正仿宋_GB2312" w:cs="Times New Roman"/>
          <w:lang w:val="en-US" w:eastAsia="zh-CN"/>
        </w:rPr>
      </w:pPr>
      <w:r>
        <w:rPr>
          <w:rFonts w:hint="eastAsia" w:eastAsia="方正仿宋_GB2312" w:cs="Times New Roman"/>
          <w:sz w:val="32"/>
          <w:szCs w:val="32"/>
          <w:lang w:val="en-US" w:eastAsia="zh-CN"/>
        </w:rPr>
        <w:t>2023年所有工作有序开展。</w:t>
      </w:r>
    </w:p>
    <w:p w14:paraId="1AED73CD">
      <w:pPr>
        <w:pStyle w:val="6"/>
        <w:ind w:left="0" w:leftChars="0" w:firstLine="0" w:firstLineChars="0"/>
        <w:rPr>
          <w:rFonts w:hint="default"/>
        </w:rPr>
      </w:pPr>
    </w:p>
    <w:p w14:paraId="3C808258">
      <w:pPr>
        <w:pStyle w:val="10"/>
        <w:spacing w:before="0"/>
        <w:jc w:val="left"/>
        <w:rPr>
          <w:rFonts w:hint="eastAsia" w:hAnsi="黑体"/>
          <w:kern w:val="2"/>
          <w:sz w:val="32"/>
          <w:szCs w:val="32"/>
          <w:lang w:eastAsia="zh-CN"/>
        </w:rPr>
      </w:pPr>
      <w:r>
        <w:rPr>
          <w:rFonts w:hint="eastAsia" w:ascii="黑体" w:hAnsi="黑体" w:eastAsia="黑体" w:cs="黑体"/>
          <w:kern w:val="2"/>
          <w:sz w:val="32"/>
          <w:szCs w:val="32"/>
        </w:rPr>
        <w:t>二、部门预算单位构成</w:t>
      </w:r>
      <w:r>
        <w:rPr>
          <w:rFonts w:hint="eastAsia" w:ascii="黑体" w:hAnsi="黑体" w:eastAsia="黑体" w:cs="黑体"/>
          <w:sz w:val="32"/>
          <w:szCs w:val="32"/>
        </w:rPr>
        <w:br w:type="textWrapping"/>
      </w:r>
      <w:r>
        <w:rPr>
          <w:rFonts w:ascii="??" w:hAnsi="??" w:eastAsia="宋体" w:cs="??"/>
          <w:sz w:val="16"/>
          <w:szCs w:val="16"/>
        </w:rPr>
        <w:t xml:space="preserve">    </w:t>
      </w:r>
      <w:r>
        <w:rPr>
          <w:rFonts w:hAnsi="黑体"/>
          <w:kern w:val="2"/>
          <w:sz w:val="32"/>
          <w:szCs w:val="32"/>
        </w:rPr>
        <w:t xml:space="preserve"> </w:t>
      </w:r>
      <w:r>
        <w:rPr>
          <w:rFonts w:hint="eastAsia" w:hAnsi="黑体"/>
          <w:kern w:val="2"/>
          <w:sz w:val="32"/>
          <w:szCs w:val="32"/>
        </w:rPr>
        <w:t>茸木达乡属一</w:t>
      </w:r>
      <w:bookmarkStart w:id="0" w:name="_GoBack"/>
      <w:bookmarkEnd w:id="0"/>
      <w:r>
        <w:rPr>
          <w:rFonts w:hint="eastAsia" w:hAnsi="黑体"/>
          <w:kern w:val="2"/>
          <w:sz w:val="32"/>
          <w:szCs w:val="32"/>
        </w:rPr>
        <w:t>级预算单位，下属二级预算单位</w:t>
      </w:r>
      <w:r>
        <w:rPr>
          <w:rFonts w:hint="eastAsia" w:hAnsi="黑体" w:cs="Times New Roman"/>
          <w:kern w:val="2"/>
          <w:sz w:val="32"/>
          <w:szCs w:val="32"/>
        </w:rPr>
        <w:t>0</w:t>
      </w:r>
      <w:r>
        <w:rPr>
          <w:rFonts w:hint="eastAsia" w:hAnsi="黑体"/>
          <w:kern w:val="2"/>
          <w:sz w:val="32"/>
          <w:szCs w:val="32"/>
        </w:rPr>
        <w:t xml:space="preserve">个。                                          </w:t>
      </w:r>
      <w:r>
        <w:rPr>
          <w:rFonts w:hint="eastAsia" w:ascii="黑体" w:hAnsi="黑体" w:eastAsia="黑体" w:cs="黑体"/>
          <w:kern w:val="2"/>
          <w:sz w:val="32"/>
          <w:szCs w:val="32"/>
        </w:rPr>
        <w:t xml:space="preserve">三、收支预算情况说明  </w:t>
      </w:r>
      <w:r>
        <w:rPr>
          <w:rFonts w:hint="eastAsia" w:ascii="黑体" w:hAnsi="黑体" w:eastAsia="黑体" w:cs="黑体"/>
          <w:sz w:val="32"/>
          <w:szCs w:val="32"/>
        </w:rPr>
        <w:br w:type="textWrapping"/>
      </w:r>
      <w:r>
        <w:rPr>
          <w:rFonts w:hint="eastAsia" w:ascii="??" w:hAnsi="??" w:eastAsia="宋体" w:cs="宋体"/>
          <w:sz w:val="16"/>
          <w:szCs w:val="16"/>
        </w:rPr>
        <w:t>　　</w:t>
      </w:r>
      <w:r>
        <w:rPr>
          <w:rFonts w:ascii="??" w:hAnsi="??" w:eastAsia="宋体" w:cs="??"/>
          <w:sz w:val="16"/>
          <w:szCs w:val="16"/>
        </w:rPr>
        <w:t xml:space="preserve">    </w:t>
      </w:r>
      <w:r>
        <w:rPr>
          <w:rFonts w:hint="eastAsia" w:hAnsi="黑体"/>
          <w:kern w:val="2"/>
          <w:sz w:val="32"/>
          <w:szCs w:val="32"/>
        </w:rPr>
        <w:t>按照综合预算的原则，茸木达乡所有收入和支出均纳入部门预算管理。收入包括：一般公共预算拨款收入</w:t>
      </w:r>
      <w:r>
        <w:rPr>
          <w:rFonts w:hint="eastAsia" w:hAnsi="黑体"/>
          <w:kern w:val="2"/>
          <w:sz w:val="32"/>
          <w:szCs w:val="32"/>
          <w:lang w:val="en-US" w:eastAsia="zh-CN"/>
        </w:rPr>
        <w:t>764.37</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rPr>
        <w:t>支出包括：一般公共服务支出</w:t>
      </w:r>
      <w:r>
        <w:rPr>
          <w:rFonts w:hint="eastAsia" w:hAnsi="黑体"/>
          <w:kern w:val="2"/>
          <w:sz w:val="32"/>
          <w:szCs w:val="32"/>
          <w:lang w:val="en-US" w:eastAsia="zh-CN"/>
        </w:rPr>
        <w:t>285.48</w:t>
      </w:r>
      <w:r>
        <w:rPr>
          <w:rFonts w:hint="eastAsia" w:hAnsi="黑体"/>
          <w:kern w:val="2"/>
          <w:sz w:val="32"/>
          <w:szCs w:val="32"/>
        </w:rPr>
        <w:t>万元，社会保障和就业支出</w:t>
      </w:r>
      <w:r>
        <w:rPr>
          <w:rFonts w:hint="eastAsia" w:hAnsi="黑体"/>
          <w:kern w:val="2"/>
          <w:sz w:val="32"/>
          <w:szCs w:val="32"/>
          <w:lang w:val="en-US" w:eastAsia="zh-CN"/>
        </w:rPr>
        <w:t>104.78</w:t>
      </w:r>
      <w:r>
        <w:rPr>
          <w:rFonts w:hint="eastAsia" w:hAnsi="黑体"/>
          <w:kern w:val="2"/>
          <w:sz w:val="32"/>
          <w:szCs w:val="32"/>
        </w:rPr>
        <w:t>万元，卫生健康支出</w:t>
      </w:r>
      <w:r>
        <w:rPr>
          <w:rFonts w:hint="eastAsia" w:hAnsi="黑体"/>
          <w:kern w:val="2"/>
          <w:sz w:val="32"/>
          <w:szCs w:val="32"/>
          <w:lang w:val="en-US" w:eastAsia="zh-CN"/>
        </w:rPr>
        <w:t>37.92</w:t>
      </w:r>
      <w:r>
        <w:rPr>
          <w:rFonts w:hint="eastAsia" w:hAnsi="黑体"/>
          <w:kern w:val="2"/>
          <w:sz w:val="32"/>
          <w:szCs w:val="32"/>
        </w:rPr>
        <w:t>万元，农林水支出</w:t>
      </w:r>
      <w:r>
        <w:rPr>
          <w:rFonts w:hint="eastAsia" w:hAnsi="黑体"/>
          <w:kern w:val="2"/>
          <w:sz w:val="32"/>
          <w:szCs w:val="32"/>
          <w:lang w:val="en-US" w:eastAsia="zh-CN"/>
        </w:rPr>
        <w:t>278.33</w:t>
      </w:r>
      <w:r>
        <w:rPr>
          <w:rFonts w:hint="eastAsia" w:hAnsi="黑体"/>
          <w:kern w:val="2"/>
          <w:sz w:val="32"/>
          <w:szCs w:val="32"/>
        </w:rPr>
        <w:t>万元，住房保障支出</w:t>
      </w:r>
      <w:r>
        <w:rPr>
          <w:rFonts w:hint="eastAsia" w:hAnsi="黑体"/>
          <w:kern w:val="2"/>
          <w:sz w:val="32"/>
          <w:szCs w:val="32"/>
          <w:lang w:val="en-US" w:eastAsia="zh-CN"/>
        </w:rPr>
        <w:t>57.85</w:t>
      </w:r>
      <w:r>
        <w:rPr>
          <w:rFonts w:hint="eastAsia" w:hAnsi="黑体"/>
          <w:kern w:val="2"/>
          <w:sz w:val="32"/>
          <w:szCs w:val="32"/>
        </w:rPr>
        <w:t>万元。茸木达乡2023</w:t>
      </w:r>
      <w:r>
        <w:rPr>
          <w:rFonts w:hAnsi="黑体"/>
          <w:kern w:val="2"/>
          <w:sz w:val="32"/>
          <w:szCs w:val="32"/>
        </w:rPr>
        <w:t>年</w:t>
      </w:r>
      <w:r>
        <w:rPr>
          <w:rFonts w:hint="eastAsia" w:hAnsi="黑体"/>
          <w:kern w:val="2"/>
          <w:sz w:val="32"/>
          <w:szCs w:val="32"/>
        </w:rPr>
        <w:t>收支总预算764.37万元</w:t>
      </w:r>
      <w:r>
        <w:rPr>
          <w:rFonts w:hAnsi="黑体"/>
          <w:kern w:val="2"/>
          <w:sz w:val="32"/>
          <w:szCs w:val="32"/>
        </w:rPr>
        <w:t>,</w:t>
      </w:r>
      <w:r>
        <w:rPr>
          <w:rFonts w:hint="eastAsia" w:hAnsi="黑体"/>
          <w:kern w:val="2"/>
          <w:sz w:val="32"/>
          <w:szCs w:val="32"/>
        </w:rPr>
        <w:t>　比</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收支预算总数增加</w:t>
      </w:r>
      <w:r>
        <w:rPr>
          <w:rFonts w:hint="eastAsia" w:hAnsi="黑体"/>
          <w:kern w:val="2"/>
          <w:sz w:val="32"/>
          <w:szCs w:val="32"/>
          <w:lang w:val="en-US" w:eastAsia="zh-CN"/>
        </w:rPr>
        <w:t>88.5</w:t>
      </w:r>
      <w:r>
        <w:rPr>
          <w:rFonts w:hint="eastAsia" w:hAnsi="黑体"/>
          <w:kern w:val="2"/>
          <w:sz w:val="32"/>
          <w:szCs w:val="32"/>
        </w:rPr>
        <w:t>万元，主要原因</w:t>
      </w:r>
      <w:r>
        <w:rPr>
          <w:rFonts w:hAnsi="黑体"/>
          <w:kern w:val="2"/>
          <w:sz w:val="32"/>
          <w:szCs w:val="32"/>
        </w:rPr>
        <w:t>:</w:t>
      </w:r>
      <w:r>
        <w:rPr>
          <w:rFonts w:hint="eastAsia" w:hAnsi="黑体"/>
          <w:kern w:val="2"/>
          <w:sz w:val="32"/>
          <w:szCs w:val="32"/>
        </w:rPr>
        <w:t xml:space="preserve"> 人员增加，五险一金基数调增等。</w:t>
      </w:r>
      <w:r>
        <w:rPr>
          <w:rFonts w:hAnsi="黑体"/>
          <w:kern w:val="2"/>
          <w:sz w:val="32"/>
          <w:szCs w:val="32"/>
        </w:rPr>
        <w:br w:type="textWrapping"/>
      </w:r>
      <w:r>
        <w:rPr>
          <w:rFonts w:hint="eastAsia" w:hAnsi="黑体"/>
          <w:kern w:val="2"/>
          <w:sz w:val="32"/>
          <w:szCs w:val="32"/>
        </w:rPr>
        <w:t>　　</w:t>
      </w:r>
      <w:r>
        <w:rPr>
          <w:rFonts w:hint="eastAsia" w:ascii="楷体_GB2312" w:hAnsi="楷体_GB2312" w:eastAsia="楷体_GB2312" w:cs="楷体_GB2312"/>
          <w:kern w:val="2"/>
          <w:sz w:val="32"/>
          <w:szCs w:val="32"/>
        </w:rPr>
        <w:t>（一）收入预算情况</w:t>
      </w:r>
      <w:r>
        <w:rPr>
          <w:rFonts w:hint="eastAsia" w:ascii="黑体" w:hAnsi="黑体" w:eastAsia="黑体" w:cs="黑体"/>
          <w:kern w:val="2"/>
          <w:sz w:val="32"/>
          <w:szCs w:val="32"/>
        </w:rPr>
        <w:br w:type="textWrapping"/>
      </w:r>
      <w:r>
        <w:rPr>
          <w:rFonts w:hint="eastAsia" w:hAnsi="黑体"/>
          <w:kern w:val="2"/>
          <w:sz w:val="32"/>
          <w:szCs w:val="32"/>
        </w:rPr>
        <w:t>　　茸木达乡</w:t>
      </w: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rPr>
        <w:t>收入预算</w:t>
      </w:r>
      <w:r>
        <w:rPr>
          <w:rFonts w:hint="eastAsia" w:hAnsi="黑体"/>
          <w:kern w:val="2"/>
          <w:sz w:val="32"/>
          <w:szCs w:val="32"/>
          <w:lang w:val="en-US" w:eastAsia="zh-CN"/>
        </w:rPr>
        <w:t>764.37</w:t>
      </w:r>
      <w:r>
        <w:rPr>
          <w:rFonts w:hint="eastAsia" w:hAnsi="黑体"/>
          <w:kern w:val="2"/>
          <w:sz w:val="32"/>
          <w:szCs w:val="32"/>
        </w:rPr>
        <w:t>万元，其中：上年结转0万元，占0</w:t>
      </w:r>
      <w:r>
        <w:rPr>
          <w:rFonts w:hAnsi="黑体"/>
          <w:kern w:val="2"/>
          <w:sz w:val="32"/>
          <w:szCs w:val="32"/>
        </w:rPr>
        <w:t>%</w:t>
      </w:r>
      <w:r>
        <w:rPr>
          <w:rFonts w:hint="eastAsia" w:hAnsi="黑体"/>
          <w:kern w:val="2"/>
          <w:sz w:val="32"/>
          <w:szCs w:val="32"/>
          <w:lang w:eastAsia="zh-CN"/>
        </w:rPr>
        <w:t>。</w:t>
      </w:r>
    </w:p>
    <w:p w14:paraId="7D99D1A3">
      <w:pPr>
        <w:pStyle w:val="10"/>
        <w:spacing w:before="0"/>
        <w:jc w:val="left"/>
        <w:rPr>
          <w:rFonts w:hint="eastAsia" w:hAnsi="黑体"/>
          <w:kern w:val="2"/>
          <w:sz w:val="32"/>
          <w:szCs w:val="32"/>
        </w:rPr>
      </w:pPr>
      <w:r>
        <w:rPr>
          <w:rFonts w:hint="eastAsia" w:hAnsi="黑体"/>
          <w:kern w:val="2"/>
          <w:sz w:val="32"/>
          <w:szCs w:val="32"/>
        </w:rPr>
        <w:t xml:space="preserve">   </w:t>
      </w:r>
      <w:r>
        <w:rPr>
          <w:rFonts w:hint="eastAsia" w:ascii="楷体_GB2312" w:hAnsi="楷体_GB2312" w:eastAsia="楷体_GB2312" w:cs="楷体_GB2312"/>
          <w:kern w:val="2"/>
          <w:sz w:val="32"/>
          <w:szCs w:val="32"/>
        </w:rPr>
        <w:t>（二）支出预算情况</w:t>
      </w:r>
    </w:p>
    <w:p w14:paraId="0BC03007">
      <w:pPr>
        <w:pStyle w:val="10"/>
        <w:spacing w:before="0"/>
        <w:ind w:firstLine="640" w:firstLineChars="200"/>
        <w:jc w:val="left"/>
        <w:rPr>
          <w:rFonts w:hAnsi="黑体"/>
          <w:kern w:val="2"/>
          <w:sz w:val="32"/>
          <w:szCs w:val="32"/>
        </w:rPr>
      </w:pPr>
      <w:r>
        <w:rPr>
          <w:rFonts w:hint="eastAsia" w:hAnsi="黑体"/>
          <w:kern w:val="2"/>
          <w:sz w:val="32"/>
          <w:szCs w:val="32"/>
        </w:rPr>
        <w:t>茸木达乡</w:t>
      </w: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rPr>
        <w:t>支出预算</w:t>
      </w:r>
      <w:r>
        <w:rPr>
          <w:rFonts w:hint="eastAsia" w:hAnsi="黑体"/>
          <w:kern w:val="2"/>
          <w:sz w:val="32"/>
          <w:szCs w:val="32"/>
          <w:lang w:val="en-US" w:eastAsia="zh-CN"/>
        </w:rPr>
        <w:t>764.37</w:t>
      </w:r>
      <w:r>
        <w:rPr>
          <w:rFonts w:hint="eastAsia" w:hAnsi="黑体"/>
          <w:kern w:val="2"/>
          <w:sz w:val="32"/>
          <w:szCs w:val="32"/>
        </w:rPr>
        <w:t>万元，其中：基本支出</w:t>
      </w:r>
      <w:r>
        <w:rPr>
          <w:rFonts w:hint="eastAsia" w:hAnsi="黑体"/>
          <w:kern w:val="2"/>
          <w:sz w:val="32"/>
          <w:szCs w:val="32"/>
          <w:lang w:val="en-US" w:eastAsia="zh-CN"/>
        </w:rPr>
        <w:t>748.45</w:t>
      </w:r>
      <w:r>
        <w:rPr>
          <w:rFonts w:hint="eastAsia" w:hAnsi="黑体"/>
          <w:kern w:val="2"/>
          <w:sz w:val="32"/>
          <w:szCs w:val="32"/>
        </w:rPr>
        <w:t>万元，占9</w:t>
      </w:r>
      <w:r>
        <w:rPr>
          <w:rFonts w:hint="eastAsia" w:hAnsi="黑体"/>
          <w:kern w:val="2"/>
          <w:sz w:val="32"/>
          <w:szCs w:val="32"/>
          <w:lang w:val="en-US" w:eastAsia="zh-CN"/>
        </w:rPr>
        <w:t>7</w:t>
      </w:r>
      <w:r>
        <w:rPr>
          <w:rFonts w:hAnsi="黑体"/>
          <w:kern w:val="2"/>
          <w:sz w:val="32"/>
          <w:szCs w:val="32"/>
        </w:rPr>
        <w:t>%</w:t>
      </w:r>
      <w:r>
        <w:rPr>
          <w:rFonts w:hint="eastAsia" w:hAnsi="黑体"/>
          <w:kern w:val="2"/>
          <w:sz w:val="32"/>
          <w:szCs w:val="32"/>
        </w:rPr>
        <w:t>；项目支出15.92万元，占</w:t>
      </w:r>
      <w:r>
        <w:rPr>
          <w:rFonts w:hint="eastAsia" w:hAnsi="黑体"/>
          <w:kern w:val="2"/>
          <w:sz w:val="32"/>
          <w:szCs w:val="32"/>
          <w:lang w:val="en-US" w:eastAsia="zh-CN"/>
        </w:rPr>
        <w:t>3</w:t>
      </w:r>
      <w:r>
        <w:rPr>
          <w:rFonts w:hAnsi="黑体"/>
          <w:kern w:val="2"/>
          <w:sz w:val="32"/>
          <w:szCs w:val="32"/>
        </w:rPr>
        <w:t>%</w:t>
      </w:r>
      <w:r>
        <w:rPr>
          <w:rFonts w:hint="eastAsia" w:hAnsi="黑体"/>
          <w:kern w:val="2"/>
          <w:sz w:val="32"/>
          <w:szCs w:val="32"/>
        </w:rPr>
        <w:t>。</w:t>
      </w:r>
    </w:p>
    <w:p w14:paraId="4E276D0D">
      <w:pPr>
        <w:pStyle w:val="10"/>
        <w:spacing w:before="0" w:line="360" w:lineRule="auto"/>
        <w:ind w:firstLine="640" w:firstLineChars="200"/>
        <w:rPr>
          <w:rFonts w:hAnsi="黑体"/>
          <w:kern w:val="2"/>
          <w:sz w:val="32"/>
          <w:szCs w:val="32"/>
        </w:rPr>
      </w:pPr>
      <w:r>
        <w:rPr>
          <w:rFonts w:hint="eastAsia" w:ascii="黑体" w:hAnsi="黑体" w:eastAsia="黑体" w:cs="黑体"/>
          <w:kern w:val="2"/>
          <w:sz w:val="32"/>
          <w:szCs w:val="32"/>
        </w:rPr>
        <w:t>四、财政拨款收支预算情况说明</w:t>
      </w:r>
      <w:r>
        <w:rPr>
          <w:rFonts w:ascii="??" w:hAnsi="??" w:eastAsia="宋体" w:cs="Times New Roman"/>
          <w:sz w:val="16"/>
          <w:szCs w:val="16"/>
        </w:rPr>
        <w:br w:type="textWrapping"/>
      </w:r>
      <w:r>
        <w:rPr>
          <w:rFonts w:hint="eastAsia" w:ascii="??" w:hAnsi="??" w:eastAsia="宋体" w:cs="宋体"/>
          <w:sz w:val="16"/>
          <w:szCs w:val="16"/>
        </w:rPr>
        <w:t>　</w:t>
      </w:r>
      <w:r>
        <w:rPr>
          <w:rFonts w:ascii="??" w:hAnsi="??" w:eastAsia="宋体" w:cs="??"/>
          <w:sz w:val="16"/>
          <w:szCs w:val="16"/>
        </w:rPr>
        <w:t xml:space="preserve"> </w:t>
      </w:r>
      <w:r>
        <w:rPr>
          <w:rFonts w:hAnsi="黑体"/>
          <w:kern w:val="2"/>
          <w:sz w:val="32"/>
          <w:szCs w:val="32"/>
        </w:rPr>
        <w:t xml:space="preserve"> </w:t>
      </w:r>
      <w:r>
        <w:rPr>
          <w:rFonts w:hint="eastAsia" w:hAnsi="黑体"/>
          <w:kern w:val="2"/>
          <w:sz w:val="32"/>
          <w:szCs w:val="32"/>
        </w:rPr>
        <w:t>茸木达乡202</w:t>
      </w:r>
      <w:r>
        <w:rPr>
          <w:rFonts w:hint="eastAsia" w:hAnsi="黑体"/>
          <w:kern w:val="2"/>
          <w:sz w:val="32"/>
          <w:szCs w:val="32"/>
          <w:lang w:val="en-US" w:eastAsia="zh-CN"/>
        </w:rPr>
        <w:t>3</w:t>
      </w:r>
      <w:r>
        <w:rPr>
          <w:rFonts w:hint="eastAsia" w:hAnsi="黑体"/>
          <w:kern w:val="2"/>
          <w:sz w:val="32"/>
          <w:szCs w:val="32"/>
        </w:rPr>
        <w:t>年财政拨款收支总预算</w:t>
      </w:r>
      <w:r>
        <w:rPr>
          <w:rFonts w:hint="eastAsia" w:hAnsi="黑体"/>
          <w:kern w:val="2"/>
          <w:sz w:val="32"/>
          <w:szCs w:val="32"/>
          <w:lang w:val="en-US" w:eastAsia="zh-CN"/>
        </w:rPr>
        <w:t>764.37</w:t>
      </w:r>
      <w:r>
        <w:rPr>
          <w:rFonts w:hint="eastAsia" w:hAnsi="黑体"/>
          <w:kern w:val="2"/>
          <w:sz w:val="32"/>
          <w:szCs w:val="32"/>
        </w:rPr>
        <w:t>万元,比</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收支预算总数增加</w:t>
      </w:r>
      <w:r>
        <w:rPr>
          <w:rFonts w:hint="eastAsia" w:hAnsi="黑体"/>
          <w:kern w:val="2"/>
          <w:sz w:val="32"/>
          <w:szCs w:val="32"/>
          <w:lang w:val="en-US" w:eastAsia="zh-CN"/>
        </w:rPr>
        <w:t>88.5</w:t>
      </w:r>
      <w:r>
        <w:rPr>
          <w:rFonts w:hint="eastAsia" w:hAnsi="黑体"/>
          <w:kern w:val="2"/>
          <w:sz w:val="32"/>
          <w:szCs w:val="32"/>
        </w:rPr>
        <w:t>万元，主要原因</w:t>
      </w:r>
      <w:r>
        <w:rPr>
          <w:rFonts w:hAnsi="黑体"/>
          <w:kern w:val="2"/>
          <w:sz w:val="32"/>
          <w:szCs w:val="32"/>
        </w:rPr>
        <w:t>:</w:t>
      </w:r>
      <w:r>
        <w:rPr>
          <w:rFonts w:hint="eastAsia" w:hAnsi="黑体"/>
          <w:kern w:val="2"/>
          <w:sz w:val="32"/>
          <w:szCs w:val="32"/>
        </w:rPr>
        <w:t>人员增加，五险一金调增等。收入包括：本年一般公共预算拨款收入</w:t>
      </w:r>
      <w:r>
        <w:rPr>
          <w:rFonts w:hint="eastAsia" w:hAnsi="黑体"/>
          <w:kern w:val="2"/>
          <w:sz w:val="32"/>
          <w:szCs w:val="32"/>
          <w:lang w:val="en-US" w:eastAsia="zh-CN"/>
        </w:rPr>
        <w:t>764.37</w:t>
      </w:r>
      <w:r>
        <w:rPr>
          <w:rFonts w:hint="eastAsia" w:hAnsi="黑体"/>
          <w:kern w:val="2"/>
          <w:sz w:val="32"/>
          <w:szCs w:val="32"/>
        </w:rPr>
        <w:t>万元，上年结转一般公共预算收入0万元，上年结转财政拨款资金0万元；　支出包括：一般公共服务支出</w:t>
      </w:r>
      <w:r>
        <w:rPr>
          <w:rFonts w:hint="eastAsia" w:hAnsi="黑体"/>
          <w:kern w:val="2"/>
          <w:sz w:val="32"/>
          <w:szCs w:val="32"/>
          <w:lang w:val="en-US" w:eastAsia="zh-CN"/>
        </w:rPr>
        <w:t>285.48</w:t>
      </w:r>
      <w:r>
        <w:rPr>
          <w:rFonts w:hint="eastAsia" w:hAnsi="黑体"/>
          <w:kern w:val="2"/>
          <w:sz w:val="32"/>
          <w:szCs w:val="32"/>
        </w:rPr>
        <w:t>万元，社会保障和就业支出</w:t>
      </w:r>
      <w:r>
        <w:rPr>
          <w:rFonts w:hint="eastAsia" w:hAnsi="黑体"/>
          <w:kern w:val="2"/>
          <w:sz w:val="32"/>
          <w:szCs w:val="32"/>
          <w:lang w:val="en-US" w:eastAsia="zh-CN"/>
        </w:rPr>
        <w:t>104.78</w:t>
      </w:r>
      <w:r>
        <w:rPr>
          <w:rFonts w:hint="eastAsia" w:hAnsi="黑体"/>
          <w:kern w:val="2"/>
          <w:sz w:val="32"/>
          <w:szCs w:val="32"/>
        </w:rPr>
        <w:t>万元，卫生健康支出</w:t>
      </w:r>
      <w:r>
        <w:rPr>
          <w:rFonts w:hint="eastAsia" w:hAnsi="黑体"/>
          <w:kern w:val="2"/>
          <w:sz w:val="32"/>
          <w:szCs w:val="32"/>
          <w:lang w:val="en-US" w:eastAsia="zh-CN"/>
        </w:rPr>
        <w:t>37.92</w:t>
      </w:r>
      <w:r>
        <w:rPr>
          <w:rFonts w:hint="eastAsia" w:hAnsi="黑体"/>
          <w:kern w:val="2"/>
          <w:sz w:val="32"/>
          <w:szCs w:val="32"/>
        </w:rPr>
        <w:t>万元，农林水支出</w:t>
      </w:r>
      <w:r>
        <w:rPr>
          <w:rFonts w:hint="eastAsia" w:hAnsi="黑体"/>
          <w:kern w:val="2"/>
          <w:sz w:val="32"/>
          <w:szCs w:val="32"/>
          <w:lang w:val="en-US" w:eastAsia="zh-CN"/>
        </w:rPr>
        <w:t>278.33</w:t>
      </w:r>
      <w:r>
        <w:rPr>
          <w:rFonts w:hint="eastAsia" w:hAnsi="黑体"/>
          <w:kern w:val="2"/>
          <w:sz w:val="32"/>
          <w:szCs w:val="32"/>
        </w:rPr>
        <w:t>万元，住房保障支出</w:t>
      </w:r>
      <w:r>
        <w:rPr>
          <w:rFonts w:hint="eastAsia" w:hAnsi="黑体"/>
          <w:kern w:val="2"/>
          <w:sz w:val="32"/>
          <w:szCs w:val="32"/>
          <w:lang w:val="en-US" w:eastAsia="zh-CN"/>
        </w:rPr>
        <w:t>57.85</w:t>
      </w:r>
      <w:r>
        <w:rPr>
          <w:rFonts w:hint="eastAsia" w:hAnsi="黑体"/>
          <w:kern w:val="2"/>
          <w:sz w:val="32"/>
          <w:szCs w:val="32"/>
        </w:rPr>
        <w:t>万元。</w:t>
      </w:r>
    </w:p>
    <w:p w14:paraId="21E0ED2C">
      <w:pPr>
        <w:pStyle w:val="10"/>
        <w:spacing w:before="0" w:line="360" w:lineRule="auto"/>
        <w:rPr>
          <w:rFonts w:ascii="??" w:hAnsi="??" w:eastAsia="宋体" w:cs="Times New Roman"/>
          <w:sz w:val="16"/>
          <w:szCs w:val="16"/>
        </w:rPr>
      </w:pPr>
      <w:r>
        <w:rPr>
          <w:rFonts w:hint="eastAsia" w:ascii="黑体" w:hAnsi="黑体" w:eastAsia="黑体" w:cs="黑体"/>
          <w:kern w:val="2"/>
          <w:sz w:val="32"/>
          <w:szCs w:val="32"/>
        </w:rPr>
        <w:t>五、一般公共预算当年拨款情况说明</w:t>
      </w:r>
    </w:p>
    <w:p w14:paraId="7BC2EFAE">
      <w:pPr>
        <w:pStyle w:val="10"/>
        <w:spacing w:before="0" w:line="360" w:lineRule="auto"/>
        <w:ind w:firstLine="630" w:firstLineChars="196"/>
        <w:rPr>
          <w:rFonts w:hAnsi="黑体" w:cs="Times New Roman"/>
          <w:kern w:val="2"/>
          <w:sz w:val="32"/>
          <w:szCs w:val="32"/>
        </w:rPr>
      </w:pPr>
      <w:r>
        <w:rPr>
          <w:rFonts w:hint="eastAsia" w:ascii="楷体_GB2312" w:hAnsi="黑体" w:eastAsia="楷体_GB2312" w:cs="楷体_GB2312"/>
          <w:b/>
          <w:bCs/>
          <w:kern w:val="2"/>
          <w:sz w:val="32"/>
          <w:szCs w:val="32"/>
        </w:rPr>
        <w:t>（一）一般公共预算当年拨款规模变化情况</w:t>
      </w:r>
    </w:p>
    <w:p w14:paraId="573C70D1">
      <w:pPr>
        <w:pStyle w:val="10"/>
        <w:spacing w:before="0" w:line="360" w:lineRule="auto"/>
        <w:ind w:firstLine="320" w:firstLineChars="100"/>
        <w:rPr>
          <w:rFonts w:hint="eastAsia" w:hAnsi="黑体"/>
          <w:color w:val="FF0000"/>
          <w:kern w:val="2"/>
          <w:sz w:val="32"/>
          <w:szCs w:val="32"/>
        </w:rPr>
      </w:pPr>
      <w:r>
        <w:rPr>
          <w:rFonts w:hint="eastAsia" w:hAnsi="黑体"/>
          <w:kern w:val="2"/>
          <w:sz w:val="32"/>
          <w:szCs w:val="32"/>
        </w:rPr>
        <w:t>茸木达乡202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rPr>
        <w:t>收支总预算</w:t>
      </w:r>
      <w:r>
        <w:rPr>
          <w:rFonts w:hint="eastAsia" w:hAnsi="黑体"/>
          <w:kern w:val="2"/>
          <w:sz w:val="32"/>
          <w:szCs w:val="32"/>
          <w:lang w:val="en-US" w:eastAsia="zh-CN"/>
        </w:rPr>
        <w:t>32.96</w:t>
      </w:r>
      <w:r>
        <w:rPr>
          <w:rFonts w:hint="eastAsia" w:hAnsi="黑体"/>
          <w:kern w:val="2"/>
          <w:sz w:val="32"/>
          <w:szCs w:val="32"/>
        </w:rPr>
        <w:t>万元</w:t>
      </w:r>
      <w:r>
        <w:rPr>
          <w:rFonts w:hAnsi="黑体"/>
          <w:kern w:val="2"/>
          <w:sz w:val="32"/>
          <w:szCs w:val="32"/>
        </w:rPr>
        <w:t>,</w:t>
      </w:r>
      <w:r>
        <w:rPr>
          <w:rFonts w:hint="eastAsia" w:hAnsi="黑体"/>
          <w:kern w:val="2"/>
          <w:sz w:val="32"/>
          <w:szCs w:val="32"/>
        </w:rPr>
        <w:t>比</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收支预算总数增加</w:t>
      </w:r>
      <w:r>
        <w:rPr>
          <w:rFonts w:hint="eastAsia" w:hAnsi="黑体"/>
          <w:kern w:val="2"/>
          <w:sz w:val="32"/>
          <w:szCs w:val="32"/>
          <w:lang w:val="en-US" w:eastAsia="zh-CN"/>
        </w:rPr>
        <w:t>88.5</w:t>
      </w:r>
      <w:r>
        <w:rPr>
          <w:rFonts w:hint="eastAsia" w:hAnsi="黑体"/>
          <w:kern w:val="2"/>
          <w:sz w:val="32"/>
          <w:szCs w:val="32"/>
        </w:rPr>
        <w:t>万元，主要原因</w:t>
      </w:r>
      <w:r>
        <w:rPr>
          <w:rFonts w:hAnsi="黑体"/>
          <w:kern w:val="2"/>
          <w:sz w:val="32"/>
          <w:szCs w:val="32"/>
        </w:rPr>
        <w:t>:</w:t>
      </w:r>
      <w:r>
        <w:rPr>
          <w:rFonts w:hint="eastAsia" w:hAnsi="黑体"/>
          <w:kern w:val="2"/>
          <w:sz w:val="32"/>
          <w:szCs w:val="32"/>
        </w:rPr>
        <w:t xml:space="preserve"> 人员增加，五险一金基数调增等。</w:t>
      </w:r>
    </w:p>
    <w:p w14:paraId="5AD5BFCF">
      <w:pPr>
        <w:pStyle w:val="10"/>
        <w:spacing w:before="0" w:line="360" w:lineRule="auto"/>
        <w:ind w:firstLine="321" w:firstLineChars="100"/>
        <w:rPr>
          <w:rFonts w:hint="eastAsia" w:hAnsi="黑体"/>
          <w:kern w:val="2"/>
          <w:sz w:val="32"/>
          <w:szCs w:val="32"/>
        </w:rPr>
      </w:pPr>
      <w:r>
        <w:rPr>
          <w:rFonts w:hint="eastAsia" w:ascii="楷体_GB2312" w:hAnsi="黑体" w:eastAsia="楷体_GB2312" w:cs="楷体_GB2312"/>
          <w:b/>
          <w:bCs/>
          <w:kern w:val="2"/>
          <w:sz w:val="32"/>
          <w:szCs w:val="32"/>
        </w:rPr>
        <w:t>（二）一般公共预算当年拨款结构情况</w:t>
      </w:r>
      <w:r>
        <w:rPr>
          <w:rFonts w:hAnsi="黑体" w:cs="Times New Roman"/>
          <w:kern w:val="2"/>
          <w:sz w:val="32"/>
          <w:szCs w:val="32"/>
        </w:rPr>
        <w:br w:type="textWrapping"/>
      </w:r>
      <w:r>
        <w:rPr>
          <w:rFonts w:hint="eastAsia" w:hAnsi="黑体"/>
          <w:kern w:val="2"/>
          <w:sz w:val="32"/>
          <w:szCs w:val="32"/>
        </w:rPr>
        <w:t>　　一般公共预算拨款收入</w:t>
      </w:r>
      <w:r>
        <w:rPr>
          <w:rFonts w:hint="eastAsia" w:hAnsi="黑体"/>
          <w:kern w:val="2"/>
          <w:sz w:val="32"/>
          <w:szCs w:val="32"/>
          <w:lang w:val="en-US" w:eastAsia="zh-CN"/>
        </w:rPr>
        <w:t>285.48</w:t>
      </w:r>
      <w:r>
        <w:rPr>
          <w:rFonts w:hint="eastAsia" w:hAnsi="黑体"/>
          <w:kern w:val="2"/>
          <w:sz w:val="32"/>
          <w:szCs w:val="32"/>
        </w:rPr>
        <w:t>万元，占</w:t>
      </w:r>
      <w:r>
        <w:rPr>
          <w:rFonts w:hint="eastAsia" w:hAnsi="黑体"/>
          <w:kern w:val="2"/>
          <w:sz w:val="32"/>
          <w:szCs w:val="32"/>
          <w:lang w:val="en-US" w:eastAsia="zh-CN"/>
        </w:rPr>
        <w:t>37</w:t>
      </w:r>
      <w:r>
        <w:rPr>
          <w:rFonts w:hAnsi="黑体"/>
          <w:kern w:val="2"/>
          <w:sz w:val="32"/>
          <w:szCs w:val="32"/>
        </w:rPr>
        <w:t>%</w:t>
      </w:r>
      <w:r>
        <w:rPr>
          <w:rFonts w:hint="eastAsia" w:hAnsi="黑体"/>
          <w:kern w:val="2"/>
          <w:sz w:val="32"/>
          <w:szCs w:val="32"/>
        </w:rPr>
        <w:t>；社会保障和就业支出</w:t>
      </w:r>
      <w:r>
        <w:rPr>
          <w:rFonts w:hint="eastAsia" w:hAnsi="黑体"/>
          <w:kern w:val="2"/>
          <w:sz w:val="32"/>
          <w:szCs w:val="32"/>
          <w:lang w:val="en-US" w:eastAsia="zh-CN"/>
        </w:rPr>
        <w:t>104.78</w:t>
      </w:r>
      <w:r>
        <w:rPr>
          <w:rFonts w:hint="eastAsia" w:hAnsi="黑体"/>
          <w:kern w:val="2"/>
          <w:sz w:val="32"/>
          <w:szCs w:val="32"/>
        </w:rPr>
        <w:t>万元，占</w:t>
      </w:r>
      <w:r>
        <w:rPr>
          <w:rFonts w:hint="eastAsia" w:hAnsi="黑体"/>
          <w:kern w:val="2"/>
          <w:sz w:val="32"/>
          <w:szCs w:val="32"/>
          <w:lang w:val="en-US" w:eastAsia="zh-CN"/>
        </w:rPr>
        <w:t>14</w:t>
      </w:r>
      <w:r>
        <w:rPr>
          <w:rFonts w:hAnsi="黑体"/>
          <w:kern w:val="2"/>
          <w:sz w:val="32"/>
          <w:szCs w:val="32"/>
        </w:rPr>
        <w:t>%</w:t>
      </w:r>
      <w:r>
        <w:rPr>
          <w:rFonts w:hint="eastAsia" w:hAnsi="黑体"/>
          <w:kern w:val="2"/>
          <w:sz w:val="32"/>
          <w:szCs w:val="32"/>
          <w:lang w:eastAsia="zh-CN"/>
        </w:rPr>
        <w:t>。</w:t>
      </w:r>
      <w:r>
        <w:rPr>
          <w:rFonts w:hint="eastAsia" w:hAnsi="黑体"/>
          <w:kern w:val="2"/>
          <w:sz w:val="32"/>
          <w:szCs w:val="32"/>
        </w:rPr>
        <w:t>卫生健康支出</w:t>
      </w:r>
      <w:r>
        <w:rPr>
          <w:rFonts w:hint="eastAsia" w:hAnsi="黑体"/>
          <w:kern w:val="2"/>
          <w:sz w:val="32"/>
          <w:szCs w:val="32"/>
          <w:lang w:val="en-US" w:eastAsia="zh-CN"/>
        </w:rPr>
        <w:t>37.92</w:t>
      </w:r>
      <w:r>
        <w:rPr>
          <w:rFonts w:hint="eastAsia" w:hAnsi="黑体"/>
          <w:kern w:val="2"/>
          <w:sz w:val="32"/>
          <w:szCs w:val="32"/>
        </w:rPr>
        <w:t>万元，占</w:t>
      </w:r>
      <w:r>
        <w:rPr>
          <w:rFonts w:hint="eastAsia" w:hAnsi="黑体"/>
          <w:kern w:val="2"/>
          <w:sz w:val="32"/>
          <w:szCs w:val="32"/>
          <w:lang w:val="en-US" w:eastAsia="zh-CN"/>
        </w:rPr>
        <w:t>6</w:t>
      </w:r>
      <w:r>
        <w:rPr>
          <w:rFonts w:hAnsi="黑体"/>
          <w:kern w:val="2"/>
          <w:sz w:val="32"/>
          <w:szCs w:val="32"/>
        </w:rPr>
        <w:t>%</w:t>
      </w:r>
      <w:r>
        <w:rPr>
          <w:rFonts w:hint="eastAsia" w:hAnsi="黑体"/>
          <w:kern w:val="2"/>
          <w:sz w:val="32"/>
          <w:szCs w:val="32"/>
          <w:lang w:eastAsia="zh-CN"/>
        </w:rPr>
        <w:t>。</w:t>
      </w:r>
      <w:r>
        <w:rPr>
          <w:rFonts w:hint="eastAsia" w:hAnsi="黑体"/>
          <w:kern w:val="2"/>
          <w:sz w:val="32"/>
          <w:szCs w:val="32"/>
        </w:rPr>
        <w:t>农林水支出</w:t>
      </w:r>
      <w:r>
        <w:rPr>
          <w:rFonts w:hint="eastAsia" w:hAnsi="黑体"/>
          <w:kern w:val="2"/>
          <w:sz w:val="32"/>
          <w:szCs w:val="32"/>
          <w:lang w:val="en-US" w:eastAsia="zh-CN"/>
        </w:rPr>
        <w:t>278.33</w:t>
      </w:r>
      <w:r>
        <w:rPr>
          <w:rFonts w:hint="eastAsia" w:hAnsi="黑体"/>
          <w:kern w:val="2"/>
          <w:sz w:val="32"/>
          <w:szCs w:val="32"/>
        </w:rPr>
        <w:t>万元，占</w:t>
      </w:r>
      <w:r>
        <w:rPr>
          <w:rFonts w:hint="eastAsia" w:hAnsi="黑体"/>
          <w:kern w:val="2"/>
          <w:sz w:val="32"/>
          <w:szCs w:val="32"/>
          <w:lang w:val="en-US" w:eastAsia="zh-CN"/>
        </w:rPr>
        <w:t>36</w:t>
      </w:r>
      <w:r>
        <w:rPr>
          <w:rFonts w:hAnsi="黑体"/>
          <w:kern w:val="2"/>
          <w:sz w:val="32"/>
          <w:szCs w:val="32"/>
        </w:rPr>
        <w:t>%</w:t>
      </w:r>
      <w:r>
        <w:rPr>
          <w:rFonts w:hint="eastAsia" w:hAnsi="黑体"/>
          <w:kern w:val="2"/>
          <w:sz w:val="32"/>
          <w:szCs w:val="32"/>
          <w:lang w:eastAsia="zh-CN"/>
        </w:rPr>
        <w:t>。</w:t>
      </w:r>
      <w:r>
        <w:rPr>
          <w:rFonts w:hint="eastAsia" w:hAnsi="黑体"/>
          <w:kern w:val="2"/>
          <w:sz w:val="32"/>
          <w:szCs w:val="32"/>
        </w:rPr>
        <w:t>住房保障支出</w:t>
      </w:r>
      <w:r>
        <w:rPr>
          <w:rFonts w:hint="eastAsia" w:hAnsi="黑体"/>
          <w:kern w:val="2"/>
          <w:sz w:val="32"/>
          <w:szCs w:val="32"/>
          <w:lang w:val="en-US" w:eastAsia="zh-CN"/>
        </w:rPr>
        <w:t>57.85</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rPr>
        <w:t>占</w:t>
      </w:r>
      <w:r>
        <w:rPr>
          <w:rFonts w:hint="eastAsia" w:hAnsi="黑体"/>
          <w:kern w:val="2"/>
          <w:sz w:val="32"/>
          <w:szCs w:val="32"/>
          <w:lang w:val="en-US" w:eastAsia="zh-CN"/>
        </w:rPr>
        <w:t>7</w:t>
      </w:r>
      <w:r>
        <w:rPr>
          <w:rFonts w:hAnsi="黑体"/>
          <w:kern w:val="2"/>
          <w:sz w:val="32"/>
          <w:szCs w:val="32"/>
        </w:rPr>
        <w:t>%</w:t>
      </w:r>
      <w:r>
        <w:rPr>
          <w:rFonts w:hint="eastAsia" w:hAnsi="黑体"/>
          <w:kern w:val="2"/>
          <w:sz w:val="32"/>
          <w:szCs w:val="32"/>
          <w:lang w:eastAsia="zh-CN"/>
        </w:rPr>
        <w:t>。</w:t>
      </w:r>
    </w:p>
    <w:p w14:paraId="1AFA5711">
      <w:pPr>
        <w:pStyle w:val="10"/>
        <w:spacing w:before="0" w:line="360" w:lineRule="auto"/>
        <w:ind w:firstLine="630"/>
        <w:jc w:val="left"/>
        <w:rPr>
          <w:rFonts w:hAnsi="黑体"/>
          <w:kern w:val="2"/>
          <w:sz w:val="32"/>
          <w:szCs w:val="32"/>
        </w:rPr>
      </w:pPr>
      <w:r>
        <w:rPr>
          <w:rFonts w:hint="eastAsia" w:ascii="黑体" w:hAnsi="黑体" w:eastAsia="黑体" w:cs="黑体"/>
          <w:kern w:val="2"/>
          <w:sz w:val="32"/>
          <w:szCs w:val="32"/>
        </w:rPr>
        <w:t>六、一般公共预算基本支出情况说明</w:t>
      </w:r>
    </w:p>
    <w:p w14:paraId="5EFBC533">
      <w:pPr>
        <w:pStyle w:val="10"/>
        <w:spacing w:before="0" w:line="360" w:lineRule="auto"/>
        <w:ind w:firstLine="640" w:firstLineChars="200"/>
        <w:rPr>
          <w:rFonts w:hint="eastAsia" w:hAnsi="黑体"/>
          <w:kern w:val="2"/>
          <w:sz w:val="32"/>
          <w:szCs w:val="32"/>
        </w:rPr>
      </w:pPr>
      <w:r>
        <w:rPr>
          <w:rFonts w:hint="eastAsia" w:hAnsi="黑体"/>
          <w:kern w:val="2"/>
          <w:sz w:val="32"/>
          <w:szCs w:val="32"/>
        </w:rPr>
        <w:t>茸木达乡</w:t>
      </w: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rPr>
        <w:t>一般公共预算基本支出</w:t>
      </w:r>
      <w:r>
        <w:rPr>
          <w:rFonts w:hint="eastAsia" w:hAnsi="黑体"/>
          <w:kern w:val="2"/>
          <w:sz w:val="32"/>
          <w:szCs w:val="32"/>
          <w:lang w:val="en-US" w:eastAsia="zh-CN"/>
        </w:rPr>
        <w:t>764.37</w:t>
      </w:r>
      <w:r>
        <w:rPr>
          <w:rFonts w:hint="eastAsia" w:hAnsi="黑体"/>
          <w:kern w:val="2"/>
          <w:sz w:val="32"/>
          <w:szCs w:val="32"/>
        </w:rPr>
        <w:t>万元，其中：人员经费</w:t>
      </w:r>
      <w:r>
        <w:rPr>
          <w:rFonts w:hint="eastAsia" w:hAnsi="黑体"/>
          <w:kern w:val="2"/>
          <w:sz w:val="32"/>
          <w:szCs w:val="32"/>
          <w:lang w:val="en-US" w:eastAsia="zh-CN"/>
        </w:rPr>
        <w:t>648.30</w:t>
      </w:r>
      <w:r>
        <w:rPr>
          <w:rFonts w:hint="eastAsia" w:hAnsi="黑体"/>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3C986453">
      <w:pPr>
        <w:pStyle w:val="10"/>
        <w:spacing w:before="0" w:line="360" w:lineRule="auto"/>
        <w:ind w:firstLine="640" w:firstLineChars="200"/>
        <w:rPr>
          <w:rFonts w:hAnsi="黑体"/>
          <w:kern w:val="2"/>
          <w:sz w:val="32"/>
          <w:szCs w:val="32"/>
        </w:rPr>
      </w:pPr>
      <w:r>
        <w:rPr>
          <w:rFonts w:hint="eastAsia" w:hAnsi="黑体"/>
          <w:kern w:val="2"/>
          <w:sz w:val="32"/>
          <w:szCs w:val="32"/>
        </w:rPr>
        <w:t>公用经费</w:t>
      </w:r>
      <w:r>
        <w:rPr>
          <w:rFonts w:hint="eastAsia" w:hAnsi="黑体"/>
          <w:kern w:val="2"/>
          <w:sz w:val="32"/>
          <w:szCs w:val="32"/>
          <w:lang w:val="en-US" w:eastAsia="zh-CN"/>
        </w:rPr>
        <w:t>100.14</w:t>
      </w:r>
      <w:r>
        <w:rPr>
          <w:rFonts w:hint="eastAsia" w:hAnsi="黑体"/>
          <w:kern w:val="2"/>
          <w:sz w:val="32"/>
          <w:szCs w:val="32"/>
        </w:rPr>
        <w:t>万元，主要包括：办公费、印刷费、手续费、电费、邮电费、差旅费、维修（护）费、租赁费、会议费、培训费、劳务费、工会经费、福利费、其他商品和服务支出。</w:t>
      </w:r>
    </w:p>
    <w:p w14:paraId="6F49C0C1">
      <w:pPr>
        <w:pStyle w:val="10"/>
        <w:spacing w:before="0" w:line="360" w:lineRule="auto"/>
        <w:rPr>
          <w:rFonts w:ascii="??" w:hAnsi="??" w:eastAsia="宋体" w:cs="Times New Roman"/>
          <w:sz w:val="16"/>
          <w:szCs w:val="16"/>
        </w:rPr>
      </w:pPr>
      <w:r>
        <w:rPr>
          <w:rFonts w:hint="eastAsia" w:ascii="黑体" w:hAnsi="黑体" w:eastAsia="黑体" w:cs="黑体"/>
          <w:kern w:val="2"/>
          <w:sz w:val="32"/>
          <w:szCs w:val="32"/>
        </w:rPr>
        <w:t>七、</w:t>
      </w:r>
      <w:r>
        <w:rPr>
          <w:rFonts w:ascii="黑体" w:hAnsi="黑体" w:eastAsia="黑体" w:cs="Times New Roman"/>
          <w:kern w:val="2"/>
          <w:sz w:val="32"/>
          <w:szCs w:val="32"/>
        </w:rPr>
        <w:t>“</w:t>
      </w:r>
      <w:r>
        <w:rPr>
          <w:rFonts w:hint="eastAsia" w:ascii="黑体" w:hAnsi="黑体" w:eastAsia="黑体" w:cs="黑体"/>
          <w:kern w:val="2"/>
          <w:sz w:val="32"/>
          <w:szCs w:val="32"/>
        </w:rPr>
        <w:t>三公</w:t>
      </w:r>
      <w:r>
        <w:rPr>
          <w:rFonts w:ascii="黑体" w:hAnsi="黑体" w:eastAsia="黑体" w:cs="Times New Roman"/>
          <w:kern w:val="2"/>
          <w:sz w:val="32"/>
          <w:szCs w:val="32"/>
        </w:rPr>
        <w:t>”</w:t>
      </w:r>
      <w:r>
        <w:rPr>
          <w:rFonts w:hint="eastAsia" w:ascii="黑体" w:hAnsi="黑体" w:eastAsia="黑体" w:cs="黑体"/>
          <w:kern w:val="2"/>
          <w:sz w:val="32"/>
          <w:szCs w:val="32"/>
        </w:rPr>
        <w:t>经费财政拨款预算安排情况说明</w:t>
      </w:r>
    </w:p>
    <w:p w14:paraId="143BA84C">
      <w:pPr>
        <w:pStyle w:val="10"/>
        <w:spacing w:before="0" w:line="360" w:lineRule="auto"/>
        <w:ind w:firstLine="640" w:firstLineChars="200"/>
        <w:rPr>
          <w:rFonts w:hAnsi="黑体" w:cs="Times New Roman"/>
          <w:kern w:val="2"/>
          <w:sz w:val="32"/>
          <w:szCs w:val="32"/>
        </w:rPr>
      </w:pPr>
      <w:r>
        <w:rPr>
          <w:rFonts w:hint="eastAsia" w:hAnsi="黑体"/>
          <w:kern w:val="2"/>
          <w:sz w:val="32"/>
          <w:szCs w:val="32"/>
        </w:rPr>
        <w:t>茸木达乡</w:t>
      </w: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Ansi="黑体" w:cs="Times New Roman"/>
          <w:kern w:val="2"/>
          <w:sz w:val="32"/>
          <w:szCs w:val="32"/>
        </w:rPr>
        <w:t>“</w:t>
      </w:r>
      <w:r>
        <w:rPr>
          <w:rFonts w:hint="eastAsia" w:hAnsi="黑体"/>
          <w:kern w:val="2"/>
          <w:sz w:val="32"/>
          <w:szCs w:val="32"/>
        </w:rPr>
        <w:t>三公</w:t>
      </w:r>
      <w:r>
        <w:rPr>
          <w:rFonts w:hAnsi="黑体" w:cs="Times New Roman"/>
          <w:kern w:val="2"/>
          <w:sz w:val="32"/>
          <w:szCs w:val="32"/>
        </w:rPr>
        <w:t>”</w:t>
      </w:r>
      <w:r>
        <w:rPr>
          <w:rFonts w:hint="eastAsia" w:hAnsi="黑体"/>
          <w:kern w:val="2"/>
          <w:sz w:val="32"/>
          <w:szCs w:val="32"/>
        </w:rPr>
        <w:t>经费财政拨款预算数14万元，其中：因公出国（境）经费0万元，公务接待费0万元，公务用车购置及运行维护费14万元。</w:t>
      </w:r>
    </w:p>
    <w:p w14:paraId="532C5E22">
      <w:pPr>
        <w:pStyle w:val="10"/>
        <w:spacing w:before="0" w:line="360" w:lineRule="auto"/>
        <w:ind w:firstLine="640" w:firstLineChars="200"/>
        <w:rPr>
          <w:rFonts w:hint="eastAsia" w:hAnsi="黑体"/>
          <w:kern w:val="2"/>
          <w:sz w:val="32"/>
          <w:szCs w:val="32"/>
        </w:rPr>
      </w:pPr>
      <w:r>
        <w:rPr>
          <w:rFonts w:hint="eastAsia" w:hAnsi="黑体"/>
          <w:kern w:val="2"/>
          <w:sz w:val="32"/>
          <w:szCs w:val="32"/>
        </w:rPr>
        <w:t>（一）</w:t>
      </w: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rPr>
        <w:t>因公出国（境）经费0万元。</w:t>
      </w:r>
    </w:p>
    <w:p w14:paraId="1017F789">
      <w:pPr>
        <w:pStyle w:val="10"/>
        <w:spacing w:before="0" w:line="360" w:lineRule="auto"/>
        <w:ind w:firstLine="640" w:firstLineChars="200"/>
        <w:rPr>
          <w:rFonts w:hint="eastAsia" w:hAnsi="黑体"/>
          <w:kern w:val="2"/>
          <w:sz w:val="32"/>
          <w:szCs w:val="32"/>
        </w:rPr>
      </w:pPr>
      <w:r>
        <w:rPr>
          <w:rFonts w:hint="eastAsia" w:hAnsi="黑体"/>
          <w:kern w:val="2"/>
          <w:sz w:val="32"/>
          <w:szCs w:val="32"/>
        </w:rPr>
        <w:t>（二）</w:t>
      </w: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rPr>
        <w:t>公务接待费费0万元。</w:t>
      </w:r>
    </w:p>
    <w:p w14:paraId="7297B912">
      <w:pPr>
        <w:pStyle w:val="10"/>
        <w:spacing w:before="0" w:line="360" w:lineRule="auto"/>
        <w:ind w:firstLine="640" w:firstLineChars="200"/>
        <w:rPr>
          <w:rFonts w:hint="eastAsia" w:hAnsi="黑体"/>
          <w:kern w:val="2"/>
          <w:sz w:val="32"/>
          <w:szCs w:val="32"/>
        </w:rPr>
      </w:pPr>
      <w:r>
        <w:rPr>
          <w:rFonts w:hint="eastAsia" w:hAnsi="黑体"/>
          <w:kern w:val="2"/>
          <w:sz w:val="32"/>
          <w:szCs w:val="32"/>
        </w:rPr>
        <w:t>（三）</w:t>
      </w: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rPr>
        <w:t>公务用车购置及运行维护费14万元。</w:t>
      </w:r>
    </w:p>
    <w:p w14:paraId="40315BA0">
      <w:pPr>
        <w:pStyle w:val="10"/>
        <w:spacing w:before="0" w:line="360" w:lineRule="auto"/>
        <w:ind w:firstLine="640" w:firstLineChars="200"/>
        <w:rPr>
          <w:rFonts w:hint="eastAsia" w:hAnsi="黑体"/>
          <w:kern w:val="2"/>
          <w:sz w:val="32"/>
          <w:szCs w:val="32"/>
        </w:rPr>
      </w:pPr>
      <w:r>
        <w:rPr>
          <w:rFonts w:hint="eastAsia" w:ascii="黑体" w:hAnsi="黑体" w:eastAsia="黑体" w:cs="黑体"/>
          <w:kern w:val="2"/>
          <w:sz w:val="32"/>
          <w:szCs w:val="32"/>
        </w:rPr>
        <w:t>八、政府性基金预算支出情况说明</w:t>
      </w:r>
      <w:r>
        <w:rPr>
          <w:rFonts w:ascii="??" w:hAnsi="??" w:eastAsia="宋体" w:cs="Times New Roman"/>
          <w:sz w:val="16"/>
          <w:szCs w:val="16"/>
        </w:rPr>
        <w:br w:type="textWrapping"/>
      </w:r>
      <w:r>
        <w:rPr>
          <w:rFonts w:hint="eastAsia" w:ascii="??" w:hAnsi="??" w:eastAsia="宋体" w:cs="宋体"/>
          <w:color w:val="FF0000"/>
          <w:sz w:val="16"/>
          <w:szCs w:val="16"/>
        </w:rPr>
        <w:t>　</w:t>
      </w:r>
      <w:r>
        <w:rPr>
          <w:rFonts w:hint="eastAsia" w:hAnsi="黑体"/>
          <w:kern w:val="2"/>
          <w:sz w:val="32"/>
          <w:szCs w:val="32"/>
        </w:rPr>
        <w:t>　茸木达乡202</w:t>
      </w:r>
      <w:r>
        <w:rPr>
          <w:rFonts w:hint="eastAsia" w:hAnsi="黑体"/>
          <w:kern w:val="2"/>
          <w:sz w:val="32"/>
          <w:szCs w:val="32"/>
          <w:lang w:val="en-US" w:eastAsia="zh-CN"/>
        </w:rPr>
        <w:t>3</w:t>
      </w:r>
      <w:r>
        <w:rPr>
          <w:rFonts w:hint="eastAsia" w:hAnsi="黑体"/>
          <w:kern w:val="2"/>
          <w:sz w:val="32"/>
          <w:szCs w:val="32"/>
        </w:rPr>
        <w:t>年政府性基金预算拨款安排的支出0万元。</w:t>
      </w:r>
    </w:p>
    <w:p w14:paraId="04A4F0B6">
      <w:pPr>
        <w:pStyle w:val="10"/>
        <w:spacing w:before="0" w:line="360" w:lineRule="auto"/>
        <w:rPr>
          <w:rFonts w:ascii="楷体_GB2312" w:hAnsi="黑体" w:eastAsia="楷体_GB2312" w:cs="Times New Roman"/>
          <w:b/>
          <w:bCs/>
          <w:kern w:val="2"/>
          <w:sz w:val="32"/>
          <w:szCs w:val="32"/>
        </w:rPr>
      </w:pPr>
      <w:r>
        <w:rPr>
          <w:rFonts w:hint="eastAsia" w:ascii="黑体" w:hAnsi="黑体" w:eastAsia="黑体" w:cs="黑体"/>
          <w:kern w:val="2"/>
          <w:sz w:val="32"/>
          <w:szCs w:val="32"/>
        </w:rPr>
        <w:t>九、其他重要事项的情况说明</w:t>
      </w:r>
      <w:r>
        <w:rPr>
          <w:rFonts w:ascii="??" w:hAnsi="??" w:eastAsia="宋体" w:cs="Times New Roman"/>
          <w:sz w:val="16"/>
          <w:szCs w:val="16"/>
        </w:rPr>
        <w:br w:type="textWrapping"/>
      </w:r>
      <w:r>
        <w:rPr>
          <w:rFonts w:hint="eastAsia" w:ascii="??" w:hAnsi="??" w:eastAsia="宋体" w:cs="宋体"/>
          <w:sz w:val="16"/>
          <w:szCs w:val="16"/>
        </w:rPr>
        <w:t>　　</w:t>
      </w:r>
      <w:r>
        <w:rPr>
          <w:rFonts w:hint="eastAsia" w:ascii="楷体_GB2312" w:hAnsi="黑体" w:eastAsia="楷体_GB2312" w:cs="楷体_GB2312"/>
          <w:b/>
          <w:bCs/>
          <w:kern w:val="2"/>
          <w:sz w:val="32"/>
          <w:szCs w:val="32"/>
        </w:rPr>
        <w:t>（一）机关运行经费</w:t>
      </w:r>
      <w:r>
        <w:rPr>
          <w:rFonts w:hAnsi="黑体" w:cs="Times New Roman"/>
          <w:kern w:val="2"/>
          <w:sz w:val="32"/>
          <w:szCs w:val="32"/>
        </w:rPr>
        <w:br w:type="textWrapping"/>
      </w:r>
      <w:r>
        <w:rPr>
          <w:rFonts w:hAnsi="黑体"/>
          <w:kern w:val="2"/>
          <w:sz w:val="32"/>
          <w:szCs w:val="32"/>
        </w:rPr>
        <w:t xml:space="preserve">     </w:t>
      </w:r>
      <w:r>
        <w:rPr>
          <w:rFonts w:hint="eastAsia" w:hAnsi="黑体" w:eastAsia="宋体"/>
          <w:kern w:val="2"/>
          <w:sz w:val="32"/>
          <w:szCs w:val="32"/>
        </w:rPr>
        <w:t>茸木达乡</w:t>
      </w: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rPr>
        <w:t>机关运行经费财政拨款预算为</w:t>
      </w:r>
      <w:r>
        <w:rPr>
          <w:rFonts w:hint="eastAsia" w:hAnsi="黑体"/>
          <w:kern w:val="2"/>
          <w:sz w:val="32"/>
          <w:szCs w:val="32"/>
          <w:lang w:val="en-US" w:eastAsia="zh-CN"/>
        </w:rPr>
        <w:t>100.14</w:t>
      </w:r>
      <w:r>
        <w:rPr>
          <w:rFonts w:hint="eastAsia" w:hAnsi="黑体"/>
          <w:kern w:val="2"/>
          <w:sz w:val="32"/>
          <w:szCs w:val="32"/>
        </w:rPr>
        <w:t>万元</w:t>
      </w:r>
      <w:r>
        <w:rPr>
          <w:rFonts w:hint="eastAsia" w:hAnsi="黑体"/>
          <w:kern w:val="2"/>
          <w:sz w:val="32"/>
          <w:szCs w:val="32"/>
          <w:lang w:val="en-US" w:eastAsia="zh-CN"/>
        </w:rPr>
        <w:t>与</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预算</w:t>
      </w:r>
      <w:r>
        <w:rPr>
          <w:rFonts w:hint="eastAsia" w:hAnsi="黑体"/>
          <w:kern w:val="2"/>
          <w:sz w:val="32"/>
          <w:szCs w:val="32"/>
          <w:lang w:val="en-US" w:eastAsia="zh-CN"/>
        </w:rPr>
        <w:t>增加15.64</w:t>
      </w:r>
      <w:r>
        <w:rPr>
          <w:rFonts w:hint="eastAsia" w:hAnsi="黑体"/>
          <w:kern w:val="2"/>
          <w:sz w:val="32"/>
          <w:szCs w:val="32"/>
        </w:rPr>
        <w:t>万元。</w:t>
      </w:r>
      <w:r>
        <w:rPr>
          <w:rFonts w:hint="eastAsia" w:hAnsi="黑体"/>
          <w:kern w:val="2"/>
          <w:sz w:val="32"/>
          <w:szCs w:val="32"/>
          <w:lang w:val="en-US" w:eastAsia="zh-CN"/>
        </w:rPr>
        <w:t>增幅为18.51%。</w:t>
      </w:r>
      <w:r>
        <w:rPr>
          <w:rFonts w:hAnsi="黑体" w:cs="Times New Roman"/>
          <w:kern w:val="2"/>
          <w:sz w:val="32"/>
          <w:szCs w:val="32"/>
        </w:rPr>
        <w:br w:type="textWrapping"/>
      </w:r>
      <w:r>
        <w:rPr>
          <w:rFonts w:hint="eastAsia" w:hAnsi="黑体"/>
          <w:kern w:val="2"/>
          <w:sz w:val="32"/>
          <w:szCs w:val="32"/>
        </w:rPr>
        <w:t>　</w:t>
      </w:r>
      <w:r>
        <w:rPr>
          <w:rFonts w:hint="eastAsia" w:ascii="楷体_GB2312" w:hAnsi="黑体" w:eastAsia="楷体_GB2312" w:cs="楷体_GB2312"/>
          <w:b/>
          <w:bCs/>
          <w:kern w:val="2"/>
          <w:sz w:val="32"/>
          <w:szCs w:val="32"/>
        </w:rPr>
        <w:t>（二）政府采购情况</w:t>
      </w:r>
    </w:p>
    <w:p w14:paraId="1104DF0B">
      <w:pPr>
        <w:pStyle w:val="10"/>
        <w:spacing w:before="0" w:line="360" w:lineRule="auto"/>
        <w:ind w:firstLine="320" w:firstLineChars="100"/>
        <w:rPr>
          <w:rFonts w:hint="eastAsia" w:hAnsi="黑体"/>
          <w:kern w:val="2"/>
          <w:sz w:val="32"/>
          <w:szCs w:val="32"/>
        </w:rPr>
      </w:pPr>
      <w:r>
        <w:rPr>
          <w:rFonts w:hint="eastAsia" w:hAnsi="黑体"/>
          <w:kern w:val="2"/>
          <w:sz w:val="32"/>
          <w:szCs w:val="32"/>
        </w:rPr>
        <w:t>202</w:t>
      </w:r>
      <w:r>
        <w:rPr>
          <w:rFonts w:hint="eastAsia" w:hAnsi="黑体"/>
          <w:kern w:val="2"/>
          <w:sz w:val="32"/>
          <w:szCs w:val="32"/>
          <w:lang w:val="en-US" w:eastAsia="zh-CN"/>
        </w:rPr>
        <w:t>4</w:t>
      </w:r>
      <w:r>
        <w:rPr>
          <w:rFonts w:hint="eastAsia" w:hAnsi="黑体"/>
          <w:kern w:val="2"/>
          <w:sz w:val="32"/>
          <w:szCs w:val="32"/>
        </w:rPr>
        <w:t>年茸木达乡安排政府采购预算0万元。</w:t>
      </w:r>
    </w:p>
    <w:p w14:paraId="5BF8E380">
      <w:pPr>
        <w:pStyle w:val="10"/>
        <w:numPr>
          <w:ilvl w:val="0"/>
          <w:numId w:val="2"/>
        </w:numPr>
        <w:spacing w:before="0" w:line="360" w:lineRule="auto"/>
        <w:ind w:firstLine="321" w:firstLineChars="100"/>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国有资产占有使用情况</w:t>
      </w:r>
    </w:p>
    <w:p w14:paraId="1458F36C">
      <w:pPr>
        <w:pStyle w:val="10"/>
        <w:spacing w:before="0" w:line="360" w:lineRule="auto"/>
        <w:ind w:firstLine="640" w:firstLineChars="200"/>
        <w:rPr>
          <w:rFonts w:hint="eastAsia" w:hAnsi="黑体"/>
          <w:kern w:val="2"/>
          <w:sz w:val="32"/>
          <w:szCs w:val="32"/>
        </w:rPr>
      </w:pPr>
      <w:r>
        <w:rPr>
          <w:rFonts w:hint="eastAsia" w:ascii="楷体_GB2312" w:hAnsi="黑体" w:eastAsia="楷体_GB2312" w:cs="Times New Roman"/>
          <w:kern w:val="2"/>
          <w:sz w:val="32"/>
          <w:szCs w:val="32"/>
        </w:rPr>
        <w:t>无</w:t>
      </w:r>
      <w:r>
        <w:rPr>
          <w:rFonts w:ascii="楷体_GB2312" w:hAnsi="黑体" w:eastAsia="楷体_GB2312" w:cs="Times New Roman"/>
          <w:b/>
          <w:bCs/>
          <w:kern w:val="2"/>
          <w:sz w:val="32"/>
          <w:szCs w:val="32"/>
        </w:rPr>
        <w:br w:type="textWrapping"/>
      </w:r>
      <w:r>
        <w:rPr>
          <w:rFonts w:hint="eastAsia" w:ascii="楷体_GB2312" w:hAnsi="黑体" w:eastAsia="楷体_GB2312" w:cs="楷体_GB2312"/>
          <w:b/>
          <w:bCs/>
          <w:kern w:val="2"/>
          <w:sz w:val="32"/>
          <w:szCs w:val="32"/>
        </w:rPr>
        <w:t>　（四）绩效目标设置情况</w:t>
      </w:r>
      <w:r>
        <w:rPr>
          <w:rFonts w:hAnsi="黑体" w:cs="Times New Roman"/>
          <w:kern w:val="2"/>
          <w:sz w:val="32"/>
          <w:szCs w:val="32"/>
        </w:rPr>
        <w:br w:type="textWrapping"/>
      </w:r>
      <w:r>
        <w:rPr>
          <w:rFonts w:hint="eastAsia" w:hAnsi="黑体"/>
          <w:kern w:val="2"/>
          <w:sz w:val="32"/>
          <w:szCs w:val="32"/>
        </w:rPr>
        <w:t>　　202</w:t>
      </w:r>
      <w:r>
        <w:rPr>
          <w:rFonts w:hint="eastAsia" w:hAnsi="黑体"/>
          <w:kern w:val="2"/>
          <w:sz w:val="32"/>
          <w:szCs w:val="32"/>
          <w:lang w:val="en-US" w:eastAsia="zh-CN"/>
        </w:rPr>
        <w:t>3</w:t>
      </w:r>
      <w:r>
        <w:rPr>
          <w:rFonts w:hint="eastAsia" w:hAnsi="黑体"/>
          <w:kern w:val="2"/>
          <w:sz w:val="32"/>
          <w:szCs w:val="32"/>
        </w:rPr>
        <w:t>年茸木达乡通用项目和专用项目均按要求实行绩效目标管理，涉及一般公共预算当年拨款</w:t>
      </w:r>
      <w:r>
        <w:rPr>
          <w:rFonts w:hint="eastAsia" w:hAnsi="黑体"/>
          <w:kern w:val="2"/>
          <w:sz w:val="32"/>
          <w:szCs w:val="32"/>
          <w:lang w:val="en-US" w:eastAsia="zh-CN"/>
        </w:rPr>
        <w:t>764.37</w:t>
      </w:r>
      <w:r>
        <w:rPr>
          <w:rFonts w:hint="eastAsia" w:hAnsi="黑体"/>
          <w:kern w:val="2"/>
          <w:sz w:val="32"/>
          <w:szCs w:val="32"/>
        </w:rPr>
        <w:t>万元。</w:t>
      </w:r>
    </w:p>
    <w:p w14:paraId="4CF524F8">
      <w:pPr>
        <w:pStyle w:val="10"/>
        <w:spacing w:before="0" w:line="360" w:lineRule="auto"/>
        <w:rPr>
          <w:rFonts w:hint="eastAsia" w:ascii="??" w:hAnsi="??" w:eastAsia="宋体" w:cs="Times New Roman"/>
          <w:sz w:val="16"/>
          <w:szCs w:val="16"/>
        </w:rPr>
      </w:pPr>
      <w:r>
        <w:rPr>
          <w:rFonts w:hint="eastAsia" w:ascii="黑体" w:hAnsi="黑体" w:eastAsia="黑体" w:cs="黑体"/>
          <w:kern w:val="2"/>
          <w:sz w:val="32"/>
          <w:szCs w:val="32"/>
        </w:rPr>
        <w:t>十、名词解释</w:t>
      </w:r>
    </w:p>
    <w:p w14:paraId="36365D9A">
      <w:pPr>
        <w:pStyle w:val="10"/>
        <w:spacing w:before="0" w:line="360" w:lineRule="auto"/>
        <w:ind w:firstLine="640" w:firstLineChars="200"/>
        <w:rPr>
          <w:rFonts w:hAnsi="黑体" w:cs="Times New Roman"/>
          <w:kern w:val="2"/>
          <w:sz w:val="32"/>
          <w:szCs w:val="32"/>
        </w:rPr>
      </w:pPr>
      <w:r>
        <w:rPr>
          <w:rFonts w:hint="eastAsia" w:hAnsi="黑体"/>
          <w:kern w:val="2"/>
          <w:sz w:val="32"/>
          <w:szCs w:val="32"/>
        </w:rPr>
        <w:t>（一）财政拨款收入：指由财政拨款形成的部门收入。按现行管理制度，部门预算中反映的财政拨款仅包括一般公共预算拨款和政府性基金预算拨款。</w:t>
      </w:r>
      <w:r>
        <w:rPr>
          <w:rFonts w:hAnsi="黑体" w:cs="Times New Roman"/>
          <w:kern w:val="2"/>
          <w:sz w:val="32"/>
          <w:szCs w:val="32"/>
        </w:rPr>
        <w:br w:type="textWrapping"/>
      </w:r>
      <w:r>
        <w:rPr>
          <w:rFonts w:hint="eastAsia" w:hAnsi="黑体"/>
          <w:kern w:val="2"/>
          <w:sz w:val="32"/>
          <w:szCs w:val="32"/>
        </w:rPr>
        <w:t>　　（二）事业收入：指所属事业单位开展专业业务活动及辅助活动所取得的收入。</w:t>
      </w:r>
      <w:r>
        <w:rPr>
          <w:rFonts w:hAnsi="黑体" w:cs="Times New Roman"/>
          <w:kern w:val="2"/>
          <w:sz w:val="32"/>
          <w:szCs w:val="32"/>
        </w:rPr>
        <w:br w:type="textWrapping"/>
      </w:r>
      <w:r>
        <w:rPr>
          <w:rFonts w:hint="eastAsia" w:hAnsi="黑体"/>
          <w:kern w:val="2"/>
          <w:sz w:val="32"/>
          <w:szCs w:val="32"/>
        </w:rPr>
        <w:t>　　（三）事业单位经营收入：指所属事业单位在专业业务活动及其辅助活动之外开展非独立核算经营活动取得的收入。</w:t>
      </w:r>
      <w:r>
        <w:rPr>
          <w:rFonts w:hAnsi="黑体" w:cs="Times New Roman"/>
          <w:kern w:val="2"/>
          <w:sz w:val="32"/>
          <w:szCs w:val="32"/>
        </w:rPr>
        <w:br w:type="textWrapping"/>
      </w:r>
      <w:r>
        <w:rPr>
          <w:rFonts w:hint="eastAsia" w:hAnsi="黑体"/>
          <w:kern w:val="2"/>
          <w:sz w:val="32"/>
          <w:szCs w:val="32"/>
        </w:rPr>
        <w:t>　　（四）其他收入：指除上述</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等以外的收入，主要是所属行政事业单位按规定动用的售房收入、存款利息收入等。</w:t>
      </w:r>
      <w:r>
        <w:rPr>
          <w:rFonts w:hAnsi="黑体" w:cs="Times New Roman"/>
          <w:kern w:val="2"/>
          <w:sz w:val="32"/>
          <w:szCs w:val="32"/>
        </w:rPr>
        <w:br w:type="textWrapping"/>
      </w:r>
      <w:r>
        <w:rPr>
          <w:rFonts w:hint="eastAsia" w:hAnsi="黑体"/>
          <w:kern w:val="2"/>
          <w:sz w:val="32"/>
          <w:szCs w:val="32"/>
        </w:rPr>
        <w:t>　　（五）用事业基金弥补收支差额：指所属事业单位在预计用当年的</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其他收入</w:t>
      </w:r>
      <w:r>
        <w:rPr>
          <w:rFonts w:hAnsi="黑体" w:cs="Times New Roman"/>
          <w:kern w:val="2"/>
          <w:sz w:val="32"/>
          <w:szCs w:val="32"/>
        </w:rPr>
        <w:t>”</w:t>
      </w:r>
      <w:r>
        <w:rPr>
          <w:rFonts w:hint="eastAsia" w:hAnsi="黑体"/>
          <w:kern w:val="2"/>
          <w:sz w:val="32"/>
          <w:szCs w:val="32"/>
        </w:rPr>
        <w:t>不足以安排当年支出的情况下，使用以前年度积累的事业基金弥补本年度收支缺口的资金。</w:t>
      </w:r>
      <w:r>
        <w:rPr>
          <w:rFonts w:hAnsi="黑体" w:cs="Times New Roman"/>
          <w:kern w:val="2"/>
          <w:sz w:val="32"/>
          <w:szCs w:val="32"/>
        </w:rPr>
        <w:br w:type="textWrapping"/>
      </w:r>
      <w:r>
        <w:rPr>
          <w:rFonts w:hint="eastAsia" w:hAnsi="黑体"/>
          <w:kern w:val="2"/>
          <w:sz w:val="32"/>
          <w:szCs w:val="32"/>
        </w:rPr>
        <w:t>　　（六）上年结转：指所属行政事业单位以前年度尚未完成、结转至本年按原规定用途继续使用的资金和以前年度已完成项目剩余资金经批准用于新用途使用的资金。</w:t>
      </w:r>
    </w:p>
    <w:p w14:paraId="6273525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4700DED-7DB7-4580-ADB1-A18D6BF3AF8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CE27BDB-E5B1-42A5-A6A3-B84A3EC97DF7}"/>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embedRegular r:id="rId3" w:fontKey="{5A936EFC-8C20-419D-B8CA-AD71C228678F}"/>
  </w:font>
  <w:font w:name="??">
    <w:altName w:val="Times New Roman"/>
    <w:panose1 w:val="00000000000000000000"/>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embedRegular r:id="rId4" w:fontKey="{D9A29CC3-1EDC-454F-BF2B-A7A271BEEADE}"/>
  </w:font>
  <w:font w:name="楷体_GB2312">
    <w:panose1 w:val="02010609030101010101"/>
    <w:charset w:val="86"/>
    <w:family w:val="modern"/>
    <w:pitch w:val="default"/>
    <w:sig w:usb0="00000001" w:usb1="080E0000" w:usb2="00000000" w:usb3="00000000" w:csb0="00040000" w:csb1="00000000"/>
    <w:embedRegular r:id="rId5" w:fontKey="{C6DE05E6-569C-4535-A66D-55EB92C99F27}"/>
  </w:font>
  <w:font w:name="方正仿宋_GB2312">
    <w:panose1 w:val="02000000000000000000"/>
    <w:charset w:val="86"/>
    <w:family w:val="auto"/>
    <w:pitch w:val="default"/>
    <w:sig w:usb0="A00002BF" w:usb1="184F6CFA" w:usb2="00000012" w:usb3="00000000" w:csb0="00040001" w:csb1="00000000"/>
    <w:embedRegular r:id="rId6" w:fontKey="{F1C6CC30-DA65-4A72-8F5C-D6EA248C499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4FFB72"/>
    <w:multiLevelType w:val="singleLevel"/>
    <w:tmpl w:val="264FFB72"/>
    <w:lvl w:ilvl="0" w:tentative="0">
      <w:start w:val="3"/>
      <w:numFmt w:val="chineseCounting"/>
      <w:suff w:val="nothing"/>
      <w:lvlText w:val="（%1）"/>
      <w:lvlJc w:val="left"/>
      <w:rPr>
        <w:rFonts w:hint="eastAsia"/>
      </w:rPr>
    </w:lvl>
  </w:abstractNum>
  <w:abstractNum w:abstractNumId="1">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0F404E"/>
    <w:rsid w:val="01D2288C"/>
    <w:rsid w:val="200F404E"/>
    <w:rsid w:val="2F13796C"/>
    <w:rsid w:val="6F716E46"/>
    <w:rsid w:val="717944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Calibri"/>
      <w:kern w:val="2"/>
      <w:sz w:val="21"/>
      <w:szCs w:val="21"/>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eastAsia="仿宋" w:cs="Arial Unicode MS"/>
      <w:kern w:val="0"/>
      <w:sz w:val="32"/>
      <w:szCs w:val="21"/>
      <w:lang w:bidi="bo-CN"/>
    </w:rPr>
  </w:style>
  <w:style w:type="paragraph" w:styleId="3">
    <w:name w:val="Body Text Indent"/>
    <w:basedOn w:val="1"/>
    <w:next w:val="4"/>
    <w:unhideWhenUsed/>
    <w:qFormat/>
    <w:uiPriority w:val="99"/>
    <w:pPr>
      <w:spacing w:after="120"/>
      <w:ind w:left="420" w:leftChars="200"/>
    </w:pPr>
  </w:style>
  <w:style w:type="paragraph" w:styleId="4">
    <w:name w:val="Body Text First Indent 2"/>
    <w:basedOn w:val="3"/>
    <w:qFormat/>
    <w:uiPriority w:val="0"/>
    <w:pPr>
      <w:spacing w:after="0" w:line="600" w:lineRule="atLeast"/>
      <w:ind w:left="0" w:leftChars="0" w:firstLine="420" w:firstLineChars="200"/>
    </w:pPr>
    <w:rPr>
      <w:rFonts w:cs="Times New Roman"/>
      <w:sz w:val="32"/>
      <w:szCs w:val="24"/>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table of figures"/>
    <w:basedOn w:val="1"/>
    <w:next w:val="1"/>
    <w:unhideWhenUsed/>
    <w:qFormat/>
    <w:uiPriority w:val="0"/>
    <w:pPr>
      <w:ind w:left="200" w:leftChars="200" w:hanging="200" w:hangingChars="200"/>
    </w:pPr>
    <w:rPr>
      <w:rFonts w:cs="Times New Roman"/>
      <w:szCs w:val="24"/>
    </w:rPr>
  </w:style>
  <w:style w:type="paragraph" w:customStyle="1" w:styleId="9">
    <w:name w:val="List Paragraph"/>
    <w:basedOn w:val="1"/>
    <w:qFormat/>
    <w:uiPriority w:val="99"/>
    <w:pPr>
      <w:ind w:firstLine="420" w:firstLineChars="200"/>
    </w:pPr>
  </w:style>
  <w:style w:type="paragraph" w:customStyle="1" w:styleId="10">
    <w:name w:val="正文文本1"/>
    <w:basedOn w:val="1"/>
    <w:qFormat/>
    <w:uiPriority w:val="99"/>
    <w:pPr>
      <w:spacing w:before="93"/>
    </w:pPr>
    <w:rPr>
      <w:rFonts w:ascii="仿宋_GB2312" w:hAnsi="仿宋_GB2312" w:eastAsia="仿宋_GB2312" w:cs="仿宋_GB2312"/>
      <w:kern w:val="0"/>
      <w:sz w:val="30"/>
      <w:szCs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2375</Words>
  <Characters>2618</Characters>
  <Lines>0</Lines>
  <Paragraphs>0</Paragraphs>
  <TotalTime>1</TotalTime>
  <ScaleCrop>false</ScaleCrop>
  <LinksUpToDate>false</LinksUpToDate>
  <CharactersWithSpaces>2723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2026-07-30T09:02:00Z</dcterms:created>
  <dc:creator>so what</dc:creator>
  <cp:lastModifiedBy>so what</cp:lastModifiedBy>
  <dcterms:modified xsi:type="dcterms:W3CDTF">2026-08-05T06:31:54Z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BA109DCA24594C41B05121CD3C374758_11</vt:lpwstr>
  </property>
  <property fmtid="{D5CDD505-2E9C-101B-9397-08002B2CF9AE}" pid="4" name="KSOTemplateDocerSaveRecord">
    <vt:lpwstr>eyJoZGlkIjoiNjViZjZhZWRhMDQ2NjJjYzkzMGQwNGRlNDg0YzU4YTYiLCJ1c2VySWQiOiIxMzY3OTY3ODQzIn0=</vt:lpwstr>
  </property>
</Properties>
</file>