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FC431">
      <w:pPr>
        <w:rPr>
          <w:rFonts w:hint="eastAsia"/>
        </w:rPr>
      </w:pPr>
    </w:p>
    <w:p w14:paraId="047B949E">
      <w:pPr>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sz w:val="44"/>
          <w:szCs w:val="44"/>
        </w:rPr>
        <w:t>阿坝州壤塘县2023年度茸木达乡人民政府部门决算公开</w:t>
      </w:r>
    </w:p>
    <w:p w14:paraId="58CADDF6">
      <w:pPr>
        <w:jc w:val="center"/>
        <w:rPr>
          <w:rFonts w:hint="eastAsia"/>
        </w:rPr>
      </w:pPr>
      <w:r>
        <w:rPr>
          <w:rFonts w:hint="eastAsia" w:ascii="方正小标宋简体" w:hAnsi="方正小标宋简体" w:eastAsia="方正小标宋简体" w:cs="方正小标宋简体"/>
        </w:rPr>
        <w:t>目录</w:t>
      </w:r>
    </w:p>
    <w:p w14:paraId="350EC109">
      <w:pPr>
        <w:rPr>
          <w:rFonts w:hint="eastAsia" w:ascii="微软雅黑" w:hAnsi="微软雅黑" w:eastAsia="微软雅黑" w:cs="微软雅黑"/>
        </w:rPr>
      </w:pPr>
      <w:r>
        <w:rPr>
          <w:rFonts w:hint="eastAsia" w:ascii="微软雅黑" w:hAnsi="微软雅黑" w:eastAsia="微软雅黑" w:cs="微软雅黑"/>
        </w:rPr>
        <w:t>第一部分 部门概况</w:t>
      </w:r>
    </w:p>
    <w:p w14:paraId="2BF62F3D">
      <w:pPr>
        <w:rPr>
          <w:rFonts w:hint="eastAsia"/>
        </w:rPr>
      </w:pPr>
      <w:r>
        <w:rPr>
          <w:rFonts w:hint="eastAsia"/>
        </w:rPr>
        <w:t>一、部门职责</w:t>
      </w:r>
    </w:p>
    <w:p w14:paraId="14F9B964">
      <w:pPr>
        <w:rPr>
          <w:rFonts w:hint="eastAsia"/>
        </w:rPr>
      </w:pPr>
      <w:r>
        <w:rPr>
          <w:rFonts w:hint="eastAsia"/>
        </w:rPr>
        <w:t>二、机构设置</w:t>
      </w:r>
    </w:p>
    <w:p w14:paraId="489CE656">
      <w:pPr>
        <w:rPr>
          <w:rFonts w:hint="eastAsia" w:ascii="黑体" w:hAnsi="黑体" w:eastAsia="黑体" w:cs="黑体"/>
        </w:rPr>
      </w:pPr>
      <w:r>
        <w:rPr>
          <w:rFonts w:hint="eastAsia" w:ascii="黑体" w:hAnsi="黑体" w:eastAsia="黑体" w:cs="黑体"/>
        </w:rPr>
        <w:t>第二部分 2025年度部门决算情况说明</w:t>
      </w:r>
    </w:p>
    <w:p w14:paraId="61720EDB">
      <w:pPr>
        <w:rPr>
          <w:rFonts w:hint="eastAsia"/>
        </w:rPr>
      </w:pPr>
      <w:r>
        <w:rPr>
          <w:rFonts w:hint="eastAsia"/>
        </w:rPr>
        <w:t>一、收入支出决算总体情况说明</w:t>
      </w:r>
    </w:p>
    <w:p w14:paraId="1E0AD58C">
      <w:pPr>
        <w:rPr>
          <w:rFonts w:hint="eastAsia"/>
        </w:rPr>
      </w:pPr>
      <w:r>
        <w:rPr>
          <w:rFonts w:hint="eastAsia"/>
        </w:rPr>
        <w:t>二、收入决算情况说明</w:t>
      </w:r>
    </w:p>
    <w:p w14:paraId="34491208">
      <w:pPr>
        <w:rPr>
          <w:rFonts w:hint="eastAsia"/>
        </w:rPr>
      </w:pPr>
      <w:r>
        <w:rPr>
          <w:rFonts w:hint="eastAsia"/>
        </w:rPr>
        <w:t>三、支出决算情况说明</w:t>
      </w:r>
    </w:p>
    <w:p w14:paraId="6E630BD0">
      <w:pPr>
        <w:rPr>
          <w:rFonts w:hint="eastAsia"/>
        </w:rPr>
      </w:pPr>
      <w:r>
        <w:rPr>
          <w:rFonts w:hint="eastAsia"/>
        </w:rPr>
        <w:t>四、财政拨款收入支出决算总体情况说明</w:t>
      </w:r>
    </w:p>
    <w:p w14:paraId="2E05E146">
      <w:pPr>
        <w:rPr>
          <w:rFonts w:hint="eastAsia"/>
        </w:rPr>
      </w:pPr>
      <w:r>
        <w:rPr>
          <w:rFonts w:hint="eastAsia"/>
        </w:rPr>
        <w:t>五、一般公共预算财政拨款支出决算情况说明</w:t>
      </w:r>
    </w:p>
    <w:p w14:paraId="5D388549">
      <w:pPr>
        <w:rPr>
          <w:rFonts w:hint="eastAsia"/>
        </w:rPr>
      </w:pPr>
      <w:r>
        <w:rPr>
          <w:rFonts w:hint="eastAsia"/>
        </w:rPr>
        <w:t>六、一般公共预算财政拨款基本支出决算情况说明</w:t>
      </w:r>
    </w:p>
    <w:p w14:paraId="372BB731">
      <w:pPr>
        <w:rPr>
          <w:rFonts w:hint="eastAsia"/>
        </w:rPr>
      </w:pPr>
      <w:r>
        <w:rPr>
          <w:rFonts w:hint="eastAsia"/>
        </w:rPr>
        <w:t>七、财政拨款“三公”经费支出决算情况说明</w:t>
      </w:r>
    </w:p>
    <w:p w14:paraId="7C7F7FA5">
      <w:pPr>
        <w:rPr>
          <w:rFonts w:hint="eastAsia"/>
        </w:rPr>
      </w:pPr>
      <w:r>
        <w:rPr>
          <w:rFonts w:hint="eastAsia"/>
        </w:rPr>
        <w:t>八、政府性基金预算支出决算情况说明</w:t>
      </w:r>
    </w:p>
    <w:p w14:paraId="6BF13FCF">
      <w:pPr>
        <w:rPr>
          <w:rFonts w:hint="eastAsia"/>
        </w:rPr>
      </w:pPr>
      <w:r>
        <w:rPr>
          <w:rFonts w:hint="eastAsia"/>
        </w:rPr>
        <w:t>九、国有资本经营预算支出决算情况说明</w:t>
      </w:r>
    </w:p>
    <w:p w14:paraId="76243ADB">
      <w:pPr>
        <w:rPr>
          <w:rFonts w:hint="eastAsia"/>
        </w:rPr>
      </w:pPr>
      <w:r>
        <w:rPr>
          <w:rFonts w:hint="eastAsia"/>
        </w:rPr>
        <w:t>十、其他重要事项的情况说明</w:t>
      </w:r>
      <w:r>
        <w:rPr>
          <w:rFonts w:hint="eastAsia"/>
        </w:rPr>
        <w:tab/>
      </w:r>
    </w:p>
    <w:p w14:paraId="05D5A663">
      <w:pPr>
        <w:rPr>
          <w:rFonts w:hint="eastAsia" w:ascii="黑体" w:hAnsi="黑体" w:eastAsia="黑体" w:cs="黑体"/>
        </w:rPr>
      </w:pPr>
      <w:r>
        <w:rPr>
          <w:rFonts w:hint="eastAsia" w:ascii="黑体" w:hAnsi="黑体" w:eastAsia="黑体" w:cs="黑体"/>
        </w:rPr>
        <w:t>第三部分 名词解释</w:t>
      </w:r>
    </w:p>
    <w:p w14:paraId="040D8AA1">
      <w:pPr>
        <w:rPr>
          <w:rFonts w:hint="eastAsia" w:ascii="黑体" w:hAnsi="黑体" w:eastAsia="黑体" w:cs="黑体"/>
        </w:rPr>
      </w:pPr>
      <w:r>
        <w:rPr>
          <w:rFonts w:hint="eastAsia" w:ascii="黑体" w:hAnsi="黑体" w:eastAsia="黑体" w:cs="黑体"/>
        </w:rPr>
        <w:t>第四部分 附件</w:t>
      </w:r>
    </w:p>
    <w:p w14:paraId="35D45624">
      <w:pPr>
        <w:pStyle w:val="2"/>
        <w:rPr>
          <w:rFonts w:hint="eastAsia" w:ascii="黑体" w:hAnsi="黑体" w:eastAsia="黑体" w:cs="黑体"/>
        </w:rPr>
      </w:pPr>
    </w:p>
    <w:p w14:paraId="67160E61">
      <w:pPr>
        <w:pStyle w:val="2"/>
        <w:rPr>
          <w:rFonts w:hint="eastAsia" w:ascii="黑体" w:hAnsi="黑体" w:eastAsia="黑体" w:cs="黑体"/>
        </w:rPr>
      </w:pPr>
    </w:p>
    <w:p w14:paraId="7F2AE814">
      <w:pPr>
        <w:pStyle w:val="2"/>
        <w:rPr>
          <w:rFonts w:hint="eastAsia" w:ascii="黑体" w:hAnsi="黑体" w:eastAsia="黑体" w:cs="黑体"/>
        </w:rPr>
      </w:pPr>
    </w:p>
    <w:p w14:paraId="2D148239">
      <w:pPr>
        <w:pStyle w:val="2"/>
        <w:rPr>
          <w:rFonts w:hint="eastAsia" w:ascii="黑体" w:hAnsi="黑体" w:eastAsia="黑体" w:cs="黑体"/>
        </w:rPr>
      </w:pPr>
    </w:p>
    <w:p w14:paraId="394225FF">
      <w:pPr>
        <w:rPr>
          <w:rFonts w:hint="eastAsia" w:ascii="黑体" w:hAnsi="黑体" w:eastAsia="黑体" w:cs="黑体"/>
        </w:rPr>
      </w:pPr>
      <w:r>
        <w:rPr>
          <w:rFonts w:hint="eastAsia" w:ascii="黑体" w:hAnsi="黑体" w:eastAsia="黑体" w:cs="黑体"/>
        </w:rPr>
        <w:t>第五部分 附表</w:t>
      </w:r>
    </w:p>
    <w:p w14:paraId="02694750">
      <w:pPr>
        <w:rPr>
          <w:rFonts w:hint="eastAsia"/>
        </w:rPr>
      </w:pPr>
      <w:r>
        <w:rPr>
          <w:rFonts w:hint="eastAsia"/>
        </w:rPr>
        <w:t>一、收入支出决算总表</w:t>
      </w:r>
    </w:p>
    <w:p w14:paraId="79B64454">
      <w:pPr>
        <w:rPr>
          <w:rFonts w:hint="eastAsia"/>
        </w:rPr>
      </w:pPr>
      <w:r>
        <w:rPr>
          <w:rFonts w:hint="eastAsia"/>
        </w:rPr>
        <w:t>二、收入决算表</w:t>
      </w:r>
    </w:p>
    <w:p w14:paraId="433128F0">
      <w:pPr>
        <w:rPr>
          <w:rFonts w:hint="eastAsia"/>
        </w:rPr>
      </w:pPr>
      <w:r>
        <w:rPr>
          <w:rFonts w:hint="eastAsia"/>
        </w:rPr>
        <w:t>三、支出决算表</w:t>
      </w:r>
    </w:p>
    <w:p w14:paraId="2BAD327A">
      <w:pPr>
        <w:rPr>
          <w:rFonts w:hint="eastAsia"/>
        </w:rPr>
      </w:pPr>
      <w:r>
        <w:rPr>
          <w:rFonts w:hint="eastAsia"/>
        </w:rPr>
        <w:t>四、财政拨款收入支出决算总表</w:t>
      </w:r>
    </w:p>
    <w:p w14:paraId="03DAD61E">
      <w:pPr>
        <w:rPr>
          <w:rFonts w:hint="eastAsia"/>
        </w:rPr>
      </w:pPr>
      <w:r>
        <w:rPr>
          <w:rFonts w:hint="eastAsia"/>
        </w:rPr>
        <w:t>五、财政拨款支出决算明细表</w:t>
      </w:r>
    </w:p>
    <w:p w14:paraId="1701D902">
      <w:pPr>
        <w:rPr>
          <w:rFonts w:hint="eastAsia"/>
        </w:rPr>
      </w:pPr>
      <w:r>
        <w:rPr>
          <w:rFonts w:hint="eastAsia"/>
        </w:rPr>
        <w:t>六、一般公共预算财政拨款支出决算表</w:t>
      </w:r>
    </w:p>
    <w:p w14:paraId="0F37BDE6">
      <w:pPr>
        <w:rPr>
          <w:rFonts w:hint="eastAsia"/>
        </w:rPr>
      </w:pPr>
      <w:r>
        <w:rPr>
          <w:rFonts w:hint="eastAsia"/>
        </w:rPr>
        <w:t>七、一般公共预算财政拨款支出决算明细表</w:t>
      </w:r>
    </w:p>
    <w:p w14:paraId="10C3ADF1">
      <w:pPr>
        <w:rPr>
          <w:rFonts w:hint="eastAsia"/>
        </w:rPr>
      </w:pPr>
      <w:r>
        <w:rPr>
          <w:rFonts w:hint="eastAsia"/>
        </w:rPr>
        <w:t>八、一般公共预算财政拨款基本支出决算明细表</w:t>
      </w:r>
    </w:p>
    <w:p w14:paraId="0D0F8EEE">
      <w:pPr>
        <w:rPr>
          <w:rFonts w:hint="eastAsia"/>
        </w:rPr>
      </w:pPr>
      <w:r>
        <w:rPr>
          <w:rFonts w:hint="eastAsia"/>
        </w:rPr>
        <w:t>九、一般公共预算财政拨款项目支出决算表</w:t>
      </w:r>
    </w:p>
    <w:p w14:paraId="29E88F67">
      <w:pPr>
        <w:rPr>
          <w:rFonts w:hint="eastAsia"/>
        </w:rPr>
      </w:pPr>
      <w:r>
        <w:rPr>
          <w:rFonts w:hint="eastAsia"/>
        </w:rPr>
        <w:t>十、政府性基金预算财政拨款收入支出决算表</w:t>
      </w:r>
    </w:p>
    <w:p w14:paraId="5FA688A3">
      <w:pPr>
        <w:rPr>
          <w:rFonts w:hint="eastAsia"/>
        </w:rPr>
      </w:pPr>
      <w:r>
        <w:rPr>
          <w:rFonts w:hint="eastAsia"/>
        </w:rPr>
        <w:t>十一、国有资本经营预算财政拨款收入支出决算表</w:t>
      </w:r>
    </w:p>
    <w:p w14:paraId="2FA89465">
      <w:pPr>
        <w:rPr>
          <w:rFonts w:hint="eastAsia"/>
        </w:rPr>
      </w:pPr>
      <w:r>
        <w:rPr>
          <w:rFonts w:hint="eastAsia"/>
        </w:rPr>
        <w:t>十二、国有资本经营预算财政拨款支出决算表</w:t>
      </w:r>
    </w:p>
    <w:p w14:paraId="250A3106">
      <w:pPr>
        <w:rPr>
          <w:rFonts w:hint="eastAsia"/>
        </w:rPr>
      </w:pPr>
      <w:r>
        <w:rPr>
          <w:rFonts w:hint="eastAsia"/>
        </w:rPr>
        <w:t>十三、财政拨款“三公”经费支出决算表</w:t>
      </w:r>
    </w:p>
    <w:p w14:paraId="701A9C8D">
      <w:pPr>
        <w:rPr>
          <w:rFonts w:hint="eastAsia"/>
        </w:rPr>
      </w:pPr>
      <w:r>
        <w:rPr>
          <w:rFonts w:hint="eastAsia"/>
        </w:rPr>
        <w:t>十四、部门预算项目支出绩效自评表</w:t>
      </w:r>
    </w:p>
    <w:p w14:paraId="5E4E4E08">
      <w:pPr>
        <w:rPr>
          <w:rFonts w:hint="eastAsia"/>
        </w:rPr>
      </w:pPr>
      <w:r>
        <w:rPr>
          <w:rFonts w:hint="eastAsia"/>
        </w:rPr>
        <w:t>(注：请部门根据实际注明页码)</w:t>
      </w:r>
    </w:p>
    <w:p w14:paraId="0CD1B4C9">
      <w:pPr>
        <w:rPr>
          <w:rFonts w:hint="eastAsia"/>
        </w:rPr>
      </w:pPr>
    </w:p>
    <w:p w14:paraId="64791D1A">
      <w:pPr>
        <w:rPr>
          <w:rFonts w:hint="eastAsia"/>
        </w:rPr>
      </w:pPr>
    </w:p>
    <w:p w14:paraId="35BD870A">
      <w:pPr>
        <w:rPr>
          <w:rFonts w:hint="eastAsia"/>
        </w:rPr>
      </w:pPr>
    </w:p>
    <w:p w14:paraId="044E84D4">
      <w:pPr>
        <w:rPr>
          <w:rFonts w:hint="eastAsia"/>
        </w:rPr>
      </w:pPr>
    </w:p>
    <w:p w14:paraId="47FB0F21">
      <w:pPr>
        <w:rPr>
          <w:rFonts w:hint="eastAsia"/>
        </w:rPr>
      </w:pPr>
    </w:p>
    <w:p w14:paraId="2959D457">
      <w:pPr>
        <w:rPr>
          <w:rFonts w:hint="eastAsia"/>
        </w:rPr>
      </w:pPr>
    </w:p>
    <w:p w14:paraId="5494B7E3">
      <w:pPr>
        <w:ind w:left="0" w:leftChars="0" w:firstLine="0" w:firstLineChars="0"/>
        <w:rPr>
          <w:rFonts w:hint="eastAsia"/>
        </w:rPr>
      </w:pPr>
      <w:bookmarkStart w:id="0" w:name="_GoBack"/>
      <w:bookmarkEnd w:id="0"/>
    </w:p>
    <w:p w14:paraId="22210150">
      <w:pPr>
        <w:rPr>
          <w:rFonts w:hint="eastAsia"/>
        </w:rPr>
      </w:pPr>
    </w:p>
    <w:p w14:paraId="7543F34E">
      <w:pPr>
        <w:rPr>
          <w:rFonts w:hint="eastAsia" w:ascii="黑体" w:hAnsi="黑体" w:eastAsia="黑体" w:cs="黑体"/>
        </w:rPr>
      </w:pPr>
      <w:r>
        <w:rPr>
          <w:rFonts w:hint="eastAsia" w:ascii="黑体" w:hAnsi="黑体" w:eastAsia="黑体" w:cs="黑体"/>
        </w:rPr>
        <w:t>第一部分 部门概况</w:t>
      </w:r>
    </w:p>
    <w:p w14:paraId="6770E825">
      <w:pPr>
        <w:rPr>
          <w:rFonts w:hint="eastAsia" w:ascii="黑体" w:hAnsi="黑体" w:eastAsia="黑体" w:cs="黑体"/>
        </w:rPr>
      </w:pPr>
      <w:r>
        <w:rPr>
          <w:rFonts w:hint="eastAsia" w:ascii="黑体" w:hAnsi="黑体" w:eastAsia="黑体" w:cs="黑体"/>
        </w:rPr>
        <w:t>一、部门职责</w:t>
      </w:r>
    </w:p>
    <w:p w14:paraId="28F7931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1</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主要职能执行本级人民代表大会的决议和上级国家行政机关的决定和命令，在辖区内发布决定和命令，带领全</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rPr>
        <w:t>干部群众按照年初制定的工作计划，把每项工作抓紧抓实，实现社会经济协调发展，创造稳定和谐的发展局面。</w:t>
      </w:r>
    </w:p>
    <w:p w14:paraId="33E449A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2</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按照国家宪法和法律，行使对本辖区内的行政及民政事务的管理</w:t>
      </w:r>
      <w:r>
        <w:rPr>
          <w:rFonts w:hint="eastAsia" w:ascii="仿宋_GB2312" w:eastAsia="仿宋_GB2312" w:cs="Times New Roman"/>
          <w:sz w:val="32"/>
          <w:szCs w:val="32"/>
          <w:lang w:eastAsia="zh-CN"/>
        </w:rPr>
        <w:t>，</w:t>
      </w:r>
      <w:r>
        <w:rPr>
          <w:rFonts w:hint="default" w:ascii="仿宋_GB2312" w:eastAsia="仿宋_GB2312" w:cs="Times New Roman"/>
          <w:sz w:val="32"/>
          <w:szCs w:val="32"/>
        </w:rPr>
        <w:t>推进计划生育工作</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18486D1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cs="Times New Roman"/>
          <w:sz w:val="32"/>
          <w:szCs w:val="32"/>
          <w:lang w:eastAsia="zh-CN"/>
        </w:rPr>
      </w:pPr>
      <w:r>
        <w:rPr>
          <w:rFonts w:hint="default" w:ascii="仿宋_GB2312" w:eastAsia="仿宋_GB2312" w:cs="Times New Roman"/>
          <w:sz w:val="32"/>
          <w:szCs w:val="32"/>
        </w:rPr>
        <w:t>3</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制定本</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rPr>
        <w:t>的经济和社会发展规划，并组织实施；组织和领导行政经济体制改革，协调本行政区域村民委员会与各经济组织之间的关系</w:t>
      </w:r>
      <w:r>
        <w:rPr>
          <w:rFonts w:hint="eastAsia" w:ascii="仿宋_GB2312" w:eastAsia="仿宋_GB2312" w:cs="Times New Roman"/>
          <w:sz w:val="32"/>
          <w:szCs w:val="32"/>
          <w:lang w:eastAsia="zh-CN"/>
        </w:rPr>
        <w:t>。</w:t>
      </w:r>
    </w:p>
    <w:p w14:paraId="6E0B995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4</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组织规划</w:t>
      </w:r>
      <w:r>
        <w:rPr>
          <w:rFonts w:hint="eastAsia" w:ascii="仿宋_GB2312" w:eastAsia="仿宋_GB2312" w:cs="Times New Roman"/>
          <w:sz w:val="32"/>
          <w:szCs w:val="32"/>
          <w:lang w:eastAsia="zh-CN"/>
        </w:rPr>
        <w:t>乡</w:t>
      </w:r>
      <w:r>
        <w:rPr>
          <w:rFonts w:hint="default" w:ascii="仿宋_GB2312" w:eastAsia="仿宋_GB2312" w:cs="Times New Roman"/>
          <w:sz w:val="32"/>
          <w:szCs w:val="32"/>
        </w:rPr>
        <w:t>财政管理的各项收入，管理</w:t>
      </w:r>
      <w:r>
        <w:rPr>
          <w:rFonts w:hint="eastAsia" w:ascii="仿宋_GB2312" w:eastAsia="仿宋_GB2312" w:cs="Times New Roman"/>
          <w:sz w:val="32"/>
          <w:szCs w:val="32"/>
          <w:lang w:eastAsia="zh-CN"/>
        </w:rPr>
        <w:t>乡</w:t>
      </w:r>
      <w:r>
        <w:rPr>
          <w:rFonts w:hint="default" w:ascii="仿宋_GB2312" w:eastAsia="仿宋_GB2312" w:cs="Times New Roman"/>
          <w:sz w:val="32"/>
          <w:szCs w:val="32"/>
        </w:rPr>
        <w:t>范围内的各项财政支出和行政筹集、分配和使用的资金</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2974665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5</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负责管理对外经济技术交流与合作，开展经济信息预测工作，推广科学技术成果</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7CDE06E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6</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对本</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rPr>
        <w:t>各项社会建设进行宏观管理，抓好环境卫生整治工作</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596C908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cs="Times New Roman"/>
          <w:sz w:val="32"/>
          <w:szCs w:val="32"/>
          <w:lang w:eastAsia="zh-CN"/>
        </w:rPr>
      </w:pPr>
      <w:r>
        <w:rPr>
          <w:rFonts w:hint="default" w:ascii="仿宋_GB2312" w:eastAsia="仿宋_GB2312" w:cs="Times New Roman"/>
          <w:sz w:val="32"/>
          <w:szCs w:val="32"/>
        </w:rPr>
        <w:t>7</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加强基本农田水利建设和道路、桥梁等的建设，加强土地的统一管理、统筹规划，协助有关部门做好地质灾害的防治工作</w:t>
      </w:r>
      <w:r>
        <w:rPr>
          <w:rFonts w:hint="eastAsia" w:ascii="仿宋_GB2312" w:eastAsia="仿宋_GB2312" w:cs="Times New Roman"/>
          <w:sz w:val="32"/>
          <w:szCs w:val="32"/>
          <w:lang w:eastAsia="zh-CN"/>
        </w:rPr>
        <w:t>。</w:t>
      </w:r>
    </w:p>
    <w:p w14:paraId="20CA0B5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8</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负责农村土地承包管理、农民负担监督管理、村集体资产财务管理，开展农技培训</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5AEC2D4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cs="Times New Roman"/>
          <w:sz w:val="32"/>
          <w:szCs w:val="32"/>
          <w:lang w:eastAsia="zh-CN"/>
        </w:rPr>
      </w:pPr>
      <w:r>
        <w:rPr>
          <w:rFonts w:hint="default" w:ascii="仿宋_GB2312" w:eastAsia="仿宋_GB2312" w:cs="Times New Roman"/>
          <w:sz w:val="32"/>
          <w:szCs w:val="32"/>
        </w:rPr>
        <w:t>9</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组织和开展社会主义精神文明活动，正确调解和处理</w:t>
      </w:r>
      <w:r>
        <w:rPr>
          <w:rFonts w:hint="eastAsia" w:ascii="仿宋_GB2312" w:eastAsia="仿宋_GB2312" w:cs="Times New Roman"/>
          <w:sz w:val="32"/>
          <w:szCs w:val="32"/>
          <w:lang w:val="en-US" w:eastAsia="zh-CN"/>
        </w:rPr>
        <w:t>人民</w:t>
      </w:r>
      <w:r>
        <w:rPr>
          <w:rFonts w:hint="default" w:ascii="仿宋_GB2312" w:eastAsia="仿宋_GB2312" w:cs="Times New Roman"/>
          <w:sz w:val="32"/>
          <w:szCs w:val="32"/>
        </w:rPr>
        <w:t>矛盾，认真调解民事纠纷</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1D70D08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10</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充分发挥行政职能，组织和开展本</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rPr>
        <w:t>的文化、教育、卫生、民政和科技等工作</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2E42F9C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11</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根据经济发展需要，建立经济、技术咨询服务机构，向经济组织和农牧民提供全面服务。 </w:t>
      </w:r>
    </w:p>
    <w:p w14:paraId="1197F1A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cs="Times New Roman"/>
          <w:sz w:val="32"/>
          <w:szCs w:val="32"/>
        </w:rPr>
      </w:pPr>
      <w:r>
        <w:rPr>
          <w:rFonts w:hint="default" w:ascii="仿宋_GB2312" w:eastAsia="仿宋_GB2312" w:cs="Times New Roman"/>
          <w:sz w:val="32"/>
          <w:szCs w:val="32"/>
          <w:lang w:val="en-US" w:eastAsia="zh-CN"/>
        </w:rPr>
        <w:t>12</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lang w:val="en-US" w:eastAsia="zh-CN"/>
        </w:rPr>
        <w:t>在</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lang w:val="en-US" w:eastAsia="zh-CN"/>
        </w:rPr>
        <w:t>党委的领导下做好民族宗教、寺庙管理等工作。</w:t>
      </w:r>
    </w:p>
    <w:p w14:paraId="0653BE2B">
      <w:pPr>
        <w:ind w:left="0" w:leftChars="0" w:firstLine="0" w:firstLineChars="0"/>
        <w:rPr>
          <w:rFonts w:hint="eastAsia" w:ascii="黑体" w:hAnsi="黑体" w:eastAsia="黑体" w:cs="黑体"/>
        </w:rPr>
      </w:pPr>
      <w:r>
        <w:rPr>
          <w:rFonts w:hint="eastAsia" w:ascii="黑体" w:hAnsi="黑体" w:eastAsia="黑体" w:cs="黑体"/>
        </w:rPr>
        <w:t>二、机构设置</w:t>
      </w:r>
    </w:p>
    <w:p w14:paraId="360D123A">
      <w:pPr>
        <w:rPr>
          <w:rFonts w:hint="eastAsia"/>
        </w:rPr>
      </w:pPr>
      <w:r>
        <w:rPr>
          <w:rFonts w:hint="eastAsia"/>
        </w:rPr>
        <w:t>壤塘县茸木达乡人民政府属一级预算单位，无下属二级单位。截至2023年末，我单位编制情况为总编制数 37 人，其中行政编22人，事业编13人，机关工勤事业编制2人。年末实有人数情况为2023年底在职人数35人，其中行政人数21人，事业人数12人，机关工勤1人，事业工勤1人。</w:t>
      </w:r>
    </w:p>
    <w:p w14:paraId="3BD8041F">
      <w:pPr>
        <w:rPr>
          <w:rFonts w:hint="eastAsia" w:ascii="黑体" w:hAnsi="黑体" w:eastAsia="黑体" w:cs="黑体"/>
        </w:rPr>
      </w:pPr>
      <w:r>
        <w:rPr>
          <w:rFonts w:hint="eastAsia" w:ascii="黑体" w:hAnsi="黑体" w:eastAsia="黑体" w:cs="黑体"/>
        </w:rPr>
        <w:t>第二部分 2023年度部门决算情况说明</w:t>
      </w:r>
    </w:p>
    <w:p w14:paraId="51AC874C">
      <w:pPr>
        <w:rPr>
          <w:rFonts w:hint="eastAsia" w:ascii="黑体" w:hAnsi="黑体" w:eastAsia="黑体" w:cs="黑体"/>
        </w:rPr>
      </w:pPr>
      <w:r>
        <w:rPr>
          <w:rFonts w:hint="eastAsia" w:ascii="黑体" w:hAnsi="黑体" w:eastAsia="黑体" w:cs="黑体"/>
        </w:rPr>
        <w:t>一、收入支出决算总体情况说明</w:t>
      </w:r>
    </w:p>
    <w:p w14:paraId="6F84A1C9">
      <w:pPr>
        <w:rPr>
          <w:rFonts w:hint="eastAsia"/>
        </w:rPr>
      </w:pPr>
      <w:r>
        <w:rPr>
          <w:rFonts w:hint="eastAsia"/>
        </w:rPr>
        <w:t>2023年度收1599.22万元、支1599.22万元、年末结转和结余0万元。与2022年度相比，收减少703.98万元，减少35.2%、支减少703.98万元，减少35.2%。主要变动原因五险、捐赠资金、项目支出等减少。</w:t>
      </w:r>
    </w:p>
    <w:p w14:paraId="1E516627">
      <w:pPr>
        <w:rPr>
          <w:rFonts w:hint="eastAsia" w:ascii="黑体" w:hAnsi="黑体" w:eastAsia="黑体" w:cs="黑体"/>
        </w:rPr>
      </w:pPr>
      <w:r>
        <w:rPr>
          <w:rFonts w:hint="eastAsia" w:ascii="黑体" w:hAnsi="黑体" w:eastAsia="黑体" w:cs="黑体"/>
        </w:rPr>
        <w:t>二、收入决算情况说明</w:t>
      </w:r>
    </w:p>
    <w:p w14:paraId="60D2A378">
      <w:pPr>
        <w:rPr>
          <w:rFonts w:hint="eastAsia"/>
        </w:rPr>
      </w:pPr>
      <w:r>
        <w:rPr>
          <w:rFonts w:hint="eastAsia"/>
        </w:rPr>
        <w:t>2023年度本年收入合计1599.22万元，其中：一般公共预算财政拨款收入1599.22万元，占100%；政府性基金预算财政拨款收入0万元，占0%；国有资本经营预算财政拨款收入0万元，占0%；上级补助收入0万元，占0%；事业收入0万元，占0%；经营收入0万元，占0%；附属单位上缴收入0万元，占0%；其他收入0万元，占0%。</w:t>
      </w:r>
    </w:p>
    <w:p w14:paraId="523C9727">
      <w:pPr>
        <w:rPr>
          <w:rFonts w:hint="eastAsia" w:ascii="黑体" w:hAnsi="黑体" w:eastAsia="黑体" w:cs="黑体"/>
        </w:rPr>
      </w:pPr>
      <w:r>
        <w:rPr>
          <w:rFonts w:hint="eastAsia" w:ascii="黑体" w:hAnsi="黑体" w:eastAsia="黑体" w:cs="黑体"/>
        </w:rPr>
        <w:t>三、支出决算情况说明</w:t>
      </w:r>
    </w:p>
    <w:p w14:paraId="0CC14A0F">
      <w:pPr>
        <w:rPr>
          <w:rFonts w:hint="eastAsia"/>
        </w:rPr>
      </w:pPr>
      <w:r>
        <w:rPr>
          <w:rFonts w:hint="eastAsia"/>
        </w:rPr>
        <w:t>2023年度本年支出合计1599.22万元，其中：基本支出791.02万元，占49%；项目支出808.20万元，占51%；上缴上级支出0万元，占0%；经营支出0万元，占0%；对附属单位补助支出0万元，占0%。</w:t>
      </w:r>
    </w:p>
    <w:p w14:paraId="003EE048">
      <w:pPr>
        <w:rPr>
          <w:rFonts w:hint="eastAsia" w:ascii="黑体" w:hAnsi="黑体" w:eastAsia="黑体" w:cs="黑体"/>
        </w:rPr>
      </w:pPr>
      <w:r>
        <w:rPr>
          <w:rFonts w:hint="eastAsia" w:ascii="黑体" w:hAnsi="黑体" w:eastAsia="黑体" w:cs="黑体"/>
        </w:rPr>
        <w:t>四、财政拨款收入支出决算总体情况说明</w:t>
      </w:r>
    </w:p>
    <w:p w14:paraId="09D937FA">
      <w:pPr>
        <w:rPr>
          <w:rFonts w:hint="eastAsia"/>
        </w:rPr>
      </w:pPr>
      <w:r>
        <w:rPr>
          <w:rFonts w:hint="eastAsia"/>
        </w:rPr>
        <w:t>2023年度财政拨款收、支总计均为1599.22万元。与2022年度相比，财政拨款收、支总计各减少286.66万元，减少15%。主要变动原因五险、项目减少。</w:t>
      </w:r>
    </w:p>
    <w:p w14:paraId="7353C35E">
      <w:pPr>
        <w:rPr>
          <w:rFonts w:hint="eastAsia" w:ascii="黑体" w:hAnsi="黑体" w:eastAsia="黑体" w:cs="黑体"/>
        </w:rPr>
      </w:pPr>
      <w:r>
        <w:rPr>
          <w:rFonts w:hint="eastAsia" w:ascii="黑体" w:hAnsi="黑体" w:eastAsia="黑体" w:cs="黑体"/>
        </w:rPr>
        <w:t>五、一般公共预算财政拨款支出决算情况说明</w:t>
      </w:r>
    </w:p>
    <w:p w14:paraId="141A6107">
      <w:pPr>
        <w:rPr>
          <w:rFonts w:hint="eastAsia" w:ascii="黑体" w:hAnsi="黑体" w:eastAsia="黑体" w:cs="黑体"/>
        </w:rPr>
      </w:pPr>
      <w:r>
        <w:rPr>
          <w:rFonts w:hint="eastAsia" w:ascii="黑体" w:hAnsi="黑体" w:eastAsia="黑体" w:cs="黑体"/>
        </w:rPr>
        <w:t>（一）一般公共预算财政拨款支出决算总体情况</w:t>
      </w:r>
    </w:p>
    <w:p w14:paraId="7AA69E2D">
      <w:pPr>
        <w:rPr>
          <w:rFonts w:hint="eastAsia"/>
        </w:rPr>
      </w:pPr>
      <w:r>
        <w:rPr>
          <w:rFonts w:hint="eastAsia"/>
        </w:rPr>
        <w:t>2023年度一般公共预算财政拨款支出1599.22万元，占本年支出合计的100%。与2022年度相比，一般公共预算财政拨款支出减少286.66万元，减少15%。主要变动原因五险、项目减少。</w:t>
      </w:r>
    </w:p>
    <w:p w14:paraId="6B5AEA97">
      <w:pPr>
        <w:rPr>
          <w:rFonts w:hint="eastAsia" w:ascii="黑体" w:hAnsi="黑体" w:eastAsia="黑体" w:cs="黑体"/>
        </w:rPr>
      </w:pPr>
      <w:r>
        <w:rPr>
          <w:rFonts w:hint="eastAsia" w:ascii="黑体" w:hAnsi="黑体" w:eastAsia="黑体" w:cs="黑体"/>
        </w:rPr>
        <w:t>（二）一般公共预算财政拨款支出决算结构情况</w:t>
      </w:r>
    </w:p>
    <w:p w14:paraId="4A699670">
      <w:pPr>
        <w:rPr>
          <w:rFonts w:hint="eastAsia"/>
        </w:rPr>
      </w:pPr>
      <w:r>
        <w:rPr>
          <w:rFonts w:hint="eastAsia"/>
        </w:rPr>
        <w:t>2023年度一般公共预算财政拨款支出1599.22万元，主要用于以下方面:一般公共服务支出445.44万元，占28%；文化旅游体育与传媒支出8.55万元，占1%；社会保障和就业支出98.53万元，占6%；卫生健康支出57.72万元，占4%；农林水支出934.76万元，占58%;住房保障支出54.21万元，占3%；</w:t>
      </w:r>
    </w:p>
    <w:p w14:paraId="75708FB3">
      <w:pPr>
        <w:rPr>
          <w:rFonts w:hint="eastAsia" w:ascii="黑体" w:hAnsi="黑体" w:eastAsia="黑体" w:cs="黑体"/>
        </w:rPr>
      </w:pPr>
      <w:r>
        <w:rPr>
          <w:rFonts w:hint="eastAsia" w:ascii="黑体" w:hAnsi="黑体" w:eastAsia="黑体" w:cs="黑体"/>
        </w:rPr>
        <w:t>（三）一般公共预算财政拨款支出决算具体情况</w:t>
      </w:r>
    </w:p>
    <w:p w14:paraId="29AA7860">
      <w:pPr>
        <w:rPr>
          <w:rFonts w:hint="eastAsia"/>
        </w:rPr>
      </w:pPr>
      <w:r>
        <w:rPr>
          <w:rFonts w:hint="eastAsia"/>
        </w:rPr>
        <w:t>2023年度一般公共预算支出决算数为1599.22，完成预算100%。其中：1.一般公共服务（201类）：支出决算为445.44万元，（20101款）人大事务（2010104项）人大会议7.33万元；（2010101项）行政运行21.18万元、 (20103款）政府办公厅（室）及相关机构事务（2010301项）行政运行211.90万元；（2010302项）一般行政管理事务18.50万元、（20106款）财政事务（2010650项）事业运行31.25万元；（2010699项）其他财政事务支出0.70万元、（20131款）党委办公厅（室）及相关机构事务（2013101项）行政运行154.57万元；完成预算100%，决算数等于预算数。2.文化旅游体育与传媒支出（207类）：支出预算为8.55万元（20701款）文化和旅游（2070108项）文化活动8.55万元，完成预算100%，决算数等于预算数。3.社会保障和就业（208类）：支出预算为98.53万元，（20805款）行政事业单位养老支出（2080505项）机关事业单位养老保险缴费支出65.69万元；（2080506项）机关事业单位职业年金缴费支出32.84万元，完成预算100%，决算数等于预算数。4.卫生健康（210类）：支出决算为57.72万元，（21004款）公共卫生（2100409项）重大公共卫生服务16.80万元；（21011款）行政事业单位医疗（2101101项）行政单位医疗20.87万元、（2101102项）事业单位医疗12.30万元、（2101103项）公务员医疗补助4.94万元、（2101199项）其他行政事业单位医疗支出2.81万元，完成预算100%，决算数等于预算数。5.农林水（213类）:支出决算为934.76万元，（21301款）农业农村（2130104项）事业运行178.44万元；（21303款）水利（2130399项）其他水利支出16.50万元；（21305款）巩固脱贫攻坚成果衔接乡村振兴（2130504项）农村基础设施建设445.27万元、（2130505项）生产发展90.18万元；（2130599项）其他巩固脱贫攻坚成果衔接乡村振兴支出88.11万元；（21307款）农村综合改革（2130705项）对村民委员会和村党支部的补助102.24万元、（2130707项）农村综合改革示范试点补助14万元，完成预算100%，决算数等于预算数。6.住房保障（221类）：支出决算为54.21万元，（22102）住房改革支出（22102项）住房公积金54.21万元，完成预算100%，决算数等于预算数。</w:t>
      </w:r>
    </w:p>
    <w:p w14:paraId="094E65FC">
      <w:pPr>
        <w:rPr>
          <w:rFonts w:hint="eastAsia"/>
        </w:rPr>
      </w:pPr>
      <w:r>
        <w:rPr>
          <w:rFonts w:hint="eastAsia" w:ascii="黑体" w:hAnsi="黑体" w:eastAsia="黑体" w:cs="黑体"/>
        </w:rPr>
        <w:t>六、一般公共预算财政拨款基本支出决算情况说明</w:t>
      </w:r>
      <w:r>
        <w:rPr>
          <w:rFonts w:hint="eastAsia"/>
        </w:rPr>
        <w:tab/>
      </w:r>
    </w:p>
    <w:p w14:paraId="117E103F">
      <w:pPr>
        <w:rPr>
          <w:rFonts w:hint="eastAsia"/>
        </w:rPr>
      </w:pPr>
      <w:r>
        <w:rPr>
          <w:rFonts w:hint="eastAsia"/>
        </w:rPr>
        <w:t>2023年度一般公共预算财政拨款基本支出791.02万元，其中：</w:t>
      </w:r>
    </w:p>
    <w:p w14:paraId="610A3D65">
      <w:pPr>
        <w:rPr>
          <w:rFonts w:hint="eastAsia"/>
        </w:rPr>
      </w:pPr>
      <w:r>
        <w:rPr>
          <w:rFonts w:hint="eastAsia"/>
        </w:rPr>
        <w:t>人员经费758.05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1C8BDEB6">
      <w:pPr>
        <w:rPr>
          <w:rFonts w:hint="eastAsia"/>
        </w:rPr>
      </w:pPr>
      <w:r>
        <w:rPr>
          <w:rFonts w:hint="eastAsia"/>
        </w:rPr>
        <w:t>公用经费32.96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DF71C5D">
      <w:pPr>
        <w:rPr>
          <w:rFonts w:hint="eastAsia" w:ascii="黑体" w:hAnsi="黑体" w:eastAsia="黑体" w:cs="黑体"/>
        </w:rPr>
      </w:pPr>
      <w:r>
        <w:rPr>
          <w:rFonts w:hint="eastAsia" w:ascii="黑体" w:hAnsi="黑体" w:eastAsia="黑体" w:cs="黑体"/>
        </w:rPr>
        <w:t>七、财政拨款“三公”经费支出决算情况说明</w:t>
      </w:r>
    </w:p>
    <w:p w14:paraId="73EAE34C">
      <w:pPr>
        <w:rPr>
          <w:rFonts w:hint="eastAsia"/>
        </w:rPr>
      </w:pPr>
      <w:r>
        <w:rPr>
          <w:rFonts w:hint="eastAsia" w:ascii="黑体" w:hAnsi="黑体" w:eastAsia="黑体" w:cs="黑体"/>
        </w:rPr>
        <w:t>（一）“三公”经费财政拨款支出决算总体情况说明</w:t>
      </w:r>
    </w:p>
    <w:p w14:paraId="68F627F2">
      <w:pPr>
        <w:rPr>
          <w:rFonts w:hint="eastAsia"/>
        </w:rPr>
      </w:pPr>
      <w:r>
        <w:rPr>
          <w:rFonts w:hint="eastAsia"/>
        </w:rPr>
        <w:t>2023年度“三公”经费财政拨款支出决算为5.99万元，完成预算100%，较上年度增加2.08万元，增长53%。决算数与预算数持平。</w:t>
      </w:r>
    </w:p>
    <w:p w14:paraId="0C022B81">
      <w:pPr>
        <w:rPr>
          <w:rFonts w:hint="eastAsia" w:ascii="黑体" w:hAnsi="黑体" w:eastAsia="黑体" w:cs="黑体"/>
        </w:rPr>
      </w:pPr>
      <w:r>
        <w:rPr>
          <w:rFonts w:hint="eastAsia" w:ascii="黑体" w:hAnsi="黑体" w:eastAsia="黑体" w:cs="黑体"/>
        </w:rPr>
        <w:t>（二）“三公”经费财政拨款支出决算具体情况说明</w:t>
      </w:r>
    </w:p>
    <w:p w14:paraId="09F75ED9">
      <w:pPr>
        <w:rPr>
          <w:rFonts w:hint="eastAsia"/>
        </w:rPr>
      </w:pPr>
      <w:r>
        <w:rPr>
          <w:rFonts w:hint="eastAsia"/>
        </w:rPr>
        <w:t>2024年度“三公”经费财政拨款支出决算中，因公出国（境）费支出决算0万元，占0%；公务用车购置及运行维护费支出决算5.99万元，占100%；决算0万元，占0%。具体情况如下：</w:t>
      </w:r>
    </w:p>
    <w:p w14:paraId="14086D96">
      <w:pPr>
        <w:rPr>
          <w:rFonts w:hint="eastAsia"/>
        </w:rPr>
      </w:pPr>
      <w:r>
        <w:rPr>
          <w:rFonts w:hint="eastAsia"/>
        </w:rPr>
        <w:t>1.因公出国（境）经费支出0万元，完成预算0%。全年安排因公出国（境）团组0次，出国（境）0人。因公出国（境）支出决算比2023年增加/减少0万元，增长/下降0%。主要原因无。</w:t>
      </w:r>
    </w:p>
    <w:p w14:paraId="6A851F5F">
      <w:pPr>
        <w:rPr>
          <w:rFonts w:hint="eastAsia"/>
        </w:rPr>
      </w:pPr>
      <w:r>
        <w:rPr>
          <w:rFonts w:hint="eastAsia"/>
        </w:rPr>
        <w:t>开支内容包括：无（团组名称、出访地点、取得成效）</w:t>
      </w:r>
    </w:p>
    <w:p w14:paraId="72AA918F">
      <w:pPr>
        <w:rPr>
          <w:rFonts w:hint="eastAsia"/>
        </w:rPr>
      </w:pPr>
      <w:r>
        <w:rPr>
          <w:rFonts w:hint="eastAsia"/>
        </w:rPr>
        <w:t>2.公务用车购置及运行维护费支出5.99万元,完成预算100%。公务用车购置及运行维护费支出决算比2022年度增加2.08万元，增长53%。主要原因公务用车燃料费、维修费、过路过桥费、保险费等支出增加。</w:t>
      </w:r>
    </w:p>
    <w:p w14:paraId="0EA5863F">
      <w:pPr>
        <w:rPr>
          <w:rFonts w:hint="eastAsia"/>
        </w:rPr>
      </w:pPr>
      <w:r>
        <w:rPr>
          <w:rFonts w:hint="eastAsia"/>
        </w:rPr>
        <w:t>其中：公务用车购置支出0万元。全年按规定更新购置公务用车0辆，其中：轿车0辆、金额0万元，越野车0辆、金额0万元，载客汽车0辆、金额0万元，主要用于无。2023年12月31日，单位共有公务用车2辆，其中：轿车0辆、越野车1辆、载客汽车0辆、其他用车2辆。</w:t>
      </w:r>
    </w:p>
    <w:p w14:paraId="699CC16B">
      <w:pPr>
        <w:rPr>
          <w:rFonts w:hint="eastAsia"/>
        </w:rPr>
      </w:pPr>
      <w:r>
        <w:rPr>
          <w:rFonts w:hint="eastAsia"/>
        </w:rPr>
        <w:t>公务用车运行维护费支出5.99万元。主要用于出差、下村等所需的公务用车燃料费、维修费、过路过桥费、保险费等支出。</w:t>
      </w:r>
    </w:p>
    <w:p w14:paraId="620A2A06">
      <w:pPr>
        <w:rPr>
          <w:rFonts w:hint="eastAsia"/>
        </w:rPr>
      </w:pPr>
      <w:r>
        <w:rPr>
          <w:rFonts w:hint="eastAsia"/>
        </w:rPr>
        <w:t>3.公务接待费支出0万元，完成预算0%。公务接待费支出决算比2023年度增加/减少0万元，增长/下降0%。主要原因无。其中：</w:t>
      </w:r>
    </w:p>
    <w:p w14:paraId="28C33D5F">
      <w:pPr>
        <w:rPr>
          <w:rFonts w:hint="eastAsia"/>
        </w:rPr>
      </w:pPr>
      <w:r>
        <w:rPr>
          <w:rFonts w:hint="eastAsia"/>
        </w:rPr>
        <w:t>国内公务接待支出0万元，主要用于无(执行公务、开展业务活动开支的交通费、住宿费、用餐费等)。国内公务接待0批次，0人次（不包括陪同人员），共计支出0万元，具体内容包括：无（接待具体项目、金额）。</w:t>
      </w:r>
    </w:p>
    <w:p w14:paraId="72AA747C">
      <w:pPr>
        <w:rPr>
          <w:rFonts w:hint="eastAsia"/>
        </w:rPr>
      </w:pPr>
      <w:r>
        <w:rPr>
          <w:rFonts w:hint="eastAsia"/>
        </w:rPr>
        <w:t>外事接待支出0万元，主要用于接待无（具体项目）。外事接待0批次，0人次（不包括陪同人员），共计支出0万元。</w:t>
      </w:r>
    </w:p>
    <w:p w14:paraId="20C2B729">
      <w:pPr>
        <w:rPr>
          <w:rFonts w:hint="eastAsia" w:ascii="黑体" w:hAnsi="黑体" w:eastAsia="黑体" w:cs="黑体"/>
        </w:rPr>
      </w:pPr>
      <w:r>
        <w:rPr>
          <w:rFonts w:hint="eastAsia" w:ascii="黑体" w:hAnsi="黑体" w:eastAsia="黑体" w:cs="黑体"/>
        </w:rPr>
        <w:t>八、政府性基金预算支出决算情况说明</w:t>
      </w:r>
    </w:p>
    <w:p w14:paraId="4D96A2A5">
      <w:pPr>
        <w:rPr>
          <w:rFonts w:hint="eastAsia"/>
        </w:rPr>
      </w:pPr>
      <w:r>
        <w:rPr>
          <w:rFonts w:hint="eastAsia"/>
        </w:rPr>
        <w:t>2023年度政府性基金预算财政拨款支出0万元。</w:t>
      </w:r>
    </w:p>
    <w:p w14:paraId="7D145D12">
      <w:pPr>
        <w:spacing w:line="240" w:lineRule="auto"/>
        <w:ind w:left="0" w:leftChars="0" w:firstLine="0" w:firstLineChars="0"/>
        <w:rPr>
          <w:rFonts w:hint="eastAsia"/>
        </w:rPr>
      </w:pPr>
      <w:r>
        <w:rPr>
          <w:rFonts w:hint="eastAsia" w:eastAsia="仿宋"/>
          <w:lang w:eastAsia="zh-CN"/>
        </w:rPr>
        <w:drawing>
          <wp:inline distT="0" distB="0" distL="114300" distR="114300">
            <wp:extent cx="5269230" cy="1308100"/>
            <wp:effectExtent l="0" t="0" r="7620" b="6350"/>
            <wp:docPr id="8" name="图片 8"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12"/>
                    <pic:cNvPicPr>
                      <a:picLocks noChangeAspect="1"/>
                    </pic:cNvPicPr>
                  </pic:nvPicPr>
                  <pic:blipFill>
                    <a:blip r:embed="rId6"/>
                    <a:stretch>
                      <a:fillRect/>
                    </a:stretch>
                  </pic:blipFill>
                  <pic:spPr>
                    <a:xfrm>
                      <a:off x="0" y="0"/>
                      <a:ext cx="5269230" cy="1308100"/>
                    </a:xfrm>
                    <a:prstGeom prst="rect">
                      <a:avLst/>
                    </a:prstGeom>
                  </pic:spPr>
                </pic:pic>
              </a:graphicData>
            </a:graphic>
          </wp:inline>
        </w:drawing>
      </w:r>
    </w:p>
    <w:p w14:paraId="2E2083D1">
      <w:pPr>
        <w:rPr>
          <w:rFonts w:hint="eastAsia"/>
        </w:rPr>
      </w:pPr>
      <w:r>
        <w:rPr>
          <w:rFonts w:hint="eastAsia"/>
        </w:rPr>
        <w:t>空表备注：此表无数据</w:t>
      </w:r>
    </w:p>
    <w:p w14:paraId="44D618F2">
      <w:pPr>
        <w:rPr>
          <w:rFonts w:hint="eastAsia" w:ascii="黑体" w:hAnsi="黑体" w:eastAsia="黑体" w:cs="黑体"/>
        </w:rPr>
      </w:pPr>
      <w:r>
        <w:rPr>
          <w:rFonts w:hint="eastAsia" w:ascii="黑体" w:hAnsi="黑体" w:eastAsia="黑体" w:cs="黑体"/>
        </w:rPr>
        <w:t>九、国有资本经营预算支出决算情况说明</w:t>
      </w:r>
    </w:p>
    <w:p w14:paraId="2E1CB5D2">
      <w:pPr>
        <w:rPr>
          <w:rFonts w:hint="eastAsia"/>
          <w:lang w:val="en-US" w:eastAsia="zh-CN"/>
        </w:rPr>
      </w:pPr>
      <w:r>
        <w:rPr>
          <w:rFonts w:hint="eastAsia"/>
        </w:rPr>
        <w:t>2023年度国有资本经营预算财政拨款支出0万元。</w:t>
      </w:r>
    </w:p>
    <w:p w14:paraId="391374AB">
      <w:pPr>
        <w:spacing w:line="240" w:lineRule="auto"/>
        <w:rPr>
          <w:rFonts w:hint="eastAsia"/>
          <w:lang w:val="en-US" w:eastAsia="zh-CN"/>
        </w:rPr>
      </w:pPr>
      <w:r>
        <w:rPr>
          <w:rFonts w:hint="eastAsia"/>
          <w:lang w:val="en-US" w:eastAsia="zh-CN"/>
        </w:rPr>
        <w:drawing>
          <wp:inline distT="0" distB="0" distL="114300" distR="114300">
            <wp:extent cx="5274310" cy="1522730"/>
            <wp:effectExtent l="0" t="0" r="2540" b="1270"/>
            <wp:docPr id="9" name="图片 9"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13"/>
                    <pic:cNvPicPr>
                      <a:picLocks noChangeAspect="1"/>
                    </pic:cNvPicPr>
                  </pic:nvPicPr>
                  <pic:blipFill>
                    <a:blip r:embed="rId7"/>
                    <a:stretch>
                      <a:fillRect/>
                    </a:stretch>
                  </pic:blipFill>
                  <pic:spPr>
                    <a:xfrm>
                      <a:off x="0" y="0"/>
                      <a:ext cx="5274310" cy="1522730"/>
                    </a:xfrm>
                    <a:prstGeom prst="rect">
                      <a:avLst/>
                    </a:prstGeom>
                  </pic:spPr>
                </pic:pic>
              </a:graphicData>
            </a:graphic>
          </wp:inline>
        </w:drawing>
      </w:r>
    </w:p>
    <w:p w14:paraId="55E1D139">
      <w:pPr>
        <w:rPr>
          <w:rFonts w:hint="eastAsia"/>
        </w:rPr>
      </w:pPr>
      <w:r>
        <w:rPr>
          <w:rFonts w:hint="eastAsia"/>
        </w:rPr>
        <w:t>空表备注：此表无数据</w:t>
      </w:r>
    </w:p>
    <w:p w14:paraId="40B5A82C">
      <w:pPr>
        <w:rPr>
          <w:rFonts w:hint="eastAsia" w:ascii="黑体" w:hAnsi="黑体" w:eastAsia="黑体" w:cs="黑体"/>
        </w:rPr>
      </w:pPr>
      <w:r>
        <w:rPr>
          <w:rFonts w:hint="eastAsia" w:ascii="黑体" w:hAnsi="黑体" w:eastAsia="黑体" w:cs="黑体"/>
        </w:rPr>
        <w:t>十、其他重要事项的情况说明</w:t>
      </w:r>
    </w:p>
    <w:p w14:paraId="07496E2A">
      <w:pPr>
        <w:rPr>
          <w:rFonts w:hint="eastAsia" w:ascii="黑体" w:hAnsi="黑体" w:eastAsia="黑体" w:cs="黑体"/>
        </w:rPr>
      </w:pPr>
      <w:r>
        <w:rPr>
          <w:rFonts w:hint="eastAsia" w:ascii="黑体" w:hAnsi="黑体" w:eastAsia="黑体" w:cs="黑体"/>
        </w:rPr>
        <w:t>（一）机关运行经费支出情况</w:t>
      </w:r>
    </w:p>
    <w:p w14:paraId="78ADDE3F">
      <w:pPr>
        <w:rPr>
          <w:rFonts w:hint="eastAsia"/>
        </w:rPr>
      </w:pPr>
      <w:r>
        <w:rPr>
          <w:rFonts w:hint="eastAsia"/>
        </w:rPr>
        <w:t>2023年度，茸木达乡人民政府机关运行经费支出791.02万元，比2022年度增加1.26万元，增长3.4%。主要原因单位人员增加工资五险等经费增加。</w:t>
      </w:r>
    </w:p>
    <w:p w14:paraId="1FB97028">
      <w:pPr>
        <w:rPr>
          <w:rFonts w:hint="eastAsia" w:ascii="黑体" w:hAnsi="黑体" w:eastAsia="黑体" w:cs="黑体"/>
        </w:rPr>
      </w:pPr>
      <w:r>
        <w:rPr>
          <w:rFonts w:hint="eastAsia" w:ascii="黑体" w:hAnsi="黑体" w:eastAsia="黑体" w:cs="黑体"/>
        </w:rPr>
        <w:t>（二）政府采购支出情况</w:t>
      </w:r>
    </w:p>
    <w:p w14:paraId="2B455C04">
      <w:pPr>
        <w:rPr>
          <w:rFonts w:hint="eastAsia"/>
        </w:rPr>
      </w:pPr>
      <w:r>
        <w:rPr>
          <w:rFonts w:hint="eastAsia"/>
        </w:rPr>
        <w:t>2023年度，茸木达乡人民政府政府采购支出总额0万元。</w:t>
      </w:r>
    </w:p>
    <w:p w14:paraId="6CB686E4">
      <w:pPr>
        <w:rPr>
          <w:rFonts w:hint="eastAsia" w:ascii="黑体" w:hAnsi="黑体" w:eastAsia="黑体" w:cs="黑体"/>
        </w:rPr>
      </w:pPr>
      <w:r>
        <w:rPr>
          <w:rFonts w:hint="eastAsia" w:ascii="黑体" w:hAnsi="黑体" w:eastAsia="黑体" w:cs="黑体"/>
        </w:rPr>
        <w:t>（三）国有资产占有使用情况</w:t>
      </w:r>
    </w:p>
    <w:p w14:paraId="420FE4CB">
      <w:pPr>
        <w:rPr>
          <w:rFonts w:hint="eastAsia"/>
        </w:rPr>
      </w:pPr>
      <w:r>
        <w:rPr>
          <w:rFonts w:hint="eastAsia"/>
        </w:rPr>
        <w:t>2023年12月31日，茸木达乡人民政府共有车辆2辆，其中：主要领导干部用车0辆、机要通信用车0辆、应急保障用车0辆、其他用车2辆，其他用车主要是用于干部上县办公、应急保障。单价100万元以上设备（不含车辆）0台（套）。</w:t>
      </w:r>
    </w:p>
    <w:p w14:paraId="4A5D9F2E">
      <w:pPr>
        <w:rPr>
          <w:rFonts w:hint="eastAsia" w:ascii="黑体" w:hAnsi="黑体" w:eastAsia="黑体" w:cs="黑体"/>
        </w:rPr>
      </w:pPr>
      <w:r>
        <w:rPr>
          <w:rFonts w:hint="eastAsia" w:ascii="黑体" w:hAnsi="黑体" w:eastAsia="黑体" w:cs="黑体"/>
        </w:rPr>
        <w:t>（四）预算绩效管理情况</w:t>
      </w:r>
    </w:p>
    <w:p w14:paraId="67F1F5BF">
      <w:pPr>
        <w:rPr>
          <w:rFonts w:hint="eastAsia"/>
        </w:rPr>
      </w:pPr>
      <w:r>
        <w:rPr>
          <w:rFonts w:hint="eastAsia"/>
        </w:rPr>
        <w:t>根据预算绩效管理要求组织对2023年度一般公共预算、政府性基金预算（无）、国有资本经营预算（无）、社会保险基金预算以及资本资产、债券资金（无）等全面开展绩效自评，形成绩效自评报告、专项预算项目绩效自评报告，其中，整体绩效自评得分为89分，绩效自评综述：我单位根据年初预算合理安排日常公用经费资金，做到厉行节约、精打细算，把有效的资金用</w:t>
      </w:r>
      <w:r>
        <w:rPr>
          <w:rFonts w:hint="eastAsia"/>
          <w:lang w:val="en-US" w:eastAsia="zh-CN"/>
        </w:rPr>
        <w:t>好</w:t>
      </w:r>
      <w:r>
        <w:rPr>
          <w:rFonts w:hint="eastAsia"/>
        </w:rPr>
        <w:t>，让财政资金发挥最大的社会及经济效益并保证各项工作的正常运转；</w:t>
      </w:r>
    </w:p>
    <w:p w14:paraId="7EBE9C4F">
      <w:pPr>
        <w:rPr>
          <w:rFonts w:hint="eastAsia"/>
        </w:rPr>
      </w:pPr>
    </w:p>
    <w:p w14:paraId="3D44939F">
      <w:pPr>
        <w:rPr>
          <w:rFonts w:hint="eastAsia"/>
        </w:rPr>
      </w:pPr>
    </w:p>
    <w:p w14:paraId="66C136BB">
      <w:pPr>
        <w:rPr>
          <w:rFonts w:hint="eastAsia"/>
        </w:rPr>
      </w:pPr>
    </w:p>
    <w:p w14:paraId="534FA95D">
      <w:pPr>
        <w:pStyle w:val="2"/>
        <w:rPr>
          <w:rFonts w:hint="eastAsia"/>
        </w:rPr>
      </w:pPr>
    </w:p>
    <w:p w14:paraId="43635567">
      <w:pPr>
        <w:pStyle w:val="2"/>
        <w:rPr>
          <w:rFonts w:hint="eastAsia"/>
        </w:rPr>
      </w:pPr>
    </w:p>
    <w:p w14:paraId="714B4BDA">
      <w:pPr>
        <w:pStyle w:val="2"/>
        <w:rPr>
          <w:rFonts w:hint="eastAsia"/>
        </w:rPr>
      </w:pPr>
    </w:p>
    <w:p w14:paraId="3574C92B">
      <w:pPr>
        <w:pStyle w:val="2"/>
        <w:rPr>
          <w:rFonts w:hint="eastAsia"/>
        </w:rPr>
      </w:pPr>
    </w:p>
    <w:p w14:paraId="211683B2">
      <w:pPr>
        <w:pStyle w:val="2"/>
        <w:rPr>
          <w:rFonts w:hint="eastAsia"/>
        </w:rPr>
      </w:pPr>
    </w:p>
    <w:p w14:paraId="569605E7">
      <w:pPr>
        <w:pStyle w:val="2"/>
        <w:rPr>
          <w:rFonts w:hint="eastAsia"/>
        </w:rPr>
      </w:pPr>
    </w:p>
    <w:p w14:paraId="7C01F871">
      <w:pPr>
        <w:pStyle w:val="2"/>
        <w:rPr>
          <w:rFonts w:hint="eastAsia"/>
        </w:rPr>
      </w:pPr>
    </w:p>
    <w:p w14:paraId="68B30F5A">
      <w:pPr>
        <w:pStyle w:val="2"/>
        <w:rPr>
          <w:rFonts w:hint="eastAsia"/>
        </w:rPr>
      </w:pPr>
    </w:p>
    <w:p w14:paraId="38B367CE">
      <w:pPr>
        <w:pStyle w:val="2"/>
        <w:rPr>
          <w:rFonts w:hint="eastAsia"/>
        </w:rPr>
      </w:pPr>
    </w:p>
    <w:p w14:paraId="2F1E158B">
      <w:pPr>
        <w:pStyle w:val="2"/>
        <w:rPr>
          <w:rFonts w:hint="eastAsia"/>
        </w:rPr>
      </w:pPr>
    </w:p>
    <w:p w14:paraId="4E652A8F">
      <w:pPr>
        <w:pStyle w:val="2"/>
        <w:rPr>
          <w:rFonts w:hint="eastAsia"/>
        </w:rPr>
      </w:pPr>
    </w:p>
    <w:p w14:paraId="5692C330">
      <w:pPr>
        <w:pStyle w:val="2"/>
        <w:rPr>
          <w:rFonts w:hint="eastAsia"/>
        </w:rPr>
      </w:pPr>
    </w:p>
    <w:p w14:paraId="69D5D425">
      <w:pPr>
        <w:pStyle w:val="2"/>
        <w:rPr>
          <w:rFonts w:hint="eastAsia"/>
        </w:rPr>
      </w:pPr>
    </w:p>
    <w:p w14:paraId="3C68329B">
      <w:pPr>
        <w:pStyle w:val="2"/>
        <w:rPr>
          <w:rFonts w:hint="eastAsia"/>
        </w:rPr>
      </w:pPr>
    </w:p>
    <w:p w14:paraId="061FCE44">
      <w:pPr>
        <w:pStyle w:val="2"/>
        <w:rPr>
          <w:rFonts w:hint="eastAsia"/>
        </w:rPr>
      </w:pPr>
    </w:p>
    <w:p w14:paraId="71A0C945">
      <w:pPr>
        <w:pStyle w:val="2"/>
        <w:rPr>
          <w:rFonts w:hint="eastAsia"/>
        </w:rPr>
      </w:pPr>
    </w:p>
    <w:p w14:paraId="77F08540">
      <w:pPr>
        <w:pStyle w:val="2"/>
        <w:rPr>
          <w:rFonts w:hint="eastAsia"/>
        </w:rPr>
      </w:pPr>
    </w:p>
    <w:p w14:paraId="428D7E1E">
      <w:pPr>
        <w:rPr>
          <w:rFonts w:hint="eastAsia"/>
        </w:rPr>
      </w:pPr>
    </w:p>
    <w:p w14:paraId="3026753A">
      <w:pPr>
        <w:rPr>
          <w:rFonts w:hint="eastAsia" w:ascii="黑体" w:hAnsi="黑体" w:eastAsia="黑体" w:cs="黑体"/>
        </w:rPr>
      </w:pPr>
      <w:r>
        <w:rPr>
          <w:rFonts w:hint="eastAsia" w:ascii="黑体" w:hAnsi="黑体" w:eastAsia="黑体" w:cs="黑体"/>
        </w:rPr>
        <w:t>第三部分名词解释</w:t>
      </w:r>
    </w:p>
    <w:p w14:paraId="035C09C1">
      <w:pPr>
        <w:rPr>
          <w:rFonts w:hint="eastAsia"/>
        </w:rPr>
      </w:pPr>
    </w:p>
    <w:p w14:paraId="6CFA71FF">
      <w:pPr>
        <w:rPr>
          <w:rFonts w:hint="eastAsia"/>
        </w:rPr>
      </w:pPr>
      <w:r>
        <w:rPr>
          <w:rFonts w:hint="eastAsia"/>
        </w:rPr>
        <w:t>1.财政拨款收入：指单位从同级财政部门取得的财政预算资金。</w:t>
      </w:r>
    </w:p>
    <w:p w14:paraId="2A55C14A">
      <w:pPr>
        <w:rPr>
          <w:rFonts w:hint="eastAsia"/>
        </w:rPr>
      </w:pPr>
      <w:r>
        <w:rPr>
          <w:rFonts w:hint="eastAsia"/>
        </w:rPr>
        <w:t>2.事业收入：指事业单位开展专业业务活动及辅助活动取得的收入。如（二级预算单位事业收入情况）等。</w:t>
      </w:r>
    </w:p>
    <w:p w14:paraId="44700107">
      <w:pPr>
        <w:rPr>
          <w:rFonts w:hint="eastAsia"/>
        </w:rPr>
      </w:pPr>
      <w:r>
        <w:rPr>
          <w:rFonts w:hint="eastAsia"/>
        </w:rPr>
        <w:t>3.经营收入：指事业单位在专业业务活动及其辅助活动之外开展非独立核算经营活动取得的收入。如（二级预算单位经营收入情况）等。</w:t>
      </w:r>
    </w:p>
    <w:p w14:paraId="1EE68A2F">
      <w:pPr>
        <w:rPr>
          <w:rFonts w:hint="eastAsia"/>
        </w:rPr>
      </w:pPr>
      <w:r>
        <w:rPr>
          <w:rFonts w:hint="eastAsia"/>
        </w:rPr>
        <w:t xml:space="preserve">4.其他收入：指单位取得的除上述收入以外的各项收入。主要是（收入类型）等。 </w:t>
      </w:r>
    </w:p>
    <w:p w14:paraId="3FF3B2A3">
      <w:pPr>
        <w:rPr>
          <w:rFonts w:hint="eastAsia"/>
        </w:rPr>
      </w:pPr>
      <w:r>
        <w:rPr>
          <w:rFonts w:hint="eastAsia"/>
        </w:rPr>
        <w:t xml:space="preserve">5.使用非财政拨款结余（含专用结余）：指事业单位使用以前年度积累的非财政拨款结余弥补当年收支差额的金额。 </w:t>
      </w:r>
    </w:p>
    <w:p w14:paraId="06C8ABD7">
      <w:pPr>
        <w:rPr>
          <w:rFonts w:hint="eastAsia"/>
        </w:rPr>
      </w:pPr>
      <w:r>
        <w:rPr>
          <w:rFonts w:hint="eastAsia"/>
        </w:rPr>
        <w:t xml:space="preserve">6.年初结转和结余：指以前年度尚未完成、结转到本年按有关规定继续使用的资金。 </w:t>
      </w:r>
    </w:p>
    <w:p w14:paraId="7F0D1951">
      <w:pPr>
        <w:rPr>
          <w:rFonts w:hint="eastAsia"/>
        </w:rPr>
      </w:pPr>
      <w:r>
        <w:rPr>
          <w:rFonts w:hint="eastAsia"/>
        </w:rPr>
        <w:t>7.结余分配：指事业单位按照会计制度规定缴纳的所得税、提取的专用结余以及转入非财政拨款结余的金额等。</w:t>
      </w:r>
    </w:p>
    <w:p w14:paraId="10059316">
      <w:pPr>
        <w:rPr>
          <w:rFonts w:hint="eastAsia"/>
        </w:rPr>
      </w:pPr>
      <w:r>
        <w:rPr>
          <w:rFonts w:hint="eastAsia"/>
        </w:rPr>
        <w:t>8.年末结转和结余：指单位按有关规定结转到下年或以后年度继续使用的资金。</w:t>
      </w:r>
    </w:p>
    <w:p w14:paraId="705E601C">
      <w:pPr>
        <w:rPr>
          <w:rFonts w:hint="eastAsia"/>
        </w:rPr>
      </w:pPr>
      <w:r>
        <w:rPr>
          <w:rFonts w:hint="eastAsia"/>
        </w:rPr>
        <w:t>9.一般公共服务（201）人大事务（20101）人大会议（2010104）：指行政单位人大会议费支出；（20103）政府相关事务（2010301）行政运行：指行政单位工资及五险等基本支出；一般行政管理事务（2010302）：指行政单位财政所工作、纪委工作、伙食团工作、乡镇设施建设等支出。 </w:t>
      </w:r>
    </w:p>
    <w:p w14:paraId="2EFDBC2B">
      <w:pPr>
        <w:rPr>
          <w:rFonts w:hint="eastAsia"/>
        </w:rPr>
      </w:pPr>
      <w:r>
        <w:rPr>
          <w:rFonts w:hint="eastAsia"/>
        </w:rPr>
        <w:t>10.国防支出（203）国防动员（20306）民兵（2030607）：指用于民兵建设与管理等方面的支出。 </w:t>
      </w:r>
    </w:p>
    <w:p w14:paraId="2C46A649">
      <w:pPr>
        <w:rPr>
          <w:rFonts w:hint="eastAsia"/>
        </w:rPr>
      </w:pPr>
      <w:r>
        <w:rPr>
          <w:rFonts w:hint="eastAsia"/>
        </w:rPr>
        <w:t>11.社会保障和就业（208）行政事业单位离退休（20805）机关事业单位基本养老保险（2080505）机关事业单位职业年金（2080506）：指机关事业单位实施养老保险制度由单位缴纳的基本养老保险费支出和职业年金支出。 </w:t>
      </w:r>
    </w:p>
    <w:p w14:paraId="69858AFD">
      <w:pPr>
        <w:rPr>
          <w:rFonts w:hint="eastAsia"/>
        </w:rPr>
      </w:pPr>
      <w:r>
        <w:rPr>
          <w:rFonts w:hint="eastAsia"/>
        </w:rPr>
        <w:t xml:space="preserve">12.卫生健康(210)公共卫生（21004）重大公共卫生服务（2100409）：指行政单位医疗方面的支出；事业单位医疗（2101102）：指事业单位医疗方面的支出；公务员医疗补助（2101103）：指行政单位医疗方面的支出。          </w:t>
      </w:r>
    </w:p>
    <w:p w14:paraId="383513B1">
      <w:pPr>
        <w:ind w:left="0" w:leftChars="0" w:firstLine="640" w:firstLineChars="200"/>
        <w:rPr>
          <w:rFonts w:hint="eastAsia"/>
        </w:rPr>
      </w:pPr>
      <w:r>
        <w:rPr>
          <w:rFonts w:hint="eastAsia"/>
        </w:rPr>
        <w:t>13.农林水（213）农业农村（21301）事业运行（2130508）病虫害控制支出；（21303）水利（2130314）防汛支出；（21305）巩固脱贫攻坚成果衔接乡村振兴（2130504）农村基础设施建设；（2130599）其他巩固脱贫攻坚成果衔接乡村振兴支出；农村综合改革（21307）对村民委员会和村党支部的补助（2130705）：指用于藏区基层组织活动和公共服务运行维护方面的补助支出；（2130707）：指农村综合改革示范点补助支出。 </w:t>
      </w:r>
    </w:p>
    <w:p w14:paraId="37631505">
      <w:pPr>
        <w:rPr>
          <w:rFonts w:hint="eastAsia"/>
        </w:rPr>
      </w:pPr>
      <w:r>
        <w:rPr>
          <w:rFonts w:hint="eastAsia"/>
        </w:rPr>
        <w:t>14.住房保障支出（221）住房改革支出（22102）住房公积金（2210201）：指反映行政事业单位按人力资源和社会保障部、财政部规定的基本工资和津贴补贴以及规定比例为职工缴纳的住房公积金。</w:t>
      </w:r>
    </w:p>
    <w:p w14:paraId="0ED361F3">
      <w:pPr>
        <w:rPr>
          <w:rFonts w:hint="eastAsia"/>
        </w:rPr>
      </w:pPr>
      <w:r>
        <w:rPr>
          <w:rFonts w:hint="eastAsia"/>
        </w:rPr>
        <w:t>15.交通运输（214）公路水路运输（21401)公路和运输安全（2140110）：指交通公路。</w:t>
      </w:r>
    </w:p>
    <w:p w14:paraId="2EAC66AE">
      <w:pPr>
        <w:rPr>
          <w:rFonts w:hint="eastAsia"/>
        </w:rPr>
      </w:pPr>
      <w:r>
        <w:rPr>
          <w:rFonts w:hint="eastAsia"/>
        </w:rPr>
        <w:t>16.（224）灾害防治及应急管理（22407）自然灾害救灾及恢复重建（2240703）：指自然灾害。 </w:t>
      </w:r>
    </w:p>
    <w:p w14:paraId="1498BFB0">
      <w:pPr>
        <w:rPr>
          <w:rFonts w:hint="eastAsia"/>
        </w:rPr>
      </w:pPr>
      <w:r>
        <w:rPr>
          <w:rFonts w:hint="eastAsia"/>
        </w:rPr>
        <w:t>17.基本支出：指为保障机构正常运转、完成日常工作任务而发生的人员支出和公用支出。</w:t>
      </w:r>
    </w:p>
    <w:p w14:paraId="683C0C4F">
      <w:pPr>
        <w:rPr>
          <w:rFonts w:hint="eastAsia"/>
        </w:rPr>
      </w:pPr>
      <w:r>
        <w:rPr>
          <w:rFonts w:hint="eastAsia"/>
        </w:rPr>
        <w:t xml:space="preserve">18.项目支出：指在基本支出之外为完成特定行政任务和事业发展目标所发生的支出。 </w:t>
      </w:r>
    </w:p>
    <w:p w14:paraId="0ED653AD">
      <w:pPr>
        <w:rPr>
          <w:rFonts w:hint="eastAsia"/>
        </w:rPr>
      </w:pPr>
      <w:r>
        <w:rPr>
          <w:rFonts w:hint="eastAsia"/>
        </w:rPr>
        <w:t>19.经营支出：指事业单位在专业业务活动及其辅助活动之外开展非独立核算经营活动发生的支出。</w:t>
      </w:r>
    </w:p>
    <w:p w14:paraId="06C04CFE">
      <w:pPr>
        <w:rPr>
          <w:rFonts w:hint="eastAsia"/>
        </w:rPr>
      </w:pPr>
      <w:r>
        <w:rPr>
          <w:rFonts w:hint="eastAsia"/>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40C01A1">
      <w:pPr>
        <w:rPr>
          <w:rFonts w:hint="eastAsia"/>
        </w:rPr>
      </w:pPr>
      <w:r>
        <w:rPr>
          <w:rFonts w:hint="eastAsia"/>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A068468">
      <w:pPr>
        <w:ind w:left="0" w:leftChars="0" w:firstLine="0" w:firstLineChars="0"/>
        <w:rPr>
          <w:rFonts w:hint="eastAsia" w:ascii="黑体" w:hAnsi="黑体" w:eastAsia="黑体" w:cs="黑体"/>
        </w:rPr>
      </w:pPr>
    </w:p>
    <w:p w14:paraId="1B2FE5E5">
      <w:pPr>
        <w:rPr>
          <w:rFonts w:hint="eastAsia"/>
        </w:rPr>
      </w:pPr>
      <w:r>
        <w:rPr>
          <w:rFonts w:hint="eastAsia" w:ascii="黑体" w:hAnsi="黑体" w:eastAsia="黑体" w:cs="黑体"/>
        </w:rPr>
        <w:t>第四部分 附件</w:t>
      </w:r>
    </w:p>
    <w:p w14:paraId="570CD2A9">
      <w:pPr>
        <w:rPr>
          <w:rFonts w:hint="eastAsia" w:ascii="微软雅黑" w:hAnsi="微软雅黑" w:eastAsia="微软雅黑" w:cs="微软雅黑"/>
        </w:rPr>
      </w:pPr>
      <w:r>
        <w:rPr>
          <w:rFonts w:hint="eastAsia" w:ascii="微软雅黑" w:hAnsi="微软雅黑" w:eastAsia="微软雅黑" w:cs="微软雅黑"/>
        </w:rPr>
        <w:t>一、部门（单位）基本情况</w:t>
      </w:r>
    </w:p>
    <w:p w14:paraId="7F036115">
      <w:pPr>
        <w:rPr>
          <w:rFonts w:hint="eastAsia"/>
        </w:rPr>
      </w:pPr>
      <w:r>
        <w:rPr>
          <w:rFonts w:hint="eastAsia" w:ascii="微软雅黑" w:hAnsi="微软雅黑" w:eastAsia="微软雅黑" w:cs="微软雅黑"/>
        </w:rPr>
        <w:t>（一）机构组成。</w:t>
      </w:r>
      <w:r>
        <w:rPr>
          <w:rFonts w:hint="eastAsia"/>
        </w:rPr>
        <w:t>壤塘县茸木达乡设6个内设机构。党政综合办公室</w:t>
      </w:r>
      <w:r>
        <w:rPr>
          <w:rFonts w:hint="eastAsia"/>
          <w:lang w:eastAsia="zh-CN"/>
        </w:rPr>
        <w:t>、</w:t>
      </w:r>
      <w:r>
        <w:rPr>
          <w:rFonts w:hint="eastAsia"/>
        </w:rPr>
        <w:t>党建工作办公室</w:t>
      </w:r>
      <w:r>
        <w:rPr>
          <w:rFonts w:hint="eastAsia"/>
          <w:lang w:eastAsia="zh-CN"/>
        </w:rPr>
        <w:t>、</w:t>
      </w:r>
      <w:r>
        <w:rPr>
          <w:rFonts w:hint="eastAsia"/>
        </w:rPr>
        <w:t>经济发展和乡村振兴办公室</w:t>
      </w:r>
      <w:r>
        <w:rPr>
          <w:rFonts w:hint="eastAsia"/>
          <w:lang w:eastAsia="zh-CN"/>
        </w:rPr>
        <w:t>、</w:t>
      </w:r>
      <w:r>
        <w:rPr>
          <w:rFonts w:hint="eastAsia"/>
        </w:rPr>
        <w:t>维护稳定和基层治理办公室</w:t>
      </w:r>
      <w:r>
        <w:rPr>
          <w:rFonts w:hint="eastAsia"/>
          <w:lang w:eastAsia="zh-CN"/>
        </w:rPr>
        <w:t>、</w:t>
      </w:r>
      <w:r>
        <w:rPr>
          <w:rFonts w:hint="eastAsia"/>
        </w:rPr>
        <w:t>社会事务和应急管理办公室</w:t>
      </w:r>
      <w:r>
        <w:rPr>
          <w:rFonts w:hint="eastAsia"/>
          <w:lang w:eastAsia="zh-CN"/>
        </w:rPr>
        <w:t>、</w:t>
      </w:r>
      <w:r>
        <w:rPr>
          <w:rFonts w:hint="eastAsia"/>
        </w:rPr>
        <w:t>生态环境保护和综合行政执法办公室</w:t>
      </w:r>
    </w:p>
    <w:p w14:paraId="6016B427">
      <w:pPr>
        <w:ind w:left="0" w:leftChars="0" w:firstLine="643" w:firstLineChars="200"/>
        <w:rPr>
          <w:rFonts w:hint="eastAsia"/>
          <w:b/>
          <w:bCs/>
        </w:rPr>
      </w:pPr>
      <w:r>
        <w:rPr>
          <w:rFonts w:hint="eastAsia"/>
          <w:b/>
          <w:bCs/>
        </w:rPr>
        <w:t>（</w:t>
      </w:r>
      <w:r>
        <w:rPr>
          <w:rFonts w:hint="eastAsia"/>
          <w:b/>
          <w:bCs/>
          <w:lang w:val="en-US" w:eastAsia="zh-CN"/>
        </w:rPr>
        <w:t>二</w:t>
      </w:r>
      <w:r>
        <w:rPr>
          <w:rFonts w:hint="eastAsia"/>
          <w:b/>
          <w:bCs/>
        </w:rPr>
        <w:t>）人员概况。</w:t>
      </w:r>
    </w:p>
    <w:p w14:paraId="25D34720">
      <w:pPr>
        <w:rPr>
          <w:rFonts w:hint="eastAsia"/>
        </w:rPr>
      </w:pPr>
      <w:r>
        <w:rPr>
          <w:rFonts w:hint="eastAsia"/>
        </w:rPr>
        <w:t>2023年末，编制情况为总编制数37人，其中行政编22人，事业编13人，机关工勤编制2人。年末实有人数情况为2023年底在职人数35人，其中行政人数21人，事业人数12人，事业工勤人数1人，机关工勤1人。</w:t>
      </w:r>
    </w:p>
    <w:p w14:paraId="65444161">
      <w:pPr>
        <w:rPr>
          <w:rFonts w:hint="eastAsia"/>
          <w:b/>
          <w:bCs/>
        </w:rPr>
      </w:pPr>
      <w:r>
        <w:rPr>
          <w:rFonts w:hint="eastAsia"/>
          <w:b/>
          <w:bCs/>
        </w:rPr>
        <w:t>二、部门资金收支情况</w:t>
      </w:r>
    </w:p>
    <w:p w14:paraId="2DEFE608">
      <w:pPr>
        <w:rPr>
          <w:rFonts w:hint="eastAsia"/>
        </w:rPr>
      </w:pPr>
      <w:r>
        <w:rPr>
          <w:rFonts w:hint="eastAsia" w:ascii="黑体" w:hAnsi="黑体" w:eastAsia="黑体" w:cs="黑体"/>
        </w:rPr>
        <w:t>（一）收入情况。</w:t>
      </w:r>
      <w:r>
        <w:rPr>
          <w:rFonts w:hint="eastAsia"/>
        </w:rPr>
        <w:t>2023年我乡总体收入1599.22万元，其中一般公共财政拨款收入1599.22万元。</w:t>
      </w:r>
    </w:p>
    <w:p w14:paraId="20DF7578">
      <w:pPr>
        <w:rPr>
          <w:rFonts w:hint="eastAsia"/>
        </w:rPr>
      </w:pPr>
      <w:r>
        <w:rPr>
          <w:rFonts w:hint="eastAsia" w:ascii="黑体" w:hAnsi="黑体" w:eastAsia="黑体" w:cs="黑体"/>
        </w:rPr>
        <w:t>（二）支出情况。</w:t>
      </w:r>
      <w:r>
        <w:rPr>
          <w:rFonts w:hint="eastAsia"/>
        </w:rPr>
        <w:t>2023年我乡总体支出1599.22万元，其中：一般公共服务支出445.44万元；文化旅游体育与传媒支出8.55万元；社会保障和就业支出98.53万元；卫生健康支出57.72万元；农林水支出934.76万元;住房保障支出54.21万元。</w:t>
      </w:r>
    </w:p>
    <w:p w14:paraId="6AAB1CFB">
      <w:pPr>
        <w:rPr>
          <w:rFonts w:hint="eastAsia"/>
        </w:rPr>
      </w:pPr>
      <w:r>
        <w:rPr>
          <w:rFonts w:hint="eastAsia" w:ascii="黑体" w:hAnsi="黑体" w:eastAsia="黑体" w:cs="黑体"/>
        </w:rPr>
        <w:t>（三）结余分配和结转结余情况。</w:t>
      </w:r>
      <w:r>
        <w:rPr>
          <w:rFonts w:hint="eastAsia"/>
        </w:rPr>
        <w:t>我单位2023年决算报表结转结余0万元。</w:t>
      </w:r>
    </w:p>
    <w:p w14:paraId="7117F623">
      <w:pPr>
        <w:rPr>
          <w:rFonts w:hint="eastAsia" w:ascii="黑体" w:hAnsi="黑体" w:eastAsia="黑体" w:cs="黑体"/>
        </w:rPr>
      </w:pPr>
      <w:r>
        <w:rPr>
          <w:rFonts w:hint="eastAsia" w:ascii="黑体" w:hAnsi="黑体" w:eastAsia="黑体" w:cs="黑体"/>
        </w:rPr>
        <w:t>三、部门预算绩效分析</w:t>
      </w:r>
    </w:p>
    <w:p w14:paraId="5DFD8743">
      <w:pPr>
        <w:rPr>
          <w:rFonts w:hint="eastAsia"/>
        </w:rPr>
      </w:pPr>
      <w:r>
        <w:rPr>
          <w:rFonts w:hint="eastAsia" w:ascii="黑体" w:hAnsi="黑体" w:eastAsia="黑体" w:cs="黑体"/>
        </w:rPr>
        <w:t>（一）部门预算总体绩效分析。</w:t>
      </w:r>
      <w:r>
        <w:rPr>
          <w:rFonts w:hint="eastAsia"/>
        </w:rPr>
        <w:t>根据部门预算绩效评价指标体系“总体绩效”涉及二、三级指标进行逐项绩效分析并评分，依次包括履职效能、预算管理、财务管理、资产管理、采购管理等情况。</w:t>
      </w:r>
    </w:p>
    <w:p w14:paraId="1FEEE0E1">
      <w:pPr>
        <w:rPr>
          <w:rFonts w:hint="eastAsia"/>
        </w:rPr>
      </w:pPr>
      <w:r>
        <w:rPr>
          <w:rFonts w:hint="eastAsia"/>
        </w:rPr>
        <w:t>1.履职效能。工资性支出绩效目标：每月按时，金额准确的进行发放。目标实现：合理控制工资支出，提高工作效率，确保工资的准确性和及时性。支出控制在预算执行范围内，执行进度良好；公用经费绩效目标：有效合理的使用管理办公费、电费、印刷费等经费。目标实现：推动政府工作有效有序的开展，保障日常运转。支出控制在预算执行范围内，执行进度良好；村级公共运行经费绩效目标：增强基层党组织的政治功能和组织功能，充分发挥基层党组织促改革发展，基层治理等作用。目标实现：资金主要用于办公运转、基层活动、服务群众、公共维护等，巩固农村综合改革成果。支出控制在预算执行范围内，执行进度良好。</w:t>
      </w:r>
    </w:p>
    <w:p w14:paraId="25437DB5">
      <w:pPr>
        <w:rPr>
          <w:rFonts w:hint="eastAsia"/>
        </w:rPr>
      </w:pPr>
      <w:r>
        <w:rPr>
          <w:rFonts w:hint="eastAsia"/>
        </w:rPr>
        <w:t>2.预算管理。不断强化预算意识，实行综合预算管理，保证预算编制质量。结合单位业务情况，进行科学合理分配细化，部门预算经批复后，跟踪预算执行进度，及时组织收入，科学合理安排支出，降低预算支出的波动幅度。</w:t>
      </w:r>
    </w:p>
    <w:p w14:paraId="4C73D972">
      <w:pPr>
        <w:rPr>
          <w:rFonts w:hint="eastAsia"/>
        </w:rPr>
      </w:pPr>
      <w:r>
        <w:rPr>
          <w:rFonts w:hint="eastAsia"/>
        </w:rPr>
        <w:t>3.财务管理。健全财务管理制度、有效运用不相容岗位相互分离、内部授权审批控制、归口管理、预算控制、财产保护控制、信息内部公开等基本方法，加强对单位层面和业务层面的内部控制，实现内部控制体系全面、有效实施。资金使用规范，严格执行“收支两条线”制度和预算外资金专储制度，现金严格按规定管理，杜绝公款私借、挪用。</w:t>
      </w:r>
    </w:p>
    <w:p w14:paraId="3DFC6ED8">
      <w:pPr>
        <w:rPr>
          <w:rFonts w:hint="eastAsia"/>
        </w:rPr>
      </w:pPr>
      <w:r>
        <w:rPr>
          <w:rFonts w:hint="eastAsia"/>
        </w:rPr>
        <w:t>4.资产管理。进一步加强资产信息管理，提高资产管理效率和水平，认真做好资产管理的各项基础工作，做到程序化、规范化、提高其使用率。明确资产管理部门同使用部门的使用权限，各尽所能、各负其责。定期开展资产清查工作，确保资产账实相符。</w:t>
      </w:r>
    </w:p>
    <w:p w14:paraId="15579116">
      <w:pPr>
        <w:rPr>
          <w:rFonts w:hint="eastAsia"/>
        </w:rPr>
      </w:pPr>
      <w:r>
        <w:rPr>
          <w:rFonts w:hint="eastAsia"/>
        </w:rPr>
        <w:t xml:space="preserve">5.采购管理。对于达到政府采购标准的项目支出，明确规定采购项目的采购期限，组织实施采购计划。我单位2024年政府采购支出额为36.03万元。 </w:t>
      </w:r>
    </w:p>
    <w:p w14:paraId="4CD92405">
      <w:pPr>
        <w:rPr>
          <w:rFonts w:hint="eastAsia"/>
        </w:rPr>
      </w:pPr>
      <w:r>
        <w:rPr>
          <w:rFonts w:hint="eastAsia" w:ascii="黑体" w:hAnsi="黑体" w:eastAsia="黑体" w:cs="黑体"/>
        </w:rPr>
        <w:t>（二）部门预算项目绩效分析。</w:t>
      </w:r>
    </w:p>
    <w:p w14:paraId="52B259B4">
      <w:pPr>
        <w:rPr>
          <w:rFonts w:hint="eastAsia"/>
        </w:rPr>
      </w:pPr>
      <w:r>
        <w:rPr>
          <w:rFonts w:hint="eastAsia"/>
        </w:rPr>
        <w:t>（</w:t>
      </w:r>
      <w:r>
        <w:rPr>
          <w:rFonts w:hint="eastAsia"/>
          <w:lang w:val="en-US" w:eastAsia="zh-CN"/>
        </w:rPr>
        <w:t>一</w:t>
      </w:r>
      <w:r>
        <w:rPr>
          <w:rFonts w:hint="eastAsia"/>
        </w:rPr>
        <w:t>）重点领域绩效分析。2023年度不涉及国有资本、债券资金和政府购买服务等重点领域。行政事业性国有资产：2023无入账。政府采购：无</w:t>
      </w:r>
    </w:p>
    <w:p w14:paraId="4C82FFC9">
      <w:pPr>
        <w:rPr>
          <w:rFonts w:hint="eastAsia"/>
        </w:rPr>
      </w:pPr>
      <w:r>
        <w:rPr>
          <w:rFonts w:hint="eastAsia"/>
        </w:rPr>
        <w:t>（</w:t>
      </w:r>
      <w:r>
        <w:rPr>
          <w:rFonts w:hint="eastAsia"/>
          <w:lang w:val="en-US" w:eastAsia="zh-CN"/>
        </w:rPr>
        <w:t>二</w:t>
      </w:r>
      <w:r>
        <w:rPr>
          <w:rFonts w:hint="eastAsia"/>
        </w:rPr>
        <w:t>）绩效结果应用情况。根据县财政局要求，成立自评工作小组，组织实施本单位2023年绩效管理自评工作。信息公开情况：按照财政要求，及时在预决算批复后20日内，在壤塘县人民政府的网站进行了信息公开，公开内容真实、完整。依法接受财政、审计、纪检监察、巡察等部门的监督检查。严守财经法规，严格财经纪律，按时上报各类资料。严格执行财务管理制度，根据年初预算合理安排日常公用经费资金，做到厉行节约、精打细算，把有效的资金用到刀刃上，让财政资金发挥最大的社会及经济效益并保证各项工作的正常运转。</w:t>
      </w:r>
    </w:p>
    <w:p w14:paraId="7033226E">
      <w:pPr>
        <w:rPr>
          <w:rFonts w:hint="eastAsia" w:ascii="黑体" w:hAnsi="黑体" w:eastAsia="黑体" w:cs="黑体"/>
        </w:rPr>
      </w:pPr>
      <w:r>
        <w:rPr>
          <w:rFonts w:hint="eastAsia" w:ascii="黑体" w:hAnsi="黑体" w:eastAsia="黑体" w:cs="黑体"/>
        </w:rPr>
        <w:t>四、评价结论及建议</w:t>
      </w:r>
    </w:p>
    <w:p w14:paraId="2120E7C5">
      <w:pPr>
        <w:rPr>
          <w:rFonts w:hint="eastAsia"/>
        </w:rPr>
      </w:pPr>
      <w:r>
        <w:rPr>
          <w:rFonts w:hint="eastAsia"/>
        </w:rPr>
        <w:t>（一）评价结论。2023年度工作开展实际，根据年初工作计划有序开展各项工作，进一步细化工作任务，按照工作计划和要求细致分工，使财政收支预算执行得到了良好的制度保障和实施效果。</w:t>
      </w:r>
    </w:p>
    <w:p w14:paraId="7E8BB5DE">
      <w:pPr>
        <w:rPr>
          <w:rFonts w:hint="eastAsia"/>
        </w:rPr>
      </w:pPr>
      <w:r>
        <w:rPr>
          <w:rFonts w:hint="eastAsia"/>
        </w:rPr>
        <w:t>（二）存在问题。预算编制前根据单位内可预见的工作任务进行了预算目标，细化了预算指标，但预算编制的精准性还需进一步提高。</w:t>
      </w:r>
    </w:p>
    <w:p w14:paraId="155DBC2F">
      <w:pPr>
        <w:rPr>
          <w:rFonts w:hint="eastAsia"/>
        </w:rPr>
      </w:pPr>
      <w:r>
        <w:rPr>
          <w:rFonts w:hint="eastAsia"/>
        </w:rPr>
        <w:t>（三）改进建议。加强学习，提高思想认识。把财政绩效评价作为转变政府职能、深化财政改革、促进科学理财的重要工作来抓，健全完善制度办法，切实加强组织领导，深入推进评价工作，提高单位领导对全面预算管理及绩效评价工作的重视程度，增强意识。</w:t>
      </w:r>
    </w:p>
    <w:p w14:paraId="7EB8E3AA">
      <w:pPr>
        <w:rPr>
          <w:rFonts w:hint="eastAsia"/>
        </w:rPr>
      </w:pPr>
      <w:r>
        <w:rPr>
          <w:rFonts w:hint="eastAsia"/>
        </w:rPr>
        <w:t>第五部分 附表</w:t>
      </w:r>
    </w:p>
    <w:p w14:paraId="017C74EE">
      <w:pPr>
        <w:rPr>
          <w:rFonts w:hint="eastAsia"/>
        </w:rPr>
      </w:pPr>
      <w:r>
        <w:rPr>
          <w:rFonts w:hint="eastAsia"/>
        </w:rPr>
        <w:t>一、收入支出决算总表</w:t>
      </w:r>
    </w:p>
    <w:p w14:paraId="16F61E21">
      <w:pPr>
        <w:rPr>
          <w:rFonts w:hint="eastAsia"/>
        </w:rPr>
      </w:pPr>
      <w:r>
        <w:rPr>
          <w:rFonts w:hint="eastAsia"/>
        </w:rPr>
        <w:t>二、收入决算表</w:t>
      </w:r>
    </w:p>
    <w:p w14:paraId="2E2DD49B">
      <w:pPr>
        <w:rPr>
          <w:rFonts w:hint="eastAsia"/>
        </w:rPr>
      </w:pPr>
      <w:r>
        <w:rPr>
          <w:rFonts w:hint="eastAsia"/>
        </w:rPr>
        <w:t>三、支出决算表</w:t>
      </w:r>
    </w:p>
    <w:p w14:paraId="778F5715">
      <w:pPr>
        <w:rPr>
          <w:rFonts w:hint="eastAsia"/>
        </w:rPr>
      </w:pPr>
      <w:r>
        <w:rPr>
          <w:rFonts w:hint="eastAsia"/>
        </w:rPr>
        <w:t>四、财政拨款收入支出决算总表</w:t>
      </w:r>
    </w:p>
    <w:p w14:paraId="0283C278">
      <w:pPr>
        <w:rPr>
          <w:rFonts w:hint="eastAsia"/>
        </w:rPr>
      </w:pPr>
      <w:r>
        <w:rPr>
          <w:rFonts w:hint="eastAsia"/>
        </w:rPr>
        <w:t>五、财政拨款支出决算明细表</w:t>
      </w:r>
    </w:p>
    <w:p w14:paraId="1FD5B5EE">
      <w:pPr>
        <w:rPr>
          <w:rFonts w:hint="eastAsia"/>
        </w:rPr>
      </w:pPr>
      <w:r>
        <w:rPr>
          <w:rFonts w:hint="eastAsia"/>
        </w:rPr>
        <w:t>六、一般公共预算财政拨款支出决算表</w:t>
      </w:r>
    </w:p>
    <w:p w14:paraId="264F7B84">
      <w:pPr>
        <w:rPr>
          <w:rFonts w:hint="eastAsia"/>
        </w:rPr>
      </w:pPr>
      <w:r>
        <w:rPr>
          <w:rFonts w:hint="eastAsia"/>
        </w:rPr>
        <w:t>七、一般公共预算财政拨款支出决算明细表</w:t>
      </w:r>
    </w:p>
    <w:p w14:paraId="77256423">
      <w:pPr>
        <w:rPr>
          <w:rFonts w:hint="eastAsia"/>
        </w:rPr>
      </w:pPr>
      <w:r>
        <w:rPr>
          <w:rFonts w:hint="eastAsia"/>
        </w:rPr>
        <w:t>八、一般公共预算财政拨款基本支出决算表</w:t>
      </w:r>
    </w:p>
    <w:p w14:paraId="799506F7">
      <w:pPr>
        <w:rPr>
          <w:rFonts w:hint="eastAsia"/>
        </w:rPr>
      </w:pPr>
      <w:r>
        <w:rPr>
          <w:rFonts w:hint="eastAsia"/>
        </w:rPr>
        <w:t>九、一般公共预算财政拨款项目支出决算表</w:t>
      </w:r>
    </w:p>
    <w:p w14:paraId="3A7E3F5F">
      <w:pPr>
        <w:rPr>
          <w:rFonts w:hint="eastAsia"/>
        </w:rPr>
      </w:pPr>
      <w:r>
        <w:rPr>
          <w:rFonts w:hint="eastAsia"/>
        </w:rPr>
        <w:t>十、政府性基金预算财政拨款收入支出决算表</w:t>
      </w:r>
    </w:p>
    <w:p w14:paraId="737ABF28">
      <w:pPr>
        <w:rPr>
          <w:rFonts w:hint="eastAsia"/>
        </w:rPr>
      </w:pPr>
      <w:r>
        <w:rPr>
          <w:rFonts w:hint="eastAsia"/>
        </w:rPr>
        <w:t>十一、国有资本经营预算财政拨款收入支出决算表</w:t>
      </w:r>
    </w:p>
    <w:p w14:paraId="37A2A0D4">
      <w:pPr>
        <w:rPr>
          <w:rFonts w:hint="eastAsia"/>
        </w:rPr>
      </w:pPr>
      <w:r>
        <w:rPr>
          <w:rFonts w:hint="eastAsia"/>
        </w:rPr>
        <w:t>十二、国有资本经营预算财政拨款支出决算表</w:t>
      </w:r>
    </w:p>
    <w:p w14:paraId="15339E50">
      <w:r>
        <w:rPr>
          <w:rFonts w:hint="eastAsia"/>
        </w:rPr>
        <w:t>十三、财政拨款“三公”经费支出决算表</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西文标题">
    <w:altName w:val="Times New Roman"/>
    <w:panose1 w:val="00000000000000000000"/>
    <w:charset w:val="00"/>
    <w:family w:val="auto"/>
    <w:pitch w:val="default"/>
    <w:sig w:usb0="00000000" w:usb1="00000000" w:usb2="00000000" w:usb3="00000000" w:csb0="00000000" w:csb1="00000000"/>
  </w:font>
  <w:font w:name="+中文标题">
    <w:altName w:val="Times New Roman"/>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altName w:val="Arial"/>
    <w:panose1 w:val="020B0604020202020204"/>
    <w:charset w:val="7A"/>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485D86"/>
    <w:multiLevelType w:val="multilevel"/>
    <w:tmpl w:val="90485D86"/>
    <w:lvl w:ilvl="0" w:tentative="0">
      <w:start w:val="1"/>
      <w:numFmt w:val="chineseCounting"/>
      <w:pStyle w:val="4"/>
      <w:suff w:val="nothing"/>
      <w:lvlText w:val="%1、"/>
      <w:lvlJc w:val="left"/>
      <w:pPr>
        <w:tabs>
          <w:tab w:val="left" w:pos="420"/>
        </w:tabs>
        <w:ind w:left="0" w:firstLine="0"/>
      </w:pPr>
      <w:rPr>
        <w:rFonts w:hint="eastAsia" w:ascii="黑体" w:hAnsi="黑体" w:eastAsia="黑体"/>
      </w:rPr>
    </w:lvl>
    <w:lvl w:ilvl="1" w:tentative="0">
      <w:start w:val="1"/>
      <w:numFmt w:val="chineseCounting"/>
      <w:pStyle w:val="5"/>
      <w:suff w:val="space"/>
      <w:lvlText w:val="(%2)"/>
      <w:lvlJc w:val="left"/>
      <w:pPr>
        <w:ind w:left="0" w:firstLine="0"/>
      </w:pPr>
      <w:rPr>
        <w:rFonts w:hint="eastAsia" w:ascii="黑体" w:hAnsi="黑体" w:eastAsia="黑体"/>
      </w:rPr>
    </w:lvl>
    <w:lvl w:ilvl="2" w:tentative="0">
      <w:start w:val="1"/>
      <w:numFmt w:val="decimal"/>
      <w:pStyle w:val="7"/>
      <w:suff w:val="nothing"/>
      <w:lvlText w:val="%3．"/>
      <w:lvlJc w:val="left"/>
      <w:pPr>
        <w:tabs>
          <w:tab w:val="left" w:pos="420"/>
        </w:tabs>
        <w:ind w:left="0" w:firstLine="0"/>
      </w:pPr>
      <w:rPr>
        <w:rFonts w:hint="eastAsia" w:ascii="黑体" w:hAnsi="黑体" w:eastAsia="黑体"/>
      </w:rPr>
    </w:lvl>
    <w:lvl w:ilvl="3" w:tentative="0">
      <w:start w:val="1"/>
      <w:numFmt w:val="decimal"/>
      <w:pStyle w:val="8"/>
      <w:suff w:val="nothing"/>
      <w:lvlText w:val="（%4）"/>
      <w:lvlJc w:val="left"/>
      <w:pPr>
        <w:tabs>
          <w:tab w:val="left" w:pos="420"/>
        </w:tabs>
        <w:ind w:left="0" w:firstLine="0"/>
      </w:pPr>
      <w:rPr>
        <w:rFonts w:hint="eastAsia" w:ascii="黑体" w:hAnsi="黑体" w:eastAsia="黑体"/>
      </w:rPr>
    </w:lvl>
    <w:lvl w:ilvl="4" w:tentative="0">
      <w:start w:val="1"/>
      <w:numFmt w:val="decimalEnclosedCircleChinese"/>
      <w:pStyle w:val="9"/>
      <w:suff w:val="space"/>
      <w:lvlText w:val="%5"/>
      <w:lvlJc w:val="left"/>
      <w:pPr>
        <w:ind w:left="0" w:firstLine="0"/>
      </w:pPr>
      <w:rPr>
        <w:rFonts w:hint="eastAsia" w:ascii="黑体" w:hAnsi="黑体" w:eastAsia="黑体"/>
      </w:rPr>
    </w:lvl>
    <w:lvl w:ilvl="5" w:tentative="0">
      <w:start w:val="1"/>
      <w:numFmt w:val="decimal"/>
      <w:pStyle w:val="10"/>
      <w:suff w:val="nothing"/>
      <w:lvlText w:val="%6）"/>
      <w:lvlJc w:val="left"/>
      <w:pPr>
        <w:tabs>
          <w:tab w:val="left" w:pos="420"/>
        </w:tabs>
        <w:ind w:left="0" w:firstLine="0"/>
      </w:pPr>
      <w:rPr>
        <w:rFonts w:hint="eastAsia" w:ascii="黑体" w:hAnsi="黑体" w:eastAsia="黑体"/>
      </w:rPr>
    </w:lvl>
    <w:lvl w:ilvl="6" w:tentative="0">
      <w:start w:val="1"/>
      <w:numFmt w:val="lowerLetter"/>
      <w:pStyle w:val="11"/>
      <w:suff w:val="nothing"/>
      <w:lvlText w:val="%7．"/>
      <w:lvlJc w:val="left"/>
      <w:pPr>
        <w:tabs>
          <w:tab w:val="left" w:pos="420"/>
        </w:tabs>
        <w:ind w:left="0" w:firstLine="0"/>
      </w:pPr>
      <w:rPr>
        <w:rFonts w:hint="eastAsia" w:ascii="黑体" w:hAnsi="黑体" w:eastAsia="黑体"/>
      </w:rPr>
    </w:lvl>
    <w:lvl w:ilvl="7" w:tentative="0">
      <w:start w:val="1"/>
      <w:numFmt w:val="lowerLetter"/>
      <w:pStyle w:val="12"/>
      <w:suff w:val="nothing"/>
      <w:lvlText w:val="%8）"/>
      <w:lvlJc w:val="left"/>
      <w:pPr>
        <w:tabs>
          <w:tab w:val="left" w:pos="420"/>
        </w:tabs>
        <w:ind w:left="0" w:firstLine="0"/>
      </w:pPr>
      <w:rPr>
        <w:rFonts w:hint="eastAsia" w:ascii="黑体" w:hAnsi="黑体" w:eastAsia="黑体"/>
      </w:rPr>
    </w:lvl>
    <w:lvl w:ilvl="8" w:tentative="0">
      <w:start w:val="1"/>
      <w:numFmt w:val="lowerRoman"/>
      <w:pStyle w:val="13"/>
      <w:suff w:val="nothing"/>
      <w:lvlText w:val="%9 "/>
      <w:lvlJc w:val="left"/>
      <w:pPr>
        <w:tabs>
          <w:tab w:val="left" w:pos="420"/>
        </w:tabs>
        <w:ind w:left="0" w:firstLine="0"/>
      </w:pPr>
      <w:rPr>
        <w:rFonts w:hint="eastAsia" w:ascii="黑体" w:hAnsi="黑体" w:eastAsia="黑体"/>
      </w:rPr>
    </w:lvl>
  </w:abstractNum>
  <w:abstractNum w:abstractNumId="1">
    <w:nsid w:val="AF071053"/>
    <w:multiLevelType w:val="multilevel"/>
    <w:tmpl w:val="AF071053"/>
    <w:lvl w:ilvl="0" w:tentative="0">
      <w:start w:val="1"/>
      <w:numFmt w:val="decimal"/>
      <w:lvlText w:val="%1."/>
      <w:lvlJc w:val="left"/>
      <w:pPr>
        <w:ind w:left="425" w:hanging="425"/>
      </w:pPr>
      <w:rPr>
        <w:rFonts w:hint="default"/>
      </w:rPr>
    </w:lvl>
    <w:lvl w:ilvl="1" w:tentative="0">
      <w:start w:val="1"/>
      <w:numFmt w:val="decimal"/>
      <w:pStyle w:val="16"/>
      <w:lvlText w:val="%1.%2."/>
      <w:lvlJc w:val="left"/>
      <w:pPr>
        <w:ind w:left="850" w:hanging="453"/>
      </w:p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2637A3F"/>
    <w:multiLevelType w:val="singleLevel"/>
    <w:tmpl w:val="B2637A3F"/>
    <w:lvl w:ilvl="0" w:tentative="0">
      <w:start w:val="1"/>
      <w:numFmt w:val="bullet"/>
      <w:pStyle w:val="42"/>
      <w:suff w:val="space"/>
      <w:lvlText w:val="■"/>
      <w:lvlJc w:val="left"/>
      <w:pPr>
        <w:tabs>
          <w:tab w:val="left" w:pos="420"/>
        </w:tabs>
        <w:ind w:left="420" w:hanging="420"/>
      </w:pPr>
    </w:lvl>
  </w:abstractNum>
  <w:abstractNum w:abstractNumId="3">
    <w:nsid w:val="D14CACD2"/>
    <w:multiLevelType w:val="singleLevel"/>
    <w:tmpl w:val="D14CACD2"/>
    <w:lvl w:ilvl="0" w:tentative="0">
      <w:start w:val="1"/>
      <w:numFmt w:val="bullet"/>
      <w:pStyle w:val="46"/>
      <w:lvlText w:val="∙"/>
      <w:lvlJc w:val="left"/>
      <w:pPr>
        <w:ind w:left="420" w:hanging="420"/>
      </w:pPr>
    </w:lvl>
  </w:abstractNum>
  <w:abstractNum w:abstractNumId="4">
    <w:nsid w:val="FC35626E"/>
    <w:multiLevelType w:val="multilevel"/>
    <w:tmpl w:val="FC35626E"/>
    <w:lvl w:ilvl="0" w:tentative="0">
      <w:start w:val="1"/>
      <w:numFmt w:val="decimal"/>
      <w:pStyle w:val="22"/>
      <w:lvlText w:val="%1."/>
      <w:lvlJc w:val="left"/>
      <w:pPr>
        <w:ind w:left="425" w:hanging="425"/>
      </w:p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5">
    <w:nsid w:val="FD010157"/>
    <w:multiLevelType w:val="singleLevel"/>
    <w:tmpl w:val="FD010157"/>
    <w:lvl w:ilvl="0" w:tentative="0">
      <w:start w:val="1"/>
      <w:numFmt w:val="bullet"/>
      <w:pStyle w:val="35"/>
      <w:lvlText w:val="□"/>
      <w:lvlJc w:val="left"/>
      <w:pPr>
        <w:ind w:left="420" w:hanging="420"/>
      </w:pPr>
    </w:lvl>
  </w:abstractNum>
  <w:abstractNum w:abstractNumId="6">
    <w:nsid w:val="1DC13C4D"/>
    <w:multiLevelType w:val="multilevel"/>
    <w:tmpl w:val="1DC13C4D"/>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pStyle w:val="38"/>
      <w:lvlText w:val="%1.%2.%3."/>
      <w:lvlJc w:val="left"/>
      <w:pPr>
        <w:ind w:left="1508" w:hanging="708"/>
      </w:p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20397F5C"/>
    <w:multiLevelType w:val="multilevel"/>
    <w:tmpl w:val="20397F5C"/>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pStyle w:val="65"/>
      <w:lvlText w:val="%1.%2.%3.%4.%5."/>
      <w:lvlJc w:val="left"/>
      <w:pPr>
        <w:ind w:left="2495" w:hanging="895"/>
      </w:p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8">
    <w:nsid w:val="50B2DDCD"/>
    <w:multiLevelType w:val="singleLevel"/>
    <w:tmpl w:val="50B2DDCD"/>
    <w:lvl w:ilvl="0" w:tentative="0">
      <w:start w:val="1"/>
      <w:numFmt w:val="bullet"/>
      <w:pStyle w:val="26"/>
      <w:lvlText w:val=""/>
      <w:lvlJc w:val="left"/>
      <w:pPr>
        <w:ind w:left="420" w:hanging="420"/>
      </w:pPr>
    </w:lvl>
  </w:abstractNum>
  <w:abstractNum w:abstractNumId="9">
    <w:nsid w:val="59008784"/>
    <w:multiLevelType w:val="singleLevel"/>
    <w:tmpl w:val="59008784"/>
    <w:lvl w:ilvl="0" w:tentative="0">
      <w:start w:val="1"/>
      <w:numFmt w:val="bullet"/>
      <w:pStyle w:val="19"/>
      <w:lvlText w:val="▫"/>
      <w:lvlJc w:val="left"/>
      <w:pPr>
        <w:ind w:left="420" w:hanging="420"/>
      </w:pPr>
    </w:lvl>
  </w:abstractNum>
  <w:abstractNum w:abstractNumId="10">
    <w:nsid w:val="690C6B7B"/>
    <w:multiLevelType w:val="multilevel"/>
    <w:tmpl w:val="690C6B7B"/>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pStyle w:val="47"/>
      <w:lvlText w:val="%1.%2.%3.%4."/>
      <w:lvlJc w:val="left"/>
      <w:pPr>
        <w:ind w:left="2053" w:hanging="853"/>
      </w:p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0"/>
  </w:num>
  <w:num w:numId="2">
    <w:abstractNumId w:val="1"/>
  </w:num>
  <w:num w:numId="3">
    <w:abstractNumId w:val="9"/>
  </w:num>
  <w:num w:numId="4">
    <w:abstractNumId w:val="4"/>
  </w:num>
  <w:num w:numId="5">
    <w:abstractNumId w:val="8"/>
  </w:num>
  <w:num w:numId="6">
    <w:abstractNumId w:val="5"/>
  </w:num>
  <w:num w:numId="7">
    <w:abstractNumId w:val="6"/>
  </w:num>
  <w:num w:numId="8">
    <w:abstractNumId w:val="2"/>
  </w:num>
  <w:num w:numId="9">
    <w:abstractNumId w:val="3"/>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AE11B9"/>
    <w:rsid w:val="04A91589"/>
    <w:rsid w:val="211D4ED3"/>
    <w:rsid w:val="2C24507B"/>
    <w:rsid w:val="616657CE"/>
    <w:rsid w:val="6CAE1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ind w:firstLine="480" w:firstLineChars="200"/>
      <w:jc w:val="both"/>
    </w:pPr>
    <w:rPr>
      <w:rFonts w:ascii="仿宋" w:hAnsi="仿宋" w:eastAsia="仿宋" w:cstheme="minorBidi"/>
      <w:kern w:val="2"/>
      <w:sz w:val="32"/>
      <w:szCs w:val="32"/>
      <w:lang w:val="en-US" w:eastAsia="zh-CN" w:bidi="ar-SA"/>
    </w:rPr>
  </w:style>
  <w:style w:type="paragraph" w:styleId="4">
    <w:name w:val="heading 1"/>
    <w:next w:val="1"/>
    <w:qFormat/>
    <w:uiPriority w:val="9"/>
    <w:pPr>
      <w:keepNext/>
      <w:keepLines/>
      <w:numPr>
        <w:ilvl w:val="0"/>
        <w:numId w:val="1"/>
      </w:numPr>
      <w:pBdr>
        <w:top w:val="none" w:color="auto" w:sz="0" w:space="1"/>
        <w:left w:val="none" w:color="auto" w:sz="0" w:space="4"/>
        <w:bottom w:val="none" w:color="auto" w:sz="0" w:space="1"/>
        <w:right w:val="none" w:color="auto" w:sz="0" w:space="4"/>
      </w:pBdr>
      <w:tabs>
        <w:tab w:val="left" w:pos="0"/>
        <w:tab w:val="clear" w:pos="420"/>
      </w:tabs>
      <w:adjustRightInd w:val="0"/>
      <w:snapToGrid w:val="0"/>
      <w:spacing w:line="560" w:lineRule="exact"/>
      <w:ind w:left="0" w:firstLine="880" w:firstLineChars="200"/>
      <w:outlineLvl w:val="0"/>
    </w:pPr>
    <w:rPr>
      <w:rFonts w:ascii="黑体" w:hAnsi="黑体" w:eastAsia="黑体" w:cstheme="minorBidi"/>
      <w:kern w:val="44"/>
      <w:sz w:val="32"/>
      <w:szCs w:val="32"/>
      <w:lang w:val="en-US" w:eastAsia="zh-CN" w:bidi="ar-SA"/>
    </w:rPr>
  </w:style>
  <w:style w:type="paragraph" w:styleId="5">
    <w:name w:val="heading 2"/>
    <w:basedOn w:val="6"/>
    <w:next w:val="1"/>
    <w:unhideWhenUsed/>
    <w:qFormat/>
    <w:uiPriority w:val="9"/>
    <w:pPr>
      <w:numPr>
        <w:ilvl w:val="1"/>
        <w:numId w:val="1"/>
      </w:numPr>
      <w:tabs>
        <w:tab w:val="left" w:pos="0"/>
      </w:tabs>
      <w:ind w:firstLine="880" w:firstLineChars="200"/>
      <w:outlineLvl w:val="1"/>
    </w:pPr>
    <w:rPr>
      <w:rFonts w:ascii="楷体" w:hAnsi="楷体" w:eastAsia="楷体"/>
      <w:i w:val="0"/>
    </w:rPr>
  </w:style>
  <w:style w:type="paragraph" w:styleId="7">
    <w:name w:val="heading 3"/>
    <w:basedOn w:val="5"/>
    <w:next w:val="1"/>
    <w:unhideWhenUsed/>
    <w:qFormat/>
    <w:uiPriority w:val="9"/>
    <w:pPr>
      <w:numPr>
        <w:ilvl w:val="2"/>
        <w:numId w:val="1"/>
      </w:numPr>
      <w:tabs>
        <w:tab w:val="clear" w:pos="420"/>
      </w:tabs>
      <w:ind w:firstLine="880" w:firstLineChars="200"/>
      <w:outlineLvl w:val="2"/>
    </w:pPr>
  </w:style>
  <w:style w:type="paragraph" w:styleId="8">
    <w:name w:val="heading 4"/>
    <w:basedOn w:val="7"/>
    <w:next w:val="1"/>
    <w:link w:val="133"/>
    <w:unhideWhenUsed/>
    <w:qFormat/>
    <w:uiPriority w:val="9"/>
    <w:pPr>
      <w:numPr>
        <w:ilvl w:val="3"/>
      </w:numPr>
      <w:ind w:firstLine="0"/>
      <w:outlineLvl w:val="3"/>
    </w:pPr>
  </w:style>
  <w:style w:type="paragraph" w:styleId="9">
    <w:name w:val="heading 5"/>
    <w:basedOn w:val="8"/>
    <w:next w:val="1"/>
    <w:unhideWhenUsed/>
    <w:qFormat/>
    <w:uiPriority w:val="9"/>
    <w:pPr>
      <w:numPr>
        <w:ilvl w:val="4"/>
      </w:numPr>
      <w:outlineLvl w:val="4"/>
    </w:pPr>
  </w:style>
  <w:style w:type="paragraph" w:styleId="10">
    <w:name w:val="heading 6"/>
    <w:basedOn w:val="9"/>
    <w:next w:val="1"/>
    <w:unhideWhenUsed/>
    <w:qFormat/>
    <w:uiPriority w:val="0"/>
    <w:pPr>
      <w:numPr>
        <w:ilvl w:val="5"/>
      </w:numPr>
      <w:outlineLvl w:val="5"/>
    </w:pPr>
  </w:style>
  <w:style w:type="paragraph" w:styleId="11">
    <w:name w:val="heading 7"/>
    <w:basedOn w:val="10"/>
    <w:next w:val="1"/>
    <w:unhideWhenUsed/>
    <w:qFormat/>
    <w:uiPriority w:val="0"/>
    <w:pPr>
      <w:numPr>
        <w:ilvl w:val="6"/>
      </w:numPr>
      <w:outlineLvl w:val="6"/>
    </w:pPr>
  </w:style>
  <w:style w:type="paragraph" w:styleId="12">
    <w:name w:val="heading 8"/>
    <w:basedOn w:val="11"/>
    <w:next w:val="1"/>
    <w:unhideWhenUsed/>
    <w:qFormat/>
    <w:uiPriority w:val="0"/>
    <w:pPr>
      <w:numPr>
        <w:ilvl w:val="7"/>
      </w:numPr>
      <w:outlineLvl w:val="7"/>
    </w:pPr>
  </w:style>
  <w:style w:type="paragraph" w:styleId="13">
    <w:name w:val="heading 9"/>
    <w:basedOn w:val="12"/>
    <w:next w:val="1"/>
    <w:unhideWhenUsed/>
    <w:qFormat/>
    <w:uiPriority w:val="0"/>
    <w:pPr>
      <w:numPr>
        <w:ilvl w:val="8"/>
      </w:numPr>
      <w:outlineLvl w:val="8"/>
    </w:pPr>
  </w:style>
  <w:style w:type="character" w:default="1" w:styleId="90">
    <w:name w:val="Default Paragraph Font"/>
    <w:semiHidden/>
    <w:unhideWhenUsed/>
    <w:qFormat/>
    <w:uiPriority w:val="1"/>
    <w:rPr>
      <w:rFonts w:ascii="宋体" w:hAnsi="宋体" w:eastAsia="宋体"/>
    </w:rPr>
  </w:style>
  <w:style w:type="table" w:default="1" w:styleId="88">
    <w:name w:val="Normal Table"/>
    <w:semiHidden/>
    <w:qFormat/>
    <w:uiPriority w:val="0"/>
    <w:tblPr>
      <w:tblCellMar>
        <w:top w:w="0" w:type="dxa"/>
        <w:left w:w="108" w:type="dxa"/>
        <w:bottom w:w="0" w:type="dxa"/>
        <w:right w:w="108" w:type="dxa"/>
      </w:tblCellMar>
    </w:tblPr>
  </w:style>
  <w:style w:type="paragraph" w:styleId="2">
    <w:name w:val="Plain Text"/>
    <w:basedOn w:val="1"/>
    <w:link w:val="115"/>
    <w:qFormat/>
    <w:uiPriority w:val="0"/>
    <w:rPr>
      <w:rFonts w:ascii="宋体" w:hAnsi="宋体" w:eastAsia="宋体" w:cs="Courier New"/>
      <w:kern w:val="2"/>
      <w:sz w:val="24"/>
      <w:szCs w:val="24"/>
    </w:rPr>
  </w:style>
  <w:style w:type="paragraph" w:styleId="3">
    <w:name w:val="macro"/>
    <w:link w:val="117"/>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ind w:firstLine="480" w:firstLineChars="200"/>
    </w:pPr>
    <w:rPr>
      <w:rFonts w:ascii="宋体" w:hAnsi="宋体" w:eastAsia="宋体" w:cs="Courier New"/>
      <w:kern w:val="2"/>
      <w:sz w:val="24"/>
      <w:szCs w:val="24"/>
    </w:rPr>
  </w:style>
  <w:style w:type="paragraph" w:styleId="6">
    <w:name w:val="HTML Address"/>
    <w:basedOn w:val="1"/>
    <w:qFormat/>
    <w:uiPriority w:val="0"/>
    <w:rPr>
      <w:i/>
    </w:rPr>
  </w:style>
  <w:style w:type="paragraph" w:styleId="14">
    <w:name w:val="List 3"/>
    <w:basedOn w:val="1"/>
    <w:qFormat/>
    <w:uiPriority w:val="0"/>
    <w:pPr>
      <w:ind w:left="100" w:leftChars="400" w:hanging="200" w:hangingChars="200"/>
      <w:contextualSpacing/>
    </w:pPr>
  </w:style>
  <w:style w:type="paragraph" w:styleId="15">
    <w:name w:val="toc 7"/>
    <w:basedOn w:val="1"/>
    <w:next w:val="1"/>
    <w:qFormat/>
    <w:uiPriority w:val="0"/>
    <w:pPr>
      <w:ind w:left="2520" w:leftChars="1200"/>
    </w:pPr>
  </w:style>
  <w:style w:type="paragraph" w:styleId="16">
    <w:name w:val="List Number 2"/>
    <w:basedOn w:val="1"/>
    <w:qFormat/>
    <w:uiPriority w:val="0"/>
    <w:pPr>
      <w:numPr>
        <w:ilvl w:val="1"/>
        <w:numId w:val="2"/>
      </w:numPr>
      <w:tabs>
        <w:tab w:val="left" w:pos="0"/>
      </w:tabs>
      <w:spacing w:before="50" w:after="50"/>
      <w:ind w:left="1191" w:hanging="624" w:firstLineChars="0"/>
    </w:pPr>
    <w:rPr>
      <w:color w:val="292929"/>
    </w:rPr>
  </w:style>
  <w:style w:type="paragraph" w:styleId="17">
    <w:name w:val="table of authorities"/>
    <w:basedOn w:val="1"/>
    <w:next w:val="1"/>
    <w:qFormat/>
    <w:uiPriority w:val="0"/>
    <w:pPr>
      <w:ind w:left="420" w:leftChars="200" w:firstLine="0"/>
    </w:pPr>
  </w:style>
  <w:style w:type="paragraph" w:styleId="18">
    <w:name w:val="Note Heading"/>
    <w:basedOn w:val="1"/>
    <w:next w:val="1"/>
    <w:link w:val="131"/>
    <w:qFormat/>
    <w:uiPriority w:val="0"/>
    <w:pPr>
      <w:jc w:val="center"/>
    </w:pPr>
    <w:rPr>
      <w:rFonts w:ascii="宋体" w:hAnsi="宋体" w:eastAsia="宋体"/>
      <w:kern w:val="2"/>
      <w:sz w:val="24"/>
      <w:szCs w:val="24"/>
    </w:rPr>
  </w:style>
  <w:style w:type="paragraph" w:styleId="19">
    <w:name w:val="List Bullet 4"/>
    <w:basedOn w:val="1"/>
    <w:qFormat/>
    <w:uiPriority w:val="0"/>
    <w:pPr>
      <w:numPr>
        <w:ilvl w:val="0"/>
        <w:numId w:val="3"/>
      </w:numPr>
      <w:spacing w:before="50" w:after="50"/>
      <w:ind w:left="1871" w:hanging="454"/>
    </w:pPr>
  </w:style>
  <w:style w:type="paragraph" w:styleId="20">
    <w:name w:val="index 8"/>
    <w:basedOn w:val="1"/>
    <w:next w:val="1"/>
    <w:qFormat/>
    <w:uiPriority w:val="0"/>
    <w:pPr>
      <w:ind w:left="1400" w:leftChars="1400" w:firstLine="0"/>
    </w:pPr>
  </w:style>
  <w:style w:type="paragraph" w:styleId="21">
    <w:name w:val="E-mail Signature"/>
    <w:basedOn w:val="1"/>
    <w:link w:val="116"/>
    <w:qFormat/>
    <w:uiPriority w:val="0"/>
    <w:rPr>
      <w:rFonts w:ascii="宋体" w:hAnsi="宋体" w:eastAsia="宋体"/>
      <w:kern w:val="2"/>
      <w:sz w:val="24"/>
      <w:szCs w:val="24"/>
    </w:rPr>
  </w:style>
  <w:style w:type="paragraph" w:styleId="22">
    <w:name w:val="List Number"/>
    <w:basedOn w:val="1"/>
    <w:qFormat/>
    <w:uiPriority w:val="0"/>
    <w:pPr>
      <w:numPr>
        <w:ilvl w:val="0"/>
        <w:numId w:val="4"/>
      </w:numPr>
      <w:tabs>
        <w:tab w:val="left" w:pos="0"/>
      </w:tabs>
      <w:spacing w:before="50" w:after="50" w:line="240" w:lineRule="auto"/>
      <w:ind w:left="454" w:hanging="454" w:firstLineChars="0"/>
    </w:pPr>
  </w:style>
  <w:style w:type="paragraph" w:styleId="23">
    <w:name w:val="Normal Indent"/>
    <w:basedOn w:val="1"/>
    <w:qFormat/>
    <w:uiPriority w:val="0"/>
    <w:pPr>
      <w:ind w:firstLine="420"/>
    </w:pPr>
  </w:style>
  <w:style w:type="paragraph" w:styleId="24">
    <w:name w:val="caption"/>
    <w:basedOn w:val="1"/>
    <w:next w:val="1"/>
    <w:unhideWhenUsed/>
    <w:qFormat/>
    <w:uiPriority w:val="0"/>
    <w:pPr>
      <w:ind w:firstLine="0" w:firstLineChars="0"/>
    </w:pPr>
    <w:rPr>
      <w:sz w:val="20"/>
      <w:szCs w:val="20"/>
    </w:rPr>
  </w:style>
  <w:style w:type="paragraph" w:styleId="25">
    <w:name w:val="index 5"/>
    <w:basedOn w:val="1"/>
    <w:next w:val="1"/>
    <w:qFormat/>
    <w:uiPriority w:val="0"/>
    <w:pPr>
      <w:ind w:left="800" w:leftChars="800" w:firstLine="0"/>
    </w:pPr>
  </w:style>
  <w:style w:type="paragraph" w:styleId="26">
    <w:name w:val="List Bullet"/>
    <w:basedOn w:val="1"/>
    <w:qFormat/>
    <w:uiPriority w:val="0"/>
    <w:pPr>
      <w:numPr>
        <w:ilvl w:val="0"/>
        <w:numId w:val="5"/>
      </w:numPr>
      <w:spacing w:before="50" w:after="50"/>
      <w:ind w:left="454" w:hanging="454"/>
    </w:pPr>
  </w:style>
  <w:style w:type="paragraph" w:styleId="27">
    <w:name w:val="envelope address"/>
    <w:basedOn w:val="1"/>
    <w:qFormat/>
    <w:uiPriority w:val="0"/>
    <w:pPr>
      <w:framePr w:w="7920" w:h="1980" w:hRule="exact" w:hSpace="180" w:wrap="auto" w:vAnchor="margin" w:hAnchor="page" w:xAlign="center" w:yAlign="bottom"/>
      <w:ind w:left="100" w:leftChars="1400"/>
    </w:pPr>
    <w:rPr>
      <w:rFonts w:cstheme="majorBidi"/>
    </w:rPr>
  </w:style>
  <w:style w:type="paragraph" w:styleId="28">
    <w:name w:val="Document Map"/>
    <w:basedOn w:val="1"/>
    <w:link w:val="121"/>
    <w:qFormat/>
    <w:uiPriority w:val="0"/>
    <w:rPr>
      <w:rFonts w:ascii="宋体" w:hAnsi="宋体" w:eastAsia="宋体"/>
      <w:kern w:val="2"/>
      <w:sz w:val="18"/>
      <w:szCs w:val="18"/>
    </w:rPr>
  </w:style>
  <w:style w:type="paragraph" w:styleId="29">
    <w:name w:val="toa heading"/>
    <w:basedOn w:val="1"/>
    <w:next w:val="1"/>
    <w:qFormat/>
    <w:uiPriority w:val="0"/>
    <w:pPr>
      <w:spacing w:before="120"/>
    </w:pPr>
    <w:rPr>
      <w:rFonts w:cstheme="majorBidi"/>
    </w:rPr>
  </w:style>
  <w:style w:type="paragraph" w:styleId="30">
    <w:name w:val="annotation text"/>
    <w:basedOn w:val="1"/>
    <w:qFormat/>
    <w:uiPriority w:val="0"/>
    <w:pPr>
      <w:spacing w:before="50" w:after="50"/>
      <w:ind w:firstLine="0" w:firstLineChars="0"/>
      <w:jc w:val="left"/>
    </w:pPr>
  </w:style>
  <w:style w:type="paragraph" w:styleId="31">
    <w:name w:val="index 6"/>
    <w:basedOn w:val="1"/>
    <w:next w:val="1"/>
    <w:qFormat/>
    <w:uiPriority w:val="0"/>
    <w:pPr>
      <w:ind w:left="1000" w:leftChars="1000" w:firstLine="0"/>
    </w:pPr>
  </w:style>
  <w:style w:type="paragraph" w:styleId="32">
    <w:name w:val="Salutation"/>
    <w:basedOn w:val="1"/>
    <w:next w:val="1"/>
    <w:link w:val="114"/>
    <w:qFormat/>
    <w:uiPriority w:val="0"/>
    <w:rPr>
      <w:rFonts w:ascii="宋体" w:hAnsi="宋体" w:eastAsia="宋体"/>
      <w:kern w:val="2"/>
      <w:sz w:val="24"/>
      <w:szCs w:val="24"/>
    </w:rPr>
  </w:style>
  <w:style w:type="paragraph" w:styleId="33">
    <w:name w:val="Body Text 3"/>
    <w:basedOn w:val="1"/>
    <w:link w:val="124"/>
    <w:qFormat/>
    <w:uiPriority w:val="0"/>
    <w:pPr>
      <w:spacing w:after="120"/>
    </w:pPr>
    <w:rPr>
      <w:rFonts w:ascii="宋体" w:hAnsi="宋体" w:eastAsia="宋体"/>
      <w:kern w:val="2"/>
      <w:sz w:val="16"/>
      <w:szCs w:val="16"/>
    </w:rPr>
  </w:style>
  <w:style w:type="paragraph" w:styleId="34">
    <w:name w:val="Closing"/>
    <w:basedOn w:val="1"/>
    <w:link w:val="118"/>
    <w:qFormat/>
    <w:uiPriority w:val="0"/>
    <w:pPr>
      <w:ind w:left="100" w:leftChars="2100"/>
    </w:pPr>
    <w:rPr>
      <w:rFonts w:ascii="宋体" w:hAnsi="宋体" w:eastAsia="宋体"/>
      <w:kern w:val="2"/>
      <w:sz w:val="24"/>
      <w:szCs w:val="24"/>
    </w:rPr>
  </w:style>
  <w:style w:type="paragraph" w:styleId="35">
    <w:name w:val="List Bullet 3"/>
    <w:basedOn w:val="1"/>
    <w:qFormat/>
    <w:uiPriority w:val="0"/>
    <w:pPr>
      <w:numPr>
        <w:ilvl w:val="0"/>
        <w:numId w:val="6"/>
      </w:numPr>
      <w:spacing w:before="50" w:after="50"/>
      <w:ind w:left="1361" w:hanging="454"/>
    </w:pPr>
  </w:style>
  <w:style w:type="paragraph" w:styleId="36">
    <w:name w:val="Body Text"/>
    <w:basedOn w:val="1"/>
    <w:link w:val="125"/>
    <w:qFormat/>
    <w:uiPriority w:val="0"/>
    <w:pPr>
      <w:spacing w:after="50" w:afterLines="50"/>
    </w:pPr>
    <w:rPr>
      <w:rFonts w:ascii="宋体" w:hAnsi="宋体" w:eastAsia="宋体"/>
      <w:kern w:val="2"/>
      <w:sz w:val="24"/>
      <w:szCs w:val="24"/>
    </w:rPr>
  </w:style>
  <w:style w:type="paragraph" w:styleId="37">
    <w:name w:val="Body Text Indent"/>
    <w:basedOn w:val="1"/>
    <w:link w:val="127"/>
    <w:qFormat/>
    <w:uiPriority w:val="0"/>
    <w:pPr>
      <w:spacing w:after="120"/>
      <w:ind w:left="420" w:leftChars="200"/>
    </w:pPr>
    <w:rPr>
      <w:rFonts w:ascii="宋体" w:hAnsi="宋体" w:eastAsia="宋体"/>
      <w:kern w:val="2"/>
      <w:sz w:val="24"/>
      <w:szCs w:val="24"/>
    </w:rPr>
  </w:style>
  <w:style w:type="paragraph" w:styleId="38">
    <w:name w:val="List Number 3"/>
    <w:basedOn w:val="1"/>
    <w:qFormat/>
    <w:uiPriority w:val="0"/>
    <w:pPr>
      <w:numPr>
        <w:ilvl w:val="2"/>
        <w:numId w:val="7"/>
      </w:numPr>
      <w:tabs>
        <w:tab w:val="left" w:pos="0"/>
      </w:tabs>
      <w:spacing w:before="50" w:after="50"/>
      <w:ind w:left="2098" w:hanging="907" w:firstLineChars="0"/>
    </w:pPr>
    <w:rPr>
      <w:color w:val="292929"/>
    </w:rPr>
  </w:style>
  <w:style w:type="paragraph" w:styleId="39">
    <w:name w:val="List 2"/>
    <w:basedOn w:val="1"/>
    <w:qFormat/>
    <w:uiPriority w:val="0"/>
    <w:pPr>
      <w:ind w:left="100" w:leftChars="200" w:hanging="200" w:hangingChars="200"/>
      <w:contextualSpacing/>
    </w:pPr>
  </w:style>
  <w:style w:type="paragraph" w:styleId="40">
    <w:name w:val="List Continue"/>
    <w:basedOn w:val="1"/>
    <w:qFormat/>
    <w:uiPriority w:val="0"/>
    <w:pPr>
      <w:spacing w:after="120"/>
      <w:ind w:left="420" w:leftChars="200"/>
      <w:contextualSpacing/>
    </w:pPr>
  </w:style>
  <w:style w:type="paragraph" w:styleId="41">
    <w:name w:val="Block Text"/>
    <w:basedOn w:val="1"/>
    <w:qFormat/>
    <w:uiPriority w:val="0"/>
    <w:pPr>
      <w:spacing w:after="120"/>
      <w:ind w:left="1440" w:leftChars="700" w:right="1440" w:rightChars="700"/>
    </w:pPr>
  </w:style>
  <w:style w:type="paragraph" w:styleId="42">
    <w:name w:val="List Bullet 2"/>
    <w:basedOn w:val="1"/>
    <w:qFormat/>
    <w:uiPriority w:val="0"/>
    <w:pPr>
      <w:numPr>
        <w:ilvl w:val="0"/>
        <w:numId w:val="8"/>
      </w:numPr>
      <w:spacing w:before="50" w:after="50"/>
      <w:ind w:left="850" w:firstLine="0" w:firstLineChars="0"/>
    </w:pPr>
  </w:style>
  <w:style w:type="paragraph" w:styleId="43">
    <w:name w:val="index 4"/>
    <w:basedOn w:val="1"/>
    <w:next w:val="1"/>
    <w:qFormat/>
    <w:uiPriority w:val="0"/>
    <w:pPr>
      <w:ind w:left="600" w:leftChars="600" w:firstLine="0"/>
    </w:pPr>
  </w:style>
  <w:style w:type="paragraph" w:styleId="44">
    <w:name w:val="toc 5"/>
    <w:basedOn w:val="1"/>
    <w:next w:val="1"/>
    <w:qFormat/>
    <w:uiPriority w:val="0"/>
    <w:pPr>
      <w:ind w:left="1680" w:leftChars="800"/>
    </w:pPr>
  </w:style>
  <w:style w:type="paragraph" w:styleId="45">
    <w:name w:val="toc 3"/>
    <w:basedOn w:val="1"/>
    <w:next w:val="1"/>
    <w:qFormat/>
    <w:uiPriority w:val="0"/>
    <w:pPr>
      <w:spacing w:before="50" w:after="50"/>
      <w:ind w:left="840" w:leftChars="400" w:firstLine="0" w:firstLineChars="0"/>
    </w:pPr>
  </w:style>
  <w:style w:type="paragraph" w:styleId="46">
    <w:name w:val="List Bullet 5"/>
    <w:basedOn w:val="1"/>
    <w:qFormat/>
    <w:uiPriority w:val="0"/>
    <w:pPr>
      <w:numPr>
        <w:ilvl w:val="0"/>
        <w:numId w:val="9"/>
      </w:numPr>
      <w:spacing w:before="50" w:after="50"/>
      <w:ind w:left="2324" w:hanging="454"/>
    </w:pPr>
  </w:style>
  <w:style w:type="paragraph" w:styleId="47">
    <w:name w:val="List Number 4"/>
    <w:basedOn w:val="1"/>
    <w:qFormat/>
    <w:uiPriority w:val="0"/>
    <w:pPr>
      <w:numPr>
        <w:ilvl w:val="3"/>
        <w:numId w:val="10"/>
      </w:numPr>
      <w:tabs>
        <w:tab w:val="left" w:pos="0"/>
        <w:tab w:val="left" w:pos="420"/>
      </w:tabs>
      <w:spacing w:before="50" w:after="50"/>
      <w:ind w:left="3231" w:hanging="1134" w:firstLineChars="0"/>
    </w:pPr>
    <w:rPr>
      <w:color w:val="292929"/>
    </w:rPr>
  </w:style>
  <w:style w:type="paragraph" w:styleId="48">
    <w:name w:val="toc 8"/>
    <w:basedOn w:val="1"/>
    <w:next w:val="1"/>
    <w:link w:val="138"/>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1"/>
    <w:next w:val="1"/>
    <w:link w:val="120"/>
    <w:qFormat/>
    <w:uiPriority w:val="0"/>
    <w:pPr>
      <w:spacing w:line="240" w:lineRule="auto"/>
      <w:ind w:left="0" w:leftChars="0" w:firstLine="0" w:firstLineChars="0"/>
      <w:jc w:val="right"/>
    </w:pPr>
    <w:rPr>
      <w:rFonts w:ascii="宋体" w:hAnsi="宋体" w:eastAsia="宋体"/>
      <w:kern w:val="2"/>
      <w:sz w:val="24"/>
      <w:szCs w:val="24"/>
    </w:rPr>
  </w:style>
  <w:style w:type="paragraph" w:styleId="51">
    <w:name w:val="Body Text Indent 2"/>
    <w:basedOn w:val="1"/>
    <w:link w:val="129"/>
    <w:qFormat/>
    <w:uiPriority w:val="0"/>
    <w:pPr>
      <w:spacing w:after="120" w:line="480" w:lineRule="auto"/>
      <w:ind w:left="420" w:leftChars="200"/>
    </w:pPr>
    <w:rPr>
      <w:rFonts w:ascii="宋体" w:hAnsi="宋体" w:eastAsia="宋体"/>
      <w:kern w:val="2"/>
      <w:sz w:val="24"/>
      <w:szCs w:val="24"/>
    </w:rPr>
  </w:style>
  <w:style w:type="paragraph" w:styleId="52">
    <w:name w:val="endnote text"/>
    <w:basedOn w:val="1"/>
    <w:qFormat/>
    <w:uiPriority w:val="0"/>
    <w:pPr>
      <w:ind w:firstLine="0" w:firstLineChars="0"/>
      <w:jc w:val="left"/>
    </w:pPr>
  </w:style>
  <w:style w:type="paragraph" w:styleId="53">
    <w:name w:val="List Continue 5"/>
    <w:basedOn w:val="1"/>
    <w:qFormat/>
    <w:uiPriority w:val="0"/>
    <w:pPr>
      <w:spacing w:after="120"/>
      <w:ind w:left="2100" w:leftChars="1000"/>
      <w:contextualSpacing/>
    </w:pPr>
  </w:style>
  <w:style w:type="paragraph" w:styleId="54">
    <w:name w:val="Balloon Text"/>
    <w:basedOn w:val="1"/>
    <w:qFormat/>
    <w:uiPriority w:val="0"/>
    <w:pPr>
      <w:spacing w:before="50" w:after="50"/>
      <w:ind w:firstLine="0" w:firstLineChars="0"/>
    </w:pPr>
    <w:rPr>
      <w:sz w:val="18"/>
      <w:szCs w:val="18"/>
    </w:rPr>
  </w:style>
  <w:style w:type="paragraph" w:styleId="55">
    <w:name w:val="footer"/>
    <w:basedOn w:val="1"/>
    <w:qFormat/>
    <w:uiPriority w:val="0"/>
    <w:pPr>
      <w:tabs>
        <w:tab w:val="center" w:pos="4153"/>
        <w:tab w:val="right" w:pos="8306"/>
      </w:tabs>
      <w:ind w:firstLine="0" w:firstLineChars="0"/>
      <w:jc w:val="center"/>
    </w:pPr>
    <w:rPr>
      <w:sz w:val="18"/>
      <w:szCs w:val="18"/>
    </w:rPr>
  </w:style>
  <w:style w:type="paragraph" w:styleId="56">
    <w:name w:val="envelope return"/>
    <w:basedOn w:val="1"/>
    <w:qFormat/>
    <w:uiPriority w:val="0"/>
    <w:rPr>
      <w:rFonts w:cstheme="majorBidi"/>
    </w:rPr>
  </w:style>
  <w:style w:type="paragraph" w:styleId="5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szCs w:val="18"/>
    </w:rPr>
  </w:style>
  <w:style w:type="paragraph" w:styleId="58">
    <w:name w:val="Signature"/>
    <w:basedOn w:val="1"/>
    <w:link w:val="119"/>
    <w:qFormat/>
    <w:uiPriority w:val="0"/>
    <w:pPr>
      <w:spacing w:line="240" w:lineRule="auto"/>
      <w:ind w:left="0" w:leftChars="0" w:firstLine="0" w:firstLineChars="0"/>
      <w:jc w:val="right"/>
    </w:pPr>
    <w:rPr>
      <w:rFonts w:ascii="宋体" w:hAnsi="宋体" w:eastAsia="宋体"/>
      <w:kern w:val="2"/>
      <w:sz w:val="24"/>
      <w:szCs w:val="24"/>
    </w:rPr>
  </w:style>
  <w:style w:type="paragraph" w:styleId="59">
    <w:name w:val="toc 1"/>
    <w:basedOn w:val="1"/>
    <w:next w:val="1"/>
    <w:link w:val="137"/>
    <w:qFormat/>
    <w:uiPriority w:val="0"/>
    <w:pPr>
      <w:spacing w:before="50" w:after="50"/>
      <w:ind w:firstLine="0"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1260" w:leftChars="600"/>
    </w:pPr>
  </w:style>
  <w:style w:type="paragraph" w:styleId="62">
    <w:name w:val="index heading"/>
    <w:basedOn w:val="1"/>
    <w:next w:val="63"/>
    <w:qFormat/>
    <w:uiPriority w:val="0"/>
    <w:rPr>
      <w:rFonts w:cstheme="majorBidi"/>
      <w:b/>
      <w:bCs/>
    </w:rPr>
  </w:style>
  <w:style w:type="paragraph" w:styleId="63">
    <w:name w:val="index 1"/>
    <w:basedOn w:val="1"/>
    <w:next w:val="1"/>
    <w:qFormat/>
    <w:uiPriority w:val="0"/>
    <w:pPr>
      <w:ind w:firstLine="0"/>
    </w:pPr>
  </w:style>
  <w:style w:type="paragraph" w:styleId="64">
    <w:name w:val="Subtitle"/>
    <w:link w:val="134"/>
    <w:qFormat/>
    <w:uiPriority w:val="0"/>
    <w:pPr>
      <w:adjustRightInd w:val="0"/>
      <w:snapToGrid w:val="0"/>
      <w:spacing w:after="100" w:afterLines="100" w:line="560" w:lineRule="exact"/>
      <w:jc w:val="center"/>
      <w:outlineLvl w:val="1"/>
    </w:pPr>
    <w:rPr>
      <w:rFonts w:ascii="黑体" w:hAnsi="黑体" w:eastAsia="黑体" w:cstheme="minorBidi"/>
      <w:b/>
      <w:bCs/>
      <w:kern w:val="28"/>
      <w:sz w:val="36"/>
      <w:szCs w:val="36"/>
      <w:lang w:val="en-US" w:eastAsia="zh-CN" w:bidi="ar-SA"/>
    </w:rPr>
  </w:style>
  <w:style w:type="paragraph" w:styleId="65">
    <w:name w:val="List Number 5"/>
    <w:basedOn w:val="1"/>
    <w:qFormat/>
    <w:uiPriority w:val="0"/>
    <w:pPr>
      <w:numPr>
        <w:ilvl w:val="4"/>
        <w:numId w:val="11"/>
      </w:numPr>
      <w:tabs>
        <w:tab w:val="left" w:pos="0"/>
      </w:tabs>
      <w:spacing w:before="50" w:after="50"/>
      <w:ind w:left="4592" w:hanging="1361" w:firstLineChars="0"/>
    </w:pPr>
    <w:rPr>
      <w:color w:val="292929"/>
    </w:rPr>
  </w:style>
  <w:style w:type="paragraph" w:styleId="66">
    <w:name w:val="List"/>
    <w:basedOn w:val="1"/>
    <w:qFormat/>
    <w:uiPriority w:val="0"/>
    <w:pPr>
      <w:ind w:left="200" w:hanging="200" w:hangingChars="200"/>
      <w:contextualSpacing/>
    </w:pPr>
  </w:style>
  <w:style w:type="paragraph" w:styleId="67">
    <w:name w:val="footnote text"/>
    <w:basedOn w:val="1"/>
    <w:qFormat/>
    <w:uiPriority w:val="0"/>
    <w:pPr>
      <w:ind w:firstLine="0" w:firstLineChars="0"/>
      <w:jc w:val="left"/>
    </w:pPr>
    <w:rPr>
      <w:sz w:val="18"/>
      <w:szCs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contextualSpacing/>
    </w:pPr>
  </w:style>
  <w:style w:type="paragraph" w:styleId="70">
    <w:name w:val="Body Text Indent 3"/>
    <w:basedOn w:val="1"/>
    <w:link w:val="130"/>
    <w:qFormat/>
    <w:uiPriority w:val="0"/>
    <w:pPr>
      <w:spacing w:after="120"/>
      <w:ind w:left="420" w:leftChars="200"/>
    </w:pPr>
    <w:rPr>
      <w:rFonts w:ascii="宋体" w:hAnsi="宋体" w:eastAsia="宋体"/>
      <w:kern w:val="2"/>
      <w:sz w:val="16"/>
      <w:szCs w:val="16"/>
    </w:rPr>
  </w:style>
  <w:style w:type="paragraph" w:styleId="71">
    <w:name w:val="index 7"/>
    <w:basedOn w:val="1"/>
    <w:next w:val="1"/>
    <w:qFormat/>
    <w:uiPriority w:val="0"/>
    <w:pPr>
      <w:ind w:left="1200" w:leftChars="1200" w:firstLine="0"/>
    </w:pPr>
  </w:style>
  <w:style w:type="paragraph" w:styleId="72">
    <w:name w:val="index 9"/>
    <w:basedOn w:val="1"/>
    <w:next w:val="1"/>
    <w:qFormat/>
    <w:uiPriority w:val="0"/>
    <w:pPr>
      <w:ind w:left="1600" w:leftChars="1600" w:firstLine="0"/>
    </w:pPr>
  </w:style>
  <w:style w:type="paragraph" w:styleId="73">
    <w:name w:val="table of figures"/>
    <w:basedOn w:val="1"/>
    <w:next w:val="1"/>
    <w:qFormat/>
    <w:uiPriority w:val="0"/>
    <w:pPr>
      <w:ind w:left="200" w:leftChars="200" w:hanging="200" w:hangingChars="200"/>
    </w:pPr>
  </w:style>
  <w:style w:type="paragraph" w:styleId="74">
    <w:name w:val="toc 2"/>
    <w:basedOn w:val="1"/>
    <w:next w:val="1"/>
    <w:qFormat/>
    <w:uiPriority w:val="0"/>
    <w:pPr>
      <w:spacing w:before="50" w:after="50"/>
      <w:ind w:left="420" w:leftChars="200" w:firstLine="0" w:firstLineChars="0"/>
    </w:pPr>
  </w:style>
  <w:style w:type="paragraph" w:styleId="75">
    <w:name w:val="toc 9"/>
    <w:basedOn w:val="1"/>
    <w:next w:val="1"/>
    <w:link w:val="132"/>
    <w:qFormat/>
    <w:uiPriority w:val="0"/>
    <w:pPr>
      <w:ind w:left="3360" w:leftChars="1600"/>
    </w:pPr>
    <w:rPr>
      <w:rFonts w:ascii="宋体" w:hAnsi="宋体" w:eastAsia="宋体"/>
      <w:kern w:val="2"/>
      <w:sz w:val="24"/>
      <w:szCs w:val="24"/>
    </w:rPr>
  </w:style>
  <w:style w:type="paragraph" w:styleId="76">
    <w:name w:val="Body Text 2"/>
    <w:basedOn w:val="1"/>
    <w:link w:val="123"/>
    <w:qFormat/>
    <w:uiPriority w:val="0"/>
    <w:pPr>
      <w:spacing w:after="120" w:line="480" w:lineRule="auto"/>
    </w:pPr>
    <w:rPr>
      <w:rFonts w:ascii="宋体" w:hAnsi="宋体" w:eastAsia="宋体"/>
      <w:kern w:val="2"/>
      <w:sz w:val="24"/>
      <w:szCs w:val="24"/>
    </w:rPr>
  </w:style>
  <w:style w:type="paragraph" w:styleId="77">
    <w:name w:val="List 4"/>
    <w:basedOn w:val="1"/>
    <w:qFormat/>
    <w:uiPriority w:val="0"/>
    <w:pPr>
      <w:ind w:left="100" w:leftChars="600" w:hanging="200" w:hangingChars="200"/>
      <w:contextualSpacing/>
    </w:pPr>
  </w:style>
  <w:style w:type="paragraph" w:styleId="78">
    <w:name w:val="List Continue 2"/>
    <w:basedOn w:val="1"/>
    <w:qFormat/>
    <w:uiPriority w:val="0"/>
    <w:pPr>
      <w:spacing w:after="120"/>
      <w:ind w:left="840" w:leftChars="400"/>
      <w:contextualSpacing/>
    </w:pPr>
  </w:style>
  <w:style w:type="paragraph" w:styleId="79">
    <w:name w:val="Message Header"/>
    <w:basedOn w:val="1"/>
    <w:link w:val="12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宋体" w:hAnsi="宋体" w:eastAsia="宋体" w:cstheme="majorBidi"/>
      <w:kern w:val="2"/>
      <w:sz w:val="24"/>
      <w:szCs w:val="24"/>
      <w:shd w:val="pct20" w:color="auto" w:fill="auto"/>
    </w:rPr>
  </w:style>
  <w:style w:type="paragraph" w:styleId="80">
    <w:name w:val="HTML Preformatted"/>
    <w:basedOn w:val="1"/>
    <w:qFormat/>
    <w:uiPriority w:val="0"/>
    <w:rPr>
      <w:rFonts w:ascii="Courier New" w:hAnsi="Courier New"/>
      <w:sz w:val="20"/>
    </w:rPr>
  </w:style>
  <w:style w:type="paragraph" w:styleId="81">
    <w:name w:val="Normal (Web)"/>
    <w:basedOn w:val="1"/>
    <w:qFormat/>
    <w:uiPriority w:val="0"/>
    <w:rPr>
      <w:rFonts w:cs="Times New Roman"/>
    </w:rPr>
  </w:style>
  <w:style w:type="paragraph" w:styleId="82">
    <w:name w:val="List Continue 3"/>
    <w:basedOn w:val="1"/>
    <w:qFormat/>
    <w:uiPriority w:val="0"/>
    <w:pPr>
      <w:spacing w:after="120"/>
      <w:ind w:left="1260" w:leftChars="600"/>
      <w:contextualSpacing/>
    </w:pPr>
  </w:style>
  <w:style w:type="paragraph" w:styleId="83">
    <w:name w:val="index 2"/>
    <w:basedOn w:val="1"/>
    <w:next w:val="1"/>
    <w:qFormat/>
    <w:uiPriority w:val="0"/>
    <w:pPr>
      <w:ind w:left="200" w:leftChars="200" w:firstLine="0"/>
    </w:pPr>
  </w:style>
  <w:style w:type="paragraph" w:styleId="84">
    <w:name w:val="Title"/>
    <w:link w:val="135"/>
    <w:qFormat/>
    <w:uiPriority w:val="10"/>
    <w:pPr>
      <w:pBdr>
        <w:top w:val="none" w:color="auto" w:sz="0" w:space="1"/>
        <w:left w:val="none" w:color="auto" w:sz="0" w:space="4"/>
        <w:bottom w:val="none" w:color="auto" w:sz="0" w:space="1"/>
        <w:right w:val="none" w:color="auto" w:sz="0" w:space="4"/>
      </w:pBdr>
      <w:bidi w:val="0"/>
      <w:adjustRightInd w:val="0"/>
      <w:snapToGrid w:val="0"/>
      <w:spacing w:after="100" w:afterLines="100" w:line="640" w:lineRule="exact"/>
      <w:jc w:val="center"/>
      <w:outlineLvl w:val="0"/>
    </w:pPr>
    <w:rPr>
      <w:rFonts w:ascii="方正小标宋简体" w:hAnsi="方正小标宋简体" w:eastAsia="方正小标宋简体" w:cs="Times New Roman"/>
      <w:sz w:val="44"/>
      <w:szCs w:val="44"/>
      <w:lang w:val="en-US" w:eastAsia="zh-CN" w:bidi="ar-SA"/>
    </w:rPr>
  </w:style>
  <w:style w:type="paragraph" w:styleId="85">
    <w:name w:val="annotation subject"/>
    <w:basedOn w:val="30"/>
    <w:next w:val="30"/>
    <w:qFormat/>
    <w:uiPriority w:val="0"/>
    <w:rPr>
      <w:b/>
    </w:rPr>
  </w:style>
  <w:style w:type="paragraph" w:styleId="86">
    <w:name w:val="Body Text First Indent"/>
    <w:basedOn w:val="36"/>
    <w:link w:val="126"/>
    <w:qFormat/>
    <w:uiPriority w:val="0"/>
    <w:pPr>
      <w:spacing w:after="120" w:afterLines="0"/>
      <w:ind w:firstLine="420" w:firstLineChars="100"/>
    </w:pPr>
    <w:rPr>
      <w:rFonts w:ascii="宋体" w:hAnsi="宋体" w:eastAsia="宋体"/>
      <w:kern w:val="2"/>
      <w:sz w:val="24"/>
      <w:szCs w:val="24"/>
    </w:rPr>
  </w:style>
  <w:style w:type="paragraph" w:styleId="87">
    <w:name w:val="Body Text First Indent 2"/>
    <w:basedOn w:val="37"/>
    <w:link w:val="128"/>
    <w:qFormat/>
    <w:uiPriority w:val="0"/>
    <w:pPr>
      <w:ind w:firstLine="420"/>
    </w:pPr>
    <w:rPr>
      <w:rFonts w:ascii="宋体" w:hAnsi="宋体" w:eastAsia="宋体"/>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qFormat/>
    <w:uiPriority w:val="22"/>
    <w:rPr>
      <w:rFonts w:ascii="仿宋" w:hAnsi="仿宋" w:eastAsia="仿宋" w:cs="Times New Roman"/>
      <w:b/>
      <w:bCs/>
      <w:color w:val="auto"/>
      <w:sz w:val="32"/>
      <w:szCs w:val="32"/>
      <w:u w:val="words" w:color="333333"/>
    </w:rPr>
  </w:style>
  <w:style w:type="character" w:styleId="92">
    <w:name w:val="endnote reference"/>
    <w:basedOn w:val="90"/>
    <w:qFormat/>
    <w:uiPriority w:val="0"/>
    <w:rPr>
      <w:rFonts w:ascii="仿宋" w:hAnsi="仿宋" w:eastAsia="仿宋"/>
      <w:vertAlign w:val="superscript"/>
    </w:rPr>
  </w:style>
  <w:style w:type="character" w:styleId="93">
    <w:name w:val="page number"/>
    <w:basedOn w:val="90"/>
    <w:qFormat/>
    <w:uiPriority w:val="0"/>
    <w:rPr>
      <w:rFonts w:ascii="仿宋" w:hAnsi="仿宋" w:eastAsia="仿宋" w:cs="Times New Roman"/>
      <w:color w:val="808080" w:themeColor="background1" w:themeShade="80"/>
    </w:rPr>
  </w:style>
  <w:style w:type="character" w:styleId="94">
    <w:name w:val="FollowedHyperlink"/>
    <w:basedOn w:val="90"/>
    <w:qFormat/>
    <w:uiPriority w:val="0"/>
    <w:rPr>
      <w:rFonts w:ascii="仿宋" w:hAnsi="仿宋" w:eastAsia="仿宋"/>
      <w:color w:val="800080"/>
      <w:sz w:val="32"/>
      <w:szCs w:val="32"/>
      <w:u w:val="single"/>
    </w:rPr>
  </w:style>
  <w:style w:type="character" w:styleId="95">
    <w:name w:val="Emphasis"/>
    <w:basedOn w:val="90"/>
    <w:qFormat/>
    <w:uiPriority w:val="20"/>
    <w:rPr>
      <w:rFonts w:ascii="仿宋" w:hAnsi="仿宋" w:eastAsia="仿宋" w:cs="Times New Roman"/>
      <w:b/>
      <w:bCs/>
      <w:color w:val="auto"/>
      <w:sz w:val="32"/>
      <w:szCs w:val="32"/>
      <w:u w:val="none" w:color="C71C31" w:themeColor="accent6" w:themeShade="BF"/>
    </w:rPr>
  </w:style>
  <w:style w:type="character" w:styleId="96">
    <w:name w:val="Hyperlink"/>
    <w:basedOn w:val="90"/>
    <w:qFormat/>
    <w:uiPriority w:val="0"/>
    <w:rPr>
      <w:rFonts w:ascii="仿宋" w:hAnsi="仿宋" w:eastAsia="仿宋"/>
      <w:color w:val="0000FF"/>
      <w:sz w:val="32"/>
      <w:szCs w:val="32"/>
      <w:u w:val="single"/>
    </w:rPr>
  </w:style>
  <w:style w:type="character" w:styleId="97">
    <w:name w:val="annotation reference"/>
    <w:basedOn w:val="90"/>
    <w:qFormat/>
    <w:uiPriority w:val="0"/>
    <w:rPr>
      <w:rFonts w:ascii="宋体" w:hAnsi="宋体" w:eastAsia="宋体"/>
      <w:sz w:val="21"/>
      <w:szCs w:val="21"/>
    </w:rPr>
  </w:style>
  <w:style w:type="character" w:styleId="98">
    <w:name w:val="footnote reference"/>
    <w:basedOn w:val="90"/>
    <w:qFormat/>
    <w:uiPriority w:val="0"/>
    <w:rPr>
      <w:rFonts w:ascii="仿宋" w:hAnsi="仿宋" w:eastAsia="仿宋"/>
      <w:vertAlign w:val="superscript"/>
    </w:rPr>
  </w:style>
  <w:style w:type="paragraph" w:customStyle="1" w:styleId="99">
    <w:name w:val="文档说明标题"/>
    <w:next w:val="1"/>
    <w:qFormat/>
    <w:uiPriority w:val="0"/>
    <w:pPr>
      <w:keepNext/>
      <w:keepLines/>
      <w:tabs>
        <w:tab w:val="left" w:pos="0"/>
      </w:tabs>
      <w:adjustRightInd w:val="0"/>
      <w:snapToGrid w:val="0"/>
      <w:spacing w:line="720" w:lineRule="exact"/>
      <w:jc w:val="center"/>
      <w:outlineLvl w:val="0"/>
    </w:pPr>
    <w:rPr>
      <w:rFonts w:ascii="黑体" w:hAnsi="黑体" w:eastAsia="黑体" w:cstheme="minorBidi"/>
      <w:color w:val="auto"/>
      <w:kern w:val="44"/>
      <w:sz w:val="36"/>
      <w:szCs w:val="36"/>
      <w:lang w:val="en-US" w:eastAsia="zh-CN" w:bidi="ar-SA"/>
    </w:rPr>
  </w:style>
  <w:style w:type="paragraph" w:customStyle="1" w:styleId="100">
    <w:name w:val="章标题"/>
    <w:next w:val="1"/>
    <w:qFormat/>
    <w:uiPriority w:val="0"/>
    <w:pPr>
      <w:keepNext/>
      <w:keepLines/>
      <w:tabs>
        <w:tab w:val="left" w:pos="0"/>
      </w:tabs>
      <w:adjustRightInd w:val="0"/>
      <w:snapToGrid w:val="0"/>
      <w:spacing w:line="560" w:lineRule="exact"/>
      <w:jc w:val="center"/>
      <w:outlineLvl w:val="0"/>
    </w:pPr>
    <w:rPr>
      <w:rFonts w:ascii="黑体" w:hAnsi="黑体" w:eastAsia="黑体" w:cstheme="minorBidi"/>
      <w:b/>
      <w:bCs/>
      <w:kern w:val="44"/>
      <w:sz w:val="36"/>
      <w:szCs w:val="36"/>
      <w:lang w:val="en-US" w:eastAsia="zh-CN" w:bidi="ar-SA"/>
    </w:rPr>
  </w:style>
  <w:style w:type="paragraph" w:customStyle="1" w:styleId="101">
    <w:name w:val="节标题"/>
    <w:next w:val="1"/>
    <w:qFormat/>
    <w:uiPriority w:val="0"/>
    <w:pPr>
      <w:tabs>
        <w:tab w:val="left" w:pos="0"/>
      </w:tabs>
      <w:adjustRightInd w:val="0"/>
      <w:snapToGrid w:val="0"/>
      <w:spacing w:line="560" w:lineRule="exact"/>
      <w:jc w:val="center"/>
    </w:pPr>
    <w:rPr>
      <w:rFonts w:ascii="黑体" w:hAnsi="黑体" w:eastAsia="黑体" w:cstheme="minorBidi"/>
      <w:b/>
      <w:bCs/>
      <w:sz w:val="32"/>
      <w:szCs w:val="32"/>
      <w:lang w:val="en-US" w:eastAsia="zh-CN" w:bidi="ar-SA"/>
    </w:rPr>
  </w:style>
  <w:style w:type="paragraph" w:customStyle="1" w:styleId="102">
    <w:name w:val="附录标题"/>
    <w:next w:val="36"/>
    <w:qFormat/>
    <w:uiPriority w:val="0"/>
    <w:pPr>
      <w:overflowPunct w:val="0"/>
      <w:topLinePunct/>
      <w:adjustRightInd w:val="0"/>
      <w:snapToGrid w:val="0"/>
      <w:spacing w:line="720" w:lineRule="exact"/>
      <w:jc w:val="center"/>
    </w:pPr>
    <w:rPr>
      <w:rFonts w:hint="eastAsia" w:ascii="黑体" w:hAnsi="黑体" w:eastAsia="黑体" w:cs="Times New Roman"/>
      <w:color w:val="auto"/>
      <w:sz w:val="36"/>
      <w:szCs w:val="36"/>
      <w:lang w:val="en-US" w:eastAsia="zh-CN" w:bidi="ar-SA"/>
    </w:rPr>
  </w:style>
  <w:style w:type="character" w:customStyle="1" w:styleId="103">
    <w:name w:val="摘要"/>
    <w:basedOn w:val="90"/>
    <w:qFormat/>
    <w:uiPriority w:val="0"/>
    <w:rPr>
      <w:rFonts w:ascii="仿宋" w:hAnsi="仿宋" w:eastAsia="仿宋"/>
      <w:b/>
      <w:bCs/>
      <w:lang w:val="en-US" w:eastAsia="zh-CN"/>
    </w:rPr>
  </w:style>
  <w:style w:type="character" w:customStyle="1" w:styleId="104">
    <w:name w:val="关键词"/>
    <w:basedOn w:val="90"/>
    <w:qFormat/>
    <w:uiPriority w:val="0"/>
    <w:rPr>
      <w:rFonts w:ascii="仿宋" w:hAnsi="仿宋" w:eastAsia="仿宋"/>
      <w:b/>
      <w:bCs/>
      <w:lang w:val="en-US" w:eastAsia="zh-CN"/>
    </w:rPr>
  </w:style>
  <w:style w:type="paragraph" w:customStyle="1" w:styleId="105">
    <w:name w:val="题注1"/>
    <w:basedOn w:val="1"/>
    <w:qFormat/>
    <w:uiPriority w:val="0"/>
    <w:pPr>
      <w:spacing w:before="50" w:after="50"/>
      <w:ind w:firstLine="0" w:firstLineChars="0"/>
    </w:pPr>
    <w:rPr>
      <w:rFonts w:hint="eastAsia"/>
      <w:sz w:val="20"/>
      <w:szCs w:val="20"/>
    </w:rPr>
  </w:style>
  <w:style w:type="paragraph" w:customStyle="1" w:styleId="106">
    <w:name w:val="目录标题"/>
    <w:link w:val="111"/>
    <w:qFormat/>
    <w:uiPriority w:val="0"/>
    <w:pPr>
      <w:jc w:val="center"/>
    </w:pPr>
    <w:rPr>
      <w:rFonts w:ascii="宋体" w:hAnsi="宋体" w:eastAsia="宋体" w:cstheme="minorBidi"/>
      <w:b/>
      <w:bCs/>
      <w:sz w:val="24"/>
      <w:szCs w:val="24"/>
    </w:rPr>
  </w:style>
  <w:style w:type="paragraph" w:customStyle="1" w:styleId="107">
    <w:name w:val="主送对象"/>
    <w:basedOn w:val="32"/>
    <w:qFormat/>
    <w:uiPriority w:val="0"/>
    <w:rPr>
      <w:rFonts w:hint="eastAsia"/>
      <w:color w:val="262626" w:themeColor="text1" w:themeTint="D9"/>
      <w14:textFill>
        <w14:solidFill>
          <w14:schemeClr w14:val="tx1">
            <w14:lumMod w14:val="85000"/>
            <w14:lumOff w14:val="15000"/>
          </w14:schemeClr>
        </w14:solidFill>
      </w14:textFill>
    </w:rPr>
  </w:style>
  <w:style w:type="paragraph" w:customStyle="1" w:styleId="108">
    <w:name w:val="致谢标题"/>
    <w:qFormat/>
    <w:uiPriority w:val="0"/>
    <w:pPr>
      <w:keepNext/>
      <w:keepLines/>
      <w:adjustRightInd w:val="0"/>
      <w:snapToGrid w:val="0"/>
      <w:spacing w:before="50" w:beforeLines="50" w:line="312" w:lineRule="auto"/>
      <w:jc w:val="center"/>
      <w:outlineLvl w:val="0"/>
    </w:pPr>
    <w:rPr>
      <w:rFonts w:ascii="+西文标题" w:hAnsi="+西文标题" w:eastAsia="+中文标题" w:cs="Times New Roman"/>
      <w:b/>
      <w:bCs/>
      <w:kern w:val="44"/>
      <w:sz w:val="32"/>
      <w:szCs w:val="32"/>
    </w:rPr>
  </w:style>
  <w:style w:type="paragraph" w:customStyle="1" w:styleId="109">
    <w:name w:val="参考文献标题"/>
    <w:qFormat/>
    <w:uiPriority w:val="0"/>
    <w:pPr>
      <w:keepNext/>
      <w:keepLines/>
      <w:spacing w:before="50" w:beforeLines="50" w:after="20" w:afterLines="20" w:line="312" w:lineRule="auto"/>
      <w:jc w:val="center"/>
      <w:outlineLvl w:val="0"/>
    </w:pPr>
    <w:rPr>
      <w:rFonts w:ascii="+西文标题" w:hAnsi="+西文标题" w:eastAsia="+中文标题" w:cs="Times New Roman"/>
      <w:b/>
      <w:bCs/>
      <w:kern w:val="44"/>
      <w:sz w:val="32"/>
      <w:szCs w:val="32"/>
    </w:rPr>
  </w:style>
  <w:style w:type="paragraph" w:customStyle="1" w:styleId="110">
    <w:name w:val="声明标题"/>
    <w:qFormat/>
    <w:uiPriority w:val="0"/>
    <w:pPr>
      <w:keepNext/>
      <w:keepLines/>
      <w:adjustRightInd w:val="0"/>
      <w:snapToGrid w:val="0"/>
      <w:spacing w:before="50" w:beforeLines="50" w:line="312" w:lineRule="auto"/>
      <w:jc w:val="center"/>
      <w:outlineLvl w:val="0"/>
    </w:pPr>
    <w:rPr>
      <w:rFonts w:hint="default" w:cs="Times New Roman" w:asciiTheme="majorAscii" w:hAnsiTheme="majorAscii" w:eastAsiaTheme="majorEastAsia"/>
      <w:b/>
      <w:bCs/>
      <w:kern w:val="44"/>
      <w:sz w:val="32"/>
      <w:szCs w:val="32"/>
    </w:rPr>
  </w:style>
  <w:style w:type="character" w:customStyle="1" w:styleId="111">
    <w:name w:val="目录标题 Char"/>
    <w:link w:val="106"/>
    <w:qFormat/>
    <w:uiPriority w:val="0"/>
    <w:rPr>
      <w:rFonts w:ascii="宋体" w:hAnsi="宋体" w:eastAsia="宋体"/>
      <w:b/>
      <w:bCs/>
      <w:sz w:val="24"/>
      <w:szCs w:val="24"/>
    </w:rPr>
  </w:style>
  <w:style w:type="character" w:customStyle="1" w:styleId="112">
    <w:name w:val="参考文献条目"/>
    <w:basedOn w:val="90"/>
    <w:qFormat/>
    <w:uiPriority w:val="0"/>
    <w:rPr>
      <w:rFonts w:ascii="仿宋" w:hAnsi="仿宋" w:eastAsia="仿宋"/>
      <w:sz w:val="32"/>
      <w:szCs w:val="32"/>
      <w:lang w:val="en-US" w:eastAsia="zh-CN"/>
    </w:rPr>
  </w:style>
  <w:style w:type="character" w:customStyle="1" w:styleId="113">
    <w:name w:val="着重标题"/>
    <w:basedOn w:val="90"/>
    <w:qFormat/>
    <w:uiPriority w:val="0"/>
    <w:rPr>
      <w:rFonts w:ascii="仿宋" w:hAnsi="仿宋" w:eastAsia="仿宋"/>
      <w:lang w:val="en-US" w:eastAsia="zh-CN"/>
    </w:rPr>
  </w:style>
  <w:style w:type="character" w:customStyle="1" w:styleId="114">
    <w:name w:val="称呼 字符"/>
    <w:basedOn w:val="90"/>
    <w:link w:val="32"/>
    <w:qFormat/>
    <w:uiPriority w:val="0"/>
    <w:rPr>
      <w:rFonts w:ascii="宋体" w:hAnsi="宋体" w:eastAsia="宋体"/>
      <w:kern w:val="2"/>
      <w:sz w:val="24"/>
      <w:szCs w:val="24"/>
    </w:rPr>
  </w:style>
  <w:style w:type="character" w:customStyle="1" w:styleId="115">
    <w:name w:val="纯文本 字符"/>
    <w:basedOn w:val="90"/>
    <w:link w:val="2"/>
    <w:qFormat/>
    <w:uiPriority w:val="0"/>
    <w:rPr>
      <w:rFonts w:ascii="宋体" w:hAnsi="宋体" w:eastAsia="宋体" w:cs="Courier New"/>
      <w:kern w:val="2"/>
      <w:sz w:val="24"/>
      <w:szCs w:val="24"/>
    </w:rPr>
  </w:style>
  <w:style w:type="character" w:customStyle="1" w:styleId="116">
    <w:name w:val="电子邮件签名 字符"/>
    <w:basedOn w:val="90"/>
    <w:link w:val="21"/>
    <w:qFormat/>
    <w:uiPriority w:val="0"/>
    <w:rPr>
      <w:rFonts w:ascii="宋体" w:hAnsi="宋体" w:eastAsia="宋体"/>
      <w:kern w:val="2"/>
      <w:sz w:val="24"/>
      <w:szCs w:val="24"/>
    </w:rPr>
  </w:style>
  <w:style w:type="character" w:customStyle="1" w:styleId="117">
    <w:name w:val="宏文本 字符"/>
    <w:basedOn w:val="90"/>
    <w:link w:val="3"/>
    <w:qFormat/>
    <w:uiPriority w:val="0"/>
    <w:rPr>
      <w:rFonts w:ascii="宋体" w:hAnsi="宋体" w:eastAsia="宋体" w:cs="Courier New"/>
      <w:kern w:val="2"/>
      <w:sz w:val="24"/>
      <w:szCs w:val="24"/>
    </w:rPr>
  </w:style>
  <w:style w:type="character" w:customStyle="1" w:styleId="118">
    <w:name w:val="结束语 字符"/>
    <w:basedOn w:val="90"/>
    <w:link w:val="34"/>
    <w:qFormat/>
    <w:uiPriority w:val="0"/>
    <w:rPr>
      <w:rFonts w:ascii="宋体" w:hAnsi="宋体" w:eastAsia="宋体"/>
      <w:kern w:val="2"/>
      <w:sz w:val="24"/>
      <w:szCs w:val="24"/>
    </w:rPr>
  </w:style>
  <w:style w:type="character" w:customStyle="1" w:styleId="119">
    <w:name w:val="签名 字符"/>
    <w:basedOn w:val="90"/>
    <w:link w:val="58"/>
    <w:qFormat/>
    <w:uiPriority w:val="0"/>
    <w:rPr>
      <w:rFonts w:ascii="宋体" w:hAnsi="宋体" w:eastAsia="宋体"/>
      <w:kern w:val="2"/>
      <w:sz w:val="24"/>
      <w:szCs w:val="24"/>
    </w:rPr>
  </w:style>
  <w:style w:type="character" w:customStyle="1" w:styleId="120">
    <w:name w:val="日期 字符"/>
    <w:basedOn w:val="90"/>
    <w:link w:val="50"/>
    <w:qFormat/>
    <w:uiPriority w:val="0"/>
    <w:rPr>
      <w:rFonts w:ascii="宋体" w:hAnsi="宋体" w:eastAsia="宋体"/>
      <w:kern w:val="2"/>
      <w:sz w:val="24"/>
      <w:szCs w:val="24"/>
    </w:rPr>
  </w:style>
  <w:style w:type="character" w:customStyle="1" w:styleId="121">
    <w:name w:val="文档结构图 字符"/>
    <w:basedOn w:val="90"/>
    <w:link w:val="28"/>
    <w:qFormat/>
    <w:uiPriority w:val="0"/>
    <w:rPr>
      <w:rFonts w:ascii="宋体" w:hAnsi="宋体" w:eastAsia="宋体"/>
      <w:kern w:val="2"/>
      <w:sz w:val="18"/>
      <w:szCs w:val="18"/>
    </w:rPr>
  </w:style>
  <w:style w:type="character" w:customStyle="1" w:styleId="122">
    <w:name w:val="信息标题 字符"/>
    <w:basedOn w:val="90"/>
    <w:link w:val="79"/>
    <w:qFormat/>
    <w:uiPriority w:val="0"/>
    <w:rPr>
      <w:rFonts w:ascii="宋体" w:hAnsi="宋体" w:eastAsia="宋体" w:cstheme="majorBidi"/>
      <w:kern w:val="2"/>
      <w:sz w:val="24"/>
      <w:szCs w:val="24"/>
      <w:shd w:val="pct20" w:color="auto" w:fill="auto"/>
    </w:rPr>
  </w:style>
  <w:style w:type="character" w:customStyle="1" w:styleId="123">
    <w:name w:val="正文文本 2 字符"/>
    <w:basedOn w:val="90"/>
    <w:link w:val="76"/>
    <w:qFormat/>
    <w:uiPriority w:val="0"/>
    <w:rPr>
      <w:rFonts w:ascii="宋体" w:hAnsi="宋体" w:eastAsia="宋体"/>
      <w:kern w:val="2"/>
      <w:sz w:val="24"/>
      <w:szCs w:val="24"/>
    </w:rPr>
  </w:style>
  <w:style w:type="character" w:customStyle="1" w:styleId="124">
    <w:name w:val="正文文本 3 字符"/>
    <w:basedOn w:val="90"/>
    <w:link w:val="33"/>
    <w:qFormat/>
    <w:uiPriority w:val="0"/>
    <w:rPr>
      <w:rFonts w:ascii="宋体" w:hAnsi="宋体" w:eastAsia="宋体"/>
      <w:kern w:val="2"/>
      <w:sz w:val="16"/>
      <w:szCs w:val="16"/>
    </w:rPr>
  </w:style>
  <w:style w:type="character" w:customStyle="1" w:styleId="125">
    <w:name w:val="正文文本 字符"/>
    <w:basedOn w:val="90"/>
    <w:link w:val="36"/>
    <w:qFormat/>
    <w:uiPriority w:val="0"/>
    <w:rPr>
      <w:rFonts w:ascii="宋体" w:hAnsi="宋体" w:eastAsia="宋体"/>
      <w:kern w:val="2"/>
      <w:sz w:val="24"/>
      <w:szCs w:val="24"/>
    </w:rPr>
  </w:style>
  <w:style w:type="character" w:customStyle="1" w:styleId="126">
    <w:name w:val="正文文本首行缩进 字符"/>
    <w:basedOn w:val="125"/>
    <w:link w:val="86"/>
    <w:qFormat/>
    <w:uiPriority w:val="0"/>
    <w:rPr>
      <w:rFonts w:ascii="宋体" w:hAnsi="宋体" w:eastAsia="宋体"/>
      <w:kern w:val="2"/>
      <w:sz w:val="24"/>
      <w:szCs w:val="24"/>
    </w:rPr>
  </w:style>
  <w:style w:type="character" w:customStyle="1" w:styleId="127">
    <w:name w:val="正文文本缩进 字符"/>
    <w:basedOn w:val="90"/>
    <w:link w:val="37"/>
    <w:qFormat/>
    <w:uiPriority w:val="0"/>
    <w:rPr>
      <w:rFonts w:ascii="宋体" w:hAnsi="宋体" w:eastAsia="宋体"/>
      <w:kern w:val="2"/>
      <w:sz w:val="24"/>
      <w:szCs w:val="24"/>
    </w:rPr>
  </w:style>
  <w:style w:type="character" w:customStyle="1" w:styleId="128">
    <w:name w:val="正文文本首行缩进 2 字符"/>
    <w:basedOn w:val="127"/>
    <w:link w:val="87"/>
    <w:qFormat/>
    <w:uiPriority w:val="0"/>
    <w:rPr>
      <w:rFonts w:ascii="宋体" w:hAnsi="宋体" w:eastAsia="宋体"/>
      <w:kern w:val="2"/>
      <w:sz w:val="24"/>
      <w:szCs w:val="24"/>
    </w:rPr>
  </w:style>
  <w:style w:type="character" w:customStyle="1" w:styleId="129">
    <w:name w:val="正文文本缩进 2 字符"/>
    <w:basedOn w:val="90"/>
    <w:link w:val="51"/>
    <w:qFormat/>
    <w:uiPriority w:val="0"/>
    <w:rPr>
      <w:rFonts w:ascii="宋体" w:hAnsi="宋体" w:eastAsia="宋体"/>
      <w:kern w:val="2"/>
      <w:sz w:val="24"/>
      <w:szCs w:val="24"/>
    </w:rPr>
  </w:style>
  <w:style w:type="character" w:customStyle="1" w:styleId="130">
    <w:name w:val="正文文本缩进 3 字符"/>
    <w:basedOn w:val="90"/>
    <w:link w:val="70"/>
    <w:qFormat/>
    <w:uiPriority w:val="0"/>
    <w:rPr>
      <w:rFonts w:ascii="宋体" w:hAnsi="宋体" w:eastAsia="宋体"/>
      <w:kern w:val="2"/>
      <w:sz w:val="16"/>
      <w:szCs w:val="16"/>
    </w:rPr>
  </w:style>
  <w:style w:type="character" w:customStyle="1" w:styleId="131">
    <w:name w:val="注释标题 字符"/>
    <w:basedOn w:val="90"/>
    <w:link w:val="18"/>
    <w:qFormat/>
    <w:uiPriority w:val="0"/>
    <w:rPr>
      <w:rFonts w:ascii="宋体" w:hAnsi="宋体" w:eastAsia="宋体"/>
      <w:kern w:val="2"/>
      <w:sz w:val="24"/>
      <w:szCs w:val="24"/>
    </w:rPr>
  </w:style>
  <w:style w:type="character" w:customStyle="1" w:styleId="132">
    <w:name w:val="TOC 9 字符"/>
    <w:link w:val="75"/>
    <w:qFormat/>
    <w:uiPriority w:val="0"/>
    <w:rPr>
      <w:rFonts w:ascii="宋体" w:hAnsi="宋体" w:eastAsia="宋体"/>
      <w:kern w:val="2"/>
      <w:sz w:val="24"/>
      <w:szCs w:val="24"/>
    </w:rPr>
  </w:style>
  <w:style w:type="character" w:customStyle="1" w:styleId="133">
    <w:name w:val="标题 4 字符"/>
    <w:link w:val="8"/>
    <w:qFormat/>
    <w:uiPriority w:val="9"/>
  </w:style>
  <w:style w:type="character" w:customStyle="1" w:styleId="134">
    <w:name w:val="副标题 字符"/>
    <w:link w:val="64"/>
    <w:qFormat/>
    <w:uiPriority w:val="0"/>
    <w:rPr>
      <w:rFonts w:ascii="黑体" w:hAnsi="黑体" w:eastAsia="黑体" w:cstheme="minorBidi"/>
      <w:b/>
      <w:bCs/>
      <w:kern w:val="28"/>
      <w:sz w:val="36"/>
      <w:szCs w:val="36"/>
      <w:lang w:val="en-US" w:eastAsia="zh-CN" w:bidi="ar-SA"/>
    </w:rPr>
  </w:style>
  <w:style w:type="character" w:customStyle="1" w:styleId="135">
    <w:name w:val="标题 字符"/>
    <w:link w:val="84"/>
    <w:qFormat/>
    <w:uiPriority w:val="0"/>
    <w:rPr>
      <w:rFonts w:ascii="方正小标宋简体" w:hAnsi="方正小标宋简体" w:eastAsia="方正小标宋简体" w:cs="Times New Roman"/>
      <w:sz w:val="44"/>
      <w:szCs w:val="44"/>
      <w:lang w:val="en-US" w:eastAsia="zh-CN" w:bidi="ar-SA"/>
    </w:rPr>
  </w:style>
  <w:style w:type="paragraph" w:customStyle="1" w:styleId="136">
    <w:name w:val="表格标题"/>
    <w:next w:val="1"/>
    <w:qFormat/>
    <w:uiPriority w:val="0"/>
    <w:pPr>
      <w:overflowPunct w:val="0"/>
      <w:topLinePunct/>
      <w:jc w:val="center"/>
    </w:pPr>
    <w:rPr>
      <w:rFonts w:hint="eastAsia" w:ascii="仿宋" w:hAnsi="仿宋" w:eastAsia="仿宋" w:cs="Times New Roman"/>
      <w:color w:val="262626" w:themeColor="text1" w:themeTint="D9"/>
      <w:spacing w:val="-6"/>
      <w:sz w:val="32"/>
      <w:szCs w:val="32"/>
      <w:lang w:val="en-US" w:eastAsia="zh-CN" w:bidi="ar-SA"/>
      <w14:textFill>
        <w14:solidFill>
          <w14:schemeClr w14:val="tx1">
            <w14:lumMod w14:val="85000"/>
            <w14:lumOff w14:val="15000"/>
          </w14:schemeClr>
        </w14:solidFill>
      </w14:textFill>
    </w:rPr>
  </w:style>
  <w:style w:type="character" w:customStyle="1" w:styleId="137">
    <w:name w:val="TOC 1 字符"/>
    <w:link w:val="59"/>
    <w:qFormat/>
    <w:uiPriority w:val="0"/>
  </w:style>
  <w:style w:type="character" w:customStyle="1" w:styleId="138">
    <w:name w:val="TOC 8 字符"/>
    <w:link w:val="48"/>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13263</Words>
  <Characters>14220</Characters>
  <Lines>0</Lines>
  <Paragraphs>0</Paragraphs>
  <TotalTime>15</TotalTime>
  <ScaleCrop>false</ScaleCrop>
  <LinksUpToDate>false</LinksUpToDate>
  <CharactersWithSpaces>14251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2026-07-31T06:09:00Z</dcterms:created>
  <dc:creator>so what</dc:creator>
  <cp:lastModifiedBy>so what</cp:lastModifiedBy>
  <dcterms:modified xsi:type="dcterms:W3CDTF">2026-08-05T05:50:35Z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3D21FEC7EA844D8880CD7718086C25BA_11</vt:lpwstr>
  </property>
  <property fmtid="{D5CDD505-2E9C-101B-9397-08002B2CF9AE}" pid="4" name="KSOTemplateDocerSaveRecord">
    <vt:lpwstr>eyJoZGlkIjoiNjViZjZhZWRhMDQ2NjJjYzkzMGQwNGRlNDg0YzU4YTYiLCJ1c2VySWQiOiIxMzY3OTY3ODQzIn0=</vt:lpwstr>
  </property>
</Properties>
</file>