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10915">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38952B28"/>
    <w:p w14:paraId="787D7591"/>
    <w:p w14:paraId="54550E6D"/>
    <w:p w14:paraId="7C985045">
      <w:pPr>
        <w:ind w:firstLine="1050" w:firstLineChars="500"/>
      </w:pPr>
    </w:p>
    <w:p w14:paraId="1532D243">
      <w:pPr>
        <w:ind w:firstLine="1050" w:firstLineChars="500"/>
      </w:pPr>
    </w:p>
    <w:p w14:paraId="4BFCC546">
      <w:pPr>
        <w:ind w:firstLine="1760" w:firstLineChars="400"/>
        <w:rPr>
          <w:rFonts w:ascii="黑体" w:eastAsia="黑体"/>
          <w:sz w:val="44"/>
          <w:szCs w:val="44"/>
        </w:rPr>
      </w:pPr>
    </w:p>
    <w:p w14:paraId="0B7D9AD4">
      <w:pPr>
        <w:jc w:val="center"/>
        <w:rPr>
          <w:rFonts w:ascii="黑体" w:hAnsi="黑体" w:eastAsia="黑体" w:cs="Times New Roman"/>
          <w:sz w:val="72"/>
          <w:szCs w:val="72"/>
        </w:rPr>
      </w:pPr>
      <w:r>
        <w:rPr>
          <w:rFonts w:hint="eastAsia" w:ascii="黑体" w:hAnsi="黑体" w:eastAsia="黑体" w:cs="黑体"/>
          <w:sz w:val="72"/>
          <w:szCs w:val="72"/>
          <w:lang w:eastAsia="zh-CN"/>
        </w:rPr>
        <w:t>壤塘县尕多乡人民政府</w:t>
      </w:r>
      <w:r>
        <w:rPr>
          <w:rFonts w:ascii="黑体" w:hAnsi="黑体" w:eastAsia="黑体" w:cs="黑体"/>
          <w:sz w:val="72"/>
          <w:szCs w:val="72"/>
        </w:rPr>
        <w:t>202</w:t>
      </w:r>
      <w:r>
        <w:rPr>
          <w:rFonts w:hint="eastAsia" w:ascii="黑体" w:hAnsi="黑体" w:eastAsia="黑体" w:cs="黑体"/>
          <w:sz w:val="72"/>
          <w:szCs w:val="72"/>
          <w:lang w:val="en-US" w:eastAsia="zh-CN"/>
        </w:rPr>
        <w:t>5</w:t>
      </w:r>
      <w:r>
        <w:rPr>
          <w:rFonts w:ascii="黑体" w:hAnsi="黑体" w:eastAsia="黑体" w:cs="黑体"/>
          <w:sz w:val="72"/>
          <w:szCs w:val="72"/>
        </w:rPr>
        <w:t>年</w:t>
      </w:r>
      <w:r>
        <w:rPr>
          <w:rFonts w:hint="eastAsia" w:ascii="黑体" w:hAnsi="黑体" w:eastAsia="黑体" w:cs="黑体"/>
          <w:sz w:val="72"/>
          <w:szCs w:val="72"/>
        </w:rPr>
        <w:t>部门预算</w:t>
      </w:r>
    </w:p>
    <w:p w14:paraId="430425BB">
      <w:pPr>
        <w:ind w:firstLine="1760" w:firstLineChars="400"/>
        <w:rPr>
          <w:rFonts w:ascii="黑体" w:eastAsia="黑体"/>
          <w:sz w:val="44"/>
          <w:szCs w:val="44"/>
        </w:rPr>
      </w:pPr>
    </w:p>
    <w:p w14:paraId="09729B7F">
      <w:pPr>
        <w:ind w:firstLine="1760" w:firstLineChars="400"/>
        <w:rPr>
          <w:rFonts w:ascii="黑体" w:eastAsia="黑体"/>
          <w:sz w:val="44"/>
          <w:szCs w:val="44"/>
        </w:rPr>
      </w:pPr>
    </w:p>
    <w:p w14:paraId="3BFECF11">
      <w:pPr>
        <w:ind w:firstLine="1760" w:firstLineChars="400"/>
        <w:rPr>
          <w:rFonts w:ascii="黑体" w:eastAsia="黑体"/>
          <w:sz w:val="44"/>
          <w:szCs w:val="44"/>
        </w:rPr>
      </w:pPr>
    </w:p>
    <w:p w14:paraId="5697DC35">
      <w:pPr>
        <w:ind w:firstLine="1760" w:firstLineChars="400"/>
        <w:rPr>
          <w:rFonts w:ascii="黑体" w:eastAsia="黑体"/>
          <w:sz w:val="44"/>
          <w:szCs w:val="44"/>
        </w:rPr>
      </w:pPr>
    </w:p>
    <w:p w14:paraId="22C333DC">
      <w:pPr>
        <w:ind w:firstLine="1760" w:firstLineChars="400"/>
        <w:rPr>
          <w:rFonts w:ascii="黑体" w:eastAsia="黑体"/>
          <w:sz w:val="44"/>
          <w:szCs w:val="44"/>
        </w:rPr>
      </w:pPr>
    </w:p>
    <w:p w14:paraId="23B7053B">
      <w:pPr>
        <w:ind w:firstLine="1760" w:firstLineChars="400"/>
        <w:rPr>
          <w:rFonts w:ascii="黑体" w:eastAsia="黑体"/>
          <w:sz w:val="44"/>
          <w:szCs w:val="44"/>
        </w:rPr>
      </w:pPr>
    </w:p>
    <w:p w14:paraId="1C07F4E6">
      <w:pPr>
        <w:ind w:firstLine="1760" w:firstLineChars="400"/>
        <w:rPr>
          <w:rFonts w:ascii="黑体" w:eastAsia="黑体"/>
          <w:sz w:val="44"/>
          <w:szCs w:val="44"/>
        </w:rPr>
      </w:pPr>
    </w:p>
    <w:p w14:paraId="3334502B">
      <w:pPr>
        <w:ind w:firstLine="1760" w:firstLineChars="400"/>
        <w:rPr>
          <w:rFonts w:ascii="黑体" w:eastAsia="黑体"/>
          <w:sz w:val="44"/>
          <w:szCs w:val="44"/>
        </w:rPr>
      </w:pPr>
    </w:p>
    <w:p w14:paraId="023569B8">
      <w:pPr>
        <w:ind w:firstLine="1760" w:firstLineChars="400"/>
        <w:rPr>
          <w:rFonts w:ascii="黑体" w:eastAsia="黑体"/>
          <w:sz w:val="44"/>
          <w:szCs w:val="44"/>
        </w:rPr>
      </w:pPr>
    </w:p>
    <w:p w14:paraId="4C2CABCE">
      <w:pPr>
        <w:ind w:firstLine="1760" w:firstLineChars="400"/>
        <w:rPr>
          <w:rFonts w:ascii="黑体" w:eastAsia="黑体"/>
          <w:sz w:val="44"/>
          <w:szCs w:val="44"/>
        </w:rPr>
      </w:pPr>
    </w:p>
    <w:p w14:paraId="37CB3D64">
      <w:pPr>
        <w:ind w:firstLine="1760" w:firstLineChars="400"/>
        <w:rPr>
          <w:rFonts w:ascii="黑体" w:eastAsia="黑体"/>
          <w:sz w:val="44"/>
          <w:szCs w:val="44"/>
        </w:rPr>
      </w:pPr>
    </w:p>
    <w:p w14:paraId="331B69F8">
      <w:pPr>
        <w:ind w:firstLine="1760" w:firstLineChars="400"/>
        <w:rPr>
          <w:rFonts w:ascii="黑体" w:eastAsia="黑体"/>
          <w:sz w:val="44"/>
          <w:szCs w:val="44"/>
        </w:rPr>
      </w:pPr>
    </w:p>
    <w:p w14:paraId="3CD57DF6">
      <w:pPr>
        <w:ind w:firstLine="1760" w:firstLineChars="400"/>
        <w:rPr>
          <w:rFonts w:ascii="黑体" w:eastAsia="黑体"/>
          <w:sz w:val="44"/>
          <w:szCs w:val="44"/>
        </w:rPr>
      </w:pPr>
    </w:p>
    <w:p w14:paraId="22A15798">
      <w:pPr>
        <w:rPr>
          <w:rFonts w:ascii="黑体" w:eastAsia="黑体"/>
          <w:sz w:val="44"/>
          <w:szCs w:val="44"/>
        </w:rPr>
      </w:pPr>
    </w:p>
    <w:p w14:paraId="631B43C7">
      <w:pPr>
        <w:ind w:firstLine="3640" w:firstLineChars="700"/>
        <w:rPr>
          <w:rFonts w:ascii="黑体" w:eastAsia="黑体"/>
          <w:sz w:val="44"/>
          <w:szCs w:val="44"/>
        </w:rPr>
      </w:pPr>
      <w:r>
        <w:rPr>
          <w:rFonts w:hint="eastAsia" w:ascii="黑体" w:eastAsia="黑体"/>
          <w:sz w:val="52"/>
          <w:szCs w:val="52"/>
        </w:rPr>
        <w:t>目录</w:t>
      </w:r>
    </w:p>
    <w:p w14:paraId="0F0FFFAF">
      <w:pPr>
        <w:pStyle w:val="15"/>
        <w:tabs>
          <w:tab w:val="right" w:leader="dot" w:pos="8306"/>
        </w:tabs>
        <w:rPr>
          <w:rFonts w:hint="eastAsia" w:ascii="黑体" w:hAnsi="黑体" w:eastAsia="黑体" w:cs="黑体"/>
          <w:b/>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TOC \o "1-2" \h \u </w:instrText>
      </w:r>
      <w:r>
        <w:rPr>
          <w:rFonts w:hint="eastAsia" w:ascii="黑体" w:hAnsi="黑体" w:eastAsia="黑体" w:cs="黑体"/>
          <w:sz w:val="28"/>
          <w:szCs w:val="28"/>
        </w:rPr>
        <w:fldChar w:fldCharType="separate"/>
      </w: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_Toc9467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一、基本职能及主要工作</w:t>
      </w:r>
      <w:r>
        <w:rPr>
          <w:rFonts w:hint="eastAsia" w:ascii="黑体" w:hAnsi="黑体" w:eastAsia="黑体" w:cs="黑体"/>
          <w:b/>
          <w:sz w:val="28"/>
          <w:szCs w:val="28"/>
        </w:rPr>
        <w:tab/>
      </w:r>
      <w:r>
        <w:rPr>
          <w:rFonts w:hint="eastAsia" w:ascii="黑体" w:hAnsi="黑体" w:eastAsia="黑体" w:cs="黑体"/>
          <w:b/>
          <w:sz w:val="28"/>
          <w:szCs w:val="28"/>
          <w:lang w:val="en-US" w:eastAsia="zh-CN"/>
        </w:rPr>
        <w:t>3</w:t>
      </w:r>
      <w:r>
        <w:rPr>
          <w:rFonts w:hint="eastAsia" w:ascii="黑体" w:hAnsi="黑体" w:eastAsia="黑体" w:cs="黑体"/>
          <w:b/>
          <w:sz w:val="28"/>
          <w:szCs w:val="28"/>
        </w:rPr>
        <w:fldChar w:fldCharType="end"/>
      </w:r>
    </w:p>
    <w:p w14:paraId="508CCB63">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_Toc9472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（一）壤塘县尕多乡人民政府职能简介</w:t>
      </w:r>
      <w:r>
        <w:rPr>
          <w:rFonts w:hint="eastAsia" w:ascii="黑体" w:hAnsi="黑体" w:eastAsia="黑体" w:cs="黑体"/>
          <w:sz w:val="28"/>
          <w:szCs w:val="28"/>
        </w:rPr>
        <w:tab/>
      </w:r>
      <w:r>
        <w:rPr>
          <w:rFonts w:hint="eastAsia" w:ascii="黑体" w:hAnsi="黑体" w:eastAsia="黑体" w:cs="黑体"/>
          <w:sz w:val="28"/>
          <w:szCs w:val="28"/>
          <w:lang w:val="en-US" w:eastAsia="zh-CN"/>
        </w:rPr>
        <w:t>3</w:t>
      </w:r>
      <w:r>
        <w:rPr>
          <w:rFonts w:hint="eastAsia" w:ascii="黑体" w:hAnsi="黑体" w:eastAsia="黑体" w:cs="黑体"/>
          <w:sz w:val="28"/>
          <w:szCs w:val="28"/>
        </w:rPr>
        <w:fldChar w:fldCharType="end"/>
      </w:r>
    </w:p>
    <w:p w14:paraId="43E65D9A">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_Toc12628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（二）壤塘县尕多乡人民政府2025年重点工作</w:t>
      </w:r>
      <w:r>
        <w:rPr>
          <w:rFonts w:hint="eastAsia" w:ascii="黑体" w:hAnsi="黑体" w:eastAsia="黑体" w:cs="黑体"/>
          <w:sz w:val="28"/>
          <w:szCs w:val="28"/>
        </w:rPr>
        <w:tab/>
      </w:r>
      <w:r>
        <w:rPr>
          <w:rFonts w:hint="eastAsia" w:ascii="黑体" w:hAnsi="黑体" w:eastAsia="黑体" w:cs="黑体"/>
          <w:sz w:val="28"/>
          <w:szCs w:val="28"/>
          <w:lang w:val="en-US" w:eastAsia="zh-CN"/>
        </w:rPr>
        <w:t>4</w:t>
      </w:r>
      <w:r>
        <w:rPr>
          <w:rFonts w:hint="eastAsia" w:ascii="黑体" w:hAnsi="黑体" w:eastAsia="黑体" w:cs="黑体"/>
          <w:sz w:val="28"/>
          <w:szCs w:val="28"/>
        </w:rPr>
        <w:fldChar w:fldCharType="end"/>
      </w:r>
    </w:p>
    <w:p w14:paraId="1B834745">
      <w:pPr>
        <w:pStyle w:val="15"/>
        <w:tabs>
          <w:tab w:val="right" w:leader="dot" w:pos="8306"/>
        </w:tabs>
        <w:rPr>
          <w:rFonts w:hint="eastAsia" w:ascii="黑体" w:hAnsi="黑体" w:eastAsia="黑体" w:cs="黑体"/>
          <w:b/>
          <w:sz w:val="28"/>
          <w:szCs w:val="28"/>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_Toc23778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二、部门预算单位构成</w:t>
      </w:r>
      <w:r>
        <w:rPr>
          <w:rFonts w:hint="eastAsia" w:ascii="黑体" w:hAnsi="黑体" w:eastAsia="黑体" w:cs="黑体"/>
          <w:b/>
          <w:sz w:val="28"/>
          <w:szCs w:val="28"/>
        </w:rPr>
        <w:tab/>
      </w:r>
      <w:r>
        <w:rPr>
          <w:rFonts w:hint="eastAsia" w:ascii="黑体" w:hAnsi="黑体" w:eastAsia="黑体" w:cs="黑体"/>
          <w:b/>
          <w:sz w:val="28"/>
          <w:szCs w:val="28"/>
          <w:lang w:val="en-US" w:eastAsia="zh-CN"/>
        </w:rPr>
        <w:t>6</w:t>
      </w:r>
      <w:r>
        <w:rPr>
          <w:rFonts w:hint="eastAsia" w:ascii="黑体" w:hAnsi="黑体" w:eastAsia="黑体" w:cs="黑体"/>
          <w:b/>
          <w:sz w:val="28"/>
          <w:szCs w:val="28"/>
        </w:rPr>
        <w:fldChar w:fldCharType="end"/>
      </w:r>
    </w:p>
    <w:p w14:paraId="108F8A37">
      <w:pPr>
        <w:pStyle w:val="15"/>
        <w:tabs>
          <w:tab w:val="right" w:leader="dot" w:pos="8306"/>
        </w:tabs>
        <w:rPr>
          <w:rFonts w:hint="eastAsia" w:ascii="黑体" w:hAnsi="黑体" w:eastAsia="黑体" w:cs="黑体"/>
          <w:b/>
          <w:sz w:val="28"/>
          <w:szCs w:val="28"/>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_Toc18311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三、收支预算情况说明</w:t>
      </w:r>
      <w:r>
        <w:rPr>
          <w:rFonts w:hint="eastAsia" w:ascii="黑体" w:hAnsi="黑体" w:eastAsia="黑体" w:cs="黑体"/>
          <w:b/>
          <w:sz w:val="28"/>
          <w:szCs w:val="28"/>
        </w:rPr>
        <w:tab/>
      </w:r>
      <w:r>
        <w:rPr>
          <w:rFonts w:hint="eastAsia" w:ascii="黑体" w:hAnsi="黑体" w:eastAsia="黑体" w:cs="黑体"/>
          <w:b/>
          <w:sz w:val="28"/>
          <w:szCs w:val="28"/>
          <w:lang w:val="en-US" w:eastAsia="zh-CN"/>
        </w:rPr>
        <w:t>6</w:t>
      </w:r>
      <w:r>
        <w:rPr>
          <w:rFonts w:hint="eastAsia" w:ascii="黑体" w:hAnsi="黑体" w:eastAsia="黑体" w:cs="黑体"/>
          <w:b/>
          <w:sz w:val="28"/>
          <w:szCs w:val="28"/>
        </w:rPr>
        <w:fldChar w:fldCharType="end"/>
      </w:r>
    </w:p>
    <w:p w14:paraId="35D8FC77">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_Toc25307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（一）收入预算情况</w:t>
      </w:r>
      <w:r>
        <w:rPr>
          <w:rFonts w:hint="eastAsia" w:ascii="黑体" w:hAnsi="黑体" w:eastAsia="黑体" w:cs="黑体"/>
          <w:sz w:val="28"/>
          <w:szCs w:val="28"/>
        </w:rPr>
        <w:tab/>
      </w:r>
      <w:r>
        <w:rPr>
          <w:rFonts w:hint="eastAsia" w:ascii="黑体" w:hAnsi="黑体" w:eastAsia="黑体" w:cs="黑体"/>
          <w:sz w:val="28"/>
          <w:szCs w:val="28"/>
          <w:lang w:val="en-US" w:eastAsia="zh-CN"/>
        </w:rPr>
        <w:t>7</w:t>
      </w:r>
      <w:r>
        <w:rPr>
          <w:rFonts w:hint="eastAsia" w:ascii="黑体" w:hAnsi="黑体" w:eastAsia="黑体" w:cs="黑体"/>
          <w:sz w:val="28"/>
          <w:szCs w:val="28"/>
        </w:rPr>
        <w:fldChar w:fldCharType="end"/>
      </w:r>
    </w:p>
    <w:p w14:paraId="2A381A38">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_Toc21894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（二）支出预算情况</w:t>
      </w:r>
      <w:r>
        <w:rPr>
          <w:rFonts w:hint="eastAsia" w:ascii="黑体" w:hAnsi="黑体" w:eastAsia="黑体" w:cs="黑体"/>
          <w:sz w:val="28"/>
          <w:szCs w:val="28"/>
        </w:rPr>
        <w:tab/>
      </w:r>
      <w:r>
        <w:rPr>
          <w:rFonts w:hint="eastAsia" w:ascii="黑体" w:hAnsi="黑体" w:eastAsia="黑体" w:cs="黑体"/>
          <w:sz w:val="28"/>
          <w:szCs w:val="28"/>
          <w:lang w:val="en-US" w:eastAsia="zh-CN"/>
        </w:rPr>
        <w:t>7</w:t>
      </w:r>
      <w:r>
        <w:rPr>
          <w:rFonts w:hint="eastAsia" w:ascii="黑体" w:hAnsi="黑体" w:eastAsia="黑体" w:cs="黑体"/>
          <w:sz w:val="28"/>
          <w:szCs w:val="28"/>
        </w:rPr>
        <w:fldChar w:fldCharType="end"/>
      </w:r>
    </w:p>
    <w:p w14:paraId="61D02ABB">
      <w:pPr>
        <w:pStyle w:val="15"/>
        <w:tabs>
          <w:tab w:val="right" w:leader="dot" w:pos="8306"/>
        </w:tabs>
        <w:rPr>
          <w:rFonts w:hint="eastAsia" w:ascii="黑体" w:hAnsi="黑体" w:eastAsia="黑体" w:cs="黑体"/>
          <w:b/>
          <w:sz w:val="28"/>
          <w:szCs w:val="28"/>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_Toc27712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四、财政拨款收支预算情况说明</w:t>
      </w:r>
      <w:r>
        <w:rPr>
          <w:rFonts w:hint="eastAsia" w:ascii="黑体" w:hAnsi="黑体" w:eastAsia="黑体" w:cs="黑体"/>
          <w:b/>
          <w:sz w:val="28"/>
          <w:szCs w:val="28"/>
        </w:rPr>
        <w:tab/>
      </w:r>
      <w:r>
        <w:rPr>
          <w:rFonts w:hint="eastAsia" w:ascii="黑体" w:hAnsi="黑体" w:eastAsia="黑体" w:cs="黑体"/>
          <w:b/>
          <w:sz w:val="28"/>
          <w:szCs w:val="28"/>
          <w:lang w:val="en-US" w:eastAsia="zh-CN"/>
        </w:rPr>
        <w:t>7</w:t>
      </w:r>
      <w:r>
        <w:rPr>
          <w:rFonts w:hint="eastAsia" w:ascii="黑体" w:hAnsi="黑体" w:eastAsia="黑体" w:cs="黑体"/>
          <w:b/>
          <w:sz w:val="28"/>
          <w:szCs w:val="28"/>
        </w:rPr>
        <w:fldChar w:fldCharType="end"/>
      </w:r>
    </w:p>
    <w:p w14:paraId="315F2B4B">
      <w:pPr>
        <w:pStyle w:val="15"/>
        <w:tabs>
          <w:tab w:val="right" w:leader="dot" w:pos="8306"/>
        </w:tabs>
        <w:rPr>
          <w:rFonts w:hint="eastAsia" w:ascii="黑体" w:hAnsi="黑体" w:eastAsia="黑体" w:cs="黑体"/>
          <w:b/>
          <w:sz w:val="28"/>
          <w:szCs w:val="28"/>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_Toc26068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五、一般公共预算当年拨款情况说明</w:t>
      </w:r>
      <w:r>
        <w:rPr>
          <w:rFonts w:hint="eastAsia" w:ascii="黑体" w:hAnsi="黑体" w:eastAsia="黑体" w:cs="黑体"/>
          <w:b/>
          <w:sz w:val="28"/>
          <w:szCs w:val="28"/>
        </w:rPr>
        <w:tab/>
      </w:r>
      <w:r>
        <w:rPr>
          <w:rFonts w:hint="eastAsia" w:ascii="黑体" w:hAnsi="黑体" w:eastAsia="黑体" w:cs="黑体"/>
          <w:b/>
          <w:sz w:val="28"/>
          <w:szCs w:val="28"/>
          <w:lang w:val="en-US" w:eastAsia="zh-CN"/>
        </w:rPr>
        <w:t>7</w:t>
      </w:r>
      <w:r>
        <w:rPr>
          <w:rFonts w:hint="eastAsia" w:ascii="黑体" w:hAnsi="黑体" w:eastAsia="黑体" w:cs="黑体"/>
          <w:b/>
          <w:sz w:val="28"/>
          <w:szCs w:val="28"/>
        </w:rPr>
        <w:fldChar w:fldCharType="end"/>
      </w:r>
    </w:p>
    <w:p w14:paraId="79A1543F">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_Toc25086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（一）一般公共预算当年拨款规模变化情况</w:t>
      </w:r>
      <w:r>
        <w:rPr>
          <w:rFonts w:hint="eastAsia" w:ascii="黑体" w:hAnsi="黑体" w:eastAsia="黑体" w:cs="黑体"/>
          <w:sz w:val="28"/>
          <w:szCs w:val="28"/>
        </w:rPr>
        <w:tab/>
      </w:r>
      <w:r>
        <w:rPr>
          <w:rFonts w:hint="eastAsia" w:ascii="黑体" w:hAnsi="黑体" w:eastAsia="黑体" w:cs="黑体"/>
          <w:sz w:val="28"/>
          <w:szCs w:val="28"/>
          <w:lang w:val="en-US" w:eastAsia="zh-CN"/>
        </w:rPr>
        <w:t>7</w:t>
      </w:r>
      <w:r>
        <w:rPr>
          <w:rFonts w:hint="eastAsia" w:ascii="黑体" w:hAnsi="黑体" w:eastAsia="黑体" w:cs="黑体"/>
          <w:sz w:val="28"/>
          <w:szCs w:val="28"/>
        </w:rPr>
        <w:fldChar w:fldCharType="end"/>
      </w:r>
    </w:p>
    <w:p w14:paraId="39B1D0B8">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_Toc3129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（二）一般公共预算当年拨款结构情况</w:t>
      </w:r>
      <w:r>
        <w:rPr>
          <w:rFonts w:hint="eastAsia" w:ascii="黑体" w:hAnsi="黑体" w:eastAsia="黑体" w:cs="黑体"/>
          <w:sz w:val="28"/>
          <w:szCs w:val="28"/>
        </w:rPr>
        <w:tab/>
      </w:r>
      <w:r>
        <w:rPr>
          <w:rFonts w:hint="eastAsia" w:ascii="黑体" w:hAnsi="黑体" w:eastAsia="黑体" w:cs="黑体"/>
          <w:sz w:val="28"/>
          <w:szCs w:val="28"/>
          <w:lang w:val="en-US" w:eastAsia="zh-CN"/>
        </w:rPr>
        <w:t>8</w:t>
      </w:r>
      <w:r>
        <w:rPr>
          <w:rFonts w:hint="eastAsia" w:ascii="黑体" w:hAnsi="黑体" w:eastAsia="黑体" w:cs="黑体"/>
          <w:sz w:val="28"/>
          <w:szCs w:val="28"/>
        </w:rPr>
        <w:fldChar w:fldCharType="end"/>
      </w:r>
    </w:p>
    <w:p w14:paraId="146CE6BA">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_Toc25869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（三）一般公共预算当年拨款具体使用情况</w:t>
      </w:r>
      <w:r>
        <w:rPr>
          <w:rFonts w:hint="eastAsia" w:ascii="黑体" w:hAnsi="黑体" w:eastAsia="黑体" w:cs="黑体"/>
          <w:sz w:val="28"/>
          <w:szCs w:val="28"/>
        </w:rPr>
        <w:tab/>
      </w:r>
      <w:r>
        <w:rPr>
          <w:rFonts w:hint="eastAsia" w:ascii="黑体" w:hAnsi="黑体" w:eastAsia="黑体" w:cs="黑体"/>
          <w:sz w:val="28"/>
          <w:szCs w:val="28"/>
          <w:lang w:val="en-US" w:eastAsia="zh-CN"/>
        </w:rPr>
        <w:t>8</w:t>
      </w:r>
      <w:r>
        <w:rPr>
          <w:rFonts w:hint="eastAsia" w:ascii="黑体" w:hAnsi="黑体" w:eastAsia="黑体" w:cs="黑体"/>
          <w:sz w:val="28"/>
          <w:szCs w:val="28"/>
        </w:rPr>
        <w:fldChar w:fldCharType="end"/>
      </w:r>
    </w:p>
    <w:p w14:paraId="3E03E2C7">
      <w:pPr>
        <w:pStyle w:val="15"/>
        <w:tabs>
          <w:tab w:val="right" w:leader="dot" w:pos="8306"/>
        </w:tabs>
        <w:rPr>
          <w:rFonts w:hint="eastAsia" w:ascii="黑体" w:hAnsi="黑体" w:eastAsia="黑体" w:cs="黑体"/>
          <w:b/>
          <w:sz w:val="28"/>
          <w:szCs w:val="28"/>
          <w:lang w:val="en-US" w:eastAsia="zh-CN"/>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_Toc30963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六、一般公共预算基本支出情况说明</w:t>
      </w:r>
      <w:r>
        <w:rPr>
          <w:rFonts w:hint="eastAsia" w:ascii="黑体" w:hAnsi="黑体" w:eastAsia="黑体" w:cs="黑体"/>
          <w:b/>
          <w:sz w:val="28"/>
          <w:szCs w:val="28"/>
        </w:rPr>
        <w:tab/>
      </w:r>
      <w:r>
        <w:rPr>
          <w:rFonts w:hint="eastAsia" w:ascii="黑体" w:hAnsi="黑体" w:eastAsia="黑体" w:cs="黑体"/>
          <w:b/>
          <w:sz w:val="28"/>
          <w:szCs w:val="28"/>
          <w:lang w:val="en-US" w:eastAsia="zh-CN"/>
        </w:rPr>
        <w:t>1</w:t>
      </w:r>
      <w:r>
        <w:rPr>
          <w:rFonts w:hint="eastAsia" w:ascii="黑体" w:hAnsi="黑体" w:eastAsia="黑体" w:cs="黑体"/>
          <w:b/>
          <w:sz w:val="28"/>
          <w:szCs w:val="28"/>
        </w:rPr>
        <w:fldChar w:fldCharType="end"/>
      </w:r>
      <w:r>
        <w:rPr>
          <w:rFonts w:hint="eastAsia" w:ascii="黑体" w:hAnsi="黑体" w:eastAsia="黑体" w:cs="黑体"/>
          <w:b/>
          <w:sz w:val="28"/>
          <w:szCs w:val="28"/>
          <w:lang w:val="en-US" w:eastAsia="zh-CN"/>
        </w:rPr>
        <w:t>0</w:t>
      </w:r>
    </w:p>
    <w:p w14:paraId="41748676">
      <w:pPr>
        <w:pStyle w:val="15"/>
        <w:tabs>
          <w:tab w:val="right" w:leader="dot" w:pos="8306"/>
        </w:tabs>
        <w:rPr>
          <w:rFonts w:hint="eastAsia" w:ascii="黑体" w:hAnsi="黑体" w:eastAsia="黑体" w:cs="黑体"/>
          <w:b/>
          <w:sz w:val="28"/>
          <w:szCs w:val="28"/>
          <w:lang w:val="en-US" w:eastAsia="zh-CN"/>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_Toc13130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七、“三公”经费财政拨款预算安排情况说明</w:t>
      </w:r>
      <w:r>
        <w:rPr>
          <w:rFonts w:hint="eastAsia" w:ascii="黑体" w:hAnsi="黑体" w:eastAsia="黑体" w:cs="黑体"/>
          <w:b/>
          <w:sz w:val="28"/>
          <w:szCs w:val="28"/>
        </w:rPr>
        <w:tab/>
      </w:r>
      <w:r>
        <w:rPr>
          <w:rFonts w:hint="eastAsia" w:ascii="黑体" w:hAnsi="黑体" w:eastAsia="黑体" w:cs="黑体"/>
          <w:b/>
          <w:sz w:val="28"/>
          <w:szCs w:val="28"/>
          <w:lang w:val="en-US" w:eastAsia="zh-CN"/>
        </w:rPr>
        <w:t>1</w:t>
      </w:r>
      <w:r>
        <w:rPr>
          <w:rFonts w:hint="eastAsia" w:ascii="黑体" w:hAnsi="黑体" w:eastAsia="黑体" w:cs="黑体"/>
          <w:b/>
          <w:sz w:val="28"/>
          <w:szCs w:val="28"/>
        </w:rPr>
        <w:fldChar w:fldCharType="end"/>
      </w:r>
      <w:r>
        <w:rPr>
          <w:rFonts w:hint="eastAsia" w:ascii="黑体" w:hAnsi="黑体" w:eastAsia="黑体" w:cs="黑体"/>
          <w:b/>
          <w:sz w:val="28"/>
          <w:szCs w:val="28"/>
          <w:lang w:val="en-US" w:eastAsia="zh-CN"/>
        </w:rPr>
        <w:t>0</w:t>
      </w:r>
    </w:p>
    <w:p w14:paraId="6E49B354">
      <w:pPr>
        <w:pStyle w:val="15"/>
        <w:tabs>
          <w:tab w:val="right" w:leader="dot" w:pos="8306"/>
        </w:tabs>
        <w:rPr>
          <w:rFonts w:hint="eastAsia" w:ascii="黑体" w:hAnsi="黑体" w:eastAsia="黑体" w:cs="黑体"/>
          <w:b/>
          <w:sz w:val="28"/>
          <w:szCs w:val="28"/>
          <w:lang w:val="en-US" w:eastAsia="zh-CN"/>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_Toc28316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八、政府性基金预算支出情况说明</w:t>
      </w:r>
      <w:r>
        <w:rPr>
          <w:rFonts w:hint="eastAsia" w:ascii="黑体" w:hAnsi="黑体" w:eastAsia="黑体" w:cs="黑体"/>
          <w:b/>
          <w:sz w:val="28"/>
          <w:szCs w:val="28"/>
        </w:rPr>
        <w:tab/>
      </w:r>
      <w:r>
        <w:rPr>
          <w:rFonts w:hint="eastAsia" w:ascii="黑体" w:hAnsi="黑体" w:eastAsia="黑体" w:cs="黑体"/>
          <w:b/>
          <w:sz w:val="28"/>
          <w:szCs w:val="28"/>
          <w:lang w:val="en-US" w:eastAsia="zh-CN"/>
        </w:rPr>
        <w:t>1</w:t>
      </w:r>
      <w:r>
        <w:rPr>
          <w:rFonts w:hint="eastAsia" w:ascii="黑体" w:hAnsi="黑体" w:eastAsia="黑体" w:cs="黑体"/>
          <w:b/>
          <w:sz w:val="28"/>
          <w:szCs w:val="28"/>
        </w:rPr>
        <w:fldChar w:fldCharType="end"/>
      </w:r>
      <w:r>
        <w:rPr>
          <w:rFonts w:hint="eastAsia" w:ascii="黑体" w:hAnsi="黑体" w:eastAsia="黑体" w:cs="黑体"/>
          <w:b/>
          <w:sz w:val="28"/>
          <w:szCs w:val="28"/>
          <w:lang w:val="en-US" w:eastAsia="zh-CN"/>
        </w:rPr>
        <w:t>1</w:t>
      </w:r>
    </w:p>
    <w:p w14:paraId="479B35E9">
      <w:pPr>
        <w:pStyle w:val="15"/>
        <w:tabs>
          <w:tab w:val="right" w:leader="dot" w:pos="8306"/>
        </w:tabs>
        <w:rPr>
          <w:rFonts w:hint="eastAsia" w:ascii="黑体" w:hAnsi="黑体" w:eastAsia="黑体" w:cs="黑体"/>
          <w:b/>
          <w:sz w:val="28"/>
          <w:szCs w:val="28"/>
          <w:lang w:val="en-US" w:eastAsia="zh-CN"/>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_Toc22609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九、其他重要事项的情况说明</w:t>
      </w:r>
      <w:r>
        <w:rPr>
          <w:rFonts w:hint="eastAsia" w:ascii="黑体" w:hAnsi="黑体" w:eastAsia="黑体" w:cs="黑体"/>
          <w:b/>
          <w:sz w:val="28"/>
          <w:szCs w:val="28"/>
        </w:rPr>
        <w:tab/>
      </w:r>
      <w:r>
        <w:rPr>
          <w:rFonts w:hint="eastAsia" w:ascii="黑体" w:hAnsi="黑体" w:eastAsia="黑体" w:cs="黑体"/>
          <w:b/>
          <w:sz w:val="28"/>
          <w:szCs w:val="28"/>
          <w:lang w:val="en-US" w:eastAsia="zh-CN"/>
        </w:rPr>
        <w:t>1</w:t>
      </w:r>
      <w:r>
        <w:rPr>
          <w:rFonts w:hint="eastAsia" w:ascii="黑体" w:hAnsi="黑体" w:eastAsia="黑体" w:cs="黑体"/>
          <w:b/>
          <w:sz w:val="28"/>
          <w:szCs w:val="28"/>
        </w:rPr>
        <w:fldChar w:fldCharType="end"/>
      </w:r>
      <w:r>
        <w:rPr>
          <w:rFonts w:hint="eastAsia" w:ascii="黑体" w:hAnsi="黑体" w:eastAsia="黑体" w:cs="黑体"/>
          <w:b/>
          <w:sz w:val="28"/>
          <w:szCs w:val="28"/>
          <w:lang w:val="en-US" w:eastAsia="zh-CN"/>
        </w:rPr>
        <w:t>1</w:t>
      </w:r>
    </w:p>
    <w:p w14:paraId="7D3B4FAF">
      <w:pPr>
        <w:pStyle w:val="16"/>
        <w:tabs>
          <w:tab w:val="right" w:leader="dot" w:pos="8306"/>
        </w:tabs>
        <w:rPr>
          <w:rFonts w:hint="eastAsia" w:ascii="黑体" w:hAnsi="黑体" w:eastAsia="黑体" w:cs="黑体"/>
          <w:sz w:val="28"/>
          <w:szCs w:val="28"/>
          <w:lang w:val="en-US" w:eastAsia="zh-CN"/>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_Toc30753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（一）机关运行经费</w:t>
      </w:r>
      <w:r>
        <w:rPr>
          <w:rFonts w:hint="eastAsia" w:ascii="黑体" w:hAnsi="黑体" w:eastAsia="黑体" w:cs="黑体"/>
          <w:sz w:val="28"/>
          <w:szCs w:val="28"/>
        </w:rPr>
        <w:tab/>
      </w:r>
      <w:r>
        <w:rPr>
          <w:rFonts w:hint="eastAsia" w:ascii="黑体" w:hAnsi="黑体" w:eastAsia="黑体" w:cs="黑体"/>
          <w:sz w:val="28"/>
          <w:szCs w:val="28"/>
          <w:lang w:val="en-US" w:eastAsia="zh-CN"/>
        </w:rPr>
        <w:t>1</w:t>
      </w:r>
      <w:r>
        <w:rPr>
          <w:rFonts w:hint="eastAsia" w:ascii="黑体" w:hAnsi="黑体" w:eastAsia="黑体" w:cs="黑体"/>
          <w:sz w:val="28"/>
          <w:szCs w:val="28"/>
        </w:rPr>
        <w:fldChar w:fldCharType="end"/>
      </w:r>
      <w:r>
        <w:rPr>
          <w:rFonts w:hint="eastAsia" w:ascii="黑体" w:hAnsi="黑体" w:eastAsia="黑体" w:cs="黑体"/>
          <w:sz w:val="28"/>
          <w:szCs w:val="28"/>
          <w:lang w:val="en-US" w:eastAsia="zh-CN"/>
        </w:rPr>
        <w:t>1</w:t>
      </w:r>
    </w:p>
    <w:p w14:paraId="1A3D0A13">
      <w:pPr>
        <w:pStyle w:val="16"/>
        <w:tabs>
          <w:tab w:val="right" w:leader="dot" w:pos="8306"/>
        </w:tabs>
        <w:rPr>
          <w:rFonts w:hint="eastAsia" w:ascii="黑体" w:hAnsi="黑体" w:eastAsia="黑体" w:cs="黑体"/>
          <w:sz w:val="28"/>
          <w:szCs w:val="28"/>
          <w:lang w:val="en-US" w:eastAsia="zh-CN"/>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_Toc12823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（二）政府采购情况</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_Toc12823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lang w:val="en-US" w:eastAsia="zh-CN"/>
        </w:rPr>
        <w:t>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332FDAEF">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_Toc26484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（三）国有资产占有使用情况</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_Toc26484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lang w:val="en-US" w:eastAsia="zh-CN"/>
        </w:rPr>
        <w:t>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3D97C881">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_Toc20300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（四）绩效目标设置情况</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_Toc20300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lang w:val="en-US" w:eastAsia="zh-CN"/>
        </w:rPr>
        <w:t>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595FA75D">
      <w:pPr>
        <w:pStyle w:val="15"/>
        <w:tabs>
          <w:tab w:val="right" w:leader="dot" w:pos="8306"/>
        </w:tabs>
        <w:rPr>
          <w:rFonts w:hint="eastAsia" w:ascii="黑体" w:hAnsi="黑体" w:eastAsia="黑体" w:cs="黑体"/>
          <w:b/>
          <w:sz w:val="28"/>
          <w:szCs w:val="28"/>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_Toc10987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十、名词解释</w:t>
      </w:r>
      <w:r>
        <w:rPr>
          <w:rFonts w:hint="eastAsia" w:ascii="黑体" w:hAnsi="黑体" w:eastAsia="黑体" w:cs="黑体"/>
          <w:b/>
          <w:sz w:val="28"/>
          <w:szCs w:val="28"/>
        </w:rPr>
        <w:tab/>
      </w: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PAGEREF _Toc10987 </w:instrText>
      </w:r>
      <w:r>
        <w:rPr>
          <w:rFonts w:hint="eastAsia" w:ascii="黑体" w:hAnsi="黑体" w:eastAsia="黑体" w:cs="黑体"/>
          <w:b/>
          <w:sz w:val="28"/>
          <w:szCs w:val="28"/>
        </w:rPr>
        <w:fldChar w:fldCharType="separate"/>
      </w:r>
      <w:r>
        <w:rPr>
          <w:rFonts w:hint="eastAsia" w:ascii="黑体" w:hAnsi="黑体" w:eastAsia="黑体" w:cs="黑体"/>
          <w:b/>
          <w:sz w:val="28"/>
          <w:szCs w:val="28"/>
        </w:rPr>
        <w:t>1</w:t>
      </w:r>
      <w:r>
        <w:rPr>
          <w:rFonts w:hint="eastAsia" w:ascii="黑体" w:hAnsi="黑体" w:eastAsia="黑体" w:cs="黑体"/>
          <w:b/>
          <w:sz w:val="28"/>
          <w:szCs w:val="28"/>
          <w:lang w:val="en-US" w:eastAsia="zh-CN"/>
        </w:rPr>
        <w:t>2</w:t>
      </w:r>
      <w:r>
        <w:rPr>
          <w:rFonts w:hint="eastAsia" w:ascii="黑体" w:hAnsi="黑体" w:eastAsia="黑体" w:cs="黑体"/>
          <w:b/>
          <w:sz w:val="28"/>
          <w:szCs w:val="28"/>
        </w:rPr>
        <w:fldChar w:fldCharType="end"/>
      </w:r>
      <w:r>
        <w:rPr>
          <w:rFonts w:hint="eastAsia" w:ascii="黑体" w:hAnsi="黑体" w:eastAsia="黑体" w:cs="黑体"/>
          <w:b/>
          <w:sz w:val="28"/>
          <w:szCs w:val="28"/>
        </w:rPr>
        <w:fldChar w:fldCharType="end"/>
      </w:r>
    </w:p>
    <w:p w14:paraId="2494664D">
      <w:pPr>
        <w:rPr>
          <w:rFonts w:ascii="黑体" w:eastAsia="黑体"/>
          <w:sz w:val="32"/>
          <w:szCs w:val="32"/>
        </w:rPr>
      </w:pPr>
      <w:r>
        <w:rPr>
          <w:rFonts w:hint="eastAsia" w:ascii="黑体" w:hAnsi="黑体" w:eastAsia="黑体" w:cs="黑体"/>
          <w:b/>
          <w:sz w:val="28"/>
          <w:szCs w:val="28"/>
        </w:rPr>
        <w:fldChar w:fldCharType="end"/>
      </w:r>
      <w:r>
        <w:rPr>
          <w:rFonts w:hint="eastAsia" w:ascii="黑体" w:hAnsi="黑体" w:eastAsia="黑体" w:cs="黑体"/>
          <w:b/>
          <w:sz w:val="28"/>
          <w:szCs w:val="28"/>
          <w:lang w:val="en-US" w:eastAsia="zh-CN"/>
        </w:rPr>
        <w:t xml:space="preserve"> </w:t>
      </w:r>
      <w:r>
        <w:rPr>
          <w:rFonts w:hint="eastAsia" w:ascii="黑体" w:eastAsia="黑体"/>
          <w:sz w:val="32"/>
          <w:szCs w:val="32"/>
        </w:rPr>
        <w:t>一、基本职能及主要工作</w:t>
      </w:r>
    </w:p>
    <w:p w14:paraId="7E8BDCD3">
      <w:pPr>
        <w:pStyle w:val="4"/>
        <w:pageBreakBefore w:val="0"/>
        <w:kinsoku/>
        <w:wordWrap/>
        <w:overflowPunct/>
        <w:topLinePunct w:val="0"/>
        <w:autoSpaceDE/>
        <w:autoSpaceDN/>
        <w:bidi w:val="0"/>
        <w:adjustRightInd/>
        <w:snapToGrid/>
        <w:spacing w:before="0" w:beforeLines="0" w:beforeAutospacing="0" w:after="0" w:afterLines="0" w:afterAutospacing="0" w:line="560" w:lineRule="exact"/>
        <w:ind w:right="0"/>
        <w:textAlignment w:val="auto"/>
        <w:rPr>
          <w:rFonts w:hint="eastAsia" w:ascii="仿宋_GB2312" w:hAnsi="黑体" w:eastAsia="仿宋_GB2312" w:cs="仿宋_GB2312"/>
          <w:b/>
          <w:bCs/>
          <w:kern w:val="2"/>
          <w:sz w:val="32"/>
          <w:szCs w:val="32"/>
          <w:lang w:val="en-US" w:eastAsia="zh-CN" w:bidi="ar-SA"/>
        </w:rPr>
      </w:pPr>
      <w:bookmarkStart w:id="0" w:name="_Toc9472"/>
      <w:r>
        <w:rPr>
          <w:rFonts w:hint="eastAsia" w:ascii="仿宋_GB2312" w:hAnsi="黑体" w:eastAsia="仿宋_GB2312" w:cs="仿宋_GB2312"/>
          <w:b/>
          <w:bCs/>
          <w:kern w:val="2"/>
          <w:sz w:val="32"/>
          <w:szCs w:val="32"/>
          <w:lang w:val="en-US" w:eastAsia="zh-CN" w:bidi="ar-SA"/>
        </w:rPr>
        <w:t>（一）壤塘县尕多乡人民政府职能简介</w:t>
      </w:r>
      <w:bookmarkEnd w:id="0"/>
    </w:p>
    <w:p w14:paraId="45E110B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Times New Roman" w:hAnsi="Times New Roman" w:eastAsia="方正仿宋_GB2312" w:cs="仿宋"/>
          <w:b w:val="0"/>
          <w:bCs w:val="0"/>
          <w:color w:val="000000"/>
          <w:kern w:val="0"/>
          <w:sz w:val="32"/>
          <w:szCs w:val="31"/>
          <w:lang w:val="en-US" w:eastAsia="zh-CN" w:bidi="ar"/>
        </w:rPr>
      </w:pPr>
      <w:r>
        <w:rPr>
          <w:rFonts w:hint="eastAsia" w:ascii="Times New Roman" w:hAnsi="Times New Roman" w:eastAsia="方正仿宋_GB2312" w:cs="仿宋"/>
          <w:b w:val="0"/>
          <w:bCs w:val="0"/>
          <w:color w:val="000000"/>
          <w:kern w:val="0"/>
          <w:sz w:val="32"/>
          <w:szCs w:val="31"/>
          <w:lang w:val="en-US" w:eastAsia="zh-CN" w:bidi="ar"/>
        </w:rPr>
        <w:t>1.执行本级人民代表大会的决议和上级国家行政机关的决定和命令，在辖区内发布决定和命令；</w:t>
      </w:r>
    </w:p>
    <w:p w14:paraId="7A2CDA3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Times New Roman" w:hAnsi="Times New Roman" w:eastAsia="方正仿宋_GB2312" w:cs="仿宋"/>
          <w:b w:val="0"/>
          <w:bCs w:val="0"/>
          <w:color w:val="000000"/>
          <w:kern w:val="0"/>
          <w:sz w:val="32"/>
          <w:szCs w:val="31"/>
          <w:lang w:val="en-US" w:eastAsia="zh-CN" w:bidi="ar"/>
        </w:rPr>
      </w:pPr>
      <w:r>
        <w:rPr>
          <w:rFonts w:hint="eastAsia" w:ascii="Times New Roman" w:hAnsi="Times New Roman" w:eastAsia="方正仿宋_GB2312" w:cs="仿宋"/>
          <w:b w:val="0"/>
          <w:bCs w:val="0"/>
          <w:color w:val="000000"/>
          <w:kern w:val="0"/>
          <w:sz w:val="32"/>
          <w:szCs w:val="31"/>
          <w:lang w:val="en-US" w:eastAsia="zh-CN" w:bidi="ar"/>
        </w:rPr>
        <w:t>2.按照国家宪法和法律，行使对本辖区内的行政及民政事务的管理；</w:t>
      </w:r>
    </w:p>
    <w:p w14:paraId="248E30D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Times New Roman" w:hAnsi="Times New Roman" w:eastAsia="方正仿宋_GB2312" w:cs="仿宋"/>
          <w:b w:val="0"/>
          <w:bCs w:val="0"/>
          <w:color w:val="000000"/>
          <w:kern w:val="0"/>
          <w:sz w:val="32"/>
          <w:szCs w:val="31"/>
          <w:lang w:val="en-US" w:eastAsia="zh-CN" w:bidi="ar"/>
        </w:rPr>
      </w:pPr>
      <w:r>
        <w:rPr>
          <w:rFonts w:hint="eastAsia" w:ascii="Times New Roman" w:hAnsi="Times New Roman" w:eastAsia="方正仿宋_GB2312" w:cs="仿宋"/>
          <w:b w:val="0"/>
          <w:bCs w:val="0"/>
          <w:color w:val="000000"/>
          <w:kern w:val="0"/>
          <w:sz w:val="32"/>
          <w:szCs w:val="31"/>
          <w:lang w:val="en-US" w:eastAsia="zh-CN" w:bidi="ar"/>
        </w:rPr>
        <w:t>3.制定本单位的经济和社会发展规划，并组织实施；组织和领导行政经济体制改革，协调本行政区域村民委员会与各经济组织之间的关系；</w:t>
      </w:r>
    </w:p>
    <w:p w14:paraId="2734024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Times New Roman" w:hAnsi="Times New Roman" w:eastAsia="方正仿宋_GB2312" w:cs="仿宋"/>
          <w:b w:val="0"/>
          <w:bCs w:val="0"/>
          <w:color w:val="000000"/>
          <w:kern w:val="0"/>
          <w:sz w:val="32"/>
          <w:szCs w:val="31"/>
          <w:lang w:val="en-US" w:eastAsia="zh-CN" w:bidi="ar"/>
        </w:rPr>
      </w:pPr>
      <w:r>
        <w:rPr>
          <w:rFonts w:hint="eastAsia" w:ascii="Times New Roman" w:hAnsi="Times New Roman" w:eastAsia="方正仿宋_GB2312" w:cs="仿宋"/>
          <w:b w:val="0"/>
          <w:bCs w:val="0"/>
          <w:color w:val="000000"/>
          <w:kern w:val="0"/>
          <w:sz w:val="32"/>
          <w:szCs w:val="31"/>
          <w:lang w:val="en-US" w:eastAsia="zh-CN" w:bidi="ar"/>
        </w:rPr>
        <w:t>4.组织规划乡财政管理的各项收入，管理乡范围内的各项财政支出和行政筹集、分配和使用的资金；</w:t>
      </w:r>
    </w:p>
    <w:p w14:paraId="6BCBD48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Times New Roman" w:hAnsi="Times New Roman" w:eastAsia="方正仿宋_GB2312" w:cs="仿宋"/>
          <w:b w:val="0"/>
          <w:bCs w:val="0"/>
          <w:color w:val="000000"/>
          <w:kern w:val="0"/>
          <w:sz w:val="32"/>
          <w:szCs w:val="31"/>
          <w:lang w:val="en-US" w:eastAsia="zh-CN" w:bidi="ar"/>
        </w:rPr>
      </w:pPr>
      <w:r>
        <w:rPr>
          <w:rFonts w:hint="eastAsia" w:ascii="Times New Roman" w:hAnsi="Times New Roman" w:eastAsia="方正仿宋_GB2312" w:cs="仿宋"/>
          <w:b w:val="0"/>
          <w:bCs w:val="0"/>
          <w:color w:val="000000"/>
          <w:kern w:val="0"/>
          <w:sz w:val="32"/>
          <w:szCs w:val="31"/>
          <w:lang w:val="en-US" w:eastAsia="zh-CN" w:bidi="ar"/>
        </w:rPr>
        <w:t>5.负责管理对外经济技术交流与合作，开展经济信息预测工作，推广科学技术成果；</w:t>
      </w:r>
    </w:p>
    <w:p w14:paraId="7677EBD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Times New Roman" w:hAnsi="Times New Roman" w:eastAsia="方正仿宋_GB2312" w:cs="仿宋"/>
          <w:b w:val="0"/>
          <w:bCs w:val="0"/>
          <w:color w:val="000000"/>
          <w:kern w:val="0"/>
          <w:sz w:val="32"/>
          <w:szCs w:val="31"/>
          <w:lang w:val="en-US" w:eastAsia="zh-CN" w:bidi="ar"/>
        </w:rPr>
      </w:pPr>
      <w:r>
        <w:rPr>
          <w:rFonts w:hint="eastAsia" w:ascii="Times New Roman" w:hAnsi="Times New Roman" w:eastAsia="方正仿宋_GB2312" w:cs="仿宋"/>
          <w:b w:val="0"/>
          <w:bCs w:val="0"/>
          <w:color w:val="000000"/>
          <w:kern w:val="0"/>
          <w:sz w:val="32"/>
          <w:szCs w:val="31"/>
          <w:lang w:val="en-US" w:eastAsia="zh-CN" w:bidi="ar"/>
        </w:rPr>
        <w:t>6.对本单位各项社会建设进行宏观管理，抓好环境卫生整治工作；</w:t>
      </w:r>
    </w:p>
    <w:p w14:paraId="32346FD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Times New Roman" w:hAnsi="Times New Roman" w:eastAsia="方正仿宋_GB2312" w:cs="仿宋"/>
          <w:b w:val="0"/>
          <w:bCs w:val="0"/>
          <w:color w:val="000000"/>
          <w:kern w:val="0"/>
          <w:sz w:val="32"/>
          <w:szCs w:val="31"/>
          <w:lang w:val="en-US" w:eastAsia="zh-CN" w:bidi="ar"/>
        </w:rPr>
      </w:pPr>
      <w:r>
        <w:rPr>
          <w:rFonts w:hint="eastAsia" w:ascii="Times New Roman" w:hAnsi="Times New Roman" w:eastAsia="方正仿宋_GB2312" w:cs="仿宋"/>
          <w:b w:val="0"/>
          <w:bCs w:val="0"/>
          <w:color w:val="000000"/>
          <w:kern w:val="0"/>
          <w:sz w:val="32"/>
          <w:szCs w:val="31"/>
          <w:lang w:val="en-US" w:eastAsia="zh-CN" w:bidi="ar"/>
        </w:rPr>
        <w:t>7.加强基本农田水利建设和道路、桥梁等的建设，加强土地的统一管理、统筹规划，协助有关部门做好地质灾害的防治工作;</w:t>
      </w:r>
    </w:p>
    <w:p w14:paraId="6CFA79B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Times New Roman" w:hAnsi="Times New Roman" w:eastAsia="方正仿宋_GB2312" w:cs="仿宋"/>
          <w:b w:val="0"/>
          <w:bCs w:val="0"/>
          <w:color w:val="000000"/>
          <w:kern w:val="0"/>
          <w:sz w:val="32"/>
          <w:szCs w:val="31"/>
          <w:lang w:val="en-US" w:eastAsia="zh-CN" w:bidi="ar"/>
        </w:rPr>
      </w:pPr>
      <w:r>
        <w:rPr>
          <w:rFonts w:hint="eastAsia" w:ascii="Times New Roman" w:hAnsi="Times New Roman" w:eastAsia="方正仿宋_GB2312" w:cs="仿宋"/>
          <w:b w:val="0"/>
          <w:bCs w:val="0"/>
          <w:color w:val="000000"/>
          <w:kern w:val="0"/>
          <w:sz w:val="32"/>
          <w:szCs w:val="31"/>
          <w:lang w:val="en-US" w:eastAsia="zh-CN" w:bidi="ar"/>
        </w:rPr>
        <w:t>8.负责农村土地承包管理、农民负担监督管理、农村集体资产财务管理；</w:t>
      </w:r>
    </w:p>
    <w:p w14:paraId="02D64FB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Times New Roman" w:hAnsi="Times New Roman" w:eastAsia="方正仿宋_GB2312" w:cs="仿宋"/>
          <w:b w:val="0"/>
          <w:bCs w:val="0"/>
          <w:color w:val="000000"/>
          <w:kern w:val="0"/>
          <w:sz w:val="32"/>
          <w:szCs w:val="31"/>
          <w:lang w:val="en-US" w:eastAsia="zh-CN" w:bidi="ar"/>
        </w:rPr>
      </w:pPr>
      <w:r>
        <w:rPr>
          <w:rFonts w:hint="eastAsia" w:ascii="Times New Roman" w:hAnsi="Times New Roman" w:eastAsia="方正仿宋_GB2312" w:cs="仿宋"/>
          <w:b w:val="0"/>
          <w:bCs w:val="0"/>
          <w:color w:val="000000"/>
          <w:kern w:val="0"/>
          <w:sz w:val="32"/>
          <w:szCs w:val="31"/>
          <w:lang w:val="en-US" w:eastAsia="zh-CN" w:bidi="ar"/>
        </w:rPr>
        <w:t>9.充分发挥行政职能，组织和开展本单位的文化、教育、卫生、民政和科技等工作；</w:t>
      </w:r>
    </w:p>
    <w:p w14:paraId="4FBA5B2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Times New Roman" w:hAnsi="Times New Roman" w:eastAsia="方正仿宋_GB2312" w:cs="仿宋"/>
          <w:b w:val="0"/>
          <w:bCs w:val="0"/>
          <w:color w:val="000000"/>
          <w:kern w:val="0"/>
          <w:sz w:val="32"/>
          <w:szCs w:val="31"/>
          <w:lang w:val="en-US" w:eastAsia="zh-CN" w:bidi="ar"/>
        </w:rPr>
      </w:pPr>
      <w:r>
        <w:rPr>
          <w:rFonts w:hint="eastAsia" w:ascii="Times New Roman" w:hAnsi="Times New Roman" w:eastAsia="方正仿宋_GB2312" w:cs="仿宋"/>
          <w:b w:val="0"/>
          <w:bCs w:val="0"/>
          <w:color w:val="000000"/>
          <w:kern w:val="0"/>
          <w:sz w:val="32"/>
          <w:szCs w:val="31"/>
          <w:lang w:val="en-US" w:eastAsia="zh-CN" w:bidi="ar"/>
        </w:rPr>
        <w:t>10.根据经济发展需要，建立经济、技术咨询服务机构，向经济组织和农牧民提供全面服务。</w:t>
      </w:r>
    </w:p>
    <w:p w14:paraId="64C61BD8">
      <w:pPr>
        <w:ind w:firstLine="640" w:firstLineChars="200"/>
        <w:rPr>
          <w:rFonts w:hint="eastAsia" w:ascii="Times New Roman" w:hAnsi="Times New Roman" w:eastAsia="方正楷体_GB2312" w:cs="仿宋_GB2312"/>
          <w:b/>
          <w:bCs/>
          <w:color w:val="000000" w:themeColor="text1"/>
          <w:kern w:val="2"/>
          <w:sz w:val="32"/>
          <w:szCs w:val="32"/>
          <w:lang w:val="en-US" w:eastAsia="zh-CN" w:bidi="ar-SA"/>
          <w14:textFill>
            <w14:solidFill>
              <w14:schemeClr w14:val="tx1"/>
            </w14:solidFill>
          </w14:textFill>
        </w:rPr>
      </w:pPr>
      <w:r>
        <w:rPr>
          <w:rFonts w:hint="eastAsia" w:ascii="楷体" w:eastAsia="楷体"/>
          <w:sz w:val="32"/>
          <w:szCs w:val="32"/>
        </w:rPr>
        <w:t>（二）</w:t>
      </w:r>
      <w:r>
        <w:rPr>
          <w:rFonts w:hint="eastAsia" w:ascii="Times New Roman" w:hAnsi="Times New Roman" w:eastAsia="方正楷体_GB2312" w:cs="仿宋_GB2312"/>
          <w:b/>
          <w:bCs/>
          <w:color w:val="000000" w:themeColor="text1"/>
          <w:kern w:val="2"/>
          <w:sz w:val="32"/>
          <w:szCs w:val="32"/>
          <w:lang w:val="en-US" w:eastAsia="zh-CN" w:bidi="ar-SA"/>
          <w14:textFill>
            <w14:solidFill>
              <w14:schemeClr w14:val="tx1"/>
            </w14:solidFill>
          </w14:textFill>
        </w:rPr>
        <w:t>壤塘县尕多乡人民政府2025年重点工作</w:t>
      </w:r>
    </w:p>
    <w:p w14:paraId="72DA7C9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rPr>
          <w:rFonts w:hint="eastAsia" w:ascii="Times New Roman" w:hAnsi="Times New Roman" w:eastAsia="方正楷体_GB2312" w:cs="仿宋_GB2312"/>
          <w:b/>
          <w:bCs/>
          <w:color w:val="000000"/>
          <w:kern w:val="2"/>
          <w:sz w:val="32"/>
          <w:szCs w:val="32"/>
          <w:lang w:val="en-US" w:eastAsia="zh-CN" w:bidi="ar-SA"/>
        </w:rPr>
      </w:pPr>
      <w:r>
        <w:rPr>
          <w:rFonts w:hint="eastAsia" w:ascii="Times New Roman" w:hAnsi="Times New Roman" w:eastAsia="方正楷体_GB2312" w:cs="仿宋_GB2312"/>
          <w:b/>
          <w:bCs/>
          <w:color w:val="000000"/>
          <w:kern w:val="2"/>
          <w:sz w:val="32"/>
          <w:szCs w:val="32"/>
          <w:lang w:val="en-US" w:eastAsia="zh-CN" w:bidi="ar-SA"/>
        </w:rPr>
        <w:t>1、加强组织建设，夯实战斗堡垒</w:t>
      </w:r>
    </w:p>
    <w:p w14:paraId="66A9A8A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Times New Roman" w:hAnsi="Times New Roman" w:eastAsia="仿宋_GB2312" w:cs="仿宋"/>
          <w:b w:val="0"/>
          <w:bCs w:val="0"/>
          <w:color w:val="000000"/>
          <w:kern w:val="0"/>
          <w:sz w:val="32"/>
          <w:szCs w:val="31"/>
          <w:lang w:val="en-US" w:eastAsia="zh-CN" w:bidi="ar"/>
        </w:rPr>
      </w:pPr>
      <w:r>
        <w:rPr>
          <w:rFonts w:hint="eastAsia" w:ascii="Times New Roman" w:hAnsi="Times New Roman" w:eastAsia="方正仿宋_GB2312" w:cs="仿宋"/>
          <w:b w:val="0"/>
          <w:bCs w:val="0"/>
          <w:color w:val="000000"/>
          <w:kern w:val="0"/>
          <w:sz w:val="32"/>
          <w:szCs w:val="31"/>
          <w:lang w:val="en-US" w:eastAsia="zh-CN" w:bidi="ar"/>
        </w:rPr>
        <w:t>不断夯实党建工作责任制，全面统筹部署党建工作，加强农村组织建设，助推发展；对标对表薄弱环节，不断加强乡村干部、党员队伍管理，建设高素质、有担当的乡村干部队伍、党员队伍，提高群众认可感、获得感和幸福感。</w:t>
      </w:r>
    </w:p>
    <w:p w14:paraId="2F471ED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rPr>
          <w:rFonts w:hint="eastAsia" w:ascii="Times New Roman" w:hAnsi="Times New Roman" w:eastAsia="方正楷体_GB2312" w:cs="仿宋_GB2312"/>
          <w:b/>
          <w:bCs/>
          <w:color w:val="000000"/>
          <w:kern w:val="2"/>
          <w:sz w:val="32"/>
          <w:szCs w:val="32"/>
          <w:lang w:val="en-US" w:eastAsia="zh-CN" w:bidi="ar-SA"/>
        </w:rPr>
      </w:pPr>
      <w:r>
        <w:rPr>
          <w:rFonts w:hint="eastAsia" w:ascii="Times New Roman" w:hAnsi="Times New Roman" w:eastAsia="方正楷体_GB2312" w:cs="仿宋_GB2312"/>
          <w:b/>
          <w:bCs/>
          <w:color w:val="000000"/>
          <w:kern w:val="2"/>
          <w:sz w:val="32"/>
          <w:szCs w:val="32"/>
          <w:lang w:val="en-US" w:eastAsia="zh-CN" w:bidi="ar-SA"/>
        </w:rPr>
        <w:t>2、项目建设抓实，尕多建设提速</w:t>
      </w:r>
    </w:p>
    <w:p w14:paraId="4538AE6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left"/>
        <w:textAlignment w:val="auto"/>
        <w:rPr>
          <w:rFonts w:hint="eastAsia" w:ascii="Times New Roman" w:hAnsi="Times New Roman" w:eastAsia="方正仿宋_GB2312" w:cs="仿宋"/>
          <w:color w:val="000000"/>
          <w:kern w:val="0"/>
          <w:sz w:val="32"/>
          <w:szCs w:val="31"/>
          <w:lang w:val="en-US" w:eastAsia="zh-CN" w:bidi="ar"/>
        </w:rPr>
      </w:pPr>
      <w:r>
        <w:rPr>
          <w:rFonts w:hint="eastAsia" w:ascii="Times New Roman" w:hAnsi="Times New Roman" w:eastAsia="方正仿宋_GB2312" w:cs="仿宋"/>
          <w:b/>
          <w:bCs/>
          <w:color w:val="000000"/>
          <w:kern w:val="0"/>
          <w:sz w:val="32"/>
          <w:szCs w:val="31"/>
          <w:lang w:val="en-US" w:eastAsia="zh-CN" w:bidi="ar"/>
        </w:rPr>
        <w:t>一是</w:t>
      </w:r>
      <w:r>
        <w:rPr>
          <w:rFonts w:hint="eastAsia" w:ascii="Times New Roman" w:hAnsi="Times New Roman" w:eastAsia="方正仿宋_GB2312" w:cs="仿宋"/>
          <w:color w:val="000000"/>
          <w:kern w:val="0"/>
          <w:sz w:val="32"/>
          <w:szCs w:val="31"/>
          <w:lang w:val="en-US" w:eastAsia="zh-CN" w:bidi="ar"/>
        </w:rPr>
        <w:t>积极申报储备2025年项目，目前储备2025年拟实施项目5个，总投资4717.5万元，待批复下达后，将以最快进度项目前期工作，确保2025年3月前准时开工建设，同时加快推进2024年项目的审计、决算、确权工作。</w:t>
      </w:r>
      <w:r>
        <w:rPr>
          <w:rFonts w:hint="eastAsia" w:ascii="Times New Roman" w:hAnsi="Times New Roman" w:eastAsia="方正仿宋_GB2312" w:cs="仿宋"/>
          <w:b/>
          <w:bCs/>
          <w:color w:val="000000"/>
          <w:kern w:val="0"/>
          <w:sz w:val="32"/>
          <w:szCs w:val="31"/>
          <w:lang w:val="en-US" w:eastAsia="zh-CN" w:bidi="ar"/>
        </w:rPr>
        <w:t>二是</w:t>
      </w:r>
      <w:r>
        <w:rPr>
          <w:rFonts w:hint="eastAsia" w:ascii="Times New Roman" w:hAnsi="Times New Roman" w:eastAsia="方正仿宋_GB2312" w:cs="仿宋"/>
          <w:color w:val="000000"/>
          <w:kern w:val="0"/>
          <w:sz w:val="32"/>
          <w:szCs w:val="31"/>
          <w:lang w:val="en-US" w:eastAsia="zh-CN" w:bidi="ar"/>
        </w:rPr>
        <w:t>广泛宣传稳岗补贴、交通补贴等促进群众外出务工政策，动员群众外出务工，尽可能的减少自然灾害对群众增收的影响，逐步改变“靠天吃饭”的传统增收方式。</w:t>
      </w:r>
      <w:r>
        <w:rPr>
          <w:rFonts w:hint="eastAsia" w:ascii="Times New Roman" w:hAnsi="Times New Roman" w:eastAsia="方正仿宋_GB2312" w:cs="仿宋"/>
          <w:b/>
          <w:bCs/>
          <w:color w:val="000000"/>
          <w:kern w:val="0"/>
          <w:sz w:val="32"/>
          <w:szCs w:val="31"/>
          <w:lang w:val="en-US" w:eastAsia="zh-CN" w:bidi="ar"/>
        </w:rPr>
        <w:t>三是</w:t>
      </w:r>
      <w:r>
        <w:rPr>
          <w:rFonts w:hint="eastAsia" w:ascii="Times New Roman" w:hAnsi="Times New Roman" w:eastAsia="方正仿宋_GB2312" w:cs="仿宋"/>
          <w:color w:val="000000"/>
          <w:kern w:val="0"/>
          <w:sz w:val="32"/>
          <w:szCs w:val="31"/>
          <w:lang w:val="en-US" w:eastAsia="zh-CN" w:bidi="ar"/>
        </w:rPr>
        <w:t>2025年是巩固拓展脱贫攻坚成果同乡村振兴有效衔接的关键之年，对标对表目标任务，抓紧抓实2024年度考核评估问题整改、群众稳定增收、“两不愁、三保障”及安全饮水持续巩固等考核评估各项工作，牢牢守住不发生规模性返贫的底线，确保顺利完成验收。</w:t>
      </w:r>
    </w:p>
    <w:p w14:paraId="30F2C9B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rPr>
          <w:rFonts w:hint="default" w:ascii="Times New Roman" w:hAnsi="Times New Roman" w:eastAsia="方正楷体_GB2312" w:cs="仿宋_GB2312"/>
          <w:b/>
          <w:bCs/>
          <w:color w:val="000000"/>
          <w:kern w:val="2"/>
          <w:sz w:val="32"/>
          <w:szCs w:val="32"/>
          <w:lang w:val="en-US" w:eastAsia="zh-CN" w:bidi="ar-SA"/>
        </w:rPr>
      </w:pPr>
      <w:r>
        <w:rPr>
          <w:rFonts w:hint="eastAsia" w:ascii="Times New Roman" w:hAnsi="Times New Roman" w:eastAsia="方正楷体_GB2312" w:cs="仿宋_GB2312"/>
          <w:b/>
          <w:bCs/>
          <w:color w:val="000000"/>
          <w:kern w:val="2"/>
          <w:sz w:val="32"/>
          <w:szCs w:val="32"/>
          <w:lang w:val="en-US" w:eastAsia="zh-CN" w:bidi="ar-SA"/>
        </w:rPr>
        <w:t>3、民生福祉为先，谋利谋益谋福</w:t>
      </w:r>
    </w:p>
    <w:p w14:paraId="4770BE3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left"/>
        <w:textAlignment w:val="auto"/>
        <w:rPr>
          <w:rFonts w:hint="default" w:ascii="Times New Roman" w:hAnsi="Times New Roman" w:eastAsia="方正仿宋_GB2312" w:cs="仿宋"/>
          <w:color w:val="000000"/>
          <w:kern w:val="0"/>
          <w:sz w:val="32"/>
          <w:szCs w:val="31"/>
          <w:lang w:val="en-US" w:eastAsia="zh-CN" w:bidi="ar"/>
        </w:rPr>
      </w:pPr>
      <w:r>
        <w:rPr>
          <w:rFonts w:hint="eastAsia" w:ascii="方正仿宋_GB2312" w:hAnsi="方正仿宋_GB2312" w:eastAsia="方正仿宋_GB2312" w:cs="方正仿宋_GB2312"/>
          <w:b/>
          <w:bCs/>
          <w:color w:val="000000"/>
          <w:kern w:val="2"/>
          <w:sz w:val="32"/>
          <w:szCs w:val="32"/>
          <w:lang w:val="en-US" w:eastAsia="zh-CN" w:bidi="ar-SA"/>
        </w:rPr>
        <w:t>一是加强安全督导。</w:t>
      </w:r>
      <w:r>
        <w:rPr>
          <w:rFonts w:hint="eastAsia" w:ascii="方正仿宋_GB2312" w:hAnsi="方正仿宋_GB2312" w:eastAsia="方正仿宋_GB2312" w:cs="方正仿宋_GB2312"/>
          <w:b w:val="0"/>
          <w:bCs w:val="0"/>
          <w:color w:val="000000"/>
          <w:kern w:val="2"/>
          <w:sz w:val="32"/>
          <w:szCs w:val="32"/>
          <w:lang w:val="en-US" w:eastAsia="zh-CN" w:bidi="ar-SA"/>
        </w:rPr>
        <w:t>进一步加强安全生产宣传教育，提高企业和员工的安全意识加大安全隐患排查治理力度，对排查出的安全隐患实行闭环管理，确保隐患整改到位；加强安全监管执法，严厉打击各类违法违规行为，维护安全生产良好秩序。</w:t>
      </w:r>
      <w:r>
        <w:rPr>
          <w:rFonts w:hint="eastAsia" w:ascii="Times New Roman" w:hAnsi="Times New Roman" w:eastAsia="方正楷体_GB2312" w:cs="仿宋_GB2312"/>
          <w:b/>
          <w:bCs/>
          <w:color w:val="000000"/>
          <w:kern w:val="2"/>
          <w:sz w:val="32"/>
          <w:szCs w:val="32"/>
          <w:lang w:val="en-US" w:eastAsia="zh-CN" w:bidi="ar-SA"/>
        </w:rPr>
        <w:t>二是森林防火严控。</w:t>
      </w:r>
      <w:r>
        <w:rPr>
          <w:rFonts w:hint="eastAsia" w:ascii="方正仿宋_GB2312" w:hAnsi="方正仿宋_GB2312" w:eastAsia="方正仿宋_GB2312" w:cs="方正仿宋_GB2312"/>
          <w:b w:val="0"/>
          <w:bCs w:val="0"/>
          <w:color w:val="000000"/>
          <w:kern w:val="2"/>
          <w:sz w:val="32"/>
          <w:szCs w:val="32"/>
          <w:lang w:val="en-US" w:eastAsia="zh-CN" w:bidi="ar-SA"/>
        </w:rPr>
        <w:t>持续加强宣传教育，提高群众的防火意识；进一步加强火源管控，严格野外用火审批制度，加大对违规用火行为的打击力度；加强队伍建设和物资储备，提高森林草原火灾的应急处置能力。</w:t>
      </w:r>
      <w:r>
        <w:rPr>
          <w:rFonts w:hint="eastAsia" w:ascii="Times New Roman" w:hAnsi="Times New Roman" w:eastAsia="方正仿宋_GB2312" w:cs="仿宋"/>
          <w:b/>
          <w:bCs/>
          <w:color w:val="000000"/>
          <w:kern w:val="0"/>
          <w:sz w:val="32"/>
          <w:szCs w:val="31"/>
          <w:lang w:val="en-US" w:eastAsia="zh-CN" w:bidi="ar"/>
        </w:rPr>
        <w:t>三是加大环境整治。</w:t>
      </w:r>
      <w:r>
        <w:rPr>
          <w:rFonts w:hint="default" w:ascii="Times New Roman" w:hAnsi="Times New Roman" w:eastAsia="方正仿宋_GB2312" w:cs="仿宋"/>
          <w:color w:val="000000"/>
          <w:kern w:val="0"/>
          <w:sz w:val="32"/>
          <w:szCs w:val="31"/>
          <w:lang w:val="en-US" w:eastAsia="zh-CN" w:bidi="ar"/>
        </w:rPr>
        <w:t>积极申请公益性岗位，在尕卡岭九道拐和门底沟一带增加环卫数量，提高环境卫生清理效率</w:t>
      </w:r>
      <w:r>
        <w:rPr>
          <w:rFonts w:hint="eastAsia" w:ascii="Times New Roman" w:hAnsi="Times New Roman" w:eastAsia="方正仿宋_GB2312" w:cs="仿宋"/>
          <w:color w:val="000000"/>
          <w:kern w:val="0"/>
          <w:sz w:val="32"/>
          <w:szCs w:val="31"/>
          <w:lang w:val="en-US" w:eastAsia="zh-CN" w:bidi="ar"/>
        </w:rPr>
        <w:t>；</w:t>
      </w:r>
      <w:r>
        <w:rPr>
          <w:rFonts w:hint="default" w:ascii="Times New Roman" w:hAnsi="Times New Roman" w:eastAsia="方正仿宋_GB2312" w:cs="仿宋"/>
          <w:color w:val="000000"/>
          <w:kern w:val="0"/>
          <w:sz w:val="32"/>
          <w:szCs w:val="31"/>
          <w:lang w:val="en-US" w:eastAsia="zh-CN" w:bidi="ar"/>
        </w:rPr>
        <w:t>建立环境卫生与环保工作长效管理机制，加强对环卫工人的管理，提高清扫保洁质量。</w:t>
      </w:r>
      <w:r>
        <w:rPr>
          <w:rFonts w:hint="eastAsia" w:ascii="Times New Roman" w:hAnsi="Times New Roman" w:eastAsia="方正仿宋_GB2312" w:cs="仿宋"/>
          <w:b/>
          <w:bCs/>
          <w:color w:val="000000"/>
          <w:kern w:val="0"/>
          <w:sz w:val="32"/>
          <w:szCs w:val="31"/>
          <w:lang w:val="en-US" w:eastAsia="zh-CN" w:bidi="ar"/>
        </w:rPr>
        <w:t>四是坚守统计红线。</w:t>
      </w:r>
      <w:r>
        <w:rPr>
          <w:rFonts w:hint="default" w:ascii="Times New Roman" w:hAnsi="Times New Roman" w:eastAsia="方正仿宋_GB2312" w:cs="仿宋"/>
          <w:color w:val="000000"/>
          <w:kern w:val="0"/>
          <w:sz w:val="32"/>
          <w:szCs w:val="31"/>
          <w:lang w:val="en-US" w:eastAsia="zh-CN" w:bidi="ar"/>
        </w:rPr>
        <w:t>进一步完善好相关资料的归档工作；狠抓统计数据质量，及时准确完成相关报表；加强对统计理论知识的学习，提高统计业务水平。</w:t>
      </w:r>
      <w:r>
        <w:rPr>
          <w:rFonts w:hint="eastAsia" w:ascii="Times New Roman" w:hAnsi="Times New Roman" w:eastAsia="方正仿宋_GB2312" w:cs="仿宋"/>
          <w:b/>
          <w:bCs/>
          <w:color w:val="000000"/>
          <w:kern w:val="0"/>
          <w:sz w:val="32"/>
          <w:szCs w:val="31"/>
          <w:lang w:val="en-US" w:eastAsia="zh-CN" w:bidi="ar"/>
        </w:rPr>
        <w:t>五是完善便民服务。</w:t>
      </w:r>
      <w:r>
        <w:rPr>
          <w:rFonts w:hint="default" w:ascii="Times New Roman" w:hAnsi="Times New Roman" w:eastAsia="方正仿宋_GB2312" w:cs="仿宋"/>
          <w:color w:val="000000"/>
          <w:kern w:val="0"/>
          <w:sz w:val="32"/>
          <w:szCs w:val="31"/>
          <w:lang w:val="en-US" w:eastAsia="zh-CN" w:bidi="ar"/>
        </w:rPr>
        <w:t>计划加大宣传力度，通过线下活动讲解系统安全性与便利性。同时，组织双语培训，提高工作人员服务能力，帮助农牧民群众熟悉并使用系统办事</w:t>
      </w:r>
      <w:r>
        <w:rPr>
          <w:rFonts w:hint="eastAsia" w:ascii="Times New Roman" w:hAnsi="Times New Roman" w:eastAsia="方正仿宋_GB2312" w:cs="仿宋"/>
          <w:color w:val="000000"/>
          <w:kern w:val="0"/>
          <w:sz w:val="32"/>
          <w:szCs w:val="31"/>
          <w:lang w:val="en-US" w:eastAsia="zh-CN" w:bidi="ar"/>
        </w:rPr>
        <w:t>；</w:t>
      </w:r>
      <w:r>
        <w:rPr>
          <w:rFonts w:hint="default" w:ascii="Times New Roman" w:hAnsi="Times New Roman" w:eastAsia="方正仿宋_GB2312" w:cs="仿宋"/>
          <w:color w:val="000000"/>
          <w:kern w:val="0"/>
          <w:sz w:val="32"/>
          <w:szCs w:val="31"/>
          <w:lang w:val="en-US" w:eastAsia="zh-CN" w:bidi="ar"/>
        </w:rPr>
        <w:t>积极探索创新服务方式，如开展上门服务、延时服务、代办服务等，为群众提供更加个性化、贴心的服务。</w:t>
      </w:r>
    </w:p>
    <w:p w14:paraId="23F4170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rightChars="0" w:firstLine="643" w:firstLineChars="200"/>
        <w:jc w:val="left"/>
        <w:textAlignment w:val="auto"/>
        <w:rPr>
          <w:rFonts w:hint="default" w:ascii="Times New Roman" w:hAnsi="Times New Roman" w:eastAsia="方正楷体_GB2312" w:cs="仿宋_GB2312"/>
          <w:b/>
          <w:bCs/>
          <w:color w:val="000000"/>
          <w:kern w:val="2"/>
          <w:sz w:val="32"/>
          <w:szCs w:val="32"/>
          <w:lang w:val="en-US" w:eastAsia="zh-CN" w:bidi="ar-SA"/>
        </w:rPr>
      </w:pPr>
      <w:r>
        <w:rPr>
          <w:rFonts w:hint="eastAsia" w:ascii="Times New Roman" w:hAnsi="Times New Roman" w:eastAsia="方正楷体_GB2312" w:cs="仿宋_GB2312"/>
          <w:b/>
          <w:bCs/>
          <w:color w:val="000000"/>
          <w:kern w:val="2"/>
          <w:sz w:val="32"/>
          <w:szCs w:val="32"/>
          <w:lang w:val="en-US" w:eastAsia="zh-CN" w:bidi="ar-SA"/>
        </w:rPr>
        <w:t>4、社会稳定，尕多和谐</w:t>
      </w:r>
    </w:p>
    <w:p w14:paraId="3827C6A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rightChars="0" w:firstLine="643" w:firstLineChars="200"/>
        <w:jc w:val="left"/>
        <w:textAlignment w:val="auto"/>
        <w:rPr>
          <w:rFonts w:hint="eastAsia"/>
          <w:lang w:val="en-US" w:eastAsia="zh-CN"/>
        </w:rPr>
      </w:pPr>
      <w:r>
        <w:rPr>
          <w:rFonts w:hint="default" w:ascii="Times New Roman" w:hAnsi="Times New Roman" w:eastAsia="方正仿宋_GB2312" w:cs="仿宋"/>
          <w:b/>
          <w:bCs/>
          <w:color w:val="000000"/>
          <w:kern w:val="0"/>
          <w:sz w:val="32"/>
          <w:szCs w:val="31"/>
          <w:lang w:val="en-US" w:eastAsia="zh-CN" w:bidi="ar"/>
        </w:rPr>
        <w:t>一是加强基层基础工作。</w:t>
      </w:r>
      <w:r>
        <w:rPr>
          <w:rFonts w:hint="default" w:ascii="Times New Roman" w:hAnsi="Times New Roman" w:eastAsia="方正仿宋_GB2312" w:cs="仿宋"/>
          <w:color w:val="000000"/>
          <w:kern w:val="0"/>
          <w:sz w:val="32"/>
          <w:szCs w:val="31"/>
          <w:lang w:val="en-US" w:eastAsia="zh-CN" w:bidi="ar"/>
        </w:rPr>
        <w:t>继续加强村级组织建设，提升村级组织的凝聚力和战斗力，充分发挥村级组织在综治维稳工作中的基础作用。同时，加大对基层干部的培训力度，提高其综合素质和工作能力。</w:t>
      </w:r>
      <w:r>
        <w:rPr>
          <w:rFonts w:hint="default" w:ascii="Times New Roman" w:hAnsi="Times New Roman" w:eastAsia="方正仿宋_GB2312" w:cs="仿宋"/>
          <w:b/>
          <w:bCs/>
          <w:color w:val="000000"/>
          <w:kern w:val="0"/>
          <w:sz w:val="32"/>
          <w:szCs w:val="31"/>
          <w:lang w:val="en-US" w:eastAsia="zh-CN" w:bidi="ar"/>
        </w:rPr>
        <w:t>二是深化网格化管理服务。</w:t>
      </w:r>
      <w:r>
        <w:rPr>
          <w:rFonts w:hint="default" w:ascii="Times New Roman" w:hAnsi="Times New Roman" w:eastAsia="方正仿宋_GB2312" w:cs="仿宋"/>
          <w:color w:val="000000"/>
          <w:kern w:val="0"/>
          <w:sz w:val="32"/>
          <w:szCs w:val="31"/>
          <w:lang w:val="en-US" w:eastAsia="zh-CN" w:bidi="ar"/>
        </w:rPr>
        <w:t>进一步完善微网实格网格化管理服务体系，加强网格员队伍建设，提升网格化管理服务水平。加大对网格员的考核力度，确保网格员能够切实履行职责。</w:t>
      </w:r>
      <w:r>
        <w:rPr>
          <w:rFonts w:hint="default" w:ascii="Times New Roman" w:hAnsi="Times New Roman" w:eastAsia="方正仿宋_GB2312" w:cs="仿宋"/>
          <w:b/>
          <w:bCs/>
          <w:color w:val="000000"/>
          <w:kern w:val="0"/>
          <w:sz w:val="32"/>
          <w:szCs w:val="31"/>
          <w:lang w:val="en-US" w:eastAsia="zh-CN" w:bidi="ar"/>
        </w:rPr>
        <w:t>三是强化矛盾纠纷排查化解。</w:t>
      </w:r>
      <w:r>
        <w:rPr>
          <w:rFonts w:hint="default" w:ascii="Times New Roman" w:hAnsi="Times New Roman" w:eastAsia="方正仿宋_GB2312" w:cs="仿宋"/>
          <w:color w:val="000000"/>
          <w:kern w:val="0"/>
          <w:sz w:val="32"/>
          <w:szCs w:val="31"/>
          <w:lang w:val="en-US" w:eastAsia="zh-CN" w:bidi="ar"/>
        </w:rPr>
        <w:t>继续加大对矛盾纠纷的排查化解力度，特别是对“三山一界”矛盾纠纷，要早发现、早介入、早化解。同时，加强对重点区域和重点人员的监控管理，确保社会治安形势稳定。</w:t>
      </w:r>
      <w:r>
        <w:rPr>
          <w:rFonts w:hint="default" w:ascii="Times New Roman" w:hAnsi="Times New Roman" w:eastAsia="方正仿宋_GB2312" w:cs="仿宋"/>
          <w:b/>
          <w:bCs/>
          <w:color w:val="000000"/>
          <w:kern w:val="0"/>
          <w:sz w:val="32"/>
          <w:szCs w:val="31"/>
          <w:lang w:val="en-US" w:eastAsia="zh-CN" w:bidi="ar"/>
        </w:rPr>
        <w:t>四是提升信访接待工作水平。</w:t>
      </w:r>
      <w:r>
        <w:rPr>
          <w:rFonts w:hint="default" w:ascii="Times New Roman" w:hAnsi="Times New Roman" w:eastAsia="方正仿宋_GB2312" w:cs="仿宋"/>
          <w:color w:val="000000"/>
          <w:kern w:val="0"/>
          <w:sz w:val="32"/>
          <w:szCs w:val="31"/>
          <w:lang w:val="en-US" w:eastAsia="zh-CN" w:bidi="ar"/>
        </w:rPr>
        <w:t>进一步完善信访接待日制度，确保群众反映的问题能够得到及时有效的解决。同时，加强对信访工作的宣传，引导群众依法理性反映问题，维护自身合法权益。</w:t>
      </w:r>
    </w:p>
    <w:p w14:paraId="046DDA61">
      <w:pPr>
        <w:pStyle w:val="13"/>
        <w:numPr>
          <w:ilvl w:val="0"/>
          <w:numId w:val="1"/>
        </w:numPr>
        <w:ind w:firstLineChars="0"/>
        <w:rPr>
          <w:rFonts w:ascii="黑体" w:eastAsia="黑体"/>
          <w:sz w:val="32"/>
          <w:szCs w:val="32"/>
        </w:rPr>
      </w:pPr>
      <w:r>
        <w:rPr>
          <w:rFonts w:hint="eastAsia" w:ascii="黑体" w:eastAsia="黑体"/>
          <w:sz w:val="32"/>
          <w:szCs w:val="32"/>
        </w:rPr>
        <w:t>部门预算单位构成</w:t>
      </w:r>
    </w:p>
    <w:p w14:paraId="40561E4A">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ascii="黑体" w:eastAsia="黑体"/>
          <w:sz w:val="32"/>
          <w:szCs w:val="32"/>
        </w:rPr>
      </w:pPr>
      <w:r>
        <w:rPr>
          <w:rFonts w:hint="eastAsia" w:ascii="仿宋_GB2312" w:hAnsi="黑体" w:eastAsia="仿宋_GB2312" w:cs="仿宋_GB2312"/>
          <w:kern w:val="2"/>
          <w:sz w:val="32"/>
          <w:szCs w:val="32"/>
          <w:lang w:val="en-US" w:eastAsia="zh-CN" w:bidi="ar-SA"/>
        </w:rPr>
        <w:t>壤塘县尕多乡人民政府属一级预算单位，无下属二级预算单位。</w:t>
      </w:r>
    </w:p>
    <w:p w14:paraId="57061C51">
      <w:pPr>
        <w:pStyle w:val="13"/>
        <w:numPr>
          <w:ilvl w:val="0"/>
          <w:numId w:val="1"/>
        </w:numPr>
        <w:ind w:left="1360" w:leftChars="0" w:hanging="720" w:firstLineChars="0"/>
        <w:rPr>
          <w:rFonts w:hint="eastAsia" w:ascii="黑体" w:eastAsia="黑体"/>
          <w:sz w:val="32"/>
          <w:szCs w:val="32"/>
        </w:rPr>
      </w:pPr>
      <w:r>
        <w:rPr>
          <w:rFonts w:hint="eastAsia" w:ascii="黑体" w:eastAsia="黑体"/>
          <w:sz w:val="32"/>
          <w:szCs w:val="32"/>
        </w:rPr>
        <w:t>收支预算情况说明</w:t>
      </w:r>
    </w:p>
    <w:p w14:paraId="44E5B6BF">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按照综合预算的原则，壤塘县尕多乡人民政府2025年所有收入和支出均纳入部门预算管理。收入包括：一般公共预算拨款收入1039.4万元，事业收入0万元，其他收入0万元，上年结转0万元；</w:t>
      </w:r>
    </w:p>
    <w:p w14:paraId="35FFA524">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支出包括：一般公共服务支出548.82万元，教育支出0万元，文化体育与传媒支出0万元，社会保障和就业支出111.66万元，医疗卫生与计划生育支出40.57万元，农林水事务支出276.9万元、住房保障支出61.45万元。</w:t>
      </w:r>
    </w:p>
    <w:p w14:paraId="06964035">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壤塘县尕多乡人民政府2025年收支总预算1039.4万元，比2025年收支预算总数增加217.43万元，主要原因：相比去年我乡人员调入及考入人员增加，导致基本保险类、工资福利类的预算数增加。</w:t>
      </w:r>
    </w:p>
    <w:p w14:paraId="671C7953">
      <w:pPr>
        <w:numPr>
          <w:ilvl w:val="0"/>
          <w:numId w:val="2"/>
        </w:numPr>
        <w:ind w:firstLine="640" w:firstLineChars="200"/>
        <w:rPr>
          <w:rFonts w:hint="eastAsia" w:ascii="楷体" w:eastAsia="楷体"/>
          <w:sz w:val="32"/>
          <w:szCs w:val="32"/>
        </w:rPr>
      </w:pPr>
      <w:r>
        <w:rPr>
          <w:rFonts w:hint="eastAsia" w:ascii="楷体" w:eastAsia="楷体"/>
          <w:sz w:val="32"/>
          <w:szCs w:val="32"/>
        </w:rPr>
        <w:t>收入预算情况</w:t>
      </w:r>
    </w:p>
    <w:p w14:paraId="546619F4">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壤塘县尕多乡人民政府2025年收入预算1039.4万元，其中：上年结转0万元，占0%；一般公共预算拨款收入1039.4万元，占100%；事业收入0万元，占0%；其他收入0万元，占0%。</w:t>
      </w:r>
    </w:p>
    <w:p w14:paraId="3BB44628">
      <w:pPr>
        <w:numPr>
          <w:ilvl w:val="0"/>
          <w:numId w:val="2"/>
        </w:numPr>
        <w:ind w:left="420" w:leftChars="200" w:firstLine="640" w:firstLineChars="200"/>
        <w:jc w:val="left"/>
        <w:rPr>
          <w:rFonts w:hint="eastAsia" w:ascii="楷体" w:eastAsia="楷体" w:cs="仿宋_GB2312"/>
          <w:color w:val="000000" w:themeColor="text1"/>
          <w:sz w:val="32"/>
          <w:szCs w:val="32"/>
          <w14:textFill>
            <w14:solidFill>
              <w14:schemeClr w14:val="tx1"/>
            </w14:solidFill>
          </w14:textFill>
        </w:rPr>
      </w:pPr>
      <w:r>
        <w:rPr>
          <w:rFonts w:hint="eastAsia" w:ascii="楷体" w:eastAsia="楷体" w:cs="仿宋_GB2312"/>
          <w:color w:val="000000" w:themeColor="text1"/>
          <w:sz w:val="32"/>
          <w:szCs w:val="32"/>
          <w14:textFill>
            <w14:solidFill>
              <w14:schemeClr w14:val="tx1"/>
            </w14:solidFill>
          </w14:textFill>
        </w:rPr>
        <w:t>支出预算情况</w:t>
      </w:r>
    </w:p>
    <w:p w14:paraId="0F8804EC">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壤塘县尕多乡人民政府2025年支出预算1039.4万元，其中：基本支出804.99万元，占99%；项目支出16.98万元，占1%。</w:t>
      </w:r>
    </w:p>
    <w:p w14:paraId="5A88F6D9">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黑体" w:eastAsia="黑体"/>
          <w:sz w:val="32"/>
          <w:szCs w:val="32"/>
        </w:rPr>
        <w:t>四、财政拨款收支预算情况说明</w:t>
      </w:r>
      <w:r>
        <w:rPr>
          <w:rFonts w:ascii="ˎ̥" w:hAnsi="ˎ̥" w:cs="宋体"/>
          <w:sz w:val="16"/>
        </w:rPr>
        <w:br w:type="textWrapping"/>
      </w:r>
      <w:r>
        <w:rPr>
          <w:rFonts w:hint="eastAsia" w:hAnsi="黑体"/>
          <w:color w:val="000000"/>
          <w:kern w:val="2"/>
          <w:sz w:val="32"/>
          <w:szCs w:val="32"/>
          <w:lang w:val="en-US" w:eastAsia="zh-CN"/>
        </w:rPr>
        <w:t xml:space="preserve">  </w:t>
      </w:r>
      <w:r>
        <w:rPr>
          <w:rFonts w:hint="eastAsia" w:ascii="仿宋_GB2312" w:hAnsi="黑体" w:eastAsia="仿宋_GB2312" w:cs="仿宋_GB2312"/>
          <w:kern w:val="2"/>
          <w:sz w:val="32"/>
          <w:szCs w:val="32"/>
          <w:lang w:val="en-US" w:eastAsia="zh-CN" w:bidi="ar-SA"/>
        </w:rPr>
        <w:t xml:space="preserve"> 壤塘县尕多乡人民政府2025年财政拨款收支总预算1039.4万元，比2025年财政拨款收支总预算增加217.43万元，收入包括：本年一般公共预算拨款收入1039.4万元，上年结转一般公共预算收入0万元，上年结转财政拨款资金0万元。</w:t>
      </w:r>
    </w:p>
    <w:p w14:paraId="116953C0">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一般公共服务支出548.82万元，教育支出0万元，文化体育与传媒支出0万元，社会保障和就业支出111.66万元，医疗卫生与计划生育支出40.57万元，农林水事务支出276.9万元、住房保障支出61.45万元。</w:t>
      </w:r>
    </w:p>
    <w:p w14:paraId="2CFE5D95">
      <w:pPr>
        <w:ind w:firstLine="640" w:firstLineChars="200"/>
        <w:rPr>
          <w:rFonts w:ascii="黑体" w:eastAsia="黑体"/>
          <w:sz w:val="32"/>
          <w:szCs w:val="32"/>
        </w:rPr>
      </w:pPr>
      <w:r>
        <w:rPr>
          <w:rFonts w:hint="eastAsia" w:ascii="黑体" w:eastAsia="黑体"/>
          <w:sz w:val="32"/>
          <w:szCs w:val="32"/>
        </w:rPr>
        <w:t>五、一般公共预算当年拨款情况说明</w:t>
      </w:r>
    </w:p>
    <w:p w14:paraId="02D78C2D">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（一）一般公共预算当年拨款规模变化情况</w:t>
      </w:r>
    </w:p>
    <w:p w14:paraId="5EE68D39">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壤塘县尕多乡人民政府2025年一般公共预算当年拨款1039.4万元，比2025年预算数增加217.43万元，主要是基本支出增加224.65万元、项目支出减少7.22万元。主要原因：相比去年我乡人员调入及考入人员增加，导致基本保险类、工资福利类的预算数增加，项目数量减少。</w:t>
      </w:r>
    </w:p>
    <w:p w14:paraId="2DEF20EC">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（二）一般公共预算当年拨款结构情况</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一般公共服务支出548.82万元，占52.8%；教育支出0万元，占0%；文化旅游体育与传媒支出0万元，占0%；社会保障和就业支出111.66万元，占10.74%；农林水支出276.9万元，占26.64%；卫生健康支出40.57万元，占3.9%；住房保障支出61.45万元，占5.91%。</w:t>
      </w:r>
    </w:p>
    <w:p w14:paraId="1C81FD0C">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（三）一般公共预算当年拨款具体使用情况</w:t>
      </w:r>
    </w:p>
    <w:p w14:paraId="61003E12">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2025年预算数为821.97万元。</w:t>
      </w:r>
    </w:p>
    <w:p w14:paraId="224E3BA6">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43" w:firstLineChars="200"/>
        <w:textAlignment w:val="auto"/>
        <w:rPr>
          <w:rFonts w:hint="default" w:hAnsi="黑体"/>
          <w:b/>
          <w:bCs/>
          <w:kern w:val="2"/>
          <w:sz w:val="32"/>
          <w:szCs w:val="32"/>
          <w:lang w:val="en-US" w:eastAsia="zh-CN"/>
        </w:rPr>
      </w:pPr>
      <w:r>
        <w:rPr>
          <w:rFonts w:hint="eastAsia" w:hAnsi="黑体"/>
          <w:b/>
          <w:bCs/>
          <w:kern w:val="2"/>
          <w:sz w:val="32"/>
          <w:szCs w:val="32"/>
          <w:lang w:val="en-US" w:eastAsia="zh-CN"/>
        </w:rPr>
        <w:t>壤塘县尕多乡人民政府</w:t>
      </w:r>
    </w:p>
    <w:p w14:paraId="4068FC95">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1.一般公共服务支出201（类）政府办公厅（室）及相关机构事务03（款）行政运行01（项）2025年预算数为530.61万元，主要用于：支付我乡政府人员的工资福利和各项保险经费等。</w:t>
      </w:r>
    </w:p>
    <w:p w14:paraId="4D5AF589">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2.一般公共服务支出201（类）政府办公厅（室）及相关机构事务03（款）一般行政管理事务02（项）2025年预算数为8万元，主要用于：支付我乡政府人员的工资福利和各项保险经费等。</w:t>
      </w:r>
    </w:p>
    <w:p w14:paraId="0F47E8C3">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3.卫生健康支出210（类）行政事业单位医疗11（款）行政单位医疗01（项）2025年预算数20.83万元、卫生健康支出210（类）行政事业单位医疗11（款）事业单位医疗02（项）2025年预算数为11.74万元、公务员医疗补助03（项）2025年预算数为5.41万元，其他行政事业单位医疗支出（99）2025年预算数为2.6万元主要用于：支出我乡政府人员的医疗补助和公务员医疗补助。主要用于：支出我乡政府人员的医疗补助和公务员医疗补助。</w:t>
      </w:r>
    </w:p>
    <w:p w14:paraId="57D013EB">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4.农林水支出213（类）农村综合改革07（款）农村综合改革示范点补助07（项）2025年预算数为60万元、对村民委员会和村党支部的补助05（项）2025年预算数为12.92万元，主要用于：支出我乡各村村干部的工资、村级组织经费运转及农村综合改革示范点补助。</w:t>
      </w:r>
    </w:p>
    <w:p w14:paraId="5AE08014">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5.社会保障和就业支出208（类）行政事业单位离退休05（款）机关事业单位基本养老保险缴费支出05（项）2025年预算数为74.44万元，主要用于：支出我乡政府人员的养老保险。</w:t>
      </w:r>
    </w:p>
    <w:p w14:paraId="104B9E96">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default"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6.卫生健康支出210（类）行政事业单位医疗11（款）事业单位医疗02（项）2024年预算数为11.93万元、其他行政事业单位医疗支出99（项）2024年预算数为11.74万元，主要用于：支出我乡事业人员的医疗补助和公务员医疗补助。</w:t>
      </w:r>
    </w:p>
    <w:p w14:paraId="2CA671F4">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7.社会保障和就业支出208（类）行政事业单位养老支出05（款）机关事业单位职业年金缴费支出06（项）2025年预算数37.22万元，主要用于：支出我乡政府人员的职业年金缴费。</w:t>
      </w:r>
    </w:p>
    <w:p w14:paraId="05A35BAC">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8.农林水支出213（类）农业农村01（款）害虫害控制08（项）2025年预算数为1.34万元，主要用于：支出我乡村级动物防疫员监测病虫鼠害及疫情监测的劳务补助。</w:t>
      </w:r>
    </w:p>
    <w:p w14:paraId="3E030F4A">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9.住房保障支出221（类）住房改革支出02（款）住房公积金01（项）2025年预算数为61.45万元，主要用于：支出我乡政府人员的住房公积金。</w:t>
      </w:r>
    </w:p>
    <w:p w14:paraId="06795C0B">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10.一般公共服务支出201（类）人大事务01（款）人大会议04（项）2025年预算数为10.21万元，主要用于：支出我乡召开人民代表大会会议费等。</w:t>
      </w:r>
    </w:p>
    <w:p w14:paraId="05B0CF45">
      <w:pPr>
        <w:pStyle w:val="14"/>
        <w:spacing w:before="0" w:line="360" w:lineRule="auto"/>
        <w:ind w:firstLine="660"/>
        <w:rPr>
          <w:rFonts w:ascii="黑体" w:eastAsia="黑体"/>
          <w:sz w:val="32"/>
          <w:szCs w:val="32"/>
          <w:highlight w:val="none"/>
        </w:rPr>
      </w:pPr>
      <w:r>
        <w:rPr>
          <w:rFonts w:hint="eastAsia" w:ascii="黑体" w:eastAsia="黑体"/>
          <w:sz w:val="32"/>
          <w:szCs w:val="32"/>
          <w:highlight w:val="none"/>
        </w:rPr>
        <w:t>六、一般公共预算基本支出情况说明</w:t>
      </w:r>
    </w:p>
    <w:p w14:paraId="08A6B2F5">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壤塘县尕多乡人民政府2025年一般公共预算基本支出1029.64万元，其中：人员经费851.93万元，主要包括：基本工资、津贴补贴、奖金、其他社会保障缴费、绩效工资、机关事业单位基本养老保险缴费、职业年金缴费、其他工资福利支出、离休费、奖励金、住房公积金、其他对个人和家庭的补助支出。</w:t>
      </w:r>
    </w:p>
    <w:p w14:paraId="785925C3">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ascii="黑体" w:eastAsia="黑体"/>
          <w:sz w:val="32"/>
          <w:szCs w:val="32"/>
        </w:rPr>
      </w:pPr>
      <w:r>
        <w:rPr>
          <w:rFonts w:hint="eastAsia" w:ascii="仿宋_GB2312" w:hAnsi="黑体" w:eastAsia="仿宋_GB2312" w:cs="仿宋_GB2312"/>
          <w:kern w:val="2"/>
          <w:sz w:val="32"/>
          <w:szCs w:val="32"/>
          <w:lang w:val="en-US" w:eastAsia="zh-CN" w:bidi="ar-SA"/>
        </w:rPr>
        <w:t>公用经费177.71万元，主要包括：办公费、印刷费、手续费、水费、电费、邮电费、差旅费、维修（护）费、租赁费、会议费、培训费、劳务费、工会经费、福利费、其他交通工具运行维护费、其他商品和服务支出。</w:t>
      </w:r>
      <w:r>
        <w:rPr>
          <w:rFonts w:hint="eastAsia" w:ascii="仿宋_GB2312" w:hAnsi="黑体" w:eastAsia="仿宋_GB2312" w:cs="仿宋_GB2312"/>
          <w:kern w:val="2"/>
          <w:sz w:val="32"/>
          <w:szCs w:val="32"/>
          <w:lang w:val="en-US" w:eastAsia="zh-CN" w:bidi="ar-SA"/>
        </w:rPr>
        <w:br w:type="textWrapping"/>
      </w:r>
      <w:r>
        <w:rPr>
          <w:rFonts w:hint="eastAsia" w:ascii="黑体" w:eastAsia="黑体"/>
          <w:sz w:val="32"/>
          <w:szCs w:val="32"/>
        </w:rPr>
        <w:t xml:space="preserve">    七、“三公”经费财政拨款预算安排情况说明</w:t>
      </w:r>
    </w:p>
    <w:p w14:paraId="7DE73ADE">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壤塘县尕多乡人民政府2025年“三公”经费财政拨款预算数6万元，其中：因公出国（境）经费0万元，公务接待费0万元，公务用车购置及运行维护费0万元。</w:t>
      </w:r>
    </w:p>
    <w:p w14:paraId="3530E7E1">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（一）2025年因公出国（境）经费0万元。</w:t>
      </w:r>
    </w:p>
    <w:p w14:paraId="15FE51A0">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（二）2025年公务接待经费0万元。较2025年预算经费0万元，增长0%，主要原因：我乡未安排人员出国出差（镜），因此未发生此项业务。</w:t>
      </w:r>
    </w:p>
    <w:p w14:paraId="0CE7BDD5">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（三）2025年公务用车购置及运行维护费6万元。较2024年预算经费增长0%。主要原因：车辆加油及维修成本未发生变化。</w:t>
      </w:r>
    </w:p>
    <w:p w14:paraId="54A78FB7">
      <w:pPr>
        <w:pStyle w:val="14"/>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55A5DAF0">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壤塘县尕多乡人民政府2025年政府性基金预算拨款安排的支出0万元。较2025年预算经费0万元增长0%，主要原因是：未发生此项业务。</w:t>
      </w:r>
    </w:p>
    <w:p w14:paraId="791041B7">
      <w:pPr>
        <w:pStyle w:val="14"/>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2BBAC19D">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（一）机关运行经费</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　 壤塘县尕多乡人民政府2025年机关运行经费财政拨款预算为177.71万元，比2024年预算增加85.71万元，增加93%。</w:t>
      </w:r>
    </w:p>
    <w:p w14:paraId="71DFA1BF">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（二）政府采购情况</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　　2025年壤塘县尕多乡人民政府安排政府采购预算0万元，主要原因：年初预算未发生此项业务。</w:t>
      </w:r>
    </w:p>
    <w:p w14:paraId="5FAB3E9B">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（三）国有资产占有使用情况</w:t>
      </w:r>
    </w:p>
    <w:p w14:paraId="21BC182A">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hAnsi="黑体" w:cs="仿宋_GB2312"/>
          <w:kern w:val="2"/>
          <w:sz w:val="32"/>
          <w:szCs w:val="32"/>
          <w:lang w:val="en-US" w:eastAsia="zh-CN" w:bidi="ar-SA"/>
        </w:rPr>
        <w:t>截止</w:t>
      </w:r>
      <w:bookmarkStart w:id="1" w:name="_GoBack"/>
      <w:bookmarkEnd w:id="1"/>
      <w:r>
        <w:rPr>
          <w:rFonts w:hint="eastAsia" w:ascii="仿宋_GB2312" w:hAnsi="黑体" w:eastAsia="仿宋_GB2312" w:cs="仿宋_GB2312"/>
          <w:kern w:val="2"/>
          <w:sz w:val="32"/>
          <w:szCs w:val="32"/>
          <w:lang w:val="en-US" w:eastAsia="zh-CN" w:bidi="ar-SA"/>
        </w:rPr>
        <w:t>2024年12月31日，我单位固定资产382.93万元。</w:t>
      </w:r>
    </w:p>
    <w:p w14:paraId="67D58A86">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（四）绩效目标设置情况</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　　2025年壤塘县尕多乡人民政府通用项目和专用项目均按要求实行绩效目标管理，涉及一般公共预算当年拨款9.76万元。</w:t>
      </w:r>
    </w:p>
    <w:p w14:paraId="008EF328">
      <w:pPr>
        <w:pStyle w:val="14"/>
        <w:spacing w:before="0" w:line="360" w:lineRule="auto"/>
        <w:ind w:firstLine="640" w:firstLineChars="200"/>
        <w:rPr>
          <w:rFonts w:hint="eastAsia" w:ascii="仿宋_GB2312" w:hAnsi="黑体" w:eastAsia="仿宋_GB2312" w:cs="仿宋_GB2312"/>
          <w:kern w:val="2"/>
          <w:sz w:val="32"/>
          <w:szCs w:val="32"/>
          <w:lang w:val="en-US" w:eastAsia="zh-CN" w:bidi="ar-SA"/>
        </w:rPr>
      </w:pPr>
      <w:r>
        <w:rPr>
          <w:rFonts w:hint="eastAsia" w:ascii="黑体" w:eastAsia="黑体"/>
          <w:sz w:val="32"/>
          <w:szCs w:val="32"/>
        </w:rPr>
        <w:t xml:space="preserve">十、名称解释 </w:t>
      </w:r>
      <w:r>
        <w:rPr>
          <w:rFonts w:hint="eastAsia" w:cs="仿宋_GB2312"/>
          <w:sz w:val="32"/>
          <w:szCs w:val="32"/>
        </w:rPr>
        <w:br w:type="textWrapping"/>
      </w:r>
      <w:r>
        <w:rPr>
          <w:rFonts w:hint="eastAsia" w:ascii="仿宋_GB2312" w:hAnsi="黑体" w:eastAsia="仿宋_GB2312" w:cs="仿宋_GB2312"/>
          <w:kern w:val="2"/>
          <w:sz w:val="32"/>
          <w:szCs w:val="32"/>
          <w:lang w:val="en-US" w:eastAsia="zh-CN" w:bidi="ar-SA"/>
        </w:rPr>
        <w:t>　　   （一）财政拨款收入：指由财政拨款形成的部门收入。按现行管理制度，部门预算中反映的财政拨款仅包括一般公共预算拨款和政府性基金预算拨款。</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　　（二）事业收入：指所属事业单位开展专业业务活动及辅助活动所取得的收入。</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　　（三）事业单位经营收入：指所属事业单位在专业业务活动及其辅助活动之外开展非独立核算经营活动取得的收入。</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　　（四）其他收入：指除上述“财政拨款收入”、“事业收入”、“事业单位经营收入”等以外的收入，主要是所属行政事业单位按规定动用的售房收入、存款利息收入等。</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　　（六）上年结转：指所属行政事业单位以前年度尚未完成、结转至本年按原规定用途继续使用的资金和以前年度已完成项目剩余资金经批准用于新用途使用的资金。</w:t>
      </w:r>
    </w:p>
    <w:p w14:paraId="67BB79CC">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00" w:usb3="00000000" w:csb0="00000000" w:csb1="00000000"/>
  </w:font>
  <w:font w:name="方正楷体_GB2312">
    <w:altName w:val="宋体"/>
    <w:panose1 w:val="02000000000000000000"/>
    <w:charset w:val="86"/>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8ED17">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812B0D"/>
    <w:multiLevelType w:val="singleLevel"/>
    <w:tmpl w:val="0D812B0D"/>
    <w:lvl w:ilvl="0" w:tentative="0">
      <w:start w:val="1"/>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8BD5756"/>
    <w:rsid w:val="098B6E6F"/>
    <w:rsid w:val="0E083A94"/>
    <w:rsid w:val="0E974B5C"/>
    <w:rsid w:val="15011B0C"/>
    <w:rsid w:val="15D75A9A"/>
    <w:rsid w:val="1AA446C1"/>
    <w:rsid w:val="1AC0011E"/>
    <w:rsid w:val="1B78138A"/>
    <w:rsid w:val="1F8A787D"/>
    <w:rsid w:val="1F977B27"/>
    <w:rsid w:val="237B2771"/>
    <w:rsid w:val="25BF7362"/>
    <w:rsid w:val="25EA1F09"/>
    <w:rsid w:val="28B028AC"/>
    <w:rsid w:val="2D64778C"/>
    <w:rsid w:val="2E2034A8"/>
    <w:rsid w:val="2F3D571B"/>
    <w:rsid w:val="3CE14142"/>
    <w:rsid w:val="492E0694"/>
    <w:rsid w:val="4AE554E8"/>
    <w:rsid w:val="50FF43C6"/>
    <w:rsid w:val="52CC3AE3"/>
    <w:rsid w:val="53DD40BE"/>
    <w:rsid w:val="57940D39"/>
    <w:rsid w:val="61873FBD"/>
    <w:rsid w:val="66A81C25"/>
    <w:rsid w:val="70AB4A65"/>
    <w:rsid w:val="7DCC64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uiPriority w:val="0"/>
    <w:pPr>
      <w:keepNext/>
      <w:keepLines/>
      <w:widowControl w:val="0"/>
      <w:spacing w:before="340" w:after="330" w:line="578" w:lineRule="auto"/>
      <w:outlineLvl w:val="0"/>
    </w:pPr>
    <w:rPr>
      <w:b/>
      <w:bCs/>
      <w:kern w:val="44"/>
      <w:sz w:val="44"/>
    </w:rPr>
  </w:style>
  <w:style w:type="paragraph" w:styleId="4">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uiPriority w:val="0"/>
    <w:pPr>
      <w:keepNext/>
      <w:keepLines/>
      <w:widowControl w:val="0"/>
      <w:spacing w:before="260" w:after="260" w:line="415" w:lineRule="auto"/>
      <w:outlineLvl w:val="2"/>
    </w:pPr>
    <w:rPr>
      <w:b/>
      <w:sz w:val="32"/>
    </w:rPr>
  </w:style>
  <w:style w:type="character" w:default="1" w:styleId="12">
    <w:name w:val="Default Paragraph Font"/>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index 6"/>
    <w:next w:val="1"/>
    <w:uiPriority w:val="0"/>
    <w:pPr>
      <w:widowControl w:val="0"/>
      <w:ind w:left="2100"/>
      <w:jc w:val="center"/>
    </w:pPr>
    <w:rPr>
      <w:rFonts w:ascii="等线" w:hAnsi="Times New Roman" w:eastAsia="等线" w:cs="Times New Roman"/>
      <w:kern w:val="2"/>
      <w:sz w:val="32"/>
      <w:szCs w:val="32"/>
      <w:lang w:val="en-US" w:eastAsia="zh-CN" w:bidi="ar-SA"/>
    </w:rPr>
  </w:style>
  <w:style w:type="paragraph" w:styleId="6">
    <w:name w:val="Body Text Indent"/>
    <w:basedOn w:val="1"/>
    <w:next w:val="7"/>
    <w:unhideWhenUsed/>
    <w:qFormat/>
    <w:uiPriority w:val="99"/>
    <w:pPr>
      <w:spacing w:after="120"/>
      <w:ind w:left="420" w:leftChars="200"/>
    </w:pPr>
  </w:style>
  <w:style w:type="paragraph" w:styleId="7">
    <w:name w:val="Body Text First Indent 2"/>
    <w:basedOn w:val="6"/>
    <w:qFormat/>
    <w:uiPriority w:val="99"/>
    <w:pPr>
      <w:ind w:firstLine="420" w:firstLineChars="200"/>
    </w:pPr>
    <w:rPr>
      <w:rFonts w:ascii="Times New Roman" w:hAnsi="Times New Roman"/>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List Paragraph"/>
    <w:basedOn w:val="1"/>
    <w:qFormat/>
    <w:uiPriority w:val="0"/>
    <w:pPr>
      <w:ind w:firstLine="200" w:firstLineChars="200"/>
    </w:pPr>
  </w:style>
  <w:style w:type="paragraph" w:customStyle="1" w:styleId="14">
    <w:name w:val="正文文本1"/>
    <w:basedOn w:val="1"/>
    <w:uiPriority w:val="0"/>
    <w:pPr>
      <w:spacing w:before="93"/>
    </w:pPr>
    <w:rPr>
      <w:rFonts w:ascii="仿宋_GB2312" w:eastAsia="仿宋_GB2312"/>
      <w:kern w:val="0"/>
      <w:sz w:val="30"/>
      <w:szCs w:val="20"/>
    </w:rPr>
  </w:style>
  <w:style w:type="paragraph" w:customStyle="1" w:styleId="15">
    <w:name w:val="WPSOffice手动目录 1"/>
    <w:uiPriority w:val="0"/>
    <w:pPr>
      <w:ind w:leftChars="0"/>
    </w:pPr>
    <w:rPr>
      <w:rFonts w:ascii="Times New Roman" w:hAnsi="Times New Roman" w:eastAsia="宋体" w:cs="Times New Roman"/>
      <w:sz w:val="20"/>
      <w:szCs w:val="20"/>
    </w:rPr>
  </w:style>
  <w:style w:type="paragraph" w:customStyle="1" w:styleId="16">
    <w:name w:val="WPSOffice手动目录 2"/>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12</Pages>
  <Words>352</Words>
  <Characters>367</Characters>
  <Lines>124</Lines>
  <Paragraphs>51</Paragraphs>
  <TotalTime>36</TotalTime>
  <ScaleCrop>false</ScaleCrop>
  <LinksUpToDate>false</LinksUpToDate>
  <CharactersWithSpaces>389</CharactersWithSpaces>
  <Application>WPS Office_12.1.0.18912_F1E327BC-269C-435d-A152-05C5408002CA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TI__357:~ET</cp:lastModifiedBy>
  <cp:lastPrinted>2018-01-30T09:39:00Z</cp:lastPrinted>
  <dcterms:modified xsi:type="dcterms:W3CDTF">2025-04-09T13:40:25Z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F0D6EE9AC5E54E77A6874A5A5C8BDA55_12</vt:lpwstr>
  </property>
</Properties>
</file>