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b w:val="0"/>
          <w:bCs w:val="0"/>
          <w:sz w:val="44"/>
          <w:szCs w:val="44"/>
        </w:rPr>
      </w:pPr>
      <w:r>
        <w:rPr>
          <w:rFonts w:hint="eastAsia" w:ascii="黑体" w:hAnsi="黑体" w:eastAsia="黑体" w:cs="黑体"/>
          <w:b w:val="0"/>
          <w:bCs w:val="0"/>
          <w:color w:val="auto"/>
          <w:sz w:val="44"/>
          <w:szCs w:val="44"/>
          <w:lang w:val="en-US" w:eastAsia="zh-CN"/>
        </w:rPr>
        <w:t>壤塘县上壤塘乡人民政府</w:t>
      </w:r>
    </w:p>
    <w:p>
      <w:pPr>
        <w:jc w:val="center"/>
        <w:rPr>
          <w:rFonts w:hint="eastAsia" w:ascii="黑体" w:hAnsi="黑体" w:eastAsia="黑体" w:cs="黑体"/>
          <w:b w:val="0"/>
          <w:bCs w:val="0"/>
          <w:color w:val="auto"/>
          <w:sz w:val="44"/>
          <w:szCs w:val="44"/>
          <w:lang w:val="en-US" w:eastAsia="zh-CN"/>
        </w:rPr>
      </w:pPr>
      <w:r>
        <w:rPr>
          <w:rFonts w:hint="eastAsia" w:ascii="黑体" w:hAnsi="黑体" w:eastAsia="黑体" w:cs="黑体"/>
          <w:b w:val="0"/>
          <w:bCs w:val="0"/>
          <w:color w:val="auto"/>
          <w:sz w:val="44"/>
          <w:szCs w:val="44"/>
          <w:lang w:val="en-US" w:eastAsia="zh-CN"/>
        </w:rPr>
        <w:t>2026年部门预算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sectPr>
          <w:headerReference r:id="rId3" w:type="default"/>
          <w:pgSz w:w="11906" w:h="16838"/>
          <w:pgMar w:top="1440" w:right="1800" w:bottom="1440" w:left="1800" w:header="851" w:footer="992" w:gutter="0"/>
          <w:cols w:space="720" w:num="1"/>
          <w:docGrid w:type="lines" w:linePitch="312" w:charSpace="0"/>
        </w:sectPr>
      </w:pPr>
    </w:p>
    <w:sdt>
      <w:sdtPr>
        <w:rPr>
          <w:rFonts w:ascii="宋体" w:hAnsi="宋体" w:eastAsia="宋体" w:cs="Times New Roman"/>
          <w:kern w:val="2"/>
          <w:sz w:val="28"/>
          <w:szCs w:val="32"/>
          <w:lang w:val="en-US" w:eastAsia="zh-CN" w:bidi="ar-SA"/>
        </w:rPr>
        <w:id w:val="147476472"/>
        <w15:color w:val="DBDBDB"/>
        <w:docPartObj>
          <w:docPartGallery w:val="Table of Contents"/>
          <w:docPartUnique/>
        </w:docPartObj>
      </w:sdtPr>
      <w:sdtEndPr>
        <w:rPr>
          <w:rFonts w:hint="eastAsia" w:ascii="黑体" w:hAnsi="Calibri" w:eastAsia="黑体" w:cs="Times New Roman"/>
          <w:kern w:val="2"/>
          <w:sz w:val="21"/>
          <w:szCs w:val="32"/>
          <w:lang w:val="en-US" w:eastAsia="zh-CN" w:bidi="ar-SA"/>
        </w:rPr>
      </w:sdtEndPr>
      <w:sdtContent>
        <w:p>
          <w:pPr>
            <w:spacing w:before="0" w:beforeLines="0" w:after="0" w:afterLines="0" w:line="240" w:lineRule="auto"/>
            <w:ind w:left="0" w:leftChars="0" w:right="0" w:rightChars="0" w:firstLine="0" w:firstLineChars="0"/>
            <w:jc w:val="center"/>
            <w:rPr>
              <w:sz w:val="28"/>
              <w:szCs w:val="32"/>
            </w:rPr>
          </w:pPr>
          <w:r>
            <w:rPr>
              <w:rFonts w:ascii="宋体" w:hAnsi="宋体" w:eastAsia="宋体"/>
              <w:sz w:val="28"/>
              <w:szCs w:val="32"/>
            </w:rPr>
            <w:t>目录</w:t>
          </w:r>
        </w:p>
        <w:p>
          <w:pPr>
            <w:pStyle w:val="8"/>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黑体" w:hAnsi="黑体" w:eastAsia="黑体" w:cs="黑体"/>
              <w:sz w:val="32"/>
              <w:szCs w:val="32"/>
            </w:rPr>
          </w:pPr>
          <w:r>
            <w:rPr>
              <w:rFonts w:hint="eastAsia" w:ascii="黑体" w:hAnsi="Calibri" w:eastAsia="黑体" w:cs="Times New Roman"/>
              <w:kern w:val="2"/>
              <w:sz w:val="21"/>
              <w:szCs w:val="32"/>
              <w:lang w:val="en-US" w:eastAsia="zh-CN" w:bidi="ar-SA"/>
            </w:rPr>
            <w:fldChar w:fldCharType="begin"/>
          </w:r>
          <w:r>
            <w:rPr>
              <w:rFonts w:hint="eastAsia" w:ascii="黑体" w:hAnsi="Calibri" w:eastAsia="黑体" w:cs="Times New Roman"/>
              <w:kern w:val="2"/>
              <w:sz w:val="21"/>
              <w:szCs w:val="32"/>
              <w:lang w:val="en-US" w:eastAsia="zh-CN" w:bidi="ar-SA"/>
            </w:rPr>
            <w:instrText xml:space="preserve">TOC \o "1-2" \h \u </w:instrText>
          </w:r>
          <w:r>
            <w:rPr>
              <w:rFonts w:hint="eastAsia" w:ascii="黑体" w:hAnsi="Calibri" w:eastAsia="黑体" w:cs="Times New Roman"/>
              <w:kern w:val="2"/>
              <w:sz w:val="21"/>
              <w:szCs w:val="32"/>
              <w:lang w:val="en-US" w:eastAsia="zh-CN" w:bidi="ar-SA"/>
            </w:rPr>
            <w:fldChar w:fldCharType="separate"/>
          </w:r>
          <w:r>
            <w:rPr>
              <w:rFonts w:hint="eastAsia" w:ascii="黑体" w:hAnsi="黑体" w:eastAsia="黑体" w:cs="黑体"/>
              <w:kern w:val="2"/>
              <w:sz w:val="32"/>
              <w:szCs w:val="32"/>
              <w:lang w:val="en-US" w:eastAsia="zh-CN" w:bidi="ar-SA"/>
            </w:rPr>
            <w:fldChar w:fldCharType="begin"/>
          </w:r>
          <w:r>
            <w:rPr>
              <w:rFonts w:hint="eastAsia" w:ascii="黑体" w:hAnsi="黑体" w:eastAsia="黑体" w:cs="黑体"/>
              <w:kern w:val="2"/>
              <w:sz w:val="32"/>
              <w:szCs w:val="32"/>
              <w:lang w:val="en-US" w:eastAsia="zh-CN" w:bidi="ar-SA"/>
            </w:rPr>
            <w:instrText xml:space="preserve"> HYPERLINK \l _Toc13627 </w:instrText>
          </w:r>
          <w:r>
            <w:rPr>
              <w:rFonts w:hint="eastAsia" w:ascii="黑体" w:hAnsi="黑体" w:eastAsia="黑体" w:cs="黑体"/>
              <w:kern w:val="2"/>
              <w:sz w:val="32"/>
              <w:szCs w:val="32"/>
              <w:lang w:val="en-US" w:eastAsia="zh-CN" w:bidi="ar-SA"/>
            </w:rPr>
            <w:fldChar w:fldCharType="separate"/>
          </w:r>
          <w:r>
            <w:rPr>
              <w:rFonts w:hint="eastAsia" w:ascii="黑体" w:hAnsi="黑体" w:eastAsia="黑体" w:cs="黑体"/>
              <w:sz w:val="32"/>
              <w:szCs w:val="32"/>
            </w:rPr>
            <w:t>一、基本职能及主要工作</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_Toc13627 \h </w:instrText>
          </w:r>
          <w:r>
            <w:rPr>
              <w:rFonts w:hint="eastAsia" w:ascii="黑体" w:hAnsi="黑体" w:eastAsia="黑体" w:cs="黑体"/>
              <w:sz w:val="32"/>
              <w:szCs w:val="32"/>
            </w:rPr>
            <w:fldChar w:fldCharType="separate"/>
          </w:r>
          <w:r>
            <w:rPr>
              <w:rFonts w:hint="eastAsia" w:ascii="黑体" w:hAnsi="黑体" w:eastAsia="黑体" w:cs="黑体"/>
              <w:sz w:val="32"/>
              <w:szCs w:val="32"/>
            </w:rPr>
            <w:t>1</w:t>
          </w:r>
          <w:r>
            <w:rPr>
              <w:rFonts w:hint="eastAsia" w:ascii="黑体" w:hAnsi="黑体" w:eastAsia="黑体" w:cs="黑体"/>
              <w:sz w:val="32"/>
              <w:szCs w:val="32"/>
            </w:rPr>
            <w:fldChar w:fldCharType="end"/>
          </w:r>
          <w:r>
            <w:rPr>
              <w:rFonts w:hint="eastAsia" w:ascii="黑体" w:hAnsi="黑体" w:eastAsia="黑体" w:cs="黑体"/>
              <w:kern w:val="2"/>
              <w:sz w:val="32"/>
              <w:szCs w:val="32"/>
              <w:lang w:val="en-US" w:eastAsia="zh-CN" w:bidi="ar-SA"/>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fldChar w:fldCharType="begin"/>
          </w:r>
          <w:r>
            <w:rPr>
              <w:rFonts w:hint="eastAsia" w:ascii="楷体_GB2312" w:hAnsi="楷体_GB2312" w:eastAsia="楷体_GB2312" w:cs="楷体_GB2312"/>
              <w:kern w:val="2"/>
              <w:sz w:val="32"/>
              <w:szCs w:val="32"/>
              <w:lang w:val="en-US" w:eastAsia="zh-CN" w:bidi="ar-SA"/>
            </w:rPr>
            <w:instrText xml:space="preserve"> HYPERLINK \l _Toc16560 </w:instrText>
          </w:r>
          <w:r>
            <w:rPr>
              <w:rFonts w:hint="eastAsia" w:ascii="楷体_GB2312" w:hAnsi="楷体_GB2312" w:eastAsia="楷体_GB2312" w:cs="楷体_GB2312"/>
              <w:kern w:val="2"/>
              <w:sz w:val="32"/>
              <w:szCs w:val="32"/>
              <w:lang w:val="en-US" w:eastAsia="zh-CN" w:bidi="ar-SA"/>
            </w:rPr>
            <w:fldChar w:fldCharType="separate"/>
          </w:r>
          <w:r>
            <w:rPr>
              <w:rFonts w:hint="eastAsia" w:ascii="楷体_GB2312" w:hAnsi="楷体_GB2312" w:eastAsia="楷体_GB2312" w:cs="楷体_GB2312"/>
              <w:sz w:val="32"/>
              <w:szCs w:val="32"/>
            </w:rPr>
            <w:t>（一）部门职能简介</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_Toc16560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kern w:val="2"/>
              <w:sz w:val="32"/>
              <w:szCs w:val="32"/>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fldChar w:fldCharType="begin"/>
          </w:r>
          <w:r>
            <w:rPr>
              <w:rFonts w:hint="eastAsia" w:ascii="黑体" w:hAnsi="黑体" w:eastAsia="黑体" w:cs="黑体"/>
              <w:kern w:val="2"/>
              <w:sz w:val="32"/>
              <w:szCs w:val="32"/>
              <w:lang w:val="en-US" w:eastAsia="zh-CN" w:bidi="ar-SA"/>
            </w:rPr>
            <w:instrText xml:space="preserve"> HYPERLINK \l _Toc22609 </w:instrText>
          </w:r>
          <w:r>
            <w:rPr>
              <w:rFonts w:hint="eastAsia" w:ascii="黑体" w:hAnsi="黑体" w:eastAsia="黑体" w:cs="黑体"/>
              <w:kern w:val="2"/>
              <w:sz w:val="32"/>
              <w:szCs w:val="32"/>
              <w:lang w:val="en-US" w:eastAsia="zh-CN" w:bidi="ar-SA"/>
            </w:rPr>
            <w:fldChar w:fldCharType="separate"/>
          </w:r>
          <w:r>
            <w:rPr>
              <w:rFonts w:hint="eastAsia" w:ascii="黑体" w:hAnsi="黑体" w:eastAsia="黑体" w:cs="黑体"/>
              <w:sz w:val="32"/>
              <w:szCs w:val="32"/>
            </w:rPr>
            <w:t>（二）</w:t>
          </w:r>
          <w:r>
            <w:rPr>
              <w:rFonts w:hint="eastAsia" w:ascii="黑体" w:hAnsi="黑体" w:eastAsia="黑体" w:cs="黑体"/>
              <w:sz w:val="32"/>
              <w:szCs w:val="32"/>
              <w:lang w:eastAsia="zh-CN"/>
            </w:rPr>
            <w:t>2026</w:t>
          </w:r>
          <w:r>
            <w:rPr>
              <w:rFonts w:hint="eastAsia" w:ascii="黑体" w:hAnsi="黑体" w:eastAsia="黑体" w:cs="黑体"/>
              <w:sz w:val="32"/>
              <w:szCs w:val="32"/>
            </w:rPr>
            <w:t>年重点工作</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_Toc22609 \h </w:instrText>
          </w:r>
          <w:r>
            <w:rPr>
              <w:rFonts w:hint="eastAsia" w:ascii="黑体" w:hAnsi="黑体" w:eastAsia="黑体" w:cs="黑体"/>
              <w:sz w:val="32"/>
              <w:szCs w:val="32"/>
            </w:rPr>
            <w:fldChar w:fldCharType="separate"/>
          </w:r>
          <w:r>
            <w:rPr>
              <w:rFonts w:hint="eastAsia" w:ascii="黑体" w:hAnsi="黑体" w:eastAsia="黑体" w:cs="黑体"/>
              <w:sz w:val="32"/>
              <w:szCs w:val="32"/>
            </w:rPr>
            <w:t>9</w:t>
          </w:r>
          <w:r>
            <w:rPr>
              <w:rFonts w:hint="eastAsia" w:ascii="黑体" w:hAnsi="黑体" w:eastAsia="黑体" w:cs="黑体"/>
              <w:sz w:val="32"/>
              <w:szCs w:val="32"/>
            </w:rPr>
            <w:fldChar w:fldCharType="end"/>
          </w:r>
          <w:r>
            <w:rPr>
              <w:rFonts w:hint="eastAsia" w:ascii="黑体" w:hAnsi="黑体" w:eastAsia="黑体" w:cs="黑体"/>
              <w:kern w:val="2"/>
              <w:sz w:val="32"/>
              <w:szCs w:val="32"/>
              <w:lang w:val="en-US" w:eastAsia="zh-CN" w:bidi="ar-SA"/>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fldChar w:fldCharType="begin"/>
          </w:r>
          <w:r>
            <w:rPr>
              <w:rFonts w:hint="eastAsia" w:ascii="楷体_GB2312" w:hAnsi="楷体_GB2312" w:eastAsia="楷体_GB2312" w:cs="楷体_GB2312"/>
              <w:kern w:val="2"/>
              <w:sz w:val="32"/>
              <w:szCs w:val="32"/>
              <w:lang w:val="en-US" w:eastAsia="zh-CN" w:bidi="ar-SA"/>
            </w:rPr>
            <w:instrText xml:space="preserve"> HYPERLINK \l _Toc23453 </w:instrText>
          </w:r>
          <w:r>
            <w:rPr>
              <w:rFonts w:hint="eastAsia" w:ascii="楷体_GB2312" w:hAnsi="楷体_GB2312" w:eastAsia="楷体_GB2312" w:cs="楷体_GB2312"/>
              <w:kern w:val="2"/>
              <w:sz w:val="32"/>
              <w:szCs w:val="32"/>
              <w:lang w:val="en-US" w:eastAsia="zh-CN" w:bidi="ar-SA"/>
            </w:rPr>
            <w:fldChar w:fldCharType="separate"/>
          </w:r>
          <w:r>
            <w:rPr>
              <w:rFonts w:hint="eastAsia" w:ascii="楷体_GB2312" w:hAnsi="楷体_GB2312" w:eastAsia="楷体_GB2312" w:cs="楷体_GB2312"/>
              <w:bCs/>
              <w:sz w:val="32"/>
              <w:szCs w:val="32"/>
              <w:lang w:val="en-US" w:eastAsia="zh-CN"/>
            </w:rPr>
            <w:t>（一）目标建议​</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_Toc23453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9</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kern w:val="2"/>
              <w:sz w:val="32"/>
              <w:szCs w:val="32"/>
              <w:lang w:val="en-US" w:eastAsia="zh-CN" w:bidi="ar-SA"/>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fldChar w:fldCharType="begin"/>
          </w:r>
          <w:r>
            <w:rPr>
              <w:rFonts w:hint="eastAsia" w:ascii="楷体_GB2312" w:hAnsi="楷体_GB2312" w:eastAsia="楷体_GB2312" w:cs="楷体_GB2312"/>
              <w:kern w:val="2"/>
              <w:sz w:val="32"/>
              <w:szCs w:val="32"/>
              <w:lang w:val="en-US" w:eastAsia="zh-CN" w:bidi="ar-SA"/>
            </w:rPr>
            <w:instrText xml:space="preserve"> HYPERLINK \l _Toc19101 </w:instrText>
          </w:r>
          <w:r>
            <w:rPr>
              <w:rFonts w:hint="eastAsia" w:ascii="楷体_GB2312" w:hAnsi="楷体_GB2312" w:eastAsia="楷体_GB2312" w:cs="楷体_GB2312"/>
              <w:kern w:val="2"/>
              <w:sz w:val="32"/>
              <w:szCs w:val="32"/>
              <w:lang w:val="en-US" w:eastAsia="zh-CN" w:bidi="ar-SA"/>
            </w:rPr>
            <w:fldChar w:fldCharType="separate"/>
          </w:r>
          <w:r>
            <w:rPr>
              <w:rFonts w:hint="eastAsia" w:ascii="楷体_GB2312" w:hAnsi="楷体_GB2312" w:eastAsia="楷体_GB2312" w:cs="楷体_GB2312"/>
              <w:bCs/>
              <w:sz w:val="32"/>
              <w:szCs w:val="32"/>
              <w:lang w:val="en-US" w:eastAsia="zh-CN"/>
            </w:rPr>
            <w:t>（二）重点工作​</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_Toc19101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9</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kern w:val="2"/>
              <w:sz w:val="32"/>
              <w:szCs w:val="32"/>
              <w:lang w:val="en-US" w:eastAsia="zh-CN" w:bidi="ar-SA"/>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fldChar w:fldCharType="begin"/>
          </w:r>
          <w:r>
            <w:rPr>
              <w:rFonts w:hint="eastAsia" w:ascii="楷体_GB2312" w:hAnsi="楷体_GB2312" w:eastAsia="楷体_GB2312" w:cs="楷体_GB2312"/>
              <w:kern w:val="2"/>
              <w:sz w:val="32"/>
              <w:szCs w:val="32"/>
              <w:lang w:val="en-US" w:eastAsia="zh-CN" w:bidi="ar-SA"/>
            </w:rPr>
            <w:instrText xml:space="preserve"> HYPERLINK \l _Toc19621 </w:instrText>
          </w:r>
          <w:r>
            <w:rPr>
              <w:rFonts w:hint="eastAsia" w:ascii="楷体_GB2312" w:hAnsi="楷体_GB2312" w:eastAsia="楷体_GB2312" w:cs="楷体_GB2312"/>
              <w:kern w:val="2"/>
              <w:sz w:val="32"/>
              <w:szCs w:val="32"/>
              <w:lang w:val="en-US" w:eastAsia="zh-CN" w:bidi="ar-SA"/>
            </w:rPr>
            <w:fldChar w:fldCharType="separate"/>
          </w:r>
          <w:r>
            <w:rPr>
              <w:rFonts w:hint="eastAsia" w:ascii="楷体_GB2312" w:hAnsi="楷体_GB2312" w:eastAsia="楷体_GB2312" w:cs="楷体_GB2312"/>
              <w:bCs/>
              <w:sz w:val="32"/>
              <w:szCs w:val="32"/>
              <w:lang w:val="en-US" w:eastAsia="zh-CN"/>
            </w:rPr>
            <w:t>（三）保障措施</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_Toc19621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10</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kern w:val="2"/>
              <w:sz w:val="32"/>
              <w:szCs w:val="32"/>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fldChar w:fldCharType="begin"/>
          </w:r>
          <w:r>
            <w:rPr>
              <w:rFonts w:hint="eastAsia" w:ascii="黑体" w:hAnsi="黑体" w:eastAsia="黑体" w:cs="黑体"/>
              <w:kern w:val="2"/>
              <w:sz w:val="32"/>
              <w:szCs w:val="32"/>
              <w:lang w:val="en-US" w:eastAsia="zh-CN" w:bidi="ar-SA"/>
            </w:rPr>
            <w:instrText xml:space="preserve"> HYPERLINK \l _Toc27748 </w:instrText>
          </w:r>
          <w:r>
            <w:rPr>
              <w:rFonts w:hint="eastAsia" w:ascii="黑体" w:hAnsi="黑体" w:eastAsia="黑体" w:cs="黑体"/>
              <w:kern w:val="2"/>
              <w:sz w:val="32"/>
              <w:szCs w:val="32"/>
              <w:lang w:val="en-US" w:eastAsia="zh-CN" w:bidi="ar-SA"/>
            </w:rPr>
            <w:fldChar w:fldCharType="separate"/>
          </w:r>
          <w:r>
            <w:rPr>
              <w:rFonts w:hint="eastAsia" w:ascii="黑体" w:hAnsi="黑体" w:eastAsia="黑体" w:cs="黑体"/>
              <w:sz w:val="32"/>
              <w:szCs w:val="32"/>
              <w:lang w:val="en-US" w:eastAsia="zh-CN"/>
            </w:rPr>
            <w:t>二、</w:t>
          </w:r>
          <w:r>
            <w:rPr>
              <w:rFonts w:hint="eastAsia" w:ascii="黑体" w:hAnsi="黑体" w:eastAsia="黑体" w:cs="黑体"/>
              <w:sz w:val="32"/>
              <w:szCs w:val="32"/>
            </w:rPr>
            <w:t>部门预算单位构成</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_Toc27748 \h </w:instrText>
          </w:r>
          <w:r>
            <w:rPr>
              <w:rFonts w:hint="eastAsia" w:ascii="黑体" w:hAnsi="黑体" w:eastAsia="黑体" w:cs="黑体"/>
              <w:sz w:val="32"/>
              <w:szCs w:val="32"/>
            </w:rPr>
            <w:fldChar w:fldCharType="separate"/>
          </w:r>
          <w:r>
            <w:rPr>
              <w:rFonts w:hint="eastAsia" w:ascii="黑体" w:hAnsi="黑体" w:eastAsia="黑体" w:cs="黑体"/>
              <w:sz w:val="32"/>
              <w:szCs w:val="32"/>
            </w:rPr>
            <w:t>11</w:t>
          </w:r>
          <w:r>
            <w:rPr>
              <w:rFonts w:hint="eastAsia" w:ascii="黑体" w:hAnsi="黑体" w:eastAsia="黑体" w:cs="黑体"/>
              <w:sz w:val="32"/>
              <w:szCs w:val="32"/>
            </w:rPr>
            <w:fldChar w:fldCharType="end"/>
          </w:r>
          <w:r>
            <w:rPr>
              <w:rFonts w:hint="eastAsia" w:ascii="黑体" w:hAnsi="黑体" w:eastAsia="黑体" w:cs="黑体"/>
              <w:kern w:val="2"/>
              <w:sz w:val="32"/>
              <w:szCs w:val="32"/>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fldChar w:fldCharType="begin"/>
          </w:r>
          <w:r>
            <w:rPr>
              <w:rFonts w:hint="eastAsia" w:ascii="黑体" w:hAnsi="黑体" w:eastAsia="黑体" w:cs="黑体"/>
              <w:kern w:val="2"/>
              <w:sz w:val="32"/>
              <w:szCs w:val="32"/>
              <w:lang w:val="en-US" w:eastAsia="zh-CN" w:bidi="ar-SA"/>
            </w:rPr>
            <w:instrText xml:space="preserve"> HYPERLINK \l _Toc8913 </w:instrText>
          </w:r>
          <w:r>
            <w:rPr>
              <w:rFonts w:hint="eastAsia" w:ascii="黑体" w:hAnsi="黑体" w:eastAsia="黑体" w:cs="黑体"/>
              <w:kern w:val="2"/>
              <w:sz w:val="32"/>
              <w:szCs w:val="32"/>
              <w:lang w:val="en-US" w:eastAsia="zh-CN" w:bidi="ar-SA"/>
            </w:rPr>
            <w:fldChar w:fldCharType="separate"/>
          </w:r>
          <w:r>
            <w:rPr>
              <w:rFonts w:hint="eastAsia" w:ascii="黑体" w:hAnsi="黑体" w:eastAsia="黑体" w:cs="黑体"/>
              <w:sz w:val="32"/>
              <w:szCs w:val="32"/>
            </w:rPr>
            <w:t>三、收支预算情况说明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_Toc8913 \h </w:instrText>
          </w:r>
          <w:r>
            <w:rPr>
              <w:rFonts w:hint="eastAsia" w:ascii="黑体" w:hAnsi="黑体" w:eastAsia="黑体" w:cs="黑体"/>
              <w:sz w:val="32"/>
              <w:szCs w:val="32"/>
            </w:rPr>
            <w:fldChar w:fldCharType="separate"/>
          </w:r>
          <w:r>
            <w:rPr>
              <w:rFonts w:hint="eastAsia" w:ascii="黑体" w:hAnsi="黑体" w:eastAsia="黑体" w:cs="黑体"/>
              <w:sz w:val="32"/>
              <w:szCs w:val="32"/>
            </w:rPr>
            <w:t>11</w:t>
          </w:r>
          <w:r>
            <w:rPr>
              <w:rFonts w:hint="eastAsia" w:ascii="黑体" w:hAnsi="黑体" w:eastAsia="黑体" w:cs="黑体"/>
              <w:sz w:val="32"/>
              <w:szCs w:val="32"/>
            </w:rPr>
            <w:fldChar w:fldCharType="end"/>
          </w:r>
          <w:r>
            <w:rPr>
              <w:rFonts w:hint="eastAsia" w:ascii="黑体" w:hAnsi="黑体" w:eastAsia="黑体" w:cs="黑体"/>
              <w:kern w:val="2"/>
              <w:sz w:val="32"/>
              <w:szCs w:val="32"/>
              <w:lang w:val="en-US" w:eastAsia="zh-CN" w:bidi="ar-SA"/>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fldChar w:fldCharType="begin"/>
          </w:r>
          <w:r>
            <w:rPr>
              <w:rFonts w:hint="eastAsia" w:ascii="楷体_GB2312" w:hAnsi="楷体_GB2312" w:eastAsia="楷体_GB2312" w:cs="楷体_GB2312"/>
              <w:kern w:val="2"/>
              <w:sz w:val="32"/>
              <w:szCs w:val="32"/>
              <w:lang w:val="en-US" w:eastAsia="zh-CN" w:bidi="ar-SA"/>
            </w:rPr>
            <w:instrText xml:space="preserve"> HYPERLINK \l _Toc26881 </w:instrText>
          </w:r>
          <w:r>
            <w:rPr>
              <w:rFonts w:hint="eastAsia" w:ascii="楷体_GB2312" w:hAnsi="楷体_GB2312" w:eastAsia="楷体_GB2312" w:cs="楷体_GB2312"/>
              <w:kern w:val="2"/>
              <w:sz w:val="32"/>
              <w:szCs w:val="32"/>
              <w:lang w:val="en-US" w:eastAsia="zh-CN" w:bidi="ar-SA"/>
            </w:rPr>
            <w:fldChar w:fldCharType="separate"/>
          </w:r>
          <w:r>
            <w:rPr>
              <w:rFonts w:hint="eastAsia" w:ascii="楷体_GB2312" w:hAnsi="楷体_GB2312" w:eastAsia="楷体_GB2312" w:cs="楷体_GB2312"/>
              <w:sz w:val="32"/>
              <w:szCs w:val="32"/>
            </w:rPr>
            <w:t>（一）收入预算情况</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_Toc26881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12</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kern w:val="2"/>
              <w:sz w:val="32"/>
              <w:szCs w:val="32"/>
              <w:lang w:val="en-US" w:eastAsia="zh-CN" w:bidi="ar-SA"/>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fldChar w:fldCharType="begin"/>
          </w:r>
          <w:r>
            <w:rPr>
              <w:rFonts w:hint="eastAsia" w:ascii="楷体_GB2312" w:hAnsi="楷体_GB2312" w:eastAsia="楷体_GB2312" w:cs="楷体_GB2312"/>
              <w:kern w:val="2"/>
              <w:sz w:val="32"/>
              <w:szCs w:val="32"/>
              <w:lang w:val="en-US" w:eastAsia="zh-CN" w:bidi="ar-SA"/>
            </w:rPr>
            <w:instrText xml:space="preserve"> HYPERLINK \l _Toc6839 </w:instrText>
          </w:r>
          <w:r>
            <w:rPr>
              <w:rFonts w:hint="eastAsia" w:ascii="楷体_GB2312" w:hAnsi="楷体_GB2312" w:eastAsia="楷体_GB2312" w:cs="楷体_GB2312"/>
              <w:kern w:val="2"/>
              <w:sz w:val="32"/>
              <w:szCs w:val="32"/>
              <w:lang w:val="en-US" w:eastAsia="zh-CN" w:bidi="ar-SA"/>
            </w:rPr>
            <w:fldChar w:fldCharType="separate"/>
          </w:r>
          <w:r>
            <w:rPr>
              <w:rFonts w:hint="eastAsia" w:ascii="楷体_GB2312" w:hAnsi="楷体_GB2312" w:eastAsia="楷体_GB2312" w:cs="楷体_GB2312"/>
              <w:sz w:val="32"/>
              <w:szCs w:val="32"/>
            </w:rPr>
            <w:t>（二）支出预算情况</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_Toc6839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12</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kern w:val="2"/>
              <w:sz w:val="32"/>
              <w:szCs w:val="32"/>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fldChar w:fldCharType="begin"/>
          </w:r>
          <w:r>
            <w:rPr>
              <w:rFonts w:hint="eastAsia" w:ascii="黑体" w:hAnsi="黑体" w:eastAsia="黑体" w:cs="黑体"/>
              <w:kern w:val="2"/>
              <w:sz w:val="32"/>
              <w:szCs w:val="32"/>
              <w:lang w:val="en-US" w:eastAsia="zh-CN" w:bidi="ar-SA"/>
            </w:rPr>
            <w:instrText xml:space="preserve"> HYPERLINK \l _Toc30387 </w:instrText>
          </w:r>
          <w:r>
            <w:rPr>
              <w:rFonts w:hint="eastAsia" w:ascii="黑体" w:hAnsi="黑体" w:eastAsia="黑体" w:cs="黑体"/>
              <w:kern w:val="2"/>
              <w:sz w:val="32"/>
              <w:szCs w:val="32"/>
              <w:lang w:val="en-US" w:eastAsia="zh-CN" w:bidi="ar-SA"/>
            </w:rPr>
            <w:fldChar w:fldCharType="separate"/>
          </w:r>
          <w:r>
            <w:rPr>
              <w:rFonts w:hint="eastAsia" w:ascii="黑体" w:hAnsi="黑体" w:eastAsia="黑体" w:cs="黑体"/>
              <w:sz w:val="32"/>
              <w:szCs w:val="32"/>
            </w:rPr>
            <w:t>四、财政拨款收支预算情况说明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_Toc30387 \h </w:instrText>
          </w:r>
          <w:r>
            <w:rPr>
              <w:rFonts w:hint="eastAsia" w:ascii="黑体" w:hAnsi="黑体" w:eastAsia="黑体" w:cs="黑体"/>
              <w:sz w:val="32"/>
              <w:szCs w:val="32"/>
            </w:rPr>
            <w:fldChar w:fldCharType="separate"/>
          </w:r>
          <w:r>
            <w:rPr>
              <w:rFonts w:hint="eastAsia" w:ascii="黑体" w:hAnsi="黑体" w:eastAsia="黑体" w:cs="黑体"/>
              <w:sz w:val="32"/>
              <w:szCs w:val="32"/>
            </w:rPr>
            <w:t>12</w:t>
          </w:r>
          <w:r>
            <w:rPr>
              <w:rFonts w:hint="eastAsia" w:ascii="黑体" w:hAnsi="黑体" w:eastAsia="黑体" w:cs="黑体"/>
              <w:sz w:val="32"/>
              <w:szCs w:val="32"/>
            </w:rPr>
            <w:fldChar w:fldCharType="end"/>
          </w:r>
          <w:r>
            <w:rPr>
              <w:rFonts w:hint="eastAsia" w:ascii="黑体" w:hAnsi="黑体" w:eastAsia="黑体" w:cs="黑体"/>
              <w:kern w:val="2"/>
              <w:sz w:val="32"/>
              <w:szCs w:val="32"/>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pPr>
          <w:r>
            <w:rPr>
              <w:rFonts w:hint="eastAsia" w:ascii="黑体" w:hAnsi="黑体" w:eastAsia="黑体" w:cs="黑体"/>
              <w:kern w:val="2"/>
              <w:sz w:val="32"/>
              <w:szCs w:val="32"/>
              <w:lang w:val="en-US" w:eastAsia="zh-CN" w:bidi="ar-SA"/>
            </w:rPr>
            <w:fldChar w:fldCharType="begin"/>
          </w:r>
          <w:r>
            <w:rPr>
              <w:rFonts w:hint="eastAsia" w:ascii="黑体" w:hAnsi="黑体" w:eastAsia="黑体" w:cs="黑体"/>
              <w:kern w:val="2"/>
              <w:sz w:val="32"/>
              <w:szCs w:val="32"/>
              <w:lang w:val="en-US" w:eastAsia="zh-CN" w:bidi="ar-SA"/>
            </w:rPr>
            <w:instrText xml:space="preserve"> HYPERLINK \l _Toc21914 </w:instrText>
          </w:r>
          <w:r>
            <w:rPr>
              <w:rFonts w:hint="eastAsia" w:ascii="黑体" w:hAnsi="黑体" w:eastAsia="黑体" w:cs="黑体"/>
              <w:kern w:val="2"/>
              <w:sz w:val="32"/>
              <w:szCs w:val="32"/>
              <w:lang w:val="en-US" w:eastAsia="zh-CN" w:bidi="ar-SA"/>
            </w:rPr>
            <w:fldChar w:fldCharType="separate"/>
          </w:r>
          <w:r>
            <w:rPr>
              <w:rFonts w:hint="eastAsia" w:ascii="黑体" w:hAnsi="黑体" w:eastAsia="黑体" w:cs="黑体"/>
              <w:sz w:val="32"/>
              <w:szCs w:val="32"/>
            </w:rPr>
            <w:t>五、一般公共预算当年拨款情况说明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_Toc21914 \h </w:instrText>
          </w:r>
          <w:r>
            <w:rPr>
              <w:rFonts w:hint="eastAsia" w:ascii="黑体" w:hAnsi="黑体" w:eastAsia="黑体" w:cs="黑体"/>
              <w:sz w:val="32"/>
              <w:szCs w:val="32"/>
            </w:rPr>
            <w:fldChar w:fldCharType="separate"/>
          </w:r>
          <w:r>
            <w:rPr>
              <w:rFonts w:hint="eastAsia" w:ascii="黑体" w:hAnsi="黑体" w:eastAsia="黑体" w:cs="黑体"/>
              <w:sz w:val="32"/>
              <w:szCs w:val="32"/>
            </w:rPr>
            <w:t>13</w:t>
          </w:r>
          <w:r>
            <w:rPr>
              <w:rFonts w:hint="eastAsia" w:ascii="黑体" w:hAnsi="黑体" w:eastAsia="黑体" w:cs="黑体"/>
              <w:sz w:val="32"/>
              <w:szCs w:val="32"/>
            </w:rPr>
            <w:fldChar w:fldCharType="end"/>
          </w:r>
          <w:r>
            <w:rPr>
              <w:rFonts w:hint="eastAsia" w:ascii="黑体" w:hAnsi="黑体" w:eastAsia="黑体" w:cs="黑体"/>
              <w:kern w:val="2"/>
              <w:sz w:val="32"/>
              <w:szCs w:val="32"/>
              <w:lang w:val="en-US" w:eastAsia="zh-CN" w:bidi="ar-SA"/>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fldChar w:fldCharType="begin"/>
          </w:r>
          <w:r>
            <w:rPr>
              <w:rFonts w:hint="eastAsia" w:ascii="楷体_GB2312" w:hAnsi="楷体_GB2312" w:eastAsia="楷体_GB2312" w:cs="楷体_GB2312"/>
              <w:kern w:val="2"/>
              <w:sz w:val="32"/>
              <w:szCs w:val="32"/>
              <w:lang w:val="en-US" w:eastAsia="zh-CN" w:bidi="ar-SA"/>
            </w:rPr>
            <w:instrText xml:space="preserve"> HYPERLINK \l _Toc19903 </w:instrText>
          </w:r>
          <w:r>
            <w:rPr>
              <w:rFonts w:hint="eastAsia" w:ascii="楷体_GB2312" w:hAnsi="楷体_GB2312" w:eastAsia="楷体_GB2312" w:cs="楷体_GB2312"/>
              <w:kern w:val="2"/>
              <w:sz w:val="32"/>
              <w:szCs w:val="32"/>
              <w:lang w:val="en-US" w:eastAsia="zh-CN" w:bidi="ar-SA"/>
            </w:rPr>
            <w:fldChar w:fldCharType="separate"/>
          </w:r>
          <w:r>
            <w:rPr>
              <w:rFonts w:hint="eastAsia" w:ascii="楷体_GB2312" w:hAnsi="楷体_GB2312" w:eastAsia="楷体_GB2312" w:cs="楷体_GB2312"/>
              <w:sz w:val="32"/>
              <w:szCs w:val="32"/>
            </w:rPr>
            <w:t>（一）一般公共预算当年拨款规模变化情况</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_Toc19903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13</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kern w:val="2"/>
              <w:sz w:val="32"/>
              <w:szCs w:val="32"/>
              <w:lang w:val="en-US" w:eastAsia="zh-CN" w:bidi="ar-SA"/>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fldChar w:fldCharType="begin"/>
          </w:r>
          <w:r>
            <w:rPr>
              <w:rFonts w:hint="eastAsia" w:ascii="楷体_GB2312" w:hAnsi="楷体_GB2312" w:eastAsia="楷体_GB2312" w:cs="楷体_GB2312"/>
              <w:kern w:val="2"/>
              <w:sz w:val="32"/>
              <w:szCs w:val="32"/>
              <w:lang w:val="en-US" w:eastAsia="zh-CN" w:bidi="ar-SA"/>
            </w:rPr>
            <w:instrText xml:space="preserve"> HYPERLINK \l _Toc7795 </w:instrText>
          </w:r>
          <w:r>
            <w:rPr>
              <w:rFonts w:hint="eastAsia" w:ascii="楷体_GB2312" w:hAnsi="楷体_GB2312" w:eastAsia="楷体_GB2312" w:cs="楷体_GB2312"/>
              <w:kern w:val="2"/>
              <w:sz w:val="32"/>
              <w:szCs w:val="32"/>
              <w:lang w:val="en-US" w:eastAsia="zh-CN" w:bidi="ar-SA"/>
            </w:rPr>
            <w:fldChar w:fldCharType="separate"/>
          </w: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一般公共预算当年拨款结构情况</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_Toc7795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13</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kern w:val="2"/>
              <w:sz w:val="32"/>
              <w:szCs w:val="32"/>
              <w:lang w:val="en-US" w:eastAsia="zh-CN" w:bidi="ar-SA"/>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pPr>
          <w:r>
            <w:rPr>
              <w:rFonts w:hint="eastAsia" w:ascii="楷体_GB2312" w:hAnsi="楷体_GB2312" w:eastAsia="楷体_GB2312" w:cs="楷体_GB2312"/>
              <w:kern w:val="2"/>
              <w:sz w:val="32"/>
              <w:szCs w:val="32"/>
              <w:lang w:val="en-US" w:eastAsia="zh-CN" w:bidi="ar-SA"/>
            </w:rPr>
            <w:fldChar w:fldCharType="begin"/>
          </w:r>
          <w:r>
            <w:rPr>
              <w:rFonts w:hint="eastAsia" w:ascii="楷体_GB2312" w:hAnsi="楷体_GB2312" w:eastAsia="楷体_GB2312" w:cs="楷体_GB2312"/>
              <w:kern w:val="2"/>
              <w:sz w:val="32"/>
              <w:szCs w:val="32"/>
              <w:lang w:val="en-US" w:eastAsia="zh-CN" w:bidi="ar-SA"/>
            </w:rPr>
            <w:instrText xml:space="preserve"> HYPERLINK \l _Toc23010 </w:instrText>
          </w:r>
          <w:r>
            <w:rPr>
              <w:rFonts w:hint="eastAsia" w:ascii="楷体_GB2312" w:hAnsi="楷体_GB2312" w:eastAsia="楷体_GB2312" w:cs="楷体_GB2312"/>
              <w:kern w:val="2"/>
              <w:sz w:val="32"/>
              <w:szCs w:val="32"/>
              <w:lang w:val="en-US" w:eastAsia="zh-CN" w:bidi="ar-SA"/>
            </w:rPr>
            <w:fldChar w:fldCharType="separate"/>
          </w:r>
          <w:r>
            <w:rPr>
              <w:rFonts w:hint="eastAsia" w:ascii="楷体_GB2312" w:hAnsi="楷体_GB2312" w:eastAsia="楷体_GB2312" w:cs="楷体_GB2312"/>
              <w:sz w:val="32"/>
              <w:szCs w:val="32"/>
              <w:lang w:eastAsia="zh-CN"/>
            </w:rPr>
            <w:t>（三）一般公共预算当年拨款具体使用情况</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_Toc23010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13</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kern w:val="2"/>
              <w:sz w:val="32"/>
              <w:szCs w:val="32"/>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fldChar w:fldCharType="begin"/>
          </w:r>
          <w:r>
            <w:rPr>
              <w:rFonts w:hint="eastAsia" w:ascii="黑体" w:hAnsi="黑体" w:eastAsia="黑体" w:cs="黑体"/>
              <w:kern w:val="2"/>
              <w:sz w:val="32"/>
              <w:szCs w:val="32"/>
              <w:lang w:val="en-US" w:eastAsia="zh-CN" w:bidi="ar-SA"/>
            </w:rPr>
            <w:instrText xml:space="preserve"> HYPERLINK \l _Toc21537 </w:instrText>
          </w:r>
          <w:r>
            <w:rPr>
              <w:rFonts w:hint="eastAsia" w:ascii="黑体" w:hAnsi="黑体" w:eastAsia="黑体" w:cs="黑体"/>
              <w:kern w:val="2"/>
              <w:sz w:val="32"/>
              <w:szCs w:val="32"/>
              <w:lang w:val="en-US" w:eastAsia="zh-CN" w:bidi="ar-SA"/>
            </w:rPr>
            <w:fldChar w:fldCharType="separate"/>
          </w:r>
          <w:r>
            <w:rPr>
              <w:rFonts w:hint="eastAsia" w:ascii="黑体" w:hAnsi="黑体" w:eastAsia="黑体" w:cs="黑体"/>
              <w:sz w:val="32"/>
              <w:szCs w:val="32"/>
            </w:rPr>
            <w:t>六、一般公共预算基本支出情况说明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_Toc21537 \h </w:instrText>
          </w:r>
          <w:r>
            <w:rPr>
              <w:rFonts w:hint="eastAsia" w:ascii="黑体" w:hAnsi="黑体" w:eastAsia="黑体" w:cs="黑体"/>
              <w:sz w:val="32"/>
              <w:szCs w:val="32"/>
            </w:rPr>
            <w:fldChar w:fldCharType="separate"/>
          </w:r>
          <w:r>
            <w:rPr>
              <w:rFonts w:hint="eastAsia" w:ascii="黑体" w:hAnsi="黑体" w:eastAsia="黑体" w:cs="黑体"/>
              <w:sz w:val="32"/>
              <w:szCs w:val="32"/>
            </w:rPr>
            <w:t>15</w:t>
          </w:r>
          <w:r>
            <w:rPr>
              <w:rFonts w:hint="eastAsia" w:ascii="黑体" w:hAnsi="黑体" w:eastAsia="黑体" w:cs="黑体"/>
              <w:sz w:val="32"/>
              <w:szCs w:val="32"/>
            </w:rPr>
            <w:fldChar w:fldCharType="end"/>
          </w:r>
          <w:r>
            <w:rPr>
              <w:rFonts w:hint="eastAsia" w:ascii="黑体" w:hAnsi="黑体" w:eastAsia="黑体" w:cs="黑体"/>
              <w:kern w:val="2"/>
              <w:sz w:val="32"/>
              <w:szCs w:val="32"/>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fldChar w:fldCharType="begin"/>
          </w:r>
          <w:r>
            <w:rPr>
              <w:rFonts w:hint="eastAsia" w:ascii="黑体" w:hAnsi="黑体" w:eastAsia="黑体" w:cs="黑体"/>
              <w:kern w:val="2"/>
              <w:sz w:val="32"/>
              <w:szCs w:val="32"/>
              <w:lang w:val="en-US" w:eastAsia="zh-CN" w:bidi="ar-SA"/>
            </w:rPr>
            <w:instrText xml:space="preserve"> HYPERLINK \l _Toc46 </w:instrText>
          </w:r>
          <w:r>
            <w:rPr>
              <w:rFonts w:hint="eastAsia" w:ascii="黑体" w:hAnsi="黑体" w:eastAsia="黑体" w:cs="黑体"/>
              <w:kern w:val="2"/>
              <w:sz w:val="32"/>
              <w:szCs w:val="32"/>
              <w:lang w:val="en-US" w:eastAsia="zh-CN" w:bidi="ar-SA"/>
            </w:rPr>
            <w:fldChar w:fldCharType="separate"/>
          </w:r>
          <w:r>
            <w:rPr>
              <w:rFonts w:hint="eastAsia" w:ascii="黑体" w:hAnsi="黑体" w:eastAsia="黑体" w:cs="黑体"/>
              <w:bCs/>
              <w:kern w:val="44"/>
              <w:sz w:val="32"/>
              <w:szCs w:val="32"/>
              <w:lang w:val="en-US" w:eastAsia="zh-CN" w:bidi="ar-SA"/>
            </w:rPr>
            <w:t>七、“三公”经费财政拨款预算安排情况说明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_Toc46 \h </w:instrText>
          </w:r>
          <w:r>
            <w:rPr>
              <w:rFonts w:hint="eastAsia" w:ascii="黑体" w:hAnsi="黑体" w:eastAsia="黑体" w:cs="黑体"/>
              <w:sz w:val="32"/>
              <w:szCs w:val="32"/>
            </w:rPr>
            <w:fldChar w:fldCharType="separate"/>
          </w:r>
          <w:r>
            <w:rPr>
              <w:rFonts w:hint="eastAsia" w:ascii="黑体" w:hAnsi="黑体" w:eastAsia="黑体" w:cs="黑体"/>
              <w:sz w:val="32"/>
              <w:szCs w:val="32"/>
            </w:rPr>
            <w:t>16</w:t>
          </w:r>
          <w:r>
            <w:rPr>
              <w:rFonts w:hint="eastAsia" w:ascii="黑体" w:hAnsi="黑体" w:eastAsia="黑体" w:cs="黑体"/>
              <w:sz w:val="32"/>
              <w:szCs w:val="32"/>
            </w:rPr>
            <w:fldChar w:fldCharType="end"/>
          </w:r>
          <w:r>
            <w:rPr>
              <w:rFonts w:hint="eastAsia" w:ascii="黑体" w:hAnsi="黑体" w:eastAsia="黑体" w:cs="黑体"/>
              <w:kern w:val="2"/>
              <w:sz w:val="32"/>
              <w:szCs w:val="32"/>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fldChar w:fldCharType="begin"/>
          </w:r>
          <w:r>
            <w:rPr>
              <w:rFonts w:hint="eastAsia" w:ascii="黑体" w:hAnsi="黑体" w:eastAsia="黑体" w:cs="黑体"/>
              <w:kern w:val="2"/>
              <w:sz w:val="32"/>
              <w:szCs w:val="32"/>
              <w:lang w:val="en-US" w:eastAsia="zh-CN" w:bidi="ar-SA"/>
            </w:rPr>
            <w:instrText xml:space="preserve"> HYPERLINK \l _Toc2655 </w:instrText>
          </w:r>
          <w:r>
            <w:rPr>
              <w:rFonts w:hint="eastAsia" w:ascii="黑体" w:hAnsi="黑体" w:eastAsia="黑体" w:cs="黑体"/>
              <w:kern w:val="2"/>
              <w:sz w:val="32"/>
              <w:szCs w:val="32"/>
              <w:lang w:val="en-US" w:eastAsia="zh-CN" w:bidi="ar-SA"/>
            </w:rPr>
            <w:fldChar w:fldCharType="separate"/>
          </w:r>
          <w:r>
            <w:rPr>
              <w:rFonts w:hint="eastAsia" w:ascii="黑体" w:hAnsi="黑体" w:eastAsia="黑体" w:cs="黑体"/>
              <w:sz w:val="32"/>
              <w:szCs w:val="32"/>
            </w:rPr>
            <w:t>八、政府性基金预算支出情况说明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_Toc2655 \h </w:instrText>
          </w:r>
          <w:r>
            <w:rPr>
              <w:rFonts w:hint="eastAsia" w:ascii="黑体" w:hAnsi="黑体" w:eastAsia="黑体" w:cs="黑体"/>
              <w:sz w:val="32"/>
              <w:szCs w:val="32"/>
            </w:rPr>
            <w:fldChar w:fldCharType="separate"/>
          </w:r>
          <w:r>
            <w:rPr>
              <w:rFonts w:hint="eastAsia" w:ascii="黑体" w:hAnsi="黑体" w:eastAsia="黑体" w:cs="黑体"/>
              <w:sz w:val="32"/>
              <w:szCs w:val="32"/>
            </w:rPr>
            <w:t>16</w:t>
          </w:r>
          <w:r>
            <w:rPr>
              <w:rFonts w:hint="eastAsia" w:ascii="黑体" w:hAnsi="黑体" w:eastAsia="黑体" w:cs="黑体"/>
              <w:sz w:val="32"/>
              <w:szCs w:val="32"/>
            </w:rPr>
            <w:fldChar w:fldCharType="end"/>
          </w:r>
          <w:r>
            <w:rPr>
              <w:rFonts w:hint="eastAsia" w:ascii="黑体" w:hAnsi="黑体" w:eastAsia="黑体" w:cs="黑体"/>
              <w:kern w:val="2"/>
              <w:sz w:val="32"/>
              <w:szCs w:val="32"/>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pPr>
          <w:r>
            <w:rPr>
              <w:rFonts w:hint="eastAsia" w:ascii="黑体" w:hAnsi="黑体" w:eastAsia="黑体" w:cs="黑体"/>
              <w:kern w:val="2"/>
              <w:sz w:val="32"/>
              <w:szCs w:val="32"/>
              <w:lang w:val="en-US" w:eastAsia="zh-CN" w:bidi="ar-SA"/>
            </w:rPr>
            <w:fldChar w:fldCharType="begin"/>
          </w:r>
          <w:r>
            <w:rPr>
              <w:rFonts w:hint="eastAsia" w:ascii="黑体" w:hAnsi="黑体" w:eastAsia="黑体" w:cs="黑体"/>
              <w:kern w:val="2"/>
              <w:sz w:val="32"/>
              <w:szCs w:val="32"/>
              <w:lang w:val="en-US" w:eastAsia="zh-CN" w:bidi="ar-SA"/>
            </w:rPr>
            <w:instrText xml:space="preserve"> HYPERLINK \l _Toc25778 </w:instrText>
          </w:r>
          <w:r>
            <w:rPr>
              <w:rFonts w:hint="eastAsia" w:ascii="黑体" w:hAnsi="黑体" w:eastAsia="黑体" w:cs="黑体"/>
              <w:kern w:val="2"/>
              <w:sz w:val="32"/>
              <w:szCs w:val="32"/>
              <w:lang w:val="en-US" w:eastAsia="zh-CN" w:bidi="ar-SA"/>
            </w:rPr>
            <w:fldChar w:fldCharType="separate"/>
          </w:r>
          <w:r>
            <w:rPr>
              <w:rFonts w:hint="eastAsia" w:ascii="黑体" w:hAnsi="黑体" w:eastAsia="黑体" w:cs="黑体"/>
              <w:sz w:val="32"/>
              <w:szCs w:val="32"/>
            </w:rPr>
            <w:t>九、其他重要事项的情况说明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_Toc25778 \h </w:instrText>
          </w:r>
          <w:r>
            <w:rPr>
              <w:rFonts w:hint="eastAsia" w:ascii="黑体" w:hAnsi="黑体" w:eastAsia="黑体" w:cs="黑体"/>
              <w:sz w:val="32"/>
              <w:szCs w:val="32"/>
            </w:rPr>
            <w:fldChar w:fldCharType="separate"/>
          </w:r>
          <w:r>
            <w:rPr>
              <w:rFonts w:hint="eastAsia" w:ascii="黑体" w:hAnsi="黑体" w:eastAsia="黑体" w:cs="黑体"/>
              <w:sz w:val="32"/>
              <w:szCs w:val="32"/>
            </w:rPr>
            <w:t>16</w:t>
          </w:r>
          <w:r>
            <w:rPr>
              <w:rFonts w:hint="eastAsia" w:ascii="黑体" w:hAnsi="黑体" w:eastAsia="黑体" w:cs="黑体"/>
              <w:sz w:val="32"/>
              <w:szCs w:val="32"/>
            </w:rPr>
            <w:fldChar w:fldCharType="end"/>
          </w:r>
          <w:r>
            <w:rPr>
              <w:rFonts w:hint="eastAsia" w:ascii="黑体" w:hAnsi="黑体" w:eastAsia="黑体" w:cs="黑体"/>
              <w:kern w:val="2"/>
              <w:sz w:val="32"/>
              <w:szCs w:val="32"/>
              <w:lang w:val="en-US" w:eastAsia="zh-CN" w:bidi="ar-SA"/>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fldChar w:fldCharType="begin"/>
          </w:r>
          <w:r>
            <w:rPr>
              <w:rFonts w:hint="eastAsia" w:ascii="楷体_GB2312" w:hAnsi="楷体_GB2312" w:eastAsia="楷体_GB2312" w:cs="楷体_GB2312"/>
              <w:kern w:val="2"/>
              <w:sz w:val="32"/>
              <w:szCs w:val="32"/>
              <w:lang w:val="en-US" w:eastAsia="zh-CN" w:bidi="ar-SA"/>
            </w:rPr>
            <w:instrText xml:space="preserve"> HYPERLINK \l _Toc16180 </w:instrText>
          </w:r>
          <w:r>
            <w:rPr>
              <w:rFonts w:hint="eastAsia" w:ascii="楷体_GB2312" w:hAnsi="楷体_GB2312" w:eastAsia="楷体_GB2312" w:cs="楷体_GB2312"/>
              <w:kern w:val="2"/>
              <w:sz w:val="32"/>
              <w:szCs w:val="32"/>
              <w:lang w:val="en-US" w:eastAsia="zh-CN" w:bidi="ar-SA"/>
            </w:rPr>
            <w:fldChar w:fldCharType="separate"/>
          </w:r>
          <w:r>
            <w:rPr>
              <w:rFonts w:hint="eastAsia" w:ascii="楷体_GB2312" w:hAnsi="楷体_GB2312" w:eastAsia="楷体_GB2312" w:cs="楷体_GB2312"/>
              <w:kern w:val="2"/>
              <w:sz w:val="32"/>
              <w:szCs w:val="32"/>
              <w:lang w:val="en-US" w:eastAsia="zh-CN" w:bidi="ar-SA"/>
            </w:rPr>
            <w:t>（一）机关运行经费</w:t>
          </w:r>
          <w:r>
            <w:rPr>
              <w:rFonts w:hint="eastAsia" w:ascii="楷体_GB2312" w:hAnsi="楷体_GB2312" w:eastAsia="楷体_GB2312" w:cs="楷体_GB2312"/>
              <w:bCs/>
              <w:kern w:val="2"/>
              <w:sz w:val="32"/>
              <w:szCs w:val="32"/>
            </w:rPr>
            <w:t xml:space="preserve"> </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_Toc16180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16</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kern w:val="2"/>
              <w:sz w:val="32"/>
              <w:szCs w:val="32"/>
              <w:lang w:val="en-US" w:eastAsia="zh-CN" w:bidi="ar-SA"/>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fldChar w:fldCharType="begin"/>
          </w:r>
          <w:r>
            <w:rPr>
              <w:rFonts w:hint="eastAsia" w:ascii="楷体_GB2312" w:hAnsi="楷体_GB2312" w:eastAsia="楷体_GB2312" w:cs="楷体_GB2312"/>
              <w:kern w:val="2"/>
              <w:sz w:val="32"/>
              <w:szCs w:val="32"/>
              <w:lang w:val="en-US" w:eastAsia="zh-CN" w:bidi="ar-SA"/>
            </w:rPr>
            <w:instrText xml:space="preserve"> HYPERLINK \l _Toc13998 </w:instrText>
          </w:r>
          <w:r>
            <w:rPr>
              <w:rFonts w:hint="eastAsia" w:ascii="楷体_GB2312" w:hAnsi="楷体_GB2312" w:eastAsia="楷体_GB2312" w:cs="楷体_GB2312"/>
              <w:kern w:val="2"/>
              <w:sz w:val="32"/>
              <w:szCs w:val="32"/>
              <w:lang w:val="en-US" w:eastAsia="zh-CN" w:bidi="ar-SA"/>
            </w:rPr>
            <w:fldChar w:fldCharType="separate"/>
          </w:r>
          <w:r>
            <w:rPr>
              <w:rFonts w:hint="eastAsia" w:ascii="楷体_GB2312" w:hAnsi="楷体_GB2312" w:eastAsia="楷体_GB2312" w:cs="楷体_GB2312"/>
              <w:kern w:val="2"/>
              <w:sz w:val="32"/>
              <w:szCs w:val="32"/>
              <w:lang w:val="en-US" w:eastAsia="zh-CN" w:bidi="ar-SA"/>
            </w:rPr>
            <w:t>（二）政府采购情况</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_Toc13998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17</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kern w:val="2"/>
              <w:sz w:val="32"/>
              <w:szCs w:val="32"/>
              <w:lang w:val="en-US" w:eastAsia="zh-CN" w:bidi="ar-SA"/>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fldChar w:fldCharType="begin"/>
          </w:r>
          <w:r>
            <w:rPr>
              <w:rFonts w:hint="eastAsia" w:ascii="楷体_GB2312" w:hAnsi="楷体_GB2312" w:eastAsia="楷体_GB2312" w:cs="楷体_GB2312"/>
              <w:kern w:val="2"/>
              <w:sz w:val="32"/>
              <w:szCs w:val="32"/>
              <w:lang w:val="en-US" w:eastAsia="zh-CN" w:bidi="ar-SA"/>
            </w:rPr>
            <w:instrText xml:space="preserve"> HYPERLINK \l _Toc12524 </w:instrText>
          </w:r>
          <w:r>
            <w:rPr>
              <w:rFonts w:hint="eastAsia" w:ascii="楷体_GB2312" w:hAnsi="楷体_GB2312" w:eastAsia="楷体_GB2312" w:cs="楷体_GB2312"/>
              <w:kern w:val="2"/>
              <w:sz w:val="32"/>
              <w:szCs w:val="32"/>
              <w:lang w:val="en-US" w:eastAsia="zh-CN" w:bidi="ar-SA"/>
            </w:rPr>
            <w:fldChar w:fldCharType="separate"/>
          </w:r>
          <w:r>
            <w:rPr>
              <w:rFonts w:hint="eastAsia" w:ascii="楷体_GB2312" w:hAnsi="楷体_GB2312" w:eastAsia="楷体_GB2312" w:cs="楷体_GB2312"/>
              <w:sz w:val="32"/>
              <w:szCs w:val="32"/>
            </w:rPr>
            <w:t>（三）国有资产占有使用情况</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_Toc12524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17</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kern w:val="2"/>
              <w:sz w:val="32"/>
              <w:szCs w:val="32"/>
              <w:lang w:val="en-US" w:eastAsia="zh-CN" w:bidi="ar-SA"/>
            </w:rPr>
            <w:fldChar w:fldCharType="end"/>
          </w:r>
        </w:p>
        <w:p>
          <w:pPr>
            <w:pStyle w:val="9"/>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楷体_GB2312" w:hAnsi="楷体_GB2312" w:eastAsia="楷体_GB2312" w:cs="楷体_GB2312"/>
              <w:sz w:val="32"/>
              <w:szCs w:val="32"/>
            </w:rPr>
          </w:pPr>
          <w:r>
            <w:rPr>
              <w:rFonts w:hint="eastAsia" w:ascii="楷体_GB2312" w:hAnsi="楷体_GB2312" w:eastAsia="楷体_GB2312" w:cs="楷体_GB2312"/>
              <w:kern w:val="2"/>
              <w:sz w:val="32"/>
              <w:szCs w:val="32"/>
              <w:lang w:val="en-US" w:eastAsia="zh-CN" w:bidi="ar-SA"/>
            </w:rPr>
            <w:fldChar w:fldCharType="begin"/>
          </w:r>
          <w:r>
            <w:rPr>
              <w:rFonts w:hint="eastAsia" w:ascii="楷体_GB2312" w:hAnsi="楷体_GB2312" w:eastAsia="楷体_GB2312" w:cs="楷体_GB2312"/>
              <w:kern w:val="2"/>
              <w:sz w:val="32"/>
              <w:szCs w:val="32"/>
              <w:lang w:val="en-US" w:eastAsia="zh-CN" w:bidi="ar-SA"/>
            </w:rPr>
            <w:instrText xml:space="preserve"> HYPERLINK \l _Toc32546 </w:instrText>
          </w:r>
          <w:r>
            <w:rPr>
              <w:rFonts w:hint="eastAsia" w:ascii="楷体_GB2312" w:hAnsi="楷体_GB2312" w:eastAsia="楷体_GB2312" w:cs="楷体_GB2312"/>
              <w:kern w:val="2"/>
              <w:sz w:val="32"/>
              <w:szCs w:val="32"/>
              <w:lang w:val="en-US" w:eastAsia="zh-CN" w:bidi="ar-SA"/>
            </w:rPr>
            <w:fldChar w:fldCharType="separate"/>
          </w:r>
          <w:r>
            <w:rPr>
              <w:rFonts w:hint="eastAsia" w:ascii="楷体_GB2312" w:hAnsi="楷体_GB2312" w:eastAsia="楷体_GB2312" w:cs="楷体_GB2312"/>
              <w:kern w:val="2"/>
              <w:sz w:val="32"/>
              <w:szCs w:val="32"/>
              <w:lang w:val="en-US" w:eastAsia="zh-CN" w:bidi="ar-SA"/>
            </w:rPr>
            <w:t>（四）绩效目标设置情况</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_Toc32546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17</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kern w:val="2"/>
              <w:sz w:val="32"/>
              <w:szCs w:val="32"/>
              <w:lang w:val="en-US" w:eastAsia="zh-CN" w:bidi="ar-SA"/>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val="0"/>
            <w:spacing w:line="240" w:lineRule="auto"/>
            <w:textAlignment w:val="auto"/>
            <w:rPr>
              <w:rFonts w:hint="eastAsia" w:ascii="黑体" w:hAnsi="黑体" w:eastAsia="黑体" w:cs="黑体"/>
              <w:sz w:val="32"/>
              <w:szCs w:val="32"/>
            </w:rPr>
          </w:pPr>
          <w:r>
            <w:rPr>
              <w:rFonts w:hint="eastAsia" w:ascii="黑体" w:hAnsi="黑体" w:eastAsia="黑体" w:cs="黑体"/>
              <w:kern w:val="2"/>
              <w:sz w:val="32"/>
              <w:szCs w:val="32"/>
              <w:lang w:val="en-US" w:eastAsia="zh-CN" w:bidi="ar-SA"/>
            </w:rPr>
            <w:fldChar w:fldCharType="begin"/>
          </w:r>
          <w:r>
            <w:rPr>
              <w:rFonts w:hint="eastAsia" w:ascii="黑体" w:hAnsi="黑体" w:eastAsia="黑体" w:cs="黑体"/>
              <w:kern w:val="2"/>
              <w:sz w:val="32"/>
              <w:szCs w:val="32"/>
              <w:lang w:val="en-US" w:eastAsia="zh-CN" w:bidi="ar-SA"/>
            </w:rPr>
            <w:instrText xml:space="preserve"> HYPERLINK \l _Toc225 </w:instrText>
          </w:r>
          <w:r>
            <w:rPr>
              <w:rFonts w:hint="eastAsia" w:ascii="黑体" w:hAnsi="黑体" w:eastAsia="黑体" w:cs="黑体"/>
              <w:kern w:val="2"/>
              <w:sz w:val="32"/>
              <w:szCs w:val="32"/>
              <w:lang w:val="en-US" w:eastAsia="zh-CN" w:bidi="ar-SA"/>
            </w:rPr>
            <w:fldChar w:fldCharType="separate"/>
          </w:r>
          <w:r>
            <w:rPr>
              <w:rFonts w:hint="eastAsia" w:ascii="黑体" w:hAnsi="黑体" w:eastAsia="黑体" w:cs="黑体"/>
              <w:sz w:val="32"/>
              <w:szCs w:val="32"/>
              <w:lang w:val="en-US" w:eastAsia="zh-CN"/>
            </w:rPr>
            <w:t>十、名称解释</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_Toc225 \h </w:instrText>
          </w:r>
          <w:r>
            <w:rPr>
              <w:rFonts w:hint="eastAsia" w:ascii="黑体" w:hAnsi="黑体" w:eastAsia="黑体" w:cs="黑体"/>
              <w:sz w:val="32"/>
              <w:szCs w:val="32"/>
            </w:rPr>
            <w:fldChar w:fldCharType="separate"/>
          </w:r>
          <w:r>
            <w:rPr>
              <w:rFonts w:hint="eastAsia" w:ascii="黑体" w:hAnsi="黑体" w:eastAsia="黑体" w:cs="黑体"/>
              <w:sz w:val="32"/>
              <w:szCs w:val="32"/>
            </w:rPr>
            <w:t>17</w:t>
          </w:r>
          <w:r>
            <w:rPr>
              <w:rFonts w:hint="eastAsia" w:ascii="黑体" w:hAnsi="黑体" w:eastAsia="黑体" w:cs="黑体"/>
              <w:sz w:val="32"/>
              <w:szCs w:val="32"/>
            </w:rPr>
            <w:fldChar w:fldCharType="end"/>
          </w:r>
          <w:r>
            <w:rPr>
              <w:rFonts w:hint="eastAsia" w:ascii="黑体" w:hAnsi="黑体" w:eastAsia="黑体" w:cs="黑体"/>
              <w:kern w:val="2"/>
              <w:sz w:val="32"/>
              <w:szCs w:val="32"/>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黑体" w:hAnsi="Calibri" w:eastAsia="黑体" w:cs="Times New Roman"/>
              <w:kern w:val="2"/>
              <w:sz w:val="21"/>
              <w:szCs w:val="32"/>
              <w:lang w:val="en-US" w:eastAsia="zh-CN" w:bidi="ar-SA"/>
            </w:rPr>
          </w:pPr>
          <w:r>
            <w:rPr>
              <w:rFonts w:hint="eastAsia" w:ascii="黑体" w:hAnsi="Calibri" w:eastAsia="黑体" w:cs="Times New Roman"/>
              <w:kern w:val="2"/>
              <w:szCs w:val="32"/>
              <w:lang w:val="en-US" w:eastAsia="zh-CN" w:bidi="ar-SA"/>
            </w:rPr>
            <w:fldChar w:fldCharType="end"/>
          </w:r>
        </w:p>
      </w:sdtContent>
    </w:sdt>
    <w:p>
      <w:pPr>
        <w:rPr>
          <w:rFonts w:hint="eastAsia" w:ascii="黑体" w:hAnsi="Calibri" w:eastAsia="黑体" w:cs="Times New Roman"/>
          <w:kern w:val="2"/>
          <w:sz w:val="21"/>
          <w:szCs w:val="32"/>
          <w:lang w:val="en-US" w:eastAsia="zh-CN" w:bidi="ar-SA"/>
        </w:rPr>
      </w:pPr>
    </w:p>
    <w:p>
      <w:pPr>
        <w:rPr>
          <w:rFonts w:ascii="黑体" w:eastAsia="黑体"/>
          <w:sz w:val="32"/>
          <w:szCs w:val="32"/>
        </w:rPr>
      </w:pPr>
    </w:p>
    <w:p>
      <w:pPr>
        <w:pStyle w:val="12"/>
        <w:keepNext w:val="0"/>
        <w:keepLines w:val="0"/>
        <w:pageBreakBefore w:val="0"/>
        <w:widowControl w:val="0"/>
        <w:kinsoku/>
        <w:wordWrap/>
        <w:overflowPunct/>
        <w:topLinePunct w:val="0"/>
        <w:autoSpaceDE/>
        <w:autoSpaceDN/>
        <w:bidi w:val="0"/>
        <w:adjustRightInd/>
        <w:snapToGrid/>
        <w:ind w:left="0" w:leftChars="0" w:firstLine="640" w:firstLineChars="200"/>
        <w:textAlignment w:val="auto"/>
        <w:rPr>
          <w:rFonts w:hint="eastAsia" w:ascii="黑体" w:eastAsia="黑体"/>
          <w:sz w:val="32"/>
          <w:szCs w:val="32"/>
        </w:rPr>
        <w:sectPr>
          <w:footerReference r:id="rId4" w:type="default"/>
          <w:pgSz w:w="11906" w:h="16838"/>
          <w:pgMar w:top="1440" w:right="1800" w:bottom="1440" w:left="1800" w:header="851" w:footer="992" w:gutter="0"/>
          <w:pgNumType w:start="1"/>
          <w:cols w:space="720" w:num="1"/>
          <w:docGrid w:type="lines" w:linePitch="312" w:charSpace="0"/>
        </w:sectPr>
      </w:pPr>
    </w:p>
    <w:p>
      <w:pPr>
        <w:pStyle w:val="2"/>
        <w:bidi w:val="0"/>
        <w:ind w:firstLine="640" w:firstLineChars="200"/>
        <w:outlineLvl w:val="0"/>
      </w:pPr>
      <w:bookmarkStart w:id="0" w:name="_Toc1432"/>
      <w:bookmarkStart w:id="1" w:name="_Toc13627"/>
      <w:r>
        <w:rPr>
          <w:rFonts w:hint="eastAsia"/>
        </w:rPr>
        <w:t>一、基本职能及主要工作</w:t>
      </w:r>
      <w:bookmarkEnd w:id="0"/>
      <w:bookmarkEnd w:id="1"/>
    </w:p>
    <w:p>
      <w:pPr>
        <w:pStyle w:val="3"/>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outlineLvl w:val="1"/>
        <w:rPr>
          <w:rFonts w:hint="eastAsia" w:ascii="仿宋_GB2312" w:hAnsi="仿宋_GB2312" w:eastAsia="仿宋_GB2312" w:cs="仿宋_GB2312"/>
          <w:sz w:val="32"/>
        </w:rPr>
      </w:pPr>
      <w:bookmarkStart w:id="2" w:name="_Toc7781"/>
      <w:bookmarkStart w:id="3" w:name="_Toc16560"/>
      <w:r>
        <w:rPr>
          <w:rFonts w:hint="eastAsia" w:ascii="仿宋_GB2312" w:hAnsi="仿宋_GB2312" w:eastAsia="仿宋_GB2312" w:cs="仿宋_GB2312"/>
          <w:sz w:val="32"/>
        </w:rPr>
        <w:t>（一）部门职能简介</w:t>
      </w:r>
      <w:bookmarkEnd w:id="2"/>
      <w:bookmarkEnd w:id="3"/>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楷体_GB2312"/>
          <w:b/>
          <w:bCs/>
          <w:color w:val="auto"/>
          <w:kern w:val="2"/>
          <w:sz w:val="32"/>
          <w:szCs w:val="32"/>
        </w:rPr>
        <w:t>第一条</w:t>
      </w:r>
      <w:r>
        <w:rPr>
          <w:rFonts w:hint="eastAsia" w:ascii="Times New Roman" w:hAnsi="Times New Roman" w:eastAsia="仿宋_GB2312" w:cs="Times New Roman"/>
          <w:color w:val="auto"/>
          <w:kern w:val="2"/>
          <w:sz w:val="32"/>
          <w:szCs w:val="32"/>
        </w:rPr>
        <w:t xml:space="preserve"> 根据《四川省人民政府关于同意阿坝州调整阿坝县等6个县部分乡镇行政区划的批复》（川府民政〔2020〕6号）、《阿坝州乡镇机构改革实施意见》（阿编办〔2019〕152号）、《壤塘县乡镇机构改革方案》（壤委办〔2020〕58号）和《壤塘县关于做好乡镇行政区划和村级建制调整改革</w:t>
      </w:r>
      <w:r>
        <w:rPr>
          <w:rFonts w:hint="eastAsia" w:ascii="Times New Roman" w:hAnsi="Times New Roman" w:eastAsia="仿宋_GB2312" w:cs="Times New Roman"/>
          <w:color w:val="auto"/>
          <w:kern w:val="2"/>
          <w:sz w:val="32"/>
          <w:szCs w:val="32"/>
          <w:lang w:eastAsia="zh-CN"/>
        </w:rPr>
        <w:t>“后半篇文章”</w:t>
      </w:r>
      <w:r>
        <w:rPr>
          <w:rFonts w:hint="eastAsia" w:ascii="Times New Roman" w:hAnsi="Times New Roman" w:eastAsia="仿宋_GB2312" w:cs="Times New Roman"/>
          <w:color w:val="auto"/>
          <w:kern w:val="2"/>
          <w:sz w:val="32"/>
          <w:szCs w:val="32"/>
        </w:rPr>
        <w:t>的实施方案等“1+26+1”方案》（壤委办〔2021〕64号）制定本规定。</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楷体_GB2312"/>
          <w:b/>
          <w:bCs/>
          <w:color w:val="auto"/>
          <w:kern w:val="2"/>
          <w:sz w:val="32"/>
          <w:szCs w:val="32"/>
        </w:rPr>
        <w:t>第二条</w:t>
      </w:r>
      <w:r>
        <w:rPr>
          <w:rFonts w:hint="eastAsia" w:ascii="Times New Roman" w:hAnsi="Times New Roman" w:eastAsia="仿宋_GB2312" w:cs="Times New Roman"/>
          <w:color w:val="auto"/>
          <w:kern w:val="2"/>
          <w:sz w:val="32"/>
          <w:szCs w:val="32"/>
        </w:rPr>
        <w:t xml:space="preserve"> 中国共产党壤塘县上壤塘乡委员会（简称上壤塘乡党委）是乡各种组织、县级部门延伸机构和各项工作的领导核心，全面领导本乡政治、经济、文化、社会、生态文明建设，对本乡党的建设全面负责。壤塘县上壤塘乡人民政府（简称上壤塘乡政府）是我国最基层的行政机关，是党和政府联系人民群众的桥梁和纽带，依法行使行政职权。</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楷体_GB2312"/>
          <w:b/>
          <w:bCs/>
          <w:color w:val="auto"/>
          <w:kern w:val="2"/>
          <w:sz w:val="32"/>
          <w:szCs w:val="32"/>
        </w:rPr>
        <w:t>第三条</w:t>
      </w:r>
      <w:r>
        <w:rPr>
          <w:rFonts w:hint="eastAsia" w:ascii="Times New Roman" w:hAnsi="Times New Roman" w:eastAsia="仿宋_GB2312" w:cs="Times New Roman"/>
          <w:color w:val="auto"/>
          <w:kern w:val="2"/>
          <w:sz w:val="32"/>
          <w:szCs w:val="32"/>
        </w:rPr>
        <w:t xml:space="preserve"> 乡党委、政府的主要职责：</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楷体_GB2312"/>
          <w:b/>
          <w:bCs/>
          <w:color w:val="auto"/>
          <w:kern w:val="2"/>
          <w:sz w:val="32"/>
          <w:szCs w:val="32"/>
        </w:rPr>
      </w:pPr>
      <w:r>
        <w:rPr>
          <w:rFonts w:hint="eastAsia" w:ascii="Times New Roman" w:hAnsi="Times New Roman" w:eastAsia="仿宋_GB2312" w:cs="楷体_GB2312"/>
          <w:b/>
          <w:bCs/>
          <w:color w:val="auto"/>
          <w:kern w:val="2"/>
          <w:sz w:val="32"/>
          <w:szCs w:val="32"/>
          <w:lang w:val="en-US" w:eastAsia="zh-CN"/>
        </w:rPr>
        <w:t>1.</w:t>
      </w:r>
      <w:r>
        <w:rPr>
          <w:rFonts w:hint="eastAsia" w:ascii="Times New Roman" w:hAnsi="Times New Roman" w:eastAsia="仿宋_GB2312" w:cs="楷体_GB2312"/>
          <w:b/>
          <w:bCs/>
          <w:color w:val="auto"/>
          <w:kern w:val="2"/>
          <w:sz w:val="32"/>
          <w:szCs w:val="32"/>
        </w:rPr>
        <w:t>加强党的领导，抓好基层党建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1</w:t>
      </w: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rPr>
        <w:t>履行政治领导责任，做好理论武装和思想政治工作，负责学习、宣传、贯彻执行党的理论和路线方针政策，贯彻落实党中央、省委、州委和县委的决策部署，发挥好把方向、管大局、保落实的重要作用。</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2</w:t>
      </w: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rPr>
        <w:t>履行</w:t>
      </w:r>
      <w:r>
        <w:rPr>
          <w:rFonts w:hint="eastAsia" w:ascii="Times New Roman" w:hAnsi="Times New Roman" w:eastAsia="仿宋_GB2312" w:cs="Times New Roman"/>
          <w:color w:val="auto"/>
          <w:kern w:val="2"/>
          <w:sz w:val="32"/>
          <w:szCs w:val="32"/>
          <w:lang w:eastAsia="zh-CN"/>
        </w:rPr>
        <w:t>党要管党、全面从严治党主体责任</w:t>
      </w:r>
      <w:r>
        <w:rPr>
          <w:rFonts w:hint="eastAsia" w:ascii="Times New Roman" w:hAnsi="Times New Roman" w:eastAsia="仿宋_GB2312" w:cs="Times New Roman"/>
          <w:color w:val="auto"/>
          <w:kern w:val="2"/>
          <w:sz w:val="32"/>
          <w:szCs w:val="32"/>
        </w:rPr>
        <w:t>，全面推进辖区党的政治建设、思想建设、组织建设、作风建设、纪律建设，落实党建工作责任制，推动全面从严治党向基层延伸。认真履行党风廉政建设主体责任，维护和执行党的纪律，监督党员干部和其他工作人员严格遵守国家法律法规。</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3</w:t>
      </w: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rPr>
        <w:t>讨论和决定辖区内</w:t>
      </w:r>
      <w:r>
        <w:rPr>
          <w:rFonts w:hint="eastAsia" w:ascii="Times New Roman" w:hAnsi="Times New Roman" w:eastAsia="仿宋_GB2312" w:cs="Times New Roman"/>
          <w:color w:val="auto"/>
          <w:kern w:val="2"/>
          <w:sz w:val="32"/>
          <w:szCs w:val="32"/>
          <w:lang w:eastAsia="zh-CN"/>
        </w:rPr>
        <w:t>经济建设、政治建设、文化建设、社会建设、生态文明建设</w:t>
      </w:r>
      <w:r>
        <w:rPr>
          <w:rFonts w:hint="eastAsia" w:ascii="Times New Roman" w:hAnsi="Times New Roman" w:eastAsia="仿宋_GB2312" w:cs="Times New Roman"/>
          <w:color w:val="auto"/>
          <w:kern w:val="2"/>
          <w:sz w:val="32"/>
          <w:szCs w:val="32"/>
        </w:rPr>
        <w:t>、</w:t>
      </w:r>
      <w:r>
        <w:rPr>
          <w:rFonts w:hint="eastAsia" w:ascii="Times New Roman" w:hAnsi="Times New Roman" w:eastAsia="仿宋_GB2312" w:cs="Times New Roman"/>
          <w:color w:val="auto"/>
          <w:kern w:val="2"/>
          <w:sz w:val="32"/>
          <w:szCs w:val="32"/>
          <w:lang w:eastAsia="zh-CN"/>
        </w:rPr>
        <w:t>法治建设</w:t>
      </w:r>
      <w:r>
        <w:rPr>
          <w:rFonts w:hint="eastAsia" w:ascii="Times New Roman" w:hAnsi="Times New Roman" w:eastAsia="仿宋_GB2312" w:cs="Times New Roman"/>
          <w:color w:val="auto"/>
          <w:kern w:val="2"/>
          <w:sz w:val="32"/>
          <w:szCs w:val="32"/>
        </w:rPr>
        <w:t>和党的建设以及乡村振兴中的重大问题。其他应当由党委讨论和决定的重大问题。</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4</w:t>
      </w: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rPr>
        <w:t>贯彻党管干部原则，加强干部队伍建设，完善干部培养选拔机制，加强干部教育管理监督。贯彻党管人才原则，加强人才队伍建设。加强对本乡工会、共青团、妇联等群团工作的领导。</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5</w:t>
      </w: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rPr>
        <w:t>指导农村党建，落实基层党建工作责任制，严格抓好基层党组织建设各项制度，统筹抓好乡机关、村、驻辖区单位、行业、“两新”组织等党建工作，推进全面从严治党，强化“两个责任”，落实农村基层党建工作要求。</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6</w:t>
      </w: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rPr>
        <w:t>加强基层社会宣传、舆论引导、精神文明建设、统一战线工作，落实党管意识形态工作责任制，健全完善党建引领基层治理体系，进一步增强党在农村的政治领导力、思想引领力、群众组织力、社会号召力。</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楷体_GB2312"/>
          <w:b/>
          <w:bCs/>
          <w:color w:val="auto"/>
          <w:kern w:val="2"/>
          <w:sz w:val="32"/>
          <w:szCs w:val="32"/>
        </w:rPr>
      </w:pPr>
      <w:r>
        <w:rPr>
          <w:rFonts w:hint="eastAsia" w:ascii="Times New Roman" w:hAnsi="Times New Roman" w:eastAsia="仿宋_GB2312" w:cs="楷体_GB2312"/>
          <w:b/>
          <w:bCs/>
          <w:color w:val="auto"/>
          <w:kern w:val="2"/>
          <w:sz w:val="32"/>
          <w:szCs w:val="32"/>
          <w:lang w:val="en-US" w:eastAsia="zh-CN"/>
        </w:rPr>
        <w:t>2.</w:t>
      </w:r>
      <w:r>
        <w:rPr>
          <w:rFonts w:hint="eastAsia" w:ascii="Times New Roman" w:hAnsi="Times New Roman" w:eastAsia="仿宋_GB2312" w:cs="楷体_GB2312"/>
          <w:b/>
          <w:bCs/>
          <w:color w:val="auto"/>
          <w:kern w:val="2"/>
          <w:sz w:val="32"/>
          <w:szCs w:val="32"/>
        </w:rPr>
        <w:t>统筹经济发展，实施乡村振兴</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1</w:t>
      </w: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rPr>
        <w:t>负责辖区经济发展工作，执行辖区内的经济和社会发展计划、预算。参与区域内土地利用、产业发展等规划编制，对区域内重大基础设施建设、重大公共服务资源布局、重大政策提出意见建议。落实辖区内发展规划、专项规划、区域规划、国土空间</w:t>
      </w:r>
      <w:r>
        <w:rPr>
          <w:rFonts w:hint="eastAsia" w:ascii="Times New Roman" w:hAnsi="Times New Roman" w:eastAsia="仿宋_GB2312" w:cs="Times New Roman"/>
          <w:color w:val="auto"/>
          <w:kern w:val="2"/>
          <w:sz w:val="32"/>
          <w:szCs w:val="32"/>
          <w:lang w:eastAsia="zh-CN"/>
        </w:rPr>
        <w:t>规划和“四好农村路”建设等。</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2</w:t>
      </w:r>
      <w:r>
        <w:rPr>
          <w:rFonts w:hint="eastAsia" w:ascii="Times New Roman" w:hAnsi="Times New Roman" w:eastAsia="仿宋_GB2312" w:cs="Times New Roman"/>
          <w:color w:val="auto"/>
          <w:kern w:val="2"/>
          <w:sz w:val="32"/>
          <w:szCs w:val="32"/>
          <w:lang w:eastAsia="zh-CN"/>
        </w:rPr>
        <w:t>）贯彻落实中央、省、州、县关于巩固拓展脱贫攻坚成果和实施乡村振兴战略的决策部署，提升农业发展质量，加强农村人居环境整治，推进宜居乡村建设，增强乡村振兴内生动力。</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color w:val="auto"/>
          <w:kern w:val="2"/>
          <w:sz w:val="32"/>
          <w:szCs w:val="32"/>
          <w:lang w:eastAsia="zh-CN"/>
        </w:rPr>
        <w:t>3.指导农村经济发展，推动产业结构调整。保护各种经济组织的合法权益，营造良好的营商环境。</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3</w:t>
      </w:r>
      <w:r>
        <w:rPr>
          <w:rFonts w:hint="eastAsia" w:ascii="Times New Roman" w:hAnsi="Times New Roman" w:eastAsia="仿宋_GB2312" w:cs="Times New Roman"/>
          <w:color w:val="auto"/>
          <w:kern w:val="2"/>
          <w:sz w:val="32"/>
          <w:szCs w:val="32"/>
          <w:lang w:eastAsia="zh-CN"/>
        </w:rPr>
        <w:t>）落实财政保障和财政管理有关政策，统筹管理本级财务及集体资产，协助做好税收征管工作，指导、监管村级财务和资产管理工作。</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楷体_GB2312"/>
          <w:b/>
          <w:bCs/>
          <w:color w:val="auto"/>
          <w:kern w:val="2"/>
          <w:sz w:val="32"/>
          <w:szCs w:val="32"/>
          <w:lang w:eastAsia="zh-CN"/>
        </w:rPr>
      </w:pPr>
      <w:r>
        <w:rPr>
          <w:rFonts w:hint="eastAsia" w:ascii="Times New Roman" w:hAnsi="Times New Roman" w:eastAsia="仿宋_GB2312" w:cs="楷体_GB2312"/>
          <w:b/>
          <w:bCs/>
          <w:color w:val="auto"/>
          <w:kern w:val="2"/>
          <w:sz w:val="32"/>
          <w:szCs w:val="32"/>
          <w:lang w:val="en-US" w:eastAsia="zh-CN"/>
        </w:rPr>
        <w:t>3.</w:t>
      </w:r>
      <w:r>
        <w:rPr>
          <w:rFonts w:hint="eastAsia" w:ascii="Times New Roman" w:hAnsi="Times New Roman" w:eastAsia="仿宋_GB2312" w:cs="楷体_GB2312"/>
          <w:b/>
          <w:bCs/>
          <w:color w:val="auto"/>
          <w:kern w:val="2"/>
          <w:sz w:val="32"/>
          <w:szCs w:val="32"/>
          <w:lang w:eastAsia="zh-CN"/>
        </w:rPr>
        <w:t>组织公共服务，着力改善民生</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1</w:t>
      </w:r>
      <w:r>
        <w:rPr>
          <w:rFonts w:hint="eastAsia" w:ascii="Times New Roman" w:hAnsi="Times New Roman" w:eastAsia="仿宋_GB2312" w:cs="Times New Roman"/>
          <w:color w:val="auto"/>
          <w:kern w:val="2"/>
          <w:sz w:val="32"/>
          <w:szCs w:val="32"/>
          <w:lang w:eastAsia="zh-CN"/>
        </w:rPr>
        <w:t>）加强乡综合便民服务平台标准化建设，做好村服务配套设施和综合服务平台建设，提升便民服务质量。</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2</w:t>
      </w:r>
      <w:r>
        <w:rPr>
          <w:rFonts w:hint="eastAsia" w:ascii="Times New Roman" w:hAnsi="Times New Roman" w:eastAsia="仿宋_GB2312" w:cs="Times New Roman"/>
          <w:color w:val="auto"/>
          <w:kern w:val="2"/>
          <w:sz w:val="32"/>
          <w:szCs w:val="32"/>
          <w:lang w:eastAsia="zh-CN"/>
        </w:rPr>
        <w:t>）负责教育体育、劳动就业、社会保障、卫生健康、计划生育、殡葬管理、文化旅游、民族宗教、移民搬迁、农技推广、农民工、妇女和未成年人保护等公共服务工作，承担组织领导、推进实施、综合协调等职责。</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楷体_GB2312"/>
          <w:b/>
          <w:bCs/>
          <w:color w:val="auto"/>
          <w:kern w:val="2"/>
          <w:sz w:val="32"/>
          <w:szCs w:val="32"/>
          <w:lang w:eastAsia="zh-CN"/>
        </w:rPr>
      </w:pPr>
      <w:r>
        <w:rPr>
          <w:rFonts w:hint="eastAsia" w:ascii="Times New Roman" w:hAnsi="Times New Roman" w:eastAsia="仿宋_GB2312" w:cs="楷体_GB2312"/>
          <w:b/>
          <w:bCs/>
          <w:color w:val="auto"/>
          <w:kern w:val="2"/>
          <w:sz w:val="32"/>
          <w:szCs w:val="32"/>
          <w:lang w:val="en-US" w:eastAsia="zh-CN"/>
        </w:rPr>
        <w:t>4.</w:t>
      </w:r>
      <w:r>
        <w:rPr>
          <w:rFonts w:hint="eastAsia" w:ascii="Times New Roman" w:hAnsi="Times New Roman" w:eastAsia="仿宋_GB2312" w:cs="楷体_GB2312"/>
          <w:b/>
          <w:bCs/>
          <w:color w:val="auto"/>
          <w:kern w:val="2"/>
          <w:sz w:val="32"/>
          <w:szCs w:val="32"/>
          <w:lang w:eastAsia="zh-CN"/>
        </w:rPr>
        <w:t>领导基层治理，维护社会治安</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1</w:t>
      </w:r>
      <w:r>
        <w:rPr>
          <w:rFonts w:hint="eastAsia" w:ascii="Times New Roman" w:hAnsi="Times New Roman" w:eastAsia="仿宋_GB2312" w:cs="Times New Roman"/>
          <w:color w:val="auto"/>
          <w:kern w:val="2"/>
          <w:sz w:val="32"/>
          <w:szCs w:val="32"/>
          <w:lang w:eastAsia="zh-CN"/>
        </w:rPr>
        <w:t>）负责辖区公共安全及安全生产监管、应急管理工作、构建公共安全防控体系，建立应对突发紧急事件的处理预案，做好安全生产、防汛、消防、森林（草原）防灭火、减灾救灾、防疫、气象灾害防御、食品药品安全、地质灾害防治等应急管理工作，加强监督检查、隐患排查，落实安全生产责任制。负责辖区内生态环境保护和自然资源管理等工作。</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2</w:t>
      </w:r>
      <w:r>
        <w:rPr>
          <w:rFonts w:hint="eastAsia" w:ascii="Times New Roman" w:hAnsi="Times New Roman" w:eastAsia="仿宋_GB2312" w:cs="Times New Roman"/>
          <w:color w:val="auto"/>
          <w:kern w:val="2"/>
          <w:sz w:val="32"/>
          <w:szCs w:val="32"/>
          <w:lang w:eastAsia="zh-CN"/>
        </w:rPr>
        <w:t>）承担辖区社会治安综合治理工作，加强法治建设和社会治安综合治理。贯彻落实社会矛盾纠纷排查调处机制，及时化解辖区社会矛盾纠纷，确保社会稳定。协助司法机关开展打击各类刑事犯罪和禁毒、扫黑除恶等活动，稳妥处理突发性、群体性事件，确保人民群众生命财产安全。</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3</w:t>
      </w:r>
      <w:r>
        <w:rPr>
          <w:rFonts w:hint="eastAsia" w:ascii="Times New Roman" w:hAnsi="Times New Roman" w:eastAsia="仿宋_GB2312" w:cs="Times New Roman"/>
          <w:color w:val="auto"/>
          <w:kern w:val="2"/>
          <w:sz w:val="32"/>
          <w:szCs w:val="32"/>
          <w:lang w:eastAsia="zh-CN"/>
        </w:rPr>
        <w:t>）指导村（社区）村民（居民）自治，促进社会组织健康发展，完善村规民约，增强社会自治功能。</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4</w:t>
      </w:r>
      <w:r>
        <w:rPr>
          <w:rFonts w:hint="eastAsia" w:ascii="Times New Roman" w:hAnsi="Times New Roman" w:eastAsia="仿宋_GB2312" w:cs="Times New Roman"/>
          <w:color w:val="auto"/>
          <w:kern w:val="2"/>
          <w:sz w:val="32"/>
          <w:szCs w:val="32"/>
          <w:lang w:eastAsia="zh-CN"/>
        </w:rPr>
        <w:t>）负责国防教育，承担国防动员、征兵、民兵预备役、双拥等工作。</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5</w:t>
      </w:r>
      <w:r>
        <w:rPr>
          <w:rFonts w:hint="eastAsia" w:ascii="Times New Roman" w:hAnsi="Times New Roman" w:eastAsia="仿宋_GB2312" w:cs="Times New Roman"/>
          <w:color w:val="auto"/>
          <w:kern w:val="2"/>
          <w:sz w:val="32"/>
          <w:szCs w:val="32"/>
          <w:lang w:eastAsia="zh-CN"/>
        </w:rPr>
        <w:t>）保障各少数民族的合法权利和利益，尊重少数民族的风俗习惯，坚决与民族分裂活动和邪教组织斗争。</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color w:val="auto"/>
          <w:kern w:val="2"/>
          <w:sz w:val="32"/>
          <w:szCs w:val="32"/>
          <w:lang w:eastAsia="zh-CN"/>
        </w:rPr>
        <w:t>（</w:t>
      </w:r>
      <w:r>
        <w:rPr>
          <w:rFonts w:hint="eastAsia" w:ascii="Times New Roman" w:hAnsi="Times New Roman" w:eastAsia="仿宋_GB2312" w:cs="Times New Roman"/>
          <w:color w:val="auto"/>
          <w:kern w:val="2"/>
          <w:sz w:val="32"/>
          <w:szCs w:val="32"/>
          <w:lang w:val="en-US" w:eastAsia="zh-CN"/>
        </w:rPr>
        <w:t>6</w:t>
      </w:r>
      <w:r>
        <w:rPr>
          <w:rFonts w:hint="eastAsia" w:ascii="Times New Roman" w:hAnsi="Times New Roman" w:eastAsia="仿宋_GB2312" w:cs="Times New Roman"/>
          <w:color w:val="auto"/>
          <w:kern w:val="2"/>
          <w:sz w:val="32"/>
          <w:szCs w:val="32"/>
          <w:lang w:eastAsia="zh-CN"/>
        </w:rPr>
        <w:t>）保障宪法和法律赋予妇女的男女平等、同工同酬和婚姻自由等各项权利。</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b/>
          <w:bCs/>
          <w:color w:val="auto"/>
          <w:kern w:val="2"/>
          <w:sz w:val="32"/>
          <w:szCs w:val="32"/>
          <w:lang w:eastAsia="zh-CN"/>
        </w:rPr>
      </w:pPr>
      <w:r>
        <w:rPr>
          <w:rFonts w:hint="eastAsia" w:ascii="Times New Roman" w:hAnsi="Times New Roman" w:eastAsia="仿宋_GB2312" w:cs="Times New Roman"/>
          <w:b/>
          <w:bCs/>
          <w:color w:val="auto"/>
          <w:kern w:val="2"/>
          <w:sz w:val="32"/>
          <w:szCs w:val="32"/>
          <w:lang w:val="en-US" w:eastAsia="zh-CN"/>
        </w:rPr>
        <w:t>5.</w:t>
      </w:r>
      <w:r>
        <w:rPr>
          <w:rFonts w:hint="eastAsia" w:ascii="Times New Roman" w:hAnsi="Times New Roman" w:eastAsia="仿宋_GB2312" w:cs="Times New Roman"/>
          <w:b/>
          <w:bCs/>
          <w:color w:val="auto"/>
          <w:kern w:val="2"/>
          <w:sz w:val="32"/>
          <w:szCs w:val="32"/>
          <w:lang w:eastAsia="zh-CN"/>
        </w:rPr>
        <w:t>完成法律法规、规章规定和上级交办的其他事项。</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楷体_GB2312"/>
          <w:b/>
          <w:bCs/>
          <w:color w:val="auto"/>
          <w:kern w:val="2"/>
          <w:sz w:val="32"/>
          <w:szCs w:val="32"/>
          <w:lang w:eastAsia="zh-CN"/>
        </w:rPr>
        <w:t>第四条</w:t>
      </w:r>
      <w:r>
        <w:rPr>
          <w:rFonts w:hint="eastAsia" w:ascii="Times New Roman" w:hAnsi="Times New Roman" w:eastAsia="仿宋_GB2312" w:cs="Times New Roman"/>
          <w:color w:val="auto"/>
          <w:kern w:val="2"/>
          <w:sz w:val="32"/>
          <w:szCs w:val="32"/>
          <w:lang w:eastAsia="zh-CN"/>
        </w:rPr>
        <w:t xml:space="preserve"> 党政综合办事机构设置如下：</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b/>
          <w:bCs/>
          <w:color w:val="auto"/>
          <w:kern w:val="2"/>
          <w:sz w:val="32"/>
          <w:szCs w:val="32"/>
          <w:lang w:val="en-US" w:eastAsia="zh-CN"/>
        </w:rPr>
        <w:t>1.</w:t>
      </w:r>
      <w:r>
        <w:rPr>
          <w:rFonts w:hint="eastAsia" w:ascii="Times New Roman" w:hAnsi="Times New Roman" w:eastAsia="仿宋_GB2312" w:cs="Times New Roman"/>
          <w:b/>
          <w:bCs/>
          <w:color w:val="auto"/>
          <w:kern w:val="2"/>
          <w:sz w:val="32"/>
          <w:szCs w:val="32"/>
          <w:lang w:eastAsia="zh-CN"/>
        </w:rPr>
        <w:t>党政办公室。</w:t>
      </w:r>
      <w:r>
        <w:rPr>
          <w:rFonts w:hint="eastAsia" w:ascii="Times New Roman" w:hAnsi="Times New Roman" w:eastAsia="仿宋_GB2312" w:cs="Times New Roman"/>
          <w:color w:val="auto"/>
          <w:kern w:val="2"/>
          <w:sz w:val="32"/>
          <w:szCs w:val="32"/>
          <w:lang w:eastAsia="zh-CN"/>
        </w:rPr>
        <w:t>负责乡党委、人大主席团、政府等的日常事务性工作。负责乡机关各方面的综合协调工作。负责综合文秘、档案管理、党政印章管理、信息、机要、保密、后勤保障等工作，组织办理人大代表议案建议、政协委员提案和人大代表、政协委员的联络服务工作。负责乡机关机构编制管理及人才队伍建设、干部人事管理、离退休干部管理工作。承担乡党委、政府交办的其他工作。</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b/>
          <w:bCs/>
          <w:color w:val="auto"/>
          <w:kern w:val="2"/>
          <w:sz w:val="32"/>
          <w:szCs w:val="32"/>
          <w:lang w:val="en-US" w:eastAsia="zh-CN"/>
        </w:rPr>
        <w:t>2.</w:t>
      </w:r>
      <w:r>
        <w:rPr>
          <w:rFonts w:hint="eastAsia" w:ascii="Times New Roman" w:hAnsi="Times New Roman" w:eastAsia="仿宋_GB2312" w:cs="Times New Roman"/>
          <w:b/>
          <w:bCs/>
          <w:color w:val="auto"/>
          <w:kern w:val="2"/>
          <w:sz w:val="32"/>
          <w:szCs w:val="32"/>
          <w:lang w:eastAsia="zh-CN"/>
        </w:rPr>
        <w:t>党建工作办公室（挂群团工作办公室牌子）。</w:t>
      </w:r>
      <w:r>
        <w:rPr>
          <w:rFonts w:hint="eastAsia" w:ascii="Times New Roman" w:hAnsi="Times New Roman" w:eastAsia="仿宋_GB2312" w:cs="Times New Roman"/>
          <w:color w:val="auto"/>
          <w:kern w:val="2"/>
          <w:sz w:val="32"/>
          <w:szCs w:val="32"/>
          <w:lang w:eastAsia="zh-CN"/>
        </w:rPr>
        <w:t>负责基层党组织建设、流动党员党支部建设、党风廉政建设、反腐败等工作。统筹辖区内党员和流动党员的发展、教育、管理和党费收缴工作，指导村党组织建设管理等工作，负责宣传思想，意识形态、精神文明建设等工作、负责工会、共青团、妇联等群团工作。承担乡党委、政府交办的其他工作。</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b/>
          <w:bCs/>
          <w:color w:val="auto"/>
          <w:kern w:val="2"/>
          <w:sz w:val="32"/>
          <w:szCs w:val="32"/>
          <w:lang w:val="en-US" w:eastAsia="zh-CN"/>
        </w:rPr>
        <w:t>3.</w:t>
      </w:r>
      <w:r>
        <w:rPr>
          <w:rFonts w:hint="eastAsia" w:ascii="Times New Roman" w:hAnsi="Times New Roman" w:eastAsia="仿宋_GB2312" w:cs="Times New Roman"/>
          <w:b/>
          <w:bCs/>
          <w:color w:val="auto"/>
          <w:kern w:val="2"/>
          <w:sz w:val="32"/>
          <w:szCs w:val="32"/>
          <w:lang w:eastAsia="zh-CN"/>
        </w:rPr>
        <w:t>社会事务和应急管理办公室（挂安全生产管理委员会办公室、综合行政执法办公室牌子）。</w:t>
      </w:r>
      <w:r>
        <w:rPr>
          <w:rFonts w:hint="eastAsia" w:ascii="Times New Roman" w:hAnsi="Times New Roman" w:eastAsia="仿宋_GB2312" w:cs="Times New Roman"/>
          <w:color w:val="auto"/>
          <w:kern w:val="2"/>
          <w:sz w:val="32"/>
          <w:szCs w:val="32"/>
          <w:lang w:eastAsia="zh-CN"/>
        </w:rPr>
        <w:t>负责公共事务综合管理。统一领导教育、体育、科学、卫生、健康、民政、文化等社会事业建设工作。负责应急体系建设、制度建设和应急管理工作，负责组织、指导、协调安全生产、自然灾害、防灾减灾救灾等日常工作。负责防汛抗旱、森林（草原）防灭火、地质灾害防治、卫生防疫等工作。负责应急抢险和应急队伍建设、管理、培训、演习以及应急设备和物资的储备、管理等工作。负责应急值守工作。负责辖区内生产经营单位安全生产状况的监督检查工作，协助有关部门依法履行安全生产监督管理职责。负责农村老旧危房安全排查，落实农村老旧住房安全监管和住房安全宣传引导职责。负责全面落实依法行政执法工作，负责统筹协调辖区内依法授权或委托授权的各类行政执法工作，负责综合行政执法有关组织协调工作。协助行业主管部门负责日常巡查和发现问题、快速处置、案件移送以及社会监督等基础性工作。负责城乡环境综合治理等工作。承担乡党委、政府交办的其他工作。</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b/>
          <w:bCs/>
          <w:color w:val="auto"/>
          <w:kern w:val="2"/>
          <w:sz w:val="32"/>
          <w:szCs w:val="32"/>
          <w:lang w:val="en-US" w:eastAsia="zh-CN"/>
        </w:rPr>
        <w:t>4.</w:t>
      </w:r>
      <w:r>
        <w:rPr>
          <w:rFonts w:hint="eastAsia" w:ascii="Times New Roman" w:hAnsi="Times New Roman" w:eastAsia="仿宋_GB2312" w:cs="Times New Roman"/>
          <w:b/>
          <w:bCs/>
          <w:color w:val="auto"/>
          <w:kern w:val="2"/>
          <w:sz w:val="32"/>
          <w:szCs w:val="32"/>
          <w:lang w:eastAsia="zh-CN"/>
        </w:rPr>
        <w:t>维护稳定和基层治理办公室（挂群众工作办公室牌子）。</w:t>
      </w:r>
      <w:r>
        <w:rPr>
          <w:rFonts w:hint="eastAsia" w:ascii="Times New Roman" w:hAnsi="Times New Roman" w:eastAsia="仿宋_GB2312" w:cs="Times New Roman"/>
          <w:color w:val="auto"/>
          <w:kern w:val="2"/>
          <w:sz w:val="32"/>
          <w:szCs w:val="32"/>
          <w:lang w:eastAsia="zh-CN"/>
        </w:rPr>
        <w:t>负责社会治安综合治理工作，组织开展人武、政法、统战、信访、稳定、民宗、群众、防邪和网格化管理等相关工作。负责辖区内法治建设，配合开展调解和帮教管理，承担辖区内矛盾纠纷多元化解协调工作、协助司法机关开展打击违法犯罪和禁毒，扫黑除恶活动。负责流动人口、外来僧尼管理。负责基层自治建设和民主法治建设，指导基层群众性自治组织规范化、制度化建设。指导村民委员会换届选举。组织开展法制、综治、平安建设等宣传教育活动，负责基层综治干部和群防群治队伍的教育、培训和管理等工作。承担乡党委、政府交办的其他工作。</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b/>
          <w:bCs/>
          <w:color w:val="auto"/>
          <w:kern w:val="2"/>
          <w:sz w:val="32"/>
          <w:szCs w:val="32"/>
          <w:lang w:val="en-US" w:eastAsia="zh-CN"/>
        </w:rPr>
        <w:t>5.</w:t>
      </w:r>
      <w:r>
        <w:rPr>
          <w:rFonts w:hint="eastAsia" w:ascii="Times New Roman" w:hAnsi="Times New Roman" w:eastAsia="仿宋_GB2312" w:cs="Times New Roman"/>
          <w:b/>
          <w:bCs/>
          <w:color w:val="auto"/>
          <w:kern w:val="2"/>
          <w:sz w:val="32"/>
          <w:szCs w:val="32"/>
          <w:lang w:eastAsia="zh-CN"/>
        </w:rPr>
        <w:t>经济发展和乡村振兴办公室（挂村镇规划建设管理办公室、生态环境办公室牌子）。</w:t>
      </w:r>
      <w:r>
        <w:rPr>
          <w:rFonts w:hint="eastAsia" w:ascii="Times New Roman" w:hAnsi="Times New Roman" w:eastAsia="仿宋_GB2312" w:cs="Times New Roman"/>
          <w:color w:val="auto"/>
          <w:kern w:val="2"/>
          <w:sz w:val="32"/>
          <w:szCs w:val="32"/>
          <w:lang w:eastAsia="zh-CN"/>
        </w:rPr>
        <w:t>负责参与拟订乡经济发展规划并组织实施，对辖区内重大基础设施建设、重大公共服务资源布局、重大决策提出建议及意见。负责经济工作的指导、协调、服务和监督管理。负责优化营商环境建设。负责统筹、协调、指导、配合开展辖区内经济结构调整、项目建设、招商引资、旅游开发、移民搬迁、土地流转等工作。负责组织实施新农村建设、乡村振兴、农村人居环境整治，推动宜居乡村建设。统筹、指导、监管辖区内农业农村、林业、水利等工作。指导农民合作经济组织、农村集体经济组织建设和发展。负责乡村规划建设管理，统筹农村基础设施建设等工作。负责辖区内自然资源保护、生态环境保护等工作。配合相关部门组织开展工业、生活、生产、经营、农业等污染的监督检查和防控整治工作，指导辖区内生态农业、农牧业建设。负责辖区内水资源保护、水环境治理、节约用水、环境卫生管理等工作。参与重大生态破坏事件的调查处理。承担乡党委、政府交办的其他工作。</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b/>
          <w:bCs/>
          <w:color w:val="auto"/>
          <w:kern w:val="2"/>
          <w:sz w:val="32"/>
          <w:szCs w:val="32"/>
          <w:lang w:val="en-US" w:eastAsia="zh-CN"/>
        </w:rPr>
        <w:t>6.</w:t>
      </w:r>
      <w:r>
        <w:rPr>
          <w:rFonts w:hint="eastAsia" w:ascii="Times New Roman" w:hAnsi="Times New Roman" w:eastAsia="仿宋_GB2312" w:cs="Times New Roman"/>
          <w:b/>
          <w:bCs/>
          <w:color w:val="auto"/>
          <w:kern w:val="2"/>
          <w:sz w:val="32"/>
          <w:szCs w:val="32"/>
          <w:lang w:eastAsia="zh-CN"/>
        </w:rPr>
        <w:t>财政工作办公室。</w:t>
      </w:r>
      <w:r>
        <w:rPr>
          <w:rFonts w:hint="eastAsia" w:ascii="Times New Roman" w:hAnsi="Times New Roman" w:eastAsia="仿宋_GB2312" w:cs="Times New Roman"/>
          <w:color w:val="auto"/>
          <w:kern w:val="2"/>
          <w:sz w:val="32"/>
          <w:szCs w:val="32"/>
          <w:lang w:eastAsia="zh-CN"/>
        </w:rPr>
        <w:t>负责贯彻党和国家财经方针政策，严格执行财政法规和财经制度。负责组织和管理乡财政收入和支出，编报年度财政收支预算和决算并组织预算执行。负责国有资产和村级集体资金、资产的监督管理。负责管理国有资产和政府性债务。负责财政信息公开，审计和内审工作，管理机关行政事业单位和其他组织的各类财政资金工作。承担乡党委、政府交办的其他工作。</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楷体_GB2312"/>
          <w:b/>
          <w:bCs/>
          <w:color w:val="auto"/>
          <w:kern w:val="2"/>
          <w:sz w:val="32"/>
          <w:szCs w:val="32"/>
          <w:lang w:eastAsia="zh-CN"/>
        </w:rPr>
        <w:t>第五条</w:t>
      </w:r>
      <w:r>
        <w:rPr>
          <w:rFonts w:hint="eastAsia" w:ascii="Times New Roman" w:hAnsi="Times New Roman" w:eastAsia="仿宋_GB2312" w:cs="Times New Roman"/>
          <w:color w:val="auto"/>
          <w:kern w:val="2"/>
          <w:sz w:val="32"/>
          <w:szCs w:val="32"/>
          <w:lang w:eastAsia="zh-CN"/>
        </w:rPr>
        <w:t xml:space="preserve"> 乡人大、纪委监察、人民武装部和工会、共青团、妇联等群团组织的设置按相关规定执行。</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楷体_GB2312"/>
          <w:b/>
          <w:bCs/>
          <w:color w:val="auto"/>
          <w:kern w:val="2"/>
          <w:sz w:val="32"/>
          <w:szCs w:val="32"/>
          <w:lang w:eastAsia="zh-CN"/>
        </w:rPr>
        <w:t>第六条</w:t>
      </w:r>
      <w:r>
        <w:rPr>
          <w:rFonts w:hint="eastAsia" w:ascii="Times New Roman" w:hAnsi="Times New Roman" w:eastAsia="仿宋_GB2312" w:cs="Times New Roman"/>
          <w:color w:val="auto"/>
          <w:kern w:val="2"/>
          <w:sz w:val="32"/>
          <w:szCs w:val="32"/>
          <w:lang w:eastAsia="zh-CN"/>
        </w:rPr>
        <w:t xml:space="preserve"> 上壤塘乡寺庙管理所继续按照中央、省、州有关要求执行，受县宗教工作部门委托，行使宗教事务管理执法权。</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楷体_GB2312"/>
          <w:b/>
          <w:bCs/>
          <w:color w:val="auto"/>
          <w:kern w:val="2"/>
          <w:sz w:val="32"/>
          <w:szCs w:val="32"/>
          <w:lang w:eastAsia="zh-CN"/>
        </w:rPr>
        <w:t>第七条</w:t>
      </w:r>
      <w:r>
        <w:rPr>
          <w:rFonts w:hint="eastAsia" w:ascii="Times New Roman" w:hAnsi="Times New Roman" w:eastAsia="仿宋_GB2312" w:cs="Times New Roman"/>
          <w:color w:val="auto"/>
          <w:kern w:val="2"/>
          <w:sz w:val="32"/>
          <w:szCs w:val="32"/>
          <w:lang w:eastAsia="zh-CN"/>
        </w:rPr>
        <w:t xml:space="preserve"> 上壤塘乡设直属公益一类事业单位4个：</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b/>
          <w:bCs/>
          <w:color w:val="auto"/>
          <w:kern w:val="2"/>
          <w:sz w:val="32"/>
          <w:szCs w:val="32"/>
          <w:lang w:val="en-US" w:eastAsia="zh-CN"/>
        </w:rPr>
        <w:t>1.</w:t>
      </w:r>
      <w:r>
        <w:rPr>
          <w:rFonts w:hint="eastAsia" w:ascii="Times New Roman" w:hAnsi="Times New Roman" w:eastAsia="仿宋_GB2312" w:cs="Times New Roman"/>
          <w:b/>
          <w:bCs/>
          <w:color w:val="auto"/>
          <w:kern w:val="2"/>
          <w:sz w:val="32"/>
          <w:szCs w:val="32"/>
          <w:lang w:eastAsia="zh-CN"/>
        </w:rPr>
        <w:t>便民服务中心（挂农民工服务中心牌子）。</w:t>
      </w:r>
      <w:r>
        <w:rPr>
          <w:rFonts w:hint="eastAsia" w:ascii="Times New Roman" w:hAnsi="Times New Roman" w:eastAsia="仿宋_GB2312" w:cs="Times New Roman"/>
          <w:color w:val="auto"/>
          <w:kern w:val="2"/>
          <w:sz w:val="32"/>
          <w:szCs w:val="32"/>
          <w:lang w:eastAsia="zh-CN"/>
        </w:rPr>
        <w:t>负责宣传并贯彻落实政务服务、农民工服务等法律法规和方针政策。负责便民服务体系标准化、规范化建设，优化办事流程，拟订服务管理制度并组织实施，落实“最多跑一次”改革向基层延伸各项工作。接受县行政审批局业务指导，承担下沉到辖区内的行政许可和公共服务事项等政务服务工作。负责对纳入中心的行政许可项目及服务项目办理工作的协调、督查等。指导村便民服务点业务工作。牵头负责外出务工人员联络、农民工输出、培训、维权、回引及返乡创业服务等工作。承担乡党委、政府交办的其他工作。</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b/>
          <w:bCs/>
          <w:color w:val="auto"/>
          <w:kern w:val="2"/>
          <w:sz w:val="32"/>
          <w:szCs w:val="32"/>
          <w:lang w:val="en-US" w:eastAsia="zh-CN"/>
        </w:rPr>
        <w:t>2.</w:t>
      </w:r>
      <w:r>
        <w:rPr>
          <w:rFonts w:hint="eastAsia" w:ascii="Times New Roman" w:hAnsi="Times New Roman" w:eastAsia="仿宋_GB2312" w:cs="Times New Roman"/>
          <w:b/>
          <w:bCs/>
          <w:color w:val="auto"/>
          <w:kern w:val="2"/>
          <w:sz w:val="32"/>
          <w:szCs w:val="32"/>
          <w:lang w:eastAsia="zh-CN"/>
        </w:rPr>
        <w:t>社会事业服务中心。</w:t>
      </w:r>
      <w:r>
        <w:rPr>
          <w:rFonts w:hint="eastAsia" w:ascii="Times New Roman" w:hAnsi="Times New Roman" w:eastAsia="仿宋_GB2312" w:cs="Times New Roman"/>
          <w:color w:val="auto"/>
          <w:kern w:val="2"/>
          <w:sz w:val="32"/>
          <w:szCs w:val="32"/>
          <w:lang w:eastAsia="zh-CN"/>
        </w:rPr>
        <w:t>负责宣传并贯彻党和国家有关民政、社会保障、计划生育等方面的法律法规和方针政策。承担就业、社保、医保、劳动保障、计划生育、救助、救济、低保、儿童、老龄、残疾人等社会事业服务工作。承担乡党委、政府交办的其他工作。</w:t>
      </w:r>
    </w:p>
    <w:p>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b/>
          <w:bCs/>
          <w:color w:val="auto"/>
          <w:kern w:val="2"/>
          <w:sz w:val="32"/>
          <w:szCs w:val="32"/>
          <w:lang w:val="en-US" w:eastAsia="zh-CN"/>
        </w:rPr>
        <w:t>3.</w:t>
      </w:r>
      <w:r>
        <w:rPr>
          <w:rFonts w:hint="eastAsia" w:ascii="Times New Roman" w:hAnsi="Times New Roman" w:eastAsia="仿宋_GB2312" w:cs="Times New Roman"/>
          <w:b/>
          <w:bCs/>
          <w:color w:val="auto"/>
          <w:kern w:val="2"/>
          <w:sz w:val="32"/>
          <w:szCs w:val="32"/>
          <w:lang w:eastAsia="zh-CN"/>
        </w:rPr>
        <w:t>农业农村和经济发展服务中心。</w:t>
      </w:r>
      <w:r>
        <w:rPr>
          <w:rFonts w:hint="eastAsia" w:ascii="Times New Roman" w:hAnsi="Times New Roman" w:eastAsia="仿宋_GB2312" w:cs="Times New Roman"/>
          <w:color w:val="auto"/>
          <w:kern w:val="2"/>
          <w:sz w:val="32"/>
          <w:szCs w:val="32"/>
          <w:lang w:eastAsia="zh-CN"/>
        </w:rPr>
        <w:t>负责宣传并贯彻落实涉农法律法规和方针政策。负责农业、林业、水利、渔业、畜牧业、农业机械等技术、品种、机具等的示范、推广，负责农业公共信息和培训教育等服务工作。负责农田水利建设、农产品及相关生产资料和投入品质量安全监测等服务性、技术性工作，负责农业苗情、灾害、病虫害和动物疫病的监测、预报、防治和处置。承担组织指导农业产业发展、林业生产、农业机械管理、水产发展、农林水资源保护、水土保持预防及水土流失治理等服务工作。负责乡道、村道建设规划编制并组织实施，负责乡道、村道的养护、路域环境整治及村道的路政管理、维护等工作。负责综合统计工作。</w:t>
      </w:r>
    </w:p>
    <w:p>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s="Times New Roman"/>
          <w:b/>
          <w:bCs/>
          <w:color w:val="auto"/>
          <w:kern w:val="2"/>
          <w:sz w:val="32"/>
          <w:szCs w:val="32"/>
          <w:lang w:val="en-US" w:eastAsia="zh-CN"/>
        </w:rPr>
        <w:t>4.</w:t>
      </w:r>
      <w:r>
        <w:rPr>
          <w:rFonts w:hint="eastAsia" w:ascii="Times New Roman" w:hAnsi="Times New Roman" w:eastAsia="仿宋_GB2312" w:cs="Times New Roman"/>
          <w:b/>
          <w:bCs/>
          <w:color w:val="auto"/>
          <w:kern w:val="2"/>
          <w:sz w:val="32"/>
          <w:szCs w:val="32"/>
          <w:lang w:eastAsia="zh-CN"/>
        </w:rPr>
        <w:t>文化体育广电和旅游综合服务中心。</w:t>
      </w:r>
      <w:r>
        <w:rPr>
          <w:rFonts w:hint="eastAsia" w:ascii="Times New Roman" w:hAnsi="Times New Roman" w:eastAsia="仿宋_GB2312" w:cs="Times New Roman"/>
          <w:color w:val="auto"/>
          <w:kern w:val="2"/>
          <w:sz w:val="32"/>
          <w:szCs w:val="32"/>
          <w:lang w:eastAsia="zh-CN"/>
        </w:rPr>
        <w:t>负责宣传并贯彻落实宣传思想、精神文明建设、文化、体育、广电、旅游等法律法规和方针政策。承担基层新时代文明实践活动服务工作，做好理论宣讲、教育服务、文化服务、科技服务、健康服务、法律服务、志愿服务等工作。拟订年度公益性文化项目实施计划，组织开展多种形式的文娱体育活动和宣传文化阵地建设。负责对乡村文化、文艺等活动的指导、协调和宣传工作。拟订旅游发展项目实施计划，搞好旅游发展等服务工作、负责广播影视设施设备维护、信息上报等服务工作。组织实施电视“村村通”、广播“村村响”、无线数字电视工程建设等工作。承担乡党委、政府交办的其他工作。</w:t>
      </w:r>
    </w:p>
    <w:p>
      <w:pPr>
        <w:pStyle w:val="2"/>
        <w:bidi w:val="0"/>
        <w:ind w:firstLine="640" w:firstLineChars="200"/>
        <w:rPr>
          <w:rFonts w:hint="eastAsia"/>
        </w:rPr>
      </w:pPr>
      <w:bookmarkStart w:id="4" w:name="_Toc4048"/>
      <w:bookmarkStart w:id="5" w:name="_Toc22609"/>
      <w:r>
        <w:rPr>
          <w:rFonts w:hint="eastAsia"/>
        </w:rPr>
        <w:t>（二）</w:t>
      </w:r>
      <w:r>
        <w:rPr>
          <w:rFonts w:hint="eastAsia"/>
          <w:lang w:eastAsia="zh-CN"/>
        </w:rPr>
        <w:t>2026</w:t>
      </w:r>
      <w:r>
        <w:rPr>
          <w:rFonts w:hint="eastAsia"/>
        </w:rPr>
        <w:t>年重点工作</w:t>
      </w:r>
      <w:bookmarkEnd w:id="4"/>
      <w:bookmarkEnd w:id="5"/>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1"/>
        <w:rPr>
          <w:rFonts w:hint="default" w:ascii="楷体_GB2312" w:hAnsi="楷体_GB2312" w:eastAsia="楷体_GB2312" w:cs="楷体_GB2312"/>
          <w:bCs/>
          <w:kern w:val="2"/>
          <w:sz w:val="32"/>
          <w:szCs w:val="32"/>
          <w:lang w:val="en-US" w:eastAsia="zh-CN" w:bidi="ar-SA"/>
        </w:rPr>
      </w:pPr>
      <w:bookmarkStart w:id="6" w:name="_Toc23453"/>
      <w:r>
        <w:rPr>
          <w:rFonts w:hint="eastAsia" w:ascii="楷体_GB2312" w:hAnsi="楷体_GB2312" w:eastAsia="楷体_GB2312" w:cs="楷体_GB2312"/>
          <w:bCs/>
          <w:kern w:val="2"/>
          <w:sz w:val="32"/>
          <w:szCs w:val="32"/>
          <w:lang w:val="en-US" w:eastAsia="zh-CN" w:bidi="ar-SA"/>
        </w:rPr>
        <w:t>（一）</w:t>
      </w:r>
      <w:r>
        <w:rPr>
          <w:rFonts w:hint="default" w:ascii="楷体_GB2312" w:hAnsi="楷体_GB2312" w:eastAsia="楷体_GB2312" w:cs="楷体_GB2312"/>
          <w:bCs/>
          <w:kern w:val="2"/>
          <w:sz w:val="32"/>
          <w:szCs w:val="32"/>
          <w:lang w:val="en-US" w:eastAsia="zh-CN" w:bidi="ar-SA"/>
        </w:rPr>
        <w:t>目标建议​</w:t>
      </w:r>
      <w:bookmarkEnd w:id="6"/>
    </w:p>
    <w:p>
      <w:pPr>
        <w:pStyle w:val="5"/>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仿宋_GB2312"/>
          <w:color w:val="000000"/>
          <w:sz w:val="32"/>
          <w:szCs w:val="32"/>
          <w:lang w:val="en-US" w:eastAsia="zh-CN"/>
        </w:rPr>
      </w:pPr>
      <w:r>
        <w:rPr>
          <w:rFonts w:hint="default" w:ascii="Times New Roman" w:hAnsi="Times New Roman" w:eastAsia="仿宋_GB2312" w:cs="仿宋_GB2312"/>
          <w:color w:val="000000"/>
          <w:sz w:val="32"/>
          <w:szCs w:val="32"/>
          <w:lang w:val="en-US" w:eastAsia="zh-CN"/>
        </w:rPr>
        <w:t>2026年</w:t>
      </w:r>
      <w:r>
        <w:rPr>
          <w:rFonts w:hint="eastAsia" w:ascii="Times New Roman" w:hAnsi="Times New Roman" w:eastAsia="仿宋_GB2312" w:cs="仿宋_GB2312"/>
          <w:color w:val="000000"/>
          <w:sz w:val="32"/>
          <w:szCs w:val="32"/>
          <w:lang w:val="en-US" w:eastAsia="zh-CN"/>
        </w:rPr>
        <w:t>是</w:t>
      </w:r>
      <w:r>
        <w:rPr>
          <w:rFonts w:hint="default" w:ascii="Times New Roman" w:hAnsi="Times New Roman" w:eastAsia="仿宋_GB2312" w:cs="仿宋_GB2312"/>
          <w:color w:val="000000"/>
          <w:sz w:val="32"/>
          <w:szCs w:val="32"/>
          <w:lang w:val="en-US" w:eastAsia="zh-CN"/>
        </w:rPr>
        <w:t>“十五五”规划开局之年，</w:t>
      </w:r>
      <w:r>
        <w:rPr>
          <w:rFonts w:hint="eastAsia" w:ascii="Times New Roman" w:hAnsi="Times New Roman" w:eastAsia="仿宋_GB2312" w:cs="仿宋_GB2312"/>
          <w:color w:val="000000"/>
          <w:sz w:val="32"/>
          <w:szCs w:val="32"/>
          <w:lang w:val="en-US" w:eastAsia="zh-CN"/>
        </w:rPr>
        <w:t>也</w:t>
      </w:r>
      <w:r>
        <w:rPr>
          <w:rFonts w:hint="default" w:ascii="Times New Roman" w:hAnsi="Times New Roman" w:eastAsia="仿宋_GB2312" w:cs="仿宋_GB2312"/>
          <w:color w:val="000000"/>
          <w:sz w:val="32"/>
          <w:szCs w:val="32"/>
          <w:lang w:val="en-US" w:eastAsia="zh-CN"/>
        </w:rPr>
        <w:t>是</w:t>
      </w:r>
      <w:r>
        <w:rPr>
          <w:rFonts w:hint="eastAsia" w:ascii="Times New Roman" w:hAnsi="Times New Roman" w:eastAsia="仿宋_GB2312" w:cs="仿宋_GB2312"/>
          <w:color w:val="000000"/>
          <w:sz w:val="32"/>
          <w:szCs w:val="32"/>
          <w:lang w:val="en-US" w:eastAsia="zh-CN"/>
        </w:rPr>
        <w:t>上壤塘</w:t>
      </w:r>
      <w:r>
        <w:rPr>
          <w:rFonts w:hint="default" w:ascii="Times New Roman" w:hAnsi="Times New Roman" w:eastAsia="仿宋_GB2312" w:cs="仿宋_GB2312"/>
          <w:color w:val="000000"/>
          <w:sz w:val="32"/>
          <w:szCs w:val="32"/>
          <w:lang w:val="en-US" w:eastAsia="zh-CN"/>
        </w:rPr>
        <w:t>乡推动产业</w:t>
      </w:r>
      <w:r>
        <w:rPr>
          <w:rFonts w:hint="eastAsia" w:ascii="Times New Roman" w:hAnsi="Times New Roman" w:eastAsia="仿宋_GB2312" w:cs="仿宋_GB2312"/>
          <w:color w:val="000000"/>
          <w:sz w:val="32"/>
          <w:szCs w:val="32"/>
          <w:lang w:val="en-US" w:eastAsia="zh-CN"/>
        </w:rPr>
        <w:t>结构优化、文旅融合发展</w:t>
      </w:r>
      <w:r>
        <w:rPr>
          <w:rFonts w:hint="default" w:ascii="Times New Roman" w:hAnsi="Times New Roman"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社会</w:t>
      </w:r>
      <w:r>
        <w:rPr>
          <w:rFonts w:hint="default" w:ascii="Times New Roman" w:hAnsi="Times New Roman" w:eastAsia="仿宋_GB2312" w:cs="仿宋_GB2312"/>
          <w:color w:val="000000"/>
          <w:sz w:val="32"/>
          <w:szCs w:val="32"/>
          <w:lang w:val="en-US" w:eastAsia="zh-CN"/>
        </w:rPr>
        <w:t>治理提质的关键一年。全乡</w:t>
      </w:r>
      <w:r>
        <w:rPr>
          <w:rFonts w:hint="eastAsia" w:ascii="Times New Roman" w:hAnsi="Times New Roman" w:eastAsia="仿宋_GB2312" w:cs="仿宋_GB2312"/>
          <w:color w:val="000000"/>
          <w:sz w:val="32"/>
          <w:szCs w:val="32"/>
          <w:lang w:val="en-US" w:eastAsia="zh-CN"/>
        </w:rPr>
        <w:t>将坚持</w:t>
      </w:r>
      <w:r>
        <w:rPr>
          <w:rFonts w:hint="default" w:ascii="Times New Roman" w:hAnsi="Times New Roman" w:eastAsia="仿宋_GB2312" w:cs="仿宋_GB2312"/>
          <w:color w:val="000000"/>
          <w:sz w:val="32"/>
          <w:szCs w:val="32"/>
          <w:lang w:val="en-US" w:eastAsia="zh-CN"/>
        </w:rPr>
        <w:t>以习近平新时代中国特色社会主义思想为指导，全面落实县委</w:t>
      </w:r>
      <w:r>
        <w:rPr>
          <w:rFonts w:hint="eastAsia" w:ascii="Times New Roman" w:hAnsi="Times New Roman" w:eastAsia="仿宋_GB2312" w:cs="仿宋_GB2312"/>
          <w:color w:val="000000"/>
          <w:sz w:val="32"/>
          <w:szCs w:val="32"/>
          <w:lang w:val="en-US" w:eastAsia="zh-CN"/>
        </w:rPr>
        <w:t>“四县”建设战略、</w:t>
      </w:r>
      <w:r>
        <w:rPr>
          <w:rFonts w:hint="default" w:ascii="Times New Roman" w:hAnsi="Times New Roman" w:eastAsia="仿宋_GB2312" w:cs="仿宋_GB2312"/>
          <w:color w:val="000000"/>
          <w:sz w:val="32"/>
          <w:szCs w:val="32"/>
          <w:lang w:val="en-US" w:eastAsia="zh-CN"/>
        </w:rPr>
        <w:t>“146”目标任务及“建设国际壤巴拉非遗体验旅游目的地”部署</w:t>
      </w:r>
      <w:r>
        <w:rPr>
          <w:rFonts w:hint="eastAsia" w:ascii="Times New Roman" w:hAnsi="Times New Roman" w:eastAsia="仿宋_GB2312" w:cs="仿宋_GB2312"/>
          <w:color w:val="000000"/>
          <w:sz w:val="32"/>
          <w:szCs w:val="32"/>
          <w:lang w:val="en-US" w:eastAsia="zh-CN"/>
        </w:rPr>
        <w:t>，主动</w:t>
      </w:r>
      <w:r>
        <w:rPr>
          <w:rFonts w:hint="default" w:ascii="Times New Roman" w:hAnsi="Times New Roman" w:eastAsia="仿宋_GB2312" w:cs="仿宋_GB2312"/>
          <w:color w:val="000000"/>
          <w:sz w:val="32"/>
          <w:szCs w:val="32"/>
          <w:lang w:val="en-US" w:eastAsia="zh-CN"/>
        </w:rPr>
        <w:t>锚定“十五五”</w:t>
      </w:r>
      <w:r>
        <w:rPr>
          <w:rFonts w:hint="eastAsia" w:ascii="Times New Roman" w:hAnsi="Times New Roman" w:eastAsia="仿宋_GB2312" w:cs="仿宋_GB2312"/>
          <w:color w:val="000000"/>
          <w:sz w:val="32"/>
          <w:szCs w:val="32"/>
          <w:lang w:val="en-US" w:eastAsia="zh-CN"/>
        </w:rPr>
        <w:t>规划纲要</w:t>
      </w:r>
      <w:r>
        <w:rPr>
          <w:rFonts w:hint="default" w:ascii="Times New Roman" w:hAnsi="Times New Roman" w:eastAsia="仿宋_GB2312" w:cs="仿宋_GB2312"/>
          <w:color w:val="000000"/>
          <w:sz w:val="32"/>
          <w:szCs w:val="32"/>
          <w:lang w:val="en-US" w:eastAsia="zh-CN"/>
        </w:rPr>
        <w:t>目标，</w:t>
      </w:r>
      <w:r>
        <w:rPr>
          <w:rFonts w:hint="eastAsia" w:ascii="Times New Roman" w:hAnsi="Times New Roman" w:eastAsia="仿宋_GB2312" w:cs="仿宋_GB2312"/>
          <w:color w:val="000000"/>
          <w:sz w:val="32"/>
          <w:szCs w:val="32"/>
          <w:lang w:val="en-US" w:eastAsia="zh-CN"/>
        </w:rPr>
        <w:t>重点抓好产业优化升级、民生福祉改善、治理效能提升等工作，着力</w:t>
      </w:r>
      <w:r>
        <w:rPr>
          <w:rFonts w:hint="default" w:ascii="Times New Roman" w:hAnsi="Times New Roman" w:eastAsia="仿宋_GB2312" w:cs="仿宋_GB2312"/>
          <w:color w:val="000000"/>
          <w:sz w:val="32"/>
          <w:szCs w:val="32"/>
          <w:lang w:val="en-US" w:eastAsia="zh-CN"/>
        </w:rPr>
        <w:t>破解</w:t>
      </w:r>
      <w:r>
        <w:rPr>
          <w:rFonts w:hint="eastAsia" w:ascii="Times New Roman" w:hAnsi="Times New Roman" w:eastAsia="仿宋_GB2312" w:cs="仿宋_GB2312"/>
          <w:color w:val="000000"/>
          <w:sz w:val="32"/>
          <w:szCs w:val="32"/>
          <w:lang w:val="en-US" w:eastAsia="zh-CN"/>
        </w:rPr>
        <w:t>上壤塘乡</w:t>
      </w:r>
      <w:r>
        <w:rPr>
          <w:rFonts w:hint="default" w:ascii="Times New Roman" w:hAnsi="Times New Roman" w:eastAsia="仿宋_GB2312" w:cs="仿宋_GB2312"/>
          <w:color w:val="000000"/>
          <w:sz w:val="32"/>
          <w:szCs w:val="32"/>
          <w:lang w:val="en-US" w:eastAsia="zh-CN"/>
        </w:rPr>
        <w:t>发展难题，保持</w:t>
      </w:r>
      <w:r>
        <w:rPr>
          <w:rFonts w:hint="eastAsia" w:ascii="Times New Roman" w:hAnsi="Times New Roman" w:eastAsia="仿宋_GB2312" w:cs="仿宋_GB2312"/>
          <w:color w:val="000000"/>
          <w:sz w:val="32"/>
          <w:szCs w:val="32"/>
          <w:lang w:val="en-US" w:eastAsia="zh-CN"/>
        </w:rPr>
        <w:t>乡域</w:t>
      </w:r>
      <w:r>
        <w:rPr>
          <w:rFonts w:hint="default" w:ascii="Times New Roman" w:hAnsi="Times New Roman" w:eastAsia="仿宋_GB2312" w:cs="仿宋_GB2312"/>
          <w:color w:val="000000"/>
          <w:sz w:val="32"/>
          <w:szCs w:val="32"/>
          <w:lang w:val="en-US" w:eastAsia="zh-CN"/>
        </w:rPr>
        <w:t>经济长期向好趋势</w:t>
      </w:r>
      <w:r>
        <w:rPr>
          <w:rFonts w:hint="eastAsia" w:ascii="Times New Roman" w:hAnsi="Times New Roman" w:eastAsia="仿宋_GB2312" w:cs="仿宋_GB2312"/>
          <w:color w:val="00000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1"/>
        <w:rPr>
          <w:rFonts w:hint="eastAsia" w:ascii="楷体_GB2312" w:hAnsi="楷体_GB2312" w:eastAsia="楷体_GB2312" w:cs="楷体_GB2312"/>
          <w:bCs/>
          <w:kern w:val="2"/>
          <w:sz w:val="32"/>
          <w:szCs w:val="32"/>
          <w:lang w:val="en-US" w:eastAsia="zh-CN" w:bidi="ar-SA"/>
        </w:rPr>
      </w:pPr>
      <w:bookmarkStart w:id="7" w:name="_Toc19101"/>
      <w:r>
        <w:rPr>
          <w:rFonts w:hint="default" w:ascii="楷体_GB2312" w:hAnsi="楷体_GB2312" w:eastAsia="楷体_GB2312" w:cs="楷体_GB2312"/>
          <w:bCs/>
          <w:kern w:val="2"/>
          <w:sz w:val="32"/>
          <w:szCs w:val="32"/>
          <w:lang w:val="en-US" w:eastAsia="zh-CN" w:bidi="ar-SA"/>
        </w:rPr>
        <w:t>（二）重点工作​</w:t>
      </w:r>
      <w:bookmarkEnd w:id="7"/>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rPr>
          <w:rFonts w:hint="default" w:ascii="Times New Roman" w:hAnsi="Times New Roman" w:eastAsia="仿宋_GB2312" w:cs="仿宋_GB2312"/>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1.优化升级产业。</w:t>
      </w:r>
      <w:r>
        <w:rPr>
          <w:rFonts w:hint="eastAsia" w:ascii="Times New Roman" w:hAnsi="Times New Roman" w:eastAsia="仿宋_GB2312" w:cs="仿宋_GB2312"/>
          <w:color w:val="000000"/>
          <w:sz w:val="32"/>
          <w:szCs w:val="32"/>
          <w:lang w:val="en-US" w:eastAsia="zh-CN"/>
        </w:rPr>
        <w:t>稳步抓好一产三产发展基础上，扩大雪木达有机肥厂生产经营规模，年度生产突破7000吨有机肥料；培育5名本地奶酪加工生产技术人员，村“两委”合资成立1个奶酪加工合作社，并引进1个牦牛绒毛加工生产合作社，实现二产产值增加100万元；分别在格玛热青年创业园、藏香创习所举办1次非遗文化沉浸式体验活动，深化非遗产品研发制作、对外展示、技艺体验；整合乡内海子山群优势，打造1条海子群山精品旅游线路，加快建设旅游沿线充电桩、停车位、通信基站等基础配套设施，聘请15人负责日常维护管理；申报产业发展项目不低于3个，争取建设长河贡巴拉卡、雪木达秋孜塘、康垄玛格塘“游牧文化体验区”，开发露营、拍摄、骑行等体验项目。</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Times New Roman"/>
          <w:b/>
          <w:bCs/>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2.改善民生福祉。巩固拓展脱贫攻坚成果。</w:t>
      </w:r>
      <w:r>
        <w:rPr>
          <w:rFonts w:hint="default" w:ascii="Times New Roman" w:hAnsi="Times New Roman" w:eastAsia="仿宋_GB2312" w:cs="仿宋_GB2312"/>
          <w:color w:val="000000"/>
          <w:sz w:val="32"/>
          <w:szCs w:val="32"/>
          <w:lang w:val="en-US" w:eastAsia="zh-CN"/>
        </w:rPr>
        <w:t>排查</w:t>
      </w:r>
      <w:r>
        <w:rPr>
          <w:rFonts w:hint="eastAsia" w:ascii="Times New Roman" w:hAnsi="Times New Roman" w:eastAsia="仿宋_GB2312" w:cs="仿宋_GB2312"/>
          <w:color w:val="000000"/>
          <w:sz w:val="32"/>
          <w:szCs w:val="32"/>
          <w:lang w:val="en-US" w:eastAsia="zh-CN"/>
        </w:rPr>
        <w:t>711</w:t>
      </w:r>
      <w:r>
        <w:rPr>
          <w:rFonts w:hint="default" w:ascii="Times New Roman" w:hAnsi="Times New Roman" w:eastAsia="仿宋_GB2312" w:cs="仿宋_GB2312"/>
          <w:color w:val="000000"/>
          <w:sz w:val="32"/>
          <w:szCs w:val="32"/>
          <w:lang w:val="en-US" w:eastAsia="zh-CN"/>
        </w:rPr>
        <w:t>户</w:t>
      </w:r>
      <w:r>
        <w:rPr>
          <w:rFonts w:hint="eastAsia" w:ascii="Times New Roman" w:hAnsi="Times New Roman" w:eastAsia="仿宋_GB2312" w:cs="仿宋_GB2312"/>
          <w:color w:val="000000"/>
          <w:sz w:val="32"/>
          <w:szCs w:val="32"/>
          <w:lang w:val="en-US" w:eastAsia="zh-CN"/>
        </w:rPr>
        <w:t>农牧民群众，建立完善</w:t>
      </w:r>
      <w:r>
        <w:rPr>
          <w:rFonts w:hint="default" w:ascii="Times New Roman" w:hAnsi="Times New Roman" w:eastAsia="仿宋_GB2312" w:cs="仿宋_GB2312"/>
          <w:color w:val="000000"/>
          <w:sz w:val="32"/>
          <w:szCs w:val="32"/>
          <w:lang w:val="en-US" w:eastAsia="zh-CN"/>
        </w:rPr>
        <w:t>“一户一档”，对监测户</w:t>
      </w:r>
      <w:r>
        <w:rPr>
          <w:rFonts w:hint="eastAsia" w:ascii="Times New Roman" w:hAnsi="Times New Roman" w:eastAsia="仿宋_GB2312" w:cs="仿宋_GB2312"/>
          <w:color w:val="000000"/>
          <w:sz w:val="32"/>
          <w:szCs w:val="32"/>
          <w:lang w:val="en-US" w:eastAsia="zh-CN"/>
        </w:rPr>
        <w:t>和具有返贫风险户</w:t>
      </w:r>
      <w:r>
        <w:rPr>
          <w:rFonts w:hint="default" w:ascii="Times New Roman" w:hAnsi="Times New Roman" w:eastAsia="仿宋_GB2312" w:cs="仿宋_GB2312"/>
          <w:color w:val="000000"/>
          <w:sz w:val="32"/>
          <w:szCs w:val="32"/>
          <w:lang w:val="en-US" w:eastAsia="zh-CN"/>
        </w:rPr>
        <w:t>实行“一户一策”帮扶</w:t>
      </w:r>
      <w:r>
        <w:rPr>
          <w:rFonts w:hint="eastAsia" w:ascii="Times New Roman" w:hAnsi="Times New Roman" w:eastAsia="仿宋_GB2312" w:cs="仿宋_GB2312"/>
          <w:color w:val="000000"/>
          <w:sz w:val="32"/>
          <w:szCs w:val="32"/>
          <w:lang w:val="en-US" w:eastAsia="zh-CN"/>
        </w:rPr>
        <w:t>，</w:t>
      </w:r>
      <w:r>
        <w:rPr>
          <w:rFonts w:hint="default" w:ascii="Times New Roman" w:hAnsi="Times New Roman" w:eastAsia="仿宋_GB2312" w:cs="仿宋_GB2312"/>
          <w:color w:val="000000"/>
          <w:sz w:val="32"/>
          <w:szCs w:val="32"/>
          <w:lang w:val="en-US" w:eastAsia="zh-CN"/>
        </w:rPr>
        <w:t>确保脱贫户、监测户医疗救助、教育资助等政策落实率100%；提升公共服务水平。升级</w:t>
      </w:r>
      <w:r>
        <w:rPr>
          <w:rFonts w:hint="eastAsia" w:ascii="Times New Roman" w:hAnsi="Times New Roman" w:eastAsia="仿宋_GB2312" w:cs="仿宋_GB2312"/>
          <w:color w:val="000000"/>
          <w:sz w:val="32"/>
          <w:szCs w:val="32"/>
          <w:lang w:val="en-US" w:eastAsia="zh-CN"/>
        </w:rPr>
        <w:t>乡中心校、5</w:t>
      </w:r>
      <w:r>
        <w:rPr>
          <w:rFonts w:hint="default" w:ascii="Times New Roman" w:hAnsi="Times New Roman" w:eastAsia="仿宋_GB2312" w:cs="仿宋_GB2312"/>
          <w:color w:val="000000"/>
          <w:sz w:val="32"/>
          <w:szCs w:val="32"/>
          <w:lang w:val="en-US" w:eastAsia="zh-CN"/>
        </w:rPr>
        <w:t>所村级幼儿园设施，</w:t>
      </w:r>
      <w:r>
        <w:rPr>
          <w:rFonts w:hint="eastAsia" w:ascii="Times New Roman" w:hAnsi="Times New Roman" w:eastAsia="仿宋_GB2312" w:cs="仿宋_GB2312"/>
          <w:color w:val="000000"/>
          <w:sz w:val="32"/>
          <w:szCs w:val="32"/>
          <w:lang w:val="en-US" w:eastAsia="zh-CN"/>
        </w:rPr>
        <w:t>破解学习床位不够、图书资料缺乏等问题，</w:t>
      </w:r>
      <w:r>
        <w:rPr>
          <w:rFonts w:hint="default" w:ascii="Times New Roman" w:hAnsi="Times New Roman" w:eastAsia="仿宋_GB2312" w:cs="仿宋_GB2312"/>
          <w:color w:val="000000"/>
          <w:sz w:val="32"/>
          <w:szCs w:val="32"/>
          <w:lang w:val="en-US" w:eastAsia="zh-CN"/>
        </w:rPr>
        <w:t>确保适龄儿童入学率100%</w:t>
      </w:r>
      <w:r>
        <w:rPr>
          <w:rFonts w:hint="eastAsia" w:ascii="Times New Roman" w:hAnsi="Times New Roman" w:eastAsia="仿宋_GB2312" w:cs="仿宋_GB2312"/>
          <w:color w:val="000000"/>
          <w:sz w:val="32"/>
          <w:szCs w:val="32"/>
          <w:lang w:val="en-US" w:eastAsia="zh-CN"/>
        </w:rPr>
        <w:t>、师资力量愿留率达95%以上</w:t>
      </w:r>
      <w:r>
        <w:rPr>
          <w:rFonts w:hint="default" w:ascii="Times New Roman" w:hAnsi="Times New Roman" w:eastAsia="仿宋_GB2312" w:cs="仿宋_GB2312"/>
          <w:color w:val="000000"/>
          <w:sz w:val="32"/>
          <w:szCs w:val="32"/>
          <w:lang w:val="en-US" w:eastAsia="zh-CN"/>
        </w:rPr>
        <w:t>；完善居民健康档案，实现脱贫户、监测户家庭医生签约全覆盖；集中办理社保业务，保持缴费率、参保率稳定；动态调整低保、特困供养对象，强化民政兜底</w:t>
      </w:r>
      <w:r>
        <w:rPr>
          <w:rFonts w:hint="eastAsia" w:ascii="Times New Roman" w:hAnsi="Times New Roman" w:eastAsia="仿宋_GB2312" w:cs="仿宋_GB2312"/>
          <w:color w:val="000000"/>
          <w:sz w:val="32"/>
          <w:szCs w:val="32"/>
          <w:lang w:val="en-US" w:eastAsia="zh-CN"/>
        </w:rPr>
        <w:t>；</w:t>
      </w:r>
      <w:r>
        <w:rPr>
          <w:rFonts w:hint="default" w:ascii="Times New Roman" w:hAnsi="Times New Roman" w:eastAsia="仿宋_GB2312" w:cs="仿宋_GB2312"/>
          <w:color w:val="000000"/>
          <w:sz w:val="32"/>
          <w:szCs w:val="32"/>
          <w:lang w:val="en-US" w:eastAsia="zh-CN"/>
        </w:rPr>
        <w:t>改善农村人居环境</w:t>
      </w:r>
      <w:r>
        <w:rPr>
          <w:rFonts w:hint="eastAsia" w:ascii="Times New Roman" w:hAnsi="Times New Roman" w:eastAsia="仿宋_GB2312" w:cs="仿宋_GB2312"/>
          <w:color w:val="000000"/>
          <w:sz w:val="32"/>
          <w:szCs w:val="32"/>
          <w:lang w:val="en-US" w:eastAsia="zh-CN"/>
        </w:rPr>
        <w:t>，每村新增配备1辆压缩垃圾运输车、</w:t>
      </w:r>
      <w:r>
        <w:rPr>
          <w:rFonts w:hint="default" w:ascii="Times New Roman" w:hAnsi="Times New Roman" w:eastAsia="仿宋_GB2312" w:cs="仿宋_GB2312"/>
          <w:color w:val="000000"/>
          <w:sz w:val="32"/>
          <w:szCs w:val="32"/>
          <w:lang w:val="en-US" w:eastAsia="zh-CN"/>
        </w:rPr>
        <w:t>新增</w:t>
      </w:r>
      <w:r>
        <w:rPr>
          <w:rFonts w:hint="eastAsia" w:ascii="Times New Roman" w:hAnsi="Times New Roman" w:eastAsia="仿宋_GB2312" w:cs="仿宋_GB2312"/>
          <w:color w:val="000000"/>
          <w:sz w:val="32"/>
          <w:szCs w:val="32"/>
          <w:lang w:val="en-US" w:eastAsia="zh-CN"/>
        </w:rPr>
        <w:t>5个</w:t>
      </w:r>
      <w:r>
        <w:rPr>
          <w:rFonts w:hint="default" w:ascii="Times New Roman" w:hAnsi="Times New Roman" w:eastAsia="仿宋_GB2312" w:cs="仿宋_GB2312"/>
          <w:color w:val="000000"/>
          <w:sz w:val="32"/>
          <w:szCs w:val="32"/>
          <w:lang w:val="en-US" w:eastAsia="zh-CN"/>
        </w:rPr>
        <w:t>垃圾分类收集箱，</w:t>
      </w:r>
      <w:r>
        <w:rPr>
          <w:rFonts w:hint="eastAsia" w:ascii="Times New Roman" w:hAnsi="Times New Roman" w:eastAsia="仿宋_GB2312" w:cs="仿宋_GB2312"/>
          <w:color w:val="000000"/>
          <w:sz w:val="32"/>
          <w:szCs w:val="32"/>
          <w:lang w:val="en-US" w:eastAsia="zh-CN"/>
        </w:rPr>
        <w:t>且</w:t>
      </w:r>
      <w:r>
        <w:rPr>
          <w:rFonts w:hint="default" w:ascii="Times New Roman" w:hAnsi="Times New Roman" w:eastAsia="仿宋_GB2312" w:cs="仿宋_GB2312"/>
          <w:color w:val="000000"/>
          <w:sz w:val="32"/>
          <w:szCs w:val="32"/>
          <w:lang w:val="en-US" w:eastAsia="zh-CN"/>
        </w:rPr>
        <w:t>配备1名保洁员</w:t>
      </w:r>
      <w:r>
        <w:rPr>
          <w:rFonts w:hint="eastAsia" w:ascii="Times New Roman" w:hAnsi="Times New Roman" w:eastAsia="仿宋_GB2312" w:cs="仿宋_GB2312"/>
          <w:color w:val="000000"/>
          <w:sz w:val="32"/>
          <w:szCs w:val="32"/>
          <w:lang w:val="en-US" w:eastAsia="zh-CN"/>
        </w:rPr>
        <w:t>专职管理。</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3.提升治理效能。</w:t>
      </w:r>
      <w:r>
        <w:rPr>
          <w:rFonts w:hint="default" w:ascii="Times New Roman" w:hAnsi="Times New Roman" w:eastAsia="仿宋_GB2312" w:cs="仿宋_GB2312"/>
          <w:color w:val="000000"/>
          <w:sz w:val="32"/>
          <w:szCs w:val="32"/>
          <w:lang w:val="en-US" w:eastAsia="zh-CN"/>
        </w:rPr>
        <w:t>深化“微网实格”治理</w:t>
      </w:r>
      <w:r>
        <w:rPr>
          <w:rFonts w:hint="eastAsia" w:ascii="Times New Roman" w:hAnsi="Times New Roman" w:eastAsia="仿宋_GB2312" w:cs="仿宋_GB2312"/>
          <w:color w:val="000000"/>
          <w:sz w:val="32"/>
          <w:szCs w:val="32"/>
          <w:lang w:val="en-US" w:eastAsia="zh-CN"/>
        </w:rPr>
        <w:t>，</w:t>
      </w:r>
      <w:r>
        <w:rPr>
          <w:rFonts w:hint="default" w:ascii="Times New Roman" w:hAnsi="Times New Roman" w:eastAsia="仿宋_GB2312" w:cs="仿宋_GB2312"/>
          <w:color w:val="000000"/>
          <w:sz w:val="32"/>
          <w:szCs w:val="32"/>
          <w:lang w:val="en-US" w:eastAsia="zh-CN"/>
        </w:rPr>
        <w:t>优化网格设置，充实队伍并开展</w:t>
      </w:r>
      <w:r>
        <w:rPr>
          <w:rFonts w:hint="eastAsia" w:ascii="Times New Roman" w:hAnsi="Times New Roman" w:eastAsia="仿宋_GB2312" w:cs="仿宋_GB2312"/>
          <w:color w:val="000000"/>
          <w:sz w:val="32"/>
          <w:szCs w:val="32"/>
          <w:lang w:val="en-US" w:eastAsia="zh-CN"/>
        </w:rPr>
        <w:t>4次网格化业务</w:t>
      </w:r>
      <w:r>
        <w:rPr>
          <w:rFonts w:hint="default" w:ascii="Times New Roman" w:hAnsi="Times New Roman" w:eastAsia="仿宋_GB2312" w:cs="仿宋_GB2312"/>
          <w:color w:val="000000"/>
          <w:sz w:val="32"/>
          <w:szCs w:val="32"/>
          <w:lang w:val="en-US" w:eastAsia="zh-CN"/>
        </w:rPr>
        <w:t>培训</w:t>
      </w:r>
      <w:r>
        <w:rPr>
          <w:rFonts w:hint="eastAsia" w:ascii="Times New Roman" w:hAnsi="Times New Roman" w:eastAsia="仿宋_GB2312" w:cs="仿宋_GB2312"/>
          <w:color w:val="000000"/>
          <w:sz w:val="32"/>
          <w:szCs w:val="32"/>
          <w:lang w:val="en-US" w:eastAsia="zh-CN"/>
        </w:rPr>
        <w:t>，网格工作人员至少参加2次网格化业务培训</w:t>
      </w:r>
      <w:r>
        <w:rPr>
          <w:rFonts w:hint="default" w:ascii="Times New Roman" w:hAnsi="Times New Roman" w:eastAsia="仿宋_GB2312" w:cs="仿宋_GB2312"/>
          <w:color w:val="000000"/>
          <w:sz w:val="32"/>
          <w:szCs w:val="32"/>
          <w:lang w:val="en-US" w:eastAsia="zh-CN"/>
        </w:rPr>
        <w:t>；依托“雪亮工程”巡逻</w:t>
      </w:r>
      <w:r>
        <w:rPr>
          <w:rFonts w:hint="eastAsia" w:ascii="Times New Roman" w:hAnsi="Times New Roman" w:eastAsia="仿宋_GB2312" w:cs="仿宋_GB2312"/>
          <w:color w:val="000000"/>
          <w:sz w:val="32"/>
          <w:szCs w:val="32"/>
          <w:lang w:val="en-US" w:eastAsia="zh-CN"/>
        </w:rPr>
        <w:t>+线下巡逻队巡逻优势</w:t>
      </w:r>
      <w:r>
        <w:rPr>
          <w:rFonts w:hint="default" w:ascii="Times New Roman" w:hAnsi="Times New Roman" w:eastAsia="仿宋_GB2312" w:cs="仿宋_GB2312"/>
          <w:color w:val="000000"/>
          <w:sz w:val="32"/>
          <w:szCs w:val="32"/>
          <w:lang w:val="en-US" w:eastAsia="zh-CN"/>
        </w:rPr>
        <w:t>，</w:t>
      </w:r>
      <w:r>
        <w:rPr>
          <w:rFonts w:hint="eastAsia" w:ascii="Times New Roman" w:hAnsi="Times New Roman" w:eastAsia="仿宋_GB2312" w:cs="仿宋_GB2312"/>
          <w:color w:val="000000"/>
          <w:sz w:val="32"/>
          <w:szCs w:val="32"/>
          <w:lang w:val="en-US" w:eastAsia="zh-CN"/>
        </w:rPr>
        <w:t>力争</w:t>
      </w:r>
      <w:r>
        <w:rPr>
          <w:rFonts w:hint="default" w:ascii="Times New Roman" w:hAnsi="Times New Roman" w:eastAsia="仿宋_GB2312" w:cs="仿宋_GB2312"/>
          <w:color w:val="000000"/>
          <w:sz w:val="32"/>
          <w:szCs w:val="32"/>
          <w:lang w:val="en-US" w:eastAsia="zh-CN"/>
        </w:rPr>
        <w:t>矛盾化解率达到9</w:t>
      </w:r>
      <w:r>
        <w:rPr>
          <w:rFonts w:hint="eastAsia" w:ascii="Times New Roman" w:hAnsi="Times New Roman" w:eastAsia="仿宋_GB2312" w:cs="仿宋_GB2312"/>
          <w:color w:val="000000"/>
          <w:sz w:val="32"/>
          <w:szCs w:val="32"/>
          <w:lang w:val="en-US" w:eastAsia="zh-CN"/>
        </w:rPr>
        <w:t>8.5</w:t>
      </w:r>
      <w:r>
        <w:rPr>
          <w:rFonts w:hint="default" w:ascii="Times New Roman" w:hAnsi="Times New Roman" w:eastAsia="仿宋_GB2312" w:cs="仿宋_GB2312"/>
          <w:color w:val="000000"/>
          <w:sz w:val="32"/>
          <w:szCs w:val="32"/>
          <w:lang w:val="en-US" w:eastAsia="zh-CN"/>
        </w:rPr>
        <w:t>%以上；</w:t>
      </w:r>
      <w:r>
        <w:rPr>
          <w:rFonts w:hint="eastAsia" w:ascii="Times New Roman" w:hAnsi="Times New Roman" w:eastAsia="仿宋_GB2312" w:cs="仿宋_GB2312"/>
          <w:color w:val="000000"/>
          <w:sz w:val="32"/>
          <w:szCs w:val="32"/>
          <w:lang w:val="en-US" w:eastAsia="zh-CN"/>
        </w:rPr>
        <w:t>认真</w:t>
      </w:r>
      <w:r>
        <w:rPr>
          <w:rFonts w:hint="default" w:ascii="Times New Roman" w:hAnsi="Times New Roman" w:eastAsia="仿宋_GB2312" w:cs="仿宋_GB2312"/>
          <w:color w:val="000000"/>
          <w:sz w:val="32"/>
          <w:szCs w:val="32"/>
          <w:lang w:val="en-US" w:eastAsia="zh-CN"/>
        </w:rPr>
        <w:t>落实“三个避让”“三个紧急撤离”要求，排查地灾、汛灾隐患并组织</w:t>
      </w:r>
      <w:r>
        <w:rPr>
          <w:rFonts w:hint="eastAsia" w:ascii="Times New Roman" w:hAnsi="Times New Roman" w:eastAsia="仿宋_GB2312" w:cs="仿宋_GB2312"/>
          <w:color w:val="000000"/>
          <w:sz w:val="32"/>
          <w:szCs w:val="32"/>
          <w:lang w:val="en-US" w:eastAsia="zh-CN"/>
        </w:rPr>
        <w:t>干群</w:t>
      </w:r>
      <w:r>
        <w:rPr>
          <w:rFonts w:hint="default" w:ascii="Times New Roman" w:hAnsi="Times New Roman" w:eastAsia="仿宋_GB2312" w:cs="仿宋_GB2312"/>
          <w:color w:val="000000"/>
          <w:sz w:val="32"/>
          <w:szCs w:val="32"/>
          <w:lang w:val="en-US" w:eastAsia="zh-CN"/>
        </w:rPr>
        <w:t>演练</w:t>
      </w:r>
      <w:r>
        <w:rPr>
          <w:rFonts w:hint="eastAsia" w:ascii="Times New Roman" w:hAnsi="Times New Roman" w:eastAsia="仿宋_GB2312" w:cs="仿宋_GB2312"/>
          <w:color w:val="000000"/>
          <w:sz w:val="32"/>
          <w:szCs w:val="32"/>
          <w:lang w:val="en-US" w:eastAsia="zh-CN"/>
        </w:rPr>
        <w:t>次数不少于3次</w:t>
      </w:r>
      <w:r>
        <w:rPr>
          <w:rFonts w:hint="default" w:ascii="Times New Roman" w:hAnsi="Times New Roman" w:eastAsia="仿宋_GB2312" w:cs="仿宋_GB2312"/>
          <w:color w:val="000000"/>
          <w:sz w:val="32"/>
          <w:szCs w:val="32"/>
          <w:lang w:val="en-US" w:eastAsia="zh-CN"/>
        </w:rPr>
        <w:t>；强化森林草原防灭火宣传与设施配备</w:t>
      </w:r>
      <w:r>
        <w:rPr>
          <w:rFonts w:hint="eastAsia" w:ascii="Times New Roman" w:hAnsi="Times New Roman" w:eastAsia="仿宋_GB2312" w:cs="仿宋_GB2312"/>
          <w:color w:val="000000"/>
          <w:sz w:val="32"/>
          <w:szCs w:val="32"/>
          <w:lang w:val="en-US" w:eastAsia="zh-CN"/>
        </w:rPr>
        <w:t>培训，全体扑火队员、乡村干部能正确使用救援设施设备</w:t>
      </w:r>
      <w:r>
        <w:rPr>
          <w:rFonts w:hint="default" w:ascii="Times New Roman" w:hAnsi="Times New Roman" w:eastAsia="仿宋_GB2312" w:cs="仿宋_GB2312"/>
          <w:color w:val="000000"/>
          <w:sz w:val="32"/>
          <w:szCs w:val="32"/>
          <w:lang w:val="en-US" w:eastAsia="zh-CN"/>
        </w:rPr>
        <w:t>；检查九小场所、在建项目，确保</w:t>
      </w:r>
      <w:r>
        <w:rPr>
          <w:rFonts w:hint="eastAsia" w:ascii="Times New Roman" w:hAnsi="Times New Roman" w:eastAsia="仿宋_GB2312" w:cs="仿宋_GB2312"/>
          <w:color w:val="000000"/>
          <w:sz w:val="32"/>
          <w:szCs w:val="32"/>
          <w:lang w:val="en-US" w:eastAsia="zh-CN"/>
        </w:rPr>
        <w:t>零</w:t>
      </w:r>
      <w:r>
        <w:rPr>
          <w:rFonts w:hint="default" w:ascii="Times New Roman" w:hAnsi="Times New Roman" w:eastAsia="仿宋_GB2312" w:cs="仿宋_GB2312"/>
          <w:color w:val="000000"/>
          <w:sz w:val="32"/>
          <w:szCs w:val="32"/>
          <w:lang w:val="en-US" w:eastAsia="zh-CN"/>
        </w:rPr>
        <w:t>事故</w:t>
      </w:r>
      <w:r>
        <w:rPr>
          <w:rFonts w:hint="eastAsia" w:ascii="Times New Roman" w:hAnsi="Times New Roman" w:eastAsia="仿宋_GB2312" w:cs="仿宋_GB2312"/>
          <w:color w:val="000000"/>
          <w:sz w:val="32"/>
          <w:szCs w:val="32"/>
          <w:lang w:val="en-US" w:eastAsia="zh-CN"/>
        </w:rPr>
        <w:t>；推动平安家园创建、平安寺庙创建，力争五村均成功创建平安家园、两寺庙一学经点成功创建平安寺庙。</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outlineLvl w:val="1"/>
        <w:rPr>
          <w:rFonts w:hint="eastAsia" w:ascii="楷体_GB2312" w:hAnsi="楷体_GB2312" w:eastAsia="楷体_GB2312" w:cs="楷体_GB2312"/>
          <w:bCs/>
          <w:kern w:val="2"/>
          <w:sz w:val="32"/>
          <w:szCs w:val="32"/>
          <w:lang w:val="en-US" w:eastAsia="zh-CN" w:bidi="ar-SA"/>
        </w:rPr>
      </w:pPr>
      <w:bookmarkStart w:id="8" w:name="_Toc19621"/>
      <w:r>
        <w:rPr>
          <w:rFonts w:hint="eastAsia" w:ascii="楷体_GB2312" w:hAnsi="楷体_GB2312" w:eastAsia="楷体_GB2312" w:cs="楷体_GB2312"/>
          <w:bCs/>
          <w:kern w:val="2"/>
          <w:sz w:val="32"/>
          <w:szCs w:val="32"/>
          <w:lang w:val="en-US" w:eastAsia="zh-CN" w:bidi="ar-SA"/>
        </w:rPr>
        <w:t>（三）保障措施</w:t>
      </w:r>
      <w:bookmarkEnd w:id="8"/>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3" w:firstLineChars="200"/>
        <w:jc w:val="both"/>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1.加强组织领导。</w:t>
      </w:r>
      <w:r>
        <w:rPr>
          <w:rFonts w:hint="eastAsia" w:ascii="Times New Roman" w:hAnsi="Times New Roman" w:eastAsia="仿宋_GB2312" w:cs="仿宋_GB2312"/>
          <w:color w:val="000000"/>
          <w:sz w:val="32"/>
          <w:szCs w:val="32"/>
          <w:lang w:val="en-US" w:eastAsia="zh-CN"/>
        </w:rPr>
        <w:t>成立上壤塘乡“十五五”规划实施工作领导小组，由乡党委、政府主要负责同志任组长，统筹推进规划实施；建立目标责任体系，将规划确定的主要指标和重点任务分解到各班子成员、各村，明确责任主体和完成时限。</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3" w:firstLineChars="200"/>
        <w:jc w:val="both"/>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2.强化要素保障。</w:t>
      </w:r>
      <w:r>
        <w:rPr>
          <w:rFonts w:hint="eastAsia" w:ascii="Times New Roman" w:hAnsi="Times New Roman" w:eastAsia="仿宋_GB2312" w:cs="仿宋_GB2312"/>
          <w:color w:val="000000"/>
          <w:sz w:val="32"/>
          <w:szCs w:val="32"/>
          <w:lang w:val="en-US" w:eastAsia="zh-CN"/>
        </w:rPr>
        <w:t>争取中央、省、州专项资金、专项政策投向文旅、产业等领域；规范村集体经济资金使用，年内开展2次督查；引导社会资本参与畜牧产业、非遗文化产业开发；严格落实财务制度与资金审计，确保规范高效。​</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both"/>
        <w:textAlignment w:val="auto"/>
        <w:rPr>
          <w:rFonts w:hint="eastAsia" w:ascii="Times New Roman" w:hAnsi="Times New Roman" w:eastAsia="仿宋_GB2312" w:cs="仿宋_GB2312"/>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3</w:t>
      </w:r>
      <w:r>
        <w:rPr>
          <w:rFonts w:hint="default" w:ascii="Times New Roman" w:hAnsi="Times New Roman" w:eastAsia="仿宋_GB2312" w:cs="Times New Roman"/>
          <w:b/>
          <w:bCs/>
          <w:color w:val="000000"/>
          <w:sz w:val="32"/>
          <w:szCs w:val="32"/>
          <w:lang w:val="en-US" w:eastAsia="zh-CN"/>
        </w:rPr>
        <w:t>.强化人才保障</w:t>
      </w:r>
      <w:r>
        <w:rPr>
          <w:rFonts w:hint="eastAsia" w:ascii="Times New Roman" w:hAnsi="Times New Roman" w:eastAsia="仿宋_GB2312" w:cs="Times New Roman"/>
          <w:b/>
          <w:bCs/>
          <w:color w:val="000000"/>
          <w:sz w:val="32"/>
          <w:szCs w:val="32"/>
          <w:lang w:val="en-US" w:eastAsia="zh-CN"/>
        </w:rPr>
        <w:t>。</w:t>
      </w:r>
      <w:r>
        <w:rPr>
          <w:rFonts w:hint="default" w:ascii="Times New Roman" w:hAnsi="Times New Roman" w:eastAsia="仿宋_GB2312" w:cs="Times New Roman"/>
          <w:b w:val="0"/>
          <w:bCs w:val="0"/>
          <w:color w:val="000000"/>
          <w:sz w:val="32"/>
          <w:szCs w:val="32"/>
          <w:lang w:val="en-US" w:eastAsia="zh-CN"/>
        </w:rPr>
        <w:t>实施“人才回引”计划，给予创业补贴；邀请专家开展培训，培养</w:t>
      </w:r>
      <w:r>
        <w:rPr>
          <w:rFonts w:hint="eastAsia" w:ascii="Times New Roman" w:hAnsi="Times New Roman" w:eastAsia="仿宋_GB2312" w:cs="Times New Roman"/>
          <w:b w:val="0"/>
          <w:bCs w:val="0"/>
          <w:color w:val="000000"/>
          <w:sz w:val="32"/>
          <w:szCs w:val="32"/>
          <w:lang w:val="en-US" w:eastAsia="zh-CN"/>
        </w:rPr>
        <w:t>畜牧</w:t>
      </w:r>
      <w:r>
        <w:rPr>
          <w:rFonts w:hint="default" w:ascii="Times New Roman" w:hAnsi="Times New Roman" w:eastAsia="仿宋_GB2312" w:cs="Times New Roman"/>
          <w:b w:val="0"/>
          <w:bCs w:val="0"/>
          <w:color w:val="000000"/>
          <w:sz w:val="32"/>
          <w:szCs w:val="32"/>
          <w:lang w:val="en-US" w:eastAsia="zh-CN"/>
        </w:rPr>
        <w:t>产业</w:t>
      </w:r>
      <w:r>
        <w:rPr>
          <w:rFonts w:hint="eastAsia" w:ascii="Times New Roman" w:hAnsi="Times New Roman" w:eastAsia="仿宋_GB2312" w:cs="Times New Roman"/>
          <w:b w:val="0"/>
          <w:bCs w:val="0"/>
          <w:color w:val="000000"/>
          <w:sz w:val="32"/>
          <w:szCs w:val="32"/>
          <w:lang w:val="en-US" w:eastAsia="zh-CN"/>
        </w:rPr>
        <w:t>、非遗文化产业</w:t>
      </w:r>
      <w:r>
        <w:rPr>
          <w:rFonts w:hint="default" w:ascii="Times New Roman" w:hAnsi="Times New Roman" w:eastAsia="仿宋_GB2312" w:cs="Times New Roman"/>
          <w:b w:val="0"/>
          <w:bCs w:val="0"/>
          <w:color w:val="000000"/>
          <w:sz w:val="32"/>
          <w:szCs w:val="32"/>
          <w:lang w:val="en-US" w:eastAsia="zh-CN"/>
        </w:rPr>
        <w:t>与</w:t>
      </w:r>
      <w:r>
        <w:rPr>
          <w:rFonts w:hint="eastAsia" w:ascii="Times New Roman" w:hAnsi="Times New Roman" w:eastAsia="仿宋_GB2312" w:cs="Times New Roman"/>
          <w:b w:val="0"/>
          <w:bCs w:val="0"/>
          <w:color w:val="000000"/>
          <w:sz w:val="32"/>
          <w:szCs w:val="32"/>
          <w:lang w:val="en-US" w:eastAsia="zh-CN"/>
        </w:rPr>
        <w:t>高原生态</w:t>
      </w:r>
      <w:r>
        <w:rPr>
          <w:rFonts w:hint="default" w:ascii="Times New Roman" w:hAnsi="Times New Roman" w:eastAsia="仿宋_GB2312" w:cs="Times New Roman"/>
          <w:b w:val="0"/>
          <w:bCs w:val="0"/>
          <w:color w:val="000000"/>
          <w:sz w:val="32"/>
          <w:szCs w:val="32"/>
          <w:lang w:val="en-US" w:eastAsia="zh-CN"/>
        </w:rPr>
        <w:t>文旅</w:t>
      </w:r>
      <w:r>
        <w:rPr>
          <w:rFonts w:hint="eastAsia" w:ascii="Times New Roman" w:hAnsi="Times New Roman" w:eastAsia="仿宋_GB2312" w:cs="Times New Roman"/>
          <w:b w:val="0"/>
          <w:bCs w:val="0"/>
          <w:color w:val="000000"/>
          <w:sz w:val="32"/>
          <w:szCs w:val="32"/>
          <w:lang w:val="en-US" w:eastAsia="zh-CN"/>
        </w:rPr>
        <w:t>产业</w:t>
      </w:r>
      <w:r>
        <w:rPr>
          <w:rFonts w:hint="default" w:ascii="Times New Roman" w:hAnsi="Times New Roman" w:eastAsia="仿宋_GB2312" w:cs="Times New Roman"/>
          <w:b w:val="0"/>
          <w:bCs w:val="0"/>
          <w:color w:val="000000"/>
          <w:sz w:val="32"/>
          <w:szCs w:val="32"/>
          <w:lang w:val="en-US" w:eastAsia="zh-CN"/>
        </w:rPr>
        <w:t>人才；建立</w:t>
      </w:r>
      <w:r>
        <w:rPr>
          <w:rFonts w:hint="eastAsia" w:ascii="Times New Roman" w:hAnsi="Times New Roman" w:eastAsia="仿宋_GB2312" w:cs="Times New Roman"/>
          <w:b w:val="0"/>
          <w:bCs w:val="0"/>
          <w:color w:val="000000"/>
          <w:sz w:val="32"/>
          <w:szCs w:val="32"/>
          <w:lang w:val="en-US" w:eastAsia="zh-CN"/>
        </w:rPr>
        <w:t>健全</w:t>
      </w:r>
      <w:r>
        <w:rPr>
          <w:rFonts w:hint="default" w:ascii="Times New Roman" w:hAnsi="Times New Roman" w:eastAsia="仿宋_GB2312" w:cs="Times New Roman"/>
          <w:b w:val="0"/>
          <w:bCs w:val="0"/>
          <w:color w:val="000000"/>
          <w:sz w:val="32"/>
          <w:szCs w:val="32"/>
          <w:lang w:val="en-US" w:eastAsia="zh-CN"/>
        </w:rPr>
        <w:t>“传帮带”机制；优化住房、医疗</w:t>
      </w:r>
      <w:r>
        <w:rPr>
          <w:rFonts w:hint="eastAsia" w:ascii="Times New Roman" w:hAnsi="Times New Roman" w:eastAsia="仿宋_GB2312" w:cs="Times New Roman"/>
          <w:b w:val="0"/>
          <w:bCs w:val="0"/>
          <w:color w:val="000000"/>
          <w:sz w:val="32"/>
          <w:szCs w:val="32"/>
          <w:lang w:val="en-US" w:eastAsia="zh-CN"/>
        </w:rPr>
        <w:t>、交通</w:t>
      </w:r>
      <w:r>
        <w:rPr>
          <w:rFonts w:hint="default" w:ascii="Times New Roman" w:hAnsi="Times New Roman" w:eastAsia="仿宋_GB2312" w:cs="Times New Roman"/>
          <w:b w:val="0"/>
          <w:bCs w:val="0"/>
          <w:color w:val="000000"/>
          <w:sz w:val="32"/>
          <w:szCs w:val="32"/>
          <w:lang w:val="en-US" w:eastAsia="zh-CN"/>
        </w:rPr>
        <w:t>等服务，确保</w:t>
      </w:r>
      <w:r>
        <w:rPr>
          <w:rFonts w:hint="eastAsia" w:ascii="Times New Roman" w:hAnsi="Times New Roman" w:eastAsia="仿宋_GB2312" w:cs="Times New Roman"/>
          <w:b w:val="0"/>
          <w:bCs w:val="0"/>
          <w:color w:val="000000"/>
          <w:sz w:val="32"/>
          <w:szCs w:val="32"/>
          <w:lang w:val="en-US" w:eastAsia="zh-CN"/>
        </w:rPr>
        <w:t>外来引进</w:t>
      </w:r>
      <w:r>
        <w:rPr>
          <w:rFonts w:hint="default" w:ascii="Times New Roman" w:hAnsi="Times New Roman" w:eastAsia="仿宋_GB2312" w:cs="Times New Roman"/>
          <w:b w:val="0"/>
          <w:bCs w:val="0"/>
          <w:color w:val="000000"/>
          <w:sz w:val="32"/>
          <w:szCs w:val="32"/>
          <w:lang w:val="en-US" w:eastAsia="zh-CN"/>
        </w:rPr>
        <w:t>人才</w:t>
      </w:r>
      <w:r>
        <w:rPr>
          <w:rFonts w:hint="eastAsia" w:ascii="Times New Roman" w:hAnsi="Times New Roman" w:eastAsia="仿宋_GB2312" w:cs="Times New Roman"/>
          <w:b w:val="0"/>
          <w:bCs w:val="0"/>
          <w:color w:val="000000"/>
          <w:sz w:val="32"/>
          <w:szCs w:val="32"/>
          <w:lang w:val="en-US" w:eastAsia="zh-CN"/>
        </w:rPr>
        <w:t>、本地优秀人才“愿意留、主动留”</w:t>
      </w:r>
      <w:r>
        <w:rPr>
          <w:rFonts w:hint="default" w:ascii="Times New Roman" w:hAnsi="Times New Roman" w:eastAsia="仿宋_GB2312" w:cs="Times New Roman"/>
          <w:b w:val="0"/>
          <w:bCs w:val="0"/>
          <w:color w:val="000000"/>
          <w:sz w:val="32"/>
          <w:szCs w:val="32"/>
          <w:lang w:val="en-US" w:eastAsia="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sz w:val="32"/>
          <w:szCs w:val="32"/>
          <w:lang w:val="en-US" w:eastAsia="zh-CN"/>
        </w:rPr>
      </w:pPr>
      <w:r>
        <w:rPr>
          <w:rFonts w:hint="eastAsia" w:ascii="Times New Roman" w:hAnsi="Times New Roman" w:eastAsia="仿宋_GB2312" w:cs="Times New Roman"/>
          <w:b/>
          <w:bCs/>
          <w:color w:val="000000"/>
          <w:sz w:val="32"/>
          <w:szCs w:val="32"/>
          <w:lang w:val="en-US" w:eastAsia="zh-CN"/>
        </w:rPr>
        <w:t>4.严格督查考核。</w:t>
      </w:r>
      <w:r>
        <w:rPr>
          <w:rFonts w:hint="eastAsia" w:ascii="Times New Roman" w:hAnsi="Times New Roman" w:eastAsia="仿宋_GB2312" w:cs="仿宋_GB2312"/>
          <w:color w:val="000000"/>
          <w:sz w:val="32"/>
          <w:szCs w:val="32"/>
          <w:lang w:val="en-US" w:eastAsia="zh-CN"/>
        </w:rPr>
        <w:t>建立健全规划实施的动态监测、中期评估和总结评估制度，将规划实施情况纳入年度综合考核，强化考核结果运用；加强“两委员一代表”监督、社会监督和舆论监督，确保规划的各项目标任务不折不扣落到实处。</w:t>
      </w:r>
    </w:p>
    <w:p>
      <w:pPr>
        <w:pStyle w:val="2"/>
        <w:bidi w:val="0"/>
        <w:ind w:firstLine="640" w:firstLineChars="200"/>
        <w:outlineLvl w:val="0"/>
        <w:rPr>
          <w:rFonts w:hint="eastAsia"/>
        </w:rPr>
      </w:pPr>
      <w:bookmarkStart w:id="9" w:name="_Toc27748"/>
      <w:bookmarkStart w:id="10" w:name="_Toc3141"/>
      <w:r>
        <w:rPr>
          <w:rFonts w:hint="eastAsia"/>
          <w:lang w:val="en-US" w:eastAsia="zh-CN"/>
        </w:rPr>
        <w:t>二、</w:t>
      </w:r>
      <w:r>
        <w:rPr>
          <w:rFonts w:hint="eastAsia"/>
        </w:rPr>
        <w:t>部门预算单位构成</w:t>
      </w:r>
      <w:bookmarkEnd w:id="9"/>
      <w:bookmarkEnd w:id="10"/>
    </w:p>
    <w:p>
      <w:pPr>
        <w:pStyle w:val="13"/>
        <w:keepNext w:val="0"/>
        <w:keepLines w:val="0"/>
        <w:pageBreakBefore w:val="0"/>
        <w:widowControl w:val="0"/>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olor w:val="auto"/>
          <w:kern w:val="2"/>
          <w:sz w:val="32"/>
          <w:szCs w:val="32"/>
          <w:lang w:eastAsia="zh-CN"/>
        </w:rPr>
        <w:t>壤塘县上壤塘乡人民政府</w:t>
      </w:r>
      <w:r>
        <w:rPr>
          <w:rFonts w:hint="eastAsia" w:ascii="Times New Roman" w:hAnsi="Times New Roman" w:eastAsia="仿宋_GB2312"/>
          <w:color w:val="auto"/>
          <w:kern w:val="2"/>
          <w:sz w:val="32"/>
          <w:szCs w:val="32"/>
        </w:rPr>
        <w:t>属一级预算单位，</w:t>
      </w:r>
      <w:r>
        <w:rPr>
          <w:rFonts w:hint="eastAsia" w:ascii="Times New Roman" w:hAnsi="Times New Roman" w:eastAsia="仿宋_GB2312"/>
          <w:color w:val="auto"/>
          <w:kern w:val="2"/>
          <w:sz w:val="32"/>
          <w:szCs w:val="32"/>
          <w:lang w:val="en-US" w:eastAsia="zh-CN"/>
        </w:rPr>
        <w:t>无</w:t>
      </w:r>
      <w:r>
        <w:rPr>
          <w:rFonts w:hint="eastAsia" w:ascii="Times New Roman" w:hAnsi="Times New Roman" w:eastAsia="仿宋_GB2312"/>
          <w:color w:val="auto"/>
          <w:kern w:val="2"/>
          <w:sz w:val="32"/>
          <w:szCs w:val="32"/>
        </w:rPr>
        <w:t>下属二级预算单位</w:t>
      </w:r>
      <w:r>
        <w:rPr>
          <w:rFonts w:hint="eastAsia" w:ascii="Times New Roman" w:hAnsi="Times New Roman" w:eastAsia="仿宋_GB2312" w:cs="Times New Roman"/>
          <w:color w:val="auto"/>
          <w:kern w:val="2"/>
          <w:sz w:val="32"/>
          <w:szCs w:val="32"/>
          <w:lang w:eastAsia="zh-CN"/>
        </w:rPr>
        <w:t>。</w:t>
      </w:r>
    </w:p>
    <w:p>
      <w:pPr>
        <w:pStyle w:val="2"/>
        <w:bidi w:val="0"/>
        <w:ind w:firstLine="640" w:firstLineChars="200"/>
        <w:outlineLvl w:val="0"/>
        <w:rPr>
          <w:rFonts w:hint="eastAsia"/>
        </w:rPr>
      </w:pPr>
      <w:bookmarkStart w:id="11" w:name="_Toc22581"/>
      <w:bookmarkStart w:id="12" w:name="_Toc8913"/>
      <w:r>
        <w:rPr>
          <w:rFonts w:hint="eastAsia"/>
        </w:rPr>
        <w:t>三、收支预算情况说明</w:t>
      </w:r>
      <w:bookmarkEnd w:id="11"/>
      <w:bookmarkEnd w:id="12"/>
    </w:p>
    <w:p>
      <w:pPr>
        <w:pStyle w:val="13"/>
        <w:keepNext w:val="0"/>
        <w:keepLines w:val="0"/>
        <w:pageBreakBefore w:val="0"/>
        <w:widowControl w:val="0"/>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olor w:val="auto"/>
          <w:kern w:val="2"/>
          <w:sz w:val="32"/>
          <w:szCs w:val="32"/>
          <w:lang w:eastAsia="zh-CN"/>
        </w:rPr>
      </w:pPr>
      <w:r>
        <w:rPr>
          <w:rFonts w:hint="eastAsia" w:ascii="Times New Roman" w:hAnsi="Times New Roman" w:eastAsia="仿宋_GB2312"/>
          <w:color w:val="auto"/>
          <w:kern w:val="2"/>
          <w:sz w:val="32"/>
          <w:szCs w:val="32"/>
        </w:rPr>
        <w:t>按照综合预算的原则，</w:t>
      </w:r>
      <w:r>
        <w:rPr>
          <w:rFonts w:hint="eastAsia" w:ascii="Times New Roman" w:hAnsi="Times New Roman" w:eastAsia="仿宋_GB2312"/>
          <w:color w:val="auto"/>
          <w:kern w:val="2"/>
          <w:sz w:val="32"/>
          <w:szCs w:val="32"/>
          <w:lang w:eastAsia="zh-CN"/>
        </w:rPr>
        <w:t>壤塘县上壤塘乡人民政府</w:t>
      </w:r>
      <w:r>
        <w:rPr>
          <w:rFonts w:hint="eastAsia" w:ascii="Times New Roman" w:hAnsi="Times New Roman" w:eastAsia="仿宋_GB2312"/>
          <w:color w:val="auto"/>
          <w:kern w:val="2"/>
          <w:sz w:val="32"/>
          <w:szCs w:val="32"/>
        </w:rPr>
        <w:t>所有收入和支出均纳入部门预算管理。收入包括：</w:t>
      </w:r>
      <w:r>
        <w:rPr>
          <w:rFonts w:hint="eastAsia" w:ascii="Times New Roman" w:hAnsi="Times New Roman" w:eastAsia="仿宋_GB2312"/>
          <w:color w:val="auto"/>
          <w:kern w:val="2"/>
          <w:sz w:val="32"/>
          <w:szCs w:val="32"/>
          <w:lang w:eastAsia="zh-CN"/>
        </w:rPr>
        <w:t>一般公共预算拨款</w:t>
      </w:r>
      <w:r>
        <w:rPr>
          <w:rFonts w:hint="eastAsia" w:ascii="Times New Roman" w:hAnsi="Times New Roman" w:eastAsia="仿宋_GB2312"/>
          <w:color w:val="auto"/>
          <w:kern w:val="2"/>
          <w:sz w:val="32"/>
          <w:szCs w:val="32"/>
        </w:rPr>
        <w:t>收入</w:t>
      </w:r>
      <w:r>
        <w:rPr>
          <w:rFonts w:hint="eastAsia" w:ascii="Times New Roman" w:hAnsi="Times New Roman" w:eastAsia="仿宋_GB2312"/>
          <w:color w:val="auto"/>
          <w:kern w:val="2"/>
          <w:sz w:val="32"/>
          <w:szCs w:val="32"/>
          <w:lang w:val="en-US" w:eastAsia="zh-CN"/>
        </w:rPr>
        <w:t>1099.93</w:t>
      </w:r>
      <w:r>
        <w:rPr>
          <w:rFonts w:hint="eastAsia" w:ascii="Times New Roman" w:hAnsi="Times New Roman" w:eastAsia="仿宋_GB2312"/>
          <w:color w:val="auto"/>
          <w:kern w:val="2"/>
          <w:sz w:val="32"/>
          <w:szCs w:val="32"/>
        </w:rPr>
        <w:t>万元，事业收入</w:t>
      </w:r>
      <w:r>
        <w:rPr>
          <w:rFonts w:hint="eastAsia" w:ascii="Times New Roman" w:hAnsi="Times New Roman" w:eastAsia="仿宋_GB2312" w:cs="Times New Roman"/>
          <w:color w:val="auto"/>
          <w:kern w:val="2"/>
          <w:sz w:val="32"/>
          <w:szCs w:val="32"/>
          <w:lang w:val="en-US" w:eastAsia="zh-CN"/>
        </w:rPr>
        <w:t>0</w:t>
      </w:r>
      <w:r>
        <w:rPr>
          <w:rFonts w:hint="eastAsia" w:ascii="Times New Roman" w:hAnsi="Times New Roman" w:eastAsia="仿宋_GB2312"/>
          <w:color w:val="auto"/>
          <w:kern w:val="2"/>
          <w:sz w:val="32"/>
          <w:szCs w:val="32"/>
        </w:rPr>
        <w:t>万元，其他收入</w:t>
      </w:r>
      <w:r>
        <w:rPr>
          <w:rFonts w:hint="eastAsia" w:ascii="Times New Roman" w:hAnsi="Times New Roman" w:eastAsia="仿宋_GB2312" w:cs="Times New Roman"/>
          <w:color w:val="auto"/>
          <w:kern w:val="2"/>
          <w:sz w:val="32"/>
          <w:szCs w:val="32"/>
          <w:lang w:val="en-US" w:eastAsia="zh-CN"/>
        </w:rPr>
        <w:t>0</w:t>
      </w:r>
      <w:r>
        <w:rPr>
          <w:rFonts w:hint="eastAsia" w:ascii="Times New Roman" w:hAnsi="Times New Roman" w:eastAsia="仿宋_GB2312"/>
          <w:color w:val="auto"/>
          <w:kern w:val="2"/>
          <w:sz w:val="32"/>
          <w:szCs w:val="32"/>
        </w:rPr>
        <w:t>万元，上年结转</w:t>
      </w:r>
      <w:r>
        <w:rPr>
          <w:rFonts w:hint="eastAsia" w:ascii="Times New Roman" w:hAnsi="Times New Roman" w:eastAsia="仿宋_GB2312" w:cs="Times New Roman"/>
          <w:color w:val="auto"/>
          <w:kern w:val="2"/>
          <w:sz w:val="32"/>
          <w:szCs w:val="32"/>
          <w:lang w:val="en-US" w:eastAsia="zh-CN"/>
        </w:rPr>
        <w:t>0</w:t>
      </w:r>
      <w:r>
        <w:rPr>
          <w:rFonts w:hint="eastAsia" w:ascii="Times New Roman" w:hAnsi="Times New Roman" w:eastAsia="仿宋_GB2312"/>
          <w:color w:val="auto"/>
          <w:kern w:val="2"/>
          <w:sz w:val="32"/>
          <w:szCs w:val="32"/>
        </w:rPr>
        <w:t>万元；支出包括：一般公共服务支出</w:t>
      </w:r>
      <w:r>
        <w:rPr>
          <w:rFonts w:hint="eastAsia" w:ascii="Times New Roman" w:hAnsi="Times New Roman" w:eastAsia="仿宋_GB2312"/>
          <w:color w:val="auto"/>
          <w:kern w:val="2"/>
          <w:sz w:val="32"/>
          <w:szCs w:val="32"/>
          <w:lang w:val="en-US" w:eastAsia="zh-CN"/>
        </w:rPr>
        <w:t>562.32</w:t>
      </w:r>
      <w:r>
        <w:rPr>
          <w:rFonts w:hint="eastAsia" w:ascii="Times New Roman" w:hAnsi="Times New Roman" w:eastAsia="仿宋_GB2312"/>
          <w:color w:val="auto"/>
          <w:kern w:val="2"/>
          <w:sz w:val="32"/>
          <w:szCs w:val="32"/>
        </w:rPr>
        <w:t>万元，社会保障和就业支出</w:t>
      </w:r>
      <w:r>
        <w:rPr>
          <w:rFonts w:hint="eastAsia" w:ascii="Times New Roman" w:hAnsi="Times New Roman" w:eastAsia="仿宋_GB2312" w:cs="Times New Roman"/>
          <w:color w:val="auto"/>
          <w:kern w:val="2"/>
          <w:sz w:val="32"/>
          <w:szCs w:val="32"/>
          <w:lang w:val="en-US" w:eastAsia="zh-CN"/>
        </w:rPr>
        <w:t>124.28</w:t>
      </w:r>
      <w:r>
        <w:rPr>
          <w:rFonts w:hint="eastAsia" w:ascii="Times New Roman" w:hAnsi="Times New Roman" w:eastAsia="仿宋_GB2312"/>
          <w:color w:val="auto"/>
          <w:kern w:val="2"/>
          <w:sz w:val="32"/>
          <w:szCs w:val="32"/>
        </w:rPr>
        <w:t>万元，</w:t>
      </w:r>
      <w:r>
        <w:rPr>
          <w:rFonts w:hint="eastAsia" w:ascii="Times New Roman" w:hAnsi="Times New Roman" w:eastAsia="仿宋_GB2312"/>
          <w:color w:val="auto"/>
          <w:kern w:val="2"/>
          <w:sz w:val="32"/>
          <w:szCs w:val="32"/>
          <w:lang w:val="en-US" w:eastAsia="zh-CN"/>
        </w:rPr>
        <w:t>卫生健康支出43.83万元，农林水支出299.81万元，</w:t>
      </w:r>
      <w:r>
        <w:rPr>
          <w:rFonts w:hint="eastAsia" w:ascii="Times New Roman" w:hAnsi="Times New Roman" w:eastAsia="仿宋_GB2312"/>
          <w:color w:val="auto"/>
          <w:kern w:val="2"/>
          <w:sz w:val="32"/>
          <w:szCs w:val="32"/>
        </w:rPr>
        <w:t>住房保障支出</w:t>
      </w:r>
      <w:r>
        <w:rPr>
          <w:rFonts w:hint="eastAsia" w:ascii="Times New Roman" w:hAnsi="Times New Roman" w:eastAsia="仿宋_GB2312" w:cs="Times New Roman"/>
          <w:color w:val="auto"/>
          <w:kern w:val="2"/>
          <w:sz w:val="32"/>
          <w:szCs w:val="32"/>
          <w:lang w:val="en-US" w:eastAsia="zh-CN"/>
        </w:rPr>
        <w:t>69.69</w:t>
      </w:r>
      <w:r>
        <w:rPr>
          <w:rFonts w:hint="eastAsia" w:ascii="Times New Roman" w:hAnsi="Times New Roman" w:eastAsia="仿宋_GB2312"/>
          <w:color w:val="auto"/>
          <w:kern w:val="2"/>
          <w:sz w:val="32"/>
          <w:szCs w:val="32"/>
        </w:rPr>
        <w:t>万元。</w:t>
      </w:r>
      <w:r>
        <w:rPr>
          <w:rFonts w:hint="eastAsia" w:ascii="Times New Roman" w:hAnsi="Times New Roman" w:eastAsia="仿宋_GB2312"/>
          <w:color w:val="auto"/>
          <w:kern w:val="2"/>
          <w:sz w:val="32"/>
          <w:szCs w:val="32"/>
          <w:lang w:eastAsia="zh-CN"/>
        </w:rPr>
        <w:t>壤塘县上壤塘乡人民政府</w:t>
      </w:r>
      <w:r>
        <w:rPr>
          <w:rFonts w:hint="eastAsia" w:ascii="Times New Roman" w:hAnsi="Times New Roman" w:eastAsia="仿宋_GB2312"/>
          <w:color w:val="auto"/>
          <w:kern w:val="2"/>
          <w:sz w:val="32"/>
          <w:szCs w:val="32"/>
        </w:rPr>
        <w:t>单位</w:t>
      </w:r>
      <w:r>
        <w:rPr>
          <w:rFonts w:hint="eastAsia" w:ascii="Times New Roman" w:hAnsi="Times New Roman" w:eastAsia="仿宋_GB2312"/>
          <w:color w:val="auto"/>
          <w:kern w:val="2"/>
          <w:sz w:val="32"/>
          <w:szCs w:val="32"/>
          <w:lang w:eastAsia="zh-CN"/>
        </w:rPr>
        <w:t>本年度</w:t>
      </w:r>
      <w:r>
        <w:rPr>
          <w:rFonts w:hint="eastAsia" w:ascii="Times New Roman" w:hAnsi="Times New Roman" w:eastAsia="仿宋_GB2312"/>
          <w:color w:val="auto"/>
          <w:kern w:val="2"/>
          <w:sz w:val="32"/>
          <w:szCs w:val="32"/>
        </w:rPr>
        <w:t>收支总预算</w:t>
      </w:r>
      <w:r>
        <w:rPr>
          <w:rFonts w:hint="eastAsia" w:ascii="Times New Roman" w:hAnsi="Times New Roman" w:eastAsia="仿宋_GB2312" w:cs="Times New Roman"/>
          <w:color w:val="auto"/>
          <w:kern w:val="2"/>
          <w:sz w:val="32"/>
          <w:szCs w:val="32"/>
          <w:lang w:val="en-US" w:eastAsia="zh-CN"/>
        </w:rPr>
        <w:t>1099.93</w:t>
      </w:r>
      <w:r>
        <w:rPr>
          <w:rFonts w:hint="eastAsia" w:ascii="Times New Roman" w:hAnsi="Times New Roman" w:eastAsia="仿宋_GB2312"/>
          <w:color w:val="auto"/>
          <w:kern w:val="2"/>
          <w:sz w:val="32"/>
          <w:szCs w:val="32"/>
        </w:rPr>
        <w:t>万元</w:t>
      </w:r>
      <w:r>
        <w:rPr>
          <w:rFonts w:hint="eastAsia" w:ascii="Times New Roman" w:hAnsi="Times New Roman" w:eastAsia="仿宋_GB2312"/>
          <w:color w:val="auto"/>
          <w:kern w:val="2"/>
          <w:sz w:val="32"/>
          <w:szCs w:val="32"/>
          <w:lang w:eastAsia="zh-CN"/>
        </w:rPr>
        <w:t>，</w:t>
      </w:r>
      <w:r>
        <w:rPr>
          <w:rFonts w:hint="eastAsia" w:ascii="Times New Roman" w:hAnsi="Times New Roman" w:eastAsia="仿宋_GB2312"/>
          <w:color w:val="auto"/>
          <w:kern w:val="2"/>
          <w:sz w:val="32"/>
          <w:szCs w:val="32"/>
          <w:lang w:val="en-US" w:eastAsia="zh-CN"/>
        </w:rPr>
        <w:t>上年数为1096.99万元，与上年数相比</w:t>
      </w:r>
      <w:r>
        <w:rPr>
          <w:rFonts w:hint="eastAsia" w:ascii="Times New Roman" w:hAnsi="Times New Roman" w:eastAsia="仿宋_GB2312"/>
          <w:color w:val="auto"/>
          <w:kern w:val="2"/>
          <w:sz w:val="32"/>
          <w:szCs w:val="32"/>
        </w:rPr>
        <w:t>收支预算总数</w:t>
      </w:r>
      <w:r>
        <w:rPr>
          <w:rFonts w:hint="eastAsia" w:ascii="Times New Roman" w:hAnsi="Times New Roman" w:eastAsia="仿宋_GB2312"/>
          <w:color w:val="auto"/>
          <w:kern w:val="2"/>
          <w:sz w:val="32"/>
          <w:szCs w:val="32"/>
          <w:lang w:eastAsia="zh-CN"/>
        </w:rPr>
        <w:t>增长</w:t>
      </w:r>
      <w:r>
        <w:rPr>
          <w:rFonts w:hint="eastAsia" w:ascii="Times New Roman" w:hAnsi="Times New Roman" w:eastAsia="仿宋_GB2312"/>
          <w:color w:val="auto"/>
          <w:kern w:val="2"/>
          <w:sz w:val="32"/>
          <w:szCs w:val="32"/>
          <w:lang w:val="en-US" w:eastAsia="zh-CN"/>
        </w:rPr>
        <w:t>2.94</w:t>
      </w:r>
      <w:r>
        <w:rPr>
          <w:rFonts w:hint="eastAsia" w:ascii="Times New Roman" w:hAnsi="Times New Roman" w:eastAsia="仿宋_GB2312"/>
          <w:color w:val="auto"/>
          <w:kern w:val="2"/>
          <w:sz w:val="32"/>
          <w:szCs w:val="32"/>
        </w:rPr>
        <w:t>万元，</w:t>
      </w:r>
      <w:r>
        <w:rPr>
          <w:rFonts w:hint="default" w:ascii="Times New Roman" w:hAnsi="Times New Roman" w:eastAsia="仿宋_GB2312" w:cs="Times New Roman"/>
          <w:color w:val="auto"/>
          <w:kern w:val="2"/>
          <w:sz w:val="32"/>
        </w:rPr>
        <w:t>主要原因</w:t>
      </w:r>
      <w:r>
        <w:rPr>
          <w:rFonts w:hint="eastAsia" w:ascii="Times New Roman" w:hAnsi="Times New Roman" w:eastAsia="仿宋_GB2312" w:cs="Times New Roman"/>
          <w:color w:val="auto"/>
          <w:kern w:val="2"/>
          <w:sz w:val="32"/>
          <w:lang w:eastAsia="zh-CN"/>
        </w:rPr>
        <w:t>：</w:t>
      </w:r>
      <w:r>
        <w:rPr>
          <w:rFonts w:hint="eastAsia" w:ascii="Times New Roman" w:hAnsi="Times New Roman" w:eastAsia="仿宋_GB2312"/>
          <w:color w:val="auto"/>
          <w:kern w:val="2"/>
          <w:sz w:val="32"/>
          <w:szCs w:val="32"/>
          <w:lang w:eastAsia="zh-CN"/>
        </w:rPr>
        <w:t>我乡今年</w:t>
      </w:r>
      <w:r>
        <w:rPr>
          <w:rFonts w:hint="eastAsia" w:ascii="Times New Roman" w:hAnsi="Times New Roman" w:eastAsia="仿宋_GB2312"/>
          <w:color w:val="auto"/>
          <w:kern w:val="2"/>
          <w:sz w:val="32"/>
          <w:szCs w:val="32"/>
          <w:lang w:val="en-US" w:eastAsia="zh-CN"/>
        </w:rPr>
        <w:t>在职职工工资福利等有所调整</w:t>
      </w:r>
      <w:r>
        <w:rPr>
          <w:rFonts w:hint="eastAsia" w:ascii="Times New Roman" w:hAnsi="Times New Roman" w:eastAsia="仿宋_GB2312"/>
          <w:color w:val="auto"/>
          <w:kern w:val="2"/>
          <w:sz w:val="32"/>
          <w:szCs w:val="32"/>
          <w:lang w:eastAsia="zh-CN"/>
        </w:rPr>
        <w:t>；</w:t>
      </w:r>
      <w:r>
        <w:rPr>
          <w:rFonts w:hint="eastAsia" w:ascii="Times New Roman" w:hAnsi="Times New Roman" w:eastAsia="仿宋_GB2312"/>
          <w:color w:val="auto"/>
          <w:kern w:val="2"/>
          <w:sz w:val="32"/>
          <w:szCs w:val="32"/>
          <w:lang w:val="en-US" w:eastAsia="zh-CN"/>
        </w:rPr>
        <w:t>而</w:t>
      </w:r>
      <w:r>
        <w:rPr>
          <w:rFonts w:hint="eastAsia" w:ascii="Times New Roman" w:hAnsi="Times New Roman" w:eastAsia="仿宋_GB2312"/>
          <w:color w:val="auto"/>
          <w:kern w:val="2"/>
          <w:sz w:val="32"/>
          <w:szCs w:val="32"/>
          <w:lang w:eastAsia="zh-CN"/>
        </w:rPr>
        <w:t>导致工资福利和相关社保计划金额上涨。</w:t>
      </w:r>
    </w:p>
    <w:p>
      <w:pPr>
        <w:pStyle w:val="3"/>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outlineLvl w:val="1"/>
        <w:rPr>
          <w:rFonts w:hint="eastAsia" w:ascii="楷体_GB2312" w:hAnsi="楷体_GB2312" w:eastAsia="楷体_GB2312" w:cs="楷体_GB2312"/>
          <w:kern w:val="2"/>
          <w:sz w:val="32"/>
          <w:szCs w:val="32"/>
          <w:lang w:val="en-US" w:eastAsia="zh-CN" w:bidi="ar-SA"/>
        </w:rPr>
      </w:pPr>
      <w:bookmarkStart w:id="13" w:name="_Toc11327"/>
      <w:bookmarkStart w:id="14" w:name="_Toc22061"/>
      <w:bookmarkStart w:id="15" w:name="_Toc26881"/>
      <w:r>
        <w:rPr>
          <w:rFonts w:hint="eastAsia" w:ascii="楷体_GB2312" w:hAnsi="楷体_GB2312" w:eastAsia="楷体_GB2312" w:cs="楷体_GB2312"/>
          <w:kern w:val="2"/>
          <w:sz w:val="32"/>
          <w:szCs w:val="32"/>
          <w:lang w:val="en-US" w:eastAsia="zh-CN" w:bidi="ar-SA"/>
        </w:rPr>
        <w:t>（一）收入预算情况</w:t>
      </w:r>
      <w:bookmarkEnd w:id="13"/>
      <w:bookmarkEnd w:id="14"/>
      <w:bookmarkEnd w:id="15"/>
    </w:p>
    <w:p>
      <w:pPr>
        <w:pStyle w:val="13"/>
        <w:keepNext w:val="0"/>
        <w:keepLines w:val="0"/>
        <w:pageBreakBefore w:val="0"/>
        <w:widowControl w:val="0"/>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olor w:val="auto"/>
          <w:kern w:val="2"/>
          <w:sz w:val="32"/>
          <w:szCs w:val="32"/>
          <w:lang w:eastAsia="zh-CN"/>
        </w:rPr>
      </w:pPr>
      <w:r>
        <w:rPr>
          <w:rFonts w:hint="eastAsia" w:ascii="Times New Roman" w:hAnsi="Times New Roman" w:eastAsia="仿宋_GB2312"/>
          <w:color w:val="auto"/>
          <w:kern w:val="2"/>
          <w:sz w:val="32"/>
          <w:szCs w:val="32"/>
          <w:lang w:eastAsia="zh-CN"/>
        </w:rPr>
        <w:t>壤塘县上壤塘乡人民政府本年度</w:t>
      </w:r>
      <w:r>
        <w:rPr>
          <w:rFonts w:hint="eastAsia" w:ascii="Times New Roman" w:hAnsi="Times New Roman" w:eastAsia="仿宋_GB2312"/>
          <w:color w:val="auto"/>
          <w:kern w:val="2"/>
          <w:sz w:val="32"/>
          <w:szCs w:val="32"/>
        </w:rPr>
        <w:t>收入预算</w:t>
      </w:r>
      <w:r>
        <w:rPr>
          <w:rFonts w:hint="eastAsia" w:ascii="Times New Roman" w:hAnsi="Times New Roman" w:eastAsia="仿宋_GB2312"/>
          <w:color w:val="auto"/>
          <w:kern w:val="2"/>
          <w:sz w:val="32"/>
          <w:szCs w:val="32"/>
          <w:lang w:val="en-US" w:eastAsia="zh-CN"/>
        </w:rPr>
        <w:t>数为</w:t>
      </w:r>
      <w:r>
        <w:rPr>
          <w:rFonts w:hint="eastAsia" w:ascii="Times New Roman" w:hAnsi="Times New Roman" w:eastAsia="仿宋_GB2312" w:cs="Times New Roman"/>
          <w:color w:val="auto"/>
          <w:kern w:val="2"/>
          <w:sz w:val="32"/>
          <w:szCs w:val="32"/>
          <w:lang w:val="en-US" w:eastAsia="zh-CN"/>
        </w:rPr>
        <w:t>1099.93</w:t>
      </w:r>
      <w:r>
        <w:rPr>
          <w:rFonts w:hint="eastAsia" w:ascii="Times New Roman" w:hAnsi="Times New Roman" w:eastAsia="仿宋_GB2312"/>
          <w:color w:val="auto"/>
          <w:kern w:val="2"/>
          <w:sz w:val="32"/>
          <w:szCs w:val="32"/>
        </w:rPr>
        <w:t>万元，其中：上年结转</w:t>
      </w:r>
      <w:r>
        <w:rPr>
          <w:rFonts w:hint="eastAsia" w:ascii="Times New Roman" w:hAnsi="Times New Roman" w:eastAsia="仿宋_GB2312" w:cs="Times New Roman"/>
          <w:color w:val="auto"/>
          <w:kern w:val="2"/>
          <w:sz w:val="32"/>
          <w:szCs w:val="32"/>
          <w:lang w:val="en-US" w:eastAsia="zh-CN"/>
        </w:rPr>
        <w:t>0</w:t>
      </w:r>
      <w:r>
        <w:rPr>
          <w:rFonts w:hint="eastAsia" w:ascii="Times New Roman" w:hAnsi="Times New Roman" w:eastAsia="仿宋_GB2312"/>
          <w:color w:val="auto"/>
          <w:kern w:val="2"/>
          <w:sz w:val="32"/>
          <w:szCs w:val="32"/>
        </w:rPr>
        <w:t>万元，占</w:t>
      </w:r>
      <w:r>
        <w:rPr>
          <w:rFonts w:hint="eastAsia" w:ascii="Times New Roman" w:hAnsi="Times New Roman" w:eastAsia="仿宋_GB2312"/>
          <w:color w:val="auto"/>
          <w:kern w:val="2"/>
          <w:sz w:val="32"/>
          <w:szCs w:val="32"/>
          <w:lang w:val="en-US" w:eastAsia="zh-CN"/>
        </w:rPr>
        <w:t>0</w:t>
      </w: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rPr>
        <w:t>；一般公共预算拨款收入</w:t>
      </w:r>
      <w:r>
        <w:rPr>
          <w:rFonts w:hint="eastAsia" w:ascii="Times New Roman" w:hAnsi="Times New Roman" w:eastAsia="仿宋_GB2312" w:cs="Times New Roman"/>
          <w:color w:val="auto"/>
          <w:kern w:val="2"/>
          <w:sz w:val="32"/>
          <w:szCs w:val="32"/>
          <w:lang w:val="en-US" w:eastAsia="zh-CN"/>
        </w:rPr>
        <w:t>1099.93</w:t>
      </w:r>
      <w:r>
        <w:rPr>
          <w:rFonts w:hint="eastAsia" w:ascii="Times New Roman" w:hAnsi="Times New Roman" w:eastAsia="仿宋_GB2312"/>
          <w:color w:val="auto"/>
          <w:kern w:val="2"/>
          <w:sz w:val="32"/>
          <w:szCs w:val="32"/>
        </w:rPr>
        <w:t>万元，占</w:t>
      </w:r>
      <w:r>
        <w:rPr>
          <w:rFonts w:hint="eastAsia" w:ascii="Times New Roman" w:hAnsi="Times New Roman" w:eastAsia="仿宋_GB2312" w:cs="Times New Roman"/>
          <w:color w:val="auto"/>
          <w:kern w:val="2"/>
          <w:sz w:val="32"/>
          <w:szCs w:val="32"/>
          <w:lang w:val="en-US" w:eastAsia="zh-CN"/>
        </w:rPr>
        <w:t>100</w:t>
      </w: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rPr>
        <w:t>；事业收入</w:t>
      </w:r>
      <w:r>
        <w:rPr>
          <w:rFonts w:hint="eastAsia" w:ascii="Times New Roman" w:hAnsi="Times New Roman" w:eastAsia="仿宋_GB2312" w:cs="Times New Roman"/>
          <w:color w:val="auto"/>
          <w:kern w:val="2"/>
          <w:sz w:val="32"/>
          <w:szCs w:val="32"/>
          <w:lang w:val="en-US" w:eastAsia="zh-CN"/>
        </w:rPr>
        <w:t>0</w:t>
      </w:r>
      <w:r>
        <w:rPr>
          <w:rFonts w:hint="eastAsia" w:ascii="Times New Roman" w:hAnsi="Times New Roman" w:eastAsia="仿宋_GB2312"/>
          <w:color w:val="auto"/>
          <w:kern w:val="2"/>
          <w:sz w:val="32"/>
          <w:szCs w:val="32"/>
        </w:rPr>
        <w:t>万元，占</w:t>
      </w:r>
      <w:r>
        <w:rPr>
          <w:rFonts w:hint="eastAsia" w:ascii="Times New Roman" w:hAnsi="Times New Roman" w:eastAsia="仿宋_GB2312" w:cs="Times New Roman"/>
          <w:color w:val="auto"/>
          <w:kern w:val="2"/>
          <w:sz w:val="32"/>
          <w:szCs w:val="32"/>
          <w:lang w:val="en-US" w:eastAsia="zh-CN"/>
        </w:rPr>
        <w:t>0</w:t>
      </w: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rPr>
        <w:t>；其他收入</w:t>
      </w:r>
      <w:r>
        <w:rPr>
          <w:rFonts w:hint="eastAsia" w:ascii="Times New Roman" w:hAnsi="Times New Roman" w:eastAsia="仿宋_GB2312" w:cs="Times New Roman"/>
          <w:color w:val="auto"/>
          <w:kern w:val="2"/>
          <w:sz w:val="32"/>
          <w:szCs w:val="32"/>
          <w:lang w:val="en-US" w:eastAsia="zh-CN"/>
        </w:rPr>
        <w:t>0</w:t>
      </w:r>
      <w:r>
        <w:rPr>
          <w:rFonts w:hint="eastAsia" w:ascii="Times New Roman" w:hAnsi="Times New Roman" w:eastAsia="仿宋_GB2312"/>
          <w:color w:val="auto"/>
          <w:kern w:val="2"/>
          <w:sz w:val="32"/>
          <w:szCs w:val="32"/>
        </w:rPr>
        <w:t>万元，占</w:t>
      </w:r>
      <w:r>
        <w:rPr>
          <w:rFonts w:hint="eastAsia" w:ascii="Times New Roman" w:hAnsi="Times New Roman" w:eastAsia="仿宋_GB2312" w:cs="Times New Roman"/>
          <w:color w:val="auto"/>
          <w:kern w:val="2"/>
          <w:sz w:val="32"/>
          <w:szCs w:val="32"/>
          <w:lang w:val="en-US" w:eastAsia="zh-CN"/>
        </w:rPr>
        <w:t>0</w:t>
      </w: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rPr>
        <w:t>。</w:t>
      </w:r>
    </w:p>
    <w:p>
      <w:pPr>
        <w:pStyle w:val="3"/>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outlineLvl w:val="1"/>
        <w:rPr>
          <w:rFonts w:hint="eastAsia" w:ascii="楷体_GB2312" w:hAnsi="楷体_GB2312" w:eastAsia="楷体_GB2312" w:cs="楷体_GB2312"/>
          <w:kern w:val="2"/>
          <w:sz w:val="32"/>
          <w:szCs w:val="32"/>
          <w:lang w:val="en-US" w:eastAsia="zh-CN" w:bidi="ar-SA"/>
        </w:rPr>
      </w:pPr>
      <w:bookmarkStart w:id="16" w:name="_Toc6631"/>
      <w:bookmarkStart w:id="17" w:name="_Toc1502"/>
      <w:bookmarkStart w:id="18" w:name="_Toc6839"/>
      <w:r>
        <w:rPr>
          <w:rFonts w:hint="eastAsia" w:ascii="楷体_GB2312" w:hAnsi="楷体_GB2312" w:eastAsia="楷体_GB2312" w:cs="楷体_GB2312"/>
          <w:kern w:val="2"/>
          <w:sz w:val="32"/>
          <w:szCs w:val="32"/>
          <w:lang w:val="en-US" w:eastAsia="zh-CN" w:bidi="ar-SA"/>
        </w:rPr>
        <w:t>（二）支出预算情况</w:t>
      </w:r>
      <w:bookmarkEnd w:id="16"/>
      <w:bookmarkEnd w:id="17"/>
      <w:bookmarkEnd w:id="18"/>
    </w:p>
    <w:p>
      <w:pPr>
        <w:pStyle w:val="13"/>
        <w:keepNext w:val="0"/>
        <w:keepLines w:val="0"/>
        <w:pageBreakBefore w:val="0"/>
        <w:widowControl w:val="0"/>
        <w:kinsoku/>
        <w:wordWrap/>
        <w:overflowPunct/>
        <w:topLinePunct w:val="0"/>
        <w:autoSpaceDE/>
        <w:autoSpaceDN/>
        <w:bidi w:val="0"/>
        <w:adjustRightInd/>
        <w:snapToGrid w:val="0"/>
        <w:spacing w:before="0" w:line="560" w:lineRule="exact"/>
        <w:ind w:firstLine="640" w:firstLineChars="200"/>
        <w:textAlignment w:val="auto"/>
        <w:rPr>
          <w:rFonts w:ascii="Times New Roman" w:hAnsi="Times New Roman" w:eastAsia="仿宋_GB2312" w:cs="Times New Roman"/>
          <w:color w:val="auto"/>
          <w:kern w:val="2"/>
          <w:sz w:val="32"/>
          <w:szCs w:val="32"/>
        </w:rPr>
      </w:pPr>
      <w:r>
        <w:rPr>
          <w:rFonts w:hint="eastAsia" w:ascii="Times New Roman" w:hAnsi="Times New Roman" w:eastAsia="仿宋_GB2312"/>
          <w:color w:val="auto"/>
          <w:kern w:val="2"/>
          <w:sz w:val="32"/>
          <w:szCs w:val="32"/>
          <w:lang w:eastAsia="zh-CN"/>
        </w:rPr>
        <w:t>壤塘县上壤塘乡人民政府本年度</w:t>
      </w:r>
      <w:r>
        <w:rPr>
          <w:rFonts w:hint="eastAsia" w:ascii="Times New Roman" w:hAnsi="Times New Roman" w:eastAsia="仿宋_GB2312"/>
          <w:color w:val="auto"/>
          <w:kern w:val="2"/>
          <w:sz w:val="32"/>
          <w:szCs w:val="32"/>
        </w:rPr>
        <w:t>支出预算</w:t>
      </w:r>
      <w:r>
        <w:rPr>
          <w:rFonts w:hint="eastAsia" w:ascii="Times New Roman" w:hAnsi="Times New Roman" w:eastAsia="仿宋_GB2312"/>
          <w:color w:val="auto"/>
          <w:kern w:val="2"/>
          <w:sz w:val="32"/>
          <w:szCs w:val="32"/>
          <w:lang w:val="en-US" w:eastAsia="zh-CN"/>
        </w:rPr>
        <w:t>1099.93</w:t>
      </w:r>
      <w:r>
        <w:rPr>
          <w:rFonts w:hint="eastAsia" w:ascii="Times New Roman" w:hAnsi="Times New Roman" w:eastAsia="仿宋_GB2312"/>
          <w:color w:val="auto"/>
          <w:kern w:val="2"/>
          <w:sz w:val="32"/>
          <w:szCs w:val="32"/>
        </w:rPr>
        <w:t>万元，其中：基本支出</w:t>
      </w:r>
      <w:r>
        <w:rPr>
          <w:rFonts w:hint="eastAsia" w:ascii="Times New Roman" w:hAnsi="Times New Roman" w:eastAsia="仿宋_GB2312" w:cs="Times New Roman"/>
          <w:color w:val="auto"/>
          <w:kern w:val="2"/>
          <w:sz w:val="32"/>
          <w:szCs w:val="32"/>
          <w:lang w:val="en-US" w:eastAsia="zh-CN"/>
        </w:rPr>
        <w:t>1</w:t>
      </w:r>
      <w:bookmarkStart w:id="45" w:name="_GoBack"/>
      <w:r>
        <w:rPr>
          <w:rFonts w:hint="eastAsia" w:ascii="Times New Roman" w:hAnsi="Times New Roman" w:eastAsia="仿宋_GB2312" w:cs="Times New Roman"/>
          <w:color w:val="auto"/>
          <w:kern w:val="2"/>
          <w:sz w:val="32"/>
          <w:szCs w:val="32"/>
          <w:lang w:val="en-US" w:eastAsia="zh-CN"/>
        </w:rPr>
        <w:t>090.59</w:t>
      </w:r>
      <w:bookmarkEnd w:id="45"/>
      <w:r>
        <w:rPr>
          <w:rFonts w:hint="eastAsia" w:ascii="Times New Roman" w:hAnsi="Times New Roman" w:eastAsia="仿宋_GB2312"/>
          <w:color w:val="auto"/>
          <w:kern w:val="2"/>
          <w:sz w:val="32"/>
          <w:szCs w:val="32"/>
        </w:rPr>
        <w:t>万元，占</w:t>
      </w:r>
      <w:r>
        <w:rPr>
          <w:rFonts w:hint="eastAsia" w:ascii="Times New Roman" w:hAnsi="Times New Roman" w:eastAsia="仿宋_GB2312" w:cs="Times New Roman"/>
          <w:color w:val="auto"/>
          <w:kern w:val="2"/>
          <w:sz w:val="32"/>
          <w:lang w:val="en-US" w:eastAsia="zh-CN"/>
        </w:rPr>
        <w:t>99.15</w:t>
      </w: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rPr>
        <w:t>；项目支出</w:t>
      </w:r>
      <w:r>
        <w:rPr>
          <w:rFonts w:hint="eastAsia" w:ascii="Times New Roman" w:hAnsi="Times New Roman" w:eastAsia="仿宋_GB2312" w:cs="Times New Roman"/>
          <w:color w:val="auto"/>
          <w:kern w:val="2"/>
          <w:sz w:val="32"/>
          <w:szCs w:val="32"/>
          <w:lang w:val="en-US" w:eastAsia="zh-CN"/>
        </w:rPr>
        <w:t>9.34</w:t>
      </w:r>
      <w:r>
        <w:rPr>
          <w:rFonts w:hint="eastAsia" w:ascii="Times New Roman" w:hAnsi="Times New Roman" w:eastAsia="仿宋_GB2312"/>
          <w:color w:val="auto"/>
          <w:kern w:val="2"/>
          <w:sz w:val="32"/>
          <w:szCs w:val="32"/>
        </w:rPr>
        <w:t>万元，占</w:t>
      </w:r>
      <w:r>
        <w:rPr>
          <w:rFonts w:hint="eastAsia" w:ascii="Times New Roman" w:hAnsi="Times New Roman" w:eastAsia="仿宋_GB2312" w:cs="Times New Roman"/>
          <w:color w:val="auto"/>
          <w:kern w:val="2"/>
          <w:sz w:val="32"/>
          <w:szCs w:val="32"/>
          <w:lang w:val="en-US" w:eastAsia="zh-CN"/>
        </w:rPr>
        <w:t>0.85</w:t>
      </w: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rPr>
        <w:t>。</w:t>
      </w:r>
    </w:p>
    <w:p>
      <w:pPr>
        <w:pStyle w:val="2"/>
        <w:bidi w:val="0"/>
        <w:ind w:firstLine="640" w:firstLineChars="200"/>
        <w:outlineLvl w:val="0"/>
        <w:rPr>
          <w:rFonts w:hint="eastAsia"/>
        </w:rPr>
      </w:pPr>
      <w:bookmarkStart w:id="19" w:name="_Toc19754"/>
      <w:bookmarkStart w:id="20" w:name="_Toc30387"/>
      <w:r>
        <w:rPr>
          <w:rFonts w:hint="eastAsia"/>
        </w:rPr>
        <w:t>四、财政拨款收支预算情况说明</w:t>
      </w:r>
      <w:bookmarkEnd w:id="19"/>
      <w:bookmarkEnd w:id="20"/>
    </w:p>
    <w:p>
      <w:pPr>
        <w:pageBreakBefore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壤塘县上壤塘乡人民政府2026年财政拨款收支总预算1099.93万元，上年数为1096.99万元，与上年数相比收支预算总数增加2.94万元，</w:t>
      </w:r>
      <w:r>
        <w:rPr>
          <w:rFonts w:hint="default" w:ascii="Times New Roman" w:hAnsi="Times New Roman" w:eastAsia="仿宋_GB2312" w:cs="Times New Roman"/>
          <w:color w:val="auto"/>
          <w:kern w:val="2"/>
          <w:sz w:val="32"/>
          <w:szCs w:val="32"/>
          <w:lang w:val="en-US" w:eastAsia="zh-CN" w:bidi="ar-SA"/>
        </w:rPr>
        <w:t>主要原因</w:t>
      </w:r>
      <w:r>
        <w:rPr>
          <w:rFonts w:hint="eastAsia" w:ascii="Times New Roman" w:hAnsi="Times New Roman" w:eastAsia="仿宋_GB2312" w:cs="Times New Roman"/>
          <w:color w:val="auto"/>
          <w:kern w:val="2"/>
          <w:sz w:val="32"/>
          <w:szCs w:val="32"/>
          <w:lang w:val="en-US" w:eastAsia="zh-CN" w:bidi="ar-SA"/>
        </w:rPr>
        <w:t>：我乡今年在职职工工资福利等有所调整；而导致工资福利和相关社保计划金额上涨。收入包括：本年一般公共预算拨款收入1099.93万元，上年结转一般公共预算收入0万元，上年结转财政拨款资金0万元；支出包括：一般公共服务支出562.32万元，社会保障和就业支出124.28万元，卫生健康支出43.83万元，农林水支出299.81万元，住房保障支出69.69万元。</w:t>
      </w:r>
    </w:p>
    <w:p>
      <w:pPr>
        <w:pStyle w:val="2"/>
        <w:bidi w:val="0"/>
        <w:ind w:firstLine="640" w:firstLineChars="200"/>
        <w:rPr>
          <w:rFonts w:hint="eastAsia"/>
        </w:rPr>
      </w:pPr>
      <w:bookmarkStart w:id="21" w:name="_Toc15002"/>
      <w:bookmarkStart w:id="22" w:name="_Toc21914"/>
      <w:r>
        <w:rPr>
          <w:rFonts w:hint="eastAsia"/>
        </w:rPr>
        <w:t>五、一般公共预算当年拨款情况说明</w:t>
      </w:r>
      <w:bookmarkEnd w:id="21"/>
      <w:bookmarkEnd w:id="22"/>
    </w:p>
    <w:p>
      <w:pPr>
        <w:pStyle w:val="3"/>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kern w:val="2"/>
          <w:sz w:val="32"/>
          <w:szCs w:val="32"/>
          <w:lang w:val="en-US" w:eastAsia="zh-CN" w:bidi="ar-SA"/>
        </w:rPr>
      </w:pPr>
      <w:bookmarkStart w:id="23" w:name="_Toc5377"/>
      <w:bookmarkStart w:id="24" w:name="_Toc19903"/>
      <w:r>
        <w:rPr>
          <w:rFonts w:hint="eastAsia" w:ascii="楷体_GB2312" w:hAnsi="楷体_GB2312" w:eastAsia="楷体_GB2312" w:cs="楷体_GB2312"/>
          <w:kern w:val="2"/>
          <w:sz w:val="32"/>
          <w:szCs w:val="32"/>
          <w:lang w:val="en-US" w:eastAsia="zh-CN" w:bidi="ar-SA"/>
        </w:rPr>
        <w:t>（一）一般公共预算当年拨款规模变化情况</w:t>
      </w:r>
      <w:bookmarkEnd w:id="23"/>
      <w:bookmarkEnd w:id="24"/>
    </w:p>
    <w:p>
      <w:pPr>
        <w:pStyle w:val="13"/>
        <w:keepNext w:val="0"/>
        <w:keepLines w:val="0"/>
        <w:pageBreakBefore w:val="0"/>
        <w:widowControl w:val="0"/>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olor w:val="auto"/>
          <w:kern w:val="2"/>
          <w:sz w:val="32"/>
          <w:szCs w:val="32"/>
          <w:lang w:eastAsia="zh-CN"/>
        </w:rPr>
        <w:t>壤塘县上壤塘乡人民政府本年度</w:t>
      </w:r>
      <w:r>
        <w:rPr>
          <w:rFonts w:hint="eastAsia" w:ascii="Times New Roman" w:hAnsi="Times New Roman" w:eastAsia="仿宋_GB2312"/>
          <w:color w:val="auto"/>
          <w:kern w:val="2"/>
          <w:sz w:val="32"/>
          <w:szCs w:val="32"/>
        </w:rPr>
        <w:t>支出预算</w:t>
      </w:r>
      <w:r>
        <w:rPr>
          <w:rFonts w:hint="eastAsia" w:ascii="Times New Roman" w:hAnsi="Times New Roman" w:eastAsia="仿宋_GB2312"/>
          <w:color w:val="auto"/>
          <w:kern w:val="2"/>
          <w:sz w:val="32"/>
          <w:szCs w:val="32"/>
          <w:lang w:val="en-US" w:eastAsia="zh-CN"/>
        </w:rPr>
        <w:t>1099.93</w:t>
      </w:r>
      <w:r>
        <w:rPr>
          <w:rFonts w:hint="eastAsia" w:ascii="Times New Roman" w:hAnsi="Times New Roman" w:eastAsia="仿宋_GB2312"/>
          <w:color w:val="auto"/>
          <w:kern w:val="2"/>
          <w:sz w:val="32"/>
          <w:szCs w:val="32"/>
        </w:rPr>
        <w:t>万元，其中：基本支出</w:t>
      </w:r>
      <w:r>
        <w:rPr>
          <w:rFonts w:hint="eastAsia" w:ascii="Times New Roman" w:hAnsi="Times New Roman" w:eastAsia="仿宋_GB2312" w:cs="Times New Roman"/>
          <w:color w:val="auto"/>
          <w:kern w:val="2"/>
          <w:sz w:val="32"/>
          <w:szCs w:val="32"/>
          <w:lang w:val="en-US" w:eastAsia="zh-CN"/>
        </w:rPr>
        <w:t>1090.59</w:t>
      </w:r>
      <w:r>
        <w:rPr>
          <w:rFonts w:hint="eastAsia" w:ascii="Times New Roman" w:hAnsi="Times New Roman" w:eastAsia="仿宋_GB2312"/>
          <w:color w:val="auto"/>
          <w:kern w:val="2"/>
          <w:sz w:val="32"/>
          <w:szCs w:val="32"/>
        </w:rPr>
        <w:t>万元，占</w:t>
      </w:r>
      <w:r>
        <w:rPr>
          <w:rFonts w:hint="eastAsia" w:ascii="Times New Roman" w:hAnsi="Times New Roman" w:eastAsia="仿宋_GB2312" w:cs="Times New Roman"/>
          <w:color w:val="auto"/>
          <w:kern w:val="2"/>
          <w:sz w:val="32"/>
          <w:lang w:val="en-US" w:eastAsia="zh-CN"/>
        </w:rPr>
        <w:t>99.15</w:t>
      </w: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rPr>
        <w:t>；项目支出</w:t>
      </w:r>
      <w:r>
        <w:rPr>
          <w:rFonts w:hint="eastAsia" w:ascii="Times New Roman" w:hAnsi="Times New Roman" w:eastAsia="仿宋_GB2312" w:cs="Times New Roman"/>
          <w:color w:val="auto"/>
          <w:kern w:val="2"/>
          <w:sz w:val="32"/>
          <w:szCs w:val="32"/>
          <w:lang w:val="en-US" w:eastAsia="zh-CN"/>
        </w:rPr>
        <w:t>9.34</w:t>
      </w:r>
      <w:r>
        <w:rPr>
          <w:rFonts w:hint="eastAsia" w:ascii="Times New Roman" w:hAnsi="Times New Roman" w:eastAsia="仿宋_GB2312"/>
          <w:color w:val="auto"/>
          <w:kern w:val="2"/>
          <w:sz w:val="32"/>
          <w:szCs w:val="32"/>
        </w:rPr>
        <w:t>万元，占</w:t>
      </w:r>
      <w:r>
        <w:rPr>
          <w:rFonts w:hint="eastAsia" w:ascii="Times New Roman" w:hAnsi="Times New Roman" w:eastAsia="仿宋_GB2312" w:cs="Times New Roman"/>
          <w:color w:val="auto"/>
          <w:kern w:val="2"/>
          <w:sz w:val="32"/>
          <w:szCs w:val="32"/>
          <w:lang w:val="en-US" w:eastAsia="zh-CN"/>
        </w:rPr>
        <w:t>0.85</w:t>
      </w:r>
      <w:r>
        <w:rPr>
          <w:rFonts w:ascii="Times New Roman" w:hAnsi="Times New Roman" w:eastAsia="仿宋_GB2312"/>
          <w:color w:val="auto"/>
          <w:kern w:val="2"/>
          <w:sz w:val="32"/>
          <w:szCs w:val="32"/>
        </w:rPr>
        <w:t>%</w:t>
      </w:r>
      <w:r>
        <w:rPr>
          <w:rFonts w:hint="eastAsia" w:ascii="Times New Roman" w:hAnsi="Times New Roman" w:eastAsia="仿宋_GB2312" w:cs="Times New Roman"/>
          <w:color w:val="auto"/>
          <w:kern w:val="2"/>
          <w:sz w:val="32"/>
          <w:lang w:val="en-US" w:eastAsia="zh-CN"/>
        </w:rPr>
        <w:t>（</w:t>
      </w:r>
      <w:r>
        <w:rPr>
          <w:rFonts w:hint="default" w:ascii="Times New Roman" w:hAnsi="Times New Roman" w:eastAsia="仿宋_GB2312" w:cs="Times New Roman"/>
          <w:color w:val="auto"/>
          <w:kern w:val="2"/>
          <w:sz w:val="32"/>
          <w:lang w:val="en-US" w:eastAsia="zh-CN"/>
        </w:rPr>
        <w:t>村级动物防疫员补助</w:t>
      </w:r>
      <w:r>
        <w:rPr>
          <w:rFonts w:hint="eastAsia" w:ascii="Times New Roman" w:hAnsi="Times New Roman" w:eastAsia="仿宋_GB2312" w:cs="Times New Roman"/>
          <w:color w:val="auto"/>
          <w:kern w:val="2"/>
          <w:sz w:val="32"/>
          <w:lang w:val="en-US" w:eastAsia="zh-CN"/>
        </w:rPr>
        <w:t>和</w:t>
      </w:r>
      <w:r>
        <w:rPr>
          <w:rFonts w:hint="default" w:ascii="Times New Roman" w:hAnsi="Times New Roman" w:eastAsia="仿宋_GB2312" w:cs="Times New Roman"/>
          <w:color w:val="auto"/>
          <w:kern w:val="2"/>
          <w:sz w:val="32"/>
          <w:lang w:val="en-US" w:eastAsia="zh-CN"/>
        </w:rPr>
        <w:t>村干部医疗保险补助</w:t>
      </w:r>
      <w:r>
        <w:rPr>
          <w:rFonts w:hint="eastAsia" w:ascii="Times New Roman" w:hAnsi="Times New Roman" w:eastAsia="仿宋_GB2312" w:cs="Times New Roman"/>
          <w:color w:val="auto"/>
          <w:kern w:val="2"/>
          <w:sz w:val="32"/>
          <w:lang w:val="en-US" w:eastAsia="zh-CN"/>
        </w:rPr>
        <w:t>以及上壤塘乡伙食团经费等）</w:t>
      </w:r>
      <w:r>
        <w:rPr>
          <w:rFonts w:hint="default" w:ascii="Times New Roman" w:hAnsi="Times New Roman" w:eastAsia="仿宋_GB2312" w:cs="Times New Roman"/>
          <w:color w:val="auto"/>
          <w:kern w:val="2"/>
          <w:sz w:val="32"/>
        </w:rPr>
        <w:t>。</w:t>
      </w:r>
    </w:p>
    <w:p>
      <w:pPr>
        <w:pStyle w:val="3"/>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kern w:val="2"/>
          <w:sz w:val="32"/>
          <w:szCs w:val="32"/>
          <w:lang w:val="en-US" w:eastAsia="zh-CN" w:bidi="ar-SA"/>
        </w:rPr>
      </w:pPr>
      <w:bookmarkStart w:id="25" w:name="_Toc6041"/>
      <w:bookmarkStart w:id="26" w:name="_Toc7795"/>
      <w:r>
        <w:rPr>
          <w:rFonts w:hint="eastAsia" w:ascii="楷体_GB2312" w:hAnsi="楷体_GB2312" w:eastAsia="楷体_GB2312" w:cs="楷体_GB2312"/>
          <w:kern w:val="2"/>
          <w:sz w:val="32"/>
          <w:szCs w:val="32"/>
          <w:lang w:val="en-US" w:eastAsia="zh-CN" w:bidi="ar-SA"/>
        </w:rPr>
        <w:t>（二）一般公共预算当年拨款结构情况</w:t>
      </w:r>
      <w:bookmarkEnd w:id="25"/>
      <w:bookmarkEnd w:id="26"/>
    </w:p>
    <w:p>
      <w:pPr>
        <w:pStyle w:val="13"/>
        <w:keepNext w:val="0"/>
        <w:keepLines w:val="0"/>
        <w:pageBreakBefore w:val="0"/>
        <w:widowControl w:val="0"/>
        <w:numPr>
          <w:ilvl w:val="0"/>
          <w:numId w:val="0"/>
        </w:numPr>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s="宋体"/>
          <w:sz w:val="32"/>
          <w:szCs w:val="32"/>
        </w:rPr>
      </w:pPr>
      <w:r>
        <w:rPr>
          <w:rFonts w:hint="eastAsia" w:ascii="Times New Roman" w:hAnsi="Times New Roman" w:eastAsia="仿宋_GB2312"/>
          <w:color w:val="auto"/>
          <w:kern w:val="2"/>
          <w:sz w:val="32"/>
          <w:szCs w:val="32"/>
          <w:lang w:eastAsia="zh-CN"/>
        </w:rPr>
        <w:t>壤塘县上壤塘乡人民政府本年度</w:t>
      </w:r>
      <w:r>
        <w:rPr>
          <w:rFonts w:hint="eastAsia" w:ascii="Times New Roman" w:hAnsi="Times New Roman" w:eastAsia="仿宋_GB2312"/>
          <w:color w:val="auto"/>
          <w:kern w:val="2"/>
          <w:sz w:val="32"/>
          <w:szCs w:val="32"/>
        </w:rPr>
        <w:t>一般</w:t>
      </w:r>
      <w:r>
        <w:rPr>
          <w:rFonts w:hint="eastAsia" w:ascii="Times New Roman" w:hAnsi="Times New Roman" w:eastAsia="仿宋_GB2312"/>
          <w:color w:val="auto"/>
          <w:kern w:val="2"/>
          <w:sz w:val="32"/>
          <w:szCs w:val="32"/>
          <w:lang w:eastAsia="zh-CN"/>
        </w:rPr>
        <w:t>公共预算</w:t>
      </w:r>
      <w:r>
        <w:rPr>
          <w:rFonts w:hint="eastAsia" w:ascii="Times New Roman" w:hAnsi="Times New Roman" w:eastAsia="仿宋_GB2312"/>
          <w:color w:val="auto"/>
          <w:kern w:val="2"/>
          <w:sz w:val="32"/>
          <w:szCs w:val="32"/>
          <w:lang w:val="en-US" w:eastAsia="zh-CN"/>
        </w:rPr>
        <w:t>数为1099.93</w:t>
      </w:r>
      <w:r>
        <w:rPr>
          <w:rFonts w:hint="eastAsia" w:ascii="Times New Roman" w:hAnsi="Times New Roman" w:eastAsia="仿宋_GB2312"/>
          <w:color w:val="auto"/>
          <w:kern w:val="2"/>
          <w:sz w:val="32"/>
          <w:szCs w:val="32"/>
        </w:rPr>
        <w:t>万元</w:t>
      </w:r>
      <w:r>
        <w:rPr>
          <w:rFonts w:hint="eastAsia" w:ascii="Times New Roman" w:hAnsi="Times New Roman" w:eastAsia="仿宋_GB2312"/>
          <w:color w:val="auto"/>
          <w:kern w:val="2"/>
          <w:sz w:val="32"/>
          <w:szCs w:val="32"/>
          <w:lang w:eastAsia="zh-CN"/>
        </w:rPr>
        <w:t>。</w:t>
      </w:r>
      <w:r>
        <w:rPr>
          <w:rFonts w:hint="eastAsia" w:ascii="Times New Roman" w:hAnsi="Times New Roman" w:eastAsia="仿宋_GB2312"/>
          <w:color w:val="auto"/>
          <w:kern w:val="2"/>
          <w:sz w:val="32"/>
          <w:szCs w:val="32"/>
          <w:lang w:val="en-US" w:eastAsia="zh-CN"/>
        </w:rPr>
        <w:t>其中：</w:t>
      </w:r>
      <w:r>
        <w:rPr>
          <w:rFonts w:hint="eastAsia" w:ascii="Times New Roman" w:hAnsi="Times New Roman" w:eastAsia="仿宋_GB2312"/>
          <w:color w:val="auto"/>
          <w:kern w:val="2"/>
          <w:sz w:val="32"/>
          <w:szCs w:val="32"/>
        </w:rPr>
        <w:t>一般公共服务支出</w:t>
      </w:r>
      <w:r>
        <w:rPr>
          <w:rFonts w:hint="eastAsia" w:ascii="Times New Roman" w:hAnsi="Times New Roman" w:eastAsia="仿宋_GB2312" w:cs="Times New Roman"/>
          <w:color w:val="auto"/>
          <w:kern w:val="2"/>
          <w:sz w:val="32"/>
          <w:szCs w:val="32"/>
          <w:lang w:val="en-US" w:eastAsia="zh-CN" w:bidi="ar-SA"/>
        </w:rPr>
        <w:t>562.32</w:t>
      </w:r>
      <w:r>
        <w:rPr>
          <w:rFonts w:hint="eastAsia" w:ascii="Times New Roman" w:hAnsi="Times New Roman" w:eastAsia="仿宋_GB2312"/>
          <w:color w:val="auto"/>
          <w:kern w:val="2"/>
          <w:sz w:val="32"/>
          <w:szCs w:val="32"/>
        </w:rPr>
        <w:t>万元，占</w:t>
      </w:r>
      <w:r>
        <w:rPr>
          <w:rFonts w:hint="eastAsia" w:ascii="Times New Roman" w:hAnsi="Times New Roman" w:eastAsia="仿宋_GB2312"/>
          <w:color w:val="auto"/>
          <w:kern w:val="2"/>
          <w:sz w:val="32"/>
          <w:szCs w:val="32"/>
          <w:lang w:val="en-US" w:eastAsia="zh-CN"/>
        </w:rPr>
        <w:t>51.12</w:t>
      </w: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rPr>
        <w:t>；社会保障和就业支出</w:t>
      </w:r>
      <w:r>
        <w:rPr>
          <w:rFonts w:hint="eastAsia" w:ascii="Times New Roman" w:hAnsi="Times New Roman" w:eastAsia="仿宋_GB2312" w:cs="Times New Roman"/>
          <w:color w:val="auto"/>
          <w:kern w:val="2"/>
          <w:sz w:val="32"/>
          <w:szCs w:val="32"/>
          <w:lang w:val="en-US" w:eastAsia="zh-CN" w:bidi="ar-SA"/>
        </w:rPr>
        <w:t>124.28</w:t>
      </w:r>
      <w:r>
        <w:rPr>
          <w:rFonts w:hint="eastAsia" w:ascii="Times New Roman" w:hAnsi="Times New Roman" w:eastAsia="仿宋_GB2312"/>
          <w:color w:val="auto"/>
          <w:kern w:val="2"/>
          <w:sz w:val="32"/>
          <w:szCs w:val="32"/>
        </w:rPr>
        <w:t>万元</w:t>
      </w:r>
      <w:r>
        <w:rPr>
          <w:rFonts w:hint="eastAsia" w:ascii="Times New Roman" w:hAnsi="Times New Roman" w:eastAsia="仿宋_GB2312"/>
          <w:color w:val="auto"/>
          <w:kern w:val="2"/>
          <w:sz w:val="32"/>
          <w:szCs w:val="32"/>
          <w:lang w:eastAsia="zh-CN"/>
        </w:rPr>
        <w:t>，</w:t>
      </w:r>
      <w:r>
        <w:rPr>
          <w:rFonts w:hint="eastAsia" w:ascii="Times New Roman" w:hAnsi="Times New Roman" w:eastAsia="仿宋_GB2312"/>
          <w:color w:val="auto"/>
          <w:kern w:val="2"/>
          <w:sz w:val="32"/>
          <w:szCs w:val="32"/>
        </w:rPr>
        <w:t>占</w:t>
      </w:r>
      <w:r>
        <w:rPr>
          <w:rFonts w:hint="eastAsia" w:ascii="Times New Roman" w:hAnsi="Times New Roman" w:eastAsia="仿宋_GB2312"/>
          <w:color w:val="auto"/>
          <w:kern w:val="2"/>
          <w:sz w:val="32"/>
          <w:szCs w:val="32"/>
          <w:lang w:val="en-US" w:eastAsia="zh-CN"/>
        </w:rPr>
        <w:t>11.30</w:t>
      </w: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lang w:val="en-US" w:eastAsia="zh-CN"/>
        </w:rPr>
        <w:t>卫生健康支出</w:t>
      </w:r>
      <w:r>
        <w:rPr>
          <w:rFonts w:hint="eastAsia" w:ascii="Times New Roman" w:hAnsi="Times New Roman" w:eastAsia="仿宋_GB2312" w:cs="Times New Roman"/>
          <w:color w:val="auto"/>
          <w:kern w:val="2"/>
          <w:sz w:val="32"/>
          <w:szCs w:val="32"/>
          <w:lang w:val="en-US" w:eastAsia="zh-CN" w:bidi="ar-SA"/>
        </w:rPr>
        <w:t>43.83</w:t>
      </w:r>
      <w:r>
        <w:rPr>
          <w:rFonts w:hint="eastAsia" w:ascii="Times New Roman" w:hAnsi="Times New Roman" w:eastAsia="仿宋_GB2312"/>
          <w:color w:val="auto"/>
          <w:kern w:val="2"/>
          <w:sz w:val="32"/>
          <w:szCs w:val="32"/>
          <w:lang w:val="en-US" w:eastAsia="zh-CN"/>
        </w:rPr>
        <w:t>万元，</w:t>
      </w:r>
      <w:r>
        <w:rPr>
          <w:rFonts w:hint="eastAsia" w:ascii="Times New Roman" w:hAnsi="Times New Roman" w:eastAsia="仿宋_GB2312"/>
          <w:color w:val="auto"/>
          <w:kern w:val="2"/>
          <w:sz w:val="32"/>
          <w:szCs w:val="32"/>
        </w:rPr>
        <w:t>占</w:t>
      </w:r>
      <w:r>
        <w:rPr>
          <w:rFonts w:hint="eastAsia" w:ascii="Times New Roman" w:hAnsi="Times New Roman" w:eastAsia="仿宋_GB2312"/>
          <w:color w:val="auto"/>
          <w:kern w:val="2"/>
          <w:sz w:val="32"/>
          <w:szCs w:val="32"/>
          <w:lang w:val="en-US" w:eastAsia="zh-CN"/>
        </w:rPr>
        <w:t>3.98</w:t>
      </w: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lang w:val="en-US" w:eastAsia="zh-CN"/>
        </w:rPr>
        <w:t>农林水支出</w:t>
      </w:r>
      <w:r>
        <w:rPr>
          <w:rFonts w:hint="eastAsia" w:ascii="Times New Roman" w:hAnsi="Times New Roman" w:eastAsia="仿宋_GB2312" w:cs="Times New Roman"/>
          <w:color w:val="auto"/>
          <w:kern w:val="2"/>
          <w:sz w:val="32"/>
          <w:szCs w:val="32"/>
          <w:lang w:val="en-US" w:eastAsia="zh-CN" w:bidi="ar-SA"/>
        </w:rPr>
        <w:t>299.81</w:t>
      </w:r>
      <w:r>
        <w:rPr>
          <w:rFonts w:hint="eastAsia" w:ascii="Times New Roman" w:hAnsi="Times New Roman" w:eastAsia="仿宋_GB2312"/>
          <w:color w:val="auto"/>
          <w:kern w:val="2"/>
          <w:sz w:val="32"/>
          <w:szCs w:val="32"/>
          <w:lang w:val="en-US" w:eastAsia="zh-CN"/>
        </w:rPr>
        <w:t>万元，</w:t>
      </w:r>
      <w:r>
        <w:rPr>
          <w:rFonts w:hint="eastAsia" w:ascii="Times New Roman" w:hAnsi="Times New Roman" w:eastAsia="仿宋_GB2312"/>
          <w:color w:val="auto"/>
          <w:kern w:val="2"/>
          <w:sz w:val="32"/>
          <w:szCs w:val="32"/>
        </w:rPr>
        <w:t>占</w:t>
      </w:r>
      <w:r>
        <w:rPr>
          <w:rFonts w:hint="eastAsia" w:ascii="Times New Roman" w:hAnsi="Times New Roman" w:eastAsia="仿宋_GB2312"/>
          <w:color w:val="auto"/>
          <w:kern w:val="2"/>
          <w:sz w:val="32"/>
          <w:szCs w:val="32"/>
          <w:lang w:val="en-US" w:eastAsia="zh-CN"/>
        </w:rPr>
        <w:t>27.26</w:t>
      </w: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lang w:eastAsia="zh-CN"/>
        </w:rPr>
        <w:t>；</w:t>
      </w:r>
      <w:r>
        <w:rPr>
          <w:rFonts w:hint="eastAsia" w:ascii="Times New Roman" w:hAnsi="Times New Roman" w:eastAsia="仿宋_GB2312"/>
          <w:color w:val="auto"/>
          <w:kern w:val="2"/>
          <w:sz w:val="32"/>
          <w:szCs w:val="32"/>
        </w:rPr>
        <w:t>住房保障支出</w:t>
      </w:r>
      <w:r>
        <w:rPr>
          <w:rFonts w:hint="eastAsia" w:ascii="Times New Roman" w:hAnsi="Times New Roman" w:eastAsia="仿宋_GB2312" w:cs="Times New Roman"/>
          <w:color w:val="auto"/>
          <w:kern w:val="2"/>
          <w:sz w:val="32"/>
          <w:szCs w:val="32"/>
          <w:lang w:val="en-US" w:eastAsia="zh-CN" w:bidi="ar-SA"/>
        </w:rPr>
        <w:t>69.69</w:t>
      </w:r>
      <w:r>
        <w:rPr>
          <w:rFonts w:hint="eastAsia" w:ascii="Times New Roman" w:hAnsi="Times New Roman" w:eastAsia="仿宋_GB2312"/>
          <w:color w:val="auto"/>
          <w:kern w:val="2"/>
          <w:sz w:val="32"/>
          <w:szCs w:val="32"/>
        </w:rPr>
        <w:t>万元</w:t>
      </w:r>
      <w:r>
        <w:rPr>
          <w:rFonts w:hint="eastAsia" w:ascii="Times New Roman" w:hAnsi="Times New Roman" w:eastAsia="仿宋_GB2312"/>
          <w:color w:val="auto"/>
          <w:kern w:val="2"/>
          <w:sz w:val="32"/>
          <w:szCs w:val="32"/>
          <w:lang w:eastAsia="zh-CN"/>
        </w:rPr>
        <w:t>，</w:t>
      </w:r>
      <w:r>
        <w:rPr>
          <w:rFonts w:hint="eastAsia" w:ascii="Times New Roman" w:hAnsi="Times New Roman" w:eastAsia="仿宋_GB2312"/>
          <w:color w:val="auto"/>
          <w:kern w:val="2"/>
          <w:sz w:val="32"/>
          <w:szCs w:val="32"/>
        </w:rPr>
        <w:t>占</w:t>
      </w:r>
      <w:r>
        <w:rPr>
          <w:rFonts w:hint="eastAsia" w:ascii="Times New Roman" w:hAnsi="Times New Roman" w:eastAsia="仿宋_GB2312"/>
          <w:color w:val="auto"/>
          <w:kern w:val="2"/>
          <w:sz w:val="32"/>
          <w:szCs w:val="32"/>
          <w:lang w:val="en-US" w:eastAsia="zh-CN"/>
        </w:rPr>
        <w:t>6.34</w:t>
      </w:r>
      <w:r>
        <w:rPr>
          <w:rFonts w:ascii="Times New Roman" w:hAnsi="Times New Roman" w:eastAsia="仿宋_GB2312"/>
          <w:color w:val="auto"/>
          <w:kern w:val="2"/>
          <w:sz w:val="32"/>
          <w:szCs w:val="32"/>
        </w:rPr>
        <w:t>%</w:t>
      </w:r>
      <w:r>
        <w:rPr>
          <w:rFonts w:hint="eastAsia" w:ascii="Times New Roman" w:hAnsi="Times New Roman" w:eastAsia="仿宋_GB2312"/>
          <w:color w:val="auto"/>
          <w:kern w:val="2"/>
          <w:sz w:val="32"/>
          <w:szCs w:val="32"/>
        </w:rPr>
        <w:t>。</w:t>
      </w:r>
    </w:p>
    <w:p>
      <w:pPr>
        <w:pStyle w:val="3"/>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楷体_GB2312" w:hAnsi="楷体_GB2312" w:eastAsia="楷体_GB2312" w:cs="楷体_GB2312"/>
          <w:kern w:val="2"/>
          <w:sz w:val="32"/>
          <w:szCs w:val="32"/>
          <w:lang w:val="en-US" w:eastAsia="zh-CN" w:bidi="ar-SA"/>
        </w:rPr>
      </w:pPr>
      <w:bookmarkStart w:id="27" w:name="_Toc11413"/>
      <w:bookmarkStart w:id="28" w:name="_Toc23010"/>
      <w:r>
        <w:rPr>
          <w:rFonts w:hint="eastAsia" w:ascii="楷体_GB2312" w:hAnsi="楷体_GB2312" w:eastAsia="楷体_GB2312" w:cs="楷体_GB2312"/>
          <w:kern w:val="2"/>
          <w:sz w:val="32"/>
          <w:szCs w:val="32"/>
          <w:lang w:val="en-US" w:eastAsia="zh-CN" w:bidi="ar-SA"/>
        </w:rPr>
        <w:t>（三）一般公共预算当年拨款具体使用情况</w:t>
      </w:r>
      <w:bookmarkEnd w:id="27"/>
      <w:bookmarkEnd w:id="28"/>
    </w:p>
    <w:p>
      <w:pPr>
        <w:pStyle w:val="13"/>
        <w:keepNext w:val="0"/>
        <w:keepLines w:val="0"/>
        <w:pageBreakBefore w:val="0"/>
        <w:widowControl w:val="0"/>
        <w:kinsoku/>
        <w:wordWrap/>
        <w:overflowPunct/>
        <w:topLinePunct w:val="0"/>
        <w:autoSpaceDE/>
        <w:autoSpaceDN/>
        <w:bidi w:val="0"/>
        <w:adjustRightInd/>
        <w:snapToGrid w:val="0"/>
        <w:spacing w:before="0" w:line="560" w:lineRule="exact"/>
        <w:ind w:firstLine="643" w:firstLineChars="200"/>
        <w:textAlignment w:val="auto"/>
        <w:outlineLvl w:val="2"/>
        <w:rPr>
          <w:rFonts w:hint="eastAsia" w:ascii="仿宋_GB2312" w:hAnsi="仿宋_GB2312" w:eastAsia="仿宋_GB2312" w:cs="仿宋_GB2312"/>
          <w:b/>
          <w:bCs/>
          <w:color w:val="auto"/>
          <w:kern w:val="2"/>
          <w:sz w:val="32"/>
          <w:szCs w:val="32"/>
          <w:highlight w:val="none"/>
          <w:lang w:val="en-US" w:eastAsia="zh-CN"/>
        </w:rPr>
      </w:pPr>
      <w:bookmarkStart w:id="29" w:name="_Toc22138"/>
      <w:r>
        <w:rPr>
          <w:rFonts w:hint="eastAsia" w:ascii="Times New Roman" w:hAnsi="Times New Roman" w:eastAsia="仿宋_GB2312"/>
          <w:b/>
          <w:bCs/>
          <w:color w:val="auto"/>
          <w:kern w:val="2"/>
          <w:sz w:val="32"/>
          <w:szCs w:val="32"/>
          <w:highlight w:val="none"/>
          <w:lang w:val="en-US" w:eastAsia="zh-CN"/>
        </w:rPr>
        <w:t>1.</w:t>
      </w:r>
      <w:r>
        <w:rPr>
          <w:rFonts w:hint="eastAsia" w:ascii="仿宋_GB2312" w:hAnsi="仿宋_GB2312" w:eastAsia="仿宋_GB2312" w:cs="仿宋_GB2312"/>
          <w:b/>
          <w:bCs/>
          <w:color w:val="auto"/>
          <w:kern w:val="2"/>
          <w:sz w:val="32"/>
          <w:szCs w:val="32"/>
          <w:highlight w:val="none"/>
          <w:lang w:val="en-US" w:eastAsia="zh-CN"/>
        </w:rPr>
        <w:t>壤塘县上壤塘乡人民政府</w:t>
      </w:r>
      <w:bookmarkEnd w:id="29"/>
    </w:p>
    <w:p>
      <w:pPr>
        <w:pStyle w:val="13"/>
        <w:keepNext w:val="0"/>
        <w:keepLines w:val="0"/>
        <w:pageBreakBefore w:val="0"/>
        <w:widowControl w:val="0"/>
        <w:kinsoku/>
        <w:wordWrap/>
        <w:overflowPunct/>
        <w:topLinePunct w:val="0"/>
        <w:autoSpaceDE/>
        <w:autoSpaceDN/>
        <w:bidi w:val="0"/>
        <w:adjustRightInd/>
        <w:snapToGrid w:val="0"/>
        <w:spacing w:before="0" w:line="560" w:lineRule="exact"/>
        <w:ind w:firstLine="640" w:firstLineChars="200"/>
        <w:textAlignment w:val="auto"/>
        <w:rPr>
          <w:rFonts w:hint="default" w:ascii="Times New Roman" w:hAnsi="Times New Roman" w:eastAsia="仿宋_GB2312"/>
          <w:b/>
          <w:bCs/>
          <w:color w:val="auto"/>
          <w:kern w:val="2"/>
          <w:sz w:val="32"/>
          <w:szCs w:val="32"/>
          <w:highlight w:val="none"/>
          <w:lang w:val="en-US" w:eastAsia="zh-CN"/>
        </w:rPr>
      </w:pPr>
      <w:r>
        <w:rPr>
          <w:rFonts w:hint="eastAsia" w:ascii="Times New Roman" w:hAnsi="Times New Roman" w:eastAsia="仿宋_GB2312"/>
          <w:color w:val="auto"/>
          <w:kern w:val="2"/>
          <w:sz w:val="32"/>
          <w:szCs w:val="32"/>
          <w:highlight w:val="none"/>
          <w:lang w:val="en-US" w:eastAsia="zh-CN"/>
        </w:rPr>
        <w:t>（1）一般公共服务支出201（类）人大事务01（款）人大会议04（项）本年度预算数为9.37万元，主要用于支付我乡召开人民代表大会等会议的支出。</w:t>
      </w:r>
    </w:p>
    <w:p>
      <w:pPr>
        <w:pStyle w:val="13"/>
        <w:keepNext w:val="0"/>
        <w:keepLines w:val="0"/>
        <w:pageBreakBefore w:val="0"/>
        <w:widowControl w:val="0"/>
        <w:numPr>
          <w:ilvl w:val="0"/>
          <w:numId w:val="0"/>
        </w:numPr>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olor w:val="auto"/>
          <w:kern w:val="2"/>
          <w:sz w:val="32"/>
          <w:szCs w:val="32"/>
          <w:lang w:val="en-US" w:eastAsia="zh-CN"/>
        </w:rPr>
      </w:pPr>
      <w:r>
        <w:rPr>
          <w:rFonts w:hint="eastAsia" w:ascii="Times New Roman" w:hAnsi="Times New Roman" w:eastAsia="仿宋_GB2312"/>
          <w:color w:val="auto"/>
          <w:kern w:val="2"/>
          <w:sz w:val="32"/>
          <w:szCs w:val="32"/>
          <w:lang w:val="en-US" w:eastAsia="zh-CN"/>
        </w:rPr>
        <w:t>（2）</w:t>
      </w:r>
      <w:r>
        <w:rPr>
          <w:rFonts w:hint="eastAsia" w:ascii="Times New Roman" w:hAnsi="Times New Roman" w:eastAsia="仿宋_GB2312"/>
          <w:color w:val="auto"/>
          <w:kern w:val="2"/>
          <w:sz w:val="32"/>
          <w:szCs w:val="32"/>
          <w:lang w:eastAsia="zh-CN"/>
        </w:rPr>
        <w:t>一般公共服务支出20</w:t>
      </w:r>
      <w:r>
        <w:rPr>
          <w:rFonts w:hint="eastAsia" w:ascii="Times New Roman" w:hAnsi="Times New Roman" w:eastAsia="仿宋_GB2312"/>
          <w:color w:val="auto"/>
          <w:kern w:val="2"/>
          <w:sz w:val="32"/>
          <w:szCs w:val="32"/>
          <w:lang w:val="en-US" w:eastAsia="zh-CN"/>
        </w:rPr>
        <w:t>1</w:t>
      </w:r>
      <w:r>
        <w:rPr>
          <w:rFonts w:hint="eastAsia" w:ascii="Times New Roman" w:hAnsi="Times New Roman" w:eastAsia="仿宋_GB2312"/>
          <w:color w:val="auto"/>
          <w:kern w:val="2"/>
          <w:sz w:val="32"/>
          <w:szCs w:val="32"/>
          <w:lang w:eastAsia="zh-CN"/>
        </w:rPr>
        <w:t>（类）政府办公厅（室）及相关机构事务0</w:t>
      </w:r>
      <w:r>
        <w:rPr>
          <w:rFonts w:hint="eastAsia" w:ascii="Times New Roman" w:hAnsi="Times New Roman" w:eastAsia="仿宋_GB2312"/>
          <w:color w:val="auto"/>
          <w:kern w:val="2"/>
          <w:sz w:val="32"/>
          <w:szCs w:val="32"/>
          <w:lang w:val="en-US" w:eastAsia="zh-CN"/>
        </w:rPr>
        <w:t>3</w:t>
      </w:r>
      <w:r>
        <w:rPr>
          <w:rFonts w:hint="eastAsia" w:ascii="Times New Roman" w:hAnsi="Times New Roman" w:eastAsia="仿宋_GB2312"/>
          <w:color w:val="auto"/>
          <w:kern w:val="2"/>
          <w:sz w:val="32"/>
          <w:szCs w:val="32"/>
          <w:lang w:eastAsia="zh-CN"/>
        </w:rPr>
        <w:t>（款）</w:t>
      </w:r>
      <w:r>
        <w:rPr>
          <w:rFonts w:hint="eastAsia" w:ascii="Times New Roman" w:hAnsi="Times New Roman" w:eastAsia="仿宋_GB2312"/>
          <w:color w:val="auto"/>
          <w:kern w:val="2"/>
          <w:sz w:val="32"/>
          <w:szCs w:val="32"/>
          <w:lang w:val="en-US" w:eastAsia="zh-CN"/>
        </w:rPr>
        <w:t>行政运行01（项）本年度预算数为544.95万元、一般行政管理事务02（项）本年度预算数为8.00万元，主要用于：支付我乡政府人员的工资福利和各项保险经费等。</w:t>
      </w:r>
    </w:p>
    <w:p>
      <w:pPr>
        <w:pStyle w:val="13"/>
        <w:keepNext w:val="0"/>
        <w:keepLines w:val="0"/>
        <w:pageBreakBefore w:val="0"/>
        <w:widowControl w:val="0"/>
        <w:numPr>
          <w:ilvl w:val="0"/>
          <w:numId w:val="0"/>
        </w:numPr>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olor w:val="auto"/>
          <w:kern w:val="2"/>
          <w:sz w:val="32"/>
          <w:szCs w:val="32"/>
          <w:lang w:val="en-US" w:eastAsia="zh-CN"/>
        </w:rPr>
      </w:pPr>
      <w:r>
        <w:rPr>
          <w:rFonts w:hint="eastAsia" w:ascii="Times New Roman" w:hAnsi="Times New Roman" w:eastAsia="仿宋_GB2312"/>
          <w:color w:val="auto"/>
          <w:kern w:val="2"/>
          <w:sz w:val="32"/>
          <w:szCs w:val="32"/>
          <w:lang w:val="en-US" w:eastAsia="zh-CN"/>
        </w:rPr>
        <w:t>（3）社会保障和就业支出208（类）行政事业单位离退休05（款）机关事业单位基本养老保险缴费支出05（项）本年度预算数为52.77万元，主要用于：支出我乡政府人员的养老保险。</w:t>
      </w:r>
    </w:p>
    <w:p>
      <w:pPr>
        <w:pStyle w:val="13"/>
        <w:keepNext w:val="0"/>
        <w:keepLines w:val="0"/>
        <w:pageBreakBefore w:val="0"/>
        <w:widowControl w:val="0"/>
        <w:numPr>
          <w:ilvl w:val="0"/>
          <w:numId w:val="0"/>
        </w:numPr>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olor w:val="auto"/>
          <w:kern w:val="2"/>
          <w:sz w:val="32"/>
          <w:szCs w:val="32"/>
          <w:lang w:val="en-US" w:eastAsia="zh-CN"/>
        </w:rPr>
      </w:pPr>
      <w:r>
        <w:rPr>
          <w:rFonts w:hint="eastAsia" w:ascii="Times New Roman" w:hAnsi="Times New Roman" w:eastAsia="仿宋_GB2312"/>
          <w:color w:val="auto"/>
          <w:kern w:val="2"/>
          <w:sz w:val="32"/>
          <w:szCs w:val="32"/>
          <w:lang w:val="en-US" w:eastAsia="zh-CN"/>
        </w:rPr>
        <w:t>（4）社会保障和就业支出208（类）行政事业单位养老</w:t>
      </w:r>
      <w:r>
        <w:rPr>
          <w:rFonts w:hint="eastAsia" w:ascii="Times New Roman" w:hAnsi="Times New Roman" w:eastAsia="仿宋_GB2312"/>
          <w:color w:val="auto"/>
          <w:kern w:val="2"/>
          <w:sz w:val="32"/>
          <w:szCs w:val="32"/>
          <w:highlight w:val="none"/>
          <w:lang w:val="en-US" w:eastAsia="zh-CN"/>
        </w:rPr>
        <w:t>支出05（款）机关事业单位职业年金缴费支出06（项）本年度预算数为26.38万元，主要用于：支出我乡政府人员的职业年金缴费。</w:t>
      </w:r>
    </w:p>
    <w:p>
      <w:pPr>
        <w:pStyle w:val="13"/>
        <w:keepNext w:val="0"/>
        <w:keepLines w:val="0"/>
        <w:pageBreakBefore w:val="0"/>
        <w:widowControl w:val="0"/>
        <w:numPr>
          <w:ilvl w:val="0"/>
          <w:numId w:val="0"/>
        </w:numPr>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olor w:val="auto"/>
          <w:kern w:val="2"/>
          <w:sz w:val="32"/>
          <w:szCs w:val="32"/>
          <w:lang w:val="en-US" w:eastAsia="zh-CN"/>
        </w:rPr>
      </w:pPr>
      <w:r>
        <w:rPr>
          <w:rFonts w:hint="eastAsia" w:ascii="Times New Roman" w:hAnsi="Times New Roman" w:eastAsia="仿宋_GB2312"/>
          <w:color w:val="auto"/>
          <w:kern w:val="2"/>
          <w:sz w:val="32"/>
          <w:szCs w:val="32"/>
          <w:lang w:val="en-US" w:eastAsia="zh-CN"/>
        </w:rPr>
        <w:t>（5）卫生健康支出210（类）行政事业单位医疗11（款）行政单位医疗01（项）本年度预算数为23.09万元、公务员医疗补助03（项）本年度预算数为4.98万元，主要用于：支出我乡政府人员的医疗补助和公务员医疗补助。</w:t>
      </w:r>
    </w:p>
    <w:p>
      <w:pPr>
        <w:pStyle w:val="13"/>
        <w:keepNext w:val="0"/>
        <w:keepLines w:val="0"/>
        <w:pageBreakBefore w:val="0"/>
        <w:widowControl w:val="0"/>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olor w:val="auto"/>
          <w:kern w:val="2"/>
          <w:sz w:val="32"/>
          <w:szCs w:val="32"/>
          <w:lang w:val="en-US" w:eastAsia="zh-CN"/>
        </w:rPr>
      </w:pPr>
      <w:r>
        <w:rPr>
          <w:rFonts w:hint="eastAsia" w:ascii="Times New Roman" w:hAnsi="Times New Roman" w:eastAsia="仿宋_GB2312"/>
          <w:color w:val="auto"/>
          <w:kern w:val="2"/>
          <w:sz w:val="32"/>
          <w:szCs w:val="32"/>
          <w:highlight w:val="none"/>
          <w:lang w:val="en-US" w:eastAsia="zh-CN"/>
        </w:rPr>
        <w:t>（6）农林水支出213（类）农业农村01（款）害虫害控制08（项）本年度预算数为0.96万元，主要用于：支出我乡村级动物防疫员监测病虫鼠害及疫情监测的劳务补助。</w:t>
      </w:r>
    </w:p>
    <w:p>
      <w:pPr>
        <w:pStyle w:val="13"/>
        <w:keepNext w:val="0"/>
        <w:keepLines w:val="0"/>
        <w:pageBreakBefore w:val="0"/>
        <w:widowControl w:val="0"/>
        <w:numPr>
          <w:ilvl w:val="0"/>
          <w:numId w:val="0"/>
        </w:numPr>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olor w:val="auto"/>
          <w:kern w:val="2"/>
          <w:sz w:val="32"/>
          <w:szCs w:val="32"/>
          <w:lang w:val="en-US" w:eastAsia="zh-CN"/>
        </w:rPr>
      </w:pPr>
      <w:r>
        <w:rPr>
          <w:rFonts w:hint="eastAsia" w:ascii="Times New Roman" w:hAnsi="Times New Roman" w:eastAsia="仿宋_GB2312"/>
          <w:color w:val="auto"/>
          <w:kern w:val="2"/>
          <w:sz w:val="32"/>
          <w:szCs w:val="32"/>
          <w:lang w:val="en-US" w:eastAsia="zh-CN"/>
        </w:rPr>
        <w:t>（7）农林水支出213（类）农村综合改革07（款）对村民委员会和村党支部的补助05（项）本年度预算数为72.88万元，主要用于：支出我乡各村村干部的医疗补助、村级组织经费运转及农村综合改革示范点补助支出。</w:t>
      </w:r>
    </w:p>
    <w:p>
      <w:pPr>
        <w:pStyle w:val="13"/>
        <w:keepNext w:val="0"/>
        <w:keepLines w:val="0"/>
        <w:pageBreakBefore w:val="0"/>
        <w:widowControl w:val="0"/>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olor w:val="auto"/>
          <w:kern w:val="2"/>
          <w:sz w:val="32"/>
          <w:szCs w:val="32"/>
          <w:highlight w:val="none"/>
          <w:lang w:val="en-US" w:eastAsia="zh-CN"/>
        </w:rPr>
      </w:pPr>
      <w:r>
        <w:rPr>
          <w:rFonts w:hint="eastAsia" w:ascii="Times New Roman" w:hAnsi="Times New Roman" w:eastAsia="仿宋_GB2312"/>
          <w:color w:val="auto"/>
          <w:kern w:val="2"/>
          <w:sz w:val="32"/>
          <w:szCs w:val="32"/>
          <w:lang w:val="en-US" w:eastAsia="zh-CN"/>
        </w:rPr>
        <w:t>（8）</w:t>
      </w:r>
      <w:r>
        <w:rPr>
          <w:rFonts w:hint="eastAsia" w:ascii="Times New Roman" w:hAnsi="Times New Roman" w:eastAsia="仿宋_GB2312"/>
          <w:color w:val="auto"/>
          <w:kern w:val="2"/>
          <w:sz w:val="32"/>
          <w:szCs w:val="32"/>
          <w:highlight w:val="none"/>
          <w:lang w:val="en-US" w:eastAsia="zh-CN"/>
        </w:rPr>
        <w:t>住房保障支出221（类）住房改革支出02（款）住房公积金01（项）本年度预算数为44.28万元，主要用于：支出我乡政府人员的住房公积金。</w:t>
      </w:r>
    </w:p>
    <w:p>
      <w:pPr>
        <w:pStyle w:val="13"/>
        <w:keepNext w:val="0"/>
        <w:keepLines w:val="0"/>
        <w:pageBreakBefore w:val="0"/>
        <w:widowControl w:val="0"/>
        <w:kinsoku/>
        <w:wordWrap/>
        <w:overflowPunct/>
        <w:topLinePunct w:val="0"/>
        <w:autoSpaceDE/>
        <w:autoSpaceDN/>
        <w:bidi w:val="0"/>
        <w:adjustRightInd/>
        <w:snapToGrid w:val="0"/>
        <w:spacing w:before="0" w:line="560" w:lineRule="exact"/>
        <w:ind w:firstLine="643" w:firstLineChars="200"/>
        <w:textAlignment w:val="auto"/>
        <w:outlineLvl w:val="2"/>
        <w:rPr>
          <w:rFonts w:hint="eastAsia" w:ascii="Times New Roman" w:hAnsi="Times New Roman" w:eastAsia="仿宋_GB2312"/>
          <w:b/>
          <w:bCs/>
          <w:color w:val="auto"/>
          <w:kern w:val="2"/>
          <w:sz w:val="32"/>
          <w:szCs w:val="32"/>
          <w:highlight w:val="none"/>
          <w:lang w:val="en-US" w:eastAsia="zh-CN"/>
        </w:rPr>
      </w:pPr>
      <w:bookmarkStart w:id="30" w:name="_Toc31147"/>
      <w:r>
        <w:rPr>
          <w:rFonts w:hint="eastAsia" w:ascii="Times New Roman" w:hAnsi="Times New Roman" w:eastAsia="仿宋_GB2312"/>
          <w:b/>
          <w:bCs/>
          <w:color w:val="auto"/>
          <w:kern w:val="2"/>
          <w:sz w:val="32"/>
          <w:szCs w:val="32"/>
          <w:highlight w:val="none"/>
          <w:lang w:val="en-US" w:eastAsia="zh-CN"/>
        </w:rPr>
        <w:t>2.壤塘县上壤塘乡便民服务中心</w:t>
      </w:r>
      <w:bookmarkEnd w:id="30"/>
    </w:p>
    <w:p>
      <w:pPr>
        <w:pStyle w:val="13"/>
        <w:keepNext w:val="0"/>
        <w:keepLines w:val="0"/>
        <w:pageBreakBefore w:val="0"/>
        <w:widowControl w:val="0"/>
        <w:numPr>
          <w:ilvl w:val="0"/>
          <w:numId w:val="0"/>
        </w:numPr>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olor w:val="auto"/>
          <w:kern w:val="2"/>
          <w:sz w:val="32"/>
          <w:szCs w:val="32"/>
          <w:lang w:eastAsia="zh-CN"/>
        </w:rPr>
      </w:pPr>
      <w:r>
        <w:rPr>
          <w:rFonts w:hint="eastAsia" w:ascii="Times New Roman" w:hAnsi="Times New Roman" w:eastAsia="仿宋_GB2312"/>
          <w:color w:val="auto"/>
          <w:kern w:val="2"/>
          <w:sz w:val="32"/>
          <w:szCs w:val="32"/>
          <w:lang w:val="en-US" w:eastAsia="zh-CN"/>
        </w:rPr>
        <w:t>（1）</w:t>
      </w:r>
      <w:r>
        <w:rPr>
          <w:rFonts w:hint="eastAsia" w:ascii="Times New Roman" w:hAnsi="Times New Roman" w:eastAsia="仿宋_GB2312"/>
          <w:color w:val="auto"/>
          <w:kern w:val="2"/>
          <w:sz w:val="32"/>
          <w:szCs w:val="32"/>
          <w:lang w:eastAsia="zh-CN"/>
        </w:rPr>
        <w:t>社会保障和就业支出208（类）行政事业单位离退休05（款）机关事业单位基本养老保险缴费支出05（项）本年度预算数为</w:t>
      </w:r>
      <w:r>
        <w:rPr>
          <w:rFonts w:hint="eastAsia" w:ascii="Times New Roman" w:hAnsi="Times New Roman" w:eastAsia="仿宋_GB2312"/>
          <w:color w:val="auto"/>
          <w:kern w:val="2"/>
          <w:sz w:val="32"/>
          <w:szCs w:val="32"/>
          <w:lang w:val="en-US" w:eastAsia="zh-CN"/>
        </w:rPr>
        <w:t>30.09</w:t>
      </w:r>
      <w:r>
        <w:rPr>
          <w:rFonts w:hint="eastAsia" w:ascii="Times New Roman" w:hAnsi="Times New Roman" w:eastAsia="仿宋_GB2312"/>
          <w:color w:val="auto"/>
          <w:kern w:val="2"/>
          <w:sz w:val="32"/>
          <w:szCs w:val="32"/>
          <w:lang w:eastAsia="zh-CN"/>
        </w:rPr>
        <w:t>万元，主要用于：</w:t>
      </w:r>
      <w:r>
        <w:rPr>
          <w:rFonts w:hint="eastAsia" w:ascii="Times New Roman" w:hAnsi="Times New Roman" w:eastAsia="仿宋_GB2312"/>
          <w:color w:val="auto"/>
          <w:kern w:val="2"/>
          <w:sz w:val="32"/>
          <w:szCs w:val="32"/>
          <w:lang w:val="en-US" w:eastAsia="zh-CN"/>
        </w:rPr>
        <w:t>支出我乡事业人员的</w:t>
      </w:r>
      <w:r>
        <w:rPr>
          <w:rFonts w:hint="eastAsia" w:ascii="Times New Roman" w:hAnsi="Times New Roman" w:eastAsia="仿宋_GB2312"/>
          <w:color w:val="auto"/>
          <w:kern w:val="2"/>
          <w:sz w:val="32"/>
          <w:szCs w:val="32"/>
          <w:lang w:eastAsia="zh-CN"/>
        </w:rPr>
        <w:t>养老保险。</w:t>
      </w:r>
    </w:p>
    <w:p>
      <w:pPr>
        <w:pStyle w:val="13"/>
        <w:keepNext w:val="0"/>
        <w:keepLines w:val="0"/>
        <w:pageBreakBefore w:val="0"/>
        <w:widowControl w:val="0"/>
        <w:numPr>
          <w:ilvl w:val="0"/>
          <w:numId w:val="0"/>
        </w:numPr>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olor w:val="auto"/>
          <w:kern w:val="2"/>
          <w:sz w:val="32"/>
          <w:szCs w:val="32"/>
          <w:lang w:val="en-US" w:eastAsia="zh-CN"/>
        </w:rPr>
      </w:pPr>
      <w:r>
        <w:rPr>
          <w:rFonts w:hint="eastAsia" w:ascii="Times New Roman" w:hAnsi="Times New Roman" w:eastAsia="仿宋_GB2312"/>
          <w:color w:val="auto"/>
          <w:kern w:val="2"/>
          <w:sz w:val="32"/>
          <w:szCs w:val="32"/>
          <w:lang w:val="en-US" w:eastAsia="zh-CN"/>
        </w:rPr>
        <w:t>（2）社会保障和就业支出208（类）行政事业单位养老支出05（款）机关事业单位职业年金缴费支出06（项）本年度预算数为15.04万元，主要用于：支出我乡事业人员的职业年金缴费。</w:t>
      </w:r>
    </w:p>
    <w:p>
      <w:pPr>
        <w:pStyle w:val="13"/>
        <w:keepNext w:val="0"/>
        <w:keepLines w:val="0"/>
        <w:pageBreakBefore w:val="0"/>
        <w:widowControl w:val="0"/>
        <w:numPr>
          <w:ilvl w:val="0"/>
          <w:numId w:val="0"/>
        </w:numPr>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olor w:val="auto"/>
          <w:kern w:val="2"/>
          <w:sz w:val="32"/>
          <w:szCs w:val="32"/>
          <w:highlight w:val="none"/>
          <w:lang w:val="en-US" w:eastAsia="zh-CN"/>
        </w:rPr>
      </w:pPr>
      <w:r>
        <w:rPr>
          <w:rFonts w:hint="eastAsia" w:ascii="Times New Roman" w:hAnsi="Times New Roman" w:eastAsia="仿宋_GB2312"/>
          <w:color w:val="auto"/>
          <w:kern w:val="2"/>
          <w:sz w:val="32"/>
          <w:szCs w:val="32"/>
          <w:lang w:val="en-US" w:eastAsia="zh-CN"/>
        </w:rPr>
        <w:t>（3）</w:t>
      </w:r>
      <w:r>
        <w:rPr>
          <w:rFonts w:hint="eastAsia" w:ascii="Times New Roman" w:hAnsi="Times New Roman" w:eastAsia="仿宋_GB2312"/>
          <w:color w:val="auto"/>
          <w:kern w:val="2"/>
          <w:sz w:val="32"/>
          <w:szCs w:val="32"/>
          <w:highlight w:val="none"/>
          <w:lang w:eastAsia="zh-CN"/>
        </w:rPr>
        <w:t>卫生健康</w:t>
      </w:r>
      <w:r>
        <w:rPr>
          <w:rFonts w:hint="eastAsia" w:ascii="Times New Roman" w:hAnsi="Times New Roman" w:eastAsia="仿宋_GB2312"/>
          <w:color w:val="auto"/>
          <w:kern w:val="2"/>
          <w:sz w:val="32"/>
          <w:szCs w:val="32"/>
          <w:highlight w:val="none"/>
          <w:lang w:val="en-US" w:eastAsia="zh-CN"/>
        </w:rPr>
        <w:t>支出210（类）行政事业单位医疗11（款）事业单位医疗02（项）本年度预算数为13.16万元、其他行政事业单位医疗补助支出99（项）本年度预算数为2.60万元，主要用于：支出我乡事业人员的医疗补助和公务员医疗补助。</w:t>
      </w:r>
    </w:p>
    <w:p>
      <w:pPr>
        <w:pStyle w:val="13"/>
        <w:keepNext w:val="0"/>
        <w:keepLines w:val="0"/>
        <w:pageBreakBefore w:val="0"/>
        <w:widowControl w:val="0"/>
        <w:numPr>
          <w:ilvl w:val="0"/>
          <w:numId w:val="0"/>
        </w:numPr>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olor w:val="auto"/>
          <w:kern w:val="2"/>
          <w:sz w:val="32"/>
          <w:szCs w:val="32"/>
          <w:lang w:val="en-US" w:eastAsia="zh-CN"/>
        </w:rPr>
      </w:pPr>
      <w:r>
        <w:rPr>
          <w:rFonts w:hint="eastAsia" w:ascii="Times New Roman" w:hAnsi="Times New Roman" w:eastAsia="仿宋_GB2312"/>
          <w:color w:val="auto"/>
          <w:kern w:val="2"/>
          <w:sz w:val="32"/>
          <w:szCs w:val="32"/>
          <w:lang w:val="en-US" w:eastAsia="zh-CN"/>
        </w:rPr>
        <w:t>（4）</w:t>
      </w:r>
      <w:r>
        <w:rPr>
          <w:rFonts w:hint="eastAsia" w:ascii="Times New Roman" w:hAnsi="Times New Roman" w:eastAsia="仿宋_GB2312"/>
          <w:color w:val="auto"/>
          <w:kern w:val="2"/>
          <w:sz w:val="32"/>
          <w:szCs w:val="32"/>
          <w:highlight w:val="none"/>
          <w:lang w:eastAsia="zh-CN"/>
        </w:rPr>
        <w:t>农林水</w:t>
      </w:r>
      <w:r>
        <w:rPr>
          <w:rFonts w:hint="eastAsia" w:ascii="Times New Roman" w:hAnsi="Times New Roman" w:eastAsia="仿宋_GB2312"/>
          <w:color w:val="auto"/>
          <w:kern w:val="2"/>
          <w:sz w:val="32"/>
          <w:szCs w:val="32"/>
          <w:highlight w:val="none"/>
          <w:lang w:val="en-US" w:eastAsia="zh-CN"/>
        </w:rPr>
        <w:t>支出213（类</w:t>
      </w:r>
      <w:r>
        <w:rPr>
          <w:rFonts w:hint="eastAsia" w:ascii="Times New Roman" w:hAnsi="Times New Roman" w:eastAsia="仿宋_GB2312"/>
          <w:color w:val="auto"/>
          <w:kern w:val="2"/>
          <w:sz w:val="32"/>
          <w:szCs w:val="32"/>
          <w:lang w:eastAsia="zh-CN"/>
        </w:rPr>
        <w:t>）农业农村</w:t>
      </w:r>
      <w:r>
        <w:rPr>
          <w:rFonts w:hint="eastAsia" w:ascii="Times New Roman" w:hAnsi="Times New Roman" w:eastAsia="仿宋_GB2312"/>
          <w:color w:val="auto"/>
          <w:kern w:val="2"/>
          <w:sz w:val="32"/>
          <w:szCs w:val="32"/>
          <w:lang w:val="en-US" w:eastAsia="zh-CN"/>
        </w:rPr>
        <w:t>01</w:t>
      </w:r>
      <w:r>
        <w:rPr>
          <w:rFonts w:hint="eastAsia" w:ascii="Times New Roman" w:hAnsi="Times New Roman" w:eastAsia="仿宋_GB2312"/>
          <w:color w:val="auto"/>
          <w:kern w:val="2"/>
          <w:sz w:val="32"/>
          <w:szCs w:val="32"/>
          <w:lang w:eastAsia="zh-CN"/>
        </w:rPr>
        <w:t>（款）</w:t>
      </w:r>
      <w:r>
        <w:rPr>
          <w:rFonts w:hint="eastAsia" w:ascii="Times New Roman" w:hAnsi="Times New Roman" w:eastAsia="仿宋_GB2312"/>
          <w:color w:val="auto"/>
          <w:kern w:val="2"/>
          <w:sz w:val="32"/>
          <w:szCs w:val="32"/>
          <w:lang w:val="en-US" w:eastAsia="zh-CN"/>
        </w:rPr>
        <w:t>事业运行04（项）本年度预算数为225.96万元，主要用于支付我乡事业人员的工资福利和各项保险经费等。</w:t>
      </w:r>
    </w:p>
    <w:p>
      <w:pPr>
        <w:pStyle w:val="13"/>
        <w:keepNext w:val="0"/>
        <w:keepLines w:val="0"/>
        <w:pageBreakBefore w:val="0"/>
        <w:widowControl w:val="0"/>
        <w:numPr>
          <w:ilvl w:val="0"/>
          <w:numId w:val="0"/>
        </w:numPr>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olor w:val="auto"/>
          <w:kern w:val="2"/>
          <w:sz w:val="32"/>
          <w:szCs w:val="32"/>
          <w:highlight w:val="none"/>
          <w:lang w:val="en-US" w:eastAsia="zh-CN"/>
        </w:rPr>
      </w:pPr>
      <w:r>
        <w:rPr>
          <w:rFonts w:hint="eastAsia" w:ascii="Times New Roman" w:hAnsi="Times New Roman" w:eastAsia="仿宋_GB2312"/>
          <w:color w:val="auto"/>
          <w:kern w:val="2"/>
          <w:sz w:val="32"/>
          <w:szCs w:val="32"/>
          <w:lang w:val="en-US" w:eastAsia="zh-CN"/>
        </w:rPr>
        <w:t>（5）住房保障支出221（类）住房改革支出02（款）住房公积金</w:t>
      </w:r>
      <w:r>
        <w:rPr>
          <w:rFonts w:hint="eastAsia" w:ascii="Times New Roman" w:hAnsi="Times New Roman" w:eastAsia="仿宋_GB2312"/>
          <w:color w:val="auto"/>
          <w:kern w:val="2"/>
          <w:sz w:val="32"/>
          <w:szCs w:val="32"/>
          <w:highlight w:val="none"/>
          <w:lang w:val="en-US" w:eastAsia="zh-CN"/>
        </w:rPr>
        <w:t>01（项）本年度预算数为25.42万元，主要用于：支出我乡事业人员的住房公积金。</w:t>
      </w:r>
    </w:p>
    <w:p>
      <w:pPr>
        <w:pStyle w:val="2"/>
        <w:bidi w:val="0"/>
        <w:ind w:firstLine="640" w:firstLineChars="200"/>
        <w:rPr>
          <w:rFonts w:hint="eastAsia"/>
        </w:rPr>
      </w:pPr>
      <w:bookmarkStart w:id="31" w:name="_Toc24774"/>
      <w:bookmarkStart w:id="32" w:name="_Toc21537"/>
      <w:r>
        <w:rPr>
          <w:rFonts w:hint="eastAsia"/>
        </w:rPr>
        <w:t>六、一般公共预算基本支出情况说明</w:t>
      </w:r>
      <w:bookmarkEnd w:id="31"/>
      <w:bookmarkEnd w:id="32"/>
    </w:p>
    <w:p>
      <w:pPr>
        <w:pStyle w:val="13"/>
        <w:keepNext w:val="0"/>
        <w:keepLines w:val="0"/>
        <w:pageBreakBefore w:val="0"/>
        <w:widowControl w:val="0"/>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olor w:val="auto"/>
          <w:kern w:val="2"/>
          <w:sz w:val="32"/>
          <w:szCs w:val="32"/>
        </w:rPr>
      </w:pPr>
      <w:r>
        <w:rPr>
          <w:rFonts w:hint="eastAsia" w:ascii="Times New Roman" w:hAnsi="Times New Roman" w:eastAsia="仿宋_GB2312"/>
          <w:color w:val="auto"/>
          <w:kern w:val="2"/>
          <w:sz w:val="32"/>
          <w:szCs w:val="32"/>
          <w:lang w:eastAsia="zh-CN"/>
        </w:rPr>
        <w:t>壤塘县上壤塘乡人民政府本年度</w:t>
      </w:r>
      <w:r>
        <w:rPr>
          <w:rFonts w:hint="eastAsia" w:ascii="Times New Roman" w:hAnsi="Times New Roman" w:eastAsia="仿宋_GB2312"/>
          <w:color w:val="auto"/>
          <w:kern w:val="2"/>
          <w:sz w:val="32"/>
          <w:szCs w:val="32"/>
        </w:rPr>
        <w:t>一般公共预算基本支出</w:t>
      </w:r>
      <w:r>
        <w:rPr>
          <w:rFonts w:hint="eastAsia" w:ascii="Times New Roman" w:hAnsi="Times New Roman" w:eastAsia="仿宋_GB2312"/>
          <w:color w:val="auto"/>
          <w:kern w:val="2"/>
          <w:sz w:val="32"/>
          <w:szCs w:val="32"/>
          <w:lang w:val="en-US" w:eastAsia="zh-CN"/>
        </w:rPr>
        <w:t>1090.59</w:t>
      </w:r>
      <w:r>
        <w:rPr>
          <w:rFonts w:hint="eastAsia" w:ascii="Times New Roman" w:hAnsi="Times New Roman" w:eastAsia="仿宋_GB2312"/>
          <w:color w:val="auto"/>
          <w:kern w:val="2"/>
          <w:sz w:val="32"/>
          <w:szCs w:val="32"/>
        </w:rPr>
        <w:t>万元，其中</w:t>
      </w:r>
      <w:r>
        <w:rPr>
          <w:rFonts w:hint="eastAsia" w:ascii="Times New Roman" w:hAnsi="Times New Roman" w:eastAsia="仿宋_GB2312"/>
          <w:color w:val="auto"/>
          <w:kern w:val="2"/>
          <w:sz w:val="32"/>
          <w:szCs w:val="32"/>
          <w:lang w:eastAsia="zh-CN"/>
        </w:rPr>
        <w:t>：</w:t>
      </w:r>
      <w:r>
        <w:rPr>
          <w:rFonts w:hint="eastAsia" w:ascii="Times New Roman" w:hAnsi="Times New Roman" w:eastAsia="仿宋_GB2312"/>
          <w:color w:val="auto"/>
          <w:kern w:val="2"/>
          <w:sz w:val="32"/>
          <w:szCs w:val="32"/>
          <w:lang w:val="en-US" w:eastAsia="zh-CN"/>
        </w:rPr>
        <w:t>人员经费929.72</w:t>
      </w:r>
      <w:r>
        <w:rPr>
          <w:rFonts w:hint="eastAsia" w:ascii="Times New Roman" w:hAnsi="Times New Roman" w:eastAsia="仿宋_GB2312"/>
          <w:color w:val="auto"/>
          <w:kern w:val="2"/>
          <w:sz w:val="32"/>
          <w:szCs w:val="32"/>
        </w:rPr>
        <w:t>万元，主要包括：基本工资、津贴补贴、奖金、其他社会保障缴费、绩效工资、机关事业单位基本养老保险缴费、职业年金缴费、其他工资福利支出、奖励金、住房公积金、其他对个人和家庭的补助支出。</w:t>
      </w:r>
    </w:p>
    <w:p>
      <w:pPr>
        <w:pStyle w:val="13"/>
        <w:keepNext w:val="0"/>
        <w:keepLines w:val="0"/>
        <w:pageBreakBefore w:val="0"/>
        <w:widowControl w:val="0"/>
        <w:kinsoku/>
        <w:wordWrap/>
        <w:overflowPunct/>
        <w:topLinePunct w:val="0"/>
        <w:autoSpaceDE/>
        <w:autoSpaceDN/>
        <w:bidi w:val="0"/>
        <w:adjustRightInd/>
        <w:snapToGrid w:val="0"/>
        <w:spacing w:before="0" w:line="560" w:lineRule="exact"/>
        <w:ind w:firstLine="640" w:firstLineChars="200"/>
        <w:textAlignment w:val="auto"/>
        <w:outlineLvl w:val="0"/>
        <w:rPr>
          <w:rFonts w:ascii="Times New Roman" w:hAnsi="Times New Roman" w:eastAsia="仿宋_GB2312"/>
          <w:sz w:val="32"/>
          <w:szCs w:val="32"/>
        </w:rPr>
      </w:pPr>
      <w:bookmarkStart w:id="33" w:name="_Toc46"/>
      <w:r>
        <w:rPr>
          <w:rFonts w:hint="eastAsia" w:ascii="Times New Roman" w:hAnsi="Times New Roman" w:eastAsia="仿宋_GB2312"/>
          <w:color w:val="auto"/>
          <w:kern w:val="2"/>
          <w:sz w:val="32"/>
          <w:szCs w:val="32"/>
          <w:lang w:val="en-US" w:eastAsia="zh-CN"/>
        </w:rPr>
        <w:t>公用经费160.87</w:t>
      </w:r>
      <w:r>
        <w:rPr>
          <w:rFonts w:hint="eastAsia" w:ascii="Times New Roman" w:hAnsi="Times New Roman" w:eastAsia="仿宋_GB2312"/>
          <w:color w:val="auto"/>
          <w:kern w:val="2"/>
          <w:sz w:val="32"/>
          <w:szCs w:val="32"/>
        </w:rPr>
        <w:t>万元，主要包括：办公费、印刷费、手续费、电费、邮电费、差旅费、维修（护）费、租赁费、培训费、劳务费、其他交通工具运行维护费、其他商品和服务支出。</w:t>
      </w:r>
      <w:r>
        <w:rPr>
          <w:rFonts w:hint="eastAsia" w:ascii="Times New Roman" w:hAnsi="Times New Roman" w:eastAsia="仿宋_GB2312" w:cs="仿宋_GB2312"/>
          <w:kern w:val="2"/>
          <w:sz w:val="32"/>
          <w:szCs w:val="32"/>
        </w:rPr>
        <w:br w:type="textWrapping"/>
      </w:r>
      <w:r>
        <w:rPr>
          <w:rFonts w:hint="eastAsia" w:ascii="Times New Roman" w:hAnsi="Times New Roman" w:eastAsia="仿宋_GB2312" w:cs="Times New Roman"/>
          <w:b w:val="0"/>
          <w:bCs/>
          <w:kern w:val="44"/>
          <w:sz w:val="32"/>
          <w:szCs w:val="22"/>
          <w:lang w:val="en-US" w:eastAsia="zh-CN" w:bidi="ar-SA"/>
        </w:rPr>
        <w:t xml:space="preserve"> </w:t>
      </w:r>
      <w:r>
        <w:rPr>
          <w:rFonts w:hint="eastAsia" w:ascii="Calibri" w:hAnsi="Calibri" w:eastAsia="黑体" w:cs="Times New Roman"/>
          <w:bCs/>
          <w:kern w:val="44"/>
          <w:sz w:val="32"/>
          <w:szCs w:val="22"/>
          <w:lang w:val="en-US" w:eastAsia="zh-CN" w:bidi="ar-SA"/>
        </w:rPr>
        <w:t xml:space="preserve">   七、“三公”经费财政拨款预算安排情况说明</w:t>
      </w:r>
      <w:bookmarkEnd w:id="33"/>
    </w:p>
    <w:p>
      <w:pPr>
        <w:pStyle w:val="13"/>
        <w:keepNext w:val="0"/>
        <w:keepLines w:val="0"/>
        <w:pageBreakBefore w:val="0"/>
        <w:widowControl w:val="0"/>
        <w:kinsoku/>
        <w:wordWrap/>
        <w:overflowPunct/>
        <w:topLinePunct w:val="0"/>
        <w:autoSpaceDE/>
        <w:autoSpaceDN/>
        <w:bidi w:val="0"/>
        <w:adjustRightInd/>
        <w:snapToGrid w:val="0"/>
        <w:spacing w:before="0" w:line="560" w:lineRule="exact"/>
        <w:ind w:firstLine="640" w:firstLineChars="200"/>
        <w:textAlignment w:val="auto"/>
        <w:rPr>
          <w:rFonts w:ascii="Times New Roman" w:hAnsi="Times New Roman" w:eastAsia="仿宋_GB2312" w:cs="Times New Roman"/>
          <w:color w:val="auto"/>
          <w:kern w:val="2"/>
          <w:sz w:val="32"/>
          <w:szCs w:val="32"/>
        </w:rPr>
      </w:pPr>
      <w:r>
        <w:rPr>
          <w:rFonts w:hint="eastAsia" w:ascii="Times New Roman" w:hAnsi="Times New Roman" w:eastAsia="仿宋_GB2312"/>
          <w:color w:val="auto"/>
          <w:kern w:val="2"/>
          <w:sz w:val="32"/>
          <w:szCs w:val="32"/>
          <w:lang w:eastAsia="zh-CN"/>
        </w:rPr>
        <w:t>壤塘县上壤塘乡人民政府</w:t>
      </w:r>
      <w:r>
        <w:rPr>
          <w:rFonts w:hint="eastAsia" w:ascii="Times New Roman" w:hAnsi="Times New Roman" w:eastAsia="仿宋_GB2312"/>
          <w:color w:val="auto"/>
          <w:kern w:val="2"/>
          <w:sz w:val="32"/>
          <w:szCs w:val="32"/>
          <w:lang w:val="en-US" w:eastAsia="zh-CN"/>
        </w:rPr>
        <w:t>2026年</w:t>
      </w:r>
      <w:r>
        <w:rPr>
          <w:rFonts w:ascii="Times New Roman" w:hAnsi="Times New Roman" w:eastAsia="仿宋_GB2312" w:cs="Times New Roman"/>
          <w:color w:val="auto"/>
          <w:kern w:val="2"/>
          <w:sz w:val="32"/>
          <w:szCs w:val="32"/>
        </w:rPr>
        <w:t>“</w:t>
      </w:r>
      <w:r>
        <w:rPr>
          <w:rFonts w:hint="eastAsia" w:ascii="Times New Roman" w:hAnsi="Times New Roman" w:eastAsia="仿宋_GB2312"/>
          <w:color w:val="auto"/>
          <w:kern w:val="2"/>
          <w:sz w:val="32"/>
          <w:szCs w:val="32"/>
        </w:rPr>
        <w:t>三公</w:t>
      </w:r>
      <w:r>
        <w:rPr>
          <w:rFonts w:ascii="Times New Roman" w:hAnsi="Times New Roman" w:eastAsia="仿宋_GB2312" w:cs="Times New Roman"/>
          <w:color w:val="auto"/>
          <w:kern w:val="2"/>
          <w:sz w:val="32"/>
          <w:szCs w:val="32"/>
        </w:rPr>
        <w:t>”</w:t>
      </w:r>
      <w:r>
        <w:rPr>
          <w:rFonts w:hint="eastAsia" w:ascii="Times New Roman" w:hAnsi="Times New Roman" w:eastAsia="仿宋_GB2312"/>
          <w:color w:val="auto"/>
          <w:kern w:val="2"/>
          <w:sz w:val="32"/>
          <w:szCs w:val="32"/>
        </w:rPr>
        <w:t>经费财政拨款预算数</w:t>
      </w:r>
      <w:r>
        <w:rPr>
          <w:rFonts w:hint="eastAsia" w:ascii="Times New Roman" w:hAnsi="Times New Roman" w:eastAsia="仿宋_GB2312"/>
          <w:color w:val="auto"/>
          <w:kern w:val="2"/>
          <w:sz w:val="32"/>
          <w:szCs w:val="32"/>
          <w:lang w:val="en-US" w:eastAsia="zh-CN"/>
        </w:rPr>
        <w:t>15.00</w:t>
      </w:r>
      <w:r>
        <w:rPr>
          <w:rFonts w:hint="eastAsia" w:ascii="Times New Roman" w:hAnsi="Times New Roman" w:eastAsia="仿宋_GB2312"/>
          <w:color w:val="auto"/>
          <w:kern w:val="2"/>
          <w:sz w:val="32"/>
          <w:szCs w:val="32"/>
        </w:rPr>
        <w:t>万元，其中：因公出国（境）经费</w:t>
      </w:r>
      <w:r>
        <w:rPr>
          <w:rFonts w:hint="eastAsia" w:ascii="Times New Roman" w:hAnsi="Times New Roman" w:eastAsia="仿宋_GB2312"/>
          <w:color w:val="auto"/>
          <w:kern w:val="2"/>
          <w:sz w:val="32"/>
          <w:szCs w:val="32"/>
          <w:lang w:val="en-US" w:eastAsia="zh-CN"/>
        </w:rPr>
        <w:t>0.00</w:t>
      </w:r>
      <w:r>
        <w:rPr>
          <w:rFonts w:hint="eastAsia" w:ascii="Times New Roman" w:hAnsi="Times New Roman" w:eastAsia="仿宋_GB2312"/>
          <w:color w:val="auto"/>
          <w:kern w:val="2"/>
          <w:sz w:val="32"/>
          <w:szCs w:val="32"/>
        </w:rPr>
        <w:t>万元，公务接待费</w:t>
      </w:r>
      <w:r>
        <w:rPr>
          <w:rFonts w:hint="eastAsia" w:ascii="Times New Roman" w:hAnsi="Times New Roman" w:eastAsia="仿宋_GB2312"/>
          <w:color w:val="auto"/>
          <w:kern w:val="2"/>
          <w:sz w:val="32"/>
          <w:szCs w:val="32"/>
          <w:lang w:val="en-US" w:eastAsia="zh-CN"/>
        </w:rPr>
        <w:t>0.00</w:t>
      </w:r>
      <w:r>
        <w:rPr>
          <w:rFonts w:hint="eastAsia" w:ascii="Times New Roman" w:hAnsi="Times New Roman" w:eastAsia="仿宋_GB2312"/>
          <w:color w:val="auto"/>
          <w:kern w:val="2"/>
          <w:sz w:val="32"/>
          <w:szCs w:val="32"/>
        </w:rPr>
        <w:t>万元，公务用车购置及运行维护费</w:t>
      </w:r>
      <w:r>
        <w:rPr>
          <w:rFonts w:hint="eastAsia" w:ascii="Times New Roman" w:hAnsi="Times New Roman" w:eastAsia="仿宋_GB2312"/>
          <w:color w:val="auto"/>
          <w:kern w:val="2"/>
          <w:sz w:val="32"/>
          <w:szCs w:val="32"/>
          <w:lang w:val="en-US" w:eastAsia="zh-CN"/>
        </w:rPr>
        <w:t>15.00</w:t>
      </w:r>
      <w:r>
        <w:rPr>
          <w:rFonts w:hint="eastAsia" w:ascii="Times New Roman" w:hAnsi="Times New Roman" w:eastAsia="仿宋_GB2312"/>
          <w:color w:val="auto"/>
          <w:kern w:val="2"/>
          <w:sz w:val="32"/>
          <w:szCs w:val="32"/>
        </w:rPr>
        <w:t>万元。</w:t>
      </w:r>
    </w:p>
    <w:p>
      <w:pPr>
        <w:pStyle w:val="13"/>
        <w:keepNext w:val="0"/>
        <w:keepLines w:val="0"/>
        <w:pageBreakBefore w:val="0"/>
        <w:widowControl w:val="0"/>
        <w:numPr>
          <w:ilvl w:val="0"/>
          <w:numId w:val="1"/>
        </w:numPr>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olor w:val="auto"/>
          <w:kern w:val="2"/>
          <w:sz w:val="32"/>
          <w:szCs w:val="32"/>
          <w:lang w:val="en-US" w:eastAsia="zh-CN"/>
        </w:rPr>
      </w:pPr>
      <w:r>
        <w:rPr>
          <w:rFonts w:hint="eastAsia" w:ascii="Times New Roman" w:hAnsi="Times New Roman" w:eastAsia="仿宋_GB2312"/>
          <w:color w:val="auto"/>
          <w:kern w:val="2"/>
          <w:sz w:val="32"/>
          <w:szCs w:val="32"/>
          <w:lang w:eastAsia="zh-CN"/>
        </w:rPr>
        <w:t>本年度</w:t>
      </w:r>
      <w:r>
        <w:rPr>
          <w:rFonts w:hint="eastAsia" w:ascii="Times New Roman" w:hAnsi="Times New Roman" w:eastAsia="仿宋_GB2312"/>
          <w:color w:val="auto"/>
          <w:kern w:val="2"/>
          <w:sz w:val="32"/>
          <w:szCs w:val="32"/>
        </w:rPr>
        <w:t>因公出国（境）经费</w:t>
      </w:r>
      <w:r>
        <w:rPr>
          <w:rFonts w:hint="eastAsia" w:ascii="Times New Roman" w:hAnsi="Times New Roman" w:eastAsia="仿宋_GB2312"/>
          <w:color w:val="auto"/>
          <w:kern w:val="2"/>
          <w:sz w:val="32"/>
          <w:szCs w:val="32"/>
          <w:lang w:val="en-US" w:eastAsia="zh-CN"/>
        </w:rPr>
        <w:t>0.00</w:t>
      </w:r>
      <w:r>
        <w:rPr>
          <w:rFonts w:hint="eastAsia" w:ascii="Times New Roman" w:hAnsi="Times New Roman" w:eastAsia="仿宋_GB2312"/>
          <w:color w:val="auto"/>
          <w:kern w:val="2"/>
          <w:sz w:val="32"/>
          <w:szCs w:val="32"/>
        </w:rPr>
        <w:t>万元。</w:t>
      </w:r>
      <w:r>
        <w:rPr>
          <w:rFonts w:hint="eastAsia" w:ascii="Times New Roman" w:hAnsi="Times New Roman" w:eastAsia="仿宋_GB2312"/>
          <w:color w:val="auto"/>
          <w:kern w:val="2"/>
          <w:sz w:val="32"/>
          <w:szCs w:val="32"/>
          <w:lang w:val="en-US" w:eastAsia="zh-CN"/>
        </w:rPr>
        <w:t>与上年相比无增长数。</w:t>
      </w:r>
    </w:p>
    <w:p>
      <w:pPr>
        <w:pStyle w:val="13"/>
        <w:keepNext w:val="0"/>
        <w:keepLines w:val="0"/>
        <w:pageBreakBefore w:val="0"/>
        <w:widowControl w:val="0"/>
        <w:numPr>
          <w:ilvl w:val="0"/>
          <w:numId w:val="0"/>
        </w:numPr>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olor w:val="auto"/>
          <w:kern w:val="2"/>
          <w:sz w:val="32"/>
          <w:szCs w:val="32"/>
        </w:rPr>
        <w:t>（二）</w:t>
      </w:r>
      <w:r>
        <w:rPr>
          <w:rFonts w:hint="eastAsia" w:ascii="Times New Roman" w:hAnsi="Times New Roman" w:eastAsia="仿宋_GB2312"/>
          <w:color w:val="auto"/>
          <w:kern w:val="2"/>
          <w:sz w:val="32"/>
          <w:szCs w:val="32"/>
          <w:lang w:eastAsia="zh-CN"/>
        </w:rPr>
        <w:t>本年度</w:t>
      </w:r>
      <w:r>
        <w:rPr>
          <w:rFonts w:hint="eastAsia" w:ascii="Times New Roman" w:hAnsi="Times New Roman" w:eastAsia="仿宋_GB2312"/>
          <w:color w:val="auto"/>
          <w:kern w:val="2"/>
          <w:sz w:val="32"/>
          <w:szCs w:val="32"/>
        </w:rPr>
        <w:t>因公出国（境）经费</w:t>
      </w:r>
      <w:r>
        <w:rPr>
          <w:rFonts w:hint="eastAsia" w:ascii="Times New Roman" w:hAnsi="Times New Roman" w:eastAsia="仿宋_GB2312"/>
          <w:color w:val="auto"/>
          <w:kern w:val="2"/>
          <w:sz w:val="32"/>
          <w:szCs w:val="32"/>
          <w:lang w:val="en-US" w:eastAsia="zh-CN"/>
        </w:rPr>
        <w:t>0.00</w:t>
      </w:r>
      <w:r>
        <w:rPr>
          <w:rFonts w:hint="eastAsia" w:ascii="Times New Roman" w:hAnsi="Times New Roman" w:eastAsia="仿宋_GB2312"/>
          <w:color w:val="auto"/>
          <w:kern w:val="2"/>
          <w:sz w:val="32"/>
          <w:szCs w:val="32"/>
        </w:rPr>
        <w:t>万元。</w:t>
      </w:r>
      <w:r>
        <w:rPr>
          <w:rFonts w:hint="eastAsia" w:ascii="Times New Roman" w:hAnsi="Times New Roman" w:eastAsia="仿宋_GB2312"/>
          <w:color w:val="auto"/>
          <w:kern w:val="2"/>
          <w:sz w:val="32"/>
          <w:szCs w:val="32"/>
          <w:lang w:val="en-US" w:eastAsia="zh-CN"/>
        </w:rPr>
        <w:t>与上年相比无增长数。</w:t>
      </w:r>
    </w:p>
    <w:p>
      <w:pPr>
        <w:pStyle w:val="13"/>
        <w:keepNext w:val="0"/>
        <w:keepLines w:val="0"/>
        <w:pageBreakBefore w:val="0"/>
        <w:widowControl w:val="0"/>
        <w:numPr>
          <w:ilvl w:val="0"/>
          <w:numId w:val="0"/>
        </w:numPr>
        <w:kinsoku/>
        <w:wordWrap/>
        <w:overflowPunct/>
        <w:topLinePunct w:val="0"/>
        <w:autoSpaceDE/>
        <w:autoSpaceDN/>
        <w:bidi w:val="0"/>
        <w:adjustRightInd/>
        <w:snapToGrid w:val="0"/>
        <w:spacing w:before="0" w:line="560" w:lineRule="exact"/>
        <w:ind w:firstLine="640" w:firstLineChars="200"/>
        <w:textAlignment w:val="auto"/>
        <w:rPr>
          <w:rFonts w:hint="eastAsia" w:ascii="Times New Roman" w:hAnsi="Times New Roman" w:eastAsia="仿宋_GB2312" w:cs="Times New Roman"/>
          <w:color w:val="auto"/>
          <w:kern w:val="2"/>
          <w:sz w:val="32"/>
          <w:szCs w:val="32"/>
          <w:lang w:eastAsia="zh-CN"/>
        </w:rPr>
      </w:pPr>
      <w:r>
        <w:rPr>
          <w:rFonts w:hint="eastAsia" w:ascii="Times New Roman" w:hAnsi="Times New Roman" w:eastAsia="仿宋_GB2312"/>
          <w:color w:val="auto"/>
          <w:kern w:val="2"/>
          <w:sz w:val="32"/>
          <w:szCs w:val="32"/>
        </w:rPr>
        <w:t>（三）</w:t>
      </w:r>
      <w:r>
        <w:rPr>
          <w:rFonts w:hint="eastAsia" w:ascii="Times New Roman" w:hAnsi="Times New Roman" w:eastAsia="仿宋_GB2312"/>
          <w:color w:val="auto"/>
          <w:kern w:val="2"/>
          <w:sz w:val="32"/>
          <w:szCs w:val="32"/>
          <w:lang w:eastAsia="zh-CN"/>
        </w:rPr>
        <w:t>本年度</w:t>
      </w:r>
      <w:r>
        <w:rPr>
          <w:rFonts w:hint="eastAsia" w:ascii="Times New Roman" w:hAnsi="Times New Roman" w:eastAsia="仿宋_GB2312"/>
          <w:color w:val="auto"/>
          <w:kern w:val="2"/>
          <w:sz w:val="32"/>
          <w:szCs w:val="32"/>
        </w:rPr>
        <w:t>公务用车购置及运行维护费</w:t>
      </w:r>
      <w:r>
        <w:rPr>
          <w:rFonts w:hint="eastAsia" w:ascii="Times New Roman" w:hAnsi="Times New Roman" w:eastAsia="仿宋_GB2312"/>
          <w:color w:val="auto"/>
          <w:kern w:val="2"/>
          <w:sz w:val="32"/>
          <w:szCs w:val="32"/>
          <w:lang w:val="en-US" w:eastAsia="zh-CN"/>
        </w:rPr>
        <w:t>15.00</w:t>
      </w:r>
      <w:r>
        <w:rPr>
          <w:rFonts w:hint="eastAsia" w:ascii="Times New Roman" w:hAnsi="Times New Roman" w:eastAsia="仿宋_GB2312"/>
          <w:color w:val="auto"/>
          <w:kern w:val="2"/>
          <w:sz w:val="32"/>
          <w:szCs w:val="32"/>
        </w:rPr>
        <w:t>万元。</w:t>
      </w:r>
      <w:r>
        <w:rPr>
          <w:rFonts w:hint="eastAsia" w:ascii="Times New Roman" w:hAnsi="Times New Roman" w:eastAsia="仿宋_GB2312"/>
          <w:color w:val="auto"/>
          <w:kern w:val="2"/>
          <w:sz w:val="32"/>
          <w:szCs w:val="32"/>
          <w:lang w:val="en-US" w:eastAsia="zh-CN"/>
        </w:rPr>
        <w:t>与上年相比无增长数。</w:t>
      </w:r>
    </w:p>
    <w:p>
      <w:pPr>
        <w:pStyle w:val="2"/>
        <w:bidi w:val="0"/>
        <w:ind w:firstLine="640" w:firstLineChars="200"/>
        <w:rPr>
          <w:rFonts w:hint="eastAsia"/>
        </w:rPr>
      </w:pPr>
      <w:bookmarkStart w:id="34" w:name="_Toc20085"/>
      <w:bookmarkStart w:id="35" w:name="_Toc2655"/>
      <w:r>
        <w:rPr>
          <w:rFonts w:hint="eastAsia"/>
        </w:rPr>
        <w:t>八、政府性基金预算支出情况说明</w:t>
      </w:r>
      <w:bookmarkEnd w:id="34"/>
      <w:bookmarkEnd w:id="35"/>
    </w:p>
    <w:p>
      <w:pPr>
        <w:pStyle w:val="13"/>
        <w:pageBreakBefore w:val="0"/>
        <w:kinsoku/>
        <w:wordWrap/>
        <w:overflowPunct/>
        <w:topLinePunct w:val="0"/>
        <w:autoSpaceDE/>
        <w:autoSpaceDN/>
        <w:bidi w:val="0"/>
        <w:spacing w:before="0" w:line="560" w:lineRule="exact"/>
        <w:ind w:firstLine="640"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olor w:val="auto"/>
          <w:kern w:val="2"/>
          <w:sz w:val="32"/>
          <w:szCs w:val="32"/>
          <w:lang w:eastAsia="zh-CN"/>
        </w:rPr>
        <w:t>壤塘县上壤塘乡人民政府</w:t>
      </w:r>
      <w:r>
        <w:rPr>
          <w:rFonts w:hint="eastAsia" w:ascii="Times New Roman" w:hAnsi="Times New Roman" w:eastAsia="仿宋_GB2312" w:cs="仿宋_GB2312"/>
          <w:kern w:val="2"/>
          <w:sz w:val="32"/>
          <w:szCs w:val="32"/>
          <w:lang w:eastAsia="zh-CN"/>
        </w:rPr>
        <w:t>2026</w:t>
      </w:r>
      <w:r>
        <w:rPr>
          <w:rFonts w:hint="eastAsia" w:ascii="Times New Roman" w:hAnsi="Times New Roman" w:eastAsia="仿宋_GB2312" w:cs="仿宋_GB2312"/>
          <w:kern w:val="2"/>
          <w:sz w:val="32"/>
          <w:szCs w:val="32"/>
        </w:rPr>
        <w:t>年政府性基金预算拨款安排的支出</w:t>
      </w:r>
      <w:r>
        <w:rPr>
          <w:rFonts w:hint="eastAsia" w:ascii="Times New Roman" w:hAnsi="Times New Roman" w:eastAsia="仿宋_GB2312"/>
          <w:color w:val="auto"/>
          <w:kern w:val="2"/>
          <w:sz w:val="32"/>
          <w:szCs w:val="32"/>
          <w:lang w:val="en-US" w:eastAsia="zh-CN"/>
        </w:rPr>
        <w:t>0.00</w:t>
      </w:r>
      <w:r>
        <w:rPr>
          <w:rFonts w:hint="eastAsia" w:ascii="Times New Roman" w:hAnsi="Times New Roman" w:eastAsia="仿宋_GB2312" w:cs="仿宋_GB2312"/>
          <w:kern w:val="2"/>
          <w:sz w:val="32"/>
          <w:szCs w:val="32"/>
        </w:rPr>
        <w:t>万元。较</w:t>
      </w:r>
      <w:r>
        <w:rPr>
          <w:rFonts w:hint="eastAsia" w:ascii="Times New Roman" w:hAnsi="Times New Roman" w:eastAsia="仿宋_GB2312" w:cs="仿宋_GB2312"/>
          <w:kern w:val="2"/>
          <w:sz w:val="32"/>
          <w:szCs w:val="32"/>
          <w:lang w:eastAsia="zh-CN"/>
        </w:rPr>
        <w:t>2025</w:t>
      </w:r>
      <w:r>
        <w:rPr>
          <w:rFonts w:hint="eastAsia" w:ascii="Times New Roman" w:hAnsi="Times New Roman" w:eastAsia="仿宋_GB2312" w:cs="仿宋_GB2312"/>
          <w:kern w:val="2"/>
          <w:sz w:val="32"/>
          <w:szCs w:val="32"/>
        </w:rPr>
        <w:t>年预算经费</w:t>
      </w:r>
      <w:r>
        <w:rPr>
          <w:rFonts w:hint="eastAsia" w:ascii="Times New Roman" w:hAnsi="Times New Roman" w:eastAsia="仿宋_GB2312" w:cs="宋体"/>
          <w:sz w:val="32"/>
          <w:szCs w:val="32"/>
        </w:rPr>
        <w:t>增加/</w:t>
      </w:r>
      <w:r>
        <w:rPr>
          <w:rFonts w:hint="eastAsia" w:ascii="Times New Roman" w:hAnsi="Times New Roman" w:eastAsia="仿宋_GB2312" w:cs="仿宋_GB2312"/>
          <w:color w:val="000000"/>
          <w:kern w:val="2"/>
          <w:sz w:val="32"/>
          <w:szCs w:val="32"/>
        </w:rPr>
        <w:t>减少</w:t>
      </w:r>
      <w:r>
        <w:rPr>
          <w:rFonts w:hint="eastAsia" w:ascii="Times New Roman" w:hAnsi="Times New Roman" w:eastAsia="仿宋_GB2312" w:cs="仿宋_GB2312"/>
          <w:kern w:val="2"/>
          <w:sz w:val="32"/>
          <w:szCs w:val="32"/>
          <w:lang w:val="en-US" w:eastAsia="zh-CN"/>
        </w:rPr>
        <w:t>0.00</w:t>
      </w:r>
      <w:r>
        <w:rPr>
          <w:rFonts w:hint="eastAsia" w:ascii="Times New Roman" w:hAnsi="Times New Roman" w:eastAsia="仿宋_GB2312" w:cs="仿宋_GB2312"/>
          <w:kern w:val="2"/>
          <w:sz w:val="32"/>
          <w:szCs w:val="32"/>
        </w:rPr>
        <w:t>万元，增长</w:t>
      </w:r>
      <w:r>
        <w:rPr>
          <w:rFonts w:hint="eastAsia" w:ascii="Times New Roman" w:hAnsi="Times New Roman" w:eastAsia="仿宋_GB2312" w:cs="仿宋_GB2312"/>
          <w:kern w:val="2"/>
          <w:sz w:val="32"/>
          <w:szCs w:val="32"/>
          <w:lang w:val="en-US" w:eastAsia="zh-CN"/>
        </w:rPr>
        <w:t>0</w:t>
      </w:r>
      <w:r>
        <w:rPr>
          <w:rFonts w:hint="eastAsia" w:ascii="Times New Roman" w:hAnsi="Times New Roman" w:eastAsia="仿宋_GB2312" w:cs="仿宋_GB2312"/>
          <w:kern w:val="2"/>
          <w:sz w:val="32"/>
          <w:szCs w:val="32"/>
        </w:rPr>
        <w:t>%。</w:t>
      </w:r>
    </w:p>
    <w:p>
      <w:pPr>
        <w:pStyle w:val="2"/>
        <w:bidi w:val="0"/>
        <w:ind w:firstLine="640" w:firstLineChars="200"/>
        <w:rPr>
          <w:rFonts w:hint="eastAsia"/>
        </w:rPr>
      </w:pPr>
      <w:bookmarkStart w:id="36" w:name="_Toc31637"/>
      <w:bookmarkStart w:id="37" w:name="_Toc25778"/>
      <w:r>
        <w:rPr>
          <w:rFonts w:hint="eastAsia"/>
        </w:rPr>
        <w:t>九、其他重要事项的情况说明</w:t>
      </w:r>
      <w:bookmarkEnd w:id="36"/>
      <w:bookmarkEnd w:id="37"/>
    </w:p>
    <w:p>
      <w:pPr>
        <w:pStyle w:val="13"/>
        <w:pageBreakBefore w:val="0"/>
        <w:kinsoku/>
        <w:wordWrap/>
        <w:overflowPunct/>
        <w:topLinePunct w:val="0"/>
        <w:autoSpaceDE/>
        <w:autoSpaceDN/>
        <w:bidi w:val="0"/>
        <w:spacing w:before="0" w:line="560" w:lineRule="exact"/>
        <w:ind w:firstLine="640" w:firstLineChars="200"/>
        <w:textAlignment w:val="auto"/>
        <w:outlineLvl w:val="1"/>
        <w:rPr>
          <w:rFonts w:ascii="Times New Roman" w:hAnsi="Times New Roman" w:eastAsia="仿宋_GB2312" w:cs="仿宋_GB2312"/>
          <w:color w:val="FF0000"/>
          <w:kern w:val="2"/>
          <w:sz w:val="32"/>
          <w:szCs w:val="32"/>
        </w:rPr>
      </w:pPr>
      <w:bookmarkStart w:id="38" w:name="_Toc16180"/>
      <w:r>
        <w:rPr>
          <w:rFonts w:hint="eastAsia" w:ascii="楷体_GB2312" w:hAnsi="楷体_GB2312" w:eastAsia="楷体_GB2312" w:cs="楷体_GB2312"/>
          <w:kern w:val="2"/>
          <w:sz w:val="32"/>
          <w:szCs w:val="32"/>
          <w:lang w:val="en-US" w:eastAsia="zh-CN" w:bidi="ar-SA"/>
        </w:rPr>
        <w:t>（一）机关运行经费</w:t>
      </w:r>
      <w:r>
        <w:rPr>
          <w:rFonts w:hint="eastAsia" w:ascii="Times New Roman" w:hAnsi="Times New Roman" w:eastAsia="仿宋_GB2312" w:cs="楷体_GB2312"/>
          <w:b/>
          <w:bCs/>
          <w:color w:val="auto"/>
          <w:kern w:val="2"/>
          <w:sz w:val="32"/>
          <w:szCs w:val="32"/>
        </w:rPr>
        <w:br w:type="textWrapping"/>
      </w:r>
      <w:r>
        <w:rPr>
          <w:rFonts w:hint="eastAsia" w:ascii="Times New Roman" w:hAnsi="Times New Roman" w:eastAsia="仿宋_GB2312" w:cs="仿宋_GB2312"/>
          <w:kern w:val="2"/>
          <w:sz w:val="32"/>
          <w:szCs w:val="32"/>
        </w:rPr>
        <w:t xml:space="preserve">　  </w:t>
      </w:r>
      <w:r>
        <w:rPr>
          <w:rFonts w:hint="eastAsia" w:ascii="Times New Roman" w:hAnsi="Times New Roman" w:eastAsia="仿宋_GB2312"/>
          <w:color w:val="auto"/>
          <w:kern w:val="2"/>
          <w:sz w:val="32"/>
          <w:szCs w:val="32"/>
          <w:lang w:eastAsia="zh-CN"/>
        </w:rPr>
        <w:t>壤塘县上壤塘乡人民政府</w:t>
      </w:r>
      <w:r>
        <w:rPr>
          <w:rFonts w:hint="eastAsia" w:ascii="Times New Roman" w:hAnsi="Times New Roman" w:eastAsia="仿宋_GB2312" w:cs="仿宋_GB2312"/>
          <w:kern w:val="2"/>
          <w:sz w:val="32"/>
          <w:szCs w:val="32"/>
          <w:lang w:eastAsia="zh-CN"/>
        </w:rPr>
        <w:t>2026</w:t>
      </w:r>
      <w:r>
        <w:rPr>
          <w:rFonts w:hint="eastAsia" w:ascii="Times New Roman" w:hAnsi="Times New Roman" w:eastAsia="仿宋_GB2312" w:cs="仿宋_GB2312"/>
          <w:kern w:val="2"/>
          <w:sz w:val="32"/>
          <w:szCs w:val="32"/>
        </w:rPr>
        <w:t>年机关运行经费财政拨款预算为160.87万元，比</w:t>
      </w:r>
      <w:r>
        <w:rPr>
          <w:rFonts w:hint="eastAsia" w:ascii="Times New Roman" w:hAnsi="Times New Roman" w:eastAsia="仿宋_GB2312" w:cs="仿宋_GB2312"/>
          <w:kern w:val="2"/>
          <w:sz w:val="32"/>
          <w:szCs w:val="32"/>
          <w:lang w:eastAsia="zh-CN"/>
        </w:rPr>
        <w:t>2025</w:t>
      </w:r>
      <w:r>
        <w:rPr>
          <w:rFonts w:hint="eastAsia" w:ascii="Times New Roman" w:hAnsi="Times New Roman" w:eastAsia="仿宋_GB2312" w:cs="仿宋_GB2312"/>
          <w:kern w:val="2"/>
          <w:sz w:val="32"/>
          <w:szCs w:val="32"/>
        </w:rPr>
        <w:t>年预算</w:t>
      </w:r>
      <w:r>
        <w:rPr>
          <w:rFonts w:hint="eastAsia" w:ascii="Times New Roman" w:hAnsi="Times New Roman" w:eastAsia="仿宋_GB2312" w:cs="仿宋_GB2312"/>
          <w:color w:val="000000"/>
          <w:kern w:val="2"/>
          <w:sz w:val="32"/>
          <w:szCs w:val="32"/>
        </w:rPr>
        <w:t>减少</w:t>
      </w:r>
      <w:r>
        <w:rPr>
          <w:rFonts w:hint="eastAsia" w:ascii="Times New Roman" w:hAnsi="Times New Roman" w:eastAsia="仿宋_GB2312" w:cs="仿宋_GB2312"/>
          <w:color w:val="000000"/>
          <w:kern w:val="2"/>
          <w:sz w:val="32"/>
          <w:szCs w:val="32"/>
          <w:lang w:val="en-US" w:eastAsia="zh-CN"/>
        </w:rPr>
        <w:t>4.00</w:t>
      </w:r>
      <w:r>
        <w:rPr>
          <w:rFonts w:hint="eastAsia" w:ascii="Times New Roman" w:hAnsi="Times New Roman" w:eastAsia="仿宋_GB2312" w:cs="仿宋_GB2312"/>
          <w:color w:val="000000"/>
          <w:kern w:val="2"/>
          <w:sz w:val="32"/>
          <w:szCs w:val="32"/>
        </w:rPr>
        <w:t>万元，减少</w:t>
      </w:r>
      <w:r>
        <w:rPr>
          <w:rFonts w:hint="eastAsia" w:ascii="Times New Roman" w:hAnsi="Times New Roman" w:eastAsia="仿宋_GB2312" w:cs="仿宋_GB2312"/>
          <w:color w:val="000000"/>
          <w:kern w:val="2"/>
          <w:sz w:val="32"/>
          <w:szCs w:val="32"/>
          <w:lang w:val="en-US" w:eastAsia="zh-CN"/>
        </w:rPr>
        <w:t>2.43</w:t>
      </w:r>
      <w:r>
        <w:rPr>
          <w:rFonts w:hint="eastAsia" w:ascii="Times New Roman" w:hAnsi="Times New Roman" w:eastAsia="仿宋_GB2312" w:cs="仿宋_GB2312"/>
          <w:color w:val="000000"/>
          <w:kern w:val="2"/>
          <w:sz w:val="32"/>
          <w:szCs w:val="32"/>
        </w:rPr>
        <w:t>%。</w:t>
      </w:r>
      <w:bookmarkEnd w:id="38"/>
      <w:r>
        <w:rPr>
          <w:rFonts w:hint="eastAsia" w:ascii="Times New Roman" w:hAnsi="Times New Roman" w:eastAsia="仿宋_GB2312" w:cs="仿宋_GB2312"/>
          <w:color w:val="000000"/>
          <w:kern w:val="2"/>
          <w:sz w:val="32"/>
          <w:szCs w:val="32"/>
        </w:rPr>
        <w:t xml:space="preserve"> </w:t>
      </w:r>
    </w:p>
    <w:p>
      <w:pPr>
        <w:pStyle w:val="13"/>
        <w:pageBreakBefore w:val="0"/>
        <w:kinsoku/>
        <w:wordWrap/>
        <w:overflowPunct/>
        <w:topLinePunct w:val="0"/>
        <w:autoSpaceDE/>
        <w:autoSpaceDN/>
        <w:bidi w:val="0"/>
        <w:spacing w:before="0" w:line="560" w:lineRule="exact"/>
        <w:ind w:firstLine="640" w:firstLineChars="200"/>
        <w:textAlignment w:val="auto"/>
        <w:outlineLvl w:val="1"/>
        <w:rPr>
          <w:rFonts w:hint="eastAsia" w:ascii="Times New Roman" w:hAnsi="Times New Roman" w:eastAsia="仿宋_GB2312" w:cs="仿宋_GB2312"/>
          <w:color w:val="000000"/>
          <w:kern w:val="2"/>
          <w:sz w:val="32"/>
          <w:szCs w:val="32"/>
          <w:lang w:val="en-US" w:eastAsia="zh-CN"/>
        </w:rPr>
      </w:pPr>
      <w:bookmarkStart w:id="39" w:name="_Toc13998"/>
      <w:r>
        <w:rPr>
          <w:rFonts w:hint="eastAsia" w:ascii="楷体_GB2312" w:hAnsi="楷体_GB2312" w:eastAsia="楷体_GB2312" w:cs="楷体_GB2312"/>
          <w:kern w:val="2"/>
          <w:sz w:val="32"/>
          <w:szCs w:val="32"/>
          <w:lang w:val="en-US" w:eastAsia="zh-CN" w:bidi="ar-SA"/>
        </w:rPr>
        <w:t>（二）政府采购情况</w:t>
      </w:r>
      <w:r>
        <w:rPr>
          <w:rFonts w:hint="eastAsia" w:ascii="Times New Roman" w:hAnsi="Times New Roman" w:eastAsia="仿宋_GB2312" w:cs="楷体_GB2312"/>
          <w:b/>
          <w:bCs/>
          <w:color w:val="auto"/>
          <w:kern w:val="2"/>
          <w:sz w:val="32"/>
          <w:szCs w:val="32"/>
        </w:rPr>
        <w:br w:type="textWrapping"/>
      </w:r>
      <w:r>
        <w:rPr>
          <w:rFonts w:hint="eastAsia" w:ascii="Times New Roman" w:hAnsi="Times New Roman" w:eastAsia="仿宋_GB2312" w:cs="仿宋_GB2312"/>
          <w:kern w:val="2"/>
          <w:sz w:val="32"/>
          <w:szCs w:val="32"/>
        </w:rPr>
        <w:t>　</w:t>
      </w:r>
      <w:r>
        <w:rPr>
          <w:rFonts w:hint="eastAsia" w:ascii="Times New Roman" w:hAnsi="Times New Roman" w:eastAsia="仿宋_GB2312" w:cs="仿宋_GB2312"/>
          <w:color w:val="000000"/>
          <w:kern w:val="2"/>
          <w:sz w:val="32"/>
          <w:szCs w:val="32"/>
        </w:rPr>
        <w:t xml:space="preserve">　 </w:t>
      </w:r>
      <w:r>
        <w:rPr>
          <w:rFonts w:hint="eastAsia" w:ascii="Times New Roman" w:hAnsi="Times New Roman" w:eastAsia="仿宋_GB2312" w:cs="仿宋_GB2312"/>
          <w:color w:val="000000"/>
          <w:kern w:val="2"/>
          <w:sz w:val="32"/>
          <w:szCs w:val="32"/>
          <w:lang w:eastAsia="zh-CN"/>
        </w:rPr>
        <w:t>2026</w:t>
      </w:r>
      <w:r>
        <w:rPr>
          <w:rFonts w:hint="eastAsia" w:ascii="Times New Roman" w:hAnsi="Times New Roman" w:eastAsia="仿宋_GB2312" w:cs="仿宋_GB2312"/>
          <w:color w:val="000000"/>
          <w:kern w:val="2"/>
          <w:sz w:val="32"/>
          <w:szCs w:val="32"/>
        </w:rPr>
        <w:t>年</w:t>
      </w:r>
      <w:r>
        <w:rPr>
          <w:rFonts w:hint="eastAsia" w:ascii="Times New Roman" w:hAnsi="Times New Roman" w:eastAsia="仿宋_GB2312"/>
          <w:color w:val="auto"/>
          <w:kern w:val="2"/>
          <w:sz w:val="32"/>
          <w:szCs w:val="32"/>
          <w:lang w:eastAsia="zh-CN"/>
        </w:rPr>
        <w:t>壤塘县上壤塘乡人民政府</w:t>
      </w:r>
      <w:r>
        <w:rPr>
          <w:rFonts w:hint="eastAsia" w:ascii="Times New Roman" w:hAnsi="Times New Roman" w:eastAsia="仿宋_GB2312" w:cs="仿宋_GB2312"/>
          <w:color w:val="000000"/>
          <w:kern w:val="2"/>
          <w:sz w:val="32"/>
          <w:szCs w:val="32"/>
        </w:rPr>
        <w:t>安排政府采购预算</w:t>
      </w:r>
      <w:r>
        <w:rPr>
          <w:rFonts w:hint="eastAsia" w:ascii="Times New Roman" w:hAnsi="Times New Roman" w:eastAsia="仿宋_GB2312" w:cs="仿宋_GB2312"/>
          <w:color w:val="000000"/>
          <w:kern w:val="2"/>
          <w:sz w:val="32"/>
          <w:szCs w:val="32"/>
          <w:lang w:val="en-US" w:eastAsia="zh-CN"/>
        </w:rPr>
        <w:t>0.00</w:t>
      </w:r>
      <w:r>
        <w:rPr>
          <w:rFonts w:hint="eastAsia" w:ascii="Times New Roman" w:hAnsi="Times New Roman" w:eastAsia="仿宋_GB2312" w:cs="仿宋_GB2312"/>
          <w:color w:val="000000"/>
          <w:kern w:val="2"/>
          <w:sz w:val="32"/>
          <w:szCs w:val="32"/>
        </w:rPr>
        <w:t>万元</w:t>
      </w:r>
      <w:r>
        <w:rPr>
          <w:rFonts w:hint="eastAsia" w:ascii="Times New Roman" w:hAnsi="Times New Roman" w:eastAsia="仿宋_GB2312" w:cs="仿宋_GB2312"/>
          <w:color w:val="000000"/>
          <w:kern w:val="2"/>
          <w:sz w:val="32"/>
          <w:szCs w:val="32"/>
          <w:lang w:eastAsia="zh-CN"/>
        </w:rPr>
        <w:t>。</w:t>
      </w:r>
      <w:bookmarkEnd w:id="39"/>
    </w:p>
    <w:p>
      <w:pPr>
        <w:pStyle w:val="3"/>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outlineLvl w:val="1"/>
        <w:rPr>
          <w:rFonts w:hint="eastAsia" w:ascii="楷体_GB2312" w:hAnsi="楷体_GB2312" w:eastAsia="楷体_GB2312" w:cs="楷体_GB2312"/>
          <w:kern w:val="2"/>
          <w:sz w:val="32"/>
          <w:szCs w:val="32"/>
          <w:lang w:val="en-US" w:eastAsia="zh-CN" w:bidi="ar-SA"/>
        </w:rPr>
      </w:pPr>
      <w:bookmarkStart w:id="40" w:name="_Toc4827"/>
      <w:bookmarkStart w:id="41" w:name="_Toc12524"/>
      <w:r>
        <w:rPr>
          <w:rFonts w:hint="eastAsia" w:ascii="楷体_GB2312" w:hAnsi="楷体_GB2312" w:eastAsia="楷体_GB2312" w:cs="楷体_GB2312"/>
          <w:kern w:val="2"/>
          <w:sz w:val="32"/>
          <w:szCs w:val="32"/>
          <w:lang w:val="en-US" w:eastAsia="zh-CN" w:bidi="ar-SA"/>
        </w:rPr>
        <w:t>（三）国有资产占有使用情况</w:t>
      </w:r>
      <w:bookmarkEnd w:id="40"/>
      <w:bookmarkEnd w:id="41"/>
    </w:p>
    <w:p>
      <w:pPr>
        <w:pStyle w:val="13"/>
        <w:pageBreakBefore w:val="0"/>
        <w:kinsoku/>
        <w:wordWrap/>
        <w:overflowPunct/>
        <w:topLinePunct w:val="0"/>
        <w:autoSpaceDE/>
        <w:autoSpaceDN/>
        <w:bidi w:val="0"/>
        <w:spacing w:before="0" w:line="560" w:lineRule="exact"/>
        <w:ind w:firstLine="640" w:firstLineChars="200"/>
        <w:textAlignment w:val="auto"/>
        <w:outlineLvl w:val="1"/>
        <w:rPr>
          <w:rFonts w:ascii="Times New Roman" w:hAnsi="Times New Roman" w:eastAsia="仿宋_GB2312"/>
          <w:sz w:val="32"/>
          <w:szCs w:val="32"/>
        </w:rPr>
      </w:pPr>
      <w:bookmarkStart w:id="42" w:name="_Toc32546"/>
      <w:r>
        <w:rPr>
          <w:rFonts w:hint="eastAsia" w:ascii="楷体_GB2312" w:hAnsi="楷体_GB2312" w:eastAsia="楷体_GB2312" w:cs="楷体_GB2312"/>
          <w:kern w:val="2"/>
          <w:sz w:val="32"/>
          <w:szCs w:val="32"/>
          <w:lang w:val="en-US" w:eastAsia="zh-CN" w:bidi="ar-SA"/>
        </w:rPr>
        <w:t>（四）绩效目标设置情况</w:t>
      </w:r>
      <w:r>
        <w:rPr>
          <w:rFonts w:hint="eastAsia" w:ascii="Times New Roman" w:hAnsi="Times New Roman" w:eastAsia="仿宋_GB2312" w:cs="楷体_GB2312"/>
          <w:b/>
          <w:bCs/>
          <w:color w:val="auto"/>
          <w:kern w:val="2"/>
          <w:sz w:val="32"/>
          <w:szCs w:val="32"/>
        </w:rPr>
        <w:br w:type="textWrapping"/>
      </w:r>
      <w:r>
        <w:rPr>
          <w:rFonts w:hint="eastAsia" w:ascii="Times New Roman" w:hAnsi="Times New Roman" w:eastAsia="仿宋_GB2312" w:cs="仿宋_GB2312"/>
          <w:kern w:val="2"/>
          <w:sz w:val="32"/>
          <w:szCs w:val="32"/>
        </w:rPr>
        <w:t>　　</w:t>
      </w:r>
      <w:r>
        <w:rPr>
          <w:rFonts w:hint="eastAsia" w:ascii="Times New Roman" w:hAnsi="Times New Roman" w:eastAsia="仿宋_GB2312" w:cs="仿宋_GB2312"/>
          <w:kern w:val="2"/>
          <w:sz w:val="32"/>
          <w:szCs w:val="32"/>
          <w:lang w:eastAsia="zh-CN"/>
        </w:rPr>
        <w:t>2026</w:t>
      </w:r>
      <w:r>
        <w:rPr>
          <w:rFonts w:hint="eastAsia" w:ascii="Times New Roman" w:hAnsi="Times New Roman" w:eastAsia="仿宋_GB2312" w:cs="仿宋_GB2312"/>
          <w:kern w:val="2"/>
          <w:sz w:val="32"/>
          <w:szCs w:val="32"/>
        </w:rPr>
        <w:t>年</w:t>
      </w:r>
      <w:r>
        <w:rPr>
          <w:rFonts w:hint="eastAsia" w:ascii="Times New Roman" w:hAnsi="Times New Roman" w:eastAsia="仿宋_GB2312"/>
          <w:color w:val="auto"/>
          <w:kern w:val="2"/>
          <w:sz w:val="32"/>
          <w:szCs w:val="32"/>
          <w:lang w:eastAsia="zh-CN"/>
        </w:rPr>
        <w:t>壤塘县上壤塘乡人民政府</w:t>
      </w:r>
      <w:r>
        <w:rPr>
          <w:rFonts w:hint="eastAsia" w:ascii="Times New Roman" w:hAnsi="Times New Roman" w:eastAsia="仿宋_GB2312" w:cs="仿宋_GB2312"/>
          <w:kern w:val="2"/>
          <w:sz w:val="32"/>
          <w:szCs w:val="32"/>
        </w:rPr>
        <w:t>通用项目和专用项目均按要求实行绩效目标管理，涉及一般公共预算当年拨款9.34万元。</w:t>
      </w:r>
      <w:bookmarkEnd w:id="42"/>
    </w:p>
    <w:p>
      <w:pPr>
        <w:pStyle w:val="2"/>
        <w:bidi w:val="0"/>
        <w:ind w:firstLine="640" w:firstLineChars="200"/>
        <w:rPr>
          <w:rFonts w:hint="eastAsia"/>
          <w:lang w:val="en-US" w:eastAsia="zh-CN"/>
        </w:rPr>
      </w:pPr>
      <w:bookmarkStart w:id="43" w:name="_Toc11658"/>
      <w:bookmarkStart w:id="44" w:name="_Toc225"/>
      <w:r>
        <w:rPr>
          <w:rFonts w:hint="eastAsia"/>
          <w:lang w:val="en-US" w:eastAsia="zh-CN"/>
        </w:rPr>
        <w:t>十、名称解释</w:t>
      </w:r>
      <w:bookmarkEnd w:id="43"/>
      <w:bookmarkEnd w:id="44"/>
    </w:p>
    <w:p>
      <w:pPr>
        <w:pStyle w:val="13"/>
        <w:pageBreakBefore w:val="0"/>
        <w:kinsoku/>
        <w:wordWrap/>
        <w:overflowPunct/>
        <w:topLinePunct w:val="0"/>
        <w:autoSpaceDE/>
        <w:autoSpaceDN/>
        <w:bidi w:val="0"/>
        <w:spacing w:before="0" w:line="560" w:lineRule="exact"/>
        <w:ind w:firstLine="640" w:firstLineChars="200"/>
        <w:textAlignment w:val="auto"/>
        <w:rPr>
          <w:rFonts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（一）财政拨款收入：指由财政拨款形成的部门收入。按现行管理制度，部门预算中反映的财政拨款仅包括一般公共预算拨款和政府性基金预算拨款。</w:t>
      </w:r>
      <w:r>
        <w:rPr>
          <w:rFonts w:ascii="Times New Roman" w:hAnsi="Times New Roman" w:eastAsia="仿宋_GB2312" w:cs="仿宋_GB2312"/>
          <w:kern w:val="2"/>
          <w:sz w:val="32"/>
          <w:szCs w:val="32"/>
        </w:rPr>
        <w:br w:type="textWrapping"/>
      </w:r>
      <w:r>
        <w:rPr>
          <w:rFonts w:hint="eastAsia" w:ascii="Times New Roman" w:hAnsi="Times New Roman" w:eastAsia="仿宋_GB2312" w:cs="仿宋_GB2312"/>
          <w:kern w:val="2"/>
          <w:sz w:val="32"/>
          <w:szCs w:val="32"/>
        </w:rPr>
        <w:t>　　（二）事业收入：指所属事业单位开展专业业务活动及辅助活动所取得的收入。</w:t>
      </w:r>
      <w:r>
        <w:rPr>
          <w:rFonts w:ascii="Times New Roman" w:hAnsi="Times New Roman" w:eastAsia="仿宋_GB2312" w:cs="仿宋_GB2312"/>
          <w:kern w:val="2"/>
          <w:sz w:val="32"/>
          <w:szCs w:val="32"/>
        </w:rPr>
        <w:br w:type="textWrapping"/>
      </w:r>
      <w:r>
        <w:rPr>
          <w:rFonts w:hint="eastAsia" w:ascii="Times New Roman" w:hAnsi="Times New Roman" w:eastAsia="仿宋_GB2312" w:cs="仿宋_GB2312"/>
          <w:kern w:val="2"/>
          <w:sz w:val="32"/>
          <w:szCs w:val="32"/>
        </w:rPr>
        <w:t>　　（三）事业单位经营收入：指所属事业单位在专业业务活动及其辅助活动之外开展非独立核算经营活动取得的收入。</w:t>
      </w:r>
      <w:r>
        <w:rPr>
          <w:rFonts w:ascii="Times New Roman" w:hAnsi="Times New Roman" w:eastAsia="仿宋_GB2312" w:cs="仿宋_GB2312"/>
          <w:kern w:val="2"/>
          <w:sz w:val="32"/>
          <w:szCs w:val="32"/>
        </w:rPr>
        <w:br w:type="textWrapping"/>
      </w:r>
      <w:r>
        <w:rPr>
          <w:rFonts w:hint="eastAsia" w:ascii="Times New Roman" w:hAnsi="Times New Roman" w:eastAsia="仿宋_GB2312" w:cs="仿宋_GB2312"/>
          <w:kern w:val="2"/>
          <w:sz w:val="32"/>
          <w:szCs w:val="32"/>
        </w:rPr>
        <w:t>　　（四）其他收入：指除上述</w:t>
      </w:r>
      <w:r>
        <w:rPr>
          <w:rFonts w:ascii="Times New Roman" w:hAnsi="Times New Roman" w:eastAsia="仿宋_GB2312" w:cs="仿宋_GB2312"/>
          <w:kern w:val="2"/>
          <w:sz w:val="32"/>
          <w:szCs w:val="32"/>
        </w:rPr>
        <w:t>“</w:t>
      </w:r>
      <w:r>
        <w:rPr>
          <w:rFonts w:hint="eastAsia" w:ascii="Times New Roman" w:hAnsi="Times New Roman" w:eastAsia="仿宋_GB2312" w:cs="仿宋_GB2312"/>
          <w:kern w:val="2"/>
          <w:sz w:val="32"/>
          <w:szCs w:val="32"/>
        </w:rPr>
        <w:t>财政拨款收入</w:t>
      </w:r>
      <w:r>
        <w:rPr>
          <w:rFonts w:hint="eastAsia" w:ascii="Times New Roman" w:hAnsi="Times New Roman" w:eastAsia="仿宋_GB2312" w:cs="仿宋_GB2312"/>
          <w:kern w:val="2"/>
          <w:sz w:val="32"/>
          <w:szCs w:val="32"/>
          <w:lang w:eastAsia="zh-CN"/>
        </w:rPr>
        <w:t>”“</w:t>
      </w:r>
      <w:r>
        <w:rPr>
          <w:rFonts w:hint="eastAsia" w:ascii="Times New Roman" w:hAnsi="Times New Roman" w:eastAsia="仿宋_GB2312" w:cs="仿宋_GB2312"/>
          <w:kern w:val="2"/>
          <w:sz w:val="32"/>
          <w:szCs w:val="32"/>
        </w:rPr>
        <w:t>事业收入</w:t>
      </w:r>
      <w:r>
        <w:rPr>
          <w:rFonts w:hint="eastAsia" w:ascii="Times New Roman" w:hAnsi="Times New Roman" w:eastAsia="仿宋_GB2312" w:cs="仿宋_GB2312"/>
          <w:kern w:val="2"/>
          <w:sz w:val="32"/>
          <w:szCs w:val="32"/>
          <w:lang w:eastAsia="zh-CN"/>
        </w:rPr>
        <w:t>”“</w:t>
      </w:r>
      <w:r>
        <w:rPr>
          <w:rFonts w:hint="eastAsia" w:ascii="Times New Roman" w:hAnsi="Times New Roman" w:eastAsia="仿宋_GB2312" w:cs="仿宋_GB2312"/>
          <w:kern w:val="2"/>
          <w:sz w:val="32"/>
          <w:szCs w:val="32"/>
        </w:rPr>
        <w:t>事业单位经营收入</w:t>
      </w:r>
      <w:r>
        <w:rPr>
          <w:rFonts w:ascii="Times New Roman" w:hAnsi="Times New Roman" w:eastAsia="仿宋_GB2312" w:cs="仿宋_GB2312"/>
          <w:kern w:val="2"/>
          <w:sz w:val="32"/>
          <w:szCs w:val="32"/>
        </w:rPr>
        <w:t>”</w:t>
      </w:r>
      <w:r>
        <w:rPr>
          <w:rFonts w:hint="eastAsia" w:ascii="Times New Roman" w:hAnsi="Times New Roman" w:eastAsia="仿宋_GB2312" w:cs="仿宋_GB2312"/>
          <w:kern w:val="2"/>
          <w:sz w:val="32"/>
          <w:szCs w:val="32"/>
        </w:rPr>
        <w:t>等以外的收入，主要是所属行政事业单位按规定动用的售房收入、存款利息收入等。</w:t>
      </w:r>
      <w:r>
        <w:rPr>
          <w:rFonts w:ascii="Times New Roman" w:hAnsi="Times New Roman" w:eastAsia="仿宋_GB2312" w:cs="仿宋_GB2312"/>
          <w:kern w:val="2"/>
          <w:sz w:val="32"/>
          <w:szCs w:val="32"/>
        </w:rPr>
        <w:br w:type="textWrapping"/>
      </w:r>
      <w:r>
        <w:rPr>
          <w:rFonts w:hint="eastAsia" w:ascii="Times New Roman" w:hAnsi="Times New Roman" w:eastAsia="仿宋_GB2312" w:cs="仿宋_GB2312"/>
          <w:kern w:val="2"/>
          <w:sz w:val="32"/>
          <w:szCs w:val="32"/>
        </w:rPr>
        <w:t>　　（五）用事业基金弥补收支差额：指所属事业单位在预计用当年的</w:t>
      </w:r>
      <w:r>
        <w:rPr>
          <w:rFonts w:ascii="Times New Roman" w:hAnsi="Times New Roman" w:eastAsia="仿宋_GB2312" w:cs="仿宋_GB2312"/>
          <w:kern w:val="2"/>
          <w:sz w:val="32"/>
          <w:szCs w:val="32"/>
        </w:rPr>
        <w:t>“</w:t>
      </w:r>
      <w:r>
        <w:rPr>
          <w:rFonts w:hint="eastAsia" w:ascii="Times New Roman" w:hAnsi="Times New Roman" w:eastAsia="仿宋_GB2312" w:cs="仿宋_GB2312"/>
          <w:kern w:val="2"/>
          <w:sz w:val="32"/>
          <w:szCs w:val="32"/>
        </w:rPr>
        <w:t>财政拨款收入</w:t>
      </w:r>
      <w:r>
        <w:rPr>
          <w:rFonts w:hint="eastAsia" w:ascii="Times New Roman" w:hAnsi="Times New Roman" w:eastAsia="仿宋_GB2312" w:cs="仿宋_GB2312"/>
          <w:kern w:val="2"/>
          <w:sz w:val="32"/>
          <w:szCs w:val="32"/>
          <w:lang w:eastAsia="zh-CN"/>
        </w:rPr>
        <w:t>”“</w:t>
      </w:r>
      <w:r>
        <w:rPr>
          <w:rFonts w:hint="eastAsia" w:ascii="Times New Roman" w:hAnsi="Times New Roman" w:eastAsia="仿宋_GB2312" w:cs="仿宋_GB2312"/>
          <w:kern w:val="2"/>
          <w:sz w:val="32"/>
          <w:szCs w:val="32"/>
        </w:rPr>
        <w:t>事业收入</w:t>
      </w:r>
      <w:r>
        <w:rPr>
          <w:rFonts w:hint="eastAsia" w:ascii="Times New Roman" w:hAnsi="Times New Roman" w:eastAsia="仿宋_GB2312" w:cs="仿宋_GB2312"/>
          <w:kern w:val="2"/>
          <w:sz w:val="32"/>
          <w:szCs w:val="32"/>
          <w:lang w:eastAsia="zh-CN"/>
        </w:rPr>
        <w:t>”“</w:t>
      </w:r>
      <w:r>
        <w:rPr>
          <w:rFonts w:hint="eastAsia" w:ascii="Times New Roman" w:hAnsi="Times New Roman" w:eastAsia="仿宋_GB2312" w:cs="仿宋_GB2312"/>
          <w:kern w:val="2"/>
          <w:sz w:val="32"/>
          <w:szCs w:val="32"/>
        </w:rPr>
        <w:t>事业单位经营收入</w:t>
      </w:r>
      <w:r>
        <w:rPr>
          <w:rFonts w:hint="eastAsia" w:ascii="Times New Roman" w:hAnsi="Times New Roman" w:eastAsia="仿宋_GB2312" w:cs="仿宋_GB2312"/>
          <w:kern w:val="2"/>
          <w:sz w:val="32"/>
          <w:szCs w:val="32"/>
          <w:lang w:eastAsia="zh-CN"/>
        </w:rPr>
        <w:t>”“</w:t>
      </w:r>
      <w:r>
        <w:rPr>
          <w:rFonts w:hint="eastAsia" w:ascii="Times New Roman" w:hAnsi="Times New Roman" w:eastAsia="仿宋_GB2312" w:cs="仿宋_GB2312"/>
          <w:kern w:val="2"/>
          <w:sz w:val="32"/>
          <w:szCs w:val="32"/>
        </w:rPr>
        <w:t>其他收入</w:t>
      </w:r>
      <w:r>
        <w:rPr>
          <w:rFonts w:ascii="Times New Roman" w:hAnsi="Times New Roman" w:eastAsia="仿宋_GB2312" w:cs="仿宋_GB2312"/>
          <w:kern w:val="2"/>
          <w:sz w:val="32"/>
          <w:szCs w:val="32"/>
        </w:rPr>
        <w:t>”</w:t>
      </w:r>
      <w:r>
        <w:rPr>
          <w:rFonts w:hint="eastAsia" w:ascii="Times New Roman" w:hAnsi="Times New Roman" w:eastAsia="仿宋_GB2312" w:cs="仿宋_GB2312"/>
          <w:kern w:val="2"/>
          <w:sz w:val="32"/>
          <w:szCs w:val="32"/>
        </w:rPr>
        <w:t>不足以安排当年支出的情况下，使用以前年度积累的事业基金弥补本年度收支缺口的资金。</w:t>
      </w:r>
      <w:r>
        <w:rPr>
          <w:rFonts w:ascii="Times New Roman" w:hAnsi="Times New Roman" w:eastAsia="仿宋_GB2312" w:cs="仿宋_GB2312"/>
          <w:kern w:val="2"/>
          <w:sz w:val="32"/>
          <w:szCs w:val="32"/>
        </w:rPr>
        <w:br w:type="textWrapping"/>
      </w:r>
      <w:r>
        <w:rPr>
          <w:rFonts w:hint="eastAsia" w:ascii="Times New Roman" w:hAnsi="Times New Roman" w:eastAsia="仿宋_GB2312"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pStyle w:val="3"/>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ascii="仿宋_GB2312" w:eastAsia="仿宋_GB2312" w:cs="仿宋_GB2312"/>
          <w:sz w:val="32"/>
          <w:szCs w:val="32"/>
        </w:rPr>
      </w:pPr>
    </w:p>
    <w:sectPr>
      <w:footerReference r:id="rId5"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E7BD85-CA34-4A12-AA1E-246E194B22D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42205D32-A077-43D8-95E5-C541C3FC111B}"/>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0" w:usb1="00000000" w:usb2="00000000" w:usb3="00000000" w:csb0="00000000" w:csb1="00000000"/>
    <w:embedRegular r:id="rId3" w:fontKey="{5D77044F-2BF3-4654-A5D0-4389C509B429}"/>
  </w:font>
  <w:font w:name="楷体_GB2312">
    <w:panose1 w:val="02010609030101010101"/>
    <w:charset w:val="86"/>
    <w:family w:val="auto"/>
    <w:pitch w:val="default"/>
    <w:sig w:usb0="00000000" w:usb1="00000000" w:usb2="00000000" w:usb3="00000000" w:csb0="00000000" w:csb1="00000000"/>
    <w:embedRegular r:id="rId4" w:fontKey="{5FB4969F-DB4C-4522-95BD-B6581EC06FC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6"/>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F6C1A9"/>
    <w:multiLevelType w:val="singleLevel"/>
    <w:tmpl w:val="93F6C1A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2994018"/>
    <w:rsid w:val="029C1412"/>
    <w:rsid w:val="03727398"/>
    <w:rsid w:val="03AC7D7B"/>
    <w:rsid w:val="041C0B7C"/>
    <w:rsid w:val="062F6A41"/>
    <w:rsid w:val="07A54CCF"/>
    <w:rsid w:val="07AA2823"/>
    <w:rsid w:val="082570F9"/>
    <w:rsid w:val="082E5202"/>
    <w:rsid w:val="085E70A3"/>
    <w:rsid w:val="0B416FFB"/>
    <w:rsid w:val="0D6B6656"/>
    <w:rsid w:val="0D7731A8"/>
    <w:rsid w:val="0DE15712"/>
    <w:rsid w:val="0E3641C1"/>
    <w:rsid w:val="10AF0EAA"/>
    <w:rsid w:val="113B44EC"/>
    <w:rsid w:val="12307DC9"/>
    <w:rsid w:val="13B90BED"/>
    <w:rsid w:val="180E295A"/>
    <w:rsid w:val="1821268E"/>
    <w:rsid w:val="18365A0D"/>
    <w:rsid w:val="1AB71087"/>
    <w:rsid w:val="1E7D7EF2"/>
    <w:rsid w:val="1E8D37E2"/>
    <w:rsid w:val="23A83C63"/>
    <w:rsid w:val="23DE1A2B"/>
    <w:rsid w:val="251A293E"/>
    <w:rsid w:val="25D957A9"/>
    <w:rsid w:val="260B672B"/>
    <w:rsid w:val="27C0459D"/>
    <w:rsid w:val="280103D1"/>
    <w:rsid w:val="2C2C7C81"/>
    <w:rsid w:val="2C854357"/>
    <w:rsid w:val="2CD70951"/>
    <w:rsid w:val="2D3622E0"/>
    <w:rsid w:val="31BA5963"/>
    <w:rsid w:val="31FD161E"/>
    <w:rsid w:val="326C4444"/>
    <w:rsid w:val="33727DEA"/>
    <w:rsid w:val="341744ED"/>
    <w:rsid w:val="355B33E1"/>
    <w:rsid w:val="37B62597"/>
    <w:rsid w:val="3A756F9F"/>
    <w:rsid w:val="3AF13CEA"/>
    <w:rsid w:val="3EA3354D"/>
    <w:rsid w:val="42BD2703"/>
    <w:rsid w:val="444E7AB7"/>
    <w:rsid w:val="44753296"/>
    <w:rsid w:val="44C53C0F"/>
    <w:rsid w:val="46040D75"/>
    <w:rsid w:val="46B81B60"/>
    <w:rsid w:val="47174AD8"/>
    <w:rsid w:val="4729480B"/>
    <w:rsid w:val="47A10846"/>
    <w:rsid w:val="47B02837"/>
    <w:rsid w:val="47FC782A"/>
    <w:rsid w:val="4BCC11FE"/>
    <w:rsid w:val="4C7D4BDC"/>
    <w:rsid w:val="4CA0731E"/>
    <w:rsid w:val="4DF47921"/>
    <w:rsid w:val="4EE33FC8"/>
    <w:rsid w:val="532A5B93"/>
    <w:rsid w:val="53F557C3"/>
    <w:rsid w:val="5588094F"/>
    <w:rsid w:val="56867584"/>
    <w:rsid w:val="590D3778"/>
    <w:rsid w:val="59835FFD"/>
    <w:rsid w:val="59A177E3"/>
    <w:rsid w:val="5F261904"/>
    <w:rsid w:val="608508AD"/>
    <w:rsid w:val="61021EFD"/>
    <w:rsid w:val="61BC3E5A"/>
    <w:rsid w:val="62B3288A"/>
    <w:rsid w:val="638E5CCA"/>
    <w:rsid w:val="6390268E"/>
    <w:rsid w:val="63B70D7D"/>
    <w:rsid w:val="642E6B65"/>
    <w:rsid w:val="655C2C65"/>
    <w:rsid w:val="657B5DDA"/>
    <w:rsid w:val="65B136F7"/>
    <w:rsid w:val="699C00BB"/>
    <w:rsid w:val="6D467157"/>
    <w:rsid w:val="6D81141C"/>
    <w:rsid w:val="6E1E3417"/>
    <w:rsid w:val="6ECE06EF"/>
    <w:rsid w:val="6F8A1A3C"/>
    <w:rsid w:val="6F8B3CDE"/>
    <w:rsid w:val="714C0641"/>
    <w:rsid w:val="71660E24"/>
    <w:rsid w:val="72536271"/>
    <w:rsid w:val="726E11A1"/>
    <w:rsid w:val="751002ED"/>
    <w:rsid w:val="755566BE"/>
    <w:rsid w:val="75A66EA3"/>
    <w:rsid w:val="764566BC"/>
    <w:rsid w:val="76F31C74"/>
    <w:rsid w:val="773220EF"/>
    <w:rsid w:val="776B5756"/>
    <w:rsid w:val="794D5A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line="560" w:lineRule="exact"/>
      <w:outlineLvl w:val="0"/>
    </w:pPr>
    <w:rPr>
      <w:rFonts w:eastAsia="黑体"/>
      <w:bCs/>
      <w:kern w:val="44"/>
      <w:sz w:val="32"/>
    </w:rPr>
  </w:style>
  <w:style w:type="paragraph" w:styleId="3">
    <w:name w:val="heading 2"/>
    <w:basedOn w:val="1"/>
    <w:next w:val="1"/>
    <w:qFormat/>
    <w:uiPriority w:val="0"/>
    <w:pPr>
      <w:keepNext/>
      <w:keepLines/>
      <w:widowControl w:val="0"/>
      <w:spacing w:line="560" w:lineRule="exact"/>
      <w:outlineLvl w:val="1"/>
    </w:pPr>
    <w:rPr>
      <w:rFonts w:ascii="Arial" w:hAnsi="Arial" w:eastAsia="楷体"/>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Plain Text"/>
    <w:basedOn w:val="1"/>
    <w:qFormat/>
    <w:uiPriority w:val="0"/>
    <w:pPr>
      <w:widowControl/>
      <w:jc w:val="left"/>
    </w:pPr>
    <w:rPr>
      <w:rFonts w:ascii="宋体" w:hAnsi="Courier New" w:eastAsia="Times New Roman" w:cs="宋体"/>
      <w:kern w:val="0"/>
      <w:sz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line="560" w:lineRule="exact"/>
    </w:pPr>
    <w:rPr>
      <w:rFonts w:ascii="Times New Roman" w:hAnsi="Times New Roman" w:eastAsia="仿宋_GB2312"/>
      <w:kern w:val="0"/>
      <w:sz w:val="32"/>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995557e0-4d99-4836-a07b-39d09ee5fdf0</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1F122060</paraID>
      <start>43</start>
      <end>51</end>
      <status>unmodified</status>
      <modifiedWord/>
      <trackRevisions>false</trackRevisions>
    </reviewItem>
    <reviewItem>
      <errorID>61913d3b-f1ec-453f-8f4d-f81b1d627d47</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1BAF8222</paraID>
      <start>45</start>
      <end>53</end>
      <status>unmodified</status>
      <modifiedWord/>
      <trackRevisions>false</trackRevisions>
    </reviewItem>
    <reviewItem>
      <errorID>fb4f0152-10d5-43bc-bc9d-388ba2ac50ff</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 A582806</paraID>
      <start>119</start>
      <end>127</end>
      <status>unmodified</status>
      <modifiedWord/>
      <trackRevisions>false</trackRevisions>
    </reviewItem>
    <reviewItem>
      <errorID>ed4f6596-dc64-4c89-b9f8-72c057d9a428</errorID>
      <errorWord>一般公共预算当年拨款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词汇“一般公共预算财政拨款”在特定场景下为固定表述形式，请确认此处的“一般公共预算当年拨款”是否存在不当。</explain>
      <paraID>3CB7AEAE</paraID>
      <start>54</start>
      <end>64</end>
      <status>ignored</status>
      <modifiedWord/>
      <trackRevisions>false</trackRevisions>
    </reviewItem>
    <reviewItem>
      <errorID>5b176c87-519d-437c-b06b-2477db4ddc90</errorID>
      <errorWord>一般公共预算拨款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词汇“一般公共预算财政拨款”在特定场景下为固定表述形式，请确认此处的“一般公共预算拨款”是否存在不当。</explain>
      <paraID>55948A0B</paraID>
      <start>47</start>
      <end>55</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c84a84-9c07-4e3d-a3ac-a4fa3c425025}">
  <ds:schemaRefs/>
</ds:datastoreItem>
</file>

<file path=docProps/app.xml><?xml version="1.0" encoding="utf-8"?>
<Properties xmlns="http://schemas.openxmlformats.org/officeDocument/2006/extended-properties" xmlns:vt="http://schemas.openxmlformats.org/officeDocument/2006/docPropsVTypes">
  <Template>Normal.eit</Template>
  <Pages>20</Pages>
  <Words>9297</Words>
  <Characters>9788</Characters>
  <Lines>124</Lines>
  <Paragraphs>51</Paragraphs>
  <TotalTime>60</TotalTime>
  <ScaleCrop>false</ScaleCrop>
  <LinksUpToDate>false</LinksUpToDate>
  <CharactersWithSpaces>9824</CharactersWithSpaces>
  <Application>WPS Office_11.1.0.9662_F1E327BC-269C-435d-A152-05C5408002CA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2018-01-30T09:39:00Z</cp:lastPrinted>
  <dcterms:modified xsi:type="dcterms:W3CDTF">2026-02-01T09:50:49Z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DocerSaveRecord">
    <vt:lpwstr>eyJoZGlkIjoiZDk4NDc3MjM5MDAyNzZhYzUxZjNmZjI5NTIwNmJkZDYiLCJ1c2VySWQiOiI0NDY3OTQzMDQifQ==</vt:lpwstr>
  </property>
  <property fmtid="{D5CDD505-2E9C-101B-9397-08002B2CF9AE}" pid="4" name="ICV">
    <vt:lpwstr>D7E151C1A7E64F1A99AC8704C92AC787_13</vt:lpwstr>
  </property>
</Properties>
</file>