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Override PartName="/word/theme/themeOverride2.xml" ContentType="application/vnd.openxmlformats-officedocument.themeOverride+xml"/>
  <Override PartName="/word/theme/themeOverride3.xml" ContentType="application/vnd.openxmlformats-officedocument.themeOverride+xml"/>
  <Override PartName="/word/theme/themeOverride4.xml" ContentType="application/vnd.openxmlformats-officedocument.themeOverride+xml"/>
  <Override PartName="/word/theme/themeOverride5.xml" ContentType="application/vnd.openxmlformats-officedocument.themeOverride+xml"/>
  <Override PartName="/word/theme/themeOverride6.xml" ContentType="application/vnd.openxmlformats-officedocument.themeOverride+xml"/>
  <Override PartName="/word/theme/themeOverride7.xml" ContentType="application/vnd.openxmlformats-officedocument.themeOverride+xml"/>
  <Override PartName="/word/theme/themeOverride8.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700" w:lineRule="exact"/>
        <w:jc w:val="center"/>
        <w:rPr>
          <w:rFonts w:ascii="方正小标宋简体" w:hAnsi="方正小标宋简体" w:eastAsia="方正小标宋简体" w:cs="方正小标宋简体"/>
          <w:color w:val="auto"/>
          <w:kern w:val="0"/>
          <w:sz w:val="44"/>
          <w:szCs w:val="44"/>
          <w:lang w:val="zh-CN"/>
        </w:rPr>
      </w:pPr>
      <w:r>
        <w:rPr>
          <w:rFonts w:hint="eastAsia" w:ascii="方正小标宋简体" w:hAnsi="方正小标宋简体" w:eastAsia="方正小标宋简体" w:cs="方正小标宋简体"/>
          <w:color w:val="auto"/>
          <w:kern w:val="0"/>
          <w:sz w:val="44"/>
          <w:szCs w:val="44"/>
          <w:lang w:val="en-US" w:eastAsia="zh-CN"/>
        </w:rPr>
        <w:t xml:space="preserve"> </w:t>
      </w:r>
      <w:r>
        <w:rPr>
          <w:rFonts w:hint="eastAsia" w:ascii="方正小标宋简体" w:hAnsi="方正小标宋简体" w:eastAsia="方正小标宋简体" w:cs="方正小标宋简体"/>
          <w:color w:val="auto"/>
          <w:kern w:val="0"/>
          <w:sz w:val="44"/>
          <w:szCs w:val="44"/>
          <w:lang w:val="zh-CN"/>
        </w:rPr>
        <w:t xml:space="preserve"> 壤塘县</w:t>
      </w:r>
      <w:r>
        <w:rPr>
          <w:rFonts w:hint="eastAsia" w:ascii="方正小标宋简体" w:hAnsi="方正小标宋简体" w:eastAsia="方正小标宋简体" w:cs="方正小标宋简体"/>
          <w:color w:val="auto"/>
          <w:kern w:val="0"/>
          <w:sz w:val="44"/>
          <w:szCs w:val="44"/>
          <w:lang w:eastAsia="zh-CN"/>
        </w:rPr>
        <w:t>2023</w:t>
      </w:r>
      <w:r>
        <w:rPr>
          <w:rFonts w:hint="eastAsia" w:ascii="方正小标宋简体" w:hAnsi="方正小标宋简体" w:eastAsia="方正小标宋简体" w:cs="方正小标宋简体"/>
          <w:color w:val="auto"/>
          <w:kern w:val="0"/>
          <w:sz w:val="44"/>
          <w:szCs w:val="44"/>
          <w:lang w:val="zh-CN"/>
        </w:rPr>
        <w:t>年国民经济和社会发展</w:t>
      </w:r>
    </w:p>
    <w:p>
      <w:pPr>
        <w:widowControl/>
        <w:spacing w:line="700" w:lineRule="exact"/>
        <w:jc w:val="center"/>
        <w:rPr>
          <w:rFonts w:ascii="方正小标宋简体" w:hAnsi="方正小标宋简体" w:eastAsia="方正小标宋简体" w:cs="方正小标宋简体"/>
          <w:bCs/>
          <w:color w:val="auto"/>
          <w:kern w:val="0"/>
          <w:sz w:val="44"/>
          <w:szCs w:val="44"/>
        </w:rPr>
      </w:pPr>
      <w:r>
        <w:rPr>
          <w:rFonts w:hint="eastAsia" w:ascii="方正小标宋简体" w:hAnsi="方正小标宋简体" w:eastAsia="方正小标宋简体" w:cs="方正小标宋简体"/>
          <w:color w:val="auto"/>
          <w:kern w:val="0"/>
          <w:sz w:val="44"/>
          <w:szCs w:val="44"/>
          <w:lang w:val="zh-CN"/>
        </w:rPr>
        <w:t>统计公报</w:t>
      </w:r>
    </w:p>
    <w:p>
      <w:pPr>
        <w:widowControl/>
        <w:adjustRightInd w:val="0"/>
        <w:snapToGrid w:val="0"/>
        <w:spacing w:line="560" w:lineRule="exact"/>
        <w:jc w:val="center"/>
        <w:rPr>
          <w:rFonts w:ascii="Times New Roman" w:hAnsi="Times New Roman" w:eastAsia="仿宋_GB2312" w:cs="Times New Roman"/>
          <w:bCs/>
          <w:color w:val="auto"/>
          <w:kern w:val="0"/>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auto"/>
          <w:sz w:val="32"/>
          <w:szCs w:val="32"/>
          <w:shd w:val="clear" w:color="auto" w:fill="FFFFFF"/>
        </w:rPr>
      </w:pPr>
      <w:r>
        <w:rPr>
          <w:rFonts w:hint="eastAsia" w:ascii="Times New Roman" w:hAnsi="Times New Roman" w:eastAsia="仿宋_GB2312" w:cs="Times New Roman"/>
          <w:color w:val="auto"/>
          <w:sz w:val="32"/>
          <w:szCs w:val="32"/>
          <w:shd w:val="clear" w:color="auto" w:fill="FFFFFF"/>
          <w:lang w:eastAsia="zh-CN"/>
        </w:rPr>
        <w:t>2023</w:t>
      </w:r>
      <w:r>
        <w:rPr>
          <w:rFonts w:hint="eastAsia" w:ascii="仿宋" w:hAnsi="仿宋" w:eastAsia="仿宋" w:cs="仿宋"/>
          <w:color w:val="auto"/>
          <w:sz w:val="32"/>
          <w:szCs w:val="32"/>
          <w:shd w:val="clear" w:color="auto" w:fill="FFFFFF"/>
        </w:rPr>
        <w:t>年</w:t>
      </w:r>
      <w:r>
        <w:rPr>
          <w:rFonts w:hint="eastAsia" w:ascii="仿宋" w:hAnsi="仿宋" w:eastAsia="仿宋" w:cs="仿宋"/>
          <w:color w:val="auto"/>
          <w:sz w:val="32"/>
          <w:szCs w:val="32"/>
          <w:shd w:val="clear" w:color="auto" w:fill="FFFFFF"/>
          <w:lang w:eastAsia="zh-CN"/>
        </w:rPr>
        <w:t>是</w:t>
      </w:r>
      <w:r>
        <w:rPr>
          <w:rFonts w:hint="eastAsia" w:ascii="仿宋" w:hAnsi="仿宋" w:eastAsia="仿宋" w:cs="仿宋"/>
          <w:color w:val="auto"/>
          <w:sz w:val="32"/>
          <w:szCs w:val="32"/>
          <w:shd w:val="clear" w:color="auto" w:fill="FFFFFF"/>
        </w:rPr>
        <w:t>全面贯彻落实党的二十大精神的开局之年，也是三年新冠疫情转段后经济恢复发展的第一年。</w:t>
      </w:r>
      <w:r>
        <w:rPr>
          <w:rFonts w:hint="eastAsia" w:ascii="仿宋" w:hAnsi="仿宋" w:eastAsia="仿宋" w:cs="仿宋"/>
          <w:color w:val="auto"/>
          <w:sz w:val="32"/>
          <w:szCs w:val="32"/>
          <w:shd w:val="clear" w:color="auto" w:fill="FFFFFF"/>
          <w:lang w:eastAsia="zh-CN"/>
        </w:rPr>
        <w:t>全县</w:t>
      </w:r>
      <w:r>
        <w:rPr>
          <w:rFonts w:hint="eastAsia" w:ascii="仿宋" w:hAnsi="仿宋" w:eastAsia="仿宋" w:cs="仿宋"/>
          <w:color w:val="auto"/>
          <w:sz w:val="32"/>
          <w:szCs w:val="32"/>
          <w:shd w:val="clear" w:color="auto" w:fill="FFFFFF"/>
        </w:rPr>
        <w:t>上下坚持以习近平新时代中国特色社会主义思想为指导，认真贯彻落实中</w:t>
      </w:r>
      <w:r>
        <w:rPr>
          <w:rFonts w:hint="eastAsia" w:ascii="仿宋" w:hAnsi="仿宋" w:eastAsia="仿宋" w:cs="仿宋"/>
          <w:color w:val="auto"/>
          <w:sz w:val="32"/>
          <w:szCs w:val="32"/>
          <w:shd w:val="clear" w:color="auto" w:fill="FFFFFF"/>
          <w:lang w:eastAsia="zh-CN"/>
        </w:rPr>
        <w:t>央、</w:t>
      </w:r>
      <w:r>
        <w:rPr>
          <w:rFonts w:hint="eastAsia" w:ascii="仿宋" w:hAnsi="仿宋" w:eastAsia="仿宋" w:cs="仿宋"/>
          <w:color w:val="auto"/>
          <w:sz w:val="32"/>
          <w:szCs w:val="32"/>
          <w:shd w:val="clear" w:color="auto" w:fill="FFFFFF"/>
        </w:rPr>
        <w:t>省</w:t>
      </w:r>
      <w:r>
        <w:rPr>
          <w:rFonts w:hint="eastAsia" w:ascii="仿宋" w:hAnsi="仿宋" w:eastAsia="仿宋" w:cs="仿宋"/>
          <w:color w:val="auto"/>
          <w:sz w:val="32"/>
          <w:szCs w:val="32"/>
          <w:shd w:val="clear" w:color="auto" w:fill="FFFFFF"/>
          <w:lang w:eastAsia="zh-CN"/>
        </w:rPr>
        <w:t>、州</w:t>
      </w:r>
      <w:r>
        <w:rPr>
          <w:rFonts w:hint="eastAsia" w:ascii="仿宋" w:hAnsi="仿宋" w:eastAsia="仿宋" w:cs="仿宋"/>
          <w:color w:val="auto"/>
          <w:sz w:val="32"/>
          <w:szCs w:val="32"/>
          <w:shd w:val="clear" w:color="auto" w:fill="FFFFFF"/>
        </w:rPr>
        <w:t>各项决策部署，深入践行“</w:t>
      </w:r>
      <w:r>
        <w:rPr>
          <w:rFonts w:hint="eastAsia" w:ascii="仿宋" w:hAnsi="仿宋" w:eastAsia="仿宋" w:cs="仿宋"/>
          <w:color w:val="auto"/>
          <w:sz w:val="32"/>
          <w:szCs w:val="32"/>
          <w:shd w:val="clear" w:color="auto" w:fill="FFFFFF"/>
          <w:lang w:eastAsia="zh-CN"/>
        </w:rPr>
        <w:t>农牧立县、文旅兴县、能源富县</w:t>
      </w:r>
      <w:r>
        <w:rPr>
          <w:rFonts w:hint="eastAsia" w:ascii="仿宋" w:hAnsi="仿宋" w:eastAsia="仿宋" w:cs="仿宋"/>
          <w:color w:val="auto"/>
          <w:sz w:val="32"/>
          <w:szCs w:val="32"/>
          <w:shd w:val="clear" w:color="auto" w:fill="FFFFFF"/>
        </w:rPr>
        <w:t>”发展</w:t>
      </w:r>
      <w:r>
        <w:rPr>
          <w:rFonts w:hint="eastAsia" w:ascii="仿宋" w:hAnsi="仿宋" w:eastAsia="仿宋" w:cs="仿宋"/>
          <w:color w:val="auto"/>
          <w:sz w:val="32"/>
          <w:szCs w:val="32"/>
          <w:shd w:val="clear" w:color="auto" w:fill="FFFFFF"/>
          <w:lang w:eastAsia="zh-CN"/>
        </w:rPr>
        <w:t>战略</w:t>
      </w:r>
      <w:r>
        <w:rPr>
          <w:rFonts w:hint="eastAsia" w:ascii="仿宋" w:hAnsi="仿宋" w:eastAsia="仿宋" w:cs="仿宋"/>
          <w:color w:val="auto"/>
          <w:sz w:val="32"/>
          <w:szCs w:val="32"/>
          <w:shd w:val="clear" w:color="auto" w:fill="FFFFFF"/>
        </w:rPr>
        <w:t>，</w:t>
      </w:r>
      <w:r>
        <w:rPr>
          <w:rFonts w:hint="eastAsia" w:ascii="仿宋" w:hAnsi="仿宋" w:eastAsia="仿宋" w:cs="仿宋"/>
          <w:color w:val="auto"/>
          <w:sz w:val="32"/>
          <w:szCs w:val="32"/>
          <w:shd w:val="clear" w:color="auto" w:fill="FFFFFF"/>
          <w:lang w:eastAsia="zh-CN"/>
        </w:rPr>
        <w:t>加快建设壤塘特色现代产业新体系，</w:t>
      </w:r>
      <w:r>
        <w:rPr>
          <w:rFonts w:hint="eastAsia" w:ascii="仿宋" w:hAnsi="仿宋" w:eastAsia="仿宋" w:cs="仿宋"/>
          <w:color w:val="auto"/>
          <w:sz w:val="32"/>
          <w:szCs w:val="32"/>
          <w:shd w:val="clear" w:color="auto" w:fill="FFFFFF"/>
        </w:rPr>
        <w:t>锚定目标、加压奋进、抓项目、兴产业、促消费，赋能经济发展，经济回升向好态势更加巩固，高质量发展扎实推进。</w:t>
      </w:r>
    </w:p>
    <w:p>
      <w:pPr>
        <w:pStyle w:val="7"/>
        <w:rPr>
          <w:rFonts w:hint="eastAsia"/>
          <w:color w:val="auto"/>
          <w:lang w:eastAsia="zh-CN"/>
        </w:rPr>
      </w:pPr>
    </w:p>
    <w:p>
      <w:pPr>
        <w:widowControl/>
        <w:numPr>
          <w:ilvl w:val="0"/>
          <w:numId w:val="1"/>
        </w:numPr>
        <w:adjustRightInd w:val="0"/>
        <w:snapToGrid w:val="0"/>
        <w:spacing w:line="560" w:lineRule="exact"/>
        <w:jc w:val="center"/>
        <w:rPr>
          <w:rFonts w:ascii="黑体" w:hAnsi="黑体" w:eastAsia="黑体" w:cs="黑体"/>
          <w:b/>
          <w:color w:val="auto"/>
          <w:kern w:val="0"/>
          <w:sz w:val="36"/>
          <w:szCs w:val="36"/>
          <w:lang w:val="zh-CN"/>
        </w:rPr>
      </w:pPr>
      <w:r>
        <w:rPr>
          <w:rFonts w:hint="eastAsia" w:ascii="黑体" w:hAnsi="黑体" w:eastAsia="黑体" w:cs="黑体"/>
          <w:b/>
          <w:color w:val="auto"/>
          <w:kern w:val="0"/>
          <w:sz w:val="36"/>
          <w:szCs w:val="36"/>
          <w:lang w:val="zh-CN"/>
        </w:rPr>
        <w:t>综</w:t>
      </w:r>
      <w:r>
        <w:rPr>
          <w:rFonts w:hint="eastAsia" w:ascii="黑体" w:hAnsi="黑体" w:eastAsia="黑体" w:cs="黑体"/>
          <w:b/>
          <w:color w:val="auto"/>
          <w:kern w:val="0"/>
          <w:sz w:val="36"/>
          <w:szCs w:val="36"/>
          <w:lang w:val="en-US" w:eastAsia="zh-CN"/>
        </w:rPr>
        <w:t xml:space="preserve">  </w:t>
      </w:r>
      <w:r>
        <w:rPr>
          <w:rFonts w:hint="eastAsia" w:ascii="黑体" w:hAnsi="黑体" w:eastAsia="黑体" w:cs="黑体"/>
          <w:b/>
          <w:color w:val="auto"/>
          <w:kern w:val="0"/>
          <w:sz w:val="36"/>
          <w:szCs w:val="36"/>
          <w:lang w:val="zh-CN"/>
        </w:rPr>
        <w:t>合</w:t>
      </w:r>
      <w:r>
        <w:rPr>
          <w:rFonts w:hint="eastAsia" w:ascii="黑体" w:hAnsi="黑体" w:eastAsia="黑体" w:cs="黑体"/>
          <w:b/>
          <w:color w:val="auto"/>
          <w:kern w:val="0"/>
          <w:sz w:val="36"/>
          <w:szCs w:val="36"/>
          <w:lang w:val="en-US" w:eastAsia="zh-CN"/>
        </w:rPr>
        <w:t xml:space="preserve"> </w:t>
      </w:r>
    </w:p>
    <w:p>
      <w:pPr>
        <w:pStyle w:val="12"/>
        <w:ind w:left="0" w:leftChars="0" w:firstLine="0" w:firstLineChars="0"/>
        <w:rPr>
          <w:color w:val="auto"/>
          <w:lang w:val="zh-CN"/>
        </w:rPr>
      </w:pP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kern w:val="0"/>
          <w:sz w:val="32"/>
          <w:szCs w:val="32"/>
          <w:lang w:eastAsia="zh-CN"/>
        </w:rPr>
        <w:t>2023</w:t>
      </w:r>
      <w:r>
        <w:rPr>
          <w:rFonts w:hint="eastAsia" w:ascii="仿宋" w:hAnsi="仿宋" w:eastAsia="仿宋" w:cs="仿宋"/>
          <w:color w:val="auto"/>
          <w:kern w:val="0"/>
          <w:sz w:val="32"/>
          <w:szCs w:val="32"/>
        </w:rPr>
        <w:t>年，</w:t>
      </w:r>
      <w:r>
        <w:rPr>
          <w:rFonts w:hint="eastAsia" w:ascii="仿宋" w:hAnsi="仿宋" w:eastAsia="仿宋" w:cs="仿宋"/>
          <w:color w:val="auto"/>
          <w:sz w:val="32"/>
          <w:szCs w:val="32"/>
          <w:lang w:eastAsia="zh-CN"/>
        </w:rPr>
        <w:t>根据地区生产总值统一核算结果</w:t>
      </w:r>
      <w:r>
        <w:rPr>
          <w:rFonts w:hint="eastAsia" w:ascii="仿宋" w:hAnsi="仿宋" w:eastAsia="仿宋" w:cs="仿宋"/>
          <w:color w:val="auto"/>
          <w:kern w:val="0"/>
          <w:sz w:val="32"/>
          <w:szCs w:val="32"/>
        </w:rPr>
        <w:t>，全县实现</w:t>
      </w:r>
      <w:r>
        <w:rPr>
          <w:rFonts w:hint="eastAsia" w:ascii="仿宋" w:hAnsi="仿宋" w:eastAsia="仿宋" w:cs="仿宋"/>
          <w:sz w:val="32"/>
          <w:szCs w:val="32"/>
        </w:rPr>
        <w:t>地区生产总值</w:t>
      </w:r>
      <w:r>
        <w:rPr>
          <w:rFonts w:hint="eastAsia" w:ascii="仿宋" w:hAnsi="仿宋" w:eastAsia="仿宋" w:cs="仿宋"/>
          <w:sz w:val="32"/>
          <w:szCs w:val="32"/>
          <w:lang w:val="en-US" w:eastAsia="zh-CN"/>
        </w:rPr>
        <w:t>155015万</w:t>
      </w:r>
      <w:r>
        <w:rPr>
          <w:rFonts w:hint="eastAsia" w:ascii="仿宋" w:hAnsi="仿宋" w:eastAsia="仿宋" w:cs="仿宋"/>
          <w:sz w:val="32"/>
          <w:szCs w:val="32"/>
        </w:rPr>
        <w:t>元，按可比价计算，</w:t>
      </w:r>
      <w:r>
        <w:rPr>
          <w:rFonts w:hint="eastAsia" w:ascii="仿宋" w:hAnsi="仿宋" w:eastAsia="仿宋" w:cs="仿宋"/>
          <w:sz w:val="32"/>
          <w:szCs w:val="32"/>
          <w:lang w:eastAsia="zh-CN"/>
        </w:rPr>
        <w:t>同比（下同）</w:t>
      </w:r>
      <w:r>
        <w:rPr>
          <w:rFonts w:hint="eastAsia" w:ascii="仿宋" w:hAnsi="仿宋" w:eastAsia="仿宋" w:cs="仿宋"/>
          <w:sz w:val="32"/>
          <w:szCs w:val="32"/>
        </w:rPr>
        <w:t>增长</w:t>
      </w:r>
      <w:r>
        <w:rPr>
          <w:rFonts w:hint="eastAsia" w:ascii="仿宋" w:hAnsi="仿宋" w:eastAsia="仿宋" w:cs="仿宋"/>
          <w:sz w:val="32"/>
          <w:szCs w:val="32"/>
          <w:lang w:val="en-US" w:eastAsia="zh-CN"/>
        </w:rPr>
        <w:t>6.8</w:t>
      </w:r>
      <w:r>
        <w:rPr>
          <w:rFonts w:hint="eastAsia" w:ascii="仿宋" w:hAnsi="仿宋" w:eastAsia="仿宋" w:cs="仿宋"/>
          <w:sz w:val="32"/>
          <w:szCs w:val="32"/>
        </w:rPr>
        <w:t>%</w:t>
      </w:r>
      <w:r>
        <w:rPr>
          <w:rFonts w:hint="eastAsia" w:ascii="仿宋" w:hAnsi="仿宋" w:eastAsia="仿宋" w:cs="仿宋"/>
          <w:sz w:val="32"/>
          <w:szCs w:val="32"/>
          <w:lang w:eastAsia="zh-CN"/>
        </w:rPr>
        <w:t>。</w:t>
      </w:r>
      <w:r>
        <w:rPr>
          <w:rFonts w:hint="eastAsia" w:ascii="仿宋" w:hAnsi="仿宋" w:eastAsia="仿宋" w:cs="仿宋"/>
          <w:sz w:val="32"/>
          <w:szCs w:val="32"/>
        </w:rPr>
        <w:t>第一产业实现增加值</w:t>
      </w:r>
      <w:r>
        <w:rPr>
          <w:rFonts w:hint="eastAsia" w:ascii="仿宋" w:hAnsi="仿宋" w:eastAsia="仿宋" w:cs="仿宋"/>
          <w:sz w:val="32"/>
          <w:szCs w:val="32"/>
          <w:lang w:val="en-US" w:eastAsia="zh-CN"/>
        </w:rPr>
        <w:t>43723万</w:t>
      </w:r>
      <w:r>
        <w:rPr>
          <w:rFonts w:hint="eastAsia" w:ascii="仿宋" w:hAnsi="仿宋" w:eastAsia="仿宋" w:cs="仿宋"/>
          <w:sz w:val="32"/>
          <w:szCs w:val="32"/>
        </w:rPr>
        <w:t>元，增长</w:t>
      </w:r>
      <w:r>
        <w:rPr>
          <w:rFonts w:hint="eastAsia" w:ascii="仿宋" w:hAnsi="仿宋" w:eastAsia="仿宋" w:cs="仿宋"/>
          <w:sz w:val="32"/>
          <w:szCs w:val="32"/>
          <w:lang w:val="en-US" w:eastAsia="zh-CN"/>
        </w:rPr>
        <w:t>11.1</w:t>
      </w:r>
      <w:r>
        <w:rPr>
          <w:rFonts w:hint="eastAsia" w:ascii="仿宋" w:hAnsi="仿宋" w:eastAsia="仿宋" w:cs="仿宋"/>
          <w:sz w:val="32"/>
          <w:szCs w:val="32"/>
        </w:rPr>
        <w:t>%</w:t>
      </w:r>
      <w:r>
        <w:rPr>
          <w:rFonts w:hint="eastAsia" w:ascii="仿宋" w:hAnsi="仿宋" w:eastAsia="仿宋" w:cs="仿宋"/>
          <w:sz w:val="32"/>
          <w:szCs w:val="32"/>
          <w:lang w:eastAsia="zh-CN"/>
        </w:rPr>
        <w:t>；</w:t>
      </w:r>
      <w:r>
        <w:rPr>
          <w:rFonts w:hint="eastAsia" w:ascii="仿宋" w:hAnsi="仿宋" w:eastAsia="仿宋" w:cs="仿宋"/>
          <w:sz w:val="32"/>
          <w:szCs w:val="32"/>
        </w:rPr>
        <w:t>第二产业实现增加值</w:t>
      </w:r>
      <w:r>
        <w:rPr>
          <w:rFonts w:hint="eastAsia" w:ascii="仿宋" w:hAnsi="仿宋" w:eastAsia="仿宋" w:cs="仿宋"/>
          <w:sz w:val="32"/>
          <w:szCs w:val="32"/>
          <w:lang w:val="en-US" w:eastAsia="zh-CN"/>
        </w:rPr>
        <w:t>6400万</w:t>
      </w:r>
      <w:r>
        <w:rPr>
          <w:rFonts w:hint="eastAsia" w:ascii="仿宋" w:hAnsi="仿宋" w:eastAsia="仿宋" w:cs="仿宋"/>
          <w:sz w:val="32"/>
          <w:szCs w:val="32"/>
        </w:rPr>
        <w:t>元，</w:t>
      </w:r>
      <w:r>
        <w:rPr>
          <w:rFonts w:hint="eastAsia" w:ascii="仿宋" w:hAnsi="仿宋" w:eastAsia="仿宋" w:cs="仿宋"/>
          <w:sz w:val="32"/>
          <w:szCs w:val="32"/>
          <w:lang w:eastAsia="zh-CN"/>
        </w:rPr>
        <w:t>下降</w:t>
      </w:r>
      <w:r>
        <w:rPr>
          <w:rFonts w:hint="eastAsia" w:ascii="仿宋" w:hAnsi="仿宋" w:eastAsia="仿宋" w:cs="仿宋"/>
          <w:sz w:val="32"/>
          <w:szCs w:val="32"/>
          <w:lang w:val="en-US" w:eastAsia="zh-CN"/>
        </w:rPr>
        <w:t>3.8</w:t>
      </w:r>
      <w:r>
        <w:rPr>
          <w:rFonts w:hint="eastAsia" w:ascii="仿宋" w:hAnsi="仿宋" w:eastAsia="仿宋" w:cs="仿宋"/>
          <w:sz w:val="32"/>
          <w:szCs w:val="32"/>
        </w:rPr>
        <w:t>%</w:t>
      </w:r>
      <w:r>
        <w:rPr>
          <w:rFonts w:hint="eastAsia" w:ascii="仿宋" w:hAnsi="仿宋" w:eastAsia="仿宋" w:cs="仿宋"/>
          <w:sz w:val="32"/>
          <w:szCs w:val="32"/>
          <w:lang w:eastAsia="zh-CN"/>
        </w:rPr>
        <w:t>；</w:t>
      </w:r>
      <w:r>
        <w:rPr>
          <w:rFonts w:hint="eastAsia" w:ascii="仿宋" w:hAnsi="仿宋" w:eastAsia="仿宋" w:cs="仿宋"/>
          <w:sz w:val="32"/>
          <w:szCs w:val="32"/>
        </w:rPr>
        <w:t>第三产业实现增加值</w:t>
      </w:r>
      <w:r>
        <w:rPr>
          <w:rFonts w:hint="eastAsia" w:ascii="仿宋" w:hAnsi="仿宋" w:eastAsia="仿宋" w:cs="仿宋"/>
          <w:sz w:val="32"/>
          <w:szCs w:val="32"/>
          <w:lang w:val="en-US" w:eastAsia="zh-CN"/>
        </w:rPr>
        <w:t>104892万</w:t>
      </w:r>
      <w:r>
        <w:rPr>
          <w:rFonts w:hint="eastAsia" w:ascii="仿宋" w:hAnsi="仿宋" w:eastAsia="仿宋" w:cs="仿宋"/>
          <w:sz w:val="32"/>
          <w:szCs w:val="32"/>
        </w:rPr>
        <w:t>元，增长</w:t>
      </w:r>
      <w:r>
        <w:rPr>
          <w:rFonts w:hint="eastAsia" w:ascii="仿宋" w:hAnsi="仿宋" w:eastAsia="仿宋" w:cs="仿宋"/>
          <w:sz w:val="32"/>
          <w:szCs w:val="32"/>
          <w:lang w:val="en-US" w:eastAsia="zh-CN"/>
        </w:rPr>
        <w:t>5.6</w:t>
      </w:r>
      <w:r>
        <w:rPr>
          <w:rFonts w:hint="eastAsia" w:ascii="仿宋" w:hAnsi="仿宋" w:eastAsia="仿宋" w:cs="仿宋"/>
          <w:sz w:val="32"/>
          <w:szCs w:val="32"/>
        </w:rPr>
        <w:t>%。</w:t>
      </w:r>
      <w:r>
        <w:rPr>
          <w:rFonts w:hint="eastAsia" w:ascii="仿宋" w:hAnsi="仿宋" w:eastAsia="仿宋" w:cs="仿宋"/>
          <w:color w:val="auto"/>
          <w:sz w:val="32"/>
          <w:szCs w:val="32"/>
        </w:rPr>
        <w:t>三次产业对经济增长的贡献率分别为</w:t>
      </w:r>
      <w:r>
        <w:rPr>
          <w:rFonts w:hint="eastAsia" w:ascii="仿宋" w:hAnsi="仿宋" w:eastAsia="仿宋" w:cs="仿宋"/>
          <w:color w:val="auto"/>
          <w:kern w:val="0"/>
          <w:sz w:val="32"/>
          <w:szCs w:val="32"/>
          <w:lang w:val="en-US" w:eastAsia="zh-CN"/>
        </w:rPr>
        <w:t>47.9</w:t>
      </w:r>
      <w:r>
        <w:rPr>
          <w:rFonts w:hint="eastAsia" w:ascii="仿宋" w:hAnsi="仿宋" w:eastAsia="仿宋" w:cs="仿宋"/>
          <w:color w:val="auto"/>
          <w:sz w:val="32"/>
          <w:szCs w:val="32"/>
          <w:lang w:val="en-US" w:eastAsia="zh-CN"/>
        </w:rPr>
        <w:t>%、</w:t>
      </w:r>
      <w:r>
        <w:rPr>
          <w:rFonts w:hint="eastAsia" w:ascii="仿宋" w:hAnsi="仿宋" w:eastAsia="仿宋" w:cs="仿宋"/>
          <w:color w:val="auto"/>
          <w:kern w:val="0"/>
          <w:sz w:val="32"/>
          <w:szCs w:val="32"/>
          <w:lang w:val="en-US" w:eastAsia="zh-CN"/>
        </w:rPr>
        <w:t>-2.4%</w:t>
      </w:r>
      <w:r>
        <w:rPr>
          <w:rFonts w:hint="eastAsia" w:ascii="仿宋" w:hAnsi="仿宋" w:eastAsia="仿宋" w:cs="仿宋"/>
          <w:color w:val="auto"/>
          <w:sz w:val="32"/>
          <w:szCs w:val="32"/>
          <w:lang w:val="en-US" w:eastAsia="zh-CN"/>
        </w:rPr>
        <w:t>和</w:t>
      </w:r>
      <w:r>
        <w:rPr>
          <w:rFonts w:hint="eastAsia" w:ascii="仿宋" w:hAnsi="仿宋" w:eastAsia="仿宋" w:cs="仿宋"/>
          <w:color w:val="auto"/>
          <w:kern w:val="0"/>
          <w:sz w:val="32"/>
          <w:szCs w:val="32"/>
          <w:lang w:val="en-US" w:eastAsia="zh-CN"/>
        </w:rPr>
        <w:t>54.5%</w:t>
      </w:r>
      <w:r>
        <w:rPr>
          <w:rFonts w:hint="eastAsia" w:ascii="仿宋" w:hAnsi="仿宋" w:eastAsia="仿宋" w:cs="仿宋"/>
          <w:color w:val="auto"/>
          <w:sz w:val="32"/>
          <w:szCs w:val="32"/>
          <w:lang w:eastAsia="zh-CN"/>
        </w:rPr>
        <w:t>，分别拉动经济增长</w:t>
      </w:r>
      <w:r>
        <w:rPr>
          <w:rFonts w:hint="eastAsia" w:ascii="仿宋" w:hAnsi="仿宋" w:eastAsia="仿宋" w:cs="仿宋"/>
          <w:color w:val="auto"/>
          <w:kern w:val="0"/>
          <w:sz w:val="32"/>
          <w:szCs w:val="32"/>
          <w:lang w:val="en-US" w:eastAsia="zh-CN"/>
        </w:rPr>
        <w:t>3.3、-0.2</w:t>
      </w:r>
      <w:r>
        <w:rPr>
          <w:rFonts w:hint="eastAsia" w:ascii="仿宋" w:hAnsi="仿宋" w:eastAsia="仿宋" w:cs="仿宋"/>
          <w:color w:val="auto"/>
          <w:sz w:val="32"/>
          <w:szCs w:val="32"/>
          <w:lang w:val="en-US" w:eastAsia="zh-CN"/>
        </w:rPr>
        <w:t>和</w:t>
      </w:r>
      <w:r>
        <w:rPr>
          <w:rFonts w:hint="eastAsia" w:ascii="仿宋" w:hAnsi="仿宋" w:eastAsia="仿宋" w:cs="仿宋"/>
          <w:color w:val="auto"/>
          <w:kern w:val="0"/>
          <w:sz w:val="32"/>
          <w:szCs w:val="32"/>
          <w:lang w:val="en-US" w:eastAsia="zh-CN"/>
        </w:rPr>
        <w:t>3.7</w:t>
      </w:r>
      <w:r>
        <w:rPr>
          <w:rFonts w:hint="eastAsia" w:ascii="仿宋" w:hAnsi="仿宋" w:eastAsia="仿宋" w:cs="仿宋"/>
          <w:color w:val="auto"/>
          <w:sz w:val="32"/>
          <w:szCs w:val="32"/>
          <w:lang w:eastAsia="zh-CN"/>
        </w:rPr>
        <w:t>个百分点</w:t>
      </w:r>
      <w:r>
        <w:rPr>
          <w:rFonts w:hint="eastAsia" w:ascii="仿宋" w:hAnsi="仿宋" w:eastAsia="仿宋" w:cs="仿宋"/>
          <w:color w:val="auto"/>
          <w:sz w:val="32"/>
          <w:szCs w:val="32"/>
        </w:rPr>
        <w:t>。三次产业结构由上年的</w:t>
      </w:r>
      <w:r>
        <w:rPr>
          <w:rFonts w:hint="eastAsia" w:ascii="仿宋" w:hAnsi="仿宋" w:eastAsia="仿宋" w:cs="仿宋"/>
          <w:color w:val="auto"/>
          <w:sz w:val="32"/>
          <w:szCs w:val="32"/>
          <w:lang w:val="en-US" w:eastAsia="zh-CN"/>
        </w:rPr>
        <w:t>29.1</w:t>
      </w:r>
      <w:r>
        <w:rPr>
          <w:rFonts w:hint="eastAsia" w:ascii="仿宋" w:hAnsi="仿宋" w:eastAsia="仿宋" w:cs="仿宋"/>
          <w:color w:val="auto"/>
          <w:sz w:val="32"/>
          <w:szCs w:val="32"/>
        </w:rPr>
        <w:t>:4</w:t>
      </w:r>
      <w:r>
        <w:rPr>
          <w:rFonts w:hint="eastAsia" w:ascii="仿宋" w:hAnsi="仿宋" w:eastAsia="仿宋" w:cs="仿宋"/>
          <w:color w:val="auto"/>
          <w:sz w:val="32"/>
          <w:szCs w:val="32"/>
          <w:lang w:val="en-US" w:eastAsia="zh-CN"/>
        </w:rPr>
        <w:t>.</w:t>
      </w:r>
      <w:r>
        <w:rPr>
          <w:rFonts w:hint="eastAsia" w:ascii="仿宋" w:hAnsi="仿宋" w:eastAsia="仿宋" w:cs="仿宋"/>
          <w:color w:val="auto"/>
          <w:sz w:val="32"/>
          <w:szCs w:val="32"/>
        </w:rPr>
        <w:t>4:</w:t>
      </w:r>
      <w:r>
        <w:rPr>
          <w:rFonts w:hint="eastAsia" w:ascii="仿宋" w:hAnsi="仿宋" w:eastAsia="仿宋" w:cs="仿宋"/>
          <w:color w:val="auto"/>
          <w:sz w:val="32"/>
          <w:szCs w:val="32"/>
          <w:lang w:val="en-US" w:eastAsia="zh-CN"/>
        </w:rPr>
        <w:t>66.5</w:t>
      </w:r>
      <w:r>
        <w:rPr>
          <w:rFonts w:hint="eastAsia" w:ascii="仿宋" w:hAnsi="仿宋" w:eastAsia="仿宋" w:cs="仿宋"/>
          <w:color w:val="auto"/>
          <w:sz w:val="32"/>
          <w:szCs w:val="32"/>
        </w:rPr>
        <w:t>调整为</w:t>
      </w:r>
      <w:r>
        <w:rPr>
          <w:rFonts w:hint="eastAsia" w:ascii="仿宋" w:hAnsi="仿宋" w:eastAsia="仿宋" w:cs="仿宋"/>
          <w:color w:val="auto"/>
          <w:sz w:val="32"/>
          <w:szCs w:val="32"/>
          <w:lang w:val="en-US" w:eastAsia="zh-CN"/>
        </w:rPr>
        <w:t>28.2</w:t>
      </w:r>
      <w:r>
        <w:rPr>
          <w:rFonts w:hint="eastAsia" w:ascii="仿宋" w:hAnsi="仿宋" w:eastAsia="仿宋" w:cs="仿宋"/>
          <w:color w:val="auto"/>
          <w:sz w:val="32"/>
          <w:szCs w:val="32"/>
        </w:rPr>
        <w:t>:4.</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67.7</w:t>
      </w:r>
      <w:r>
        <w:rPr>
          <w:rFonts w:hint="eastAsia" w:ascii="仿宋" w:hAnsi="仿宋" w:eastAsia="仿宋" w:cs="仿宋"/>
          <w:color w:val="auto"/>
          <w:kern w:val="0"/>
          <w:sz w:val="32"/>
          <w:szCs w:val="32"/>
          <w:lang w:val="en-US" w:eastAsia="zh-CN"/>
        </w:rPr>
        <w:t>。</w:t>
      </w:r>
      <w:r>
        <w:rPr>
          <w:rFonts w:hint="eastAsia" w:ascii="仿宋" w:hAnsi="仿宋" w:eastAsia="仿宋" w:cs="仿宋"/>
          <w:color w:val="auto"/>
          <w:sz w:val="32"/>
          <w:szCs w:val="32"/>
        </w:rPr>
        <w:t>人均地区生产总值</w:t>
      </w:r>
      <w:r>
        <w:rPr>
          <w:rFonts w:hint="eastAsia" w:ascii="仿宋" w:hAnsi="仿宋" w:eastAsia="仿宋" w:cs="仿宋"/>
          <w:color w:val="auto"/>
          <w:sz w:val="32"/>
          <w:szCs w:val="32"/>
          <w:lang w:val="en-US" w:eastAsia="zh-CN"/>
        </w:rPr>
        <w:t>34182</w:t>
      </w:r>
      <w:r>
        <w:rPr>
          <w:rFonts w:hint="eastAsia" w:ascii="仿宋" w:hAnsi="仿宋" w:eastAsia="仿宋" w:cs="仿宋"/>
          <w:color w:val="auto"/>
          <w:sz w:val="32"/>
          <w:szCs w:val="32"/>
        </w:rPr>
        <w:t>元，</w:t>
      </w:r>
      <w:r>
        <w:rPr>
          <w:rFonts w:hint="eastAsia" w:ascii="仿宋" w:hAnsi="仿宋" w:eastAsia="仿宋" w:cs="仿宋"/>
          <w:color w:val="auto"/>
          <w:sz w:val="32"/>
          <w:szCs w:val="32"/>
          <w:lang w:eastAsia="zh-CN"/>
        </w:rPr>
        <w:t>增长</w:t>
      </w:r>
      <w:r>
        <w:rPr>
          <w:rFonts w:hint="eastAsia" w:ascii="仿宋" w:hAnsi="仿宋" w:eastAsia="仿宋" w:cs="仿宋"/>
          <w:color w:val="auto"/>
          <w:sz w:val="32"/>
          <w:szCs w:val="32"/>
          <w:lang w:val="en-US" w:eastAsia="zh-CN"/>
        </w:rPr>
        <w:t>6.2</w:t>
      </w:r>
      <w:r>
        <w:rPr>
          <w:rFonts w:hint="eastAsia" w:ascii="仿宋" w:hAnsi="仿宋" w:eastAsia="仿宋" w:cs="仿宋"/>
          <w:color w:val="auto"/>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640" w:firstLineChars="200"/>
        <w:textAlignment w:val="auto"/>
        <w:rPr>
          <w:rFonts w:hint="eastAsia" w:ascii="仿宋" w:hAnsi="仿宋" w:eastAsia="仿宋" w:cs="仿宋"/>
          <w:color w:val="auto"/>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640" w:firstLineChars="200"/>
        <w:textAlignment w:val="auto"/>
        <w:rPr>
          <w:rFonts w:hint="eastAsia" w:ascii="仿宋" w:hAnsi="仿宋" w:eastAsia="仿宋" w:cs="仿宋"/>
          <w:color w:val="auto"/>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640" w:firstLineChars="200"/>
        <w:textAlignment w:val="auto"/>
        <w:rPr>
          <w:rFonts w:ascii="Times New Roman" w:hAnsi="Times New Roman" w:eastAsia="仿宋_GB2312" w:cs="Times New Roman"/>
          <w:color w:val="auto"/>
          <w:sz w:val="32"/>
          <w:szCs w:val="32"/>
          <w:shd w:val="clear" w:color="auto" w:fill="FFFFFF"/>
        </w:rPr>
      </w:pPr>
      <w:r>
        <w:rPr>
          <w:rFonts w:hint="eastAsia" w:ascii="仿宋" w:hAnsi="仿宋" w:eastAsia="仿宋" w:cs="仿宋"/>
          <w:color w:val="auto"/>
          <w:sz w:val="32"/>
          <w:szCs w:val="32"/>
          <w:lang w:val="en-US"/>
        </w:rPr>
        <w:drawing>
          <wp:anchor distT="0" distB="0" distL="114300" distR="114300" simplePos="0" relativeHeight="251664384" behindDoc="0" locked="0" layoutInCell="1" allowOverlap="1">
            <wp:simplePos x="0" y="0"/>
            <wp:positionH relativeFrom="column">
              <wp:posOffset>12065</wp:posOffset>
            </wp:positionH>
            <wp:positionV relativeFrom="paragraph">
              <wp:posOffset>127000</wp:posOffset>
            </wp:positionV>
            <wp:extent cx="5592445" cy="2667000"/>
            <wp:effectExtent l="4445" t="4445" r="22860" b="14605"/>
            <wp:wrapTopAndBottom/>
            <wp:docPr id="1302" name="图表 5" descr="7b0a202020202263686172745265734964223a20223137343234303036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anchor>
        </w:drawing>
      </w:r>
    </w:p>
    <w:p>
      <w:pPr>
        <w:jc w:val="left"/>
        <w:rPr>
          <w:rFonts w:ascii="Times New Roman" w:hAnsi="Times New Roman" w:eastAsia="宋体" w:cs="Times New Roman"/>
          <w:color w:val="auto"/>
          <w:szCs w:val="22"/>
        </w:rPr>
      </w:pPr>
    </w:p>
    <w:p>
      <w:pPr>
        <w:rPr>
          <w:rFonts w:hint="eastAsia" w:ascii="Times New Roman" w:hAnsi="Times New Roman" w:eastAsia="宋体" w:cs="Times New Roman"/>
          <w:color w:val="auto"/>
          <w:szCs w:val="22"/>
          <w:lang w:eastAsia="zh-CN"/>
        </w:rPr>
      </w:pPr>
      <w:r>
        <w:drawing>
          <wp:inline distT="0" distB="0" distL="114300" distR="114300">
            <wp:extent cx="5587365" cy="2743200"/>
            <wp:effectExtent l="4445" t="4445" r="8890" b="52705"/>
            <wp:docPr id="1670" name="图表 1" descr="7b0a202020202263686172745265734964223a20223230323636373438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auto"/>
          <w:sz w:val="32"/>
          <w:szCs w:val="32"/>
        </w:rPr>
      </w:pPr>
      <w:r>
        <w:rPr>
          <w:rFonts w:ascii="Times New Roman" w:hAnsi="Times New Roman" w:eastAsia="仿宋_GB2312" w:cs="Times New Roman"/>
          <w:color w:val="auto"/>
          <w:sz w:val="32"/>
          <w:szCs w:val="32"/>
          <w:shd w:val="clear" w:color="auto" w:fill="FFFFFF"/>
        </w:rPr>
        <w:t>【</w:t>
      </w:r>
      <w:r>
        <w:rPr>
          <w:rFonts w:hint="eastAsia" w:ascii="楷体_GB2312" w:hAnsi="楷体_GB2312" w:eastAsia="楷体_GB2312" w:cs="楷体_GB2312"/>
          <w:b/>
          <w:bCs/>
          <w:color w:val="auto"/>
          <w:sz w:val="32"/>
          <w:szCs w:val="32"/>
          <w:shd w:val="clear" w:color="auto" w:fill="FFFFFF"/>
        </w:rPr>
        <w:t>民营经济</w:t>
      </w:r>
      <w:r>
        <w:rPr>
          <w:rFonts w:ascii="Times New Roman" w:hAnsi="Times New Roman" w:eastAsia="仿宋_GB2312" w:cs="Times New Roman"/>
          <w:color w:val="auto"/>
          <w:sz w:val="32"/>
          <w:szCs w:val="32"/>
          <w:shd w:val="clear" w:color="auto" w:fill="FFFFFF"/>
        </w:rPr>
        <w:t>】</w:t>
      </w:r>
      <w:r>
        <w:rPr>
          <w:rFonts w:hint="eastAsia" w:ascii="仿宋" w:hAnsi="仿宋" w:eastAsia="仿宋" w:cs="仿宋"/>
          <w:color w:val="auto"/>
          <w:sz w:val="32"/>
          <w:szCs w:val="32"/>
        </w:rPr>
        <w:t>年末全县民营经济主体2153户，增长</w:t>
      </w:r>
      <w:r>
        <w:rPr>
          <w:rFonts w:hint="eastAsia" w:ascii="仿宋" w:hAnsi="仿宋" w:eastAsia="仿宋" w:cs="仿宋"/>
          <w:color w:val="auto"/>
          <w:sz w:val="32"/>
          <w:szCs w:val="32"/>
          <w:lang w:val="en-US" w:eastAsia="zh-CN"/>
        </w:rPr>
        <w:t>17.4</w:t>
      </w:r>
      <w:r>
        <w:rPr>
          <w:rFonts w:hint="eastAsia" w:ascii="仿宋" w:hAnsi="仿宋" w:eastAsia="仿宋" w:cs="仿宋"/>
          <w:color w:val="auto"/>
          <w:sz w:val="32"/>
          <w:szCs w:val="32"/>
        </w:rPr>
        <w:t>%，占市场主体总量</w:t>
      </w:r>
      <w:r>
        <w:rPr>
          <w:rFonts w:hint="eastAsia" w:ascii="仿宋" w:hAnsi="仿宋" w:eastAsia="仿宋" w:cs="仿宋"/>
          <w:color w:val="auto"/>
          <w:sz w:val="32"/>
          <w:szCs w:val="32"/>
          <w:lang w:val="en-US" w:eastAsia="zh-CN"/>
        </w:rPr>
        <w:t>97.7</w:t>
      </w:r>
      <w:r>
        <w:rPr>
          <w:rFonts w:hint="eastAsia" w:ascii="仿宋" w:hAnsi="仿宋" w:eastAsia="仿宋" w:cs="仿宋"/>
          <w:color w:val="auto"/>
          <w:sz w:val="32"/>
          <w:szCs w:val="32"/>
        </w:rPr>
        <w:t>%。按登记注册分类：企业385户，比上年增长</w:t>
      </w:r>
      <w:r>
        <w:rPr>
          <w:rFonts w:hint="eastAsia" w:ascii="仿宋" w:hAnsi="仿宋" w:eastAsia="仿宋" w:cs="仿宋"/>
          <w:color w:val="auto"/>
          <w:sz w:val="32"/>
          <w:szCs w:val="32"/>
          <w:lang w:val="en-US" w:eastAsia="zh-CN"/>
        </w:rPr>
        <w:t>24.1</w:t>
      </w:r>
      <w:r>
        <w:rPr>
          <w:rFonts w:hint="eastAsia" w:ascii="仿宋" w:hAnsi="仿宋" w:eastAsia="仿宋" w:cs="仿宋"/>
          <w:color w:val="auto"/>
          <w:sz w:val="32"/>
          <w:szCs w:val="32"/>
        </w:rPr>
        <w:t>%，占市场主体总量</w:t>
      </w:r>
      <w:r>
        <w:rPr>
          <w:rFonts w:hint="eastAsia" w:ascii="仿宋" w:hAnsi="仿宋" w:eastAsia="仿宋" w:cs="仿宋"/>
          <w:color w:val="auto"/>
          <w:sz w:val="32"/>
          <w:szCs w:val="32"/>
          <w:lang w:val="en-US" w:eastAsia="zh-CN"/>
        </w:rPr>
        <w:t>17.5</w:t>
      </w:r>
      <w:r>
        <w:rPr>
          <w:rFonts w:hint="eastAsia" w:ascii="仿宋" w:hAnsi="仿宋" w:eastAsia="仿宋" w:cs="仿宋"/>
          <w:color w:val="auto"/>
          <w:sz w:val="32"/>
          <w:szCs w:val="32"/>
        </w:rPr>
        <w:t>%；个体工商户1610户，比上年增长</w:t>
      </w:r>
      <w:r>
        <w:rPr>
          <w:rFonts w:hint="eastAsia" w:ascii="仿宋" w:hAnsi="仿宋" w:eastAsia="仿宋" w:cs="仿宋"/>
          <w:color w:val="auto"/>
          <w:sz w:val="32"/>
          <w:szCs w:val="32"/>
          <w:lang w:val="en-US" w:eastAsia="zh-CN"/>
        </w:rPr>
        <w:t>5.6</w:t>
      </w:r>
      <w:r>
        <w:rPr>
          <w:rFonts w:hint="eastAsia" w:ascii="仿宋" w:hAnsi="仿宋" w:eastAsia="仿宋" w:cs="仿宋"/>
          <w:color w:val="auto"/>
          <w:sz w:val="32"/>
          <w:szCs w:val="32"/>
        </w:rPr>
        <w:t>%，占市场主体总量</w:t>
      </w:r>
      <w:r>
        <w:rPr>
          <w:rFonts w:hint="eastAsia" w:ascii="仿宋" w:hAnsi="仿宋" w:eastAsia="仿宋" w:cs="仿宋"/>
          <w:color w:val="auto"/>
          <w:sz w:val="32"/>
          <w:szCs w:val="32"/>
          <w:lang w:val="en-US" w:eastAsia="zh-CN"/>
        </w:rPr>
        <w:t>73.1</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农民专业合作社</w:t>
      </w:r>
      <w:r>
        <w:rPr>
          <w:rFonts w:hint="eastAsia" w:ascii="仿宋" w:hAnsi="仿宋" w:eastAsia="仿宋" w:cs="仿宋"/>
          <w:color w:val="auto"/>
          <w:sz w:val="32"/>
          <w:szCs w:val="32"/>
          <w:lang w:val="en-US" w:eastAsia="zh-CN"/>
        </w:rPr>
        <w:t>158户，占市场主体总量7.1%</w:t>
      </w:r>
      <w:r>
        <w:rPr>
          <w:rFonts w:hint="eastAsia" w:ascii="仿宋" w:hAnsi="仿宋" w:eastAsia="仿宋" w:cs="仿宋"/>
          <w:color w:val="auto"/>
          <w:sz w:val="32"/>
          <w:szCs w:val="32"/>
        </w:rPr>
        <w:t>。按行业分类：农、林、牧、渔业202户</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采矿业3户</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制造业107户</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电力、热力、燃气及水生产和供应业8户</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建筑业43户</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批发和零售业878户</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交通运输、仓储和邮政业34户</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住宿和餐饮业458户</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信息传输、软件和信息技术服务业22户</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房地产业6户</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租赁和商务服务业60户</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科学研究和技术服务业13户</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水利、环境和公共设施管理业5户</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居民服务、修理和其他服务业206户</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教育4户</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卫生和社会工作12户</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文化、体育和娱乐业84户</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其他8户。</w:t>
      </w:r>
    </w:p>
    <w:p>
      <w:pPr>
        <w:spacing w:line="560" w:lineRule="exact"/>
        <w:ind w:firstLine="640" w:firstLineChars="200"/>
        <w:jc w:val="left"/>
        <w:rPr>
          <w:rFonts w:hint="eastAsia" w:ascii="仿宋" w:hAnsi="仿宋" w:eastAsia="仿宋" w:cs="仿宋"/>
          <w:color w:val="auto"/>
          <w:sz w:val="32"/>
          <w:szCs w:val="32"/>
          <w:shd w:val="clear" w:color="auto" w:fill="FFFFFF"/>
        </w:rPr>
      </w:pPr>
      <w:r>
        <w:rPr>
          <w:rFonts w:hint="eastAsia" w:ascii="仿宋" w:hAnsi="仿宋" w:eastAsia="仿宋" w:cs="仿宋"/>
          <w:color w:val="auto"/>
          <w:sz w:val="32"/>
          <w:szCs w:val="32"/>
          <w:shd w:val="clear" w:color="auto" w:fill="FFFFFF"/>
        </w:rPr>
        <w:t>全年民营经济实现增加值</w:t>
      </w:r>
      <w:r>
        <w:rPr>
          <w:rFonts w:hint="eastAsia" w:ascii="仿宋" w:hAnsi="仿宋" w:eastAsia="仿宋" w:cs="仿宋"/>
          <w:color w:val="auto"/>
          <w:sz w:val="32"/>
          <w:szCs w:val="32"/>
          <w:shd w:val="clear" w:color="auto" w:fill="FFFFFF"/>
          <w:lang w:val="en-US" w:eastAsia="zh-CN"/>
        </w:rPr>
        <w:t>57996</w:t>
      </w:r>
      <w:r>
        <w:rPr>
          <w:rFonts w:hint="eastAsia" w:ascii="仿宋" w:hAnsi="仿宋" w:eastAsia="仿宋" w:cs="仿宋"/>
          <w:color w:val="auto"/>
          <w:sz w:val="32"/>
          <w:szCs w:val="32"/>
          <w:shd w:val="clear" w:color="auto" w:fill="FFFFFF"/>
        </w:rPr>
        <w:t>万元，增长</w:t>
      </w:r>
      <w:r>
        <w:rPr>
          <w:rFonts w:hint="eastAsia" w:ascii="仿宋" w:hAnsi="仿宋" w:eastAsia="仿宋" w:cs="仿宋"/>
          <w:color w:val="auto"/>
          <w:sz w:val="32"/>
          <w:szCs w:val="32"/>
          <w:shd w:val="clear" w:color="auto" w:fill="FFFFFF"/>
          <w:lang w:val="en-US" w:eastAsia="zh-CN"/>
        </w:rPr>
        <w:t>6.4</w:t>
      </w:r>
      <w:r>
        <w:rPr>
          <w:rFonts w:hint="eastAsia" w:ascii="仿宋" w:hAnsi="仿宋" w:eastAsia="仿宋" w:cs="仿宋"/>
          <w:color w:val="auto"/>
          <w:sz w:val="32"/>
          <w:szCs w:val="32"/>
          <w:shd w:val="clear" w:color="auto" w:fill="FFFFFF"/>
        </w:rPr>
        <w:t>%，民营经济占GDP比重37.</w:t>
      </w:r>
      <w:r>
        <w:rPr>
          <w:rFonts w:hint="eastAsia" w:ascii="仿宋" w:hAnsi="仿宋" w:eastAsia="仿宋" w:cs="仿宋"/>
          <w:color w:val="auto"/>
          <w:sz w:val="32"/>
          <w:szCs w:val="32"/>
          <w:shd w:val="clear" w:color="auto" w:fill="FFFFFF"/>
          <w:lang w:val="en-US" w:eastAsia="zh-CN"/>
        </w:rPr>
        <w:t>4</w:t>
      </w:r>
      <w:r>
        <w:rPr>
          <w:rFonts w:hint="eastAsia" w:ascii="仿宋" w:hAnsi="仿宋" w:eastAsia="仿宋" w:cs="仿宋"/>
          <w:color w:val="auto"/>
          <w:sz w:val="32"/>
          <w:szCs w:val="32"/>
          <w:shd w:val="clear" w:color="auto" w:fill="FFFFFF"/>
        </w:rPr>
        <w:t>%</w:t>
      </w:r>
      <w:r>
        <w:rPr>
          <w:rFonts w:hint="eastAsia" w:ascii="仿宋" w:hAnsi="仿宋" w:eastAsia="仿宋" w:cs="仿宋"/>
          <w:color w:val="auto"/>
          <w:sz w:val="32"/>
          <w:szCs w:val="32"/>
          <w:shd w:val="clear" w:color="auto" w:fill="FFFFFF"/>
          <w:lang w:eastAsia="zh-CN"/>
        </w:rPr>
        <w:t>，与上年同期持平</w:t>
      </w:r>
      <w:r>
        <w:rPr>
          <w:rFonts w:hint="eastAsia" w:ascii="仿宋" w:hAnsi="仿宋" w:eastAsia="仿宋" w:cs="仿宋"/>
          <w:color w:val="auto"/>
          <w:sz w:val="32"/>
          <w:szCs w:val="32"/>
          <w:shd w:val="clear" w:color="auto" w:fill="FFFFFF"/>
        </w:rPr>
        <w:t>。</w:t>
      </w:r>
    </w:p>
    <w:p>
      <w:pPr>
        <w:spacing w:line="560" w:lineRule="exact"/>
        <w:ind w:firstLine="640" w:firstLineChars="200"/>
        <w:jc w:val="left"/>
        <w:rPr>
          <w:rFonts w:hint="eastAsia" w:ascii="仿宋" w:hAnsi="仿宋" w:eastAsia="仿宋" w:cs="仿宋"/>
          <w:color w:val="auto"/>
          <w:sz w:val="32"/>
          <w:szCs w:val="32"/>
          <w:shd w:val="clear" w:color="auto" w:fill="FFFFFF"/>
          <w:lang w:val="zh-CN"/>
        </w:rPr>
      </w:pPr>
    </w:p>
    <w:p>
      <w:pPr>
        <w:rPr>
          <w:rFonts w:ascii="黑体" w:hAnsi="黑体" w:eastAsia="黑体" w:cs="黑体"/>
          <w:b/>
          <w:color w:val="auto"/>
          <w:kern w:val="0"/>
          <w:sz w:val="36"/>
          <w:szCs w:val="36"/>
          <w:lang w:val="zh-CN"/>
        </w:rPr>
      </w:pPr>
      <w:r>
        <w:drawing>
          <wp:inline distT="0" distB="0" distL="114300" distR="114300">
            <wp:extent cx="5530215" cy="3124835"/>
            <wp:effectExtent l="0" t="0" r="0" b="0"/>
            <wp:docPr id="21" name="图表 20" descr="7b0a202020202263686172745265734964223a20223230343734353339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12"/>
        <w:rPr>
          <w:color w:val="auto"/>
          <w:lang w:val="zh-CN"/>
        </w:rPr>
      </w:pPr>
    </w:p>
    <w:p>
      <w:pPr>
        <w:widowControl/>
        <w:numPr>
          <w:ilvl w:val="0"/>
          <w:numId w:val="1"/>
        </w:numPr>
        <w:adjustRightInd w:val="0"/>
        <w:snapToGrid w:val="0"/>
        <w:spacing w:line="560" w:lineRule="exact"/>
        <w:jc w:val="center"/>
        <w:rPr>
          <w:rFonts w:ascii="黑体" w:hAnsi="黑体" w:eastAsia="黑体" w:cs="黑体"/>
          <w:b/>
          <w:color w:val="auto"/>
          <w:kern w:val="0"/>
          <w:sz w:val="36"/>
          <w:szCs w:val="36"/>
          <w:lang w:val="zh-CN"/>
        </w:rPr>
      </w:pPr>
      <w:r>
        <w:rPr>
          <w:rFonts w:ascii="黑体" w:hAnsi="黑体" w:eastAsia="黑体" w:cs="黑体"/>
          <w:b/>
          <w:color w:val="auto"/>
          <w:kern w:val="0"/>
          <w:sz w:val="36"/>
          <w:szCs w:val="36"/>
          <w:lang w:val="zh-CN"/>
        </w:rPr>
        <w:t>农</w:t>
      </w:r>
      <w:r>
        <w:rPr>
          <w:rFonts w:hint="eastAsia" w:ascii="黑体" w:hAnsi="黑体" w:eastAsia="黑体" w:cs="黑体"/>
          <w:b/>
          <w:color w:val="auto"/>
          <w:kern w:val="0"/>
          <w:sz w:val="36"/>
          <w:szCs w:val="36"/>
          <w:lang w:val="en-US" w:eastAsia="zh-CN"/>
        </w:rPr>
        <w:t xml:space="preserve">  </w:t>
      </w:r>
      <w:r>
        <w:rPr>
          <w:rFonts w:ascii="黑体" w:hAnsi="黑体" w:eastAsia="黑体" w:cs="黑体"/>
          <w:b/>
          <w:color w:val="auto"/>
          <w:kern w:val="0"/>
          <w:sz w:val="36"/>
          <w:szCs w:val="36"/>
          <w:lang w:val="zh-CN"/>
        </w:rPr>
        <w:t>业</w:t>
      </w:r>
    </w:p>
    <w:p>
      <w:pPr>
        <w:pStyle w:val="12"/>
        <w:ind w:left="0" w:leftChars="0" w:firstLine="0" w:firstLineChars="0"/>
        <w:rPr>
          <w:color w:val="auto"/>
          <w:lang w:val="zh-CN"/>
        </w:rPr>
      </w:pPr>
    </w:p>
    <w:p>
      <w:pPr>
        <w:spacing w:line="560" w:lineRule="exact"/>
        <w:ind w:firstLine="640" w:firstLineChars="200"/>
        <w:rPr>
          <w:rFonts w:hint="default" w:ascii="Times New Roman" w:hAnsi="Times New Roman" w:eastAsia="仿宋_GB2312" w:cs="Times New Roman"/>
          <w:color w:val="auto"/>
          <w:sz w:val="32"/>
          <w:szCs w:val="32"/>
          <w:lang w:val="en-US"/>
        </w:rPr>
      </w:pPr>
      <w:r>
        <w:rPr>
          <w:rFonts w:hint="eastAsia" w:ascii="仿宋" w:hAnsi="仿宋" w:eastAsia="仿宋" w:cs="仿宋"/>
          <w:snapToGrid w:val="0"/>
          <w:color w:val="auto"/>
          <w:kern w:val="0"/>
          <w:sz w:val="32"/>
        </w:rPr>
        <w:t>全年实现农林牧渔业总产值</w:t>
      </w:r>
      <w:r>
        <w:rPr>
          <w:rFonts w:hint="eastAsia" w:ascii="仿宋" w:hAnsi="仿宋" w:eastAsia="仿宋" w:cs="仿宋"/>
          <w:snapToGrid w:val="0"/>
          <w:color w:val="auto"/>
          <w:kern w:val="0"/>
          <w:sz w:val="32"/>
          <w:lang w:val="en-US" w:eastAsia="zh-CN"/>
        </w:rPr>
        <w:t xml:space="preserve">76175万元，按可比价计算（下同）增长12.6%。分产业看，农业产值累计完成3866万元，增长1.6%；林业产值累计完成7434万元，增长10%；牧业产值累计完成60155万元，下降13.4%；农林牧渔辅助性活动产值累计完成4720万元，增长16.4%。农林牧渔业增加值累计完成46538万元，增长11.4%。   </w:t>
      </w:r>
      <w:r>
        <w:rPr>
          <w:rFonts w:hint="eastAsia" w:ascii="Times New Roman" w:hAnsi="Times New Roman" w:eastAsia="仿宋_GB2312" w:cs="Times New Roman"/>
          <w:snapToGrid w:val="0"/>
          <w:color w:val="auto"/>
          <w:kern w:val="0"/>
          <w:sz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20" w:lineRule="exact"/>
        <w:ind w:firstLine="630" w:firstLineChars="300"/>
        <w:textAlignment w:val="auto"/>
        <w:rPr>
          <w:rFonts w:hint="eastAsia" w:ascii="仿宋" w:hAnsi="仿宋" w:eastAsia="仿宋" w:cs="仿宋"/>
          <w:color w:val="auto"/>
          <w:sz w:val="32"/>
          <w:szCs w:val="32"/>
          <w:lang w:val="en-US" w:eastAsia="zh-CN"/>
        </w:rPr>
      </w:pPr>
      <w:r>
        <w:drawing>
          <wp:anchor distT="0" distB="0" distL="114300" distR="114300" simplePos="0" relativeHeight="251665408" behindDoc="0" locked="0" layoutInCell="1" allowOverlap="1">
            <wp:simplePos x="0" y="0"/>
            <wp:positionH relativeFrom="column">
              <wp:posOffset>80645</wp:posOffset>
            </wp:positionH>
            <wp:positionV relativeFrom="paragraph">
              <wp:posOffset>97155</wp:posOffset>
            </wp:positionV>
            <wp:extent cx="5454650" cy="2942590"/>
            <wp:effectExtent l="0" t="0" r="12700" b="48260"/>
            <wp:wrapTopAndBottom/>
            <wp:docPr id="5" name="图表 4" descr="7b0a202020202263686172745265734964223a20223230343736333338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hint="eastAsia" w:ascii="Times New Roman" w:hAnsi="Times New Roman" w:eastAsia="仿宋_GB2312" w:cs="Times New Roman"/>
          <w:color w:val="auto"/>
          <w:sz w:val="32"/>
          <w:szCs w:val="32"/>
          <w:shd w:val="clear" w:color="auto" w:fill="FFFFFF"/>
          <w:lang w:val="en-US" w:eastAsia="zh-CN"/>
        </w:rPr>
        <w:t>【</w:t>
      </w:r>
      <w:r>
        <w:rPr>
          <w:rFonts w:hint="eastAsia" w:ascii="楷体_GB2312" w:hAnsi="楷体_GB2312" w:eastAsia="楷体_GB2312" w:cs="楷体_GB2312"/>
          <w:b/>
          <w:bCs/>
          <w:color w:val="auto"/>
          <w:sz w:val="32"/>
          <w:szCs w:val="32"/>
          <w:shd w:val="clear" w:color="auto" w:fill="FFFFFF"/>
          <w:lang w:val="en-US" w:eastAsia="zh-CN"/>
        </w:rPr>
        <w:t>种植业</w:t>
      </w:r>
      <w:r>
        <w:rPr>
          <w:rFonts w:hint="eastAsia" w:ascii="Times New Roman" w:hAnsi="Times New Roman" w:eastAsia="仿宋_GB2312" w:cs="Times New Roman"/>
          <w:color w:val="auto"/>
          <w:sz w:val="32"/>
          <w:szCs w:val="32"/>
          <w:shd w:val="clear" w:color="auto" w:fill="FFFFFF"/>
          <w:lang w:val="en-US" w:eastAsia="zh-CN"/>
        </w:rPr>
        <w:t>】</w:t>
      </w:r>
      <w:r>
        <w:rPr>
          <w:rFonts w:hint="eastAsia" w:ascii="仿宋" w:hAnsi="仿宋" w:eastAsia="仿宋" w:cs="仿宋"/>
          <w:color w:val="auto"/>
          <w:sz w:val="32"/>
          <w:szCs w:val="32"/>
          <w:lang w:val="en-US" w:eastAsia="zh-CN"/>
        </w:rPr>
        <w:t>全年农作物播种面积38821亩，增长6.3%。其中粮食播种面积32057亩，粮食总产量4401吨，增长4.6%；油料播种面积3164亩，油料产量377吨，增长1.9%；蔬菜及食用菌播种面积3000亩，蔬菜产量4259吨，增长8.7%。</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 w:hAnsi="仿宋" w:eastAsia="仿宋" w:cs="仿宋"/>
          <w:sz w:val="32"/>
          <w:szCs w:val="32"/>
          <w:lang w:val="en-US" w:eastAsia="zh-CN"/>
        </w:rPr>
      </w:pPr>
      <w:r>
        <w:rPr>
          <w:rFonts w:ascii="Times New Roman" w:hAnsi="Times New Roman" w:eastAsia="仿宋_GB2312" w:cs="Times New Roman"/>
          <w:color w:val="auto"/>
          <w:sz w:val="32"/>
          <w:szCs w:val="32"/>
          <w:shd w:val="clear" w:color="auto" w:fill="FFFFFF"/>
        </w:rPr>
        <w:t>【</w:t>
      </w:r>
      <w:r>
        <w:rPr>
          <w:rFonts w:ascii="楷体_GB2312" w:hAnsi="楷体_GB2312" w:eastAsia="楷体_GB2312" w:cs="楷体_GB2312"/>
          <w:b/>
          <w:bCs/>
          <w:color w:val="auto"/>
          <w:sz w:val="32"/>
          <w:szCs w:val="32"/>
          <w:shd w:val="clear" w:color="auto" w:fill="FFFFFF"/>
        </w:rPr>
        <w:t>生态林业</w:t>
      </w:r>
      <w:r>
        <w:rPr>
          <w:rFonts w:ascii="Times New Roman" w:hAnsi="Times New Roman" w:eastAsia="仿宋_GB2312" w:cs="Times New Roman"/>
          <w:color w:val="auto"/>
          <w:sz w:val="32"/>
          <w:szCs w:val="32"/>
          <w:shd w:val="clear" w:color="auto" w:fill="FFFFFF"/>
        </w:rPr>
        <w:t>】</w:t>
      </w:r>
      <w:r>
        <w:rPr>
          <w:rFonts w:hint="eastAsia" w:ascii="仿宋" w:hAnsi="仿宋" w:eastAsia="仿宋" w:cs="仿宋"/>
          <w:color w:val="auto"/>
          <w:sz w:val="32"/>
          <w:szCs w:val="32"/>
          <w:shd w:val="clear" w:color="auto" w:fill="FFFFFF"/>
        </w:rPr>
        <w:t>全县林地面积328622.8公顷，草地291735.84公顷，</w:t>
      </w:r>
      <w:r>
        <w:rPr>
          <w:rFonts w:hint="eastAsia" w:ascii="仿宋" w:hAnsi="仿宋" w:eastAsia="仿宋" w:cs="仿宋"/>
          <w:color w:val="auto"/>
          <w:sz w:val="32"/>
          <w:szCs w:val="32"/>
          <w:shd w:val="clear" w:color="auto" w:fill="FFFFFF"/>
          <w:lang w:eastAsia="zh-CN"/>
        </w:rPr>
        <w:t>草原综合植被</w:t>
      </w:r>
      <w:r>
        <w:rPr>
          <w:rFonts w:hint="eastAsia" w:ascii="仿宋" w:hAnsi="仿宋" w:eastAsia="仿宋" w:cs="仿宋"/>
          <w:color w:val="auto"/>
          <w:sz w:val="32"/>
          <w:szCs w:val="32"/>
        </w:rPr>
        <w:t>盖</w:t>
      </w:r>
      <w:r>
        <w:rPr>
          <w:rFonts w:hint="eastAsia" w:ascii="仿宋" w:hAnsi="仿宋" w:eastAsia="仿宋" w:cs="仿宋"/>
          <w:color w:val="auto"/>
          <w:sz w:val="32"/>
          <w:szCs w:val="32"/>
          <w:lang w:eastAsia="zh-CN"/>
        </w:rPr>
        <w:t>度</w:t>
      </w:r>
      <w:r>
        <w:rPr>
          <w:rFonts w:hint="eastAsia" w:ascii="仿宋" w:hAnsi="仿宋" w:eastAsia="仿宋" w:cs="仿宋"/>
          <w:color w:val="auto"/>
          <w:sz w:val="32"/>
          <w:szCs w:val="32"/>
          <w:lang w:val="en-US" w:eastAsia="zh-CN"/>
        </w:rPr>
        <w:t>85.3</w:t>
      </w:r>
      <w:r>
        <w:rPr>
          <w:rFonts w:hint="eastAsia" w:ascii="仿宋" w:hAnsi="仿宋" w:eastAsia="仿宋" w:cs="仿宋"/>
          <w:color w:val="auto"/>
          <w:sz w:val="32"/>
          <w:szCs w:val="32"/>
        </w:rPr>
        <w:t>%。森林面积22</w:t>
      </w:r>
      <w:r>
        <w:rPr>
          <w:rFonts w:hint="eastAsia" w:ascii="仿宋" w:hAnsi="仿宋" w:eastAsia="仿宋" w:cs="仿宋"/>
          <w:color w:val="auto"/>
          <w:sz w:val="32"/>
          <w:szCs w:val="32"/>
          <w:lang w:val="en-US" w:eastAsia="zh-CN"/>
        </w:rPr>
        <w:t>0948.48</w:t>
      </w:r>
      <w:r>
        <w:rPr>
          <w:rFonts w:hint="eastAsia" w:ascii="仿宋" w:hAnsi="仿宋" w:eastAsia="仿宋" w:cs="仿宋"/>
          <w:color w:val="auto"/>
          <w:sz w:val="32"/>
          <w:szCs w:val="32"/>
          <w:shd w:val="clear" w:color="auto" w:fill="FFFFFF"/>
        </w:rPr>
        <w:t>公顷</w:t>
      </w:r>
      <w:bookmarkStart w:id="0" w:name="_GoBack"/>
      <w:bookmarkEnd w:id="0"/>
      <w:r>
        <w:rPr>
          <w:rFonts w:hint="eastAsia" w:ascii="仿宋" w:hAnsi="仿宋" w:eastAsia="仿宋" w:cs="仿宋"/>
          <w:color w:val="auto"/>
          <w:sz w:val="32"/>
          <w:szCs w:val="32"/>
        </w:rPr>
        <w:t>，森林蓄积量</w:t>
      </w:r>
      <w:r>
        <w:rPr>
          <w:rFonts w:hint="eastAsia" w:ascii="仿宋" w:hAnsi="仿宋" w:eastAsia="仿宋" w:cs="仿宋"/>
          <w:color w:val="auto"/>
          <w:sz w:val="32"/>
          <w:szCs w:val="32"/>
          <w:lang w:val="en-US" w:eastAsia="zh-CN"/>
        </w:rPr>
        <w:t>2629.39</w:t>
      </w:r>
      <w:r>
        <w:rPr>
          <w:rFonts w:hint="eastAsia" w:ascii="仿宋" w:hAnsi="仿宋" w:eastAsia="仿宋" w:cs="仿宋"/>
          <w:color w:val="auto"/>
          <w:sz w:val="32"/>
          <w:szCs w:val="32"/>
        </w:rPr>
        <w:t>万立方米，森林覆盖率33</w:t>
      </w: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rPr>
        <w:t>%。全年实施</w:t>
      </w:r>
      <w:r>
        <w:rPr>
          <w:rFonts w:hint="eastAsia" w:ascii="仿宋" w:hAnsi="仿宋" w:eastAsia="仿宋" w:cs="仿宋"/>
          <w:sz w:val="32"/>
          <w:szCs w:val="32"/>
          <w:lang w:val="en-US" w:eastAsia="zh-CN"/>
        </w:rPr>
        <w:t>非国有公益林生态效益补偿面积为152931亩（国家级面积为149977亩，省级面积为2954亩），补偿总资金2446896元。涉及非国有天然商品林管护面积49811亩，集体和个人天然商品林管护补助共计630607.26元。</w:t>
      </w:r>
      <w:r>
        <w:rPr>
          <w:rFonts w:hint="eastAsia" w:ascii="仿宋" w:hAnsi="仿宋" w:eastAsia="仿宋" w:cs="仿宋"/>
          <w:color w:val="000000"/>
          <w:kern w:val="2"/>
          <w:sz w:val="32"/>
          <w:szCs w:val="32"/>
          <w:highlight w:val="none"/>
          <w:lang w:val="en-US" w:eastAsia="zh-CN" w:bidi="ar-SA"/>
        </w:rPr>
        <w:t>继续选聘2150名生态管护员。</w:t>
      </w:r>
      <w:r>
        <w:rPr>
          <w:rFonts w:hint="eastAsia" w:ascii="仿宋" w:hAnsi="仿宋" w:eastAsia="仿宋" w:cs="仿宋"/>
          <w:sz w:val="32"/>
          <w:szCs w:val="32"/>
          <w:lang w:eastAsia="zh-CN"/>
        </w:rPr>
        <w:t>完成</w:t>
      </w:r>
      <w:r>
        <w:rPr>
          <w:rFonts w:hint="eastAsia" w:ascii="仿宋" w:hAnsi="仿宋" w:eastAsia="仿宋" w:cs="仿宋"/>
          <w:sz w:val="32"/>
          <w:szCs w:val="32"/>
        </w:rPr>
        <w:t>国家重点生态功能区转移支付壤塘县川西高原生态脆弱区综合治理项目</w:t>
      </w:r>
      <w:r>
        <w:rPr>
          <w:rFonts w:hint="eastAsia" w:ascii="仿宋" w:hAnsi="仿宋" w:eastAsia="仿宋" w:cs="仿宋"/>
          <w:sz w:val="32"/>
          <w:szCs w:val="32"/>
          <w:lang w:val="en-US" w:eastAsia="zh-CN"/>
        </w:rPr>
        <w:t>2</w:t>
      </w:r>
      <w:r>
        <w:rPr>
          <w:rFonts w:hint="eastAsia" w:ascii="仿宋" w:hAnsi="仿宋" w:eastAsia="仿宋" w:cs="仿宋"/>
          <w:sz w:val="32"/>
          <w:szCs w:val="32"/>
        </w:rPr>
        <w:t>2万余株云杉</w:t>
      </w:r>
      <w:r>
        <w:rPr>
          <w:rFonts w:hint="eastAsia" w:ascii="仿宋" w:hAnsi="仿宋" w:eastAsia="仿宋" w:cs="仿宋"/>
          <w:sz w:val="32"/>
          <w:szCs w:val="32"/>
          <w:lang w:eastAsia="zh-CN"/>
        </w:rPr>
        <w:t>补植任务。全县完成</w:t>
      </w:r>
      <w:r>
        <w:rPr>
          <w:rFonts w:hint="eastAsia" w:ascii="仿宋" w:hAnsi="仿宋" w:eastAsia="仿宋" w:cs="仿宋"/>
          <w:sz w:val="32"/>
          <w:szCs w:val="32"/>
          <w:lang w:val="en-US" w:eastAsia="zh-CN"/>
        </w:rPr>
        <w:t>草原生态修复治理项目人工种草0.5万亩、天然草原改良3.2万亩、鼠害防控5万亩和虫害防控5万亩。</w:t>
      </w:r>
      <w:r>
        <w:rPr>
          <w:rFonts w:hint="eastAsia" w:ascii="仿宋" w:hAnsi="仿宋" w:eastAsia="仿宋" w:cs="仿宋"/>
          <w:b w:val="0"/>
          <w:kern w:val="2"/>
          <w:sz w:val="32"/>
          <w:szCs w:val="32"/>
          <w:lang w:val="en-US" w:eastAsia="zh-CN" w:bidi="ar-SA"/>
        </w:rPr>
        <w:t>完成了县属国有林以及集体林2308996亩森林面积投保工作。</w:t>
      </w:r>
      <w:r>
        <w:rPr>
          <w:rFonts w:hint="eastAsia" w:ascii="仿宋" w:hAnsi="仿宋" w:eastAsia="仿宋" w:cs="仿宋"/>
          <w:sz w:val="32"/>
          <w:szCs w:val="32"/>
          <w:lang w:eastAsia="zh-CN"/>
        </w:rPr>
        <w:t>义务植树</w:t>
      </w:r>
      <w:r>
        <w:rPr>
          <w:rFonts w:hint="eastAsia" w:ascii="仿宋" w:hAnsi="仿宋" w:eastAsia="仿宋" w:cs="仿宋"/>
          <w:sz w:val="32"/>
          <w:szCs w:val="32"/>
        </w:rPr>
        <w:t>栽植云杉大苗10000株，高山柳等裸根苗栽植26000余株。</w:t>
      </w:r>
      <w:r>
        <w:rPr>
          <w:rFonts w:hint="eastAsia" w:ascii="仿宋" w:hAnsi="仿宋" w:eastAsia="仿宋" w:cs="仿宋"/>
          <w:sz w:val="32"/>
          <w:szCs w:val="32"/>
          <w:lang w:eastAsia="zh-CN"/>
        </w:rPr>
        <w:t>全</w:t>
      </w:r>
      <w:r>
        <w:rPr>
          <w:rFonts w:hint="eastAsia" w:ascii="仿宋" w:hAnsi="仿宋" w:eastAsia="仿宋" w:cs="仿宋"/>
          <w:sz w:val="32"/>
          <w:szCs w:val="32"/>
        </w:rPr>
        <w:t>年林下中药材种植项目新建羌活、川赤芍种植基地403亩</w:t>
      </w:r>
      <w:r>
        <w:rPr>
          <w:rFonts w:hint="eastAsia" w:ascii="仿宋" w:hAnsi="仿宋" w:eastAsia="仿宋" w:cs="仿宋"/>
          <w:sz w:val="32"/>
          <w:szCs w:val="32"/>
          <w:lang w:eastAsia="zh-CN"/>
        </w:rPr>
        <w:t>，示范种植基地</w:t>
      </w:r>
      <w:r>
        <w:rPr>
          <w:rFonts w:hint="eastAsia" w:ascii="仿宋" w:hAnsi="仿宋" w:eastAsia="仿宋" w:cs="仿宋"/>
          <w:sz w:val="32"/>
          <w:szCs w:val="32"/>
          <w:lang w:val="en-US" w:eastAsia="zh-CN"/>
        </w:rPr>
        <w:t>150亩。</w:t>
      </w:r>
    </w:p>
    <w:p>
      <w:pPr>
        <w:keepNext w:val="0"/>
        <w:keepLines w:val="0"/>
        <w:pageBreakBefore w:val="0"/>
        <w:kinsoku/>
        <w:wordWrap/>
        <w:overflowPunct/>
        <w:topLinePunct w:val="0"/>
        <w:autoSpaceDE/>
        <w:autoSpaceDN/>
        <w:bidi w:val="0"/>
        <w:spacing w:line="560" w:lineRule="exact"/>
        <w:ind w:left="0" w:leftChars="0" w:right="0" w:rightChars="0"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全年办理林草行政处罚案件31起，其中违规野外用火2起；盗伐林木4起；非法收购林木15起；破坏湿地5起；破坏林地5起。没收木材23.83立方米，共计处罚行政罚没款110535.84元，罚没款已全额上交财政。对2022年度涉及生态领域共49名违法犯罪处罚判决人完成栽植云杉4615株。</w:t>
      </w:r>
    </w:p>
    <w:p>
      <w:pPr>
        <w:keepNext w:val="0"/>
        <w:keepLines w:val="0"/>
        <w:pageBreakBefore w:val="0"/>
        <w:kinsoku/>
        <w:wordWrap/>
        <w:overflowPunct/>
        <w:topLinePunct w:val="0"/>
        <w:autoSpaceDE/>
        <w:autoSpaceDN/>
        <w:bidi w:val="0"/>
        <w:spacing w:line="560" w:lineRule="exact"/>
        <w:ind w:left="0" w:leftChars="0" w:right="0" w:rightChars="0"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全年，永久占用林地审核审批了22.433公顷，临时占用林地审核审批了31.7475公顷，自用材审核审批蓄积202立方米。</w:t>
      </w:r>
    </w:p>
    <w:p>
      <w:pPr>
        <w:spacing w:line="560" w:lineRule="exact"/>
        <w:ind w:firstLine="640" w:firstLineChars="200"/>
        <w:rPr>
          <w:rFonts w:hint="eastAsia" w:ascii="仿宋" w:hAnsi="仿宋" w:eastAsia="仿宋" w:cs="仿宋"/>
          <w:bCs/>
          <w:snapToGrid/>
          <w:color w:val="auto"/>
          <w:spacing w:val="0"/>
          <w:w w:val="100"/>
          <w:kern w:val="2"/>
          <w:position w:val="0"/>
          <w:sz w:val="32"/>
          <w:szCs w:val="32"/>
          <w:u w:val="none" w:color="auto"/>
          <w:vertAlign w:val="baseline"/>
          <w:lang w:val="en-US" w:eastAsia="zh-CN" w:bidi="ar-SA"/>
        </w:rPr>
      </w:pPr>
      <w:r>
        <w:rPr>
          <w:rFonts w:ascii="Times New Roman" w:hAnsi="Times New Roman" w:eastAsia="仿宋_GB2312" w:cs="Times New Roman"/>
          <w:color w:val="auto"/>
          <w:sz w:val="32"/>
          <w:szCs w:val="32"/>
          <w:shd w:val="clear" w:color="auto" w:fill="FFFFFF"/>
        </w:rPr>
        <w:t>【</w:t>
      </w:r>
      <w:r>
        <w:rPr>
          <w:rFonts w:ascii="楷体_GB2312" w:hAnsi="楷体_GB2312" w:eastAsia="楷体_GB2312" w:cs="楷体_GB2312"/>
          <w:b/>
          <w:bCs/>
          <w:color w:val="auto"/>
          <w:sz w:val="32"/>
          <w:szCs w:val="32"/>
          <w:shd w:val="clear" w:color="auto" w:fill="FFFFFF"/>
        </w:rPr>
        <w:t>畜牧业</w:t>
      </w:r>
      <w:r>
        <w:rPr>
          <w:rFonts w:ascii="Times New Roman" w:hAnsi="Times New Roman" w:eastAsia="仿宋_GB2312" w:cs="Times New Roman"/>
          <w:color w:val="auto"/>
          <w:sz w:val="32"/>
          <w:szCs w:val="32"/>
          <w:shd w:val="clear" w:color="auto" w:fill="FFFFFF"/>
        </w:rPr>
        <w:t>】</w:t>
      </w:r>
      <w:r>
        <w:rPr>
          <w:rFonts w:hint="eastAsia" w:ascii="仿宋" w:hAnsi="仿宋" w:eastAsia="仿宋" w:cs="仿宋"/>
          <w:bCs/>
          <w:snapToGrid/>
          <w:color w:val="auto"/>
          <w:spacing w:val="0"/>
          <w:w w:val="100"/>
          <w:kern w:val="2"/>
          <w:position w:val="0"/>
          <w:sz w:val="32"/>
          <w:szCs w:val="32"/>
          <w:u w:val="none" w:color="auto"/>
          <w:vertAlign w:val="baseline"/>
          <w:lang w:val="en-US" w:eastAsia="zh-CN" w:bidi="ar-SA"/>
        </w:rPr>
        <w:t>全年实施人工种草</w:t>
      </w:r>
      <w:r>
        <w:rPr>
          <w:rFonts w:hint="eastAsia" w:ascii="Times New Roman" w:hAnsi="Times New Roman" w:eastAsia="仿宋_GB2312" w:cs="Times New Roman"/>
          <w:color w:val="auto"/>
          <w:sz w:val="32"/>
          <w:szCs w:val="32"/>
          <w:lang w:val="en-US" w:eastAsia="zh-CN"/>
        </w:rPr>
        <w:t>8477</w:t>
      </w:r>
      <w:r>
        <w:rPr>
          <w:rFonts w:hint="eastAsia" w:ascii="仿宋" w:hAnsi="仿宋" w:eastAsia="仿宋" w:cs="仿宋"/>
          <w:bCs/>
          <w:snapToGrid/>
          <w:color w:val="auto"/>
          <w:spacing w:val="0"/>
          <w:w w:val="100"/>
          <w:kern w:val="2"/>
          <w:position w:val="0"/>
          <w:sz w:val="32"/>
          <w:szCs w:val="32"/>
          <w:u w:val="none" w:color="auto"/>
          <w:vertAlign w:val="baseline"/>
          <w:lang w:val="en-US" w:eastAsia="zh-CN" w:bidi="ar-SA"/>
        </w:rPr>
        <w:t>亩、适度规模养殖场</w:t>
      </w:r>
      <w:r>
        <w:rPr>
          <w:rFonts w:hint="eastAsia" w:ascii="Times New Roman" w:hAnsi="Times New Roman" w:eastAsia="仿宋_GB2312" w:cs="Times New Roman"/>
          <w:color w:val="auto"/>
          <w:sz w:val="32"/>
          <w:szCs w:val="32"/>
          <w:lang w:val="en-US" w:eastAsia="zh-CN"/>
        </w:rPr>
        <w:t>121</w:t>
      </w:r>
      <w:r>
        <w:rPr>
          <w:rFonts w:hint="eastAsia" w:ascii="仿宋" w:hAnsi="仿宋" w:eastAsia="仿宋" w:cs="仿宋"/>
          <w:bCs/>
          <w:snapToGrid/>
          <w:color w:val="auto"/>
          <w:spacing w:val="0"/>
          <w:w w:val="100"/>
          <w:kern w:val="2"/>
          <w:position w:val="0"/>
          <w:sz w:val="32"/>
          <w:szCs w:val="32"/>
          <w:u w:val="none" w:color="auto"/>
          <w:vertAlign w:val="baseline"/>
          <w:lang w:val="en-US" w:eastAsia="zh-CN" w:bidi="ar-SA"/>
        </w:rPr>
        <w:t>个、家庭牧场</w:t>
      </w:r>
      <w:r>
        <w:rPr>
          <w:rFonts w:hint="eastAsia" w:ascii="Times New Roman" w:hAnsi="Times New Roman" w:eastAsia="仿宋_GB2312" w:cs="Times New Roman"/>
          <w:color w:val="auto"/>
          <w:sz w:val="32"/>
          <w:szCs w:val="32"/>
          <w:lang w:val="en-US" w:eastAsia="zh-CN"/>
        </w:rPr>
        <w:t>28</w:t>
      </w:r>
      <w:r>
        <w:rPr>
          <w:rFonts w:hint="eastAsia" w:ascii="仿宋" w:hAnsi="仿宋" w:eastAsia="仿宋" w:cs="仿宋"/>
          <w:bCs/>
          <w:snapToGrid/>
          <w:color w:val="auto"/>
          <w:spacing w:val="0"/>
          <w:w w:val="100"/>
          <w:kern w:val="2"/>
          <w:position w:val="0"/>
          <w:sz w:val="32"/>
          <w:szCs w:val="32"/>
          <w:u w:val="none" w:color="auto"/>
          <w:vertAlign w:val="baseline"/>
          <w:lang w:val="en-US" w:eastAsia="zh-CN" w:bidi="ar-SA"/>
        </w:rPr>
        <w:t>个、</w:t>
      </w:r>
      <w:r>
        <w:rPr>
          <w:rFonts w:hint="eastAsia" w:ascii="仿宋" w:hAnsi="仿宋" w:eastAsia="仿宋" w:cs="仿宋"/>
          <w:sz w:val="32"/>
          <w:szCs w:val="32"/>
          <w:lang w:val="en-US" w:eastAsia="zh-CN" w:bidi="ar-SA"/>
        </w:rPr>
        <w:t>暖棚</w:t>
      </w:r>
      <w:r>
        <w:rPr>
          <w:rFonts w:hint="eastAsia" w:ascii="Times New Roman" w:hAnsi="Times New Roman" w:eastAsia="仿宋_GB2312" w:cs="Times New Roman"/>
          <w:color w:val="auto"/>
          <w:sz w:val="32"/>
          <w:szCs w:val="32"/>
          <w:lang w:val="en-US" w:eastAsia="zh-CN"/>
        </w:rPr>
        <w:t>50</w:t>
      </w:r>
      <w:r>
        <w:rPr>
          <w:rFonts w:hint="eastAsia" w:ascii="仿宋" w:hAnsi="仿宋" w:eastAsia="仿宋" w:cs="仿宋"/>
          <w:sz w:val="32"/>
          <w:szCs w:val="32"/>
          <w:lang w:val="en-US" w:eastAsia="zh-CN" w:bidi="ar-SA"/>
        </w:rPr>
        <w:t>户、维修牧道</w:t>
      </w:r>
      <w:r>
        <w:rPr>
          <w:rFonts w:hint="eastAsia" w:ascii="Times New Roman" w:hAnsi="Times New Roman" w:eastAsia="仿宋_GB2312" w:cs="Times New Roman"/>
          <w:color w:val="auto"/>
          <w:sz w:val="32"/>
          <w:szCs w:val="32"/>
          <w:lang w:val="en-US" w:eastAsia="zh-CN"/>
        </w:rPr>
        <w:t>164</w:t>
      </w:r>
      <w:r>
        <w:rPr>
          <w:rFonts w:hint="eastAsia" w:ascii="仿宋" w:hAnsi="仿宋" w:eastAsia="仿宋" w:cs="仿宋"/>
          <w:sz w:val="32"/>
          <w:szCs w:val="32"/>
          <w:lang w:val="en-US" w:eastAsia="zh-CN" w:bidi="ar-SA"/>
        </w:rPr>
        <w:t>公里、</w:t>
      </w:r>
      <w:r>
        <w:rPr>
          <w:rFonts w:hint="eastAsia" w:ascii="仿宋" w:hAnsi="仿宋" w:eastAsia="仿宋" w:cs="仿宋"/>
          <w:bCs/>
          <w:snapToGrid/>
          <w:color w:val="auto"/>
          <w:spacing w:val="0"/>
          <w:w w:val="100"/>
          <w:kern w:val="2"/>
          <w:position w:val="0"/>
          <w:sz w:val="32"/>
          <w:szCs w:val="32"/>
          <w:u w:val="none" w:color="auto"/>
          <w:vertAlign w:val="baseline"/>
          <w:lang w:val="en-US" w:eastAsia="zh-CN" w:bidi="ar-SA"/>
        </w:rPr>
        <w:t>生态养殖示范基地</w:t>
      </w:r>
      <w:r>
        <w:rPr>
          <w:rFonts w:hint="eastAsia" w:ascii="Times New Roman" w:hAnsi="Times New Roman" w:eastAsia="仿宋_GB2312" w:cs="Times New Roman"/>
          <w:color w:val="auto"/>
          <w:sz w:val="32"/>
          <w:szCs w:val="32"/>
          <w:lang w:val="en-US" w:eastAsia="zh-CN"/>
        </w:rPr>
        <w:t>2</w:t>
      </w:r>
      <w:r>
        <w:rPr>
          <w:rFonts w:hint="eastAsia" w:ascii="仿宋" w:hAnsi="仿宋" w:eastAsia="仿宋" w:cs="仿宋"/>
          <w:bCs/>
          <w:snapToGrid/>
          <w:color w:val="auto"/>
          <w:spacing w:val="0"/>
          <w:w w:val="100"/>
          <w:kern w:val="2"/>
          <w:position w:val="0"/>
          <w:sz w:val="32"/>
          <w:szCs w:val="32"/>
          <w:u w:val="none" w:color="auto"/>
          <w:vertAlign w:val="baseline"/>
          <w:lang w:val="en-US" w:eastAsia="zh-CN" w:bidi="ar-SA"/>
        </w:rPr>
        <w:t>个、动物防疫设施</w:t>
      </w:r>
      <w:r>
        <w:rPr>
          <w:rFonts w:hint="eastAsia" w:ascii="Times New Roman" w:hAnsi="Times New Roman" w:eastAsia="仿宋_GB2312" w:cs="Times New Roman"/>
          <w:color w:val="auto"/>
          <w:sz w:val="32"/>
          <w:szCs w:val="32"/>
          <w:lang w:val="en-US" w:eastAsia="zh-CN"/>
        </w:rPr>
        <w:t>160</w:t>
      </w:r>
      <w:r>
        <w:rPr>
          <w:rFonts w:hint="eastAsia" w:ascii="仿宋" w:hAnsi="仿宋" w:eastAsia="仿宋" w:cs="仿宋"/>
          <w:bCs/>
          <w:snapToGrid/>
          <w:color w:val="auto"/>
          <w:spacing w:val="0"/>
          <w:w w:val="100"/>
          <w:kern w:val="2"/>
          <w:position w:val="0"/>
          <w:sz w:val="32"/>
          <w:szCs w:val="32"/>
          <w:u w:val="none" w:color="auto"/>
          <w:vertAlign w:val="baseline"/>
          <w:lang w:val="en-US" w:eastAsia="zh-CN" w:bidi="ar-SA"/>
        </w:rPr>
        <w:t>套、中蜂养殖</w:t>
      </w:r>
      <w:r>
        <w:rPr>
          <w:rFonts w:hint="eastAsia" w:ascii="Times New Roman" w:hAnsi="Times New Roman" w:eastAsia="仿宋_GB2312" w:cs="Times New Roman"/>
          <w:color w:val="auto"/>
          <w:sz w:val="32"/>
          <w:szCs w:val="32"/>
          <w:lang w:val="en-US" w:eastAsia="zh-CN"/>
        </w:rPr>
        <w:t>4900</w:t>
      </w:r>
      <w:r>
        <w:rPr>
          <w:rFonts w:hint="eastAsia" w:ascii="仿宋" w:hAnsi="仿宋" w:eastAsia="仿宋" w:cs="仿宋"/>
          <w:bCs/>
          <w:snapToGrid/>
          <w:color w:val="auto"/>
          <w:spacing w:val="0"/>
          <w:w w:val="100"/>
          <w:kern w:val="2"/>
          <w:position w:val="0"/>
          <w:sz w:val="32"/>
          <w:szCs w:val="32"/>
          <w:u w:val="none" w:color="auto"/>
          <w:vertAlign w:val="baseline"/>
          <w:lang w:val="en-US" w:eastAsia="zh-CN" w:bidi="ar-SA"/>
        </w:rPr>
        <w:t>箱等项目。全年出栏牛</w:t>
      </w:r>
      <w:r>
        <w:rPr>
          <w:rFonts w:hint="eastAsia" w:ascii="Times New Roman" w:hAnsi="Times New Roman" w:eastAsia="仿宋_GB2312" w:cs="Times New Roman"/>
          <w:color w:val="auto"/>
          <w:sz w:val="32"/>
          <w:szCs w:val="32"/>
          <w:lang w:val="en-US" w:eastAsia="zh-CN"/>
        </w:rPr>
        <w:t>40471</w:t>
      </w:r>
      <w:r>
        <w:rPr>
          <w:rFonts w:hint="eastAsia" w:ascii="仿宋" w:hAnsi="仿宋" w:eastAsia="仿宋" w:cs="仿宋"/>
          <w:bCs/>
          <w:snapToGrid/>
          <w:color w:val="auto"/>
          <w:spacing w:val="0"/>
          <w:w w:val="100"/>
          <w:kern w:val="2"/>
          <w:position w:val="0"/>
          <w:sz w:val="32"/>
          <w:szCs w:val="32"/>
          <w:u w:val="none" w:color="auto"/>
          <w:vertAlign w:val="baseline"/>
          <w:lang w:val="en-US" w:eastAsia="zh-CN" w:bidi="ar-SA"/>
        </w:rPr>
        <w:t>头，增长</w:t>
      </w:r>
      <w:r>
        <w:rPr>
          <w:rFonts w:hint="eastAsia" w:ascii="Times New Roman" w:hAnsi="Times New Roman" w:eastAsia="仿宋_GB2312" w:cs="Times New Roman"/>
          <w:color w:val="auto"/>
          <w:sz w:val="32"/>
          <w:szCs w:val="32"/>
          <w:lang w:val="en-US" w:eastAsia="zh-CN"/>
        </w:rPr>
        <w:t>5.8</w:t>
      </w:r>
      <w:r>
        <w:rPr>
          <w:rFonts w:hint="eastAsia" w:ascii="仿宋" w:hAnsi="仿宋" w:eastAsia="仿宋" w:cs="仿宋"/>
          <w:bCs/>
          <w:snapToGrid/>
          <w:color w:val="auto"/>
          <w:spacing w:val="0"/>
          <w:w w:val="100"/>
          <w:kern w:val="2"/>
          <w:position w:val="0"/>
          <w:sz w:val="32"/>
          <w:szCs w:val="32"/>
          <w:u w:val="none" w:color="auto"/>
          <w:vertAlign w:val="baseline"/>
          <w:lang w:val="en-US" w:eastAsia="zh-CN" w:bidi="ar-SA"/>
        </w:rPr>
        <w:t>%，出栏羊</w:t>
      </w:r>
      <w:r>
        <w:rPr>
          <w:rFonts w:hint="eastAsia" w:ascii="Times New Roman" w:hAnsi="Times New Roman" w:eastAsia="仿宋_GB2312" w:cs="Times New Roman"/>
          <w:color w:val="auto"/>
          <w:sz w:val="32"/>
          <w:szCs w:val="32"/>
          <w:lang w:val="en-US" w:eastAsia="zh-CN"/>
        </w:rPr>
        <w:t>21211</w:t>
      </w:r>
      <w:r>
        <w:rPr>
          <w:rFonts w:hint="eastAsia" w:ascii="仿宋" w:hAnsi="仿宋" w:eastAsia="仿宋" w:cs="仿宋"/>
          <w:bCs/>
          <w:snapToGrid/>
          <w:color w:val="auto"/>
          <w:spacing w:val="0"/>
          <w:w w:val="100"/>
          <w:kern w:val="2"/>
          <w:position w:val="0"/>
          <w:sz w:val="32"/>
          <w:szCs w:val="32"/>
          <w:u w:val="none" w:color="auto"/>
          <w:vertAlign w:val="baseline"/>
          <w:lang w:val="en-US" w:eastAsia="zh-CN" w:bidi="ar-SA"/>
        </w:rPr>
        <w:t>只,下降</w:t>
      </w:r>
      <w:r>
        <w:rPr>
          <w:rFonts w:hint="eastAsia" w:ascii="Times New Roman" w:hAnsi="Times New Roman" w:eastAsia="仿宋_GB2312" w:cs="Times New Roman"/>
          <w:color w:val="auto"/>
          <w:sz w:val="32"/>
          <w:szCs w:val="32"/>
          <w:lang w:val="en-US" w:eastAsia="zh-CN"/>
        </w:rPr>
        <w:t>1.2</w:t>
      </w:r>
      <w:r>
        <w:rPr>
          <w:rFonts w:hint="eastAsia" w:ascii="仿宋" w:hAnsi="仿宋" w:eastAsia="仿宋" w:cs="仿宋"/>
          <w:bCs/>
          <w:snapToGrid/>
          <w:color w:val="auto"/>
          <w:spacing w:val="0"/>
          <w:w w:val="100"/>
          <w:kern w:val="2"/>
          <w:position w:val="0"/>
          <w:sz w:val="32"/>
          <w:szCs w:val="32"/>
          <w:u w:val="none" w:color="auto"/>
          <w:vertAlign w:val="baseline"/>
          <w:lang w:val="en-US" w:eastAsia="zh-CN" w:bidi="ar-SA"/>
        </w:rPr>
        <w:t>%。牲畜出栏率</w:t>
      </w:r>
      <w:r>
        <w:rPr>
          <w:rFonts w:hint="eastAsia" w:ascii="Times New Roman" w:hAnsi="Times New Roman" w:eastAsia="仿宋_GB2312" w:cs="Times New Roman"/>
          <w:color w:val="auto"/>
          <w:sz w:val="32"/>
          <w:szCs w:val="32"/>
          <w:lang w:val="en-US" w:eastAsia="zh-CN"/>
        </w:rPr>
        <w:t>40.1</w:t>
      </w:r>
      <w:r>
        <w:rPr>
          <w:rFonts w:hint="eastAsia" w:ascii="仿宋" w:hAnsi="仿宋" w:eastAsia="仿宋" w:cs="仿宋"/>
          <w:bCs/>
          <w:snapToGrid/>
          <w:color w:val="auto"/>
          <w:spacing w:val="0"/>
          <w:w w:val="100"/>
          <w:kern w:val="2"/>
          <w:position w:val="0"/>
          <w:sz w:val="32"/>
          <w:szCs w:val="32"/>
          <w:u w:val="none" w:color="auto"/>
          <w:vertAlign w:val="baseline"/>
          <w:lang w:val="en-US" w:eastAsia="zh-CN" w:bidi="ar-SA"/>
        </w:rPr>
        <w:t>%。肉类总产量</w:t>
      </w:r>
      <w:r>
        <w:rPr>
          <w:rFonts w:hint="eastAsia" w:ascii="Times New Roman" w:hAnsi="Times New Roman" w:eastAsia="仿宋_GB2312" w:cs="Times New Roman"/>
          <w:color w:val="auto"/>
          <w:sz w:val="32"/>
          <w:szCs w:val="32"/>
          <w:lang w:val="en-US" w:eastAsia="zh-CN"/>
        </w:rPr>
        <w:t>5150</w:t>
      </w:r>
      <w:r>
        <w:rPr>
          <w:rFonts w:hint="eastAsia" w:ascii="仿宋" w:hAnsi="仿宋" w:eastAsia="仿宋" w:cs="仿宋"/>
          <w:bCs/>
          <w:snapToGrid/>
          <w:color w:val="auto"/>
          <w:spacing w:val="0"/>
          <w:w w:val="100"/>
          <w:kern w:val="2"/>
          <w:position w:val="0"/>
          <w:sz w:val="32"/>
          <w:szCs w:val="32"/>
          <w:u w:val="none" w:color="auto"/>
          <w:vertAlign w:val="baseline"/>
          <w:lang w:val="en-US" w:eastAsia="zh-CN" w:bidi="ar-SA"/>
        </w:rPr>
        <w:t>吨，增长</w:t>
      </w:r>
      <w:r>
        <w:rPr>
          <w:rFonts w:hint="eastAsia" w:ascii="Times New Roman" w:hAnsi="Times New Roman" w:eastAsia="仿宋_GB2312" w:cs="Times New Roman"/>
          <w:color w:val="auto"/>
          <w:sz w:val="32"/>
          <w:szCs w:val="32"/>
          <w:lang w:val="en-US" w:eastAsia="zh-CN"/>
        </w:rPr>
        <w:t>0.9</w:t>
      </w:r>
      <w:r>
        <w:rPr>
          <w:rFonts w:hint="eastAsia" w:ascii="仿宋" w:hAnsi="仿宋" w:eastAsia="仿宋" w:cs="仿宋"/>
          <w:bCs/>
          <w:snapToGrid/>
          <w:color w:val="auto"/>
          <w:spacing w:val="0"/>
          <w:w w:val="100"/>
          <w:kern w:val="2"/>
          <w:position w:val="0"/>
          <w:sz w:val="32"/>
          <w:szCs w:val="32"/>
          <w:u w:val="none" w:color="auto"/>
          <w:vertAlign w:val="baseline"/>
          <w:lang w:val="en-US" w:eastAsia="zh-CN" w:bidi="ar-SA"/>
        </w:rPr>
        <w:t>%，其中，牛肉产量</w:t>
      </w:r>
      <w:r>
        <w:rPr>
          <w:rFonts w:hint="eastAsia" w:ascii="Times New Roman" w:hAnsi="Times New Roman" w:eastAsia="仿宋_GB2312" w:cs="Times New Roman"/>
          <w:color w:val="auto"/>
          <w:sz w:val="32"/>
          <w:szCs w:val="32"/>
          <w:lang w:val="en-US" w:eastAsia="zh-CN"/>
        </w:rPr>
        <w:t>4792</w:t>
      </w:r>
      <w:r>
        <w:rPr>
          <w:rFonts w:hint="eastAsia" w:ascii="仿宋" w:hAnsi="仿宋" w:eastAsia="仿宋" w:cs="仿宋"/>
          <w:bCs/>
          <w:snapToGrid/>
          <w:color w:val="auto"/>
          <w:spacing w:val="0"/>
          <w:w w:val="100"/>
          <w:kern w:val="2"/>
          <w:position w:val="0"/>
          <w:sz w:val="32"/>
          <w:szCs w:val="32"/>
          <w:u w:val="none" w:color="auto"/>
          <w:vertAlign w:val="baseline"/>
          <w:lang w:val="en-US" w:eastAsia="zh-CN" w:bidi="ar-SA"/>
        </w:rPr>
        <w:t>吨，增长</w:t>
      </w:r>
      <w:r>
        <w:rPr>
          <w:rFonts w:hint="eastAsia" w:ascii="Times New Roman" w:hAnsi="Times New Roman" w:eastAsia="仿宋_GB2312" w:cs="Times New Roman"/>
          <w:color w:val="auto"/>
          <w:sz w:val="32"/>
          <w:szCs w:val="32"/>
          <w:lang w:val="en-US" w:eastAsia="zh-CN"/>
        </w:rPr>
        <w:t>1.6</w:t>
      </w:r>
      <w:r>
        <w:rPr>
          <w:rFonts w:hint="eastAsia" w:ascii="仿宋" w:hAnsi="仿宋" w:eastAsia="仿宋" w:cs="仿宋"/>
          <w:bCs/>
          <w:snapToGrid/>
          <w:color w:val="auto"/>
          <w:spacing w:val="0"/>
          <w:w w:val="100"/>
          <w:kern w:val="2"/>
          <w:position w:val="0"/>
          <w:sz w:val="32"/>
          <w:szCs w:val="32"/>
          <w:u w:val="none" w:color="auto"/>
          <w:vertAlign w:val="baseline"/>
          <w:lang w:val="en-US" w:eastAsia="zh-CN" w:bidi="ar-SA"/>
        </w:rPr>
        <w:t>%；羊肉产量</w:t>
      </w:r>
      <w:r>
        <w:rPr>
          <w:rFonts w:hint="eastAsia" w:ascii="Times New Roman" w:hAnsi="Times New Roman" w:eastAsia="仿宋_GB2312" w:cs="Times New Roman"/>
          <w:color w:val="auto"/>
          <w:sz w:val="32"/>
          <w:szCs w:val="32"/>
          <w:lang w:val="en-US" w:eastAsia="zh-CN"/>
        </w:rPr>
        <w:t>358</w:t>
      </w:r>
      <w:r>
        <w:rPr>
          <w:rFonts w:hint="eastAsia" w:ascii="仿宋" w:hAnsi="仿宋" w:eastAsia="仿宋" w:cs="仿宋"/>
          <w:bCs/>
          <w:snapToGrid/>
          <w:color w:val="auto"/>
          <w:spacing w:val="0"/>
          <w:w w:val="100"/>
          <w:kern w:val="2"/>
          <w:position w:val="0"/>
          <w:sz w:val="32"/>
          <w:szCs w:val="32"/>
          <w:u w:val="none" w:color="auto"/>
          <w:vertAlign w:val="baseline"/>
          <w:lang w:val="en-US" w:eastAsia="zh-CN" w:bidi="ar-SA"/>
        </w:rPr>
        <w:t>吨，下降</w:t>
      </w:r>
      <w:r>
        <w:rPr>
          <w:rFonts w:hint="eastAsia" w:ascii="Times New Roman" w:hAnsi="Times New Roman" w:eastAsia="仿宋_GB2312" w:cs="Times New Roman"/>
          <w:color w:val="auto"/>
          <w:sz w:val="32"/>
          <w:szCs w:val="32"/>
          <w:lang w:val="en-US" w:eastAsia="zh-CN"/>
        </w:rPr>
        <w:t>7.3</w:t>
      </w:r>
      <w:r>
        <w:rPr>
          <w:rFonts w:hint="eastAsia" w:ascii="仿宋" w:hAnsi="仿宋" w:eastAsia="仿宋" w:cs="仿宋"/>
          <w:bCs/>
          <w:snapToGrid/>
          <w:color w:val="auto"/>
          <w:spacing w:val="0"/>
          <w:w w:val="100"/>
          <w:kern w:val="2"/>
          <w:position w:val="0"/>
          <w:sz w:val="32"/>
          <w:szCs w:val="32"/>
          <w:u w:val="none" w:color="auto"/>
          <w:vertAlign w:val="baseline"/>
          <w:lang w:val="en-US" w:eastAsia="zh-CN" w:bidi="ar-SA"/>
        </w:rPr>
        <w:t>%。奶产量</w:t>
      </w:r>
      <w:r>
        <w:rPr>
          <w:rFonts w:hint="eastAsia" w:ascii="Times New Roman" w:hAnsi="Times New Roman" w:eastAsia="仿宋_GB2312" w:cs="Times New Roman"/>
          <w:color w:val="auto"/>
          <w:sz w:val="32"/>
          <w:szCs w:val="32"/>
          <w:lang w:val="en-US" w:eastAsia="zh-CN"/>
        </w:rPr>
        <w:t>12385</w:t>
      </w:r>
      <w:r>
        <w:rPr>
          <w:rFonts w:hint="eastAsia" w:ascii="仿宋" w:hAnsi="仿宋" w:eastAsia="仿宋" w:cs="仿宋"/>
          <w:bCs/>
          <w:snapToGrid/>
          <w:color w:val="auto"/>
          <w:spacing w:val="0"/>
          <w:w w:val="100"/>
          <w:kern w:val="2"/>
          <w:position w:val="0"/>
          <w:sz w:val="32"/>
          <w:szCs w:val="32"/>
          <w:u w:val="none" w:color="auto"/>
          <w:vertAlign w:val="baseline"/>
          <w:lang w:val="en-US" w:eastAsia="zh-CN" w:bidi="ar-SA"/>
        </w:rPr>
        <w:t>吨，增长</w:t>
      </w:r>
      <w:r>
        <w:rPr>
          <w:rFonts w:hint="eastAsia" w:ascii="Times New Roman" w:hAnsi="Times New Roman" w:eastAsia="仿宋_GB2312" w:cs="Times New Roman"/>
          <w:color w:val="auto"/>
          <w:sz w:val="32"/>
          <w:szCs w:val="32"/>
          <w:lang w:val="en-US" w:eastAsia="zh-CN"/>
        </w:rPr>
        <w:t>3</w:t>
      </w:r>
      <w:r>
        <w:rPr>
          <w:rFonts w:hint="eastAsia" w:ascii="仿宋" w:hAnsi="仿宋" w:eastAsia="仿宋" w:cs="仿宋"/>
          <w:bCs/>
          <w:snapToGrid/>
          <w:color w:val="auto"/>
          <w:spacing w:val="0"/>
          <w:w w:val="100"/>
          <w:kern w:val="2"/>
          <w:position w:val="0"/>
          <w:sz w:val="32"/>
          <w:szCs w:val="32"/>
          <w:u w:val="none" w:color="auto"/>
          <w:vertAlign w:val="baseline"/>
          <w:lang w:val="en-US" w:eastAsia="zh-CN" w:bidi="ar-SA"/>
        </w:rPr>
        <w:t>%。年末牛存栏</w:t>
      </w:r>
      <w:r>
        <w:rPr>
          <w:rFonts w:hint="eastAsia" w:ascii="Times New Roman" w:hAnsi="Times New Roman" w:eastAsia="仿宋_GB2312" w:cs="Times New Roman"/>
          <w:color w:val="auto"/>
          <w:sz w:val="32"/>
          <w:szCs w:val="32"/>
          <w:lang w:val="en-US" w:eastAsia="zh-CN"/>
        </w:rPr>
        <w:t>131804</w:t>
      </w:r>
      <w:r>
        <w:rPr>
          <w:rFonts w:hint="eastAsia" w:ascii="仿宋" w:hAnsi="仿宋" w:eastAsia="仿宋" w:cs="仿宋"/>
          <w:bCs/>
          <w:snapToGrid/>
          <w:color w:val="auto"/>
          <w:spacing w:val="0"/>
          <w:w w:val="100"/>
          <w:kern w:val="2"/>
          <w:position w:val="0"/>
          <w:sz w:val="32"/>
          <w:szCs w:val="32"/>
          <w:u w:val="none" w:color="auto"/>
          <w:vertAlign w:val="baseline"/>
          <w:lang w:val="en-US" w:eastAsia="zh-CN" w:bidi="ar-SA"/>
        </w:rPr>
        <w:t>头，下降</w:t>
      </w:r>
      <w:r>
        <w:rPr>
          <w:rFonts w:hint="eastAsia" w:ascii="Times New Roman" w:hAnsi="Times New Roman" w:eastAsia="仿宋_GB2312" w:cs="Times New Roman"/>
          <w:color w:val="auto"/>
          <w:sz w:val="32"/>
          <w:szCs w:val="32"/>
          <w:lang w:val="en-US" w:eastAsia="zh-CN"/>
        </w:rPr>
        <w:t>0.5</w:t>
      </w:r>
      <w:r>
        <w:rPr>
          <w:rFonts w:hint="eastAsia" w:ascii="仿宋" w:hAnsi="仿宋" w:eastAsia="仿宋" w:cs="仿宋"/>
          <w:bCs/>
          <w:snapToGrid/>
          <w:color w:val="auto"/>
          <w:spacing w:val="0"/>
          <w:w w:val="100"/>
          <w:kern w:val="2"/>
          <w:position w:val="0"/>
          <w:sz w:val="32"/>
          <w:szCs w:val="32"/>
          <w:u w:val="none" w:color="auto"/>
          <w:vertAlign w:val="baseline"/>
          <w:lang w:val="en-US" w:eastAsia="zh-CN" w:bidi="ar-SA"/>
        </w:rPr>
        <w:t>%；羊存栏</w:t>
      </w:r>
      <w:r>
        <w:rPr>
          <w:rFonts w:hint="eastAsia" w:ascii="Times New Roman" w:hAnsi="Times New Roman" w:eastAsia="仿宋_GB2312" w:cs="Times New Roman"/>
          <w:color w:val="auto"/>
          <w:sz w:val="32"/>
          <w:szCs w:val="32"/>
          <w:lang w:val="en-US" w:eastAsia="zh-CN"/>
        </w:rPr>
        <w:t>4967</w:t>
      </w:r>
      <w:r>
        <w:rPr>
          <w:rFonts w:hint="eastAsia" w:ascii="仿宋" w:hAnsi="仿宋" w:eastAsia="仿宋" w:cs="仿宋"/>
          <w:bCs/>
          <w:snapToGrid/>
          <w:color w:val="auto"/>
          <w:spacing w:val="0"/>
          <w:w w:val="100"/>
          <w:kern w:val="2"/>
          <w:position w:val="0"/>
          <w:sz w:val="32"/>
          <w:szCs w:val="32"/>
          <w:u w:val="none" w:color="auto"/>
          <w:vertAlign w:val="baseline"/>
          <w:lang w:val="en-US" w:eastAsia="zh-CN" w:bidi="ar-SA"/>
        </w:rPr>
        <w:t>只，下降</w:t>
      </w:r>
      <w:r>
        <w:rPr>
          <w:rFonts w:hint="eastAsia" w:ascii="Times New Roman" w:hAnsi="Times New Roman" w:eastAsia="仿宋_GB2312" w:cs="Times New Roman"/>
          <w:color w:val="auto"/>
          <w:sz w:val="32"/>
          <w:szCs w:val="32"/>
          <w:lang w:val="en-US" w:eastAsia="zh-CN"/>
        </w:rPr>
        <w:t>69.3</w:t>
      </w:r>
      <w:r>
        <w:rPr>
          <w:rFonts w:hint="eastAsia" w:ascii="仿宋" w:hAnsi="仿宋" w:eastAsia="仿宋" w:cs="仿宋"/>
          <w:bCs/>
          <w:snapToGrid/>
          <w:color w:val="auto"/>
          <w:spacing w:val="0"/>
          <w:w w:val="100"/>
          <w:kern w:val="2"/>
          <w:position w:val="0"/>
          <w:sz w:val="32"/>
          <w:szCs w:val="32"/>
          <w:u w:val="none" w:color="auto"/>
          <w:vertAlign w:val="baseline"/>
          <w:lang w:val="en-US" w:eastAsia="zh-CN" w:bidi="ar-SA"/>
        </w:rPr>
        <w:t>%。</w:t>
      </w:r>
    </w:p>
    <w:p>
      <w:pPr>
        <w:spacing w:line="560" w:lineRule="exact"/>
        <w:ind w:firstLine="640" w:firstLineChars="200"/>
        <w:rPr>
          <w:rFonts w:hint="eastAsia" w:ascii="仿宋" w:hAnsi="仿宋" w:eastAsia="仿宋" w:cs="仿宋"/>
          <w:color w:val="auto"/>
          <w:sz w:val="32"/>
          <w:szCs w:val="32"/>
          <w:lang w:eastAsia="zh-CN"/>
        </w:rPr>
      </w:pPr>
      <w:r>
        <w:rPr>
          <w:rFonts w:ascii="Times New Roman" w:hAnsi="Times New Roman" w:eastAsia="仿宋_GB2312" w:cs="Times New Roman"/>
          <w:color w:val="auto"/>
          <w:sz w:val="32"/>
          <w:szCs w:val="32"/>
          <w:shd w:val="clear" w:color="auto" w:fill="FFFFFF"/>
        </w:rPr>
        <w:t>【</w:t>
      </w:r>
      <w:r>
        <w:rPr>
          <w:rFonts w:ascii="楷体_GB2312" w:hAnsi="楷体_GB2312" w:eastAsia="楷体_GB2312" w:cs="楷体_GB2312"/>
          <w:b/>
          <w:bCs/>
          <w:color w:val="auto"/>
          <w:sz w:val="32"/>
          <w:szCs w:val="32"/>
          <w:shd w:val="clear" w:color="auto" w:fill="FFFFFF"/>
        </w:rPr>
        <w:t>农机水利</w:t>
      </w:r>
      <w:r>
        <w:rPr>
          <w:rFonts w:ascii="Times New Roman" w:hAnsi="Times New Roman" w:eastAsia="仿宋_GB2312" w:cs="Times New Roman"/>
          <w:color w:val="auto"/>
          <w:sz w:val="32"/>
          <w:szCs w:val="32"/>
          <w:shd w:val="clear" w:color="auto" w:fill="FFFFFF"/>
        </w:rPr>
        <w:t>】</w:t>
      </w:r>
      <w:r>
        <w:rPr>
          <w:rFonts w:hint="eastAsia" w:ascii="仿宋" w:hAnsi="仿宋" w:eastAsia="仿宋" w:cs="仿宋"/>
          <w:color w:val="auto"/>
          <w:sz w:val="32"/>
          <w:szCs w:val="32"/>
        </w:rPr>
        <w:t>年</w:t>
      </w:r>
      <w:r>
        <w:rPr>
          <w:rFonts w:hint="eastAsia" w:ascii="仿宋" w:hAnsi="仿宋" w:eastAsia="仿宋" w:cs="仿宋"/>
          <w:color w:val="auto"/>
          <w:sz w:val="32"/>
          <w:szCs w:val="32"/>
          <w:shd w:val="clear" w:color="auto" w:fill="FFFFFF"/>
        </w:rPr>
        <w:t>末农业机械总动力</w:t>
      </w:r>
      <w:r>
        <w:rPr>
          <w:rFonts w:hint="eastAsia" w:ascii="仿宋" w:hAnsi="仿宋" w:eastAsia="仿宋" w:cs="仿宋"/>
          <w:color w:val="auto"/>
          <w:sz w:val="32"/>
          <w:szCs w:val="32"/>
          <w:shd w:val="clear" w:color="auto" w:fill="FFFFFF"/>
          <w:lang w:val="en-US" w:eastAsia="zh-CN"/>
        </w:rPr>
        <w:t>44740</w:t>
      </w:r>
      <w:r>
        <w:rPr>
          <w:rFonts w:hint="eastAsia" w:ascii="仿宋" w:hAnsi="仿宋" w:eastAsia="仿宋" w:cs="仿宋"/>
          <w:color w:val="auto"/>
          <w:sz w:val="32"/>
          <w:szCs w:val="32"/>
          <w:shd w:val="clear" w:color="auto" w:fill="FFFFFF"/>
        </w:rPr>
        <w:t>千瓦，</w:t>
      </w:r>
      <w:r>
        <w:rPr>
          <w:rFonts w:hint="eastAsia" w:ascii="仿宋" w:hAnsi="仿宋" w:eastAsia="仿宋" w:cs="仿宋"/>
          <w:color w:val="auto"/>
          <w:sz w:val="32"/>
          <w:szCs w:val="32"/>
          <w:shd w:val="clear" w:color="auto" w:fill="FFFFFF"/>
          <w:lang w:eastAsia="zh-CN"/>
        </w:rPr>
        <w:t>增长</w:t>
      </w:r>
      <w:r>
        <w:rPr>
          <w:rFonts w:hint="eastAsia" w:ascii="仿宋" w:hAnsi="仿宋" w:eastAsia="仿宋" w:cs="仿宋"/>
          <w:color w:val="auto"/>
          <w:sz w:val="32"/>
          <w:szCs w:val="32"/>
          <w:shd w:val="clear" w:color="auto" w:fill="FFFFFF"/>
          <w:lang w:val="en-US" w:eastAsia="zh-CN"/>
        </w:rPr>
        <w:t>0.9</w:t>
      </w:r>
      <w:r>
        <w:rPr>
          <w:rFonts w:hint="eastAsia" w:ascii="仿宋" w:hAnsi="仿宋" w:eastAsia="仿宋" w:cs="仿宋"/>
          <w:color w:val="auto"/>
          <w:sz w:val="32"/>
          <w:szCs w:val="32"/>
          <w:shd w:val="clear" w:color="auto" w:fill="FFFFFF"/>
        </w:rPr>
        <w:t>%。全年农村用电量</w:t>
      </w:r>
      <w:r>
        <w:rPr>
          <w:rFonts w:hint="eastAsia" w:ascii="仿宋" w:hAnsi="仿宋" w:eastAsia="仿宋" w:cs="仿宋"/>
          <w:color w:val="auto"/>
          <w:sz w:val="32"/>
          <w:szCs w:val="32"/>
          <w:shd w:val="clear" w:color="auto" w:fill="FFFFFF"/>
          <w:lang w:val="en-US" w:eastAsia="zh-CN"/>
        </w:rPr>
        <w:t>1116</w:t>
      </w:r>
      <w:r>
        <w:rPr>
          <w:rFonts w:hint="eastAsia" w:ascii="仿宋" w:hAnsi="仿宋" w:eastAsia="仿宋" w:cs="仿宋"/>
          <w:color w:val="auto"/>
          <w:sz w:val="32"/>
          <w:szCs w:val="32"/>
          <w:shd w:val="clear" w:color="auto" w:fill="FFFFFF"/>
        </w:rPr>
        <w:t>万千瓦小时,</w:t>
      </w:r>
      <w:r>
        <w:rPr>
          <w:rFonts w:hint="eastAsia" w:ascii="仿宋" w:hAnsi="仿宋" w:eastAsia="仿宋" w:cs="仿宋"/>
          <w:color w:val="auto"/>
          <w:sz w:val="32"/>
          <w:szCs w:val="32"/>
        </w:rPr>
        <w:t>增长</w:t>
      </w:r>
      <w:r>
        <w:rPr>
          <w:rFonts w:hint="eastAsia" w:ascii="仿宋" w:hAnsi="仿宋" w:eastAsia="仿宋" w:cs="仿宋"/>
          <w:color w:val="auto"/>
          <w:sz w:val="32"/>
          <w:szCs w:val="32"/>
          <w:lang w:val="en-US" w:eastAsia="zh-CN"/>
        </w:rPr>
        <w:t>23.3</w:t>
      </w:r>
      <w:r>
        <w:rPr>
          <w:rFonts w:hint="eastAsia" w:ascii="仿宋" w:hAnsi="仿宋" w:eastAsia="仿宋" w:cs="仿宋"/>
          <w:color w:val="auto"/>
          <w:sz w:val="32"/>
          <w:szCs w:val="32"/>
        </w:rPr>
        <w:t>%。全年投资483万元实施6个</w:t>
      </w:r>
      <w:r>
        <w:rPr>
          <w:rFonts w:hint="eastAsia" w:ascii="仿宋" w:hAnsi="仿宋" w:eastAsia="仿宋" w:cs="仿宋"/>
          <w:color w:val="auto"/>
          <w:sz w:val="32"/>
          <w:szCs w:val="32"/>
          <w:lang w:val="en-US" w:eastAsia="zh-CN"/>
        </w:rPr>
        <w:t>中小</w:t>
      </w:r>
      <w:r>
        <w:rPr>
          <w:rFonts w:hint="eastAsia" w:ascii="仿宋" w:hAnsi="仿宋" w:eastAsia="仿宋" w:cs="仿宋"/>
          <w:color w:val="auto"/>
          <w:sz w:val="32"/>
          <w:szCs w:val="32"/>
        </w:rPr>
        <w:t>工程建设项目。</w:t>
      </w:r>
      <w:r>
        <w:rPr>
          <w:rFonts w:hint="eastAsia" w:ascii="仿宋" w:hAnsi="仿宋" w:eastAsia="仿宋" w:cs="仿宋"/>
          <w:color w:val="auto"/>
          <w:sz w:val="32"/>
          <w:szCs w:val="32"/>
          <w:lang w:eastAsia="zh-CN"/>
        </w:rPr>
        <w:t>完成了</w:t>
      </w:r>
      <w:r>
        <w:rPr>
          <w:rFonts w:hint="eastAsia" w:ascii="仿宋" w:hAnsi="仿宋" w:eastAsia="仿宋" w:cs="仿宋"/>
          <w:color w:val="auto"/>
          <w:sz w:val="32"/>
          <w:szCs w:val="32"/>
          <w:lang w:val="en-US" w:eastAsia="zh-CN"/>
        </w:rPr>
        <w:t>壤塘县县城堤防、壤塘县杜柯河河段堤防和壤塘县尕古玛河道综合治理。</w:t>
      </w:r>
      <w:r>
        <w:rPr>
          <w:rFonts w:hint="eastAsia" w:ascii="仿宋" w:hAnsi="仿宋" w:eastAsia="仿宋" w:cs="仿宋"/>
          <w:color w:val="auto"/>
          <w:sz w:val="32"/>
          <w:szCs w:val="32"/>
        </w:rPr>
        <w:t>完成南木达镇砂石加工点、安郎沟砂石加工点、石里砂石加工点砂石余料加工生产工作并拆除生产设施设备</w:t>
      </w:r>
      <w:r>
        <w:rPr>
          <w:rFonts w:hint="eastAsia" w:ascii="仿宋" w:hAnsi="仿宋" w:eastAsia="仿宋" w:cs="仿宋"/>
          <w:color w:val="auto"/>
          <w:sz w:val="32"/>
          <w:szCs w:val="32"/>
          <w:lang w:eastAsia="zh-CN"/>
        </w:rPr>
        <w:t>工作</w:t>
      </w:r>
      <w:r>
        <w:rPr>
          <w:rFonts w:hint="eastAsia" w:ascii="仿宋" w:hAnsi="仿宋" w:eastAsia="仿宋" w:cs="仿宋"/>
          <w:color w:val="auto"/>
          <w:sz w:val="32"/>
          <w:szCs w:val="32"/>
        </w:rPr>
        <w:t>；建成125砂石加工点、尕多於料加工点</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全县</w:t>
      </w:r>
      <w:r>
        <w:rPr>
          <w:rFonts w:hint="eastAsia" w:ascii="仿宋" w:hAnsi="仿宋" w:eastAsia="仿宋" w:cs="仿宋"/>
          <w:color w:val="auto"/>
          <w:sz w:val="32"/>
          <w:szCs w:val="32"/>
          <w:lang w:eastAsia="zh-CN"/>
        </w:rPr>
        <w:t>完成</w:t>
      </w:r>
      <w:r>
        <w:rPr>
          <w:rFonts w:hint="eastAsia" w:ascii="仿宋" w:hAnsi="仿宋" w:eastAsia="仿宋" w:cs="仿宋"/>
          <w:color w:val="auto"/>
          <w:sz w:val="32"/>
          <w:szCs w:val="32"/>
        </w:rPr>
        <w:t>移民8户20人，其中南木达镇直属村1户1人（来自麻子滩水库移民），蒲西乡伊里村1户1人（来自紫坪铺水库移民），吾伊乡吾伊村1户1人（来自双江口水电站移民），蒲西乡蒲西村5户17人（来自绰斯甲水电站移民）。</w:t>
      </w:r>
    </w:p>
    <w:p>
      <w:pPr>
        <w:pStyle w:val="7"/>
        <w:rPr>
          <w:rFonts w:hint="eastAsia"/>
          <w:color w:val="auto"/>
          <w:lang w:val="zh-CN" w:eastAsia="zh-CN"/>
        </w:rPr>
      </w:pPr>
    </w:p>
    <w:p>
      <w:pPr>
        <w:widowControl/>
        <w:numPr>
          <w:ilvl w:val="0"/>
          <w:numId w:val="1"/>
        </w:numPr>
        <w:adjustRightInd w:val="0"/>
        <w:snapToGrid w:val="0"/>
        <w:spacing w:line="560" w:lineRule="exact"/>
        <w:jc w:val="center"/>
        <w:rPr>
          <w:rFonts w:ascii="黑体" w:hAnsi="黑体" w:eastAsia="黑体" w:cs="黑体"/>
          <w:b/>
          <w:color w:val="auto"/>
          <w:kern w:val="0"/>
          <w:sz w:val="36"/>
          <w:szCs w:val="36"/>
          <w:lang w:val="zh-CN"/>
        </w:rPr>
      </w:pPr>
      <w:r>
        <w:rPr>
          <w:rFonts w:ascii="黑体" w:hAnsi="黑体" w:eastAsia="黑体" w:cs="黑体"/>
          <w:b/>
          <w:color w:val="auto"/>
          <w:kern w:val="0"/>
          <w:sz w:val="36"/>
          <w:szCs w:val="36"/>
          <w:lang w:val="zh-CN"/>
        </w:rPr>
        <w:t>工业和建筑业</w:t>
      </w:r>
    </w:p>
    <w:p>
      <w:pPr>
        <w:pStyle w:val="12"/>
        <w:ind w:left="0" w:leftChars="0" w:firstLine="0" w:firstLineChars="0"/>
        <w:rPr>
          <w:color w:val="auto"/>
          <w:lang w:val="zh-CN"/>
        </w:rPr>
      </w:pPr>
    </w:p>
    <w:p>
      <w:pPr>
        <w:keepNext w:val="0"/>
        <w:keepLines w:val="0"/>
        <w:pageBreakBefore w:val="0"/>
        <w:widowControl/>
        <w:kinsoku/>
        <w:wordWrap/>
        <w:overflowPunct/>
        <w:topLinePunct w:val="0"/>
        <w:autoSpaceDE/>
        <w:autoSpaceDN/>
        <w:bidi w:val="0"/>
        <w:adjustRightInd/>
        <w:snapToGrid w:val="0"/>
        <w:spacing w:line="560" w:lineRule="exact"/>
        <w:ind w:firstLine="640" w:firstLineChars="200"/>
        <w:jc w:val="left"/>
        <w:textAlignment w:val="auto"/>
        <w:rPr>
          <w:rFonts w:hint="eastAsia" w:ascii="仿宋" w:hAnsi="仿宋" w:eastAsia="仿宋" w:cs="仿宋"/>
          <w:color w:val="auto"/>
          <w:sz w:val="32"/>
          <w:szCs w:val="32"/>
        </w:rPr>
      </w:pPr>
      <w:r>
        <w:rPr>
          <w:rFonts w:ascii="Times New Roman" w:hAnsi="Times New Roman" w:eastAsia="仿宋_GB2312" w:cs="Times New Roman"/>
          <w:color w:val="auto"/>
          <w:sz w:val="32"/>
          <w:szCs w:val="32"/>
          <w:shd w:val="clear" w:color="auto" w:fill="FFFFFF"/>
        </w:rPr>
        <w:t>【</w:t>
      </w:r>
      <w:r>
        <w:rPr>
          <w:rFonts w:ascii="楷体_GB2312" w:hAnsi="楷体_GB2312" w:eastAsia="楷体_GB2312" w:cs="楷体_GB2312"/>
          <w:b/>
          <w:bCs/>
          <w:color w:val="auto"/>
          <w:sz w:val="32"/>
          <w:szCs w:val="32"/>
          <w:shd w:val="clear" w:color="auto" w:fill="FFFFFF"/>
        </w:rPr>
        <w:t>工</w:t>
      </w:r>
      <w:r>
        <w:rPr>
          <w:rFonts w:hint="eastAsia" w:ascii="楷体_GB2312" w:hAnsi="楷体_GB2312" w:eastAsia="楷体_GB2312" w:cs="楷体_GB2312"/>
          <w:b/>
          <w:bCs/>
          <w:color w:val="auto"/>
          <w:sz w:val="32"/>
          <w:szCs w:val="32"/>
          <w:shd w:val="clear" w:color="auto" w:fill="FFFFFF"/>
          <w:lang w:val="en-US" w:eastAsia="zh-CN"/>
        </w:rPr>
        <w:t xml:space="preserve">  </w:t>
      </w:r>
      <w:r>
        <w:rPr>
          <w:rFonts w:ascii="楷体_GB2312" w:hAnsi="楷体_GB2312" w:eastAsia="楷体_GB2312" w:cs="楷体_GB2312"/>
          <w:b/>
          <w:bCs/>
          <w:color w:val="auto"/>
          <w:sz w:val="32"/>
          <w:szCs w:val="32"/>
          <w:shd w:val="clear" w:color="auto" w:fill="FFFFFF"/>
        </w:rPr>
        <w:t>业</w:t>
      </w:r>
      <w:r>
        <w:rPr>
          <w:rFonts w:ascii="Times New Roman" w:hAnsi="Times New Roman" w:eastAsia="仿宋_GB2312" w:cs="Times New Roman"/>
          <w:color w:val="auto"/>
          <w:sz w:val="32"/>
          <w:szCs w:val="32"/>
          <w:shd w:val="clear" w:color="auto" w:fill="FFFFFF"/>
        </w:rPr>
        <w:t>】</w:t>
      </w:r>
      <w:r>
        <w:rPr>
          <w:rFonts w:hint="eastAsia" w:ascii="仿宋" w:hAnsi="仿宋" w:eastAsia="仿宋" w:cs="仿宋"/>
          <w:color w:val="auto"/>
          <w:sz w:val="32"/>
          <w:szCs w:val="32"/>
        </w:rPr>
        <w:t>全年实现工业增加值</w:t>
      </w:r>
      <w:r>
        <w:rPr>
          <w:rFonts w:hint="eastAsia" w:ascii="仿宋" w:hAnsi="仿宋" w:eastAsia="仿宋" w:cs="仿宋"/>
          <w:color w:val="auto"/>
          <w:sz w:val="32"/>
          <w:szCs w:val="32"/>
          <w:lang w:val="en-US" w:eastAsia="zh-CN"/>
        </w:rPr>
        <w:t>3126</w:t>
      </w:r>
      <w:r>
        <w:rPr>
          <w:rFonts w:hint="eastAsia" w:ascii="仿宋" w:hAnsi="仿宋" w:eastAsia="仿宋" w:cs="仿宋"/>
          <w:color w:val="auto"/>
          <w:sz w:val="32"/>
          <w:szCs w:val="32"/>
        </w:rPr>
        <w:t>万元，</w:t>
      </w:r>
      <w:r>
        <w:rPr>
          <w:rFonts w:hint="eastAsia" w:ascii="仿宋" w:hAnsi="仿宋" w:eastAsia="仿宋" w:cs="仿宋"/>
          <w:color w:val="auto"/>
          <w:sz w:val="32"/>
          <w:szCs w:val="32"/>
          <w:lang w:val="en-US" w:eastAsia="zh-CN"/>
        </w:rPr>
        <w:t>下降8.8</w:t>
      </w:r>
      <w:r>
        <w:rPr>
          <w:rFonts w:hint="eastAsia" w:ascii="仿宋" w:hAnsi="仿宋" w:eastAsia="仿宋" w:cs="仿宋"/>
          <w:color w:val="auto"/>
          <w:sz w:val="32"/>
          <w:szCs w:val="32"/>
        </w:rPr>
        <w:t>%。占GDP的比</w:t>
      </w:r>
      <w:r>
        <w:rPr>
          <w:rFonts w:hint="eastAsia" w:ascii="仿宋" w:hAnsi="仿宋" w:eastAsia="仿宋" w:cs="仿宋"/>
          <w:color w:val="auto"/>
          <w:sz w:val="32"/>
          <w:szCs w:val="32"/>
          <w:lang w:eastAsia="zh-CN"/>
        </w:rPr>
        <w:t>重</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%。年末规模以上工业企业总数</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户</w:t>
      </w:r>
      <w:r>
        <w:rPr>
          <w:rFonts w:hint="eastAsia" w:ascii="仿宋" w:hAnsi="仿宋" w:eastAsia="仿宋" w:cs="仿宋"/>
          <w:color w:val="auto"/>
          <w:sz w:val="32"/>
          <w:szCs w:val="32"/>
          <w:lang w:eastAsia="zh-CN"/>
        </w:rPr>
        <w:t>，比上年增加</w:t>
      </w:r>
      <w:r>
        <w:rPr>
          <w:rFonts w:hint="eastAsia" w:ascii="仿宋" w:hAnsi="仿宋" w:eastAsia="仿宋" w:cs="仿宋"/>
          <w:color w:val="auto"/>
          <w:sz w:val="32"/>
          <w:szCs w:val="32"/>
          <w:lang w:val="en-US" w:eastAsia="zh-CN"/>
        </w:rPr>
        <w:t>1户。</w:t>
      </w:r>
      <w:r>
        <w:rPr>
          <w:rFonts w:hint="eastAsia" w:ascii="仿宋" w:hAnsi="仿宋" w:eastAsia="仿宋" w:cs="仿宋"/>
          <w:color w:val="auto"/>
          <w:sz w:val="32"/>
          <w:szCs w:val="32"/>
        </w:rPr>
        <w:t>属于电力、热力、燃气及水生产和供应业企业</w:t>
      </w:r>
      <w:r>
        <w:rPr>
          <w:rFonts w:hint="eastAsia" w:ascii="仿宋" w:hAnsi="仿宋" w:eastAsia="仿宋" w:cs="仿宋"/>
          <w:color w:val="auto"/>
          <w:sz w:val="32"/>
          <w:szCs w:val="32"/>
          <w:lang w:val="en-US" w:eastAsia="zh-CN"/>
        </w:rPr>
        <w:t>1户；制造业1户</w:t>
      </w:r>
      <w:r>
        <w:rPr>
          <w:rFonts w:hint="eastAsia" w:ascii="仿宋" w:hAnsi="仿宋" w:eastAsia="仿宋" w:cs="仿宋"/>
          <w:color w:val="auto"/>
          <w:sz w:val="32"/>
          <w:szCs w:val="32"/>
        </w:rPr>
        <w:t>。规模以上工业企业增加值</w:t>
      </w:r>
      <w:r>
        <w:rPr>
          <w:rFonts w:hint="eastAsia" w:ascii="仿宋" w:hAnsi="仿宋" w:eastAsia="仿宋" w:cs="仿宋"/>
          <w:color w:val="auto"/>
          <w:sz w:val="32"/>
          <w:szCs w:val="32"/>
          <w:lang w:val="en-US" w:eastAsia="zh-CN"/>
        </w:rPr>
        <w:t>1644万元，</w:t>
      </w:r>
      <w:r>
        <w:rPr>
          <w:rFonts w:hint="eastAsia" w:ascii="仿宋" w:hAnsi="仿宋" w:eastAsia="仿宋" w:cs="仿宋"/>
          <w:color w:val="auto"/>
          <w:sz w:val="32"/>
          <w:szCs w:val="32"/>
          <w:lang w:eastAsia="zh-CN"/>
        </w:rPr>
        <w:t>增长</w:t>
      </w:r>
      <w:r>
        <w:rPr>
          <w:rFonts w:hint="eastAsia" w:ascii="仿宋" w:hAnsi="仿宋" w:eastAsia="仿宋" w:cs="仿宋"/>
          <w:color w:val="auto"/>
          <w:sz w:val="32"/>
          <w:szCs w:val="32"/>
          <w:lang w:val="en-US" w:eastAsia="zh-CN"/>
        </w:rPr>
        <w:t>14</w:t>
      </w:r>
      <w:r>
        <w:rPr>
          <w:rFonts w:hint="eastAsia" w:ascii="仿宋" w:hAnsi="仿宋" w:eastAsia="仿宋" w:cs="仿宋"/>
          <w:color w:val="auto"/>
          <w:sz w:val="32"/>
          <w:szCs w:val="32"/>
        </w:rPr>
        <w:t>%</w:t>
      </w:r>
      <w:r>
        <w:rPr>
          <w:rFonts w:hint="eastAsia" w:ascii="仿宋" w:hAnsi="仿宋" w:eastAsia="仿宋" w:cs="仿宋"/>
          <w:color w:val="auto"/>
          <w:sz w:val="32"/>
          <w:szCs w:val="32"/>
          <w:shd w:val="clear" w:color="auto" w:fill="FFFFFF"/>
        </w:rPr>
        <w:t>。</w:t>
      </w:r>
      <w:r>
        <w:rPr>
          <w:rFonts w:hint="eastAsia" w:ascii="仿宋" w:hAnsi="仿宋" w:eastAsia="仿宋" w:cs="仿宋"/>
          <w:color w:val="auto"/>
          <w:sz w:val="32"/>
          <w:szCs w:val="32"/>
        </w:rPr>
        <w:t>全年规模以上工业实现主营业务收入</w:t>
      </w:r>
      <w:r>
        <w:rPr>
          <w:rFonts w:hint="eastAsia" w:ascii="仿宋" w:hAnsi="仿宋" w:eastAsia="仿宋" w:cs="仿宋"/>
          <w:color w:val="auto"/>
          <w:sz w:val="32"/>
          <w:szCs w:val="32"/>
          <w:lang w:val="en-US" w:eastAsia="zh-CN"/>
        </w:rPr>
        <w:t>3795.5</w:t>
      </w:r>
      <w:r>
        <w:rPr>
          <w:rFonts w:hint="eastAsia" w:ascii="仿宋" w:hAnsi="仿宋" w:eastAsia="仿宋" w:cs="仿宋"/>
          <w:color w:val="auto"/>
          <w:sz w:val="32"/>
          <w:szCs w:val="32"/>
        </w:rPr>
        <w:t>万元，</w:t>
      </w:r>
      <w:r>
        <w:rPr>
          <w:rFonts w:hint="eastAsia" w:ascii="仿宋" w:hAnsi="仿宋" w:eastAsia="仿宋" w:cs="仿宋"/>
          <w:color w:val="auto"/>
          <w:sz w:val="32"/>
          <w:szCs w:val="32"/>
          <w:lang w:eastAsia="zh-CN"/>
        </w:rPr>
        <w:t>增长</w:t>
      </w:r>
      <w:r>
        <w:rPr>
          <w:rFonts w:hint="eastAsia" w:ascii="仿宋" w:hAnsi="仿宋" w:eastAsia="仿宋" w:cs="仿宋"/>
          <w:color w:val="auto"/>
          <w:sz w:val="32"/>
          <w:szCs w:val="32"/>
          <w:lang w:val="en-US" w:eastAsia="zh-CN"/>
        </w:rPr>
        <w:t>38.8</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亏损</w:t>
      </w:r>
      <w:r>
        <w:rPr>
          <w:rFonts w:hint="eastAsia" w:ascii="仿宋" w:hAnsi="仿宋" w:eastAsia="仿宋" w:cs="仿宋"/>
          <w:color w:val="auto"/>
          <w:sz w:val="32"/>
          <w:szCs w:val="32"/>
          <w:lang w:val="en-US" w:eastAsia="zh-CN"/>
        </w:rPr>
        <w:t>593.1</w:t>
      </w:r>
      <w:r>
        <w:rPr>
          <w:rFonts w:hint="eastAsia" w:ascii="仿宋" w:hAnsi="仿宋" w:eastAsia="仿宋" w:cs="仿宋"/>
          <w:color w:val="auto"/>
          <w:sz w:val="32"/>
          <w:szCs w:val="32"/>
        </w:rPr>
        <w:t>万元。</w:t>
      </w:r>
    </w:p>
    <w:p>
      <w:pPr>
        <w:keepNext w:val="0"/>
        <w:keepLines w:val="0"/>
        <w:pageBreakBefore w:val="0"/>
        <w:widowControl/>
        <w:kinsoku/>
        <w:wordWrap/>
        <w:overflowPunct/>
        <w:topLinePunct w:val="0"/>
        <w:autoSpaceDE/>
        <w:autoSpaceDN/>
        <w:bidi w:val="0"/>
        <w:adjustRightInd/>
        <w:snapToGrid w:val="0"/>
        <w:spacing w:line="560" w:lineRule="exact"/>
        <w:ind w:firstLine="640" w:firstLineChars="200"/>
        <w:jc w:val="left"/>
        <w:textAlignment w:val="auto"/>
        <w:rPr>
          <w:rFonts w:hint="eastAsia" w:ascii="仿宋" w:hAnsi="仿宋" w:eastAsia="仿宋" w:cs="仿宋"/>
          <w:color w:val="auto"/>
          <w:sz w:val="32"/>
          <w:szCs w:val="32"/>
          <w:lang w:val="zh-CN"/>
        </w:rPr>
      </w:pPr>
      <w:r>
        <w:rPr>
          <w:rFonts w:ascii="Times New Roman" w:hAnsi="Times New Roman" w:eastAsia="仿宋_GB2312" w:cs="Times New Roman"/>
          <w:color w:val="auto"/>
          <w:sz w:val="32"/>
          <w:szCs w:val="32"/>
          <w:shd w:val="clear" w:color="auto" w:fill="FFFFFF"/>
        </w:rPr>
        <w:t>【</w:t>
      </w:r>
      <w:r>
        <w:rPr>
          <w:rFonts w:ascii="楷体_GB2312" w:hAnsi="楷体_GB2312" w:eastAsia="楷体_GB2312" w:cs="楷体_GB2312"/>
          <w:b/>
          <w:bCs/>
          <w:color w:val="auto"/>
          <w:sz w:val="32"/>
          <w:szCs w:val="32"/>
          <w:shd w:val="clear" w:color="auto" w:fill="FFFFFF"/>
        </w:rPr>
        <w:t>建筑业</w:t>
      </w:r>
      <w:r>
        <w:rPr>
          <w:rFonts w:ascii="Times New Roman" w:hAnsi="Times New Roman" w:eastAsia="仿宋_GB2312" w:cs="Times New Roman"/>
          <w:color w:val="auto"/>
          <w:sz w:val="32"/>
          <w:szCs w:val="32"/>
          <w:shd w:val="clear" w:color="auto" w:fill="FFFFFF"/>
        </w:rPr>
        <w:t>】</w:t>
      </w:r>
      <w:r>
        <w:rPr>
          <w:rFonts w:hint="eastAsia" w:ascii="仿宋" w:hAnsi="仿宋" w:eastAsia="仿宋" w:cs="仿宋"/>
          <w:color w:val="auto"/>
          <w:sz w:val="32"/>
          <w:szCs w:val="32"/>
          <w:lang w:val="zh-CN"/>
        </w:rPr>
        <w:t>全县</w:t>
      </w:r>
      <w:r>
        <w:rPr>
          <w:rFonts w:hint="eastAsia" w:ascii="仿宋" w:hAnsi="仿宋" w:eastAsia="仿宋" w:cs="仿宋"/>
          <w:color w:val="auto"/>
          <w:sz w:val="32"/>
          <w:szCs w:val="32"/>
        </w:rPr>
        <w:t>施工总承包和专业承包资质以上建筑企业</w:t>
      </w:r>
      <w:r>
        <w:rPr>
          <w:rFonts w:hint="eastAsia" w:ascii="仿宋" w:hAnsi="仿宋" w:eastAsia="仿宋" w:cs="仿宋"/>
          <w:color w:val="auto"/>
          <w:sz w:val="32"/>
          <w:szCs w:val="32"/>
          <w:lang w:val="en-US" w:eastAsia="zh-CN"/>
        </w:rPr>
        <w:t>11</w:t>
      </w:r>
      <w:r>
        <w:rPr>
          <w:rFonts w:hint="eastAsia" w:ascii="仿宋" w:hAnsi="仿宋" w:eastAsia="仿宋" w:cs="仿宋"/>
          <w:color w:val="auto"/>
          <w:sz w:val="32"/>
          <w:szCs w:val="32"/>
        </w:rPr>
        <w:t>户，比上年增加</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户，增长</w:t>
      </w:r>
      <w:r>
        <w:rPr>
          <w:rFonts w:hint="eastAsia" w:ascii="仿宋" w:hAnsi="仿宋" w:eastAsia="仿宋" w:cs="仿宋"/>
          <w:color w:val="auto"/>
          <w:sz w:val="32"/>
          <w:szCs w:val="32"/>
          <w:lang w:val="en-US" w:eastAsia="zh-CN"/>
        </w:rPr>
        <w:t>22.2</w:t>
      </w:r>
      <w:r>
        <w:rPr>
          <w:rFonts w:hint="eastAsia" w:ascii="仿宋" w:hAnsi="仿宋" w:eastAsia="仿宋" w:cs="仿宋"/>
          <w:color w:val="auto"/>
          <w:sz w:val="32"/>
          <w:szCs w:val="32"/>
        </w:rPr>
        <w:t>%，</w:t>
      </w:r>
      <w:r>
        <w:rPr>
          <w:rFonts w:hint="eastAsia" w:ascii="仿宋" w:hAnsi="仿宋" w:eastAsia="仿宋" w:cs="仿宋"/>
          <w:color w:val="auto"/>
          <w:sz w:val="32"/>
          <w:szCs w:val="32"/>
          <w:lang w:val="zh-CN"/>
        </w:rPr>
        <w:t>全年实现资质内建筑企业</w:t>
      </w:r>
      <w:r>
        <w:rPr>
          <w:rFonts w:hint="eastAsia" w:ascii="仿宋" w:hAnsi="仿宋" w:eastAsia="仿宋" w:cs="仿宋"/>
          <w:color w:val="auto"/>
          <w:sz w:val="32"/>
          <w:szCs w:val="32"/>
        </w:rPr>
        <w:t>总产值</w:t>
      </w:r>
      <w:r>
        <w:rPr>
          <w:rFonts w:hint="eastAsia" w:ascii="仿宋" w:hAnsi="仿宋" w:eastAsia="仿宋" w:cs="仿宋"/>
          <w:color w:val="auto"/>
          <w:sz w:val="32"/>
          <w:szCs w:val="32"/>
          <w:lang w:val="en-US" w:eastAsia="zh-CN"/>
        </w:rPr>
        <w:t>16965</w:t>
      </w:r>
      <w:r>
        <w:rPr>
          <w:rFonts w:hint="eastAsia" w:ascii="仿宋" w:hAnsi="仿宋" w:eastAsia="仿宋" w:cs="仿宋"/>
          <w:color w:val="auto"/>
          <w:sz w:val="32"/>
          <w:szCs w:val="32"/>
        </w:rPr>
        <w:t>万元，</w:t>
      </w:r>
      <w:r>
        <w:rPr>
          <w:rFonts w:hint="eastAsia" w:ascii="仿宋" w:hAnsi="仿宋" w:eastAsia="仿宋" w:cs="仿宋"/>
          <w:color w:val="auto"/>
          <w:sz w:val="32"/>
          <w:szCs w:val="32"/>
          <w:lang w:eastAsia="zh-CN"/>
        </w:rPr>
        <w:t>下降</w:t>
      </w:r>
      <w:r>
        <w:rPr>
          <w:rFonts w:hint="eastAsia" w:ascii="仿宋" w:hAnsi="仿宋" w:eastAsia="仿宋" w:cs="仿宋"/>
          <w:color w:val="auto"/>
          <w:sz w:val="32"/>
          <w:szCs w:val="32"/>
          <w:lang w:val="en-US" w:eastAsia="zh-CN"/>
        </w:rPr>
        <w:t>28.5</w:t>
      </w:r>
      <w:r>
        <w:rPr>
          <w:rFonts w:hint="eastAsia" w:ascii="仿宋" w:hAnsi="仿宋" w:eastAsia="仿宋" w:cs="仿宋"/>
          <w:color w:val="auto"/>
          <w:sz w:val="32"/>
          <w:szCs w:val="32"/>
        </w:rPr>
        <w:t>%。</w:t>
      </w:r>
      <w:r>
        <w:rPr>
          <w:rFonts w:hint="eastAsia" w:ascii="仿宋" w:hAnsi="仿宋" w:eastAsia="仿宋" w:cs="仿宋"/>
          <w:color w:val="auto"/>
          <w:sz w:val="32"/>
          <w:szCs w:val="32"/>
          <w:lang w:val="zh-CN"/>
        </w:rPr>
        <w:t>全年全社会建筑业增加值实现</w:t>
      </w:r>
    </w:p>
    <w:p>
      <w:pPr>
        <w:keepNext w:val="0"/>
        <w:keepLines w:val="0"/>
        <w:pageBreakBefore w:val="0"/>
        <w:widowControl/>
        <w:kinsoku/>
        <w:wordWrap/>
        <w:overflowPunct/>
        <w:topLinePunct w:val="0"/>
        <w:autoSpaceDE/>
        <w:autoSpaceDN/>
        <w:bidi w:val="0"/>
        <w:adjustRightInd/>
        <w:snapToGrid w:val="0"/>
        <w:spacing w:line="560" w:lineRule="exact"/>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3274</w:t>
      </w:r>
      <w:r>
        <w:rPr>
          <w:rFonts w:hint="eastAsia" w:ascii="仿宋" w:hAnsi="仿宋" w:eastAsia="仿宋" w:cs="仿宋"/>
          <w:color w:val="auto"/>
          <w:sz w:val="32"/>
          <w:szCs w:val="32"/>
        </w:rPr>
        <w:t>万元，</w:t>
      </w:r>
      <w:r>
        <w:rPr>
          <w:rFonts w:hint="eastAsia" w:ascii="仿宋" w:hAnsi="仿宋" w:eastAsia="仿宋" w:cs="仿宋"/>
          <w:color w:val="auto"/>
          <w:sz w:val="32"/>
          <w:szCs w:val="32"/>
          <w:lang w:eastAsia="zh-CN"/>
        </w:rPr>
        <w:t>下降</w:t>
      </w:r>
      <w:r>
        <w:rPr>
          <w:rFonts w:hint="eastAsia" w:ascii="仿宋" w:hAnsi="仿宋" w:eastAsia="仿宋" w:cs="仿宋"/>
          <w:color w:val="auto"/>
          <w:sz w:val="32"/>
          <w:szCs w:val="32"/>
          <w:lang w:val="en-US" w:eastAsia="zh-CN"/>
        </w:rPr>
        <w:t>0.3</w:t>
      </w:r>
      <w:r>
        <w:rPr>
          <w:rFonts w:hint="eastAsia" w:ascii="仿宋" w:hAnsi="仿宋" w:eastAsia="仿宋" w:cs="仿宋"/>
          <w:color w:val="auto"/>
          <w:sz w:val="32"/>
          <w:szCs w:val="32"/>
        </w:rPr>
        <w:t>%。占GDP的比</w:t>
      </w:r>
      <w:r>
        <w:rPr>
          <w:rFonts w:hint="eastAsia" w:ascii="仿宋" w:hAnsi="仿宋" w:eastAsia="仿宋" w:cs="仿宋"/>
          <w:color w:val="auto"/>
          <w:sz w:val="32"/>
          <w:szCs w:val="32"/>
          <w:lang w:eastAsia="zh-CN"/>
        </w:rPr>
        <w:t>重</w:t>
      </w:r>
      <w:r>
        <w:rPr>
          <w:rFonts w:hint="eastAsia" w:ascii="仿宋" w:hAnsi="仿宋" w:eastAsia="仿宋" w:cs="仿宋"/>
          <w:color w:val="auto"/>
          <w:sz w:val="32"/>
          <w:szCs w:val="32"/>
          <w:lang w:val="en-US" w:eastAsia="zh-CN"/>
        </w:rPr>
        <w:t>2.1</w:t>
      </w:r>
      <w:r>
        <w:rPr>
          <w:rFonts w:hint="eastAsia" w:ascii="仿宋" w:hAnsi="仿宋" w:eastAsia="仿宋" w:cs="仿宋"/>
          <w:color w:val="auto"/>
          <w:sz w:val="32"/>
          <w:szCs w:val="32"/>
        </w:rPr>
        <w:t>%。</w:t>
      </w:r>
    </w:p>
    <w:p>
      <w:pPr>
        <w:pStyle w:val="12"/>
        <w:ind w:left="840" w:hanging="420"/>
        <w:rPr>
          <w:color w:val="auto"/>
          <w:lang w:val="zh-CN"/>
        </w:rPr>
      </w:pPr>
    </w:p>
    <w:p>
      <w:pPr>
        <w:widowControl/>
        <w:numPr>
          <w:ilvl w:val="0"/>
          <w:numId w:val="2"/>
        </w:numPr>
        <w:adjustRightInd w:val="0"/>
        <w:snapToGrid w:val="0"/>
        <w:spacing w:line="560" w:lineRule="exact"/>
        <w:jc w:val="center"/>
        <w:rPr>
          <w:rFonts w:ascii="黑体" w:hAnsi="黑体" w:eastAsia="黑体" w:cs="黑体"/>
          <w:b/>
          <w:color w:val="auto"/>
          <w:kern w:val="0"/>
          <w:sz w:val="36"/>
          <w:szCs w:val="36"/>
          <w:lang w:val="zh-CN"/>
        </w:rPr>
      </w:pPr>
      <w:r>
        <w:rPr>
          <w:rFonts w:ascii="黑体" w:hAnsi="黑体" w:eastAsia="黑体" w:cs="黑体"/>
          <w:b/>
          <w:color w:val="auto"/>
          <w:kern w:val="0"/>
          <w:sz w:val="36"/>
          <w:szCs w:val="36"/>
          <w:lang w:val="zh-CN"/>
        </w:rPr>
        <w:t>固定资产投资</w:t>
      </w:r>
    </w:p>
    <w:p>
      <w:pPr>
        <w:pStyle w:val="12"/>
        <w:ind w:left="0" w:leftChars="0" w:firstLine="0" w:firstLineChars="0"/>
        <w:rPr>
          <w:color w:val="auto"/>
          <w:lang w:val="zh-CN"/>
        </w:rPr>
      </w:pPr>
    </w:p>
    <w:p>
      <w:pPr>
        <w:snapToGrid w:val="0"/>
        <w:spacing w:line="560" w:lineRule="exact"/>
        <w:ind w:firstLine="642"/>
        <w:rPr>
          <w:rFonts w:ascii="Times New Roman" w:hAnsi="Times New Roman" w:eastAsia="仿宋_GB2312" w:cs="Times New Roman"/>
          <w:color w:val="auto"/>
          <w:sz w:val="32"/>
          <w:szCs w:val="32"/>
        </w:rPr>
      </w:pPr>
      <w:r>
        <w:drawing>
          <wp:anchor distT="0" distB="0" distL="114300" distR="114300" simplePos="0" relativeHeight="251666432" behindDoc="0" locked="0" layoutInCell="1" allowOverlap="1">
            <wp:simplePos x="0" y="0"/>
            <wp:positionH relativeFrom="column">
              <wp:posOffset>-15875</wp:posOffset>
            </wp:positionH>
            <wp:positionV relativeFrom="paragraph">
              <wp:posOffset>2977515</wp:posOffset>
            </wp:positionV>
            <wp:extent cx="5607050" cy="2933700"/>
            <wp:effectExtent l="0" t="0" r="0" b="0"/>
            <wp:wrapTopAndBottom/>
            <wp:docPr id="1454" name="图表 19" descr="7b0a202020202263686172745265734964223a20223230343731353930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ascii="Times New Roman" w:hAnsi="Times New Roman" w:eastAsia="仿宋_GB2312" w:cs="Times New Roman"/>
          <w:color w:val="auto"/>
          <w:sz w:val="32"/>
          <w:szCs w:val="32"/>
          <w:shd w:val="clear" w:color="auto" w:fill="FFFFFF"/>
        </w:rPr>
        <w:t>【</w:t>
      </w:r>
      <w:r>
        <w:rPr>
          <w:rFonts w:ascii="楷体_GB2312" w:hAnsi="楷体_GB2312" w:eastAsia="楷体_GB2312" w:cs="楷体_GB2312"/>
          <w:b/>
          <w:bCs/>
          <w:color w:val="auto"/>
          <w:sz w:val="32"/>
          <w:szCs w:val="32"/>
          <w:shd w:val="clear" w:color="auto" w:fill="FFFFFF"/>
        </w:rPr>
        <w:t>全社会固定资产投资</w:t>
      </w:r>
      <w:r>
        <w:rPr>
          <w:rFonts w:ascii="Times New Roman" w:hAnsi="Times New Roman" w:eastAsia="仿宋_GB2312" w:cs="Times New Roman"/>
          <w:color w:val="auto"/>
          <w:sz w:val="32"/>
          <w:szCs w:val="32"/>
          <w:shd w:val="clear" w:color="auto" w:fill="FFFFFF"/>
        </w:rPr>
        <w:t>】</w:t>
      </w:r>
      <w:r>
        <w:rPr>
          <w:rFonts w:hint="eastAsia" w:ascii="仿宋" w:hAnsi="仿宋" w:eastAsia="仿宋" w:cs="仿宋"/>
          <w:color w:val="auto"/>
          <w:sz w:val="32"/>
          <w:szCs w:val="32"/>
        </w:rPr>
        <w:t>本年新开工项目</w:t>
      </w:r>
      <w:r>
        <w:rPr>
          <w:rFonts w:hint="eastAsia" w:ascii="仿宋" w:hAnsi="仿宋" w:eastAsia="仿宋" w:cs="仿宋"/>
          <w:color w:val="auto"/>
          <w:sz w:val="32"/>
          <w:szCs w:val="32"/>
          <w:lang w:val="en-US" w:eastAsia="zh-CN"/>
        </w:rPr>
        <w:t>32</w:t>
      </w:r>
      <w:r>
        <w:rPr>
          <w:rFonts w:hint="eastAsia" w:ascii="仿宋" w:hAnsi="仿宋" w:eastAsia="仿宋" w:cs="仿宋"/>
          <w:color w:val="auto"/>
          <w:sz w:val="32"/>
          <w:szCs w:val="32"/>
        </w:rPr>
        <w:t>个，新增固定资产</w:t>
      </w:r>
      <w:r>
        <w:rPr>
          <w:rFonts w:hint="eastAsia" w:ascii="仿宋" w:hAnsi="仿宋" w:eastAsia="仿宋" w:cs="仿宋"/>
          <w:color w:val="auto"/>
          <w:sz w:val="32"/>
          <w:szCs w:val="32"/>
          <w:lang w:val="en-US" w:eastAsia="zh-CN"/>
        </w:rPr>
        <w:t>16135</w:t>
      </w:r>
      <w:r>
        <w:rPr>
          <w:rFonts w:hint="eastAsia" w:ascii="仿宋" w:hAnsi="仿宋" w:eastAsia="仿宋" w:cs="仿宋"/>
          <w:color w:val="auto"/>
          <w:sz w:val="32"/>
          <w:szCs w:val="32"/>
        </w:rPr>
        <w:t>万元。全年施工项目共</w:t>
      </w:r>
      <w:r>
        <w:rPr>
          <w:rFonts w:hint="eastAsia" w:ascii="仿宋" w:hAnsi="仿宋" w:eastAsia="仿宋" w:cs="仿宋"/>
          <w:color w:val="auto"/>
          <w:sz w:val="32"/>
          <w:szCs w:val="32"/>
          <w:lang w:val="en-US" w:eastAsia="zh-CN"/>
        </w:rPr>
        <w:t>54</w:t>
      </w:r>
      <w:r>
        <w:rPr>
          <w:rFonts w:hint="eastAsia" w:ascii="仿宋" w:hAnsi="仿宋" w:eastAsia="仿宋" w:cs="仿宋"/>
          <w:color w:val="auto"/>
          <w:sz w:val="32"/>
          <w:szCs w:val="32"/>
        </w:rPr>
        <w:t>个，</w:t>
      </w:r>
      <w:r>
        <w:rPr>
          <w:rFonts w:hint="eastAsia" w:ascii="仿宋" w:hAnsi="仿宋" w:eastAsia="仿宋" w:cs="仿宋"/>
          <w:color w:val="auto"/>
          <w:sz w:val="32"/>
          <w:szCs w:val="32"/>
          <w:lang w:eastAsia="zh-CN"/>
        </w:rPr>
        <w:t>全社会</w:t>
      </w:r>
      <w:r>
        <w:rPr>
          <w:rFonts w:hint="eastAsia" w:ascii="仿宋" w:hAnsi="仿宋" w:eastAsia="仿宋" w:cs="仿宋"/>
          <w:color w:val="auto"/>
          <w:sz w:val="32"/>
          <w:szCs w:val="32"/>
        </w:rPr>
        <w:t>固定资产投资增长</w:t>
      </w:r>
      <w:r>
        <w:rPr>
          <w:rFonts w:hint="eastAsia" w:ascii="仿宋" w:hAnsi="仿宋" w:eastAsia="仿宋" w:cs="仿宋"/>
          <w:color w:val="auto"/>
          <w:sz w:val="32"/>
          <w:szCs w:val="32"/>
          <w:lang w:val="en-US" w:eastAsia="zh-CN"/>
        </w:rPr>
        <w:t>12.5</w:t>
      </w:r>
      <w:r>
        <w:rPr>
          <w:rFonts w:hint="eastAsia" w:ascii="仿宋" w:hAnsi="仿宋" w:eastAsia="仿宋" w:cs="仿宋"/>
          <w:color w:val="auto"/>
          <w:sz w:val="32"/>
          <w:szCs w:val="32"/>
        </w:rPr>
        <w:t>%。</w:t>
      </w:r>
      <w:r>
        <w:rPr>
          <w:rFonts w:hint="eastAsia" w:ascii="仿宋" w:hAnsi="仿宋" w:eastAsia="仿宋" w:cs="仿宋"/>
          <w:color w:val="auto"/>
          <w:sz w:val="32"/>
          <w:szCs w:val="32"/>
          <w:lang w:val="zh-CN" w:eastAsia="zh-CN"/>
        </w:rPr>
        <w:t>按投资结构分，</w:t>
      </w:r>
      <w:r>
        <w:rPr>
          <w:rFonts w:hint="eastAsia" w:ascii="仿宋" w:hAnsi="仿宋" w:eastAsia="仿宋" w:cs="仿宋"/>
          <w:color w:val="auto"/>
          <w:sz w:val="32"/>
          <w:szCs w:val="32"/>
          <w:lang w:val="en-US" w:eastAsia="zh-CN"/>
        </w:rPr>
        <w:t>基础</w:t>
      </w:r>
      <w:r>
        <w:rPr>
          <w:rFonts w:hint="eastAsia" w:ascii="仿宋" w:hAnsi="仿宋" w:eastAsia="仿宋" w:cs="仿宋"/>
          <w:color w:val="auto"/>
          <w:sz w:val="32"/>
          <w:szCs w:val="32"/>
          <w:lang w:eastAsia="zh-CN"/>
        </w:rPr>
        <w:t>设施投资</w:t>
      </w:r>
      <w:r>
        <w:rPr>
          <w:rFonts w:hint="eastAsia" w:ascii="仿宋" w:hAnsi="仿宋" w:eastAsia="仿宋" w:cs="仿宋"/>
          <w:color w:val="auto"/>
          <w:sz w:val="32"/>
          <w:szCs w:val="32"/>
          <w:lang w:val="en-US" w:eastAsia="zh-CN"/>
        </w:rPr>
        <w:t>下降8.2%，</w:t>
      </w:r>
      <w:r>
        <w:rPr>
          <w:rFonts w:hint="eastAsia" w:ascii="仿宋" w:hAnsi="仿宋" w:eastAsia="仿宋" w:cs="仿宋"/>
          <w:color w:val="auto"/>
          <w:sz w:val="32"/>
          <w:szCs w:val="32"/>
        </w:rPr>
        <w:t>产业投资增长</w:t>
      </w:r>
      <w:r>
        <w:rPr>
          <w:rFonts w:hint="eastAsia" w:ascii="仿宋" w:hAnsi="仿宋" w:eastAsia="仿宋" w:cs="仿宋"/>
          <w:color w:val="auto"/>
          <w:sz w:val="32"/>
          <w:szCs w:val="32"/>
          <w:lang w:val="en-US" w:eastAsia="zh-CN"/>
        </w:rPr>
        <w:t>10.4</w:t>
      </w:r>
      <w:r>
        <w:rPr>
          <w:rFonts w:hint="eastAsia" w:ascii="仿宋" w:hAnsi="仿宋" w:eastAsia="仿宋" w:cs="仿宋"/>
          <w:color w:val="auto"/>
          <w:sz w:val="32"/>
          <w:szCs w:val="32"/>
        </w:rPr>
        <w:t>%；民生及社会事业投资</w:t>
      </w:r>
      <w:r>
        <w:rPr>
          <w:rFonts w:hint="eastAsia" w:ascii="仿宋" w:hAnsi="仿宋" w:eastAsia="仿宋" w:cs="仿宋"/>
          <w:color w:val="auto"/>
          <w:sz w:val="32"/>
          <w:szCs w:val="32"/>
          <w:lang w:eastAsia="zh-CN"/>
        </w:rPr>
        <w:t>下降</w:t>
      </w:r>
      <w:r>
        <w:rPr>
          <w:rFonts w:hint="eastAsia" w:ascii="仿宋" w:hAnsi="仿宋" w:eastAsia="仿宋" w:cs="仿宋"/>
          <w:color w:val="auto"/>
          <w:sz w:val="32"/>
          <w:szCs w:val="32"/>
          <w:lang w:val="en-US" w:eastAsia="zh-CN"/>
        </w:rPr>
        <w:t>27.2</w:t>
      </w:r>
      <w:r>
        <w:rPr>
          <w:rFonts w:hint="eastAsia" w:ascii="仿宋" w:hAnsi="仿宋" w:eastAsia="仿宋" w:cs="仿宋"/>
          <w:color w:val="auto"/>
          <w:sz w:val="32"/>
          <w:szCs w:val="32"/>
        </w:rPr>
        <w:t>%；其他投资</w:t>
      </w:r>
      <w:r>
        <w:rPr>
          <w:rFonts w:hint="eastAsia" w:ascii="仿宋" w:hAnsi="仿宋" w:eastAsia="仿宋" w:cs="仿宋"/>
          <w:color w:val="auto"/>
          <w:sz w:val="32"/>
          <w:szCs w:val="32"/>
          <w:lang w:eastAsia="zh-CN"/>
        </w:rPr>
        <w:t>增长</w:t>
      </w:r>
      <w:r>
        <w:rPr>
          <w:rFonts w:hint="eastAsia" w:ascii="仿宋" w:hAnsi="仿宋" w:eastAsia="仿宋" w:cs="仿宋"/>
          <w:color w:val="auto"/>
          <w:sz w:val="32"/>
          <w:szCs w:val="32"/>
          <w:lang w:val="en-US" w:eastAsia="zh-CN"/>
        </w:rPr>
        <w:t>67.6</w:t>
      </w:r>
      <w:r>
        <w:rPr>
          <w:rFonts w:hint="eastAsia" w:ascii="仿宋" w:hAnsi="仿宋" w:eastAsia="仿宋" w:cs="仿宋"/>
          <w:color w:val="auto"/>
          <w:sz w:val="32"/>
          <w:szCs w:val="32"/>
        </w:rPr>
        <w:t>%。按产业分，第一产业</w:t>
      </w:r>
      <w:r>
        <w:rPr>
          <w:rFonts w:hint="eastAsia" w:ascii="仿宋" w:hAnsi="仿宋" w:eastAsia="仿宋" w:cs="仿宋"/>
          <w:color w:val="auto"/>
          <w:sz w:val="32"/>
          <w:szCs w:val="32"/>
          <w:lang w:eastAsia="zh-CN"/>
        </w:rPr>
        <w:t>投资</w:t>
      </w:r>
      <w:r>
        <w:rPr>
          <w:rFonts w:hint="eastAsia" w:ascii="仿宋" w:hAnsi="仿宋" w:eastAsia="仿宋" w:cs="仿宋"/>
          <w:color w:val="auto"/>
          <w:sz w:val="32"/>
          <w:szCs w:val="32"/>
        </w:rPr>
        <w:t>占全社会固定资产投资的比重</w:t>
      </w:r>
      <w:r>
        <w:rPr>
          <w:rFonts w:hint="eastAsia" w:ascii="仿宋" w:hAnsi="仿宋" w:eastAsia="仿宋" w:cs="仿宋"/>
          <w:color w:val="auto"/>
          <w:sz w:val="32"/>
          <w:szCs w:val="32"/>
          <w:lang w:val="en-US" w:eastAsia="zh-CN"/>
        </w:rPr>
        <w:t>0.3</w:t>
      </w:r>
      <w:r>
        <w:rPr>
          <w:rFonts w:hint="eastAsia" w:ascii="仿宋" w:hAnsi="仿宋" w:eastAsia="仿宋" w:cs="仿宋"/>
          <w:color w:val="auto"/>
          <w:sz w:val="32"/>
          <w:szCs w:val="32"/>
        </w:rPr>
        <w:t>%，下降</w:t>
      </w:r>
      <w:r>
        <w:rPr>
          <w:rFonts w:hint="eastAsia" w:ascii="仿宋" w:hAnsi="仿宋" w:eastAsia="仿宋" w:cs="仿宋"/>
          <w:color w:val="auto"/>
          <w:sz w:val="32"/>
          <w:szCs w:val="32"/>
          <w:lang w:val="en-US" w:eastAsia="zh-CN"/>
        </w:rPr>
        <w:t>86.7</w:t>
      </w:r>
      <w:r>
        <w:rPr>
          <w:rFonts w:hint="eastAsia" w:ascii="仿宋" w:hAnsi="仿宋" w:eastAsia="仿宋" w:cs="仿宋"/>
          <w:color w:val="auto"/>
          <w:sz w:val="32"/>
          <w:szCs w:val="32"/>
        </w:rPr>
        <w:t>%；第二产业投资占全社会固定资产投资的比重</w:t>
      </w:r>
      <w:r>
        <w:rPr>
          <w:rFonts w:hint="eastAsia" w:ascii="仿宋" w:hAnsi="仿宋" w:eastAsia="仿宋" w:cs="仿宋"/>
          <w:color w:val="auto"/>
          <w:sz w:val="32"/>
          <w:szCs w:val="32"/>
          <w:lang w:val="en-US" w:eastAsia="zh-CN"/>
        </w:rPr>
        <w:t>52.2</w:t>
      </w:r>
      <w:r>
        <w:rPr>
          <w:rFonts w:hint="eastAsia" w:ascii="仿宋" w:hAnsi="仿宋" w:eastAsia="仿宋" w:cs="仿宋"/>
          <w:color w:val="auto"/>
          <w:sz w:val="32"/>
          <w:szCs w:val="32"/>
        </w:rPr>
        <w:t>%，增长</w:t>
      </w:r>
      <w:r>
        <w:rPr>
          <w:rFonts w:hint="eastAsia" w:ascii="仿宋" w:hAnsi="仿宋" w:eastAsia="仿宋" w:cs="仿宋"/>
          <w:color w:val="auto"/>
          <w:sz w:val="32"/>
          <w:szCs w:val="32"/>
          <w:lang w:val="en-US" w:eastAsia="zh-CN"/>
        </w:rPr>
        <w:t>3.9</w:t>
      </w:r>
      <w:r>
        <w:rPr>
          <w:rFonts w:hint="eastAsia" w:ascii="仿宋" w:hAnsi="仿宋" w:eastAsia="仿宋" w:cs="仿宋"/>
          <w:color w:val="auto"/>
          <w:sz w:val="32"/>
          <w:szCs w:val="32"/>
        </w:rPr>
        <w:t>%，其中工业投资增长</w:t>
      </w:r>
      <w:r>
        <w:rPr>
          <w:rFonts w:hint="eastAsia" w:ascii="仿宋" w:hAnsi="仿宋" w:eastAsia="仿宋" w:cs="仿宋"/>
          <w:color w:val="auto"/>
          <w:sz w:val="32"/>
          <w:szCs w:val="32"/>
          <w:lang w:val="en-US" w:eastAsia="zh-CN"/>
        </w:rPr>
        <w:t>5.8</w:t>
      </w:r>
      <w:r>
        <w:rPr>
          <w:rFonts w:hint="eastAsia" w:ascii="仿宋" w:hAnsi="仿宋" w:eastAsia="仿宋" w:cs="仿宋"/>
          <w:color w:val="auto"/>
          <w:sz w:val="32"/>
          <w:szCs w:val="32"/>
        </w:rPr>
        <w:t>%；第三产业投资占全社会固定资产投资的比重</w:t>
      </w:r>
      <w:r>
        <w:rPr>
          <w:rFonts w:hint="eastAsia" w:ascii="仿宋" w:hAnsi="仿宋" w:eastAsia="仿宋" w:cs="仿宋"/>
          <w:color w:val="auto"/>
          <w:sz w:val="32"/>
          <w:szCs w:val="32"/>
          <w:lang w:val="en-US" w:eastAsia="zh-CN"/>
        </w:rPr>
        <w:t>47.5</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增长</w:t>
      </w:r>
      <w:r>
        <w:rPr>
          <w:rFonts w:hint="eastAsia" w:ascii="仿宋" w:hAnsi="仿宋" w:eastAsia="仿宋" w:cs="仿宋"/>
          <w:color w:val="auto"/>
          <w:sz w:val="32"/>
          <w:szCs w:val="32"/>
          <w:lang w:val="en-US" w:eastAsia="zh-CN"/>
        </w:rPr>
        <w:t>13.9</w:t>
      </w:r>
      <w:r>
        <w:rPr>
          <w:rFonts w:hint="eastAsia" w:ascii="仿宋" w:hAnsi="仿宋" w:eastAsia="仿宋" w:cs="仿宋"/>
          <w:color w:val="auto"/>
          <w:sz w:val="32"/>
          <w:szCs w:val="32"/>
        </w:rPr>
        <w:t>%。</w:t>
      </w:r>
    </w:p>
    <w:p>
      <w:pPr>
        <w:snapToGrid w:val="0"/>
        <w:spacing w:line="560" w:lineRule="exact"/>
        <w:rPr>
          <w:rFonts w:ascii="Times New Roman" w:hAnsi="Times New Roman" w:eastAsia="仿宋_GB2312" w:cs="Times New Roman"/>
          <w:color w:val="auto"/>
          <w:sz w:val="32"/>
          <w:szCs w:val="32"/>
        </w:rPr>
      </w:pPr>
      <w:r>
        <w:rPr>
          <w:rFonts w:ascii="Times New Roman" w:hAnsi="Times New Roman" w:eastAsia="宋体" w:cs="Times New Roman"/>
          <w:color w:val="auto"/>
          <w:szCs w:val="22"/>
        </w:rPr>
        <w:drawing>
          <wp:anchor distT="0" distB="0" distL="114300" distR="114300" simplePos="0" relativeHeight="251660288" behindDoc="0" locked="0" layoutInCell="1" allowOverlap="1">
            <wp:simplePos x="0" y="0"/>
            <wp:positionH relativeFrom="column">
              <wp:posOffset>-4445</wp:posOffset>
            </wp:positionH>
            <wp:positionV relativeFrom="paragraph">
              <wp:posOffset>11501120</wp:posOffset>
            </wp:positionV>
            <wp:extent cx="5048250" cy="3238500"/>
            <wp:effectExtent l="0" t="0" r="11430" b="7620"/>
            <wp:wrapNone/>
            <wp:docPr id="8" name="Picture 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8" name="Picture 2"/>
                    <pic:cNvPicPr>
                      <a:picLocks noChangeAspect="true" noChangeArrowheads="true"/>
                    </pic:cNvPicPr>
                  </pic:nvPicPr>
                  <pic:blipFill>
                    <a:blip r:embed="rId10"/>
                    <a:srcRect/>
                    <a:stretch>
                      <a:fillRect/>
                    </a:stretch>
                  </pic:blipFill>
                  <pic:spPr>
                    <a:xfrm>
                      <a:off x="0" y="0"/>
                      <a:ext cx="5048250" cy="3238500"/>
                    </a:xfrm>
                    <a:prstGeom prst="rect">
                      <a:avLst/>
                    </a:prstGeom>
                    <a:noFill/>
                    <a:ln w="9525">
                      <a:noFill/>
                      <a:miter lim="800000"/>
                      <a:headEnd/>
                      <a:tailEnd/>
                    </a:ln>
                  </pic:spPr>
                </pic:pic>
              </a:graphicData>
            </a:graphic>
          </wp:anchor>
        </w:drawing>
      </w:r>
      <w:r>
        <w:rPr>
          <w:rFonts w:ascii="Times New Roman" w:hAnsi="Times New Roman" w:eastAsia="宋体" w:cs="Times New Roman"/>
          <w:color w:val="auto"/>
          <w:szCs w:val="22"/>
        </w:rPr>
        <w:pict>
          <v:shape id="图表 8" o:spid="_x0000_s1026" o:spt="75" type="#_x0000_t75" style="position:absolute;left:0pt;margin-left:454.5pt;margin-top:739.1pt;height:232.5pt;width:361.5pt;z-index:251661312;mso-width-relative:page;mso-height-relative:page;" o:ole="t" filled="f" o:preferrelative="t" stroked="f" coordsize="21600,21600">
            <v:path/>
            <v:fill on="f" focussize="0,0"/>
            <v:stroke on="f" joinstyle="miter"/>
            <v:imagedata r:id="rId12" o:title=""/>
            <o:lock v:ext="edit" aspectratio="t"/>
          </v:shape>
          <o:OLEObject Type="Embed" ProgID="Excel.Sheet.8" ShapeID="图表 8" DrawAspect="Content" ObjectID="_1468075725" r:id="rId11">
            <o:LockedField>false</o:LockedField>
          </o:OLEObject>
        </w:pict>
      </w:r>
      <w:r>
        <w:rPr>
          <w:rFonts w:ascii="Times New Roman" w:hAnsi="Times New Roman" w:eastAsia="宋体" w:cs="Times New Roman"/>
          <w:color w:val="auto"/>
          <w:szCs w:val="22"/>
        </w:rPr>
        <w:pict>
          <v:shape id="图表 11" o:spid="_x0000_s1027" o:spt="75" type="#_x0000_t75" style="position:absolute;left:0pt;margin-left:31.5pt;margin-top:1171.85pt;height:217.5pt;width:361.5pt;z-index:251662336;mso-width-relative:page;mso-height-relative:page;" o:ole="t" filled="f" o:preferrelative="t" stroked="f" coordsize="21600,21600">
            <v:path/>
            <v:fill on="f" focussize="0,0"/>
            <v:stroke on="f" joinstyle="miter"/>
            <v:imagedata r:id="rId14" o:title=""/>
            <o:lock v:ext="edit" aspectratio="t"/>
          </v:shape>
          <o:OLEObject Type="Embed" ProgID="Excel.Sheet.8" ShapeID="图表 11" DrawAspect="Content" ObjectID="_1468075726" r:id="rId13">
            <o:LockedField>false</o:LockedField>
          </o:OLEObject>
        </w:pict>
      </w:r>
      <w:r>
        <w:rPr>
          <w:rFonts w:ascii="Times New Roman" w:hAnsi="Times New Roman" w:eastAsia="宋体" w:cs="Times New Roman"/>
          <w:color w:val="auto"/>
          <w:szCs w:val="22"/>
        </w:rPr>
        <w:pict>
          <v:shape id="图表 12" o:spid="_x0000_s1028" o:spt="75" type="#_x0000_t75" style="position:absolute;left:0pt;margin-left:453.05pt;margin-top:982.85pt;height:217.5pt;width:361.5pt;z-index:251663360;mso-width-relative:page;mso-height-relative:page;" o:ole="t" filled="f" o:preferrelative="t" stroked="f" coordsize="21600,21600">
            <v:path/>
            <v:fill on="f" focussize="0,0"/>
            <v:stroke on="f" joinstyle="miter"/>
            <v:imagedata r:id="rId16" o:title=""/>
            <o:lock v:ext="edit" aspectratio="t"/>
          </v:shape>
          <o:OLEObject Type="Embed" ProgID="Excel.Sheet.8" ShapeID="图表 12" DrawAspect="Content" ObjectID="_1468075727" r:id="rId15">
            <o:LockedField>false</o:LockedField>
          </o:OLEObject>
        </w:pict>
      </w:r>
    </w:p>
    <w:p>
      <w:pPr>
        <w:widowControl/>
        <w:numPr>
          <w:ilvl w:val="0"/>
          <w:numId w:val="3"/>
        </w:numPr>
        <w:adjustRightInd w:val="0"/>
        <w:snapToGrid w:val="0"/>
        <w:spacing w:line="560" w:lineRule="exact"/>
        <w:jc w:val="center"/>
        <w:rPr>
          <w:rFonts w:ascii="黑体" w:hAnsi="黑体" w:eastAsia="黑体" w:cs="黑体"/>
          <w:b/>
          <w:color w:val="auto"/>
          <w:kern w:val="0"/>
          <w:sz w:val="36"/>
          <w:szCs w:val="36"/>
          <w:lang w:val="zh-CN"/>
        </w:rPr>
      </w:pPr>
      <w:r>
        <w:rPr>
          <w:rFonts w:ascii="黑体" w:hAnsi="黑体" w:eastAsia="黑体" w:cs="黑体"/>
          <w:b/>
          <w:color w:val="auto"/>
          <w:kern w:val="0"/>
          <w:sz w:val="36"/>
          <w:szCs w:val="36"/>
          <w:lang w:val="zh-CN"/>
        </w:rPr>
        <w:t>交通运输和邮电通讯业</w:t>
      </w:r>
    </w:p>
    <w:p>
      <w:pPr>
        <w:pStyle w:val="12"/>
        <w:ind w:left="0" w:leftChars="0" w:firstLine="0" w:firstLineChars="0"/>
        <w:rPr>
          <w:color w:val="auto"/>
          <w:lang w:val="zh-CN"/>
        </w:rPr>
      </w:pPr>
    </w:p>
    <w:p>
      <w:pPr>
        <w:widowControl/>
        <w:adjustRightInd w:val="0"/>
        <w:snapToGrid w:val="0"/>
        <w:spacing w:line="560" w:lineRule="exact"/>
        <w:ind w:firstLine="642" w:firstLineChars="200"/>
        <w:jc w:val="left"/>
        <w:rPr>
          <w:rFonts w:hint="eastAsia" w:ascii="Times New Roman" w:hAnsi="Times New Roman" w:eastAsia="仿宋_GB2312" w:cs="Times New Roman"/>
          <w:color w:val="auto"/>
          <w:sz w:val="32"/>
          <w:szCs w:val="32"/>
          <w:shd w:val="clear" w:color="auto" w:fill="FFFFFF"/>
          <w:lang w:val="zh-CN"/>
        </w:rPr>
      </w:pPr>
      <w:r>
        <w:rPr>
          <w:rFonts w:ascii="Times New Roman" w:hAnsi="Times New Roman" w:eastAsia="仿宋" w:cs="Times New Roman"/>
          <w:b/>
          <w:color w:val="auto"/>
          <w:kern w:val="0"/>
          <w:sz w:val="32"/>
          <w:szCs w:val="32"/>
          <w:lang w:val="zh-CN"/>
        </w:rPr>
        <w:t>【</w:t>
      </w:r>
      <w:r>
        <w:rPr>
          <w:rFonts w:ascii="楷体_GB2312" w:hAnsi="楷体_GB2312" w:eastAsia="楷体_GB2312" w:cs="楷体_GB2312"/>
          <w:b/>
          <w:bCs/>
          <w:color w:val="auto"/>
          <w:sz w:val="32"/>
          <w:szCs w:val="32"/>
          <w:shd w:val="clear" w:color="auto" w:fill="FFFFFF"/>
          <w:lang w:val="zh-CN"/>
        </w:rPr>
        <w:t>交通运输业</w:t>
      </w:r>
      <w:r>
        <w:rPr>
          <w:rFonts w:ascii="Times New Roman" w:hAnsi="Times New Roman" w:eastAsia="仿宋" w:cs="Times New Roman"/>
          <w:b/>
          <w:color w:val="auto"/>
          <w:kern w:val="0"/>
          <w:sz w:val="32"/>
          <w:szCs w:val="32"/>
          <w:lang w:val="zh-CN"/>
        </w:rPr>
        <w:t>】</w:t>
      </w:r>
      <w:r>
        <w:rPr>
          <w:rFonts w:hint="eastAsia" w:ascii="仿宋" w:hAnsi="仿宋" w:eastAsia="仿宋" w:cs="仿宋"/>
          <w:color w:val="auto"/>
          <w:kern w:val="0"/>
          <w:sz w:val="32"/>
          <w:szCs w:val="32"/>
          <w:lang w:val="zh-CN"/>
        </w:rPr>
        <w:t>年末，行政区划面积内公路总里程达</w:t>
      </w:r>
      <w:r>
        <w:rPr>
          <w:rFonts w:hint="eastAsia" w:ascii="仿宋" w:hAnsi="仿宋" w:eastAsia="仿宋" w:cs="仿宋"/>
          <w:color w:val="auto"/>
          <w:kern w:val="0"/>
          <w:sz w:val="32"/>
          <w:szCs w:val="32"/>
          <w:lang w:val="en-US" w:eastAsia="zh-CN"/>
        </w:rPr>
        <w:t>1028</w:t>
      </w:r>
      <w:r>
        <w:rPr>
          <w:rFonts w:hint="eastAsia" w:ascii="仿宋" w:hAnsi="仿宋" w:eastAsia="仿宋" w:cs="仿宋"/>
          <w:color w:val="auto"/>
          <w:kern w:val="0"/>
          <w:sz w:val="32"/>
          <w:szCs w:val="32"/>
          <w:lang w:val="zh-CN"/>
        </w:rPr>
        <w:t>公里，其中：国道</w:t>
      </w:r>
      <w:r>
        <w:rPr>
          <w:rFonts w:hint="eastAsia" w:ascii="仿宋" w:hAnsi="仿宋" w:eastAsia="仿宋" w:cs="仿宋"/>
          <w:color w:val="auto"/>
          <w:kern w:val="0"/>
          <w:sz w:val="32"/>
          <w:szCs w:val="32"/>
          <w:lang w:val="en-US" w:eastAsia="zh-CN"/>
        </w:rPr>
        <w:t>171公里，省道113公里，县道318公里，乡道209公里，村道217公里</w:t>
      </w:r>
      <w:r>
        <w:rPr>
          <w:rFonts w:hint="eastAsia" w:ascii="仿宋" w:hAnsi="仿宋" w:eastAsia="仿宋" w:cs="仿宋"/>
          <w:color w:val="auto"/>
          <w:kern w:val="0"/>
          <w:sz w:val="32"/>
          <w:szCs w:val="32"/>
          <w:lang w:val="zh-CN"/>
        </w:rPr>
        <w:t>。</w:t>
      </w:r>
      <w:r>
        <w:rPr>
          <w:rFonts w:hint="eastAsia" w:ascii="仿宋" w:hAnsi="仿宋" w:eastAsia="仿宋" w:cs="仿宋"/>
          <w:color w:val="auto"/>
          <w:sz w:val="32"/>
          <w:szCs w:val="32"/>
          <w:shd w:val="clear" w:color="auto" w:fill="FFFFFF"/>
          <w:lang w:val="zh-CN"/>
        </w:rPr>
        <w:t>公路交通密度</w:t>
      </w:r>
      <w:r>
        <w:rPr>
          <w:rFonts w:hint="eastAsia" w:ascii="仿宋" w:hAnsi="仿宋" w:eastAsia="仿宋" w:cs="仿宋"/>
          <w:color w:val="auto"/>
          <w:sz w:val="32"/>
          <w:szCs w:val="32"/>
          <w:shd w:val="clear" w:color="auto" w:fill="FFFFFF"/>
          <w:lang w:val="en-US" w:eastAsia="zh-CN"/>
        </w:rPr>
        <w:t>15.5公里/百平方公里。</w:t>
      </w:r>
      <w:r>
        <w:rPr>
          <w:rFonts w:hint="eastAsia" w:ascii="仿宋" w:hAnsi="仿宋" w:eastAsia="仿宋" w:cs="仿宋"/>
          <w:color w:val="auto"/>
          <w:sz w:val="32"/>
          <w:szCs w:val="32"/>
          <w:shd w:val="clear" w:color="auto" w:fill="FFFFFF"/>
          <w:lang w:val="zh-CN"/>
        </w:rPr>
        <w:t>全年旅客周转量</w:t>
      </w:r>
      <w:r>
        <w:rPr>
          <w:rFonts w:hint="eastAsia" w:ascii="仿宋" w:hAnsi="仿宋" w:eastAsia="仿宋" w:cs="仿宋"/>
          <w:color w:val="auto"/>
          <w:sz w:val="32"/>
          <w:szCs w:val="32"/>
          <w:shd w:val="clear" w:color="auto" w:fill="FFFFFF"/>
          <w:lang w:val="en-US" w:eastAsia="zh-CN"/>
        </w:rPr>
        <w:t>127.28</w:t>
      </w:r>
      <w:r>
        <w:rPr>
          <w:rFonts w:hint="eastAsia" w:ascii="仿宋" w:hAnsi="仿宋" w:eastAsia="仿宋" w:cs="仿宋"/>
          <w:color w:val="auto"/>
          <w:sz w:val="32"/>
          <w:szCs w:val="32"/>
          <w:shd w:val="clear" w:color="auto" w:fill="FFFFFF"/>
          <w:lang w:val="zh-CN"/>
        </w:rPr>
        <w:t>万人公里，增长</w:t>
      </w:r>
      <w:r>
        <w:rPr>
          <w:rFonts w:hint="eastAsia" w:ascii="仿宋" w:hAnsi="仿宋" w:eastAsia="仿宋" w:cs="仿宋"/>
          <w:color w:val="auto"/>
          <w:sz w:val="32"/>
          <w:szCs w:val="32"/>
          <w:shd w:val="clear" w:color="auto" w:fill="FFFFFF"/>
          <w:lang w:val="en-US" w:eastAsia="zh-CN"/>
        </w:rPr>
        <w:t>198.1%。</w:t>
      </w:r>
      <w:r>
        <w:rPr>
          <w:rFonts w:hint="eastAsia" w:ascii="仿宋" w:hAnsi="仿宋" w:eastAsia="仿宋" w:cs="仿宋"/>
          <w:color w:val="auto"/>
          <w:sz w:val="32"/>
          <w:szCs w:val="32"/>
          <w:shd w:val="clear" w:color="auto" w:fill="FFFFFF"/>
          <w:lang w:val="zh-CN"/>
        </w:rPr>
        <w:t>货物周转量</w:t>
      </w:r>
      <w:r>
        <w:rPr>
          <w:rFonts w:hint="eastAsia" w:ascii="仿宋" w:hAnsi="仿宋" w:eastAsia="仿宋" w:cs="仿宋"/>
          <w:color w:val="auto"/>
          <w:sz w:val="32"/>
          <w:szCs w:val="32"/>
          <w:shd w:val="clear" w:color="auto" w:fill="FFFFFF"/>
          <w:lang w:val="en-US" w:eastAsia="zh-CN"/>
        </w:rPr>
        <w:t>2153.39</w:t>
      </w:r>
      <w:r>
        <w:rPr>
          <w:rFonts w:hint="eastAsia" w:ascii="仿宋" w:hAnsi="仿宋" w:eastAsia="仿宋" w:cs="仿宋"/>
          <w:color w:val="auto"/>
          <w:sz w:val="32"/>
          <w:szCs w:val="32"/>
          <w:shd w:val="clear" w:color="auto" w:fill="FFFFFF"/>
          <w:lang w:val="zh-CN"/>
        </w:rPr>
        <w:t>万吨公里，增长</w:t>
      </w:r>
      <w:r>
        <w:rPr>
          <w:rFonts w:hint="eastAsia" w:ascii="仿宋" w:hAnsi="仿宋" w:eastAsia="仿宋" w:cs="仿宋"/>
          <w:color w:val="auto"/>
          <w:sz w:val="32"/>
          <w:szCs w:val="32"/>
          <w:shd w:val="clear" w:color="auto" w:fill="FFFFFF"/>
          <w:lang w:val="en-US" w:eastAsia="zh-CN"/>
        </w:rPr>
        <w:t>6.1%</w:t>
      </w:r>
      <w:r>
        <w:rPr>
          <w:rFonts w:hint="eastAsia" w:ascii="仿宋" w:hAnsi="仿宋" w:eastAsia="仿宋" w:cs="仿宋"/>
          <w:color w:val="auto"/>
          <w:sz w:val="32"/>
          <w:szCs w:val="32"/>
          <w:shd w:val="clear" w:color="auto" w:fill="FFFFFF"/>
          <w:lang w:val="zh-CN"/>
        </w:rPr>
        <w:t>。</w:t>
      </w:r>
    </w:p>
    <w:p>
      <w:pPr>
        <w:widowControl/>
        <w:adjustRightInd w:val="0"/>
        <w:snapToGrid w:val="0"/>
        <w:spacing w:line="560" w:lineRule="exact"/>
        <w:ind w:firstLine="642" w:firstLineChars="200"/>
        <w:jc w:val="left"/>
        <w:rPr>
          <w:rFonts w:hint="eastAsia" w:ascii="仿宋" w:hAnsi="仿宋" w:eastAsia="仿宋" w:cs="仿宋"/>
          <w:color w:val="auto"/>
          <w:sz w:val="32"/>
          <w:szCs w:val="32"/>
          <w:shd w:val="clear" w:color="auto" w:fill="FFFFFF"/>
          <w:lang w:val="zh-CN"/>
        </w:rPr>
      </w:pPr>
      <w:r>
        <w:rPr>
          <w:rFonts w:ascii="Times New Roman" w:hAnsi="Times New Roman" w:eastAsia="仿宋" w:cs="Times New Roman"/>
          <w:b/>
          <w:color w:val="auto"/>
          <w:kern w:val="0"/>
          <w:sz w:val="32"/>
          <w:szCs w:val="32"/>
          <w:lang w:val="zh-CN"/>
        </w:rPr>
        <w:t>【</w:t>
      </w:r>
      <w:r>
        <w:rPr>
          <w:rFonts w:ascii="楷体_GB2312" w:hAnsi="楷体_GB2312" w:eastAsia="楷体_GB2312" w:cs="楷体_GB2312"/>
          <w:b/>
          <w:bCs/>
          <w:color w:val="auto"/>
          <w:sz w:val="32"/>
          <w:szCs w:val="32"/>
          <w:shd w:val="clear" w:color="auto" w:fill="FFFFFF"/>
          <w:lang w:val="zh-CN"/>
        </w:rPr>
        <w:t>邮电通信业</w:t>
      </w:r>
      <w:r>
        <w:rPr>
          <w:rFonts w:ascii="Times New Roman" w:hAnsi="Times New Roman" w:eastAsia="仿宋" w:cs="Times New Roman"/>
          <w:b/>
          <w:color w:val="auto"/>
          <w:kern w:val="0"/>
          <w:sz w:val="32"/>
          <w:szCs w:val="32"/>
          <w:lang w:val="zh-CN"/>
        </w:rPr>
        <w:t>】</w:t>
      </w:r>
      <w:r>
        <w:rPr>
          <w:rFonts w:hint="eastAsia" w:ascii="仿宋" w:hAnsi="仿宋" w:eastAsia="仿宋" w:cs="仿宋"/>
          <w:color w:val="auto"/>
          <w:kern w:val="0"/>
          <w:sz w:val="32"/>
          <w:szCs w:val="32"/>
          <w:lang w:val="zh-CN"/>
        </w:rPr>
        <w:t>年</w:t>
      </w:r>
      <w:r>
        <w:rPr>
          <w:rFonts w:hint="eastAsia" w:ascii="仿宋" w:hAnsi="仿宋" w:eastAsia="仿宋" w:cs="仿宋"/>
          <w:color w:val="auto"/>
          <w:sz w:val="32"/>
          <w:szCs w:val="32"/>
          <w:shd w:val="clear" w:color="auto" w:fill="FFFFFF"/>
          <w:lang w:val="zh-CN"/>
        </w:rPr>
        <w:t>末邮政、电信业务收入</w:t>
      </w:r>
      <w:r>
        <w:rPr>
          <w:rFonts w:hint="eastAsia" w:ascii="仿宋" w:hAnsi="仿宋" w:eastAsia="仿宋" w:cs="仿宋"/>
          <w:color w:val="auto"/>
          <w:sz w:val="32"/>
          <w:szCs w:val="32"/>
          <w:shd w:val="clear" w:color="auto" w:fill="FFFFFF"/>
          <w:lang w:val="en-US" w:eastAsia="zh-CN"/>
        </w:rPr>
        <w:t>4933</w:t>
      </w:r>
      <w:r>
        <w:rPr>
          <w:rFonts w:hint="eastAsia" w:ascii="仿宋" w:hAnsi="仿宋" w:eastAsia="仿宋" w:cs="仿宋"/>
          <w:color w:val="auto"/>
          <w:sz w:val="32"/>
          <w:szCs w:val="32"/>
          <w:shd w:val="clear" w:color="auto" w:fill="FFFFFF"/>
          <w:lang w:val="zh-CN"/>
        </w:rPr>
        <w:t>万元，增长</w:t>
      </w:r>
      <w:r>
        <w:rPr>
          <w:rFonts w:hint="eastAsia" w:ascii="仿宋" w:hAnsi="仿宋" w:eastAsia="仿宋" w:cs="仿宋"/>
          <w:color w:val="auto"/>
          <w:sz w:val="32"/>
          <w:szCs w:val="32"/>
          <w:shd w:val="clear" w:color="auto" w:fill="FFFFFF"/>
          <w:lang w:val="en-US" w:eastAsia="zh-CN"/>
        </w:rPr>
        <w:t>9.6</w:t>
      </w:r>
      <w:r>
        <w:rPr>
          <w:rFonts w:hint="eastAsia" w:ascii="仿宋" w:hAnsi="仿宋" w:eastAsia="仿宋" w:cs="仿宋"/>
          <w:color w:val="auto"/>
          <w:sz w:val="32"/>
          <w:szCs w:val="32"/>
          <w:shd w:val="clear" w:color="auto" w:fill="FFFFFF"/>
          <w:lang w:val="zh-CN"/>
        </w:rPr>
        <w:t>%。固定电话机用户达</w:t>
      </w:r>
      <w:r>
        <w:rPr>
          <w:rFonts w:hint="eastAsia" w:ascii="仿宋" w:hAnsi="仿宋" w:eastAsia="仿宋" w:cs="仿宋"/>
          <w:color w:val="auto"/>
          <w:sz w:val="32"/>
          <w:szCs w:val="32"/>
          <w:shd w:val="clear" w:color="auto" w:fill="FFFFFF"/>
          <w:lang w:val="en-US" w:eastAsia="zh-CN"/>
        </w:rPr>
        <w:t>5409</w:t>
      </w:r>
      <w:r>
        <w:rPr>
          <w:rFonts w:hint="eastAsia" w:ascii="仿宋" w:hAnsi="仿宋" w:eastAsia="仿宋" w:cs="仿宋"/>
          <w:color w:val="auto"/>
          <w:sz w:val="32"/>
          <w:szCs w:val="32"/>
          <w:shd w:val="clear" w:color="auto" w:fill="FFFFFF"/>
          <w:lang w:val="zh-CN"/>
        </w:rPr>
        <w:t>户，下降</w:t>
      </w:r>
      <w:r>
        <w:rPr>
          <w:rFonts w:hint="eastAsia" w:ascii="仿宋" w:hAnsi="仿宋" w:eastAsia="仿宋" w:cs="仿宋"/>
          <w:color w:val="auto"/>
          <w:sz w:val="32"/>
          <w:szCs w:val="32"/>
          <w:shd w:val="clear" w:color="auto" w:fill="FFFFFF"/>
          <w:lang w:val="en-US" w:eastAsia="zh-CN"/>
        </w:rPr>
        <w:t>5.5</w:t>
      </w:r>
      <w:r>
        <w:rPr>
          <w:rFonts w:hint="eastAsia" w:ascii="仿宋" w:hAnsi="仿宋" w:eastAsia="仿宋" w:cs="仿宋"/>
          <w:color w:val="auto"/>
          <w:sz w:val="32"/>
          <w:szCs w:val="32"/>
          <w:shd w:val="clear" w:color="auto" w:fill="FFFFFF"/>
          <w:lang w:val="zh-CN"/>
        </w:rPr>
        <w:t>%，固定电话普及率</w:t>
      </w:r>
      <w:r>
        <w:rPr>
          <w:rFonts w:hint="eastAsia" w:ascii="仿宋" w:hAnsi="仿宋" w:eastAsia="仿宋" w:cs="仿宋"/>
          <w:color w:val="auto"/>
          <w:sz w:val="32"/>
          <w:szCs w:val="32"/>
          <w:shd w:val="clear" w:color="auto" w:fill="FFFFFF"/>
          <w:lang w:val="en-US" w:eastAsia="zh-CN"/>
        </w:rPr>
        <w:t>11</w:t>
      </w:r>
      <w:r>
        <w:rPr>
          <w:rFonts w:hint="eastAsia" w:ascii="仿宋" w:hAnsi="仿宋" w:eastAsia="仿宋" w:cs="仿宋"/>
          <w:color w:val="auto"/>
          <w:sz w:val="32"/>
          <w:szCs w:val="32"/>
          <w:shd w:val="clear" w:color="auto" w:fill="FFFFFF"/>
          <w:lang w:val="zh-CN"/>
        </w:rPr>
        <w:t>部/百人。移动电话用户达</w:t>
      </w:r>
      <w:r>
        <w:rPr>
          <w:rFonts w:hint="eastAsia" w:ascii="仿宋" w:hAnsi="仿宋" w:eastAsia="仿宋" w:cs="仿宋"/>
          <w:color w:val="auto"/>
          <w:sz w:val="32"/>
          <w:szCs w:val="32"/>
          <w:shd w:val="clear" w:color="auto" w:fill="FFFFFF"/>
          <w:lang w:val="en-US" w:eastAsia="zh-CN"/>
        </w:rPr>
        <w:t>36675</w:t>
      </w:r>
      <w:r>
        <w:rPr>
          <w:rFonts w:hint="eastAsia" w:ascii="仿宋" w:hAnsi="仿宋" w:eastAsia="仿宋" w:cs="仿宋"/>
          <w:color w:val="auto"/>
          <w:sz w:val="32"/>
          <w:szCs w:val="32"/>
          <w:shd w:val="clear" w:color="auto" w:fill="FFFFFF"/>
          <w:lang w:val="zh-CN"/>
        </w:rPr>
        <w:t>户，同比下降</w:t>
      </w:r>
      <w:r>
        <w:rPr>
          <w:rFonts w:hint="eastAsia" w:ascii="仿宋" w:hAnsi="仿宋" w:eastAsia="仿宋" w:cs="仿宋"/>
          <w:color w:val="auto"/>
          <w:sz w:val="32"/>
          <w:szCs w:val="32"/>
          <w:shd w:val="clear" w:color="auto" w:fill="FFFFFF"/>
          <w:lang w:val="en-US" w:eastAsia="zh-CN"/>
        </w:rPr>
        <w:t>4.5</w:t>
      </w:r>
      <w:r>
        <w:rPr>
          <w:rFonts w:hint="eastAsia" w:ascii="仿宋" w:hAnsi="仿宋" w:eastAsia="仿宋" w:cs="仿宋"/>
          <w:color w:val="auto"/>
          <w:sz w:val="32"/>
          <w:szCs w:val="32"/>
          <w:shd w:val="clear" w:color="auto" w:fill="FFFFFF"/>
          <w:lang w:val="zh-CN"/>
        </w:rPr>
        <w:t>%，移动电话普及率</w:t>
      </w:r>
      <w:r>
        <w:rPr>
          <w:rFonts w:hint="eastAsia" w:ascii="仿宋" w:hAnsi="仿宋" w:eastAsia="仿宋" w:cs="仿宋"/>
          <w:color w:val="auto"/>
          <w:sz w:val="32"/>
          <w:szCs w:val="32"/>
          <w:shd w:val="clear" w:color="auto" w:fill="FFFFFF"/>
          <w:lang w:val="en-US" w:eastAsia="zh-CN"/>
        </w:rPr>
        <w:t>74</w:t>
      </w:r>
      <w:r>
        <w:rPr>
          <w:rFonts w:hint="eastAsia" w:ascii="仿宋" w:hAnsi="仿宋" w:eastAsia="仿宋" w:cs="仿宋"/>
          <w:color w:val="auto"/>
          <w:sz w:val="32"/>
          <w:szCs w:val="32"/>
          <w:shd w:val="clear" w:color="auto" w:fill="FFFFFF"/>
          <w:lang w:val="zh-CN"/>
        </w:rPr>
        <w:t>部/百人。国际互联网用户</w:t>
      </w:r>
      <w:r>
        <w:rPr>
          <w:rFonts w:hint="eastAsia" w:ascii="仿宋" w:hAnsi="仿宋" w:eastAsia="仿宋" w:cs="仿宋"/>
          <w:color w:val="auto"/>
          <w:sz w:val="32"/>
          <w:szCs w:val="32"/>
          <w:shd w:val="clear" w:color="auto" w:fill="FFFFFF"/>
          <w:lang w:val="en-US" w:eastAsia="zh-CN"/>
        </w:rPr>
        <w:t>13464</w:t>
      </w:r>
      <w:r>
        <w:rPr>
          <w:rFonts w:hint="eastAsia" w:ascii="仿宋" w:hAnsi="仿宋" w:eastAsia="仿宋" w:cs="仿宋"/>
          <w:color w:val="auto"/>
          <w:sz w:val="32"/>
          <w:szCs w:val="32"/>
          <w:shd w:val="clear" w:color="auto" w:fill="FFFFFF"/>
          <w:lang w:val="zh-CN"/>
        </w:rPr>
        <w:t>户，同比增长</w:t>
      </w:r>
      <w:r>
        <w:rPr>
          <w:rFonts w:hint="eastAsia" w:ascii="仿宋" w:hAnsi="仿宋" w:eastAsia="仿宋" w:cs="仿宋"/>
          <w:color w:val="auto"/>
          <w:sz w:val="32"/>
          <w:szCs w:val="32"/>
          <w:shd w:val="clear" w:color="auto" w:fill="FFFFFF"/>
          <w:lang w:val="en-US" w:eastAsia="zh-CN"/>
        </w:rPr>
        <w:t>0.4</w:t>
      </w:r>
      <w:r>
        <w:rPr>
          <w:rFonts w:hint="eastAsia" w:ascii="仿宋" w:hAnsi="仿宋" w:eastAsia="仿宋" w:cs="仿宋"/>
          <w:color w:val="auto"/>
          <w:sz w:val="32"/>
          <w:szCs w:val="32"/>
          <w:shd w:val="clear" w:color="auto" w:fill="FFFFFF"/>
          <w:lang w:val="zh-CN"/>
        </w:rPr>
        <w:t>%。</w:t>
      </w:r>
    </w:p>
    <w:p>
      <w:pPr>
        <w:widowControl/>
        <w:adjustRightInd w:val="0"/>
        <w:snapToGrid w:val="0"/>
        <w:spacing w:line="560" w:lineRule="exact"/>
        <w:ind w:firstLine="640" w:firstLineChars="200"/>
        <w:jc w:val="left"/>
        <w:rPr>
          <w:rFonts w:ascii="Times New Roman" w:hAnsi="Times New Roman" w:eastAsia="仿宋_GB2312" w:cs="Times New Roman"/>
          <w:color w:val="auto"/>
          <w:kern w:val="0"/>
          <w:sz w:val="32"/>
          <w:szCs w:val="32"/>
          <w:lang w:val="zh-CN"/>
        </w:rPr>
      </w:pPr>
    </w:p>
    <w:p>
      <w:pPr>
        <w:widowControl/>
        <w:numPr>
          <w:ilvl w:val="0"/>
          <w:numId w:val="4"/>
        </w:numPr>
        <w:adjustRightInd w:val="0"/>
        <w:snapToGrid w:val="0"/>
        <w:spacing w:line="560" w:lineRule="exact"/>
        <w:jc w:val="center"/>
        <w:rPr>
          <w:rFonts w:ascii="黑体" w:hAnsi="黑体" w:eastAsia="黑体" w:cs="黑体"/>
          <w:b/>
          <w:color w:val="auto"/>
          <w:kern w:val="0"/>
          <w:sz w:val="36"/>
          <w:szCs w:val="36"/>
          <w:lang w:val="zh-CN"/>
        </w:rPr>
      </w:pPr>
      <w:r>
        <w:rPr>
          <w:rFonts w:ascii="黑体" w:hAnsi="黑体" w:eastAsia="黑体" w:cs="黑体"/>
          <w:b/>
          <w:color w:val="auto"/>
          <w:kern w:val="0"/>
          <w:sz w:val="36"/>
          <w:szCs w:val="36"/>
          <w:lang w:val="zh-CN"/>
        </w:rPr>
        <w:t>国内贸易业</w:t>
      </w:r>
    </w:p>
    <w:p>
      <w:pPr>
        <w:pStyle w:val="12"/>
        <w:ind w:left="0" w:leftChars="0" w:firstLine="0" w:firstLineChars="0"/>
        <w:rPr>
          <w:color w:val="auto"/>
          <w:lang w:val="zh-CN"/>
        </w:rPr>
      </w:pPr>
    </w:p>
    <w:p>
      <w:pPr>
        <w:widowControl/>
        <w:adjustRightInd w:val="0"/>
        <w:snapToGrid w:val="0"/>
        <w:spacing w:line="560" w:lineRule="exact"/>
        <w:ind w:firstLine="640" w:firstLineChars="200"/>
        <w:rPr>
          <w:rFonts w:hint="eastAsia" w:ascii="仿宋" w:hAnsi="仿宋" w:eastAsia="仿宋" w:cs="仿宋"/>
          <w:b w:val="0"/>
          <w:bCs/>
          <w:color w:val="auto"/>
          <w:kern w:val="0"/>
          <w:sz w:val="32"/>
          <w:szCs w:val="32"/>
          <w:lang w:val="zh-CN"/>
        </w:rPr>
      </w:pPr>
      <w:r>
        <w:rPr>
          <w:rFonts w:ascii="Times New Roman" w:hAnsi="Times New Roman" w:eastAsia="仿宋_GB2312" w:cs="Times New Roman"/>
          <w:color w:val="auto"/>
          <w:sz w:val="32"/>
          <w:szCs w:val="32"/>
          <w:shd w:val="clear" w:color="auto" w:fill="FFFFFF"/>
        </w:rPr>
        <w:t>【</w:t>
      </w:r>
      <w:r>
        <w:rPr>
          <w:rFonts w:ascii="楷体_GB2312" w:hAnsi="楷体_GB2312" w:eastAsia="楷体_GB2312" w:cs="楷体_GB2312"/>
          <w:b/>
          <w:bCs/>
          <w:color w:val="auto"/>
          <w:sz w:val="32"/>
          <w:szCs w:val="32"/>
          <w:shd w:val="clear" w:color="auto" w:fill="FFFFFF"/>
        </w:rPr>
        <w:t>消费品市场</w:t>
      </w:r>
      <w:r>
        <w:rPr>
          <w:rFonts w:ascii="Times New Roman" w:hAnsi="Times New Roman" w:eastAsia="仿宋" w:cs="Times New Roman"/>
          <w:b/>
          <w:color w:val="auto"/>
          <w:kern w:val="0"/>
          <w:sz w:val="32"/>
          <w:szCs w:val="32"/>
          <w:lang w:val="zh-CN"/>
        </w:rPr>
        <w:t>】</w:t>
      </w:r>
      <w:r>
        <w:rPr>
          <w:rFonts w:hint="eastAsia" w:ascii="Times New Roman" w:hAnsi="Times New Roman" w:eastAsia="仿宋" w:cs="Times New Roman"/>
          <w:b/>
          <w:color w:val="auto"/>
          <w:kern w:val="0"/>
          <w:sz w:val="32"/>
          <w:szCs w:val="32"/>
          <w:lang w:val="zh-CN"/>
        </w:rPr>
        <w:t xml:space="preserve">  </w:t>
      </w:r>
      <w:r>
        <w:rPr>
          <w:rFonts w:hint="eastAsia" w:ascii="仿宋" w:hAnsi="仿宋" w:eastAsia="仿宋" w:cs="仿宋"/>
          <w:b w:val="0"/>
          <w:bCs/>
          <w:color w:val="auto"/>
          <w:kern w:val="0"/>
          <w:sz w:val="32"/>
          <w:szCs w:val="32"/>
          <w:lang w:val="zh-CN"/>
        </w:rPr>
        <w:t>全县统计入库社会消费品零售总额限额以上单位</w:t>
      </w:r>
      <w:r>
        <w:rPr>
          <w:rFonts w:hint="eastAsia" w:ascii="仿宋" w:hAnsi="仿宋" w:eastAsia="仿宋" w:cs="仿宋"/>
          <w:b w:val="0"/>
          <w:bCs/>
          <w:color w:val="auto"/>
          <w:kern w:val="0"/>
          <w:sz w:val="32"/>
          <w:szCs w:val="32"/>
          <w:lang w:val="en-US" w:eastAsia="zh-CN"/>
        </w:rPr>
        <w:t>6</w:t>
      </w:r>
      <w:r>
        <w:rPr>
          <w:rFonts w:hint="eastAsia" w:ascii="仿宋" w:hAnsi="仿宋" w:eastAsia="仿宋" w:cs="仿宋"/>
          <w:b w:val="0"/>
          <w:bCs/>
          <w:color w:val="auto"/>
          <w:kern w:val="0"/>
          <w:sz w:val="32"/>
          <w:szCs w:val="32"/>
          <w:lang w:val="zh-CN"/>
        </w:rPr>
        <w:t>家。其中，企业</w:t>
      </w:r>
      <w:r>
        <w:rPr>
          <w:rFonts w:hint="eastAsia" w:ascii="仿宋" w:hAnsi="仿宋" w:eastAsia="仿宋" w:cs="仿宋"/>
          <w:b w:val="0"/>
          <w:bCs/>
          <w:color w:val="auto"/>
          <w:kern w:val="0"/>
          <w:sz w:val="32"/>
          <w:szCs w:val="32"/>
          <w:lang w:val="en-US" w:eastAsia="zh-CN"/>
        </w:rPr>
        <w:t>5</w:t>
      </w:r>
      <w:r>
        <w:rPr>
          <w:rFonts w:hint="eastAsia" w:ascii="仿宋" w:hAnsi="仿宋" w:eastAsia="仿宋" w:cs="仿宋"/>
          <w:b w:val="0"/>
          <w:bCs/>
          <w:color w:val="auto"/>
          <w:kern w:val="0"/>
          <w:sz w:val="32"/>
          <w:szCs w:val="32"/>
          <w:lang w:val="zh-CN"/>
        </w:rPr>
        <w:t>家，个体户</w:t>
      </w:r>
      <w:r>
        <w:rPr>
          <w:rFonts w:hint="eastAsia" w:ascii="仿宋" w:hAnsi="仿宋" w:eastAsia="仿宋" w:cs="仿宋"/>
          <w:b w:val="0"/>
          <w:bCs/>
          <w:color w:val="auto"/>
          <w:kern w:val="0"/>
          <w:sz w:val="32"/>
          <w:szCs w:val="32"/>
          <w:lang w:val="en-US" w:eastAsia="zh-CN"/>
        </w:rPr>
        <w:t>1</w:t>
      </w:r>
      <w:r>
        <w:rPr>
          <w:rFonts w:hint="eastAsia" w:ascii="仿宋" w:hAnsi="仿宋" w:eastAsia="仿宋" w:cs="仿宋"/>
          <w:b w:val="0"/>
          <w:bCs/>
          <w:color w:val="auto"/>
          <w:kern w:val="0"/>
          <w:sz w:val="32"/>
          <w:szCs w:val="32"/>
          <w:lang w:val="zh-CN"/>
        </w:rPr>
        <w:t>家。零售业单位</w:t>
      </w:r>
      <w:r>
        <w:rPr>
          <w:rFonts w:hint="eastAsia" w:ascii="仿宋" w:hAnsi="仿宋" w:eastAsia="仿宋" w:cs="仿宋"/>
          <w:b w:val="0"/>
          <w:bCs/>
          <w:color w:val="auto"/>
          <w:kern w:val="0"/>
          <w:sz w:val="32"/>
          <w:szCs w:val="32"/>
          <w:lang w:val="en-US" w:eastAsia="zh-CN"/>
        </w:rPr>
        <w:t>2</w:t>
      </w:r>
      <w:r>
        <w:rPr>
          <w:rFonts w:hint="eastAsia" w:ascii="仿宋" w:hAnsi="仿宋" w:eastAsia="仿宋" w:cs="仿宋"/>
          <w:b w:val="0"/>
          <w:bCs/>
          <w:color w:val="auto"/>
          <w:kern w:val="0"/>
          <w:sz w:val="32"/>
          <w:szCs w:val="32"/>
          <w:lang w:val="zh-CN"/>
        </w:rPr>
        <w:t>家，住宿和餐饮业单位</w:t>
      </w:r>
      <w:r>
        <w:rPr>
          <w:rFonts w:hint="eastAsia" w:ascii="仿宋" w:hAnsi="仿宋" w:eastAsia="仿宋" w:cs="仿宋"/>
          <w:b w:val="0"/>
          <w:bCs/>
          <w:color w:val="auto"/>
          <w:kern w:val="0"/>
          <w:sz w:val="32"/>
          <w:szCs w:val="32"/>
          <w:lang w:val="en-US" w:eastAsia="zh-CN"/>
        </w:rPr>
        <w:t>4</w:t>
      </w:r>
      <w:r>
        <w:rPr>
          <w:rFonts w:hint="eastAsia" w:ascii="仿宋" w:hAnsi="仿宋" w:eastAsia="仿宋" w:cs="仿宋"/>
          <w:b w:val="0"/>
          <w:bCs/>
          <w:color w:val="auto"/>
          <w:kern w:val="0"/>
          <w:sz w:val="32"/>
          <w:szCs w:val="32"/>
          <w:lang w:val="zh-CN"/>
        </w:rPr>
        <w:t>家。</w:t>
      </w:r>
    </w:p>
    <w:p>
      <w:pPr>
        <w:widowControl/>
        <w:adjustRightInd w:val="0"/>
        <w:snapToGrid w:val="0"/>
        <w:spacing w:line="56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全年实现社会消费品零售总额</w:t>
      </w:r>
      <w:r>
        <w:rPr>
          <w:rFonts w:hint="eastAsia" w:ascii="仿宋" w:hAnsi="仿宋" w:eastAsia="仿宋" w:cs="仿宋"/>
          <w:color w:val="auto"/>
          <w:sz w:val="32"/>
          <w:szCs w:val="32"/>
          <w:lang w:val="en-US" w:eastAsia="zh-CN"/>
        </w:rPr>
        <w:t>38968</w:t>
      </w:r>
      <w:r>
        <w:rPr>
          <w:rFonts w:hint="eastAsia" w:ascii="仿宋" w:hAnsi="仿宋" w:eastAsia="仿宋" w:cs="仿宋"/>
          <w:color w:val="auto"/>
          <w:sz w:val="32"/>
          <w:szCs w:val="32"/>
        </w:rPr>
        <w:t>万元，</w:t>
      </w:r>
      <w:r>
        <w:rPr>
          <w:rFonts w:hint="eastAsia" w:ascii="仿宋" w:hAnsi="仿宋" w:eastAsia="仿宋" w:cs="仿宋"/>
          <w:color w:val="auto"/>
          <w:sz w:val="32"/>
          <w:szCs w:val="32"/>
          <w:lang w:eastAsia="zh-CN"/>
        </w:rPr>
        <w:t>增长</w:t>
      </w:r>
      <w:r>
        <w:rPr>
          <w:rFonts w:hint="eastAsia" w:ascii="仿宋" w:hAnsi="仿宋" w:eastAsia="仿宋" w:cs="仿宋"/>
          <w:color w:val="auto"/>
          <w:sz w:val="32"/>
          <w:szCs w:val="32"/>
          <w:lang w:val="en-US" w:eastAsia="zh-CN"/>
        </w:rPr>
        <w:t>10.4</w:t>
      </w:r>
      <w:r>
        <w:rPr>
          <w:rFonts w:hint="eastAsia" w:ascii="仿宋" w:hAnsi="仿宋" w:eastAsia="仿宋" w:cs="仿宋"/>
          <w:color w:val="auto"/>
          <w:sz w:val="32"/>
          <w:szCs w:val="32"/>
        </w:rPr>
        <w:t>%。按销售单位所在地分：城镇消费品零售额</w:t>
      </w:r>
      <w:r>
        <w:rPr>
          <w:rFonts w:hint="eastAsia" w:ascii="仿宋" w:hAnsi="仿宋" w:eastAsia="仿宋" w:cs="仿宋"/>
          <w:color w:val="auto"/>
          <w:sz w:val="32"/>
          <w:szCs w:val="32"/>
          <w:lang w:val="en-US" w:eastAsia="zh-CN"/>
        </w:rPr>
        <w:t>30284</w:t>
      </w:r>
      <w:r>
        <w:rPr>
          <w:rFonts w:hint="eastAsia" w:ascii="仿宋" w:hAnsi="仿宋" w:eastAsia="仿宋" w:cs="仿宋"/>
          <w:color w:val="auto"/>
          <w:sz w:val="32"/>
          <w:szCs w:val="32"/>
        </w:rPr>
        <w:t>万元，</w:t>
      </w:r>
      <w:r>
        <w:rPr>
          <w:rFonts w:hint="eastAsia" w:ascii="仿宋" w:hAnsi="仿宋" w:eastAsia="仿宋" w:cs="仿宋"/>
          <w:color w:val="auto"/>
          <w:sz w:val="32"/>
          <w:szCs w:val="32"/>
          <w:lang w:eastAsia="zh-CN"/>
        </w:rPr>
        <w:t>增长</w:t>
      </w:r>
      <w:r>
        <w:rPr>
          <w:rFonts w:hint="eastAsia" w:ascii="仿宋" w:hAnsi="仿宋" w:eastAsia="仿宋" w:cs="仿宋"/>
          <w:color w:val="auto"/>
          <w:sz w:val="32"/>
          <w:szCs w:val="32"/>
          <w:lang w:val="en-US" w:eastAsia="zh-CN"/>
        </w:rPr>
        <w:t>10.4</w:t>
      </w:r>
      <w:r>
        <w:rPr>
          <w:rFonts w:hint="eastAsia" w:ascii="仿宋" w:hAnsi="仿宋" w:eastAsia="仿宋" w:cs="仿宋"/>
          <w:color w:val="auto"/>
          <w:sz w:val="32"/>
          <w:szCs w:val="32"/>
        </w:rPr>
        <w:t>%。乡村消费品零售额</w:t>
      </w:r>
      <w:r>
        <w:rPr>
          <w:rFonts w:hint="eastAsia" w:ascii="仿宋" w:hAnsi="仿宋" w:eastAsia="仿宋" w:cs="仿宋"/>
          <w:color w:val="auto"/>
          <w:sz w:val="32"/>
          <w:szCs w:val="32"/>
          <w:lang w:val="en-US" w:eastAsia="zh-CN"/>
        </w:rPr>
        <w:t>8684</w:t>
      </w:r>
      <w:r>
        <w:rPr>
          <w:rFonts w:hint="eastAsia" w:ascii="仿宋" w:hAnsi="仿宋" w:eastAsia="仿宋" w:cs="仿宋"/>
          <w:color w:val="auto"/>
          <w:sz w:val="32"/>
          <w:szCs w:val="32"/>
        </w:rPr>
        <w:t>万元，</w:t>
      </w:r>
      <w:r>
        <w:rPr>
          <w:rFonts w:hint="eastAsia" w:ascii="仿宋" w:hAnsi="仿宋" w:eastAsia="仿宋" w:cs="仿宋"/>
          <w:color w:val="auto"/>
          <w:sz w:val="32"/>
          <w:szCs w:val="32"/>
          <w:lang w:eastAsia="zh-CN"/>
        </w:rPr>
        <w:t>增长</w:t>
      </w:r>
      <w:r>
        <w:rPr>
          <w:rFonts w:hint="eastAsia" w:ascii="仿宋" w:hAnsi="仿宋" w:eastAsia="仿宋" w:cs="仿宋"/>
          <w:color w:val="auto"/>
          <w:sz w:val="32"/>
          <w:szCs w:val="32"/>
          <w:lang w:val="en-US" w:eastAsia="zh-CN"/>
        </w:rPr>
        <w:t>10.5</w:t>
      </w:r>
      <w:r>
        <w:rPr>
          <w:rFonts w:hint="eastAsia" w:ascii="仿宋" w:hAnsi="仿宋" w:eastAsia="仿宋" w:cs="仿宋"/>
          <w:color w:val="auto"/>
          <w:sz w:val="32"/>
          <w:szCs w:val="32"/>
        </w:rPr>
        <w:t>%。按国民经济行业分：批发业、零售业、住宿业和餐饮业分别实现零售额</w:t>
      </w:r>
      <w:r>
        <w:rPr>
          <w:rFonts w:hint="eastAsia" w:ascii="仿宋" w:hAnsi="仿宋" w:eastAsia="仿宋" w:cs="仿宋"/>
          <w:color w:val="auto"/>
          <w:sz w:val="32"/>
          <w:szCs w:val="32"/>
          <w:lang w:val="en-US" w:eastAsia="zh-CN"/>
        </w:rPr>
        <w:t>982</w:t>
      </w:r>
      <w:r>
        <w:rPr>
          <w:rFonts w:hint="eastAsia" w:ascii="仿宋" w:hAnsi="仿宋" w:eastAsia="仿宋" w:cs="仿宋"/>
          <w:color w:val="auto"/>
          <w:sz w:val="32"/>
          <w:szCs w:val="32"/>
        </w:rPr>
        <w:t>万元、</w:t>
      </w:r>
      <w:r>
        <w:rPr>
          <w:rFonts w:hint="eastAsia" w:ascii="仿宋" w:hAnsi="仿宋" w:eastAsia="仿宋" w:cs="仿宋"/>
          <w:color w:val="auto"/>
          <w:sz w:val="32"/>
          <w:szCs w:val="32"/>
          <w:lang w:val="en-US" w:eastAsia="zh-CN"/>
        </w:rPr>
        <w:t>30372</w:t>
      </w:r>
      <w:r>
        <w:rPr>
          <w:rFonts w:hint="eastAsia" w:ascii="仿宋" w:hAnsi="仿宋" w:eastAsia="仿宋" w:cs="仿宋"/>
          <w:color w:val="auto"/>
          <w:sz w:val="32"/>
          <w:szCs w:val="32"/>
        </w:rPr>
        <w:t>万元、</w:t>
      </w:r>
      <w:r>
        <w:rPr>
          <w:rFonts w:hint="eastAsia" w:ascii="仿宋" w:hAnsi="仿宋" w:eastAsia="仿宋" w:cs="仿宋"/>
          <w:color w:val="auto"/>
          <w:sz w:val="32"/>
          <w:szCs w:val="32"/>
          <w:lang w:val="en-US" w:eastAsia="zh-CN"/>
        </w:rPr>
        <w:t>2200</w:t>
      </w:r>
      <w:r>
        <w:rPr>
          <w:rFonts w:hint="eastAsia" w:ascii="仿宋" w:hAnsi="仿宋" w:eastAsia="仿宋" w:cs="仿宋"/>
          <w:color w:val="auto"/>
          <w:sz w:val="32"/>
          <w:szCs w:val="32"/>
        </w:rPr>
        <w:t>万元和</w:t>
      </w:r>
      <w:r>
        <w:rPr>
          <w:rFonts w:hint="eastAsia" w:ascii="仿宋" w:hAnsi="仿宋" w:eastAsia="仿宋" w:cs="仿宋"/>
          <w:color w:val="auto"/>
          <w:sz w:val="32"/>
          <w:szCs w:val="32"/>
          <w:lang w:val="en-US" w:eastAsia="zh-CN"/>
        </w:rPr>
        <w:t>5414</w:t>
      </w:r>
      <w:r>
        <w:rPr>
          <w:rFonts w:hint="eastAsia" w:ascii="仿宋" w:hAnsi="仿宋" w:eastAsia="仿宋" w:cs="仿宋"/>
          <w:color w:val="auto"/>
          <w:sz w:val="32"/>
          <w:szCs w:val="32"/>
        </w:rPr>
        <w:t>万元，分别增长</w:t>
      </w:r>
      <w:r>
        <w:rPr>
          <w:rFonts w:hint="eastAsia" w:ascii="仿宋" w:hAnsi="仿宋" w:eastAsia="仿宋" w:cs="仿宋"/>
          <w:color w:val="auto"/>
          <w:sz w:val="32"/>
          <w:szCs w:val="32"/>
          <w:lang w:val="en-US" w:eastAsia="zh-CN"/>
        </w:rPr>
        <w:t>35.5</w:t>
      </w: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6.6</w:t>
      </w: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25.1%</w:t>
      </w:r>
      <w:r>
        <w:rPr>
          <w:rFonts w:hint="eastAsia" w:ascii="仿宋" w:hAnsi="仿宋" w:eastAsia="仿宋" w:cs="仿宋"/>
          <w:color w:val="auto"/>
          <w:sz w:val="32"/>
          <w:szCs w:val="32"/>
        </w:rPr>
        <w:t>和</w:t>
      </w:r>
      <w:r>
        <w:rPr>
          <w:rFonts w:hint="eastAsia" w:ascii="仿宋" w:hAnsi="仿宋" w:eastAsia="仿宋" w:cs="仿宋"/>
          <w:color w:val="auto"/>
          <w:sz w:val="32"/>
          <w:szCs w:val="32"/>
          <w:lang w:val="en-US" w:eastAsia="zh-CN"/>
        </w:rPr>
        <w:t>25</w:t>
      </w:r>
      <w:r>
        <w:rPr>
          <w:rFonts w:hint="eastAsia" w:ascii="仿宋" w:hAnsi="仿宋" w:eastAsia="仿宋" w:cs="仿宋"/>
          <w:color w:val="auto"/>
          <w:sz w:val="32"/>
          <w:szCs w:val="32"/>
        </w:rPr>
        <w:t>%。</w:t>
      </w:r>
    </w:p>
    <w:p>
      <w:pPr>
        <w:pStyle w:val="12"/>
        <w:ind w:left="0" w:leftChars="0" w:firstLine="0" w:firstLineChars="0"/>
        <w:rPr>
          <w:rFonts w:ascii="Times New Roman" w:hAnsi="Times New Roman" w:eastAsia="仿宋_GB2312" w:cs="Times New Roman"/>
          <w:color w:val="auto"/>
          <w:kern w:val="0"/>
          <w:sz w:val="32"/>
          <w:szCs w:val="32"/>
        </w:rPr>
      </w:pPr>
      <w:r>
        <w:drawing>
          <wp:inline distT="0" distB="0" distL="114300" distR="114300">
            <wp:extent cx="5607050" cy="2880360"/>
            <wp:effectExtent l="0" t="0" r="12700" b="15240"/>
            <wp:docPr id="1304" name="图表 7" descr="7b0a202020202263686172745265734964223a20223230333034353137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pPr>
        <w:rPr>
          <w:rFonts w:ascii="黑体" w:hAnsi="黑体" w:eastAsia="黑体" w:cs="黑体"/>
          <w:b/>
          <w:color w:val="auto"/>
          <w:kern w:val="0"/>
          <w:sz w:val="36"/>
          <w:szCs w:val="36"/>
          <w:lang w:val="zh-CN"/>
        </w:rPr>
      </w:pPr>
    </w:p>
    <w:p>
      <w:pPr>
        <w:widowControl/>
        <w:adjustRightInd w:val="0"/>
        <w:snapToGrid w:val="0"/>
        <w:spacing w:line="560" w:lineRule="exact"/>
        <w:jc w:val="center"/>
        <w:rPr>
          <w:rFonts w:ascii="黑体" w:hAnsi="黑体" w:eastAsia="黑体" w:cs="黑体"/>
          <w:b/>
          <w:color w:val="auto"/>
          <w:kern w:val="0"/>
          <w:sz w:val="36"/>
          <w:szCs w:val="36"/>
          <w:lang w:val="zh-CN"/>
        </w:rPr>
      </w:pPr>
      <w:r>
        <w:rPr>
          <w:rFonts w:ascii="黑体" w:hAnsi="黑体" w:eastAsia="黑体" w:cs="黑体"/>
          <w:b/>
          <w:color w:val="auto"/>
          <w:kern w:val="0"/>
          <w:sz w:val="36"/>
          <w:szCs w:val="36"/>
          <w:lang w:val="zh-CN"/>
        </w:rPr>
        <w:t>七、财政和金融业</w:t>
      </w:r>
    </w:p>
    <w:p>
      <w:pPr>
        <w:spacing w:line="560" w:lineRule="exact"/>
        <w:ind w:firstLine="642" w:firstLineChars="200"/>
        <w:rPr>
          <w:rFonts w:ascii="Times New Roman" w:hAnsi="Times New Roman" w:eastAsia="仿宋" w:cs="Times New Roman"/>
          <w:b/>
          <w:color w:val="auto"/>
          <w:kern w:val="0"/>
          <w:sz w:val="32"/>
          <w:szCs w:val="32"/>
          <w:lang w:val="zh-CN"/>
        </w:rPr>
      </w:pPr>
    </w:p>
    <w:p>
      <w:pPr>
        <w:spacing w:line="560" w:lineRule="exact"/>
        <w:ind w:firstLine="642" w:firstLineChars="200"/>
        <w:rPr>
          <w:rFonts w:hint="eastAsia" w:ascii="仿宋" w:hAnsi="仿宋" w:eastAsia="仿宋" w:cs="仿宋"/>
          <w:b/>
          <w:color w:val="auto"/>
          <w:kern w:val="0"/>
          <w:sz w:val="32"/>
          <w:szCs w:val="32"/>
        </w:rPr>
      </w:pPr>
      <w:r>
        <w:rPr>
          <w:rFonts w:ascii="Times New Roman" w:hAnsi="Times New Roman" w:eastAsia="仿宋" w:cs="Times New Roman"/>
          <w:b/>
          <w:color w:val="auto"/>
          <w:kern w:val="0"/>
          <w:sz w:val="32"/>
          <w:szCs w:val="32"/>
          <w:lang w:val="zh-CN"/>
        </w:rPr>
        <w:t>【</w:t>
      </w:r>
      <w:r>
        <w:rPr>
          <w:rFonts w:ascii="楷体_GB2312" w:hAnsi="楷体_GB2312" w:eastAsia="楷体_GB2312" w:cs="楷体_GB2312"/>
          <w:b/>
          <w:bCs/>
          <w:color w:val="auto"/>
          <w:sz w:val="32"/>
          <w:szCs w:val="32"/>
          <w:shd w:val="clear" w:color="auto" w:fill="FFFFFF"/>
          <w:lang w:val="zh-CN"/>
        </w:rPr>
        <w:t>财政收支</w:t>
      </w:r>
      <w:r>
        <w:rPr>
          <w:rFonts w:ascii="Times New Roman" w:hAnsi="Times New Roman" w:eastAsia="仿宋" w:cs="Times New Roman"/>
          <w:b/>
          <w:color w:val="auto"/>
          <w:kern w:val="0"/>
          <w:sz w:val="32"/>
          <w:szCs w:val="32"/>
          <w:lang w:val="zh-CN"/>
        </w:rPr>
        <w:t>】</w:t>
      </w:r>
      <w:r>
        <w:rPr>
          <w:rFonts w:hint="eastAsia" w:ascii="仿宋" w:hAnsi="仿宋" w:eastAsia="仿宋" w:cs="仿宋"/>
          <w:bCs/>
          <w:color w:val="auto"/>
          <w:kern w:val="0"/>
          <w:sz w:val="32"/>
          <w:szCs w:val="32"/>
          <w:lang w:val="zh-CN"/>
        </w:rPr>
        <w:t>全年完成</w:t>
      </w:r>
      <w:r>
        <w:rPr>
          <w:rFonts w:hint="eastAsia" w:ascii="仿宋" w:hAnsi="仿宋" w:eastAsia="仿宋" w:cs="仿宋"/>
          <w:color w:val="auto"/>
          <w:kern w:val="0"/>
          <w:sz w:val="32"/>
          <w:szCs w:val="32"/>
          <w:lang w:val="zh-CN"/>
        </w:rPr>
        <w:t>地方公共财政收入</w:t>
      </w:r>
      <w:r>
        <w:rPr>
          <w:rFonts w:hint="eastAsia" w:ascii="仿宋" w:hAnsi="仿宋" w:eastAsia="仿宋" w:cs="仿宋"/>
          <w:color w:val="auto"/>
          <w:kern w:val="0"/>
          <w:sz w:val="32"/>
          <w:szCs w:val="32"/>
          <w:lang w:val="en-US" w:eastAsia="zh-CN"/>
        </w:rPr>
        <w:t>4012</w:t>
      </w:r>
      <w:r>
        <w:rPr>
          <w:rFonts w:hint="eastAsia" w:ascii="仿宋" w:hAnsi="仿宋" w:eastAsia="仿宋" w:cs="仿宋"/>
          <w:color w:val="auto"/>
          <w:kern w:val="0"/>
          <w:sz w:val="32"/>
          <w:szCs w:val="32"/>
          <w:lang w:val="zh-CN"/>
        </w:rPr>
        <w:t>万元，增长</w:t>
      </w:r>
      <w:r>
        <w:rPr>
          <w:rFonts w:hint="eastAsia" w:ascii="仿宋" w:hAnsi="仿宋" w:eastAsia="仿宋" w:cs="仿宋"/>
          <w:color w:val="auto"/>
          <w:kern w:val="0"/>
          <w:sz w:val="32"/>
          <w:szCs w:val="32"/>
          <w:lang w:val="en-US" w:eastAsia="zh-CN"/>
        </w:rPr>
        <w:t>38.3</w:t>
      </w:r>
      <w:r>
        <w:rPr>
          <w:rFonts w:hint="eastAsia" w:ascii="仿宋" w:hAnsi="仿宋" w:eastAsia="仿宋" w:cs="仿宋"/>
          <w:color w:val="auto"/>
          <w:kern w:val="0"/>
          <w:sz w:val="32"/>
          <w:szCs w:val="32"/>
          <w:lang w:val="zh-CN"/>
        </w:rPr>
        <w:t>%，其中各项税收收入</w:t>
      </w:r>
      <w:r>
        <w:rPr>
          <w:rFonts w:hint="eastAsia" w:ascii="仿宋" w:hAnsi="仿宋" w:eastAsia="仿宋" w:cs="仿宋"/>
          <w:color w:val="auto"/>
          <w:kern w:val="0"/>
          <w:sz w:val="32"/>
          <w:szCs w:val="32"/>
          <w:lang w:val="en-US" w:eastAsia="zh-CN"/>
        </w:rPr>
        <w:t>1856</w:t>
      </w:r>
      <w:r>
        <w:rPr>
          <w:rFonts w:hint="eastAsia" w:ascii="仿宋" w:hAnsi="仿宋" w:eastAsia="仿宋" w:cs="仿宋"/>
          <w:color w:val="auto"/>
          <w:kern w:val="0"/>
          <w:sz w:val="32"/>
          <w:szCs w:val="32"/>
          <w:lang w:val="zh-CN"/>
        </w:rPr>
        <w:t>万元，增</w:t>
      </w:r>
      <w:r>
        <w:rPr>
          <w:rFonts w:hint="eastAsia" w:ascii="仿宋" w:hAnsi="仿宋" w:eastAsia="仿宋" w:cs="仿宋"/>
          <w:color w:val="auto"/>
          <w:kern w:val="0"/>
          <w:sz w:val="32"/>
          <w:szCs w:val="32"/>
          <w:lang w:val="en-US" w:eastAsia="zh-CN"/>
        </w:rPr>
        <w:t>长13.6</w:t>
      </w:r>
      <w:r>
        <w:rPr>
          <w:rFonts w:hint="eastAsia" w:ascii="仿宋" w:hAnsi="仿宋" w:eastAsia="仿宋" w:cs="仿宋"/>
          <w:color w:val="auto"/>
          <w:kern w:val="0"/>
          <w:sz w:val="32"/>
          <w:szCs w:val="32"/>
          <w:lang w:val="zh-CN"/>
        </w:rPr>
        <w:t>%。地方公共财政支出</w:t>
      </w:r>
      <w:r>
        <w:rPr>
          <w:rFonts w:hint="eastAsia" w:ascii="仿宋" w:hAnsi="仿宋" w:eastAsia="仿宋" w:cs="仿宋"/>
          <w:color w:val="auto"/>
          <w:kern w:val="0"/>
          <w:sz w:val="32"/>
          <w:szCs w:val="32"/>
          <w:lang w:val="en-US" w:eastAsia="zh-CN"/>
        </w:rPr>
        <w:t>179658</w:t>
      </w:r>
      <w:r>
        <w:rPr>
          <w:rFonts w:hint="eastAsia" w:ascii="仿宋" w:hAnsi="仿宋" w:eastAsia="仿宋" w:cs="仿宋"/>
          <w:color w:val="auto"/>
          <w:kern w:val="0"/>
          <w:sz w:val="32"/>
          <w:szCs w:val="32"/>
          <w:lang w:val="zh-CN"/>
        </w:rPr>
        <w:t>万元，增长</w:t>
      </w:r>
      <w:r>
        <w:rPr>
          <w:rFonts w:hint="eastAsia" w:ascii="仿宋" w:hAnsi="仿宋" w:eastAsia="仿宋" w:cs="仿宋"/>
          <w:color w:val="auto"/>
          <w:kern w:val="0"/>
          <w:sz w:val="32"/>
          <w:szCs w:val="32"/>
          <w:lang w:val="en-US" w:eastAsia="zh-CN"/>
        </w:rPr>
        <w:t>12</w:t>
      </w:r>
      <w:r>
        <w:rPr>
          <w:rFonts w:hint="eastAsia" w:ascii="仿宋" w:hAnsi="仿宋" w:eastAsia="仿宋" w:cs="仿宋"/>
          <w:color w:val="auto"/>
          <w:kern w:val="0"/>
          <w:sz w:val="32"/>
          <w:szCs w:val="32"/>
          <w:lang w:val="zh-CN"/>
        </w:rPr>
        <w:t>%，其中：一般公共服务支出</w:t>
      </w:r>
      <w:r>
        <w:rPr>
          <w:rFonts w:hint="eastAsia" w:ascii="仿宋" w:hAnsi="仿宋" w:eastAsia="仿宋" w:cs="仿宋"/>
          <w:color w:val="auto"/>
          <w:kern w:val="0"/>
          <w:sz w:val="32"/>
          <w:szCs w:val="32"/>
          <w:lang w:val="en-US" w:eastAsia="zh-CN"/>
        </w:rPr>
        <w:t>23243</w:t>
      </w:r>
      <w:r>
        <w:rPr>
          <w:rFonts w:hint="eastAsia" w:ascii="仿宋" w:hAnsi="仿宋" w:eastAsia="仿宋" w:cs="仿宋"/>
          <w:color w:val="auto"/>
          <w:kern w:val="0"/>
          <w:sz w:val="32"/>
          <w:szCs w:val="32"/>
          <w:lang w:val="zh-CN"/>
        </w:rPr>
        <w:t>万元，</w:t>
      </w:r>
      <w:r>
        <w:rPr>
          <w:rFonts w:hint="eastAsia" w:ascii="仿宋" w:hAnsi="仿宋" w:eastAsia="仿宋" w:cs="仿宋"/>
          <w:color w:val="auto"/>
          <w:kern w:val="0"/>
          <w:sz w:val="32"/>
          <w:szCs w:val="32"/>
        </w:rPr>
        <w:t>公共安全支出</w:t>
      </w:r>
      <w:r>
        <w:rPr>
          <w:rFonts w:hint="eastAsia" w:ascii="仿宋" w:hAnsi="仿宋" w:eastAsia="仿宋" w:cs="仿宋"/>
          <w:color w:val="auto"/>
          <w:kern w:val="0"/>
          <w:sz w:val="32"/>
          <w:szCs w:val="32"/>
          <w:lang w:val="en-US" w:eastAsia="zh-CN"/>
        </w:rPr>
        <w:t>6931</w:t>
      </w:r>
      <w:r>
        <w:rPr>
          <w:rFonts w:hint="eastAsia" w:ascii="仿宋" w:hAnsi="仿宋" w:eastAsia="仿宋" w:cs="仿宋"/>
          <w:color w:val="auto"/>
          <w:kern w:val="0"/>
          <w:sz w:val="32"/>
          <w:szCs w:val="32"/>
        </w:rPr>
        <w:t>万元，</w:t>
      </w:r>
      <w:r>
        <w:rPr>
          <w:rFonts w:hint="eastAsia" w:ascii="仿宋" w:hAnsi="仿宋" w:eastAsia="仿宋" w:cs="仿宋"/>
          <w:color w:val="auto"/>
          <w:kern w:val="0"/>
          <w:sz w:val="32"/>
          <w:szCs w:val="32"/>
          <w:lang w:val="zh-CN"/>
        </w:rPr>
        <w:t>教育支出</w:t>
      </w:r>
      <w:r>
        <w:rPr>
          <w:rFonts w:hint="eastAsia" w:ascii="仿宋" w:hAnsi="仿宋" w:eastAsia="仿宋" w:cs="仿宋"/>
          <w:color w:val="auto"/>
          <w:kern w:val="0"/>
          <w:sz w:val="32"/>
          <w:szCs w:val="32"/>
          <w:lang w:val="en-US" w:eastAsia="zh-CN"/>
        </w:rPr>
        <w:t>23057</w:t>
      </w:r>
      <w:r>
        <w:rPr>
          <w:rFonts w:hint="eastAsia" w:ascii="仿宋" w:hAnsi="仿宋" w:eastAsia="仿宋" w:cs="仿宋"/>
          <w:color w:val="auto"/>
          <w:kern w:val="0"/>
          <w:sz w:val="32"/>
          <w:szCs w:val="32"/>
          <w:lang w:val="zh-CN"/>
        </w:rPr>
        <w:t>万元，科学技术支出</w:t>
      </w:r>
      <w:r>
        <w:rPr>
          <w:rFonts w:hint="eastAsia" w:ascii="仿宋" w:hAnsi="仿宋" w:eastAsia="仿宋" w:cs="仿宋"/>
          <w:color w:val="auto"/>
          <w:kern w:val="0"/>
          <w:sz w:val="32"/>
          <w:szCs w:val="32"/>
          <w:lang w:val="en-US" w:eastAsia="zh-CN"/>
        </w:rPr>
        <w:t>149</w:t>
      </w:r>
      <w:r>
        <w:rPr>
          <w:rFonts w:hint="eastAsia" w:ascii="仿宋" w:hAnsi="仿宋" w:eastAsia="仿宋" w:cs="仿宋"/>
          <w:color w:val="auto"/>
          <w:kern w:val="0"/>
          <w:sz w:val="32"/>
          <w:szCs w:val="32"/>
          <w:lang w:val="zh-CN"/>
        </w:rPr>
        <w:t>万元，社会保障和就业支出</w:t>
      </w:r>
      <w:r>
        <w:rPr>
          <w:rFonts w:hint="eastAsia" w:ascii="仿宋" w:hAnsi="仿宋" w:eastAsia="仿宋" w:cs="仿宋"/>
          <w:color w:val="auto"/>
          <w:kern w:val="0"/>
          <w:sz w:val="32"/>
          <w:szCs w:val="32"/>
          <w:lang w:val="en-US" w:eastAsia="zh-CN"/>
        </w:rPr>
        <w:t>21124</w:t>
      </w:r>
      <w:r>
        <w:rPr>
          <w:rFonts w:hint="eastAsia" w:ascii="仿宋" w:hAnsi="仿宋" w:eastAsia="仿宋" w:cs="仿宋"/>
          <w:color w:val="auto"/>
          <w:kern w:val="0"/>
          <w:sz w:val="32"/>
          <w:szCs w:val="32"/>
          <w:lang w:val="zh-CN"/>
        </w:rPr>
        <w:t>万元，卫生健康支出</w:t>
      </w:r>
      <w:r>
        <w:rPr>
          <w:rFonts w:hint="eastAsia" w:ascii="仿宋" w:hAnsi="仿宋" w:eastAsia="仿宋" w:cs="仿宋"/>
          <w:color w:val="auto"/>
          <w:kern w:val="0"/>
          <w:sz w:val="32"/>
          <w:szCs w:val="32"/>
          <w:lang w:val="en-US" w:eastAsia="zh-CN"/>
        </w:rPr>
        <w:t>13833</w:t>
      </w:r>
      <w:r>
        <w:rPr>
          <w:rFonts w:hint="eastAsia" w:ascii="仿宋" w:hAnsi="仿宋" w:eastAsia="仿宋" w:cs="仿宋"/>
          <w:color w:val="auto"/>
          <w:kern w:val="0"/>
          <w:sz w:val="32"/>
          <w:szCs w:val="32"/>
          <w:lang w:val="zh-CN"/>
        </w:rPr>
        <w:t>万元，</w:t>
      </w:r>
      <w:r>
        <w:rPr>
          <w:rFonts w:hint="eastAsia" w:ascii="仿宋" w:hAnsi="仿宋" w:eastAsia="仿宋" w:cs="仿宋"/>
          <w:color w:val="auto"/>
          <w:kern w:val="0"/>
          <w:sz w:val="32"/>
          <w:szCs w:val="32"/>
        </w:rPr>
        <w:t>节能环保支出</w:t>
      </w:r>
      <w:r>
        <w:rPr>
          <w:rFonts w:hint="eastAsia" w:ascii="仿宋" w:hAnsi="仿宋" w:eastAsia="仿宋" w:cs="仿宋"/>
          <w:color w:val="auto"/>
          <w:kern w:val="0"/>
          <w:sz w:val="32"/>
          <w:szCs w:val="32"/>
          <w:lang w:val="en-US" w:eastAsia="zh-CN"/>
        </w:rPr>
        <w:t>3588</w:t>
      </w:r>
      <w:r>
        <w:rPr>
          <w:rFonts w:hint="eastAsia" w:ascii="仿宋" w:hAnsi="仿宋" w:eastAsia="仿宋" w:cs="仿宋"/>
          <w:color w:val="auto"/>
          <w:kern w:val="0"/>
          <w:sz w:val="32"/>
          <w:szCs w:val="32"/>
        </w:rPr>
        <w:t>万元 ，城乡社区支出</w:t>
      </w:r>
      <w:r>
        <w:rPr>
          <w:rFonts w:hint="eastAsia" w:ascii="仿宋" w:hAnsi="仿宋" w:eastAsia="仿宋" w:cs="仿宋"/>
          <w:color w:val="auto"/>
          <w:kern w:val="0"/>
          <w:sz w:val="32"/>
          <w:szCs w:val="32"/>
          <w:lang w:val="en-US" w:eastAsia="zh-CN"/>
        </w:rPr>
        <w:t>2866</w:t>
      </w:r>
      <w:r>
        <w:rPr>
          <w:rFonts w:hint="eastAsia" w:ascii="仿宋" w:hAnsi="仿宋" w:eastAsia="仿宋" w:cs="仿宋"/>
          <w:color w:val="auto"/>
          <w:kern w:val="0"/>
          <w:sz w:val="32"/>
          <w:szCs w:val="32"/>
        </w:rPr>
        <w:t>万元，</w:t>
      </w:r>
      <w:r>
        <w:rPr>
          <w:rFonts w:hint="eastAsia" w:ascii="仿宋" w:hAnsi="仿宋" w:eastAsia="仿宋" w:cs="仿宋"/>
          <w:color w:val="auto"/>
          <w:kern w:val="0"/>
          <w:sz w:val="32"/>
          <w:szCs w:val="32"/>
          <w:lang w:val="zh-CN"/>
        </w:rPr>
        <w:t>农林水事务支出</w:t>
      </w:r>
      <w:r>
        <w:rPr>
          <w:rFonts w:hint="eastAsia" w:ascii="仿宋" w:hAnsi="仿宋" w:eastAsia="仿宋" w:cs="仿宋"/>
          <w:color w:val="auto"/>
          <w:kern w:val="0"/>
          <w:sz w:val="32"/>
          <w:szCs w:val="32"/>
          <w:lang w:val="en-US" w:eastAsia="zh-CN"/>
        </w:rPr>
        <w:t>48897</w:t>
      </w:r>
      <w:r>
        <w:rPr>
          <w:rFonts w:hint="eastAsia" w:ascii="仿宋" w:hAnsi="仿宋" w:eastAsia="仿宋" w:cs="仿宋"/>
          <w:color w:val="auto"/>
          <w:kern w:val="0"/>
          <w:sz w:val="32"/>
          <w:szCs w:val="32"/>
          <w:lang w:val="zh-CN"/>
        </w:rPr>
        <w:t>万元。财政自给率为</w:t>
      </w:r>
      <w:r>
        <w:rPr>
          <w:rFonts w:hint="eastAsia" w:ascii="仿宋" w:hAnsi="仿宋" w:eastAsia="仿宋" w:cs="仿宋"/>
          <w:color w:val="auto"/>
          <w:kern w:val="0"/>
          <w:sz w:val="32"/>
          <w:szCs w:val="32"/>
          <w:lang w:val="en-US" w:eastAsia="zh-CN"/>
        </w:rPr>
        <w:t>2.2</w:t>
      </w:r>
      <w:r>
        <w:rPr>
          <w:rFonts w:hint="eastAsia" w:ascii="仿宋" w:hAnsi="仿宋" w:eastAsia="仿宋" w:cs="仿宋"/>
          <w:color w:val="auto"/>
          <w:kern w:val="0"/>
          <w:sz w:val="32"/>
          <w:szCs w:val="32"/>
        </w:rPr>
        <w:t>%</w:t>
      </w:r>
      <w:r>
        <w:rPr>
          <w:rFonts w:hint="eastAsia" w:ascii="仿宋" w:hAnsi="仿宋" w:eastAsia="仿宋" w:cs="仿宋"/>
          <w:color w:val="auto"/>
          <w:kern w:val="0"/>
          <w:sz w:val="32"/>
          <w:szCs w:val="32"/>
          <w:lang w:eastAsia="zh-CN"/>
        </w:rPr>
        <w:t>，比上年提高</w:t>
      </w:r>
      <w:r>
        <w:rPr>
          <w:rFonts w:hint="eastAsia" w:ascii="仿宋" w:hAnsi="仿宋" w:eastAsia="仿宋" w:cs="仿宋"/>
          <w:color w:val="auto"/>
          <w:kern w:val="0"/>
          <w:sz w:val="32"/>
          <w:szCs w:val="32"/>
          <w:lang w:val="en-US" w:eastAsia="zh-CN"/>
        </w:rPr>
        <w:t>0.4个百分点</w:t>
      </w:r>
      <w:r>
        <w:rPr>
          <w:rFonts w:hint="eastAsia" w:ascii="仿宋" w:hAnsi="仿宋" w:eastAsia="仿宋" w:cs="仿宋"/>
          <w:color w:val="auto"/>
          <w:kern w:val="0"/>
          <w:sz w:val="32"/>
          <w:szCs w:val="32"/>
        </w:rPr>
        <w:t>。</w:t>
      </w:r>
    </w:p>
    <w:p>
      <w:pPr>
        <w:spacing w:line="560" w:lineRule="exact"/>
        <w:ind w:firstLine="642" w:firstLineChars="200"/>
        <w:rPr>
          <w:rFonts w:hint="eastAsia" w:ascii="仿宋" w:hAnsi="仿宋" w:eastAsia="仿宋" w:cs="仿宋"/>
          <w:color w:val="auto"/>
          <w:kern w:val="0"/>
          <w:sz w:val="32"/>
          <w:szCs w:val="32"/>
          <w:lang w:val="en-US" w:eastAsia="zh-CN"/>
        </w:rPr>
      </w:pPr>
      <w:r>
        <w:rPr>
          <w:rFonts w:ascii="Times New Roman" w:hAnsi="Times New Roman" w:eastAsia="仿宋" w:cs="Times New Roman"/>
          <w:b/>
          <w:color w:val="auto"/>
          <w:kern w:val="0"/>
          <w:sz w:val="32"/>
          <w:szCs w:val="32"/>
          <w:lang w:val="zh-CN"/>
        </w:rPr>
        <w:t>【</w:t>
      </w:r>
      <w:r>
        <w:rPr>
          <w:rFonts w:ascii="楷体_GB2312" w:hAnsi="楷体_GB2312" w:eastAsia="楷体_GB2312" w:cs="楷体_GB2312"/>
          <w:b/>
          <w:bCs/>
          <w:color w:val="auto"/>
          <w:sz w:val="32"/>
          <w:szCs w:val="32"/>
          <w:shd w:val="clear" w:color="auto" w:fill="FFFFFF"/>
          <w:lang w:val="zh-CN"/>
        </w:rPr>
        <w:t>金</w:t>
      </w:r>
      <w:r>
        <w:rPr>
          <w:rFonts w:hint="eastAsia" w:ascii="楷体_GB2312" w:hAnsi="楷体_GB2312" w:eastAsia="楷体_GB2312" w:cs="楷体_GB2312"/>
          <w:b/>
          <w:bCs/>
          <w:color w:val="auto"/>
          <w:sz w:val="32"/>
          <w:szCs w:val="32"/>
          <w:shd w:val="clear" w:color="auto" w:fill="FFFFFF"/>
          <w:lang w:val="en-US" w:eastAsia="zh-CN"/>
        </w:rPr>
        <w:t xml:space="preserve">  </w:t>
      </w:r>
      <w:r>
        <w:rPr>
          <w:rFonts w:ascii="楷体_GB2312" w:hAnsi="楷体_GB2312" w:eastAsia="楷体_GB2312" w:cs="楷体_GB2312"/>
          <w:b/>
          <w:bCs/>
          <w:color w:val="auto"/>
          <w:sz w:val="32"/>
          <w:szCs w:val="32"/>
          <w:shd w:val="clear" w:color="auto" w:fill="FFFFFF"/>
          <w:lang w:val="zh-CN"/>
        </w:rPr>
        <w:t>融</w:t>
      </w:r>
      <w:r>
        <w:rPr>
          <w:rFonts w:ascii="Times New Roman" w:hAnsi="Times New Roman" w:eastAsia="仿宋" w:cs="Times New Roman"/>
          <w:b/>
          <w:color w:val="auto"/>
          <w:kern w:val="0"/>
          <w:sz w:val="32"/>
          <w:szCs w:val="32"/>
          <w:lang w:val="zh-CN"/>
        </w:rPr>
        <w:t>】</w:t>
      </w:r>
      <w:r>
        <w:rPr>
          <w:rFonts w:hint="eastAsia" w:ascii="仿宋" w:hAnsi="仿宋" w:eastAsia="仿宋" w:cs="仿宋"/>
          <w:bCs/>
          <w:color w:val="auto"/>
          <w:kern w:val="0"/>
          <w:sz w:val="32"/>
          <w:szCs w:val="32"/>
          <w:lang w:val="zh-CN"/>
        </w:rPr>
        <w:t>年</w:t>
      </w:r>
      <w:r>
        <w:rPr>
          <w:rFonts w:hint="eastAsia" w:ascii="仿宋" w:hAnsi="仿宋" w:eastAsia="仿宋" w:cs="仿宋"/>
          <w:color w:val="auto"/>
          <w:kern w:val="0"/>
          <w:sz w:val="32"/>
          <w:szCs w:val="32"/>
          <w:lang w:val="zh-CN"/>
        </w:rPr>
        <w:t>末，金融机构各项存款余额</w:t>
      </w:r>
      <w:r>
        <w:rPr>
          <w:rFonts w:hint="eastAsia" w:ascii="仿宋" w:hAnsi="仿宋" w:eastAsia="仿宋" w:cs="仿宋"/>
          <w:color w:val="auto"/>
          <w:kern w:val="0"/>
          <w:sz w:val="32"/>
          <w:szCs w:val="32"/>
          <w:lang w:val="en-US" w:eastAsia="zh-CN"/>
        </w:rPr>
        <w:t>170685</w:t>
      </w:r>
      <w:r>
        <w:rPr>
          <w:rFonts w:hint="eastAsia" w:ascii="仿宋" w:hAnsi="仿宋" w:eastAsia="仿宋" w:cs="仿宋"/>
          <w:color w:val="auto"/>
          <w:kern w:val="0"/>
          <w:sz w:val="32"/>
          <w:szCs w:val="32"/>
          <w:lang w:val="zh-CN"/>
        </w:rPr>
        <w:t>万元，下降</w:t>
      </w:r>
      <w:r>
        <w:rPr>
          <w:rFonts w:hint="eastAsia" w:ascii="仿宋" w:hAnsi="仿宋" w:eastAsia="仿宋" w:cs="仿宋"/>
          <w:color w:val="auto"/>
          <w:kern w:val="0"/>
          <w:sz w:val="32"/>
          <w:szCs w:val="32"/>
          <w:lang w:val="en-US" w:eastAsia="zh-CN"/>
        </w:rPr>
        <w:t>9.1</w:t>
      </w:r>
      <w:r>
        <w:rPr>
          <w:rFonts w:hint="eastAsia" w:ascii="仿宋" w:hAnsi="仿宋" w:eastAsia="仿宋" w:cs="仿宋"/>
          <w:color w:val="auto"/>
          <w:kern w:val="0"/>
          <w:sz w:val="32"/>
          <w:szCs w:val="32"/>
          <w:lang w:val="zh-CN"/>
        </w:rPr>
        <w:t>%，其中城乡居民储蓄存款</w:t>
      </w:r>
      <w:r>
        <w:rPr>
          <w:rFonts w:hint="eastAsia" w:ascii="仿宋" w:hAnsi="仿宋" w:eastAsia="仿宋" w:cs="仿宋"/>
          <w:color w:val="auto"/>
          <w:kern w:val="0"/>
          <w:sz w:val="32"/>
          <w:szCs w:val="32"/>
          <w:lang w:val="en-US" w:eastAsia="zh-CN"/>
        </w:rPr>
        <w:t>99432</w:t>
      </w:r>
      <w:r>
        <w:rPr>
          <w:rFonts w:hint="eastAsia" w:ascii="仿宋" w:hAnsi="仿宋" w:eastAsia="仿宋" w:cs="仿宋"/>
          <w:color w:val="auto"/>
          <w:kern w:val="0"/>
          <w:sz w:val="32"/>
          <w:szCs w:val="32"/>
          <w:lang w:val="zh-CN"/>
        </w:rPr>
        <w:t>万元，下降</w:t>
      </w:r>
      <w:r>
        <w:rPr>
          <w:rFonts w:hint="eastAsia" w:ascii="仿宋" w:hAnsi="仿宋" w:eastAsia="仿宋" w:cs="仿宋"/>
          <w:color w:val="auto"/>
          <w:kern w:val="0"/>
          <w:sz w:val="32"/>
          <w:szCs w:val="32"/>
          <w:lang w:val="en-US" w:eastAsia="zh-CN"/>
        </w:rPr>
        <w:t>3</w:t>
      </w:r>
      <w:r>
        <w:rPr>
          <w:rFonts w:hint="eastAsia" w:ascii="仿宋" w:hAnsi="仿宋" w:eastAsia="仿宋" w:cs="仿宋"/>
          <w:color w:val="auto"/>
          <w:kern w:val="0"/>
          <w:sz w:val="32"/>
          <w:szCs w:val="32"/>
          <w:lang w:val="zh-CN"/>
        </w:rPr>
        <w:t>%。各项贷款余额</w:t>
      </w:r>
      <w:r>
        <w:rPr>
          <w:rFonts w:hint="eastAsia" w:ascii="仿宋" w:hAnsi="仿宋" w:eastAsia="仿宋" w:cs="仿宋"/>
          <w:color w:val="auto"/>
          <w:kern w:val="0"/>
          <w:sz w:val="32"/>
          <w:szCs w:val="32"/>
          <w:lang w:val="en-US" w:eastAsia="zh-CN"/>
        </w:rPr>
        <w:t>101670</w:t>
      </w:r>
      <w:r>
        <w:rPr>
          <w:rFonts w:hint="eastAsia" w:ascii="仿宋" w:hAnsi="仿宋" w:eastAsia="仿宋" w:cs="仿宋"/>
          <w:color w:val="auto"/>
          <w:kern w:val="0"/>
          <w:sz w:val="32"/>
          <w:szCs w:val="32"/>
          <w:lang w:val="zh-CN"/>
        </w:rPr>
        <w:t>万元，增长</w:t>
      </w:r>
      <w:r>
        <w:rPr>
          <w:rFonts w:hint="eastAsia" w:ascii="仿宋" w:hAnsi="仿宋" w:eastAsia="仿宋" w:cs="仿宋"/>
          <w:color w:val="auto"/>
          <w:kern w:val="0"/>
          <w:sz w:val="32"/>
          <w:szCs w:val="32"/>
          <w:lang w:val="en-US" w:eastAsia="zh-CN"/>
        </w:rPr>
        <w:t>17.6</w:t>
      </w:r>
      <w:r>
        <w:rPr>
          <w:rFonts w:hint="eastAsia" w:ascii="仿宋" w:hAnsi="仿宋" w:eastAsia="仿宋" w:cs="仿宋"/>
          <w:color w:val="auto"/>
          <w:kern w:val="0"/>
          <w:sz w:val="32"/>
          <w:szCs w:val="32"/>
          <w:lang w:val="zh-CN"/>
        </w:rPr>
        <w:t>%，存贷款比率</w:t>
      </w:r>
      <w:r>
        <w:rPr>
          <w:rFonts w:hint="eastAsia" w:ascii="仿宋" w:hAnsi="仿宋" w:eastAsia="仿宋" w:cs="仿宋"/>
          <w:color w:val="auto"/>
          <w:kern w:val="0"/>
          <w:sz w:val="32"/>
          <w:szCs w:val="32"/>
          <w:lang w:val="en-US" w:eastAsia="zh-CN"/>
        </w:rPr>
        <w:t>59.6</w:t>
      </w:r>
      <w:r>
        <w:rPr>
          <w:rFonts w:hint="eastAsia" w:ascii="仿宋" w:hAnsi="仿宋" w:eastAsia="仿宋" w:cs="仿宋"/>
          <w:color w:val="auto"/>
          <w:kern w:val="0"/>
          <w:sz w:val="32"/>
          <w:szCs w:val="32"/>
        </w:rPr>
        <w:t>%。</w:t>
      </w:r>
      <w:r>
        <w:rPr>
          <w:rFonts w:hint="eastAsia" w:ascii="仿宋" w:hAnsi="仿宋" w:eastAsia="仿宋" w:cs="仿宋"/>
          <w:color w:val="auto"/>
          <w:kern w:val="0"/>
          <w:sz w:val="32"/>
          <w:szCs w:val="32"/>
          <w:lang w:val="en-US" w:eastAsia="zh-CN"/>
        </w:rPr>
        <w:t xml:space="preserve"> </w:t>
      </w:r>
    </w:p>
    <w:p>
      <w:pPr>
        <w:spacing w:line="560" w:lineRule="exact"/>
        <w:ind w:firstLine="640" w:firstLineChars="200"/>
        <w:rPr>
          <w:rFonts w:hint="eastAsia" w:ascii="仿宋" w:hAnsi="仿宋" w:eastAsia="仿宋" w:cs="仿宋"/>
          <w:color w:val="auto"/>
          <w:kern w:val="0"/>
          <w:sz w:val="32"/>
          <w:szCs w:val="32"/>
          <w:lang w:val="en-US" w:eastAsia="zh-CN"/>
        </w:rPr>
      </w:pPr>
    </w:p>
    <w:p>
      <w:pPr>
        <w:pStyle w:val="7"/>
        <w:ind w:left="0" w:leftChars="0" w:firstLine="0" w:firstLineChars="0"/>
        <w:rPr>
          <w:color w:val="auto"/>
          <w:lang w:val="zh-CN"/>
        </w:rPr>
      </w:pPr>
      <w:r>
        <w:drawing>
          <wp:inline distT="0" distB="0" distL="114300" distR="114300">
            <wp:extent cx="5616575" cy="3097530"/>
            <wp:effectExtent l="0" t="0" r="0" b="0"/>
            <wp:docPr id="13" name="图表 12" descr="7b0a202020202263686172745265734964223a20223230333434383239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pPr>
        <w:rPr>
          <w:color w:val="auto"/>
          <w:lang w:val="zh-CN"/>
        </w:rPr>
      </w:pPr>
    </w:p>
    <w:p>
      <w:pPr>
        <w:numPr>
          <w:ilvl w:val="0"/>
          <w:numId w:val="4"/>
        </w:numPr>
        <w:spacing w:line="560" w:lineRule="exact"/>
        <w:jc w:val="center"/>
        <w:rPr>
          <w:rFonts w:ascii="黑体" w:hAnsi="黑体" w:eastAsia="黑体" w:cs="黑体"/>
          <w:b/>
          <w:color w:val="auto"/>
          <w:kern w:val="0"/>
          <w:sz w:val="36"/>
          <w:szCs w:val="36"/>
          <w:lang w:val="zh-CN"/>
        </w:rPr>
      </w:pPr>
      <w:r>
        <w:rPr>
          <w:rFonts w:ascii="黑体" w:hAnsi="黑体" w:eastAsia="黑体" w:cs="黑体"/>
          <w:b/>
          <w:color w:val="auto"/>
          <w:kern w:val="0"/>
          <w:sz w:val="36"/>
          <w:szCs w:val="36"/>
          <w:lang w:val="zh-CN"/>
        </w:rPr>
        <w:t>教育和科学技术</w:t>
      </w:r>
    </w:p>
    <w:p>
      <w:pPr>
        <w:pStyle w:val="12"/>
        <w:ind w:left="0" w:leftChars="0" w:firstLine="0" w:firstLineChars="0"/>
        <w:rPr>
          <w:color w:val="auto"/>
          <w:lang w:val="zh-CN"/>
        </w:rPr>
      </w:pP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firstLine="642" w:firstLineChars="200"/>
        <w:jc w:val="both"/>
        <w:textAlignment w:val="auto"/>
        <w:rPr>
          <w:rFonts w:hint="eastAsia" w:ascii="仿宋" w:hAnsi="仿宋" w:eastAsia="仿宋" w:cs="仿宋"/>
          <w:color w:val="auto"/>
          <w:kern w:val="0"/>
          <w:sz w:val="32"/>
          <w:szCs w:val="32"/>
          <w:lang w:val="zh-CN"/>
        </w:rPr>
      </w:pPr>
      <w:r>
        <w:rPr>
          <w:rFonts w:ascii="Times New Roman" w:hAnsi="Times New Roman" w:eastAsia="仿宋" w:cs="Times New Roman"/>
          <w:b/>
          <w:color w:val="auto"/>
          <w:kern w:val="0"/>
          <w:sz w:val="32"/>
          <w:szCs w:val="32"/>
          <w:lang w:val="zh-CN"/>
        </w:rPr>
        <w:t>【</w:t>
      </w:r>
      <w:r>
        <w:rPr>
          <w:rFonts w:ascii="楷体_GB2312" w:hAnsi="楷体_GB2312" w:eastAsia="楷体_GB2312" w:cs="楷体_GB2312"/>
          <w:b/>
          <w:bCs/>
          <w:color w:val="auto"/>
          <w:sz w:val="32"/>
          <w:szCs w:val="32"/>
          <w:shd w:val="clear" w:color="auto" w:fill="FFFFFF"/>
        </w:rPr>
        <w:t>教</w:t>
      </w:r>
      <w:r>
        <w:rPr>
          <w:rFonts w:hint="eastAsia" w:ascii="楷体_GB2312" w:hAnsi="楷体_GB2312" w:eastAsia="楷体_GB2312" w:cs="楷体_GB2312"/>
          <w:b/>
          <w:bCs/>
          <w:color w:val="auto"/>
          <w:sz w:val="32"/>
          <w:szCs w:val="32"/>
          <w:shd w:val="clear" w:color="auto" w:fill="FFFFFF"/>
          <w:lang w:val="en-US" w:eastAsia="zh-CN"/>
        </w:rPr>
        <w:t xml:space="preserve">  </w:t>
      </w:r>
      <w:r>
        <w:rPr>
          <w:rFonts w:ascii="楷体_GB2312" w:hAnsi="楷体_GB2312" w:eastAsia="楷体_GB2312" w:cs="楷体_GB2312"/>
          <w:b/>
          <w:bCs/>
          <w:color w:val="auto"/>
          <w:sz w:val="32"/>
          <w:szCs w:val="32"/>
          <w:shd w:val="clear" w:color="auto" w:fill="FFFFFF"/>
        </w:rPr>
        <w:t>育</w:t>
      </w:r>
      <w:r>
        <w:rPr>
          <w:rFonts w:ascii="Times New Roman" w:hAnsi="Times New Roman" w:eastAsia="仿宋" w:cs="Times New Roman"/>
          <w:b/>
          <w:color w:val="auto"/>
          <w:kern w:val="0"/>
          <w:sz w:val="32"/>
          <w:szCs w:val="32"/>
          <w:lang w:val="zh-CN"/>
        </w:rPr>
        <w:t>】</w:t>
      </w:r>
      <w:r>
        <w:rPr>
          <w:rFonts w:hint="eastAsia" w:ascii="仿宋" w:hAnsi="仿宋" w:eastAsia="仿宋" w:cs="仿宋"/>
          <w:color w:val="auto"/>
          <w:kern w:val="0"/>
          <w:sz w:val="32"/>
          <w:szCs w:val="32"/>
          <w:lang w:val="zh-CN"/>
        </w:rPr>
        <w:t>年末，全县有各级各类学校5</w:t>
      </w:r>
      <w:r>
        <w:rPr>
          <w:rFonts w:hint="eastAsia" w:ascii="仿宋" w:hAnsi="仿宋" w:eastAsia="仿宋" w:cs="仿宋"/>
          <w:color w:val="auto"/>
          <w:kern w:val="0"/>
          <w:sz w:val="32"/>
          <w:szCs w:val="32"/>
          <w:lang w:val="zh-CN" w:eastAsia="zh-CN"/>
        </w:rPr>
        <w:t>2</w:t>
      </w:r>
      <w:r>
        <w:rPr>
          <w:rFonts w:hint="eastAsia" w:ascii="仿宋" w:hAnsi="仿宋" w:eastAsia="仿宋" w:cs="仿宋"/>
          <w:color w:val="auto"/>
          <w:kern w:val="0"/>
          <w:sz w:val="32"/>
          <w:szCs w:val="32"/>
          <w:lang w:val="zh-CN"/>
        </w:rPr>
        <w:t>所，其中小学校10所、</w:t>
      </w:r>
      <w:r>
        <w:rPr>
          <w:rFonts w:hint="eastAsia" w:ascii="仿宋" w:hAnsi="仿宋" w:eastAsia="仿宋" w:cs="仿宋"/>
          <w:color w:val="auto"/>
          <w:kern w:val="0"/>
          <w:sz w:val="32"/>
          <w:szCs w:val="32"/>
          <w:lang w:val="zh-CN" w:eastAsia="zh-CN"/>
        </w:rPr>
        <w:t>初级</w:t>
      </w:r>
      <w:r>
        <w:rPr>
          <w:rFonts w:hint="eastAsia" w:ascii="仿宋" w:hAnsi="仿宋" w:eastAsia="仿宋" w:cs="仿宋"/>
          <w:color w:val="auto"/>
          <w:kern w:val="0"/>
          <w:sz w:val="32"/>
          <w:szCs w:val="32"/>
          <w:lang w:val="zh-CN"/>
        </w:rPr>
        <w:t>中学3所（九年一贯制2所、初级中学1所）、高完中1所，幼儿园</w:t>
      </w:r>
      <w:r>
        <w:rPr>
          <w:rFonts w:hint="eastAsia" w:ascii="仿宋" w:hAnsi="仿宋" w:eastAsia="仿宋" w:cs="仿宋"/>
          <w:color w:val="auto"/>
          <w:kern w:val="0"/>
          <w:sz w:val="32"/>
          <w:szCs w:val="32"/>
          <w:lang w:val="zh-CN" w:eastAsia="zh-CN"/>
        </w:rPr>
        <w:t>38</w:t>
      </w:r>
      <w:r>
        <w:rPr>
          <w:rFonts w:hint="eastAsia" w:ascii="仿宋" w:hAnsi="仿宋" w:eastAsia="仿宋" w:cs="仿宋"/>
          <w:color w:val="auto"/>
          <w:kern w:val="0"/>
          <w:sz w:val="32"/>
          <w:szCs w:val="32"/>
          <w:lang w:val="zh-CN"/>
        </w:rPr>
        <w:t>所。幼儿园在校学生总数2</w:t>
      </w:r>
      <w:r>
        <w:rPr>
          <w:rFonts w:hint="eastAsia" w:ascii="仿宋" w:hAnsi="仿宋" w:eastAsia="仿宋" w:cs="仿宋"/>
          <w:color w:val="auto"/>
          <w:kern w:val="0"/>
          <w:sz w:val="32"/>
          <w:szCs w:val="32"/>
          <w:lang w:val="zh-CN" w:eastAsia="zh-CN"/>
        </w:rPr>
        <w:t>341</w:t>
      </w:r>
      <w:r>
        <w:rPr>
          <w:rFonts w:hint="eastAsia" w:ascii="仿宋" w:hAnsi="仿宋" w:eastAsia="仿宋" w:cs="仿宋"/>
          <w:color w:val="auto"/>
          <w:kern w:val="0"/>
          <w:sz w:val="32"/>
          <w:szCs w:val="32"/>
          <w:lang w:val="zh-CN"/>
        </w:rPr>
        <w:t>人，小学在校学生总数6</w:t>
      </w:r>
      <w:r>
        <w:rPr>
          <w:rFonts w:hint="eastAsia" w:ascii="仿宋" w:hAnsi="仿宋" w:eastAsia="仿宋" w:cs="仿宋"/>
          <w:color w:val="auto"/>
          <w:kern w:val="0"/>
          <w:sz w:val="32"/>
          <w:szCs w:val="32"/>
          <w:lang w:val="zh-CN" w:eastAsia="zh-CN"/>
        </w:rPr>
        <w:t>393</w:t>
      </w:r>
      <w:r>
        <w:rPr>
          <w:rFonts w:hint="eastAsia" w:ascii="仿宋" w:hAnsi="仿宋" w:eastAsia="仿宋" w:cs="仿宋"/>
          <w:color w:val="auto"/>
          <w:kern w:val="0"/>
          <w:sz w:val="32"/>
          <w:szCs w:val="32"/>
          <w:lang w:val="zh-CN"/>
        </w:rPr>
        <w:t>人，普通中学在校学生总数2</w:t>
      </w:r>
      <w:r>
        <w:rPr>
          <w:rFonts w:hint="eastAsia" w:ascii="仿宋" w:hAnsi="仿宋" w:eastAsia="仿宋" w:cs="仿宋"/>
          <w:color w:val="auto"/>
          <w:kern w:val="0"/>
          <w:sz w:val="32"/>
          <w:szCs w:val="32"/>
          <w:lang w:val="zh-CN" w:eastAsia="zh-CN"/>
        </w:rPr>
        <w:t>292</w:t>
      </w:r>
      <w:r>
        <w:rPr>
          <w:rFonts w:hint="eastAsia" w:ascii="仿宋" w:hAnsi="仿宋" w:eastAsia="仿宋" w:cs="仿宋"/>
          <w:color w:val="auto"/>
          <w:kern w:val="0"/>
          <w:sz w:val="32"/>
          <w:szCs w:val="32"/>
          <w:lang w:val="zh-CN"/>
        </w:rPr>
        <w:t>人，高完中学生</w:t>
      </w:r>
      <w:r>
        <w:rPr>
          <w:rFonts w:hint="eastAsia" w:ascii="仿宋" w:hAnsi="仿宋" w:eastAsia="仿宋" w:cs="仿宋"/>
          <w:color w:val="auto"/>
          <w:kern w:val="0"/>
          <w:sz w:val="32"/>
          <w:szCs w:val="32"/>
          <w:lang w:val="zh-CN" w:eastAsia="zh-CN"/>
        </w:rPr>
        <w:t>77</w:t>
      </w:r>
      <w:r>
        <w:rPr>
          <w:rFonts w:hint="eastAsia" w:ascii="仿宋" w:hAnsi="仿宋" w:eastAsia="仿宋" w:cs="仿宋"/>
          <w:color w:val="auto"/>
          <w:kern w:val="0"/>
          <w:sz w:val="32"/>
          <w:szCs w:val="32"/>
          <w:lang w:val="zh-CN"/>
        </w:rPr>
        <w:t>人。幼儿园专任教师</w:t>
      </w:r>
      <w:r>
        <w:rPr>
          <w:rFonts w:hint="eastAsia" w:ascii="仿宋" w:hAnsi="仿宋" w:eastAsia="仿宋" w:cs="仿宋"/>
          <w:color w:val="auto"/>
          <w:kern w:val="0"/>
          <w:sz w:val="32"/>
          <w:szCs w:val="32"/>
          <w:lang w:val="zh-CN" w:eastAsia="zh-CN"/>
        </w:rPr>
        <w:t>105</w:t>
      </w:r>
      <w:r>
        <w:rPr>
          <w:rFonts w:hint="eastAsia" w:ascii="仿宋" w:hAnsi="仿宋" w:eastAsia="仿宋" w:cs="仿宋"/>
          <w:color w:val="auto"/>
          <w:kern w:val="0"/>
          <w:sz w:val="32"/>
          <w:szCs w:val="32"/>
          <w:lang w:val="zh-CN"/>
        </w:rPr>
        <w:t>人，小学专任教师3</w:t>
      </w:r>
      <w:r>
        <w:rPr>
          <w:rFonts w:hint="eastAsia" w:ascii="仿宋" w:hAnsi="仿宋" w:eastAsia="仿宋" w:cs="仿宋"/>
          <w:color w:val="auto"/>
          <w:kern w:val="0"/>
          <w:sz w:val="32"/>
          <w:szCs w:val="32"/>
          <w:lang w:val="zh-CN" w:eastAsia="zh-CN"/>
        </w:rPr>
        <w:t>58</w:t>
      </w:r>
      <w:r>
        <w:rPr>
          <w:rFonts w:hint="eastAsia" w:ascii="仿宋" w:hAnsi="仿宋" w:eastAsia="仿宋" w:cs="仿宋"/>
          <w:color w:val="auto"/>
          <w:kern w:val="0"/>
          <w:sz w:val="32"/>
          <w:szCs w:val="32"/>
          <w:lang w:val="zh-CN"/>
        </w:rPr>
        <w:t>人，</w:t>
      </w:r>
      <w:r>
        <w:rPr>
          <w:rFonts w:hint="eastAsia" w:ascii="仿宋" w:hAnsi="仿宋" w:eastAsia="仿宋" w:cs="仿宋"/>
          <w:color w:val="auto"/>
          <w:kern w:val="0"/>
          <w:sz w:val="32"/>
          <w:szCs w:val="32"/>
          <w:lang w:val="zh-CN" w:eastAsia="zh-CN"/>
        </w:rPr>
        <w:t>初级</w:t>
      </w:r>
      <w:r>
        <w:rPr>
          <w:rFonts w:hint="eastAsia" w:ascii="仿宋" w:hAnsi="仿宋" w:eastAsia="仿宋" w:cs="仿宋"/>
          <w:color w:val="auto"/>
          <w:kern w:val="0"/>
          <w:sz w:val="32"/>
          <w:szCs w:val="32"/>
          <w:lang w:val="zh-CN"/>
        </w:rPr>
        <w:t>中学专任教师</w:t>
      </w:r>
      <w:r>
        <w:rPr>
          <w:rFonts w:hint="eastAsia" w:ascii="仿宋" w:hAnsi="仿宋" w:eastAsia="仿宋" w:cs="仿宋"/>
          <w:color w:val="auto"/>
          <w:kern w:val="0"/>
          <w:sz w:val="32"/>
          <w:szCs w:val="32"/>
          <w:lang w:val="zh-CN" w:eastAsia="zh-CN"/>
        </w:rPr>
        <w:t>230</w:t>
      </w:r>
      <w:r>
        <w:rPr>
          <w:rFonts w:hint="eastAsia" w:ascii="仿宋" w:hAnsi="仿宋" w:eastAsia="仿宋" w:cs="仿宋"/>
          <w:color w:val="auto"/>
          <w:kern w:val="0"/>
          <w:sz w:val="32"/>
          <w:szCs w:val="32"/>
          <w:lang w:val="zh-CN"/>
        </w:rPr>
        <w:t>人，高完中教师</w:t>
      </w:r>
      <w:r>
        <w:rPr>
          <w:rFonts w:hint="eastAsia" w:ascii="仿宋" w:hAnsi="仿宋" w:eastAsia="仿宋" w:cs="仿宋"/>
          <w:color w:val="auto"/>
          <w:kern w:val="0"/>
          <w:sz w:val="32"/>
          <w:szCs w:val="32"/>
          <w:lang w:val="zh-CN" w:eastAsia="zh-CN"/>
        </w:rPr>
        <w:t>12</w:t>
      </w:r>
      <w:r>
        <w:rPr>
          <w:rFonts w:hint="eastAsia" w:ascii="仿宋" w:hAnsi="仿宋" w:eastAsia="仿宋" w:cs="仿宋"/>
          <w:color w:val="auto"/>
          <w:kern w:val="0"/>
          <w:sz w:val="32"/>
          <w:szCs w:val="32"/>
          <w:lang w:val="zh-CN"/>
        </w:rPr>
        <w:t>人。小学师生比达到1:</w:t>
      </w:r>
      <w:r>
        <w:rPr>
          <w:rFonts w:hint="eastAsia" w:ascii="仿宋" w:hAnsi="仿宋" w:eastAsia="仿宋" w:cs="仿宋"/>
          <w:color w:val="auto"/>
          <w:kern w:val="0"/>
          <w:sz w:val="32"/>
          <w:szCs w:val="32"/>
          <w:lang w:val="zh-CN" w:eastAsia="zh-CN"/>
        </w:rPr>
        <w:t>15.04</w:t>
      </w:r>
      <w:r>
        <w:rPr>
          <w:rFonts w:hint="eastAsia" w:ascii="仿宋" w:hAnsi="仿宋" w:eastAsia="仿宋" w:cs="仿宋"/>
          <w:color w:val="auto"/>
          <w:kern w:val="0"/>
          <w:sz w:val="32"/>
          <w:szCs w:val="32"/>
          <w:lang w:val="zh-CN"/>
        </w:rPr>
        <w:t>，初中师生比为1:1</w:t>
      </w:r>
      <w:r>
        <w:rPr>
          <w:rFonts w:hint="eastAsia" w:ascii="仿宋" w:hAnsi="仿宋" w:eastAsia="仿宋" w:cs="仿宋"/>
          <w:color w:val="auto"/>
          <w:kern w:val="0"/>
          <w:sz w:val="32"/>
          <w:szCs w:val="32"/>
          <w:lang w:val="zh-CN" w:eastAsia="zh-CN"/>
        </w:rPr>
        <w:t>4</w:t>
      </w:r>
      <w:r>
        <w:rPr>
          <w:rFonts w:hint="eastAsia" w:ascii="仿宋" w:hAnsi="仿宋" w:eastAsia="仿宋" w:cs="仿宋"/>
          <w:color w:val="auto"/>
          <w:kern w:val="0"/>
          <w:sz w:val="32"/>
          <w:szCs w:val="32"/>
          <w:lang w:val="zh-CN"/>
        </w:rPr>
        <w:t>.</w:t>
      </w:r>
      <w:r>
        <w:rPr>
          <w:rFonts w:hint="eastAsia" w:ascii="仿宋" w:hAnsi="仿宋" w:eastAsia="仿宋" w:cs="仿宋"/>
          <w:color w:val="auto"/>
          <w:kern w:val="0"/>
          <w:sz w:val="32"/>
          <w:szCs w:val="32"/>
          <w:lang w:val="zh-CN" w:eastAsia="zh-CN"/>
        </w:rPr>
        <w:t>06</w:t>
      </w:r>
      <w:r>
        <w:rPr>
          <w:rFonts w:hint="eastAsia" w:ascii="仿宋" w:hAnsi="仿宋" w:eastAsia="仿宋" w:cs="仿宋"/>
          <w:color w:val="auto"/>
          <w:kern w:val="0"/>
          <w:sz w:val="32"/>
          <w:szCs w:val="32"/>
          <w:lang w:val="zh-CN"/>
        </w:rPr>
        <w:t>，按照义务教育均衡发展要求，我县中小学师生比符合国家标准。辖区内义务教育阶段入学率99.9</w:t>
      </w:r>
      <w:r>
        <w:rPr>
          <w:rFonts w:hint="eastAsia" w:ascii="仿宋" w:hAnsi="仿宋" w:eastAsia="仿宋" w:cs="仿宋"/>
          <w:color w:val="auto"/>
          <w:kern w:val="0"/>
          <w:sz w:val="32"/>
          <w:szCs w:val="32"/>
          <w:lang w:val="zh-CN" w:eastAsia="zh-CN"/>
        </w:rPr>
        <w:t>7</w:t>
      </w:r>
      <w:r>
        <w:rPr>
          <w:rFonts w:hint="eastAsia" w:ascii="仿宋" w:hAnsi="仿宋" w:eastAsia="仿宋" w:cs="仿宋"/>
          <w:color w:val="auto"/>
          <w:kern w:val="0"/>
          <w:sz w:val="32"/>
          <w:szCs w:val="32"/>
          <w:lang w:val="zh-CN"/>
        </w:rPr>
        <w:t>%，巩固率98.</w:t>
      </w:r>
      <w:r>
        <w:rPr>
          <w:rFonts w:hint="eastAsia" w:ascii="仿宋" w:hAnsi="仿宋" w:eastAsia="仿宋" w:cs="仿宋"/>
          <w:color w:val="auto"/>
          <w:kern w:val="0"/>
          <w:sz w:val="32"/>
          <w:szCs w:val="32"/>
          <w:lang w:val="zh-CN" w:eastAsia="zh-CN"/>
        </w:rPr>
        <w:t>93</w:t>
      </w:r>
      <w:r>
        <w:rPr>
          <w:rFonts w:hint="eastAsia" w:ascii="仿宋" w:hAnsi="仿宋" w:eastAsia="仿宋" w:cs="仿宋"/>
          <w:color w:val="auto"/>
          <w:kern w:val="0"/>
          <w:sz w:val="32"/>
          <w:szCs w:val="32"/>
          <w:lang w:val="zh-CN"/>
        </w:rPr>
        <w:t>%，高中阶段毛入学率9</w:t>
      </w:r>
      <w:r>
        <w:rPr>
          <w:rFonts w:hint="eastAsia" w:ascii="仿宋" w:hAnsi="仿宋" w:eastAsia="仿宋" w:cs="仿宋"/>
          <w:color w:val="auto"/>
          <w:kern w:val="0"/>
          <w:sz w:val="32"/>
          <w:szCs w:val="32"/>
          <w:lang w:val="zh-CN" w:eastAsia="zh-CN"/>
        </w:rPr>
        <w:t>4</w:t>
      </w:r>
      <w:r>
        <w:rPr>
          <w:rFonts w:hint="eastAsia" w:ascii="仿宋" w:hAnsi="仿宋" w:eastAsia="仿宋" w:cs="仿宋"/>
          <w:color w:val="auto"/>
          <w:kern w:val="0"/>
          <w:sz w:val="32"/>
          <w:szCs w:val="32"/>
          <w:lang w:val="zh-CN"/>
        </w:rPr>
        <w:t>.</w:t>
      </w:r>
      <w:r>
        <w:rPr>
          <w:rFonts w:hint="eastAsia" w:ascii="仿宋" w:hAnsi="仿宋" w:eastAsia="仿宋" w:cs="仿宋"/>
          <w:color w:val="auto"/>
          <w:kern w:val="0"/>
          <w:sz w:val="32"/>
          <w:szCs w:val="32"/>
          <w:lang w:val="zh-CN" w:eastAsia="zh-CN"/>
        </w:rPr>
        <w:t>8</w:t>
      </w:r>
      <w:r>
        <w:rPr>
          <w:rFonts w:hint="eastAsia" w:ascii="仿宋" w:hAnsi="仿宋" w:eastAsia="仿宋" w:cs="仿宋"/>
          <w:color w:val="auto"/>
          <w:kern w:val="0"/>
          <w:sz w:val="32"/>
          <w:szCs w:val="32"/>
          <w:lang w:val="zh-CN"/>
        </w:rPr>
        <w:t>5%，残疾儿童入学率100%。</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firstLine="642" w:firstLineChars="200"/>
        <w:jc w:val="both"/>
        <w:textAlignment w:val="auto"/>
        <w:rPr>
          <w:rFonts w:hint="eastAsia" w:ascii="仿宋" w:hAnsi="仿宋" w:eastAsia="仿宋" w:cs="仿宋"/>
          <w:sz w:val="32"/>
          <w:szCs w:val="32"/>
        </w:rPr>
      </w:pPr>
      <w:r>
        <w:rPr>
          <w:rFonts w:ascii="Times New Roman" w:hAnsi="Times New Roman" w:eastAsia="仿宋_GB2312" w:cs="Times New Roman"/>
          <w:b/>
          <w:color w:val="auto"/>
          <w:kern w:val="0"/>
          <w:sz w:val="32"/>
          <w:szCs w:val="32"/>
          <w:lang w:val="zh-CN"/>
        </w:rPr>
        <w:t>【</w:t>
      </w:r>
      <w:r>
        <w:rPr>
          <w:rFonts w:ascii="楷体_GB2312" w:hAnsi="楷体_GB2312" w:eastAsia="楷体_GB2312" w:cs="楷体_GB2312"/>
          <w:b/>
          <w:bCs/>
          <w:color w:val="auto"/>
          <w:sz w:val="32"/>
          <w:szCs w:val="32"/>
          <w:shd w:val="clear" w:color="auto" w:fill="FFFFFF"/>
          <w:lang w:val="zh-CN"/>
        </w:rPr>
        <w:t>科  技</w:t>
      </w:r>
      <w:r>
        <w:rPr>
          <w:rFonts w:ascii="Times New Roman" w:hAnsi="Times New Roman" w:eastAsia="仿宋_GB2312" w:cs="Times New Roman"/>
          <w:b/>
          <w:color w:val="auto"/>
          <w:kern w:val="0"/>
          <w:sz w:val="32"/>
          <w:szCs w:val="32"/>
          <w:lang w:val="zh-CN"/>
        </w:rPr>
        <w:t>】</w:t>
      </w:r>
      <w:r>
        <w:rPr>
          <w:rFonts w:hint="eastAsia" w:ascii="仿宋" w:hAnsi="仿宋" w:eastAsia="仿宋" w:cs="仿宋"/>
          <w:sz w:val="32"/>
          <w:szCs w:val="32"/>
        </w:rPr>
        <w:t>全产业链高质量发展项目，项目总投资575万元，搭建产学研合作交流平台</w:t>
      </w:r>
      <w:r>
        <w:rPr>
          <w:rFonts w:hint="eastAsia" w:ascii="仿宋" w:hAnsi="仿宋" w:eastAsia="仿宋" w:cs="仿宋"/>
          <w:sz w:val="32"/>
          <w:szCs w:val="32"/>
          <w:lang w:val="en-US" w:eastAsia="zh-CN"/>
        </w:rPr>
        <w:t>,</w:t>
      </w:r>
      <w:r>
        <w:rPr>
          <w:rFonts w:hint="eastAsia" w:ascii="仿宋" w:hAnsi="仿宋" w:eastAsia="仿宋" w:cs="仿宋"/>
          <w:sz w:val="32"/>
          <w:szCs w:val="32"/>
        </w:rPr>
        <w:t>制定壤塘县道地中药材全产业链高质量发展“十四五”及中长期发展规划</w:t>
      </w:r>
      <w:r>
        <w:rPr>
          <w:rFonts w:hint="eastAsia" w:ascii="仿宋" w:hAnsi="仿宋" w:eastAsia="仿宋" w:cs="仿宋"/>
          <w:sz w:val="32"/>
          <w:szCs w:val="32"/>
          <w:lang w:val="en-US" w:eastAsia="zh-CN"/>
        </w:rPr>
        <w:t>,</w:t>
      </w:r>
      <w:r>
        <w:rPr>
          <w:rFonts w:hint="eastAsia" w:ascii="仿宋" w:hAnsi="仿宋" w:eastAsia="仿宋" w:cs="仿宋"/>
          <w:sz w:val="32"/>
          <w:szCs w:val="32"/>
        </w:rPr>
        <w:t>示范种植基地建设壤塘县上杜</w:t>
      </w:r>
      <w:r>
        <w:rPr>
          <w:rFonts w:hint="eastAsia" w:ascii="仿宋" w:hAnsi="仿宋" w:eastAsia="仿宋" w:cs="仿宋"/>
          <w:sz w:val="32"/>
          <w:szCs w:val="32"/>
          <w:lang w:eastAsia="zh-CN"/>
        </w:rPr>
        <w:t>柯</w:t>
      </w:r>
      <w:r>
        <w:rPr>
          <w:rFonts w:hint="eastAsia" w:ascii="仿宋" w:hAnsi="仿宋" w:eastAsia="仿宋" w:cs="仿宋"/>
          <w:sz w:val="32"/>
          <w:szCs w:val="32"/>
        </w:rPr>
        <w:t>乡25亩，岗木达镇农业科技示范园区125亩。岗木达的园区包括中药材资源圃2亩，羌活、甘松、川赤芍新品种育（引）种圃3亩，品种园5亩，羌活育苗圃5亩，种植示范基地110亩；生产羌活种苗50万株，培育壤塘县道地药材全值化产品3个。</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firstLine="640" w:firstLineChars="200"/>
        <w:jc w:val="both"/>
        <w:textAlignment w:val="auto"/>
        <w:rPr>
          <w:rFonts w:ascii="Times New Roman" w:hAnsi="Times New Roman" w:eastAsia="仿宋" w:cs="Times New Roman"/>
          <w:b/>
          <w:color w:val="auto"/>
          <w:kern w:val="0"/>
          <w:sz w:val="36"/>
          <w:szCs w:val="36"/>
          <w:lang w:val="zh-CN"/>
        </w:rPr>
      </w:pPr>
      <w:r>
        <w:rPr>
          <w:rFonts w:hint="eastAsia" w:ascii="仿宋" w:hAnsi="仿宋" w:eastAsia="仿宋" w:cs="仿宋"/>
          <w:color w:val="auto"/>
          <w:sz w:val="32"/>
          <w:szCs w:val="32"/>
          <w:u w:val="none"/>
          <w:lang w:eastAsia="zh-CN"/>
        </w:rPr>
        <w:t>全县</w:t>
      </w:r>
      <w:r>
        <w:rPr>
          <w:rFonts w:hint="eastAsia" w:ascii="仿宋" w:hAnsi="仿宋" w:eastAsia="仿宋" w:cs="仿宋"/>
          <w:color w:val="auto"/>
          <w:sz w:val="32"/>
          <w:szCs w:val="32"/>
          <w:u w:val="none"/>
        </w:rPr>
        <w:t>认定县级现代农业园区3个：蔬菜现代农业园区、中蜂现代农业园区</w:t>
      </w:r>
      <w:r>
        <w:rPr>
          <w:rFonts w:hint="eastAsia" w:ascii="仿宋" w:hAnsi="仿宋" w:eastAsia="仿宋" w:cs="仿宋"/>
          <w:color w:val="auto"/>
          <w:sz w:val="32"/>
          <w:szCs w:val="32"/>
          <w:u w:val="none"/>
          <w:lang w:eastAsia="zh-CN"/>
        </w:rPr>
        <w:t>、</w:t>
      </w:r>
      <w:r>
        <w:rPr>
          <w:rFonts w:hint="eastAsia" w:ascii="仿宋" w:hAnsi="仿宋" w:eastAsia="仿宋" w:cs="仿宋"/>
          <w:color w:val="auto"/>
          <w:sz w:val="32"/>
          <w:szCs w:val="32"/>
          <w:u w:val="none"/>
        </w:rPr>
        <w:t>青稞现代农业园区；州级现代农业园区2个：壤巴拉高原双低油菜现代农业园区、壤巴拉牦牛现代农业园区。</w:t>
      </w:r>
      <w:r>
        <w:rPr>
          <w:rFonts w:hint="eastAsia" w:ascii="仿宋" w:hAnsi="仿宋" w:eastAsia="仿宋" w:cs="仿宋"/>
          <w:color w:val="auto"/>
          <w:sz w:val="32"/>
          <w:szCs w:val="32"/>
          <w:shd w:val="clear" w:color="auto" w:fill="FFFFFF"/>
          <w:lang w:val="zh-CN"/>
        </w:rPr>
        <w:t>全县共有专业技术人员</w:t>
      </w:r>
      <w:r>
        <w:rPr>
          <w:rFonts w:hint="eastAsia" w:ascii="仿宋" w:hAnsi="仿宋" w:eastAsia="仿宋" w:cs="仿宋"/>
          <w:color w:val="auto"/>
          <w:sz w:val="32"/>
          <w:szCs w:val="32"/>
          <w:shd w:val="clear" w:color="auto" w:fill="FFFFFF"/>
          <w:lang w:val="en-US" w:eastAsia="zh-CN"/>
        </w:rPr>
        <w:t>1331</w:t>
      </w:r>
      <w:r>
        <w:rPr>
          <w:rFonts w:hint="eastAsia" w:ascii="仿宋" w:hAnsi="仿宋" w:eastAsia="仿宋" w:cs="仿宋"/>
          <w:color w:val="auto"/>
          <w:sz w:val="32"/>
          <w:szCs w:val="32"/>
          <w:shd w:val="clear" w:color="auto" w:fill="FFFFFF"/>
          <w:lang w:val="zh-CN"/>
        </w:rPr>
        <w:t>人，其中农业技术人员1</w:t>
      </w:r>
      <w:r>
        <w:rPr>
          <w:rFonts w:hint="eastAsia" w:ascii="仿宋" w:hAnsi="仿宋" w:eastAsia="仿宋" w:cs="仿宋"/>
          <w:color w:val="auto"/>
          <w:sz w:val="32"/>
          <w:szCs w:val="32"/>
          <w:shd w:val="clear" w:color="auto" w:fill="FFFFFF"/>
          <w:lang w:val="en-US" w:eastAsia="zh-CN"/>
        </w:rPr>
        <w:t>05</w:t>
      </w:r>
      <w:r>
        <w:rPr>
          <w:rFonts w:hint="eastAsia" w:ascii="仿宋" w:hAnsi="仿宋" w:eastAsia="仿宋" w:cs="仿宋"/>
          <w:color w:val="auto"/>
          <w:sz w:val="32"/>
          <w:szCs w:val="32"/>
          <w:shd w:val="clear" w:color="auto" w:fill="FFFFFF"/>
          <w:lang w:val="zh-CN"/>
        </w:rPr>
        <w:t>人。</w:t>
      </w:r>
    </w:p>
    <w:p>
      <w:pPr>
        <w:widowControl/>
        <w:numPr>
          <w:ilvl w:val="0"/>
          <w:numId w:val="4"/>
        </w:numPr>
        <w:adjustRightInd w:val="0"/>
        <w:spacing w:line="560" w:lineRule="exact"/>
        <w:jc w:val="center"/>
        <w:rPr>
          <w:rFonts w:ascii="黑体" w:hAnsi="黑体" w:eastAsia="黑体" w:cs="黑体"/>
          <w:b/>
          <w:color w:val="auto"/>
          <w:kern w:val="0"/>
          <w:sz w:val="36"/>
          <w:szCs w:val="36"/>
          <w:lang w:val="zh-CN"/>
        </w:rPr>
      </w:pPr>
      <w:r>
        <w:rPr>
          <w:rFonts w:ascii="黑体" w:hAnsi="黑体" w:eastAsia="黑体" w:cs="黑体"/>
          <w:b/>
          <w:color w:val="auto"/>
          <w:kern w:val="0"/>
          <w:sz w:val="36"/>
          <w:szCs w:val="36"/>
          <w:lang w:val="zh-CN"/>
        </w:rPr>
        <w:t>文</w:t>
      </w:r>
      <w:r>
        <w:rPr>
          <w:rFonts w:hint="eastAsia" w:ascii="黑体" w:hAnsi="黑体" w:eastAsia="黑体" w:cs="黑体"/>
          <w:b/>
          <w:color w:val="auto"/>
          <w:kern w:val="0"/>
          <w:sz w:val="36"/>
          <w:szCs w:val="36"/>
          <w:lang w:val="zh-CN"/>
        </w:rPr>
        <w:t>旅</w:t>
      </w:r>
      <w:r>
        <w:rPr>
          <w:rFonts w:ascii="黑体" w:hAnsi="黑体" w:eastAsia="黑体" w:cs="黑体"/>
          <w:b/>
          <w:color w:val="auto"/>
          <w:kern w:val="0"/>
          <w:sz w:val="36"/>
          <w:szCs w:val="36"/>
          <w:lang w:val="zh-CN"/>
        </w:rPr>
        <w:t>体育和卫生</w:t>
      </w:r>
    </w:p>
    <w:p>
      <w:pPr>
        <w:pStyle w:val="12"/>
        <w:ind w:left="0" w:leftChars="0" w:firstLine="0" w:firstLineChars="0"/>
        <w:rPr>
          <w:color w:val="auto"/>
          <w:lang w:val="zh-CN"/>
        </w:rPr>
      </w:pPr>
    </w:p>
    <w:p>
      <w:pPr>
        <w:spacing w:line="560" w:lineRule="exact"/>
        <w:ind w:firstLine="642" w:firstLineChars="200"/>
        <w:rPr>
          <w:rFonts w:hint="eastAsia" w:ascii="仿宋" w:hAnsi="仿宋" w:eastAsia="仿宋" w:cs="仿宋"/>
          <w:color w:val="auto"/>
          <w:sz w:val="32"/>
          <w:szCs w:val="32"/>
          <w:shd w:val="clear" w:color="auto" w:fill="FFFFFF"/>
        </w:rPr>
      </w:pPr>
      <w:r>
        <w:rPr>
          <w:rFonts w:ascii="Times New Roman" w:hAnsi="Times New Roman" w:eastAsia="宋体" w:cs="Times New Roman"/>
          <w:b/>
          <w:color w:val="auto"/>
          <w:kern w:val="0"/>
          <w:sz w:val="32"/>
          <w:szCs w:val="32"/>
          <w:lang w:val="zh-CN"/>
        </w:rPr>
        <w:t>【</w:t>
      </w:r>
      <w:r>
        <w:rPr>
          <w:rFonts w:ascii="楷体_GB2312" w:hAnsi="楷体_GB2312" w:eastAsia="楷体_GB2312" w:cs="楷体_GB2312"/>
          <w:b/>
          <w:bCs/>
          <w:color w:val="auto"/>
          <w:sz w:val="32"/>
          <w:szCs w:val="32"/>
          <w:shd w:val="clear" w:color="auto" w:fill="FFFFFF"/>
        </w:rPr>
        <w:t xml:space="preserve">文  </w:t>
      </w:r>
      <w:r>
        <w:rPr>
          <w:rFonts w:hint="eastAsia" w:ascii="楷体_GB2312" w:hAnsi="楷体_GB2312" w:eastAsia="楷体_GB2312" w:cs="楷体_GB2312"/>
          <w:b/>
          <w:bCs/>
          <w:color w:val="auto"/>
          <w:sz w:val="32"/>
          <w:szCs w:val="32"/>
          <w:shd w:val="clear" w:color="auto" w:fill="FFFFFF"/>
        </w:rPr>
        <w:t>旅</w:t>
      </w:r>
      <w:r>
        <w:rPr>
          <w:rFonts w:ascii="Times New Roman" w:hAnsi="Times New Roman" w:eastAsia="宋体" w:cs="Times New Roman"/>
          <w:b/>
          <w:color w:val="auto"/>
          <w:kern w:val="0"/>
          <w:sz w:val="32"/>
          <w:szCs w:val="32"/>
          <w:lang w:val="zh-CN"/>
        </w:rPr>
        <w:t>】</w:t>
      </w:r>
      <w:r>
        <w:rPr>
          <w:rFonts w:hint="eastAsia" w:ascii="仿宋" w:hAnsi="仿宋" w:eastAsia="仿宋" w:cs="仿宋"/>
          <w:color w:val="auto"/>
          <w:sz w:val="32"/>
          <w:szCs w:val="32"/>
          <w:shd w:val="clear" w:color="auto" w:fill="FFFFFF"/>
        </w:rPr>
        <w:t>年末</w:t>
      </w:r>
      <w:r>
        <w:rPr>
          <w:rFonts w:hint="eastAsia" w:ascii="仿宋" w:hAnsi="仿宋" w:eastAsia="仿宋" w:cs="仿宋"/>
          <w:color w:val="auto"/>
          <w:sz w:val="32"/>
          <w:szCs w:val="32"/>
          <w:shd w:val="clear" w:color="auto" w:fill="FFFFFF"/>
          <w:lang w:val="en-US" w:eastAsia="zh-CN"/>
        </w:rPr>
        <w:t>,</w:t>
      </w:r>
      <w:r>
        <w:rPr>
          <w:rFonts w:hint="eastAsia" w:ascii="仿宋" w:hAnsi="仿宋" w:eastAsia="仿宋" w:cs="仿宋"/>
          <w:color w:val="auto"/>
          <w:sz w:val="32"/>
          <w:szCs w:val="32"/>
          <w:shd w:val="clear" w:color="auto" w:fill="FFFFFF"/>
        </w:rPr>
        <w:t>全县有公共图书馆1个，图书藏量4.6万余册，阅览室座席数30个，影剧院1个，体育馆1个，乡镇文化站11个，县内全国重点文物保护单位3个，省级文物保护单位1个，州级文物保护单位4个。我县有A级景区共5个，其中：3A级景区4个（棒托石刻公园文化旅游景区、曾克寺文化旅游景区、壤塘县日斯满巴碉房文化旅游景区、森工记忆文化旅游景区），4A级景区1个（壤巴拉文化旅游景区)，高原林海省级生态旅游示范区1个。</w:t>
      </w:r>
    </w:p>
    <w:p>
      <w:pPr>
        <w:spacing w:line="56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持续实施“两馆一站”及体育馆免开，面向所有青少年开展声乐、器乐、舞蹈、戏曲等的科目培训。成功承办“喜迎建州70周年”、2023年壤巴拉节暨“两联一进”干群联谊活动、阿坝州非遗保护工作现场会，并积极组织200余名干部职工及群众参与“壮丽辉煌七十年 感恩奋进新阿坝”建州70周年庆祝大会大型非遗巡游、庆祝大会文艺演出，组织各传习所参加2023年阿坝州非物质文化遗产展示展演活动。</w:t>
      </w:r>
    </w:p>
    <w:p>
      <w:pPr>
        <w:spacing w:line="560" w:lineRule="exact"/>
        <w:ind w:firstLine="640" w:firstLineChars="200"/>
        <w:rPr>
          <w:rFonts w:hint="eastAsia" w:ascii="仿宋" w:hAnsi="仿宋" w:eastAsia="仿宋" w:cs="仿宋"/>
          <w:color w:val="auto"/>
          <w:kern w:val="0"/>
          <w:sz w:val="32"/>
          <w:szCs w:val="32"/>
        </w:rPr>
      </w:pPr>
      <w:r>
        <w:rPr>
          <w:rFonts w:hint="eastAsia" w:ascii="仿宋" w:hAnsi="仿宋" w:eastAsia="仿宋" w:cs="仿宋"/>
          <w:sz w:val="32"/>
          <w:szCs w:val="32"/>
        </w:rPr>
        <w:t>认定公布第六批县级非物质文化遗产代表性传承</w:t>
      </w:r>
      <w:r>
        <w:rPr>
          <w:rFonts w:hint="eastAsia" w:ascii="仿宋" w:hAnsi="仿宋" w:eastAsia="仿宋" w:cs="仿宋"/>
          <w:sz w:val="32"/>
          <w:szCs w:val="32"/>
          <w:lang w:eastAsia="zh-CN"/>
        </w:rPr>
        <w:t>人藏医药类</w:t>
      </w:r>
      <w:r>
        <w:rPr>
          <w:rFonts w:hint="eastAsia" w:ascii="仿宋" w:hAnsi="仿宋" w:eastAsia="仿宋" w:cs="仿宋"/>
          <w:sz w:val="32"/>
          <w:szCs w:val="32"/>
          <w:lang w:val="en-US" w:eastAsia="zh-CN"/>
        </w:rPr>
        <w:t>3名，</w:t>
      </w:r>
      <w:r>
        <w:rPr>
          <w:rFonts w:hint="eastAsia" w:ascii="仿宋" w:hAnsi="仿宋" w:eastAsia="仿宋" w:cs="仿宋"/>
          <w:bCs/>
          <w:sz w:val="32"/>
          <w:szCs w:val="32"/>
        </w:rPr>
        <w:t>擦擦、</w:t>
      </w:r>
      <w:r>
        <w:rPr>
          <w:rFonts w:hint="eastAsia" w:ascii="仿宋" w:hAnsi="仿宋" w:eastAsia="仿宋" w:cs="仿宋"/>
          <w:bCs/>
          <w:sz w:val="32"/>
          <w:szCs w:val="32"/>
          <w:lang w:val="en-US" w:eastAsia="zh-CN"/>
        </w:rPr>
        <w:t>觉囊唐卡、藏陶等县级非遗工坊15个，壤巴拉藏陶非遗工坊成功申报为四川省优秀非遗工坊，</w:t>
      </w:r>
      <w:r>
        <w:rPr>
          <w:rFonts w:hint="eastAsia" w:ascii="仿宋" w:hAnsi="仿宋" w:eastAsia="仿宋" w:cs="仿宋"/>
          <w:color w:val="000000"/>
          <w:kern w:val="0"/>
          <w:sz w:val="32"/>
          <w:szCs w:val="32"/>
          <w:lang w:val="en-US" w:eastAsia="zh-CN" w:bidi="ar"/>
        </w:rPr>
        <w:t>阿如藏藏药浴申报为四川省中医药健康旅游示范基地</w:t>
      </w:r>
      <w:r>
        <w:rPr>
          <w:rFonts w:hint="eastAsia" w:ascii="仿宋" w:hAnsi="仿宋" w:eastAsia="仿宋" w:cs="仿宋"/>
          <w:bCs/>
          <w:sz w:val="32"/>
          <w:szCs w:val="32"/>
          <w:lang w:val="en-US" w:eastAsia="zh-CN"/>
        </w:rPr>
        <w:t>。</w:t>
      </w:r>
      <w:r>
        <w:rPr>
          <w:rFonts w:hint="eastAsia" w:ascii="仿宋" w:hAnsi="仿宋" w:eastAsia="仿宋" w:cs="仿宋"/>
          <w:sz w:val="32"/>
          <w:szCs w:val="32"/>
        </w:rPr>
        <w:t>推动</w:t>
      </w:r>
      <w:r>
        <w:rPr>
          <w:rFonts w:hint="eastAsia" w:ascii="仿宋" w:hAnsi="仿宋" w:eastAsia="仿宋" w:cs="仿宋"/>
          <w:sz w:val="32"/>
          <w:szCs w:val="32"/>
          <w:lang w:eastAsia="zh-CN"/>
        </w:rPr>
        <w:t>壤巴拉</w:t>
      </w:r>
      <w:r>
        <w:rPr>
          <w:rFonts w:hint="eastAsia" w:ascii="仿宋" w:hAnsi="仿宋" w:eastAsia="仿宋" w:cs="仿宋"/>
          <w:sz w:val="32"/>
          <w:szCs w:val="32"/>
          <w:lang w:val="en-US" w:eastAsia="zh-CN"/>
        </w:rPr>
        <w:t>·卓珍唐卡艺术展和</w:t>
      </w:r>
      <w:r>
        <w:rPr>
          <w:rFonts w:hint="eastAsia" w:ascii="仿宋" w:hAnsi="仿宋" w:eastAsia="仿宋" w:cs="仿宋"/>
          <w:sz w:val="32"/>
          <w:szCs w:val="32"/>
        </w:rPr>
        <w:t>本地文化书籍《山水文化》</w:t>
      </w:r>
      <w:r>
        <w:rPr>
          <w:rFonts w:hint="eastAsia" w:ascii="仿宋" w:hAnsi="仿宋" w:eastAsia="仿宋" w:cs="仿宋"/>
          <w:sz w:val="32"/>
          <w:szCs w:val="32"/>
          <w:lang w:eastAsia="zh-CN"/>
        </w:rPr>
        <w:t>新书发布会召开。组织参加</w:t>
      </w:r>
      <w:r>
        <w:rPr>
          <w:rFonts w:hint="eastAsia" w:ascii="仿宋" w:hAnsi="仿宋" w:eastAsia="仿宋" w:cs="仿宋"/>
          <w:sz w:val="32"/>
          <w:szCs w:val="32"/>
        </w:rPr>
        <w:t>2023年壤塘县文化借船出海活动“佛山行、无锡行、宁波行、温州行、上海特展、杭州</w:t>
      </w:r>
      <w:r>
        <w:rPr>
          <w:rFonts w:hint="eastAsia" w:ascii="仿宋" w:hAnsi="仿宋" w:eastAsia="仿宋" w:cs="仿宋"/>
          <w:sz w:val="32"/>
          <w:szCs w:val="32"/>
          <w:lang w:eastAsia="zh-CN"/>
        </w:rPr>
        <w:t>‘</w:t>
      </w:r>
      <w:r>
        <w:rPr>
          <w:rFonts w:hint="eastAsia" w:ascii="仿宋" w:hAnsi="仿宋" w:eastAsia="仿宋" w:cs="仿宋"/>
          <w:sz w:val="32"/>
          <w:szCs w:val="32"/>
        </w:rPr>
        <w:t>藏风宋韵</w:t>
      </w:r>
      <w:r>
        <w:rPr>
          <w:rFonts w:hint="eastAsia" w:ascii="仿宋" w:hAnsi="仿宋" w:eastAsia="仿宋" w:cs="仿宋"/>
          <w:sz w:val="32"/>
          <w:szCs w:val="32"/>
          <w:lang w:eastAsia="zh-CN"/>
        </w:rPr>
        <w:t>’</w:t>
      </w:r>
      <w:r>
        <w:rPr>
          <w:rFonts w:hint="eastAsia" w:ascii="仿宋" w:hAnsi="仿宋" w:eastAsia="仿宋" w:cs="仿宋"/>
          <w:sz w:val="32"/>
          <w:szCs w:val="32"/>
        </w:rPr>
        <w:t>展陈</w:t>
      </w:r>
      <w:r>
        <w:rPr>
          <w:rFonts w:hint="eastAsia" w:ascii="仿宋" w:hAnsi="仿宋" w:eastAsia="仿宋" w:cs="仿宋"/>
          <w:sz w:val="32"/>
          <w:szCs w:val="32"/>
          <w:lang w:eastAsia="zh-CN"/>
        </w:rPr>
        <w:t>”</w:t>
      </w:r>
      <w:r>
        <w:rPr>
          <w:rFonts w:hint="eastAsia" w:ascii="仿宋" w:hAnsi="仿宋" w:eastAsia="仿宋" w:cs="仿宋"/>
          <w:sz w:val="32"/>
          <w:szCs w:val="32"/>
        </w:rPr>
        <w:t>等开展十余次壤巴拉非遗展览活动。</w:t>
      </w:r>
      <w:r>
        <w:rPr>
          <w:rFonts w:hint="eastAsia" w:ascii="仿宋" w:hAnsi="仿宋" w:eastAsia="仿宋" w:cs="仿宋"/>
          <w:kern w:val="2"/>
          <w:sz w:val="32"/>
          <w:szCs w:val="32"/>
          <w:lang w:val="en-US" w:eastAsia="zh-CN" w:bidi="ar-SA"/>
        </w:rPr>
        <w:t>壤巴拉文化研究中心被评为2023年阿坝州非遗进校园优秀研学基地；壤巴拉非遗创业园获得2023年阿坝州非遗进校园传承教育实践基地。</w:t>
      </w:r>
    </w:p>
    <w:p>
      <w:pPr>
        <w:spacing w:line="540" w:lineRule="exact"/>
        <w:ind w:firstLine="642" w:firstLineChars="200"/>
        <w:rPr>
          <w:rFonts w:hint="eastAsia" w:ascii="仿宋" w:hAnsi="仿宋" w:eastAsia="仿宋" w:cs="仿宋"/>
          <w:sz w:val="32"/>
          <w:szCs w:val="32"/>
        </w:rPr>
      </w:pPr>
      <w:r>
        <w:rPr>
          <w:rFonts w:ascii="Times New Roman" w:hAnsi="Times New Roman" w:eastAsia="宋体" w:cs="Times New Roman"/>
          <w:b/>
          <w:color w:val="auto"/>
          <w:kern w:val="0"/>
          <w:sz w:val="32"/>
          <w:szCs w:val="32"/>
          <w:lang w:val="zh-CN"/>
        </w:rPr>
        <w:t>【</w:t>
      </w:r>
      <w:r>
        <w:rPr>
          <w:rFonts w:hint="eastAsia" w:ascii="楷体_GB2312" w:hAnsi="楷体_GB2312" w:eastAsia="楷体_GB2312" w:cs="楷体_GB2312"/>
          <w:b/>
          <w:bCs/>
          <w:color w:val="auto"/>
          <w:sz w:val="32"/>
          <w:szCs w:val="32"/>
          <w:shd w:val="clear" w:color="auto" w:fill="FFFFFF"/>
          <w:lang w:val="zh-CN"/>
        </w:rPr>
        <w:t>卫</w:t>
      </w:r>
      <w:r>
        <w:rPr>
          <w:rFonts w:hint="eastAsia" w:ascii="楷体_GB2312" w:hAnsi="楷体_GB2312" w:eastAsia="楷体_GB2312" w:cs="楷体_GB2312"/>
          <w:b/>
          <w:bCs/>
          <w:color w:val="auto"/>
          <w:sz w:val="32"/>
          <w:szCs w:val="32"/>
          <w:shd w:val="clear" w:color="auto" w:fill="FFFFFF"/>
          <w:lang w:val="en-US" w:eastAsia="zh-CN"/>
        </w:rPr>
        <w:t xml:space="preserve">  </w:t>
      </w:r>
      <w:r>
        <w:rPr>
          <w:rFonts w:hint="eastAsia" w:ascii="楷体_GB2312" w:hAnsi="楷体_GB2312" w:eastAsia="楷体_GB2312" w:cs="楷体_GB2312"/>
          <w:b/>
          <w:bCs/>
          <w:color w:val="auto"/>
          <w:sz w:val="32"/>
          <w:szCs w:val="32"/>
          <w:shd w:val="clear" w:color="auto" w:fill="FFFFFF"/>
          <w:lang w:val="zh-CN"/>
        </w:rPr>
        <w:t>生</w:t>
      </w:r>
      <w:r>
        <w:rPr>
          <w:rFonts w:ascii="Times New Roman" w:hAnsi="Times New Roman" w:eastAsia="宋体" w:cs="Times New Roman"/>
          <w:b/>
          <w:color w:val="auto"/>
          <w:kern w:val="0"/>
          <w:sz w:val="32"/>
          <w:szCs w:val="32"/>
          <w:lang w:val="zh-CN"/>
        </w:rPr>
        <w:t>】</w:t>
      </w:r>
      <w:r>
        <w:rPr>
          <w:rFonts w:hint="eastAsia" w:ascii="仿宋" w:hAnsi="仿宋" w:eastAsia="仿宋" w:cs="仿宋"/>
          <w:sz w:val="32"/>
          <w:szCs w:val="32"/>
        </w:rPr>
        <w:t>年末</w:t>
      </w:r>
      <w:r>
        <w:rPr>
          <w:rFonts w:hint="eastAsia" w:ascii="仿宋" w:hAnsi="仿宋" w:eastAsia="仿宋" w:cs="仿宋"/>
          <w:sz w:val="32"/>
          <w:szCs w:val="32"/>
          <w:lang w:val="en-US" w:eastAsia="zh-CN"/>
        </w:rPr>
        <w:t>,</w:t>
      </w:r>
      <w:r>
        <w:rPr>
          <w:rFonts w:hint="eastAsia" w:ascii="仿宋" w:hAnsi="仿宋" w:eastAsia="仿宋" w:cs="仿宋"/>
          <w:sz w:val="32"/>
          <w:szCs w:val="32"/>
        </w:rPr>
        <w:t>全县有卫生机构66个（含村卫生室），其中县级医疗卫生机构4所，基层卫生院13所（12个卫生院，1个社区卫生服务中心），村卫生室49个。开放床位268张，其中：医院198张，乡镇卫生院60张，妇幼保健院10张。卫生技术人员298人。其中：执业医师20人，执业助理医师43人。每千人拥有床位数5.</w:t>
      </w:r>
      <w:r>
        <w:rPr>
          <w:rFonts w:hint="eastAsia" w:ascii="仿宋" w:hAnsi="仿宋" w:eastAsia="仿宋" w:cs="仿宋"/>
          <w:sz w:val="32"/>
          <w:szCs w:val="32"/>
          <w:lang w:val="en-US" w:eastAsia="zh-CN"/>
        </w:rPr>
        <w:t>4</w:t>
      </w:r>
      <w:r>
        <w:rPr>
          <w:rFonts w:hint="eastAsia" w:ascii="仿宋" w:hAnsi="仿宋" w:eastAsia="仿宋" w:cs="仿宋"/>
          <w:sz w:val="32"/>
          <w:szCs w:val="32"/>
        </w:rPr>
        <w:t>张，每千人拥有卫生技术员6人。全年总诊疗人次</w:t>
      </w:r>
      <w:r>
        <w:rPr>
          <w:rFonts w:hint="eastAsia" w:ascii="仿宋" w:hAnsi="仿宋" w:eastAsia="仿宋" w:cs="仿宋"/>
          <w:sz w:val="32"/>
          <w:szCs w:val="32"/>
          <w:lang w:val="en-US" w:eastAsia="zh-CN"/>
        </w:rPr>
        <w:t>9.59</w:t>
      </w:r>
      <w:r>
        <w:rPr>
          <w:rFonts w:hint="eastAsia" w:ascii="仿宋" w:hAnsi="仿宋" w:eastAsia="仿宋" w:cs="仿宋"/>
          <w:sz w:val="32"/>
          <w:szCs w:val="32"/>
        </w:rPr>
        <w:t>万人次，比上年</w:t>
      </w:r>
      <w:r>
        <w:rPr>
          <w:rFonts w:hint="eastAsia" w:ascii="仿宋" w:hAnsi="仿宋" w:eastAsia="仿宋" w:cs="仿宋"/>
          <w:sz w:val="32"/>
          <w:szCs w:val="32"/>
          <w:lang w:eastAsia="zh-CN"/>
        </w:rPr>
        <w:t>下降</w:t>
      </w:r>
      <w:r>
        <w:rPr>
          <w:rFonts w:hint="eastAsia" w:ascii="仿宋" w:hAnsi="仿宋" w:eastAsia="仿宋" w:cs="仿宋"/>
          <w:sz w:val="32"/>
          <w:szCs w:val="32"/>
          <w:lang w:val="en-US" w:eastAsia="zh-CN"/>
        </w:rPr>
        <w:t>2.6</w:t>
      </w:r>
      <w:r>
        <w:rPr>
          <w:rFonts w:hint="eastAsia" w:ascii="仿宋" w:hAnsi="仿宋" w:eastAsia="仿宋" w:cs="仿宋"/>
          <w:sz w:val="32"/>
          <w:szCs w:val="32"/>
        </w:rPr>
        <w:t>%，住院入院人次</w:t>
      </w:r>
      <w:r>
        <w:rPr>
          <w:rFonts w:hint="eastAsia" w:ascii="仿宋" w:hAnsi="仿宋" w:eastAsia="仿宋" w:cs="仿宋"/>
          <w:sz w:val="32"/>
          <w:szCs w:val="32"/>
          <w:lang w:val="en-US" w:eastAsia="zh-CN"/>
        </w:rPr>
        <w:t>0.32</w:t>
      </w:r>
      <w:r>
        <w:rPr>
          <w:rFonts w:hint="eastAsia" w:ascii="仿宋" w:hAnsi="仿宋" w:eastAsia="仿宋" w:cs="仿宋"/>
          <w:sz w:val="32"/>
          <w:szCs w:val="32"/>
        </w:rPr>
        <w:t>万人次，</w:t>
      </w:r>
      <w:r>
        <w:rPr>
          <w:rFonts w:hint="eastAsia" w:ascii="仿宋" w:hAnsi="仿宋" w:eastAsia="仿宋" w:cs="仿宋"/>
          <w:sz w:val="32"/>
          <w:szCs w:val="32"/>
          <w:lang w:eastAsia="zh-CN"/>
        </w:rPr>
        <w:t>增长</w:t>
      </w:r>
      <w:r>
        <w:rPr>
          <w:rFonts w:hint="eastAsia" w:ascii="仿宋" w:hAnsi="仿宋" w:eastAsia="仿宋" w:cs="仿宋"/>
          <w:sz w:val="32"/>
          <w:szCs w:val="32"/>
          <w:lang w:val="en-US" w:eastAsia="zh-CN"/>
        </w:rPr>
        <w:t>3.2</w:t>
      </w:r>
      <w:r>
        <w:rPr>
          <w:rFonts w:hint="eastAsia" w:ascii="仿宋" w:hAnsi="仿宋" w:eastAsia="仿宋" w:cs="仿宋"/>
          <w:sz w:val="32"/>
          <w:szCs w:val="32"/>
        </w:rPr>
        <w:t>%。截止</w:t>
      </w:r>
      <w:r>
        <w:rPr>
          <w:rFonts w:hint="eastAsia" w:ascii="仿宋" w:hAnsi="仿宋" w:eastAsia="仿宋" w:cs="仿宋"/>
          <w:sz w:val="32"/>
          <w:szCs w:val="32"/>
          <w:lang w:eastAsia="zh-CN"/>
        </w:rPr>
        <w:t>2023</w:t>
      </w:r>
      <w:r>
        <w:rPr>
          <w:rFonts w:hint="eastAsia" w:ascii="仿宋" w:hAnsi="仿宋" w:eastAsia="仿宋" w:cs="仿宋"/>
          <w:sz w:val="32"/>
          <w:szCs w:val="32"/>
        </w:rPr>
        <w:t>年底，我县无甲类传染病发生，共报告法定乙、丙类传染病11种535例，发病率为1197.81</w:t>
      </w:r>
      <w:r>
        <w:rPr>
          <w:rFonts w:hint="eastAsia" w:ascii="仿宋" w:hAnsi="仿宋" w:eastAsia="仿宋" w:cs="仿宋"/>
          <w:sz w:val="32"/>
          <w:szCs w:val="32"/>
          <w:lang w:val="en-US" w:eastAsia="zh-CN"/>
        </w:rPr>
        <w:t>/</w:t>
      </w:r>
      <w:r>
        <w:rPr>
          <w:rFonts w:hint="eastAsia" w:ascii="仿宋" w:hAnsi="仿宋" w:eastAsia="仿宋" w:cs="仿宋"/>
          <w:sz w:val="32"/>
          <w:szCs w:val="32"/>
        </w:rPr>
        <w:t>十万，较去年同期上升39.69%，死亡2例（肺结核），死亡率4.48/十万。其中乙类传染病7种352例，发病率788.09/十万；丙类传染病4种183例，发病率409.72/十万。无散发疫情、暴发疫情及报告突发公共卫生事件发生。网络报告肺结核病患110例，发病率246.28/</w:t>
      </w:r>
      <w:r>
        <w:rPr>
          <w:rFonts w:hint="eastAsia" w:ascii="仿宋" w:hAnsi="仿宋" w:eastAsia="仿宋" w:cs="仿宋"/>
          <w:sz w:val="32"/>
          <w:szCs w:val="32"/>
          <w:lang w:eastAsia="zh-CN"/>
        </w:rPr>
        <w:t>十</w:t>
      </w:r>
      <w:r>
        <w:rPr>
          <w:rFonts w:hint="eastAsia" w:ascii="仿宋" w:hAnsi="仿宋" w:eastAsia="仿宋" w:cs="仿宋"/>
          <w:sz w:val="32"/>
          <w:szCs w:val="32"/>
        </w:rPr>
        <w:t>万</w:t>
      </w:r>
      <w:r>
        <w:rPr>
          <w:rFonts w:hint="eastAsia" w:ascii="仿宋" w:hAnsi="仿宋" w:eastAsia="仿宋" w:cs="仿宋"/>
          <w:sz w:val="32"/>
          <w:szCs w:val="32"/>
          <w:lang w:eastAsia="zh-CN"/>
        </w:rPr>
        <w:t>，</w:t>
      </w:r>
      <w:r>
        <w:rPr>
          <w:rFonts w:hint="eastAsia" w:ascii="仿宋" w:hAnsi="仿宋" w:eastAsia="仿宋" w:cs="仿宋"/>
          <w:sz w:val="32"/>
          <w:szCs w:val="32"/>
        </w:rPr>
        <w:t>登记患者19人，规范管理18人，规范管理率94.74%；艾滋病病人及感染者现存活14例，感染者随访10人，随访率71.43%，全县HIV检测12929人次，常住人口检测比例为28.95%；麻风病目前无新发病例，随访监测历年治愈患者30人。</w:t>
      </w:r>
    </w:p>
    <w:p>
      <w:pPr>
        <w:spacing w:line="540" w:lineRule="exact"/>
        <w:ind w:firstLine="640" w:firstLineChars="200"/>
        <w:rPr>
          <w:rFonts w:hint="eastAsia" w:ascii="仿宋" w:hAnsi="仿宋" w:eastAsia="仿宋" w:cs="仿宋"/>
          <w:sz w:val="32"/>
          <w:szCs w:val="32"/>
        </w:rPr>
      </w:pPr>
      <w:r>
        <w:rPr>
          <w:rFonts w:hint="eastAsia" w:ascii="仿宋" w:hAnsi="仿宋" w:eastAsia="仿宋" w:cs="仿宋"/>
          <w:color w:val="auto"/>
          <w:sz w:val="32"/>
          <w:szCs w:val="32"/>
          <w:lang w:eastAsia="zh-CN"/>
        </w:rPr>
        <w:t>2023</w:t>
      </w:r>
      <w:r>
        <w:rPr>
          <w:rFonts w:hint="eastAsia" w:ascii="仿宋" w:hAnsi="仿宋" w:eastAsia="仿宋" w:cs="仿宋"/>
          <w:color w:val="auto"/>
          <w:sz w:val="32"/>
          <w:szCs w:val="32"/>
        </w:rPr>
        <w:t>年</w:t>
      </w:r>
      <w:r>
        <w:rPr>
          <w:rFonts w:hint="eastAsia" w:ascii="仿宋" w:hAnsi="仿宋" w:eastAsia="仿宋" w:cs="仿宋"/>
          <w:color w:val="auto"/>
          <w:sz w:val="32"/>
          <w:szCs w:val="32"/>
          <w:lang w:eastAsia="zh-CN"/>
        </w:rPr>
        <w:t>，</w:t>
      </w:r>
      <w:r>
        <w:rPr>
          <w:rFonts w:hint="eastAsia" w:ascii="仿宋" w:hAnsi="仿宋" w:eastAsia="仿宋" w:cs="仿宋"/>
          <w:sz w:val="32"/>
          <w:szCs w:val="32"/>
        </w:rPr>
        <w:t>完成包虫病防治B超筛查共计15805人，血清检测174人，检测出阳性患者19名，免费药物治疗146人，发放药品8090盒，病人登记管理率100%。</w:t>
      </w:r>
      <w:r>
        <w:rPr>
          <w:rFonts w:hint="eastAsia" w:ascii="仿宋" w:hAnsi="仿宋" w:eastAsia="仿宋" w:cs="仿宋"/>
          <w:b w:val="0"/>
          <w:bCs/>
          <w:sz w:val="32"/>
          <w:szCs w:val="32"/>
        </w:rPr>
        <w:t>大骨节病</w:t>
      </w:r>
      <w:r>
        <w:rPr>
          <w:rFonts w:hint="eastAsia" w:ascii="仿宋" w:hAnsi="仿宋" w:eastAsia="仿宋" w:cs="仿宋"/>
          <w:sz w:val="32"/>
          <w:szCs w:val="32"/>
        </w:rPr>
        <w:t>定点医院治疗共计1095人,对608名患者随访完成系统录入工作，监测病区村7—12岁儿童4020人。累计规范管理高血压病人1131人、糖尿病143人。累计登记在册严重精神障碍患者138人，规范管理137人。死因监测报告182例，死亡报告率4.07‰。肿瘤监测平台登记管理患者340人，其中生存患者149人，死亡191人。</w:t>
      </w:r>
    </w:p>
    <w:p>
      <w:pPr>
        <w:spacing w:line="540" w:lineRule="exact"/>
        <w:ind w:firstLine="640" w:firstLineChars="200"/>
        <w:rPr>
          <w:rFonts w:hint="eastAsia" w:ascii="仿宋" w:hAnsi="仿宋" w:eastAsia="仿宋" w:cs="仿宋"/>
          <w:sz w:val="32"/>
          <w:szCs w:val="32"/>
        </w:rPr>
      </w:pPr>
      <w:r>
        <w:rPr>
          <w:rFonts w:hint="eastAsia" w:ascii="仿宋" w:hAnsi="仿宋" w:eastAsia="仿宋" w:cs="仿宋"/>
          <w:color w:val="auto"/>
          <w:sz w:val="32"/>
          <w:szCs w:val="32"/>
          <w:lang w:eastAsia="zh-CN"/>
        </w:rPr>
        <w:t>2023</w:t>
      </w:r>
      <w:r>
        <w:rPr>
          <w:rFonts w:hint="eastAsia" w:ascii="仿宋" w:hAnsi="仿宋" w:eastAsia="仿宋" w:cs="仿宋"/>
          <w:color w:val="auto"/>
          <w:sz w:val="32"/>
          <w:szCs w:val="32"/>
        </w:rPr>
        <w:t>年</w:t>
      </w:r>
      <w:r>
        <w:rPr>
          <w:rFonts w:hint="eastAsia" w:ascii="仿宋" w:hAnsi="仿宋" w:eastAsia="仿宋" w:cs="仿宋"/>
          <w:color w:val="auto"/>
          <w:sz w:val="32"/>
          <w:szCs w:val="32"/>
          <w:lang w:eastAsia="zh-CN"/>
        </w:rPr>
        <w:t>，</w:t>
      </w:r>
      <w:r>
        <w:rPr>
          <w:rFonts w:hint="eastAsia" w:ascii="仿宋" w:hAnsi="仿宋" w:eastAsia="仿宋" w:cs="仿宋"/>
          <w:sz w:val="32"/>
          <w:szCs w:val="32"/>
        </w:rPr>
        <w:t>全县0—6岁儿童共4114人，系统管理3169人</w:t>
      </w:r>
      <w:r>
        <w:rPr>
          <w:rFonts w:hint="eastAsia" w:ascii="仿宋" w:hAnsi="仿宋" w:eastAsia="仿宋" w:cs="仿宋"/>
          <w:sz w:val="32"/>
          <w:szCs w:val="32"/>
          <w:lang w:eastAsia="zh-CN"/>
        </w:rPr>
        <w:t>。</w:t>
      </w:r>
      <w:r>
        <w:rPr>
          <w:rFonts w:hint="eastAsia" w:ascii="仿宋" w:hAnsi="仿宋" w:eastAsia="仿宋" w:cs="仿宋"/>
          <w:sz w:val="32"/>
          <w:szCs w:val="32"/>
        </w:rPr>
        <w:t>新生儿死亡5人，死亡率为8.547‰；婴儿死亡7人，死亡率为11.96‰；5岁以下儿童死亡11人，死亡率为18.8‰；出生缺陷5人，出生缺陷发生率85.47/万。新生儿疾病筛查400人，筛查率100%；新生儿听力筛查383人，筛查率95.75%。</w:t>
      </w:r>
    </w:p>
    <w:p>
      <w:pPr>
        <w:pStyle w:val="22"/>
        <w:spacing w:line="560" w:lineRule="exact"/>
        <w:ind w:firstLine="640" w:firstLineChars="200"/>
        <w:rPr>
          <w:rFonts w:hint="eastAsia" w:ascii="仿宋" w:hAnsi="仿宋" w:eastAsia="仿宋" w:cs="仿宋"/>
          <w:color w:val="0000FF"/>
          <w:sz w:val="32"/>
          <w:szCs w:val="32"/>
        </w:rPr>
      </w:pPr>
      <w:r>
        <w:rPr>
          <w:rFonts w:hint="eastAsia" w:ascii="仿宋" w:hAnsi="仿宋" w:eastAsia="仿宋" w:cs="仿宋"/>
          <w:sz w:val="32"/>
          <w:szCs w:val="32"/>
          <w:lang w:val="en-US" w:eastAsia="zh-CN"/>
        </w:rPr>
        <w:t>2023年，</w:t>
      </w:r>
      <w:r>
        <w:rPr>
          <w:rFonts w:hint="eastAsia" w:ascii="仿宋" w:hAnsi="仿宋" w:eastAsia="仿宋" w:cs="仿宋"/>
          <w:sz w:val="32"/>
          <w:szCs w:val="32"/>
        </w:rPr>
        <w:t>全县总产妇数585人，住院分娩活产数522人，住院分娩率89.23%，无孕产妇死亡，孕产妇系统管理率87%。</w:t>
      </w:r>
      <w:r>
        <w:rPr>
          <w:rFonts w:hint="eastAsia" w:ascii="仿宋" w:hAnsi="仿宋" w:eastAsia="仿宋" w:cs="仿宋"/>
          <w:bCs/>
          <w:sz w:val="32"/>
          <w:szCs w:val="32"/>
        </w:rPr>
        <w:t>免费孕前优生检查完成103对，免费婚前医学健康检查完成198对。育龄妇女孕情监测7756人，艾滋病、梅毒、乙肝三病孕早期检测率85.6%、孕期检测率96.1%、孕产妇检测率97.1%。为农村妇女发放叶酸625人，发放儿童营养</w:t>
      </w:r>
      <w:r>
        <w:rPr>
          <w:rFonts w:hint="eastAsia" w:ascii="仿宋" w:hAnsi="仿宋" w:eastAsia="仿宋" w:cs="仿宋"/>
          <w:sz w:val="32"/>
          <w:szCs w:val="32"/>
        </w:rPr>
        <w:t>包发放7139盒，发放率71.33%。</w:t>
      </w:r>
      <w:r>
        <w:rPr>
          <w:rFonts w:hint="eastAsia" w:ascii="仿宋" w:hAnsi="仿宋" w:eastAsia="仿宋" w:cs="仿宋"/>
          <w:color w:val="000000" w:themeColor="text1"/>
          <w:sz w:val="32"/>
          <w:szCs w:val="32"/>
        </w:rPr>
        <w:t>完成宫颈癌筛查932人，乳腺癌筛查975人，妇女病普查1314人。</w:t>
      </w:r>
    </w:p>
    <w:p>
      <w:pPr>
        <w:spacing w:line="560" w:lineRule="exact"/>
        <w:ind w:firstLine="642" w:firstLineChars="200"/>
        <w:rPr>
          <w:rFonts w:hint="eastAsia" w:ascii="仿宋" w:hAnsi="仿宋" w:eastAsia="仿宋" w:cs="仿宋"/>
          <w:sz w:val="32"/>
          <w:szCs w:val="32"/>
          <w:lang w:val="en-US" w:eastAsia="zh-CN"/>
        </w:rPr>
      </w:pPr>
      <w:r>
        <w:rPr>
          <w:rFonts w:ascii="Times New Roman" w:hAnsi="Times New Roman" w:eastAsia="仿宋" w:cs="Times New Roman"/>
          <w:b/>
          <w:color w:val="auto"/>
          <w:kern w:val="0"/>
          <w:sz w:val="32"/>
          <w:szCs w:val="32"/>
          <w:lang w:val="zh-CN"/>
        </w:rPr>
        <w:t>【</w:t>
      </w:r>
      <w:r>
        <w:rPr>
          <w:rFonts w:ascii="楷体_GB2312" w:hAnsi="楷体_GB2312" w:eastAsia="楷体_GB2312" w:cs="楷体_GB2312"/>
          <w:b/>
          <w:bCs/>
          <w:color w:val="auto"/>
          <w:sz w:val="32"/>
          <w:szCs w:val="32"/>
          <w:shd w:val="clear" w:color="auto" w:fill="FFFFFF"/>
          <w:lang w:val="zh-CN"/>
        </w:rPr>
        <w:t>广播电视</w:t>
      </w:r>
      <w:r>
        <w:rPr>
          <w:rFonts w:ascii="Times New Roman" w:hAnsi="Times New Roman" w:eastAsia="仿宋" w:cs="Times New Roman"/>
          <w:b/>
          <w:color w:val="auto"/>
          <w:kern w:val="0"/>
          <w:sz w:val="32"/>
          <w:szCs w:val="32"/>
          <w:lang w:val="zh-CN"/>
        </w:rPr>
        <w:t>】</w:t>
      </w:r>
      <w:r>
        <w:rPr>
          <w:rFonts w:hint="eastAsia" w:ascii="仿宋" w:hAnsi="仿宋" w:eastAsia="仿宋" w:cs="仿宋"/>
          <w:sz w:val="32"/>
          <w:szCs w:val="32"/>
          <w:lang w:val="en-US" w:eastAsia="zh-CN"/>
        </w:rPr>
        <w:t>县广播电视台拥有广播电视台1座，调频广播台1座，中央农村无线覆盖工程发射台1座，电视发射机4台。广播综合覆盖率98%，电视综合覆盖率98%，有线电视用户200户。</w:t>
      </w:r>
    </w:p>
    <w:p>
      <w:pPr>
        <w:ind w:firstLine="640" w:firstLineChars="200"/>
        <w:rPr>
          <w:rFonts w:hint="eastAsia" w:ascii="仿宋_GB2312" w:hAnsi="仿宋_GB2312" w:eastAsia="仿宋_GB2312" w:cs="仿宋_GB2312"/>
          <w:sz w:val="32"/>
          <w:szCs w:val="32"/>
          <w:lang w:val="en-US" w:eastAsia="zh-CN"/>
        </w:rPr>
      </w:pPr>
      <w:r>
        <w:rPr>
          <w:rFonts w:hint="eastAsia" w:ascii="仿宋" w:hAnsi="仿宋" w:eastAsia="仿宋" w:cs="仿宋"/>
          <w:sz w:val="32"/>
          <w:szCs w:val="32"/>
          <w:lang w:val="en-US" w:eastAsia="zh-CN"/>
        </w:rPr>
        <w:t>通过</w:t>
      </w:r>
      <w:r>
        <w:rPr>
          <w:rFonts w:hint="eastAsia" w:ascii="仿宋" w:hAnsi="仿宋" w:eastAsia="仿宋" w:cs="仿宋"/>
          <w:sz w:val="32"/>
          <w:szCs w:val="32"/>
        </w:rPr>
        <w:t>壤塘电视台、新浪微博“秘境壤塘”、壤塘家园APP客户端、微壤塘微信公众号</w:t>
      </w:r>
      <w:r>
        <w:rPr>
          <w:rFonts w:hint="eastAsia" w:ascii="仿宋" w:hAnsi="仿宋" w:eastAsia="仿宋" w:cs="仿宋"/>
          <w:sz w:val="32"/>
          <w:szCs w:val="32"/>
          <w:lang w:eastAsia="zh-CN"/>
        </w:rPr>
        <w:t>、</w:t>
      </w:r>
      <w:r>
        <w:rPr>
          <w:rFonts w:hint="eastAsia" w:ascii="仿宋" w:hAnsi="仿宋" w:eastAsia="仿宋" w:cs="仿宋"/>
          <w:sz w:val="32"/>
          <w:szCs w:val="32"/>
        </w:rPr>
        <w:t>微壤塘抖音号、微壤塘微视频号、“你好壤巴拉”调频广播电台，形成了“一端、一号、两台、三微”的强大融媒矩阵，壮大了全县主流舆论。</w:t>
      </w:r>
      <w:r>
        <w:rPr>
          <w:rFonts w:hint="eastAsia" w:ascii="仿宋" w:hAnsi="仿宋" w:eastAsia="仿宋" w:cs="仿宋"/>
          <w:sz w:val="32"/>
          <w:szCs w:val="32"/>
          <w:lang w:eastAsia="zh-CN"/>
        </w:rPr>
        <w:t>全年</w:t>
      </w:r>
      <w:r>
        <w:rPr>
          <w:rFonts w:hint="eastAsia" w:ascii="仿宋" w:hAnsi="仿宋" w:eastAsia="仿宋" w:cs="仿宋"/>
          <w:sz w:val="32"/>
          <w:szCs w:val="32"/>
        </w:rPr>
        <w:t>发布稿件</w:t>
      </w:r>
      <w:r>
        <w:rPr>
          <w:rFonts w:hint="eastAsia" w:ascii="仿宋" w:hAnsi="仿宋" w:eastAsia="仿宋" w:cs="仿宋"/>
          <w:sz w:val="32"/>
          <w:szCs w:val="32"/>
          <w:lang w:val="en-US" w:eastAsia="zh-CN"/>
        </w:rPr>
        <w:t>32</w:t>
      </w:r>
      <w:r>
        <w:rPr>
          <w:rFonts w:hint="eastAsia" w:ascii="仿宋" w:hAnsi="仿宋" w:eastAsia="仿宋" w:cs="仿宋"/>
          <w:sz w:val="32"/>
          <w:szCs w:val="32"/>
        </w:rPr>
        <w:t>40余条，</w:t>
      </w:r>
      <w:r>
        <w:rPr>
          <w:rFonts w:hint="eastAsia" w:ascii="仿宋" w:hAnsi="仿宋" w:eastAsia="仿宋" w:cs="仿宋"/>
          <w:sz w:val="32"/>
          <w:szCs w:val="32"/>
          <w:lang w:val="en-US" w:eastAsia="zh-CN"/>
        </w:rPr>
        <w:t>阅读量达49万余人次；发布</w:t>
      </w:r>
      <w:r>
        <w:rPr>
          <w:rFonts w:hint="eastAsia" w:ascii="仿宋" w:hAnsi="仿宋" w:eastAsia="仿宋" w:cs="仿宋"/>
          <w:sz w:val="32"/>
          <w:szCs w:val="32"/>
        </w:rPr>
        <w:t>短视频</w:t>
      </w:r>
      <w:r>
        <w:rPr>
          <w:rFonts w:hint="eastAsia" w:ascii="仿宋" w:hAnsi="仿宋" w:eastAsia="仿宋" w:cs="仿宋"/>
          <w:sz w:val="32"/>
          <w:szCs w:val="32"/>
          <w:lang w:val="en-US" w:eastAsia="zh-CN"/>
        </w:rPr>
        <w:t>560</w:t>
      </w:r>
      <w:r>
        <w:rPr>
          <w:rFonts w:hint="eastAsia" w:ascii="仿宋" w:hAnsi="仿宋" w:eastAsia="仿宋" w:cs="仿宋"/>
          <w:sz w:val="32"/>
          <w:szCs w:val="32"/>
        </w:rPr>
        <w:t>余条</w:t>
      </w:r>
      <w:r>
        <w:rPr>
          <w:rFonts w:hint="eastAsia" w:ascii="仿宋" w:hAnsi="仿宋" w:eastAsia="仿宋" w:cs="仿宋"/>
          <w:sz w:val="32"/>
          <w:szCs w:val="32"/>
          <w:lang w:eastAsia="zh-CN"/>
        </w:rPr>
        <w:t>，</w:t>
      </w:r>
      <w:r>
        <w:rPr>
          <w:rFonts w:hint="eastAsia" w:ascii="仿宋" w:hAnsi="仿宋" w:eastAsia="仿宋" w:cs="仿宋"/>
          <w:sz w:val="32"/>
          <w:szCs w:val="32"/>
        </w:rPr>
        <w:t>总浏览量破</w:t>
      </w:r>
      <w:r>
        <w:rPr>
          <w:rFonts w:hint="eastAsia" w:ascii="仿宋" w:hAnsi="仿宋" w:eastAsia="仿宋" w:cs="仿宋"/>
          <w:sz w:val="32"/>
          <w:szCs w:val="32"/>
          <w:lang w:val="en-US" w:eastAsia="zh-CN"/>
        </w:rPr>
        <w:t>2000万</w:t>
      </w:r>
      <w:r>
        <w:rPr>
          <w:rFonts w:hint="eastAsia" w:ascii="仿宋" w:hAnsi="仿宋" w:eastAsia="仿宋" w:cs="仿宋"/>
          <w:sz w:val="32"/>
          <w:szCs w:val="32"/>
        </w:rPr>
        <w:t>人次。</w:t>
      </w:r>
      <w:r>
        <w:rPr>
          <w:rFonts w:hint="eastAsia" w:ascii="仿宋" w:hAnsi="仿宋" w:eastAsia="仿宋" w:cs="仿宋"/>
          <w:sz w:val="32"/>
          <w:szCs w:val="32"/>
          <w:lang w:val="en-US" w:eastAsia="zh-CN"/>
        </w:rPr>
        <w:t>app</w:t>
      </w:r>
      <w:r>
        <w:rPr>
          <w:rFonts w:hint="eastAsia" w:ascii="仿宋" w:hAnsi="仿宋" w:eastAsia="仿宋" w:cs="仿宋"/>
          <w:sz w:val="32"/>
          <w:szCs w:val="32"/>
        </w:rPr>
        <w:t>下载用户达3.3万余人</w:t>
      </w:r>
      <w:r>
        <w:rPr>
          <w:rFonts w:hint="eastAsia" w:ascii="仿宋" w:hAnsi="仿宋" w:eastAsia="仿宋" w:cs="仿宋"/>
          <w:sz w:val="32"/>
          <w:szCs w:val="32"/>
          <w:lang w:eastAsia="zh-CN"/>
        </w:rPr>
        <w:t>次</w:t>
      </w:r>
      <w:r>
        <w:rPr>
          <w:rFonts w:hint="eastAsia" w:ascii="仿宋" w:hAnsi="仿宋" w:eastAsia="仿宋" w:cs="仿宋"/>
          <w:sz w:val="32"/>
          <w:szCs w:val="32"/>
        </w:rPr>
        <w:t>，覆盖率超过全县总人口73%</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156条新闻稿件被中央电视台、新华社、人民日报、中国网、中新社五家国家主流媒体采用，壤塘藏戏首次荣登2023年戏曲春晚先导片。1985条新闻稿件被四川日报、四川电视台、康巴卫视、安多卫视、阿坝日报、阿坝电视台、学习强国采用。四川日报、阿坝日报在州庆期间用5个版专题报道壤塘，四川电视台新闻联播全年7次报道壤塘。各类稿件荣获中国地方都市报新闻奖3次，少数民族地区新闻奖2次，四川新闻三等奖1次。</w:t>
      </w:r>
    </w:p>
    <w:p>
      <w:pPr>
        <w:pStyle w:val="12"/>
        <w:ind w:left="0" w:leftChars="0" w:firstLine="0" w:firstLineChars="0"/>
        <w:rPr>
          <w:color w:val="auto"/>
        </w:rPr>
      </w:pPr>
    </w:p>
    <w:p>
      <w:pPr>
        <w:rPr>
          <w:color w:val="auto"/>
        </w:rPr>
      </w:pPr>
    </w:p>
    <w:p>
      <w:pPr>
        <w:widowControl/>
        <w:numPr>
          <w:ilvl w:val="0"/>
          <w:numId w:val="4"/>
        </w:numPr>
        <w:adjustRightInd w:val="0"/>
        <w:spacing w:line="560" w:lineRule="exact"/>
        <w:jc w:val="center"/>
        <w:rPr>
          <w:rFonts w:ascii="黑体" w:hAnsi="黑体" w:eastAsia="黑体" w:cs="黑体"/>
          <w:b/>
          <w:color w:val="auto"/>
          <w:kern w:val="0"/>
          <w:sz w:val="36"/>
          <w:szCs w:val="36"/>
          <w:lang w:val="zh-CN"/>
        </w:rPr>
      </w:pPr>
      <w:r>
        <w:rPr>
          <w:rFonts w:ascii="黑体" w:hAnsi="黑体" w:eastAsia="黑体" w:cs="黑体"/>
          <w:b/>
          <w:color w:val="auto"/>
          <w:kern w:val="0"/>
          <w:sz w:val="36"/>
          <w:szCs w:val="36"/>
          <w:lang w:val="zh-CN"/>
        </w:rPr>
        <w:t>环境保护和安全生产</w:t>
      </w:r>
    </w:p>
    <w:p>
      <w:pPr>
        <w:pStyle w:val="12"/>
        <w:ind w:left="0" w:leftChars="0" w:firstLine="0" w:firstLineChars="0"/>
        <w:rPr>
          <w:color w:val="auto"/>
          <w:lang w:val="zh-CN"/>
        </w:rPr>
      </w:pPr>
    </w:p>
    <w:p>
      <w:pPr>
        <w:topLinePunct/>
        <w:spacing w:line="560" w:lineRule="exact"/>
        <w:ind w:firstLine="642" w:firstLineChars="200"/>
        <w:rPr>
          <w:rFonts w:hint="eastAsia" w:ascii="仿宋" w:hAnsi="仿宋" w:eastAsia="仿宋" w:cs="仿宋"/>
          <w:color w:val="auto"/>
          <w:sz w:val="32"/>
          <w:szCs w:val="32"/>
          <w:lang w:eastAsia="zh-CN"/>
        </w:rPr>
      </w:pPr>
      <w:r>
        <w:rPr>
          <w:rFonts w:ascii="Times New Roman" w:hAnsi="Times New Roman" w:eastAsia="仿宋" w:cs="Times New Roman"/>
          <w:b/>
          <w:color w:val="auto"/>
          <w:kern w:val="0"/>
          <w:sz w:val="32"/>
          <w:szCs w:val="32"/>
          <w:lang w:val="zh-CN"/>
        </w:rPr>
        <w:t>【</w:t>
      </w:r>
      <w:r>
        <w:rPr>
          <w:rFonts w:ascii="楷体_GB2312" w:hAnsi="楷体_GB2312" w:eastAsia="楷体_GB2312" w:cs="楷体_GB2312"/>
          <w:b/>
          <w:bCs/>
          <w:color w:val="auto"/>
          <w:sz w:val="32"/>
          <w:szCs w:val="32"/>
          <w:shd w:val="clear" w:color="auto" w:fill="FFFFFF"/>
        </w:rPr>
        <w:t>环境保护</w:t>
      </w:r>
      <w:r>
        <w:rPr>
          <w:rFonts w:ascii="Times New Roman" w:hAnsi="Times New Roman" w:eastAsia="仿宋" w:cs="Times New Roman"/>
          <w:b/>
          <w:color w:val="auto"/>
          <w:kern w:val="0"/>
          <w:sz w:val="32"/>
          <w:szCs w:val="32"/>
          <w:lang w:val="zh-CN"/>
        </w:rPr>
        <w:t>】</w:t>
      </w:r>
      <w:r>
        <w:rPr>
          <w:rFonts w:hint="eastAsia" w:ascii="仿宋" w:hAnsi="仿宋" w:eastAsia="仿宋" w:cs="仿宋"/>
          <w:color w:val="000000" w:themeColor="text1"/>
          <w:sz w:val="32"/>
          <w:szCs w:val="32"/>
          <w:lang w:eastAsia="zh-CN"/>
        </w:rPr>
        <w:t>全县垃圾处理场</w:t>
      </w:r>
      <w:r>
        <w:rPr>
          <w:rFonts w:hint="eastAsia" w:ascii="仿宋" w:hAnsi="仿宋" w:eastAsia="仿宋" w:cs="仿宋"/>
          <w:color w:val="000000" w:themeColor="text1"/>
          <w:sz w:val="32"/>
          <w:szCs w:val="32"/>
          <w:lang w:val="en-US" w:eastAsia="zh-CN"/>
        </w:rPr>
        <w:t>2座（焚烧场1个，填埋场1个），</w:t>
      </w:r>
      <w:r>
        <w:rPr>
          <w:rFonts w:hint="eastAsia" w:ascii="仿宋" w:hAnsi="仿宋" w:eastAsia="仿宋" w:cs="仿宋"/>
          <w:color w:val="000000" w:themeColor="text1"/>
          <w:sz w:val="32"/>
          <w:szCs w:val="32"/>
        </w:rPr>
        <w:t>一体化污水处理站</w:t>
      </w:r>
      <w:r>
        <w:rPr>
          <w:rFonts w:hint="eastAsia" w:ascii="仿宋" w:hAnsi="仿宋" w:eastAsia="仿宋" w:cs="仿宋"/>
          <w:color w:val="000000" w:themeColor="text1"/>
          <w:sz w:val="32"/>
          <w:szCs w:val="32"/>
          <w:lang w:val="en-US" w:eastAsia="zh-CN"/>
        </w:rPr>
        <w:t>3</w:t>
      </w:r>
      <w:r>
        <w:rPr>
          <w:rFonts w:hint="eastAsia" w:ascii="仿宋" w:hAnsi="仿宋" w:eastAsia="仿宋" w:cs="仿宋"/>
          <w:color w:val="000000" w:themeColor="text1"/>
          <w:sz w:val="32"/>
          <w:szCs w:val="32"/>
        </w:rPr>
        <w:t>座，埋设污水收集管网</w:t>
      </w:r>
      <w:r>
        <w:rPr>
          <w:rFonts w:hint="eastAsia" w:ascii="仿宋" w:hAnsi="仿宋" w:eastAsia="仿宋" w:cs="仿宋"/>
          <w:color w:val="000000" w:themeColor="text1"/>
          <w:sz w:val="32"/>
          <w:szCs w:val="32"/>
          <w:lang w:val="en-US" w:eastAsia="zh-CN"/>
        </w:rPr>
        <w:t>8.9公里</w:t>
      </w:r>
      <w:r>
        <w:rPr>
          <w:rFonts w:hint="eastAsia" w:ascii="仿宋" w:hAnsi="仿宋" w:eastAsia="仿宋" w:cs="仿宋"/>
          <w:color w:val="000000" w:themeColor="text1"/>
          <w:sz w:val="32"/>
          <w:szCs w:val="32"/>
        </w:rPr>
        <w:t>。</w:t>
      </w:r>
      <w:r>
        <w:rPr>
          <w:rFonts w:hint="eastAsia" w:ascii="仿宋" w:hAnsi="仿宋" w:eastAsia="仿宋" w:cs="仿宋"/>
          <w:sz w:val="32"/>
          <w:szCs w:val="32"/>
        </w:rPr>
        <w:t>水质</w:t>
      </w:r>
      <w:r>
        <w:rPr>
          <w:rFonts w:hint="eastAsia" w:ascii="仿宋" w:hAnsi="仿宋" w:eastAsia="仿宋" w:cs="仿宋"/>
          <w:sz w:val="32"/>
          <w:szCs w:val="32"/>
          <w:lang w:eastAsia="zh-CN"/>
        </w:rPr>
        <w:t>保持持续优良，国控、省控出境断面水质达到</w:t>
      </w:r>
      <w:r>
        <w:rPr>
          <w:rFonts w:hint="eastAsia" w:ascii="仿宋" w:hAnsi="仿宋" w:eastAsia="仿宋" w:cs="仿宋"/>
          <w:sz w:val="32"/>
          <w:szCs w:val="32"/>
        </w:rPr>
        <w:t>Ⅱ类及以上标准；县城集中式饮用水</w:t>
      </w:r>
      <w:r>
        <w:rPr>
          <w:rFonts w:hint="eastAsia" w:ascii="仿宋" w:hAnsi="仿宋" w:eastAsia="仿宋" w:cs="仿宋"/>
          <w:sz w:val="32"/>
          <w:szCs w:val="32"/>
          <w:lang w:eastAsia="zh-CN"/>
        </w:rPr>
        <w:t>水</w:t>
      </w:r>
      <w:r>
        <w:rPr>
          <w:rFonts w:hint="eastAsia" w:ascii="仿宋" w:hAnsi="仿宋" w:eastAsia="仿宋" w:cs="仿宋"/>
          <w:sz w:val="32"/>
          <w:szCs w:val="32"/>
        </w:rPr>
        <w:t>源地水质达到Ⅱ类标准；</w:t>
      </w:r>
      <w:r>
        <w:rPr>
          <w:rFonts w:hint="eastAsia" w:ascii="仿宋" w:hAnsi="仿宋" w:eastAsia="仿宋" w:cs="仿宋"/>
          <w:kern w:val="2"/>
          <w:sz w:val="32"/>
          <w:szCs w:val="32"/>
          <w:lang w:val="en-US" w:eastAsia="zh-CN" w:bidi="ar-SA"/>
        </w:rPr>
        <w:t>10</w:t>
      </w:r>
      <w:r>
        <w:rPr>
          <w:rFonts w:hint="eastAsia" w:ascii="仿宋" w:hAnsi="仿宋" w:eastAsia="仿宋" w:cs="仿宋"/>
          <w:sz w:val="32"/>
          <w:szCs w:val="32"/>
        </w:rPr>
        <w:t>个乡镇饮用水水源地水质达到Ⅱ类标准</w:t>
      </w:r>
      <w:r>
        <w:rPr>
          <w:rFonts w:hint="eastAsia" w:ascii="仿宋" w:hAnsi="仿宋" w:eastAsia="仿宋" w:cs="仿宋"/>
          <w:sz w:val="32"/>
          <w:szCs w:val="32"/>
          <w:lang w:eastAsia="zh-CN"/>
        </w:rPr>
        <w:t>，</w:t>
      </w:r>
      <w:r>
        <w:rPr>
          <w:rFonts w:hint="eastAsia" w:ascii="仿宋" w:hAnsi="仿宋" w:eastAsia="仿宋" w:cs="仿宋"/>
          <w:sz w:val="32"/>
          <w:szCs w:val="32"/>
        </w:rPr>
        <w:t>水质</w:t>
      </w:r>
      <w:r>
        <w:rPr>
          <w:rFonts w:hint="eastAsia" w:ascii="仿宋" w:hAnsi="仿宋" w:eastAsia="仿宋" w:cs="仿宋"/>
          <w:sz w:val="32"/>
          <w:szCs w:val="32"/>
          <w:lang w:eastAsia="zh-CN"/>
        </w:rPr>
        <w:t>达标率均为</w:t>
      </w:r>
      <w:r>
        <w:rPr>
          <w:rFonts w:hint="eastAsia" w:ascii="仿宋" w:hAnsi="仿宋" w:eastAsia="仿宋" w:cs="仿宋"/>
          <w:kern w:val="2"/>
          <w:sz w:val="32"/>
          <w:szCs w:val="32"/>
          <w:lang w:val="en-US" w:eastAsia="zh-CN" w:bidi="ar-SA"/>
        </w:rPr>
        <w:t>100</w:t>
      </w:r>
      <w:r>
        <w:rPr>
          <w:rFonts w:hint="eastAsia" w:ascii="仿宋" w:hAnsi="仿宋" w:eastAsia="仿宋" w:cs="仿宋"/>
          <w:sz w:val="32"/>
          <w:szCs w:val="32"/>
          <w:lang w:val="en-US" w:eastAsia="zh-CN"/>
        </w:rPr>
        <w:t>%；</w:t>
      </w:r>
      <w:r>
        <w:rPr>
          <w:rFonts w:hint="eastAsia" w:ascii="仿宋" w:hAnsi="仿宋" w:eastAsia="仿宋" w:cs="仿宋"/>
          <w:sz w:val="32"/>
          <w:szCs w:val="32"/>
        </w:rPr>
        <w:t>空气质量优良天数</w:t>
      </w:r>
      <w:r>
        <w:rPr>
          <w:rFonts w:hint="eastAsia" w:ascii="仿宋" w:hAnsi="仿宋" w:eastAsia="仿宋" w:cs="仿宋"/>
          <w:sz w:val="32"/>
          <w:szCs w:val="32"/>
          <w:lang w:val="en-US" w:eastAsia="zh-CN"/>
        </w:rPr>
        <w:t>320天（优</w:t>
      </w:r>
      <w:r>
        <w:rPr>
          <w:rFonts w:hint="eastAsia" w:ascii="仿宋" w:hAnsi="仿宋" w:eastAsia="仿宋" w:cs="仿宋"/>
          <w:kern w:val="2"/>
          <w:sz w:val="32"/>
          <w:szCs w:val="32"/>
          <w:lang w:val="en-US" w:eastAsia="zh-CN" w:bidi="ar-SA"/>
        </w:rPr>
        <w:t>291</w:t>
      </w:r>
      <w:r>
        <w:rPr>
          <w:rFonts w:hint="eastAsia" w:ascii="仿宋" w:hAnsi="仿宋" w:eastAsia="仿宋" w:cs="仿宋"/>
          <w:sz w:val="32"/>
          <w:szCs w:val="32"/>
          <w:lang w:val="en-US" w:eastAsia="zh-CN"/>
        </w:rPr>
        <w:t>天，良</w:t>
      </w:r>
      <w:r>
        <w:rPr>
          <w:rFonts w:hint="eastAsia" w:ascii="仿宋" w:hAnsi="仿宋" w:eastAsia="仿宋" w:cs="仿宋"/>
          <w:kern w:val="2"/>
          <w:sz w:val="32"/>
          <w:szCs w:val="32"/>
          <w:lang w:val="en-US" w:eastAsia="zh-CN" w:bidi="ar-SA"/>
        </w:rPr>
        <w:t>29</w:t>
      </w:r>
      <w:r>
        <w:rPr>
          <w:rFonts w:hint="eastAsia" w:ascii="仿宋" w:hAnsi="仿宋" w:eastAsia="仿宋" w:cs="仿宋"/>
          <w:sz w:val="32"/>
          <w:szCs w:val="32"/>
          <w:lang w:val="en-US" w:eastAsia="zh-CN"/>
        </w:rPr>
        <w:t>天）</w:t>
      </w:r>
      <w:r>
        <w:rPr>
          <w:rFonts w:hint="eastAsia" w:ascii="仿宋" w:hAnsi="仿宋" w:eastAsia="仿宋" w:cs="仿宋"/>
          <w:sz w:val="32"/>
          <w:szCs w:val="32"/>
        </w:rPr>
        <w:t>，</w:t>
      </w:r>
      <w:r>
        <w:rPr>
          <w:rFonts w:hint="eastAsia" w:ascii="仿宋" w:hAnsi="仿宋" w:eastAsia="仿宋" w:cs="仿宋"/>
          <w:sz w:val="32"/>
          <w:szCs w:val="32"/>
          <w:lang w:eastAsia="zh-CN"/>
        </w:rPr>
        <w:t>可吸入颗粒物（</w:t>
      </w:r>
      <w:r>
        <w:rPr>
          <w:rFonts w:hint="eastAsia" w:ascii="仿宋" w:hAnsi="仿宋" w:eastAsia="仿宋" w:cs="仿宋"/>
          <w:sz w:val="32"/>
          <w:szCs w:val="32"/>
          <w:lang w:val="en-US" w:eastAsia="zh-CN"/>
        </w:rPr>
        <w:t>PM</w:t>
      </w:r>
      <w:r>
        <w:rPr>
          <w:rFonts w:hint="eastAsia" w:ascii="仿宋" w:hAnsi="仿宋" w:eastAsia="仿宋" w:cs="仿宋"/>
          <w:sz w:val="32"/>
          <w:szCs w:val="32"/>
          <w:vertAlign w:val="subscript"/>
          <w:lang w:val="en-US" w:eastAsia="zh-CN"/>
        </w:rPr>
        <w:t>10</w:t>
      </w:r>
      <w:r>
        <w:rPr>
          <w:rFonts w:hint="eastAsia" w:ascii="仿宋" w:hAnsi="仿宋" w:eastAsia="仿宋" w:cs="仿宋"/>
          <w:sz w:val="32"/>
          <w:szCs w:val="32"/>
          <w:lang w:val="en-US" w:eastAsia="zh-CN"/>
        </w:rPr>
        <w:t>）浓度</w:t>
      </w:r>
      <w:r>
        <w:rPr>
          <w:rFonts w:hint="eastAsia" w:ascii="仿宋" w:hAnsi="仿宋" w:eastAsia="仿宋" w:cs="仿宋"/>
          <w:color w:val="auto"/>
          <w:kern w:val="2"/>
          <w:sz w:val="32"/>
          <w:szCs w:val="32"/>
          <w:lang w:val="en-US" w:eastAsia="zh-CN" w:bidi="ar-SA"/>
        </w:rPr>
        <w:t>23</w:t>
      </w:r>
      <w:r>
        <w:rPr>
          <w:rFonts w:hint="eastAsia" w:ascii="仿宋" w:hAnsi="仿宋" w:eastAsia="仿宋" w:cs="仿宋"/>
          <w:sz w:val="32"/>
          <w:szCs w:val="32"/>
          <w:lang w:val="en-US" w:eastAsia="zh-CN"/>
        </w:rPr>
        <w:t>ug/m</w:t>
      </w:r>
      <w:r>
        <w:rPr>
          <w:rFonts w:hint="eastAsia" w:ascii="仿宋" w:hAnsi="仿宋" w:eastAsia="仿宋" w:cs="仿宋"/>
          <w:sz w:val="32"/>
          <w:szCs w:val="32"/>
          <w:vertAlign w:val="superscript"/>
          <w:lang w:val="en-US" w:eastAsia="zh-CN"/>
        </w:rPr>
        <w:t>3</w:t>
      </w:r>
      <w:r>
        <w:rPr>
          <w:rFonts w:hint="eastAsia" w:ascii="仿宋" w:hAnsi="仿宋" w:eastAsia="仿宋" w:cs="仿宋"/>
          <w:sz w:val="32"/>
          <w:szCs w:val="32"/>
          <w:lang w:val="en-US" w:eastAsia="zh-CN"/>
        </w:rPr>
        <w:t>，细颗粒物（PM</w:t>
      </w:r>
      <w:r>
        <w:rPr>
          <w:rFonts w:hint="eastAsia" w:ascii="仿宋" w:hAnsi="仿宋" w:eastAsia="仿宋" w:cs="仿宋"/>
          <w:sz w:val="32"/>
          <w:szCs w:val="32"/>
          <w:vertAlign w:val="subscript"/>
          <w:lang w:val="en-US" w:eastAsia="zh-CN"/>
        </w:rPr>
        <w:t>2.5</w:t>
      </w:r>
      <w:r>
        <w:rPr>
          <w:rFonts w:hint="eastAsia" w:ascii="仿宋" w:hAnsi="仿宋" w:eastAsia="仿宋" w:cs="仿宋"/>
          <w:sz w:val="32"/>
          <w:szCs w:val="32"/>
          <w:lang w:val="en-US" w:eastAsia="zh-CN"/>
        </w:rPr>
        <w:t>）浓度</w:t>
      </w:r>
      <w:r>
        <w:rPr>
          <w:rFonts w:hint="eastAsia" w:ascii="仿宋" w:hAnsi="仿宋" w:eastAsia="仿宋" w:cs="仿宋"/>
          <w:color w:val="auto"/>
          <w:kern w:val="2"/>
          <w:sz w:val="32"/>
          <w:szCs w:val="32"/>
          <w:lang w:val="en-US" w:eastAsia="zh-CN" w:bidi="ar-SA"/>
        </w:rPr>
        <w:t>11</w:t>
      </w:r>
      <w:r>
        <w:rPr>
          <w:rFonts w:hint="eastAsia" w:ascii="仿宋" w:hAnsi="仿宋" w:eastAsia="仿宋" w:cs="仿宋"/>
          <w:sz w:val="32"/>
          <w:szCs w:val="32"/>
          <w:lang w:val="en-US" w:eastAsia="zh-CN"/>
        </w:rPr>
        <w:t>ug/m</w:t>
      </w:r>
      <w:r>
        <w:rPr>
          <w:rFonts w:hint="eastAsia" w:ascii="仿宋" w:hAnsi="仿宋" w:eastAsia="仿宋" w:cs="仿宋"/>
          <w:sz w:val="32"/>
          <w:szCs w:val="32"/>
          <w:vertAlign w:val="superscript"/>
          <w:lang w:val="en-US" w:eastAsia="zh-CN"/>
        </w:rPr>
        <w:t>3</w:t>
      </w:r>
      <w:r>
        <w:rPr>
          <w:rFonts w:hint="eastAsia" w:ascii="仿宋" w:hAnsi="仿宋" w:eastAsia="仿宋" w:cs="仿宋"/>
          <w:sz w:val="32"/>
          <w:szCs w:val="32"/>
          <w:lang w:val="en-US" w:eastAsia="zh-CN"/>
        </w:rPr>
        <w:t>，二氧化硫浓度</w:t>
      </w:r>
      <w:r>
        <w:rPr>
          <w:rFonts w:hint="eastAsia" w:ascii="仿宋" w:hAnsi="仿宋" w:eastAsia="仿宋" w:cs="仿宋"/>
          <w:kern w:val="2"/>
          <w:sz w:val="32"/>
          <w:szCs w:val="32"/>
          <w:lang w:val="en-US" w:eastAsia="zh-CN" w:bidi="ar-SA"/>
        </w:rPr>
        <w:t>2</w:t>
      </w:r>
      <w:r>
        <w:rPr>
          <w:rFonts w:hint="eastAsia" w:ascii="仿宋" w:hAnsi="仿宋" w:eastAsia="仿宋" w:cs="仿宋"/>
          <w:sz w:val="32"/>
          <w:szCs w:val="32"/>
          <w:lang w:val="en-US" w:eastAsia="zh-CN"/>
        </w:rPr>
        <w:t>ug/m</w:t>
      </w:r>
      <w:r>
        <w:rPr>
          <w:rFonts w:hint="eastAsia" w:ascii="仿宋" w:hAnsi="仿宋" w:eastAsia="仿宋" w:cs="仿宋"/>
          <w:sz w:val="32"/>
          <w:szCs w:val="32"/>
          <w:vertAlign w:val="superscript"/>
          <w:lang w:val="en-US" w:eastAsia="zh-CN"/>
        </w:rPr>
        <w:t>3</w:t>
      </w:r>
      <w:r>
        <w:rPr>
          <w:rFonts w:hint="eastAsia" w:ascii="仿宋" w:hAnsi="仿宋" w:eastAsia="仿宋" w:cs="仿宋"/>
          <w:sz w:val="32"/>
          <w:szCs w:val="32"/>
          <w:lang w:val="en-US" w:eastAsia="zh-CN"/>
        </w:rPr>
        <w:t>，氮氧化物浓度</w:t>
      </w:r>
      <w:r>
        <w:rPr>
          <w:rFonts w:hint="eastAsia" w:ascii="仿宋" w:hAnsi="仿宋" w:eastAsia="仿宋" w:cs="仿宋"/>
          <w:kern w:val="2"/>
          <w:sz w:val="32"/>
          <w:szCs w:val="32"/>
          <w:lang w:val="en-US" w:eastAsia="zh-CN" w:bidi="ar-SA"/>
        </w:rPr>
        <w:t>4</w:t>
      </w:r>
      <w:r>
        <w:rPr>
          <w:rFonts w:hint="eastAsia" w:ascii="仿宋" w:hAnsi="仿宋" w:eastAsia="仿宋" w:cs="仿宋"/>
          <w:sz w:val="32"/>
          <w:szCs w:val="32"/>
          <w:lang w:val="en-US" w:eastAsia="zh-CN"/>
        </w:rPr>
        <w:t>ug/m</w:t>
      </w:r>
      <w:r>
        <w:rPr>
          <w:rFonts w:hint="eastAsia" w:ascii="仿宋" w:hAnsi="仿宋" w:eastAsia="仿宋" w:cs="仿宋"/>
          <w:sz w:val="32"/>
          <w:szCs w:val="32"/>
          <w:vertAlign w:val="superscript"/>
          <w:lang w:val="en-US" w:eastAsia="zh-CN"/>
        </w:rPr>
        <w:t>3</w:t>
      </w:r>
      <w:r>
        <w:rPr>
          <w:rFonts w:hint="eastAsia" w:ascii="仿宋" w:hAnsi="仿宋" w:eastAsia="仿宋" w:cs="仿宋"/>
          <w:sz w:val="32"/>
          <w:szCs w:val="32"/>
          <w:lang w:val="en-US" w:eastAsia="zh-CN"/>
        </w:rPr>
        <w:t>，一氧化碳浓度</w:t>
      </w:r>
      <w:r>
        <w:rPr>
          <w:rFonts w:hint="eastAsia" w:ascii="仿宋" w:hAnsi="仿宋" w:eastAsia="仿宋" w:cs="仿宋"/>
          <w:kern w:val="2"/>
          <w:sz w:val="32"/>
          <w:szCs w:val="32"/>
          <w:lang w:val="en-US" w:eastAsia="zh-CN" w:bidi="ar-SA"/>
        </w:rPr>
        <w:t>0.6</w:t>
      </w:r>
      <w:r>
        <w:rPr>
          <w:rFonts w:hint="eastAsia" w:ascii="仿宋" w:hAnsi="仿宋" w:eastAsia="仿宋" w:cs="仿宋"/>
          <w:sz w:val="32"/>
          <w:szCs w:val="32"/>
          <w:lang w:val="en-US" w:eastAsia="zh-CN"/>
        </w:rPr>
        <w:t>mg/m</w:t>
      </w:r>
      <w:r>
        <w:rPr>
          <w:rFonts w:hint="eastAsia" w:ascii="仿宋" w:hAnsi="仿宋" w:eastAsia="仿宋" w:cs="仿宋"/>
          <w:sz w:val="32"/>
          <w:szCs w:val="32"/>
          <w:vertAlign w:val="superscript"/>
          <w:lang w:val="en-US" w:eastAsia="zh-CN"/>
        </w:rPr>
        <w:t>3</w:t>
      </w:r>
      <w:r>
        <w:rPr>
          <w:rFonts w:hint="eastAsia" w:ascii="仿宋" w:hAnsi="仿宋" w:eastAsia="仿宋" w:cs="仿宋"/>
          <w:sz w:val="32"/>
          <w:szCs w:val="32"/>
          <w:lang w:val="en-US" w:eastAsia="zh-CN"/>
        </w:rPr>
        <w:t>，臭氧浓度</w:t>
      </w:r>
      <w:r>
        <w:rPr>
          <w:rFonts w:hint="eastAsia" w:ascii="仿宋" w:hAnsi="仿宋" w:eastAsia="仿宋" w:cs="仿宋"/>
          <w:color w:val="auto"/>
          <w:kern w:val="2"/>
          <w:sz w:val="32"/>
          <w:szCs w:val="32"/>
          <w:lang w:val="en-US" w:eastAsia="zh-CN" w:bidi="ar-SA"/>
        </w:rPr>
        <w:t>97</w:t>
      </w:r>
      <w:r>
        <w:rPr>
          <w:rFonts w:hint="eastAsia" w:ascii="仿宋" w:hAnsi="仿宋" w:eastAsia="仿宋" w:cs="仿宋"/>
          <w:sz w:val="32"/>
          <w:szCs w:val="32"/>
          <w:lang w:val="en-US" w:eastAsia="zh-CN"/>
        </w:rPr>
        <w:t>ug/m</w:t>
      </w:r>
      <w:r>
        <w:rPr>
          <w:rFonts w:hint="eastAsia" w:ascii="仿宋" w:hAnsi="仿宋" w:eastAsia="仿宋" w:cs="仿宋"/>
          <w:sz w:val="32"/>
          <w:szCs w:val="32"/>
          <w:vertAlign w:val="superscript"/>
          <w:lang w:val="en-US" w:eastAsia="zh-CN"/>
        </w:rPr>
        <w:t>3</w:t>
      </w:r>
      <w:r>
        <w:rPr>
          <w:rFonts w:hint="eastAsia" w:ascii="仿宋" w:hAnsi="仿宋" w:eastAsia="仿宋" w:cs="仿宋"/>
          <w:sz w:val="32"/>
          <w:szCs w:val="32"/>
          <w:lang w:val="en-US" w:eastAsia="zh-CN"/>
        </w:rPr>
        <w:t>，全县</w:t>
      </w:r>
      <w:r>
        <w:rPr>
          <w:rFonts w:hint="eastAsia" w:ascii="仿宋" w:hAnsi="仿宋" w:eastAsia="仿宋" w:cs="仿宋"/>
          <w:sz w:val="32"/>
          <w:szCs w:val="32"/>
        </w:rPr>
        <w:t>土壤</w:t>
      </w:r>
      <w:r>
        <w:rPr>
          <w:rFonts w:hint="eastAsia" w:ascii="仿宋" w:hAnsi="仿宋" w:eastAsia="仿宋" w:cs="仿宋"/>
          <w:sz w:val="32"/>
          <w:szCs w:val="32"/>
          <w:lang w:eastAsia="zh-CN"/>
        </w:rPr>
        <w:t>保持总体安全</w:t>
      </w:r>
      <w:r>
        <w:rPr>
          <w:rFonts w:hint="eastAsia" w:ascii="仿宋" w:hAnsi="仿宋" w:eastAsia="仿宋" w:cs="仿宋"/>
          <w:sz w:val="32"/>
          <w:szCs w:val="32"/>
        </w:rPr>
        <w:t>。</w:t>
      </w:r>
    </w:p>
    <w:p>
      <w:pPr>
        <w:keepNext w:val="0"/>
        <w:keepLines w:val="0"/>
        <w:pageBreakBefore w:val="0"/>
        <w:widowControl w:val="0"/>
        <w:tabs>
          <w:tab w:val="left" w:pos="1760"/>
        </w:tabs>
        <w:kinsoku/>
        <w:wordWrap/>
        <w:overflowPunct/>
        <w:topLinePunct w:val="0"/>
        <w:autoSpaceDE/>
        <w:autoSpaceDN/>
        <w:adjustRightInd/>
        <w:snapToGrid/>
        <w:spacing w:line="540" w:lineRule="exact"/>
        <w:ind w:firstLine="642" w:firstLineChars="200"/>
        <w:textAlignment w:val="baseline"/>
        <w:rPr>
          <w:rFonts w:hint="eastAsia" w:ascii="仿宋" w:hAnsi="仿宋" w:eastAsia="仿宋" w:cs="仿宋"/>
          <w:b/>
          <w:bCs/>
          <w:sz w:val="32"/>
          <w:szCs w:val="32"/>
        </w:rPr>
      </w:pPr>
      <w:r>
        <w:rPr>
          <w:rFonts w:ascii="Times New Roman" w:hAnsi="Times New Roman" w:eastAsia="仿宋" w:cs="Times New Roman"/>
          <w:b/>
          <w:color w:val="auto"/>
          <w:kern w:val="0"/>
          <w:sz w:val="32"/>
          <w:szCs w:val="32"/>
          <w:lang w:val="zh-CN"/>
        </w:rPr>
        <w:t>【</w:t>
      </w:r>
      <w:r>
        <w:rPr>
          <w:rFonts w:ascii="楷体_GB2312" w:hAnsi="楷体_GB2312" w:eastAsia="楷体_GB2312" w:cs="楷体_GB2312"/>
          <w:b/>
          <w:bCs/>
          <w:color w:val="auto"/>
          <w:sz w:val="32"/>
          <w:szCs w:val="32"/>
          <w:shd w:val="clear" w:color="auto" w:fill="FFFFFF"/>
        </w:rPr>
        <w:t>城镇建设</w:t>
      </w:r>
      <w:r>
        <w:rPr>
          <w:rFonts w:ascii="Times New Roman" w:hAnsi="Times New Roman" w:eastAsia="仿宋" w:cs="Times New Roman"/>
          <w:b/>
          <w:color w:val="auto"/>
          <w:kern w:val="0"/>
          <w:sz w:val="32"/>
          <w:szCs w:val="32"/>
          <w:lang w:val="zh-CN"/>
        </w:rPr>
        <w:t>】</w:t>
      </w:r>
      <w:r>
        <w:rPr>
          <w:rFonts w:hint="eastAsia" w:ascii="Times New Roman" w:hAnsi="Times New Roman" w:eastAsia="仿宋" w:cs="Times New Roman"/>
          <w:b w:val="0"/>
          <w:bCs/>
          <w:color w:val="auto"/>
          <w:kern w:val="0"/>
          <w:sz w:val="32"/>
          <w:szCs w:val="32"/>
          <w:lang w:val="zh-CN"/>
        </w:rPr>
        <w:t>全县</w:t>
      </w:r>
      <w:r>
        <w:rPr>
          <w:rFonts w:hint="eastAsia" w:ascii="仿宋" w:hAnsi="仿宋" w:eastAsia="仿宋" w:cs="仿宋"/>
          <w:sz w:val="32"/>
          <w:szCs w:val="32"/>
          <w:lang w:val="en-US" w:eastAsia="zh-CN" w:bidi="ar-SA"/>
        </w:rPr>
        <w:t>净水厂1座，日生产生活饮用水3000吨，主供水管网25公里，全县水表总数3617只。</w:t>
      </w:r>
    </w:p>
    <w:p>
      <w:pPr>
        <w:pStyle w:val="20"/>
        <w:keepNext w:val="0"/>
        <w:keepLines w:val="0"/>
        <w:pageBreakBefore w:val="0"/>
        <w:widowControl w:val="0"/>
        <w:kinsoku/>
        <w:wordWrap/>
        <w:overflowPunct/>
        <w:topLinePunct w:val="0"/>
        <w:autoSpaceDE w:val="0"/>
        <w:autoSpaceDN w:val="0"/>
        <w:adjustRightInd w:val="0"/>
        <w:snapToGrid/>
        <w:spacing w:line="540" w:lineRule="exact"/>
        <w:ind w:left="0" w:firstLine="640" w:firstLineChars="200"/>
        <w:rPr>
          <w:rFonts w:hint="eastAsia" w:ascii="仿宋" w:hAnsi="仿宋" w:eastAsia="仿宋" w:cs="仿宋"/>
          <w:b w:val="0"/>
          <w:bCs/>
          <w:color w:val="00B0F0"/>
          <w:kern w:val="0"/>
          <w:sz w:val="32"/>
          <w:szCs w:val="32"/>
          <w:lang w:val="zh-CN"/>
        </w:rPr>
      </w:pPr>
      <w:r>
        <w:rPr>
          <w:rFonts w:hint="eastAsia" w:ascii="仿宋" w:hAnsi="仿宋" w:eastAsia="仿宋" w:cs="仿宋"/>
          <w:color w:val="auto"/>
          <w:sz w:val="32"/>
          <w:szCs w:val="32"/>
        </w:rPr>
        <w:t>全</w:t>
      </w:r>
      <w:r>
        <w:rPr>
          <w:rFonts w:hint="eastAsia" w:ascii="仿宋" w:hAnsi="仿宋" w:eastAsia="仿宋" w:cs="仿宋"/>
          <w:color w:val="auto"/>
          <w:sz w:val="32"/>
          <w:szCs w:val="32"/>
          <w:lang w:eastAsia="zh-CN"/>
        </w:rPr>
        <w:t>年，共开展各类安全生产专项检查</w:t>
      </w:r>
      <w:r>
        <w:rPr>
          <w:rFonts w:hint="eastAsia" w:ascii="仿宋" w:hAnsi="仿宋" w:eastAsia="仿宋" w:cs="仿宋"/>
          <w:color w:val="auto"/>
          <w:sz w:val="32"/>
          <w:szCs w:val="32"/>
          <w:lang w:val="en-US" w:eastAsia="zh-CN"/>
        </w:rPr>
        <w:t>10次，发现隐患问题163条，</w:t>
      </w:r>
      <w:r>
        <w:rPr>
          <w:rFonts w:hint="eastAsia" w:ascii="仿宋" w:hAnsi="仿宋" w:eastAsia="仿宋" w:cs="仿宋"/>
          <w:color w:val="auto"/>
          <w:sz w:val="32"/>
          <w:szCs w:val="32"/>
        </w:rPr>
        <w:t>下发</w:t>
      </w:r>
      <w:r>
        <w:rPr>
          <w:rFonts w:hint="eastAsia" w:ascii="仿宋" w:hAnsi="仿宋" w:eastAsia="仿宋" w:cs="仿宋"/>
          <w:color w:val="auto"/>
          <w:sz w:val="32"/>
          <w:szCs w:val="32"/>
          <w:lang w:eastAsia="zh-CN"/>
        </w:rPr>
        <w:t>整改</w:t>
      </w:r>
      <w:r>
        <w:rPr>
          <w:rFonts w:hint="eastAsia" w:ascii="仿宋" w:hAnsi="仿宋" w:eastAsia="仿宋" w:cs="仿宋"/>
          <w:color w:val="auto"/>
          <w:sz w:val="32"/>
          <w:szCs w:val="32"/>
        </w:rPr>
        <w:t>通知书</w:t>
      </w:r>
      <w:r>
        <w:rPr>
          <w:rFonts w:hint="eastAsia" w:ascii="仿宋" w:hAnsi="仿宋" w:eastAsia="仿宋" w:cs="仿宋"/>
          <w:color w:val="auto"/>
          <w:sz w:val="32"/>
          <w:szCs w:val="32"/>
          <w:lang w:val="en-US" w:eastAsia="zh-CN"/>
        </w:rPr>
        <w:t>48</w:t>
      </w:r>
      <w:r>
        <w:rPr>
          <w:rFonts w:hint="eastAsia" w:ascii="仿宋" w:hAnsi="仿宋" w:eastAsia="仿宋" w:cs="仿宋"/>
          <w:color w:val="auto"/>
          <w:sz w:val="32"/>
          <w:szCs w:val="32"/>
        </w:rPr>
        <w:t>份，</w:t>
      </w:r>
      <w:r>
        <w:rPr>
          <w:rFonts w:hint="eastAsia" w:ascii="仿宋" w:hAnsi="仿宋" w:eastAsia="仿宋" w:cs="仿宋"/>
          <w:color w:val="auto"/>
          <w:sz w:val="32"/>
          <w:szCs w:val="32"/>
          <w:lang w:eastAsia="zh-CN"/>
        </w:rPr>
        <w:t>行政</w:t>
      </w:r>
      <w:r>
        <w:rPr>
          <w:rFonts w:hint="eastAsia" w:ascii="仿宋" w:hAnsi="仿宋" w:eastAsia="仿宋" w:cs="仿宋"/>
          <w:color w:val="auto"/>
          <w:sz w:val="32"/>
          <w:szCs w:val="32"/>
        </w:rPr>
        <w:t>处罚</w:t>
      </w:r>
      <w:r>
        <w:rPr>
          <w:rFonts w:hint="eastAsia" w:ascii="仿宋" w:hAnsi="仿宋" w:eastAsia="仿宋" w:cs="仿宋"/>
          <w:color w:val="auto"/>
          <w:sz w:val="32"/>
          <w:szCs w:val="32"/>
          <w:lang w:val="en-US" w:eastAsia="zh-CN"/>
        </w:rPr>
        <w:t>5起</w:t>
      </w:r>
      <w:r>
        <w:rPr>
          <w:rFonts w:hint="eastAsia" w:ascii="仿宋" w:hAnsi="仿宋" w:eastAsia="仿宋" w:cs="仿宋"/>
          <w:color w:val="auto"/>
          <w:sz w:val="32"/>
          <w:szCs w:val="32"/>
        </w:rPr>
        <w:t>，罚</w:t>
      </w:r>
      <w:r>
        <w:rPr>
          <w:rFonts w:hint="eastAsia" w:ascii="仿宋" w:hAnsi="仿宋" w:eastAsia="仿宋" w:cs="仿宋"/>
          <w:color w:val="auto"/>
          <w:sz w:val="32"/>
          <w:szCs w:val="32"/>
          <w:lang w:eastAsia="zh-CN"/>
        </w:rPr>
        <w:t>款</w:t>
      </w:r>
      <w:r>
        <w:rPr>
          <w:rFonts w:hint="eastAsia" w:ascii="仿宋" w:hAnsi="仿宋" w:eastAsia="仿宋" w:cs="仿宋"/>
          <w:color w:val="auto"/>
          <w:sz w:val="32"/>
          <w:szCs w:val="32"/>
          <w:lang w:val="en-US" w:eastAsia="zh-CN"/>
        </w:rPr>
        <w:t>6</w:t>
      </w:r>
      <w:r>
        <w:rPr>
          <w:rFonts w:hint="eastAsia" w:ascii="仿宋" w:hAnsi="仿宋" w:eastAsia="仿宋" w:cs="仿宋"/>
          <w:color w:val="auto"/>
          <w:sz w:val="32"/>
          <w:szCs w:val="32"/>
        </w:rPr>
        <w:t>万</w:t>
      </w:r>
      <w:r>
        <w:rPr>
          <w:rFonts w:hint="eastAsia" w:ascii="仿宋" w:hAnsi="仿宋" w:eastAsia="仿宋" w:cs="仿宋"/>
          <w:color w:val="auto"/>
          <w:sz w:val="32"/>
          <w:szCs w:val="32"/>
          <w:lang w:eastAsia="zh-CN"/>
        </w:rPr>
        <w:t>元</w:t>
      </w:r>
      <w:r>
        <w:rPr>
          <w:rFonts w:hint="eastAsia" w:ascii="仿宋" w:hAnsi="仿宋" w:eastAsia="仿宋" w:cs="仿宋"/>
          <w:color w:val="auto"/>
          <w:sz w:val="32"/>
          <w:szCs w:val="32"/>
        </w:rPr>
        <w:t>，全程督促各责任主体完成整改</w:t>
      </w:r>
      <w:r>
        <w:rPr>
          <w:rFonts w:hint="eastAsia" w:ascii="仿宋" w:hAnsi="仿宋" w:eastAsia="仿宋" w:cs="仿宋"/>
          <w:color w:val="auto"/>
          <w:sz w:val="32"/>
          <w:szCs w:val="32"/>
          <w:lang w:eastAsia="zh-CN"/>
        </w:rPr>
        <w:t>。全年监管房屋市政建设项目共52个，目前已竣工24个，在建28个。全年共下发工程质量隐患整改通知书</w:t>
      </w:r>
      <w:r>
        <w:rPr>
          <w:rFonts w:hint="eastAsia" w:ascii="仿宋" w:hAnsi="仿宋" w:eastAsia="仿宋" w:cs="仿宋"/>
          <w:color w:val="auto"/>
          <w:sz w:val="32"/>
          <w:szCs w:val="32"/>
          <w:lang w:val="en-US" w:eastAsia="zh-CN"/>
        </w:rPr>
        <w:t>11</w:t>
      </w:r>
      <w:r>
        <w:rPr>
          <w:rFonts w:hint="eastAsia" w:ascii="仿宋" w:hAnsi="仿宋" w:eastAsia="仿宋" w:cs="仿宋"/>
          <w:color w:val="auto"/>
          <w:sz w:val="32"/>
          <w:szCs w:val="32"/>
          <w:lang w:eastAsia="zh-CN"/>
        </w:rPr>
        <w:t>份，责令</w:t>
      </w:r>
      <w:r>
        <w:rPr>
          <w:rFonts w:hint="eastAsia" w:ascii="仿宋" w:hAnsi="仿宋" w:eastAsia="仿宋" w:cs="仿宋"/>
          <w:color w:val="auto"/>
          <w:sz w:val="32"/>
          <w:szCs w:val="32"/>
          <w:lang w:val="en-US" w:eastAsia="zh-CN"/>
        </w:rPr>
        <w:t>停工整改1起，对履职不到位的监理单位处罚3起，罚款3万元。</w:t>
      </w:r>
      <w:r>
        <w:rPr>
          <w:rFonts w:hint="eastAsia" w:ascii="仿宋" w:hAnsi="仿宋" w:eastAsia="仿宋" w:cs="仿宋"/>
          <w:color w:val="auto"/>
          <w:kern w:val="2"/>
          <w:sz w:val="32"/>
          <w:szCs w:val="32"/>
        </w:rPr>
        <w:t>监督房建市政项目公开招标23个，发出监督招标意见书6份，督促发布补遗15份，处理投诉案件2起。</w:t>
      </w:r>
    </w:p>
    <w:p>
      <w:pPr>
        <w:spacing w:line="560" w:lineRule="exact"/>
        <w:ind w:firstLine="645"/>
        <w:jc w:val="left"/>
        <w:rPr>
          <w:rFonts w:hint="eastAsia" w:ascii="仿宋" w:hAnsi="仿宋" w:eastAsia="仿宋" w:cs="仿宋"/>
          <w:color w:val="auto"/>
          <w:sz w:val="32"/>
          <w:szCs w:val="32"/>
          <w:lang w:val="en-US" w:eastAsia="zh-CN"/>
        </w:rPr>
      </w:pPr>
      <w:r>
        <w:rPr>
          <w:rFonts w:ascii="Times New Roman" w:hAnsi="Times New Roman" w:eastAsia="仿宋" w:cs="Times New Roman"/>
          <w:b/>
          <w:color w:val="auto"/>
          <w:kern w:val="0"/>
          <w:sz w:val="32"/>
          <w:szCs w:val="32"/>
          <w:lang w:val="zh-CN"/>
        </w:rPr>
        <w:t>【</w:t>
      </w:r>
      <w:r>
        <w:rPr>
          <w:rFonts w:hint="eastAsia" w:ascii="楷体_GB2312" w:hAnsi="楷体_GB2312" w:eastAsia="楷体_GB2312" w:cs="楷体_GB2312"/>
          <w:b/>
          <w:bCs/>
          <w:color w:val="auto"/>
          <w:sz w:val="32"/>
          <w:szCs w:val="32"/>
          <w:shd w:val="clear" w:color="auto" w:fill="FFFFFF"/>
        </w:rPr>
        <w:t>安全生产</w:t>
      </w:r>
      <w:r>
        <w:rPr>
          <w:rFonts w:ascii="Times New Roman" w:hAnsi="Times New Roman" w:eastAsia="仿宋" w:cs="Times New Roman"/>
          <w:b/>
          <w:color w:val="auto"/>
          <w:kern w:val="0"/>
          <w:sz w:val="32"/>
          <w:szCs w:val="32"/>
          <w:lang w:val="zh-CN"/>
        </w:rPr>
        <w:t>】</w:t>
      </w:r>
      <w:r>
        <w:rPr>
          <w:rFonts w:hint="eastAsia" w:ascii="仿宋" w:hAnsi="仿宋" w:eastAsia="仿宋" w:cs="仿宋"/>
          <w:b w:val="0"/>
          <w:bCs/>
          <w:color w:val="auto"/>
          <w:kern w:val="0"/>
          <w:sz w:val="32"/>
          <w:szCs w:val="32"/>
          <w:lang w:val="zh-CN"/>
        </w:rPr>
        <w:t>全年</w:t>
      </w:r>
      <w:r>
        <w:rPr>
          <w:rFonts w:hint="eastAsia" w:ascii="仿宋" w:hAnsi="仿宋" w:eastAsia="仿宋" w:cs="仿宋"/>
          <w:color w:val="auto"/>
          <w:sz w:val="32"/>
          <w:szCs w:val="32"/>
          <w:lang w:val="en-US" w:eastAsia="zh-CN"/>
        </w:rPr>
        <w:t>对危险化学品、建筑施工、道路交通、工矿商贸、地灾隐患等八大高危行业领域开展执法监督检查，共监督检查企业140余家，共发出安全问题隐患</w:t>
      </w:r>
      <w:r>
        <w:rPr>
          <w:rFonts w:hint="eastAsia" w:ascii="仿宋" w:hAnsi="仿宋" w:eastAsia="仿宋" w:cs="仿宋"/>
          <w:b w:val="0"/>
          <w:bCs/>
          <w:color w:val="auto"/>
          <w:kern w:val="0"/>
          <w:sz w:val="32"/>
          <w:szCs w:val="32"/>
          <w:lang w:val="zh-CN"/>
        </w:rPr>
        <w:t>问题共计</w:t>
      </w:r>
      <w:r>
        <w:rPr>
          <w:rFonts w:hint="eastAsia" w:ascii="仿宋" w:hAnsi="仿宋" w:eastAsia="仿宋" w:cs="仿宋"/>
          <w:b w:val="0"/>
          <w:bCs/>
          <w:color w:val="auto"/>
          <w:kern w:val="0"/>
          <w:sz w:val="32"/>
          <w:szCs w:val="32"/>
          <w:lang w:val="en-US" w:eastAsia="zh-CN"/>
        </w:rPr>
        <w:t>291</w:t>
      </w:r>
      <w:r>
        <w:rPr>
          <w:rFonts w:hint="eastAsia" w:ascii="仿宋" w:hAnsi="仿宋" w:eastAsia="仿宋" w:cs="仿宋"/>
          <w:b w:val="0"/>
          <w:bCs/>
          <w:color w:val="auto"/>
          <w:kern w:val="0"/>
          <w:sz w:val="32"/>
          <w:szCs w:val="32"/>
          <w:lang w:val="zh-CN"/>
        </w:rPr>
        <w:t>项，已立即整改</w:t>
      </w:r>
      <w:r>
        <w:rPr>
          <w:rFonts w:hint="eastAsia" w:ascii="仿宋" w:hAnsi="仿宋" w:eastAsia="仿宋" w:cs="仿宋"/>
          <w:b w:val="0"/>
          <w:bCs/>
          <w:color w:val="auto"/>
          <w:kern w:val="0"/>
          <w:sz w:val="32"/>
          <w:szCs w:val="32"/>
          <w:lang w:val="en-US" w:eastAsia="zh-CN"/>
        </w:rPr>
        <w:t>182</w:t>
      </w:r>
      <w:r>
        <w:rPr>
          <w:rFonts w:hint="eastAsia" w:ascii="仿宋" w:hAnsi="仿宋" w:eastAsia="仿宋" w:cs="仿宋"/>
          <w:b w:val="0"/>
          <w:bCs/>
          <w:color w:val="auto"/>
          <w:kern w:val="0"/>
          <w:sz w:val="32"/>
          <w:szCs w:val="32"/>
          <w:lang w:val="zh-CN"/>
        </w:rPr>
        <w:t>项，限期整改</w:t>
      </w:r>
      <w:r>
        <w:rPr>
          <w:rFonts w:hint="eastAsia" w:ascii="仿宋" w:hAnsi="仿宋" w:eastAsia="仿宋" w:cs="仿宋"/>
          <w:b w:val="0"/>
          <w:bCs/>
          <w:color w:val="auto"/>
          <w:kern w:val="0"/>
          <w:sz w:val="32"/>
          <w:szCs w:val="32"/>
          <w:lang w:val="en-US" w:eastAsia="zh-CN"/>
        </w:rPr>
        <w:t>109</w:t>
      </w:r>
      <w:r>
        <w:rPr>
          <w:rFonts w:hint="eastAsia" w:ascii="仿宋" w:hAnsi="仿宋" w:eastAsia="仿宋" w:cs="仿宋"/>
          <w:b w:val="0"/>
          <w:bCs/>
          <w:color w:val="auto"/>
          <w:kern w:val="0"/>
          <w:sz w:val="32"/>
          <w:szCs w:val="32"/>
          <w:lang w:val="zh-CN"/>
        </w:rPr>
        <w:t>项。</w:t>
      </w:r>
    </w:p>
    <w:p>
      <w:pPr>
        <w:spacing w:line="56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全</w:t>
      </w:r>
      <w:r>
        <w:rPr>
          <w:rFonts w:hint="eastAsia" w:ascii="仿宋" w:hAnsi="仿宋" w:eastAsia="仿宋" w:cs="仿宋"/>
          <w:color w:val="auto"/>
          <w:sz w:val="32"/>
          <w:szCs w:val="32"/>
        </w:rPr>
        <w:t>年共发生非生产经营性事故</w:t>
      </w:r>
      <w:r>
        <w:rPr>
          <w:rFonts w:hint="eastAsia" w:ascii="仿宋" w:hAnsi="仿宋" w:eastAsia="仿宋" w:cs="仿宋"/>
          <w:color w:val="auto"/>
          <w:sz w:val="32"/>
          <w:szCs w:val="32"/>
          <w:lang w:val="en-US" w:eastAsia="zh-CN"/>
        </w:rPr>
        <w:t>259</w:t>
      </w:r>
      <w:r>
        <w:rPr>
          <w:rFonts w:hint="eastAsia" w:ascii="仿宋" w:hAnsi="仿宋" w:eastAsia="仿宋" w:cs="仿宋"/>
          <w:color w:val="auto"/>
          <w:sz w:val="32"/>
          <w:szCs w:val="32"/>
        </w:rPr>
        <w:t>起</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其中,交通事故</w:t>
      </w:r>
      <w:r>
        <w:rPr>
          <w:rFonts w:hint="eastAsia" w:ascii="仿宋" w:hAnsi="仿宋" w:eastAsia="仿宋" w:cs="仿宋"/>
          <w:color w:val="auto"/>
          <w:sz w:val="32"/>
          <w:szCs w:val="32"/>
          <w:lang w:val="en-US" w:eastAsia="zh-CN"/>
        </w:rPr>
        <w:t>345</w:t>
      </w:r>
      <w:r>
        <w:rPr>
          <w:rFonts w:hint="eastAsia" w:ascii="仿宋" w:hAnsi="仿宋" w:eastAsia="仿宋" w:cs="仿宋"/>
          <w:color w:val="auto"/>
          <w:sz w:val="32"/>
          <w:szCs w:val="32"/>
        </w:rPr>
        <w:t>起(</w:t>
      </w:r>
      <w:r>
        <w:rPr>
          <w:rFonts w:hint="eastAsia" w:ascii="仿宋" w:hAnsi="仿宋" w:eastAsia="仿宋" w:cs="仿宋"/>
          <w:color w:val="auto"/>
          <w:sz w:val="32"/>
          <w:szCs w:val="32"/>
          <w:lang w:eastAsia="zh-CN"/>
        </w:rPr>
        <w:t>简易事故</w:t>
      </w:r>
      <w:r>
        <w:rPr>
          <w:rFonts w:hint="eastAsia" w:ascii="仿宋" w:hAnsi="仿宋" w:eastAsia="仿宋" w:cs="仿宋"/>
          <w:color w:val="auto"/>
          <w:sz w:val="32"/>
          <w:szCs w:val="32"/>
          <w:lang w:val="en-US" w:eastAsia="zh-CN"/>
        </w:rPr>
        <w:t>322起、一般事故23起</w:t>
      </w:r>
      <w:r>
        <w:rPr>
          <w:rFonts w:hint="eastAsia" w:ascii="仿宋" w:hAnsi="仿宋" w:eastAsia="仿宋" w:cs="仿宋"/>
          <w:color w:val="auto"/>
          <w:sz w:val="32"/>
          <w:szCs w:val="32"/>
        </w:rPr>
        <w:t>)，受伤</w:t>
      </w:r>
      <w:r>
        <w:rPr>
          <w:rFonts w:hint="eastAsia" w:ascii="仿宋" w:hAnsi="仿宋" w:eastAsia="仿宋" w:cs="仿宋"/>
          <w:color w:val="auto"/>
          <w:sz w:val="32"/>
          <w:szCs w:val="32"/>
          <w:lang w:val="en-US" w:eastAsia="zh-CN"/>
        </w:rPr>
        <w:t>47</w:t>
      </w:r>
      <w:r>
        <w:rPr>
          <w:rFonts w:hint="eastAsia" w:ascii="仿宋" w:hAnsi="仿宋" w:eastAsia="仿宋" w:cs="仿宋"/>
          <w:color w:val="auto"/>
          <w:sz w:val="32"/>
          <w:szCs w:val="32"/>
        </w:rPr>
        <w:t>人，</w:t>
      </w:r>
      <w:r>
        <w:rPr>
          <w:rFonts w:hint="eastAsia" w:ascii="仿宋" w:hAnsi="仿宋" w:eastAsia="仿宋" w:cs="仿宋"/>
          <w:color w:val="auto"/>
          <w:sz w:val="32"/>
          <w:szCs w:val="32"/>
          <w:lang w:eastAsia="zh-CN"/>
        </w:rPr>
        <w:t>死亡人数</w:t>
      </w:r>
      <w:r>
        <w:rPr>
          <w:rFonts w:hint="eastAsia" w:ascii="仿宋" w:hAnsi="仿宋" w:eastAsia="仿宋" w:cs="仿宋"/>
          <w:color w:val="auto"/>
          <w:sz w:val="32"/>
          <w:szCs w:val="32"/>
          <w:lang w:val="en-US" w:eastAsia="zh-CN"/>
        </w:rPr>
        <w:t>2人。</w:t>
      </w:r>
      <w:r>
        <w:rPr>
          <w:rFonts w:hint="eastAsia" w:ascii="仿宋" w:hAnsi="仿宋" w:eastAsia="仿宋" w:cs="仿宋"/>
          <w:color w:val="auto"/>
          <w:sz w:val="32"/>
          <w:szCs w:val="32"/>
        </w:rPr>
        <w:t>财产损失</w:t>
      </w:r>
      <w:r>
        <w:rPr>
          <w:rFonts w:hint="eastAsia" w:ascii="仿宋" w:hAnsi="仿宋" w:eastAsia="仿宋" w:cs="仿宋"/>
          <w:color w:val="auto"/>
          <w:sz w:val="32"/>
          <w:szCs w:val="32"/>
          <w:lang w:val="en-US" w:eastAsia="zh-CN"/>
        </w:rPr>
        <w:t>120</w:t>
      </w:r>
      <w:r>
        <w:rPr>
          <w:rFonts w:hint="eastAsia" w:ascii="仿宋" w:hAnsi="仿宋" w:eastAsia="仿宋" w:cs="仿宋"/>
          <w:color w:val="auto"/>
          <w:sz w:val="32"/>
          <w:szCs w:val="32"/>
        </w:rPr>
        <w:t>万元。消防事故</w:t>
      </w:r>
      <w:r>
        <w:rPr>
          <w:rFonts w:hint="eastAsia" w:ascii="仿宋" w:hAnsi="仿宋" w:eastAsia="仿宋" w:cs="仿宋"/>
          <w:color w:val="auto"/>
          <w:sz w:val="32"/>
          <w:szCs w:val="32"/>
          <w:lang w:val="en-US" w:eastAsia="zh-CN"/>
        </w:rPr>
        <w:t>11</w:t>
      </w:r>
      <w:r>
        <w:rPr>
          <w:rFonts w:hint="eastAsia" w:ascii="仿宋" w:hAnsi="仿宋" w:eastAsia="仿宋" w:cs="仿宋"/>
          <w:color w:val="auto"/>
          <w:sz w:val="32"/>
          <w:szCs w:val="32"/>
        </w:rPr>
        <w:t>起，无人员伤亡，财产损失</w:t>
      </w:r>
      <w:r>
        <w:rPr>
          <w:rFonts w:hint="eastAsia" w:ascii="仿宋" w:hAnsi="仿宋" w:eastAsia="仿宋" w:cs="仿宋"/>
          <w:color w:val="auto"/>
          <w:sz w:val="32"/>
          <w:szCs w:val="32"/>
          <w:lang w:val="en-US" w:eastAsia="zh-CN"/>
        </w:rPr>
        <w:t>78.3</w:t>
      </w:r>
      <w:r>
        <w:rPr>
          <w:rFonts w:hint="eastAsia" w:ascii="仿宋" w:hAnsi="仿宋" w:eastAsia="仿宋" w:cs="仿宋"/>
          <w:color w:val="auto"/>
          <w:sz w:val="32"/>
          <w:szCs w:val="32"/>
        </w:rPr>
        <w:t>万元。</w:t>
      </w:r>
    </w:p>
    <w:p>
      <w:pPr>
        <w:snapToGrid w:val="0"/>
        <w:spacing w:line="560" w:lineRule="exact"/>
        <w:ind w:firstLine="3252" w:firstLineChars="900"/>
        <w:textAlignment w:val="baseline"/>
        <w:rPr>
          <w:rFonts w:ascii="Times New Roman" w:hAnsi="Times New Roman" w:eastAsia="仿宋" w:cs="Times New Roman"/>
          <w:b/>
          <w:color w:val="auto"/>
          <w:kern w:val="0"/>
          <w:sz w:val="36"/>
          <w:szCs w:val="36"/>
          <w:lang w:val="zh-CN"/>
        </w:rPr>
      </w:pPr>
    </w:p>
    <w:p>
      <w:pPr>
        <w:widowControl/>
        <w:numPr>
          <w:ilvl w:val="0"/>
          <w:numId w:val="4"/>
        </w:numPr>
        <w:adjustRightInd w:val="0"/>
        <w:snapToGrid w:val="0"/>
        <w:spacing w:line="560" w:lineRule="exact"/>
        <w:jc w:val="center"/>
        <w:rPr>
          <w:rFonts w:ascii="黑体" w:hAnsi="黑体" w:eastAsia="黑体" w:cs="黑体"/>
          <w:b/>
          <w:color w:val="auto"/>
          <w:kern w:val="0"/>
          <w:sz w:val="36"/>
          <w:szCs w:val="36"/>
          <w:lang w:val="zh-CN"/>
        </w:rPr>
      </w:pPr>
      <w:r>
        <w:rPr>
          <w:rFonts w:ascii="黑体" w:hAnsi="黑体" w:eastAsia="黑体" w:cs="黑体"/>
          <w:b/>
          <w:color w:val="auto"/>
          <w:kern w:val="0"/>
          <w:sz w:val="36"/>
          <w:szCs w:val="36"/>
          <w:lang w:val="zh-CN"/>
        </w:rPr>
        <w:t>人</w:t>
      </w:r>
      <w:r>
        <w:rPr>
          <w:rFonts w:hint="eastAsia" w:ascii="黑体" w:hAnsi="黑体" w:eastAsia="黑体" w:cs="黑体"/>
          <w:b/>
          <w:color w:val="auto"/>
          <w:kern w:val="0"/>
          <w:sz w:val="36"/>
          <w:szCs w:val="36"/>
          <w:lang w:val="en-US" w:eastAsia="zh-CN"/>
        </w:rPr>
        <w:t xml:space="preserve">  </w:t>
      </w:r>
      <w:r>
        <w:rPr>
          <w:rFonts w:ascii="黑体" w:hAnsi="黑体" w:eastAsia="黑体" w:cs="黑体"/>
          <w:b/>
          <w:color w:val="auto"/>
          <w:kern w:val="0"/>
          <w:sz w:val="36"/>
          <w:szCs w:val="36"/>
          <w:lang w:val="zh-CN"/>
        </w:rPr>
        <w:t>口</w:t>
      </w:r>
    </w:p>
    <w:p>
      <w:pPr>
        <w:pStyle w:val="12"/>
        <w:ind w:left="0" w:leftChars="0" w:firstLine="0" w:firstLineChars="0"/>
        <w:rPr>
          <w:color w:val="auto"/>
          <w:lang w:val="zh-CN"/>
        </w:rPr>
      </w:pPr>
    </w:p>
    <w:p>
      <w:pPr>
        <w:widowControl/>
        <w:adjustRightInd w:val="0"/>
        <w:spacing w:line="560" w:lineRule="exact"/>
        <w:ind w:firstLine="640" w:firstLineChars="200"/>
        <w:jc w:val="left"/>
        <w:rPr>
          <w:rFonts w:hint="eastAsia" w:ascii="仿宋" w:hAnsi="仿宋" w:eastAsia="仿宋" w:cs="仿宋"/>
          <w:color w:val="auto"/>
          <w:sz w:val="32"/>
          <w:szCs w:val="32"/>
          <w:shd w:val="clear" w:color="auto" w:fill="FFFFFF"/>
          <w:lang w:val="en-US" w:eastAsia="zh-CN"/>
        </w:rPr>
      </w:pPr>
      <w:r>
        <w:rPr>
          <w:rFonts w:hint="eastAsia" w:ascii="仿宋" w:hAnsi="仿宋" w:eastAsia="仿宋" w:cs="仿宋"/>
          <w:color w:val="auto"/>
          <w:kern w:val="0"/>
          <w:sz w:val="32"/>
          <w:szCs w:val="32"/>
          <w:lang w:val="zh-CN"/>
        </w:rPr>
        <w:t>年末，全县户籍人口总数</w:t>
      </w:r>
      <w:r>
        <w:rPr>
          <w:rFonts w:hint="eastAsia" w:ascii="仿宋" w:hAnsi="仿宋" w:eastAsia="仿宋" w:cs="仿宋"/>
          <w:color w:val="auto"/>
          <w:kern w:val="0"/>
          <w:sz w:val="32"/>
          <w:szCs w:val="32"/>
          <w:lang w:val="en-US" w:eastAsia="zh-CN"/>
        </w:rPr>
        <w:t>49272</w:t>
      </w:r>
      <w:r>
        <w:rPr>
          <w:rFonts w:hint="eastAsia" w:ascii="仿宋" w:hAnsi="仿宋" w:eastAsia="仿宋" w:cs="仿宋"/>
          <w:color w:val="auto"/>
          <w:kern w:val="0"/>
          <w:sz w:val="32"/>
          <w:szCs w:val="32"/>
          <w:lang w:val="zh-CN"/>
        </w:rPr>
        <w:t>人，其中：男性</w:t>
      </w:r>
      <w:r>
        <w:rPr>
          <w:rFonts w:hint="eastAsia" w:ascii="仿宋" w:hAnsi="仿宋" w:eastAsia="仿宋" w:cs="仿宋"/>
          <w:color w:val="auto"/>
          <w:kern w:val="0"/>
          <w:sz w:val="32"/>
          <w:szCs w:val="32"/>
          <w:lang w:val="en-US" w:eastAsia="zh-CN"/>
        </w:rPr>
        <w:t>24934</w:t>
      </w:r>
      <w:r>
        <w:rPr>
          <w:rFonts w:hint="eastAsia" w:ascii="仿宋" w:hAnsi="仿宋" w:eastAsia="仿宋" w:cs="仿宋"/>
          <w:color w:val="auto"/>
          <w:kern w:val="0"/>
          <w:sz w:val="32"/>
          <w:szCs w:val="32"/>
          <w:lang w:val="zh-CN"/>
        </w:rPr>
        <w:t>人，女性</w:t>
      </w:r>
      <w:r>
        <w:rPr>
          <w:rFonts w:hint="eastAsia" w:ascii="仿宋" w:hAnsi="仿宋" w:eastAsia="仿宋" w:cs="仿宋"/>
          <w:color w:val="auto"/>
          <w:kern w:val="0"/>
          <w:sz w:val="32"/>
          <w:szCs w:val="32"/>
          <w:lang w:val="en-US" w:eastAsia="zh-CN"/>
        </w:rPr>
        <w:t>24338</w:t>
      </w:r>
      <w:r>
        <w:rPr>
          <w:rFonts w:hint="eastAsia" w:ascii="仿宋" w:hAnsi="仿宋" w:eastAsia="仿宋" w:cs="仿宋"/>
          <w:color w:val="auto"/>
          <w:kern w:val="0"/>
          <w:sz w:val="32"/>
          <w:szCs w:val="32"/>
          <w:lang w:val="zh-CN"/>
        </w:rPr>
        <w:t>人；农业人口</w:t>
      </w:r>
      <w:r>
        <w:rPr>
          <w:rFonts w:hint="eastAsia" w:ascii="仿宋" w:hAnsi="仿宋" w:eastAsia="仿宋" w:cs="仿宋"/>
          <w:color w:val="auto"/>
          <w:kern w:val="0"/>
          <w:sz w:val="32"/>
          <w:szCs w:val="32"/>
          <w:lang w:val="en-US" w:eastAsia="zh-CN"/>
        </w:rPr>
        <w:t>42770</w:t>
      </w:r>
      <w:r>
        <w:rPr>
          <w:rFonts w:hint="eastAsia" w:ascii="仿宋" w:hAnsi="仿宋" w:eastAsia="仿宋" w:cs="仿宋"/>
          <w:color w:val="auto"/>
          <w:kern w:val="0"/>
          <w:sz w:val="32"/>
          <w:szCs w:val="32"/>
          <w:lang w:val="zh-CN"/>
        </w:rPr>
        <w:t>人，非农业人口</w:t>
      </w:r>
      <w:r>
        <w:rPr>
          <w:rFonts w:hint="eastAsia" w:ascii="仿宋" w:hAnsi="仿宋" w:eastAsia="仿宋" w:cs="仿宋"/>
          <w:color w:val="auto"/>
          <w:kern w:val="0"/>
          <w:sz w:val="32"/>
          <w:szCs w:val="32"/>
          <w:lang w:val="en-US" w:eastAsia="zh-CN"/>
        </w:rPr>
        <w:t>6502</w:t>
      </w:r>
      <w:r>
        <w:rPr>
          <w:rFonts w:hint="eastAsia" w:ascii="仿宋" w:hAnsi="仿宋" w:eastAsia="仿宋" w:cs="仿宋"/>
          <w:color w:val="auto"/>
          <w:kern w:val="0"/>
          <w:sz w:val="32"/>
          <w:szCs w:val="32"/>
          <w:lang w:val="zh-CN"/>
        </w:rPr>
        <w:t>人；少数民族</w:t>
      </w:r>
      <w:r>
        <w:rPr>
          <w:rFonts w:hint="eastAsia" w:ascii="仿宋" w:hAnsi="仿宋" w:eastAsia="仿宋" w:cs="仿宋"/>
          <w:color w:val="auto"/>
          <w:kern w:val="0"/>
          <w:sz w:val="32"/>
          <w:szCs w:val="32"/>
          <w:lang w:val="en-US" w:eastAsia="zh-CN"/>
        </w:rPr>
        <w:t>46836</w:t>
      </w:r>
      <w:r>
        <w:rPr>
          <w:rFonts w:hint="eastAsia" w:ascii="仿宋" w:hAnsi="仿宋" w:eastAsia="仿宋" w:cs="仿宋"/>
          <w:color w:val="auto"/>
          <w:kern w:val="0"/>
          <w:sz w:val="32"/>
          <w:szCs w:val="32"/>
        </w:rPr>
        <w:t>人，比重</w:t>
      </w:r>
      <w:r>
        <w:rPr>
          <w:rFonts w:hint="eastAsia" w:ascii="仿宋" w:hAnsi="仿宋" w:eastAsia="仿宋" w:cs="仿宋"/>
          <w:color w:val="auto"/>
          <w:kern w:val="0"/>
          <w:sz w:val="32"/>
          <w:szCs w:val="32"/>
          <w:lang w:val="en-US" w:eastAsia="zh-CN"/>
        </w:rPr>
        <w:t>95.06</w:t>
      </w:r>
      <w:r>
        <w:rPr>
          <w:rFonts w:hint="eastAsia" w:ascii="仿宋" w:hAnsi="仿宋" w:eastAsia="仿宋" w:cs="仿宋"/>
          <w:color w:val="auto"/>
          <w:kern w:val="0"/>
          <w:sz w:val="32"/>
          <w:szCs w:val="32"/>
        </w:rPr>
        <w:t>%（藏族</w:t>
      </w:r>
      <w:r>
        <w:rPr>
          <w:rFonts w:hint="eastAsia" w:ascii="仿宋" w:hAnsi="仿宋" w:eastAsia="仿宋" w:cs="仿宋"/>
          <w:color w:val="auto"/>
          <w:kern w:val="0"/>
          <w:sz w:val="32"/>
          <w:szCs w:val="32"/>
          <w:lang w:val="en-US" w:eastAsia="zh-CN"/>
        </w:rPr>
        <w:t>46406</w:t>
      </w:r>
      <w:r>
        <w:rPr>
          <w:rFonts w:hint="eastAsia" w:ascii="仿宋" w:hAnsi="仿宋" w:eastAsia="仿宋" w:cs="仿宋"/>
          <w:color w:val="auto"/>
          <w:kern w:val="0"/>
          <w:sz w:val="32"/>
          <w:szCs w:val="32"/>
        </w:rPr>
        <w:t>人，占比</w:t>
      </w:r>
      <w:r>
        <w:rPr>
          <w:rFonts w:hint="eastAsia" w:ascii="仿宋" w:hAnsi="仿宋" w:eastAsia="仿宋" w:cs="仿宋"/>
          <w:color w:val="auto"/>
          <w:kern w:val="0"/>
          <w:sz w:val="32"/>
          <w:szCs w:val="32"/>
          <w:lang w:val="en-US" w:eastAsia="zh-CN"/>
        </w:rPr>
        <w:t>94.18</w:t>
      </w:r>
      <w:r>
        <w:rPr>
          <w:rFonts w:hint="eastAsia" w:ascii="仿宋" w:hAnsi="仿宋" w:eastAsia="仿宋" w:cs="仿宋"/>
          <w:color w:val="auto"/>
          <w:kern w:val="0"/>
          <w:sz w:val="32"/>
          <w:szCs w:val="32"/>
        </w:rPr>
        <w:t>%，羌族</w:t>
      </w:r>
      <w:r>
        <w:rPr>
          <w:rFonts w:hint="eastAsia" w:ascii="仿宋" w:hAnsi="仿宋" w:eastAsia="仿宋" w:cs="仿宋"/>
          <w:color w:val="auto"/>
          <w:kern w:val="0"/>
          <w:sz w:val="32"/>
          <w:szCs w:val="32"/>
          <w:lang w:val="en-US" w:eastAsia="zh-CN"/>
        </w:rPr>
        <w:t>320</w:t>
      </w:r>
      <w:r>
        <w:rPr>
          <w:rFonts w:hint="eastAsia" w:ascii="仿宋" w:hAnsi="仿宋" w:eastAsia="仿宋" w:cs="仿宋"/>
          <w:color w:val="auto"/>
          <w:kern w:val="0"/>
          <w:sz w:val="32"/>
          <w:szCs w:val="32"/>
        </w:rPr>
        <w:t>人，占比</w:t>
      </w:r>
      <w:r>
        <w:rPr>
          <w:rFonts w:hint="eastAsia" w:ascii="仿宋" w:hAnsi="仿宋" w:eastAsia="仿宋" w:cs="仿宋"/>
          <w:color w:val="auto"/>
          <w:kern w:val="0"/>
          <w:sz w:val="32"/>
          <w:szCs w:val="32"/>
          <w:lang w:val="en-US" w:eastAsia="zh-CN"/>
        </w:rPr>
        <w:t>0.65</w:t>
      </w:r>
      <w:r>
        <w:rPr>
          <w:rFonts w:hint="eastAsia" w:ascii="仿宋" w:hAnsi="仿宋" w:eastAsia="仿宋" w:cs="仿宋"/>
          <w:color w:val="auto"/>
          <w:kern w:val="0"/>
          <w:sz w:val="32"/>
          <w:szCs w:val="32"/>
        </w:rPr>
        <w:t>%，回族</w:t>
      </w:r>
      <w:r>
        <w:rPr>
          <w:rFonts w:hint="eastAsia" w:ascii="仿宋" w:hAnsi="仿宋" w:eastAsia="仿宋" w:cs="仿宋"/>
          <w:color w:val="auto"/>
          <w:kern w:val="0"/>
          <w:sz w:val="32"/>
          <w:szCs w:val="32"/>
          <w:lang w:val="en-US" w:eastAsia="zh-CN"/>
        </w:rPr>
        <w:t>81</w:t>
      </w:r>
      <w:r>
        <w:rPr>
          <w:rFonts w:hint="eastAsia" w:ascii="仿宋" w:hAnsi="仿宋" w:eastAsia="仿宋" w:cs="仿宋"/>
          <w:color w:val="auto"/>
          <w:kern w:val="0"/>
          <w:sz w:val="32"/>
          <w:szCs w:val="32"/>
        </w:rPr>
        <w:t>人，占比0.1</w:t>
      </w:r>
      <w:r>
        <w:rPr>
          <w:rFonts w:hint="eastAsia" w:ascii="仿宋" w:hAnsi="仿宋" w:eastAsia="仿宋" w:cs="仿宋"/>
          <w:color w:val="auto"/>
          <w:kern w:val="0"/>
          <w:sz w:val="32"/>
          <w:szCs w:val="32"/>
          <w:lang w:val="en-US" w:eastAsia="zh-CN"/>
        </w:rPr>
        <w:t>7</w:t>
      </w:r>
      <w:r>
        <w:rPr>
          <w:rFonts w:hint="eastAsia" w:ascii="仿宋" w:hAnsi="仿宋" w:eastAsia="仿宋" w:cs="仿宋"/>
          <w:color w:val="auto"/>
          <w:kern w:val="0"/>
          <w:sz w:val="32"/>
          <w:szCs w:val="32"/>
        </w:rPr>
        <w:t>%，其他少数民族</w:t>
      </w:r>
      <w:r>
        <w:rPr>
          <w:rFonts w:hint="eastAsia" w:ascii="仿宋" w:hAnsi="仿宋" w:eastAsia="仿宋" w:cs="仿宋"/>
          <w:color w:val="auto"/>
          <w:kern w:val="0"/>
          <w:sz w:val="32"/>
          <w:szCs w:val="32"/>
          <w:lang w:val="en-US" w:eastAsia="zh-CN"/>
        </w:rPr>
        <w:t>29</w:t>
      </w:r>
      <w:r>
        <w:rPr>
          <w:rFonts w:hint="eastAsia" w:ascii="仿宋" w:hAnsi="仿宋" w:eastAsia="仿宋" w:cs="仿宋"/>
          <w:color w:val="auto"/>
          <w:kern w:val="0"/>
          <w:sz w:val="32"/>
          <w:szCs w:val="32"/>
        </w:rPr>
        <w:t>人，占比0.0</w:t>
      </w:r>
      <w:r>
        <w:rPr>
          <w:rFonts w:hint="eastAsia" w:ascii="仿宋" w:hAnsi="仿宋" w:eastAsia="仿宋" w:cs="仿宋"/>
          <w:color w:val="auto"/>
          <w:kern w:val="0"/>
          <w:sz w:val="32"/>
          <w:szCs w:val="32"/>
          <w:lang w:val="en-US" w:eastAsia="zh-CN"/>
        </w:rPr>
        <w:t>6</w:t>
      </w:r>
      <w:r>
        <w:rPr>
          <w:rFonts w:hint="eastAsia" w:ascii="仿宋" w:hAnsi="仿宋" w:eastAsia="仿宋" w:cs="仿宋"/>
          <w:color w:val="auto"/>
          <w:kern w:val="0"/>
          <w:sz w:val="32"/>
          <w:szCs w:val="32"/>
        </w:rPr>
        <w:t>%），汉族</w:t>
      </w:r>
      <w:r>
        <w:rPr>
          <w:rFonts w:hint="eastAsia" w:ascii="仿宋" w:hAnsi="仿宋" w:eastAsia="仿宋" w:cs="仿宋"/>
          <w:color w:val="auto"/>
          <w:kern w:val="0"/>
          <w:sz w:val="32"/>
          <w:szCs w:val="32"/>
          <w:lang w:val="en-US" w:eastAsia="zh-CN"/>
        </w:rPr>
        <w:t>2436</w:t>
      </w:r>
      <w:r>
        <w:rPr>
          <w:rFonts w:hint="eastAsia" w:ascii="仿宋" w:hAnsi="仿宋" w:eastAsia="仿宋" w:cs="仿宋"/>
          <w:color w:val="auto"/>
          <w:kern w:val="0"/>
          <w:sz w:val="32"/>
          <w:szCs w:val="32"/>
        </w:rPr>
        <w:t>人，占比</w:t>
      </w:r>
      <w:r>
        <w:rPr>
          <w:rFonts w:hint="eastAsia" w:ascii="仿宋" w:hAnsi="仿宋" w:eastAsia="仿宋" w:cs="仿宋"/>
          <w:color w:val="auto"/>
          <w:kern w:val="0"/>
          <w:sz w:val="32"/>
          <w:szCs w:val="32"/>
          <w:lang w:val="en-US" w:eastAsia="zh-CN"/>
        </w:rPr>
        <w:t>4.94</w:t>
      </w:r>
      <w:r>
        <w:rPr>
          <w:rFonts w:hint="eastAsia" w:ascii="仿宋" w:hAnsi="仿宋" w:eastAsia="仿宋" w:cs="仿宋"/>
          <w:color w:val="auto"/>
          <w:kern w:val="0"/>
          <w:sz w:val="32"/>
          <w:szCs w:val="32"/>
        </w:rPr>
        <w:t>%</w:t>
      </w:r>
      <w:r>
        <w:rPr>
          <w:rFonts w:hint="eastAsia" w:ascii="仿宋" w:hAnsi="仿宋" w:eastAsia="仿宋" w:cs="仿宋"/>
          <w:color w:val="auto"/>
          <w:kern w:val="0"/>
          <w:sz w:val="32"/>
          <w:szCs w:val="32"/>
          <w:lang w:eastAsia="zh-CN"/>
        </w:rPr>
        <w:t>。</w:t>
      </w:r>
      <w:r>
        <w:rPr>
          <w:rFonts w:hint="eastAsia" w:ascii="仿宋" w:hAnsi="仿宋" w:eastAsia="仿宋" w:cs="仿宋"/>
          <w:color w:val="auto"/>
          <w:kern w:val="0"/>
          <w:sz w:val="32"/>
          <w:szCs w:val="32"/>
          <w:lang w:val="zh-CN" w:eastAsia="zh-CN"/>
        </w:rPr>
        <w:t>年末常住人口</w:t>
      </w:r>
      <w:r>
        <w:rPr>
          <w:rFonts w:hint="eastAsia" w:ascii="仿宋" w:hAnsi="仿宋" w:eastAsia="仿宋" w:cs="仿宋"/>
          <w:color w:val="auto"/>
          <w:kern w:val="0"/>
          <w:sz w:val="32"/>
          <w:szCs w:val="32"/>
          <w:lang w:val="en-US" w:eastAsia="zh-CN"/>
        </w:rPr>
        <w:t>4.55万</w:t>
      </w:r>
      <w:r>
        <w:rPr>
          <w:rFonts w:hint="eastAsia" w:ascii="仿宋" w:hAnsi="仿宋" w:eastAsia="仿宋" w:cs="仿宋"/>
          <w:color w:val="auto"/>
          <w:kern w:val="0"/>
          <w:sz w:val="32"/>
          <w:szCs w:val="32"/>
          <w:lang w:val="zh-CN" w:eastAsia="zh-CN"/>
        </w:rPr>
        <w:t>人，城镇化率</w:t>
      </w:r>
      <w:r>
        <w:rPr>
          <w:rFonts w:hint="eastAsia" w:ascii="仿宋" w:hAnsi="仿宋" w:eastAsia="仿宋" w:cs="仿宋"/>
          <w:color w:val="auto"/>
          <w:kern w:val="0"/>
          <w:sz w:val="32"/>
          <w:szCs w:val="32"/>
          <w:lang w:val="en-US" w:eastAsia="zh-CN"/>
        </w:rPr>
        <w:t>27.91%，比上年提高1.13百分点。</w:t>
      </w:r>
      <w:r>
        <w:rPr>
          <w:rFonts w:hint="eastAsia" w:ascii="仿宋" w:hAnsi="仿宋" w:eastAsia="仿宋" w:cs="仿宋"/>
          <w:color w:val="auto"/>
          <w:sz w:val="32"/>
          <w:szCs w:val="32"/>
          <w:shd w:val="clear" w:color="auto" w:fill="FFFFFF"/>
          <w:lang w:val="zh-CN" w:eastAsia="zh-CN"/>
        </w:rPr>
        <w:t>全年人口出生率</w:t>
      </w:r>
      <w:r>
        <w:rPr>
          <w:rFonts w:hint="eastAsia" w:ascii="仿宋" w:hAnsi="仿宋" w:eastAsia="仿宋" w:cs="仿宋"/>
          <w:color w:val="auto"/>
          <w:sz w:val="32"/>
          <w:szCs w:val="32"/>
          <w:shd w:val="clear" w:color="auto" w:fill="FFFFFF"/>
          <w:lang w:val="en-US" w:eastAsia="zh-CN"/>
        </w:rPr>
        <w:t>14.93</w:t>
      </w:r>
      <w:r>
        <w:rPr>
          <w:rFonts w:hint="eastAsia" w:ascii="仿宋" w:hAnsi="仿宋" w:eastAsia="仿宋" w:cs="仿宋"/>
          <w:color w:val="auto"/>
          <w:sz w:val="32"/>
          <w:szCs w:val="32"/>
          <w:shd w:val="clear" w:color="auto" w:fill="FFFFFF"/>
          <w:lang w:val="zh-CN" w:eastAsia="zh-CN"/>
        </w:rPr>
        <w:t>‰，人口死亡率</w:t>
      </w:r>
      <w:r>
        <w:rPr>
          <w:rFonts w:hint="eastAsia" w:ascii="仿宋" w:hAnsi="仿宋" w:eastAsia="仿宋" w:cs="仿宋"/>
          <w:color w:val="auto"/>
          <w:sz w:val="32"/>
          <w:szCs w:val="32"/>
          <w:shd w:val="clear" w:color="auto" w:fill="FFFFFF"/>
          <w:lang w:val="en-US" w:eastAsia="zh-CN"/>
        </w:rPr>
        <w:t>3.17</w:t>
      </w:r>
      <w:r>
        <w:rPr>
          <w:rFonts w:hint="eastAsia" w:ascii="仿宋" w:hAnsi="仿宋" w:eastAsia="仿宋" w:cs="仿宋"/>
          <w:color w:val="auto"/>
          <w:sz w:val="32"/>
          <w:szCs w:val="32"/>
          <w:shd w:val="clear" w:color="auto" w:fill="FFFFFF"/>
          <w:lang w:val="zh-CN" w:eastAsia="zh-CN"/>
        </w:rPr>
        <w:t>‰，人口自然增长率为</w:t>
      </w:r>
      <w:r>
        <w:rPr>
          <w:rFonts w:hint="eastAsia" w:ascii="仿宋" w:hAnsi="仿宋" w:eastAsia="仿宋" w:cs="仿宋"/>
          <w:color w:val="auto"/>
          <w:sz w:val="32"/>
          <w:szCs w:val="32"/>
          <w:shd w:val="clear" w:color="auto" w:fill="FFFFFF"/>
          <w:lang w:val="en-US" w:eastAsia="zh-CN"/>
        </w:rPr>
        <w:t>11.76</w:t>
      </w:r>
      <w:r>
        <w:rPr>
          <w:rFonts w:hint="eastAsia" w:ascii="仿宋" w:hAnsi="仿宋" w:eastAsia="仿宋" w:cs="仿宋"/>
          <w:color w:val="auto"/>
          <w:sz w:val="32"/>
          <w:szCs w:val="32"/>
          <w:shd w:val="clear" w:color="auto" w:fill="FFFFFF"/>
          <w:lang w:val="zh-CN" w:eastAsia="zh-CN"/>
        </w:rPr>
        <w:t>‰。</w:t>
      </w:r>
    </w:p>
    <w:p>
      <w:pPr>
        <w:widowControl/>
        <w:adjustRightInd w:val="0"/>
        <w:snapToGrid w:val="0"/>
        <w:spacing w:line="560" w:lineRule="exact"/>
        <w:jc w:val="both"/>
        <w:rPr>
          <w:rFonts w:ascii="黑体" w:hAnsi="黑体" w:eastAsia="黑体" w:cs="黑体"/>
          <w:b/>
          <w:color w:val="auto"/>
          <w:kern w:val="0"/>
          <w:sz w:val="36"/>
          <w:szCs w:val="36"/>
          <w:lang w:val="zh-CN"/>
        </w:rPr>
      </w:pPr>
      <w:r>
        <w:drawing>
          <wp:anchor distT="0" distB="0" distL="114300" distR="114300" simplePos="0" relativeHeight="251667456" behindDoc="0" locked="0" layoutInCell="1" allowOverlap="1">
            <wp:simplePos x="0" y="0"/>
            <wp:positionH relativeFrom="column">
              <wp:posOffset>104775</wp:posOffset>
            </wp:positionH>
            <wp:positionV relativeFrom="paragraph">
              <wp:posOffset>46355</wp:posOffset>
            </wp:positionV>
            <wp:extent cx="5540375" cy="2752725"/>
            <wp:effectExtent l="0" t="0" r="3175" b="9525"/>
            <wp:wrapTopAndBottom/>
            <wp:docPr id="1" name="图表 9" descr="7b0a202020202263686172745265734964223a20223230343734333337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p>
    <w:p>
      <w:pPr>
        <w:widowControl/>
        <w:numPr>
          <w:ilvl w:val="0"/>
          <w:numId w:val="4"/>
        </w:numPr>
        <w:adjustRightInd w:val="0"/>
        <w:snapToGrid w:val="0"/>
        <w:spacing w:line="560" w:lineRule="exact"/>
        <w:ind w:left="0" w:leftChars="0" w:firstLine="0" w:firstLineChars="0"/>
        <w:jc w:val="center"/>
        <w:rPr>
          <w:rFonts w:ascii="黑体" w:hAnsi="黑体" w:eastAsia="黑体" w:cs="黑体"/>
          <w:b/>
          <w:color w:val="auto"/>
          <w:kern w:val="0"/>
          <w:sz w:val="36"/>
          <w:szCs w:val="36"/>
          <w:lang w:val="zh-CN"/>
        </w:rPr>
      </w:pPr>
      <w:r>
        <w:rPr>
          <w:rFonts w:ascii="黑体" w:hAnsi="黑体" w:eastAsia="黑体" w:cs="黑体"/>
          <w:b/>
          <w:color w:val="auto"/>
          <w:kern w:val="0"/>
          <w:sz w:val="36"/>
          <w:szCs w:val="36"/>
          <w:lang w:val="zh-CN"/>
        </w:rPr>
        <w:t>人民生活与社会保障</w:t>
      </w:r>
    </w:p>
    <w:p>
      <w:pPr>
        <w:pStyle w:val="7"/>
        <w:numPr>
          <w:ilvl w:val="0"/>
          <w:numId w:val="0"/>
        </w:numPr>
        <w:ind w:leftChars="0"/>
        <w:rPr>
          <w:color w:val="auto"/>
          <w:lang w:val="zh-CN"/>
        </w:rPr>
      </w:pPr>
    </w:p>
    <w:p>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both"/>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shd w:val="clear" w:fill="FFFFFF"/>
        </w:rPr>
        <w:t>全年全体居民人均可支配收入比上年增长</w:t>
      </w:r>
      <w:r>
        <w:rPr>
          <w:rFonts w:hint="eastAsia" w:ascii="仿宋" w:hAnsi="仿宋" w:eastAsia="仿宋" w:cs="仿宋"/>
          <w:i w:val="0"/>
          <w:iCs w:val="0"/>
          <w:caps w:val="0"/>
          <w:color w:val="000000"/>
          <w:spacing w:val="0"/>
          <w:sz w:val="32"/>
          <w:szCs w:val="32"/>
          <w:shd w:val="clear" w:fill="FFFFFF"/>
          <w:lang w:val="en-US" w:eastAsia="zh-CN"/>
        </w:rPr>
        <w:t>6.9</w:t>
      </w:r>
      <w:r>
        <w:rPr>
          <w:rFonts w:hint="eastAsia" w:ascii="仿宋" w:hAnsi="仿宋" w:eastAsia="仿宋" w:cs="仿宋"/>
          <w:i w:val="0"/>
          <w:iCs w:val="0"/>
          <w:caps w:val="0"/>
          <w:color w:val="000000"/>
          <w:spacing w:val="0"/>
          <w:sz w:val="32"/>
          <w:szCs w:val="32"/>
          <w:shd w:val="clear" w:fill="FFFFFF"/>
        </w:rPr>
        <w:t>%。</w:t>
      </w:r>
    </w:p>
    <w:p>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both"/>
        <w:rPr>
          <w:rFonts w:hint="eastAsia" w:ascii="仿宋" w:hAnsi="仿宋" w:eastAsia="仿宋" w:cs="仿宋"/>
          <w:i w:val="0"/>
          <w:iCs w:val="0"/>
          <w:caps w:val="0"/>
          <w:color w:val="000000"/>
          <w:spacing w:val="0"/>
          <w:sz w:val="32"/>
          <w:szCs w:val="32"/>
          <w:lang w:val="en-US" w:eastAsia="zh-CN"/>
        </w:rPr>
      </w:pPr>
      <w:r>
        <w:rPr>
          <w:rFonts w:hint="eastAsia" w:ascii="仿宋" w:hAnsi="仿宋" w:eastAsia="仿宋" w:cs="仿宋"/>
          <w:i w:val="0"/>
          <w:iCs w:val="0"/>
          <w:caps w:val="0"/>
          <w:color w:val="000000"/>
          <w:spacing w:val="0"/>
          <w:sz w:val="32"/>
          <w:szCs w:val="32"/>
          <w:shd w:val="clear" w:fill="FFFFFF"/>
        </w:rPr>
        <w:t>按常住地分，城镇居民人均可支配收入增长</w:t>
      </w:r>
      <w:r>
        <w:rPr>
          <w:rFonts w:hint="eastAsia" w:ascii="仿宋" w:hAnsi="仿宋" w:eastAsia="仿宋" w:cs="仿宋"/>
          <w:i w:val="0"/>
          <w:iCs w:val="0"/>
          <w:caps w:val="0"/>
          <w:color w:val="000000"/>
          <w:spacing w:val="0"/>
          <w:sz w:val="32"/>
          <w:szCs w:val="32"/>
          <w:shd w:val="clear" w:fill="FFFFFF"/>
          <w:lang w:val="en-US" w:eastAsia="zh-CN"/>
        </w:rPr>
        <w:t>4.7</w:t>
      </w:r>
      <w:r>
        <w:rPr>
          <w:rFonts w:hint="eastAsia" w:ascii="仿宋" w:hAnsi="仿宋" w:eastAsia="仿宋" w:cs="仿宋"/>
          <w:i w:val="0"/>
          <w:iCs w:val="0"/>
          <w:caps w:val="0"/>
          <w:color w:val="000000"/>
          <w:spacing w:val="0"/>
          <w:sz w:val="32"/>
          <w:szCs w:val="32"/>
          <w:shd w:val="clear" w:fill="FFFFFF"/>
        </w:rPr>
        <w:t>%；人均生活消费支出增长3.</w:t>
      </w:r>
      <w:r>
        <w:rPr>
          <w:rFonts w:hint="eastAsia" w:ascii="仿宋" w:hAnsi="仿宋" w:eastAsia="仿宋" w:cs="仿宋"/>
          <w:i w:val="0"/>
          <w:iCs w:val="0"/>
          <w:caps w:val="0"/>
          <w:color w:val="000000"/>
          <w:spacing w:val="0"/>
          <w:sz w:val="32"/>
          <w:szCs w:val="32"/>
          <w:shd w:val="clear" w:fill="FFFFFF"/>
          <w:lang w:val="en-US" w:eastAsia="zh-CN"/>
        </w:rPr>
        <w:t>4</w:t>
      </w:r>
      <w:r>
        <w:rPr>
          <w:rFonts w:hint="eastAsia" w:ascii="仿宋" w:hAnsi="仿宋" w:eastAsia="仿宋" w:cs="仿宋"/>
          <w:i w:val="0"/>
          <w:iCs w:val="0"/>
          <w:caps w:val="0"/>
          <w:color w:val="000000"/>
          <w:spacing w:val="0"/>
          <w:sz w:val="32"/>
          <w:szCs w:val="32"/>
          <w:shd w:val="clear" w:fill="FFFFFF"/>
        </w:rPr>
        <w:t>%。农村居民人均可支配收入增长</w:t>
      </w:r>
      <w:r>
        <w:rPr>
          <w:rFonts w:hint="eastAsia" w:ascii="仿宋" w:hAnsi="仿宋" w:eastAsia="仿宋" w:cs="仿宋"/>
          <w:i w:val="0"/>
          <w:iCs w:val="0"/>
          <w:caps w:val="0"/>
          <w:color w:val="000000"/>
          <w:spacing w:val="0"/>
          <w:sz w:val="32"/>
          <w:szCs w:val="32"/>
          <w:shd w:val="clear" w:fill="FFFFFF"/>
          <w:lang w:val="en-US" w:eastAsia="zh-CN"/>
        </w:rPr>
        <w:t>6.9</w:t>
      </w:r>
      <w:r>
        <w:rPr>
          <w:rFonts w:hint="eastAsia" w:ascii="仿宋" w:hAnsi="仿宋" w:eastAsia="仿宋" w:cs="仿宋"/>
          <w:i w:val="0"/>
          <w:iCs w:val="0"/>
          <w:caps w:val="0"/>
          <w:color w:val="000000"/>
          <w:spacing w:val="0"/>
          <w:sz w:val="32"/>
          <w:szCs w:val="32"/>
          <w:shd w:val="clear" w:fill="FFFFFF"/>
        </w:rPr>
        <w:t>%；人均生活消费支出增长</w:t>
      </w:r>
      <w:r>
        <w:rPr>
          <w:rFonts w:hint="eastAsia" w:ascii="仿宋" w:hAnsi="仿宋" w:eastAsia="仿宋" w:cs="仿宋"/>
          <w:i w:val="0"/>
          <w:iCs w:val="0"/>
          <w:caps w:val="0"/>
          <w:color w:val="000000"/>
          <w:spacing w:val="0"/>
          <w:sz w:val="32"/>
          <w:szCs w:val="32"/>
          <w:shd w:val="clear" w:fill="FFFFFF"/>
          <w:lang w:val="en-US" w:eastAsia="zh-CN"/>
        </w:rPr>
        <w:t>5.7</w:t>
      </w:r>
      <w:r>
        <w:rPr>
          <w:rFonts w:hint="eastAsia" w:ascii="仿宋" w:hAnsi="仿宋" w:eastAsia="仿宋" w:cs="仿宋"/>
          <w:i w:val="0"/>
          <w:iCs w:val="0"/>
          <w:caps w:val="0"/>
          <w:color w:val="000000"/>
          <w:spacing w:val="0"/>
          <w:sz w:val="32"/>
          <w:szCs w:val="32"/>
          <w:shd w:val="clear" w:fill="FFFFFF"/>
        </w:rPr>
        <w:t>%。城镇居民家庭恩格尔系数（即居民家庭食品消费支出占家庭消费总支出的比重）为</w:t>
      </w:r>
      <w:r>
        <w:rPr>
          <w:rFonts w:hint="eastAsia" w:ascii="仿宋" w:hAnsi="仿宋" w:eastAsia="仿宋" w:cs="仿宋"/>
          <w:i w:val="0"/>
          <w:iCs w:val="0"/>
          <w:caps w:val="0"/>
          <w:color w:val="000000"/>
          <w:spacing w:val="0"/>
          <w:sz w:val="32"/>
          <w:szCs w:val="32"/>
          <w:shd w:val="clear" w:fill="FFFFFF"/>
          <w:lang w:val="en-US" w:eastAsia="zh-CN"/>
        </w:rPr>
        <w:t>35</w:t>
      </w:r>
      <w:r>
        <w:rPr>
          <w:rFonts w:hint="eastAsia" w:ascii="仿宋" w:hAnsi="仿宋" w:eastAsia="仿宋" w:cs="仿宋"/>
          <w:i w:val="0"/>
          <w:iCs w:val="0"/>
          <w:caps w:val="0"/>
          <w:color w:val="000000"/>
          <w:spacing w:val="0"/>
          <w:sz w:val="32"/>
          <w:szCs w:val="32"/>
          <w:shd w:val="clear" w:fill="FFFFFF"/>
        </w:rPr>
        <w:t>%，农村居民家庭恩格尔系数为</w:t>
      </w:r>
      <w:r>
        <w:rPr>
          <w:rFonts w:hint="eastAsia" w:ascii="仿宋" w:hAnsi="仿宋" w:eastAsia="仿宋" w:cs="仿宋"/>
          <w:i w:val="0"/>
          <w:iCs w:val="0"/>
          <w:caps w:val="0"/>
          <w:color w:val="000000"/>
          <w:spacing w:val="0"/>
          <w:sz w:val="32"/>
          <w:szCs w:val="32"/>
          <w:shd w:val="clear" w:fill="FFFFFF"/>
          <w:lang w:val="en-US" w:eastAsia="zh-CN"/>
        </w:rPr>
        <w:t>40.6</w:t>
      </w:r>
      <w:r>
        <w:rPr>
          <w:rFonts w:hint="eastAsia" w:ascii="仿宋" w:hAnsi="仿宋" w:eastAsia="仿宋" w:cs="仿宋"/>
          <w:i w:val="0"/>
          <w:iCs w:val="0"/>
          <w:caps w:val="0"/>
          <w:color w:val="000000"/>
          <w:spacing w:val="0"/>
          <w:sz w:val="32"/>
          <w:szCs w:val="32"/>
          <w:shd w:val="clear" w:fill="FFFFFF"/>
        </w:rPr>
        <w:t>%。</w:t>
      </w:r>
    </w:p>
    <w:p>
      <w:pPr>
        <w:pStyle w:val="8"/>
        <w:ind w:firstLine="640" w:firstLineChars="200"/>
        <w:rPr>
          <w:rFonts w:ascii="Times New Roman" w:hAnsi="Times New Roman" w:eastAsia="仿宋" w:cs="Times New Roman"/>
          <w:bCs/>
          <w:color w:val="auto"/>
          <w:kern w:val="0"/>
          <w:sz w:val="32"/>
          <w:szCs w:val="32"/>
          <w:lang w:val="zh-CN"/>
        </w:rPr>
      </w:pPr>
      <w:r>
        <w:rPr>
          <w:rFonts w:hint="eastAsia" w:ascii="仿宋" w:hAnsi="仿宋" w:eastAsia="仿宋" w:cs="仿宋"/>
          <w:color w:val="auto"/>
          <w:sz w:val="32"/>
          <w:szCs w:val="32"/>
          <w:lang w:val="en-US" w:eastAsia="zh-CN"/>
        </w:rPr>
        <w:t>2023年</w:t>
      </w:r>
      <w:r>
        <w:rPr>
          <w:rFonts w:hint="eastAsia" w:ascii="仿宋" w:hAnsi="仿宋" w:eastAsia="仿宋" w:cs="仿宋"/>
          <w:color w:val="auto"/>
          <w:sz w:val="32"/>
          <w:szCs w:val="32"/>
        </w:rPr>
        <w:t>城乡居民人均可支配收入比为</w:t>
      </w:r>
      <w:r>
        <w:rPr>
          <w:rFonts w:hint="eastAsia" w:ascii="仿宋" w:hAnsi="仿宋" w:eastAsia="仿宋" w:cs="仿宋"/>
          <w:color w:val="auto"/>
          <w:sz w:val="32"/>
          <w:szCs w:val="32"/>
          <w:lang w:val="en-US" w:eastAsia="zh-CN"/>
        </w:rPr>
        <w:t>2.4，</w:t>
      </w:r>
      <w:r>
        <w:rPr>
          <w:rFonts w:hint="eastAsia" w:ascii="仿宋" w:hAnsi="仿宋" w:eastAsia="仿宋" w:cs="仿宋"/>
          <w:color w:val="auto"/>
          <w:sz w:val="32"/>
          <w:szCs w:val="32"/>
        </w:rPr>
        <w:t>较202</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年下降</w:t>
      </w:r>
      <w:r>
        <w:rPr>
          <w:rFonts w:hint="eastAsia" w:ascii="仿宋" w:hAnsi="仿宋" w:eastAsia="仿宋" w:cs="仿宋"/>
          <w:color w:val="auto"/>
          <w:sz w:val="32"/>
          <w:szCs w:val="32"/>
          <w:lang w:val="en-US" w:eastAsia="zh-CN"/>
        </w:rPr>
        <w:t>0.2个百分点</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较2021年下降0.25个百分点，城乡居民人均可支配收入相对差距持续缩小。</w:t>
      </w:r>
    </w:p>
    <w:p>
      <w:pPr>
        <w:spacing w:line="600" w:lineRule="exact"/>
        <w:ind w:firstLine="640" w:firstLineChars="200"/>
        <w:rPr>
          <w:rFonts w:hint="default" w:ascii="仿宋" w:hAnsi="仿宋" w:eastAsia="仿宋" w:cs="仿宋"/>
          <w:color w:val="auto"/>
          <w:szCs w:val="22"/>
          <w:lang w:val="en-US"/>
        </w:rPr>
      </w:pPr>
      <w:r>
        <w:rPr>
          <w:rFonts w:ascii="Times New Roman" w:hAnsi="Times New Roman" w:eastAsia="仿宋" w:cs="Times New Roman"/>
          <w:bCs/>
          <w:color w:val="auto"/>
          <w:kern w:val="0"/>
          <w:sz w:val="32"/>
          <w:szCs w:val="32"/>
          <w:lang w:val="zh-CN"/>
        </w:rPr>
        <w:t>【</w:t>
      </w:r>
      <w:r>
        <w:rPr>
          <w:rFonts w:ascii="楷体_GB2312" w:hAnsi="楷体_GB2312" w:eastAsia="楷体_GB2312" w:cs="楷体_GB2312"/>
          <w:b/>
          <w:bCs/>
          <w:color w:val="auto"/>
          <w:sz w:val="32"/>
          <w:szCs w:val="32"/>
          <w:shd w:val="clear" w:color="auto" w:fill="FFFFFF"/>
          <w:lang w:val="zh-CN"/>
        </w:rPr>
        <w:t>劳动就业</w:t>
      </w:r>
      <w:r>
        <w:rPr>
          <w:rFonts w:ascii="Times New Roman" w:hAnsi="Times New Roman" w:eastAsia="仿宋" w:cs="Times New Roman"/>
          <w:bCs/>
          <w:color w:val="auto"/>
          <w:kern w:val="0"/>
          <w:sz w:val="32"/>
          <w:szCs w:val="32"/>
          <w:lang w:val="zh-CN"/>
        </w:rPr>
        <w:t>】</w:t>
      </w:r>
      <w:r>
        <w:rPr>
          <w:rFonts w:hint="eastAsia" w:ascii="仿宋" w:hAnsi="仿宋" w:eastAsia="仿宋" w:cs="仿宋"/>
          <w:bCs/>
          <w:color w:val="auto"/>
          <w:kern w:val="0"/>
          <w:sz w:val="32"/>
          <w:szCs w:val="32"/>
        </w:rPr>
        <w:t>年末，</w:t>
      </w:r>
      <w:r>
        <w:rPr>
          <w:rFonts w:hint="eastAsia" w:ascii="仿宋" w:hAnsi="仿宋" w:eastAsia="仿宋" w:cs="仿宋"/>
          <w:color w:val="auto"/>
          <w:sz w:val="32"/>
          <w:szCs w:val="32"/>
        </w:rPr>
        <w:t>我县城镇新增就业人数308人，就业困难人员再就业5人，城镇失业人员再就业17人，城镇登记失业率稳控在3.68%内。安置公益性岗位282人。我县共7个见习基地，共收集见习岗位40个，推荐就业见习人员20人，发放见习补贴46.99万元。对1000余名城乡劳动者开展19期各类技能培训。发放16人创业补贴16万元。</w:t>
      </w:r>
      <w:r>
        <w:rPr>
          <w:rFonts w:hint="eastAsia" w:ascii="仿宋" w:hAnsi="仿宋" w:eastAsia="仿宋" w:cs="仿宋"/>
          <w:color w:val="auto"/>
          <w:sz w:val="32"/>
          <w:szCs w:val="32"/>
          <w:lang w:val="en-US" w:eastAsia="zh-CN"/>
        </w:rPr>
        <w:t xml:space="preserve">                                                   </w:t>
      </w:r>
    </w:p>
    <w:p>
      <w:pPr>
        <w:adjustRightInd w:val="0"/>
        <w:spacing w:line="560" w:lineRule="exact"/>
        <w:ind w:firstLine="642" w:firstLineChars="200"/>
        <w:jc w:val="left"/>
        <w:rPr>
          <w:rFonts w:hint="eastAsia" w:ascii="仿宋" w:hAnsi="仿宋" w:eastAsia="仿宋" w:cs="仿宋"/>
          <w:color w:val="auto"/>
          <w:kern w:val="0"/>
          <w:sz w:val="32"/>
          <w:szCs w:val="32"/>
          <w:lang w:val="zh-CN"/>
        </w:rPr>
      </w:pPr>
      <w:r>
        <w:rPr>
          <w:rFonts w:ascii="Times New Roman" w:hAnsi="Times New Roman" w:eastAsia="仿宋" w:cs="Times New Roman"/>
          <w:b/>
          <w:color w:val="auto"/>
          <w:kern w:val="0"/>
          <w:sz w:val="32"/>
          <w:szCs w:val="32"/>
          <w:lang w:val="zh-CN"/>
        </w:rPr>
        <w:t>【</w:t>
      </w:r>
      <w:r>
        <w:rPr>
          <w:rFonts w:ascii="楷体_GB2312" w:hAnsi="楷体_GB2312" w:eastAsia="楷体_GB2312" w:cs="楷体_GB2312"/>
          <w:b/>
          <w:bCs/>
          <w:color w:val="auto"/>
          <w:sz w:val="32"/>
          <w:szCs w:val="32"/>
          <w:shd w:val="clear" w:color="auto" w:fill="FFFFFF"/>
          <w:lang w:val="zh-CN"/>
        </w:rPr>
        <w:t>社会保障</w:t>
      </w:r>
      <w:r>
        <w:rPr>
          <w:rFonts w:ascii="Times New Roman" w:hAnsi="Times New Roman" w:eastAsia="仿宋" w:cs="Times New Roman"/>
          <w:b/>
          <w:color w:val="auto"/>
          <w:kern w:val="0"/>
          <w:sz w:val="32"/>
          <w:szCs w:val="32"/>
          <w:lang w:val="zh-CN"/>
        </w:rPr>
        <w:t>】</w:t>
      </w:r>
      <w:r>
        <w:rPr>
          <w:rFonts w:hint="eastAsia" w:ascii="仿宋" w:hAnsi="仿宋" w:eastAsia="仿宋" w:cs="仿宋"/>
          <w:color w:val="auto"/>
          <w:kern w:val="0"/>
          <w:sz w:val="32"/>
          <w:szCs w:val="32"/>
          <w:lang w:val="zh-CN"/>
        </w:rPr>
        <w:t>年末</w:t>
      </w:r>
      <w:r>
        <w:rPr>
          <w:rFonts w:hint="eastAsia" w:ascii="仿宋" w:hAnsi="仿宋" w:eastAsia="仿宋" w:cs="仿宋"/>
          <w:color w:val="auto"/>
          <w:kern w:val="0"/>
          <w:sz w:val="32"/>
          <w:szCs w:val="32"/>
        </w:rPr>
        <w:t>，</w:t>
      </w:r>
      <w:r>
        <w:rPr>
          <w:rFonts w:hint="eastAsia" w:ascii="仿宋" w:hAnsi="仿宋" w:eastAsia="仿宋" w:cs="仿宋"/>
          <w:color w:val="auto"/>
          <w:kern w:val="0"/>
          <w:sz w:val="32"/>
          <w:szCs w:val="32"/>
          <w:lang w:val="zh-CN"/>
        </w:rPr>
        <w:t>全县参加养老保险</w:t>
      </w:r>
      <w:r>
        <w:rPr>
          <w:rFonts w:hint="eastAsia" w:ascii="仿宋" w:hAnsi="仿宋" w:eastAsia="仿宋" w:cs="仿宋"/>
          <w:color w:val="auto"/>
          <w:kern w:val="0"/>
          <w:sz w:val="32"/>
          <w:szCs w:val="32"/>
          <w:lang w:val="en-US" w:eastAsia="zh-CN"/>
        </w:rPr>
        <w:t>26917</w:t>
      </w:r>
      <w:r>
        <w:rPr>
          <w:rFonts w:hint="eastAsia" w:ascii="仿宋" w:hAnsi="仿宋" w:eastAsia="仿宋" w:cs="仿宋"/>
          <w:color w:val="auto"/>
          <w:kern w:val="0"/>
          <w:sz w:val="32"/>
          <w:szCs w:val="32"/>
          <w:lang w:val="zh-CN"/>
        </w:rPr>
        <w:t>人，其中：城镇职工基本养老保险</w:t>
      </w:r>
      <w:r>
        <w:rPr>
          <w:rFonts w:hint="eastAsia" w:ascii="仿宋" w:hAnsi="仿宋" w:eastAsia="仿宋" w:cs="仿宋"/>
          <w:color w:val="auto"/>
          <w:kern w:val="0"/>
          <w:sz w:val="32"/>
          <w:szCs w:val="32"/>
          <w:lang w:val="en-US" w:eastAsia="zh-CN"/>
        </w:rPr>
        <w:t>4596</w:t>
      </w:r>
      <w:r>
        <w:rPr>
          <w:rFonts w:hint="eastAsia" w:ascii="仿宋" w:hAnsi="仿宋" w:eastAsia="仿宋" w:cs="仿宋"/>
          <w:color w:val="auto"/>
          <w:kern w:val="0"/>
          <w:sz w:val="32"/>
          <w:szCs w:val="32"/>
          <w:lang w:val="zh-CN"/>
        </w:rPr>
        <w:t>人，城乡居民养老保险</w:t>
      </w:r>
      <w:r>
        <w:rPr>
          <w:rFonts w:hint="eastAsia" w:ascii="仿宋" w:hAnsi="仿宋" w:eastAsia="仿宋" w:cs="仿宋"/>
          <w:color w:val="auto"/>
          <w:kern w:val="0"/>
          <w:sz w:val="32"/>
          <w:szCs w:val="32"/>
          <w:lang w:val="en-US" w:eastAsia="zh-CN"/>
        </w:rPr>
        <w:t>22321</w:t>
      </w:r>
      <w:r>
        <w:rPr>
          <w:rFonts w:hint="eastAsia" w:ascii="仿宋" w:hAnsi="仿宋" w:eastAsia="仿宋" w:cs="仿宋"/>
          <w:color w:val="auto"/>
          <w:kern w:val="0"/>
          <w:sz w:val="32"/>
          <w:szCs w:val="32"/>
          <w:lang w:val="zh-CN"/>
        </w:rPr>
        <w:t>人。参加基本医疗保险</w:t>
      </w:r>
      <w:r>
        <w:rPr>
          <w:rFonts w:hint="eastAsia" w:ascii="仿宋" w:hAnsi="仿宋" w:eastAsia="仿宋" w:cs="仿宋"/>
          <w:color w:val="auto"/>
          <w:kern w:val="0"/>
          <w:sz w:val="32"/>
          <w:szCs w:val="32"/>
          <w:lang w:val="en-US" w:eastAsia="zh-CN"/>
        </w:rPr>
        <w:t>44985</w:t>
      </w:r>
      <w:r>
        <w:rPr>
          <w:rFonts w:hint="eastAsia" w:ascii="仿宋" w:hAnsi="仿宋" w:eastAsia="仿宋" w:cs="仿宋"/>
          <w:color w:val="auto"/>
          <w:kern w:val="0"/>
          <w:sz w:val="32"/>
          <w:szCs w:val="32"/>
          <w:lang w:val="zh-CN"/>
        </w:rPr>
        <w:t>人，其中：城镇职工医疗保险</w:t>
      </w:r>
      <w:r>
        <w:rPr>
          <w:rFonts w:hint="eastAsia" w:ascii="仿宋" w:hAnsi="仿宋" w:eastAsia="仿宋" w:cs="仿宋"/>
          <w:color w:val="auto"/>
          <w:kern w:val="0"/>
          <w:sz w:val="32"/>
          <w:szCs w:val="32"/>
          <w:lang w:val="en-US" w:eastAsia="zh-CN"/>
        </w:rPr>
        <w:t>5223</w:t>
      </w:r>
      <w:r>
        <w:rPr>
          <w:rFonts w:hint="eastAsia" w:ascii="仿宋" w:hAnsi="仿宋" w:eastAsia="仿宋" w:cs="仿宋"/>
          <w:color w:val="auto"/>
          <w:kern w:val="0"/>
          <w:sz w:val="32"/>
          <w:szCs w:val="32"/>
          <w:lang w:val="zh-CN"/>
        </w:rPr>
        <w:t>人，城乡居民医疗保险</w:t>
      </w:r>
      <w:r>
        <w:rPr>
          <w:rFonts w:hint="eastAsia" w:ascii="仿宋" w:hAnsi="仿宋" w:eastAsia="仿宋" w:cs="仿宋"/>
          <w:color w:val="auto"/>
          <w:kern w:val="0"/>
          <w:sz w:val="32"/>
          <w:szCs w:val="32"/>
          <w:lang w:val="en-US" w:eastAsia="zh-CN"/>
        </w:rPr>
        <w:t>39762</w:t>
      </w:r>
      <w:r>
        <w:rPr>
          <w:rFonts w:hint="eastAsia" w:ascii="仿宋" w:hAnsi="仿宋" w:eastAsia="仿宋" w:cs="仿宋"/>
          <w:color w:val="auto"/>
          <w:kern w:val="0"/>
          <w:sz w:val="32"/>
          <w:szCs w:val="32"/>
          <w:lang w:val="zh-CN"/>
        </w:rPr>
        <w:t>人。参加失业保险</w:t>
      </w:r>
      <w:r>
        <w:rPr>
          <w:rFonts w:hint="eastAsia" w:ascii="仿宋" w:hAnsi="仿宋" w:eastAsia="仿宋" w:cs="仿宋"/>
          <w:color w:val="auto"/>
          <w:kern w:val="0"/>
          <w:sz w:val="32"/>
          <w:szCs w:val="32"/>
          <w:lang w:val="en-US" w:eastAsia="zh-CN"/>
        </w:rPr>
        <w:t>2796</w:t>
      </w:r>
      <w:r>
        <w:rPr>
          <w:rFonts w:hint="eastAsia" w:ascii="仿宋" w:hAnsi="仿宋" w:eastAsia="仿宋" w:cs="仿宋"/>
          <w:color w:val="auto"/>
          <w:kern w:val="0"/>
          <w:sz w:val="32"/>
          <w:szCs w:val="32"/>
          <w:lang w:val="zh-CN"/>
        </w:rPr>
        <w:t>人，参加工伤保险</w:t>
      </w:r>
      <w:r>
        <w:rPr>
          <w:rFonts w:hint="eastAsia" w:ascii="仿宋" w:hAnsi="仿宋" w:eastAsia="仿宋" w:cs="仿宋"/>
          <w:color w:val="auto"/>
          <w:kern w:val="0"/>
          <w:sz w:val="32"/>
          <w:szCs w:val="32"/>
          <w:lang w:val="en-US" w:eastAsia="zh-CN"/>
        </w:rPr>
        <w:t>5885</w:t>
      </w:r>
      <w:r>
        <w:rPr>
          <w:rFonts w:hint="eastAsia" w:ascii="仿宋" w:hAnsi="仿宋" w:eastAsia="仿宋" w:cs="仿宋"/>
          <w:color w:val="auto"/>
          <w:kern w:val="0"/>
          <w:sz w:val="32"/>
          <w:szCs w:val="32"/>
          <w:lang w:val="zh-CN"/>
        </w:rPr>
        <w:t>人。</w:t>
      </w:r>
      <w:r>
        <w:rPr>
          <w:rFonts w:hint="eastAsia" w:ascii="仿宋" w:hAnsi="仿宋" w:eastAsia="仿宋" w:cs="仿宋"/>
          <w:color w:val="auto"/>
          <w:kern w:val="0"/>
          <w:sz w:val="32"/>
          <w:szCs w:val="32"/>
        </w:rPr>
        <w:t>年末全县共有</w:t>
      </w:r>
      <w:r>
        <w:rPr>
          <w:rFonts w:hint="eastAsia" w:ascii="仿宋" w:hAnsi="仿宋" w:eastAsia="仿宋" w:cs="仿宋"/>
          <w:color w:val="auto"/>
          <w:kern w:val="0"/>
          <w:sz w:val="32"/>
          <w:szCs w:val="32"/>
          <w:lang w:val="en-US" w:eastAsia="zh-CN"/>
        </w:rPr>
        <w:t>340</w:t>
      </w:r>
      <w:r>
        <w:rPr>
          <w:rFonts w:hint="eastAsia" w:ascii="仿宋" w:hAnsi="仿宋" w:eastAsia="仿宋" w:cs="仿宋"/>
          <w:color w:val="auto"/>
          <w:kern w:val="0"/>
          <w:sz w:val="32"/>
          <w:szCs w:val="32"/>
        </w:rPr>
        <w:t>人享受城市居民最低生活保障，</w:t>
      </w:r>
      <w:r>
        <w:rPr>
          <w:rFonts w:hint="eastAsia" w:ascii="仿宋" w:hAnsi="仿宋" w:eastAsia="仿宋" w:cs="仿宋"/>
          <w:color w:val="auto"/>
          <w:kern w:val="0"/>
          <w:sz w:val="32"/>
          <w:szCs w:val="32"/>
          <w:lang w:val="en-US" w:eastAsia="zh-CN"/>
        </w:rPr>
        <w:t>15210</w:t>
      </w:r>
      <w:r>
        <w:rPr>
          <w:rFonts w:hint="eastAsia" w:ascii="仿宋" w:hAnsi="仿宋" w:eastAsia="仿宋" w:cs="仿宋"/>
          <w:color w:val="auto"/>
          <w:kern w:val="0"/>
          <w:sz w:val="32"/>
          <w:szCs w:val="32"/>
        </w:rPr>
        <w:t>人享受农村居民最低生活保障，</w:t>
      </w:r>
      <w:r>
        <w:rPr>
          <w:rFonts w:hint="eastAsia" w:ascii="仿宋" w:hAnsi="仿宋" w:eastAsia="仿宋" w:cs="仿宋"/>
          <w:color w:val="auto"/>
          <w:kern w:val="0"/>
          <w:sz w:val="32"/>
          <w:szCs w:val="32"/>
          <w:lang w:val="en-US" w:eastAsia="zh-CN"/>
        </w:rPr>
        <w:t>1010</w:t>
      </w:r>
      <w:r>
        <w:rPr>
          <w:rFonts w:hint="eastAsia" w:ascii="仿宋" w:hAnsi="仿宋" w:eastAsia="仿宋" w:cs="仿宋"/>
          <w:color w:val="auto"/>
          <w:kern w:val="0"/>
          <w:sz w:val="32"/>
          <w:szCs w:val="32"/>
        </w:rPr>
        <w:t>人享受农村特困人员救助供养,</w:t>
      </w:r>
      <w:r>
        <w:rPr>
          <w:rFonts w:hint="eastAsia" w:ascii="仿宋" w:hAnsi="仿宋" w:eastAsia="仿宋" w:cs="仿宋"/>
          <w:color w:val="auto"/>
          <w:sz w:val="32"/>
          <w:szCs w:val="32"/>
          <w:lang w:val="en-US" w:eastAsia="zh-CN"/>
        </w:rPr>
        <w:t>11</w:t>
      </w:r>
      <w:r>
        <w:rPr>
          <w:rFonts w:hint="eastAsia" w:ascii="仿宋" w:hAnsi="仿宋" w:eastAsia="仿宋" w:cs="仿宋"/>
          <w:color w:val="auto"/>
          <w:sz w:val="32"/>
          <w:szCs w:val="32"/>
        </w:rPr>
        <w:t>人享受城镇</w:t>
      </w:r>
      <w:r>
        <w:rPr>
          <w:rFonts w:hint="eastAsia" w:ascii="仿宋" w:hAnsi="仿宋" w:eastAsia="仿宋" w:cs="仿宋"/>
          <w:color w:val="auto"/>
          <w:kern w:val="0"/>
          <w:sz w:val="32"/>
          <w:szCs w:val="32"/>
        </w:rPr>
        <w:t>特困人员救助供养。</w:t>
      </w:r>
      <w:r>
        <w:rPr>
          <w:rFonts w:hint="eastAsia" w:ascii="仿宋" w:hAnsi="仿宋" w:eastAsia="仿宋" w:cs="仿宋"/>
          <w:color w:val="auto"/>
          <w:sz w:val="32"/>
          <w:szCs w:val="32"/>
        </w:rPr>
        <w:t>全县共有农村敬老院</w:t>
      </w: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rPr>
        <w:t>所，养老服务设施开放的床位数</w:t>
      </w:r>
      <w:r>
        <w:rPr>
          <w:rFonts w:hint="eastAsia" w:ascii="仿宋" w:hAnsi="仿宋" w:eastAsia="仿宋" w:cs="仿宋"/>
          <w:color w:val="auto"/>
          <w:sz w:val="32"/>
          <w:szCs w:val="32"/>
          <w:lang w:val="en-US" w:eastAsia="zh-CN"/>
        </w:rPr>
        <w:t>430</w:t>
      </w:r>
      <w:r>
        <w:rPr>
          <w:rFonts w:hint="eastAsia" w:ascii="仿宋" w:hAnsi="仿宋" w:eastAsia="仿宋" w:cs="仿宋"/>
          <w:color w:val="auto"/>
          <w:sz w:val="32"/>
          <w:szCs w:val="32"/>
        </w:rPr>
        <w:t>张，收养救助人数</w:t>
      </w:r>
      <w:r>
        <w:rPr>
          <w:rFonts w:hint="eastAsia" w:ascii="仿宋" w:hAnsi="仿宋" w:eastAsia="仿宋" w:cs="仿宋"/>
          <w:color w:val="auto"/>
          <w:sz w:val="32"/>
          <w:szCs w:val="32"/>
          <w:lang w:val="en-US" w:eastAsia="zh-CN"/>
        </w:rPr>
        <w:t>128</w:t>
      </w:r>
      <w:r>
        <w:rPr>
          <w:rFonts w:hint="eastAsia" w:ascii="仿宋" w:hAnsi="仿宋" w:eastAsia="仿宋" w:cs="仿宋"/>
          <w:color w:val="auto"/>
          <w:sz w:val="32"/>
          <w:szCs w:val="32"/>
        </w:rPr>
        <w:t>人。</w:t>
      </w:r>
    </w:p>
    <w:p>
      <w:pPr>
        <w:spacing w:line="560" w:lineRule="exact"/>
        <w:ind w:firstLine="629" w:firstLineChars="196"/>
        <w:jc w:val="left"/>
        <w:rPr>
          <w:rFonts w:ascii="Times New Roman" w:hAnsi="Times New Roman" w:eastAsia="方正小标宋_GBK" w:cs="Times New Roman"/>
          <w:b/>
          <w:color w:val="auto"/>
          <w:sz w:val="32"/>
          <w:szCs w:val="32"/>
          <w:lang w:val="zh-CN"/>
        </w:rPr>
      </w:pPr>
    </w:p>
    <w:p>
      <w:pPr>
        <w:spacing w:line="560" w:lineRule="exact"/>
        <w:ind w:firstLine="629" w:firstLineChars="196"/>
        <w:jc w:val="left"/>
        <w:rPr>
          <w:rFonts w:ascii="Times New Roman" w:hAnsi="Times New Roman" w:eastAsia="方正小标宋_GBK" w:cs="Times New Roman"/>
          <w:b/>
          <w:color w:val="auto"/>
          <w:sz w:val="32"/>
          <w:szCs w:val="32"/>
          <w:lang w:val="zh-CN"/>
        </w:rPr>
      </w:pPr>
      <w:r>
        <w:rPr>
          <w:rFonts w:ascii="Times New Roman" w:hAnsi="Times New Roman" w:eastAsia="方正小标宋_GBK" w:cs="Times New Roman"/>
          <w:b/>
          <w:color w:val="auto"/>
          <w:sz w:val="32"/>
          <w:szCs w:val="32"/>
          <w:lang w:val="zh-CN"/>
        </w:rPr>
        <w:t>注释：</w:t>
      </w:r>
    </w:p>
    <w:p>
      <w:pPr>
        <w:spacing w:line="560" w:lineRule="exact"/>
        <w:ind w:firstLine="640" w:firstLineChars="200"/>
        <w:jc w:val="left"/>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1.公报中部分数据为初步统计数据，正式数据以《壤塘县领导干部经济工作手册—</w:t>
      </w:r>
      <w:r>
        <w:rPr>
          <w:rFonts w:hint="eastAsia" w:ascii="仿宋" w:hAnsi="仿宋" w:eastAsia="仿宋" w:cs="仿宋"/>
          <w:color w:val="auto"/>
          <w:kern w:val="0"/>
          <w:sz w:val="32"/>
          <w:szCs w:val="32"/>
          <w:lang w:eastAsia="zh-CN"/>
        </w:rPr>
        <w:t>2023</w:t>
      </w:r>
      <w:r>
        <w:rPr>
          <w:rFonts w:hint="eastAsia" w:ascii="仿宋" w:hAnsi="仿宋" w:eastAsia="仿宋" w:cs="仿宋"/>
          <w:color w:val="auto"/>
          <w:kern w:val="0"/>
          <w:sz w:val="32"/>
          <w:szCs w:val="32"/>
        </w:rPr>
        <w:t>》为准。</w:t>
      </w:r>
    </w:p>
    <w:p>
      <w:pPr>
        <w:spacing w:line="560" w:lineRule="exact"/>
        <w:ind w:firstLine="640" w:firstLineChars="200"/>
        <w:jc w:val="left"/>
        <w:rPr>
          <w:rFonts w:hint="eastAsia" w:ascii="仿宋" w:hAnsi="仿宋" w:eastAsia="仿宋" w:cs="仿宋"/>
          <w:color w:val="auto"/>
          <w:kern w:val="0"/>
          <w:sz w:val="32"/>
          <w:szCs w:val="32"/>
        </w:rPr>
      </w:pPr>
      <w:r>
        <w:rPr>
          <w:rFonts w:hint="eastAsia" w:ascii="仿宋" w:hAnsi="仿宋" w:eastAsia="仿宋" w:cs="仿宋"/>
          <w:color w:val="auto"/>
          <w:sz w:val="32"/>
          <w:szCs w:val="32"/>
        </w:rPr>
        <w:t>2.地区生产总值、各产业及相关行业增加值绝对数按当年价格计算，增长速度按可比价格计算。</w:t>
      </w:r>
    </w:p>
    <w:p>
      <w:pPr>
        <w:spacing w:line="560" w:lineRule="exact"/>
        <w:ind w:firstLine="640" w:firstLineChars="200"/>
        <w:jc w:val="left"/>
        <w:rPr>
          <w:rFonts w:hint="eastAsia" w:ascii="仿宋" w:hAnsi="仿宋" w:eastAsia="仿宋" w:cs="仿宋"/>
          <w:color w:val="auto"/>
          <w:sz w:val="32"/>
          <w:szCs w:val="32"/>
        </w:rPr>
      </w:pPr>
      <w:r>
        <w:rPr>
          <w:rFonts w:hint="eastAsia" w:ascii="仿宋" w:hAnsi="仿宋" w:eastAsia="仿宋" w:cs="仿宋"/>
          <w:color w:val="auto"/>
          <w:kern w:val="0"/>
          <w:sz w:val="32"/>
          <w:szCs w:val="32"/>
        </w:rPr>
        <w:t>3.</w:t>
      </w:r>
      <w:r>
        <w:rPr>
          <w:rFonts w:hint="eastAsia" w:ascii="仿宋" w:hAnsi="仿宋" w:eastAsia="仿宋" w:cs="仿宋"/>
          <w:color w:val="auto"/>
          <w:sz w:val="32"/>
          <w:szCs w:val="32"/>
        </w:rPr>
        <w:t>公报中人口、农业机械化、交通运输、邮政、电信、金融、财政、教育、科技、文化、卫生、体育、环境保护、安全生产和社会保障数据来源于县级相关部门。</w:t>
      </w:r>
    </w:p>
    <w:p>
      <w:pPr>
        <w:spacing w:line="560" w:lineRule="exact"/>
        <w:ind w:firstLine="640" w:firstLineChars="200"/>
        <w:jc w:val="left"/>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4.部分数据因四舍五入的原因，存在总计与分项合计不等的情况，未作机械调整。</w:t>
      </w:r>
    </w:p>
    <w:p>
      <w:pPr>
        <w:spacing w:line="560" w:lineRule="exact"/>
        <w:ind w:firstLine="640" w:firstLineChars="200"/>
        <w:jc w:val="left"/>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 </w:t>
      </w:r>
    </w:p>
    <w:sectPr>
      <w:footerReference r:id="rId3" w:type="default"/>
      <w:pgSz w:w="11906" w:h="16838"/>
      <w:pgMar w:top="2098" w:right="1474" w:bottom="1984" w:left="1587"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altName w:val="黑体"/>
    <w:panose1 w:val="020B0503020204020204"/>
    <w:charset w:val="86"/>
    <w:family w:val="auto"/>
    <w:pitch w:val="default"/>
    <w:sig w:usb0="00000000" w:usb1="00000000" w:usb2="00000000" w:usb3="00000000" w:csb0="00000000" w:csb1="00000000"/>
  </w:font>
  <w:font w:name="汉仪旗黑-55简">
    <w:altName w:val="方正黑体_GBK"/>
    <w:panose1 w:val="00020600040101010101"/>
    <w:charset w:val="80"/>
    <w:family w:val="auto"/>
    <w:pitch w:val="default"/>
    <w:sig w:usb0="00000000" w:usb1="00000000" w:usb2="00000000" w:usb3="00000000" w:csb0="00000000" w:csb1="00000000"/>
  </w:font>
  <w:font w:name="方正小标宋_GBK">
    <w:panose1 w:val="03000502000000000000"/>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黑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pict>
        <v:shape id="_x0000_s2049" o:spid="_x0000_s2049" o:spt="202" type="#_x0000_t202" style="position:absolute;left:0pt;margin-top:-30.8pt;height:144pt;width:81.85pt;mso-position-horizontal:outside;mso-position-horizontal-relative:margin;z-index:251659264;mso-width-relative:page;mso-height-relative:page;" filled="f" stroked="f" coordsize="21600,21600" o:gfxdata="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Dki6ojXAAAACAEAAA8AAAAAAAAAAQAgAAAAIgAAAGRycy9kb3du&#10;cmV2LnhtbFBLAQIUABQAAAAIAIdO4kApFOTFOQIAAGMEAAAOAAAAAAAAAAEAIAAAACYBAABkcnMv&#10;ZTJvRG9jLnhtbFBLBQYAAAAABgAGAFkBAADRBQAAAAA=&#10;">
          <v:path/>
          <v:fill on="f" focussize="0,0"/>
          <v:stroke on="f" weight="0.5pt" joinstyle="miter"/>
          <v:imagedata o:title=""/>
          <o:lock v:ext="edit"/>
          <v:textbox inset="0mm,0mm,0mm,0mm" style="mso-fit-shape-to-text:t;">
            <w:txbxContent>
              <w:p>
                <w:pPr>
                  <w:pStyle w:val="10"/>
                  <w:wordWrap w:val="0"/>
                  <w:bidi/>
                  <w:ind w:firstLine="280" w:firstLineChars="100"/>
                  <w:rPr>
                    <w:rFonts w:ascii="Times New Roman" w:hAnsi="Times New Roman" w:cs="Times New Roman"/>
                    <w:sz w:val="28"/>
                    <w:szCs w:val="28"/>
                  </w:rPr>
                </w:pPr>
                <w:r>
                  <w:rPr>
                    <w:rFonts w:hint="eastAsia" w:ascii="Times New Roman" w:hAnsi="Times New Roman" w:cs="Times New Roman"/>
                    <w:sz w:val="28"/>
                    <w:szCs w:val="28"/>
                  </w:rPr>
                  <w:t>—</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6</w:t>
                </w:r>
                <w:r>
                  <w:rPr>
                    <w:rFonts w:ascii="Times New Roman" w:hAnsi="Times New Roman" w:cs="Times New Roman"/>
                    <w:sz w:val="28"/>
                    <w:szCs w:val="28"/>
                  </w:rPr>
                  <w:fldChar w:fldCharType="end"/>
                </w:r>
                <w:r>
                  <w:rPr>
                    <w:rFonts w:hint="eastAsia" w:ascii="Times New Roman" w:hAnsi="Times New Roman" w:cs="Times New Roman"/>
                    <w:sz w:val="28"/>
                    <w:szCs w:val="28"/>
                  </w:rPr>
                  <w:t>—</w:t>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563DBC"/>
    <w:multiLevelType w:val="singleLevel"/>
    <w:tmpl w:val="8E563DBC"/>
    <w:lvl w:ilvl="0" w:tentative="0">
      <w:start w:val="5"/>
      <w:numFmt w:val="chineseCounting"/>
      <w:suff w:val="nothing"/>
      <w:lvlText w:val="%1、"/>
      <w:lvlJc w:val="left"/>
      <w:rPr>
        <w:rFonts w:hint="eastAsia"/>
      </w:rPr>
    </w:lvl>
  </w:abstractNum>
  <w:abstractNum w:abstractNumId="1">
    <w:nsid w:val="D8166166"/>
    <w:multiLevelType w:val="singleLevel"/>
    <w:tmpl w:val="D8166166"/>
    <w:lvl w:ilvl="0" w:tentative="0">
      <w:start w:val="4"/>
      <w:numFmt w:val="chineseCounting"/>
      <w:suff w:val="nothing"/>
      <w:lvlText w:val="%1、"/>
      <w:lvlJc w:val="left"/>
      <w:rPr>
        <w:rFonts w:hint="eastAsia"/>
      </w:rPr>
    </w:lvl>
  </w:abstractNum>
  <w:abstractNum w:abstractNumId="2">
    <w:nsid w:val="305ECE95"/>
    <w:multiLevelType w:val="singleLevel"/>
    <w:tmpl w:val="305ECE95"/>
    <w:lvl w:ilvl="0" w:tentative="0">
      <w:start w:val="1"/>
      <w:numFmt w:val="chineseCounting"/>
      <w:suff w:val="nothing"/>
      <w:lvlText w:val="%1、"/>
      <w:lvlJc w:val="left"/>
      <w:rPr>
        <w:rFonts w:hint="eastAsia"/>
      </w:rPr>
    </w:lvl>
  </w:abstractNum>
  <w:abstractNum w:abstractNumId="3">
    <w:nsid w:val="3217F229"/>
    <w:multiLevelType w:val="singleLevel"/>
    <w:tmpl w:val="3217F229"/>
    <w:lvl w:ilvl="0" w:tentative="0">
      <w:start w:val="6"/>
      <w:numFmt w:val="chineseCounting"/>
      <w:suff w:val="nothing"/>
      <w:lvlText w:val="%1、"/>
      <w:lvlJc w:val="left"/>
      <w:rPr>
        <w:rFonts w:hint="eastAsia"/>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true"/>
  <w:embedTrueTypeFonts/>
  <w:saveSubset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zRjNzcwOTI3ZjIzODQxZWQ0NTNkMDI3YzJhNWQ0YWUifQ=="/>
    <w:docVar w:name="KSO_WPS_MARK_KEY" w:val="e0d97e91-99d3-4174-aed8-e16dfd8d0619"/>
  </w:docVars>
  <w:rsids>
    <w:rsidRoot w:val="66BE5A5B"/>
    <w:rsid w:val="0007262E"/>
    <w:rsid w:val="00075918"/>
    <w:rsid w:val="000B5498"/>
    <w:rsid w:val="000C1A59"/>
    <w:rsid w:val="001327FD"/>
    <w:rsid w:val="003427B9"/>
    <w:rsid w:val="00343A8F"/>
    <w:rsid w:val="003734B8"/>
    <w:rsid w:val="003C4C18"/>
    <w:rsid w:val="003E1FEE"/>
    <w:rsid w:val="004479B2"/>
    <w:rsid w:val="00500384"/>
    <w:rsid w:val="00502DEF"/>
    <w:rsid w:val="00535311"/>
    <w:rsid w:val="005E2322"/>
    <w:rsid w:val="00611BCB"/>
    <w:rsid w:val="006A235B"/>
    <w:rsid w:val="006E3E08"/>
    <w:rsid w:val="00705478"/>
    <w:rsid w:val="007E0B68"/>
    <w:rsid w:val="00831A34"/>
    <w:rsid w:val="00852F67"/>
    <w:rsid w:val="009B1D28"/>
    <w:rsid w:val="009F712A"/>
    <w:rsid w:val="00A572FE"/>
    <w:rsid w:val="00A66025"/>
    <w:rsid w:val="00A842DA"/>
    <w:rsid w:val="00B3504E"/>
    <w:rsid w:val="00D56520"/>
    <w:rsid w:val="00DB75A4"/>
    <w:rsid w:val="00E103ED"/>
    <w:rsid w:val="00EB412D"/>
    <w:rsid w:val="00F0390E"/>
    <w:rsid w:val="00F3785B"/>
    <w:rsid w:val="00FA3247"/>
    <w:rsid w:val="010E6FF4"/>
    <w:rsid w:val="0126125B"/>
    <w:rsid w:val="012902D2"/>
    <w:rsid w:val="015C324C"/>
    <w:rsid w:val="01A4768E"/>
    <w:rsid w:val="01C20EE1"/>
    <w:rsid w:val="01CA40A5"/>
    <w:rsid w:val="01D76E47"/>
    <w:rsid w:val="021940D2"/>
    <w:rsid w:val="02790153"/>
    <w:rsid w:val="02812B82"/>
    <w:rsid w:val="02873BB9"/>
    <w:rsid w:val="029B030E"/>
    <w:rsid w:val="029E458B"/>
    <w:rsid w:val="02BD2E38"/>
    <w:rsid w:val="02F76F90"/>
    <w:rsid w:val="03313983"/>
    <w:rsid w:val="034B71A1"/>
    <w:rsid w:val="035A0B12"/>
    <w:rsid w:val="03667C72"/>
    <w:rsid w:val="0375177F"/>
    <w:rsid w:val="038E15B1"/>
    <w:rsid w:val="0399327C"/>
    <w:rsid w:val="03B333EE"/>
    <w:rsid w:val="03D462F8"/>
    <w:rsid w:val="03F72ED3"/>
    <w:rsid w:val="040C25C7"/>
    <w:rsid w:val="040C49EA"/>
    <w:rsid w:val="04104F5E"/>
    <w:rsid w:val="043438CC"/>
    <w:rsid w:val="043A6E8C"/>
    <w:rsid w:val="04510922"/>
    <w:rsid w:val="04567EDA"/>
    <w:rsid w:val="04822699"/>
    <w:rsid w:val="048230D5"/>
    <w:rsid w:val="0496413A"/>
    <w:rsid w:val="04D57B05"/>
    <w:rsid w:val="04E84DE3"/>
    <w:rsid w:val="04F20390"/>
    <w:rsid w:val="05014A77"/>
    <w:rsid w:val="05121E5F"/>
    <w:rsid w:val="05556F12"/>
    <w:rsid w:val="05593A54"/>
    <w:rsid w:val="05776166"/>
    <w:rsid w:val="057A3392"/>
    <w:rsid w:val="0583546B"/>
    <w:rsid w:val="059C5FC0"/>
    <w:rsid w:val="05AD4B7E"/>
    <w:rsid w:val="05BC633A"/>
    <w:rsid w:val="05BD6DF8"/>
    <w:rsid w:val="05C11AE4"/>
    <w:rsid w:val="05C3315A"/>
    <w:rsid w:val="05CB2850"/>
    <w:rsid w:val="05E41742"/>
    <w:rsid w:val="05F42ECA"/>
    <w:rsid w:val="05FA3C1E"/>
    <w:rsid w:val="05FE477C"/>
    <w:rsid w:val="06024248"/>
    <w:rsid w:val="061136C8"/>
    <w:rsid w:val="06467EC4"/>
    <w:rsid w:val="066E467B"/>
    <w:rsid w:val="06881B9B"/>
    <w:rsid w:val="06B257B4"/>
    <w:rsid w:val="06B46F07"/>
    <w:rsid w:val="06C73193"/>
    <w:rsid w:val="06F127CA"/>
    <w:rsid w:val="06F35CC1"/>
    <w:rsid w:val="07087023"/>
    <w:rsid w:val="0720036D"/>
    <w:rsid w:val="0730041E"/>
    <w:rsid w:val="07384786"/>
    <w:rsid w:val="073D349F"/>
    <w:rsid w:val="074A5466"/>
    <w:rsid w:val="075B20F0"/>
    <w:rsid w:val="07736086"/>
    <w:rsid w:val="077434A8"/>
    <w:rsid w:val="078A39AB"/>
    <w:rsid w:val="07A64AE1"/>
    <w:rsid w:val="07B13239"/>
    <w:rsid w:val="07D505B1"/>
    <w:rsid w:val="07F94057"/>
    <w:rsid w:val="08137370"/>
    <w:rsid w:val="083B2ECB"/>
    <w:rsid w:val="083D71F3"/>
    <w:rsid w:val="08793FA4"/>
    <w:rsid w:val="0884773F"/>
    <w:rsid w:val="08C03D93"/>
    <w:rsid w:val="08C723B1"/>
    <w:rsid w:val="08E77239"/>
    <w:rsid w:val="091160FE"/>
    <w:rsid w:val="091B0965"/>
    <w:rsid w:val="091E5ACB"/>
    <w:rsid w:val="091F73F7"/>
    <w:rsid w:val="095011A8"/>
    <w:rsid w:val="09532A47"/>
    <w:rsid w:val="095A5B16"/>
    <w:rsid w:val="096E0EE8"/>
    <w:rsid w:val="09AE5E2B"/>
    <w:rsid w:val="09DE78F8"/>
    <w:rsid w:val="09ED2F44"/>
    <w:rsid w:val="09FA34EB"/>
    <w:rsid w:val="0A39367E"/>
    <w:rsid w:val="0A6A273C"/>
    <w:rsid w:val="0A717F64"/>
    <w:rsid w:val="0A877BF6"/>
    <w:rsid w:val="0A94123B"/>
    <w:rsid w:val="0AA54EA5"/>
    <w:rsid w:val="0ABF0394"/>
    <w:rsid w:val="0AC0410C"/>
    <w:rsid w:val="0AD06D50"/>
    <w:rsid w:val="0AD1626A"/>
    <w:rsid w:val="0AD41965"/>
    <w:rsid w:val="0AE24323"/>
    <w:rsid w:val="0B183F48"/>
    <w:rsid w:val="0B2F14DD"/>
    <w:rsid w:val="0B3D6181"/>
    <w:rsid w:val="0B3F5483"/>
    <w:rsid w:val="0B5D0833"/>
    <w:rsid w:val="0B6740D2"/>
    <w:rsid w:val="0B696551"/>
    <w:rsid w:val="0B6A2FE8"/>
    <w:rsid w:val="0B9C54B1"/>
    <w:rsid w:val="0BA44E58"/>
    <w:rsid w:val="0BAE645C"/>
    <w:rsid w:val="0BC82784"/>
    <w:rsid w:val="0BD52526"/>
    <w:rsid w:val="0BFD0DFB"/>
    <w:rsid w:val="0C0B2318"/>
    <w:rsid w:val="0C1A3CAA"/>
    <w:rsid w:val="0C2A6480"/>
    <w:rsid w:val="0C2D6EDF"/>
    <w:rsid w:val="0C41127C"/>
    <w:rsid w:val="0C6C05C7"/>
    <w:rsid w:val="0C8A5140"/>
    <w:rsid w:val="0C8F1A86"/>
    <w:rsid w:val="0C956E7D"/>
    <w:rsid w:val="0CDB4FAF"/>
    <w:rsid w:val="0CDB522D"/>
    <w:rsid w:val="0CE307BF"/>
    <w:rsid w:val="0CE75980"/>
    <w:rsid w:val="0D1656D2"/>
    <w:rsid w:val="0D18024F"/>
    <w:rsid w:val="0D1837CC"/>
    <w:rsid w:val="0D5048E5"/>
    <w:rsid w:val="0D614B35"/>
    <w:rsid w:val="0D8E2BF4"/>
    <w:rsid w:val="0DD07E8E"/>
    <w:rsid w:val="0DFF341A"/>
    <w:rsid w:val="0E364E11"/>
    <w:rsid w:val="0E6C7D9F"/>
    <w:rsid w:val="0E7C659C"/>
    <w:rsid w:val="0E834046"/>
    <w:rsid w:val="0E83792A"/>
    <w:rsid w:val="0EB32430"/>
    <w:rsid w:val="0EB4649D"/>
    <w:rsid w:val="0EBB5F9C"/>
    <w:rsid w:val="0EBD15FE"/>
    <w:rsid w:val="0EC50B51"/>
    <w:rsid w:val="0EC5310D"/>
    <w:rsid w:val="0ED168E7"/>
    <w:rsid w:val="0ED9731E"/>
    <w:rsid w:val="0F096B8F"/>
    <w:rsid w:val="0F0A1DF9"/>
    <w:rsid w:val="0F5113FB"/>
    <w:rsid w:val="0F543075"/>
    <w:rsid w:val="0F6C3680"/>
    <w:rsid w:val="0F6D4D62"/>
    <w:rsid w:val="0F724AA0"/>
    <w:rsid w:val="0F8120BC"/>
    <w:rsid w:val="0F931301"/>
    <w:rsid w:val="0FCE426A"/>
    <w:rsid w:val="0FD63FD1"/>
    <w:rsid w:val="0FF920BC"/>
    <w:rsid w:val="101F24C3"/>
    <w:rsid w:val="103B4960"/>
    <w:rsid w:val="10602CFD"/>
    <w:rsid w:val="10727C56"/>
    <w:rsid w:val="1087572B"/>
    <w:rsid w:val="10993435"/>
    <w:rsid w:val="10AA5642"/>
    <w:rsid w:val="10C10DC1"/>
    <w:rsid w:val="10C13627"/>
    <w:rsid w:val="10CD7C99"/>
    <w:rsid w:val="11020FDA"/>
    <w:rsid w:val="110E2867"/>
    <w:rsid w:val="110F7B9B"/>
    <w:rsid w:val="111156C1"/>
    <w:rsid w:val="113969C6"/>
    <w:rsid w:val="11551FB6"/>
    <w:rsid w:val="115B5F82"/>
    <w:rsid w:val="116504ED"/>
    <w:rsid w:val="116C730B"/>
    <w:rsid w:val="1173741C"/>
    <w:rsid w:val="118A17D7"/>
    <w:rsid w:val="11904838"/>
    <w:rsid w:val="11C1140F"/>
    <w:rsid w:val="11C444E1"/>
    <w:rsid w:val="11F60982"/>
    <w:rsid w:val="120F745A"/>
    <w:rsid w:val="12207900"/>
    <w:rsid w:val="12745F08"/>
    <w:rsid w:val="127F1D66"/>
    <w:rsid w:val="129801D4"/>
    <w:rsid w:val="12A61E39"/>
    <w:rsid w:val="12A74858"/>
    <w:rsid w:val="12B26A30"/>
    <w:rsid w:val="12B471A2"/>
    <w:rsid w:val="12C15E90"/>
    <w:rsid w:val="12DF2A5A"/>
    <w:rsid w:val="13067B93"/>
    <w:rsid w:val="132606E2"/>
    <w:rsid w:val="13337DDA"/>
    <w:rsid w:val="135760D3"/>
    <w:rsid w:val="136607A5"/>
    <w:rsid w:val="136D24D4"/>
    <w:rsid w:val="13AD4A7F"/>
    <w:rsid w:val="13CF1593"/>
    <w:rsid w:val="13F56BD4"/>
    <w:rsid w:val="13FD3848"/>
    <w:rsid w:val="14016AFC"/>
    <w:rsid w:val="140B63F8"/>
    <w:rsid w:val="1417744B"/>
    <w:rsid w:val="14414CDB"/>
    <w:rsid w:val="145A690A"/>
    <w:rsid w:val="149877C0"/>
    <w:rsid w:val="14A44654"/>
    <w:rsid w:val="14AE11B3"/>
    <w:rsid w:val="14C05C00"/>
    <w:rsid w:val="15267261"/>
    <w:rsid w:val="15291410"/>
    <w:rsid w:val="152D6842"/>
    <w:rsid w:val="153D2EF5"/>
    <w:rsid w:val="154871D8"/>
    <w:rsid w:val="154C1139"/>
    <w:rsid w:val="155D01BA"/>
    <w:rsid w:val="15667DF8"/>
    <w:rsid w:val="156B2F8B"/>
    <w:rsid w:val="157514A8"/>
    <w:rsid w:val="15AE16BF"/>
    <w:rsid w:val="15C229E1"/>
    <w:rsid w:val="15EB0C48"/>
    <w:rsid w:val="161C06B7"/>
    <w:rsid w:val="164E4CC1"/>
    <w:rsid w:val="16783AEC"/>
    <w:rsid w:val="167C36CB"/>
    <w:rsid w:val="168247F0"/>
    <w:rsid w:val="169A3F37"/>
    <w:rsid w:val="16AE139D"/>
    <w:rsid w:val="16B24372"/>
    <w:rsid w:val="16C96206"/>
    <w:rsid w:val="16E97DDE"/>
    <w:rsid w:val="16EE335F"/>
    <w:rsid w:val="16F70C15"/>
    <w:rsid w:val="16FD3A0A"/>
    <w:rsid w:val="17061B57"/>
    <w:rsid w:val="173F111A"/>
    <w:rsid w:val="174A3E64"/>
    <w:rsid w:val="178A286F"/>
    <w:rsid w:val="179D2E26"/>
    <w:rsid w:val="17A81CD8"/>
    <w:rsid w:val="17CC0594"/>
    <w:rsid w:val="17D542C1"/>
    <w:rsid w:val="17E52B01"/>
    <w:rsid w:val="17F43647"/>
    <w:rsid w:val="17F8784F"/>
    <w:rsid w:val="1807337A"/>
    <w:rsid w:val="1828712B"/>
    <w:rsid w:val="183A07EC"/>
    <w:rsid w:val="183C23D4"/>
    <w:rsid w:val="18422065"/>
    <w:rsid w:val="184719C8"/>
    <w:rsid w:val="184B5A18"/>
    <w:rsid w:val="184E4CDF"/>
    <w:rsid w:val="185E7F3A"/>
    <w:rsid w:val="18732B86"/>
    <w:rsid w:val="187C4F59"/>
    <w:rsid w:val="187E2503"/>
    <w:rsid w:val="188C387F"/>
    <w:rsid w:val="18930873"/>
    <w:rsid w:val="189C08AB"/>
    <w:rsid w:val="18C80D5B"/>
    <w:rsid w:val="18DC5E7B"/>
    <w:rsid w:val="18FE47C5"/>
    <w:rsid w:val="19005F93"/>
    <w:rsid w:val="191E4E1F"/>
    <w:rsid w:val="19735C57"/>
    <w:rsid w:val="197765BD"/>
    <w:rsid w:val="19793F35"/>
    <w:rsid w:val="19815360"/>
    <w:rsid w:val="19973E6A"/>
    <w:rsid w:val="19A64A85"/>
    <w:rsid w:val="19AD214A"/>
    <w:rsid w:val="19B102A5"/>
    <w:rsid w:val="19EF79E6"/>
    <w:rsid w:val="1A0D726C"/>
    <w:rsid w:val="1A7840BB"/>
    <w:rsid w:val="1A9A2283"/>
    <w:rsid w:val="1ABA630D"/>
    <w:rsid w:val="1AC61F94"/>
    <w:rsid w:val="1ACE3CAC"/>
    <w:rsid w:val="1AFE1E17"/>
    <w:rsid w:val="1B02691D"/>
    <w:rsid w:val="1B200C2B"/>
    <w:rsid w:val="1B595CCC"/>
    <w:rsid w:val="1B6F6FFF"/>
    <w:rsid w:val="1B7403CF"/>
    <w:rsid w:val="1B762547"/>
    <w:rsid w:val="1B7C5E2D"/>
    <w:rsid w:val="1B8B7165"/>
    <w:rsid w:val="1BA06D82"/>
    <w:rsid w:val="1BC534F8"/>
    <w:rsid w:val="1BCA4F03"/>
    <w:rsid w:val="1BE43DE8"/>
    <w:rsid w:val="1C2C33AF"/>
    <w:rsid w:val="1C343166"/>
    <w:rsid w:val="1C6E6439"/>
    <w:rsid w:val="1C772D92"/>
    <w:rsid w:val="1C944629"/>
    <w:rsid w:val="1C9817BC"/>
    <w:rsid w:val="1C99656B"/>
    <w:rsid w:val="1CB2786F"/>
    <w:rsid w:val="1CD31A7D"/>
    <w:rsid w:val="1CE74C72"/>
    <w:rsid w:val="1CE97EC1"/>
    <w:rsid w:val="1CF257FE"/>
    <w:rsid w:val="1D020796"/>
    <w:rsid w:val="1D0B1216"/>
    <w:rsid w:val="1D0B21DA"/>
    <w:rsid w:val="1D2E13A9"/>
    <w:rsid w:val="1D3D3AF6"/>
    <w:rsid w:val="1D4A647E"/>
    <w:rsid w:val="1D512922"/>
    <w:rsid w:val="1D644543"/>
    <w:rsid w:val="1D72568A"/>
    <w:rsid w:val="1D7C45C0"/>
    <w:rsid w:val="1D993A50"/>
    <w:rsid w:val="1D9E1345"/>
    <w:rsid w:val="1D9F60AC"/>
    <w:rsid w:val="1DA900F5"/>
    <w:rsid w:val="1DD71A40"/>
    <w:rsid w:val="1E0200C0"/>
    <w:rsid w:val="1E0A632B"/>
    <w:rsid w:val="1E23051F"/>
    <w:rsid w:val="1E3530D4"/>
    <w:rsid w:val="1E4B57B7"/>
    <w:rsid w:val="1E610099"/>
    <w:rsid w:val="1EA3540B"/>
    <w:rsid w:val="1EAB2D2A"/>
    <w:rsid w:val="1EB351C7"/>
    <w:rsid w:val="1EC876E7"/>
    <w:rsid w:val="1ED564F5"/>
    <w:rsid w:val="1EDA3A09"/>
    <w:rsid w:val="1EFE050F"/>
    <w:rsid w:val="1F1620F4"/>
    <w:rsid w:val="1F23759A"/>
    <w:rsid w:val="1F334C3A"/>
    <w:rsid w:val="1F422183"/>
    <w:rsid w:val="1F716A1D"/>
    <w:rsid w:val="1F751511"/>
    <w:rsid w:val="1FCE6057"/>
    <w:rsid w:val="1FE252E8"/>
    <w:rsid w:val="1FEE2ECF"/>
    <w:rsid w:val="1FFD451A"/>
    <w:rsid w:val="201F5E38"/>
    <w:rsid w:val="202B5A1D"/>
    <w:rsid w:val="204F54CB"/>
    <w:rsid w:val="20592F76"/>
    <w:rsid w:val="206C021E"/>
    <w:rsid w:val="207804FC"/>
    <w:rsid w:val="207B4905"/>
    <w:rsid w:val="20965DC4"/>
    <w:rsid w:val="20CA6428"/>
    <w:rsid w:val="20D9546B"/>
    <w:rsid w:val="20DF6C2C"/>
    <w:rsid w:val="20F600C6"/>
    <w:rsid w:val="21186BDF"/>
    <w:rsid w:val="212D5E1E"/>
    <w:rsid w:val="21515666"/>
    <w:rsid w:val="21567A47"/>
    <w:rsid w:val="216D6DDF"/>
    <w:rsid w:val="217870EE"/>
    <w:rsid w:val="217D7F76"/>
    <w:rsid w:val="217F0425"/>
    <w:rsid w:val="21913C4F"/>
    <w:rsid w:val="219634E7"/>
    <w:rsid w:val="21972779"/>
    <w:rsid w:val="21A8172A"/>
    <w:rsid w:val="21A942C7"/>
    <w:rsid w:val="21C422DC"/>
    <w:rsid w:val="21F26E49"/>
    <w:rsid w:val="21F4240C"/>
    <w:rsid w:val="22034BB2"/>
    <w:rsid w:val="2215272C"/>
    <w:rsid w:val="22295EBD"/>
    <w:rsid w:val="22502EE7"/>
    <w:rsid w:val="225466BF"/>
    <w:rsid w:val="225E628C"/>
    <w:rsid w:val="227623A2"/>
    <w:rsid w:val="22A04AF7"/>
    <w:rsid w:val="22C412CC"/>
    <w:rsid w:val="22D87535"/>
    <w:rsid w:val="230063C8"/>
    <w:rsid w:val="23424A44"/>
    <w:rsid w:val="234663EA"/>
    <w:rsid w:val="235A1F8C"/>
    <w:rsid w:val="23655450"/>
    <w:rsid w:val="23707456"/>
    <w:rsid w:val="23811C63"/>
    <w:rsid w:val="23A67E9D"/>
    <w:rsid w:val="23C14AFC"/>
    <w:rsid w:val="23C216B9"/>
    <w:rsid w:val="23CE6A21"/>
    <w:rsid w:val="242D4D7F"/>
    <w:rsid w:val="242D5F16"/>
    <w:rsid w:val="243A3CE7"/>
    <w:rsid w:val="244514B2"/>
    <w:rsid w:val="2448005C"/>
    <w:rsid w:val="246F4781"/>
    <w:rsid w:val="24870866"/>
    <w:rsid w:val="24971A38"/>
    <w:rsid w:val="24A143FA"/>
    <w:rsid w:val="24B46637"/>
    <w:rsid w:val="24B855ED"/>
    <w:rsid w:val="24CF36EA"/>
    <w:rsid w:val="24EC5DD1"/>
    <w:rsid w:val="24EF3982"/>
    <w:rsid w:val="25105A94"/>
    <w:rsid w:val="2521041C"/>
    <w:rsid w:val="253178C5"/>
    <w:rsid w:val="2536529E"/>
    <w:rsid w:val="253C5CA8"/>
    <w:rsid w:val="25570492"/>
    <w:rsid w:val="256D483F"/>
    <w:rsid w:val="25834036"/>
    <w:rsid w:val="25A727A9"/>
    <w:rsid w:val="25AA2CE7"/>
    <w:rsid w:val="25B508B9"/>
    <w:rsid w:val="25BA5ED0"/>
    <w:rsid w:val="25EE7719"/>
    <w:rsid w:val="25F233FC"/>
    <w:rsid w:val="260D2908"/>
    <w:rsid w:val="262B2929"/>
    <w:rsid w:val="263F5CEB"/>
    <w:rsid w:val="2662700D"/>
    <w:rsid w:val="266E17F0"/>
    <w:rsid w:val="267E514F"/>
    <w:rsid w:val="268900EE"/>
    <w:rsid w:val="26915A20"/>
    <w:rsid w:val="269C7383"/>
    <w:rsid w:val="269F6BFD"/>
    <w:rsid w:val="26AA1AA0"/>
    <w:rsid w:val="26B916CD"/>
    <w:rsid w:val="26D22DA5"/>
    <w:rsid w:val="26D94133"/>
    <w:rsid w:val="26FC4437"/>
    <w:rsid w:val="26FE1DEC"/>
    <w:rsid w:val="273849A0"/>
    <w:rsid w:val="274A32E5"/>
    <w:rsid w:val="275513EA"/>
    <w:rsid w:val="277F16DA"/>
    <w:rsid w:val="27B57325"/>
    <w:rsid w:val="27E62FAC"/>
    <w:rsid w:val="27F95B25"/>
    <w:rsid w:val="282B09BF"/>
    <w:rsid w:val="28564655"/>
    <w:rsid w:val="285C55FF"/>
    <w:rsid w:val="28A34A14"/>
    <w:rsid w:val="28AA5514"/>
    <w:rsid w:val="28DC063F"/>
    <w:rsid w:val="28E13773"/>
    <w:rsid w:val="28EE05DD"/>
    <w:rsid w:val="28EE2FA5"/>
    <w:rsid w:val="28F73B5D"/>
    <w:rsid w:val="28F85487"/>
    <w:rsid w:val="28FB3BD4"/>
    <w:rsid w:val="290851A4"/>
    <w:rsid w:val="291146D8"/>
    <w:rsid w:val="29173916"/>
    <w:rsid w:val="29227034"/>
    <w:rsid w:val="2977164C"/>
    <w:rsid w:val="29952B80"/>
    <w:rsid w:val="2999592E"/>
    <w:rsid w:val="29CB7E71"/>
    <w:rsid w:val="29CF29B5"/>
    <w:rsid w:val="2A0B3C02"/>
    <w:rsid w:val="2A2B2EF8"/>
    <w:rsid w:val="2A465684"/>
    <w:rsid w:val="2A593177"/>
    <w:rsid w:val="2B05199B"/>
    <w:rsid w:val="2B2474EB"/>
    <w:rsid w:val="2B2D2FCD"/>
    <w:rsid w:val="2B302A5C"/>
    <w:rsid w:val="2B4104F9"/>
    <w:rsid w:val="2B416DC7"/>
    <w:rsid w:val="2B4A2605"/>
    <w:rsid w:val="2B517290"/>
    <w:rsid w:val="2B6F3864"/>
    <w:rsid w:val="2B912DA4"/>
    <w:rsid w:val="2BB1625A"/>
    <w:rsid w:val="2BCF1FA9"/>
    <w:rsid w:val="2BD56553"/>
    <w:rsid w:val="2BE92780"/>
    <w:rsid w:val="2BF92D7C"/>
    <w:rsid w:val="2C02412C"/>
    <w:rsid w:val="2C1D136D"/>
    <w:rsid w:val="2C2C4A51"/>
    <w:rsid w:val="2C2E3173"/>
    <w:rsid w:val="2C4663BF"/>
    <w:rsid w:val="2C477D91"/>
    <w:rsid w:val="2C891334"/>
    <w:rsid w:val="2C906239"/>
    <w:rsid w:val="2CB43679"/>
    <w:rsid w:val="2CE57D68"/>
    <w:rsid w:val="2D0B6A06"/>
    <w:rsid w:val="2D104750"/>
    <w:rsid w:val="2D200D0E"/>
    <w:rsid w:val="2D245FEA"/>
    <w:rsid w:val="2D281971"/>
    <w:rsid w:val="2D5E5392"/>
    <w:rsid w:val="2D65015A"/>
    <w:rsid w:val="2D8172D3"/>
    <w:rsid w:val="2DA46B38"/>
    <w:rsid w:val="2DC25921"/>
    <w:rsid w:val="2DCA2A28"/>
    <w:rsid w:val="2E206249"/>
    <w:rsid w:val="2E2C1163"/>
    <w:rsid w:val="2E2E66CE"/>
    <w:rsid w:val="2E376F9D"/>
    <w:rsid w:val="2E467F1A"/>
    <w:rsid w:val="2E517E15"/>
    <w:rsid w:val="2E5F7614"/>
    <w:rsid w:val="2E7510DA"/>
    <w:rsid w:val="2E760635"/>
    <w:rsid w:val="2EA14F09"/>
    <w:rsid w:val="2ECE02F6"/>
    <w:rsid w:val="2EDC3406"/>
    <w:rsid w:val="2EF9442C"/>
    <w:rsid w:val="2EFA10EB"/>
    <w:rsid w:val="2F222897"/>
    <w:rsid w:val="2F2C103E"/>
    <w:rsid w:val="2F603644"/>
    <w:rsid w:val="2F6D760D"/>
    <w:rsid w:val="2F883CD6"/>
    <w:rsid w:val="2F947D1C"/>
    <w:rsid w:val="2FA656C3"/>
    <w:rsid w:val="2FA91ECD"/>
    <w:rsid w:val="2FAF6B47"/>
    <w:rsid w:val="2FB01BFA"/>
    <w:rsid w:val="2FBE5279"/>
    <w:rsid w:val="2FCA3536"/>
    <w:rsid w:val="2FF41FDE"/>
    <w:rsid w:val="2FFC0AFB"/>
    <w:rsid w:val="302B0B3B"/>
    <w:rsid w:val="304D0CD0"/>
    <w:rsid w:val="309B06AC"/>
    <w:rsid w:val="309B3EAB"/>
    <w:rsid w:val="30E54F82"/>
    <w:rsid w:val="30F9527C"/>
    <w:rsid w:val="31376626"/>
    <w:rsid w:val="316460EB"/>
    <w:rsid w:val="316B2774"/>
    <w:rsid w:val="317459BB"/>
    <w:rsid w:val="31A02984"/>
    <w:rsid w:val="31A2242A"/>
    <w:rsid w:val="31A57A34"/>
    <w:rsid w:val="31D676E2"/>
    <w:rsid w:val="31E7004C"/>
    <w:rsid w:val="31FA664D"/>
    <w:rsid w:val="31FB58A6"/>
    <w:rsid w:val="31FC7E29"/>
    <w:rsid w:val="32041735"/>
    <w:rsid w:val="32094096"/>
    <w:rsid w:val="322C3CB1"/>
    <w:rsid w:val="3240739C"/>
    <w:rsid w:val="324F1A36"/>
    <w:rsid w:val="327010D0"/>
    <w:rsid w:val="32843AED"/>
    <w:rsid w:val="32A0644D"/>
    <w:rsid w:val="32A7158A"/>
    <w:rsid w:val="32D81743"/>
    <w:rsid w:val="32DC7B08"/>
    <w:rsid w:val="32E37FAE"/>
    <w:rsid w:val="32E620B2"/>
    <w:rsid w:val="330D7865"/>
    <w:rsid w:val="3337311A"/>
    <w:rsid w:val="33A51F6D"/>
    <w:rsid w:val="33BE3942"/>
    <w:rsid w:val="3422536C"/>
    <w:rsid w:val="34614E99"/>
    <w:rsid w:val="34750B27"/>
    <w:rsid w:val="3486402D"/>
    <w:rsid w:val="34AF2210"/>
    <w:rsid w:val="34BC62C2"/>
    <w:rsid w:val="34C15B3C"/>
    <w:rsid w:val="34EB1C02"/>
    <w:rsid w:val="34ED6378"/>
    <w:rsid w:val="350F3AB9"/>
    <w:rsid w:val="35186118"/>
    <w:rsid w:val="35262B93"/>
    <w:rsid w:val="35697CEA"/>
    <w:rsid w:val="356F3B9F"/>
    <w:rsid w:val="359066F7"/>
    <w:rsid w:val="35A03E99"/>
    <w:rsid w:val="35E93B34"/>
    <w:rsid w:val="360D4876"/>
    <w:rsid w:val="361637EE"/>
    <w:rsid w:val="36262D0E"/>
    <w:rsid w:val="3627628E"/>
    <w:rsid w:val="364558F5"/>
    <w:rsid w:val="364E73B2"/>
    <w:rsid w:val="3652180C"/>
    <w:rsid w:val="367A2973"/>
    <w:rsid w:val="36A77EE8"/>
    <w:rsid w:val="36BB126E"/>
    <w:rsid w:val="36C42611"/>
    <w:rsid w:val="36E564A6"/>
    <w:rsid w:val="36F01A9E"/>
    <w:rsid w:val="370B658B"/>
    <w:rsid w:val="372324A9"/>
    <w:rsid w:val="3728399C"/>
    <w:rsid w:val="374455F9"/>
    <w:rsid w:val="3767221E"/>
    <w:rsid w:val="379320DC"/>
    <w:rsid w:val="37A3332E"/>
    <w:rsid w:val="37E26E03"/>
    <w:rsid w:val="37E454CE"/>
    <w:rsid w:val="37F710ED"/>
    <w:rsid w:val="37FD72FA"/>
    <w:rsid w:val="383627D7"/>
    <w:rsid w:val="384358B1"/>
    <w:rsid w:val="38442636"/>
    <w:rsid w:val="38C13FCA"/>
    <w:rsid w:val="38CE0530"/>
    <w:rsid w:val="38D8668E"/>
    <w:rsid w:val="38F51707"/>
    <w:rsid w:val="390239BE"/>
    <w:rsid w:val="390564E2"/>
    <w:rsid w:val="393412E1"/>
    <w:rsid w:val="39477622"/>
    <w:rsid w:val="39537D75"/>
    <w:rsid w:val="395A7356"/>
    <w:rsid w:val="396F09D3"/>
    <w:rsid w:val="398B6063"/>
    <w:rsid w:val="398E1D2F"/>
    <w:rsid w:val="39AA6FAB"/>
    <w:rsid w:val="39CC6328"/>
    <w:rsid w:val="39E82390"/>
    <w:rsid w:val="39ED065B"/>
    <w:rsid w:val="3A137F81"/>
    <w:rsid w:val="3A567C5B"/>
    <w:rsid w:val="3A592C65"/>
    <w:rsid w:val="3A6A073A"/>
    <w:rsid w:val="3AA01FBE"/>
    <w:rsid w:val="3AF41740"/>
    <w:rsid w:val="3B115802"/>
    <w:rsid w:val="3B217B55"/>
    <w:rsid w:val="3B246BD7"/>
    <w:rsid w:val="3B41722A"/>
    <w:rsid w:val="3B52516D"/>
    <w:rsid w:val="3B693880"/>
    <w:rsid w:val="3B88590D"/>
    <w:rsid w:val="3BC45079"/>
    <w:rsid w:val="3BF427EF"/>
    <w:rsid w:val="3C6F7BFD"/>
    <w:rsid w:val="3C7114A4"/>
    <w:rsid w:val="3C781258"/>
    <w:rsid w:val="3C8225D1"/>
    <w:rsid w:val="3C8A2BE2"/>
    <w:rsid w:val="3CDB01B0"/>
    <w:rsid w:val="3D3D6D72"/>
    <w:rsid w:val="3D453E79"/>
    <w:rsid w:val="3D4E7340"/>
    <w:rsid w:val="3D723D7B"/>
    <w:rsid w:val="3D813114"/>
    <w:rsid w:val="3D956BAE"/>
    <w:rsid w:val="3D960F5C"/>
    <w:rsid w:val="3D9A6E6F"/>
    <w:rsid w:val="3DCE3E6E"/>
    <w:rsid w:val="3DD37CA7"/>
    <w:rsid w:val="3E03620E"/>
    <w:rsid w:val="3E1C107E"/>
    <w:rsid w:val="3E631F9A"/>
    <w:rsid w:val="3E741AA3"/>
    <w:rsid w:val="3E77440F"/>
    <w:rsid w:val="3E883803"/>
    <w:rsid w:val="3E9055C8"/>
    <w:rsid w:val="3EA459CF"/>
    <w:rsid w:val="3EAB0654"/>
    <w:rsid w:val="3EF53E39"/>
    <w:rsid w:val="3F27773E"/>
    <w:rsid w:val="3F4151B9"/>
    <w:rsid w:val="3F670993"/>
    <w:rsid w:val="3F767786"/>
    <w:rsid w:val="3F792DF6"/>
    <w:rsid w:val="3F806461"/>
    <w:rsid w:val="3F8464AC"/>
    <w:rsid w:val="3F9D7F9C"/>
    <w:rsid w:val="3FCF18C5"/>
    <w:rsid w:val="3FE20F98"/>
    <w:rsid w:val="3FFF7354"/>
    <w:rsid w:val="40090EED"/>
    <w:rsid w:val="40113468"/>
    <w:rsid w:val="40145FBA"/>
    <w:rsid w:val="40254D11"/>
    <w:rsid w:val="402931E4"/>
    <w:rsid w:val="403A14A4"/>
    <w:rsid w:val="40A25B74"/>
    <w:rsid w:val="40D43E92"/>
    <w:rsid w:val="41020973"/>
    <w:rsid w:val="410408EB"/>
    <w:rsid w:val="412C35D5"/>
    <w:rsid w:val="41403556"/>
    <w:rsid w:val="416D699B"/>
    <w:rsid w:val="416F1AC1"/>
    <w:rsid w:val="41766CF7"/>
    <w:rsid w:val="417B60BB"/>
    <w:rsid w:val="41856F3A"/>
    <w:rsid w:val="418C6C56"/>
    <w:rsid w:val="41B94E35"/>
    <w:rsid w:val="41D754F1"/>
    <w:rsid w:val="41EC125B"/>
    <w:rsid w:val="41F5642E"/>
    <w:rsid w:val="42210794"/>
    <w:rsid w:val="42260821"/>
    <w:rsid w:val="42271533"/>
    <w:rsid w:val="42500858"/>
    <w:rsid w:val="42674891"/>
    <w:rsid w:val="427C799E"/>
    <w:rsid w:val="4291177F"/>
    <w:rsid w:val="429768C7"/>
    <w:rsid w:val="42980EEF"/>
    <w:rsid w:val="42B451EC"/>
    <w:rsid w:val="42BD2703"/>
    <w:rsid w:val="42F04887"/>
    <w:rsid w:val="42FE0D52"/>
    <w:rsid w:val="43056584"/>
    <w:rsid w:val="430842D4"/>
    <w:rsid w:val="430D2714"/>
    <w:rsid w:val="431361FF"/>
    <w:rsid w:val="432D7801"/>
    <w:rsid w:val="432F2E2A"/>
    <w:rsid w:val="43311F19"/>
    <w:rsid w:val="434A3F97"/>
    <w:rsid w:val="435557DC"/>
    <w:rsid w:val="43781B80"/>
    <w:rsid w:val="43A43A0E"/>
    <w:rsid w:val="43BC75C6"/>
    <w:rsid w:val="43BE622F"/>
    <w:rsid w:val="43DB7A47"/>
    <w:rsid w:val="443A5C0B"/>
    <w:rsid w:val="444600A8"/>
    <w:rsid w:val="44A122DD"/>
    <w:rsid w:val="44B90995"/>
    <w:rsid w:val="44BF63DB"/>
    <w:rsid w:val="44DF0DF1"/>
    <w:rsid w:val="44E83008"/>
    <w:rsid w:val="44F468B0"/>
    <w:rsid w:val="45016875"/>
    <w:rsid w:val="45222FBA"/>
    <w:rsid w:val="45234836"/>
    <w:rsid w:val="45317391"/>
    <w:rsid w:val="457D1641"/>
    <w:rsid w:val="459534C4"/>
    <w:rsid w:val="45AA1B8E"/>
    <w:rsid w:val="45B22DA9"/>
    <w:rsid w:val="45C10F83"/>
    <w:rsid w:val="45C87B25"/>
    <w:rsid w:val="45D65A60"/>
    <w:rsid w:val="45E5267F"/>
    <w:rsid w:val="45EE1561"/>
    <w:rsid w:val="45F12DF0"/>
    <w:rsid w:val="45FB3C6E"/>
    <w:rsid w:val="461113C2"/>
    <w:rsid w:val="46540183"/>
    <w:rsid w:val="465670F7"/>
    <w:rsid w:val="4660035D"/>
    <w:rsid w:val="469F0A9E"/>
    <w:rsid w:val="46B66197"/>
    <w:rsid w:val="46B9300C"/>
    <w:rsid w:val="46C16C66"/>
    <w:rsid w:val="46C42602"/>
    <w:rsid w:val="46C65F49"/>
    <w:rsid w:val="46CD1232"/>
    <w:rsid w:val="46F06968"/>
    <w:rsid w:val="4703102D"/>
    <w:rsid w:val="471468C5"/>
    <w:rsid w:val="471A13DE"/>
    <w:rsid w:val="471D5E85"/>
    <w:rsid w:val="471F0354"/>
    <w:rsid w:val="47394A4E"/>
    <w:rsid w:val="47533303"/>
    <w:rsid w:val="476A048C"/>
    <w:rsid w:val="47842F70"/>
    <w:rsid w:val="4792415F"/>
    <w:rsid w:val="479F0632"/>
    <w:rsid w:val="47B24B22"/>
    <w:rsid w:val="47C77888"/>
    <w:rsid w:val="47F00E85"/>
    <w:rsid w:val="47F22E4F"/>
    <w:rsid w:val="47F91214"/>
    <w:rsid w:val="48036E0A"/>
    <w:rsid w:val="481A3A9E"/>
    <w:rsid w:val="484C613A"/>
    <w:rsid w:val="485C06FB"/>
    <w:rsid w:val="486024AF"/>
    <w:rsid w:val="48714B46"/>
    <w:rsid w:val="489363E0"/>
    <w:rsid w:val="48CC36A0"/>
    <w:rsid w:val="48D6451F"/>
    <w:rsid w:val="48D875FD"/>
    <w:rsid w:val="48E608E9"/>
    <w:rsid w:val="48EA4403"/>
    <w:rsid w:val="48F528FC"/>
    <w:rsid w:val="49111FBF"/>
    <w:rsid w:val="491D3EFC"/>
    <w:rsid w:val="49466AFA"/>
    <w:rsid w:val="4949644B"/>
    <w:rsid w:val="496A1FBC"/>
    <w:rsid w:val="496C0591"/>
    <w:rsid w:val="496E3D1C"/>
    <w:rsid w:val="497D50F5"/>
    <w:rsid w:val="498B70B7"/>
    <w:rsid w:val="499D628F"/>
    <w:rsid w:val="49AC1198"/>
    <w:rsid w:val="49B1498B"/>
    <w:rsid w:val="49BF1503"/>
    <w:rsid w:val="49D10D2E"/>
    <w:rsid w:val="49D863F6"/>
    <w:rsid w:val="49E56A2C"/>
    <w:rsid w:val="4A031344"/>
    <w:rsid w:val="4A076836"/>
    <w:rsid w:val="4A0B1FA6"/>
    <w:rsid w:val="4A412D59"/>
    <w:rsid w:val="4A447A89"/>
    <w:rsid w:val="4A673681"/>
    <w:rsid w:val="4A7364C9"/>
    <w:rsid w:val="4A9565B8"/>
    <w:rsid w:val="4A9E79B4"/>
    <w:rsid w:val="4AA04DE4"/>
    <w:rsid w:val="4AD148FC"/>
    <w:rsid w:val="4ADB5E1D"/>
    <w:rsid w:val="4AE75F47"/>
    <w:rsid w:val="4B1E0A87"/>
    <w:rsid w:val="4B401A7E"/>
    <w:rsid w:val="4B5849A9"/>
    <w:rsid w:val="4B6712A9"/>
    <w:rsid w:val="4B6909DA"/>
    <w:rsid w:val="4B6D69DB"/>
    <w:rsid w:val="4B7122DD"/>
    <w:rsid w:val="4B727F62"/>
    <w:rsid w:val="4B8870B1"/>
    <w:rsid w:val="4B9E069A"/>
    <w:rsid w:val="4BC617A3"/>
    <w:rsid w:val="4BC863A1"/>
    <w:rsid w:val="4BCC0611"/>
    <w:rsid w:val="4BEA116A"/>
    <w:rsid w:val="4C066EC9"/>
    <w:rsid w:val="4C0671A7"/>
    <w:rsid w:val="4C200896"/>
    <w:rsid w:val="4C235CCD"/>
    <w:rsid w:val="4C26588A"/>
    <w:rsid w:val="4C2823AA"/>
    <w:rsid w:val="4C406562"/>
    <w:rsid w:val="4C4E00DA"/>
    <w:rsid w:val="4C6B5C95"/>
    <w:rsid w:val="4C847808"/>
    <w:rsid w:val="4CA977D5"/>
    <w:rsid w:val="4CAC0D83"/>
    <w:rsid w:val="4CAE12D2"/>
    <w:rsid w:val="4CB41F48"/>
    <w:rsid w:val="4CE216E4"/>
    <w:rsid w:val="4CED1C46"/>
    <w:rsid w:val="4CED704F"/>
    <w:rsid w:val="4CF17B79"/>
    <w:rsid w:val="4D03300D"/>
    <w:rsid w:val="4D05292B"/>
    <w:rsid w:val="4D0816A0"/>
    <w:rsid w:val="4D181B86"/>
    <w:rsid w:val="4D241086"/>
    <w:rsid w:val="4D5D4867"/>
    <w:rsid w:val="4D6B45F7"/>
    <w:rsid w:val="4D754801"/>
    <w:rsid w:val="4D7C4E47"/>
    <w:rsid w:val="4D87495F"/>
    <w:rsid w:val="4DB210B7"/>
    <w:rsid w:val="4DB64580"/>
    <w:rsid w:val="4DBF51AA"/>
    <w:rsid w:val="4DD74FC1"/>
    <w:rsid w:val="4DDC6134"/>
    <w:rsid w:val="4E062098"/>
    <w:rsid w:val="4E0770FF"/>
    <w:rsid w:val="4E0E1E01"/>
    <w:rsid w:val="4E0F0317"/>
    <w:rsid w:val="4E430FF7"/>
    <w:rsid w:val="4E4D5283"/>
    <w:rsid w:val="4E544FA0"/>
    <w:rsid w:val="4E6E027D"/>
    <w:rsid w:val="4E922C96"/>
    <w:rsid w:val="4ECB0E82"/>
    <w:rsid w:val="4ECC61A8"/>
    <w:rsid w:val="4ED90ED2"/>
    <w:rsid w:val="4EE871CB"/>
    <w:rsid w:val="4EEC640D"/>
    <w:rsid w:val="4EFC6876"/>
    <w:rsid w:val="4EFC7FCB"/>
    <w:rsid w:val="4F092210"/>
    <w:rsid w:val="4F322047"/>
    <w:rsid w:val="4F577B82"/>
    <w:rsid w:val="4F590025"/>
    <w:rsid w:val="4F644633"/>
    <w:rsid w:val="4F963C03"/>
    <w:rsid w:val="4F9A62A6"/>
    <w:rsid w:val="4F9E5CA0"/>
    <w:rsid w:val="4FF82FCD"/>
    <w:rsid w:val="501B27D4"/>
    <w:rsid w:val="50286B63"/>
    <w:rsid w:val="503B1837"/>
    <w:rsid w:val="50591CBD"/>
    <w:rsid w:val="506B19F1"/>
    <w:rsid w:val="50802552"/>
    <w:rsid w:val="5093051D"/>
    <w:rsid w:val="509E3B74"/>
    <w:rsid w:val="50AF7B2F"/>
    <w:rsid w:val="50E01F52"/>
    <w:rsid w:val="50E50DE3"/>
    <w:rsid w:val="5104488E"/>
    <w:rsid w:val="510F2A0C"/>
    <w:rsid w:val="51145BE4"/>
    <w:rsid w:val="51157ECE"/>
    <w:rsid w:val="511F2CD2"/>
    <w:rsid w:val="512F6EC2"/>
    <w:rsid w:val="515966AD"/>
    <w:rsid w:val="515D6245"/>
    <w:rsid w:val="51826FF2"/>
    <w:rsid w:val="51944D87"/>
    <w:rsid w:val="51AF590D"/>
    <w:rsid w:val="51B64EEE"/>
    <w:rsid w:val="51C82F5D"/>
    <w:rsid w:val="51E52D5E"/>
    <w:rsid w:val="52072758"/>
    <w:rsid w:val="520A7BEB"/>
    <w:rsid w:val="520B3C55"/>
    <w:rsid w:val="52130A4D"/>
    <w:rsid w:val="521E161F"/>
    <w:rsid w:val="5233481F"/>
    <w:rsid w:val="524207C8"/>
    <w:rsid w:val="52722424"/>
    <w:rsid w:val="52A4585A"/>
    <w:rsid w:val="52A51DDF"/>
    <w:rsid w:val="52AB2578"/>
    <w:rsid w:val="52B623DC"/>
    <w:rsid w:val="52D7061B"/>
    <w:rsid w:val="52D746E1"/>
    <w:rsid w:val="5356113C"/>
    <w:rsid w:val="535C003B"/>
    <w:rsid w:val="53715570"/>
    <w:rsid w:val="53737BE3"/>
    <w:rsid w:val="53974113"/>
    <w:rsid w:val="539D0113"/>
    <w:rsid w:val="53A90D2B"/>
    <w:rsid w:val="53B6747F"/>
    <w:rsid w:val="53C06841"/>
    <w:rsid w:val="53D97DEF"/>
    <w:rsid w:val="53F96359"/>
    <w:rsid w:val="54047583"/>
    <w:rsid w:val="54095938"/>
    <w:rsid w:val="541C01FF"/>
    <w:rsid w:val="542B051B"/>
    <w:rsid w:val="542D1CD6"/>
    <w:rsid w:val="542D593B"/>
    <w:rsid w:val="545253A1"/>
    <w:rsid w:val="5457392B"/>
    <w:rsid w:val="546248D3"/>
    <w:rsid w:val="546304C6"/>
    <w:rsid w:val="546B16F0"/>
    <w:rsid w:val="54943ECC"/>
    <w:rsid w:val="54A13C33"/>
    <w:rsid w:val="54B0031A"/>
    <w:rsid w:val="54DE6AB4"/>
    <w:rsid w:val="54E0475B"/>
    <w:rsid w:val="54FC355F"/>
    <w:rsid w:val="550477F8"/>
    <w:rsid w:val="55092033"/>
    <w:rsid w:val="551335D5"/>
    <w:rsid w:val="55201481"/>
    <w:rsid w:val="55233629"/>
    <w:rsid w:val="55384597"/>
    <w:rsid w:val="5541612B"/>
    <w:rsid w:val="55454979"/>
    <w:rsid w:val="5563538C"/>
    <w:rsid w:val="556C2493"/>
    <w:rsid w:val="557E6A6C"/>
    <w:rsid w:val="558E2045"/>
    <w:rsid w:val="559B4B21"/>
    <w:rsid w:val="55B421C9"/>
    <w:rsid w:val="55BE25C3"/>
    <w:rsid w:val="55E21100"/>
    <w:rsid w:val="560F4981"/>
    <w:rsid w:val="5637484F"/>
    <w:rsid w:val="56D006F6"/>
    <w:rsid w:val="56E803BD"/>
    <w:rsid w:val="56E85B49"/>
    <w:rsid w:val="57174680"/>
    <w:rsid w:val="57570933"/>
    <w:rsid w:val="57614D00"/>
    <w:rsid w:val="57727705"/>
    <w:rsid w:val="57776ECD"/>
    <w:rsid w:val="577C161C"/>
    <w:rsid w:val="5780017C"/>
    <w:rsid w:val="57A81AFA"/>
    <w:rsid w:val="57B95737"/>
    <w:rsid w:val="57C729D1"/>
    <w:rsid w:val="57C739B1"/>
    <w:rsid w:val="57DC7E95"/>
    <w:rsid w:val="57F57678"/>
    <w:rsid w:val="57FD02AE"/>
    <w:rsid w:val="57FF3F8A"/>
    <w:rsid w:val="580E1B9E"/>
    <w:rsid w:val="586438F5"/>
    <w:rsid w:val="586F5B54"/>
    <w:rsid w:val="589E4491"/>
    <w:rsid w:val="58B24474"/>
    <w:rsid w:val="58CD1B9F"/>
    <w:rsid w:val="58CD4BB1"/>
    <w:rsid w:val="58D81DB6"/>
    <w:rsid w:val="58ED05E8"/>
    <w:rsid w:val="58F21EBB"/>
    <w:rsid w:val="58F37324"/>
    <w:rsid w:val="590B0574"/>
    <w:rsid w:val="59317C66"/>
    <w:rsid w:val="59472DC9"/>
    <w:rsid w:val="59883613"/>
    <w:rsid w:val="59884061"/>
    <w:rsid w:val="598E476E"/>
    <w:rsid w:val="59A55F73"/>
    <w:rsid w:val="59D00FDF"/>
    <w:rsid w:val="59EA25A5"/>
    <w:rsid w:val="5A0D3D16"/>
    <w:rsid w:val="5A15151A"/>
    <w:rsid w:val="5A3D4D81"/>
    <w:rsid w:val="5A4709EE"/>
    <w:rsid w:val="5A4F5EDF"/>
    <w:rsid w:val="5A7C1DA4"/>
    <w:rsid w:val="5A84494F"/>
    <w:rsid w:val="5AA20705"/>
    <w:rsid w:val="5AA40D46"/>
    <w:rsid w:val="5AA47119"/>
    <w:rsid w:val="5AC6203F"/>
    <w:rsid w:val="5AD56065"/>
    <w:rsid w:val="5ADF1011"/>
    <w:rsid w:val="5B02355A"/>
    <w:rsid w:val="5B160921"/>
    <w:rsid w:val="5B3550D5"/>
    <w:rsid w:val="5B396FD4"/>
    <w:rsid w:val="5B44528A"/>
    <w:rsid w:val="5B4A7460"/>
    <w:rsid w:val="5B4D778B"/>
    <w:rsid w:val="5B4E64AF"/>
    <w:rsid w:val="5B5E462C"/>
    <w:rsid w:val="5B7A2DDD"/>
    <w:rsid w:val="5B802DFD"/>
    <w:rsid w:val="5BAA7B18"/>
    <w:rsid w:val="5BAC35E9"/>
    <w:rsid w:val="5BB85E93"/>
    <w:rsid w:val="5BB97AB4"/>
    <w:rsid w:val="5BDF521B"/>
    <w:rsid w:val="5BF734D0"/>
    <w:rsid w:val="5C087C9F"/>
    <w:rsid w:val="5C115B42"/>
    <w:rsid w:val="5C1B076F"/>
    <w:rsid w:val="5C2369D5"/>
    <w:rsid w:val="5C626416"/>
    <w:rsid w:val="5C653798"/>
    <w:rsid w:val="5C6B2874"/>
    <w:rsid w:val="5C9578CE"/>
    <w:rsid w:val="5CAA290F"/>
    <w:rsid w:val="5CB67E30"/>
    <w:rsid w:val="5CC248C4"/>
    <w:rsid w:val="5CE55C5D"/>
    <w:rsid w:val="5D4A08BD"/>
    <w:rsid w:val="5D6E75D3"/>
    <w:rsid w:val="5D71747C"/>
    <w:rsid w:val="5D902A97"/>
    <w:rsid w:val="5DCF41F5"/>
    <w:rsid w:val="5DD07337"/>
    <w:rsid w:val="5DE352BC"/>
    <w:rsid w:val="5DF92D00"/>
    <w:rsid w:val="5E057787"/>
    <w:rsid w:val="5E1377E3"/>
    <w:rsid w:val="5E433003"/>
    <w:rsid w:val="5E5D3039"/>
    <w:rsid w:val="5E6912A0"/>
    <w:rsid w:val="5EAE7678"/>
    <w:rsid w:val="5EDA66BF"/>
    <w:rsid w:val="5EDB56E2"/>
    <w:rsid w:val="5EFF733D"/>
    <w:rsid w:val="5F0A4A16"/>
    <w:rsid w:val="5F0B075F"/>
    <w:rsid w:val="5F0F66AF"/>
    <w:rsid w:val="5F162297"/>
    <w:rsid w:val="5F1D3030"/>
    <w:rsid w:val="5FAF0290"/>
    <w:rsid w:val="5FBE1B3D"/>
    <w:rsid w:val="5FC27B39"/>
    <w:rsid w:val="5FC353A5"/>
    <w:rsid w:val="5FCA6734"/>
    <w:rsid w:val="5FD62539"/>
    <w:rsid w:val="5FF971C8"/>
    <w:rsid w:val="60117E72"/>
    <w:rsid w:val="60550DC1"/>
    <w:rsid w:val="605D1356"/>
    <w:rsid w:val="605D5C3C"/>
    <w:rsid w:val="606E4C6F"/>
    <w:rsid w:val="606F0773"/>
    <w:rsid w:val="60757CB3"/>
    <w:rsid w:val="6094289E"/>
    <w:rsid w:val="60AA0313"/>
    <w:rsid w:val="60AE1B95"/>
    <w:rsid w:val="60B6126D"/>
    <w:rsid w:val="60B92304"/>
    <w:rsid w:val="60C416A7"/>
    <w:rsid w:val="60D3786A"/>
    <w:rsid w:val="60DD7C85"/>
    <w:rsid w:val="60E703E1"/>
    <w:rsid w:val="60FB291D"/>
    <w:rsid w:val="61397CD2"/>
    <w:rsid w:val="6158067E"/>
    <w:rsid w:val="615A7643"/>
    <w:rsid w:val="61762F8E"/>
    <w:rsid w:val="61883FD3"/>
    <w:rsid w:val="61897F29"/>
    <w:rsid w:val="618E41D0"/>
    <w:rsid w:val="61934C53"/>
    <w:rsid w:val="619C1726"/>
    <w:rsid w:val="61B01959"/>
    <w:rsid w:val="61D25B59"/>
    <w:rsid w:val="61E653D1"/>
    <w:rsid w:val="6230766F"/>
    <w:rsid w:val="6239222B"/>
    <w:rsid w:val="6245249A"/>
    <w:rsid w:val="625E58EA"/>
    <w:rsid w:val="6293057A"/>
    <w:rsid w:val="629B760D"/>
    <w:rsid w:val="629C433C"/>
    <w:rsid w:val="62B47E83"/>
    <w:rsid w:val="62D51351"/>
    <w:rsid w:val="62F0280B"/>
    <w:rsid w:val="6300586B"/>
    <w:rsid w:val="63770981"/>
    <w:rsid w:val="63911860"/>
    <w:rsid w:val="63B50650"/>
    <w:rsid w:val="63B72F80"/>
    <w:rsid w:val="63BB7D7D"/>
    <w:rsid w:val="63BF1571"/>
    <w:rsid w:val="63F278BB"/>
    <w:rsid w:val="63F634C7"/>
    <w:rsid w:val="63F82F8D"/>
    <w:rsid w:val="64060F85"/>
    <w:rsid w:val="641265C5"/>
    <w:rsid w:val="64175EC6"/>
    <w:rsid w:val="641A130C"/>
    <w:rsid w:val="641B17DC"/>
    <w:rsid w:val="641F032A"/>
    <w:rsid w:val="642A41AF"/>
    <w:rsid w:val="644D2DDF"/>
    <w:rsid w:val="6467109F"/>
    <w:rsid w:val="647469FB"/>
    <w:rsid w:val="647A2E71"/>
    <w:rsid w:val="648F5F90"/>
    <w:rsid w:val="64D0549B"/>
    <w:rsid w:val="64D23995"/>
    <w:rsid w:val="64E61EDB"/>
    <w:rsid w:val="64EB7996"/>
    <w:rsid w:val="64EC0669"/>
    <w:rsid w:val="651761F5"/>
    <w:rsid w:val="65226780"/>
    <w:rsid w:val="6527785B"/>
    <w:rsid w:val="652D2E2A"/>
    <w:rsid w:val="65303B2E"/>
    <w:rsid w:val="656C5B5F"/>
    <w:rsid w:val="65812F9C"/>
    <w:rsid w:val="65977F63"/>
    <w:rsid w:val="65B0017A"/>
    <w:rsid w:val="65B80DDC"/>
    <w:rsid w:val="65C92FEA"/>
    <w:rsid w:val="65E547AE"/>
    <w:rsid w:val="65EB0122"/>
    <w:rsid w:val="66167475"/>
    <w:rsid w:val="66197AF2"/>
    <w:rsid w:val="6633025F"/>
    <w:rsid w:val="66480C99"/>
    <w:rsid w:val="665615AC"/>
    <w:rsid w:val="666D430B"/>
    <w:rsid w:val="66B36712"/>
    <w:rsid w:val="66B617C0"/>
    <w:rsid w:val="66BE5A5B"/>
    <w:rsid w:val="66D73233"/>
    <w:rsid w:val="66E4146C"/>
    <w:rsid w:val="66E7570C"/>
    <w:rsid w:val="66F432A2"/>
    <w:rsid w:val="670F3E8F"/>
    <w:rsid w:val="67256946"/>
    <w:rsid w:val="67432343"/>
    <w:rsid w:val="67535261"/>
    <w:rsid w:val="675D6729"/>
    <w:rsid w:val="679D2705"/>
    <w:rsid w:val="67A23A10"/>
    <w:rsid w:val="67A3298E"/>
    <w:rsid w:val="67A51837"/>
    <w:rsid w:val="67BA7BF3"/>
    <w:rsid w:val="67BD6AD2"/>
    <w:rsid w:val="681639A2"/>
    <w:rsid w:val="68213DC9"/>
    <w:rsid w:val="6823503C"/>
    <w:rsid w:val="68357D39"/>
    <w:rsid w:val="684D304D"/>
    <w:rsid w:val="68550B65"/>
    <w:rsid w:val="68897672"/>
    <w:rsid w:val="689306AB"/>
    <w:rsid w:val="68944758"/>
    <w:rsid w:val="68AE3709"/>
    <w:rsid w:val="68B93AAC"/>
    <w:rsid w:val="68BF6282"/>
    <w:rsid w:val="68C27158"/>
    <w:rsid w:val="68F23E8E"/>
    <w:rsid w:val="68FB170C"/>
    <w:rsid w:val="691722BE"/>
    <w:rsid w:val="693654E7"/>
    <w:rsid w:val="693A042A"/>
    <w:rsid w:val="694330B3"/>
    <w:rsid w:val="695B58FD"/>
    <w:rsid w:val="69654059"/>
    <w:rsid w:val="697028F2"/>
    <w:rsid w:val="69912070"/>
    <w:rsid w:val="6995751E"/>
    <w:rsid w:val="699A6627"/>
    <w:rsid w:val="69DA1138"/>
    <w:rsid w:val="69DC5183"/>
    <w:rsid w:val="69E14DA6"/>
    <w:rsid w:val="69F03739"/>
    <w:rsid w:val="69FB1EC3"/>
    <w:rsid w:val="6A0E36C1"/>
    <w:rsid w:val="6A103F81"/>
    <w:rsid w:val="6A3273AF"/>
    <w:rsid w:val="6A437567"/>
    <w:rsid w:val="6A5079A9"/>
    <w:rsid w:val="6A552E93"/>
    <w:rsid w:val="6A595749"/>
    <w:rsid w:val="6A9B5B4F"/>
    <w:rsid w:val="6AC10880"/>
    <w:rsid w:val="6AE9695B"/>
    <w:rsid w:val="6AF30621"/>
    <w:rsid w:val="6B0935F2"/>
    <w:rsid w:val="6B1675CD"/>
    <w:rsid w:val="6B3F5417"/>
    <w:rsid w:val="6B497849"/>
    <w:rsid w:val="6B5F393A"/>
    <w:rsid w:val="6BAF2C82"/>
    <w:rsid w:val="6BB93D50"/>
    <w:rsid w:val="6BD651C1"/>
    <w:rsid w:val="6BD87D86"/>
    <w:rsid w:val="6C073DD8"/>
    <w:rsid w:val="6C0F5FDE"/>
    <w:rsid w:val="6C2C14E7"/>
    <w:rsid w:val="6C353187"/>
    <w:rsid w:val="6C5C5A5A"/>
    <w:rsid w:val="6C661677"/>
    <w:rsid w:val="6C8E0AED"/>
    <w:rsid w:val="6CAA42EF"/>
    <w:rsid w:val="6CC95802"/>
    <w:rsid w:val="6CCD0F27"/>
    <w:rsid w:val="6CD721E3"/>
    <w:rsid w:val="6CDD1FE1"/>
    <w:rsid w:val="6CE93D1B"/>
    <w:rsid w:val="6CEA21C3"/>
    <w:rsid w:val="6D1F4A35"/>
    <w:rsid w:val="6D464F20"/>
    <w:rsid w:val="6D5E04BB"/>
    <w:rsid w:val="6D7A508E"/>
    <w:rsid w:val="6D7D3218"/>
    <w:rsid w:val="6DC72505"/>
    <w:rsid w:val="6DD64CB0"/>
    <w:rsid w:val="6DE41D8A"/>
    <w:rsid w:val="6DF7167A"/>
    <w:rsid w:val="6E06119C"/>
    <w:rsid w:val="6E0F7A08"/>
    <w:rsid w:val="6E19501D"/>
    <w:rsid w:val="6E1E0E52"/>
    <w:rsid w:val="6E276AFF"/>
    <w:rsid w:val="6E2B6896"/>
    <w:rsid w:val="6E34121C"/>
    <w:rsid w:val="6E6A3D7F"/>
    <w:rsid w:val="6E8E6630"/>
    <w:rsid w:val="6EAA5DA0"/>
    <w:rsid w:val="6EC90F63"/>
    <w:rsid w:val="6EDA6425"/>
    <w:rsid w:val="6EF004AA"/>
    <w:rsid w:val="6EF65E94"/>
    <w:rsid w:val="6F0E2287"/>
    <w:rsid w:val="6F1F4BDB"/>
    <w:rsid w:val="6F344CA5"/>
    <w:rsid w:val="6F593630"/>
    <w:rsid w:val="6F643868"/>
    <w:rsid w:val="6F816DAF"/>
    <w:rsid w:val="6F963F3C"/>
    <w:rsid w:val="6FA96B5C"/>
    <w:rsid w:val="6FD475BD"/>
    <w:rsid w:val="6FFD220E"/>
    <w:rsid w:val="700627AA"/>
    <w:rsid w:val="70365183"/>
    <w:rsid w:val="703D5908"/>
    <w:rsid w:val="706C30B5"/>
    <w:rsid w:val="706F792D"/>
    <w:rsid w:val="708D6139"/>
    <w:rsid w:val="70A95EF1"/>
    <w:rsid w:val="70AD2730"/>
    <w:rsid w:val="70BD1D97"/>
    <w:rsid w:val="70D94A29"/>
    <w:rsid w:val="711B0B33"/>
    <w:rsid w:val="713A2FED"/>
    <w:rsid w:val="714A5429"/>
    <w:rsid w:val="71737DC1"/>
    <w:rsid w:val="717730AC"/>
    <w:rsid w:val="7182591A"/>
    <w:rsid w:val="71936BCC"/>
    <w:rsid w:val="71BF40F4"/>
    <w:rsid w:val="71E0047C"/>
    <w:rsid w:val="71E14BF0"/>
    <w:rsid w:val="71ED62B2"/>
    <w:rsid w:val="720D3E16"/>
    <w:rsid w:val="722A2F40"/>
    <w:rsid w:val="722D7F47"/>
    <w:rsid w:val="725134A0"/>
    <w:rsid w:val="726A3326"/>
    <w:rsid w:val="729C1185"/>
    <w:rsid w:val="72C60FDD"/>
    <w:rsid w:val="72D43498"/>
    <w:rsid w:val="730724BE"/>
    <w:rsid w:val="7312356F"/>
    <w:rsid w:val="732579CA"/>
    <w:rsid w:val="73456E5D"/>
    <w:rsid w:val="736B2694"/>
    <w:rsid w:val="736E1AA3"/>
    <w:rsid w:val="73841965"/>
    <w:rsid w:val="7398016C"/>
    <w:rsid w:val="73A549A8"/>
    <w:rsid w:val="73B52D9A"/>
    <w:rsid w:val="73C81D87"/>
    <w:rsid w:val="73CC7807"/>
    <w:rsid w:val="73CE153C"/>
    <w:rsid w:val="73D2575F"/>
    <w:rsid w:val="73DB0740"/>
    <w:rsid w:val="73E75745"/>
    <w:rsid w:val="741A4194"/>
    <w:rsid w:val="74220E22"/>
    <w:rsid w:val="74365CEE"/>
    <w:rsid w:val="744E7BB3"/>
    <w:rsid w:val="74536DDE"/>
    <w:rsid w:val="74544D26"/>
    <w:rsid w:val="745B69AC"/>
    <w:rsid w:val="746C0317"/>
    <w:rsid w:val="748106CE"/>
    <w:rsid w:val="74844506"/>
    <w:rsid w:val="74F87447"/>
    <w:rsid w:val="750833A2"/>
    <w:rsid w:val="751C6B90"/>
    <w:rsid w:val="752363D0"/>
    <w:rsid w:val="75387185"/>
    <w:rsid w:val="753E0DE7"/>
    <w:rsid w:val="7553299F"/>
    <w:rsid w:val="755B6016"/>
    <w:rsid w:val="7569258E"/>
    <w:rsid w:val="75741FB7"/>
    <w:rsid w:val="75847866"/>
    <w:rsid w:val="75882579"/>
    <w:rsid w:val="75A347BE"/>
    <w:rsid w:val="75B82733"/>
    <w:rsid w:val="75CD63EC"/>
    <w:rsid w:val="75EA4177"/>
    <w:rsid w:val="75F97A3D"/>
    <w:rsid w:val="7600675C"/>
    <w:rsid w:val="760D620A"/>
    <w:rsid w:val="76182881"/>
    <w:rsid w:val="761C7688"/>
    <w:rsid w:val="76365A9C"/>
    <w:rsid w:val="7656222D"/>
    <w:rsid w:val="767B0330"/>
    <w:rsid w:val="768A7E88"/>
    <w:rsid w:val="76BB24DB"/>
    <w:rsid w:val="76BE5DDB"/>
    <w:rsid w:val="76C00F41"/>
    <w:rsid w:val="76D66828"/>
    <w:rsid w:val="76E74953"/>
    <w:rsid w:val="76F459ED"/>
    <w:rsid w:val="77161E07"/>
    <w:rsid w:val="7728196F"/>
    <w:rsid w:val="77297D8C"/>
    <w:rsid w:val="772B3B04"/>
    <w:rsid w:val="77421C23"/>
    <w:rsid w:val="77543075"/>
    <w:rsid w:val="77577CCB"/>
    <w:rsid w:val="776D5AC7"/>
    <w:rsid w:val="7799530F"/>
    <w:rsid w:val="7799673A"/>
    <w:rsid w:val="77A90327"/>
    <w:rsid w:val="77CE12D5"/>
    <w:rsid w:val="77D7628B"/>
    <w:rsid w:val="781B4B9E"/>
    <w:rsid w:val="78306975"/>
    <w:rsid w:val="78411F99"/>
    <w:rsid w:val="78623556"/>
    <w:rsid w:val="78BD5496"/>
    <w:rsid w:val="78C747E5"/>
    <w:rsid w:val="78DC4F70"/>
    <w:rsid w:val="78E430A7"/>
    <w:rsid w:val="78EC6716"/>
    <w:rsid w:val="78F43512"/>
    <w:rsid w:val="791365C8"/>
    <w:rsid w:val="795B3194"/>
    <w:rsid w:val="795F49F4"/>
    <w:rsid w:val="7961247C"/>
    <w:rsid w:val="79894852"/>
    <w:rsid w:val="79A27111"/>
    <w:rsid w:val="79B42900"/>
    <w:rsid w:val="79C50187"/>
    <w:rsid w:val="79CD2D84"/>
    <w:rsid w:val="79D73AA9"/>
    <w:rsid w:val="79F24465"/>
    <w:rsid w:val="79F27BDC"/>
    <w:rsid w:val="79FD6082"/>
    <w:rsid w:val="7A1117AA"/>
    <w:rsid w:val="7A687587"/>
    <w:rsid w:val="7A9071F4"/>
    <w:rsid w:val="7AA23FA5"/>
    <w:rsid w:val="7AB63215"/>
    <w:rsid w:val="7AB77058"/>
    <w:rsid w:val="7AC13A97"/>
    <w:rsid w:val="7ADC6C36"/>
    <w:rsid w:val="7AE74C21"/>
    <w:rsid w:val="7AEF4E49"/>
    <w:rsid w:val="7AF21BC8"/>
    <w:rsid w:val="7AF823F7"/>
    <w:rsid w:val="7B2B0D03"/>
    <w:rsid w:val="7B5F7A2B"/>
    <w:rsid w:val="7B6018A2"/>
    <w:rsid w:val="7B737828"/>
    <w:rsid w:val="7B91039C"/>
    <w:rsid w:val="7B926C39"/>
    <w:rsid w:val="7BF42D23"/>
    <w:rsid w:val="7BF936F7"/>
    <w:rsid w:val="7C0B4DE9"/>
    <w:rsid w:val="7C0B5CB2"/>
    <w:rsid w:val="7C0D2A2F"/>
    <w:rsid w:val="7C594C70"/>
    <w:rsid w:val="7C653B99"/>
    <w:rsid w:val="7C685099"/>
    <w:rsid w:val="7C6A5E66"/>
    <w:rsid w:val="7C6F0797"/>
    <w:rsid w:val="7C896EAB"/>
    <w:rsid w:val="7CA51C63"/>
    <w:rsid w:val="7CC43DB5"/>
    <w:rsid w:val="7CD25804"/>
    <w:rsid w:val="7CE42526"/>
    <w:rsid w:val="7D1312C2"/>
    <w:rsid w:val="7D1A02E6"/>
    <w:rsid w:val="7D703AE6"/>
    <w:rsid w:val="7D9A4CF5"/>
    <w:rsid w:val="7DB82512"/>
    <w:rsid w:val="7DCB02F5"/>
    <w:rsid w:val="7DD83597"/>
    <w:rsid w:val="7DE06535"/>
    <w:rsid w:val="7DEA787A"/>
    <w:rsid w:val="7E1842F0"/>
    <w:rsid w:val="7E1C4DDD"/>
    <w:rsid w:val="7E265025"/>
    <w:rsid w:val="7E3D754B"/>
    <w:rsid w:val="7E5E0DDB"/>
    <w:rsid w:val="7E7458EF"/>
    <w:rsid w:val="7E7C2E97"/>
    <w:rsid w:val="7E9E4BBC"/>
    <w:rsid w:val="7EB7085A"/>
    <w:rsid w:val="7EDC6DDA"/>
    <w:rsid w:val="7EE376DB"/>
    <w:rsid w:val="7EE66563"/>
    <w:rsid w:val="7EF05721"/>
    <w:rsid w:val="7EF40C80"/>
    <w:rsid w:val="7EF9663E"/>
    <w:rsid w:val="7EFF032E"/>
    <w:rsid w:val="7F066FE0"/>
    <w:rsid w:val="7F2419DE"/>
    <w:rsid w:val="7F3123A5"/>
    <w:rsid w:val="7F85109E"/>
    <w:rsid w:val="7F8D6D01"/>
    <w:rsid w:val="7F9113FF"/>
    <w:rsid w:val="7FA67669"/>
    <w:rsid w:val="7FC04A85"/>
    <w:rsid w:val="7FDE4DA6"/>
    <w:rsid w:val="7FEC33A0"/>
    <w:rsid w:val="7FFA1C9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iPriority="99"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qFormat/>
    <w:uiPriority w:val="0"/>
    <w:pPr>
      <w:keepNext/>
      <w:keepLines/>
      <w:widowControl w:val="0"/>
      <w:spacing w:before="260" w:after="260" w:line="415" w:lineRule="auto"/>
      <w:outlineLvl w:val="1"/>
    </w:pPr>
    <w:rPr>
      <w:rFonts w:ascii="Times New Roman" w:hAnsi="Times New Roman" w:eastAsia="黑体"/>
      <w:b/>
      <w:sz w:val="32"/>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4">
    <w:name w:val="index 5"/>
    <w:basedOn w:val="1"/>
    <w:next w:val="1"/>
    <w:unhideWhenUsed/>
    <w:qFormat/>
    <w:uiPriority w:val="99"/>
    <w:pPr>
      <w:spacing w:before="100" w:beforeAutospacing="1" w:after="100" w:afterAutospacing="1"/>
      <w:ind w:left="800" w:leftChars="800"/>
    </w:pPr>
  </w:style>
  <w:style w:type="paragraph" w:styleId="5">
    <w:name w:val="Body Text"/>
    <w:basedOn w:val="1"/>
    <w:next w:val="1"/>
    <w:unhideWhenUsed/>
    <w:qFormat/>
    <w:uiPriority w:val="99"/>
    <w:pPr>
      <w:spacing w:after="120"/>
    </w:pPr>
  </w:style>
  <w:style w:type="paragraph" w:styleId="6">
    <w:name w:val="Body Text Indent"/>
    <w:basedOn w:val="1"/>
    <w:next w:val="7"/>
    <w:qFormat/>
    <w:uiPriority w:val="0"/>
    <w:pPr>
      <w:spacing w:after="120"/>
      <w:ind w:left="420" w:leftChars="200"/>
    </w:pPr>
  </w:style>
  <w:style w:type="paragraph" w:styleId="7">
    <w:name w:val="Body Text First Indent 2"/>
    <w:basedOn w:val="6"/>
    <w:next w:val="8"/>
    <w:qFormat/>
    <w:uiPriority w:val="0"/>
    <w:pPr>
      <w:ind w:firstLine="420" w:firstLineChars="200"/>
    </w:pPr>
    <w:rPr>
      <w:rFonts w:ascii="Calibri" w:hAnsi="Calibri"/>
    </w:rPr>
  </w:style>
  <w:style w:type="paragraph" w:styleId="8">
    <w:name w:val="Plain Text"/>
    <w:basedOn w:val="1"/>
    <w:unhideWhenUsed/>
    <w:qFormat/>
    <w:uiPriority w:val="99"/>
    <w:rPr>
      <w:rFonts w:ascii="宋体" w:hAnsi="Courier New"/>
    </w:rPr>
  </w:style>
  <w:style w:type="paragraph" w:styleId="9">
    <w:name w:val="Balloon Text"/>
    <w:basedOn w:val="1"/>
    <w:link w:val="19"/>
    <w:qFormat/>
    <w:uiPriority w:val="0"/>
    <w:rPr>
      <w:sz w:val="18"/>
      <w:szCs w:val="18"/>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2">
    <w:name w:val="table of figures"/>
    <w:basedOn w:val="1"/>
    <w:next w:val="1"/>
    <w:qFormat/>
    <w:uiPriority w:val="0"/>
    <w:pPr>
      <w:ind w:left="200" w:leftChars="200" w:hanging="200" w:hangingChars="200"/>
    </w:pPr>
    <w:rPr>
      <w:szCs w:val="22"/>
    </w:rPr>
  </w:style>
  <w:style w:type="paragraph" w:styleId="13">
    <w:name w:val="Normal (Web)"/>
    <w:basedOn w:val="1"/>
    <w:qFormat/>
    <w:uiPriority w:val="0"/>
    <w:pPr>
      <w:spacing w:before="100" w:beforeAutospacing="1" w:after="100" w:afterAutospacing="1"/>
      <w:jc w:val="left"/>
    </w:pPr>
    <w:rPr>
      <w:rFonts w:cs="Times New Roman"/>
      <w:kern w:val="0"/>
      <w:sz w:val="24"/>
    </w:rPr>
  </w:style>
  <w:style w:type="character" w:styleId="16">
    <w:name w:val="FollowedHyperlink"/>
    <w:basedOn w:val="15"/>
    <w:qFormat/>
    <w:uiPriority w:val="0"/>
    <w:rPr>
      <w:color w:val="333333"/>
      <w:u w:val="none"/>
    </w:rPr>
  </w:style>
  <w:style w:type="character" w:styleId="17">
    <w:name w:val="Hyperlink"/>
    <w:basedOn w:val="15"/>
    <w:qFormat/>
    <w:uiPriority w:val="0"/>
    <w:rPr>
      <w:color w:val="333333"/>
      <w:u w:val="none"/>
    </w:rPr>
  </w:style>
  <w:style w:type="character" w:customStyle="1" w:styleId="18">
    <w:name w:val="NormalCharacter"/>
    <w:semiHidden/>
    <w:qFormat/>
    <w:uiPriority w:val="0"/>
  </w:style>
  <w:style w:type="character" w:customStyle="1" w:styleId="19">
    <w:name w:val="批注框文本 Char"/>
    <w:basedOn w:val="15"/>
    <w:link w:val="9"/>
    <w:qFormat/>
    <w:uiPriority w:val="0"/>
    <w:rPr>
      <w:rFonts w:asciiTheme="minorHAnsi" w:hAnsiTheme="minorHAnsi" w:eastAsiaTheme="minorEastAsia" w:cstheme="minorBidi"/>
      <w:kern w:val="2"/>
      <w:sz w:val="18"/>
      <w:szCs w:val="18"/>
    </w:rPr>
  </w:style>
  <w:style w:type="paragraph" w:customStyle="1" w:styleId="20">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paragraph" w:customStyle="1" w:styleId="21">
    <w:name w:val="文档正文"/>
    <w:basedOn w:val="1"/>
    <w:qFormat/>
    <w:uiPriority w:val="99"/>
    <w:pPr>
      <w:adjustRightInd w:val="0"/>
      <w:spacing w:line="480" w:lineRule="atLeast"/>
      <w:textAlignment w:val="baseline"/>
    </w:pPr>
    <w:rPr>
      <w:rFonts w:ascii="Arial" w:hAnsi="Arial"/>
      <w:kern w:val="0"/>
      <w:szCs w:val="21"/>
    </w:rPr>
  </w:style>
  <w:style w:type="paragraph" w:styleId="22">
    <w:name w:val="No Spacing"/>
    <w:qFormat/>
    <w:uiPriority w:val="1"/>
    <w:pPr>
      <w:widowControl w:val="0"/>
      <w:jc w:val="both"/>
    </w:pPr>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5.xml"/><Relationship Id="rId8" Type="http://schemas.openxmlformats.org/officeDocument/2006/relationships/chart" Target="charts/chart4.xml"/><Relationship Id="rId7" Type="http://schemas.openxmlformats.org/officeDocument/2006/relationships/chart" Target="charts/chart3.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footer" Target="foot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chart" Target="charts/chart8.xml"/><Relationship Id="rId18" Type="http://schemas.openxmlformats.org/officeDocument/2006/relationships/chart" Target="charts/chart7.xml"/><Relationship Id="rId17" Type="http://schemas.openxmlformats.org/officeDocument/2006/relationships/chart" Target="charts/chart6.xml"/><Relationship Id="rId16" Type="http://schemas.openxmlformats.org/officeDocument/2006/relationships/image" Target="media/image4.png"/><Relationship Id="rId15" Type="http://schemas.openxmlformats.org/officeDocument/2006/relationships/oleObject" Target="embeddings/oleObject3.bin"/><Relationship Id="rId14" Type="http://schemas.openxmlformats.org/officeDocument/2006/relationships/image" Target="media/image3.png"/><Relationship Id="rId13" Type="http://schemas.openxmlformats.org/officeDocument/2006/relationships/oleObject" Target="embeddings/oleObject2.bin"/><Relationship Id="rId12" Type="http://schemas.openxmlformats.org/officeDocument/2006/relationships/image" Target="media/image2.png"/><Relationship Id="rId11" Type="http://schemas.openxmlformats.org/officeDocument/2006/relationships/oleObject" Target="embeddings/oleObject1.bin"/><Relationship Id="rId10" Type="http://schemas.openxmlformats.org/officeDocument/2006/relationships/image" Target="media/image1.png"/><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themeOverride" Target="../theme/themeOverride1.xml"/><Relationship Id="rId1" Type="http://schemas.openxmlformats.org/officeDocument/2006/relationships/oleObject" Target="file:///E:\&#20309;&#27946;&#33805;\&#32508;&#21512;&#26680;&#31639;\&#21382;&#24180;&#22269;&#27665;&#32463;&#27982;&#21644;&#31038;&#20250;&#21457;&#23637;&#20844;&#25253;\&#22756;&#22616;2023&#24180;&#20844;&#25253;&#21046;&#22270;&#34920;.xls" TargetMode="External"/></Relationships>
</file>

<file path=word/charts/_rels/chart2.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themeOverride" Target="../theme/themeOverride5.xml"/><Relationship Id="rId1" Type="http://schemas.openxmlformats.org/officeDocument/2006/relationships/oleObject" Target="file:///E:\&#20309;&#27946;&#33805;\&#32508;&#21512;&#26680;&#31639;\&#21382;&#24180;&#22269;&#27665;&#32463;&#27982;&#21644;&#31038;&#20250;&#21457;&#23637;&#20844;&#25253;\&#22756;&#22616;2023&#24180;&#20844;&#25253;&#21046;&#22270;&#34920;.xls" TargetMode="External"/></Relationships>
</file>

<file path=word/charts/_rels/chart3.xml.rels><?xml version="1.0" encoding="UTF-8" standalone="yes"?>
<Relationships xmlns="http://schemas.openxmlformats.org/package/2006/relationships"><Relationship Id="rId5" Type="http://schemas.microsoft.com/office/2011/relationships/chartColorStyle" Target="colors1.xml"/><Relationship Id="rId4" Type="http://schemas.microsoft.com/office/2011/relationships/chartStyle" Target="style1.xml"/><Relationship Id="rId3" Type="http://schemas.openxmlformats.org/officeDocument/2006/relationships/image" Target="../media/image6.png"/><Relationship Id="rId2" Type="http://schemas.openxmlformats.org/officeDocument/2006/relationships/themeOverride" Target="../theme/themeOverride2.xml"/><Relationship Id="rId1" Type="http://schemas.openxmlformats.org/officeDocument/2006/relationships/oleObject" Target="file:///E:\&#20309;&#27946;&#33805;\&#32508;&#21512;&#26680;&#31639;\&#21382;&#24180;&#22269;&#27665;&#32463;&#27982;&#21644;&#31038;&#20250;&#21457;&#23637;&#20844;&#25253;\&#22756;&#22616;2023&#24180;&#20844;&#25253;&#21046;&#22270;&#34920;.xls" TargetMode="External"/></Relationships>
</file>

<file path=word/charts/_rels/chart4.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themeOverride" Target="../theme/themeOverride3.xml"/><Relationship Id="rId1" Type="http://schemas.openxmlformats.org/officeDocument/2006/relationships/oleObject" Target="file:///E:\&#20309;&#27946;&#33805;\&#32508;&#21512;&#26680;&#31639;\&#21382;&#24180;&#22269;&#27665;&#32463;&#27982;&#21644;&#31038;&#20250;&#21457;&#23637;&#20844;&#25253;\&#22756;&#22616;2023&#24180;&#20844;&#25253;&#21046;&#22270;&#34920;.xls" TargetMode="External"/></Relationships>
</file>

<file path=word/charts/_rels/chart5.xml.rels><?xml version="1.0" encoding="UTF-8" standalone="yes"?>
<Relationships xmlns="http://schemas.openxmlformats.org/package/2006/relationships"><Relationship Id="rId2" Type="http://schemas.openxmlformats.org/officeDocument/2006/relationships/themeOverride" Target="../theme/themeOverride4.xml"/><Relationship Id="rId1" Type="http://schemas.openxmlformats.org/officeDocument/2006/relationships/oleObject" Target="file:///E:\&#20309;&#27946;&#33805;\&#32508;&#21512;&#26680;&#31639;\&#21382;&#24180;&#22269;&#27665;&#32463;&#27982;&#21644;&#31038;&#20250;&#21457;&#23637;&#20844;&#25253;\&#22756;&#22616;2023&#24180;&#20844;&#25253;&#21046;&#22270;&#34920;.xls" TargetMode="External"/></Relationships>
</file>

<file path=word/charts/_rels/chart6.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themeOverride" Target="../theme/themeOverride6.xml"/><Relationship Id="rId1" Type="http://schemas.openxmlformats.org/officeDocument/2006/relationships/oleObject" Target="file:///E:\&#20309;&#27946;&#33805;\&#32508;&#21512;&#26680;&#31639;\&#21382;&#24180;&#22269;&#27665;&#32463;&#27982;&#21644;&#31038;&#20250;&#21457;&#23637;&#20844;&#25253;\&#22756;&#22616;2023&#24180;&#20844;&#25253;&#21046;&#22270;&#34920;.xls" TargetMode="External"/></Relationships>
</file>

<file path=word/charts/_rels/chart7.xml.rels><?xml version="1.0" encoding="UTF-8" standalone="yes"?>
<Relationships xmlns="http://schemas.openxmlformats.org/package/2006/relationships"><Relationship Id="rId6" Type="http://schemas.microsoft.com/office/2011/relationships/chartColorStyle" Target="colors3.xml"/><Relationship Id="rId5" Type="http://schemas.microsoft.com/office/2011/relationships/chartStyle" Target="style3.xml"/><Relationship Id="rId4" Type="http://schemas.openxmlformats.org/officeDocument/2006/relationships/image" Target="../media/image14.png"/><Relationship Id="rId3" Type="http://schemas.openxmlformats.org/officeDocument/2006/relationships/image" Target="../media/image13.png"/><Relationship Id="rId2" Type="http://schemas.openxmlformats.org/officeDocument/2006/relationships/themeOverride" Target="../theme/themeOverride8.xml"/><Relationship Id="rId1" Type="http://schemas.openxmlformats.org/officeDocument/2006/relationships/oleObject" Target="file:///E:\&#20309;&#27946;&#33805;\&#32508;&#21512;&#26680;&#31639;\&#21382;&#24180;&#22269;&#27665;&#32463;&#27982;&#21644;&#31038;&#20250;&#21457;&#23637;&#20844;&#25253;\&#22756;&#22616;2023&#24180;&#20844;&#25253;&#21046;&#22270;&#34920;.xls" TargetMode="External"/></Relationships>
</file>

<file path=word/charts/_rels/chart8.xml.rels><?xml version="1.0" encoding="UTF-8" standalone="yes"?>
<Relationships xmlns="http://schemas.openxmlformats.org/package/2006/relationships"><Relationship Id="rId7" Type="http://schemas.microsoft.com/office/2011/relationships/chartColorStyle" Target="colors2.xml"/><Relationship Id="rId6" Type="http://schemas.microsoft.com/office/2011/relationships/chartStyle" Target="style2.xml"/><Relationship Id="rId5" Type="http://schemas.openxmlformats.org/officeDocument/2006/relationships/image" Target="../media/image12.png"/><Relationship Id="rId4" Type="http://schemas.openxmlformats.org/officeDocument/2006/relationships/image" Target="../media/image11.png"/><Relationship Id="rId3" Type="http://schemas.openxmlformats.org/officeDocument/2006/relationships/image" Target="../media/image10.png"/><Relationship Id="rId2" Type="http://schemas.openxmlformats.org/officeDocument/2006/relationships/themeOverride" Target="../theme/themeOverride7.xml"/><Relationship Id="rId1" Type="http://schemas.openxmlformats.org/officeDocument/2006/relationships/oleObject" Target="file:///E:\&#20309;&#27946;&#33805;\&#32508;&#21512;&#26680;&#31639;\&#21382;&#24180;&#22269;&#27665;&#32463;&#27982;&#21644;&#31038;&#20250;&#21457;&#23637;&#20844;&#25253;\&#22756;&#22616;2023&#24180;&#20844;&#25253;&#21046;&#22270;&#3492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true" forceAA="false"/>
          <a:lstStyle/>
          <a:p>
            <a:pPr>
              <a:defRPr lang="zh-CN" sz="1400" b="0" i="0" u="none" strike="noStrike" kern="1200" spc="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rPr sz="1400" b="0" i="0" u="none" strike="noStrike" baseline="0">
                <a:solidFill>
                  <a:srgbClr val="000000"/>
                </a:solidFill>
                <a:latin typeface="微软雅黑" panose="020B0503020204020204" charset="-122"/>
                <a:ea typeface="微软雅黑" panose="020B0503020204020204" charset="-122"/>
                <a:cs typeface="微软雅黑" panose="020B0503020204020204" charset="-122"/>
              </a:rPr>
              <a:t>图</a:t>
            </a:r>
            <a:r>
              <a:rPr lang="en-US" altLang="zh-CN" sz="1400" b="0" i="0" u="none" strike="noStrike" baseline="0">
                <a:solidFill>
                  <a:srgbClr val="000000"/>
                </a:solidFill>
                <a:latin typeface="微软雅黑" panose="020B0503020204020204" charset="-122"/>
                <a:ea typeface="微软雅黑" panose="020B0503020204020204" charset="-122"/>
                <a:cs typeface="微软雅黑" panose="020B0503020204020204" charset="-122"/>
              </a:rPr>
              <a:t>1</a:t>
            </a:r>
            <a:r>
              <a:rPr altLang="en-US" sz="1400" b="0" i="0" u="none" strike="noStrike" baseline="0">
                <a:solidFill>
                  <a:srgbClr val="000000"/>
                </a:solidFill>
                <a:latin typeface="微软雅黑" panose="020B0503020204020204" charset="-122"/>
                <a:ea typeface="微软雅黑" panose="020B0503020204020204" charset="-122"/>
                <a:cs typeface="微软雅黑" panose="020B0503020204020204" charset="-122"/>
              </a:rPr>
              <a:t>：近五年壤塘县地区生产总值及增长速度</a:t>
            </a:r>
            <a:endParaRPr altLang="en-US" sz="1100" b="0" i="0" u="none" strike="noStrike" baseline="0">
              <a:solidFill>
                <a:srgbClr val="000000"/>
              </a:solidFill>
              <a:latin typeface="宋体" panose="02010600030101010101" charset="-122"/>
              <a:ea typeface="宋体" panose="02010600030101010101" charset="-122"/>
              <a:cs typeface="宋体" panose="02010600030101010101" charset="-122"/>
            </a:endParaRPr>
          </a:p>
        </c:rich>
      </c:tx>
      <c:layout>
        <c:manualLayout>
          <c:xMode val="edge"/>
          <c:yMode val="edge"/>
          <c:x val="0.222858914816269"/>
          <c:y val="0.0563492063492064"/>
        </c:manualLayout>
      </c:layout>
      <c:overlay val="false"/>
      <c:spPr>
        <a:noFill/>
        <a:ln>
          <a:noFill/>
        </a:ln>
        <a:effectLst/>
      </c:spPr>
    </c:title>
    <c:autoTitleDeleted val="false"/>
    <c:plotArea>
      <c:layout/>
      <c:barChart>
        <c:barDir val="col"/>
        <c:grouping val="clustered"/>
        <c:varyColors val="false"/>
        <c:ser>
          <c:idx val="0"/>
          <c:order val="0"/>
          <c:tx>
            <c:strRef>
              <c:f>[壤塘2023年公报制图表.xls]Sheet1!$A$2</c:f>
              <c:strCache>
                <c:ptCount val="1"/>
                <c:pt idx="0">
                  <c:v>地区生产总值（万元）</c:v>
                </c:pt>
              </c:strCache>
            </c:strRef>
          </c:tx>
          <c:spPr>
            <a:blipFill>
              <a:blip xmlns:r="http://schemas.openxmlformats.org/officeDocument/2006/relationships" r:embed="rId3"/>
              <a:stretch>
                <a:fillRect/>
              </a:stretch>
            </a:blipFill>
            <a:ln>
              <a:noFill/>
            </a:ln>
            <a:effectLst>
              <a:outerShdw blurRad="101600" dir="13500000" sy="23000" kx="1200000" algn="br" rotWithShape="0">
                <a:schemeClr val="tx1">
                  <a:lumMod val="95000"/>
                  <a:lumOff val="5000"/>
                  <a:alpha val="20000"/>
                </a:schemeClr>
              </a:outerShdw>
            </a:effectLst>
          </c:spPr>
          <c:invertIfNegative val="false"/>
          <c:dPt>
            <c:idx val="0"/>
            <c:invertIfNegative val="false"/>
            <c:bubble3D val="false"/>
            <c:explosion val="0"/>
            <c:spPr>
              <a:blipFill>
                <a:blip xmlns:r="http://schemas.openxmlformats.org/officeDocument/2006/relationships" r:embed="rId3"/>
                <a:stretch>
                  <a:fillRect/>
                </a:stretch>
              </a:blipFill>
              <a:ln>
                <a:noFill/>
              </a:ln>
              <a:effectLst>
                <a:outerShdw blurRad="101600" dir="13500000" sy="23000" kx="1200000" algn="br" rotWithShape="0">
                  <a:schemeClr val="tx1">
                    <a:lumMod val="95000"/>
                    <a:lumOff val="5000"/>
                    <a:alpha val="20000"/>
                  </a:schemeClr>
                </a:outerShdw>
              </a:effectLst>
            </c:spPr>
          </c:dPt>
          <c:dPt>
            <c:idx val="1"/>
            <c:invertIfNegative val="false"/>
            <c:bubble3D val="false"/>
            <c:explosion val="0"/>
            <c:spPr>
              <a:blipFill>
                <a:blip xmlns:r="http://schemas.openxmlformats.org/officeDocument/2006/relationships" r:embed="rId3"/>
                <a:stretch>
                  <a:fillRect/>
                </a:stretch>
              </a:blipFill>
              <a:ln>
                <a:noFill/>
              </a:ln>
              <a:effectLst>
                <a:outerShdw blurRad="101600" dir="13500000" sy="23000" kx="1200000" algn="br" rotWithShape="0">
                  <a:schemeClr val="tx1">
                    <a:lumMod val="95000"/>
                    <a:lumOff val="5000"/>
                    <a:alpha val="20000"/>
                  </a:schemeClr>
                </a:outerShdw>
              </a:effectLst>
            </c:spPr>
          </c:dPt>
          <c:dPt>
            <c:idx val="2"/>
            <c:invertIfNegative val="false"/>
            <c:bubble3D val="false"/>
            <c:explosion val="0"/>
            <c:spPr>
              <a:blipFill>
                <a:blip xmlns:r="http://schemas.openxmlformats.org/officeDocument/2006/relationships" r:embed="rId3"/>
                <a:stretch>
                  <a:fillRect/>
                </a:stretch>
              </a:blipFill>
              <a:ln>
                <a:noFill/>
              </a:ln>
              <a:effectLst>
                <a:outerShdw blurRad="101600" dir="13500000" sy="23000" kx="1200000" algn="br" rotWithShape="0">
                  <a:schemeClr val="tx1">
                    <a:lumMod val="95000"/>
                    <a:lumOff val="5000"/>
                    <a:alpha val="20000"/>
                  </a:schemeClr>
                </a:outerShdw>
              </a:effectLst>
            </c:spPr>
          </c:dPt>
          <c:dPt>
            <c:idx val="3"/>
            <c:invertIfNegative val="false"/>
            <c:bubble3D val="false"/>
            <c:explosion val="0"/>
            <c:spPr>
              <a:blipFill>
                <a:blip xmlns:r="http://schemas.openxmlformats.org/officeDocument/2006/relationships" r:embed="rId3"/>
                <a:stretch>
                  <a:fillRect/>
                </a:stretch>
              </a:blipFill>
              <a:ln>
                <a:noFill/>
              </a:ln>
              <a:effectLst>
                <a:outerShdw blurRad="101600" dir="13500000" sy="23000" kx="1200000" algn="br" rotWithShape="0">
                  <a:schemeClr val="tx1">
                    <a:lumMod val="95000"/>
                    <a:lumOff val="5000"/>
                    <a:alpha val="20000"/>
                  </a:schemeClr>
                </a:outerShdw>
              </a:effectLst>
            </c:spPr>
          </c:dPt>
          <c:dLbls>
            <c:dLbl>
              <c:idx val="0"/>
              <c:layout>
                <c:manualLayout>
                  <c:x val="-0.00465538775973657"/>
                  <c:y val="0.025952380952381"/>
                </c:manualLayout>
              </c:layout>
              <c:dLblPos val="outEnd"/>
              <c:showLegendKey val="false"/>
              <c:showVal val="true"/>
              <c:showCatName val="false"/>
              <c:showSerName val="false"/>
              <c:showPercent val="false"/>
              <c:showBubbleSize val="false"/>
              <c:extLst>
                <c:ext xmlns:c15="http://schemas.microsoft.com/office/drawing/2012/chart" uri="{CE6537A1-D6FC-4f65-9D91-7224C49458BB}">
                  <c15:layout/>
                </c:ext>
              </c:extLst>
            </c:dLbl>
            <c:dLbl>
              <c:idx val="1"/>
              <c:layout>
                <c:manualLayout>
                  <c:x val="0"/>
                  <c:y val="0.0261904761904762"/>
                </c:manualLayout>
              </c:layout>
              <c:dLblPos val="outEnd"/>
              <c:showLegendKey val="false"/>
              <c:showVal val="true"/>
              <c:showCatName val="false"/>
              <c:showSerName val="false"/>
              <c:showPercent val="false"/>
              <c:showBubbleSize val="false"/>
              <c:extLst>
                <c:ext xmlns:c15="http://schemas.microsoft.com/office/drawing/2012/chart" uri="{CE6537A1-D6FC-4f65-9D91-7224C49458BB}">
                  <c15:layout/>
                </c:ext>
              </c:extLst>
            </c:dLbl>
            <c:dLbl>
              <c:idx val="2"/>
              <c:layout>
                <c:manualLayout>
                  <c:x val="0"/>
                  <c:y val="0.0292857142857143"/>
                </c:manualLayout>
              </c:layout>
              <c:dLblPos val="outEnd"/>
              <c:showLegendKey val="false"/>
              <c:showVal val="true"/>
              <c:showCatName val="false"/>
              <c:showSerName val="false"/>
              <c:showPercent val="false"/>
              <c:showBubbleSize val="false"/>
              <c:extLst>
                <c:ext xmlns:c15="http://schemas.microsoft.com/office/drawing/2012/chart" uri="{CE6537A1-D6FC-4f65-9D91-7224C49458BB}">
                  <c15:layout/>
                </c:ext>
              </c:extLst>
            </c:dLbl>
            <c:dLbl>
              <c:idx val="3"/>
              <c:layout>
                <c:manualLayout>
                  <c:x val="-0.00158964460088566"/>
                  <c:y val="0.0226190476190476"/>
                </c:manualLayout>
              </c:layout>
              <c:dLblPos val="outEnd"/>
              <c:showLegendKey val="false"/>
              <c:showVal val="true"/>
              <c:showCatName val="false"/>
              <c:showSerName val="false"/>
              <c:showPercent val="false"/>
              <c:showBubbleSize val="false"/>
              <c:extLst>
                <c:ext xmlns:c15="http://schemas.microsoft.com/office/drawing/2012/chart" uri="{CE6537A1-D6FC-4f65-9D91-7224C49458BB}">
                  <c15:layout/>
                </c:ext>
              </c:extLst>
            </c:dLbl>
            <c:dLbl>
              <c:idx val="4"/>
              <c:layout>
                <c:manualLayout>
                  <c:x val="0"/>
                  <c:y val="0.025952380952381"/>
                </c:manualLayout>
              </c:layout>
              <c:dLblPos val="outEnd"/>
              <c:showLegendKey val="false"/>
              <c:showVal val="true"/>
              <c:showCatName val="false"/>
              <c:showSerName val="false"/>
              <c:showPercent val="false"/>
              <c:showBubbleSize val="false"/>
              <c:extLst>
                <c:ext xmlns:c15="http://schemas.microsoft.com/office/drawing/2012/chart" uri="{CE6537A1-D6FC-4f65-9D91-7224C49458BB}">
                  <c15:layout/>
                </c:ext>
              </c:extLst>
            </c:dLbl>
            <c:numFmt formatCode="General" sourceLinked="true"/>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[壤塘2023年公报制图表.xls]Sheet1!$B$1:$F$1</c:f>
              <c:strCache>
                <c:ptCount val="5"/>
                <c:pt idx="0">
                  <c:v>2019年</c:v>
                </c:pt>
                <c:pt idx="1">
                  <c:v>2020年</c:v>
                </c:pt>
                <c:pt idx="2">
                  <c:v>2021年</c:v>
                </c:pt>
                <c:pt idx="3">
                  <c:v>2022年</c:v>
                </c:pt>
                <c:pt idx="4">
                  <c:v>2023年</c:v>
                </c:pt>
              </c:strCache>
            </c:strRef>
          </c:cat>
          <c:val>
            <c:numRef>
              <c:f>[壤塘2023年公报制图表.xls]Sheet1!$B$2:$F$2</c:f>
              <c:numCache>
                <c:formatCode>General</c:formatCode>
                <c:ptCount val="5"/>
                <c:pt idx="0">
                  <c:v>122015</c:v>
                </c:pt>
                <c:pt idx="1">
                  <c:v>132089</c:v>
                </c:pt>
                <c:pt idx="2">
                  <c:v>143048</c:v>
                </c:pt>
                <c:pt idx="3">
                  <c:v>144822</c:v>
                </c:pt>
                <c:pt idx="4">
                  <c:v>155015</c:v>
                </c:pt>
              </c:numCache>
            </c:numRef>
          </c:val>
        </c:ser>
        <c:dLbls>
          <c:showLegendKey val="false"/>
          <c:showVal val="false"/>
          <c:showCatName val="false"/>
          <c:showSerName val="false"/>
          <c:showPercent val="false"/>
          <c:showBubbleSize val="false"/>
        </c:dLbls>
        <c:gapWidth val="75"/>
        <c:overlap val="-25"/>
        <c:axId val="891152195"/>
        <c:axId val="962840764"/>
      </c:barChart>
      <c:lineChart>
        <c:grouping val="standard"/>
        <c:varyColors val="false"/>
        <c:ser>
          <c:idx val="1"/>
          <c:order val="1"/>
          <c:tx>
            <c:strRef>
              <c:f>[壤塘2023年公报制图表.xls]Sheet1!$A$3</c:f>
              <c:strCache>
                <c:ptCount val="1"/>
                <c:pt idx="0">
                  <c:v>增长速度(%)</c:v>
                </c:pt>
              </c:strCache>
            </c:strRef>
          </c:tx>
          <c:spPr>
            <a:ln w="28575" cap="rnd" cmpd="sng" algn="ctr">
              <a:solidFill>
                <a:schemeClr val="accent2"/>
              </a:solidFill>
              <a:prstDash val="solid"/>
              <a:round/>
            </a:ln>
            <a:effectLst/>
          </c:spPr>
          <c:marker>
            <c:symbol val="circle"/>
            <c:size val="5"/>
            <c:spPr>
              <a:solidFill>
                <a:srgbClr val="FF0000"/>
              </a:solidFill>
              <a:ln w="9525" cap="flat" cmpd="sng" algn="ctr">
                <a:solidFill>
                  <a:schemeClr val="accent2"/>
                </a:solidFill>
                <a:prstDash val="solid"/>
                <a:round/>
              </a:ln>
              <a:effectLst/>
            </c:spPr>
          </c:marker>
          <c:dLbls>
            <c:numFmt formatCode="General" sourceLinked="true"/>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r"/>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[壤塘2023年公报制图表.xls]Sheet1!$B$1:$F$1</c:f>
              <c:strCache>
                <c:ptCount val="5"/>
                <c:pt idx="0">
                  <c:v>2019年</c:v>
                </c:pt>
                <c:pt idx="1">
                  <c:v>2020年</c:v>
                </c:pt>
                <c:pt idx="2">
                  <c:v>2021年</c:v>
                </c:pt>
                <c:pt idx="3">
                  <c:v>2022年</c:v>
                </c:pt>
                <c:pt idx="4">
                  <c:v>2023年</c:v>
                </c:pt>
              </c:strCache>
            </c:strRef>
          </c:cat>
          <c:val>
            <c:numRef>
              <c:f>[壤塘2023年公报制图表.xls]Sheet1!$B$3:$F$3</c:f>
              <c:numCache>
                <c:formatCode>General</c:formatCode>
                <c:ptCount val="5"/>
                <c:pt idx="0">
                  <c:v>5</c:v>
                </c:pt>
                <c:pt idx="1">
                  <c:v>1.1</c:v>
                </c:pt>
                <c:pt idx="2">
                  <c:v>6.5</c:v>
                </c:pt>
                <c:pt idx="3">
                  <c:v>1.6</c:v>
                </c:pt>
                <c:pt idx="4">
                  <c:v>6.8</c:v>
                </c:pt>
              </c:numCache>
            </c:numRef>
          </c:val>
          <c:smooth val="false"/>
        </c:ser>
        <c:dLbls>
          <c:showLegendKey val="false"/>
          <c:showVal val="false"/>
          <c:showCatName val="false"/>
          <c:showSerName val="false"/>
          <c:showPercent val="false"/>
          <c:showBubbleSize val="false"/>
        </c:dLbls>
        <c:marker val="true"/>
        <c:smooth val="false"/>
        <c:axId val="994418781"/>
        <c:axId val="628699239"/>
      </c:lineChart>
      <c:catAx>
        <c:axId val="891152195"/>
        <c:scaling>
          <c:orientation val="minMax"/>
        </c:scaling>
        <c:delete val="false"/>
        <c:axPos val="b"/>
        <c:majorTickMark val="none"/>
        <c:minorTickMark val="none"/>
        <c:tickLblPos val="nextTo"/>
        <c:spPr>
          <a:noFill/>
          <a:ln w="9525" cap="flat" cmpd="sng" algn="ctr">
            <a:solidFill>
              <a:schemeClr val="bg1">
                <a:alpha val="50000"/>
              </a:schemeClr>
            </a:solidFill>
            <a:prstDash val="solid"/>
            <a:round/>
          </a:ln>
          <a:effectLst/>
        </c:spPr>
        <c:txPr>
          <a:bodyPr rot="-60000000" spcFirstLastPara="0" vertOverflow="ellipsis" vert="horz" wrap="square" anchor="ctr" anchorCtr="true" forceAA="fals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crossAx val="962840764"/>
        <c:crosses val="autoZero"/>
        <c:auto val="true"/>
        <c:lblAlgn val="ctr"/>
        <c:lblOffset val="100"/>
        <c:noMultiLvlLbl val="false"/>
      </c:catAx>
      <c:valAx>
        <c:axId val="962840764"/>
        <c:scaling>
          <c:orientation val="minMax"/>
        </c:scaling>
        <c:delete val="false"/>
        <c:axPos val="l"/>
        <c:majorGridlines>
          <c:spPr>
            <a:ln w="9525" cap="flat" cmpd="sng" algn="ctr">
              <a:solidFill>
                <a:schemeClr val="bg1">
                  <a:alpha val="20000"/>
                </a:schemeClr>
              </a:solidFill>
              <a:prstDash val="solid"/>
              <a:round/>
            </a:ln>
            <a:effectLst/>
          </c:spPr>
        </c:majorGridlines>
        <c:numFmt formatCode="General" sourceLinked="true"/>
        <c:majorTickMark val="none"/>
        <c:minorTickMark val="none"/>
        <c:tickLblPos val="nextTo"/>
        <c:spPr>
          <a:noFill/>
          <a:ln w="6350" cap="flat" cmpd="sng" algn="ctr">
            <a:noFill/>
            <a:prstDash val="solid"/>
            <a:round/>
          </a:ln>
          <a:effectLst/>
        </c:spPr>
        <c:txPr>
          <a:bodyPr rot="-60000000" spcFirstLastPara="0" vertOverflow="ellipsis" vert="horz" wrap="square" anchor="ctr" anchorCtr="true" forceAA="fals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crossAx val="891152195"/>
        <c:crosses val="autoZero"/>
        <c:crossBetween val="between"/>
      </c:valAx>
      <c:catAx>
        <c:axId val="994418781"/>
        <c:scaling>
          <c:orientation val="minMax"/>
        </c:scaling>
        <c:delete val="true"/>
        <c:axPos val="b"/>
        <c:majorTickMark val="none"/>
        <c:minorTickMark val="none"/>
        <c:tickLblPos val="nextTo"/>
        <c:txPr>
          <a:bodyPr rot="-60000000" spcFirstLastPara="0" vertOverflow="ellipsis" vert="horz" wrap="square" anchor="ctr" anchorCtr="true"/>
          <a:lstStyle/>
          <a:p>
            <a:pPr>
              <a:defRPr lang="zh-CN" sz="1000" b="0" i="0" u="none" strike="noStrike" kern="1200" baseline="0">
                <a:solidFill>
                  <a:srgbClr val="FFFFFF">
                    <a:alpha val="100000"/>
                  </a:srgb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crossAx val="628699239"/>
        <c:crosses val="autoZero"/>
        <c:auto val="true"/>
        <c:lblAlgn val="ctr"/>
        <c:lblOffset val="100"/>
        <c:noMultiLvlLbl val="false"/>
      </c:catAx>
      <c:valAx>
        <c:axId val="628699239"/>
        <c:scaling>
          <c:orientation val="minMax"/>
        </c:scaling>
        <c:delete val="false"/>
        <c:axPos val="r"/>
        <c:numFmt formatCode="General" sourceLinked="true"/>
        <c:majorTickMark val="none"/>
        <c:minorTickMark val="none"/>
        <c:tickLblPos val="nextTo"/>
        <c:spPr>
          <a:noFill/>
          <a:ln w="6350" cap="flat" cmpd="sng" algn="ctr">
            <a:noFill/>
            <a:prstDash val="solid"/>
            <a:round/>
          </a:ln>
          <a:effectLst/>
        </c:spPr>
        <c:txPr>
          <a:bodyPr rot="-60000000" spcFirstLastPara="0" vertOverflow="ellipsis" vert="horz" wrap="square" anchor="ctr" anchorCtr="tru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crossAx val="994418781"/>
        <c:crosses val="max"/>
        <c:crossBetween val="between"/>
      </c:valAx>
      <c:spPr>
        <a:noFill/>
        <a:ln>
          <a:noFill/>
        </a:ln>
        <a:effectLst/>
      </c:spPr>
    </c:plotArea>
    <c:legend>
      <c:legendPos val="b"/>
      <c:legendEntry>
        <c:idx val="0"/>
        <c:txPr>
          <a:bodyPr rot="0" spcFirstLastPara="0" vertOverflow="ellipsis" vert="horz" wrap="square" anchor="ctr" anchorCtr="tru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legendEntry>
      <c:legendEntry>
        <c:idx val="1"/>
        <c:txPr>
          <a:bodyPr rot="0" spcFirstLastPara="0" vertOverflow="ellipsis" vert="horz" wrap="square" anchor="ctr" anchorCtr="tru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legendEntry>
      <c:layout/>
      <c:overlay val="false"/>
      <c:spPr>
        <a:noFill/>
        <a:ln>
          <a:noFill/>
        </a:ln>
        <a:effectLst/>
      </c:spPr>
      <c:txPr>
        <a:bodyPr rot="0" spcFirstLastPara="0" vertOverflow="ellipsis" vert="horz" wrap="square" anchor="ctr" anchorCtr="tru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legend>
    <c:plotVisOnly val="true"/>
    <c:dispBlanksAs val="gap"/>
    <c:showDLblsOverMax val="false"/>
  </c:chart>
  <c:spPr>
    <a:gradFill rotWithShape="true">
      <a:gsLst>
        <a:gs pos="58000">
          <a:srgbClr val="CDFBCD"/>
        </a:gs>
        <a:gs pos="99000">
          <a:srgbClr val="72D773"/>
        </a:gs>
        <a:gs pos="98000">
          <a:srgbClr val="72D673"/>
        </a:gs>
        <a:gs pos="98000">
          <a:srgbClr val="A9E4A9"/>
        </a:gs>
      </a:gsLst>
      <a:lin ang="16200000" scaled="false"/>
    </a:gradFill>
    <a:ln w="9525" cap="flat" cmpd="sng" algn="ctr">
      <a:solidFill>
        <a:schemeClr val="tx1">
          <a:lumMod val="15000"/>
          <a:lumOff val="85000"/>
        </a:schemeClr>
      </a:solidFill>
      <a:prstDash val="solid"/>
      <a:round/>
    </a:ln>
    <a:effectLst/>
  </c:spPr>
  <c:txPr>
    <a:bodyPr wrap="square"/>
    <a:lstStyle/>
    <a:p>
      <a:pPr>
        <a:defRPr lang="zh-CN">
          <a:solidFill>
            <a:schemeClr val="bg1"/>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externalData r:id="rId1">
    <c:autoUpdate val="false"/>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true" forceAA="false"/>
          <a:lstStyle/>
          <a:p>
            <a:pPr>
              <a:defRPr lang="zh-CN" sz="1400" b="0" i="0" u="none" strike="noStrike" kern="1200" spc="0" baseline="0">
                <a:solidFill>
                  <a:sysClr val="windowText" lastClr="000000">
                    <a:alpha val="68000"/>
                  </a:sysClr>
                </a:solidFill>
                <a:latin typeface="微软雅黑" panose="020B0503020204020204" charset="-122"/>
                <a:ea typeface="微软雅黑" panose="020B0503020204020204" charset="-122"/>
                <a:cs typeface="+mn-cs"/>
              </a:defRPr>
            </a:pPr>
            <a:r>
              <a:rPr altLang="en-US" sz="1400" b="0" i="0" u="none" strike="noStrike" baseline="0">
                <a:solidFill>
                  <a:srgbClr val="000000"/>
                </a:solidFill>
                <a:latin typeface="微软雅黑" panose="020B0503020204020204" charset="-122"/>
                <a:ea typeface="微软雅黑" panose="020B0503020204020204" charset="-122"/>
                <a:cs typeface="微软雅黑" panose="020B0503020204020204" charset="-122"/>
              </a:rPr>
              <a:t>图</a:t>
            </a:r>
            <a:r>
              <a:rPr lang="en-US" altLang="zh-CN" sz="1400" b="0" i="0" u="none" strike="noStrike" baseline="0">
                <a:solidFill>
                  <a:srgbClr val="000000"/>
                </a:solidFill>
                <a:latin typeface="微软雅黑" panose="020B0503020204020204" charset="-122"/>
                <a:ea typeface="微软雅黑" panose="020B0503020204020204" charset="-122"/>
                <a:cs typeface="微软雅黑" panose="020B0503020204020204" charset="-122"/>
              </a:rPr>
              <a:t>2</a:t>
            </a:r>
            <a:r>
              <a:rPr altLang="en-US" sz="1400" b="0" i="0" u="none" strike="noStrike" baseline="0">
                <a:solidFill>
                  <a:srgbClr val="000000"/>
                </a:solidFill>
                <a:latin typeface="微软雅黑" panose="020B0503020204020204" charset="-122"/>
                <a:ea typeface="微软雅黑" panose="020B0503020204020204" charset="-122"/>
                <a:cs typeface="微软雅黑" panose="020B0503020204020204" charset="-122"/>
              </a:rPr>
              <a:t>：近五年壤塘县三次产业增加值占地区生产总值比重（</a:t>
            </a:r>
            <a:r>
              <a:rPr lang="en-US" altLang="zh-CN" sz="1400" b="0" i="0" u="none" strike="noStrike" baseline="0">
                <a:solidFill>
                  <a:srgbClr val="000000"/>
                </a:solidFill>
                <a:latin typeface="微软雅黑" panose="020B0503020204020204" charset="-122"/>
                <a:ea typeface="微软雅黑" panose="020B0503020204020204" charset="-122"/>
                <a:cs typeface="微软雅黑" panose="020B0503020204020204" charset="-122"/>
              </a:rPr>
              <a:t>%</a:t>
            </a:r>
            <a:r>
              <a:rPr altLang="en-US" sz="1400" b="0" i="0" u="none" strike="noStrike" baseline="0">
                <a:solidFill>
                  <a:srgbClr val="000000"/>
                </a:solidFill>
                <a:latin typeface="微软雅黑" panose="020B0503020204020204" charset="-122"/>
                <a:ea typeface="微软雅黑" panose="020B0503020204020204" charset="-122"/>
                <a:cs typeface="微软雅黑" panose="020B0503020204020204" charset="-122"/>
              </a:rPr>
              <a:t>）</a:t>
            </a:r>
            <a:endParaRPr altLang="en-US" sz="1100" b="0" i="0" u="none" strike="noStrike" baseline="0">
              <a:solidFill>
                <a:srgbClr val="000000"/>
              </a:solidFill>
              <a:latin typeface="宋体" panose="02010600030101010101" charset="-122"/>
              <a:ea typeface="宋体" panose="02010600030101010101" charset="-122"/>
              <a:cs typeface="宋体" panose="02010600030101010101" charset="-122"/>
            </a:endParaRPr>
          </a:p>
        </c:rich>
      </c:tx>
      <c:layout>
        <c:manualLayout>
          <c:xMode val="edge"/>
          <c:yMode val="edge"/>
          <c:x val="0.115394736842105"/>
          <c:y val="0.0277777777777778"/>
        </c:manualLayout>
      </c:layout>
      <c:overlay val="false"/>
      <c:spPr>
        <a:noFill/>
        <a:ln>
          <a:noFill/>
        </a:ln>
        <a:effectLst/>
      </c:spPr>
    </c:title>
    <c:autoTitleDeleted val="false"/>
    <c:plotArea>
      <c:layout/>
      <c:barChart>
        <c:barDir val="col"/>
        <c:grouping val="percentStacked"/>
        <c:varyColors val="false"/>
        <c:ser>
          <c:idx val="0"/>
          <c:order val="0"/>
          <c:tx>
            <c:strRef>
              <c:f>[壤塘2023年公报制图表.xls]Sheet1!$A$28</c:f>
              <c:strCache>
                <c:ptCount val="1"/>
                <c:pt idx="0">
                  <c:v>一产业</c:v>
                </c:pt>
              </c:strCache>
            </c:strRef>
          </c:tx>
          <c:spPr>
            <a:blipFill>
              <a:blip xmlns:r="http://schemas.openxmlformats.org/officeDocument/2006/relationships" r:embed="rId3"/>
              <a:stretch>
                <a:fillRect/>
              </a:stretch>
            </a:blipFill>
            <a:ln>
              <a:noFill/>
            </a:ln>
            <a:effectLst/>
          </c:spPr>
          <c:invertIfNegative val="false"/>
          <c:dLbls>
            <c:numFmt formatCode="General" sourceLinked="true"/>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ysClr val="windowText" lastClr="000000">
                        <a:alpha val="68000"/>
                      </a:sysClr>
                    </a:solidFill>
                    <a:latin typeface="微软雅黑" panose="020B0503020204020204" charset="-122"/>
                    <a:ea typeface="微软雅黑" panose="020B0503020204020204" charset="-122"/>
                    <a:cs typeface="+mn-cs"/>
                  </a:defRPr>
                </a:pPr>
              </a:p>
            </c:txPr>
            <c:dLblPos val="ctr"/>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[壤塘2023年公报制图表.xls]Sheet1!$B$27:$F$27</c:f>
              <c:strCache>
                <c:ptCount val="5"/>
                <c:pt idx="0">
                  <c:v>2019年</c:v>
                </c:pt>
                <c:pt idx="1">
                  <c:v>2020年</c:v>
                </c:pt>
                <c:pt idx="2">
                  <c:v>2021年</c:v>
                </c:pt>
                <c:pt idx="3">
                  <c:v>2022年</c:v>
                </c:pt>
                <c:pt idx="4">
                  <c:v>2023年</c:v>
                </c:pt>
              </c:strCache>
            </c:strRef>
          </c:cat>
          <c:val>
            <c:numRef>
              <c:f>[壤塘2023年公报制图表.xls]Sheet1!$B$28:$F$28</c:f>
              <c:numCache>
                <c:formatCode>General</c:formatCode>
                <c:ptCount val="5"/>
                <c:pt idx="0">
                  <c:v>24.5</c:v>
                </c:pt>
                <c:pt idx="1">
                  <c:v>28.8</c:v>
                </c:pt>
                <c:pt idx="2">
                  <c:v>29.2</c:v>
                </c:pt>
                <c:pt idx="3">
                  <c:v>29.1</c:v>
                </c:pt>
                <c:pt idx="4">
                  <c:v>28.2</c:v>
                </c:pt>
              </c:numCache>
            </c:numRef>
          </c:val>
        </c:ser>
        <c:ser>
          <c:idx val="1"/>
          <c:order val="1"/>
          <c:tx>
            <c:strRef>
              <c:f>[壤塘2023年公报制图表.xls]Sheet1!$A$29</c:f>
              <c:strCache>
                <c:ptCount val="1"/>
                <c:pt idx="0">
                  <c:v>二产业</c:v>
                </c:pt>
              </c:strCache>
            </c:strRef>
          </c:tx>
          <c:spPr>
            <a:gradFill>
              <a:gsLst>
                <a:gs pos="50000">
                  <a:srgbClr val="2CAF29"/>
                </a:gs>
                <a:gs pos="2000">
                  <a:srgbClr val="A3E9A3"/>
                </a:gs>
                <a:gs pos="100000">
                  <a:srgbClr val="0B8F08"/>
                </a:gs>
              </a:gsLst>
              <a:lin ang="16200000" scaled="false"/>
            </a:gradFill>
            <a:ln>
              <a:noFill/>
            </a:ln>
            <a:effectLst/>
          </c:spPr>
          <c:invertIfNegative val="false"/>
          <c:dLbls>
            <c:numFmt formatCode="General" sourceLinked="true"/>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ysClr val="windowText" lastClr="000000">
                        <a:alpha val="68000"/>
                      </a:sysClr>
                    </a:solidFill>
                    <a:latin typeface="微软雅黑" panose="020B0503020204020204" charset="-122"/>
                    <a:ea typeface="微软雅黑" panose="020B0503020204020204" charset="-122"/>
                    <a:cs typeface="+mn-cs"/>
                  </a:defRPr>
                </a:pPr>
              </a:p>
            </c:txPr>
            <c:dLblPos val="ctr"/>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[壤塘2023年公报制图表.xls]Sheet1!$B$27:$F$27</c:f>
              <c:strCache>
                <c:ptCount val="5"/>
                <c:pt idx="0">
                  <c:v>2019年</c:v>
                </c:pt>
                <c:pt idx="1">
                  <c:v>2020年</c:v>
                </c:pt>
                <c:pt idx="2">
                  <c:v>2021年</c:v>
                </c:pt>
                <c:pt idx="3">
                  <c:v>2022年</c:v>
                </c:pt>
                <c:pt idx="4">
                  <c:v>2023年</c:v>
                </c:pt>
              </c:strCache>
            </c:strRef>
          </c:cat>
          <c:val>
            <c:numRef>
              <c:f>[壤塘2023年公报制图表.xls]Sheet1!$B$29:$F$29</c:f>
              <c:numCache>
                <c:formatCode>General</c:formatCode>
                <c:ptCount val="5"/>
                <c:pt idx="0">
                  <c:v>5.5</c:v>
                </c:pt>
                <c:pt idx="1">
                  <c:v>4.2</c:v>
                </c:pt>
                <c:pt idx="2">
                  <c:v>4.3</c:v>
                </c:pt>
                <c:pt idx="3">
                  <c:v>4.4</c:v>
                </c:pt>
                <c:pt idx="4">
                  <c:v>4.1</c:v>
                </c:pt>
              </c:numCache>
            </c:numRef>
          </c:val>
        </c:ser>
        <c:ser>
          <c:idx val="2"/>
          <c:order val="2"/>
          <c:tx>
            <c:strRef>
              <c:f>[壤塘2023年公报制图表.xls]Sheet1!$A$30</c:f>
              <c:strCache>
                <c:ptCount val="1"/>
                <c:pt idx="0">
                  <c:v>三产业</c:v>
                </c:pt>
              </c:strCache>
            </c:strRef>
          </c:tx>
          <c:spPr>
            <a:gradFill>
              <a:gsLst>
                <a:gs pos="0">
                  <a:srgbClr val="D92763"/>
                </a:gs>
                <a:gs pos="50000">
                  <a:srgbClr val="E3447A"/>
                </a:gs>
                <a:gs pos="79000">
                  <a:srgbClr val="EC6091"/>
                </a:gs>
              </a:gsLst>
              <a:lin ang="5400000" scaled="true"/>
            </a:gradFill>
            <a:ln>
              <a:noFill/>
            </a:ln>
            <a:effectLst>
              <a:innerShdw blurRad="114300">
                <a:prstClr val="black"/>
              </a:innerShdw>
            </a:effectLst>
          </c:spPr>
          <c:invertIfNegative val="false"/>
          <c:dLbls>
            <c:numFmt formatCode="General" sourceLinked="true"/>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ysClr val="windowText" lastClr="000000">
                        <a:alpha val="68000"/>
                      </a:sysClr>
                    </a:solidFill>
                    <a:latin typeface="微软雅黑" panose="020B0503020204020204" charset="-122"/>
                    <a:ea typeface="微软雅黑" panose="020B0503020204020204" charset="-122"/>
                    <a:cs typeface="+mn-cs"/>
                  </a:defRPr>
                </a:pPr>
              </a:p>
            </c:txPr>
            <c:dLblPos val="ctr"/>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[壤塘2023年公报制图表.xls]Sheet1!$B$27:$F$27</c:f>
              <c:strCache>
                <c:ptCount val="5"/>
                <c:pt idx="0">
                  <c:v>2019年</c:v>
                </c:pt>
                <c:pt idx="1">
                  <c:v>2020年</c:v>
                </c:pt>
                <c:pt idx="2">
                  <c:v>2021年</c:v>
                </c:pt>
                <c:pt idx="3">
                  <c:v>2022年</c:v>
                </c:pt>
                <c:pt idx="4">
                  <c:v>2023年</c:v>
                </c:pt>
              </c:strCache>
            </c:strRef>
          </c:cat>
          <c:val>
            <c:numRef>
              <c:f>[壤塘2023年公报制图表.xls]Sheet1!$B$30:$F$30</c:f>
              <c:numCache>
                <c:formatCode>General</c:formatCode>
                <c:ptCount val="5"/>
                <c:pt idx="0">
                  <c:v>70</c:v>
                </c:pt>
                <c:pt idx="1">
                  <c:v>67</c:v>
                </c:pt>
                <c:pt idx="2">
                  <c:v>66.5</c:v>
                </c:pt>
                <c:pt idx="3">
                  <c:v>66.5</c:v>
                </c:pt>
                <c:pt idx="4">
                  <c:v>67.7</c:v>
                </c:pt>
              </c:numCache>
            </c:numRef>
          </c:val>
        </c:ser>
        <c:dLbls>
          <c:showLegendKey val="false"/>
          <c:showVal val="false"/>
          <c:showCatName val="false"/>
          <c:showSerName val="false"/>
          <c:showPercent val="false"/>
          <c:showBubbleSize val="false"/>
        </c:dLbls>
        <c:gapWidth val="75"/>
        <c:overlap val="100"/>
        <c:axId val="552241889"/>
        <c:axId val="362083609"/>
      </c:barChart>
      <c:catAx>
        <c:axId val="552241889"/>
        <c:scaling>
          <c:orientation val="minMax"/>
        </c:scaling>
        <c:delete val="false"/>
        <c:axPos val="b"/>
        <c:majorTickMark val="none"/>
        <c:minorTickMark val="none"/>
        <c:tickLblPos val="nextTo"/>
        <c:spPr>
          <a:noFill/>
          <a:ln w="9525" cap="flat" cmpd="sng" algn="ctr">
            <a:solidFill>
              <a:schemeClr val="bg1">
                <a:lumMod val="95000"/>
                <a:alpha val="14000"/>
              </a:schemeClr>
            </a:solidFill>
            <a:prstDash val="solid"/>
            <a:round/>
          </a:ln>
          <a:effectLst/>
        </c:spPr>
        <c:txPr>
          <a:bodyPr rot="-60000000" spcFirstLastPara="0" vertOverflow="ellipsis" vert="horz" wrap="square" anchor="ctr" anchorCtr="true" forceAA="false"/>
          <a:lstStyle/>
          <a:p>
            <a:pPr>
              <a:defRPr lang="zh-CN" sz="900" b="0" i="0" u="none" strike="noStrike" kern="1200" baseline="0">
                <a:solidFill>
                  <a:sysClr val="windowText" lastClr="000000">
                    <a:alpha val="68000"/>
                  </a:sysClr>
                </a:solidFill>
                <a:latin typeface="微软雅黑" panose="020B0503020204020204" charset="-122"/>
                <a:ea typeface="微软雅黑" panose="020B0503020204020204" charset="-122"/>
                <a:cs typeface="+mn-cs"/>
              </a:defRPr>
            </a:pPr>
          </a:p>
        </c:txPr>
        <c:crossAx val="362083609"/>
        <c:crosses val="autoZero"/>
        <c:auto val="true"/>
        <c:lblAlgn val="ctr"/>
        <c:lblOffset val="100"/>
        <c:noMultiLvlLbl val="false"/>
      </c:catAx>
      <c:valAx>
        <c:axId val="362083609"/>
        <c:scaling>
          <c:orientation val="minMax"/>
        </c:scaling>
        <c:delete val="false"/>
        <c:axPos val="l"/>
        <c:majorGridlines>
          <c:spPr>
            <a:ln w="9525" cap="flat" cmpd="sng" algn="ctr">
              <a:solidFill>
                <a:schemeClr val="bg1">
                  <a:lumMod val="95000"/>
                  <a:alpha val="13000"/>
                </a:schemeClr>
              </a:solidFill>
              <a:prstDash val="solid"/>
              <a:round/>
            </a:ln>
            <a:effectLst/>
          </c:spPr>
        </c:majorGridlines>
        <c:numFmt formatCode="0%" sourceLinked="true"/>
        <c:majorTickMark val="out"/>
        <c:minorTickMark val="none"/>
        <c:tickLblPos val="nextTo"/>
        <c:spPr>
          <a:noFill/>
          <a:ln w="6350" cap="flat" cmpd="sng" algn="ctr">
            <a:noFill/>
            <a:prstDash val="solid"/>
            <a:round/>
          </a:ln>
          <a:effectLst/>
        </c:spPr>
        <c:txPr>
          <a:bodyPr rot="-60000000" spcFirstLastPara="0" vertOverflow="ellipsis" vert="horz" wrap="square" anchor="ctr" anchorCtr="true" forceAA="false"/>
          <a:lstStyle/>
          <a:p>
            <a:pPr>
              <a:defRPr lang="zh-CN" sz="900" b="0" i="0" u="none" strike="noStrike" kern="1200" baseline="0">
                <a:solidFill>
                  <a:sysClr val="windowText" lastClr="000000">
                    <a:alpha val="68000"/>
                  </a:sysClr>
                </a:solidFill>
                <a:latin typeface="微软雅黑" panose="020B0503020204020204" charset="-122"/>
                <a:ea typeface="微软雅黑" panose="020B0503020204020204" charset="-122"/>
                <a:cs typeface="+mn-cs"/>
              </a:defRPr>
            </a:pPr>
          </a:p>
        </c:txPr>
        <c:crossAx val="552241889"/>
        <c:crosses val="autoZero"/>
        <c:crossBetween val="between"/>
      </c:valAx>
      <c:spPr>
        <a:noFill/>
        <a:ln>
          <a:solidFill>
            <a:schemeClr val="bg1">
              <a:lumMod val="95000"/>
              <a:alpha val="0"/>
            </a:schemeClr>
          </a:solidFill>
        </a:ln>
        <a:effectLst/>
      </c:spPr>
    </c:plotArea>
    <c:legend>
      <c:legendPos val="b"/>
      <c:legendEntry>
        <c:idx val="0"/>
        <c:txPr>
          <a:bodyPr rot="0" spcFirstLastPara="0" vertOverflow="ellipsis" vert="horz" wrap="square" anchor="ctr" anchorCtr="true"/>
          <a:lstStyle/>
          <a:p>
            <a:pPr>
              <a:defRPr lang="zh-CN" sz="900" b="0" i="0" u="none" strike="noStrike" kern="1200" baseline="0">
                <a:solidFill>
                  <a:sysClr val="windowText" lastClr="000000">
                    <a:alpha val="68000"/>
                  </a:sysClr>
                </a:solidFill>
                <a:latin typeface="微软雅黑" panose="020B0503020204020204" charset="-122"/>
                <a:ea typeface="微软雅黑" panose="020B0503020204020204" charset="-122"/>
                <a:cs typeface="+mn-cs"/>
              </a:defRPr>
            </a:pPr>
          </a:p>
        </c:txPr>
      </c:legendEntry>
      <c:legendEntry>
        <c:idx val="1"/>
        <c:txPr>
          <a:bodyPr rot="0" spcFirstLastPara="0" vertOverflow="ellipsis" vert="horz" wrap="square" anchor="ctr" anchorCtr="true"/>
          <a:lstStyle/>
          <a:p>
            <a:pPr>
              <a:defRPr lang="zh-CN" sz="900" b="0" i="0" u="none" strike="noStrike" kern="1200" baseline="0">
                <a:solidFill>
                  <a:sysClr val="windowText" lastClr="000000">
                    <a:alpha val="68000"/>
                  </a:sysClr>
                </a:solidFill>
                <a:latin typeface="微软雅黑" panose="020B0503020204020204" charset="-122"/>
                <a:ea typeface="微软雅黑" panose="020B0503020204020204" charset="-122"/>
                <a:cs typeface="+mn-cs"/>
              </a:defRPr>
            </a:pPr>
          </a:p>
        </c:txPr>
      </c:legendEntry>
      <c:legendEntry>
        <c:idx val="2"/>
        <c:txPr>
          <a:bodyPr rot="0" spcFirstLastPara="0" vertOverflow="ellipsis" vert="horz" wrap="square" anchor="ctr" anchorCtr="true"/>
          <a:lstStyle/>
          <a:p>
            <a:pPr>
              <a:defRPr lang="zh-CN" sz="900" b="0" i="0" u="none" strike="noStrike" kern="1200" baseline="0">
                <a:solidFill>
                  <a:sysClr val="windowText" lastClr="000000">
                    <a:alpha val="68000"/>
                  </a:sysClr>
                </a:solidFill>
                <a:latin typeface="微软雅黑" panose="020B0503020204020204" charset="-122"/>
                <a:ea typeface="微软雅黑" panose="020B0503020204020204" charset="-122"/>
                <a:cs typeface="+mn-cs"/>
              </a:defRPr>
            </a:pPr>
          </a:p>
        </c:txPr>
      </c:legendEntry>
      <c:layout/>
      <c:overlay val="false"/>
      <c:spPr>
        <a:noFill/>
        <a:ln>
          <a:noFill/>
        </a:ln>
        <a:effectLst/>
      </c:spPr>
      <c:txPr>
        <a:bodyPr rot="0" spcFirstLastPara="0" vertOverflow="ellipsis" vert="horz" wrap="square" anchor="ctr" anchorCtr="true"/>
        <a:lstStyle/>
        <a:p>
          <a:pPr>
            <a:defRPr lang="zh-CN" sz="900" b="0" i="0" u="none" strike="noStrike" kern="1200" baseline="0">
              <a:solidFill>
                <a:sysClr val="windowText" lastClr="000000">
                  <a:alpha val="68000"/>
                </a:sysClr>
              </a:solidFill>
              <a:latin typeface="微软雅黑" panose="020B0503020204020204" charset="-122"/>
              <a:ea typeface="微软雅黑" panose="020B0503020204020204" charset="-122"/>
              <a:cs typeface="+mn-cs"/>
            </a:defRPr>
          </a:pPr>
        </a:p>
      </c:txPr>
    </c:legend>
    <c:plotVisOnly val="true"/>
    <c:dispBlanksAs val="gap"/>
    <c:showDLblsOverMax val="false"/>
  </c:chart>
  <c:spPr>
    <a:noFill/>
    <a:ln w="9525" cap="flat" cmpd="sng" algn="ctr">
      <a:solidFill>
        <a:schemeClr val="tx1">
          <a:lumMod val="15000"/>
          <a:lumOff val="85000"/>
        </a:schemeClr>
      </a:solidFill>
      <a:prstDash val="solid"/>
      <a:round/>
    </a:ln>
    <a:effectLst>
      <a:outerShdw blurRad="63500" dist="37357" dir="2700000" sx="0" sy="0" rotWithShape="0">
        <a:scrgbClr r="0" g="0" b="0"/>
      </a:outerShdw>
    </a:effectLst>
  </c:spPr>
  <c:txPr>
    <a:bodyPr wrap="square"/>
    <a:lstStyle/>
    <a:p>
      <a:pPr>
        <a:defRPr lang="zh-CN">
          <a:solidFill>
            <a:schemeClr val="bg1">
              <a:alpha val="68000"/>
            </a:schemeClr>
          </a:solidFill>
          <a:latin typeface="微软雅黑" panose="020B0503020204020204" charset="-122"/>
          <a:ea typeface="微软雅黑" panose="020B0503020204020204" charset="-122"/>
        </a:defRPr>
      </a:pPr>
    </a:p>
  </c:txPr>
  <c:externalData r:id="rId1">
    <c:autoUpdate val="false"/>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true" forceAA="false"/>
          <a:lstStyle/>
          <a:p>
            <a:pPr>
              <a:defRPr lang="zh-CN" sz="1400" b="0" i="0" u="none" strike="noStrike" kern="1200" spc="0" baseline="0">
                <a:ln w="0" cmpd="sng">
                  <a:noFill/>
                  <a:prstDash val="solid"/>
                </a:ln>
                <a:solidFill>
                  <a:schemeClr val="tx1"/>
                </a:solidFill>
                <a:effectLst/>
                <a:latin typeface="微软雅黑" panose="020B0503020204020204" charset="-122"/>
                <a:ea typeface="微软雅黑" panose="020B0503020204020204" charset="-122"/>
                <a:cs typeface="微软雅黑" panose="020B0503020204020204" charset="-122"/>
                <a:sym typeface="微软雅黑" panose="020B0503020204020204" charset="-122"/>
              </a:defRPr>
            </a:pPr>
            <a:r>
              <a:rPr sz="1400">
                <a:solidFill>
                  <a:schemeClr val="tx1"/>
                </a:solidFill>
                <a:latin typeface="微软雅黑" panose="020B0503020204020204" charset="-122"/>
                <a:ea typeface="微软雅黑" panose="020B0503020204020204" charset="-122"/>
                <a:cs typeface="微软雅黑" panose="020B0503020204020204" charset="-122"/>
                <a:sym typeface="微软雅黑" panose="020B0503020204020204" charset="-122"/>
              </a:rPr>
              <a:t>图</a:t>
            </a:r>
            <a:r>
              <a:rPr lang="en-US" altLang="zh-CN" sz="1400">
                <a:solidFill>
                  <a:schemeClr val="tx1"/>
                </a:solidFill>
                <a:latin typeface="微软雅黑" panose="020B0503020204020204" charset="-122"/>
                <a:ea typeface="微软雅黑" panose="020B0503020204020204" charset="-122"/>
                <a:cs typeface="微软雅黑" panose="020B0503020204020204" charset="-122"/>
                <a:sym typeface="微软雅黑" panose="020B0503020204020204" charset="-122"/>
              </a:rPr>
              <a:t>3</a:t>
            </a:r>
            <a:r>
              <a:rPr altLang="en-US" sz="1400">
                <a:solidFill>
                  <a:schemeClr val="tx1"/>
                </a:solidFill>
                <a:latin typeface="微软雅黑" panose="020B0503020204020204" charset="-122"/>
                <a:ea typeface="微软雅黑" panose="020B0503020204020204" charset="-122"/>
                <a:cs typeface="微软雅黑" panose="020B0503020204020204" charset="-122"/>
                <a:sym typeface="微软雅黑" panose="020B0503020204020204" charset="-122"/>
              </a:rPr>
              <a:t>：近五年壤塘县民营经济增加值及增长速度</a:t>
            </a:r>
            <a:endParaRPr altLang="en-US" sz="1400">
              <a:solidFill>
                <a:schemeClr val="tx1"/>
              </a:solidFill>
              <a:latin typeface="微软雅黑" panose="020B0503020204020204" charset="-122"/>
              <a:ea typeface="微软雅黑" panose="020B0503020204020204" charset="-122"/>
              <a:cs typeface="微软雅黑" panose="020B0503020204020204" charset="-122"/>
              <a:sym typeface="微软雅黑" panose="020B0503020204020204" charset="-122"/>
            </a:endParaRPr>
          </a:p>
        </c:rich>
      </c:tx>
      <c:layout>
        <c:manualLayout>
          <c:xMode val="edge"/>
          <c:yMode val="edge"/>
          <c:x val="0.163796073027903"/>
          <c:y val="0.019875336644847"/>
        </c:manualLayout>
      </c:layout>
      <c:overlay val="false"/>
      <c:spPr>
        <a:noFill/>
        <a:ln>
          <a:noFill/>
        </a:ln>
        <a:effectLst/>
      </c:spPr>
    </c:title>
    <c:autoTitleDeleted val="false"/>
    <c:plotArea>
      <c:layout/>
      <c:barChart>
        <c:barDir val="col"/>
        <c:grouping val="clustered"/>
        <c:varyColors val="false"/>
        <c:ser>
          <c:idx val="0"/>
          <c:order val="0"/>
          <c:tx>
            <c:strRef>
              <c:f>[壤塘2023年公报制图表.xls]Sheet1!$A$5</c:f>
              <c:strCache>
                <c:ptCount val="1"/>
                <c:pt idx="0">
                  <c:v>民营经济()</c:v>
                </c:pt>
              </c:strCache>
            </c:strRef>
          </c:tx>
          <c:spPr>
            <a:blipFill rotWithShape="true">
              <a:blip xmlns:r="http://schemas.openxmlformats.org/officeDocument/2006/relationships" r:embed="rId3"/>
              <a:stretch>
                <a:fillRect/>
              </a:stretch>
            </a:blipFill>
            <a:ln>
              <a:noFill/>
            </a:ln>
            <a:effectLst>
              <a:outerShdw blurRad="76200" dir="18900000" sy="23000" kx="-1200000" algn="bl" rotWithShape="0">
                <a:prstClr val="black">
                  <a:alpha val="20000"/>
                </a:prstClr>
              </a:outerShdw>
            </a:effectLst>
          </c:spPr>
          <c:invertIfNegative val="false"/>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solidFill>
                    <a:latin typeface="+mn-lt"/>
                    <a:ea typeface="+mn-ea"/>
                    <a:cs typeface="+mn-cs"/>
                    <a:sym typeface="汉仪旗黑-55简" panose="00020600040101010101" charset="-128"/>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[壤塘2023年公报制图表.xls]Sheet1!$B$4:$F$4</c:f>
              <c:strCache>
                <c:ptCount val="5"/>
                <c:pt idx="0">
                  <c:v>2019年</c:v>
                </c:pt>
                <c:pt idx="1">
                  <c:v>2020年</c:v>
                </c:pt>
                <c:pt idx="2">
                  <c:v>2021年</c:v>
                </c:pt>
                <c:pt idx="3">
                  <c:v>2022年</c:v>
                </c:pt>
                <c:pt idx="4">
                  <c:v>2023年</c:v>
                </c:pt>
              </c:strCache>
            </c:strRef>
          </c:cat>
          <c:val>
            <c:numRef>
              <c:f>[壤塘2023年公报制图表.xls]Sheet1!$B$5:$F$5</c:f>
              <c:numCache>
                <c:formatCode>General</c:formatCode>
                <c:ptCount val="5"/>
                <c:pt idx="0">
                  <c:v>48584</c:v>
                </c:pt>
                <c:pt idx="1">
                  <c:v>50081</c:v>
                </c:pt>
                <c:pt idx="2">
                  <c:v>53783</c:v>
                </c:pt>
                <c:pt idx="3">
                  <c:v>54221</c:v>
                </c:pt>
                <c:pt idx="4">
                  <c:v>57996</c:v>
                </c:pt>
              </c:numCache>
            </c:numRef>
          </c:val>
        </c:ser>
        <c:dLbls>
          <c:showLegendKey val="false"/>
          <c:showVal val="true"/>
          <c:showCatName val="false"/>
          <c:showSerName val="false"/>
          <c:showPercent val="false"/>
          <c:showBubbleSize val="false"/>
        </c:dLbls>
        <c:gapWidth val="75"/>
        <c:overlap val="-25"/>
        <c:axId val="168976978"/>
        <c:axId val="939458901"/>
      </c:barChart>
      <c:lineChart>
        <c:grouping val="standard"/>
        <c:varyColors val="false"/>
        <c:ser>
          <c:idx val="1"/>
          <c:order val="1"/>
          <c:tx>
            <c:strRef>
              <c:f>[壤塘2023年公报制图表.xls]Sheet1!$A$6</c:f>
              <c:strCache>
                <c:ptCount val="1"/>
                <c:pt idx="0">
                  <c:v>增长速度(%)</c:v>
                </c:pt>
              </c:strCache>
            </c:strRef>
          </c:tx>
          <c:spPr>
            <a:ln w="28575" cap="rnd" cmpd="sng">
              <a:solidFill>
                <a:srgbClr val="D40CD6"/>
              </a:solidFill>
              <a:prstDash val="sysDash"/>
              <a:round/>
              <a:headEnd type="none"/>
              <a:tailEnd type="none"/>
            </a:ln>
            <a:effectLst>
              <a:outerShdw blurRad="76200" dir="18900000" sy="23000" kx="-1200000" algn="bl" rotWithShape="0">
                <a:prstClr val="black">
                  <a:alpha val="20000"/>
                </a:prstClr>
              </a:outerShdw>
            </a:effectLst>
            <a:sp3d contourW="28575"/>
          </c:spPr>
          <c:marker>
            <c:symbol val="circle"/>
            <c:size val="5"/>
            <c:spPr>
              <a:solidFill>
                <a:srgbClr val="D40CD6"/>
              </a:solidFill>
              <a:ln w="9525">
                <a:solidFill>
                  <a:srgbClr val="D40CD6"/>
                </a:solidFill>
              </a:ln>
              <a:effectLst/>
            </c:spPr>
          </c:marker>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solidFill>
                    <a:latin typeface="+mn-lt"/>
                    <a:ea typeface="+mn-ea"/>
                    <a:cs typeface="+mn-cs"/>
                    <a:sym typeface="汉仪旗黑-55简" panose="00020600040101010101" charset="-128"/>
                  </a:defRPr>
                </a:pPr>
              </a:p>
            </c:txPr>
            <c:dLblPos val="r"/>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[壤塘2023年公报制图表.xls]Sheet1!$B$4:$F$4</c:f>
              <c:strCache>
                <c:ptCount val="5"/>
                <c:pt idx="0">
                  <c:v>2019年</c:v>
                </c:pt>
                <c:pt idx="1">
                  <c:v>2020年</c:v>
                </c:pt>
                <c:pt idx="2">
                  <c:v>2021年</c:v>
                </c:pt>
                <c:pt idx="3">
                  <c:v>2022年</c:v>
                </c:pt>
                <c:pt idx="4">
                  <c:v>2023年</c:v>
                </c:pt>
              </c:strCache>
            </c:strRef>
          </c:cat>
          <c:val>
            <c:numRef>
              <c:f>[壤塘2023年公报制图表.xls]Sheet1!$B$6:$F$6</c:f>
              <c:numCache>
                <c:formatCode>General</c:formatCode>
                <c:ptCount val="5"/>
                <c:pt idx="0">
                  <c:v>5.3</c:v>
                </c:pt>
                <c:pt idx="1">
                  <c:v>0.3</c:v>
                </c:pt>
                <c:pt idx="2">
                  <c:v>6</c:v>
                </c:pt>
                <c:pt idx="3">
                  <c:v>0.9</c:v>
                </c:pt>
                <c:pt idx="4">
                  <c:v>6.4</c:v>
                </c:pt>
              </c:numCache>
            </c:numRef>
          </c:val>
          <c:smooth val="false"/>
        </c:ser>
        <c:dLbls>
          <c:showLegendKey val="false"/>
          <c:showVal val="true"/>
          <c:showCatName val="false"/>
          <c:showSerName val="false"/>
          <c:showPercent val="false"/>
          <c:showBubbleSize val="false"/>
        </c:dLbls>
        <c:marker val="true"/>
        <c:smooth val="false"/>
        <c:axId val="602630331"/>
        <c:axId val="783163985"/>
      </c:lineChart>
      <c:catAx>
        <c:axId val="168976978"/>
        <c:scaling>
          <c:orientation val="minMax"/>
        </c:scaling>
        <c:delete val="false"/>
        <c:axPos val="b"/>
        <c:numFmt formatCode="General" sourceLinked="true"/>
        <c:majorTickMark val="none"/>
        <c:minorTickMark val="none"/>
        <c:tickLblPos val="nextTo"/>
        <c:spPr>
          <a:noFill/>
          <a:ln w="9525" cap="flat" cmpd="sng" algn="ctr">
            <a:solidFill>
              <a:srgbClr val="7A7A7A"/>
            </a:solidFill>
            <a:round/>
          </a:ln>
          <a:effectLst/>
        </c:spPr>
        <c:txPr>
          <a:bodyPr rot="-60000000" spcFirstLastPara="0" vertOverflow="ellipsis" vert="horz" wrap="square" anchor="ctr" anchorCtr="true" forceAA="false"/>
          <a:lstStyle/>
          <a:p>
            <a:pPr>
              <a:defRPr lang="zh-CN" sz="900" b="0" i="0" u="none" strike="noStrike" kern="1200" cap="none" spc="0" normalizeH="0" baseline="0">
                <a:solidFill>
                  <a:schemeClr val="tx1"/>
                </a:solidFill>
                <a:uFill>
                  <a:solidFill>
                    <a:schemeClr val="tx1">
                      <a:lumMod val="65000"/>
                      <a:lumOff val="35000"/>
                    </a:schemeClr>
                  </a:solidFill>
                </a:uFill>
                <a:latin typeface="+mn-lt"/>
                <a:ea typeface="+mn-ea"/>
                <a:cs typeface="+mn-cs"/>
                <a:sym typeface="汉仪旗黑-55简" panose="00020600040101010101" charset="-128"/>
              </a:defRPr>
            </a:pPr>
          </a:p>
        </c:txPr>
        <c:crossAx val="939458901"/>
        <c:crosses val="autoZero"/>
        <c:auto val="true"/>
        <c:lblAlgn val="ctr"/>
        <c:lblOffset val="100"/>
        <c:noMultiLvlLbl val="false"/>
      </c:catAx>
      <c:valAx>
        <c:axId val="939458901"/>
        <c:scaling>
          <c:orientation val="minMax"/>
        </c:scaling>
        <c:delete val="false"/>
        <c:axPos val="l"/>
        <c:majorGridlines>
          <c:spPr>
            <a:ln w="0" cap="flat" cmpd="sng" algn="ctr">
              <a:solidFill>
                <a:sysClr val="window" lastClr="FFFFFF">
                  <a:lumMod val="85000"/>
                </a:sysClr>
              </a:solidFill>
              <a:prstDash val="solid"/>
              <a:round/>
            </a:ln>
            <a:effectLst/>
          </c:spPr>
        </c:majorGridlines>
        <c:numFmt formatCode="General" sourceLinked="true"/>
        <c:majorTickMark val="none"/>
        <c:minorTickMark val="none"/>
        <c:tickLblPos val="nextTo"/>
        <c:spPr>
          <a:noFill/>
          <a:ln>
            <a:noFill/>
          </a:ln>
          <a:effectLst/>
        </c:spPr>
        <c:txPr>
          <a:bodyPr rot="-60000000" spcFirstLastPara="0" vertOverflow="ellipsis" vert="horz" wrap="square" anchor="ctr" anchorCtr="true" forceAA="false"/>
          <a:lstStyle/>
          <a:p>
            <a:pPr>
              <a:defRPr lang="zh-CN" sz="900" b="0" i="0" u="none" strike="noStrike" kern="1200" baseline="0">
                <a:solidFill>
                  <a:schemeClr val="tx1"/>
                </a:solidFill>
                <a:latin typeface="+mn-lt"/>
                <a:ea typeface="+mn-ea"/>
                <a:cs typeface="+mn-cs"/>
                <a:sym typeface="汉仪旗黑-55简" panose="00020600040101010101" charset="-128"/>
              </a:defRPr>
            </a:pPr>
          </a:p>
        </c:txPr>
        <c:crossAx val="168976978"/>
        <c:crosses val="autoZero"/>
        <c:crossBetween val="between"/>
      </c:valAx>
      <c:catAx>
        <c:axId val="602630331"/>
        <c:scaling>
          <c:orientation val="minMax"/>
        </c:scaling>
        <c:delete val="true"/>
        <c:axPos val="b"/>
        <c:majorTickMark val="none"/>
        <c:minorTickMark val="none"/>
        <c:tickLblPos val="nextTo"/>
        <c:txPr>
          <a:bodyPr rot="-60000000" spcFirstLastPara="0" vertOverflow="ellipsis" vert="horz" wrap="square" anchor="ctr" anchorCtr="true"/>
          <a:lstStyle/>
          <a:p>
            <a:pPr>
              <a:defRPr lang="zh-CN" sz="900" b="0" i="0" u="none" strike="noStrike" kern="1200" baseline="0">
                <a:solidFill>
                  <a:schemeClr val="tx1"/>
                </a:solidFill>
                <a:latin typeface="+mn-lt"/>
                <a:ea typeface="+mn-ea"/>
                <a:cs typeface="+mn-cs"/>
                <a:sym typeface="汉仪旗黑-55简" panose="00020600040101010101" charset="-128"/>
              </a:defRPr>
            </a:pPr>
          </a:p>
        </c:txPr>
        <c:crossAx val="783163985"/>
        <c:crosses val="autoZero"/>
        <c:auto val="true"/>
        <c:lblAlgn val="ctr"/>
        <c:lblOffset val="100"/>
        <c:noMultiLvlLbl val="false"/>
      </c:catAx>
      <c:valAx>
        <c:axId val="783163985"/>
        <c:scaling>
          <c:orientation val="minMax"/>
        </c:scaling>
        <c:delete val="false"/>
        <c:axPos val="r"/>
        <c:numFmt formatCode="General" sourceLinked="true"/>
        <c:majorTickMark val="none"/>
        <c:minorTickMark val="none"/>
        <c:tickLblPos val="nextTo"/>
        <c:spPr>
          <a:noFill/>
          <a:ln>
            <a:noFill/>
          </a:ln>
          <a:effectLst/>
        </c:spPr>
        <c:txPr>
          <a:bodyPr rot="-60000000" spcFirstLastPara="0" vertOverflow="ellipsis" vert="horz" wrap="square" anchor="ctr" anchorCtr="true"/>
          <a:lstStyle/>
          <a:p>
            <a:pPr>
              <a:defRPr lang="zh-CN" sz="900" b="0" i="0" u="none" strike="noStrike" kern="1200" baseline="0">
                <a:solidFill>
                  <a:schemeClr val="tx1"/>
                </a:solidFill>
                <a:latin typeface="+mn-lt"/>
                <a:ea typeface="+mn-ea"/>
                <a:cs typeface="+mn-cs"/>
                <a:sym typeface="汉仪旗黑-55简" panose="00020600040101010101" charset="-128"/>
              </a:defRPr>
            </a:pPr>
          </a:p>
        </c:txPr>
        <c:crossAx val="602630331"/>
        <c:crosses val="max"/>
        <c:crossBetween val="between"/>
      </c:valAx>
      <c:spPr>
        <a:noFill/>
        <a:ln>
          <a:noFill/>
        </a:ln>
        <a:effectLst/>
      </c:spPr>
    </c:plotArea>
    <c:legend>
      <c:legendPos val="b"/>
      <c:legendEntry>
        <c:idx val="0"/>
        <c:txPr>
          <a:bodyPr rot="0" spcFirstLastPara="0" vertOverflow="ellipsis" vert="horz" wrap="square" anchor="ctr" anchorCtr="true"/>
          <a:lstStyle/>
          <a:p>
            <a:pPr>
              <a:defRPr lang="zh-CN" sz="900" b="0" i="0" u="none" strike="noStrike" kern="1200" cap="none" spc="0" normalizeH="0" baseline="0">
                <a:solidFill>
                  <a:schemeClr val="tx1"/>
                </a:solidFill>
                <a:uFill>
                  <a:solidFill>
                    <a:schemeClr val="tx1">
                      <a:lumMod val="65000"/>
                      <a:lumOff val="35000"/>
                    </a:schemeClr>
                  </a:solidFill>
                </a:uFill>
                <a:latin typeface="+mn-lt"/>
                <a:ea typeface="+mn-ea"/>
                <a:cs typeface="+mn-cs"/>
                <a:sym typeface="汉仪旗黑-55简" panose="00020600040101010101" charset="-128"/>
              </a:defRPr>
            </a:pPr>
          </a:p>
        </c:txPr>
      </c:legendEntry>
      <c:legendEntry>
        <c:idx val="1"/>
        <c:txPr>
          <a:bodyPr rot="0" spcFirstLastPara="0" vertOverflow="ellipsis" vert="horz" wrap="square" anchor="ctr" anchorCtr="true"/>
          <a:lstStyle/>
          <a:p>
            <a:pPr>
              <a:defRPr lang="zh-CN" sz="900" b="0" i="0" u="none" strike="noStrike" kern="1200" cap="none" spc="0" normalizeH="0" baseline="0">
                <a:solidFill>
                  <a:schemeClr val="tx1"/>
                </a:solidFill>
                <a:uFill>
                  <a:solidFill>
                    <a:schemeClr val="tx1">
                      <a:lumMod val="65000"/>
                      <a:lumOff val="35000"/>
                    </a:schemeClr>
                  </a:solidFill>
                </a:uFill>
                <a:latin typeface="+mn-lt"/>
                <a:ea typeface="+mn-ea"/>
                <a:cs typeface="+mn-cs"/>
                <a:sym typeface="汉仪旗黑-55简" panose="00020600040101010101" charset="-128"/>
              </a:defRPr>
            </a:pPr>
          </a:p>
        </c:txPr>
      </c:legendEntry>
      <c:layout/>
      <c:overlay val="false"/>
      <c:spPr>
        <a:noFill/>
        <a:ln>
          <a:noFill/>
        </a:ln>
        <a:effectLst/>
      </c:spPr>
      <c:txPr>
        <a:bodyPr rot="0" spcFirstLastPara="0" vertOverflow="ellipsis" vert="horz" wrap="square" anchor="ctr" anchorCtr="true" forceAA="false"/>
        <a:lstStyle/>
        <a:p>
          <a:pPr>
            <a:defRPr lang="zh-CN" sz="900" b="0" i="0" u="none" strike="noStrike" kern="1200" cap="none" spc="0" normalizeH="0" baseline="0">
              <a:solidFill>
                <a:schemeClr val="tx1"/>
              </a:solidFill>
              <a:uFill>
                <a:solidFill>
                  <a:schemeClr val="tx1">
                    <a:lumMod val="65000"/>
                    <a:lumOff val="35000"/>
                  </a:schemeClr>
                </a:solidFill>
              </a:uFill>
              <a:latin typeface="+mn-lt"/>
              <a:ea typeface="+mn-ea"/>
              <a:cs typeface="+mn-cs"/>
              <a:sym typeface="汉仪旗黑-55简" panose="00020600040101010101" charset="-128"/>
            </a:defRPr>
          </a:pPr>
        </a:p>
      </c:txPr>
    </c:legend>
    <c:plotVisOnly val="true"/>
    <c:dispBlanksAs val="gap"/>
    <c:showDLblsOverMax val="false"/>
  </c:chart>
  <c:spPr>
    <a:noFill/>
    <a:ln w="25400" cap="flat" cmpd="sng" algn="ctr">
      <a:noFill/>
      <a:prstDash val="solid"/>
      <a:round/>
    </a:ln>
    <a:effectLst/>
    <a:sp3d>
      <a:extrusionClr>
        <a:srgbClr val="FFFFFF"/>
      </a:extrusionClr>
      <a:contourClr>
        <a:srgbClr val="FFFFFF"/>
      </a:contourClr>
    </a:sp3d>
  </c:spPr>
  <c:txPr>
    <a:bodyPr/>
    <a:lstStyle/>
    <a:p>
      <a:pPr>
        <a:defRPr lang="zh-CN">
          <a:solidFill>
            <a:schemeClr val="tx1"/>
          </a:solidFill>
          <a:latin typeface="+mn-lt"/>
          <a:ea typeface="+mn-ea"/>
          <a:cs typeface="+mn-cs"/>
          <a:sym typeface="汉仪旗黑-55简" panose="00020600040101010101" charset="-128"/>
        </a:defRPr>
      </a:pPr>
    </a:p>
  </c:txPr>
  <c:externalData r:id="rId1">
    <c:autoUpdate val="false"/>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true" forceAA="false"/>
          <a:lstStyle/>
          <a:p>
            <a:pPr>
              <a:defRPr lang="zh-CN" sz="1400" b="0" i="0" u="none" strike="noStrike" kern="1200" spc="0" baseline="0">
                <a:solidFill>
                  <a:sysClr val="windowText" lastClr="000000"/>
                </a:solidFill>
                <a:latin typeface="+mn-lt"/>
                <a:ea typeface="+mn-ea"/>
                <a:cs typeface="+mn-cs"/>
              </a:defRPr>
            </a:pPr>
            <a:r>
              <a:rPr>
                <a:solidFill>
                  <a:sysClr val="windowText" lastClr="000000"/>
                </a:solidFill>
              </a:rPr>
              <a:t>图</a:t>
            </a:r>
            <a:r>
              <a:rPr lang="en-US" altLang="zh-CN">
                <a:solidFill>
                  <a:sysClr val="windowText" lastClr="000000"/>
                </a:solidFill>
              </a:rPr>
              <a:t>4</a:t>
            </a:r>
            <a:r>
              <a:rPr altLang="en-US">
                <a:solidFill>
                  <a:sysClr val="windowText" lastClr="000000"/>
                </a:solidFill>
              </a:rPr>
              <a:t>：近五年壤塘县农林牧渔业总产值及增长速度</a:t>
            </a:r>
            <a:endParaRPr altLang="en-US">
              <a:solidFill>
                <a:sysClr val="windowText" lastClr="000000"/>
              </a:solidFill>
            </a:endParaRPr>
          </a:p>
        </c:rich>
      </c:tx>
      <c:layout/>
      <c:overlay val="false"/>
      <c:spPr>
        <a:noFill/>
        <a:ln>
          <a:noFill/>
        </a:ln>
        <a:effectLst/>
      </c:spPr>
    </c:title>
    <c:autoTitleDeleted val="false"/>
    <c:plotArea>
      <c:layout/>
      <c:barChart>
        <c:barDir val="col"/>
        <c:grouping val="clustered"/>
        <c:varyColors val="false"/>
        <c:ser>
          <c:idx val="0"/>
          <c:order val="0"/>
          <c:tx>
            <c:strRef>
              <c:f>[壤塘2023年公报制图表.xls]Sheet1!$A$77</c:f>
              <c:strCache>
                <c:ptCount val="1"/>
                <c:pt idx="0">
                  <c:v>农林牧渔业总产值(万元)</c:v>
                </c:pt>
              </c:strCache>
            </c:strRef>
          </c:tx>
          <c:spPr>
            <a:blipFill rotWithShape="true">
              <a:blip xmlns:r="http://schemas.openxmlformats.org/officeDocument/2006/relationships" r:embed="rId3">
                <a:duotone>
                  <a:schemeClr val="accent1">
                    <a:shade val="45000"/>
                    <a:satMod val="135000"/>
                  </a:schemeClr>
                  <a:prstClr val="white"/>
                </a:duotone>
              </a:blip>
              <a:stretch>
                <a:fillRect/>
              </a:stretch>
            </a:blipFill>
            <a:ln>
              <a:noFill/>
            </a:ln>
            <a:effectLst>
              <a:outerShdw blurRad="38100" dir="18900000" sy="23000" kx="-1200000" algn="bl" rotWithShape="0">
                <a:prstClr val="black">
                  <a:alpha val="20000"/>
                </a:prstClr>
              </a:outerShdw>
            </a:effectLst>
          </c:spPr>
          <c:invertIfNegative val="false"/>
          <c:dLbls>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ysClr val="windowText" lastClr="000000"/>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ext>
            </c:extLst>
          </c:dLbls>
          <c:cat>
            <c:strRef>
              <c:f>[壤塘2023年公报制图表.xls]Sheet1!$B$76:$F$76</c:f>
              <c:strCache>
                <c:ptCount val="5"/>
                <c:pt idx="0">
                  <c:v>2019年</c:v>
                </c:pt>
                <c:pt idx="1">
                  <c:v>2020年</c:v>
                </c:pt>
                <c:pt idx="2">
                  <c:v>2021年</c:v>
                </c:pt>
                <c:pt idx="3">
                  <c:v>2022年</c:v>
                </c:pt>
                <c:pt idx="4">
                  <c:v>2023年</c:v>
                </c:pt>
              </c:strCache>
            </c:strRef>
          </c:cat>
          <c:val>
            <c:numRef>
              <c:f>[壤塘2023年公报制图表.xls]Sheet1!$B$77:$F$77</c:f>
              <c:numCache>
                <c:formatCode>General</c:formatCode>
                <c:ptCount val="5"/>
                <c:pt idx="0">
                  <c:v>49055</c:v>
                </c:pt>
                <c:pt idx="1">
                  <c:v>63630</c:v>
                </c:pt>
                <c:pt idx="2">
                  <c:v>69637</c:v>
                </c:pt>
                <c:pt idx="3">
                  <c:v>70270</c:v>
                </c:pt>
                <c:pt idx="4">
                  <c:v>76175</c:v>
                </c:pt>
              </c:numCache>
            </c:numRef>
          </c:val>
        </c:ser>
        <c:dLbls>
          <c:showLegendKey val="false"/>
          <c:showVal val="true"/>
          <c:showCatName val="false"/>
          <c:showSerName val="false"/>
          <c:showPercent val="false"/>
          <c:showBubbleSize val="false"/>
        </c:dLbls>
        <c:gapWidth val="75"/>
        <c:overlap val="-25"/>
        <c:axId val="267937229"/>
        <c:axId val="989421024"/>
      </c:barChart>
      <c:lineChart>
        <c:grouping val="stacked"/>
        <c:varyColors val="false"/>
        <c:ser>
          <c:idx val="1"/>
          <c:order val="1"/>
          <c:tx>
            <c:strRef>
              <c:f>[壤塘2023年公报制图表.xls]Sheet1!$A$78</c:f>
              <c:strCache>
                <c:ptCount val="1"/>
                <c:pt idx="0">
                  <c:v>增长速度(%)</c:v>
                </c:pt>
              </c:strCache>
            </c:strRef>
          </c:tx>
          <c:spPr>
            <a:effectLst>
              <a:outerShdw blurRad="38100" dir="18900000" sy="23000" kx="-1200000" algn="bl" rotWithShape="0">
                <a:prstClr val="black">
                  <a:alpha val="20000"/>
                </a:prstClr>
              </a:outerShdw>
            </a:effectLst>
          </c:spPr>
          <c:dLbls>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ysClr val="windowText" lastClr="000000"/>
                    </a:solidFill>
                    <a:latin typeface="+mn-lt"/>
                    <a:ea typeface="+mn-ea"/>
                    <a:cs typeface="+mn-cs"/>
                  </a:defRPr>
                </a:pPr>
              </a:p>
            </c:txPr>
            <c:dLblPos val="r"/>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ext>
            </c:extLst>
          </c:dLbls>
          <c:cat>
            <c:strRef>
              <c:f>[壤塘2023年公报制图表.xls]Sheet1!$B$76:$F$76</c:f>
              <c:strCache>
                <c:ptCount val="5"/>
                <c:pt idx="0">
                  <c:v>2019年</c:v>
                </c:pt>
                <c:pt idx="1">
                  <c:v>2020年</c:v>
                </c:pt>
                <c:pt idx="2">
                  <c:v>2021年</c:v>
                </c:pt>
                <c:pt idx="3">
                  <c:v>2022年</c:v>
                </c:pt>
                <c:pt idx="4">
                  <c:v>2023年</c:v>
                </c:pt>
              </c:strCache>
            </c:strRef>
          </c:cat>
          <c:val>
            <c:numRef>
              <c:f>[壤塘2023年公报制图表.xls]Sheet1!$B$78:$F$78</c:f>
              <c:numCache>
                <c:formatCode>General</c:formatCode>
                <c:ptCount val="5"/>
                <c:pt idx="0">
                  <c:v>4.3</c:v>
                </c:pt>
                <c:pt idx="1">
                  <c:v>4.7</c:v>
                </c:pt>
                <c:pt idx="2">
                  <c:v>7.5</c:v>
                </c:pt>
                <c:pt idx="3">
                  <c:v>3.7</c:v>
                </c:pt>
                <c:pt idx="4">
                  <c:v>12.6</c:v>
                </c:pt>
              </c:numCache>
            </c:numRef>
          </c:val>
          <c:smooth val="false"/>
        </c:ser>
        <c:dLbls>
          <c:showLegendKey val="false"/>
          <c:showVal val="true"/>
          <c:showCatName val="false"/>
          <c:showSerName val="false"/>
          <c:showPercent val="false"/>
          <c:showBubbleSize val="false"/>
        </c:dLbls>
        <c:marker val="true"/>
        <c:smooth val="false"/>
        <c:axId val="737438111"/>
        <c:axId val="815109788"/>
      </c:lineChart>
      <c:catAx>
        <c:axId val="267937229"/>
        <c:scaling>
          <c:orientation val="minMax"/>
        </c:scaling>
        <c:delete val="false"/>
        <c:axPos val="b"/>
        <c:numFmt formatCode="General" sourceLinked="true"/>
        <c:majorTickMark val="none"/>
        <c:minorTickMark val="none"/>
        <c:tickLblPos val="nextTo"/>
        <c:spPr>
          <a:noFill/>
          <a:ln w="6350" cap="flat" cmpd="sng" algn="ctr">
            <a:solidFill>
              <a:schemeClr val="tx1">
                <a:lumMod val="50000"/>
                <a:lumOff val="50000"/>
                <a:alpha val="25000"/>
              </a:schemeClr>
            </a:solidFill>
            <a:prstDash val="solid"/>
            <a:round/>
          </a:ln>
          <a:effectLst/>
        </c:spPr>
        <c:txPr>
          <a:bodyPr rot="-60000000" spcFirstLastPara="0" vertOverflow="ellipsis" vert="horz" wrap="square" anchor="ctr" anchorCtr="true" forceAA="false"/>
          <a:lstStyle/>
          <a:p>
            <a:pPr>
              <a:defRPr lang="zh-CN" sz="900" b="0" i="0" u="none" strike="noStrike" kern="1200" baseline="0">
                <a:solidFill>
                  <a:sysClr val="windowText" lastClr="000000"/>
                </a:solidFill>
                <a:latin typeface="+mn-lt"/>
                <a:ea typeface="+mn-ea"/>
                <a:cs typeface="+mn-cs"/>
              </a:defRPr>
            </a:pPr>
          </a:p>
        </c:txPr>
        <c:crossAx val="989421024"/>
        <c:crosses val="autoZero"/>
        <c:auto val="true"/>
        <c:lblAlgn val="ctr"/>
        <c:lblOffset val="100"/>
        <c:noMultiLvlLbl val="false"/>
      </c:catAx>
      <c:valAx>
        <c:axId val="989421024"/>
        <c:scaling>
          <c:orientation val="minMax"/>
        </c:scaling>
        <c:delete val="false"/>
        <c:axPos val="l"/>
        <c:majorGridlines>
          <c:spPr>
            <a:ln w="6350" cap="flat" cmpd="sng" algn="ctr">
              <a:noFill/>
              <a:prstDash val="solid"/>
              <a:round/>
            </a:ln>
          </c:spPr>
        </c:majorGridlines>
        <c:numFmt formatCode="General" sourceLinked="true"/>
        <c:majorTickMark val="none"/>
        <c:minorTickMark val="none"/>
        <c:tickLblPos val="nextTo"/>
        <c:txPr>
          <a:bodyPr rot="-60000000" spcFirstLastPara="0" vertOverflow="ellipsis" vert="horz" wrap="square" anchor="ctr" anchorCtr="true"/>
          <a:lstStyle/>
          <a:p>
            <a:pPr>
              <a:defRPr lang="zh-CN" sz="1000" b="0" i="0" u="none" strike="noStrike" kern="1200" baseline="0">
                <a:solidFill>
                  <a:sysClr val="windowText" lastClr="000000"/>
                </a:solidFill>
                <a:latin typeface="+mn-lt"/>
                <a:ea typeface="+mn-ea"/>
                <a:cs typeface="+mn-cs"/>
              </a:defRPr>
            </a:pPr>
          </a:p>
        </c:txPr>
        <c:crossAx val="267937229"/>
        <c:crosses val="autoZero"/>
        <c:crossBetween val="between"/>
      </c:valAx>
      <c:catAx>
        <c:axId val="737438111"/>
        <c:scaling>
          <c:orientation val="minMax"/>
        </c:scaling>
        <c:delete val="true"/>
        <c:axPos val="b"/>
        <c:majorTickMark val="none"/>
        <c:minorTickMark val="none"/>
        <c:tickLblPos val="nextTo"/>
        <c:txPr>
          <a:bodyPr rot="-6000000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crossAx val="815109788"/>
        <c:crosses val="autoZero"/>
        <c:auto val="true"/>
        <c:lblAlgn val="ctr"/>
        <c:lblOffset val="100"/>
        <c:noMultiLvlLbl val="false"/>
      </c:catAx>
      <c:valAx>
        <c:axId val="815109788"/>
        <c:scaling>
          <c:orientation val="minMax"/>
        </c:scaling>
        <c:delete val="false"/>
        <c:axPos val="r"/>
        <c:numFmt formatCode="General" sourceLinked="true"/>
        <c:majorTickMark val="none"/>
        <c:minorTickMark val="none"/>
        <c:tickLblPos val="nextTo"/>
        <c:txPr>
          <a:bodyPr rot="-60000000" spcFirstLastPara="0" vertOverflow="ellipsis" vert="horz" wrap="square" anchor="ctr" anchorCtr="true"/>
          <a:lstStyle/>
          <a:p>
            <a:pPr>
              <a:defRPr lang="zh-CN" sz="1000" b="0" i="0" u="none" strike="noStrike" kern="1200" baseline="0">
                <a:solidFill>
                  <a:sysClr val="windowText" lastClr="000000"/>
                </a:solidFill>
                <a:latin typeface="+mn-lt"/>
                <a:ea typeface="+mn-ea"/>
                <a:cs typeface="+mn-cs"/>
              </a:defRPr>
            </a:pPr>
          </a:p>
        </c:txPr>
        <c:crossAx val="737438111"/>
        <c:crosses val="max"/>
        <c:crossBetween val="between"/>
      </c:valAx>
      <c:spPr>
        <a:noFill/>
        <a:ln>
          <a:noFill/>
        </a:ln>
        <a:effectLst/>
      </c:spPr>
    </c:plotArea>
    <c:legend>
      <c:legendPos val="b"/>
      <c:legendEntry>
        <c:idx val="0"/>
        <c:txPr>
          <a:bodyPr rot="0" spcFirstLastPara="0" vertOverflow="ellipsis" vert="horz" wrap="square" anchor="ctr" anchorCtr="true"/>
          <a:lstStyle/>
          <a:p>
            <a:pPr>
              <a:defRPr lang="zh-CN" sz="900" b="0" i="0" u="none" strike="noStrike" kern="1200" baseline="0">
                <a:solidFill>
                  <a:sysClr val="windowText" lastClr="000000"/>
                </a:solidFill>
                <a:latin typeface="+mn-lt"/>
                <a:ea typeface="+mn-ea"/>
                <a:cs typeface="+mn-cs"/>
              </a:defRPr>
            </a:pPr>
          </a:p>
        </c:txPr>
      </c:legendEntry>
      <c:legendEntry>
        <c:idx val="1"/>
        <c:txPr>
          <a:bodyPr rot="0" spcFirstLastPara="0" vertOverflow="ellipsis" vert="horz" wrap="square" anchor="ctr" anchorCtr="true"/>
          <a:lstStyle/>
          <a:p>
            <a:pPr>
              <a:defRPr lang="zh-CN" sz="900" b="0" i="0" u="none" strike="noStrike" kern="1200" baseline="0">
                <a:solidFill>
                  <a:sysClr val="windowText" lastClr="000000"/>
                </a:solidFill>
                <a:latin typeface="+mn-lt"/>
                <a:ea typeface="+mn-ea"/>
                <a:cs typeface="+mn-cs"/>
              </a:defRPr>
            </a:pPr>
          </a:p>
        </c:txPr>
      </c:legendEntry>
      <c:layout/>
      <c:overlay val="false"/>
      <c:spPr>
        <a:noFill/>
        <a:ln>
          <a:noFill/>
        </a:ln>
        <a:effectLst/>
      </c:spPr>
      <c:txPr>
        <a:bodyPr rot="0" spcFirstLastPara="0" vertOverflow="ellipsis" vert="horz" wrap="square" anchor="ctr" anchorCtr="true" forceAA="false"/>
        <a:lstStyle/>
        <a:p>
          <a:pPr>
            <a:defRPr lang="zh-CN" sz="900" b="0" i="0" u="none" strike="noStrike" kern="1200" baseline="0">
              <a:solidFill>
                <a:sysClr val="windowText" lastClr="000000"/>
              </a:solidFill>
              <a:latin typeface="+mn-lt"/>
              <a:ea typeface="+mn-ea"/>
              <a:cs typeface="+mn-cs"/>
            </a:defRPr>
          </a:pPr>
        </a:p>
      </c:txPr>
    </c:legend>
    <c:plotVisOnly val="true"/>
    <c:dispBlanksAs val="gap"/>
    <c:showDLblsOverMax val="false"/>
  </c:chart>
  <c:spPr>
    <a:solidFill>
      <a:schemeClr val="bg1"/>
    </a:solidFill>
    <a:ln w="6350" cap="flat" cmpd="sng" algn="ctr">
      <a:noFill/>
      <a:prstDash val="solid"/>
      <a:round/>
    </a:ln>
    <a:effectLst>
      <a:outerShdw blurRad="63500" dist="37357" dir="2700000" sx="0" sy="0" rotWithShape="0">
        <a:scrgbClr r="0" g="0" b="0"/>
      </a:outerShdw>
    </a:effectLst>
  </c:spPr>
  <c:txPr>
    <a:bodyPr/>
    <a:lstStyle/>
    <a:p>
      <a:pPr>
        <a:defRPr lang="zh-CN"/>
      </a:pPr>
    </a:p>
  </c:txPr>
  <c:externalData r:id="rId1">
    <c:autoUpdate val="false"/>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true" forceAA="false"/>
          <a:lstStyle/>
          <a:p>
            <a:pPr>
              <a:defRPr lang="zh-CN" sz="1400" b="0" i="0" u="none" strike="noStrike" kern="1200" spc="0" baseline="0">
                <a:solidFill>
                  <a:schemeClr val="tx1"/>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rPr sz="1400" b="0" i="0" u="none" strike="noStrike" baseline="0">
                <a:solidFill>
                  <a:srgbClr val="000000"/>
                </a:solidFill>
                <a:latin typeface="微软雅黑" panose="020B0503020204020204" charset="-122"/>
                <a:ea typeface="微软雅黑" panose="020B0503020204020204" charset="-122"/>
                <a:cs typeface="微软雅黑" panose="020B0503020204020204" charset="-122"/>
                <a:sym typeface="微软雅黑" panose="020B0503020204020204" charset="-122"/>
              </a:rPr>
              <a:t>图</a:t>
            </a:r>
            <a:r>
              <a:rPr lang="en-US" altLang="zh-CN" sz="1400" b="0" i="0" u="none" strike="noStrike" baseline="0">
                <a:solidFill>
                  <a:srgbClr val="000000"/>
                </a:solidFill>
                <a:latin typeface="微软雅黑" panose="020B0503020204020204" charset="-122"/>
                <a:ea typeface="微软雅黑" panose="020B0503020204020204" charset="-122"/>
                <a:cs typeface="微软雅黑" panose="020B0503020204020204" charset="-122"/>
                <a:sym typeface="微软雅黑" panose="020B0503020204020204" charset="-122"/>
              </a:rPr>
              <a:t>5</a:t>
            </a:r>
            <a:r>
              <a:rPr altLang="en-US" sz="1400" b="0" i="0" u="none" strike="noStrike" baseline="0">
                <a:solidFill>
                  <a:srgbClr val="000000"/>
                </a:solidFill>
                <a:latin typeface="微软雅黑" panose="020B0503020204020204" charset="-122"/>
                <a:ea typeface="微软雅黑" panose="020B0503020204020204" charset="-122"/>
                <a:cs typeface="微软雅黑" panose="020B0503020204020204" charset="-122"/>
                <a:sym typeface="微软雅黑" panose="020B0503020204020204" charset="-122"/>
              </a:rPr>
              <a:t>：近五年壤塘县固定资产投资增长速度</a:t>
            </a:r>
            <a:endParaRPr altLang="en-US" sz="1100" b="0" i="0" u="none" strike="noStrike" baseline="0">
              <a:solidFill>
                <a:srgbClr val="000000"/>
              </a:solidFill>
              <a:latin typeface="微软雅黑" panose="020B0503020204020204" charset="-122"/>
              <a:ea typeface="微软雅黑" panose="020B0503020204020204" charset="-122"/>
              <a:cs typeface="微软雅黑" panose="020B0503020204020204" charset="-122"/>
              <a:sym typeface="微软雅黑" panose="020B0503020204020204" charset="-122"/>
            </a:endParaRPr>
          </a:p>
        </c:rich>
      </c:tx>
      <c:layout/>
      <c:overlay val="false"/>
      <c:spPr>
        <a:noFill/>
        <a:ln>
          <a:noFill/>
        </a:ln>
        <a:effectLst/>
      </c:spPr>
    </c:title>
    <c:autoTitleDeleted val="false"/>
    <c:plotArea>
      <c:layout/>
      <c:lineChart>
        <c:grouping val="standard"/>
        <c:varyColors val="false"/>
        <c:ser>
          <c:idx val="0"/>
          <c:order val="0"/>
          <c:tx>
            <c:strRef>
              <c:f>[壤塘2023年公报制图表.xls]Sheet1!$A$54</c:f>
              <c:strCache>
                <c:ptCount val="1"/>
                <c:pt idx="0">
                  <c:v>增长速度(%)</c:v>
                </c:pt>
              </c:strCache>
            </c:strRef>
          </c:tx>
          <c:spPr>
            <a:ln w="12700" cap="rnd" cmpd="sng" algn="ctr">
              <a:solidFill>
                <a:srgbClr val="D40CD6"/>
              </a:solidFill>
              <a:prstDash val="sysDot"/>
              <a:round/>
            </a:ln>
            <a:effectLst/>
          </c:spPr>
          <c:marker>
            <c:symbol val="circle"/>
            <c:size val="10"/>
            <c:spPr>
              <a:solidFill>
                <a:srgbClr val="D40CD6"/>
              </a:solidFill>
              <a:ln w="9525" cap="flat" cmpd="sng" algn="ctr">
                <a:solidFill>
                  <a:srgbClr val="D40CD6"/>
                </a:solidFill>
                <a:prstDash val="solid"/>
                <a:round/>
              </a:ln>
              <a:effectLst/>
            </c:spPr>
          </c:marker>
          <c:dLbls>
            <c:numFmt formatCode="General" sourceLinked="true"/>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ysClr val="windowText" lastClr="000000"/>
                    </a:solidFill>
                    <a:latin typeface="+mn-lt"/>
                    <a:ea typeface="+mn-ea"/>
                    <a:cs typeface="+mn-cs"/>
                    <a:sym typeface="微软雅黑" panose="020B0503020204020204" charset="-122"/>
                  </a:defRPr>
                </a:pPr>
              </a:p>
            </c:txPr>
            <c:dLblPos val="t"/>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[壤塘2023年公报制图表.xls]Sheet1!$B$53:$F$53</c:f>
              <c:strCache>
                <c:ptCount val="5"/>
                <c:pt idx="0">
                  <c:v>2019年</c:v>
                </c:pt>
                <c:pt idx="1">
                  <c:v>2020年</c:v>
                </c:pt>
                <c:pt idx="2">
                  <c:v>2021年</c:v>
                </c:pt>
                <c:pt idx="3">
                  <c:v>2022年</c:v>
                </c:pt>
                <c:pt idx="4">
                  <c:v>2023年</c:v>
                </c:pt>
              </c:strCache>
            </c:strRef>
          </c:cat>
          <c:val>
            <c:numRef>
              <c:f>[壤塘2023年公报制图表.xls]Sheet1!$B$54:$F$54</c:f>
              <c:numCache>
                <c:formatCode>General</c:formatCode>
                <c:ptCount val="5"/>
                <c:pt idx="0">
                  <c:v>9.2</c:v>
                </c:pt>
                <c:pt idx="1">
                  <c:v>6</c:v>
                </c:pt>
                <c:pt idx="2">
                  <c:v>2.6</c:v>
                </c:pt>
                <c:pt idx="3">
                  <c:v>5.5</c:v>
                </c:pt>
                <c:pt idx="4">
                  <c:v>12.5</c:v>
                </c:pt>
              </c:numCache>
            </c:numRef>
          </c:val>
          <c:smooth val="true"/>
        </c:ser>
        <c:dLbls>
          <c:showLegendKey val="false"/>
          <c:showVal val="false"/>
          <c:showCatName val="false"/>
          <c:showSerName val="false"/>
          <c:showPercent val="false"/>
          <c:showBubbleSize val="false"/>
        </c:dLbls>
        <c:marker val="true"/>
        <c:smooth val="true"/>
        <c:axId val="25920823"/>
        <c:axId val="227166941"/>
      </c:lineChart>
      <c:catAx>
        <c:axId val="25920823"/>
        <c:scaling>
          <c:orientation val="minMax"/>
        </c:scaling>
        <c:delete val="false"/>
        <c:axPos val="b"/>
        <c:majorTickMark val="out"/>
        <c:minorTickMark val="none"/>
        <c:tickLblPos val="nextTo"/>
        <c:spPr>
          <a:noFill/>
          <a:ln w="9525" cap="flat" cmpd="sng" algn="ctr">
            <a:noFill/>
            <a:prstDash val="solid"/>
            <a:round/>
          </a:ln>
          <a:effectLst/>
        </c:spPr>
        <c:txPr>
          <a:bodyPr rot="-60000000" spcFirstLastPara="0" vertOverflow="ellipsis" vert="horz" wrap="square" anchor="ctr" anchorCtr="true" forceAA="false"/>
          <a:lstStyle/>
          <a:p>
            <a:pPr>
              <a:defRPr lang="zh-CN" sz="900" b="0" i="0" u="none" strike="noStrike" kern="1200" baseline="0">
                <a:solidFill>
                  <a:sysClr val="windowText" lastClr="000000"/>
                </a:solidFill>
                <a:latin typeface="+mn-lt"/>
                <a:ea typeface="+mn-ea"/>
                <a:cs typeface="+mn-cs"/>
                <a:sym typeface="微软雅黑" panose="020B0503020204020204" charset="-122"/>
              </a:defRPr>
            </a:pPr>
          </a:p>
        </c:txPr>
        <c:crossAx val="227166941"/>
        <c:crosses val="autoZero"/>
        <c:auto val="true"/>
        <c:lblAlgn val="ctr"/>
        <c:lblOffset val="100"/>
        <c:noMultiLvlLbl val="false"/>
      </c:catAx>
      <c:valAx>
        <c:axId val="227166941"/>
        <c:scaling>
          <c:orientation val="minMax"/>
        </c:scaling>
        <c:delete val="false"/>
        <c:axPos val="l"/>
        <c:majorGridlines>
          <c:spPr>
            <a:ln w="9525" cap="flat" cmpd="sng" algn="ctr">
              <a:solidFill>
                <a:schemeClr val="tx1">
                  <a:lumMod val="15000"/>
                  <a:lumOff val="85000"/>
                </a:schemeClr>
              </a:solidFill>
              <a:prstDash val="solid"/>
              <a:round/>
            </a:ln>
            <a:effectLst/>
          </c:spPr>
        </c:majorGridlines>
        <c:numFmt formatCode="General" sourceLinked="true"/>
        <c:majorTickMark val="out"/>
        <c:minorTickMark val="none"/>
        <c:tickLblPos val="nextTo"/>
        <c:spPr>
          <a:noFill/>
          <a:ln w="6350" cap="flat" cmpd="sng" algn="ctr">
            <a:noFill/>
            <a:prstDash val="solid"/>
            <a:round/>
          </a:ln>
          <a:effectLst/>
        </c:spPr>
        <c:txPr>
          <a:bodyPr rot="-60000000" spcFirstLastPara="0" vertOverflow="ellipsis" vert="horz" wrap="square" anchor="ctr" anchorCtr="true" forceAA="false"/>
          <a:lstStyle/>
          <a:p>
            <a:pPr>
              <a:defRPr lang="zh-CN" sz="900" b="0" i="0" u="none" strike="noStrike" kern="1200" baseline="0">
                <a:solidFill>
                  <a:sysClr val="windowText" lastClr="000000"/>
                </a:solidFill>
                <a:latin typeface="+mn-lt"/>
                <a:ea typeface="+mn-ea"/>
                <a:cs typeface="+mn-cs"/>
                <a:sym typeface="微软雅黑" panose="020B0503020204020204" charset="-122"/>
              </a:defRPr>
            </a:pPr>
          </a:p>
        </c:txPr>
        <c:crossAx val="25920823"/>
        <c:crosses val="autoZero"/>
        <c:crossBetween val="between"/>
      </c:valAx>
      <c:spPr>
        <a:noFill/>
        <a:ln>
          <a:solidFill>
            <a:srgbClr val="DEBF67">
              <a:alpha val="50000"/>
            </a:srgbClr>
          </a:solidFill>
        </a:ln>
        <a:effectLst/>
      </c:spPr>
    </c:plotArea>
    <c:legend>
      <c:legendPos val="b"/>
      <c:legendEntry>
        <c:idx val="0"/>
        <c:txPr>
          <a:bodyPr rot="0" spcFirstLastPara="0" vertOverflow="ellipsis" vert="horz" wrap="square" anchor="ctr" anchorCtr="true"/>
          <a:lstStyle/>
          <a:p>
            <a:pPr>
              <a:defRPr lang="zh-CN" sz="900" b="0" i="0" u="none" strike="noStrike" kern="1200" baseline="0">
                <a:solidFill>
                  <a:sysClr val="windowText" lastClr="000000"/>
                </a:solidFill>
                <a:latin typeface="+mn-lt"/>
                <a:ea typeface="+mn-ea"/>
                <a:cs typeface="+mn-cs"/>
                <a:sym typeface="微软雅黑" panose="020B0503020204020204" charset="-122"/>
              </a:defRPr>
            </a:pPr>
          </a:p>
        </c:txPr>
      </c:legendEntry>
      <c:layout>
        <c:manualLayout>
          <c:xMode val="edge"/>
          <c:yMode val="edge"/>
          <c:x val="0.400921052631579"/>
          <c:y val="0.894675925925926"/>
          <c:w val="0.202105263157895"/>
          <c:h val="0.0775462962962963"/>
        </c:manualLayout>
      </c:layout>
      <c:overlay val="false"/>
      <c:spPr>
        <a:noFill/>
        <a:ln>
          <a:noFill/>
        </a:ln>
        <a:effectLst/>
      </c:spPr>
      <c:txPr>
        <a:bodyPr rot="0" spcFirstLastPara="0" vertOverflow="ellipsis" vert="horz" wrap="square" anchor="ctr" anchorCtr="true" forceAA="false"/>
        <a:lstStyle/>
        <a:p>
          <a:pPr>
            <a:defRPr lang="zh-CN" sz="900" b="0" i="0" u="none" strike="noStrike" kern="1200" baseline="0">
              <a:solidFill>
                <a:sysClr val="windowText" lastClr="000000"/>
              </a:solidFill>
              <a:latin typeface="+mn-lt"/>
              <a:ea typeface="+mn-ea"/>
              <a:cs typeface="+mn-cs"/>
              <a:sym typeface="微软雅黑" panose="020B0503020204020204" charset="-122"/>
            </a:defRPr>
          </a:pPr>
        </a:p>
      </c:txPr>
    </c:legend>
    <c:plotVisOnly val="true"/>
    <c:dispBlanksAs val="gap"/>
    <c:showDLblsOverMax val="false"/>
  </c:chart>
  <c:spPr>
    <a:noFill/>
    <a:ln w="25400" cap="flat" cmpd="sng" algn="ctr">
      <a:noFill/>
      <a:prstDash val="solid"/>
      <a:round/>
    </a:ln>
    <a:effectLst/>
    <a:sp3d>
      <a:extrusionClr>
        <a:srgbClr val="FFFFFF"/>
      </a:extrusionClr>
      <a:contourClr>
        <a:srgbClr val="FFFFFF"/>
      </a:contourClr>
    </a:sp3d>
  </c:spPr>
  <c:txPr>
    <a:bodyPr wrap="square"/>
    <a:lstStyle/>
    <a:p>
      <a:pPr>
        <a:defRPr lang="zh-CN">
          <a:solidFill>
            <a:schemeClr val="tx1"/>
          </a:solidFill>
          <a:latin typeface="+mn-lt"/>
          <a:ea typeface="+mn-ea"/>
          <a:cs typeface="+mn-cs"/>
          <a:sym typeface="微软雅黑" panose="020B0503020204020204" charset="-122"/>
        </a:defRPr>
      </a:pPr>
    </a:p>
  </c:txPr>
  <c:externalData r:id="rId1">
    <c:autoUpdate val="false"/>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true" forceAA="false"/>
          <a:lstStyle/>
          <a:p>
            <a:pPr>
              <a:defRPr lang="zh-CN" sz="1400" b="0" i="0" u="none" strike="noStrike" kern="1200" spc="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rPr altLang="en-US" sz="1400" b="0" i="0" u="none" strike="noStrike"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rPr>
              <a:t>图</a:t>
            </a:r>
            <a:r>
              <a:rPr lang="en-US" altLang="zh-CN" sz="1400" b="0" i="0" u="none" strike="noStrike"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rPr>
              <a:t>6</a:t>
            </a:r>
            <a:r>
              <a:rPr altLang="en-US" sz="1400" b="0" i="0" u="none" strike="noStrike"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rPr>
              <a:t>：近五年壤塘县社会消费品零售总额</a:t>
            </a:r>
            <a:endParaRPr altLang="en-US" sz="1400" b="0" i="0" u="none" strike="noStrike"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endParaRPr>
          </a:p>
          <a:p>
            <a:pPr>
              <a:defRPr lang="zh-CN" sz="1400" b="0" i="0" u="none" strike="noStrike" kern="1200" spc="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rPr altLang="en-US" sz="1400" b="0" i="0" u="none" strike="noStrike"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rPr>
              <a:t>及增长速度</a:t>
            </a:r>
            <a:endParaRPr altLang="en-US" sz="1400" b="0" i="0" u="none" strike="noStrike"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endParaRPr>
          </a:p>
        </c:rich>
      </c:tx>
      <c:layout/>
      <c:overlay val="false"/>
      <c:spPr>
        <a:noFill/>
        <a:ln>
          <a:noFill/>
        </a:ln>
        <a:effectLst/>
      </c:spPr>
    </c:title>
    <c:autoTitleDeleted val="false"/>
    <c:plotArea>
      <c:layout/>
      <c:barChart>
        <c:barDir val="col"/>
        <c:grouping val="clustered"/>
        <c:varyColors val="false"/>
        <c:ser>
          <c:idx val="0"/>
          <c:order val="0"/>
          <c:tx>
            <c:strRef>
              <c:f>[壤塘2023年公报制图表.xls]Sheet1!$A$11</c:f>
              <c:strCache>
                <c:ptCount val="1"/>
                <c:pt idx="0">
                  <c:v>社会消费品零售总额(万元)</c:v>
                </c:pt>
              </c:strCache>
            </c:strRef>
          </c:tx>
          <c:spPr>
            <a:blipFill>
              <a:blip xmlns:r="http://schemas.openxmlformats.org/officeDocument/2006/relationships" r:embed="rId3"/>
              <a:stretch>
                <a:fillRect/>
              </a:stretch>
            </a:blipFill>
            <a:ln>
              <a:noFill/>
            </a:ln>
            <a:effectLst>
              <a:outerShdw blurRad="76200" dir="18900000" sy="23000" kx="-1200000" algn="bl" rotWithShape="0">
                <a:prstClr val="black">
                  <a:alpha val="20000"/>
                </a:prstClr>
              </a:outerShdw>
            </a:effectLst>
          </c:spPr>
          <c:invertIfNegative val="false"/>
          <c:dLbls>
            <c:numFmt formatCode="General" sourceLinked="true"/>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[壤塘2023年公报制图表.xls]Sheet1!$B$10:$F$10</c:f>
              <c:strCache>
                <c:ptCount val="5"/>
                <c:pt idx="0">
                  <c:v>2019年</c:v>
                </c:pt>
                <c:pt idx="1">
                  <c:v>2020年</c:v>
                </c:pt>
                <c:pt idx="2">
                  <c:v>2021年</c:v>
                </c:pt>
                <c:pt idx="3">
                  <c:v>2022年</c:v>
                </c:pt>
                <c:pt idx="4">
                  <c:v>2023年</c:v>
                </c:pt>
              </c:strCache>
            </c:strRef>
          </c:cat>
          <c:val>
            <c:numRef>
              <c:f>[壤塘2023年公报制图表.xls]Sheet1!$B$11:$F$11</c:f>
              <c:numCache>
                <c:formatCode>General</c:formatCode>
                <c:ptCount val="5"/>
                <c:pt idx="0">
                  <c:v>34657</c:v>
                </c:pt>
                <c:pt idx="1">
                  <c:v>33257</c:v>
                </c:pt>
                <c:pt idx="2">
                  <c:v>36642</c:v>
                </c:pt>
                <c:pt idx="3">
                  <c:v>35302</c:v>
                </c:pt>
                <c:pt idx="4">
                  <c:v>38968</c:v>
                </c:pt>
              </c:numCache>
            </c:numRef>
          </c:val>
        </c:ser>
        <c:dLbls>
          <c:showLegendKey val="false"/>
          <c:showVal val="false"/>
          <c:showCatName val="false"/>
          <c:showSerName val="false"/>
          <c:showPercent val="false"/>
          <c:showBubbleSize val="false"/>
        </c:dLbls>
        <c:gapWidth val="75"/>
        <c:overlap val="-25"/>
        <c:axId val="340038041"/>
        <c:axId val="231199393"/>
      </c:barChart>
      <c:lineChart>
        <c:grouping val="standard"/>
        <c:varyColors val="false"/>
        <c:ser>
          <c:idx val="1"/>
          <c:order val="1"/>
          <c:tx>
            <c:strRef>
              <c:f>[壤塘2023年公报制图表.xls]Sheet1!$A$12</c:f>
              <c:strCache>
                <c:ptCount val="1"/>
                <c:pt idx="0">
                  <c:v>增长速度(%)</c:v>
                </c:pt>
              </c:strCache>
            </c:strRef>
          </c:tx>
          <c:spPr>
            <a:ln w="22225" cap="rnd" cmpd="dbl" algn="ctr">
              <a:solidFill>
                <a:srgbClr val="01AABC"/>
              </a:solidFill>
              <a:prstDash val="sysDot"/>
              <a:round/>
            </a:ln>
            <a:effectLst/>
          </c:spPr>
          <c:marker>
            <c:spPr>
              <a:solidFill>
                <a:srgbClr val="00B0F0"/>
              </a:solidFill>
            </c:spPr>
          </c:marker>
          <c:dLbls>
            <c:numFmt formatCode="General" sourceLinked="true"/>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r"/>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[壤塘2023年公报制图表.xls]Sheet1!$B$10:$F$10</c:f>
              <c:strCache>
                <c:ptCount val="5"/>
                <c:pt idx="0">
                  <c:v>2019年</c:v>
                </c:pt>
                <c:pt idx="1">
                  <c:v>2020年</c:v>
                </c:pt>
                <c:pt idx="2">
                  <c:v>2021年</c:v>
                </c:pt>
                <c:pt idx="3">
                  <c:v>2022年</c:v>
                </c:pt>
                <c:pt idx="4">
                  <c:v>2023年</c:v>
                </c:pt>
              </c:strCache>
            </c:strRef>
          </c:cat>
          <c:val>
            <c:numRef>
              <c:f>[壤塘2023年公报制图表.xls]Sheet1!$B$12:$F$12</c:f>
              <c:numCache>
                <c:formatCode>General</c:formatCode>
                <c:ptCount val="5"/>
                <c:pt idx="0">
                  <c:v>6.3</c:v>
                </c:pt>
                <c:pt idx="1">
                  <c:v>-4</c:v>
                </c:pt>
                <c:pt idx="2">
                  <c:v>10.2</c:v>
                </c:pt>
                <c:pt idx="3">
                  <c:v>-3.7</c:v>
                </c:pt>
                <c:pt idx="4">
                  <c:v>10.4</c:v>
                </c:pt>
              </c:numCache>
            </c:numRef>
          </c:val>
          <c:smooth val="false"/>
        </c:ser>
        <c:dLbls>
          <c:showLegendKey val="false"/>
          <c:showVal val="true"/>
          <c:showCatName val="false"/>
          <c:showSerName val="false"/>
          <c:showPercent val="false"/>
          <c:showBubbleSize val="false"/>
        </c:dLbls>
        <c:marker val="true"/>
        <c:smooth val="false"/>
        <c:axId val="409921875"/>
        <c:axId val="442727938"/>
      </c:lineChart>
      <c:catAx>
        <c:axId val="340038041"/>
        <c:scaling>
          <c:orientation val="minMax"/>
        </c:scaling>
        <c:delete val="false"/>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true" forceAA="fals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crossAx val="231199393"/>
        <c:crosses val="autoZero"/>
        <c:auto val="true"/>
        <c:lblAlgn val="ctr"/>
        <c:lblOffset val="100"/>
        <c:noMultiLvlLbl val="false"/>
      </c:catAx>
      <c:valAx>
        <c:axId val="231199393"/>
        <c:scaling>
          <c:orientation val="minMax"/>
        </c:scaling>
        <c:delete val="false"/>
        <c:axPos val="l"/>
        <c:majorGridlines>
          <c:spPr>
            <a:ln w="9525" cap="flat" cmpd="sng" algn="ctr">
              <a:solidFill>
                <a:schemeClr val="tx1">
                  <a:lumMod val="15000"/>
                  <a:lumOff val="85000"/>
                </a:schemeClr>
              </a:solidFill>
              <a:prstDash val="solid"/>
              <a:round/>
            </a:ln>
            <a:effectLst/>
          </c:spPr>
        </c:majorGridlines>
        <c:numFmt formatCode="General" sourceLinked="true"/>
        <c:majorTickMark val="none"/>
        <c:minorTickMark val="none"/>
        <c:tickLblPos val="nextTo"/>
        <c:spPr>
          <a:noFill/>
          <a:ln w="9525" cap="flat" cmpd="sng" algn="ctr">
            <a:noFill/>
            <a:prstDash val="solid"/>
            <a:round/>
          </a:ln>
          <a:effectLst/>
        </c:spPr>
        <c:txPr>
          <a:bodyPr rot="-60000000" spcFirstLastPara="0" vertOverflow="ellipsis" vert="horz" wrap="square" anchor="ctr" anchorCtr="true" forceAA="fals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crossAx val="340038041"/>
        <c:crosses val="autoZero"/>
        <c:crossBetween val="between"/>
      </c:valAx>
      <c:catAx>
        <c:axId val="409921875"/>
        <c:scaling>
          <c:orientation val="minMax"/>
        </c:scaling>
        <c:delete val="true"/>
        <c:axPos val="b"/>
        <c:majorTickMark val="none"/>
        <c:minorTickMark val="none"/>
        <c:tickLblPos val="nextTo"/>
        <c:txPr>
          <a:bodyPr rot="-60000000" spcFirstLastPara="0" vertOverflow="ellipsis" vert="horz" wrap="square" anchor="ctr" anchorCtr="true"/>
          <a:lstStyle/>
          <a:p>
            <a:pPr>
              <a:defRPr lang="zh-CN" sz="1000" b="0" i="0" u="none" strike="noStrike" kern="1200" baseline="0">
                <a:solidFill>
                  <a:srgbClr val="595959">
                    <a:alpha val="100000"/>
                  </a:srgb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crossAx val="442727938"/>
        <c:crosses val="autoZero"/>
        <c:auto val="true"/>
        <c:lblAlgn val="ctr"/>
        <c:lblOffset val="100"/>
        <c:noMultiLvlLbl val="false"/>
      </c:catAx>
      <c:valAx>
        <c:axId val="442727938"/>
        <c:scaling>
          <c:orientation val="minMax"/>
        </c:scaling>
        <c:delete val="false"/>
        <c:axPos val="r"/>
        <c:numFmt formatCode="General" sourceLinked="true"/>
        <c:majorTickMark val="none"/>
        <c:minorTickMark val="none"/>
        <c:tickLblPos val="nextTo"/>
        <c:spPr>
          <a:noFill/>
          <a:ln w="9525" cap="flat" cmpd="sng" algn="ctr">
            <a:noFill/>
            <a:prstDash val="solid"/>
            <a:round/>
          </a:ln>
          <a:effectLst/>
        </c:spPr>
        <c:txPr>
          <a:bodyPr rot="-60000000" spcFirstLastPara="0" vertOverflow="ellipsis" vert="horz" wrap="square" anchor="ctr" anchorCtr="tru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crossAx val="409921875"/>
        <c:crosses val="max"/>
        <c:crossBetween val="between"/>
      </c:valAx>
      <c:spPr>
        <a:noFill/>
        <a:ln>
          <a:noFill/>
        </a:ln>
        <a:effectLst/>
      </c:spPr>
    </c:plotArea>
    <c:legend>
      <c:legendPos val="b"/>
      <c:legendEntry>
        <c:idx val="0"/>
        <c:txPr>
          <a:bodyPr rot="0" spcFirstLastPara="0" vertOverflow="ellipsis" vert="horz" wrap="square" anchor="ctr" anchorCtr="tru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legendEntry>
      <c:legendEntry>
        <c:idx val="1"/>
        <c:txPr>
          <a:bodyPr rot="0" spcFirstLastPara="0" vertOverflow="ellipsis" vert="horz" wrap="square" anchor="ctr" anchorCtr="tru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legendEntry>
      <c:layout/>
      <c:overlay val="false"/>
      <c:spPr>
        <a:noFill/>
        <a:ln>
          <a:noFill/>
        </a:ln>
        <a:effectLst/>
      </c:spPr>
      <c:txPr>
        <a:bodyPr rot="0" spcFirstLastPara="0" vertOverflow="ellipsis" vert="horz" wrap="square" anchor="ctr" anchorCtr="true" forceAA="fals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legend>
    <c:plotVisOnly val="true"/>
    <c:dispBlanksAs val="gap"/>
    <c:showDLblsOverMax val="false"/>
  </c:chart>
  <c:spPr>
    <a:solidFill>
      <a:schemeClr val="bg1"/>
    </a:solidFill>
    <a:ln w="9525" cap="flat" cmpd="sng" algn="ctr">
      <a:noFill/>
      <a:prstDash val="solid"/>
      <a:round/>
    </a:ln>
    <a:effectLst/>
  </c:spPr>
  <c:txPr>
    <a:bodyPr wrap="square"/>
    <a:lstStyle/>
    <a:p>
      <a:pPr>
        <a:defRPr lang="zh-CN">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externalData r:id="rId1">
    <c:autoUpdate val="false"/>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true" forceAA="false"/>
          <a:lstStyle/>
          <a:p>
            <a:pPr>
              <a:defRPr lang="zh-CN" sz="1400" b="0" i="0" u="none" strike="noStrike" kern="1200" spc="0" baseline="0">
                <a:solidFill>
                  <a:schemeClr val="bg1"/>
                </a:solidFill>
                <a:latin typeface="微软雅黑" panose="020B0503020204020204" charset="-122"/>
                <a:ea typeface="微软雅黑" panose="020B0503020204020204" charset="-122"/>
                <a:cs typeface="+mn-cs"/>
              </a:defRPr>
            </a:pPr>
            <a:r>
              <a:rPr lang="zh-CN" altLang="en-US"/>
              <a:t>标</a:t>
            </a:r>
            <a:r>
              <a:rPr lang="zh-CN" altLang="en-US">
                <a:solidFill>
                  <a:sysClr val="windowText" lastClr="000000"/>
                </a:solidFill>
              </a:rPr>
              <a:t>图</a:t>
            </a:r>
            <a:r>
              <a:rPr lang="en-US" altLang="zh-CN">
                <a:solidFill>
                  <a:sysClr val="windowText" lastClr="000000"/>
                </a:solidFill>
              </a:rPr>
              <a:t>7</a:t>
            </a:r>
            <a:r>
              <a:rPr altLang="en-US">
                <a:solidFill>
                  <a:sysClr val="windowText" lastClr="000000"/>
                </a:solidFill>
              </a:rPr>
              <a:t>：近五年壤塘县地方公共财政收入</a:t>
            </a:r>
            <a:endParaRPr altLang="en-US">
              <a:solidFill>
                <a:sysClr val="windowText" lastClr="000000"/>
              </a:solidFill>
            </a:endParaRPr>
          </a:p>
          <a:p>
            <a:pPr>
              <a:defRPr lang="zh-CN" sz="1400" b="0" i="0" u="none" strike="noStrike" kern="1200" spc="0" baseline="0">
                <a:solidFill>
                  <a:schemeClr val="bg1"/>
                </a:solidFill>
                <a:latin typeface="微软雅黑" panose="020B0503020204020204" charset="-122"/>
                <a:ea typeface="微软雅黑" panose="020B0503020204020204" charset="-122"/>
                <a:cs typeface="+mn-cs"/>
              </a:defRPr>
            </a:pPr>
            <a:r>
              <a:rPr altLang="en-US">
                <a:solidFill>
                  <a:sysClr val="windowText" lastClr="000000"/>
                </a:solidFill>
              </a:rPr>
              <a:t>及增长速度</a:t>
            </a:r>
            <a:r>
              <a:rPr lang="zh-CN" altLang="en-US"/>
              <a:t>题</a:t>
            </a:r>
            <a:endParaRPr lang="zh-CN" altLang="en-US"/>
          </a:p>
        </c:rich>
      </c:tx>
      <c:layout>
        <c:manualLayout>
          <c:xMode val="edge"/>
          <c:yMode val="edge"/>
          <c:x val="0.216902204635387"/>
          <c:y val="0.0260529743812419"/>
        </c:manualLayout>
      </c:layout>
      <c:overlay val="false"/>
      <c:spPr>
        <a:noFill/>
        <a:ln>
          <a:noFill/>
        </a:ln>
        <a:effectLst/>
      </c:spPr>
    </c:title>
    <c:autoTitleDeleted val="false"/>
    <c:plotArea>
      <c:layout/>
      <c:barChart>
        <c:barDir val="col"/>
        <c:grouping val="clustered"/>
        <c:varyColors val="false"/>
        <c:ser>
          <c:idx val="1"/>
          <c:order val="0"/>
          <c:tx>
            <c:strRef>
              <c:f>[壤塘2023年公报制图表.xls]Sheet1!$A$17</c:f>
              <c:strCache>
                <c:ptCount val="1"/>
                <c:pt idx="0">
                  <c:v>地方公共财政收入(万元)</c:v>
                </c:pt>
              </c:strCache>
            </c:strRef>
          </c:tx>
          <c:spPr>
            <a:blipFill dpi="0" rotWithShape="true">
              <a:blip xmlns:r="http://schemas.openxmlformats.org/officeDocument/2006/relationships" r:embed="rId3"/>
              <a:srcRect/>
              <a:stretch>
                <a:fillRect/>
              </a:stretch>
            </a:blipFill>
            <a:ln>
              <a:noFill/>
            </a:ln>
            <a:effectLst>
              <a:outerShdw blurRad="50800" dir="18900000" sy="23000" kx="-1200000" algn="bl" rotWithShape="0">
                <a:prstClr val="black">
                  <a:alpha val="30000"/>
                </a:prstClr>
              </a:outerShdw>
            </a:effectLst>
          </c:spPr>
          <c:invertIfNegative val="false"/>
          <c:dPt>
            <c:idx val="0"/>
            <c:invertIfNegative val="false"/>
            <c:bubble3D val="false"/>
            <c:spPr>
              <a:blipFill dpi="0" rotWithShape="true">
                <a:blip xmlns:r="http://schemas.openxmlformats.org/officeDocument/2006/relationships" r:embed="rId4"/>
                <a:srcRect/>
                <a:stretch>
                  <a:fillRect r="12000" b="-50000"/>
                </a:stretch>
              </a:blipFill>
              <a:ln>
                <a:noFill/>
              </a:ln>
              <a:effectLst>
                <a:outerShdw blurRad="50800" dir="18900000" sy="23000" kx="-1200000" algn="bl" rotWithShape="0">
                  <a:prstClr val="black">
                    <a:alpha val="30000"/>
                  </a:prstClr>
                </a:outerShdw>
              </a:effectLst>
            </c:spPr>
          </c:dPt>
          <c:dPt>
            <c:idx val="1"/>
            <c:invertIfNegative val="false"/>
            <c:bubble3D val="false"/>
            <c:spPr>
              <a:blipFill dpi="0" rotWithShape="true">
                <a:blip xmlns:r="http://schemas.openxmlformats.org/officeDocument/2006/relationships" r:embed="rId3"/>
                <a:srcRect/>
                <a:stretch>
                  <a:fillRect b="-1000"/>
                </a:stretch>
              </a:blipFill>
              <a:ln>
                <a:noFill/>
              </a:ln>
              <a:effectLst>
                <a:outerShdw blurRad="50800" dir="18900000" sy="23000" kx="-1200000" algn="bl" rotWithShape="0">
                  <a:prstClr val="black">
                    <a:alpha val="30000"/>
                  </a:prstClr>
                </a:outerShdw>
              </a:effectLst>
            </c:spPr>
          </c:dPt>
          <c:dPt>
            <c:idx val="2"/>
            <c:invertIfNegative val="false"/>
            <c:bubble3D val="false"/>
            <c:spPr>
              <a:blipFill dpi="0" rotWithShape="true">
                <a:blip xmlns:r="http://schemas.openxmlformats.org/officeDocument/2006/relationships" r:embed="rId3"/>
                <a:srcRect/>
                <a:stretch>
                  <a:fillRect/>
                </a:stretch>
              </a:blipFill>
              <a:ln>
                <a:noFill/>
              </a:ln>
              <a:effectLst>
                <a:outerShdw blurRad="50800" dir="18900000" sy="23000" kx="-1200000" algn="bl" rotWithShape="0">
                  <a:prstClr val="black">
                    <a:alpha val="30000"/>
                  </a:prstClr>
                </a:outerShdw>
              </a:effectLst>
            </c:spPr>
          </c:dPt>
          <c:dPt>
            <c:idx val="3"/>
            <c:invertIfNegative val="false"/>
            <c:bubble3D val="false"/>
            <c:spPr>
              <a:blipFill dpi="0" rotWithShape="true">
                <a:blip xmlns:r="http://schemas.openxmlformats.org/officeDocument/2006/relationships" r:embed="rId3"/>
                <a:srcRect/>
                <a:stretch>
                  <a:fillRect/>
                </a:stretch>
              </a:blipFill>
              <a:ln>
                <a:noFill/>
              </a:ln>
              <a:effectLst>
                <a:outerShdw blurRad="50800" dir="18900000" sy="23000" kx="-1200000" algn="bl" rotWithShape="0">
                  <a:prstClr val="black">
                    <a:alpha val="30000"/>
                  </a:prstClr>
                </a:outerShdw>
              </a:effectLst>
            </c:spPr>
          </c:dPt>
          <c:dLbls>
            <c:dLbl>
              <c:idx val="4"/>
              <c:layout>
                <c:manualLayout>
                  <c:x val="-0.00592105263157895"/>
                  <c:y val="-0.0486111111111111"/>
                </c:manualLayout>
              </c:layout>
              <c:dLblPos val="outEnd"/>
              <c:showLegendKey val="false"/>
              <c:showVal val="true"/>
              <c:showCatName val="false"/>
              <c:showSerName val="false"/>
              <c:showPercent val="false"/>
              <c:showBubbleSize val="false"/>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[壤塘2023年公报制图表.xls]Sheet1!$B$16:$F$16</c:f>
              <c:strCache>
                <c:ptCount val="5"/>
                <c:pt idx="0">
                  <c:v>2019年</c:v>
                </c:pt>
                <c:pt idx="1">
                  <c:v>2020年</c:v>
                </c:pt>
                <c:pt idx="2">
                  <c:v>2021年</c:v>
                </c:pt>
                <c:pt idx="3">
                  <c:v>2022年</c:v>
                </c:pt>
                <c:pt idx="4">
                  <c:v>2023年</c:v>
                </c:pt>
              </c:strCache>
            </c:strRef>
          </c:cat>
          <c:val>
            <c:numRef>
              <c:f>[壤塘2023年公报制图表.xls]Sheet1!$B$17:$F$17</c:f>
              <c:numCache>
                <c:formatCode>General</c:formatCode>
                <c:ptCount val="5"/>
                <c:pt idx="0">
                  <c:v>2319</c:v>
                </c:pt>
                <c:pt idx="1">
                  <c:v>2468</c:v>
                </c:pt>
                <c:pt idx="2">
                  <c:v>2659</c:v>
                </c:pt>
                <c:pt idx="3">
                  <c:v>2900</c:v>
                </c:pt>
                <c:pt idx="4">
                  <c:v>4012</c:v>
                </c:pt>
              </c:numCache>
            </c:numRef>
          </c:val>
        </c:ser>
        <c:dLbls>
          <c:showLegendKey val="false"/>
          <c:showVal val="true"/>
          <c:showCatName val="false"/>
          <c:showSerName val="false"/>
          <c:showPercent val="false"/>
          <c:showBubbleSize val="false"/>
        </c:dLbls>
        <c:gapWidth val="75"/>
        <c:overlap val="-25"/>
        <c:axId val="593910431"/>
        <c:axId val="495511595"/>
      </c:barChart>
      <c:lineChart>
        <c:grouping val="stacked"/>
        <c:varyColors val="false"/>
        <c:ser>
          <c:idx val="2"/>
          <c:order val="1"/>
          <c:tx>
            <c:strRef>
              <c:f>[壤塘2023年公报制图表.xls]Sheet1!$A$18</c:f>
              <c:strCache>
                <c:ptCount val="1"/>
                <c:pt idx="0">
                  <c:v>增长速度(%)</c:v>
                </c:pt>
              </c:strCache>
            </c:strRef>
          </c:tx>
          <c:spPr>
            <a:ln w="28575" cap="rnd">
              <a:solidFill>
                <a:schemeClr val="accent3"/>
              </a:solidFill>
              <a:round/>
            </a:ln>
            <a:effectLst>
              <a:outerShdw blurRad="50800" dir="18900000" sy="23000" kx="-1200000" algn="bl" rotWithShape="0">
                <a:prstClr val="black">
                  <a:alpha val="30000"/>
                </a:prstClr>
              </a:outerShdw>
            </a:effectLst>
          </c:spPr>
          <c:marker>
            <c:symbol val="circle"/>
            <c:size val="5"/>
            <c:spPr>
              <a:solidFill>
                <a:schemeClr val="accent3"/>
              </a:solidFill>
              <a:ln w="9525">
                <a:solidFill>
                  <a:schemeClr val="accent3"/>
                </a:solidFill>
              </a:ln>
              <a:effectLst/>
            </c:spPr>
          </c:marker>
          <c:dPt>
            <c:idx val="0"/>
            <c:marker>
              <c:symbol val="circle"/>
              <c:size val="5"/>
              <c:spPr>
                <a:solidFill>
                  <a:schemeClr val="accent3"/>
                </a:solidFill>
                <a:ln w="9525">
                  <a:solidFill>
                    <a:schemeClr val="accent3"/>
                  </a:solidFill>
                </a:ln>
                <a:effectLst/>
              </c:spPr>
            </c:marker>
            <c:bubble3D val="false"/>
            <c:spPr>
              <a:ln w="28575" cap="rnd">
                <a:solidFill>
                  <a:schemeClr val="accent3"/>
                </a:solidFill>
                <a:round/>
              </a:ln>
              <a:effectLst>
                <a:outerShdw blurRad="50800" dir="18900000" sy="23000" kx="-1200000" algn="bl" rotWithShape="0">
                  <a:prstClr val="black">
                    <a:alpha val="30000"/>
                  </a:prstClr>
                </a:outerShdw>
              </a:effectLst>
            </c:spPr>
          </c:dPt>
          <c:dPt>
            <c:idx val="1"/>
            <c:marker>
              <c:symbol val="circle"/>
              <c:size val="5"/>
              <c:spPr>
                <a:solidFill>
                  <a:schemeClr val="accent3"/>
                </a:solidFill>
                <a:ln w="9525">
                  <a:solidFill>
                    <a:schemeClr val="accent3"/>
                  </a:solidFill>
                </a:ln>
                <a:effectLst/>
              </c:spPr>
            </c:marker>
            <c:bubble3D val="false"/>
            <c:spPr>
              <a:ln w="28575" cap="rnd">
                <a:solidFill>
                  <a:schemeClr val="accent3"/>
                </a:solidFill>
                <a:round/>
              </a:ln>
              <a:effectLst>
                <a:outerShdw blurRad="50800" dir="18900000" sy="23000" kx="-1200000" algn="bl" rotWithShape="0">
                  <a:prstClr val="black">
                    <a:alpha val="30000"/>
                  </a:prstClr>
                </a:outerShdw>
              </a:effectLst>
            </c:spPr>
          </c:dPt>
          <c:dPt>
            <c:idx val="3"/>
            <c:marker>
              <c:symbol val="circle"/>
              <c:size val="5"/>
              <c:spPr>
                <a:solidFill>
                  <a:schemeClr val="accent3"/>
                </a:solidFill>
                <a:ln w="9525">
                  <a:solidFill>
                    <a:schemeClr val="accent3"/>
                  </a:solidFill>
                </a:ln>
                <a:effectLst/>
              </c:spPr>
            </c:marker>
            <c:bubble3D val="false"/>
            <c:spPr>
              <a:ln w="28575" cap="rnd">
                <a:solidFill>
                  <a:schemeClr val="accent3"/>
                </a:solidFill>
                <a:round/>
              </a:ln>
              <a:effectLst>
                <a:outerShdw blurRad="50800" dir="18900000" sy="23000" kx="-1200000" algn="bl" rotWithShape="0">
                  <a:prstClr val="black">
                    <a:alpha val="30000"/>
                  </a:prstClr>
                </a:outerShdw>
              </a:effectLst>
            </c:spPr>
          </c:dPt>
          <c:dLbls>
            <c:dLbl>
              <c:idx val="0"/>
              <c:layout>
                <c:manualLayout>
                  <c:x val="0.0101752402487281"/>
                  <c:y val="-0.023489932885906"/>
                </c:manualLayout>
              </c:layout>
              <c:dLblPos val="r"/>
              <c:showLegendKey val="false"/>
              <c:showVal val="true"/>
              <c:showCatName val="false"/>
              <c:showSerName val="false"/>
              <c:showPercent val="false"/>
              <c:showBubbleSize val="false"/>
              <c:extLst>
                <c:ext xmlns:c15="http://schemas.microsoft.com/office/drawing/2012/chart" uri="{CE6537A1-D6FC-4f65-9D91-7224C49458BB}">
                  <c15:layout/>
                </c:ext>
              </c:extLst>
            </c:dLbl>
            <c:dLbl>
              <c:idx val="1"/>
              <c:layout>
                <c:manualLayout>
                  <c:x val="0.0101752402487281"/>
                  <c:y val="-0.0436241610738255"/>
                </c:manualLayout>
              </c:layout>
              <c:dLblPos val="r"/>
              <c:showLegendKey val="false"/>
              <c:showVal val="true"/>
              <c:showCatName val="false"/>
              <c:showSerName val="false"/>
              <c:showPercent val="false"/>
              <c:showBubbleSize val="false"/>
              <c:extLst>
                <c:ext xmlns:c15="http://schemas.microsoft.com/office/drawing/2012/chart" uri="{CE6537A1-D6FC-4f65-9D91-7224C49458BB}">
                  <c15:layout/>
                </c:ext>
              </c:extLst>
            </c:dLbl>
            <c:dLbl>
              <c:idx val="2"/>
              <c:layout>
                <c:manualLayout>
                  <c:x val="0.00508762012436405"/>
                  <c:y val="-0.0469798657718121"/>
                </c:manualLayout>
              </c:layout>
              <c:dLblPos val="r"/>
              <c:showLegendKey val="false"/>
              <c:showVal val="true"/>
              <c:showCatName val="false"/>
              <c:showSerName val="false"/>
              <c:showPercent val="false"/>
              <c:showBubbleSize val="false"/>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mn-cs"/>
                  </a:defRPr>
                </a:pPr>
              </a:p>
            </c:txPr>
            <c:dLblPos val="r"/>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[壤塘2023年公报制图表.xls]Sheet1!$B$16:$F$16</c:f>
              <c:strCache>
                <c:ptCount val="5"/>
                <c:pt idx="0">
                  <c:v>2019年</c:v>
                </c:pt>
                <c:pt idx="1">
                  <c:v>2020年</c:v>
                </c:pt>
                <c:pt idx="2">
                  <c:v>2021年</c:v>
                </c:pt>
                <c:pt idx="3">
                  <c:v>2022年</c:v>
                </c:pt>
                <c:pt idx="4">
                  <c:v>2023年</c:v>
                </c:pt>
              </c:strCache>
            </c:strRef>
          </c:cat>
          <c:val>
            <c:numRef>
              <c:f>[壤塘2023年公报制图表.xls]Sheet1!$B$18:$F$18</c:f>
              <c:numCache>
                <c:formatCode>General</c:formatCode>
                <c:ptCount val="5"/>
                <c:pt idx="0">
                  <c:v>13.9</c:v>
                </c:pt>
                <c:pt idx="1">
                  <c:v>6.5</c:v>
                </c:pt>
                <c:pt idx="2">
                  <c:v>7.7</c:v>
                </c:pt>
                <c:pt idx="3">
                  <c:v>9.1</c:v>
                </c:pt>
                <c:pt idx="4">
                  <c:v>38.3</c:v>
                </c:pt>
              </c:numCache>
            </c:numRef>
          </c:val>
          <c:smooth val="false"/>
        </c:ser>
        <c:dLbls>
          <c:showLegendKey val="false"/>
          <c:showVal val="true"/>
          <c:showCatName val="false"/>
          <c:showSerName val="false"/>
          <c:showPercent val="false"/>
          <c:showBubbleSize val="false"/>
        </c:dLbls>
        <c:marker val="true"/>
        <c:smooth val="false"/>
        <c:axId val="878466132"/>
        <c:axId val="649187579"/>
      </c:lineChart>
      <c:catAx>
        <c:axId val="593910431"/>
        <c:scaling>
          <c:orientation val="minMax"/>
        </c:scaling>
        <c:delete val="false"/>
        <c:axPos val="b"/>
        <c:numFmt formatCode="General" sourceLinked="true"/>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true" forceAA="fals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mn-cs"/>
              </a:defRPr>
            </a:pPr>
          </a:p>
        </c:txPr>
        <c:crossAx val="495511595"/>
        <c:crosses val="autoZero"/>
        <c:auto val="true"/>
        <c:lblAlgn val="ctr"/>
        <c:lblOffset val="100"/>
        <c:noMultiLvlLbl val="false"/>
      </c:catAx>
      <c:valAx>
        <c:axId val="495511595"/>
        <c:scaling>
          <c:orientation val="minMax"/>
        </c:scaling>
        <c:delete val="false"/>
        <c:axPos val="l"/>
        <c:majorGridlines>
          <c:spPr>
            <a:ln w="9525" cap="flat" cmpd="sng" algn="ctr">
              <a:solidFill>
                <a:schemeClr val="tx1">
                  <a:lumMod val="15000"/>
                  <a:lumOff val="85000"/>
                </a:schemeClr>
              </a:solidFill>
              <a:round/>
            </a:ln>
            <a:effectLst/>
          </c:spPr>
        </c:majorGridlines>
        <c:numFmt formatCode="General" sourceLinked="true"/>
        <c:majorTickMark val="none"/>
        <c:minorTickMark val="none"/>
        <c:tickLblPos val="nextTo"/>
        <c:spPr>
          <a:noFill/>
          <a:ln>
            <a:noFill/>
          </a:ln>
          <a:effectLst/>
        </c:spPr>
        <c:txPr>
          <a:bodyPr rot="-60000000" spcFirstLastPara="0" vertOverflow="ellipsis" vert="horz" wrap="square" anchor="ctr" anchorCtr="true" forceAA="fals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mn-cs"/>
              </a:defRPr>
            </a:pPr>
          </a:p>
        </c:txPr>
        <c:crossAx val="593910431"/>
        <c:crosses val="autoZero"/>
        <c:crossBetween val="between"/>
      </c:valAx>
      <c:catAx>
        <c:axId val="878466132"/>
        <c:scaling>
          <c:orientation val="minMax"/>
        </c:scaling>
        <c:delete val="true"/>
        <c:axPos val="b"/>
        <c:majorTickMark val="none"/>
        <c:minorTickMark val="none"/>
        <c:tickLblPos val="nextTo"/>
        <c:txPr>
          <a:bodyPr rot="-60000000" spcFirstLastPara="0" vertOverflow="ellipsis" vert="horz" wrap="square" anchor="ctr" anchorCtr="true"/>
          <a:lstStyle/>
          <a:p>
            <a:pPr>
              <a:defRPr lang="zh-CN" sz="900" b="0" i="0" u="none" strike="noStrike" kern="1200" baseline="0">
                <a:solidFill>
                  <a:schemeClr val="bg1"/>
                </a:solidFill>
                <a:latin typeface="微软雅黑" panose="020B0503020204020204" charset="-122"/>
                <a:ea typeface="微软雅黑" panose="020B0503020204020204" charset="-122"/>
                <a:cs typeface="+mn-cs"/>
              </a:defRPr>
            </a:pPr>
          </a:p>
        </c:txPr>
        <c:crossAx val="649187579"/>
        <c:crosses val="autoZero"/>
        <c:auto val="true"/>
        <c:lblAlgn val="ctr"/>
        <c:lblOffset val="100"/>
        <c:noMultiLvlLbl val="false"/>
      </c:catAx>
      <c:valAx>
        <c:axId val="649187579"/>
        <c:scaling>
          <c:orientation val="minMax"/>
        </c:scaling>
        <c:delete val="false"/>
        <c:axPos val="r"/>
        <c:numFmt formatCode="General" sourceLinked="true"/>
        <c:majorTickMark val="none"/>
        <c:minorTickMark val="none"/>
        <c:tickLblPos val="nextTo"/>
        <c:spPr>
          <a:noFill/>
          <a:ln>
            <a:noFill/>
          </a:ln>
          <a:effectLst/>
        </c:spPr>
        <c:txPr>
          <a:bodyPr rot="-60000000" spcFirstLastPara="0" vertOverflow="ellipsis" vert="horz" wrap="square" anchor="ctr" anchorCtr="tru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mn-cs"/>
              </a:defRPr>
            </a:pPr>
          </a:p>
        </c:txPr>
        <c:crossAx val="878466132"/>
        <c:crosses val="max"/>
        <c:crossBetween val="between"/>
      </c:valAx>
      <c:spPr>
        <a:noFill/>
        <a:ln>
          <a:noFill/>
        </a:ln>
        <a:effectLst/>
      </c:spPr>
    </c:plotArea>
    <c:legend>
      <c:legendPos val="b"/>
      <c:legendEntry>
        <c:idx val="0"/>
        <c:txPr>
          <a:bodyPr rot="0" spcFirstLastPara="0" vertOverflow="ellipsis" vert="horz" wrap="square" anchor="ctr" anchorCtr="tru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mn-cs"/>
              </a:defRPr>
            </a:pPr>
          </a:p>
        </c:txPr>
      </c:legendEntry>
      <c:legendEntry>
        <c:idx val="1"/>
        <c:txPr>
          <a:bodyPr rot="0" spcFirstLastPara="0" vertOverflow="ellipsis" vert="horz" wrap="square" anchor="ctr" anchorCtr="tru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mn-cs"/>
              </a:defRPr>
            </a:pPr>
          </a:p>
        </c:txPr>
      </c:legendEntry>
      <c:layout/>
      <c:overlay val="false"/>
      <c:spPr>
        <a:noFill/>
        <a:ln>
          <a:noFill/>
        </a:ln>
        <a:effectLst/>
      </c:spPr>
      <c:txPr>
        <a:bodyPr rot="0" spcFirstLastPara="0" vertOverflow="ellipsis" vert="horz" wrap="square" anchor="ctr" anchorCtr="true" forceAA="fals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mn-cs"/>
            </a:defRPr>
          </a:pPr>
        </a:p>
      </c:txPr>
    </c:legend>
    <c:plotVisOnly val="true"/>
    <c:dispBlanksAs val="gap"/>
    <c:showDLblsOverMax val="false"/>
  </c:chart>
  <c:spPr>
    <a:noFill/>
    <a:ln w="19050" cap="flat" cmpd="sng" algn="ctr">
      <a:noFill/>
      <a:round/>
    </a:ln>
    <a:effectLst>
      <a:outerShdw blurRad="63500" dist="37357" dir="2700000" sx="0" sy="0" rotWithShape="0">
        <a:scrgbClr r="0" g="0" b="0"/>
      </a:outerShdw>
    </a:effectLst>
  </c:spPr>
  <c:txPr>
    <a:bodyPr/>
    <a:lstStyle/>
    <a:p>
      <a:pPr>
        <a:defRPr lang="zh-CN">
          <a:solidFill>
            <a:schemeClr val="bg1"/>
          </a:solidFill>
          <a:latin typeface="微软雅黑" panose="020B0503020204020204" charset="-122"/>
          <a:ea typeface="微软雅黑" panose="020B0503020204020204" charset="-122"/>
        </a:defRPr>
      </a:pPr>
    </a:p>
  </c:txPr>
  <c:externalData r:id="rId1">
    <c:autoUpdate val="false"/>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true" forceAA="false"/>
          <a:lstStyle/>
          <a:p>
            <a:pPr>
              <a:defRPr lang="zh-CN" sz="1400" b="0" i="0" u="none" strike="noStrike" kern="1200" spc="0" baseline="0">
                <a:ln w="0" cmpd="sng">
                  <a:noFill/>
                  <a:prstDash val="solid"/>
                </a:ln>
                <a:solidFill>
                  <a:sysClr val="windowText" lastClr="000000"/>
                </a:solidFill>
                <a:effectLst/>
                <a:latin typeface="汉仪旗黑-55简" panose="00020600040101010101" charset="-128"/>
                <a:ea typeface="汉仪旗黑-55简" panose="00020600040101010101" charset="-128"/>
                <a:cs typeface="汉仪旗黑-55简" panose="00020600040101010101" charset="-128"/>
                <a:sym typeface="汉仪旗黑-55简" panose="00020600040101010101" charset="-128"/>
              </a:defRPr>
            </a:pPr>
            <a:r>
              <a:rPr altLang="en-US">
                <a:solidFill>
                  <a:sysClr val="windowText" lastClr="000000"/>
                </a:solidFill>
              </a:rPr>
              <a:t>图</a:t>
            </a:r>
            <a:r>
              <a:rPr lang="en-US" altLang="zh-CN">
                <a:solidFill>
                  <a:sysClr val="windowText" lastClr="000000"/>
                </a:solidFill>
              </a:rPr>
              <a:t>8</a:t>
            </a:r>
            <a:r>
              <a:rPr altLang="en-US">
                <a:solidFill>
                  <a:sysClr val="windowText" lastClr="000000"/>
                </a:solidFill>
              </a:rPr>
              <a:t>：壤塘县近五年常住人口及户籍人口</a:t>
            </a:r>
            <a:endParaRPr altLang="en-US">
              <a:solidFill>
                <a:sysClr val="windowText" lastClr="000000"/>
              </a:solidFill>
            </a:endParaRPr>
          </a:p>
        </c:rich>
      </c:tx>
      <c:layout/>
      <c:overlay val="false"/>
      <c:spPr>
        <a:noFill/>
        <a:ln>
          <a:noFill/>
        </a:ln>
        <a:effectLst/>
      </c:spPr>
    </c:title>
    <c:autoTitleDeleted val="false"/>
    <c:plotArea>
      <c:layout/>
      <c:barChart>
        <c:barDir val="col"/>
        <c:grouping val="clustered"/>
        <c:varyColors val="false"/>
        <c:ser>
          <c:idx val="0"/>
          <c:order val="0"/>
          <c:tx>
            <c:strRef>
              <c:f>[壤塘2023年公报制图表.xls]Sheet1!$A$32</c:f>
              <c:strCache>
                <c:ptCount val="1"/>
                <c:pt idx="0">
                  <c:v>常住人口（人）</c:v>
                </c:pt>
              </c:strCache>
            </c:strRef>
          </c:tx>
          <c:spPr>
            <a:blipFill rotWithShape="true">
              <a:blip xmlns:r="http://schemas.openxmlformats.org/officeDocument/2006/relationships" r:embed="rId3"/>
              <a:stretch>
                <a:fillRect/>
              </a:stretch>
            </a:blipFill>
            <a:ln>
              <a:noFill/>
            </a:ln>
            <a:effectLst/>
          </c:spPr>
          <c:invertIfNegative val="false"/>
          <c:pictureOptions>
            <c:pictureFormat val="stack"/>
          </c:pictureOptions>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ysClr val="windowText" lastClr="000000"/>
                    </a:solidFill>
                    <a:latin typeface="汉仪旗黑-55简" panose="00020600040101010101" charset="-128"/>
                    <a:ea typeface="汉仪旗黑-55简" panose="00020600040101010101" charset="-128"/>
                    <a:cs typeface="汉仪旗黑-55简" panose="00020600040101010101" charset="-128"/>
                    <a:sym typeface="汉仪旗黑-55简" panose="00020600040101010101" charset="-128"/>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[壤塘2023年公报制图表.xls]Sheet1!$B$31:$F$31</c:f>
              <c:strCache>
                <c:ptCount val="5"/>
                <c:pt idx="0">
                  <c:v>2019年</c:v>
                </c:pt>
                <c:pt idx="1">
                  <c:v>2020年</c:v>
                </c:pt>
                <c:pt idx="2">
                  <c:v>2021年</c:v>
                </c:pt>
                <c:pt idx="3">
                  <c:v>2022年</c:v>
                </c:pt>
                <c:pt idx="4">
                  <c:v>2023年</c:v>
                </c:pt>
              </c:strCache>
            </c:strRef>
          </c:cat>
          <c:val>
            <c:numRef>
              <c:f>[壤塘2023年公报制图表.xls]Sheet1!$B$32:$F$32</c:f>
              <c:numCache>
                <c:formatCode>General</c:formatCode>
                <c:ptCount val="5"/>
                <c:pt idx="0">
                  <c:v>43000</c:v>
                </c:pt>
                <c:pt idx="1">
                  <c:v>44679</c:v>
                </c:pt>
                <c:pt idx="2">
                  <c:v>45000</c:v>
                </c:pt>
                <c:pt idx="3">
                  <c:v>45200</c:v>
                </c:pt>
                <c:pt idx="4">
                  <c:v>45500</c:v>
                </c:pt>
              </c:numCache>
            </c:numRef>
          </c:val>
        </c:ser>
        <c:ser>
          <c:idx val="1"/>
          <c:order val="1"/>
          <c:tx>
            <c:strRef>
              <c:f>[壤塘2023年公报制图表.xls]Sheet1!$A$33</c:f>
              <c:strCache>
                <c:ptCount val="1"/>
                <c:pt idx="0">
                  <c:v>户籍人口（人）</c:v>
                </c:pt>
              </c:strCache>
            </c:strRef>
          </c:tx>
          <c:spPr>
            <a:blipFill rotWithShape="true">
              <a:blip xmlns:r="http://schemas.openxmlformats.org/officeDocument/2006/relationships" r:embed="rId4"/>
              <a:stretch>
                <a:fillRect/>
              </a:stretch>
            </a:blipFill>
            <a:ln>
              <a:noFill/>
            </a:ln>
            <a:effectLst/>
          </c:spPr>
          <c:invertIfNegative val="false"/>
          <c:pictureOptions>
            <c:pictureFormat val="stack"/>
          </c:pictureOptions>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ysClr val="windowText" lastClr="000000"/>
                    </a:solidFill>
                    <a:latin typeface="汉仪旗黑-55简" panose="00020600040101010101" charset="-128"/>
                    <a:ea typeface="汉仪旗黑-55简" panose="00020600040101010101" charset="-128"/>
                    <a:cs typeface="汉仪旗黑-55简" panose="00020600040101010101" charset="-128"/>
                    <a:sym typeface="汉仪旗黑-55简" panose="00020600040101010101" charset="-128"/>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[壤塘2023年公报制图表.xls]Sheet1!$B$31:$F$31</c:f>
              <c:strCache>
                <c:ptCount val="5"/>
                <c:pt idx="0">
                  <c:v>2019年</c:v>
                </c:pt>
                <c:pt idx="1">
                  <c:v>2020年</c:v>
                </c:pt>
                <c:pt idx="2">
                  <c:v>2021年</c:v>
                </c:pt>
                <c:pt idx="3">
                  <c:v>2022年</c:v>
                </c:pt>
                <c:pt idx="4">
                  <c:v>2023年</c:v>
                </c:pt>
              </c:strCache>
            </c:strRef>
          </c:cat>
          <c:val>
            <c:numRef>
              <c:f>[壤塘2023年公报制图表.xls]Sheet1!$B$33:$F$33</c:f>
              <c:numCache>
                <c:formatCode>General</c:formatCode>
                <c:ptCount val="5"/>
                <c:pt idx="0">
                  <c:v>46484</c:v>
                </c:pt>
                <c:pt idx="1">
                  <c:v>47056</c:v>
                </c:pt>
                <c:pt idx="2">
                  <c:v>47447</c:v>
                </c:pt>
                <c:pt idx="3">
                  <c:v>48415</c:v>
                </c:pt>
                <c:pt idx="4">
                  <c:v>49272</c:v>
                </c:pt>
              </c:numCache>
            </c:numRef>
          </c:val>
        </c:ser>
        <c:dLbls>
          <c:showLegendKey val="false"/>
          <c:showVal val="true"/>
          <c:showCatName val="false"/>
          <c:showSerName val="false"/>
          <c:showPercent val="false"/>
          <c:showBubbleSize val="false"/>
        </c:dLbls>
        <c:gapWidth val="75"/>
        <c:overlap val="-25"/>
        <c:axId val="806466061"/>
        <c:axId val="105576011"/>
      </c:barChart>
      <c:catAx>
        <c:axId val="806466061"/>
        <c:scaling>
          <c:orientation val="minMax"/>
        </c:scaling>
        <c:delete val="false"/>
        <c:axPos val="b"/>
        <c:numFmt formatCode="General" sourceLinked="true"/>
        <c:majorTickMark val="none"/>
        <c:minorTickMark val="none"/>
        <c:tickLblPos val="nextTo"/>
        <c:spPr>
          <a:noFill/>
          <a:ln w="9525" cap="flat" cmpd="sng" algn="ctr">
            <a:solidFill>
              <a:srgbClr val="616161"/>
            </a:solidFill>
            <a:round/>
          </a:ln>
          <a:effectLst/>
        </c:spPr>
        <c:txPr>
          <a:bodyPr rot="-60000000" spcFirstLastPara="0" vertOverflow="ellipsis" vert="horz" wrap="square" anchor="ctr" anchorCtr="true" forceAA="false"/>
          <a:lstStyle/>
          <a:p>
            <a:pPr>
              <a:defRPr lang="zh-CN" sz="900" b="0" i="0" u="none" strike="noStrike" kern="1200" cap="none" spc="0" normalizeH="0" baseline="0">
                <a:solidFill>
                  <a:sysClr val="windowText" lastClr="000000"/>
                </a:solidFill>
                <a:uFill>
                  <a:solidFill>
                    <a:schemeClr val="tx1">
                      <a:lumMod val="65000"/>
                      <a:lumOff val="35000"/>
                    </a:schemeClr>
                  </a:solidFill>
                </a:uFill>
                <a:latin typeface="汉仪旗黑-55简" panose="00020600040101010101" charset="-128"/>
                <a:ea typeface="汉仪旗黑-55简" panose="00020600040101010101" charset="-128"/>
                <a:cs typeface="汉仪旗黑-55简" panose="00020600040101010101" charset="-128"/>
                <a:sym typeface="汉仪旗黑-55简" panose="00020600040101010101" charset="-128"/>
              </a:defRPr>
            </a:pPr>
          </a:p>
        </c:txPr>
        <c:crossAx val="105576011"/>
        <c:crosses val="autoZero"/>
        <c:auto val="true"/>
        <c:lblAlgn val="ctr"/>
        <c:lblOffset val="100"/>
        <c:noMultiLvlLbl val="false"/>
      </c:catAx>
      <c:valAx>
        <c:axId val="105576011"/>
        <c:scaling>
          <c:orientation val="minMax"/>
        </c:scaling>
        <c:delete val="false"/>
        <c:axPos val="l"/>
        <c:majorGridlines>
          <c:spPr>
            <a:ln w="9525" cap="flat" cmpd="sng" algn="ctr">
              <a:solidFill>
                <a:srgbClr val="BCD3DD"/>
              </a:solidFill>
              <a:prstDash val="dash"/>
              <a:round/>
            </a:ln>
            <a:effectLst/>
          </c:spPr>
        </c:majorGridlines>
        <c:numFmt formatCode="General" sourceLinked="true"/>
        <c:majorTickMark val="none"/>
        <c:minorTickMark val="none"/>
        <c:tickLblPos val="nextTo"/>
        <c:spPr>
          <a:noFill/>
          <a:ln>
            <a:noFill/>
          </a:ln>
          <a:effectLst/>
        </c:spPr>
        <c:txPr>
          <a:bodyPr rot="-60000000" spcFirstLastPara="0" vertOverflow="ellipsis" vert="horz" wrap="square" anchor="ctr" anchorCtr="true" forceAA="false"/>
          <a:lstStyle/>
          <a:p>
            <a:pPr>
              <a:defRPr lang="zh-CN" sz="900" b="0" i="0" u="none" strike="noStrike" kern="1200" baseline="0">
                <a:solidFill>
                  <a:sysClr val="windowText" lastClr="000000"/>
                </a:solidFill>
                <a:latin typeface="汉仪旗黑-55简" panose="00020600040101010101" charset="-128"/>
                <a:ea typeface="汉仪旗黑-55简" panose="00020600040101010101" charset="-128"/>
                <a:cs typeface="汉仪旗黑-55简" panose="00020600040101010101" charset="-128"/>
                <a:sym typeface="汉仪旗黑-55简" panose="00020600040101010101" charset="-128"/>
              </a:defRPr>
            </a:pPr>
          </a:p>
        </c:txPr>
        <c:crossAx val="806466061"/>
        <c:crosses val="autoZero"/>
        <c:crossBetween val="between"/>
      </c:valAx>
      <c:spPr>
        <a:noFill/>
        <a:ln>
          <a:noFill/>
        </a:ln>
        <a:effectLst/>
      </c:spPr>
    </c:plotArea>
    <c:legend>
      <c:legendPos val="b"/>
      <c:legendEntry>
        <c:idx val="0"/>
        <c:txPr>
          <a:bodyPr rot="0" spcFirstLastPara="0" vertOverflow="ellipsis" vert="horz" wrap="square" anchor="ctr" anchorCtr="true"/>
          <a:lstStyle/>
          <a:p>
            <a:pPr>
              <a:defRPr lang="zh-CN" sz="900" b="0" i="0" u="none" strike="noStrike" kern="1200" cap="none" spc="0" normalizeH="0" baseline="0">
                <a:solidFill>
                  <a:sysClr val="windowText" lastClr="000000"/>
                </a:solidFill>
                <a:uFill>
                  <a:solidFill>
                    <a:schemeClr val="tx1">
                      <a:lumMod val="65000"/>
                      <a:lumOff val="35000"/>
                    </a:schemeClr>
                  </a:solidFill>
                </a:uFill>
                <a:latin typeface="汉仪旗黑-55简" panose="00020600040101010101" charset="-128"/>
                <a:ea typeface="汉仪旗黑-55简" panose="00020600040101010101" charset="-128"/>
                <a:cs typeface="汉仪旗黑-55简" panose="00020600040101010101" charset="-128"/>
                <a:sym typeface="汉仪旗黑-55简" panose="00020600040101010101" charset="-128"/>
              </a:defRPr>
            </a:pPr>
          </a:p>
        </c:txPr>
      </c:legendEntry>
      <c:legendEntry>
        <c:idx val="1"/>
        <c:txPr>
          <a:bodyPr rot="0" spcFirstLastPara="0" vertOverflow="ellipsis" vert="horz" wrap="square" anchor="ctr" anchorCtr="true"/>
          <a:lstStyle/>
          <a:p>
            <a:pPr>
              <a:defRPr lang="zh-CN" sz="900" b="0" i="0" u="none" strike="noStrike" kern="1200" cap="none" spc="0" normalizeH="0" baseline="0">
                <a:solidFill>
                  <a:sysClr val="windowText" lastClr="000000"/>
                </a:solidFill>
                <a:uFill>
                  <a:solidFill>
                    <a:schemeClr val="tx1">
                      <a:lumMod val="65000"/>
                      <a:lumOff val="35000"/>
                    </a:schemeClr>
                  </a:solidFill>
                </a:uFill>
                <a:latin typeface="汉仪旗黑-55简" panose="00020600040101010101" charset="-128"/>
                <a:ea typeface="汉仪旗黑-55简" panose="00020600040101010101" charset="-128"/>
                <a:cs typeface="汉仪旗黑-55简" panose="00020600040101010101" charset="-128"/>
                <a:sym typeface="汉仪旗黑-55简" panose="00020600040101010101" charset="-128"/>
              </a:defRPr>
            </a:pPr>
          </a:p>
        </c:txPr>
      </c:legendEntry>
      <c:layout/>
      <c:overlay val="false"/>
      <c:spPr>
        <a:noFill/>
        <a:ln>
          <a:noFill/>
        </a:ln>
        <a:effectLst/>
      </c:spPr>
      <c:txPr>
        <a:bodyPr rot="0" spcFirstLastPara="0" vertOverflow="ellipsis" vert="horz" wrap="square" anchor="ctr" anchorCtr="true" forceAA="false"/>
        <a:lstStyle/>
        <a:p>
          <a:pPr>
            <a:defRPr lang="zh-CN" sz="900" b="0" i="0" u="none" strike="noStrike" kern="1200" cap="none" spc="0" normalizeH="0" baseline="0">
              <a:solidFill>
                <a:sysClr val="windowText" lastClr="000000"/>
              </a:solidFill>
              <a:uFill>
                <a:solidFill>
                  <a:schemeClr val="tx1">
                    <a:lumMod val="65000"/>
                    <a:lumOff val="35000"/>
                  </a:schemeClr>
                </a:solidFill>
              </a:uFill>
              <a:latin typeface="汉仪旗黑-55简" panose="00020600040101010101" charset="-128"/>
              <a:ea typeface="汉仪旗黑-55简" panose="00020600040101010101" charset="-128"/>
              <a:cs typeface="汉仪旗黑-55简" panose="00020600040101010101" charset="-128"/>
              <a:sym typeface="汉仪旗黑-55简" panose="00020600040101010101" charset="-128"/>
            </a:defRPr>
          </a:pPr>
        </a:p>
      </c:txPr>
    </c:legend>
    <c:plotVisOnly val="true"/>
    <c:dispBlanksAs val="gap"/>
    <c:showDLblsOverMax val="false"/>
  </c:chart>
  <c:spPr>
    <a:blipFill rotWithShape="true">
      <a:blip xmlns:r="http://schemas.openxmlformats.org/officeDocument/2006/relationships" r:embed="rId5"/>
      <a:stretch>
        <a:fillRect/>
      </a:stretch>
    </a:blipFill>
    <a:ln w="12700" cap="flat" cmpd="sng" algn="ctr">
      <a:noFill/>
      <a:round/>
    </a:ln>
    <a:effectLst/>
  </c:spPr>
  <c:txPr>
    <a:bodyPr/>
    <a:lstStyle/>
    <a:p>
      <a:pPr>
        <a:defRPr lang="zh-CN">
          <a:solidFill>
            <a:sysClr val="windowText" lastClr="000000"/>
          </a:solidFill>
          <a:latin typeface="汉仪旗黑-55简" panose="00020600040101010101" charset="-128"/>
          <a:ea typeface="汉仪旗黑-55简" panose="00020600040101010101" charset="-128"/>
          <a:cs typeface="汉仪旗黑-55简" panose="00020600040101010101" charset="-128"/>
          <a:sym typeface="汉仪旗黑-55简" panose="00020600040101010101" charset="-128"/>
        </a:defRPr>
      </a:pPr>
    </a:p>
  </c:txPr>
  <c:externalData r:id="rId1">
    <c:autoUpdate val="false"/>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自定义 15">
    <a:dk1>
      <a:srgbClr val="000000"/>
    </a:dk1>
    <a:lt1>
      <a:srgbClr val="FFFFFF"/>
    </a:lt1>
    <a:dk2>
      <a:srgbClr val="000000"/>
    </a:dk2>
    <a:lt2>
      <a:srgbClr val="FEFFFF"/>
    </a:lt2>
    <a:accent1>
      <a:srgbClr val="39C586"/>
    </a:accent1>
    <a:accent2>
      <a:srgbClr val="5E78F8"/>
    </a:accent2>
    <a:accent3>
      <a:srgbClr val="9264E6"/>
    </a:accent3>
    <a:accent4>
      <a:srgbClr val="2CA7E4"/>
    </a:accent4>
    <a:accent5>
      <a:srgbClr val="F2B12E"/>
    </a:accent5>
    <a:accent6>
      <a:srgbClr val="DD4752"/>
    </a:accent6>
    <a:hlink>
      <a:srgbClr val="304FFE"/>
    </a:hlink>
    <a:folHlink>
      <a:srgbClr val="00A3F4"/>
    </a:folHlink>
  </a:clrScheme>
  <a:fontScheme name="微软雅黑">
    <a:majorFont>
      <a:latin typeface="Arial"/>
      <a:ea typeface="微软雅黑"/>
      <a:cs typeface=""/>
    </a:majorFont>
    <a:minorFont>
      <a:latin typeface="Arial"/>
      <a:ea typeface="微软雅黑"/>
      <a:cs typeface=""/>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Info spid="_x0000_s1026"/>
    <customShpInfo spid="_x0000_s1027"/>
    <customShpInfo spid="_x0000_s102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19</Pages>
  <Words>6984</Words>
  <Characters>8365</Characters>
  <Lines>43</Lines>
  <Paragraphs>12</Paragraphs>
  <TotalTime>0</TotalTime>
  <ScaleCrop>false</ScaleCrop>
  <LinksUpToDate>false</LinksUpToDate>
  <CharactersWithSpaces>8504</CharactersWithSpaces>
  <Application>WPS Office_11.1.0.10161_F1E327BC-269C-435d-A152-05C5408002CA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2018-12-22T21:56:00Z</dcterms:created>
  <dc:creator>雪域谪仙</dc:creator>
  <cp:lastModifiedBy>user</cp:lastModifiedBy>
  <cp:lastPrinted>2024-05-23T22:13:00Z</cp:lastPrinted>
  <dcterms:modified xsi:type="dcterms:W3CDTF">2026-05-22T13:57:19Z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y fmtid="{D5CDD505-2E9C-101B-9397-08002B2CF9AE}" pid="3" name="ICV">
    <vt:lpwstr>76E533EB1D564336AA2DC448AD93516A</vt:lpwstr>
  </property>
  <property fmtid="{D5CDD505-2E9C-101B-9397-08002B2CF9AE}" pid="4" name="commondata">
    <vt:lpwstr>eyJoZGlkIjoiNzRjNzcwOTI3ZjIzODQxZWQ0NTNkMDI3YzJhNWQ0YWUifQ==</vt:lpwstr>
  </property>
</Properties>
</file>