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76" w:lineRule="exact"/>
        <w:rPr>
          <w:rFonts w:ascii="Times New Roman" w:hAnsi="Times New Roman" w:eastAsia="楷体_GB2312" w:cs="Times New Roman"/>
          <w:b/>
          <w:bCs/>
          <w:sz w:val="32"/>
          <w:szCs w:val="32"/>
        </w:rPr>
      </w:pPr>
      <w:r>
        <w:rPr>
          <w:rFonts w:ascii="Times New Roman" w:hAnsi="Times New Roman" w:eastAsia="方正小标宋简体" w:cs="Times New Roman"/>
          <w:color w:val="000000"/>
          <w:sz w:val="52"/>
          <w:szCs w:val="52"/>
        </w:rPr>
        <w:pict>
          <v:shape id="_x0000_s3075" o:spid="_x0000_s3075" o:spt="202" type="#_x0000_t202" style="position:absolute;left:0pt;margin-left:-4.5pt;margin-top:-1.95pt;height:48.6pt;width:142.6pt;z-index:251661312;mso-width-relative:page;mso-height-relative:page;" stroked="f" coordsize="21600,21600" o:gfxdata="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7ugu9cAAAAIAQAADwAAAAAAAAABACAAAAAiAAAAZHJz&#10;L2Rvd25yZXYueG1sUEsBAhQAFAAAAAgAh07iQKHb2+zMAQAAggMAAA4AAAAAAAAAAQAgAAAAJgEA&#10;AGRycy9lMm9Eb2MueG1sUEsFBgAAAAAGAAYAWQEAAGQFAAAAAA==&#10;">
            <v:path/>
            <v:fill focussize="0,0"/>
            <v:stroke on="f" joinstyle="miter"/>
            <v:imagedata o:title=""/>
            <o:lock v:ext="edit"/>
            <v:textbox>
              <w:txbxContent>
                <w:p>
                  <w:pPr>
                    <w:spacing w:line="400" w:lineRule="exact"/>
                    <w:jc w:val="distribute"/>
                    <w:rPr>
                      <w:rFonts w:ascii="方正楷体_GBK" w:hAnsi="方正楷体_GBK" w:eastAsia="方正楷体_GBK" w:cs="方正楷体_GBK"/>
                      <w:sz w:val="28"/>
                      <w:szCs w:val="32"/>
                    </w:rPr>
                  </w:pPr>
                  <w:r>
                    <w:rPr>
                      <w:rFonts w:hint="eastAsia" w:ascii="方正楷体_GBK" w:hAnsi="方正楷体_GBK" w:eastAsia="方正楷体_GBK" w:cs="方正楷体_GBK"/>
                      <w:spacing w:val="11"/>
                      <w:sz w:val="28"/>
                      <w:szCs w:val="32"/>
                    </w:rPr>
                    <w:t>壤塘县十五届人大</w:t>
                  </w:r>
                </w:p>
                <w:p>
                  <w:pPr>
                    <w:spacing w:line="400" w:lineRule="exact"/>
                    <w:rPr>
                      <w:rFonts w:ascii="楷体_GB2312" w:eastAsia="楷体_GB2312"/>
                      <w:w w:val="75"/>
                      <w:sz w:val="28"/>
                      <w:szCs w:val="28"/>
                    </w:rPr>
                  </w:pPr>
                  <w:r>
                    <w:rPr>
                      <w:rFonts w:hint="eastAsia" w:ascii="方正楷体_GBK" w:hAnsi="方正楷体_GBK" w:eastAsia="方正楷体_GBK" w:cs="方正楷体_GBK"/>
                      <w:sz w:val="28"/>
                      <w:szCs w:val="32"/>
                    </w:rPr>
                    <w:t>四次会议文件</w:t>
                  </w:r>
                  <w:r>
                    <w:rPr>
                      <w:rFonts w:hint="eastAsia" w:ascii="方正楷体_GBK" w:hAnsi="方正楷体_GBK" w:eastAsia="方正楷体_GBK" w:cs="方正楷体_GBK"/>
                      <w:w w:val="75"/>
                      <w:sz w:val="28"/>
                      <w:szCs w:val="32"/>
                    </w:rPr>
                    <w:t>（二十一）</w:t>
                  </w:r>
                </w:p>
              </w:txbxContent>
            </v:textbox>
          </v:shape>
        </w:pic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jc w:val="center"/>
        <w:rPr>
          <w:rFonts w:ascii="Times New Roman" w:hAnsi="Times New Roman" w:eastAsia="方正小标宋_GBK" w:cs="Times New Roman"/>
          <w:sz w:val="44"/>
          <w:szCs w:val="44"/>
        </w:rPr>
      </w:pPr>
    </w:p>
    <w:p>
      <w:pPr>
        <w:overflowPunct w:val="0"/>
        <w:spacing w:line="576"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壤塘县2023年财政预算执行情况和2024年</w:t>
      </w:r>
    </w:p>
    <w:p>
      <w:pPr>
        <w:overflowPunct w:val="0"/>
        <w:spacing w:line="576" w:lineRule="exact"/>
        <w:jc w:val="center"/>
        <w:rPr>
          <w:rFonts w:ascii="Times New Roman" w:hAnsi="Times New Roman" w:eastAsia="方正小标宋_GBK" w:cs="Times New Roman"/>
          <w:sz w:val="32"/>
          <w:szCs w:val="32"/>
        </w:rPr>
      </w:pPr>
      <w:r>
        <w:rPr>
          <w:rFonts w:ascii="Times New Roman" w:hAnsi="Times New Roman" w:eastAsia="方正小标宋_GBK" w:cs="Times New Roman"/>
          <w:sz w:val="44"/>
          <w:szCs w:val="44"/>
        </w:rPr>
        <w:t>财政预算草案的报告（书面）</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jc w:val="center"/>
        <w:rPr>
          <w:rFonts w:ascii="Times New Roman" w:hAnsi="Times New Roman" w:eastAsia="楷体_GB2312" w:cs="Times New Roman"/>
          <w:b/>
          <w:bCs/>
          <w:sz w:val="32"/>
          <w:szCs w:val="32"/>
        </w:rPr>
      </w:pPr>
      <w:r>
        <w:rPr>
          <w:rFonts w:ascii="Times New Roman" w:hAnsi="Times New Roman" w:eastAsia="楷体_GB2312" w:cs="Times New Roman"/>
          <w:sz w:val="32"/>
          <w:szCs w:val="32"/>
        </w:rPr>
        <w:t>2024</w:t>
      </w:r>
      <w:r>
        <w:rPr>
          <w:rFonts w:ascii="Times New Roman" w:hAnsi="Times New Roman" w:eastAsia="楷体_GB2312" w:cs="Times New Roman"/>
          <w:b/>
          <w:bCs/>
          <w:sz w:val="32"/>
          <w:szCs w:val="32"/>
        </w:rPr>
        <w:t>年</w:t>
      </w:r>
      <w:r>
        <w:rPr>
          <w:rFonts w:hint="eastAsia" w:ascii="Times New Roman" w:hAnsi="Times New Roman" w:eastAsia="楷体_GB2312" w:cs="Times New Roman"/>
          <w:sz w:val="32"/>
          <w:szCs w:val="32"/>
        </w:rPr>
        <w:t>1</w:t>
      </w:r>
      <w:r>
        <w:rPr>
          <w:rFonts w:ascii="Times New Roman" w:hAnsi="Times New Roman" w:eastAsia="楷体_GB2312" w:cs="Times New Roman"/>
          <w:b/>
          <w:bCs/>
          <w:sz w:val="32"/>
          <w:szCs w:val="32"/>
        </w:rPr>
        <w:t>月</w:t>
      </w:r>
      <w:r>
        <w:rPr>
          <w:rFonts w:hint="eastAsia" w:ascii="Times New Roman" w:hAnsi="Times New Roman" w:eastAsia="楷体_GB2312" w:cs="Times New Roman"/>
          <w:sz w:val="32"/>
          <w:szCs w:val="32"/>
        </w:rPr>
        <w:t>27</w:t>
      </w:r>
      <w:r>
        <w:rPr>
          <w:rFonts w:ascii="Times New Roman" w:hAnsi="Times New Roman" w:eastAsia="楷体_GB2312" w:cs="Times New Roman"/>
          <w:b/>
          <w:bCs/>
          <w:sz w:val="32"/>
          <w:szCs w:val="32"/>
        </w:rPr>
        <w:t>日在壤塘县第十五届人民代表大会第四次会议上</w:t>
      </w:r>
    </w:p>
    <w:p>
      <w:pPr>
        <w:overflowPunct w:val="0"/>
        <w:spacing w:line="576" w:lineRule="exact"/>
        <w:jc w:val="center"/>
        <w:rPr>
          <w:rFonts w:ascii="Times New Roman" w:hAnsi="Times New Roman" w:eastAsia="楷体_GB2312" w:cs="Times New Roman"/>
          <w:sz w:val="32"/>
          <w:szCs w:val="32"/>
        </w:rPr>
      </w:pPr>
      <w:r>
        <w:rPr>
          <w:rFonts w:ascii="Times New Roman" w:hAnsi="Times New Roman" w:eastAsia="楷体_GB2312" w:cs="Times New Roman"/>
          <w:b/>
          <w:bCs/>
          <w:sz w:val="32"/>
          <w:szCs w:val="32"/>
        </w:rPr>
        <w:t>壤塘县财政局</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rPr>
          <w:rFonts w:ascii="Times New Roman" w:hAnsi="Times New Roman" w:eastAsia="仿宋_GB2312" w:cs="Times New Roman"/>
          <w:b/>
          <w:sz w:val="32"/>
          <w:szCs w:val="32"/>
        </w:rPr>
      </w:pPr>
      <w:r>
        <w:rPr>
          <w:rFonts w:ascii="Times New Roman" w:hAnsi="Times New Roman" w:eastAsia="方正仿宋_GBK" w:cs="Times New Roman"/>
          <w:b/>
          <w:sz w:val="32"/>
          <w:szCs w:val="32"/>
        </w:rPr>
        <w:t>各位代表：</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受县人民政府委托，现将壤塘县2023年财政预算执行情况和2024年财政预算草案提请县第十五届人民代表大会第四次会议审查，请县政协委员和列席同志提出意见。</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2023年财政预算执行情况</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ind w:firstLine="642" w:firstLineChars="200"/>
        <w:rPr>
          <w:rFonts w:ascii="Times New Roman" w:hAnsi="Times New Roman" w:eastAsia="黑体" w:cs="Times New Roman"/>
          <w:b/>
          <w:sz w:val="32"/>
          <w:szCs w:val="32"/>
        </w:rPr>
      </w:pPr>
      <w:r>
        <w:rPr>
          <w:rFonts w:ascii="Times New Roman" w:hAnsi="Times New Roman" w:eastAsia="方正黑体_GBK" w:cs="Times New Roman"/>
          <w:b/>
          <w:sz w:val="32"/>
          <w:szCs w:val="32"/>
        </w:rPr>
        <w:t>一、2023年财政预算执行情况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2023年，在县委的正确领导下，在县人大及其常委会的法律监督和县政协的民主监督下，我们始终坚持以习近平新时代中国特色社会主义思想为指导，深入贯彻党的二十大精神，扎实开展学习贯彻习近平新时代中国特色社会主义思想主题教育，全面落实省委十二届四次全会、州委十二届</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次全会和县委十四届</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次全会精神，紧紧围绕县委“农牧立县、文旅兴县、能源富县”发展战略和年度目标任务，坚持“稳字当头，稳中求进”工作总基调，狠抓收入组织，统筹调度资金，增强“三保”能力，全县财政运行总体健康平稳。</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（一）一般公共预算执行情况</w:t>
      </w:r>
    </w:p>
    <w:p>
      <w:pPr>
        <w:overflowPunct w:val="0"/>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一般公共预算收入完成4012万元，完成年初预算的127.16%，其中：税收收入1856万元，占比46.26%，非税收入2156万元，占比53.74%。2023年超收收入857万元，按照《中华人民共和国预算法》规定，全部补充预算稳定调节基金。</w:t>
      </w:r>
    </w:p>
    <w:p>
      <w:pPr>
        <w:overflowPunct w:val="0"/>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一般公共预算支出为179658万元，完成调整预算数180738万元的99.40%，同比增支19230万元，增长11.99%。按一般公共预算支出功能分类科目划分：一般公共服务支出23243万元；国防支出51万元；公共安全支出6931万元；教育支出23057万元；科学技术支出149万元；文化</w:t>
      </w:r>
      <w:r>
        <w:rPr>
          <w:rFonts w:hint="eastAsia" w:ascii="Times New Roman" w:hAnsi="Times New Roman" w:eastAsia="方正仿宋_GBK" w:cs="Times New Roman"/>
          <w:sz w:val="32"/>
          <w:szCs w:val="32"/>
        </w:rPr>
        <w:t>旅游</w:t>
      </w:r>
      <w:r>
        <w:rPr>
          <w:rFonts w:ascii="Times New Roman" w:hAnsi="Times New Roman" w:eastAsia="方正仿宋_GBK" w:cs="Times New Roman"/>
          <w:sz w:val="32"/>
          <w:szCs w:val="32"/>
        </w:rPr>
        <w:t>体育与传媒支出4283万元；社会保障和就业支出21124万元；卫生健康支出13833万元；节能环保支出3588万元；城乡社区支出2866万元；农林水支出48897万元；交通运输支出4980万元；资源勘探</w:t>
      </w:r>
      <w:r>
        <w:rPr>
          <w:rFonts w:hint="eastAsia" w:ascii="Times New Roman" w:hAnsi="Times New Roman" w:eastAsia="方正仿宋_GBK" w:cs="Times New Roman"/>
          <w:sz w:val="32"/>
          <w:szCs w:val="32"/>
        </w:rPr>
        <w:t>工业</w:t>
      </w:r>
      <w:r>
        <w:rPr>
          <w:rFonts w:ascii="Times New Roman" w:hAnsi="Times New Roman" w:eastAsia="方正仿宋_GBK" w:cs="Times New Roman"/>
          <w:sz w:val="32"/>
          <w:szCs w:val="32"/>
        </w:rPr>
        <w:t>信息等支出448万元；商业服务业等支出352万元；金融支出1万元；自然资源海洋气象等支出1282万元；住房保障支出5550万元；粮油物资储备支出961万元；灾害防治及应急管理支出4650万元；其他支出12458万元；债务付息支出948万元；债务发行费用支出6万元。</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2023年一般公共预算收入为4012万元，上级补助收入165676万元，其中：返还性收入418万元、一般性转移支付收入142356万元、专项转移支付收入22902万元，债券转贷收入9801万元，接受其他地区援助收入8707万元（绵阳援建3992万元，浙江援建4715万元），上年结余收入895万元，收入总量为189091万元。2023年一般公共预算支出179658万元，专项上解支出2795万元，债务还本支出4701万元，补充预算稳定调节基金857万元，支出总计188011万元。收支相抵后结余1080万元，全部结转下年支出。当年收支平衡。</w:t>
      </w:r>
    </w:p>
    <w:p>
      <w:pPr>
        <w:overflowPunct w:val="0"/>
        <w:spacing w:line="576" w:lineRule="exact"/>
        <w:ind w:firstLine="642"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（二）政府性基金预算执行情况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2023年政府性基金预算收入完成469万元，其中：本级收入372万元，上级补助收入97万元。全年政府性基金预算支出13</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万元，主要用于涉农支出、专项债券付息等支出，年终结余33</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万元，全部结转至下年。当年收支平衡。</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（三）社会保险基金预算执行情况</w:t>
      </w:r>
    </w:p>
    <w:p>
      <w:pPr>
        <w:overflowPunct w:val="0"/>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val="zh-CN"/>
        </w:rPr>
        <w:t>2023年城乡居民养老保险基金由州级统筹，县级不编报预算</w:t>
      </w:r>
      <w:r>
        <w:rPr>
          <w:rFonts w:ascii="Times New Roman" w:hAnsi="Times New Roman" w:eastAsia="方正仿宋_GBK" w:cs="Times New Roman"/>
          <w:sz w:val="32"/>
          <w:szCs w:val="32"/>
        </w:rPr>
        <w:t>。</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（四）国有资本经营预算执行情况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2023年国有资本经营预算收入完成0.5万元，其中：本级收入0万元，上级补助收入0.5万元，收入总计为0.5万元。全年国有资本经营预算支出0.5万元，主要用于国有企业退休人员社会化管理补助支出。当年收支平衡。</w:t>
      </w:r>
    </w:p>
    <w:p>
      <w:pPr>
        <w:pStyle w:val="10"/>
        <w:overflowPunct w:val="0"/>
        <w:spacing w:line="576" w:lineRule="exact"/>
        <w:ind w:firstLine="64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（五）地方政府债务情况</w:t>
      </w:r>
    </w:p>
    <w:p>
      <w:pPr>
        <w:pStyle w:val="10"/>
        <w:overflowPunct w:val="0"/>
        <w:spacing w:line="576" w:lineRule="exact"/>
        <w:ind w:firstLine="640"/>
        <w:rPr>
          <w:rFonts w:ascii="Times New Roman" w:hAnsi="Times New Roman" w:eastAsia="方正仿宋_GBK" w:cs="Times New Roman"/>
          <w:sz w:val="32"/>
          <w:szCs w:val="32"/>
          <w:lang w:val="zh-CN"/>
        </w:rPr>
      </w:pPr>
      <w:r>
        <w:rPr>
          <w:rFonts w:ascii="Times New Roman" w:hAnsi="Times New Roman" w:eastAsia="方正仿宋_GBK" w:cs="Times New Roman"/>
          <w:sz w:val="32"/>
          <w:szCs w:val="32"/>
          <w:lang w:val="zh-CN"/>
        </w:rPr>
        <w:t>2023年初地方政府债务余额24886万元，当年新增地方政府债券资金9801万元，其中：新增地方政府一般债券资金5100万元，再融资债券4701万元。当年地方政府一般债券还本支出4701万元。2023年末地方政府债务余额为29986万元，其中：一般债务29626万元、专项债务360万元。上级核定2023年我县地方政府债务限额为33292万元，债务风险可控。</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以上财政预算执行数据为预计数，在完成决算审查汇总并与州财政办理结算后会有一定变化，届时再向县人大常委会报告。</w:t>
      </w:r>
    </w:p>
    <w:p>
      <w:pPr>
        <w:overflowPunct w:val="0"/>
        <w:spacing w:line="576" w:lineRule="exact"/>
        <w:ind w:firstLine="642" w:firstLineChars="200"/>
        <w:rPr>
          <w:rFonts w:ascii="Times New Roman" w:hAnsi="Times New Roman" w:eastAsia="仿宋_GB2312" w:cs="Times New Roman"/>
          <w:b/>
          <w:sz w:val="32"/>
          <w:szCs w:val="32"/>
        </w:rPr>
      </w:pPr>
      <w:r>
        <w:rPr>
          <w:rFonts w:ascii="Times New Roman" w:hAnsi="Times New Roman" w:eastAsia="方正黑体_GBK" w:cs="Times New Roman"/>
          <w:b/>
          <w:sz w:val="32"/>
          <w:szCs w:val="32"/>
        </w:rPr>
        <w:t>二、2023年财政工作开展情况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2023年，财政预算工作全面贯彻落实壤塘县第十五届人大第二次会议有关决议及县人大财政预算和农业农村城乡环境保护委员会的审查意见，自觉接受人大监督，全面贯彻落实《中华人民共和国预算法》及其实施条例，充分发挥财政职能，全力保障县委决策部署落地落实。</w:t>
      </w:r>
    </w:p>
    <w:p>
      <w:pPr>
        <w:overflowPunct w:val="0"/>
        <w:spacing w:line="576" w:lineRule="exact"/>
        <w:ind w:firstLine="642" w:firstLineChars="200"/>
        <w:rPr>
          <w:rFonts w:ascii="Times New Roman" w:hAnsi="Times New Roman" w:eastAsia="仿宋_GB2312" w:cs="Times New Roman"/>
          <w:sz w:val="32"/>
          <w:szCs w:val="32"/>
        </w:rPr>
      </w:pPr>
      <w:r>
        <w:rPr>
          <w:rFonts w:ascii="Times New Roman" w:hAnsi="Times New Roman" w:eastAsia="方正楷体_GBK" w:cs="Times New Roman"/>
          <w:b/>
          <w:bCs/>
          <w:sz w:val="32"/>
          <w:szCs w:val="32"/>
        </w:rPr>
        <w:t>（一）拓宽收入渠道，积极筹集资金</w:t>
      </w:r>
    </w:p>
    <w:p>
      <w:pPr>
        <w:pStyle w:val="10"/>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仿宋_GBK" w:cs="Times New Roman"/>
          <w:sz w:val="32"/>
          <w:szCs w:val="32"/>
          <w:lang w:val="zh-CN"/>
        </w:rPr>
        <w:t>为保障全县重点支出，多措并举“增收节支”。</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主动对接州财政局、省财政厅20余次，争取到位上级资金27274.08万元。其中，项目专项资金2037.12万元、再融资债券4701万元、一般债券资金5100万元、财力性补助资金15338.2万元、飞地园区税收分享收入97.76万元。</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坚持“任务不变，目标不减”原则，加强与税务及非税重点部门的沟通交流协调，加强税源培植，在征收重点财源、挖掘潜力财源上狠下功夫，超额完成一般公共预算收入目标，突破4000万。</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sz w:val="32"/>
          <w:szCs w:val="32"/>
          <w:lang w:val="zh-CN"/>
        </w:rPr>
        <w:t>厉行勤俭节约，坚决反对铺张浪费，严肃财经纪律，严格审核预算资金申请，把各方面资金管好用好，坚决贯彻落实党政机关过“紧日子”要求，2023年压减一般性支出412.93万元，收回存量资金15995.90万元，用于保障重点领域支出需求。</w:t>
      </w:r>
      <w:r>
        <w:rPr>
          <w:rFonts w:ascii="Times New Roman" w:hAnsi="Times New Roman" w:eastAsia="方正仿宋_GBK" w:cs="Times New Roman"/>
          <w:b/>
          <w:bCs/>
          <w:sz w:val="32"/>
          <w:szCs w:val="32"/>
          <w:lang w:val="zh-CN"/>
        </w:rPr>
        <w:t>四是</w:t>
      </w:r>
      <w:r>
        <w:rPr>
          <w:rFonts w:ascii="Times New Roman" w:hAnsi="Times New Roman" w:eastAsia="方正仿宋_GBK" w:cs="Times New Roman"/>
          <w:sz w:val="32"/>
          <w:szCs w:val="32"/>
          <w:lang w:val="zh-CN"/>
        </w:rPr>
        <w:t>积极向上申报专项债券项目3个，涉及资金7000万元，主要用于南木达镇、中壤塘镇污水处理和畜牧产业融合示范园建设。</w:t>
      </w:r>
    </w:p>
    <w:p>
      <w:pPr>
        <w:pStyle w:val="10"/>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（二）稳定经济增长，保障重点支出</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2023年，在兜牢“三保”支出的基础上，继续在社会保障、教育、交通、民生、乡村振兴等重点领域加大资金投入，落实积极财政政策，促进全县经济高质量发展。</w:t>
      </w:r>
      <w:r>
        <w:rPr>
          <w:rFonts w:ascii="Times New Roman" w:hAnsi="Times New Roman" w:eastAsia="方正仿宋_GBK" w:cs="Times New Roman"/>
          <w:b/>
          <w:bCs/>
          <w:sz w:val="32"/>
          <w:szCs w:val="32"/>
          <w:lang w:val="zh-CN"/>
        </w:rPr>
        <w:t>一是切实保障“三保”支出。</w:t>
      </w:r>
      <w:r>
        <w:rPr>
          <w:rFonts w:ascii="Times New Roman" w:hAnsi="Times New Roman" w:eastAsia="方正仿宋_GBK" w:cs="Times New Roman"/>
          <w:sz w:val="32"/>
          <w:szCs w:val="32"/>
          <w:lang w:val="zh-CN"/>
        </w:rPr>
        <w:t>全年安排国省“三保”范围支出预算79387万元。全年安排民生支出122204万元，占一般公共预算支出68.02%。</w:t>
      </w:r>
      <w:r>
        <w:rPr>
          <w:rFonts w:ascii="Times New Roman" w:hAnsi="Times New Roman" w:eastAsia="方正仿宋_GBK" w:cs="Times New Roman"/>
          <w:b/>
          <w:bCs/>
          <w:sz w:val="32"/>
          <w:szCs w:val="32"/>
          <w:lang w:val="zh-CN"/>
        </w:rPr>
        <w:t>二是持续加大乡村振兴资金投入。</w:t>
      </w:r>
      <w:r>
        <w:rPr>
          <w:rFonts w:ascii="Times New Roman" w:hAnsi="Times New Roman" w:eastAsia="方正仿宋_GBK" w:cs="Times New Roman"/>
          <w:sz w:val="32"/>
          <w:szCs w:val="32"/>
          <w:lang w:val="zh-CN"/>
        </w:rPr>
        <w:t>全年安排财政统筹整合涉农资金18982万元（其中：中央衔接资金13602万元、省级衔接资金1692万元、州级衔接资金743万元、县级衔接资金1470万元、统筹整合行业涉农资金1475万元），用于58个乡村振兴项目，中央衔接资金产业投入占比为61.02%，省级衔接资金产业投入占比为53.90%。</w:t>
      </w:r>
      <w:r>
        <w:rPr>
          <w:rFonts w:ascii="Times New Roman" w:hAnsi="Times New Roman" w:eastAsia="方正仿宋_GBK" w:cs="Times New Roman"/>
          <w:b/>
          <w:bCs/>
          <w:sz w:val="32"/>
          <w:szCs w:val="32"/>
          <w:lang w:val="zh-CN"/>
        </w:rPr>
        <w:t>三是全力支持灾后恢复重建。</w:t>
      </w:r>
      <w:r>
        <w:rPr>
          <w:rFonts w:ascii="Times New Roman" w:hAnsi="Times New Roman" w:eastAsia="方正仿宋_GBK" w:cs="Times New Roman"/>
          <w:sz w:val="32"/>
          <w:szCs w:val="32"/>
          <w:lang w:val="zh-CN"/>
        </w:rPr>
        <w:t>根据马尔康“6·10”震群地震灾后恢复重建任务清单，累计</w:t>
      </w:r>
      <w:r>
        <w:rPr>
          <w:rFonts w:hint="eastAsia" w:ascii="Times New Roman" w:hAnsi="Times New Roman" w:eastAsia="方正仿宋_GBK" w:cs="Times New Roman"/>
          <w:sz w:val="32"/>
          <w:szCs w:val="32"/>
          <w:lang w:val="zh-CN"/>
        </w:rPr>
        <w:t>到位</w:t>
      </w:r>
      <w:r>
        <w:rPr>
          <w:rFonts w:ascii="Times New Roman" w:hAnsi="Times New Roman" w:eastAsia="方正仿宋_GBK" w:cs="Times New Roman"/>
          <w:sz w:val="32"/>
          <w:szCs w:val="32"/>
          <w:lang w:val="zh-CN"/>
        </w:rPr>
        <w:t>灾后恢复重建资金8258.84万元，涉及项目24个，有力保障我县灾后恢复重建工作有序推进。</w:t>
      </w:r>
      <w:r>
        <w:rPr>
          <w:rFonts w:hint="eastAsia" w:ascii="Times New Roman" w:hAnsi="Times New Roman" w:eastAsia="方正仿宋_GBK" w:cs="Times New Roman"/>
          <w:sz w:val="32"/>
          <w:szCs w:val="32"/>
          <w:lang w:val="zh-CN"/>
        </w:rPr>
        <w:t>累计到位</w:t>
      </w:r>
      <w:r>
        <w:rPr>
          <w:rFonts w:ascii="Times New Roman" w:hAnsi="Times New Roman" w:eastAsia="方正仿宋_GBK" w:cs="Times New Roman"/>
          <w:sz w:val="32"/>
          <w:szCs w:val="32"/>
          <w:lang w:val="zh-CN"/>
        </w:rPr>
        <w:t>地质灾害治理资金1771.77万元，涉及项目13个，扎实做好地灾治理资金保障。</w:t>
      </w:r>
      <w:r>
        <w:rPr>
          <w:rFonts w:ascii="Times New Roman" w:hAnsi="Times New Roman" w:eastAsia="方正仿宋_GBK" w:cs="Times New Roman"/>
          <w:b/>
          <w:bCs/>
          <w:sz w:val="32"/>
          <w:szCs w:val="32"/>
          <w:lang w:val="zh-CN"/>
        </w:rPr>
        <w:t>四是助企纾困推动经济发展。</w:t>
      </w:r>
      <w:r>
        <w:rPr>
          <w:rFonts w:ascii="Times New Roman" w:hAnsi="Times New Roman" w:eastAsia="方正仿宋_GBK" w:cs="Times New Roman"/>
          <w:sz w:val="32"/>
          <w:szCs w:val="32"/>
          <w:lang w:val="zh-CN"/>
        </w:rPr>
        <w:t>设立县消费帮扶专项资金100万元，同时安排财政专项资金100万元用于2023年消费券发放活动，向绰斯甲电站投放贷款5000万元，对宗上电站贷款利率由年化5.6%降至4.5%，为企业节约成本近420万元，向5户民营小微企业投放贷款1550万元，促进县域经济发展和市场经济的快速复苏。</w:t>
      </w:r>
      <w:r>
        <w:rPr>
          <w:rFonts w:ascii="Times New Roman" w:hAnsi="Times New Roman" w:eastAsia="方正仿宋_GBK" w:cs="Times New Roman"/>
          <w:b/>
          <w:bCs/>
          <w:sz w:val="32"/>
          <w:szCs w:val="32"/>
          <w:lang w:val="zh-CN"/>
        </w:rPr>
        <w:t>五是持续做好资金需求保障。</w:t>
      </w:r>
      <w:r>
        <w:rPr>
          <w:rFonts w:ascii="Times New Roman" w:hAnsi="Times New Roman" w:eastAsia="方正仿宋_GBK" w:cs="Times New Roman"/>
          <w:sz w:val="32"/>
          <w:szCs w:val="32"/>
          <w:lang w:val="zh-CN"/>
        </w:rPr>
        <w:t>制定国库库款保障应急预案，采取一周一研判创新机制，根据资金拨付轻重缓急、考核任务、财政库款等因素积极筹集和有效调度财政资金，全面保障重点领域资金支出，促进经济指标增长。</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（三）深化财政改革，助推规范运行</w:t>
      </w:r>
    </w:p>
    <w:p>
      <w:pPr>
        <w:overflowPunct w:val="0"/>
        <w:spacing w:line="576" w:lineRule="exact"/>
        <w:ind w:firstLine="640" w:firstLineChars="200"/>
        <w:rPr>
          <w:rFonts w:ascii="Times New Roman" w:hAnsi="Times New Roman" w:eastAsia="仿宋_GB2312" w:cs="Times New Roman"/>
          <w:sz w:val="32"/>
          <w:szCs w:val="32"/>
          <w:lang w:val="zh-CN"/>
        </w:rPr>
      </w:pPr>
      <w:r>
        <w:rPr>
          <w:rFonts w:ascii="Times New Roman" w:hAnsi="Times New Roman" w:eastAsia="方正仿宋_GBK" w:cs="Times New Roman"/>
          <w:sz w:val="32"/>
          <w:szCs w:val="32"/>
          <w:lang w:val="zh-CN"/>
        </w:rPr>
        <w:t>紧紧围绕“规范财政资金安排，提高财政资金使用绩效”这一主线，在预算管理方面进行改革实践。</w:t>
      </w:r>
      <w:r>
        <w:rPr>
          <w:rFonts w:ascii="Times New Roman" w:hAnsi="Times New Roman" w:eastAsia="方正仿宋_GBK" w:cs="Times New Roman"/>
          <w:b/>
          <w:bCs/>
          <w:sz w:val="32"/>
          <w:szCs w:val="32"/>
          <w:lang w:val="zh-CN"/>
        </w:rPr>
        <w:t>一是有序开展非税收入收缴电子化改革。</w:t>
      </w:r>
      <w:r>
        <w:rPr>
          <w:rFonts w:ascii="Times New Roman" w:hAnsi="Times New Roman" w:eastAsia="方正仿宋_GBK" w:cs="Times New Roman"/>
          <w:sz w:val="32"/>
          <w:szCs w:val="32"/>
          <w:lang w:val="zh-CN"/>
        </w:rPr>
        <w:t>积极推进非税收入收缴电子化改革工作，实现财政票据入库、领用、开具、核销全流程智能化监控，全年完成非税收入缴款414笔，涉及金额338.15万元。从根本上杜绝票据借用、造假等现象，提高非税收入收缴电子化工作效率，确保财政资金安全。</w:t>
      </w:r>
      <w:r>
        <w:rPr>
          <w:rFonts w:ascii="Times New Roman" w:hAnsi="Times New Roman" w:eastAsia="方正仿宋_GBK" w:cs="Times New Roman"/>
          <w:b/>
          <w:bCs/>
          <w:sz w:val="32"/>
          <w:szCs w:val="32"/>
          <w:lang w:val="zh-CN"/>
        </w:rPr>
        <w:t>二是持续推进政府代理记账工作。</w:t>
      </w:r>
      <w:r>
        <w:rPr>
          <w:rFonts w:ascii="Times New Roman" w:hAnsi="Times New Roman" w:eastAsia="方正仿宋_GBK" w:cs="Times New Roman"/>
          <w:sz w:val="32"/>
          <w:szCs w:val="32"/>
          <w:lang w:val="zh-CN"/>
        </w:rPr>
        <w:t>顺利完成第一轮51个预算单位政府会计委托代理记账工作，启动第二轮51个预算单位政府会计委托代理记账工作。同时对第一轮政府会计委托代理记账工作情况进行全面评估。后续将持续加强对政府会计委托代理记账工作的管理，并对具备自行承担财务工作的预算单位实行逐步退出机制。</w:t>
      </w:r>
      <w:r>
        <w:rPr>
          <w:rFonts w:ascii="Times New Roman" w:hAnsi="Times New Roman" w:eastAsia="方正仿宋_GBK" w:cs="Times New Roman"/>
          <w:b/>
          <w:bCs/>
          <w:sz w:val="32"/>
          <w:szCs w:val="32"/>
          <w:lang w:val="zh-CN"/>
        </w:rPr>
        <w:t>三是全面推进预算管理一体化改革。</w:t>
      </w:r>
      <w:r>
        <w:rPr>
          <w:rFonts w:ascii="Times New Roman" w:hAnsi="Times New Roman" w:eastAsia="方正仿宋_GBK" w:cs="Times New Roman"/>
          <w:sz w:val="32"/>
          <w:szCs w:val="32"/>
          <w:lang w:val="zh-CN"/>
        </w:rPr>
        <w:t>财政预算管理一体化系统正式上线以来，全面运用一体化系统开展预算管理、电子支付、会计核算、预算执行动态监控、预算绩效管理、财务报表编制等工作，确保财政工作安全、透明、高效运转。</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（四）强化财政监管，提升管理效能</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围绕全县经济发展大局和财政中心工作，开展财政监督工作，维护财经秩序、严肃财经纪律、保障财政政策落地落实。</w:t>
      </w:r>
      <w:r>
        <w:rPr>
          <w:rFonts w:ascii="Times New Roman" w:hAnsi="Times New Roman" w:eastAsia="方正仿宋_GBK" w:cs="Times New Roman"/>
          <w:b/>
          <w:bCs/>
          <w:sz w:val="32"/>
          <w:szCs w:val="32"/>
          <w:lang w:val="zh-CN"/>
        </w:rPr>
        <w:t>一是加强财政监督检查。</w:t>
      </w:r>
      <w:r>
        <w:rPr>
          <w:rFonts w:ascii="Times New Roman" w:hAnsi="Times New Roman" w:eastAsia="方正仿宋_GBK" w:cs="Times New Roman"/>
          <w:sz w:val="32"/>
          <w:szCs w:val="32"/>
          <w:lang w:val="zh-CN"/>
        </w:rPr>
        <w:t>制定了《壤塘县关于开展财会监督专项行动的方案》，全面开展2023年财会监督专项行动。按照财经纪律重点问题整治专项工作要求，开展了县级财经纪律重点问题复查工作，同时在全县寺庙推进电子会计核算，完善财务监管制度，提升寺庙财务管理水平。</w:t>
      </w:r>
      <w:r>
        <w:rPr>
          <w:rFonts w:ascii="Times New Roman" w:hAnsi="Times New Roman" w:eastAsia="方正仿宋_GBK" w:cs="Times New Roman"/>
          <w:b/>
          <w:bCs/>
          <w:sz w:val="32"/>
          <w:szCs w:val="32"/>
          <w:lang w:val="zh-CN"/>
        </w:rPr>
        <w:t>二是开展会计信息质量检查。</w:t>
      </w:r>
      <w:r>
        <w:rPr>
          <w:rFonts w:ascii="Times New Roman" w:hAnsi="Times New Roman" w:eastAsia="方正仿宋_GBK" w:cs="Times New Roman"/>
          <w:sz w:val="32"/>
          <w:szCs w:val="32"/>
          <w:lang w:val="zh-CN"/>
        </w:rPr>
        <w:t>根据省财政厅对2023年会计信息质量检查工作安排，完成了对4个预算单位会计信息质量的重点检查工作，重点抽取部分单位开展自查自纠的复查工作，促进单位财务管理更加规范。</w:t>
      </w:r>
      <w:r>
        <w:rPr>
          <w:rFonts w:ascii="Times New Roman" w:hAnsi="Times New Roman" w:eastAsia="方正仿宋_GBK" w:cs="Times New Roman"/>
          <w:b/>
          <w:bCs/>
          <w:sz w:val="32"/>
          <w:szCs w:val="32"/>
          <w:lang w:val="zh-CN"/>
        </w:rPr>
        <w:t>三是深入推进预算绩效管理。</w:t>
      </w:r>
      <w:r>
        <w:rPr>
          <w:rFonts w:ascii="Times New Roman" w:hAnsi="Times New Roman" w:eastAsia="方正仿宋_GBK" w:cs="Times New Roman"/>
          <w:sz w:val="32"/>
          <w:szCs w:val="32"/>
          <w:lang w:val="zh-CN"/>
        </w:rPr>
        <w:t>为切实推进预算绩效管理工作，增强预算约束性，我县制定了《壤塘县贯彻落实&lt;中共四川省委办公厅 四川省人民政府办公厅关于深入推进实施预算绩效管理的通知&gt;实施方案》，并按照预算绩效管理全方位、全覆盖、全过程的工作要求，委托第三方绩效评估机构对我县2024年度部门预算申报的16个200万元及以上预算项目，开展了事前绩效评估工作，依据评估结论对4个项目作出相应的预算调整，共计评减73.76万元。对全县79个预算单位2023年1-6月部门整体支出开展绩效事中监控工作；对2022年5个财政政策支出项目、14个政府采购项目支出、108个乡村振兴衔接资金项目支出、50个其他项目支出及2022年度部门整体支出开展了事后绩效自评工作，共涉及资金5.02亿元。完成了省财政厅、州财政局2023年度事后绩效重点评价壤塘选定项目及省级抽取我县15个乡村振兴项目的事后绩效实地评价迎检工作。</w:t>
      </w:r>
      <w:r>
        <w:rPr>
          <w:rFonts w:ascii="Times New Roman" w:hAnsi="Times New Roman" w:eastAsia="方正仿宋_GBK" w:cs="Times New Roman"/>
          <w:b/>
          <w:bCs/>
          <w:sz w:val="32"/>
          <w:szCs w:val="32"/>
          <w:lang w:val="zh-CN"/>
        </w:rPr>
        <w:t>四是着力规范政府采购和财政评审工作。</w:t>
      </w:r>
      <w:r>
        <w:rPr>
          <w:rFonts w:ascii="Times New Roman" w:hAnsi="Times New Roman" w:eastAsia="方正仿宋_GBK" w:cs="Times New Roman"/>
          <w:sz w:val="32"/>
          <w:szCs w:val="32"/>
          <w:lang w:val="zh-CN"/>
        </w:rPr>
        <w:t>受理政府采购投诉案件5件，举报案件5件，省厅移交案件1</w:t>
      </w:r>
      <w:r>
        <w:rPr>
          <w:rFonts w:hint="eastAsia" w:ascii="Times New Roman" w:hAnsi="Times New Roman" w:eastAsia="方正仿宋_GBK" w:cs="Times New Roman"/>
          <w:sz w:val="32"/>
          <w:szCs w:val="32"/>
          <w:lang w:val="zh-CN"/>
        </w:rPr>
        <w:t>件</w:t>
      </w:r>
      <w:r>
        <w:rPr>
          <w:rFonts w:ascii="Times New Roman" w:hAnsi="Times New Roman" w:eastAsia="方正仿宋_GBK" w:cs="Times New Roman"/>
          <w:sz w:val="32"/>
          <w:szCs w:val="32"/>
          <w:lang w:val="zh-CN"/>
        </w:rPr>
        <w:t>，检察院移交案件1件，信访局移交案件1件，均已依法依规处理结案，并给予4家违反政府采购法的供应商罚款7.82万元。全年完成政府采购项目备案148项，备案金额22283.84万元，其中:完成招标147项，中标金额20554.32万元；全年完成财政评审项目166个，送审金额72246.99万元，审定金额67683.93万元，节约财政资金4563.06万元，节约率为6.32%。</w:t>
      </w:r>
      <w:r>
        <w:rPr>
          <w:rFonts w:ascii="Times New Roman" w:hAnsi="Times New Roman" w:eastAsia="方正仿宋_GBK" w:cs="Times New Roman"/>
          <w:b/>
          <w:bCs/>
          <w:sz w:val="32"/>
          <w:szCs w:val="32"/>
          <w:lang w:val="zh-CN"/>
        </w:rPr>
        <w:t>五是进一步加强国有资产管理工作。</w:t>
      </w:r>
      <w:r>
        <w:rPr>
          <w:rFonts w:ascii="Times New Roman" w:hAnsi="Times New Roman" w:eastAsia="方正仿宋_GBK" w:cs="Times New Roman"/>
          <w:sz w:val="32"/>
          <w:szCs w:val="32"/>
          <w:lang w:val="zh-CN"/>
        </w:rPr>
        <w:t>全面开展行政事业单位国有资产清理盘活工作，同时联合相关部门开展行政事业单位国有商铺不动产权属登记工作，明晰单位产权，确保账实相符。</w:t>
      </w:r>
    </w:p>
    <w:p>
      <w:pPr>
        <w:numPr>
          <w:ilvl w:val="0"/>
          <w:numId w:val="1"/>
        </w:numPr>
        <w:overflowPunct w:val="0"/>
        <w:spacing w:line="576" w:lineRule="exact"/>
        <w:ind w:firstLine="642"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深化国资改革，推动国企发展</w:t>
      </w:r>
    </w:p>
    <w:p>
      <w:pPr>
        <w:overflowPunct w:val="0"/>
        <w:spacing w:line="576" w:lineRule="exact"/>
        <w:ind w:firstLine="640" w:firstLineChars="200"/>
        <w:rPr>
          <w:rFonts w:ascii="Times New Roman" w:hAnsi="Times New Roman" w:cs="Times New Roman"/>
          <w:kern w:val="0"/>
          <w:sz w:val="18"/>
          <w:szCs w:val="18"/>
          <w:lang w:val="zh-CN"/>
        </w:rPr>
      </w:pPr>
      <w:r>
        <w:rPr>
          <w:rFonts w:ascii="Times New Roman" w:hAnsi="Times New Roman" w:eastAsia="方正仿宋_GBK" w:cs="Times New Roman"/>
          <w:sz w:val="32"/>
          <w:szCs w:val="32"/>
          <w:lang w:val="zh-CN"/>
        </w:rPr>
        <w:t>以国企改革三年行动为契机，坚持问题导向，补短板、强弱项，不断激发县属国有企业发展活力，助推全县经济高质量发展。</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b/>
          <w:sz w:val="32"/>
          <w:szCs w:val="32"/>
          <w:lang w:val="zh-CN"/>
        </w:rPr>
        <w:t>完善制度机制，强化国有企业监管。</w:t>
      </w:r>
      <w:r>
        <w:rPr>
          <w:rFonts w:ascii="Times New Roman" w:hAnsi="Times New Roman" w:eastAsia="方正仿宋_GBK" w:cs="Times New Roman"/>
          <w:sz w:val="32"/>
          <w:szCs w:val="32"/>
          <w:lang w:val="zh-CN"/>
        </w:rPr>
        <w:t>制定县国有企业资产监督管理办法，核定县国资公司内设机构、人员编制及人员薪酬待遇，完善“三重一大”议事规则和重大事项请示报告制度，拟定壤塘县国有企业投资项目负面清单，形成国资监管的制度体系</w:t>
      </w:r>
      <w:r>
        <w:rPr>
          <w:rFonts w:hint="eastAsia" w:ascii="Times New Roman" w:hAnsi="Times New Roman" w:eastAsia="方正仿宋_GBK" w:cs="Times New Roman"/>
          <w:sz w:val="32"/>
          <w:szCs w:val="32"/>
          <w:lang w:val="zh-CN"/>
        </w:rPr>
        <w:t>。</w:t>
      </w:r>
      <w:r>
        <w:rPr>
          <w:rFonts w:ascii="Times New Roman" w:hAnsi="Times New Roman" w:eastAsia="方正仿宋_GBK" w:cs="Times New Roman"/>
          <w:sz w:val="32"/>
          <w:szCs w:val="32"/>
          <w:lang w:val="zh-CN"/>
        </w:rPr>
        <w:t>完成2022年度县国资公司负责人经营业绩考核，下达2023年县国资公司营业收入5500万元等经营目标任务。</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b/>
          <w:sz w:val="32"/>
          <w:szCs w:val="32"/>
          <w:lang w:val="zh-CN"/>
        </w:rPr>
        <w:t>党建引领，推动高质量发展。</w:t>
      </w:r>
      <w:r>
        <w:rPr>
          <w:rFonts w:ascii="Times New Roman" w:hAnsi="Times New Roman" w:eastAsia="方正仿宋_GBK" w:cs="Times New Roman"/>
          <w:sz w:val="32"/>
          <w:szCs w:val="32"/>
          <w:lang w:val="zh-CN"/>
        </w:rPr>
        <w:t>全面落实国有企业党的建设，健全党支部，强化党建引领国资工作格局，推动国资发展。</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b/>
          <w:sz w:val="32"/>
          <w:szCs w:val="32"/>
          <w:lang w:val="zh-CN"/>
        </w:rPr>
        <w:t>推动国企平稳运行，资产规模持续壮大。</w:t>
      </w:r>
      <w:bookmarkStart w:id="0" w:name="_GoBack"/>
      <w:bookmarkEnd w:id="0"/>
      <w:r>
        <w:rPr>
          <w:rFonts w:ascii="Times New Roman" w:hAnsi="Times New Roman" w:eastAsia="方正仿宋_GBK" w:cs="Times New Roman"/>
          <w:sz w:val="32"/>
          <w:szCs w:val="32"/>
          <w:lang w:val="zh-CN"/>
        </w:rPr>
        <w:t>持续以现金方式对县国资公司注入资本金1100万元（累计完成2200万元），确保国企正常开展经营活动；以实物方式注入资本金6026.07万元（包括壤巴拉宾馆、消防大队、非遗一条街20间铺面），通过实物注资，壮大国有企业资产规模、增强企业融资能力。完成对临街28间商铺确权工作，全面清理国有房产并开展产权办理及资产评估工作。组织县国资公司和子公司聚焦主责主业，着力打造河道清淤采砂、文化旅游业、农牧业、建筑业等五大产业发展平台。2023年，县国资公司资产总额14461.88万元，负债总额6055.63万元，所有者权益总额8406.24万元。2023年全年实现营业收入5558.08万元，上缴税金229.65万元。</w:t>
      </w:r>
    </w:p>
    <w:p>
      <w:pPr>
        <w:overflowPunct w:val="0"/>
        <w:spacing w:line="576" w:lineRule="exact"/>
        <w:ind w:firstLine="642" w:firstLineChars="200"/>
        <w:rPr>
          <w:rFonts w:ascii="Times New Roman" w:hAnsi="Times New Roman" w:eastAsia="楷体_GB2312" w:cs="Times New Roman"/>
          <w:b/>
          <w:sz w:val="32"/>
          <w:szCs w:val="32"/>
        </w:rPr>
      </w:pPr>
      <w:r>
        <w:rPr>
          <w:rFonts w:ascii="Times New Roman" w:hAnsi="Times New Roman" w:eastAsia="方正楷体_GBK" w:cs="Times New Roman"/>
          <w:b/>
          <w:bCs/>
          <w:sz w:val="32"/>
          <w:szCs w:val="32"/>
        </w:rPr>
        <w:t>（六）锤炼干部队伍，增强专业素养</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按照州财政局关于“能力提升年”的工作要求，全面锤炼和培养财政干部队伍，增强能力水平和专业素养。</w:t>
      </w:r>
      <w:r>
        <w:rPr>
          <w:rFonts w:ascii="Times New Roman" w:hAnsi="Times New Roman" w:eastAsia="方正仿宋_GBK" w:cs="Times New Roman"/>
          <w:b/>
          <w:bCs/>
          <w:sz w:val="32"/>
          <w:szCs w:val="32"/>
          <w:lang w:val="zh-CN"/>
        </w:rPr>
        <w:t>一是开展理论知识和业务能力提升培训。</w:t>
      </w:r>
      <w:r>
        <w:rPr>
          <w:rFonts w:ascii="Times New Roman" w:hAnsi="Times New Roman" w:eastAsia="方正仿宋_GBK" w:cs="Times New Roman"/>
          <w:sz w:val="32"/>
          <w:szCs w:val="32"/>
          <w:lang w:val="zh-CN"/>
        </w:rPr>
        <w:t>2023年完成各部门分管财务领导及财务人员“财经纪律知识培训”253人次，组织40名财务人员赴浙江交流培训，开展了2024年部门预决算编制布置暨预算绩效管理和政府采购培训工作，同时积极参加上级组织的各类培训，包括部级培训1人次（2023年交通运输部定点帮扶县壤塘县专题培训班），省级培训146人次，州级培训32人次（含视频培训）。</w:t>
      </w:r>
      <w:r>
        <w:rPr>
          <w:rFonts w:ascii="Times New Roman" w:hAnsi="Times New Roman" w:eastAsia="方正仿宋_GBK" w:cs="Times New Roman"/>
          <w:b/>
          <w:bCs/>
          <w:sz w:val="32"/>
          <w:szCs w:val="32"/>
          <w:lang w:val="zh-CN"/>
        </w:rPr>
        <w:t>二是提供预算管理一体化业务咨询。</w:t>
      </w:r>
      <w:r>
        <w:rPr>
          <w:rFonts w:ascii="Times New Roman" w:hAnsi="Times New Roman" w:eastAsia="方正仿宋_GBK" w:cs="Times New Roman"/>
          <w:sz w:val="32"/>
          <w:szCs w:val="32"/>
          <w:lang w:val="zh-CN"/>
        </w:rPr>
        <w:t>聘请预算管理一体化系统第三方服务机构专业老师，通过业务交流群提供及时全面系统的业务咨询和业务指导。</w:t>
      </w:r>
      <w:r>
        <w:rPr>
          <w:rFonts w:ascii="Times New Roman" w:hAnsi="Times New Roman" w:eastAsia="方正仿宋_GBK" w:cs="Times New Roman"/>
          <w:b/>
          <w:bCs/>
          <w:sz w:val="32"/>
          <w:szCs w:val="32"/>
          <w:lang w:val="zh-CN"/>
        </w:rPr>
        <w:t>三是实行财政内部轮岗制度。</w:t>
      </w:r>
      <w:r>
        <w:rPr>
          <w:rFonts w:ascii="Times New Roman" w:hAnsi="Times New Roman" w:eastAsia="方正仿宋_GBK" w:cs="Times New Roman"/>
          <w:sz w:val="32"/>
          <w:szCs w:val="32"/>
          <w:lang w:val="zh-CN"/>
        </w:rPr>
        <w:t>2023年对县财政内部各股室人员进行轮岗锻炼15人，培养财政工作人员多岗锻炼能力，提升综合业务水平。</w:t>
      </w:r>
      <w:r>
        <w:rPr>
          <w:rFonts w:ascii="Times New Roman" w:hAnsi="Times New Roman" w:eastAsia="方正仿宋_GBK" w:cs="Times New Roman"/>
          <w:b/>
          <w:sz w:val="32"/>
          <w:szCs w:val="32"/>
          <w:lang w:val="zh-CN"/>
        </w:rPr>
        <w:t>四是</w:t>
      </w:r>
      <w:r>
        <w:rPr>
          <w:rFonts w:ascii="Times New Roman" w:hAnsi="Times New Roman" w:eastAsia="方正仿宋_GBK" w:cs="Times New Roman"/>
          <w:sz w:val="32"/>
          <w:szCs w:val="32"/>
          <w:lang w:val="zh-CN"/>
        </w:rPr>
        <w:t>全面推进财政系统 “AB岗”和“师带徒”制度，提升财政干部的整体能力水平。</w:t>
      </w:r>
    </w:p>
    <w:p>
      <w:pPr>
        <w:overflowPunct w:val="0"/>
        <w:spacing w:line="576" w:lineRule="exact"/>
        <w:ind w:firstLine="642" w:firstLineChars="200"/>
        <w:rPr>
          <w:rFonts w:ascii="Times New Roman" w:hAnsi="Times New Roman" w:eastAsia="仿宋_GB2312" w:cs="Times New Roman"/>
          <w:sz w:val="32"/>
          <w:szCs w:val="32"/>
        </w:rPr>
      </w:pPr>
      <w:r>
        <w:rPr>
          <w:rFonts w:ascii="Times New Roman" w:hAnsi="Times New Roman" w:eastAsia="方正黑体_GBK" w:cs="Times New Roman"/>
          <w:b/>
          <w:bCs/>
          <w:sz w:val="32"/>
          <w:szCs w:val="32"/>
        </w:rPr>
        <w:t>各位代表：</w:t>
      </w:r>
      <w:r>
        <w:rPr>
          <w:rFonts w:ascii="Times New Roman" w:hAnsi="Times New Roman" w:eastAsia="方正仿宋_GBK" w:cs="Times New Roman"/>
          <w:sz w:val="32"/>
          <w:szCs w:val="32"/>
          <w:lang w:val="zh-CN"/>
        </w:rPr>
        <w:t>2023年预算执行情况良好，财政工作平稳运行，重点支出保障有力，圆满完成了全年目标任务，这是县委正确领导和县人大、县政协监督指导及社会各界大力支持、共同关心的结果，在此谨表示衷心的感谢！但我们清醒的意识到，我县财政仍面临诸多困难和挑战。</w:t>
      </w:r>
      <w:r>
        <w:rPr>
          <w:rFonts w:ascii="Times New Roman" w:hAnsi="Times New Roman" w:eastAsia="方正仿宋_GBK" w:cs="Times New Roman"/>
          <w:b/>
          <w:bCs/>
          <w:sz w:val="32"/>
          <w:szCs w:val="32"/>
          <w:lang w:val="zh-CN"/>
        </w:rPr>
        <w:t>一是财政收支矛盾突出，保刚性支出压力持续增大。</w:t>
      </w:r>
      <w:r>
        <w:rPr>
          <w:rFonts w:ascii="Times New Roman" w:hAnsi="Times New Roman" w:eastAsia="方正仿宋_GBK" w:cs="Times New Roman"/>
          <w:sz w:val="32"/>
          <w:szCs w:val="32"/>
          <w:lang w:val="zh-CN"/>
        </w:rPr>
        <w:t>我县经济基础薄弱，产业结构较为单一，缺乏稳定可持续财源，收入增长缓慢，而保障乡村振兴、教育支出等领域投入只增不减，加上交通项目建设县级配套、基础绩效、灾后恢复重建、困难群体保障、消化历年财政借垫款和债务还本付息等，保刚性支出压力持续增大，财政收支矛盾极为突出。</w:t>
      </w:r>
      <w:r>
        <w:rPr>
          <w:rFonts w:ascii="Times New Roman" w:hAnsi="Times New Roman" w:eastAsia="方正仿宋_GBK" w:cs="Times New Roman"/>
          <w:b/>
          <w:bCs/>
          <w:sz w:val="32"/>
          <w:szCs w:val="32"/>
          <w:lang w:val="zh-CN"/>
        </w:rPr>
        <w:t>二是财政库款保障较为困难。</w:t>
      </w:r>
      <w:r>
        <w:rPr>
          <w:rFonts w:ascii="Times New Roman" w:hAnsi="Times New Roman" w:eastAsia="方正仿宋_GBK" w:cs="Times New Roman"/>
          <w:sz w:val="32"/>
          <w:szCs w:val="32"/>
          <w:lang w:val="zh-CN"/>
        </w:rPr>
        <w:t>随着上级财政库款收紧，库款资金调度减少，财政资金保障问题突显。为此，我们将虚心听取各位代表的意见建议，及时采取有效措施，全面推进财政改革创新，扎实做好财政保障工作。</w:t>
      </w:r>
    </w:p>
    <w:p>
      <w:pPr>
        <w:overflowPunct w:val="0"/>
        <w:spacing w:line="576" w:lineRule="exact"/>
        <w:rPr>
          <w:rFonts w:ascii="Times New Roman" w:hAnsi="Times New Roman" w:eastAsia="方正小标宋_GBK" w:cs="Times New Roman"/>
          <w:sz w:val="36"/>
          <w:szCs w:val="36"/>
        </w:rPr>
      </w:pPr>
    </w:p>
    <w:p>
      <w:pPr>
        <w:overflowPunct w:val="0"/>
        <w:spacing w:line="576"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2024年财政预算草案</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ind w:firstLine="642" w:firstLineChars="200"/>
        <w:rPr>
          <w:rFonts w:ascii="Times New Roman" w:hAnsi="Times New Roman" w:eastAsia="仿宋_GB2312" w:cs="Times New Roman"/>
          <w:sz w:val="32"/>
          <w:szCs w:val="32"/>
        </w:rPr>
      </w:pPr>
      <w:r>
        <w:rPr>
          <w:rFonts w:ascii="Times New Roman" w:hAnsi="Times New Roman" w:eastAsia="方正黑体_GBK" w:cs="Times New Roman"/>
          <w:b/>
          <w:bCs/>
          <w:sz w:val="32"/>
          <w:szCs w:val="32"/>
        </w:rPr>
        <w:t>总体要求和原则：</w:t>
      </w:r>
      <w:r>
        <w:rPr>
          <w:rFonts w:ascii="Times New Roman" w:hAnsi="Times New Roman" w:eastAsia="方正仿宋_GBK" w:cs="Times New Roman"/>
          <w:sz w:val="32"/>
          <w:szCs w:val="32"/>
          <w:lang w:val="zh-CN"/>
        </w:rPr>
        <w:t>2024年我们始终坚持以习近平新时代中国特色社会主义思想为指导，深入贯彻党的二十大精神，</w:t>
      </w:r>
      <w:r>
        <w:rPr>
          <w:rFonts w:hint="eastAsia" w:ascii="Times New Roman" w:hAnsi="Times New Roman" w:eastAsia="方正仿宋_GBK" w:cs="Times New Roman"/>
          <w:sz w:val="32"/>
          <w:szCs w:val="32"/>
          <w:lang w:val="zh-CN"/>
        </w:rPr>
        <w:t>认真</w:t>
      </w:r>
      <w:r>
        <w:rPr>
          <w:rFonts w:ascii="Times New Roman" w:hAnsi="Times New Roman" w:eastAsia="方正仿宋_GBK" w:cs="Times New Roman"/>
          <w:sz w:val="32"/>
          <w:szCs w:val="32"/>
          <w:lang w:val="zh-CN"/>
        </w:rPr>
        <w:t>落实省委十二届四次全会、州委十二届</w:t>
      </w:r>
      <w:r>
        <w:rPr>
          <w:rFonts w:hint="eastAsia" w:ascii="Times New Roman" w:hAnsi="Times New Roman" w:eastAsia="方正仿宋_GBK" w:cs="Times New Roman"/>
          <w:sz w:val="32"/>
          <w:szCs w:val="32"/>
          <w:lang w:val="zh-CN"/>
        </w:rPr>
        <w:t>四</w:t>
      </w:r>
      <w:r>
        <w:rPr>
          <w:rFonts w:ascii="Times New Roman" w:hAnsi="Times New Roman" w:eastAsia="方正仿宋_GBK" w:cs="Times New Roman"/>
          <w:sz w:val="32"/>
          <w:szCs w:val="32"/>
          <w:lang w:val="zh-CN"/>
        </w:rPr>
        <w:t>次全会和县委十四届</w:t>
      </w:r>
      <w:r>
        <w:rPr>
          <w:rFonts w:hint="eastAsia" w:ascii="Times New Roman" w:hAnsi="Times New Roman" w:eastAsia="方正仿宋_GBK" w:cs="Times New Roman"/>
          <w:sz w:val="32"/>
          <w:szCs w:val="32"/>
          <w:lang w:val="zh-CN"/>
        </w:rPr>
        <w:t>四</w:t>
      </w:r>
      <w:r>
        <w:rPr>
          <w:rFonts w:ascii="Times New Roman" w:hAnsi="Times New Roman" w:eastAsia="方正仿宋_GBK" w:cs="Times New Roman"/>
          <w:sz w:val="32"/>
          <w:szCs w:val="32"/>
          <w:lang w:val="zh-CN"/>
        </w:rPr>
        <w:t>次全会精神，根据县委确定的2024年经济社会发展预期目标和重点任务，坚持贯彻从严从紧编制预算的总体要求和新发展理念，坚决兜牢“三保”支出底线，重点保障民生、乡村振兴等支出。</w:t>
      </w:r>
    </w:p>
    <w:p>
      <w:pPr>
        <w:overflowPunct w:val="0"/>
        <w:spacing w:line="576" w:lineRule="exact"/>
        <w:ind w:firstLine="642" w:firstLineChars="200"/>
        <w:rPr>
          <w:rFonts w:ascii="Times New Roman" w:hAnsi="Times New Roman" w:eastAsia="仿宋_GB2312" w:cs="Times New Roman"/>
          <w:b/>
          <w:sz w:val="32"/>
          <w:szCs w:val="32"/>
        </w:rPr>
      </w:pPr>
      <w:r>
        <w:rPr>
          <w:rFonts w:ascii="Times New Roman" w:hAnsi="Times New Roman" w:eastAsia="方正黑体_GBK" w:cs="Times New Roman"/>
          <w:b/>
          <w:sz w:val="32"/>
          <w:szCs w:val="32"/>
        </w:rPr>
        <w:t>一、2024年财政预算（草案）</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（一）一般公共预算</w:t>
      </w:r>
    </w:p>
    <w:p>
      <w:pPr>
        <w:overflowPunct w:val="0"/>
        <w:spacing w:line="576" w:lineRule="exact"/>
        <w:ind w:firstLine="640" w:firstLineChars="200"/>
        <w:rPr>
          <w:rFonts w:ascii="Times New Roman" w:hAnsi="Times New Roman" w:eastAsia="方正仿宋_GBK" w:cs="Times New Roman"/>
          <w:sz w:val="32"/>
          <w:szCs w:val="32"/>
          <w:lang w:val="zh-CN"/>
        </w:rPr>
      </w:pPr>
      <w:r>
        <w:rPr>
          <w:rFonts w:ascii="Times New Roman" w:hAnsi="Times New Roman" w:eastAsia="方正仿宋_GBK" w:cs="Times New Roman"/>
          <w:sz w:val="32"/>
          <w:szCs w:val="32"/>
          <w:lang w:val="zh-CN"/>
        </w:rPr>
        <w:t>2024年一般公共预算收入为4850万元，其中：税收收入3395万元、非税收入1455万元，同比增长20%。加上上级补助收入80711万元，动用预算稳定调节基金991万元，总收入为86552万元。总收入减去专项上解支出342万元，一般债券还本支出300万元，可供安排的收入为85910万元。按照“量入为出、收支平衡”原则，2024年一般公共预算支出安排为85910万元，其中：基本支出64671万元、项目支出21239万元。</w:t>
      </w:r>
    </w:p>
    <w:p>
      <w:pPr>
        <w:overflowPunct w:val="0"/>
        <w:spacing w:line="576" w:lineRule="exact"/>
        <w:ind w:firstLine="642" w:firstLineChars="200"/>
        <w:rPr>
          <w:rFonts w:ascii="Times New Roman" w:hAnsi="Times New Roman" w:eastAsia="方正仿宋_GBK" w:cs="Times New Roman"/>
          <w:sz w:val="32"/>
          <w:szCs w:val="32"/>
          <w:lang w:val="zh-CN"/>
        </w:rPr>
      </w:pPr>
      <w:r>
        <w:rPr>
          <w:rFonts w:ascii="Times New Roman" w:hAnsi="Times New Roman" w:eastAsia="方正仿宋_GBK" w:cs="Times New Roman"/>
          <w:b/>
          <w:bCs/>
          <w:sz w:val="32"/>
          <w:szCs w:val="32"/>
          <w:lang w:val="zh-CN"/>
        </w:rPr>
        <w:t>按支出功能分类科目划分：</w:t>
      </w:r>
      <w:r>
        <w:rPr>
          <w:rFonts w:ascii="Times New Roman" w:hAnsi="Times New Roman" w:eastAsia="方正仿宋_GBK" w:cs="Times New Roman"/>
          <w:b/>
          <w:sz w:val="32"/>
          <w:szCs w:val="32"/>
          <w:lang w:val="zh-CN"/>
        </w:rPr>
        <w:t>一是</w:t>
      </w:r>
      <w:r>
        <w:rPr>
          <w:rFonts w:ascii="Times New Roman" w:hAnsi="Times New Roman" w:eastAsia="方正仿宋_GBK" w:cs="Times New Roman"/>
          <w:sz w:val="32"/>
          <w:szCs w:val="32"/>
          <w:lang w:val="zh-CN"/>
        </w:rPr>
        <w:t>一般公共服务支出14231万元，主要用于党委、人大、政府、政协机构、群团组织提供基本公共服务加强社会管理等方面的支出；</w:t>
      </w:r>
      <w:r>
        <w:rPr>
          <w:rFonts w:ascii="Times New Roman" w:hAnsi="Times New Roman" w:eastAsia="方正仿宋_GBK" w:cs="Times New Roman"/>
          <w:b/>
          <w:sz w:val="32"/>
          <w:szCs w:val="32"/>
          <w:lang w:val="zh-CN"/>
        </w:rPr>
        <w:t>二是</w:t>
      </w:r>
      <w:r>
        <w:rPr>
          <w:rFonts w:ascii="Times New Roman" w:hAnsi="Times New Roman" w:eastAsia="方正仿宋_GBK" w:cs="Times New Roman"/>
          <w:sz w:val="32"/>
          <w:szCs w:val="32"/>
          <w:lang w:val="zh-CN"/>
        </w:rPr>
        <w:t>国防支出55万元，主要用于民兵预备役管理、民兵组织建设和训练、国防动员、国防教育等方面的支出；</w:t>
      </w:r>
      <w:r>
        <w:rPr>
          <w:rFonts w:ascii="Times New Roman" w:hAnsi="Times New Roman" w:eastAsia="方正仿宋_GBK" w:cs="Times New Roman"/>
          <w:b/>
          <w:sz w:val="32"/>
          <w:szCs w:val="32"/>
          <w:lang w:val="zh-CN"/>
        </w:rPr>
        <w:t>三是</w:t>
      </w:r>
      <w:r>
        <w:rPr>
          <w:rFonts w:ascii="Times New Roman" w:hAnsi="Times New Roman" w:eastAsia="方正仿宋_GBK" w:cs="Times New Roman"/>
          <w:sz w:val="32"/>
          <w:szCs w:val="32"/>
          <w:lang w:val="zh-CN"/>
        </w:rPr>
        <w:t>公共安全支出3899万元，主要用于打击违法犯罪、维护社会治安、刑事诉讼监督、民事行政检察、依法惩治犯罪、依法审理经济领域案件、社区矫正、律师公证、维护社会稳定等方面的支出；</w:t>
      </w:r>
      <w:r>
        <w:rPr>
          <w:rFonts w:ascii="Times New Roman" w:hAnsi="Times New Roman" w:eastAsia="方正仿宋_GBK" w:cs="Times New Roman"/>
          <w:b/>
          <w:sz w:val="32"/>
          <w:szCs w:val="32"/>
          <w:lang w:val="zh-CN"/>
        </w:rPr>
        <w:t>四是</w:t>
      </w:r>
      <w:r>
        <w:rPr>
          <w:rFonts w:ascii="Times New Roman" w:hAnsi="Times New Roman" w:eastAsia="方正仿宋_GBK" w:cs="Times New Roman"/>
          <w:sz w:val="32"/>
          <w:szCs w:val="32"/>
          <w:lang w:val="zh-CN"/>
        </w:rPr>
        <w:t>教育支出11962万元，主要用于学生生活补助、师资培养、校舍建设维修改造及教学设备购置等方面的支出；</w:t>
      </w:r>
      <w:r>
        <w:rPr>
          <w:rFonts w:ascii="Times New Roman" w:hAnsi="Times New Roman" w:eastAsia="方正仿宋_GBK" w:cs="Times New Roman"/>
          <w:b/>
          <w:sz w:val="32"/>
          <w:szCs w:val="32"/>
          <w:lang w:val="zh-CN"/>
        </w:rPr>
        <w:t>五是</w:t>
      </w:r>
      <w:r>
        <w:rPr>
          <w:rFonts w:ascii="Times New Roman" w:hAnsi="Times New Roman" w:eastAsia="方正仿宋_GBK" w:cs="Times New Roman"/>
          <w:sz w:val="32"/>
          <w:szCs w:val="32"/>
          <w:lang w:val="zh-CN"/>
        </w:rPr>
        <w:t>科学技术支出8万元，主要用于科学技术管理事务方面的支出；</w:t>
      </w:r>
      <w:r>
        <w:rPr>
          <w:rFonts w:ascii="Times New Roman" w:hAnsi="Times New Roman" w:eastAsia="方正仿宋_GBK" w:cs="Times New Roman"/>
          <w:b/>
          <w:sz w:val="32"/>
          <w:szCs w:val="32"/>
          <w:lang w:val="zh-CN"/>
        </w:rPr>
        <w:t>六是</w:t>
      </w:r>
      <w:r>
        <w:rPr>
          <w:rFonts w:ascii="Times New Roman" w:hAnsi="Times New Roman" w:eastAsia="方正仿宋_GBK" w:cs="Times New Roman"/>
          <w:sz w:val="32"/>
          <w:szCs w:val="32"/>
          <w:lang w:val="zh-CN"/>
        </w:rPr>
        <w:t>文化旅游体育与传媒支出1079万元，主要用于公共文化服务体系建设、文物保护及非遗保护传承、广播电视运转服务、开展文化体育活动、文化</w:t>
      </w:r>
      <w:r>
        <w:rPr>
          <w:rFonts w:hint="eastAsia" w:ascii="Times New Roman" w:hAnsi="Times New Roman" w:eastAsia="方正仿宋_GBK" w:cs="Times New Roman"/>
          <w:sz w:val="32"/>
          <w:szCs w:val="32"/>
          <w:lang w:val="zh-CN"/>
        </w:rPr>
        <w:t>旅游</w:t>
      </w:r>
      <w:r>
        <w:rPr>
          <w:rFonts w:ascii="Times New Roman" w:hAnsi="Times New Roman" w:eastAsia="方正仿宋_GBK" w:cs="Times New Roman"/>
          <w:sz w:val="32"/>
          <w:szCs w:val="32"/>
          <w:lang w:val="zh-CN"/>
        </w:rPr>
        <w:t>产业发展方面的支出；</w:t>
      </w:r>
      <w:r>
        <w:rPr>
          <w:rFonts w:ascii="Times New Roman" w:hAnsi="Times New Roman" w:eastAsia="方正仿宋_GBK" w:cs="Times New Roman"/>
          <w:b/>
          <w:sz w:val="32"/>
          <w:szCs w:val="32"/>
          <w:lang w:val="zh-CN"/>
        </w:rPr>
        <w:t>七是</w:t>
      </w:r>
      <w:r>
        <w:rPr>
          <w:rFonts w:ascii="Times New Roman" w:hAnsi="Times New Roman" w:eastAsia="方正仿宋_GBK" w:cs="Times New Roman"/>
          <w:sz w:val="32"/>
          <w:szCs w:val="32"/>
          <w:lang w:val="zh-CN"/>
        </w:rPr>
        <w:t>社会保障和就业支出15844万元，主要用于困难群众救助、残疾人事业发展、优抚对象补助、退役军人安置补助、城乡居民养老金发放、养老事业发展等方面的支出；</w:t>
      </w:r>
      <w:r>
        <w:rPr>
          <w:rFonts w:ascii="Times New Roman" w:hAnsi="Times New Roman" w:eastAsia="方正仿宋_GBK" w:cs="Times New Roman"/>
          <w:b/>
          <w:sz w:val="32"/>
          <w:szCs w:val="32"/>
          <w:lang w:val="zh-CN"/>
        </w:rPr>
        <w:t>八是</w:t>
      </w:r>
      <w:r>
        <w:rPr>
          <w:rFonts w:ascii="Times New Roman" w:hAnsi="Times New Roman" w:eastAsia="方正仿宋_GBK" w:cs="Times New Roman"/>
          <w:sz w:val="32"/>
          <w:szCs w:val="32"/>
          <w:lang w:val="zh-CN"/>
        </w:rPr>
        <w:t>卫生健康支出8869万元，主要用于医疗救助、基本公共卫生服务、重大疾病和地方病预防控制、妇幼保健、卫生执法、计划生育、公立医院改革、中医药发展、医疗保障管理等方面的支出；</w:t>
      </w:r>
      <w:r>
        <w:rPr>
          <w:rFonts w:ascii="Times New Roman" w:hAnsi="Times New Roman" w:eastAsia="方正仿宋_GBK" w:cs="Times New Roman"/>
          <w:b/>
          <w:sz w:val="32"/>
          <w:szCs w:val="32"/>
          <w:lang w:val="zh-CN"/>
        </w:rPr>
        <w:t>九是</w:t>
      </w:r>
      <w:r>
        <w:rPr>
          <w:rFonts w:ascii="Times New Roman" w:hAnsi="Times New Roman" w:eastAsia="方正仿宋_GBK" w:cs="Times New Roman"/>
          <w:sz w:val="32"/>
          <w:szCs w:val="32"/>
          <w:lang w:val="zh-CN"/>
        </w:rPr>
        <w:t>节能环保支出180万元，主要用于环境保护、环境监测等方面的支出；</w:t>
      </w:r>
      <w:r>
        <w:rPr>
          <w:rFonts w:ascii="Times New Roman" w:hAnsi="Times New Roman" w:eastAsia="方正仿宋_GBK" w:cs="Times New Roman"/>
          <w:b/>
          <w:sz w:val="32"/>
          <w:szCs w:val="32"/>
          <w:lang w:val="zh-CN"/>
        </w:rPr>
        <w:t>十是</w:t>
      </w:r>
      <w:r>
        <w:rPr>
          <w:rFonts w:ascii="Times New Roman" w:hAnsi="Times New Roman" w:eastAsia="方正仿宋_GBK" w:cs="Times New Roman"/>
          <w:sz w:val="32"/>
          <w:szCs w:val="32"/>
          <w:lang w:val="zh-CN"/>
        </w:rPr>
        <w:t>城乡社区支出1377万元，主要用于城乡社区管理事务、城乡社区公共设施、城乡社区环境卫生等方面的支出；</w:t>
      </w:r>
      <w:r>
        <w:rPr>
          <w:rFonts w:ascii="Times New Roman" w:hAnsi="Times New Roman" w:eastAsia="方正仿宋_GBK" w:cs="Times New Roman"/>
          <w:b/>
          <w:sz w:val="32"/>
          <w:szCs w:val="32"/>
          <w:lang w:val="zh-CN"/>
        </w:rPr>
        <w:t>十一是</w:t>
      </w:r>
      <w:r>
        <w:rPr>
          <w:rFonts w:ascii="Times New Roman" w:hAnsi="Times New Roman" w:eastAsia="方正仿宋_GBK" w:cs="Times New Roman"/>
          <w:sz w:val="32"/>
          <w:szCs w:val="32"/>
          <w:lang w:val="zh-CN"/>
        </w:rPr>
        <w:t>农林水支出10200万元，主要用于农业、林业和草原、水利、乡村振兴等方面的支出；</w:t>
      </w:r>
      <w:r>
        <w:rPr>
          <w:rFonts w:ascii="Times New Roman" w:hAnsi="Times New Roman" w:eastAsia="方正仿宋_GBK" w:cs="Times New Roman"/>
          <w:b/>
          <w:sz w:val="32"/>
          <w:szCs w:val="32"/>
          <w:lang w:val="zh-CN"/>
        </w:rPr>
        <w:t>十二是</w:t>
      </w:r>
      <w:r>
        <w:rPr>
          <w:rFonts w:ascii="Times New Roman" w:hAnsi="Times New Roman" w:eastAsia="方正仿宋_GBK" w:cs="Times New Roman"/>
          <w:sz w:val="32"/>
          <w:szCs w:val="32"/>
          <w:lang w:val="zh-CN"/>
        </w:rPr>
        <w:t>交通运输支出710万元，主要用于公路养护、公路建设、公路运输等方面的支出；</w:t>
      </w:r>
      <w:r>
        <w:rPr>
          <w:rFonts w:ascii="Times New Roman" w:hAnsi="Times New Roman" w:eastAsia="方正仿宋_GBK" w:cs="Times New Roman"/>
          <w:b/>
          <w:sz w:val="32"/>
          <w:szCs w:val="32"/>
          <w:lang w:val="zh-CN"/>
        </w:rPr>
        <w:t>十三是</w:t>
      </w:r>
      <w:r>
        <w:rPr>
          <w:rFonts w:ascii="Times New Roman" w:hAnsi="Times New Roman" w:eastAsia="方正仿宋_GBK" w:cs="Times New Roman"/>
          <w:sz w:val="32"/>
          <w:szCs w:val="32"/>
          <w:lang w:val="zh-CN"/>
        </w:rPr>
        <w:t>资源勘探工业信息等支出167万元，主要用于经济商务和信息化管理事务等方面的支出；</w:t>
      </w:r>
      <w:r>
        <w:rPr>
          <w:rFonts w:ascii="Times New Roman" w:hAnsi="Times New Roman" w:eastAsia="方正仿宋_GBK" w:cs="Times New Roman"/>
          <w:b/>
          <w:sz w:val="32"/>
          <w:szCs w:val="32"/>
          <w:lang w:val="zh-CN"/>
        </w:rPr>
        <w:t>十四是</w:t>
      </w:r>
      <w:r>
        <w:rPr>
          <w:rFonts w:ascii="Times New Roman" w:hAnsi="Times New Roman" w:eastAsia="方正仿宋_GBK" w:cs="Times New Roman"/>
          <w:sz w:val="32"/>
          <w:szCs w:val="32"/>
          <w:lang w:val="zh-CN"/>
        </w:rPr>
        <w:t>商业服务业等支出116万元，主要用于供销社的行政事业支出及商业物资和供销专项等方面的支出；</w:t>
      </w:r>
      <w:r>
        <w:rPr>
          <w:rFonts w:ascii="Times New Roman" w:hAnsi="Times New Roman" w:eastAsia="方正仿宋_GBK" w:cs="Times New Roman"/>
          <w:b/>
          <w:sz w:val="32"/>
          <w:szCs w:val="32"/>
          <w:lang w:val="zh-CN"/>
        </w:rPr>
        <w:t>十五是</w:t>
      </w:r>
      <w:r>
        <w:rPr>
          <w:rFonts w:ascii="Times New Roman" w:hAnsi="Times New Roman" w:eastAsia="方正仿宋_GBK" w:cs="Times New Roman"/>
          <w:sz w:val="32"/>
          <w:szCs w:val="32"/>
          <w:lang w:val="zh-CN"/>
        </w:rPr>
        <w:t>自然资源海洋气象等支344万元，主要用于自然资源、气象服务等方面的支出；</w:t>
      </w:r>
      <w:r>
        <w:rPr>
          <w:rFonts w:ascii="Times New Roman" w:hAnsi="Times New Roman" w:eastAsia="方正仿宋_GBK" w:cs="Times New Roman"/>
          <w:b/>
          <w:sz w:val="32"/>
          <w:szCs w:val="32"/>
          <w:lang w:val="zh-CN"/>
        </w:rPr>
        <w:t>十六是</w:t>
      </w:r>
      <w:r>
        <w:rPr>
          <w:rFonts w:ascii="Times New Roman" w:hAnsi="Times New Roman" w:eastAsia="方正仿宋_GBK" w:cs="Times New Roman"/>
          <w:sz w:val="32"/>
          <w:szCs w:val="32"/>
          <w:lang w:val="zh-CN"/>
        </w:rPr>
        <w:t>住房保障支出5654万元，主要用于保障性住房及住房公积金等方面的支出；</w:t>
      </w:r>
      <w:r>
        <w:rPr>
          <w:rFonts w:ascii="Times New Roman" w:hAnsi="Times New Roman" w:eastAsia="方正仿宋_GBK" w:cs="Times New Roman"/>
          <w:b/>
          <w:sz w:val="32"/>
          <w:szCs w:val="32"/>
          <w:lang w:val="zh-CN"/>
        </w:rPr>
        <w:t>十七是</w:t>
      </w:r>
      <w:r>
        <w:rPr>
          <w:rFonts w:ascii="Times New Roman" w:hAnsi="Times New Roman" w:eastAsia="方正仿宋_GBK" w:cs="Times New Roman"/>
          <w:sz w:val="32"/>
          <w:szCs w:val="32"/>
          <w:lang w:val="zh-CN"/>
        </w:rPr>
        <w:t>粮油物资储备支出166万元，主要用于粮油储备管理等方面的支出；</w:t>
      </w:r>
      <w:r>
        <w:rPr>
          <w:rFonts w:ascii="Times New Roman" w:hAnsi="Times New Roman" w:eastAsia="方正仿宋_GBK" w:cs="Times New Roman"/>
          <w:b/>
          <w:sz w:val="32"/>
          <w:szCs w:val="32"/>
          <w:lang w:val="zh-CN"/>
        </w:rPr>
        <w:t>十八是</w:t>
      </w:r>
      <w:r>
        <w:rPr>
          <w:rFonts w:ascii="Times New Roman" w:hAnsi="Times New Roman" w:eastAsia="方正仿宋_GBK" w:cs="Times New Roman"/>
          <w:sz w:val="32"/>
          <w:szCs w:val="32"/>
          <w:lang w:val="zh-CN"/>
        </w:rPr>
        <w:t>灾害防治及应急管理支出722万元，主要用于安全监管、应急救援、消防、地震、自然灾害防治等方面的支出；</w:t>
      </w:r>
      <w:r>
        <w:rPr>
          <w:rFonts w:ascii="Times New Roman" w:hAnsi="Times New Roman" w:eastAsia="方正仿宋_GBK" w:cs="Times New Roman"/>
          <w:b/>
          <w:sz w:val="32"/>
          <w:szCs w:val="32"/>
          <w:lang w:val="zh-CN"/>
        </w:rPr>
        <w:t>十九是</w:t>
      </w:r>
      <w:r>
        <w:rPr>
          <w:rFonts w:ascii="Times New Roman" w:hAnsi="Times New Roman" w:eastAsia="方正仿宋_GBK" w:cs="Times New Roman"/>
          <w:sz w:val="32"/>
          <w:szCs w:val="32"/>
          <w:lang w:val="zh-CN"/>
        </w:rPr>
        <w:t>预备费850万元，主要用于当年预算执行中的自然灾害等突发事件处理增加的支出及其他难以预见的开支；</w:t>
      </w:r>
      <w:r>
        <w:rPr>
          <w:rFonts w:ascii="Times New Roman" w:hAnsi="Times New Roman" w:eastAsia="方正仿宋_GBK" w:cs="Times New Roman"/>
          <w:b/>
          <w:sz w:val="32"/>
          <w:szCs w:val="32"/>
          <w:lang w:val="zh-CN"/>
        </w:rPr>
        <w:t>二十是</w:t>
      </w:r>
      <w:r>
        <w:rPr>
          <w:rFonts w:ascii="Times New Roman" w:hAnsi="Times New Roman" w:eastAsia="方正仿宋_GBK" w:cs="Times New Roman"/>
          <w:sz w:val="32"/>
          <w:szCs w:val="32"/>
          <w:lang w:val="zh-CN"/>
        </w:rPr>
        <w:t>其他支出8543万元，主要用于年初预留的增人增资等开支；</w:t>
      </w:r>
      <w:r>
        <w:rPr>
          <w:rFonts w:ascii="Times New Roman" w:hAnsi="Times New Roman" w:eastAsia="方正仿宋_GBK" w:cs="Times New Roman"/>
          <w:b/>
          <w:sz w:val="32"/>
          <w:szCs w:val="32"/>
          <w:lang w:val="zh-CN"/>
        </w:rPr>
        <w:t>二十一是</w:t>
      </w:r>
      <w:r>
        <w:rPr>
          <w:rFonts w:ascii="Times New Roman" w:hAnsi="Times New Roman" w:eastAsia="方正仿宋_GBK" w:cs="Times New Roman"/>
          <w:sz w:val="32"/>
          <w:szCs w:val="32"/>
          <w:lang w:val="zh-CN"/>
        </w:rPr>
        <w:t>地方政府债务付息支出934万元，主要用于归还债务利息等方面的支出。</w:t>
      </w:r>
    </w:p>
    <w:p>
      <w:pPr>
        <w:overflowPunct w:val="0"/>
        <w:spacing w:line="576" w:lineRule="exact"/>
        <w:ind w:firstLine="642" w:firstLineChars="200"/>
        <w:rPr>
          <w:rFonts w:ascii="Times New Roman" w:hAnsi="Times New Roman" w:eastAsia="仿宋_GB2312" w:cs="Times New Roman"/>
          <w:sz w:val="32"/>
          <w:szCs w:val="32"/>
        </w:rPr>
      </w:pPr>
      <w:r>
        <w:rPr>
          <w:rFonts w:ascii="Times New Roman" w:hAnsi="Times New Roman" w:eastAsia="方正仿宋_GBK" w:cs="Times New Roman"/>
          <w:b/>
          <w:bCs/>
          <w:sz w:val="32"/>
          <w:szCs w:val="32"/>
          <w:lang w:val="zh-CN"/>
        </w:rPr>
        <w:t>按支出经济分类科目划分：</w:t>
      </w:r>
      <w:r>
        <w:rPr>
          <w:rFonts w:ascii="Times New Roman" w:hAnsi="Times New Roman" w:eastAsia="方正仿宋_GBK" w:cs="Times New Roman"/>
          <w:b/>
          <w:sz w:val="32"/>
          <w:szCs w:val="32"/>
          <w:lang w:val="zh-CN"/>
        </w:rPr>
        <w:t>一是</w:t>
      </w:r>
      <w:r>
        <w:rPr>
          <w:rFonts w:ascii="Times New Roman" w:hAnsi="Times New Roman" w:eastAsia="方正仿宋_GBK" w:cs="Times New Roman"/>
          <w:sz w:val="32"/>
          <w:szCs w:val="32"/>
          <w:lang w:val="zh-CN"/>
        </w:rPr>
        <w:t>机关工资福利支出31070万元；</w:t>
      </w:r>
      <w:r>
        <w:rPr>
          <w:rFonts w:ascii="Times New Roman" w:hAnsi="Times New Roman" w:eastAsia="方正仿宋_GBK" w:cs="Times New Roman"/>
          <w:b/>
          <w:sz w:val="32"/>
          <w:szCs w:val="32"/>
          <w:lang w:val="zh-CN"/>
        </w:rPr>
        <w:t>二是</w:t>
      </w:r>
      <w:r>
        <w:rPr>
          <w:rFonts w:ascii="Times New Roman" w:hAnsi="Times New Roman" w:eastAsia="方正仿宋_GBK" w:cs="Times New Roman"/>
          <w:sz w:val="32"/>
          <w:szCs w:val="32"/>
          <w:lang w:val="zh-CN"/>
        </w:rPr>
        <w:t>机关商品和服务支出4758万元；</w:t>
      </w:r>
      <w:r>
        <w:rPr>
          <w:rFonts w:ascii="Times New Roman" w:hAnsi="Times New Roman" w:eastAsia="方正仿宋_GBK" w:cs="Times New Roman"/>
          <w:b/>
          <w:sz w:val="32"/>
          <w:szCs w:val="32"/>
          <w:lang w:val="zh-CN"/>
        </w:rPr>
        <w:t>三是</w:t>
      </w:r>
      <w:r>
        <w:rPr>
          <w:rFonts w:ascii="Times New Roman" w:hAnsi="Times New Roman" w:eastAsia="方正仿宋_GBK" w:cs="Times New Roman"/>
          <w:sz w:val="32"/>
          <w:szCs w:val="32"/>
          <w:lang w:val="zh-CN"/>
        </w:rPr>
        <w:t>机关资本性支出1266万元；</w:t>
      </w:r>
      <w:r>
        <w:rPr>
          <w:rFonts w:ascii="Times New Roman" w:hAnsi="Times New Roman" w:eastAsia="方正仿宋_GBK" w:cs="Times New Roman"/>
          <w:b/>
          <w:sz w:val="32"/>
          <w:szCs w:val="32"/>
          <w:lang w:val="zh-CN"/>
        </w:rPr>
        <w:t>四是</w:t>
      </w:r>
      <w:r>
        <w:rPr>
          <w:rFonts w:ascii="Times New Roman" w:hAnsi="Times New Roman" w:eastAsia="方正仿宋_GBK" w:cs="Times New Roman"/>
          <w:sz w:val="32"/>
          <w:szCs w:val="32"/>
          <w:lang w:val="zh-CN"/>
        </w:rPr>
        <w:t>对事业单位经常性补助36835万元；</w:t>
      </w:r>
      <w:r>
        <w:rPr>
          <w:rFonts w:ascii="Times New Roman" w:hAnsi="Times New Roman" w:eastAsia="方正仿宋_GBK" w:cs="Times New Roman"/>
          <w:b/>
          <w:sz w:val="32"/>
          <w:szCs w:val="32"/>
          <w:lang w:val="zh-CN"/>
        </w:rPr>
        <w:t>五是</w:t>
      </w:r>
      <w:r>
        <w:rPr>
          <w:rFonts w:ascii="Times New Roman" w:hAnsi="Times New Roman" w:eastAsia="方正仿宋_GBK" w:cs="Times New Roman"/>
          <w:sz w:val="32"/>
          <w:szCs w:val="32"/>
          <w:lang w:val="zh-CN"/>
        </w:rPr>
        <w:t>对企业补助133万元；</w:t>
      </w:r>
      <w:r>
        <w:rPr>
          <w:rFonts w:ascii="Times New Roman" w:hAnsi="Times New Roman" w:eastAsia="方正仿宋_GBK" w:cs="Times New Roman"/>
          <w:b/>
          <w:sz w:val="32"/>
          <w:szCs w:val="32"/>
          <w:lang w:val="zh-CN"/>
        </w:rPr>
        <w:t>六是</w:t>
      </w:r>
      <w:r>
        <w:rPr>
          <w:rFonts w:ascii="Times New Roman" w:hAnsi="Times New Roman" w:eastAsia="方正仿宋_GBK" w:cs="Times New Roman"/>
          <w:sz w:val="32"/>
          <w:szCs w:val="32"/>
          <w:lang w:val="zh-CN"/>
        </w:rPr>
        <w:t>对个人和家庭的补助6164万元；</w:t>
      </w:r>
      <w:r>
        <w:rPr>
          <w:rFonts w:ascii="Times New Roman" w:hAnsi="Times New Roman" w:eastAsia="方正仿宋_GBK" w:cs="Times New Roman"/>
          <w:b/>
          <w:sz w:val="32"/>
          <w:szCs w:val="32"/>
          <w:lang w:val="zh-CN"/>
        </w:rPr>
        <w:t>七是</w:t>
      </w:r>
      <w:r>
        <w:rPr>
          <w:rFonts w:ascii="Times New Roman" w:hAnsi="Times New Roman" w:eastAsia="方正仿宋_GBK" w:cs="Times New Roman"/>
          <w:sz w:val="32"/>
          <w:szCs w:val="32"/>
          <w:lang w:val="zh-CN"/>
        </w:rPr>
        <w:t>债务利息及费用支出934万元；</w:t>
      </w:r>
      <w:r>
        <w:rPr>
          <w:rFonts w:ascii="Times New Roman" w:hAnsi="Times New Roman" w:eastAsia="方正仿宋_GBK" w:cs="Times New Roman"/>
          <w:b/>
          <w:sz w:val="32"/>
          <w:szCs w:val="32"/>
          <w:lang w:val="zh-CN"/>
        </w:rPr>
        <w:t>八是</w:t>
      </w:r>
      <w:r>
        <w:rPr>
          <w:rFonts w:ascii="Times New Roman" w:hAnsi="Times New Roman" w:eastAsia="方正仿宋_GBK" w:cs="Times New Roman"/>
          <w:sz w:val="32"/>
          <w:szCs w:val="32"/>
          <w:lang w:val="zh-CN"/>
        </w:rPr>
        <w:t>预备费850万元；</w:t>
      </w:r>
      <w:r>
        <w:rPr>
          <w:rFonts w:ascii="Times New Roman" w:hAnsi="Times New Roman" w:eastAsia="方正仿宋_GBK" w:cs="Times New Roman"/>
          <w:b/>
          <w:sz w:val="32"/>
          <w:szCs w:val="32"/>
          <w:lang w:val="zh-CN"/>
        </w:rPr>
        <w:t>九是</w:t>
      </w:r>
      <w:r>
        <w:rPr>
          <w:rFonts w:ascii="Times New Roman" w:hAnsi="Times New Roman" w:eastAsia="方正仿宋_GBK" w:cs="Times New Roman"/>
          <w:sz w:val="32"/>
          <w:szCs w:val="32"/>
          <w:lang w:val="zh-CN"/>
        </w:rPr>
        <w:t>其他支出3</w:t>
      </w:r>
      <w:r>
        <w:rPr>
          <w:rFonts w:hint="eastAsia" w:ascii="Times New Roman" w:hAnsi="Times New Roman" w:eastAsia="方正仿宋_GBK" w:cs="Times New Roman"/>
          <w:sz w:val="32"/>
          <w:szCs w:val="32"/>
          <w:lang w:val="zh-CN"/>
        </w:rPr>
        <w:t>900</w:t>
      </w:r>
      <w:r>
        <w:rPr>
          <w:rFonts w:ascii="Times New Roman" w:hAnsi="Times New Roman" w:eastAsia="方正仿宋_GBK" w:cs="Times New Roman"/>
          <w:sz w:val="32"/>
          <w:szCs w:val="32"/>
          <w:lang w:val="zh-CN"/>
        </w:rPr>
        <w:t>万元。</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（二）政府性基金预算</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2024年政府性基金收入预算为38</w:t>
      </w:r>
      <w:r>
        <w:rPr>
          <w:rFonts w:hint="eastAsia" w:ascii="Times New Roman" w:hAnsi="Times New Roman" w:eastAsia="方正仿宋_GBK" w:cs="Times New Roman"/>
          <w:sz w:val="32"/>
          <w:szCs w:val="32"/>
          <w:lang w:val="zh-CN"/>
        </w:rPr>
        <w:t>1</w:t>
      </w:r>
      <w:r>
        <w:rPr>
          <w:rFonts w:ascii="Times New Roman" w:hAnsi="Times New Roman" w:eastAsia="方正仿宋_GBK" w:cs="Times New Roman"/>
          <w:sz w:val="32"/>
          <w:szCs w:val="32"/>
          <w:lang w:val="zh-CN"/>
        </w:rPr>
        <w:t>万元，其中本级收入50万元，上年结转收入33</w:t>
      </w:r>
      <w:r>
        <w:rPr>
          <w:rFonts w:hint="eastAsia" w:ascii="Times New Roman" w:hAnsi="Times New Roman" w:eastAsia="方正仿宋_GBK" w:cs="Times New Roman"/>
          <w:sz w:val="32"/>
          <w:szCs w:val="32"/>
          <w:lang w:val="zh-CN"/>
        </w:rPr>
        <w:t>1</w:t>
      </w:r>
      <w:r>
        <w:rPr>
          <w:rFonts w:ascii="Times New Roman" w:hAnsi="Times New Roman" w:eastAsia="方正仿宋_GBK" w:cs="Times New Roman"/>
          <w:sz w:val="32"/>
          <w:szCs w:val="32"/>
          <w:lang w:val="zh-CN"/>
        </w:rPr>
        <w:t>万元。按照收支平衡和对应安排原则，2024年政府性基金支出预算为38</w:t>
      </w:r>
      <w:r>
        <w:rPr>
          <w:rFonts w:hint="eastAsia" w:ascii="Times New Roman" w:hAnsi="Times New Roman" w:eastAsia="方正仿宋_GBK" w:cs="Times New Roman"/>
          <w:sz w:val="32"/>
          <w:szCs w:val="32"/>
          <w:lang w:val="zh-CN"/>
        </w:rPr>
        <w:t>1</w:t>
      </w:r>
      <w:r>
        <w:rPr>
          <w:rFonts w:ascii="Times New Roman" w:hAnsi="Times New Roman" w:eastAsia="方正仿宋_GBK" w:cs="Times New Roman"/>
          <w:sz w:val="32"/>
          <w:szCs w:val="32"/>
          <w:lang w:val="zh-CN"/>
        </w:rPr>
        <w:t>万元。</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（三）社会保险基金预算</w:t>
      </w:r>
    </w:p>
    <w:p>
      <w:pPr>
        <w:overflowPunct w:val="0"/>
        <w:spacing w:line="576" w:lineRule="exact"/>
        <w:ind w:firstLine="640" w:firstLineChars="200"/>
        <w:rPr>
          <w:rFonts w:ascii="Times New Roman" w:hAnsi="Times New Roman" w:eastAsia="仿宋_GB2312" w:cs="Times New Roman"/>
          <w:sz w:val="32"/>
          <w:szCs w:val="32"/>
          <w:lang w:val="zh-CN"/>
        </w:rPr>
      </w:pPr>
      <w:r>
        <w:rPr>
          <w:rFonts w:ascii="Times New Roman" w:hAnsi="Times New Roman" w:eastAsia="方正仿宋_GBK" w:cs="Times New Roman"/>
          <w:sz w:val="32"/>
          <w:szCs w:val="32"/>
          <w:lang w:val="zh-CN"/>
        </w:rPr>
        <w:t>2024年城乡居民养老保险基金由州级统筹，县级不编报预算。</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（四）国有资本经营预算</w:t>
      </w:r>
    </w:p>
    <w:p>
      <w:pPr>
        <w:overflowPunct w:val="0"/>
        <w:spacing w:line="576" w:lineRule="exact"/>
        <w:ind w:firstLine="640" w:firstLineChars="200"/>
        <w:rPr>
          <w:rFonts w:ascii="Times New Roman" w:hAnsi="Times New Roman" w:eastAsia="楷体_GB2312" w:cs="Times New Roman"/>
          <w:sz w:val="32"/>
          <w:szCs w:val="32"/>
        </w:rPr>
      </w:pPr>
      <w:r>
        <w:rPr>
          <w:rFonts w:ascii="Times New Roman" w:hAnsi="Times New Roman" w:eastAsia="方正仿宋_GBK" w:cs="Times New Roman"/>
          <w:sz w:val="32"/>
          <w:szCs w:val="32"/>
          <w:lang w:val="zh-CN"/>
        </w:rPr>
        <w:t>2024年国有资本经营收入预算为5万元。按照收支平衡原则，2024年国有资本经营支出预算为5万元。</w:t>
      </w:r>
    </w:p>
    <w:p>
      <w:pPr>
        <w:overflowPunct w:val="0"/>
        <w:spacing w:line="576" w:lineRule="exact"/>
        <w:ind w:firstLine="642" w:firstLineChars="200"/>
        <w:rPr>
          <w:rFonts w:ascii="Times New Roman" w:hAnsi="Times New Roman" w:eastAsia="仿宋_GB2312" w:cs="Times New Roman"/>
          <w:b/>
          <w:sz w:val="32"/>
          <w:szCs w:val="32"/>
        </w:rPr>
      </w:pPr>
      <w:r>
        <w:rPr>
          <w:rFonts w:ascii="Times New Roman" w:hAnsi="Times New Roman" w:eastAsia="方正黑体_GBK" w:cs="Times New Roman"/>
          <w:b/>
          <w:sz w:val="32"/>
          <w:szCs w:val="32"/>
        </w:rPr>
        <w:t>二、2024年重点工作</w:t>
      </w:r>
    </w:p>
    <w:p>
      <w:pPr>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（一）狠抓收入征管，优化收支结构</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坚持开源与节流并重，加强对收入的组织，优化收支结构，着力支持改善民生等重点支出。</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强化收入组织，确保按时完成2024年收入目标任务。</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优化支出结构，继续压减一般性支出，严控非必要支出，及时清理收回低效无效、闲置沉淀、结转结余项目资金用于保障重点领域、重点项目、重点民生支出，提高财政资源配置效率。</w:t>
      </w:r>
    </w:p>
    <w:p>
      <w:pPr>
        <w:pStyle w:val="10"/>
        <w:overflowPunct w:val="0"/>
        <w:spacing w:line="576" w:lineRule="exact"/>
        <w:ind w:firstLine="642" w:firstLineChars="200"/>
        <w:rPr>
          <w:rFonts w:ascii="Times New Roman" w:hAnsi="Times New Roman" w:eastAsia="楷体_GB2312" w:cs="Times New Roman"/>
          <w:b/>
          <w:bCs/>
          <w:color w:val="333333"/>
          <w:spacing w:val="2"/>
          <w:sz w:val="32"/>
          <w:szCs w:val="32"/>
          <w:shd w:val="clear" w:color="auto" w:fill="FFFFFF"/>
        </w:rPr>
      </w:pPr>
      <w:r>
        <w:rPr>
          <w:rFonts w:ascii="Times New Roman" w:hAnsi="Times New Roman" w:eastAsia="方正楷体_GBK" w:cs="Times New Roman"/>
          <w:b/>
          <w:bCs/>
          <w:sz w:val="32"/>
          <w:szCs w:val="32"/>
        </w:rPr>
        <w:t>（二）狠抓项目申报，积极筹措资金</w:t>
      </w:r>
    </w:p>
    <w:p>
      <w:pPr>
        <w:pStyle w:val="10"/>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积极争取上级财政资金。加强与省、州财政部门的密切联系，争取重点领域资金支持，配合县发改、各行业主管部门加强项目储备，加大向上申报项目力度，争取更多的上级资金支持我县重点项目建设，同时做好2024年债券项目申报工作，为我县“三县”发展战略建设做好资金保障。</w:t>
      </w:r>
    </w:p>
    <w:p>
      <w:pPr>
        <w:pStyle w:val="10"/>
        <w:overflowPunct w:val="0"/>
        <w:spacing w:line="576" w:lineRule="exact"/>
        <w:ind w:firstLine="642" w:firstLineChars="200"/>
        <w:rPr>
          <w:rFonts w:ascii="Times New Roman" w:hAnsi="Times New Roman" w:eastAsia="楷体_GB2312" w:cs="Times New Roman"/>
          <w:b/>
          <w:bCs/>
          <w:color w:val="333333"/>
          <w:spacing w:val="2"/>
          <w:sz w:val="32"/>
          <w:szCs w:val="32"/>
          <w:shd w:val="clear" w:color="auto" w:fill="FFFFFF"/>
        </w:rPr>
      </w:pPr>
      <w:r>
        <w:rPr>
          <w:rFonts w:ascii="Times New Roman" w:hAnsi="Times New Roman" w:eastAsia="方正楷体_GBK" w:cs="Times New Roman"/>
          <w:b/>
          <w:bCs/>
          <w:sz w:val="32"/>
          <w:szCs w:val="32"/>
        </w:rPr>
        <w:t>（三）狠抓财政监管，提升财政质效</w:t>
      </w:r>
    </w:p>
    <w:p>
      <w:pPr>
        <w:overflowPunct w:val="0"/>
        <w:adjustRightInd w:val="0"/>
        <w:snapToGrid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以财会监督为抓手，以内控建设为切入点，打通梗阻瓶颈，推动人大监督、财会监督、审计监督、巡查监督等协调联动，规范财政资金使用管理，促进全县经济稳定健康运行。</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严格执行《预算法》《会计法》等财经法规，加大财会监督力度，强化对预算单位的财务监管，健全内部监督约束机制，规范财政行政执法行为。</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全面推进依法理财，自觉接受人大对预算的监督审查，实行“双监控”模式，依托预算管理一体化系统，做好资金动态监控，加强预算绩效管理，指导各预算单位规范资金使用。</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sz w:val="32"/>
          <w:szCs w:val="32"/>
          <w:lang w:val="zh-CN"/>
        </w:rPr>
        <w:t>开展财会普法宣传教育活动，推进建设节约型财政，全面落实政府过</w:t>
      </w:r>
      <w:r>
        <w:rPr>
          <w:rFonts w:hint="eastAsia" w:ascii="Times New Roman" w:hAnsi="Times New Roman" w:eastAsia="方正仿宋_GBK" w:cs="Times New Roman"/>
          <w:sz w:val="32"/>
          <w:szCs w:val="32"/>
          <w:lang w:val="zh-CN"/>
        </w:rPr>
        <w:t>“</w:t>
      </w:r>
      <w:r>
        <w:rPr>
          <w:rFonts w:ascii="Times New Roman" w:hAnsi="Times New Roman" w:eastAsia="方正仿宋_GBK" w:cs="Times New Roman"/>
          <w:sz w:val="32"/>
          <w:szCs w:val="32"/>
          <w:lang w:val="zh-CN"/>
        </w:rPr>
        <w:t>紧日子</w:t>
      </w:r>
      <w:r>
        <w:rPr>
          <w:rFonts w:hint="eastAsia" w:ascii="Times New Roman" w:hAnsi="Times New Roman" w:eastAsia="方正仿宋_GBK" w:cs="Times New Roman"/>
          <w:sz w:val="32"/>
          <w:szCs w:val="32"/>
          <w:lang w:val="zh-CN"/>
        </w:rPr>
        <w:t>”</w:t>
      </w:r>
      <w:r>
        <w:rPr>
          <w:rFonts w:ascii="Times New Roman" w:hAnsi="Times New Roman" w:eastAsia="方正仿宋_GBK" w:cs="Times New Roman"/>
          <w:sz w:val="32"/>
          <w:szCs w:val="32"/>
          <w:lang w:val="zh-CN"/>
        </w:rPr>
        <w:t>相关要求。</w:t>
      </w:r>
      <w:r>
        <w:rPr>
          <w:rFonts w:ascii="Times New Roman" w:hAnsi="Times New Roman" w:eastAsia="方正仿宋_GBK" w:cs="Times New Roman"/>
          <w:b/>
          <w:bCs/>
          <w:sz w:val="32"/>
          <w:szCs w:val="32"/>
          <w:lang w:val="zh-CN"/>
        </w:rPr>
        <w:t>四是</w:t>
      </w:r>
      <w:r>
        <w:rPr>
          <w:rFonts w:ascii="Times New Roman" w:hAnsi="Times New Roman" w:eastAsia="方正仿宋_GBK" w:cs="Times New Roman"/>
          <w:sz w:val="32"/>
          <w:szCs w:val="32"/>
          <w:lang w:val="zh-CN"/>
        </w:rPr>
        <w:t>强化国有资产监管体制，进一步完善国有资产管理制度建设，加强对国有企业的监管力度，优化国有企业经营方式，推动县域经济发展。</w:t>
      </w:r>
    </w:p>
    <w:p>
      <w:pPr>
        <w:overflowPunct w:val="0"/>
        <w:adjustRightInd w:val="0"/>
        <w:snapToGrid w:val="0"/>
        <w:spacing w:line="576" w:lineRule="exact"/>
        <w:ind w:firstLine="642" w:firstLineChars="200"/>
        <w:rPr>
          <w:rFonts w:ascii="Times New Roman" w:hAnsi="Times New Roman" w:eastAsia="楷体_GB2312" w:cs="Times New Roman"/>
          <w:b/>
          <w:sz w:val="32"/>
          <w:szCs w:val="32"/>
        </w:rPr>
      </w:pPr>
      <w:r>
        <w:rPr>
          <w:rFonts w:ascii="Times New Roman" w:hAnsi="Times New Roman" w:eastAsia="方正楷体_GBK" w:cs="Times New Roman"/>
          <w:b/>
          <w:bCs/>
          <w:sz w:val="32"/>
          <w:szCs w:val="32"/>
        </w:rPr>
        <w:t>（四）狠抓债务管理，防范债务风险</w:t>
      </w:r>
    </w:p>
    <w:p>
      <w:pPr>
        <w:overflowPunct w:val="0"/>
        <w:adjustRightInd w:val="0"/>
        <w:snapToGrid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建立规范的地方政府举债融资机制，切实履行偿债责任，加强对政府性债务的动态监控，坚决杜绝违法违规融资行为，同时加大财政暂付款和部门拖欠中小企业欠款消化力度，加强债务风险源头管控和政府投资项目立项前财政承受能力和债务风险评估，守住债务风险底线。</w:t>
      </w:r>
    </w:p>
    <w:p>
      <w:pPr>
        <w:pStyle w:val="10"/>
        <w:overflowPunct w:val="0"/>
        <w:spacing w:line="576" w:lineRule="exact"/>
        <w:ind w:firstLine="642"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（五）狠抓工作效能，增强管理水平</w:t>
      </w:r>
    </w:p>
    <w:p>
      <w:pPr>
        <w:pStyle w:val="10"/>
        <w:overflowPunct w:val="0"/>
        <w:spacing w:line="576" w:lineRule="exact"/>
        <w:ind w:firstLine="640" w:firstLineChars="200"/>
        <w:rPr>
          <w:rFonts w:ascii="Times New Roman" w:hAnsi="Times New Roman" w:cs="Times New Roman"/>
          <w:sz w:val="32"/>
          <w:szCs w:val="32"/>
        </w:rPr>
      </w:pPr>
      <w:r>
        <w:rPr>
          <w:rFonts w:ascii="Times New Roman" w:hAnsi="Times New Roman" w:eastAsia="方正仿宋_GBK" w:cs="Times New Roman"/>
          <w:sz w:val="32"/>
          <w:szCs w:val="32"/>
          <w:lang w:val="zh-CN"/>
        </w:rPr>
        <w:t>多举措推进财政管理改革，努力提高财政工作质效。</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按照健全公共财政体制的要求，注重制度创新，逐步优化理财水平。继续深化预算管理制度改革，进一步提高预算编制的完整性、科学性、公开性和透明度。同时扩大项目支出绩效考评范围，强化绩效监督，实行重大项目资金使用问责制和责任追究制。</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加强行政事业单位资产管理，推进各项财政基础管理工作改革创新。</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sz w:val="32"/>
          <w:szCs w:val="32"/>
          <w:lang w:val="zh-CN"/>
        </w:rPr>
        <w:t>加大对财政人员管理力度，加强干部培育，提升财政干部的学习创新能力，增强财政部门的创造力、凝聚力和战斗力，不断提高财政队伍综合素质。</w:t>
      </w:r>
      <w:r>
        <w:rPr>
          <w:rFonts w:ascii="Times New Roman" w:hAnsi="Times New Roman" w:eastAsia="方正仿宋_GBK" w:cs="Times New Roman"/>
          <w:b/>
          <w:bCs/>
          <w:sz w:val="32"/>
          <w:szCs w:val="32"/>
          <w:lang w:val="zh-CN"/>
        </w:rPr>
        <w:t>四是</w:t>
      </w:r>
      <w:r>
        <w:rPr>
          <w:rFonts w:ascii="Times New Roman" w:hAnsi="Times New Roman" w:eastAsia="方正仿宋_GBK" w:cs="Times New Roman"/>
          <w:sz w:val="32"/>
          <w:szCs w:val="32"/>
          <w:lang w:val="zh-CN"/>
        </w:rPr>
        <w:t>加强财政系统精神文明创建、党风廉政建设和政风建设，狠抓工作落实，切实打造服务型财政。</w:t>
      </w:r>
    </w:p>
    <w:p>
      <w:pPr>
        <w:overflowPunct w:val="0"/>
        <w:spacing w:line="576" w:lineRule="exact"/>
        <w:ind w:firstLine="642" w:firstLineChars="200"/>
        <w:rPr>
          <w:rFonts w:ascii="Times New Roman" w:hAnsi="Times New Roman" w:eastAsia="方正仿宋_GBK" w:cs="Times New Roman"/>
          <w:sz w:val="32"/>
          <w:szCs w:val="32"/>
          <w:lang w:val="zh-CN"/>
        </w:rPr>
      </w:pPr>
      <w:r>
        <w:rPr>
          <w:rFonts w:ascii="Times New Roman" w:hAnsi="Times New Roman" w:eastAsia="方正黑体_GBK" w:cs="Times New Roman"/>
          <w:b/>
          <w:bCs/>
          <w:sz w:val="32"/>
          <w:szCs w:val="32"/>
        </w:rPr>
        <w:t>各位代表：奋斗创造历史，实干成就未来。</w:t>
      </w:r>
      <w:r>
        <w:rPr>
          <w:rFonts w:ascii="Times New Roman" w:hAnsi="Times New Roman" w:eastAsia="方正仿宋_GBK" w:cs="Times New Roman"/>
          <w:sz w:val="32"/>
          <w:szCs w:val="32"/>
          <w:lang w:val="zh-CN"/>
        </w:rPr>
        <w:t>我们将在县委的坚强领导下，自觉接受县人大的监督指导，认真听取县人大代表的意见建议，紧紧围绕县委确定的“农牧立县、文旅兴县、能源富县”发展战略，根据2024年经济社会发展预期目标和重点任务，坚持“稳中求进”工作总基调，全面深化改革，积极发挥职能作用，不断提高财政保障服务水平，为全面开创壤塘经济社会高质量发展贡献财政力量！</w:t>
      </w:r>
    </w:p>
    <w:p>
      <w:pPr>
        <w:pStyle w:val="2"/>
        <w:spacing w:line="576" w:lineRule="exact"/>
        <w:ind w:left="0" w:leftChars="0" w:firstLine="0" w:firstLineChars="0"/>
        <w:rPr>
          <w:rFonts w:ascii="Times New Roman" w:hAnsi="Times New Roman" w:eastAsia="方正仿宋_GBK" w:cs="Times New Roman"/>
          <w:sz w:val="32"/>
          <w:szCs w:val="32"/>
          <w:lang w:val="zh-CN"/>
        </w:rPr>
      </w:pPr>
    </w:p>
    <w:p>
      <w:pPr>
        <w:rPr>
          <w:lang w:val="zh-CN"/>
        </w:rPr>
      </w:pPr>
    </w:p>
    <w:p>
      <w:pPr>
        <w:spacing w:line="576" w:lineRule="exact"/>
        <w:rPr>
          <w:rFonts w:hint="eastAsia"/>
          <w:lang w:val="zh-CN"/>
        </w:rPr>
      </w:pPr>
      <w:r>
        <w:rPr>
          <w:rFonts w:hint="eastAsia"/>
          <w:lang w:val="zh-CN"/>
        </w:rPr>
        <w:t xml:space="preserve"> </w:t>
      </w:r>
    </w:p>
    <w:p>
      <w:pPr>
        <w:pStyle w:val="2"/>
        <w:rPr>
          <w:rFonts w:hint="eastAsia"/>
          <w:lang w:val="zh-CN"/>
        </w:rPr>
      </w:pPr>
    </w:p>
    <w:p>
      <w:pPr>
        <w:pStyle w:val="4"/>
        <w:rPr>
          <w:lang w:val="zh-CN"/>
        </w:rPr>
      </w:pPr>
    </w:p>
    <w:p>
      <w:pPr>
        <w:pStyle w:val="4"/>
        <w:rPr>
          <w:lang w:val="zh-CN"/>
        </w:rPr>
      </w:pPr>
    </w:p>
    <w:p>
      <w:pPr>
        <w:pStyle w:val="13"/>
        <w:pBdr>
          <w:top w:val="single" w:color="auto" w:sz="4" w:space="0"/>
          <w:bottom w:val="single" w:color="auto" w:sz="4" w:space="0"/>
        </w:pBdr>
        <w:spacing w:line="520" w:lineRule="exact"/>
        <w:ind w:left="0" w:leftChars="0" w:firstLine="280" w:firstLineChars="100"/>
        <w:rPr>
          <w:rFonts w:ascii="宋体" w:hAnsi="宋体" w:cs="宋体"/>
          <w:sz w:val="28"/>
          <w:szCs w:val="28"/>
          <w:lang w:val="zh-CN"/>
        </w:rPr>
      </w:pPr>
      <w:r>
        <w:rPr>
          <w:rFonts w:hint="eastAsia" w:ascii="宋体" w:hAnsi="宋体" w:cs="宋体"/>
          <w:sz w:val="28"/>
          <w:szCs w:val="28"/>
          <w:lang w:val="zh-CN"/>
        </w:rPr>
        <w:t xml:space="preserve">壤塘县十五届人大四次会议秘书处    </w:t>
      </w:r>
      <w:r>
        <w:rPr>
          <w:rFonts w:hint="eastAsia" w:ascii="宋体" w:hAnsi="宋体" w:cs="宋体"/>
          <w:sz w:val="28"/>
          <w:szCs w:val="28"/>
        </w:rPr>
        <w:t xml:space="preserve">     </w:t>
      </w:r>
      <w:r>
        <w:rPr>
          <w:rFonts w:hint="eastAsia"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lang w:val="zh-CN"/>
        </w:rPr>
        <w:t>2024</w:t>
      </w:r>
      <w:r>
        <w:rPr>
          <w:rFonts w:hint="eastAsia" w:ascii="宋体" w:hAnsi="宋体" w:cs="宋体"/>
          <w:sz w:val="28"/>
          <w:szCs w:val="28"/>
          <w:lang w:val="zh-CN"/>
        </w:rPr>
        <w:t>年</w:t>
      </w:r>
      <w:r>
        <w:rPr>
          <w:rFonts w:hint="eastAsia" w:ascii="Times New Roman" w:hAnsi="Times New Roman" w:eastAsia="方正仿宋_GBK" w:cs="Times New Roman"/>
          <w:sz w:val="28"/>
          <w:szCs w:val="28"/>
          <w:lang w:val="zh-CN"/>
        </w:rPr>
        <w:t>1</w:t>
      </w:r>
      <w:r>
        <w:rPr>
          <w:rFonts w:hint="eastAsia" w:ascii="宋体" w:hAnsi="宋体" w:cs="宋体"/>
          <w:sz w:val="28"/>
          <w:szCs w:val="28"/>
          <w:lang w:val="zh-CN"/>
        </w:rPr>
        <w:t>月</w:t>
      </w:r>
      <w:r>
        <w:rPr>
          <w:rFonts w:hint="eastAsia" w:ascii="Times New Roman" w:hAnsi="Times New Roman" w:eastAsia="方正仿宋_GBK" w:cs="Times New Roman"/>
          <w:sz w:val="28"/>
          <w:szCs w:val="28"/>
          <w:lang w:val="zh-CN"/>
        </w:rPr>
        <w:t>27</w:t>
      </w:r>
      <w:r>
        <w:rPr>
          <w:rFonts w:hint="eastAsia" w:ascii="宋体" w:hAnsi="宋体" w:cs="宋体"/>
          <w:sz w:val="28"/>
          <w:szCs w:val="28"/>
          <w:lang w:val="zh-CN"/>
        </w:rPr>
        <w:t>日印发</w:t>
      </w:r>
    </w:p>
    <w:p>
      <w:pPr>
        <w:pStyle w:val="4"/>
        <w:rPr>
          <w:rFonts w:ascii="Times New Roman" w:hAnsi="Times New Roman" w:eastAsia="方正仿宋_GBK" w:cs="Times New Roman"/>
          <w:b w:val="0"/>
          <w:bCs w:val="0"/>
          <w:kern w:val="2"/>
          <w:szCs w:val="32"/>
          <w:lang w:val="zh-CN"/>
        </w:rPr>
      </w:pPr>
      <w:r>
        <w:rPr>
          <w:rFonts w:hint="eastAsia" w:hAnsi="宋体" w:eastAsia="宋体"/>
          <w:b w:val="0"/>
          <w:bCs w:val="0"/>
          <w:kern w:val="2"/>
          <w:sz w:val="28"/>
          <w:szCs w:val="28"/>
          <w:lang w:val="zh-CN"/>
        </w:rPr>
        <w:t xml:space="preserve">                                         </w:t>
      </w:r>
      <w:r>
        <w:rPr>
          <w:rFonts w:hint="eastAsia" w:hAnsi="宋体" w:eastAsia="宋体"/>
          <w:b w:val="0"/>
          <w:bCs w:val="0"/>
          <w:kern w:val="2"/>
          <w:sz w:val="28"/>
          <w:szCs w:val="28"/>
        </w:rPr>
        <w:t xml:space="preserve">         </w:t>
      </w:r>
    </w:p>
    <w:sectPr>
      <w:footerReference r:id="rId3" w:type="default"/>
      <w:footerReference r:id="rId4" w:type="even"/>
      <w:pgSz w:w="11906" w:h="16838"/>
      <w:pgMar w:top="2098" w:right="1531" w:bottom="1985"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r>
      <w:pict>
        <v:shape id="_x0000_s2049" o:spid="_x0000_s2049" o:spt="202" type="#_x0000_t202" style="position:absolute;left:0pt;margin-left:387.4pt;margin-top:-10.65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r>
      <w:pict>
        <v:shape id="_x0000_s2050" o:spid="_x0000_s2050" o:spt="202" type="#_x0000_t202" style="position:absolute;left:0pt;margin-left:12.8pt;margin-top:-10.65pt;height:144pt;width:144p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C153C"/>
    <w:multiLevelType w:val="singleLevel"/>
    <w:tmpl w:val="BEEC153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true"/>
  <w:bordersDoNotSurroundFooter w:val="true"/>
  <w:documentProtection w:enforcement="0"/>
  <w:defaultTabStop w:val="420"/>
  <w:evenAndOddHeaders w:val="true"/>
  <w:drawingGridHorizontalSpacing w:val="105"/>
  <w:drawingGridVerticalSpacing w:val="156"/>
  <w:displayHorizontalDrawingGridEvery w:val="0"/>
  <w:noPunctuationKerning w:val="true"/>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docVars>
    <w:docVar w:name="commondata" w:val="eyJoZGlkIjoiYjllZGNkZWEzYjg0NDNmNTQ5MjkzNjk0ODlhNmVkYzAifQ=="/>
  </w:docVars>
  <w:rsids>
    <w:rsidRoot w:val="00456A26"/>
    <w:rsid w:val="00037C28"/>
    <w:rsid w:val="0009775D"/>
    <w:rsid w:val="000D6548"/>
    <w:rsid w:val="00120C50"/>
    <w:rsid w:val="001506E3"/>
    <w:rsid w:val="00177F98"/>
    <w:rsid w:val="001A6DF8"/>
    <w:rsid w:val="00256EAC"/>
    <w:rsid w:val="00261C2B"/>
    <w:rsid w:val="002C386D"/>
    <w:rsid w:val="00340632"/>
    <w:rsid w:val="003C33AC"/>
    <w:rsid w:val="00431CF8"/>
    <w:rsid w:val="004405EA"/>
    <w:rsid w:val="0044496F"/>
    <w:rsid w:val="00456A26"/>
    <w:rsid w:val="0051099B"/>
    <w:rsid w:val="005E36E0"/>
    <w:rsid w:val="00681851"/>
    <w:rsid w:val="00700270"/>
    <w:rsid w:val="00856EA4"/>
    <w:rsid w:val="009232EF"/>
    <w:rsid w:val="0099448A"/>
    <w:rsid w:val="00A03841"/>
    <w:rsid w:val="00AB6705"/>
    <w:rsid w:val="00AD48F4"/>
    <w:rsid w:val="00BE18D8"/>
    <w:rsid w:val="00BF5AC4"/>
    <w:rsid w:val="00BF6F72"/>
    <w:rsid w:val="00C22AF4"/>
    <w:rsid w:val="00C6633F"/>
    <w:rsid w:val="00CE0225"/>
    <w:rsid w:val="00CE1F19"/>
    <w:rsid w:val="00D12D45"/>
    <w:rsid w:val="00D17CA0"/>
    <w:rsid w:val="00D25632"/>
    <w:rsid w:val="00D46DEC"/>
    <w:rsid w:val="00DF1FBE"/>
    <w:rsid w:val="00EF761F"/>
    <w:rsid w:val="00F41251"/>
    <w:rsid w:val="00F6562B"/>
    <w:rsid w:val="00F833B4"/>
    <w:rsid w:val="00FC5909"/>
    <w:rsid w:val="137D4412"/>
    <w:rsid w:val="420B5EBE"/>
    <w:rsid w:val="572F292E"/>
    <w:rsid w:val="6FEB49D4"/>
    <w:rsid w:val="EFB98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rPr>
  </w:style>
  <w:style w:type="paragraph" w:styleId="7">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8">
    <w:name w:val="heading 3"/>
    <w:basedOn w:val="1"/>
    <w:next w:val="1"/>
    <w:qFormat/>
    <w:uiPriority w:val="0"/>
    <w:pPr>
      <w:keepNext/>
      <w:keepLines/>
      <w:spacing w:before="260" w:after="260" w:line="415" w:lineRule="auto"/>
      <w:outlineLvl w:val="2"/>
    </w:pPr>
    <w:rPr>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ind w:left="420" w:leftChars="200"/>
    </w:pPr>
  </w:style>
  <w:style w:type="paragraph" w:styleId="4">
    <w:name w:val="Body Text First Indent"/>
    <w:basedOn w:val="5"/>
    <w:next w:val="1"/>
    <w:qFormat/>
    <w:uiPriority w:val="0"/>
    <w:pPr>
      <w:autoSpaceDE w:val="0"/>
      <w:autoSpaceDN w:val="0"/>
      <w:adjustRightInd w:val="0"/>
      <w:snapToGrid w:val="0"/>
      <w:spacing w:line="560" w:lineRule="exact"/>
      <w:ind w:left="20"/>
      <w:jc w:val="left"/>
    </w:pPr>
    <w:rPr>
      <w:rFonts w:ascii="宋体" w:cs="宋体"/>
      <w:kern w:val="0"/>
      <w:szCs w:val="33"/>
    </w:rPr>
  </w:style>
  <w:style w:type="paragraph" w:styleId="5">
    <w:name w:val="Body Text"/>
    <w:basedOn w:val="1"/>
    <w:next w:val="4"/>
    <w:qFormat/>
    <w:uiPriority w:val="0"/>
    <w:pPr>
      <w:spacing w:line="360" w:lineRule="auto"/>
    </w:pPr>
    <w:rPr>
      <w:rFonts w:ascii="仿宋_GB2312" w:eastAsia="仿宋_GB2312" w:cs="Times New Roman"/>
      <w:b/>
      <w:bCs/>
      <w:sz w:val="32"/>
    </w:rPr>
  </w:style>
  <w:style w:type="paragraph" w:styleId="9">
    <w:name w:val="Normal Indent"/>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styleId="10">
    <w:name w:val="Salutation"/>
    <w:basedOn w:val="1"/>
    <w:next w:val="1"/>
    <w:qFormat/>
    <w:uiPriority w:val="0"/>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tabs>
        <w:tab w:val="center" w:pos="4153"/>
        <w:tab w:val="right" w:pos="8306"/>
      </w:tabs>
      <w:snapToGrid w:val="0"/>
    </w:pPr>
    <w:rPr>
      <w:sz w:val="18"/>
    </w:rPr>
  </w:style>
  <w:style w:type="paragraph" w:styleId="13">
    <w:name w:val="toc 6"/>
    <w:basedOn w:val="1"/>
    <w:next w:val="1"/>
    <w:qFormat/>
    <w:uiPriority w:val="0"/>
    <w:pPr>
      <w:ind w:left="1000" w:leftChars="1000"/>
    </w:pPr>
  </w:style>
  <w:style w:type="paragraph" w:styleId="14">
    <w:name w:val="Normal (Web)"/>
    <w:basedOn w:val="1"/>
    <w:next w:val="12"/>
    <w:qFormat/>
    <w:uiPriority w:val="0"/>
    <w:pPr>
      <w:spacing w:before="100" w:beforeAutospacing="1" w:after="100" w:afterAutospacing="1"/>
      <w:jc w:val="left"/>
    </w:pPr>
    <w:rPr>
      <w:rFonts w:cs="Times New Roman"/>
      <w:kern w:val="0"/>
      <w:sz w:val="24"/>
    </w:rPr>
  </w:style>
  <w:style w:type="character" w:styleId="17">
    <w:name w:val="page number"/>
    <w:basedOn w:val="16"/>
    <w:qFormat/>
    <w:uiPriority w:val="0"/>
  </w:style>
  <w:style w:type="paragraph" w:styleId="18">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win10com.com</Company>
  <Pages>17</Pages>
  <Words>1364</Words>
  <Characters>7775</Characters>
  <Lines>64</Lines>
  <Paragraphs>18</Paragraphs>
  <TotalTime>47</TotalTime>
  <ScaleCrop>false</ScaleCrop>
  <LinksUpToDate>false</LinksUpToDate>
  <CharactersWithSpaces>9121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2024-01-20T00:44:00Z</dcterms:created>
  <dc:creator>Administrator</dc:creator>
  <cp:lastModifiedBy>碧落  </cp:lastModifiedBy>
  <cp:lastPrinted>2023-11-26T03:25:00Z</cp:lastPrinted>
  <dcterms:modified xsi:type="dcterms:W3CDTF">2024-02-01T10:56:11Z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16057316C0AE40539BB81425B05E5B06</vt:lpwstr>
  </property>
</Properties>
</file>