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E4639E9">
      <w:pPr>
        <w:keepNext w:val="0"/>
        <w:keepLines w:val="0"/>
        <w:pageBreakBefore w:val="0"/>
        <w:widowControl w:val="0"/>
        <w:kinsoku/>
        <w:wordWrap/>
        <w:overflowPunct/>
        <w:topLinePunct w:val="0"/>
        <w:autoSpaceDE/>
        <w:autoSpaceDN/>
        <w:bidi w:val="0"/>
        <w:adjustRightInd/>
        <w:snapToGrid/>
        <w:spacing w:line="700" w:lineRule="exact"/>
        <w:ind w:firstLine="0" w:firstLineChars="0"/>
        <w:jc w:val="center"/>
        <w:textAlignment w:val="auto"/>
        <w:rPr>
          <w:rFonts w:hint="eastAsia" w:ascii="Times New Roman" w:hAnsi="Times New Roman" w:eastAsia="方正小标宋_GBK" w:cs="Times New Roman"/>
          <w:sz w:val="44"/>
          <w:szCs w:val="44"/>
          <w:lang w:val="en-US" w:eastAsia="zh-CN"/>
        </w:rPr>
      </w:pPr>
      <w:r>
        <w:rPr>
          <w:rFonts w:hint="eastAsia" w:ascii="Times New Roman" w:hAnsi="Times New Roman" w:eastAsia="方正小标宋_GBK" w:cs="Times New Roman"/>
          <w:sz w:val="44"/>
          <w:szCs w:val="44"/>
          <w:lang w:val="en-US" w:eastAsia="zh-CN"/>
        </w:rPr>
        <w:t>国务院办公厅关于严格规范涉企行政检查的</w:t>
      </w:r>
    </w:p>
    <w:p w14:paraId="1650D2E5">
      <w:pPr>
        <w:keepNext w:val="0"/>
        <w:keepLines w:val="0"/>
        <w:pageBreakBefore w:val="0"/>
        <w:widowControl w:val="0"/>
        <w:kinsoku/>
        <w:wordWrap/>
        <w:overflowPunct/>
        <w:topLinePunct w:val="0"/>
        <w:autoSpaceDE/>
        <w:autoSpaceDN/>
        <w:bidi w:val="0"/>
        <w:adjustRightInd/>
        <w:snapToGrid/>
        <w:spacing w:line="700" w:lineRule="exact"/>
        <w:ind w:firstLine="0" w:firstLineChars="0"/>
        <w:jc w:val="center"/>
        <w:textAlignment w:val="auto"/>
        <w:rPr>
          <w:rFonts w:hint="eastAsia" w:ascii="Times New Roman" w:hAnsi="Times New Roman" w:eastAsia="方正小标宋_GBK" w:cs="Times New Roman"/>
          <w:sz w:val="44"/>
          <w:szCs w:val="44"/>
          <w:lang w:val="en-US" w:eastAsia="zh-CN"/>
        </w:rPr>
      </w:pPr>
      <w:r>
        <w:rPr>
          <w:rFonts w:hint="eastAsia" w:ascii="Times New Roman" w:hAnsi="Times New Roman" w:eastAsia="方正小标宋_GBK" w:cs="Times New Roman"/>
          <w:sz w:val="44"/>
          <w:szCs w:val="44"/>
          <w:lang w:val="en-US" w:eastAsia="zh-CN"/>
        </w:rPr>
        <w:t>意  见</w:t>
      </w:r>
    </w:p>
    <w:p w14:paraId="51D7243E">
      <w:pPr>
        <w:keepNext w:val="0"/>
        <w:keepLines w:val="0"/>
        <w:pageBreakBefore w:val="0"/>
        <w:widowControl w:val="0"/>
        <w:kinsoku/>
        <w:wordWrap/>
        <w:overflowPunct/>
        <w:topLinePunct w:val="0"/>
        <w:autoSpaceDE/>
        <w:autoSpaceDN/>
        <w:bidi w:val="0"/>
        <w:adjustRightInd/>
        <w:snapToGrid/>
        <w:spacing w:line="560" w:lineRule="exact"/>
        <w:ind w:firstLine="0" w:firstLineChars="0"/>
        <w:jc w:val="center"/>
        <w:textAlignment w:val="auto"/>
        <w:rPr>
          <w:rFonts w:hint="eastAsia" w:ascii="Times New Roman" w:hAnsi="Times New Roman" w:eastAsia="方正仿宋_GBK" w:cs="Times New Roman"/>
          <w:b w:val="0"/>
          <w:bCs w:val="0"/>
          <w:kern w:val="2"/>
          <w:sz w:val="32"/>
          <w:szCs w:val="32"/>
          <w:lang w:val="en-US" w:eastAsia="zh-CN" w:bidi="ar-SA"/>
        </w:rPr>
      </w:pPr>
      <w:r>
        <w:rPr>
          <w:rFonts w:hint="eastAsia" w:ascii="Times New Roman" w:hAnsi="Times New Roman" w:eastAsia="方正仿宋_GBK" w:cs="Times New Roman"/>
          <w:b w:val="0"/>
          <w:bCs w:val="0"/>
          <w:kern w:val="2"/>
          <w:sz w:val="32"/>
          <w:szCs w:val="32"/>
          <w:lang w:val="en-US" w:eastAsia="zh-CN" w:bidi="ar-SA"/>
        </w:rPr>
        <w:t>国办发〔2024〕54号</w:t>
      </w:r>
    </w:p>
    <w:p w14:paraId="02A0EC22">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left"/>
        <w:textAlignment w:val="auto"/>
        <w:rPr>
          <w:rFonts w:hint="eastAsia" w:ascii="Times New Roman" w:hAnsi="Times New Roman" w:eastAsia="方正仿宋_GBK" w:cs="Times New Roman"/>
          <w:b w:val="0"/>
          <w:bCs w:val="0"/>
          <w:kern w:val="2"/>
          <w:sz w:val="32"/>
          <w:szCs w:val="32"/>
          <w:lang w:val="en-US" w:eastAsia="zh-CN" w:bidi="ar-SA"/>
        </w:rPr>
      </w:pPr>
    </w:p>
    <w:p w14:paraId="4A0C1C34">
      <w:pPr>
        <w:keepNext w:val="0"/>
        <w:keepLines w:val="0"/>
        <w:pageBreakBefore w:val="0"/>
        <w:widowControl w:val="0"/>
        <w:kinsoku/>
        <w:wordWrap/>
        <w:overflowPunct/>
        <w:topLinePunct w:val="0"/>
        <w:autoSpaceDE/>
        <w:autoSpaceDN/>
        <w:bidi w:val="0"/>
        <w:adjustRightInd/>
        <w:snapToGrid/>
        <w:spacing w:line="560" w:lineRule="exact"/>
        <w:jc w:val="left"/>
        <w:textAlignment w:val="auto"/>
        <w:rPr>
          <w:rFonts w:hint="eastAsia" w:ascii="Times New Roman" w:hAnsi="Times New Roman" w:eastAsia="方正仿宋_GBK" w:cs="Times New Roman"/>
          <w:b w:val="0"/>
          <w:bCs w:val="0"/>
          <w:kern w:val="2"/>
          <w:sz w:val="32"/>
          <w:szCs w:val="32"/>
          <w:lang w:val="en-US" w:eastAsia="zh-CN" w:bidi="ar-SA"/>
        </w:rPr>
      </w:pPr>
      <w:r>
        <w:rPr>
          <w:rFonts w:hint="eastAsia" w:ascii="Times New Roman" w:hAnsi="Times New Roman" w:eastAsia="方正仿宋_GBK" w:cs="Times New Roman"/>
          <w:b w:val="0"/>
          <w:bCs w:val="0"/>
          <w:kern w:val="2"/>
          <w:sz w:val="32"/>
          <w:szCs w:val="32"/>
          <w:lang w:val="en-US" w:eastAsia="zh-CN" w:bidi="ar-SA"/>
        </w:rPr>
        <w:t>各省、自治区、直辖市人民政府，国务院各部委、各直属机构：</w:t>
      </w:r>
    </w:p>
    <w:p w14:paraId="1B58C0FA">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left"/>
        <w:textAlignment w:val="auto"/>
        <w:rPr>
          <w:rFonts w:hint="eastAsia" w:ascii="Times New Roman" w:hAnsi="Times New Roman" w:eastAsia="方正仿宋_GBK" w:cs="Times New Roman"/>
          <w:b w:val="0"/>
          <w:bCs w:val="0"/>
          <w:kern w:val="2"/>
          <w:sz w:val="32"/>
          <w:szCs w:val="32"/>
          <w:lang w:val="en-US" w:eastAsia="zh-CN" w:bidi="ar-SA"/>
        </w:rPr>
      </w:pPr>
      <w:r>
        <w:rPr>
          <w:rFonts w:hint="eastAsia" w:ascii="Times New Roman" w:hAnsi="Times New Roman" w:eastAsia="方正仿宋_GBK" w:cs="Times New Roman"/>
          <w:b w:val="0"/>
          <w:bCs w:val="0"/>
          <w:kern w:val="2"/>
          <w:sz w:val="32"/>
          <w:szCs w:val="32"/>
          <w:lang w:val="en-US" w:eastAsia="zh-CN" w:bidi="ar-SA"/>
        </w:rPr>
        <w:t>行政检查是行政执法主体履行行政管理职责的重要方式，对引导规范企业合法经营、预防纠正违法行为具有重要作用。为贯彻落实党中央关于进一步规范涉企执法的决策部署，严格规范涉企行政检查，坚决遏制乱检查，切实减轻企业负担，优化营商环境，经国务院同意，现提出以下意见。</w:t>
      </w:r>
    </w:p>
    <w:p w14:paraId="519A46C3">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left"/>
        <w:textAlignment w:val="auto"/>
        <w:rPr>
          <w:rFonts w:hint="eastAsia" w:ascii="黑体" w:hAnsi="黑体" w:eastAsia="黑体" w:cs="黑体"/>
          <w:b w:val="0"/>
          <w:bCs w:val="0"/>
          <w:kern w:val="2"/>
          <w:sz w:val="32"/>
          <w:szCs w:val="32"/>
          <w:lang w:val="en-US" w:eastAsia="zh-CN" w:bidi="ar-SA"/>
        </w:rPr>
      </w:pPr>
      <w:r>
        <w:rPr>
          <w:rFonts w:hint="eastAsia" w:ascii="黑体" w:hAnsi="黑体" w:eastAsia="黑体" w:cs="黑体"/>
          <w:b w:val="0"/>
          <w:bCs w:val="0"/>
          <w:kern w:val="2"/>
          <w:sz w:val="32"/>
          <w:szCs w:val="32"/>
          <w:lang w:val="en-US" w:eastAsia="zh-CN" w:bidi="ar-SA"/>
        </w:rPr>
        <w:t>一、总体要求</w:t>
      </w:r>
    </w:p>
    <w:p w14:paraId="0FE3EB29">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left"/>
        <w:textAlignment w:val="auto"/>
        <w:rPr>
          <w:rFonts w:hint="eastAsia" w:ascii="Times New Roman" w:hAnsi="Times New Roman" w:eastAsia="方正仿宋_GBK" w:cs="Times New Roman"/>
          <w:b w:val="0"/>
          <w:bCs w:val="0"/>
          <w:kern w:val="2"/>
          <w:sz w:val="32"/>
          <w:szCs w:val="32"/>
          <w:lang w:val="en-US" w:eastAsia="zh-CN" w:bidi="ar-SA"/>
        </w:rPr>
      </w:pPr>
      <w:r>
        <w:rPr>
          <w:rFonts w:hint="eastAsia" w:ascii="Times New Roman" w:hAnsi="Times New Roman" w:eastAsia="方正仿宋_GBK" w:cs="Times New Roman"/>
          <w:b w:val="0"/>
          <w:bCs w:val="0"/>
          <w:kern w:val="2"/>
          <w:sz w:val="32"/>
          <w:szCs w:val="32"/>
          <w:lang w:val="en-US" w:eastAsia="zh-CN" w:bidi="ar-SA"/>
        </w:rPr>
        <w:t>坚持以习近平新时代中国特色社会主义思想为指导，深入学习贯彻习近平法治思想，全面贯彻党的二十大和二十届二中、三中全会精神，针对行政检查事项多、频次高、随意性大，以及任性检查、运动式检查、以各种名义变相检查等突出问题，加强依法行政，确保行政检查于法有据、严格规范、公正文明、精准高效，进一步优化营商环境。</w:t>
      </w:r>
    </w:p>
    <w:p w14:paraId="154265D2">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left"/>
        <w:textAlignment w:val="auto"/>
        <w:rPr>
          <w:rFonts w:hint="eastAsia" w:ascii="黑体" w:hAnsi="黑体" w:eastAsia="黑体" w:cs="黑体"/>
          <w:b w:val="0"/>
          <w:bCs w:val="0"/>
          <w:kern w:val="2"/>
          <w:sz w:val="32"/>
          <w:szCs w:val="32"/>
          <w:lang w:val="en-US" w:eastAsia="zh-CN" w:bidi="ar-SA"/>
        </w:rPr>
      </w:pPr>
      <w:r>
        <w:rPr>
          <w:rFonts w:hint="eastAsia" w:ascii="黑体" w:hAnsi="黑体" w:eastAsia="黑体" w:cs="黑体"/>
          <w:b w:val="0"/>
          <w:bCs w:val="0"/>
          <w:kern w:val="2"/>
          <w:sz w:val="32"/>
          <w:szCs w:val="32"/>
          <w:lang w:val="en-US" w:eastAsia="zh-CN" w:bidi="ar-SA"/>
        </w:rPr>
        <w:t>二、明确行政检查主体，严禁不具备主体资格的组织实施行政检查</w:t>
      </w:r>
    </w:p>
    <w:p w14:paraId="64F8C52A">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left"/>
        <w:textAlignment w:val="auto"/>
        <w:rPr>
          <w:rFonts w:hint="eastAsia" w:ascii="Times New Roman" w:hAnsi="Times New Roman" w:eastAsia="方正仿宋_GBK" w:cs="Times New Roman"/>
          <w:b w:val="0"/>
          <w:bCs w:val="0"/>
          <w:kern w:val="2"/>
          <w:sz w:val="32"/>
          <w:szCs w:val="32"/>
          <w:lang w:val="en-US" w:eastAsia="zh-CN" w:bidi="ar-SA"/>
        </w:rPr>
      </w:pPr>
      <w:r>
        <w:rPr>
          <w:rFonts w:hint="eastAsia" w:ascii="Times New Roman" w:hAnsi="Times New Roman" w:eastAsia="方正仿宋_GBK" w:cs="Times New Roman"/>
          <w:b w:val="0"/>
          <w:bCs w:val="0"/>
          <w:kern w:val="2"/>
          <w:sz w:val="32"/>
          <w:szCs w:val="32"/>
          <w:lang w:val="en-US" w:eastAsia="zh-CN" w:bidi="ar-SA"/>
        </w:rPr>
        <w:t>实施行政检查的主体必须具备法定资格。具有行政执法权的行政机关必须在法定职责范围内实施行政检查；法律、法规授权的具有管理公共事务职能的组织必须在法定授权范围内实施行政检查；受委托组织必须在委托范围内实施行政检查。除上述主体外，任何组织和个人不得实施行政检查。行政检查主体资格要依法确认并向社会公告。</w:t>
      </w:r>
    </w:p>
    <w:p w14:paraId="28093C5A">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left"/>
        <w:textAlignment w:val="auto"/>
        <w:rPr>
          <w:rFonts w:hint="eastAsia" w:ascii="黑体" w:hAnsi="黑体" w:eastAsia="黑体" w:cs="黑体"/>
          <w:b w:val="0"/>
          <w:bCs w:val="0"/>
          <w:kern w:val="2"/>
          <w:sz w:val="32"/>
          <w:szCs w:val="32"/>
          <w:lang w:val="en-US" w:eastAsia="zh-CN" w:bidi="ar-SA"/>
        </w:rPr>
      </w:pPr>
      <w:r>
        <w:rPr>
          <w:rFonts w:hint="eastAsia" w:ascii="黑体" w:hAnsi="黑体" w:eastAsia="黑体" w:cs="黑体"/>
          <w:b w:val="0"/>
          <w:bCs w:val="0"/>
          <w:kern w:val="2"/>
          <w:sz w:val="32"/>
          <w:szCs w:val="32"/>
          <w:lang w:val="en-US" w:eastAsia="zh-CN" w:bidi="ar-SA"/>
        </w:rPr>
        <w:t>三、清理并公布行政检查事项，从源头上遏制乱检查</w:t>
      </w:r>
    </w:p>
    <w:p w14:paraId="3FA30A14">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left"/>
        <w:textAlignment w:val="auto"/>
        <w:rPr>
          <w:rFonts w:hint="eastAsia" w:ascii="Times New Roman" w:hAnsi="Times New Roman" w:eastAsia="方正仿宋_GBK" w:cs="Times New Roman"/>
          <w:b w:val="0"/>
          <w:bCs w:val="0"/>
          <w:kern w:val="2"/>
          <w:sz w:val="32"/>
          <w:szCs w:val="32"/>
          <w:lang w:val="en-US" w:eastAsia="zh-CN" w:bidi="ar-SA"/>
        </w:rPr>
      </w:pPr>
      <w:r>
        <w:rPr>
          <w:rFonts w:hint="eastAsia" w:ascii="Times New Roman" w:hAnsi="Times New Roman" w:eastAsia="方正仿宋_GBK" w:cs="Times New Roman"/>
          <w:b w:val="0"/>
          <w:bCs w:val="0"/>
          <w:kern w:val="2"/>
          <w:sz w:val="32"/>
          <w:szCs w:val="32"/>
          <w:lang w:val="en-US" w:eastAsia="zh-CN" w:bidi="ar-SA"/>
        </w:rPr>
        <w:t>有关主管部门要严格落实权责清单制度，梳理本领域现有的涉企行政检查事项并实行动态管理，对没有法定依据的要坚决清理，对法定依据发生变化的要及时调整，对没有实际成效的要予以取消。行政检查事项要按照权责透明、用权公开的要求向社会公布，接受企业和社会监督。行政检查事项未经公布的，不得实施。</w:t>
      </w:r>
    </w:p>
    <w:p w14:paraId="4C098604">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left"/>
        <w:textAlignment w:val="auto"/>
        <w:rPr>
          <w:rFonts w:hint="eastAsia" w:ascii="黑体" w:hAnsi="黑体" w:eastAsia="黑体" w:cs="黑体"/>
          <w:b w:val="0"/>
          <w:bCs w:val="0"/>
          <w:kern w:val="2"/>
          <w:sz w:val="32"/>
          <w:szCs w:val="32"/>
          <w:lang w:val="en-US" w:eastAsia="zh-CN" w:bidi="ar-SA"/>
        </w:rPr>
      </w:pPr>
      <w:r>
        <w:rPr>
          <w:rFonts w:hint="eastAsia" w:ascii="黑体" w:hAnsi="黑体" w:eastAsia="黑体" w:cs="黑体"/>
          <w:b w:val="0"/>
          <w:bCs w:val="0"/>
          <w:kern w:val="2"/>
          <w:sz w:val="32"/>
          <w:szCs w:val="32"/>
          <w:lang w:val="en-US" w:eastAsia="zh-CN" w:bidi="ar-SA"/>
        </w:rPr>
        <w:t>四、合理确定行政检查方式，最大限度减少入企检查频次</w:t>
      </w:r>
    </w:p>
    <w:p w14:paraId="02F63623">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left"/>
        <w:textAlignment w:val="auto"/>
        <w:rPr>
          <w:rFonts w:hint="eastAsia" w:ascii="Times New Roman" w:hAnsi="Times New Roman" w:eastAsia="方正仿宋_GBK" w:cs="Times New Roman"/>
          <w:b w:val="0"/>
          <w:bCs w:val="0"/>
          <w:kern w:val="2"/>
          <w:sz w:val="32"/>
          <w:szCs w:val="32"/>
          <w:lang w:val="en-US" w:eastAsia="zh-CN" w:bidi="ar-SA"/>
        </w:rPr>
      </w:pPr>
      <w:r>
        <w:rPr>
          <w:rFonts w:hint="eastAsia" w:ascii="Times New Roman" w:hAnsi="Times New Roman" w:eastAsia="方正仿宋_GBK" w:cs="Times New Roman"/>
          <w:b w:val="0"/>
          <w:bCs w:val="0"/>
          <w:kern w:val="2"/>
          <w:sz w:val="32"/>
          <w:szCs w:val="32"/>
          <w:lang w:val="en-US" w:eastAsia="zh-CN" w:bidi="ar-SA"/>
        </w:rPr>
        <w:t>大力推进精准检查，防止重复检查、多头检查。能合并实施行政检查的，不得重复检查；能联合实施行政检查的，不得多头检查；能通过书面核查、信息共享、智慧监管等方式监管的，不得入企实施现场检查。严控入企检查人员数量，优化“综合查一次”、“双随机、一公开”抽查，推行简单事项“一表通查”。2025年6月底前，国务院有关主管部门要建立本领域分级分类检查制度；有关主管部门要公布同一行政机关对同一企业实施行政检查的年度频次上限。</w:t>
      </w:r>
    </w:p>
    <w:p w14:paraId="7A76DBD6">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left"/>
        <w:textAlignment w:val="auto"/>
        <w:rPr>
          <w:rFonts w:hint="eastAsia" w:ascii="黑体" w:hAnsi="黑体" w:eastAsia="黑体" w:cs="黑体"/>
          <w:b w:val="0"/>
          <w:bCs w:val="0"/>
          <w:kern w:val="2"/>
          <w:sz w:val="32"/>
          <w:szCs w:val="32"/>
          <w:lang w:val="en-US" w:eastAsia="zh-CN" w:bidi="ar-SA"/>
        </w:rPr>
      </w:pPr>
      <w:r>
        <w:rPr>
          <w:rFonts w:hint="eastAsia" w:ascii="黑体" w:hAnsi="黑体" w:eastAsia="黑体" w:cs="黑体"/>
          <w:b w:val="0"/>
          <w:bCs w:val="0"/>
          <w:kern w:val="2"/>
          <w:sz w:val="32"/>
          <w:szCs w:val="32"/>
          <w:lang w:val="en-US" w:eastAsia="zh-CN" w:bidi="ar-SA"/>
        </w:rPr>
        <w:t>五、严格行政检查标准、程序，杜绝随意检查</w:t>
      </w:r>
    </w:p>
    <w:p w14:paraId="6D6D73A0">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left"/>
        <w:textAlignment w:val="auto"/>
        <w:rPr>
          <w:rFonts w:hint="eastAsia" w:ascii="Times New Roman" w:hAnsi="Times New Roman" w:eastAsia="方正仿宋_GBK" w:cs="Times New Roman"/>
          <w:b w:val="0"/>
          <w:bCs w:val="0"/>
          <w:kern w:val="2"/>
          <w:sz w:val="32"/>
          <w:szCs w:val="32"/>
          <w:lang w:val="en-US" w:eastAsia="zh-CN" w:bidi="ar-SA"/>
        </w:rPr>
      </w:pPr>
      <w:r>
        <w:rPr>
          <w:rFonts w:hint="eastAsia" w:ascii="Times New Roman" w:hAnsi="Times New Roman" w:eastAsia="方正仿宋_GBK" w:cs="Times New Roman"/>
          <w:b w:val="0"/>
          <w:bCs w:val="0"/>
          <w:kern w:val="2"/>
          <w:sz w:val="32"/>
          <w:szCs w:val="32"/>
          <w:lang w:val="en-US" w:eastAsia="zh-CN" w:bidi="ar-SA"/>
        </w:rPr>
        <w:t>国务院有关主管部门要梳理本领域现有的行政检查标准并于2025年6月底前公布。不同领域行政检查标准相互冲突的，有关主管部门要按照规定提请本级政府或者上一级行政机关进行协调，避免企业无所适从。实施行政检查前，要制定检查方案并报行政执法主体负责人批准，不得仅由内设机构负责人批准。实施行政检查时，要出具行政检查通知书。加快推行“扫码入企”，将行政检查主体、人员、内容、结果等数据实时上传至信息系统。</w:t>
      </w:r>
    </w:p>
    <w:p w14:paraId="3A67B6E6">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left"/>
        <w:textAlignment w:val="auto"/>
        <w:rPr>
          <w:rFonts w:hint="eastAsia" w:ascii="黑体" w:hAnsi="黑体" w:eastAsia="黑体" w:cs="黑体"/>
          <w:b w:val="0"/>
          <w:bCs w:val="0"/>
          <w:kern w:val="2"/>
          <w:sz w:val="32"/>
          <w:szCs w:val="32"/>
          <w:lang w:val="en-US" w:eastAsia="zh-CN" w:bidi="ar-SA"/>
        </w:rPr>
      </w:pPr>
      <w:r>
        <w:rPr>
          <w:rFonts w:hint="eastAsia" w:ascii="黑体" w:hAnsi="黑体" w:eastAsia="黑体" w:cs="黑体"/>
          <w:b w:val="0"/>
          <w:bCs w:val="0"/>
          <w:kern w:val="2"/>
          <w:sz w:val="32"/>
          <w:szCs w:val="32"/>
          <w:lang w:val="en-US" w:eastAsia="zh-CN" w:bidi="ar-SA"/>
        </w:rPr>
        <w:t>六、严格控制专项检查，避免“走过场”、运动式检查</w:t>
      </w:r>
    </w:p>
    <w:p w14:paraId="4B5DFE3E">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left"/>
        <w:textAlignment w:val="auto"/>
        <w:rPr>
          <w:rFonts w:hint="eastAsia" w:ascii="Times New Roman" w:hAnsi="Times New Roman" w:eastAsia="方正仿宋_GBK" w:cs="Times New Roman"/>
          <w:b w:val="0"/>
          <w:bCs w:val="0"/>
          <w:kern w:val="2"/>
          <w:sz w:val="32"/>
          <w:szCs w:val="32"/>
          <w:lang w:val="en-US" w:eastAsia="zh-CN" w:bidi="ar-SA"/>
        </w:rPr>
      </w:pPr>
      <w:r>
        <w:rPr>
          <w:rFonts w:hint="eastAsia" w:ascii="Times New Roman" w:hAnsi="Times New Roman" w:eastAsia="方正仿宋_GBK" w:cs="Times New Roman"/>
          <w:b w:val="0"/>
          <w:bCs w:val="0"/>
          <w:kern w:val="2"/>
          <w:sz w:val="32"/>
          <w:szCs w:val="32"/>
          <w:lang w:val="en-US" w:eastAsia="zh-CN" w:bidi="ar-SA"/>
        </w:rPr>
        <w:t>对某一地区、某一领域开展专项检查，应当严格控制数量、规范程序、注重实效。除党中央、国务院统一部署外，地方各级人民政府和国务院各部门开展专项检查，应当按程序报批。专项检查要突出问题导向，聚焦重点领域、重点行业、重点企业，精准发现问题、推动解决问题，坚决防止“一刀切”、运动式检查。</w:t>
      </w:r>
    </w:p>
    <w:p w14:paraId="6798BE4D">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left"/>
        <w:textAlignment w:val="auto"/>
        <w:rPr>
          <w:rFonts w:hint="eastAsia" w:ascii="黑体" w:hAnsi="黑体" w:eastAsia="黑体" w:cs="黑体"/>
          <w:b w:val="0"/>
          <w:bCs w:val="0"/>
          <w:kern w:val="2"/>
          <w:sz w:val="32"/>
          <w:szCs w:val="32"/>
          <w:lang w:val="en-US" w:eastAsia="zh-CN" w:bidi="ar-SA"/>
        </w:rPr>
      </w:pPr>
      <w:r>
        <w:rPr>
          <w:rFonts w:hint="eastAsia" w:ascii="黑体" w:hAnsi="黑体" w:eastAsia="黑体" w:cs="黑体"/>
          <w:b w:val="0"/>
          <w:bCs w:val="0"/>
          <w:kern w:val="2"/>
          <w:sz w:val="32"/>
          <w:szCs w:val="32"/>
          <w:lang w:val="en-US" w:eastAsia="zh-CN" w:bidi="ar-SA"/>
        </w:rPr>
        <w:t>七、强化信用监管，实施差异化检查</w:t>
      </w:r>
    </w:p>
    <w:p w14:paraId="6374B0B1">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left"/>
        <w:textAlignment w:val="auto"/>
        <w:rPr>
          <w:rFonts w:hint="eastAsia" w:ascii="Times New Roman" w:hAnsi="Times New Roman" w:eastAsia="方正仿宋_GBK" w:cs="Times New Roman"/>
          <w:b w:val="0"/>
          <w:bCs w:val="0"/>
          <w:kern w:val="2"/>
          <w:sz w:val="32"/>
          <w:szCs w:val="32"/>
          <w:lang w:val="en-US" w:eastAsia="zh-CN" w:bidi="ar-SA"/>
        </w:rPr>
      </w:pPr>
      <w:r>
        <w:rPr>
          <w:rFonts w:hint="eastAsia" w:ascii="Times New Roman" w:hAnsi="Times New Roman" w:eastAsia="方正仿宋_GBK" w:cs="Times New Roman"/>
          <w:b w:val="0"/>
          <w:bCs w:val="0"/>
          <w:kern w:val="2"/>
          <w:sz w:val="32"/>
          <w:szCs w:val="32"/>
          <w:lang w:val="en-US" w:eastAsia="zh-CN" w:bidi="ar-SA"/>
        </w:rPr>
        <w:t>建立健全企业信用风险分类管理制度，将企业信用风险分类结果作为确定行政检查比例、频次、方式的重要依据。对信用风险低的企业，合理降低检查频次，做到“无事不扰”；对信用风险高的企业，依法依规增加检查频次，实施重点监管。行政检查结果要及时纳入企业信用记录，依法依规向社会公示。</w:t>
      </w:r>
    </w:p>
    <w:p w14:paraId="6BC6AB32">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left"/>
        <w:textAlignment w:val="auto"/>
        <w:rPr>
          <w:rFonts w:hint="eastAsia" w:ascii="黑体" w:hAnsi="黑体" w:eastAsia="黑体" w:cs="黑体"/>
          <w:b w:val="0"/>
          <w:bCs w:val="0"/>
          <w:kern w:val="2"/>
          <w:sz w:val="32"/>
          <w:szCs w:val="32"/>
          <w:lang w:val="en-US" w:eastAsia="zh-CN" w:bidi="ar-SA"/>
        </w:rPr>
      </w:pPr>
      <w:r>
        <w:rPr>
          <w:rFonts w:hint="eastAsia" w:ascii="黑体" w:hAnsi="黑体" w:eastAsia="黑体" w:cs="黑体"/>
          <w:b w:val="0"/>
          <w:bCs w:val="0"/>
          <w:kern w:val="2"/>
          <w:sz w:val="32"/>
          <w:szCs w:val="32"/>
          <w:lang w:val="en-US" w:eastAsia="zh-CN" w:bidi="ar-SA"/>
        </w:rPr>
        <w:t>八、健全投诉举报和监督问责机制</w:t>
      </w:r>
    </w:p>
    <w:p w14:paraId="7CF6355C">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left"/>
        <w:textAlignment w:val="auto"/>
        <w:rPr>
          <w:rFonts w:hint="eastAsia" w:ascii="Times New Roman" w:hAnsi="Times New Roman" w:eastAsia="方正仿宋_GBK" w:cs="Times New Roman"/>
          <w:b w:val="0"/>
          <w:bCs w:val="0"/>
          <w:kern w:val="2"/>
          <w:sz w:val="32"/>
          <w:szCs w:val="32"/>
          <w:lang w:val="en-US" w:eastAsia="zh-CN" w:bidi="ar-SA"/>
        </w:rPr>
      </w:pPr>
      <w:r>
        <w:rPr>
          <w:rFonts w:hint="eastAsia" w:ascii="Times New Roman" w:hAnsi="Times New Roman" w:eastAsia="方正仿宋_GBK" w:cs="Times New Roman"/>
          <w:b w:val="0"/>
          <w:bCs w:val="0"/>
          <w:kern w:val="2"/>
          <w:sz w:val="32"/>
          <w:szCs w:val="32"/>
          <w:lang w:val="en-US" w:eastAsia="zh-CN" w:bidi="ar-SA"/>
        </w:rPr>
        <w:t>要建立健全企业投诉举报快速处理机制，畅通12345政务服务便民热线等渠道，对企业反映的违法违规检查问题，要及时受理、依法处理、限期反馈。要加强对行政检查的全过程监督，对乱检查、重复检查、选择性检查、吃</w:t>
      </w:r>
      <w:bookmarkStart w:id="0" w:name="_GoBack"/>
      <w:bookmarkEnd w:id="0"/>
      <w:r>
        <w:rPr>
          <w:rFonts w:hint="eastAsia" w:ascii="Times New Roman" w:hAnsi="Times New Roman" w:eastAsia="方正仿宋_GBK" w:cs="Times New Roman"/>
          <w:b w:val="0"/>
          <w:bCs w:val="0"/>
          <w:kern w:val="2"/>
          <w:sz w:val="32"/>
          <w:szCs w:val="32"/>
          <w:lang w:val="en-US" w:eastAsia="zh-CN" w:bidi="ar-SA"/>
        </w:rPr>
        <w:t>拿卡要等行为，要严肃追责问责。</w:t>
      </w:r>
    </w:p>
    <w:p w14:paraId="49F47169">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left"/>
        <w:textAlignment w:val="auto"/>
        <w:rPr>
          <w:rFonts w:hint="eastAsia" w:ascii="黑体" w:hAnsi="黑体" w:eastAsia="黑体" w:cs="黑体"/>
          <w:b w:val="0"/>
          <w:bCs w:val="0"/>
          <w:kern w:val="2"/>
          <w:sz w:val="32"/>
          <w:szCs w:val="32"/>
          <w:lang w:val="en-US" w:eastAsia="zh-CN" w:bidi="ar-SA"/>
        </w:rPr>
      </w:pPr>
      <w:r>
        <w:rPr>
          <w:rFonts w:hint="eastAsia" w:ascii="黑体" w:hAnsi="黑体" w:eastAsia="黑体" w:cs="黑体"/>
          <w:b w:val="0"/>
          <w:bCs w:val="0"/>
          <w:kern w:val="2"/>
          <w:sz w:val="32"/>
          <w:szCs w:val="32"/>
          <w:lang w:val="en-US" w:eastAsia="zh-CN" w:bidi="ar-SA"/>
        </w:rPr>
        <w:t>九、加强组织实施</w:t>
      </w:r>
    </w:p>
    <w:p w14:paraId="15E180FC">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left"/>
        <w:textAlignment w:val="auto"/>
        <w:rPr>
          <w:rFonts w:hint="eastAsia" w:ascii="Times New Roman" w:hAnsi="Times New Roman" w:eastAsia="方正仿宋_GBK" w:cs="Times New Roman"/>
          <w:b w:val="0"/>
          <w:bCs w:val="0"/>
          <w:kern w:val="2"/>
          <w:sz w:val="32"/>
          <w:szCs w:val="32"/>
          <w:lang w:val="en-US" w:eastAsia="zh-CN" w:bidi="ar-SA"/>
        </w:rPr>
      </w:pPr>
      <w:r>
        <w:rPr>
          <w:rFonts w:hint="eastAsia" w:ascii="Times New Roman" w:hAnsi="Times New Roman" w:eastAsia="方正仿宋_GBK" w:cs="Times New Roman"/>
          <w:b w:val="0"/>
          <w:bCs w:val="0"/>
          <w:kern w:val="2"/>
          <w:sz w:val="32"/>
          <w:szCs w:val="32"/>
          <w:lang w:val="en-US" w:eastAsia="zh-CN" w:bidi="ar-SA"/>
        </w:rPr>
        <w:t>各地区、各部门要高度重视规范涉企行政检查工作，加强组织领导，明确责任分工，狠抓工作落实。司法部要加强统筹协调和指导监督，确保本意见各项措施落地见效。</w:t>
      </w:r>
    </w:p>
    <w:p w14:paraId="0514E165">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left"/>
        <w:textAlignment w:val="auto"/>
        <w:rPr>
          <w:rFonts w:hint="eastAsia" w:ascii="Times New Roman" w:hAnsi="Times New Roman" w:eastAsia="方正仿宋_GBK" w:cs="Times New Roman"/>
          <w:b w:val="0"/>
          <w:bCs w:val="0"/>
          <w:kern w:val="2"/>
          <w:sz w:val="32"/>
          <w:szCs w:val="32"/>
          <w:lang w:val="en-US" w:eastAsia="zh-CN" w:bidi="ar-SA"/>
        </w:rPr>
      </w:pPr>
    </w:p>
    <w:sectPr>
      <w:footerReference r:id="rId3" w:type="default"/>
      <w:pgSz w:w="11906" w:h="16838"/>
      <w:pgMar w:top="2098" w:right="1474" w:bottom="1984" w:left="1587" w:header="890" w:footer="1276"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仿宋_GBK">
    <w:altName w:val="微软雅黑"/>
    <w:panose1 w:val="03000509000000000000"/>
    <w:charset w:val="86"/>
    <w:family w:val="auto"/>
    <w:pitch w:val="default"/>
    <w:sig w:usb0="00000000" w:usb1="00000000" w:usb2="00000000" w:usb3="00000000" w:csb0="00040000" w:csb1="00000000"/>
  </w:font>
  <w:font w:name="微软雅黑">
    <w:panose1 w:val="020B0503020204020204"/>
    <w:charset w:val="86"/>
    <w:family w:val="auto"/>
    <w:pitch w:val="default"/>
    <w:sig w:usb0="80000287" w:usb1="2ACF3C50" w:usb2="00000016" w:usb3="00000000" w:csb0="0004001F" w:csb1="00000000"/>
  </w:font>
  <w:font w:name="方正小标宋_GBK">
    <w:altName w:val="微软雅黑"/>
    <w:panose1 w:val="03000509000000000000"/>
    <w:charset w:val="86"/>
    <w:family w:val="auto"/>
    <w:pitch w:val="default"/>
    <w:sig w:usb0="00000000" w:usb1="0000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639B6A2">
    <w:pPr>
      <w:pStyle w:val="2"/>
    </w:pPr>
    <w:r>
      <w:rPr>
        <w:sz w:val="18"/>
      </w:rP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xtLst>
                        <a:ext uri="{909E8E84-426E-40DD-AFC4-6F175D3DCCD1}">
                          <a14:hiddenFill xmlns:a14="http://schemas.microsoft.com/office/drawing/2010/main">
                            <a:solidFill>
                              <a:schemeClr val="lt1"/>
                            </a:solidFill>
                          </a14:hiddenFill>
                        </a:ext>
                        <a:ext uri="{91240B29-F687-4F45-9708-019B960494DF}">
                          <a14:hiddenLine xmlns:a14="http://schemas.microsoft.com/office/drawing/2010/main" w="6350">
                            <a:solidFill>
                              <a:prstClr val="black"/>
                            </a:solidFill>
                          </a14:hiddenLine>
                        </a:ext>
                      </a:extLst>
                    </wps:spPr>
                    <wps:style>
                      <a:lnRef idx="0">
                        <a:schemeClr val="accent1"/>
                      </a:lnRef>
                      <a:fillRef idx="0">
                        <a:schemeClr val="accent1"/>
                      </a:fillRef>
                      <a:effectRef idx="0">
                        <a:schemeClr val="accent1"/>
                      </a:effectRef>
                      <a:fontRef idx="minor">
                        <a:schemeClr val="dk1"/>
                      </a:fontRef>
                    </wps:style>
                    <wps:txbx>
                      <w:txbxContent>
                        <w:p w14:paraId="208E569E">
                          <w:pPr>
                            <w:pStyle w:val="2"/>
                            <w:rPr>
                              <w:rFonts w:hint="default" w:ascii="Times New Roman" w:hAnsi="Times New Roman" w:cs="Times New Roman"/>
                              <w:sz w:val="28"/>
                              <w:szCs w:val="28"/>
                            </w:rPr>
                          </w:pPr>
                          <w:r>
                            <w:rPr>
                              <w:rFonts w:hint="default" w:ascii="Times New Roman" w:hAnsi="Times New Roman" w:cs="Times New Roman"/>
                              <w:sz w:val="28"/>
                              <w:szCs w:val="28"/>
                            </w:rPr>
                            <w:t xml:space="preserve">— </w:t>
                          </w:r>
                          <w:r>
                            <w:rPr>
                              <w:rFonts w:hint="default" w:ascii="Times New Roman" w:hAnsi="Times New Roman" w:cs="Times New Roman"/>
                              <w:sz w:val="28"/>
                              <w:szCs w:val="28"/>
                            </w:rPr>
                            <w:fldChar w:fldCharType="begin"/>
                          </w:r>
                          <w:r>
                            <w:rPr>
                              <w:rFonts w:hint="default" w:ascii="Times New Roman" w:hAnsi="Times New Roman" w:cs="Times New Roman"/>
                              <w:sz w:val="28"/>
                              <w:szCs w:val="28"/>
                            </w:rPr>
                            <w:instrText xml:space="preserve"> PAGE  \* MERGEFORMAT </w:instrText>
                          </w:r>
                          <w:r>
                            <w:rPr>
                              <w:rFonts w:hint="default" w:ascii="Times New Roman" w:hAnsi="Times New Roman" w:cs="Times New Roman"/>
                              <w:sz w:val="28"/>
                              <w:szCs w:val="28"/>
                            </w:rPr>
                            <w:fldChar w:fldCharType="separate"/>
                          </w:r>
                          <w:r>
                            <w:rPr>
                              <w:rFonts w:hint="default" w:ascii="Times New Roman" w:hAnsi="Times New Roman" w:cs="Times New Roman"/>
                              <w:sz w:val="28"/>
                              <w:szCs w:val="28"/>
                            </w:rPr>
                            <w:t>1</w:t>
                          </w:r>
                          <w:r>
                            <w:rPr>
                              <w:rFonts w:hint="default" w:ascii="Times New Roman" w:hAnsi="Times New Roman" w:cs="Times New Roman"/>
                              <w:sz w:val="28"/>
                              <w:szCs w:val="28"/>
                            </w:rPr>
                            <w:fldChar w:fldCharType="end"/>
                          </w:r>
                          <w:r>
                            <w:rPr>
                              <w:rFonts w:hint="default" w:ascii="Times New Roman" w:hAnsi="Times New Roman" w:cs="Times New Roman"/>
                              <w:sz w:val="28"/>
                              <w:szCs w:val="28"/>
                            </w:rP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">
              <v:fill on="f" focussize="0,0"/>
              <v:stroke on="f" weight="0.5pt"/>
              <v:imagedata o:title=""/>
              <o:lock v:ext="edit" aspectratio="f"/>
              <v:textbox inset="0mm,0mm,0mm,0mm" style="mso-fit-shape-to-text:t;">
                <w:txbxContent>
                  <w:p w14:paraId="208E569E">
                    <w:pPr>
                      <w:pStyle w:val="2"/>
                      <w:rPr>
                        <w:rFonts w:hint="default" w:ascii="Times New Roman" w:hAnsi="Times New Roman" w:cs="Times New Roman"/>
                        <w:sz w:val="28"/>
                        <w:szCs w:val="28"/>
                      </w:rPr>
                    </w:pPr>
                    <w:r>
                      <w:rPr>
                        <w:rFonts w:hint="default" w:ascii="Times New Roman" w:hAnsi="Times New Roman" w:cs="Times New Roman"/>
                        <w:sz w:val="28"/>
                        <w:szCs w:val="28"/>
                      </w:rPr>
                      <w:t xml:space="preserve">— </w:t>
                    </w:r>
                    <w:r>
                      <w:rPr>
                        <w:rFonts w:hint="default" w:ascii="Times New Roman" w:hAnsi="Times New Roman" w:cs="Times New Roman"/>
                        <w:sz w:val="28"/>
                        <w:szCs w:val="28"/>
                      </w:rPr>
                      <w:fldChar w:fldCharType="begin"/>
                    </w:r>
                    <w:r>
                      <w:rPr>
                        <w:rFonts w:hint="default" w:ascii="Times New Roman" w:hAnsi="Times New Roman" w:cs="Times New Roman"/>
                        <w:sz w:val="28"/>
                        <w:szCs w:val="28"/>
                      </w:rPr>
                      <w:instrText xml:space="preserve"> PAGE  \* MERGEFORMAT </w:instrText>
                    </w:r>
                    <w:r>
                      <w:rPr>
                        <w:rFonts w:hint="default" w:ascii="Times New Roman" w:hAnsi="Times New Roman" w:cs="Times New Roman"/>
                        <w:sz w:val="28"/>
                        <w:szCs w:val="28"/>
                      </w:rPr>
                      <w:fldChar w:fldCharType="separate"/>
                    </w:r>
                    <w:r>
                      <w:rPr>
                        <w:rFonts w:hint="default" w:ascii="Times New Roman" w:hAnsi="Times New Roman" w:cs="Times New Roman"/>
                        <w:sz w:val="28"/>
                        <w:szCs w:val="28"/>
                      </w:rPr>
                      <w:t>1</w:t>
                    </w:r>
                    <w:r>
                      <w:rPr>
                        <w:rFonts w:hint="default" w:ascii="Times New Roman" w:hAnsi="Times New Roman" w:cs="Times New Roman"/>
                        <w:sz w:val="28"/>
                        <w:szCs w:val="28"/>
                      </w:rPr>
                      <w:fldChar w:fldCharType="end"/>
                    </w:r>
                    <w:r>
                      <w:rPr>
                        <w:rFonts w:hint="default" w:ascii="Times New Roman" w:hAnsi="Times New Roman" w:cs="Times New Roman"/>
                        <w:sz w:val="28"/>
                        <w:szCs w:val="28"/>
                      </w:rPr>
                      <w:t xml:space="preserve"> —</w:t>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7C00702C"/>
    <w:rsid w:val="1C885EDE"/>
    <w:rsid w:val="7C00702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5">
    <w:name w:val="Default Paragraph Font"/>
    <w:semiHidden/>
    <w:uiPriority w:val="0"/>
  </w:style>
  <w:style w:type="table" w:default="1" w:styleId="4">
    <w:name w:val="Normal Table"/>
    <w:semiHidden/>
    <w:qFormat/>
    <w:uiPriority w:val="0"/>
    <w:tblPr>
      <w:tblCellMar>
        <w:top w:w="0" w:type="dxa"/>
        <w:left w:w="108" w:type="dxa"/>
        <w:bottom w:w="0" w:type="dxa"/>
        <w:right w:w="108" w:type="dxa"/>
      </w:tblCellMar>
    </w:tblPr>
  </w:style>
  <w:style w:type="paragraph" w:styleId="2">
    <w:name w:val="footer"/>
    <w:basedOn w:val="1"/>
    <w:uiPriority w:val="0"/>
    <w:pPr>
      <w:tabs>
        <w:tab w:val="center" w:pos="4153"/>
        <w:tab w:val="right" w:pos="8306"/>
      </w:tabs>
      <w:snapToGrid w:val="0"/>
      <w:jc w:val="left"/>
    </w:pPr>
    <w:rPr>
      <w:sz w:val="18"/>
    </w:rPr>
  </w:style>
  <w:style w:type="paragraph" w:styleId="3">
    <w:name w:val="header"/>
    <w:basedOn w:val="1"/>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4</Pages>
  <Words>0</Words>
  <Characters>0</Characters>
  <Lines>0</Lines>
  <Paragraphs>0</Paragraphs>
  <TotalTime>1</TotalTime>
  <ScaleCrop>false</ScaleCrop>
  <LinksUpToDate>false</LinksUpToDate>
  <CharactersWithSpaces>0</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2026-04-03T02:23:00Z</dcterms:created>
  <dc:creator>WPS_1649413023</dc:creator>
  <cp:lastModifiedBy>WPS_1649413023</cp:lastModifiedBy>
  <dcterms:modified xsi:type="dcterms:W3CDTF">2026-04-03T02:32:04Z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CC7DFBC4A69B40ADB4D1C98BE3B2B945_11</vt:lpwstr>
  </property>
  <property fmtid="{D5CDD505-2E9C-101B-9397-08002B2CF9AE}" pid="4" name="KSOTemplateDocerSaveRecord">
    <vt:lpwstr>eyJoZGlkIjoiM2RhYjQzNDdiMzdjNGRlNjhjMGJmMTI5NzgwZDcxNDIiLCJ1c2VySWQiOiIxMzUzNDc4MDc0In0=</vt:lpwstr>
  </property>
</Properties>
</file>